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825668487"/>
        <w:docPartObj>
          <w:docPartGallery w:val="Table of Contents"/>
          <w:docPartUnique/>
        </w:docPartObj>
      </w:sdtPr>
      <w:sdtEndPr>
        <w:rPr>
          <w:b/>
          <w:bCs/>
        </w:rPr>
      </w:sdtEndPr>
      <w:sdtContent>
        <w:p w14:paraId="2631854D" w14:textId="3B41D3BE" w:rsidR="00340B02" w:rsidRDefault="00340B02">
          <w:pPr>
            <w:pStyle w:val="TtulodeTDC"/>
          </w:pPr>
          <w:r>
            <w:rPr>
              <w:lang w:val="es-ES"/>
            </w:rPr>
            <w:t>Tabla de contenido</w:t>
          </w:r>
        </w:p>
        <w:p w14:paraId="6C680B9B" w14:textId="07F7560F" w:rsidR="00340B02" w:rsidRDefault="00340B02">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93981213" w:history="1">
            <w:r w:rsidRPr="00FA2B92">
              <w:rPr>
                <w:rStyle w:val="Hipervnculo"/>
                <w:noProof/>
              </w:rPr>
              <w:t>A N T E C E D E N T E S</w:t>
            </w:r>
            <w:r>
              <w:rPr>
                <w:noProof/>
                <w:webHidden/>
              </w:rPr>
              <w:tab/>
            </w:r>
            <w:r>
              <w:rPr>
                <w:noProof/>
                <w:webHidden/>
              </w:rPr>
              <w:fldChar w:fldCharType="begin"/>
            </w:r>
            <w:r>
              <w:rPr>
                <w:noProof/>
                <w:webHidden/>
              </w:rPr>
              <w:instrText xml:space="preserve"> PAGEREF _Toc193981213 \h </w:instrText>
            </w:r>
            <w:r>
              <w:rPr>
                <w:noProof/>
                <w:webHidden/>
              </w:rPr>
            </w:r>
            <w:r>
              <w:rPr>
                <w:noProof/>
                <w:webHidden/>
              </w:rPr>
              <w:fldChar w:fldCharType="separate"/>
            </w:r>
            <w:r w:rsidR="0072316F">
              <w:rPr>
                <w:noProof/>
                <w:webHidden/>
              </w:rPr>
              <w:t>2</w:t>
            </w:r>
            <w:r>
              <w:rPr>
                <w:noProof/>
                <w:webHidden/>
              </w:rPr>
              <w:fldChar w:fldCharType="end"/>
            </w:r>
          </w:hyperlink>
        </w:p>
        <w:p w14:paraId="6E923949" w14:textId="409CD1AE" w:rsidR="00340B02" w:rsidRDefault="0081750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214" w:history="1">
            <w:r w:rsidR="00340B02" w:rsidRPr="00FA2B92">
              <w:rPr>
                <w:rStyle w:val="Hipervnculo"/>
                <w:noProof/>
              </w:rPr>
              <w:t>I. Presentación de la solicitud de información</w:t>
            </w:r>
            <w:r w:rsidR="00340B02">
              <w:rPr>
                <w:noProof/>
                <w:webHidden/>
              </w:rPr>
              <w:tab/>
            </w:r>
            <w:r w:rsidR="00340B02">
              <w:rPr>
                <w:noProof/>
                <w:webHidden/>
              </w:rPr>
              <w:fldChar w:fldCharType="begin"/>
            </w:r>
            <w:r w:rsidR="00340B02">
              <w:rPr>
                <w:noProof/>
                <w:webHidden/>
              </w:rPr>
              <w:instrText xml:space="preserve"> PAGEREF _Toc193981214 \h </w:instrText>
            </w:r>
            <w:r w:rsidR="00340B02">
              <w:rPr>
                <w:noProof/>
                <w:webHidden/>
              </w:rPr>
            </w:r>
            <w:r w:rsidR="00340B02">
              <w:rPr>
                <w:noProof/>
                <w:webHidden/>
              </w:rPr>
              <w:fldChar w:fldCharType="separate"/>
            </w:r>
            <w:r w:rsidR="0072316F">
              <w:rPr>
                <w:noProof/>
                <w:webHidden/>
              </w:rPr>
              <w:t>2</w:t>
            </w:r>
            <w:r w:rsidR="00340B02">
              <w:rPr>
                <w:noProof/>
                <w:webHidden/>
              </w:rPr>
              <w:fldChar w:fldCharType="end"/>
            </w:r>
          </w:hyperlink>
        </w:p>
        <w:p w14:paraId="7AAC88A5" w14:textId="2F42DD9F" w:rsidR="00340B02" w:rsidRDefault="0081750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215" w:history="1">
            <w:r w:rsidR="00340B02" w:rsidRPr="00FA2B92">
              <w:rPr>
                <w:rStyle w:val="Hipervnculo"/>
                <w:noProof/>
              </w:rPr>
              <w:t>II. Respuesta del Sujeto Obligado</w:t>
            </w:r>
            <w:r w:rsidR="00340B02">
              <w:rPr>
                <w:noProof/>
                <w:webHidden/>
              </w:rPr>
              <w:tab/>
            </w:r>
            <w:r w:rsidR="00340B02">
              <w:rPr>
                <w:noProof/>
                <w:webHidden/>
              </w:rPr>
              <w:fldChar w:fldCharType="begin"/>
            </w:r>
            <w:r w:rsidR="00340B02">
              <w:rPr>
                <w:noProof/>
                <w:webHidden/>
              </w:rPr>
              <w:instrText xml:space="preserve"> PAGEREF _Toc193981215 \h </w:instrText>
            </w:r>
            <w:r w:rsidR="00340B02">
              <w:rPr>
                <w:noProof/>
                <w:webHidden/>
              </w:rPr>
            </w:r>
            <w:r w:rsidR="00340B02">
              <w:rPr>
                <w:noProof/>
                <w:webHidden/>
              </w:rPr>
              <w:fldChar w:fldCharType="separate"/>
            </w:r>
            <w:r w:rsidR="0072316F">
              <w:rPr>
                <w:noProof/>
                <w:webHidden/>
              </w:rPr>
              <w:t>3</w:t>
            </w:r>
            <w:r w:rsidR="00340B02">
              <w:rPr>
                <w:noProof/>
                <w:webHidden/>
              </w:rPr>
              <w:fldChar w:fldCharType="end"/>
            </w:r>
          </w:hyperlink>
        </w:p>
        <w:p w14:paraId="48032E22" w14:textId="19BFE279" w:rsidR="00340B02" w:rsidRDefault="0081750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216" w:history="1">
            <w:r w:rsidR="00340B02" w:rsidRPr="00FA2B92">
              <w:rPr>
                <w:rStyle w:val="Hipervnculo"/>
                <w:noProof/>
              </w:rPr>
              <w:t>III. Interposición del Recurso de Revisión</w:t>
            </w:r>
            <w:r w:rsidR="00340B02">
              <w:rPr>
                <w:noProof/>
                <w:webHidden/>
              </w:rPr>
              <w:tab/>
            </w:r>
            <w:r w:rsidR="00340B02">
              <w:rPr>
                <w:noProof/>
                <w:webHidden/>
              </w:rPr>
              <w:fldChar w:fldCharType="begin"/>
            </w:r>
            <w:r w:rsidR="00340B02">
              <w:rPr>
                <w:noProof/>
                <w:webHidden/>
              </w:rPr>
              <w:instrText xml:space="preserve"> PAGEREF _Toc193981216 \h </w:instrText>
            </w:r>
            <w:r w:rsidR="00340B02">
              <w:rPr>
                <w:noProof/>
                <w:webHidden/>
              </w:rPr>
            </w:r>
            <w:r w:rsidR="00340B02">
              <w:rPr>
                <w:noProof/>
                <w:webHidden/>
              </w:rPr>
              <w:fldChar w:fldCharType="separate"/>
            </w:r>
            <w:r w:rsidR="0072316F">
              <w:rPr>
                <w:noProof/>
                <w:webHidden/>
              </w:rPr>
              <w:t>3</w:t>
            </w:r>
            <w:r w:rsidR="00340B02">
              <w:rPr>
                <w:noProof/>
                <w:webHidden/>
              </w:rPr>
              <w:fldChar w:fldCharType="end"/>
            </w:r>
          </w:hyperlink>
        </w:p>
        <w:p w14:paraId="3D0DA27F" w14:textId="7A3B0880" w:rsidR="00340B02" w:rsidRDefault="0081750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217" w:history="1">
            <w:r w:rsidR="00340B02" w:rsidRPr="00FA2B92">
              <w:rPr>
                <w:rStyle w:val="Hipervnculo"/>
                <w:noProof/>
              </w:rPr>
              <w:t>IV. Trámite del Recurso de Revisión ante este Instituto</w:t>
            </w:r>
            <w:r w:rsidR="00340B02">
              <w:rPr>
                <w:noProof/>
                <w:webHidden/>
              </w:rPr>
              <w:tab/>
            </w:r>
            <w:r w:rsidR="00340B02">
              <w:rPr>
                <w:noProof/>
                <w:webHidden/>
              </w:rPr>
              <w:fldChar w:fldCharType="begin"/>
            </w:r>
            <w:r w:rsidR="00340B02">
              <w:rPr>
                <w:noProof/>
                <w:webHidden/>
              </w:rPr>
              <w:instrText xml:space="preserve"> PAGEREF _Toc193981217 \h </w:instrText>
            </w:r>
            <w:r w:rsidR="00340B02">
              <w:rPr>
                <w:noProof/>
                <w:webHidden/>
              </w:rPr>
            </w:r>
            <w:r w:rsidR="00340B02">
              <w:rPr>
                <w:noProof/>
                <w:webHidden/>
              </w:rPr>
              <w:fldChar w:fldCharType="separate"/>
            </w:r>
            <w:r w:rsidR="0072316F">
              <w:rPr>
                <w:noProof/>
                <w:webHidden/>
              </w:rPr>
              <w:t>3</w:t>
            </w:r>
            <w:r w:rsidR="00340B02">
              <w:rPr>
                <w:noProof/>
                <w:webHidden/>
              </w:rPr>
              <w:fldChar w:fldCharType="end"/>
            </w:r>
          </w:hyperlink>
        </w:p>
        <w:p w14:paraId="4F1FBB4D" w14:textId="7237BAAB" w:rsidR="00340B02" w:rsidRDefault="0081750D">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218" w:history="1">
            <w:r w:rsidR="00340B02" w:rsidRPr="00FA2B92">
              <w:rPr>
                <w:rStyle w:val="Hipervnculo"/>
                <w:noProof/>
              </w:rPr>
              <w:t>C O N S I D E R A N D O S</w:t>
            </w:r>
            <w:r w:rsidR="00340B02">
              <w:rPr>
                <w:noProof/>
                <w:webHidden/>
              </w:rPr>
              <w:tab/>
            </w:r>
            <w:r w:rsidR="00340B02">
              <w:rPr>
                <w:noProof/>
                <w:webHidden/>
              </w:rPr>
              <w:fldChar w:fldCharType="begin"/>
            </w:r>
            <w:r w:rsidR="00340B02">
              <w:rPr>
                <w:noProof/>
                <w:webHidden/>
              </w:rPr>
              <w:instrText xml:space="preserve"> PAGEREF _Toc193981218 \h </w:instrText>
            </w:r>
            <w:r w:rsidR="00340B02">
              <w:rPr>
                <w:noProof/>
                <w:webHidden/>
              </w:rPr>
            </w:r>
            <w:r w:rsidR="00340B02">
              <w:rPr>
                <w:noProof/>
                <w:webHidden/>
              </w:rPr>
              <w:fldChar w:fldCharType="separate"/>
            </w:r>
            <w:r w:rsidR="0072316F">
              <w:rPr>
                <w:noProof/>
                <w:webHidden/>
              </w:rPr>
              <w:t>5</w:t>
            </w:r>
            <w:r w:rsidR="00340B02">
              <w:rPr>
                <w:noProof/>
                <w:webHidden/>
              </w:rPr>
              <w:fldChar w:fldCharType="end"/>
            </w:r>
          </w:hyperlink>
        </w:p>
        <w:p w14:paraId="0F6158A9" w14:textId="6535BB91" w:rsidR="00340B02" w:rsidRDefault="0081750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219" w:history="1">
            <w:r w:rsidR="00340B02" w:rsidRPr="00FA2B92">
              <w:rPr>
                <w:rStyle w:val="Hipervnculo"/>
                <w:noProof/>
              </w:rPr>
              <w:t>PRIMERO. Competencia</w:t>
            </w:r>
            <w:r w:rsidR="00340B02">
              <w:rPr>
                <w:noProof/>
                <w:webHidden/>
              </w:rPr>
              <w:tab/>
            </w:r>
            <w:r w:rsidR="00340B02">
              <w:rPr>
                <w:noProof/>
                <w:webHidden/>
              </w:rPr>
              <w:fldChar w:fldCharType="begin"/>
            </w:r>
            <w:r w:rsidR="00340B02">
              <w:rPr>
                <w:noProof/>
                <w:webHidden/>
              </w:rPr>
              <w:instrText xml:space="preserve"> PAGEREF _Toc193981219 \h </w:instrText>
            </w:r>
            <w:r w:rsidR="00340B02">
              <w:rPr>
                <w:noProof/>
                <w:webHidden/>
              </w:rPr>
            </w:r>
            <w:r w:rsidR="00340B02">
              <w:rPr>
                <w:noProof/>
                <w:webHidden/>
              </w:rPr>
              <w:fldChar w:fldCharType="separate"/>
            </w:r>
            <w:r w:rsidR="0072316F">
              <w:rPr>
                <w:noProof/>
                <w:webHidden/>
              </w:rPr>
              <w:t>5</w:t>
            </w:r>
            <w:r w:rsidR="00340B02">
              <w:rPr>
                <w:noProof/>
                <w:webHidden/>
              </w:rPr>
              <w:fldChar w:fldCharType="end"/>
            </w:r>
          </w:hyperlink>
        </w:p>
        <w:p w14:paraId="2492FD26" w14:textId="4E11C5C6" w:rsidR="00340B02" w:rsidRDefault="0081750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220" w:history="1">
            <w:r w:rsidR="00340B02" w:rsidRPr="00FA2B92">
              <w:rPr>
                <w:rStyle w:val="Hipervnculo"/>
                <w:noProof/>
              </w:rPr>
              <w:t>SEGUNDO. Causales de improcedencia y sobreseimiento</w:t>
            </w:r>
            <w:r w:rsidR="00340B02">
              <w:rPr>
                <w:noProof/>
                <w:webHidden/>
              </w:rPr>
              <w:tab/>
            </w:r>
            <w:r w:rsidR="00340B02">
              <w:rPr>
                <w:noProof/>
                <w:webHidden/>
              </w:rPr>
              <w:fldChar w:fldCharType="begin"/>
            </w:r>
            <w:r w:rsidR="00340B02">
              <w:rPr>
                <w:noProof/>
                <w:webHidden/>
              </w:rPr>
              <w:instrText xml:space="preserve"> PAGEREF _Toc193981220 \h </w:instrText>
            </w:r>
            <w:r w:rsidR="00340B02">
              <w:rPr>
                <w:noProof/>
                <w:webHidden/>
              </w:rPr>
            </w:r>
            <w:r w:rsidR="00340B02">
              <w:rPr>
                <w:noProof/>
                <w:webHidden/>
              </w:rPr>
              <w:fldChar w:fldCharType="separate"/>
            </w:r>
            <w:r w:rsidR="0072316F">
              <w:rPr>
                <w:noProof/>
                <w:webHidden/>
              </w:rPr>
              <w:t>6</w:t>
            </w:r>
            <w:r w:rsidR="00340B02">
              <w:rPr>
                <w:noProof/>
                <w:webHidden/>
              </w:rPr>
              <w:fldChar w:fldCharType="end"/>
            </w:r>
          </w:hyperlink>
        </w:p>
        <w:p w14:paraId="360665A9" w14:textId="74FEBCC2" w:rsidR="00340B02" w:rsidRDefault="0081750D">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221" w:history="1">
            <w:r w:rsidR="00340B02" w:rsidRPr="00FA2B92">
              <w:rPr>
                <w:rStyle w:val="Hipervnculo"/>
                <w:noProof/>
              </w:rPr>
              <w:t>TERCERO. Decisión</w:t>
            </w:r>
            <w:r w:rsidR="00340B02">
              <w:rPr>
                <w:noProof/>
                <w:webHidden/>
              </w:rPr>
              <w:tab/>
            </w:r>
            <w:r w:rsidR="00340B02">
              <w:rPr>
                <w:noProof/>
                <w:webHidden/>
              </w:rPr>
              <w:fldChar w:fldCharType="begin"/>
            </w:r>
            <w:r w:rsidR="00340B02">
              <w:rPr>
                <w:noProof/>
                <w:webHidden/>
              </w:rPr>
              <w:instrText xml:space="preserve"> PAGEREF _Toc193981221 \h </w:instrText>
            </w:r>
            <w:r w:rsidR="00340B02">
              <w:rPr>
                <w:noProof/>
                <w:webHidden/>
              </w:rPr>
            </w:r>
            <w:r w:rsidR="00340B02">
              <w:rPr>
                <w:noProof/>
                <w:webHidden/>
              </w:rPr>
              <w:fldChar w:fldCharType="separate"/>
            </w:r>
            <w:r w:rsidR="0072316F">
              <w:rPr>
                <w:noProof/>
                <w:webHidden/>
              </w:rPr>
              <w:t>14</w:t>
            </w:r>
            <w:r w:rsidR="00340B02">
              <w:rPr>
                <w:noProof/>
                <w:webHidden/>
              </w:rPr>
              <w:fldChar w:fldCharType="end"/>
            </w:r>
          </w:hyperlink>
        </w:p>
        <w:p w14:paraId="2E76C97B" w14:textId="47F8E365" w:rsidR="00340B02" w:rsidRDefault="0081750D">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222" w:history="1">
            <w:r w:rsidR="00340B02" w:rsidRPr="00FA2B92">
              <w:rPr>
                <w:rStyle w:val="Hipervnculo"/>
                <w:noProof/>
              </w:rPr>
              <w:t>R E S U E L V E</w:t>
            </w:r>
            <w:r w:rsidR="00340B02">
              <w:rPr>
                <w:noProof/>
                <w:webHidden/>
              </w:rPr>
              <w:tab/>
            </w:r>
            <w:r w:rsidR="00340B02">
              <w:rPr>
                <w:noProof/>
                <w:webHidden/>
              </w:rPr>
              <w:fldChar w:fldCharType="begin"/>
            </w:r>
            <w:r w:rsidR="00340B02">
              <w:rPr>
                <w:noProof/>
                <w:webHidden/>
              </w:rPr>
              <w:instrText xml:space="preserve"> PAGEREF _Toc193981222 \h </w:instrText>
            </w:r>
            <w:r w:rsidR="00340B02">
              <w:rPr>
                <w:noProof/>
                <w:webHidden/>
              </w:rPr>
            </w:r>
            <w:r w:rsidR="00340B02">
              <w:rPr>
                <w:noProof/>
                <w:webHidden/>
              </w:rPr>
              <w:fldChar w:fldCharType="separate"/>
            </w:r>
            <w:r w:rsidR="0072316F">
              <w:rPr>
                <w:noProof/>
                <w:webHidden/>
              </w:rPr>
              <w:t>15</w:t>
            </w:r>
            <w:r w:rsidR="00340B02">
              <w:rPr>
                <w:noProof/>
                <w:webHidden/>
              </w:rPr>
              <w:fldChar w:fldCharType="end"/>
            </w:r>
          </w:hyperlink>
        </w:p>
        <w:p w14:paraId="54D3B0C4" w14:textId="32387734" w:rsidR="00340B02" w:rsidRDefault="00340B02">
          <w:r>
            <w:rPr>
              <w:b/>
              <w:bCs/>
              <w:lang w:val="es-ES"/>
            </w:rPr>
            <w:fldChar w:fldCharType="end"/>
          </w:r>
        </w:p>
      </w:sdtContent>
    </w:sdt>
    <w:p w14:paraId="3044808A" w14:textId="2F47CB19" w:rsidR="00340B02" w:rsidRDefault="00340B02">
      <w:r>
        <w:br w:type="page"/>
      </w:r>
    </w:p>
    <w:p w14:paraId="70475838" w14:textId="77777777" w:rsidR="006D6D06" w:rsidRDefault="006D6D06">
      <w:pPr>
        <w:widowControl w:val="0"/>
        <w:pBdr>
          <w:top w:val="nil"/>
          <w:left w:val="nil"/>
          <w:bottom w:val="nil"/>
          <w:right w:val="nil"/>
          <w:between w:val="nil"/>
        </w:pBdr>
        <w:spacing w:after="0" w:line="276" w:lineRule="auto"/>
        <w:jc w:val="left"/>
      </w:pPr>
    </w:p>
    <w:p w14:paraId="509FA795" w14:textId="77777777" w:rsidR="006D6D06" w:rsidRDefault="00507303">
      <w:pPr>
        <w:spacing w:after="0" w:line="360" w:lineRule="auto"/>
      </w:pPr>
      <w:r>
        <w:t>Resolución del Pleno del Instituto de Transparencia, Acceso a la Información Pública y Protección de Datos Personales del Estado de México y Municipios, con domicilio en Metepec, Estado de México, de fecha veintiséis de marzo de dos mil veinticinco.</w:t>
      </w:r>
    </w:p>
    <w:p w14:paraId="17ECF020" w14:textId="77777777" w:rsidR="006D6D06" w:rsidRDefault="006D6D06">
      <w:pPr>
        <w:spacing w:after="0" w:line="360" w:lineRule="auto"/>
        <w:rPr>
          <w:b/>
        </w:rPr>
      </w:pPr>
    </w:p>
    <w:p w14:paraId="77C4ABCD" w14:textId="77777777" w:rsidR="006D6D06" w:rsidRDefault="00507303">
      <w:pPr>
        <w:spacing w:after="0" w:line="360" w:lineRule="auto"/>
      </w:pPr>
      <w:r>
        <w:rPr>
          <w:b/>
        </w:rPr>
        <w:t>VISTO</w:t>
      </w:r>
      <w:r>
        <w:t xml:space="preserve"> el expediente conformado con motivo del Recurso de Revisión </w:t>
      </w:r>
      <w:r>
        <w:rPr>
          <w:b/>
        </w:rPr>
        <w:t>01356/INFOEM/IP/RR/2025</w:t>
      </w:r>
      <w:r>
        <w:t>, interpuesto por</w:t>
      </w:r>
      <w:r>
        <w:rPr>
          <w:b/>
        </w:rPr>
        <w:t xml:space="preserve"> el Particular</w:t>
      </w:r>
      <w:r>
        <w:t xml:space="preserve">, en adelante, la persona Recurrente o Particular, en contra de la respuesta del Sujeto Obligado, </w:t>
      </w:r>
      <w:r>
        <w:rPr>
          <w:b/>
        </w:rPr>
        <w:t>Ayuntamiento de Toluca</w:t>
      </w:r>
      <w:r>
        <w:t>, se emite la presente Resolución, con base en los antecedentes y considerandos que se exponen a continuación:</w:t>
      </w:r>
    </w:p>
    <w:p w14:paraId="4EFFCFCF" w14:textId="77777777" w:rsidR="006D6D06" w:rsidRDefault="006D6D06">
      <w:pPr>
        <w:spacing w:after="0" w:line="360" w:lineRule="auto"/>
      </w:pPr>
    </w:p>
    <w:p w14:paraId="46D40740" w14:textId="77777777" w:rsidR="006D6D06" w:rsidRDefault="00507303">
      <w:pPr>
        <w:pStyle w:val="Ttulo1"/>
        <w:spacing w:before="0" w:after="0"/>
        <w:rPr>
          <w:sz w:val="22"/>
          <w:szCs w:val="22"/>
        </w:rPr>
      </w:pPr>
      <w:bookmarkStart w:id="0" w:name="_heading=h.2s8eyo1" w:colFirst="0" w:colLast="0"/>
      <w:bookmarkStart w:id="1" w:name="_Toc193981213"/>
      <w:bookmarkEnd w:id="0"/>
      <w:r>
        <w:rPr>
          <w:sz w:val="22"/>
          <w:szCs w:val="22"/>
        </w:rPr>
        <w:t>A N T E C E D E N T E S</w:t>
      </w:r>
      <w:bookmarkEnd w:id="1"/>
    </w:p>
    <w:p w14:paraId="4F26EDED" w14:textId="77777777" w:rsidR="006D6D06" w:rsidRDefault="006D6D06">
      <w:pPr>
        <w:spacing w:after="0" w:line="360" w:lineRule="auto"/>
      </w:pPr>
      <w:bookmarkStart w:id="2" w:name="_heading=h.gjdgxs" w:colFirst="0" w:colLast="0"/>
      <w:bookmarkEnd w:id="2"/>
    </w:p>
    <w:p w14:paraId="23828879" w14:textId="77777777" w:rsidR="006D6D06" w:rsidRDefault="00507303">
      <w:pPr>
        <w:pStyle w:val="Ttulo2"/>
        <w:spacing w:before="0" w:after="0"/>
      </w:pPr>
      <w:bookmarkStart w:id="3" w:name="_heading=h.35nkun2" w:colFirst="0" w:colLast="0"/>
      <w:bookmarkStart w:id="4" w:name="_Toc193981214"/>
      <w:bookmarkEnd w:id="3"/>
      <w:r>
        <w:t>I. Presentación de la solicitud de información</w:t>
      </w:r>
      <w:bookmarkEnd w:id="4"/>
    </w:p>
    <w:p w14:paraId="61BA4898" w14:textId="77777777" w:rsidR="006D6D06" w:rsidRDefault="006D6D06">
      <w:pPr>
        <w:tabs>
          <w:tab w:val="left" w:pos="567"/>
        </w:tabs>
        <w:spacing w:after="0" w:line="360" w:lineRule="auto"/>
      </w:pPr>
    </w:p>
    <w:p w14:paraId="427FE9BA" w14:textId="77777777" w:rsidR="006D6D06" w:rsidRDefault="00507303">
      <w:pPr>
        <w:spacing w:after="0" w:line="360" w:lineRule="auto"/>
        <w:rPr>
          <w:color w:val="000000"/>
        </w:rPr>
      </w:pPr>
      <w:r>
        <w:t xml:space="preserve">Con fecha quince de enero de dos mil veinticinco, </w:t>
      </w:r>
      <w:r>
        <w:rPr>
          <w:color w:val="000000"/>
        </w:rPr>
        <w:t>la Solicitante presentó una solicitud de acceso a la información pública,</w:t>
      </w:r>
      <w:r>
        <w:t xml:space="preserve"> a través del</w:t>
      </w:r>
      <w:r>
        <w:rPr>
          <w:color w:val="000000"/>
        </w:rPr>
        <w:t xml:space="preserve"> Sistema de Acceso a la Información Mexiquense, en lo sucesivo el SAIMEX, ante el </w:t>
      </w:r>
      <w:r>
        <w:rPr>
          <w:b/>
        </w:rPr>
        <w:t>Ayuntamiento de Toluca</w:t>
      </w:r>
      <w:r>
        <w:rPr>
          <w:color w:val="000000"/>
        </w:rPr>
        <w:t>, en la que requirió lo siguiente:</w:t>
      </w:r>
    </w:p>
    <w:p w14:paraId="40365DBC" w14:textId="77777777" w:rsidR="006D6D06" w:rsidRDefault="006D6D06">
      <w:pPr>
        <w:spacing w:after="0" w:line="360" w:lineRule="auto"/>
        <w:rPr>
          <w:color w:val="000000"/>
        </w:rPr>
      </w:pPr>
    </w:p>
    <w:p w14:paraId="00B6D4FC" w14:textId="77777777" w:rsidR="006D6D06" w:rsidRDefault="00507303">
      <w:pPr>
        <w:tabs>
          <w:tab w:val="left" w:pos="567"/>
        </w:tabs>
        <w:spacing w:after="0" w:line="360" w:lineRule="auto"/>
        <w:ind w:left="567" w:right="709"/>
        <w:rPr>
          <w:b/>
          <w:sz w:val="20"/>
          <w:szCs w:val="20"/>
        </w:rPr>
      </w:pPr>
      <w:r>
        <w:rPr>
          <w:b/>
          <w:sz w:val="20"/>
          <w:szCs w:val="20"/>
        </w:rPr>
        <w:t>Folio de la solicitud: 00280/TOLUCA/IP/2025</w:t>
      </w:r>
    </w:p>
    <w:p w14:paraId="0115794E" w14:textId="77777777" w:rsidR="006D6D06" w:rsidRDefault="00507303">
      <w:pPr>
        <w:tabs>
          <w:tab w:val="left" w:pos="567"/>
        </w:tabs>
        <w:spacing w:after="0" w:line="360" w:lineRule="auto"/>
        <w:ind w:left="567" w:right="709"/>
        <w:rPr>
          <w:b/>
          <w:sz w:val="20"/>
          <w:szCs w:val="20"/>
        </w:rPr>
      </w:pPr>
      <w:r>
        <w:rPr>
          <w:b/>
          <w:sz w:val="20"/>
          <w:szCs w:val="20"/>
        </w:rPr>
        <w:t>DESCRIPCIÓN CLARA Y PRECISA DE LA INFORMACIÓN SOLICITADA</w:t>
      </w:r>
    </w:p>
    <w:p w14:paraId="2FDB49D4" w14:textId="77777777" w:rsidR="006D6D06" w:rsidRDefault="00507303">
      <w:pPr>
        <w:tabs>
          <w:tab w:val="left" w:pos="4667"/>
        </w:tabs>
        <w:spacing w:after="0" w:line="360" w:lineRule="auto"/>
        <w:ind w:left="567" w:right="709"/>
        <w:rPr>
          <w:i/>
          <w:sz w:val="20"/>
          <w:szCs w:val="20"/>
        </w:rPr>
      </w:pPr>
      <w:r>
        <w:rPr>
          <w:i/>
          <w:sz w:val="20"/>
          <w:szCs w:val="20"/>
        </w:rPr>
        <w:t>“SOLICITO TODA SU INFORMACIÓN PÚBLICA DE OFICIO EN EXEL DEL AÑO 2022”  (Sic).</w:t>
      </w:r>
    </w:p>
    <w:p w14:paraId="0AAC1A9A" w14:textId="77777777" w:rsidR="006D6D06" w:rsidRDefault="006D6D06">
      <w:pPr>
        <w:tabs>
          <w:tab w:val="left" w:pos="4667"/>
        </w:tabs>
        <w:spacing w:after="0" w:line="360" w:lineRule="auto"/>
        <w:ind w:left="567" w:right="709"/>
        <w:rPr>
          <w:b/>
          <w:sz w:val="20"/>
          <w:szCs w:val="20"/>
        </w:rPr>
      </w:pPr>
    </w:p>
    <w:p w14:paraId="07854334" w14:textId="77777777" w:rsidR="006D6D06" w:rsidRDefault="00507303">
      <w:pPr>
        <w:tabs>
          <w:tab w:val="left" w:pos="4667"/>
        </w:tabs>
        <w:spacing w:after="0" w:line="360" w:lineRule="auto"/>
        <w:ind w:left="567" w:right="709"/>
        <w:rPr>
          <w:b/>
          <w:sz w:val="20"/>
          <w:szCs w:val="20"/>
        </w:rPr>
      </w:pPr>
      <w:r>
        <w:rPr>
          <w:b/>
          <w:sz w:val="20"/>
          <w:szCs w:val="20"/>
        </w:rPr>
        <w:t xml:space="preserve">MODALIDAD DE ENTREGA </w:t>
      </w:r>
      <w:r>
        <w:rPr>
          <w:i/>
          <w:sz w:val="20"/>
          <w:szCs w:val="20"/>
        </w:rPr>
        <w:t>A través del SAIMEX.</w:t>
      </w:r>
    </w:p>
    <w:p w14:paraId="1E6FD508" w14:textId="77777777" w:rsidR="006D6D06" w:rsidRDefault="006D6D06">
      <w:pPr>
        <w:tabs>
          <w:tab w:val="left" w:pos="4667"/>
        </w:tabs>
        <w:spacing w:after="0" w:line="360" w:lineRule="auto"/>
        <w:ind w:left="567" w:right="709"/>
        <w:rPr>
          <w:i/>
        </w:rPr>
      </w:pPr>
    </w:p>
    <w:p w14:paraId="434C5967" w14:textId="77777777" w:rsidR="006D6D06" w:rsidRDefault="00507303">
      <w:pPr>
        <w:pStyle w:val="Ttulo2"/>
        <w:spacing w:before="0" w:after="0"/>
      </w:pPr>
      <w:bookmarkStart w:id="5" w:name="_heading=h.1ksv4uv" w:colFirst="0" w:colLast="0"/>
      <w:bookmarkStart w:id="6" w:name="_Toc193981215"/>
      <w:bookmarkEnd w:id="5"/>
      <w:r>
        <w:lastRenderedPageBreak/>
        <w:t>II. Respuesta del Sujeto Obligado</w:t>
      </w:r>
      <w:bookmarkEnd w:id="6"/>
    </w:p>
    <w:p w14:paraId="630E9D2B" w14:textId="77777777" w:rsidR="006D6D06" w:rsidRDefault="006D6D06">
      <w:pPr>
        <w:spacing w:after="0" w:line="360" w:lineRule="auto"/>
      </w:pPr>
    </w:p>
    <w:p w14:paraId="42B06D90" w14:textId="77777777" w:rsidR="006D6D06" w:rsidRDefault="00507303">
      <w:pPr>
        <w:spacing w:after="0" w:line="360" w:lineRule="auto"/>
      </w:pPr>
      <w:r>
        <w:t>El seis de febrero de dos mil veinticinco, el Sujeto Obligado otorgó respuesta a través del SAIMEX, mediante un oficio suscrito por el Titular de la Unidad de Transparencia en el que señaló que la información solicitada puede ser consultada en el IPOMEX y proporcionó una liga en formato cerrado.</w:t>
      </w:r>
    </w:p>
    <w:p w14:paraId="0567F938" w14:textId="77777777" w:rsidR="006D6D06" w:rsidRDefault="006D6D06">
      <w:pPr>
        <w:spacing w:after="0" w:line="360" w:lineRule="auto"/>
        <w:rPr>
          <w:i/>
        </w:rPr>
      </w:pPr>
    </w:p>
    <w:p w14:paraId="00D08CE6" w14:textId="77777777" w:rsidR="006D6D06" w:rsidRDefault="00507303">
      <w:pPr>
        <w:pStyle w:val="Ttulo2"/>
        <w:spacing w:before="0" w:after="0"/>
      </w:pPr>
      <w:bookmarkStart w:id="7" w:name="_heading=h.44sinio" w:colFirst="0" w:colLast="0"/>
      <w:bookmarkStart w:id="8" w:name="_Toc193981216"/>
      <w:bookmarkEnd w:id="7"/>
      <w:r>
        <w:t>III. Interposición del Recurso de Revisión</w:t>
      </w:r>
      <w:bookmarkEnd w:id="8"/>
    </w:p>
    <w:p w14:paraId="5BBA05D5" w14:textId="77777777" w:rsidR="006D6D06" w:rsidRDefault="006D6D06">
      <w:pPr>
        <w:spacing w:after="0" w:line="360" w:lineRule="auto"/>
        <w:rPr>
          <w:b/>
        </w:rPr>
      </w:pPr>
    </w:p>
    <w:p w14:paraId="0A7E91A7" w14:textId="77777777" w:rsidR="006D6D06" w:rsidRDefault="00507303">
      <w:pPr>
        <w:spacing w:after="0" w:line="360" w:lineRule="auto"/>
      </w:pPr>
      <w:bookmarkStart w:id="9" w:name="_heading=h.2et92p0" w:colFirst="0" w:colLast="0"/>
      <w:bookmarkEnd w:id="9"/>
      <w:r>
        <w:t>Con trece de febrero de dos mil veinticinco, se recibió en este Instituto, a través del SAIMEX, el Recurso de Revisión interpuesto por la persona Recurrente, en los siguientes términos:</w:t>
      </w:r>
    </w:p>
    <w:p w14:paraId="34A6675F" w14:textId="77777777" w:rsidR="006D6D06" w:rsidRDefault="006D6D06">
      <w:pPr>
        <w:spacing w:after="0" w:line="360" w:lineRule="auto"/>
      </w:pPr>
    </w:p>
    <w:p w14:paraId="6ED867B9" w14:textId="77777777" w:rsidR="006D6D06" w:rsidRDefault="00507303">
      <w:pPr>
        <w:spacing w:after="0" w:line="360" w:lineRule="auto"/>
        <w:ind w:left="567" w:right="709"/>
        <w:rPr>
          <w:b/>
          <w:sz w:val="20"/>
          <w:szCs w:val="20"/>
        </w:rPr>
      </w:pPr>
      <w:r>
        <w:rPr>
          <w:b/>
          <w:sz w:val="20"/>
          <w:szCs w:val="20"/>
        </w:rPr>
        <w:t>ACTO IMPUGNADO</w:t>
      </w:r>
      <w:r>
        <w:rPr>
          <w:b/>
          <w:sz w:val="20"/>
          <w:szCs w:val="20"/>
        </w:rPr>
        <w:tab/>
      </w:r>
    </w:p>
    <w:p w14:paraId="7F101798" w14:textId="77777777" w:rsidR="006D6D06" w:rsidRDefault="00507303">
      <w:pPr>
        <w:spacing w:after="0" w:line="360" w:lineRule="auto"/>
        <w:ind w:left="567" w:right="709"/>
        <w:rPr>
          <w:i/>
          <w:sz w:val="20"/>
          <w:szCs w:val="20"/>
        </w:rPr>
      </w:pPr>
      <w:r>
        <w:rPr>
          <w:i/>
          <w:sz w:val="20"/>
          <w:szCs w:val="20"/>
        </w:rPr>
        <w:t xml:space="preserve">“Lo que contesto la unidad de transparencia dan una liga después de dilatar 15 días y al final no abre aun así se </w:t>
      </w:r>
      <w:proofErr w:type="spellStart"/>
      <w:r>
        <w:rPr>
          <w:i/>
          <w:sz w:val="20"/>
          <w:szCs w:val="20"/>
        </w:rPr>
        <w:t>solicito</w:t>
      </w:r>
      <w:proofErr w:type="spellEnd"/>
      <w:r>
        <w:rPr>
          <w:i/>
          <w:sz w:val="20"/>
          <w:szCs w:val="20"/>
        </w:rPr>
        <w:t xml:space="preserve"> por </w:t>
      </w:r>
      <w:proofErr w:type="spellStart"/>
      <w:r>
        <w:rPr>
          <w:i/>
          <w:sz w:val="20"/>
          <w:szCs w:val="20"/>
        </w:rPr>
        <w:t>saimex</w:t>
      </w:r>
      <w:proofErr w:type="spellEnd"/>
      <w:r>
        <w:rPr>
          <w:i/>
          <w:sz w:val="20"/>
          <w:szCs w:val="20"/>
        </w:rPr>
        <w:t>” (Sic).</w:t>
      </w:r>
    </w:p>
    <w:p w14:paraId="276617EF" w14:textId="77777777" w:rsidR="006D6D06" w:rsidRDefault="006D6D06">
      <w:pPr>
        <w:spacing w:after="0" w:line="360" w:lineRule="auto"/>
        <w:ind w:left="567" w:right="709"/>
        <w:rPr>
          <w:sz w:val="20"/>
          <w:szCs w:val="20"/>
        </w:rPr>
      </w:pPr>
    </w:p>
    <w:p w14:paraId="12B0ED17" w14:textId="77777777" w:rsidR="006D6D06" w:rsidRDefault="00507303">
      <w:pPr>
        <w:spacing w:after="0" w:line="360" w:lineRule="auto"/>
        <w:ind w:left="567" w:right="709"/>
        <w:rPr>
          <w:b/>
          <w:sz w:val="20"/>
          <w:szCs w:val="20"/>
        </w:rPr>
      </w:pPr>
      <w:r>
        <w:rPr>
          <w:b/>
          <w:sz w:val="20"/>
          <w:szCs w:val="20"/>
        </w:rPr>
        <w:t>RAZONES O MOTIVOS DE LA INCONFORMIDAD</w:t>
      </w:r>
      <w:r>
        <w:rPr>
          <w:b/>
          <w:sz w:val="20"/>
          <w:szCs w:val="20"/>
        </w:rPr>
        <w:tab/>
      </w:r>
    </w:p>
    <w:p w14:paraId="288446DA" w14:textId="77777777" w:rsidR="006D6D06" w:rsidRDefault="00507303">
      <w:pPr>
        <w:tabs>
          <w:tab w:val="left" w:pos="4667"/>
        </w:tabs>
        <w:spacing w:after="0" w:line="360" w:lineRule="auto"/>
        <w:ind w:left="567" w:right="709"/>
        <w:rPr>
          <w:i/>
          <w:sz w:val="20"/>
          <w:szCs w:val="20"/>
        </w:rPr>
      </w:pPr>
      <w:r>
        <w:rPr>
          <w:i/>
          <w:sz w:val="20"/>
          <w:szCs w:val="20"/>
        </w:rPr>
        <w:t xml:space="preserve">“Se </w:t>
      </w:r>
      <w:proofErr w:type="spellStart"/>
      <w:r>
        <w:rPr>
          <w:i/>
          <w:sz w:val="20"/>
          <w:szCs w:val="20"/>
        </w:rPr>
        <w:t>solicito</w:t>
      </w:r>
      <w:proofErr w:type="spellEnd"/>
      <w:r>
        <w:rPr>
          <w:i/>
          <w:sz w:val="20"/>
          <w:szCs w:val="20"/>
        </w:rPr>
        <w:t xml:space="preserve"> por </w:t>
      </w:r>
      <w:proofErr w:type="spellStart"/>
      <w:r>
        <w:rPr>
          <w:i/>
          <w:sz w:val="20"/>
          <w:szCs w:val="20"/>
        </w:rPr>
        <w:t>saimex</w:t>
      </w:r>
      <w:proofErr w:type="spellEnd"/>
      <w:r>
        <w:rPr>
          <w:i/>
          <w:sz w:val="20"/>
          <w:szCs w:val="20"/>
        </w:rPr>
        <w:t xml:space="preserve"> y dan una liga que no abre” (Sic).</w:t>
      </w:r>
    </w:p>
    <w:p w14:paraId="759ED536" w14:textId="77777777" w:rsidR="006D6D06" w:rsidRDefault="006D6D06">
      <w:pPr>
        <w:tabs>
          <w:tab w:val="left" w:pos="4667"/>
        </w:tabs>
        <w:spacing w:after="0" w:line="360" w:lineRule="auto"/>
      </w:pPr>
    </w:p>
    <w:p w14:paraId="69666569" w14:textId="77777777" w:rsidR="006D6D06" w:rsidRDefault="00507303">
      <w:pPr>
        <w:pStyle w:val="Ttulo2"/>
        <w:spacing w:before="0" w:after="0"/>
      </w:pPr>
      <w:bookmarkStart w:id="10" w:name="_heading=h.2jxsxqh" w:colFirst="0" w:colLast="0"/>
      <w:bookmarkStart w:id="11" w:name="_Toc193981217"/>
      <w:bookmarkEnd w:id="10"/>
      <w:r>
        <w:t>IV. Trámite del Recurso de Revisión ante este Instituto</w:t>
      </w:r>
      <w:bookmarkEnd w:id="11"/>
    </w:p>
    <w:p w14:paraId="184D6376" w14:textId="77777777" w:rsidR="006D6D06" w:rsidRDefault="006D6D06">
      <w:pPr>
        <w:spacing w:after="0" w:line="360" w:lineRule="auto"/>
        <w:rPr>
          <w:b/>
        </w:rPr>
      </w:pPr>
    </w:p>
    <w:p w14:paraId="6BED5213" w14:textId="77777777" w:rsidR="006D6D06" w:rsidRDefault="00507303">
      <w:pPr>
        <w:spacing w:after="0" w:line="360" w:lineRule="auto"/>
        <w:rPr>
          <w:color w:val="000000"/>
        </w:rPr>
      </w:pPr>
      <w:r>
        <w:rPr>
          <w:b/>
        </w:rPr>
        <w:t>a) Turno del Medio de Impugnación.</w:t>
      </w:r>
      <w:r>
        <w:t xml:space="preserve"> </w:t>
      </w:r>
      <w:r>
        <w:rPr>
          <w:color w:val="000000"/>
        </w:rPr>
        <w:t>El trece de febrero de dos mil veinticinco, el SAIMEX, asignó el número de expediente</w:t>
      </w:r>
      <w:r>
        <w:rPr>
          <w:b/>
          <w:color w:val="000000"/>
        </w:rPr>
        <w:t xml:space="preserve"> 01356/INFOEM/IP/RR/2025,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0A728330" w14:textId="77777777" w:rsidR="006D6D06" w:rsidRDefault="006D6D06">
      <w:pPr>
        <w:spacing w:after="0" w:line="360" w:lineRule="auto"/>
      </w:pPr>
    </w:p>
    <w:p w14:paraId="661F8BA5" w14:textId="77777777" w:rsidR="006D6D06" w:rsidRDefault="00507303">
      <w:pPr>
        <w:spacing w:after="0" w:line="360" w:lineRule="auto"/>
        <w:rPr>
          <w:color w:val="000000"/>
        </w:rPr>
      </w:pPr>
      <w:r>
        <w:rPr>
          <w:b/>
        </w:rPr>
        <w:t>b) Admisión del Recurso de Revisión.</w:t>
      </w:r>
      <w:r>
        <w:t xml:space="preserve"> </w:t>
      </w:r>
      <w:r>
        <w:rPr>
          <w:color w:val="000000"/>
        </w:rPr>
        <w:t xml:space="preserve">El </w:t>
      </w:r>
      <w:r>
        <w:t>dieciocho de febrero de dos mil veinticinco</w:t>
      </w:r>
      <w:r>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t>manifestara</w:t>
      </w:r>
      <w:r>
        <w:rPr>
          <w:color w:val="000000"/>
        </w:rPr>
        <w:t xml:space="preserve"> lo que a su derecho conviniera y formularan alegatos.</w:t>
      </w:r>
    </w:p>
    <w:p w14:paraId="633D3685" w14:textId="77777777" w:rsidR="006D6D06" w:rsidRDefault="006D6D06">
      <w:pPr>
        <w:spacing w:after="0" w:line="360" w:lineRule="auto"/>
        <w:rPr>
          <w:color w:val="000000"/>
        </w:rPr>
      </w:pPr>
    </w:p>
    <w:p w14:paraId="3E6176A4" w14:textId="77777777" w:rsidR="006D6D06" w:rsidRDefault="00507303">
      <w:pPr>
        <w:spacing w:after="0" w:line="360" w:lineRule="auto"/>
        <w:rPr>
          <w:color w:val="000000"/>
        </w:rPr>
      </w:pPr>
      <w:r>
        <w:rPr>
          <w:b/>
          <w:color w:val="000000"/>
        </w:rPr>
        <w:t xml:space="preserve">c) Informe Justificado. </w:t>
      </w:r>
      <w:r>
        <w:rPr>
          <w:color w:val="000000"/>
        </w:rPr>
        <w:t>En fechas veinte de febrero y diecinueve de marzo de dos mil veinticinco se recibió, a través de SAIMEX, el informe justificado del Sujeto Obligado en los siguientes términos:</w:t>
      </w:r>
    </w:p>
    <w:p w14:paraId="3C1141C1" w14:textId="77777777" w:rsidR="006D6D06" w:rsidRDefault="00507303">
      <w:pPr>
        <w:numPr>
          <w:ilvl w:val="0"/>
          <w:numId w:val="4"/>
        </w:numPr>
        <w:pBdr>
          <w:top w:val="nil"/>
          <w:left w:val="nil"/>
          <w:bottom w:val="nil"/>
          <w:right w:val="nil"/>
          <w:between w:val="nil"/>
        </w:pBdr>
        <w:spacing w:after="0" w:line="360" w:lineRule="auto"/>
        <w:rPr>
          <w:color w:val="000000"/>
        </w:rPr>
      </w:pPr>
      <w:r>
        <w:rPr>
          <w:color w:val="000000"/>
        </w:rPr>
        <w:t xml:space="preserve">Oficio suscrito por la Titular de la Unidad de Transparencia, en el que rindió informe justificado y medularmente ratificó la respuesta inicial, además señaló que la liga proporcionada sí remite al IPOMEX 3.0, que turnó y se pronunció el área competente y señaló que la parte Recurrente dudó de la veracidad de la información. </w:t>
      </w:r>
    </w:p>
    <w:p w14:paraId="7D144A39" w14:textId="77777777" w:rsidR="006D6D06" w:rsidRDefault="00507303">
      <w:pPr>
        <w:numPr>
          <w:ilvl w:val="0"/>
          <w:numId w:val="4"/>
        </w:numPr>
        <w:pBdr>
          <w:top w:val="nil"/>
          <w:left w:val="nil"/>
          <w:bottom w:val="nil"/>
          <w:right w:val="nil"/>
          <w:between w:val="nil"/>
        </w:pBdr>
        <w:spacing w:after="0" w:line="360" w:lineRule="auto"/>
        <w:rPr>
          <w:color w:val="000000"/>
        </w:rPr>
      </w:pPr>
      <w:r>
        <w:rPr>
          <w:color w:val="000000"/>
        </w:rPr>
        <w:t>Oficio suscrito por la Titular de la Unidad de Transparencia del Sujeto Obligado en el que señaló una liga en datos abiertos, además indicó las instrucciones para la consultar y descargar la información pública que obra en el IPOMEX del año 2022.</w:t>
      </w:r>
    </w:p>
    <w:p w14:paraId="0E7066FE" w14:textId="77777777" w:rsidR="006D6D06" w:rsidRDefault="006D6D06">
      <w:pPr>
        <w:pBdr>
          <w:top w:val="nil"/>
          <w:left w:val="nil"/>
          <w:bottom w:val="nil"/>
          <w:right w:val="nil"/>
          <w:between w:val="nil"/>
        </w:pBdr>
        <w:spacing w:after="0" w:line="360" w:lineRule="auto"/>
        <w:rPr>
          <w:color w:val="000000"/>
        </w:rPr>
      </w:pPr>
    </w:p>
    <w:p w14:paraId="092BE289" w14:textId="77777777" w:rsidR="006D6D06" w:rsidRDefault="00507303">
      <w:pPr>
        <w:pBdr>
          <w:top w:val="nil"/>
          <w:left w:val="nil"/>
          <w:bottom w:val="nil"/>
          <w:right w:val="nil"/>
          <w:between w:val="nil"/>
        </w:pBdr>
        <w:spacing w:after="0" w:line="360" w:lineRule="auto"/>
        <w:rPr>
          <w:color w:val="000000"/>
        </w:rPr>
      </w:pPr>
      <w:r>
        <w:rPr>
          <w:b/>
          <w:color w:val="000000"/>
        </w:rPr>
        <w:t xml:space="preserve">d) Vista del Informe Justificado. </w:t>
      </w:r>
      <w:r>
        <w:rPr>
          <w:color w:val="000000"/>
        </w:rPr>
        <w:t xml:space="preserve">El diecinueve de marzo de dos mil veinticinco, se dictó acuerdo por medio del cual se puso a la vista de la persona Recurrente los documentos que fueron remitidos como Informe Justificado por el Sujeto Obligado, el cual fue notificado a las partes, el mismo día, a través del SAIMEX. </w:t>
      </w:r>
    </w:p>
    <w:p w14:paraId="739E6773" w14:textId="77777777" w:rsidR="006D6D06" w:rsidRDefault="006D6D06">
      <w:pPr>
        <w:pBdr>
          <w:top w:val="nil"/>
          <w:left w:val="nil"/>
          <w:bottom w:val="nil"/>
          <w:right w:val="nil"/>
          <w:between w:val="nil"/>
        </w:pBdr>
        <w:spacing w:after="0" w:line="360" w:lineRule="auto"/>
        <w:rPr>
          <w:color w:val="000000"/>
        </w:rPr>
      </w:pPr>
    </w:p>
    <w:p w14:paraId="1EF3A422" w14:textId="77777777" w:rsidR="006D6D06" w:rsidRDefault="00507303">
      <w:pPr>
        <w:spacing w:after="0" w:line="360" w:lineRule="auto"/>
        <w:rPr>
          <w:color w:val="000000"/>
        </w:rPr>
      </w:pPr>
      <w:r>
        <w:rPr>
          <w:b/>
          <w:color w:val="000000"/>
        </w:rPr>
        <w:t>e) Manifestaciones de la parte Recurrente.</w:t>
      </w:r>
      <w:r>
        <w:rPr>
          <w:color w:val="000000"/>
        </w:rPr>
        <w:t xml:space="preserve"> De las constancias que obran en el expediente digital en SAIMEX, se aprecia que la parte Recurrente no añadió manifestaciones. </w:t>
      </w:r>
    </w:p>
    <w:p w14:paraId="03EC81D9" w14:textId="77777777" w:rsidR="006D6D06" w:rsidRDefault="006D6D06">
      <w:pPr>
        <w:spacing w:after="0" w:line="360" w:lineRule="auto"/>
        <w:rPr>
          <w:color w:val="000000"/>
        </w:rPr>
      </w:pPr>
    </w:p>
    <w:p w14:paraId="233E1EFA" w14:textId="77777777" w:rsidR="006D6D06" w:rsidRDefault="00507303">
      <w:pPr>
        <w:spacing w:after="0" w:line="360" w:lineRule="auto"/>
        <w:rPr>
          <w:b/>
        </w:rPr>
      </w:pPr>
      <w:r>
        <w:rPr>
          <w:b/>
        </w:rPr>
        <w:t>f) Cierre de instrucción.</w:t>
      </w:r>
      <w:r>
        <w:t xml:space="preserve"> El veinticinco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14:paraId="213718B1" w14:textId="77777777" w:rsidR="006D6D06" w:rsidRDefault="006D6D06">
      <w:pPr>
        <w:spacing w:after="0" w:line="360" w:lineRule="auto"/>
      </w:pPr>
    </w:p>
    <w:p w14:paraId="59BAF6CC" w14:textId="77777777" w:rsidR="006D6D06" w:rsidRDefault="00507303">
      <w:pPr>
        <w:spacing w:after="0" w:line="360" w:lineRule="auto"/>
      </w:pPr>
      <w:r>
        <w:t xml:space="preserve">En razón de que fue debidamente sustanciado e integrado el expediente electrónico y no existir diligencia pendiente de desahogo, se emite la resolución que conforme a Derecho proceda, de acuerdo a los siguientes: </w:t>
      </w:r>
    </w:p>
    <w:p w14:paraId="749AC84C" w14:textId="77777777" w:rsidR="006D6D06" w:rsidRDefault="006D6D06">
      <w:pPr>
        <w:spacing w:after="0" w:line="360" w:lineRule="auto"/>
      </w:pPr>
    </w:p>
    <w:p w14:paraId="710303CB" w14:textId="77777777" w:rsidR="006D6D06" w:rsidRDefault="006D6D06">
      <w:pPr>
        <w:spacing w:after="0" w:line="360" w:lineRule="auto"/>
      </w:pPr>
    </w:p>
    <w:p w14:paraId="1BB56A13" w14:textId="77777777" w:rsidR="006D6D06" w:rsidRDefault="00507303">
      <w:pPr>
        <w:pStyle w:val="Ttulo1"/>
        <w:spacing w:before="0" w:after="0"/>
        <w:rPr>
          <w:sz w:val="22"/>
          <w:szCs w:val="22"/>
        </w:rPr>
      </w:pPr>
      <w:bookmarkStart w:id="12" w:name="_heading=h.z337ya" w:colFirst="0" w:colLast="0"/>
      <w:bookmarkStart w:id="13" w:name="_Toc193981218"/>
      <w:bookmarkEnd w:id="12"/>
      <w:r>
        <w:rPr>
          <w:sz w:val="22"/>
          <w:szCs w:val="22"/>
        </w:rPr>
        <w:t>C O N S I D E R A N D O S</w:t>
      </w:r>
      <w:bookmarkEnd w:id="13"/>
    </w:p>
    <w:p w14:paraId="19B320F7" w14:textId="77777777" w:rsidR="006D6D06" w:rsidRDefault="006D6D06">
      <w:pPr>
        <w:spacing w:after="0" w:line="360" w:lineRule="auto"/>
        <w:rPr>
          <w:b/>
        </w:rPr>
      </w:pPr>
    </w:p>
    <w:p w14:paraId="080450D7" w14:textId="77777777" w:rsidR="006D6D06" w:rsidRDefault="00507303">
      <w:pPr>
        <w:pStyle w:val="Ttulo2"/>
        <w:spacing w:before="0" w:after="0"/>
      </w:pPr>
      <w:bookmarkStart w:id="14" w:name="_heading=h.3j2qqm3" w:colFirst="0" w:colLast="0"/>
      <w:bookmarkStart w:id="15" w:name="_Toc193981219"/>
      <w:bookmarkEnd w:id="14"/>
      <w:r>
        <w:t>PRIMERO. Competencia</w:t>
      </w:r>
      <w:bookmarkEnd w:id="15"/>
    </w:p>
    <w:p w14:paraId="289E08EC" w14:textId="77777777" w:rsidR="006D6D06" w:rsidRDefault="006D6D06">
      <w:pPr>
        <w:spacing w:after="0" w:line="360" w:lineRule="auto"/>
        <w:rPr>
          <w:b/>
        </w:rPr>
      </w:pPr>
    </w:p>
    <w:p w14:paraId="51C8FDC8" w14:textId="54AD18E4" w:rsidR="006D6D06" w:rsidRDefault="00B5632F" w:rsidP="00B5632F">
      <w:pPr>
        <w:spacing w:after="0" w:line="360" w:lineRule="auto"/>
      </w:pPr>
      <w: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6BCB667" w14:textId="68545F9D" w:rsidR="006D6D06" w:rsidRDefault="00507303">
      <w:pPr>
        <w:pStyle w:val="Ttulo2"/>
        <w:rPr>
          <w:color w:val="000000"/>
        </w:rPr>
      </w:pPr>
      <w:bookmarkStart w:id="16" w:name="_Toc193981220"/>
      <w:r>
        <w:rPr>
          <w:color w:val="000000"/>
        </w:rPr>
        <w:lastRenderedPageBreak/>
        <w:t>SEGUNDO. Causales de improcedencia y sobreseimiento</w:t>
      </w:r>
      <w:bookmarkEnd w:id="16"/>
    </w:p>
    <w:p w14:paraId="30AE519B" w14:textId="77777777" w:rsidR="006D6D06" w:rsidRDefault="006D6D06">
      <w:pPr>
        <w:spacing w:after="0" w:line="360" w:lineRule="auto"/>
        <w:rPr>
          <w:b/>
          <w:color w:val="000000"/>
        </w:rPr>
      </w:pPr>
    </w:p>
    <w:p w14:paraId="2A7D6606" w14:textId="77777777" w:rsidR="006D6D06" w:rsidRDefault="00507303">
      <w:pPr>
        <w:numPr>
          <w:ilvl w:val="0"/>
          <w:numId w:val="2"/>
        </w:numPr>
        <w:pBdr>
          <w:top w:val="nil"/>
          <w:left w:val="nil"/>
          <w:bottom w:val="nil"/>
          <w:right w:val="nil"/>
          <w:between w:val="nil"/>
        </w:pBdr>
        <w:spacing w:after="0" w:line="360" w:lineRule="auto"/>
        <w:rPr>
          <w:color w:val="000000"/>
        </w:rPr>
      </w:pPr>
      <w:r>
        <w:rPr>
          <w:b/>
          <w:color w:val="000000"/>
        </w:rPr>
        <w:t>Causales de improcedencia</w:t>
      </w:r>
    </w:p>
    <w:p w14:paraId="27BFCF4B" w14:textId="77777777" w:rsidR="006D6D06" w:rsidRDefault="006D6D06">
      <w:pPr>
        <w:pBdr>
          <w:top w:val="nil"/>
          <w:left w:val="nil"/>
          <w:bottom w:val="nil"/>
          <w:right w:val="nil"/>
          <w:between w:val="nil"/>
        </w:pBdr>
        <w:spacing w:after="0" w:line="360" w:lineRule="auto"/>
        <w:ind w:left="720"/>
        <w:rPr>
          <w:color w:val="000000"/>
        </w:rPr>
      </w:pPr>
    </w:p>
    <w:p w14:paraId="0480454B" w14:textId="77777777" w:rsidR="006D6D06" w:rsidRDefault="00507303">
      <w:pPr>
        <w:spacing w:after="0" w:line="360" w:lineRule="auto"/>
        <w:rPr>
          <w:color w:val="000000"/>
        </w:rPr>
      </w:pPr>
      <w:r>
        <w:rPr>
          <w:color w:val="000000"/>
        </w:rPr>
        <w:t xml:space="preserve">De las constancias que </w:t>
      </w:r>
      <w:r>
        <w:t>forman</w:t>
      </w:r>
      <w:r>
        <w:rPr>
          <w:color w:val="000000"/>
        </w:rPr>
        <w:t xml:space="preserve"> parte del Recurso de Revisión que se analiza, se advierte que previo al estudio del fondo de la </w:t>
      </w:r>
      <w:proofErr w:type="spellStart"/>
      <w:r>
        <w:rPr>
          <w:color w:val="000000"/>
        </w:rPr>
        <w:t>litis</w:t>
      </w:r>
      <w:proofErr w:type="spellEnd"/>
      <w:r>
        <w:rPr>
          <w:color w:val="000000"/>
        </w:rPr>
        <w:t>, es necesario estudiar las causales de improcedencia y sobreseimiento que se adviertan, para determinar lo que en Derecho proceda.</w:t>
      </w:r>
    </w:p>
    <w:p w14:paraId="47EF07F1" w14:textId="77777777" w:rsidR="006D6D06" w:rsidRDefault="006D6D06">
      <w:pPr>
        <w:spacing w:after="0" w:line="360" w:lineRule="auto"/>
        <w:rPr>
          <w:color w:val="000000"/>
        </w:rPr>
      </w:pPr>
    </w:p>
    <w:p w14:paraId="38107D25" w14:textId="77777777" w:rsidR="006D6D06" w:rsidRDefault="00507303">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B9DD10D" w14:textId="77777777" w:rsidR="006D6D06" w:rsidRDefault="006D6D06">
      <w:pPr>
        <w:spacing w:after="0" w:line="360" w:lineRule="auto"/>
        <w:rPr>
          <w:color w:val="000000"/>
        </w:rPr>
      </w:pPr>
    </w:p>
    <w:p w14:paraId="2069CD0C" w14:textId="77777777" w:rsidR="006D6D06" w:rsidRDefault="00507303">
      <w:pPr>
        <w:spacing w:after="0" w:line="360" w:lineRule="auto"/>
        <w:rPr>
          <w:color w:val="000000"/>
        </w:rPr>
      </w:pPr>
      <w:r>
        <w:rPr>
          <w:color w:val="000000"/>
        </w:rPr>
        <w:t>En el presente caso, no se actualiza ninguna de las causales de improcedencia establecidas en el ordenamiento jurídico previamente señalado, toda vez que: este Instituto no tiene conocimiento de que se encuentre en trámite algún medio de defensa presentado por la parte Recurrente ante otra instancia; no existió prevención alguna; la veracidad de la respuesta no formó parte del agravio; ni se realizó una consulta o ampliación a los alcances del requerimiento informativo.</w:t>
      </w:r>
    </w:p>
    <w:p w14:paraId="15EBF970" w14:textId="77777777" w:rsidR="006D6D06" w:rsidRDefault="006D6D06">
      <w:pPr>
        <w:spacing w:after="0" w:line="360" w:lineRule="auto"/>
        <w:rPr>
          <w:color w:val="000000"/>
        </w:rPr>
      </w:pPr>
    </w:p>
    <w:p w14:paraId="18CCFA62" w14:textId="77777777" w:rsidR="006D6D06" w:rsidRDefault="00507303">
      <w:pPr>
        <w:spacing w:after="0" w:line="360" w:lineRule="auto"/>
        <w:rPr>
          <w:b/>
        </w:rPr>
      </w:pPr>
      <w:r>
        <w:rPr>
          <w:color w:val="000000"/>
        </w:rPr>
        <w:t>Conforme a lo anterior, se actualiza la causal de procedencia señalada en el artículo 179, fracción I, de la Ley de la materia, toda vez que el Solicitante se inconformó con la negativa a la información.</w:t>
      </w:r>
    </w:p>
    <w:p w14:paraId="0AAE3A07" w14:textId="77777777" w:rsidR="006D6D06" w:rsidRDefault="006D6D06">
      <w:pPr>
        <w:spacing w:after="0" w:line="360" w:lineRule="auto"/>
      </w:pPr>
    </w:p>
    <w:p w14:paraId="58F4C967" w14:textId="77777777" w:rsidR="006D6D06" w:rsidRDefault="00507303">
      <w:pPr>
        <w:numPr>
          <w:ilvl w:val="0"/>
          <w:numId w:val="2"/>
        </w:numPr>
        <w:pBdr>
          <w:top w:val="nil"/>
          <w:left w:val="nil"/>
          <w:bottom w:val="nil"/>
          <w:right w:val="nil"/>
          <w:between w:val="nil"/>
        </w:pBdr>
        <w:spacing w:after="0" w:line="360" w:lineRule="auto"/>
        <w:rPr>
          <w:b/>
          <w:color w:val="0D0D0D"/>
        </w:rPr>
      </w:pPr>
      <w:r>
        <w:rPr>
          <w:b/>
          <w:color w:val="0D0D0D"/>
        </w:rPr>
        <w:t>Causales de sobreseimiento</w:t>
      </w:r>
    </w:p>
    <w:p w14:paraId="41DF4A5C" w14:textId="77777777" w:rsidR="006D6D06" w:rsidRDefault="006D6D06">
      <w:pPr>
        <w:spacing w:after="0" w:line="360" w:lineRule="auto"/>
        <w:rPr>
          <w:b/>
          <w:color w:val="0D0D0D"/>
        </w:rPr>
      </w:pPr>
    </w:p>
    <w:p w14:paraId="2E349260" w14:textId="77777777" w:rsidR="006D6D06" w:rsidRDefault="00507303">
      <w:pPr>
        <w:spacing w:after="0" w:line="360" w:lineRule="auto"/>
      </w:pPr>
      <w:r>
        <w:t>Por otra parte, el artículo 192 de la Ley Transparencia y Acceso a la Información Pública del Estado de México y Municipios, señala que el Recurso de Revisión será sobreseído en todo o en parte, cuando, una vez admitido, se actualice alguno de los siguientes supuestos:</w:t>
      </w:r>
    </w:p>
    <w:p w14:paraId="31E03661" w14:textId="77777777" w:rsidR="006D6D06" w:rsidRDefault="006D6D06">
      <w:pPr>
        <w:spacing w:after="0" w:line="360" w:lineRule="auto"/>
      </w:pPr>
    </w:p>
    <w:p w14:paraId="01930859" w14:textId="77777777" w:rsidR="006D6D06" w:rsidRDefault="00507303">
      <w:pPr>
        <w:numPr>
          <w:ilvl w:val="0"/>
          <w:numId w:val="1"/>
        </w:numPr>
        <w:spacing w:after="0" w:line="360" w:lineRule="auto"/>
      </w:pPr>
      <w:r>
        <w:t>El Recurrente se desista expresamente;</w:t>
      </w:r>
    </w:p>
    <w:p w14:paraId="00B40166" w14:textId="77777777" w:rsidR="006D6D06" w:rsidRDefault="00507303">
      <w:pPr>
        <w:numPr>
          <w:ilvl w:val="0"/>
          <w:numId w:val="1"/>
        </w:numPr>
        <w:spacing w:after="0" w:line="360" w:lineRule="auto"/>
      </w:pPr>
      <w:r>
        <w:t>El Recurrente fallezca o, tratándose de personas morales se disuelva;</w:t>
      </w:r>
    </w:p>
    <w:p w14:paraId="14A648FA" w14:textId="77777777" w:rsidR="006D6D06" w:rsidRDefault="00507303">
      <w:pPr>
        <w:numPr>
          <w:ilvl w:val="0"/>
          <w:numId w:val="1"/>
        </w:numPr>
        <w:spacing w:after="0" w:line="360" w:lineRule="auto"/>
      </w:pPr>
      <w:r>
        <w:t>El Sujeto Obligado modifique la respuesta o la revoque, de tal manera que el recurso de revisión quede sin materia;</w:t>
      </w:r>
    </w:p>
    <w:p w14:paraId="4A4A5028" w14:textId="77777777" w:rsidR="006D6D06" w:rsidRDefault="00507303">
      <w:pPr>
        <w:numPr>
          <w:ilvl w:val="0"/>
          <w:numId w:val="1"/>
        </w:numPr>
        <w:spacing w:after="0" w:line="360" w:lineRule="auto"/>
      </w:pPr>
      <w:r>
        <w:t>Admitido el recurso de revisión, aparezca alguna causal de improcedencia; y,</w:t>
      </w:r>
    </w:p>
    <w:p w14:paraId="1FF1FBF7" w14:textId="77777777" w:rsidR="006D6D06" w:rsidRDefault="00507303">
      <w:pPr>
        <w:numPr>
          <w:ilvl w:val="0"/>
          <w:numId w:val="1"/>
        </w:numPr>
        <w:spacing w:after="0" w:line="360" w:lineRule="auto"/>
      </w:pPr>
      <w:r>
        <w:t>Cuando por cualquier motivo quede sin materia el recurso de revisión.</w:t>
      </w:r>
    </w:p>
    <w:p w14:paraId="215C0468" w14:textId="77777777" w:rsidR="006D6D06" w:rsidRDefault="006D6D06">
      <w:pPr>
        <w:spacing w:after="0" w:line="360" w:lineRule="auto"/>
      </w:pPr>
    </w:p>
    <w:p w14:paraId="6221BCCE" w14:textId="77777777" w:rsidR="006D6D06" w:rsidRDefault="00507303">
      <w:pPr>
        <w:spacing w:after="0" w:line="360" w:lineRule="auto"/>
      </w:pPr>
      <w:r>
        <w:t>Sin embargo, de los autos que corren agregados al expediente en el que se actúa, no fue posible advertir que la persona Recurrente se hubiera desistido, fallecido o hubiera aparecido una causal de improcedencia durante el trámite del presente Recurso, por lo que no se actualizan dichas causales de sobreseimiento.</w:t>
      </w:r>
    </w:p>
    <w:p w14:paraId="43551F6D" w14:textId="77777777" w:rsidR="006D6D06" w:rsidRDefault="006D6D06">
      <w:pPr>
        <w:spacing w:after="0" w:line="360" w:lineRule="auto"/>
      </w:pPr>
    </w:p>
    <w:p w14:paraId="33A3645A" w14:textId="77777777" w:rsidR="006D6D06" w:rsidRDefault="00507303">
      <w:pPr>
        <w:spacing w:after="0" w:line="360" w:lineRule="auto"/>
      </w:pPr>
      <w:r>
        <w:rPr>
          <w:color w:val="0D0D0D"/>
        </w:rPr>
        <w:t>Sin menoscabo de lo anterior, por cuanto hace al Recurso de Revisión</w:t>
      </w:r>
      <w:r>
        <w:t xml:space="preserve"> que nos ocupa</w:t>
      </w:r>
      <w:r>
        <w:rPr>
          <w:b/>
        </w:rPr>
        <w:t xml:space="preserve">, </w:t>
      </w:r>
      <w:r>
        <w:t xml:space="preserve">es susceptible de análisis la actualización del supuesto jurídico previsto en la fracción III, del artículo 192, de la Ley en cita, mismo que dispone que el Recurso de Revisión será sobreseído cuando </w:t>
      </w:r>
      <w:r>
        <w:rPr>
          <w:b/>
        </w:rPr>
        <w:t>el Sujeto Obligado del acto lo modifique de tal manera</w:t>
      </w:r>
      <w:r>
        <w:t xml:space="preserve"> </w:t>
      </w:r>
      <w:r>
        <w:rPr>
          <w:b/>
        </w:rPr>
        <w:t>que quede sin materia</w:t>
      </w:r>
      <w:r>
        <w:t>. Ello, toda vez que, mediante su informe justificado, el Ayuntamiento de Toluca remitió información que puede colmar la solicitud de información.</w:t>
      </w:r>
    </w:p>
    <w:p w14:paraId="1E4D9CAD" w14:textId="77777777" w:rsidR="006D6D06" w:rsidRDefault="006D6D06">
      <w:pPr>
        <w:spacing w:after="0" w:line="360" w:lineRule="auto"/>
      </w:pPr>
    </w:p>
    <w:p w14:paraId="2280535E" w14:textId="77777777" w:rsidR="006D6D06" w:rsidRDefault="00507303">
      <w:pPr>
        <w:spacing w:after="0" w:line="360" w:lineRule="auto"/>
      </w:pPr>
      <w:r>
        <w:lastRenderedPageBreak/>
        <w:t>En atención a ello, se procede a analizar las actuaciones que forman parte del Recurso de Revisión que nos ocupa, en lo que se debe tener en cuenta que la persona Solicitante requirió al Sujeto Obligado la entrega de su información pública de oficio del año 2022, en formato Excel, al respecto, cabe precisar que la información de oficio, se vincula con las obligaciones comunes y específicas en materia de transparencia.</w:t>
      </w:r>
    </w:p>
    <w:p w14:paraId="300B11AB" w14:textId="77777777" w:rsidR="006D6D06" w:rsidRDefault="00507303">
      <w:pPr>
        <w:spacing w:after="0" w:line="360" w:lineRule="auto"/>
      </w:pPr>
      <w:r>
        <w:t xml:space="preserve"> </w:t>
      </w:r>
    </w:p>
    <w:p w14:paraId="33B1A2C4" w14:textId="77777777" w:rsidR="006D6D06" w:rsidRDefault="00507303">
      <w:pPr>
        <w:spacing w:after="0" w:line="360" w:lineRule="auto"/>
      </w:pPr>
      <w:r>
        <w:t xml:space="preserve">En este sentido, el artículo 92 de la Ley de transparencia y acceso a la información pública del Estado de México y Municipios prevé una serie de documentos, temas y políticas, </w:t>
      </w:r>
      <w:r>
        <w:rPr>
          <w:b/>
        </w:rPr>
        <w:t>que corresponden a las obligaciones comunes</w:t>
      </w:r>
      <w:r>
        <w:t xml:space="preserve">, que los Sujetos Obligados deben poner a disposición del público de manera permanente y actualizada de forma sencilla, precisa y entendible, en los respectivos medios electrónicos, de acuerdo con sus facultades, atribuciones, funciones u objeto social, según corresponda. </w:t>
      </w:r>
    </w:p>
    <w:p w14:paraId="40BE0448" w14:textId="77777777" w:rsidR="006D6D06" w:rsidRDefault="006D6D06">
      <w:pPr>
        <w:spacing w:after="0" w:line="360" w:lineRule="auto"/>
      </w:pPr>
    </w:p>
    <w:p w14:paraId="54B71825" w14:textId="77777777" w:rsidR="006D6D06" w:rsidRDefault="00507303">
      <w:pPr>
        <w:spacing w:after="0" w:line="360" w:lineRule="auto"/>
        <w:rPr>
          <w:b/>
        </w:rPr>
      </w:pPr>
      <w:r>
        <w:t xml:space="preserve">Por su parte, el artículo 94 fracción II, enumera documentos que deberán ser publicados, en el caso de los Municipios del Estado de México y que corresponden a las </w:t>
      </w:r>
      <w:r>
        <w:rPr>
          <w:b/>
        </w:rPr>
        <w:t>obligaciones específicas</w:t>
      </w:r>
      <w:r>
        <w:t xml:space="preserve">, </w:t>
      </w:r>
      <w:r>
        <w:rPr>
          <w:b/>
        </w:rPr>
        <w:t>en atención a lo anterior el Ayuntamiento de Toluca tiene la obligación de cumplir con la normatividad en materia de transparencia y publicar la información correspondiente a las obligaciones comunes y específicas de transparencia y que corresponden a la información de oficio.</w:t>
      </w:r>
    </w:p>
    <w:p w14:paraId="0F26230E" w14:textId="77777777" w:rsidR="006D6D06" w:rsidRDefault="006D6D06">
      <w:pPr>
        <w:spacing w:after="0" w:line="360" w:lineRule="auto"/>
        <w:rPr>
          <w:b/>
        </w:rPr>
      </w:pPr>
    </w:p>
    <w:p w14:paraId="451B7ADF" w14:textId="77777777" w:rsidR="006D6D06" w:rsidRDefault="00507303">
      <w:pPr>
        <w:spacing w:after="0" w:line="360" w:lineRule="auto"/>
      </w:pPr>
      <w:r>
        <w:t xml:space="preserve">Ahora bien, cabe mencionar que la Ley de Transparencia del Estado de México contempla la información que debe ser publicada en medios electrónicos como parte de las obligaciones comunes y específicas de los Sujetos Obligados, y que, por cada uno de ellos y en función de sus facultades, se emite una tabla de aplicabilidad, en la que se señala que documentos deben ser publicados en cada caso, en este tenor, es posible advertir la tabla de aplicabilidad del Sujeto Obligado en el sitio de Información Pública de Oficio Mexiquense, en lo sucesivo IPOMEX, tanto en su versión 3.0, como en la 4.0. En atención a lo anterior, se advierte que el Ayuntamiento de </w:t>
      </w:r>
      <w:r>
        <w:lastRenderedPageBreak/>
        <w:t xml:space="preserve">Toluca como parte de los Sujetos Obligados a la Ley de la materia, </w:t>
      </w:r>
      <w:r>
        <w:rPr>
          <w:b/>
        </w:rPr>
        <w:t xml:space="preserve">cuenta con competencia para conocer de la documentación que se publica de oficio, </w:t>
      </w:r>
      <w:r>
        <w:t xml:space="preserve">en cumplimiento a las obligaciones comunes y específicas en materia de transparencia. </w:t>
      </w:r>
    </w:p>
    <w:p w14:paraId="4A458BFC" w14:textId="77777777" w:rsidR="006D6D06" w:rsidRDefault="006D6D06">
      <w:pPr>
        <w:spacing w:after="0" w:line="360" w:lineRule="auto"/>
      </w:pPr>
    </w:p>
    <w:p w14:paraId="69182D9E" w14:textId="77777777" w:rsidR="006D6D06" w:rsidRDefault="00507303">
      <w:pPr>
        <w:spacing w:after="0" w:line="360" w:lineRule="auto"/>
        <w:rPr>
          <w:b/>
        </w:rPr>
      </w:pPr>
      <w:r>
        <w:t xml:space="preserve">Cabe señalar que la Ley de Transparencia del Estado, prevé en su artículo 53, fracción I, que las Unidades de Transparencia cuentan con la función de recabar, difundir y actualizar la información relativa a las obligaciones de transparencia comunes y específicas, así como, propiciar que las áreas las actualicen periódicamente conforme a las disposiciones de la materia, </w:t>
      </w:r>
      <w:r>
        <w:rPr>
          <w:b/>
        </w:rPr>
        <w:t>en atención a ello, la Unidad de Transparencia corresponde al área competente para conocer de la información solicitada.</w:t>
      </w:r>
    </w:p>
    <w:p w14:paraId="5F9AF5E4" w14:textId="77777777" w:rsidR="006D6D06" w:rsidRDefault="006D6D06">
      <w:pPr>
        <w:spacing w:after="0" w:line="360" w:lineRule="auto"/>
      </w:pPr>
    </w:p>
    <w:p w14:paraId="56D81075" w14:textId="77777777" w:rsidR="006D6D06" w:rsidRDefault="00507303">
      <w:pPr>
        <w:spacing w:after="0" w:line="360" w:lineRule="auto"/>
        <w:rPr>
          <w:b/>
        </w:rPr>
      </w:pPr>
      <w:r>
        <w:t>De conformidad con el Manual de Organización de la Secretaría del Ayuntamiento, se prevé la existencia dentro de la estructura orgánica del Sujeto Obligado, de una Unidad de transparencia que cuenta con diversa funciones, entre ellas la de “</w:t>
      </w:r>
      <w:r>
        <w:rPr>
          <w:i/>
        </w:rPr>
        <w:t xml:space="preserve">Coordinar, recopilar, verificar, integrar, </w:t>
      </w:r>
      <w:r>
        <w:rPr>
          <w:b/>
          <w:i/>
        </w:rPr>
        <w:t>actualizar y difundir la información pública de oficio</w:t>
      </w:r>
      <w:r>
        <w:rPr>
          <w:i/>
        </w:rPr>
        <w:t xml:space="preserve"> de competencia de cada uno de las y los Servidores Públicos Habilitados de este Ayuntamiento </w:t>
      </w:r>
      <w:r>
        <w:rPr>
          <w:b/>
          <w:i/>
        </w:rPr>
        <w:t>para cumplir con las obligaciones comunes y específicas</w:t>
      </w:r>
      <w:r>
        <w:rPr>
          <w:i/>
        </w:rPr>
        <w:t xml:space="preserve"> determinadas en la plataforma de información Pública de Oficio de los Sujetos Obligados del Estado de México y Municipios (IPOMEX), conforme a la normatividad aplicable;” </w:t>
      </w:r>
      <w:r>
        <w:t xml:space="preserve"> </w:t>
      </w:r>
      <w:r>
        <w:rPr>
          <w:b/>
        </w:rPr>
        <w:t xml:space="preserve">en atención a lo anterior, el Sujeto Obligado a través de la Unidad de Transparencia resulta el área competente para conocer de la información que fue requerida por la persona Recurrente. </w:t>
      </w:r>
    </w:p>
    <w:p w14:paraId="39FC302C" w14:textId="77777777" w:rsidR="006D6D06" w:rsidRDefault="006D6D06">
      <w:pPr>
        <w:spacing w:after="0" w:line="360" w:lineRule="auto"/>
      </w:pPr>
    </w:p>
    <w:p w14:paraId="1AD0CF65" w14:textId="77777777" w:rsidR="006D6D06" w:rsidRDefault="00507303">
      <w:pPr>
        <w:spacing w:after="0" w:line="360" w:lineRule="auto"/>
      </w:pPr>
      <w:r>
        <w:t>En este sentido, es de mencionar que en el Estado de México se cuenta con un Sistema de Información Pública de Oficio Mexiquense, IPOMEX, que corresponde a un sitio que permite a los Sujetos Obligados publicar la información correspondiente a sus obligaciones de transparencia comunes y específicas, por lo que, la información de oficio debe ser publicada y actualizada en dicho sitio.</w:t>
      </w:r>
    </w:p>
    <w:p w14:paraId="57B10D23" w14:textId="77777777" w:rsidR="006D6D06" w:rsidRDefault="006D6D06">
      <w:pPr>
        <w:spacing w:after="0" w:line="360" w:lineRule="auto"/>
      </w:pPr>
    </w:p>
    <w:p w14:paraId="3E51E170" w14:textId="77777777" w:rsidR="006D6D06" w:rsidRDefault="00507303">
      <w:pPr>
        <w:spacing w:after="0" w:line="360" w:lineRule="auto"/>
      </w:pPr>
      <w:r>
        <w:lastRenderedPageBreak/>
        <w:br/>
        <w:t>En este contexto normativo, se procede a analizar la respuesta otorgada por el Sujeto Obligado, puesto que la Titular de la Unidad de Transparencia señaló que la información se encuentra en el sitio IPOMEX y proporcionó una liga sin embargo se encuentra en formato cerrado, al respecto, es preciso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66426AD7" w14:textId="77777777" w:rsidR="006D6D06" w:rsidRDefault="00507303">
      <w:pPr>
        <w:spacing w:after="0" w:line="360" w:lineRule="auto"/>
      </w:pPr>
      <w:r>
        <w:t> </w:t>
      </w:r>
    </w:p>
    <w:p w14:paraId="1D099C30" w14:textId="06672950" w:rsidR="006D6D06" w:rsidRDefault="00507303">
      <w:pPr>
        <w:spacing w:after="0" w:line="360" w:lineRule="auto"/>
      </w:pPr>
      <w:r>
        <w:t>En ese contexto, el artículo 3°, fracciones VIII y XVI de la Ley de Transparencia y Acceso a la Información Pública del Estado de México y Municipios, precisan lo siguiente:</w:t>
      </w:r>
    </w:p>
    <w:p w14:paraId="14B9AE5D" w14:textId="77777777" w:rsidR="006D6D06" w:rsidRDefault="00507303">
      <w:pPr>
        <w:spacing w:after="0" w:line="360" w:lineRule="auto"/>
      </w:pPr>
      <w:r>
        <w:t> </w:t>
      </w:r>
    </w:p>
    <w:p w14:paraId="3262DFDB" w14:textId="77777777" w:rsidR="006D6D06" w:rsidRDefault="00507303">
      <w:pPr>
        <w:numPr>
          <w:ilvl w:val="0"/>
          <w:numId w:val="3"/>
        </w:numPr>
        <w:spacing w:after="0" w:line="360" w:lineRule="auto"/>
      </w:pPr>
      <w:r>
        <w:rPr>
          <w:b/>
        </w:rPr>
        <w:t>Dato abierto:</w:t>
      </w:r>
      <w:r>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632A5A2" w14:textId="77777777" w:rsidR="006D6D06" w:rsidRDefault="00507303">
      <w:pPr>
        <w:spacing w:after="0" w:line="360" w:lineRule="auto"/>
      </w:pPr>
      <w:r>
        <w:t> </w:t>
      </w:r>
    </w:p>
    <w:p w14:paraId="3008FFDC" w14:textId="77777777" w:rsidR="006D6D06" w:rsidRDefault="00507303">
      <w:pPr>
        <w:numPr>
          <w:ilvl w:val="0"/>
          <w:numId w:val="3"/>
        </w:numPr>
        <w:spacing w:after="0" w:line="360" w:lineRule="auto"/>
      </w:pPr>
      <w:r>
        <w:rPr>
          <w:b/>
        </w:rPr>
        <w:t>Formato accesible:</w:t>
      </w:r>
      <w:r>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44C63C0" w14:textId="77777777" w:rsidR="006D6D06" w:rsidRDefault="00507303">
      <w:pPr>
        <w:spacing w:after="0" w:line="360" w:lineRule="auto"/>
      </w:pPr>
      <w:r>
        <w:t> </w:t>
      </w:r>
    </w:p>
    <w:p w14:paraId="619BABDE" w14:textId="77777777" w:rsidR="006D6D06" w:rsidRDefault="00507303">
      <w:pPr>
        <w:spacing w:after="0" w:line="360" w:lineRule="auto"/>
      </w:pPr>
      <w:r>
        <w:t>Conforme a lo anterior, se considera que en el caso de que la información peticionada obre en ligas electrónicas, el Sujeto Obligado deberá privilegiar la entrega de estas, en datos abiertos, es decir, en un formato que permita la accesibilidad y facilidad a las personas Particulares, para obtener la información contenida estas.</w:t>
      </w:r>
    </w:p>
    <w:p w14:paraId="2C1D4BCD" w14:textId="77777777" w:rsidR="006D6D06" w:rsidRDefault="00507303">
      <w:pPr>
        <w:spacing w:after="0" w:line="360" w:lineRule="auto"/>
      </w:pPr>
      <w:r>
        <w:t> </w:t>
      </w:r>
    </w:p>
    <w:p w14:paraId="7AF1BD61" w14:textId="77777777" w:rsidR="006D6D06" w:rsidRDefault="00507303">
      <w:pPr>
        <w:spacing w:after="0" w:line="360" w:lineRule="auto"/>
      </w:pPr>
      <w:r>
        <w:lastRenderedPageBreak/>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26FB1E23" w14:textId="77777777" w:rsidR="006D6D06" w:rsidRDefault="006D6D06">
      <w:pPr>
        <w:spacing w:after="0" w:line="360" w:lineRule="auto"/>
      </w:pPr>
    </w:p>
    <w:p w14:paraId="0ABFEDC6" w14:textId="77777777" w:rsidR="006D6D06" w:rsidRDefault="00507303">
      <w:pPr>
        <w:spacing w:after="0" w:line="360" w:lineRule="auto"/>
      </w:pPr>
      <w:r>
        <w:t xml:space="preserve">Cómo se logra observar, el Sujeto Obligado si bien señaló una página esta se encuentra en formato cerrado por tanto, no da cuenta de lo solicitado, sin embargo, esto cambió mediante informe justificado, puesto que indicó que la información se encontraba en la liga </w:t>
      </w:r>
      <w:hyperlink r:id="rId9">
        <w:r w:rsidR="006D6D06">
          <w:rPr>
            <w:color w:val="0563C1"/>
            <w:u w:val="single"/>
          </w:rPr>
          <w:t>https://www2.toluca.gob.mx/</w:t>
        </w:r>
      </w:hyperlink>
      <w:r>
        <w:t xml:space="preserve"> en formato abierto y se señalaron las indicaciones para acceder a la información y descarga en formato Excel de las obligaciones comunes y específicas del Sujeto Obligado correspondiente al año 2022; a saber se inserta impresión de pantalla para mayor referencia:</w:t>
      </w:r>
    </w:p>
    <w:p w14:paraId="00117C3B" w14:textId="77777777" w:rsidR="006D6D06" w:rsidRDefault="00507303">
      <w:pPr>
        <w:spacing w:after="0" w:line="360" w:lineRule="auto"/>
        <w:jc w:val="center"/>
      </w:pPr>
      <w:r>
        <w:rPr>
          <w:noProof/>
        </w:rPr>
        <w:drawing>
          <wp:inline distT="0" distB="0" distL="0" distR="0" wp14:anchorId="6CEC9FCB" wp14:editId="4CBB30D2">
            <wp:extent cx="4352925" cy="2867025"/>
            <wp:effectExtent l="0" t="0" r="0" b="0"/>
            <wp:docPr id="20911548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352925" cy="2867025"/>
                    </a:xfrm>
                    <a:prstGeom prst="rect">
                      <a:avLst/>
                    </a:prstGeom>
                    <a:ln/>
                  </pic:spPr>
                </pic:pic>
              </a:graphicData>
            </a:graphic>
          </wp:inline>
        </w:drawing>
      </w:r>
    </w:p>
    <w:p w14:paraId="39D798DC" w14:textId="77777777" w:rsidR="006D6D06" w:rsidRDefault="00507303">
      <w:pPr>
        <w:spacing w:after="0" w:line="360" w:lineRule="auto"/>
        <w:jc w:val="center"/>
      </w:pPr>
      <w:r>
        <w:rPr>
          <w:noProof/>
        </w:rPr>
        <w:lastRenderedPageBreak/>
        <w:drawing>
          <wp:inline distT="0" distB="0" distL="0" distR="0" wp14:anchorId="444CCEB7" wp14:editId="51A327EF">
            <wp:extent cx="3893702" cy="2743847"/>
            <wp:effectExtent l="0" t="0" r="0" b="0"/>
            <wp:docPr id="209115487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893702" cy="2743847"/>
                    </a:xfrm>
                    <a:prstGeom prst="rect">
                      <a:avLst/>
                    </a:prstGeom>
                    <a:ln/>
                  </pic:spPr>
                </pic:pic>
              </a:graphicData>
            </a:graphic>
          </wp:inline>
        </w:drawing>
      </w:r>
    </w:p>
    <w:p w14:paraId="1F0FF6F5" w14:textId="77777777" w:rsidR="006D6D06" w:rsidRDefault="006D6D06">
      <w:pPr>
        <w:spacing w:after="0" w:line="360" w:lineRule="auto"/>
        <w:jc w:val="center"/>
      </w:pPr>
    </w:p>
    <w:p w14:paraId="4281DD9C" w14:textId="77777777" w:rsidR="006D6D06" w:rsidRDefault="00507303">
      <w:pPr>
        <w:spacing w:after="0" w:line="360" w:lineRule="auto"/>
        <w:jc w:val="center"/>
      </w:pPr>
      <w:r>
        <w:rPr>
          <w:noProof/>
        </w:rPr>
        <w:drawing>
          <wp:inline distT="0" distB="0" distL="0" distR="0" wp14:anchorId="7B3FD369" wp14:editId="5A9E704F">
            <wp:extent cx="3768141" cy="3800448"/>
            <wp:effectExtent l="0" t="0" r="0" b="0"/>
            <wp:docPr id="20911548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768141" cy="3800448"/>
                    </a:xfrm>
                    <a:prstGeom prst="rect">
                      <a:avLst/>
                    </a:prstGeom>
                    <a:ln/>
                  </pic:spPr>
                </pic:pic>
              </a:graphicData>
            </a:graphic>
          </wp:inline>
        </w:drawing>
      </w:r>
    </w:p>
    <w:p w14:paraId="0B1F83E4" w14:textId="77777777" w:rsidR="006D6D06" w:rsidRDefault="006D6D06">
      <w:pPr>
        <w:spacing w:after="0" w:line="360" w:lineRule="auto"/>
        <w:jc w:val="center"/>
      </w:pPr>
    </w:p>
    <w:p w14:paraId="5313699D" w14:textId="77777777" w:rsidR="006D6D06" w:rsidRDefault="00507303">
      <w:pPr>
        <w:spacing w:after="0" w:line="360" w:lineRule="auto"/>
      </w:pPr>
      <w:r>
        <w:rPr>
          <w:noProof/>
        </w:rPr>
        <w:lastRenderedPageBreak/>
        <w:drawing>
          <wp:inline distT="0" distB="0" distL="0" distR="0" wp14:anchorId="0B4768A2" wp14:editId="4D85D1D6">
            <wp:extent cx="5850890" cy="2940050"/>
            <wp:effectExtent l="0" t="0" r="0" b="0"/>
            <wp:docPr id="20911548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850890" cy="2940050"/>
                    </a:xfrm>
                    <a:prstGeom prst="rect">
                      <a:avLst/>
                    </a:prstGeom>
                    <a:ln/>
                  </pic:spPr>
                </pic:pic>
              </a:graphicData>
            </a:graphic>
          </wp:inline>
        </w:drawing>
      </w:r>
    </w:p>
    <w:p w14:paraId="2AC7972F" w14:textId="77777777" w:rsidR="006D6D06" w:rsidRDefault="006D6D06">
      <w:pPr>
        <w:spacing w:after="0" w:line="360" w:lineRule="auto"/>
      </w:pPr>
    </w:p>
    <w:p w14:paraId="45FFB62C" w14:textId="77777777" w:rsidR="006D6D06" w:rsidRDefault="00507303">
      <w:pPr>
        <w:spacing w:after="0" w:line="360" w:lineRule="auto"/>
      </w:pPr>
      <w:r>
        <w:rPr>
          <w:noProof/>
        </w:rPr>
        <w:drawing>
          <wp:inline distT="0" distB="0" distL="0" distR="0" wp14:anchorId="21CFE76B" wp14:editId="3FEDC432">
            <wp:extent cx="5850890" cy="1593215"/>
            <wp:effectExtent l="0" t="0" r="0" b="0"/>
            <wp:docPr id="20911548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850890" cy="1593215"/>
                    </a:xfrm>
                    <a:prstGeom prst="rect">
                      <a:avLst/>
                    </a:prstGeom>
                    <a:ln/>
                  </pic:spPr>
                </pic:pic>
              </a:graphicData>
            </a:graphic>
          </wp:inline>
        </w:drawing>
      </w:r>
    </w:p>
    <w:p w14:paraId="7DFC967D" w14:textId="77777777" w:rsidR="006D6D06" w:rsidRDefault="006D6D06">
      <w:pPr>
        <w:spacing w:after="0" w:line="360" w:lineRule="auto"/>
      </w:pPr>
    </w:p>
    <w:p w14:paraId="5E2637D0" w14:textId="77777777" w:rsidR="006D6D06" w:rsidRDefault="00507303">
      <w:pPr>
        <w:spacing w:after="0" w:line="360" w:lineRule="auto"/>
      </w:pPr>
      <w:r>
        <w:t>Así pues, el Sujeto Obligado en un acto posterior, modificó la respuesta y entregó la información necesaria para que la persona Recurrente acceda a lo solicitado, cabe precisar que este Organismo Garante realizó el ejercicio indicado en el informe justificado y se siguió la liga, las instrucciones y se accedió a la descarga de la información.</w:t>
      </w:r>
    </w:p>
    <w:p w14:paraId="7B3810E2" w14:textId="77777777" w:rsidR="006D6D06" w:rsidRDefault="006D6D06">
      <w:pPr>
        <w:spacing w:after="0" w:line="360" w:lineRule="auto"/>
      </w:pPr>
    </w:p>
    <w:p w14:paraId="30ECA4A4" w14:textId="77777777" w:rsidR="006D6D06" w:rsidRDefault="00507303">
      <w:pPr>
        <w:spacing w:after="0" w:line="360" w:lineRule="auto"/>
      </w:pPr>
      <w:r>
        <w:t xml:space="preserve">Así pues, el Sujeto Obligado, a través de informe justificado, modificó la respuesta inicial y entregó la información solicitada, en los términos antes expuestos; por lo que, con fundamento en los artículos 186, fracción I y 192, fracción III, de la Ley de Transparencia y Acceso a la </w:t>
      </w:r>
      <w:r>
        <w:lastRenderedPageBreak/>
        <w:t xml:space="preserve">Información Pública del Estado de México y Municipios, es procedente </w:t>
      </w:r>
      <w:r>
        <w:rPr>
          <w:b/>
        </w:rPr>
        <w:t>SOBRESEER</w:t>
      </w:r>
      <w:r>
        <w:t xml:space="preserve"> el Recurso de Revisión </w:t>
      </w:r>
      <w:r>
        <w:rPr>
          <w:b/>
        </w:rPr>
        <w:t>01356/INFOEM/IP/RR/2025</w:t>
      </w:r>
      <w:r>
        <w:t>, por que el Sujeto Obligado, al haber modificado la respuesta inicial, a través del informe justificado entregó la información solicitada.</w:t>
      </w:r>
    </w:p>
    <w:p w14:paraId="0174E8D8" w14:textId="77777777" w:rsidR="006D6D06" w:rsidRDefault="006D6D06">
      <w:pPr>
        <w:spacing w:after="0" w:line="360" w:lineRule="auto"/>
        <w:rPr>
          <w:b/>
        </w:rPr>
      </w:pPr>
    </w:p>
    <w:p w14:paraId="7D1561F5" w14:textId="77777777" w:rsidR="006D6D06" w:rsidRDefault="00507303">
      <w:pPr>
        <w:pStyle w:val="Ttulo2"/>
      </w:pPr>
      <w:bookmarkStart w:id="17" w:name="_heading=h.a0f10wvjwpa1" w:colFirst="0" w:colLast="0"/>
      <w:bookmarkEnd w:id="17"/>
      <w:r>
        <w:t xml:space="preserve"> </w:t>
      </w:r>
      <w:bookmarkStart w:id="18" w:name="_Toc193981221"/>
      <w:r>
        <w:t>TERCERO. Decisión</w:t>
      </w:r>
      <w:bookmarkEnd w:id="18"/>
    </w:p>
    <w:p w14:paraId="385BFCC0" w14:textId="77777777" w:rsidR="006D6D06" w:rsidRDefault="006D6D06">
      <w:pPr>
        <w:spacing w:after="0" w:line="360" w:lineRule="auto"/>
      </w:pPr>
    </w:p>
    <w:p w14:paraId="3BFC23CC" w14:textId="77777777" w:rsidR="006D6D06" w:rsidRDefault="00507303">
      <w:pPr>
        <w:spacing w:after="0" w:line="360" w:lineRule="auto"/>
      </w:pPr>
      <w:r>
        <w:t xml:space="preserve">Con fundamento en los artículos 186, fracción I y 192, fracción III, de la Ley de Transparencia y Acceso a la Información Pública del Estado de México y Municipios, es procedente </w:t>
      </w:r>
      <w:r>
        <w:rPr>
          <w:b/>
        </w:rPr>
        <w:t>SOBRESEER</w:t>
      </w:r>
      <w:r>
        <w:t xml:space="preserve"> el Recurso de Revisión </w:t>
      </w:r>
      <w:r>
        <w:rPr>
          <w:b/>
        </w:rPr>
        <w:t>01356/INFOEM/IP/RR/2025</w:t>
      </w:r>
      <w:r>
        <w:t xml:space="preserve">, por que el Sujeto Obligado, al haber modificado la respuesta inicial, a través del informe justificado remitió los elementos necesarios para que el Particular acceda a la información y descargue la misma en el formato solicitado.  </w:t>
      </w:r>
    </w:p>
    <w:p w14:paraId="52F61EFA" w14:textId="77777777" w:rsidR="006D6D06" w:rsidRDefault="006D6D06">
      <w:pPr>
        <w:spacing w:after="0" w:line="360" w:lineRule="auto"/>
      </w:pPr>
    </w:p>
    <w:p w14:paraId="470F3CCE" w14:textId="77777777" w:rsidR="006D6D06" w:rsidRDefault="00507303">
      <w:pPr>
        <w:spacing w:after="0" w:line="360" w:lineRule="auto"/>
        <w:rPr>
          <w:b/>
          <w:u w:val="single"/>
        </w:rPr>
      </w:pPr>
      <w:r>
        <w:rPr>
          <w:b/>
          <w:u w:val="single"/>
        </w:rPr>
        <w:t>Términos de la Resolución para la parte Recurrente</w:t>
      </w:r>
    </w:p>
    <w:p w14:paraId="2E9C7877" w14:textId="77777777" w:rsidR="006D6D06" w:rsidRDefault="006D6D06">
      <w:pPr>
        <w:spacing w:after="0" w:line="360" w:lineRule="auto"/>
        <w:rPr>
          <w:b/>
          <w:u w:val="single"/>
        </w:rPr>
      </w:pPr>
    </w:p>
    <w:p w14:paraId="43C6279A" w14:textId="77777777" w:rsidR="006D6D06" w:rsidRDefault="00507303">
      <w:pPr>
        <w:spacing w:after="0" w:line="360" w:lineRule="auto"/>
        <w:rPr>
          <w:u w:val="single"/>
        </w:rPr>
      </w:pPr>
      <w:r>
        <w:rPr>
          <w:u w:val="single"/>
        </w:rPr>
        <w:t xml:space="preserve">Este Instituto determinó sobreseer el recurso de revisión dado que el Sujeto Obligado mediante informe justificado indicó los elementos necesarios para acceder y descargar la información solicitada.  </w:t>
      </w:r>
    </w:p>
    <w:p w14:paraId="23EA0588" w14:textId="77777777" w:rsidR="006D6D06" w:rsidRDefault="006D6D06">
      <w:pPr>
        <w:spacing w:after="0" w:line="360" w:lineRule="auto"/>
        <w:rPr>
          <w:u w:val="single"/>
        </w:rPr>
      </w:pPr>
    </w:p>
    <w:p w14:paraId="63E2E9ED" w14:textId="77777777" w:rsidR="006D6D06" w:rsidRDefault="00507303">
      <w:pPr>
        <w:spacing w:after="0" w:line="360" w:lineRule="auto"/>
        <w:rPr>
          <w:u w:val="single"/>
        </w:rPr>
      </w:pPr>
      <w:r>
        <w:rPr>
          <w:u w:val="single"/>
        </w:rPr>
        <w:t>La labor del INFOEM, es apoyar a la población para acceder a la información pública y garantizar la protección de sus datos personales.</w:t>
      </w:r>
    </w:p>
    <w:p w14:paraId="133519CB" w14:textId="77777777" w:rsidR="006D6D06" w:rsidRDefault="006D6D06">
      <w:pPr>
        <w:spacing w:after="0" w:line="360" w:lineRule="auto"/>
        <w:rPr>
          <w:color w:val="000000"/>
        </w:rPr>
      </w:pPr>
    </w:p>
    <w:p w14:paraId="772B3B69" w14:textId="77777777" w:rsidR="006D6D06" w:rsidRDefault="00507303">
      <w:pPr>
        <w:spacing w:after="0" w:line="360" w:lineRule="auto"/>
      </w:pPr>
      <w:r>
        <w:t>Por lo expuesto y fundado, este Pleno:</w:t>
      </w:r>
    </w:p>
    <w:p w14:paraId="509333F7" w14:textId="77777777" w:rsidR="006D6D06" w:rsidRDefault="006D6D06">
      <w:pPr>
        <w:spacing w:after="0" w:line="360" w:lineRule="auto"/>
      </w:pPr>
    </w:p>
    <w:p w14:paraId="3A3D5848" w14:textId="77777777" w:rsidR="006D6D06" w:rsidRDefault="00507303">
      <w:pPr>
        <w:pStyle w:val="Ttulo1"/>
        <w:rPr>
          <w:b w:val="0"/>
          <w:sz w:val="22"/>
          <w:szCs w:val="22"/>
        </w:rPr>
      </w:pPr>
      <w:bookmarkStart w:id="19" w:name="_heading=h.glvej5z37bj" w:colFirst="0" w:colLast="0"/>
      <w:bookmarkStart w:id="20" w:name="_Toc193981222"/>
      <w:bookmarkEnd w:id="19"/>
      <w:r>
        <w:rPr>
          <w:sz w:val="22"/>
          <w:szCs w:val="22"/>
        </w:rPr>
        <w:lastRenderedPageBreak/>
        <w:t>R E S U E L V E</w:t>
      </w:r>
      <w:bookmarkEnd w:id="20"/>
    </w:p>
    <w:p w14:paraId="5E709BEB" w14:textId="77777777" w:rsidR="006D6D06" w:rsidRDefault="006D6D06">
      <w:pPr>
        <w:spacing w:after="0" w:line="360" w:lineRule="auto"/>
        <w:jc w:val="center"/>
        <w:rPr>
          <w:b/>
        </w:rPr>
      </w:pPr>
    </w:p>
    <w:p w14:paraId="211A7771" w14:textId="77777777" w:rsidR="006D6D06" w:rsidRDefault="00507303">
      <w:pPr>
        <w:spacing w:after="0" w:line="360" w:lineRule="auto"/>
      </w:pPr>
      <w:r>
        <w:rPr>
          <w:b/>
        </w:rPr>
        <w:t xml:space="preserve">PRIMERO. </w:t>
      </w:r>
      <w:r>
        <w:t xml:space="preserve">Se </w:t>
      </w:r>
      <w:r>
        <w:rPr>
          <w:b/>
        </w:rPr>
        <w:t>SOBRESEE</w:t>
      </w:r>
      <w:r>
        <w:t xml:space="preserve"> el Recurso de Revisión </w:t>
      </w:r>
      <w:r>
        <w:rPr>
          <w:b/>
        </w:rPr>
        <w:t>01356/INFOEM/IP/RR/2025</w:t>
      </w:r>
      <w:r>
        <w:t xml:space="preserve">, porque el </w:t>
      </w:r>
      <w:r>
        <w:rPr>
          <w:color w:val="000000"/>
        </w:rPr>
        <w:t>Sujeto Obligado</w:t>
      </w:r>
      <w:r>
        <w:t xml:space="preserve">, </w:t>
      </w:r>
      <w:r>
        <w:rPr>
          <w:b/>
        </w:rPr>
        <w:t>al modificar la respuesta</w:t>
      </w:r>
      <w:r>
        <w:t xml:space="preserve"> a la solicitud de acceso a la información número </w:t>
      </w:r>
      <w:r>
        <w:rPr>
          <w:b/>
        </w:rPr>
        <w:t>00280/TOLUCA/IP/2025, el medio de impugnación quedó sin materia</w:t>
      </w:r>
      <w:r>
        <w:t>, en términos del artículo 192, fracción III, de la Ley de Transparencia y Acceso a la Información Pública del Estado de México y Municipios, de conformidad con los Considerandos SEGUNDO y TERCERO de la presente Resolución.</w:t>
      </w:r>
    </w:p>
    <w:p w14:paraId="0F64E134" w14:textId="77777777" w:rsidR="006D6D06" w:rsidRDefault="006D6D06">
      <w:pPr>
        <w:spacing w:after="0" w:line="360" w:lineRule="auto"/>
        <w:rPr>
          <w:b/>
        </w:rPr>
      </w:pPr>
    </w:p>
    <w:p w14:paraId="2C202F61" w14:textId="77777777" w:rsidR="006D6D06" w:rsidRDefault="00507303">
      <w:pPr>
        <w:spacing w:after="0" w:line="360" w:lineRule="auto"/>
        <w:ind w:right="113"/>
        <w:rPr>
          <w:b/>
        </w:rPr>
      </w:pPr>
      <w:r>
        <w:rPr>
          <w:b/>
        </w:rPr>
        <w:t>SEGUNDO.</w:t>
      </w:r>
      <w:r>
        <w:t xml:space="preserve"> </w:t>
      </w:r>
      <w:r>
        <w:rPr>
          <w:b/>
        </w:rPr>
        <w:t xml:space="preserve">Notifíquese por SAIMEX </w:t>
      </w:r>
      <w:r>
        <w:t>la presente resolución</w:t>
      </w:r>
      <w:r>
        <w:rPr>
          <w:b/>
        </w:rPr>
        <w:t xml:space="preserve"> </w:t>
      </w:r>
      <w:r>
        <w:t xml:space="preserve">al Titular de la Unidad de Transparencia del </w:t>
      </w:r>
      <w:r>
        <w:rPr>
          <w:b/>
        </w:rPr>
        <w:t>Sujeto Obligado</w:t>
      </w:r>
      <w:r>
        <w:t>.</w:t>
      </w:r>
    </w:p>
    <w:p w14:paraId="69C66B83" w14:textId="77777777" w:rsidR="006D6D06" w:rsidRDefault="006D6D06">
      <w:pPr>
        <w:spacing w:after="0" w:line="360" w:lineRule="auto"/>
        <w:ind w:right="333"/>
      </w:pPr>
    </w:p>
    <w:p w14:paraId="7C17612B" w14:textId="77777777" w:rsidR="006D6D06" w:rsidRDefault="00507303">
      <w:pPr>
        <w:spacing w:after="0" w:line="360" w:lineRule="auto"/>
      </w:pPr>
      <w:r>
        <w:rPr>
          <w:b/>
        </w:rPr>
        <w:t>TERCERO.</w:t>
      </w:r>
      <w:r>
        <w:t xml:space="preserve"> </w:t>
      </w:r>
      <w:r>
        <w:rPr>
          <w:b/>
        </w:rPr>
        <w:t xml:space="preserve">Notifíquese por SAIMEX </w:t>
      </w:r>
      <w:r>
        <w:t>la presente Resolución</w:t>
      </w:r>
      <w:r>
        <w:rPr>
          <w:b/>
        </w:rPr>
        <w:t xml:space="preserve"> </w:t>
      </w:r>
      <w:r>
        <w:t>a la persona</w:t>
      </w:r>
      <w:r>
        <w:rPr>
          <w:b/>
        </w:rPr>
        <w:t xml:space="preserve"> Recurrente</w:t>
      </w:r>
      <w:r>
        <w:t xml:space="preserve">, </w:t>
      </w:r>
      <w:r>
        <w:rPr>
          <w:b/>
        </w:rPr>
        <w:t xml:space="preserve"> </w:t>
      </w:r>
      <w: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7F7B3FF" w14:textId="77777777" w:rsidR="006D6D06" w:rsidRDefault="006D6D06">
      <w:pPr>
        <w:spacing w:after="0" w:line="360" w:lineRule="auto"/>
      </w:pPr>
    </w:p>
    <w:p w14:paraId="64C0FD66" w14:textId="77777777" w:rsidR="006D6D06" w:rsidRDefault="00507303">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p>
    <w:p w14:paraId="5AC621FF" w14:textId="77777777" w:rsidR="006D6D06" w:rsidRDefault="006D6D06">
      <w:pPr>
        <w:pStyle w:val="Ttulo2"/>
        <w:spacing w:before="0" w:after="0"/>
        <w:rPr>
          <w:b w:val="0"/>
        </w:rPr>
      </w:pPr>
    </w:p>
    <w:p w14:paraId="7E131BB5" w14:textId="77777777" w:rsidR="006D6D06" w:rsidRDefault="006D6D06">
      <w:pPr>
        <w:spacing w:after="0" w:line="360" w:lineRule="auto"/>
      </w:pPr>
    </w:p>
    <w:p w14:paraId="3E1AFA6C" w14:textId="77777777" w:rsidR="006D6D06" w:rsidRDefault="006D6D06">
      <w:pPr>
        <w:spacing w:after="0" w:line="360" w:lineRule="auto"/>
      </w:pPr>
    </w:p>
    <w:p w14:paraId="2C05CAE4" w14:textId="77777777" w:rsidR="006D6D06" w:rsidRDefault="006D6D06">
      <w:pPr>
        <w:spacing w:after="0" w:line="360" w:lineRule="auto"/>
      </w:pPr>
    </w:p>
    <w:p w14:paraId="75455581" w14:textId="77777777" w:rsidR="006D6D06" w:rsidRDefault="006D6D06">
      <w:pPr>
        <w:spacing w:after="0" w:line="360" w:lineRule="auto"/>
      </w:pPr>
    </w:p>
    <w:p w14:paraId="7FEE3D68" w14:textId="77777777" w:rsidR="006D6D06" w:rsidRDefault="006D6D06">
      <w:pPr>
        <w:spacing w:after="0" w:line="360" w:lineRule="auto"/>
      </w:pPr>
    </w:p>
    <w:p w14:paraId="71B6AF3F" w14:textId="77777777" w:rsidR="006D6D06" w:rsidRDefault="006D6D06">
      <w:pPr>
        <w:spacing w:after="0" w:line="360" w:lineRule="auto"/>
      </w:pPr>
    </w:p>
    <w:p w14:paraId="086DF675" w14:textId="77777777" w:rsidR="006D6D06" w:rsidRDefault="006D6D06">
      <w:pPr>
        <w:spacing w:after="0" w:line="360" w:lineRule="auto"/>
      </w:pPr>
    </w:p>
    <w:p w14:paraId="7D948FA3" w14:textId="77777777" w:rsidR="006D6D06" w:rsidRDefault="006D6D06">
      <w:pPr>
        <w:spacing w:after="0" w:line="360" w:lineRule="auto"/>
      </w:pPr>
    </w:p>
    <w:p w14:paraId="475755B4" w14:textId="77777777" w:rsidR="006D6D06" w:rsidRDefault="006D6D06">
      <w:pPr>
        <w:spacing w:after="0" w:line="360" w:lineRule="auto"/>
      </w:pPr>
    </w:p>
    <w:p w14:paraId="7C7FAD08" w14:textId="77777777" w:rsidR="006D6D06" w:rsidRDefault="006D6D06">
      <w:pPr>
        <w:spacing w:after="0" w:line="360" w:lineRule="auto"/>
      </w:pPr>
    </w:p>
    <w:p w14:paraId="491E1985" w14:textId="77777777" w:rsidR="006D6D06" w:rsidRDefault="006D6D06">
      <w:pPr>
        <w:spacing w:after="0" w:line="360" w:lineRule="auto"/>
      </w:pPr>
    </w:p>
    <w:p w14:paraId="22C5E8D9" w14:textId="77777777" w:rsidR="006D6D06" w:rsidRDefault="006D6D06">
      <w:pPr>
        <w:spacing w:after="0" w:line="360" w:lineRule="auto"/>
      </w:pPr>
    </w:p>
    <w:p w14:paraId="1D828508" w14:textId="77777777" w:rsidR="006D6D06" w:rsidRDefault="006D6D06">
      <w:pPr>
        <w:spacing w:after="0" w:line="360" w:lineRule="auto"/>
      </w:pPr>
    </w:p>
    <w:p w14:paraId="3336403A" w14:textId="77777777" w:rsidR="006D6D06" w:rsidRDefault="006D6D06">
      <w:pPr>
        <w:spacing w:after="0" w:line="360" w:lineRule="auto"/>
      </w:pPr>
    </w:p>
    <w:p w14:paraId="434AAD03" w14:textId="77777777" w:rsidR="006D6D06" w:rsidRDefault="006D6D06">
      <w:pPr>
        <w:spacing w:after="0" w:line="360" w:lineRule="auto"/>
      </w:pPr>
    </w:p>
    <w:p w14:paraId="22DC31EB" w14:textId="77777777" w:rsidR="006D6D06" w:rsidRDefault="006D6D06">
      <w:pPr>
        <w:spacing w:after="0" w:line="360" w:lineRule="auto"/>
      </w:pPr>
    </w:p>
    <w:p w14:paraId="7473D870" w14:textId="77777777" w:rsidR="006D6D06" w:rsidRDefault="006D6D06">
      <w:pPr>
        <w:spacing w:after="0" w:line="360" w:lineRule="auto"/>
      </w:pPr>
    </w:p>
    <w:p w14:paraId="1B433940" w14:textId="77777777" w:rsidR="006D6D06" w:rsidRDefault="006D6D06">
      <w:pPr>
        <w:spacing w:after="0" w:line="360" w:lineRule="auto"/>
      </w:pPr>
    </w:p>
    <w:p w14:paraId="7CF809C3" w14:textId="77777777" w:rsidR="006D6D06" w:rsidRDefault="006D6D06">
      <w:pPr>
        <w:spacing w:after="0" w:line="360" w:lineRule="auto"/>
      </w:pPr>
    </w:p>
    <w:p w14:paraId="529B82E9" w14:textId="77777777" w:rsidR="006D6D06" w:rsidRDefault="006D6D06">
      <w:pPr>
        <w:spacing w:after="0" w:line="360" w:lineRule="auto"/>
      </w:pPr>
      <w:bookmarkStart w:id="21" w:name="_heading=h.3as4poj" w:colFirst="0" w:colLast="0"/>
      <w:bookmarkEnd w:id="21"/>
    </w:p>
    <w:p w14:paraId="32FA1543" w14:textId="77777777" w:rsidR="006D6D06" w:rsidRDefault="006D6D06">
      <w:pPr>
        <w:spacing w:after="0" w:line="360" w:lineRule="auto"/>
      </w:pPr>
    </w:p>
    <w:p w14:paraId="3F0E8567" w14:textId="77777777" w:rsidR="006D6D06" w:rsidRDefault="006D6D06">
      <w:pPr>
        <w:spacing w:after="0" w:line="360" w:lineRule="auto"/>
      </w:pPr>
    </w:p>
    <w:p w14:paraId="2B20A6FF" w14:textId="77777777" w:rsidR="006D6D06" w:rsidRDefault="006D6D06">
      <w:pPr>
        <w:spacing w:after="0" w:line="360" w:lineRule="auto"/>
      </w:pPr>
    </w:p>
    <w:p w14:paraId="1EB351AA" w14:textId="77777777" w:rsidR="006D6D06" w:rsidRDefault="006D6D06">
      <w:pPr>
        <w:spacing w:after="0" w:line="360" w:lineRule="auto"/>
      </w:pPr>
    </w:p>
    <w:p w14:paraId="6050B61B" w14:textId="77777777" w:rsidR="006D6D06" w:rsidRDefault="006D6D06">
      <w:pPr>
        <w:spacing w:after="0" w:line="360" w:lineRule="auto"/>
      </w:pPr>
    </w:p>
    <w:p w14:paraId="5C561190" w14:textId="77777777" w:rsidR="006D6D06" w:rsidRDefault="006D6D06">
      <w:pPr>
        <w:spacing w:after="0" w:line="360" w:lineRule="auto"/>
      </w:pPr>
      <w:bookmarkStart w:id="22" w:name="_GoBack"/>
      <w:bookmarkEnd w:id="22"/>
    </w:p>
    <w:sectPr w:rsidR="006D6D06">
      <w:headerReference w:type="even" r:id="rId15"/>
      <w:headerReference w:type="default" r:id="rId16"/>
      <w:footerReference w:type="even" r:id="rId17"/>
      <w:footerReference w:type="default" r:id="rId18"/>
      <w:headerReference w:type="first" r:id="rId19"/>
      <w:footerReference w:type="first" r:id="rId20"/>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4E717" w14:textId="77777777" w:rsidR="0081750D" w:rsidRDefault="0081750D">
      <w:pPr>
        <w:spacing w:after="0" w:line="240" w:lineRule="auto"/>
      </w:pPr>
      <w:r>
        <w:separator/>
      </w:r>
    </w:p>
  </w:endnote>
  <w:endnote w:type="continuationSeparator" w:id="0">
    <w:p w14:paraId="2C71437B" w14:textId="77777777" w:rsidR="0081750D" w:rsidRDefault="0081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74C2" w14:textId="77777777" w:rsidR="006D6D06" w:rsidRDefault="0050730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72316F">
      <w:rPr>
        <w:b/>
        <w:color w:val="000000"/>
        <w:sz w:val="24"/>
        <w:szCs w:val="24"/>
      </w:rPr>
      <w:fldChar w:fldCharType="separate"/>
    </w:r>
    <w:r w:rsidR="0072316F">
      <w:rPr>
        <w:b/>
        <w:noProof/>
        <w:color w:val="000000"/>
        <w:sz w:val="24"/>
        <w:szCs w:val="24"/>
      </w:rPr>
      <w:t>16</w:t>
    </w:r>
    <w:r>
      <w:rPr>
        <w:b/>
        <w:color w:val="000000"/>
        <w:sz w:val="24"/>
        <w:szCs w:val="24"/>
      </w:rPr>
      <w:fldChar w:fldCharType="end"/>
    </w:r>
  </w:p>
  <w:p w14:paraId="0429199C" w14:textId="77777777" w:rsidR="006D6D06" w:rsidRDefault="006D6D0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73EB" w14:textId="77777777" w:rsidR="006D6D06" w:rsidRDefault="0050730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2316F">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2316F">
      <w:rPr>
        <w:b/>
        <w:noProof/>
        <w:color w:val="000000"/>
        <w:sz w:val="24"/>
        <w:szCs w:val="24"/>
      </w:rPr>
      <w:t>16</w:t>
    </w:r>
    <w:r>
      <w:rPr>
        <w:b/>
        <w:color w:val="000000"/>
        <w:sz w:val="24"/>
        <w:szCs w:val="24"/>
      </w:rPr>
      <w:fldChar w:fldCharType="end"/>
    </w:r>
  </w:p>
  <w:p w14:paraId="5773AE53" w14:textId="77777777" w:rsidR="006D6D06" w:rsidRDefault="006D6D0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1639" w14:textId="77777777" w:rsidR="006D6D06" w:rsidRDefault="0050730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2316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2316F">
      <w:rPr>
        <w:b/>
        <w:noProof/>
        <w:color w:val="000000"/>
        <w:sz w:val="24"/>
        <w:szCs w:val="24"/>
      </w:rPr>
      <w:t>16</w:t>
    </w:r>
    <w:r>
      <w:rPr>
        <w:b/>
        <w:color w:val="000000"/>
        <w:sz w:val="24"/>
        <w:szCs w:val="24"/>
      </w:rPr>
      <w:fldChar w:fldCharType="end"/>
    </w:r>
  </w:p>
  <w:p w14:paraId="0C9F355E" w14:textId="77777777" w:rsidR="006D6D06" w:rsidRDefault="006D6D0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99099" w14:textId="77777777" w:rsidR="0081750D" w:rsidRDefault="0081750D">
      <w:pPr>
        <w:spacing w:after="0" w:line="240" w:lineRule="auto"/>
      </w:pPr>
      <w:r>
        <w:separator/>
      </w:r>
    </w:p>
  </w:footnote>
  <w:footnote w:type="continuationSeparator" w:id="0">
    <w:p w14:paraId="043DF64B" w14:textId="77777777" w:rsidR="0081750D" w:rsidRDefault="00817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C04DD" w14:textId="77777777" w:rsidR="006D6D06" w:rsidRDefault="006D6D06">
    <w:pPr>
      <w:widowControl w:val="0"/>
      <w:pBdr>
        <w:top w:val="nil"/>
        <w:left w:val="nil"/>
        <w:bottom w:val="nil"/>
        <w:right w:val="nil"/>
        <w:between w:val="nil"/>
      </w:pBdr>
      <w:spacing w:after="0" w:line="276" w:lineRule="auto"/>
      <w:jc w:val="left"/>
      <w:rPr>
        <w:color w:val="000000"/>
      </w:rPr>
    </w:pPr>
  </w:p>
  <w:tbl>
    <w:tblPr>
      <w:tblStyle w:val="affb"/>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6D6D06" w14:paraId="71C12F36" w14:textId="77777777">
      <w:trPr>
        <w:trHeight w:val="141"/>
      </w:trPr>
      <w:tc>
        <w:tcPr>
          <w:tcW w:w="2404" w:type="dxa"/>
        </w:tcPr>
        <w:p w14:paraId="4BF34649" w14:textId="77777777" w:rsidR="006D6D06" w:rsidRDefault="00507303">
          <w:pPr>
            <w:tabs>
              <w:tab w:val="right" w:pos="8838"/>
            </w:tabs>
            <w:ind w:right="-105"/>
            <w:rPr>
              <w:b/>
            </w:rPr>
          </w:pPr>
          <w:r>
            <w:rPr>
              <w:b/>
            </w:rPr>
            <w:t>Recurso de Revisión:</w:t>
          </w:r>
        </w:p>
      </w:tc>
      <w:tc>
        <w:tcPr>
          <w:tcW w:w="3587" w:type="dxa"/>
        </w:tcPr>
        <w:p w14:paraId="4EDC3A9B" w14:textId="77777777" w:rsidR="006D6D06" w:rsidRDefault="00507303">
          <w:pPr>
            <w:tabs>
              <w:tab w:val="right" w:pos="8838"/>
            </w:tabs>
            <w:ind w:left="-28" w:right="683"/>
          </w:pPr>
          <w:r>
            <w:t>04196/INFOEM/IP/RR/2020</w:t>
          </w:r>
        </w:p>
      </w:tc>
    </w:tr>
    <w:tr w:rsidR="006D6D06" w14:paraId="3D2772C0" w14:textId="77777777">
      <w:trPr>
        <w:trHeight w:val="276"/>
      </w:trPr>
      <w:tc>
        <w:tcPr>
          <w:tcW w:w="2404" w:type="dxa"/>
        </w:tcPr>
        <w:p w14:paraId="1B3D21D5" w14:textId="77777777" w:rsidR="006D6D06" w:rsidRDefault="00507303">
          <w:pPr>
            <w:tabs>
              <w:tab w:val="right" w:pos="8838"/>
            </w:tabs>
            <w:ind w:right="-105"/>
            <w:rPr>
              <w:b/>
            </w:rPr>
          </w:pPr>
          <w:r>
            <w:rPr>
              <w:b/>
            </w:rPr>
            <w:t>Sujeto Obligado:</w:t>
          </w:r>
        </w:p>
      </w:tc>
      <w:tc>
        <w:tcPr>
          <w:tcW w:w="3587" w:type="dxa"/>
        </w:tcPr>
        <w:p w14:paraId="13479B8F" w14:textId="77777777" w:rsidR="006D6D06" w:rsidRDefault="00507303">
          <w:pPr>
            <w:tabs>
              <w:tab w:val="right" w:pos="8838"/>
            </w:tabs>
            <w:ind w:right="116"/>
          </w:pPr>
          <w:r>
            <w:t>Ayuntamiento de Chapultepec</w:t>
          </w:r>
        </w:p>
      </w:tc>
    </w:tr>
    <w:tr w:rsidR="006D6D06" w14:paraId="03DC4C05" w14:textId="77777777">
      <w:trPr>
        <w:trHeight w:val="276"/>
      </w:trPr>
      <w:tc>
        <w:tcPr>
          <w:tcW w:w="2404" w:type="dxa"/>
        </w:tcPr>
        <w:p w14:paraId="2D69F343" w14:textId="77777777" w:rsidR="006D6D06" w:rsidRDefault="00507303">
          <w:pPr>
            <w:tabs>
              <w:tab w:val="right" w:pos="8838"/>
            </w:tabs>
            <w:ind w:right="-105"/>
            <w:rPr>
              <w:b/>
            </w:rPr>
          </w:pPr>
          <w:r>
            <w:rPr>
              <w:b/>
            </w:rPr>
            <w:t>Comisionado Ponente:</w:t>
          </w:r>
        </w:p>
      </w:tc>
      <w:tc>
        <w:tcPr>
          <w:tcW w:w="3587" w:type="dxa"/>
        </w:tcPr>
        <w:p w14:paraId="54A61E11" w14:textId="77777777" w:rsidR="006D6D06" w:rsidRDefault="00507303">
          <w:pPr>
            <w:tabs>
              <w:tab w:val="right" w:pos="8838"/>
            </w:tabs>
            <w:ind w:right="-32"/>
          </w:pPr>
          <w:r>
            <w:t>Luis Gustavo Parra Noriega</w:t>
          </w:r>
        </w:p>
      </w:tc>
    </w:tr>
  </w:tbl>
  <w:p w14:paraId="355D0720" w14:textId="77777777" w:rsidR="006D6D06" w:rsidRDefault="0081750D">
    <w:pPr>
      <w:pBdr>
        <w:top w:val="nil"/>
        <w:left w:val="nil"/>
        <w:bottom w:val="nil"/>
        <w:right w:val="nil"/>
        <w:between w:val="nil"/>
      </w:pBdr>
      <w:tabs>
        <w:tab w:val="center" w:pos="4419"/>
        <w:tab w:val="right" w:pos="8838"/>
      </w:tabs>
      <w:spacing w:after="0" w:line="240" w:lineRule="auto"/>
      <w:rPr>
        <w:color w:val="000000"/>
      </w:rPr>
    </w:pPr>
    <w:r>
      <w:rPr>
        <w:color w:val="000000"/>
      </w:rPr>
      <w:pict w14:anchorId="1EEA9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D7AD" w14:textId="77777777" w:rsidR="006D6D06" w:rsidRDefault="006D6D06">
    <w:pPr>
      <w:rPr>
        <w:sz w:val="16"/>
        <w:szCs w:val="16"/>
      </w:rPr>
    </w:pPr>
  </w:p>
  <w:tbl>
    <w:tblPr>
      <w:tblStyle w:val="affc"/>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6D6D06" w14:paraId="382DB4A3" w14:textId="77777777">
      <w:trPr>
        <w:trHeight w:val="141"/>
      </w:trPr>
      <w:tc>
        <w:tcPr>
          <w:tcW w:w="2409" w:type="dxa"/>
        </w:tcPr>
        <w:p w14:paraId="4C43F9F7" w14:textId="77777777" w:rsidR="006D6D06" w:rsidRDefault="00507303">
          <w:pPr>
            <w:tabs>
              <w:tab w:val="right" w:pos="8838"/>
            </w:tabs>
            <w:ind w:left="-395" w:right="-105" w:firstLine="395"/>
            <w:rPr>
              <w:b/>
            </w:rPr>
          </w:pPr>
          <w:r>
            <w:rPr>
              <w:b/>
            </w:rPr>
            <w:t>Recurso de Revisión:</w:t>
          </w:r>
        </w:p>
      </w:tc>
      <w:tc>
        <w:tcPr>
          <w:tcW w:w="3686" w:type="dxa"/>
        </w:tcPr>
        <w:p w14:paraId="66D944B5" w14:textId="77777777" w:rsidR="006D6D06" w:rsidRDefault="00507303">
          <w:pPr>
            <w:tabs>
              <w:tab w:val="right" w:pos="8838"/>
            </w:tabs>
            <w:ind w:right="176"/>
            <w:rPr>
              <w:b/>
            </w:rPr>
          </w:pPr>
          <w:r>
            <w:rPr>
              <w:b/>
            </w:rPr>
            <w:t>01356/INFOEM/IP/RR/2025</w:t>
          </w:r>
        </w:p>
      </w:tc>
    </w:tr>
    <w:tr w:rsidR="006D6D06" w14:paraId="08FDD2A2" w14:textId="77777777">
      <w:trPr>
        <w:trHeight w:val="276"/>
      </w:trPr>
      <w:tc>
        <w:tcPr>
          <w:tcW w:w="2409" w:type="dxa"/>
        </w:tcPr>
        <w:p w14:paraId="4C77A5BC" w14:textId="77777777" w:rsidR="006D6D06" w:rsidRDefault="00507303">
          <w:pPr>
            <w:tabs>
              <w:tab w:val="right" w:pos="8838"/>
            </w:tabs>
            <w:ind w:right="-105"/>
            <w:rPr>
              <w:b/>
            </w:rPr>
          </w:pPr>
          <w:r>
            <w:rPr>
              <w:b/>
            </w:rPr>
            <w:t>Sujeto Obligado:</w:t>
          </w:r>
        </w:p>
      </w:tc>
      <w:tc>
        <w:tcPr>
          <w:tcW w:w="3686" w:type="dxa"/>
        </w:tcPr>
        <w:p w14:paraId="251DF2F1" w14:textId="77777777" w:rsidR="006D6D06" w:rsidRDefault="00507303">
          <w:pPr>
            <w:tabs>
              <w:tab w:val="left" w:pos="3158"/>
              <w:tab w:val="left" w:pos="4292"/>
              <w:tab w:val="right" w:pos="8838"/>
            </w:tabs>
            <w:ind w:right="176"/>
          </w:pPr>
          <w:r>
            <w:t>Ayuntamiento de Toluca</w:t>
          </w:r>
        </w:p>
      </w:tc>
    </w:tr>
    <w:tr w:rsidR="006D6D06" w14:paraId="4202D1A6" w14:textId="77777777">
      <w:trPr>
        <w:trHeight w:val="276"/>
      </w:trPr>
      <w:tc>
        <w:tcPr>
          <w:tcW w:w="2409" w:type="dxa"/>
        </w:tcPr>
        <w:p w14:paraId="0C86447B" w14:textId="77777777" w:rsidR="006D6D06" w:rsidRDefault="00507303">
          <w:pPr>
            <w:tabs>
              <w:tab w:val="right" w:pos="8838"/>
            </w:tabs>
            <w:ind w:right="-105"/>
            <w:rPr>
              <w:b/>
            </w:rPr>
          </w:pPr>
          <w:r>
            <w:rPr>
              <w:b/>
            </w:rPr>
            <w:t>Comisionado Ponente:</w:t>
          </w:r>
        </w:p>
      </w:tc>
      <w:tc>
        <w:tcPr>
          <w:tcW w:w="3686" w:type="dxa"/>
        </w:tcPr>
        <w:p w14:paraId="15FDDBEF" w14:textId="77777777" w:rsidR="006D6D06" w:rsidRDefault="00507303">
          <w:pPr>
            <w:tabs>
              <w:tab w:val="right" w:pos="8838"/>
            </w:tabs>
            <w:ind w:right="176"/>
          </w:pPr>
          <w:r>
            <w:t>Luis Gustavo Parra Noriega</w:t>
          </w:r>
        </w:p>
        <w:p w14:paraId="46EB0A9C" w14:textId="77777777" w:rsidR="006D6D06" w:rsidRDefault="006D6D06">
          <w:pPr>
            <w:tabs>
              <w:tab w:val="right" w:pos="8838"/>
            </w:tabs>
            <w:ind w:right="176"/>
          </w:pPr>
        </w:p>
      </w:tc>
    </w:tr>
  </w:tbl>
  <w:p w14:paraId="01319205" w14:textId="77777777" w:rsidR="006D6D06" w:rsidRDefault="0081750D">
    <w:pPr>
      <w:pBdr>
        <w:top w:val="nil"/>
        <w:left w:val="nil"/>
        <w:bottom w:val="nil"/>
        <w:right w:val="nil"/>
        <w:between w:val="nil"/>
      </w:pBdr>
      <w:tabs>
        <w:tab w:val="center" w:pos="4419"/>
        <w:tab w:val="right" w:pos="8838"/>
      </w:tabs>
      <w:spacing w:after="0" w:line="240" w:lineRule="auto"/>
      <w:rPr>
        <w:color w:val="000000"/>
      </w:rPr>
    </w:pPr>
    <w:r>
      <w:rPr>
        <w:color w:val="000000"/>
      </w:rPr>
      <w:pict w14:anchorId="29BEC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1F465" w14:textId="77777777" w:rsidR="006D6D06" w:rsidRDefault="006D6D06">
    <w:pPr>
      <w:widowControl w:val="0"/>
      <w:pBdr>
        <w:top w:val="nil"/>
        <w:left w:val="nil"/>
        <w:bottom w:val="nil"/>
        <w:right w:val="nil"/>
        <w:between w:val="nil"/>
      </w:pBdr>
      <w:spacing w:after="0" w:line="276" w:lineRule="auto"/>
      <w:jc w:val="left"/>
      <w:rPr>
        <w:color w:val="000000"/>
      </w:rPr>
    </w:pPr>
  </w:p>
  <w:tbl>
    <w:tblPr>
      <w:tblStyle w:val="affd"/>
      <w:tblW w:w="9214" w:type="dxa"/>
      <w:tblInd w:w="0" w:type="dxa"/>
      <w:tblLayout w:type="fixed"/>
      <w:tblLook w:val="0400" w:firstRow="0" w:lastRow="0" w:firstColumn="0" w:lastColumn="0" w:noHBand="0" w:noVBand="1"/>
    </w:tblPr>
    <w:tblGrid>
      <w:gridCol w:w="2127"/>
      <w:gridCol w:w="7087"/>
    </w:tblGrid>
    <w:tr w:rsidR="006D6D06" w14:paraId="26707E4F" w14:textId="77777777">
      <w:trPr>
        <w:trHeight w:val="1546"/>
      </w:trPr>
      <w:tc>
        <w:tcPr>
          <w:tcW w:w="2127" w:type="dxa"/>
          <w:shd w:val="clear" w:color="auto" w:fill="auto"/>
        </w:tcPr>
        <w:p w14:paraId="15398350" w14:textId="77777777" w:rsidR="006D6D06" w:rsidRDefault="006D6D06">
          <w:pPr>
            <w:tabs>
              <w:tab w:val="right" w:pos="4273"/>
            </w:tabs>
            <w:rPr>
              <w:rFonts w:ascii="Garamond" w:eastAsia="Garamond" w:hAnsi="Garamond" w:cs="Garamond"/>
              <w:sz w:val="16"/>
              <w:szCs w:val="16"/>
            </w:rPr>
          </w:pPr>
        </w:p>
      </w:tc>
      <w:tc>
        <w:tcPr>
          <w:tcW w:w="7087" w:type="dxa"/>
          <w:shd w:val="clear" w:color="auto" w:fill="auto"/>
        </w:tcPr>
        <w:p w14:paraId="5A6F4584" w14:textId="77777777" w:rsidR="006D6D06" w:rsidRDefault="006D6D06">
          <w:pPr>
            <w:rPr>
              <w:sz w:val="10"/>
              <w:szCs w:val="10"/>
            </w:rPr>
          </w:pPr>
        </w:p>
        <w:tbl>
          <w:tblPr>
            <w:tblStyle w:val="affe"/>
            <w:tblW w:w="5812" w:type="dxa"/>
            <w:tblInd w:w="1167" w:type="dxa"/>
            <w:tblLayout w:type="fixed"/>
            <w:tblLook w:val="0400" w:firstRow="0" w:lastRow="0" w:firstColumn="0" w:lastColumn="0" w:noHBand="0" w:noVBand="1"/>
          </w:tblPr>
          <w:tblGrid>
            <w:gridCol w:w="2410"/>
            <w:gridCol w:w="3402"/>
          </w:tblGrid>
          <w:tr w:rsidR="006D6D06" w14:paraId="2E454537" w14:textId="77777777">
            <w:trPr>
              <w:trHeight w:val="427"/>
            </w:trPr>
            <w:tc>
              <w:tcPr>
                <w:tcW w:w="2410" w:type="dxa"/>
                <w:vAlign w:val="bottom"/>
              </w:tcPr>
              <w:p w14:paraId="79CAAE4B" w14:textId="77777777" w:rsidR="006D6D06" w:rsidRDefault="00507303">
                <w:pPr>
                  <w:tabs>
                    <w:tab w:val="right" w:pos="8838"/>
                  </w:tabs>
                  <w:ind w:right="-105"/>
                  <w:rPr>
                    <w:b/>
                  </w:rPr>
                </w:pPr>
                <w:r>
                  <w:rPr>
                    <w:b/>
                  </w:rPr>
                  <w:t>Recurso de Revisión:</w:t>
                </w:r>
              </w:p>
            </w:tc>
            <w:tc>
              <w:tcPr>
                <w:tcW w:w="3402" w:type="dxa"/>
              </w:tcPr>
              <w:p w14:paraId="6F8D6F2D" w14:textId="77777777" w:rsidR="006D6D06" w:rsidRDefault="006D6D06">
                <w:pPr>
                  <w:tabs>
                    <w:tab w:val="right" w:pos="8838"/>
                  </w:tabs>
                  <w:ind w:left="-28" w:right="-107"/>
                  <w:rPr>
                    <w:b/>
                  </w:rPr>
                </w:pPr>
              </w:p>
              <w:p w14:paraId="1FEEFBF9" w14:textId="77777777" w:rsidR="006D6D06" w:rsidRDefault="00507303">
                <w:pPr>
                  <w:tabs>
                    <w:tab w:val="right" w:pos="8838"/>
                  </w:tabs>
                  <w:ind w:left="-28" w:right="-107"/>
                  <w:rPr>
                    <w:b/>
                  </w:rPr>
                </w:pPr>
                <w:r>
                  <w:rPr>
                    <w:b/>
                  </w:rPr>
                  <w:t>01356/INFOEM/IP/RR/2025</w:t>
                </w:r>
              </w:p>
            </w:tc>
          </w:tr>
          <w:tr w:rsidR="006D6D06" w14:paraId="210B63BF" w14:textId="77777777">
            <w:trPr>
              <w:trHeight w:val="141"/>
            </w:trPr>
            <w:tc>
              <w:tcPr>
                <w:tcW w:w="2410" w:type="dxa"/>
              </w:tcPr>
              <w:p w14:paraId="327D2CF1" w14:textId="77777777" w:rsidR="006D6D06" w:rsidRDefault="00507303">
                <w:pPr>
                  <w:tabs>
                    <w:tab w:val="right" w:pos="8838"/>
                  </w:tabs>
                  <w:ind w:right="-105"/>
                  <w:rPr>
                    <w:b/>
                  </w:rPr>
                </w:pPr>
                <w:r>
                  <w:rPr>
                    <w:b/>
                  </w:rPr>
                  <w:t>Recurrente:</w:t>
                </w:r>
              </w:p>
            </w:tc>
            <w:tc>
              <w:tcPr>
                <w:tcW w:w="3402" w:type="dxa"/>
              </w:tcPr>
              <w:p w14:paraId="0731EADA" w14:textId="77777777" w:rsidR="006D6D06" w:rsidRDefault="006D6D06">
                <w:pPr>
                  <w:tabs>
                    <w:tab w:val="right" w:pos="8838"/>
                  </w:tabs>
                  <w:ind w:right="-107"/>
                </w:pPr>
              </w:p>
            </w:tc>
          </w:tr>
          <w:tr w:rsidR="006D6D06" w14:paraId="23E95746" w14:textId="77777777">
            <w:trPr>
              <w:trHeight w:val="276"/>
            </w:trPr>
            <w:tc>
              <w:tcPr>
                <w:tcW w:w="2410" w:type="dxa"/>
              </w:tcPr>
              <w:p w14:paraId="4CFE52DA" w14:textId="77777777" w:rsidR="006D6D06" w:rsidRDefault="00507303">
                <w:pPr>
                  <w:tabs>
                    <w:tab w:val="right" w:pos="8838"/>
                  </w:tabs>
                  <w:ind w:right="-105"/>
                  <w:rPr>
                    <w:b/>
                  </w:rPr>
                </w:pPr>
                <w:r>
                  <w:rPr>
                    <w:b/>
                  </w:rPr>
                  <w:t>Sujeto Obligado:</w:t>
                </w:r>
              </w:p>
            </w:tc>
            <w:tc>
              <w:tcPr>
                <w:tcW w:w="3402" w:type="dxa"/>
              </w:tcPr>
              <w:p w14:paraId="53BD6570" w14:textId="77777777" w:rsidR="006D6D06" w:rsidRDefault="00507303">
                <w:pPr>
                  <w:tabs>
                    <w:tab w:val="right" w:pos="8838"/>
                  </w:tabs>
                  <w:ind w:right="33"/>
                </w:pPr>
                <w:r>
                  <w:t>Ayuntamiento de Toluca</w:t>
                </w:r>
              </w:p>
            </w:tc>
          </w:tr>
          <w:tr w:rsidR="006D6D06" w14:paraId="2429FF61" w14:textId="77777777">
            <w:trPr>
              <w:trHeight w:val="276"/>
            </w:trPr>
            <w:tc>
              <w:tcPr>
                <w:tcW w:w="2410" w:type="dxa"/>
              </w:tcPr>
              <w:p w14:paraId="49C5ED40" w14:textId="77777777" w:rsidR="006D6D06" w:rsidRDefault="00507303">
                <w:pPr>
                  <w:tabs>
                    <w:tab w:val="right" w:pos="8838"/>
                  </w:tabs>
                  <w:ind w:right="-105"/>
                  <w:rPr>
                    <w:b/>
                  </w:rPr>
                </w:pPr>
                <w:r>
                  <w:rPr>
                    <w:b/>
                  </w:rPr>
                  <w:t>Comisionado Ponente:</w:t>
                </w:r>
              </w:p>
            </w:tc>
            <w:tc>
              <w:tcPr>
                <w:tcW w:w="3402" w:type="dxa"/>
              </w:tcPr>
              <w:p w14:paraId="492B7B67" w14:textId="77777777" w:rsidR="006D6D06" w:rsidRDefault="00507303">
                <w:pPr>
                  <w:tabs>
                    <w:tab w:val="right" w:pos="8838"/>
                  </w:tabs>
                  <w:ind w:right="-107"/>
                </w:pPr>
                <w:r>
                  <w:t>Luis Gustavo Parra Noriega</w:t>
                </w:r>
              </w:p>
            </w:tc>
          </w:tr>
        </w:tbl>
        <w:p w14:paraId="7A36E15C" w14:textId="77777777" w:rsidR="006D6D06" w:rsidRDefault="006D6D06">
          <w:pPr>
            <w:tabs>
              <w:tab w:val="right" w:pos="8838"/>
            </w:tabs>
            <w:ind w:left="-28"/>
            <w:rPr>
              <w:rFonts w:ascii="Arial" w:eastAsia="Arial" w:hAnsi="Arial" w:cs="Arial"/>
              <w:b/>
            </w:rPr>
          </w:pPr>
        </w:p>
      </w:tc>
    </w:tr>
  </w:tbl>
  <w:p w14:paraId="44AA6827" w14:textId="77777777" w:rsidR="006D6D06" w:rsidRDefault="0081750D">
    <w:pPr>
      <w:pBdr>
        <w:top w:val="nil"/>
        <w:left w:val="nil"/>
        <w:bottom w:val="nil"/>
        <w:right w:val="nil"/>
        <w:between w:val="nil"/>
      </w:pBdr>
      <w:tabs>
        <w:tab w:val="center" w:pos="4419"/>
        <w:tab w:val="right" w:pos="8838"/>
      </w:tabs>
      <w:spacing w:after="0" w:line="240" w:lineRule="auto"/>
      <w:rPr>
        <w:color w:val="000000"/>
      </w:rPr>
    </w:pPr>
    <w:r>
      <w:rPr>
        <w:color w:val="000000"/>
      </w:rPr>
      <w:pict w14:anchorId="17944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C6DE6"/>
    <w:multiLevelType w:val="multilevel"/>
    <w:tmpl w:val="B6EACE5E"/>
    <w:lvl w:ilvl="0">
      <w:start w:val="1"/>
      <w:numFmt w:val="upperRoman"/>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836D9A"/>
    <w:multiLevelType w:val="multilevel"/>
    <w:tmpl w:val="1012D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3E0E5C"/>
    <w:multiLevelType w:val="multilevel"/>
    <w:tmpl w:val="3FB8FBB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B0773E"/>
    <w:multiLevelType w:val="multilevel"/>
    <w:tmpl w:val="8B641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06"/>
    <w:rsid w:val="00321062"/>
    <w:rsid w:val="00340B02"/>
    <w:rsid w:val="00507303"/>
    <w:rsid w:val="0061411E"/>
    <w:rsid w:val="006D6D06"/>
    <w:rsid w:val="0072316F"/>
    <w:rsid w:val="00733EB1"/>
    <w:rsid w:val="0081750D"/>
    <w:rsid w:val="008874AF"/>
    <w:rsid w:val="00B5632F"/>
    <w:rsid w:val="00B826C3"/>
    <w:rsid w:val="00D46D0E"/>
    <w:rsid w:val="00FD2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C7675"/>
  <w15:docId w15:val="{BA372A1F-C1CC-408F-BE2F-908894A7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a"/>
    <w:pPr>
      <w:spacing w:after="0" w:line="240" w:lineRule="auto"/>
    </w:pPr>
    <w:tblPr>
      <w:tblStyleRowBandSize w:val="1"/>
      <w:tblStyleColBandSize w:val="1"/>
      <w:tblCellMar>
        <w:left w:w="108" w:type="dxa"/>
        <w:right w:w="108" w:type="dxa"/>
      </w:tblCellMar>
    </w:tbl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a"/>
    <w:pPr>
      <w:spacing w:after="0" w:line="240" w:lineRule="auto"/>
    </w:pPr>
    <w:tblPr>
      <w:tblStyleRowBandSize w:val="1"/>
      <w:tblStyleColBandSize w:val="1"/>
      <w:tblCellMar>
        <w:left w:w="108" w:type="dxa"/>
        <w:right w:w="108" w:type="dxa"/>
      </w:tblCellMar>
    </w:tblPr>
  </w:style>
  <w:style w:type="table" w:customStyle="1" w:styleId="a4">
    <w:basedOn w:val="TableNormala"/>
    <w:pPr>
      <w:spacing w:after="0" w:line="240" w:lineRule="auto"/>
    </w:pPr>
    <w:tblPr>
      <w:tblStyleRowBandSize w:val="1"/>
      <w:tblStyleColBandSize w:val="1"/>
      <w:tblCellMar>
        <w:left w:w="108" w:type="dxa"/>
        <w:right w:w="108" w:type="dxa"/>
      </w:tblCellMar>
    </w:tblPr>
  </w:style>
  <w:style w:type="table" w:customStyle="1" w:styleId="a5">
    <w:basedOn w:val="TableNormala"/>
    <w:pPr>
      <w:spacing w:after="0" w:line="240" w:lineRule="auto"/>
    </w:pPr>
    <w:tblPr>
      <w:tblStyleRowBandSize w:val="1"/>
      <w:tblStyleColBandSize w:val="1"/>
      <w:tblCellMar>
        <w:left w:w="108" w:type="dxa"/>
        <w:right w:w="108" w:type="dxa"/>
      </w:tblCellMar>
    </w:tblPr>
  </w:style>
  <w:style w:type="table" w:customStyle="1" w:styleId="a6">
    <w:basedOn w:val="TableNormala"/>
    <w:pPr>
      <w:spacing w:after="0" w:line="240" w:lineRule="auto"/>
    </w:pPr>
    <w:tblPr>
      <w:tblStyleRowBandSize w:val="1"/>
      <w:tblStyleColBandSize w:val="1"/>
      <w:tblCellMar>
        <w:left w:w="108" w:type="dxa"/>
        <w:right w:w="108" w:type="dxa"/>
      </w:tblCellMar>
    </w:tblPr>
  </w:style>
  <w:style w:type="table" w:customStyle="1" w:styleId="a7">
    <w:basedOn w:val="TableNormal9"/>
    <w:pPr>
      <w:spacing w:after="0" w:line="240" w:lineRule="auto"/>
    </w:pPr>
    <w:tblPr>
      <w:tblStyleRowBandSize w:val="1"/>
      <w:tblStyleColBandSize w:val="1"/>
      <w:tblCellMar>
        <w:left w:w="108" w:type="dxa"/>
        <w:right w:w="108" w:type="dxa"/>
      </w:tblCellMar>
    </w:tblPr>
  </w:style>
  <w:style w:type="table" w:customStyle="1" w:styleId="a8">
    <w:basedOn w:val="TableNormal9"/>
    <w:pPr>
      <w:spacing w:after="0" w:line="240" w:lineRule="auto"/>
    </w:pPr>
    <w:tblPr>
      <w:tblStyleRowBandSize w:val="1"/>
      <w:tblStyleColBandSize w:val="1"/>
      <w:tblCellMar>
        <w:left w:w="108" w:type="dxa"/>
        <w:right w:w="108" w:type="dxa"/>
      </w:tblCellMar>
    </w:tblPr>
  </w:style>
  <w:style w:type="table" w:customStyle="1" w:styleId="a9">
    <w:basedOn w:val="TableNormal9"/>
    <w:pPr>
      <w:spacing w:after="0" w:line="240" w:lineRule="auto"/>
    </w:pPr>
    <w:tblPr>
      <w:tblStyleRowBandSize w:val="1"/>
      <w:tblStyleColBandSize w:val="1"/>
      <w:tblCellMar>
        <w:left w:w="108" w:type="dxa"/>
        <w:right w:w="108" w:type="dxa"/>
      </w:tblCellMar>
    </w:tblPr>
  </w:style>
  <w:style w:type="table" w:customStyle="1" w:styleId="aa">
    <w:basedOn w:val="TableNormal9"/>
    <w:pPr>
      <w:spacing w:after="0" w:line="240" w:lineRule="auto"/>
    </w:pPr>
    <w:tblPr>
      <w:tblStyleRowBandSize w:val="1"/>
      <w:tblStyleColBandSize w:val="1"/>
      <w:tblCellMar>
        <w:left w:w="108" w:type="dxa"/>
        <w:right w:w="108" w:type="dxa"/>
      </w:tblCellMar>
    </w:tblPr>
  </w:style>
  <w:style w:type="table" w:customStyle="1" w:styleId="ab">
    <w:basedOn w:val="TableNormal8"/>
    <w:pPr>
      <w:spacing w:after="0" w:line="240" w:lineRule="auto"/>
    </w:pPr>
    <w:tblPr>
      <w:tblStyleRowBandSize w:val="1"/>
      <w:tblStyleColBandSize w:val="1"/>
      <w:tblCellMar>
        <w:left w:w="108" w:type="dxa"/>
        <w:right w:w="108" w:type="dxa"/>
      </w:tblCellMar>
    </w:tblPr>
  </w:style>
  <w:style w:type="table" w:customStyle="1" w:styleId="ac">
    <w:basedOn w:val="TableNormal8"/>
    <w:pPr>
      <w:spacing w:after="0" w:line="240" w:lineRule="auto"/>
    </w:pPr>
    <w:tblPr>
      <w:tblStyleRowBandSize w:val="1"/>
      <w:tblStyleColBandSize w:val="1"/>
      <w:tblCellMar>
        <w:left w:w="108" w:type="dxa"/>
        <w:right w:w="108" w:type="dxa"/>
      </w:tblCellMar>
    </w:tblPr>
  </w:style>
  <w:style w:type="table" w:customStyle="1" w:styleId="ad">
    <w:basedOn w:val="TableNormal8"/>
    <w:pPr>
      <w:spacing w:after="0" w:line="240" w:lineRule="auto"/>
    </w:pPr>
    <w:tblPr>
      <w:tblStyleRowBandSize w:val="1"/>
      <w:tblStyleColBandSize w:val="1"/>
      <w:tblCellMar>
        <w:left w:w="108" w:type="dxa"/>
        <w:right w:w="108" w:type="dxa"/>
      </w:tblCellMar>
    </w:tblPr>
  </w:style>
  <w:style w:type="table" w:customStyle="1" w:styleId="ae">
    <w:basedOn w:val="TableNormal8"/>
    <w:pPr>
      <w:spacing w:after="0" w:line="240" w:lineRule="auto"/>
    </w:pPr>
    <w:tblPr>
      <w:tblStyleRowBandSize w:val="1"/>
      <w:tblStyleColBandSize w:val="1"/>
      <w:tblCellMar>
        <w:left w:w="108" w:type="dxa"/>
        <w:right w:w="108" w:type="dxa"/>
      </w:tblCellMar>
    </w:tblPr>
  </w:style>
  <w:style w:type="table" w:customStyle="1" w:styleId="af">
    <w:basedOn w:val="TableNormal7"/>
    <w:pPr>
      <w:spacing w:after="0" w:line="240" w:lineRule="auto"/>
    </w:pPr>
    <w:tblPr>
      <w:tblStyleRowBandSize w:val="1"/>
      <w:tblStyleColBandSize w:val="1"/>
      <w:tblCellMar>
        <w:left w:w="108" w:type="dxa"/>
        <w:right w:w="108" w:type="dxa"/>
      </w:tblCellMar>
    </w:tblPr>
  </w:style>
  <w:style w:type="table" w:customStyle="1" w:styleId="af0">
    <w:basedOn w:val="TableNormal7"/>
    <w:pPr>
      <w:spacing w:after="0" w:line="240" w:lineRule="auto"/>
    </w:pPr>
    <w:tblPr>
      <w:tblStyleRowBandSize w:val="1"/>
      <w:tblStyleColBandSize w:val="1"/>
      <w:tblCellMar>
        <w:left w:w="108" w:type="dxa"/>
        <w:right w:w="108" w:type="dxa"/>
      </w:tblCellMar>
    </w:tblPr>
  </w:style>
  <w:style w:type="table" w:customStyle="1" w:styleId="af1">
    <w:basedOn w:val="TableNormal7"/>
    <w:pPr>
      <w:spacing w:after="0" w:line="240" w:lineRule="auto"/>
    </w:pPr>
    <w:tblPr>
      <w:tblStyleRowBandSize w:val="1"/>
      <w:tblStyleColBandSize w:val="1"/>
      <w:tblCellMar>
        <w:left w:w="108" w:type="dxa"/>
        <w:right w:w="108" w:type="dxa"/>
      </w:tblCellMar>
    </w:tblPr>
  </w:style>
  <w:style w:type="table" w:customStyle="1" w:styleId="af2">
    <w:basedOn w:val="TableNormal7"/>
    <w:pPr>
      <w:spacing w:after="0" w:line="240" w:lineRule="auto"/>
    </w:pPr>
    <w:tblPr>
      <w:tblStyleRowBandSize w:val="1"/>
      <w:tblStyleColBandSize w:val="1"/>
      <w:tblCellMar>
        <w:left w:w="108" w:type="dxa"/>
        <w:right w:w="108" w:type="dxa"/>
      </w:tblCellMar>
    </w:tblPr>
  </w:style>
  <w:style w:type="table" w:customStyle="1" w:styleId="af3">
    <w:basedOn w:val="TableNormal6"/>
    <w:pPr>
      <w:spacing w:after="0" w:line="240" w:lineRule="auto"/>
    </w:pPr>
    <w:tblPr>
      <w:tblStyleRowBandSize w:val="1"/>
      <w:tblStyleColBandSize w:val="1"/>
      <w:tblCellMar>
        <w:left w:w="108" w:type="dxa"/>
        <w:right w:w="108" w:type="dxa"/>
      </w:tblCellMar>
    </w:tblPr>
  </w:style>
  <w:style w:type="table" w:customStyle="1" w:styleId="af4">
    <w:basedOn w:val="TableNormal6"/>
    <w:pPr>
      <w:spacing w:after="0" w:line="240" w:lineRule="auto"/>
    </w:pPr>
    <w:tblPr>
      <w:tblStyleRowBandSize w:val="1"/>
      <w:tblStyleColBandSize w:val="1"/>
      <w:tblCellMar>
        <w:left w:w="108" w:type="dxa"/>
        <w:right w:w="108" w:type="dxa"/>
      </w:tblCellMar>
    </w:tblPr>
  </w:style>
  <w:style w:type="table" w:customStyle="1" w:styleId="af5">
    <w:basedOn w:val="TableNormal6"/>
    <w:pPr>
      <w:spacing w:after="0" w:line="240" w:lineRule="auto"/>
    </w:pPr>
    <w:tblPr>
      <w:tblStyleRowBandSize w:val="1"/>
      <w:tblStyleColBandSize w:val="1"/>
      <w:tblCellMar>
        <w:left w:w="108" w:type="dxa"/>
        <w:right w:w="108" w:type="dxa"/>
      </w:tblCellMar>
    </w:tblPr>
  </w:style>
  <w:style w:type="table" w:customStyle="1" w:styleId="af6">
    <w:basedOn w:val="TableNormal6"/>
    <w:pPr>
      <w:spacing w:after="0" w:line="240" w:lineRule="auto"/>
    </w:pPr>
    <w:tblPr>
      <w:tblStyleRowBandSize w:val="1"/>
      <w:tblStyleColBandSize w:val="1"/>
      <w:tblCellMar>
        <w:left w:w="108" w:type="dxa"/>
        <w:right w:w="108" w:type="dxa"/>
      </w:tblCellMar>
    </w:tblPr>
  </w:style>
  <w:style w:type="table" w:customStyle="1" w:styleId="af7">
    <w:basedOn w:val="TableNormal5"/>
    <w:pPr>
      <w:spacing w:after="0" w:line="240" w:lineRule="auto"/>
    </w:pPr>
    <w:tblPr>
      <w:tblStyleRowBandSize w:val="1"/>
      <w:tblStyleColBandSize w:val="1"/>
      <w:tblCellMar>
        <w:left w:w="108" w:type="dxa"/>
        <w:right w:w="108" w:type="dxa"/>
      </w:tblCellMar>
    </w:tblPr>
  </w:style>
  <w:style w:type="table" w:customStyle="1" w:styleId="af8">
    <w:basedOn w:val="TableNormal5"/>
    <w:pPr>
      <w:spacing w:after="0" w:line="240" w:lineRule="auto"/>
    </w:pPr>
    <w:tblPr>
      <w:tblStyleRowBandSize w:val="1"/>
      <w:tblStyleColBandSize w:val="1"/>
      <w:tblCellMar>
        <w:left w:w="108" w:type="dxa"/>
        <w:right w:w="108" w:type="dxa"/>
      </w:tblCellMar>
    </w:tblPr>
  </w:style>
  <w:style w:type="table" w:customStyle="1" w:styleId="af9">
    <w:basedOn w:val="TableNormal5"/>
    <w:pPr>
      <w:spacing w:after="0" w:line="240" w:lineRule="auto"/>
    </w:pPr>
    <w:tblPr>
      <w:tblStyleRowBandSize w:val="1"/>
      <w:tblStyleColBandSize w:val="1"/>
      <w:tblCellMar>
        <w:left w:w="108" w:type="dxa"/>
        <w:right w:w="108" w:type="dxa"/>
      </w:tblCellMar>
    </w:tblPr>
  </w:style>
  <w:style w:type="table" w:customStyle="1" w:styleId="afa">
    <w:basedOn w:val="TableNormal5"/>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pPr>
      <w:spacing w:after="0" w:line="240" w:lineRule="auto"/>
    </w:pPr>
    <w:tblPr>
      <w:tblStyleRowBandSize w:val="1"/>
      <w:tblStyleColBandSize w:val="1"/>
      <w:tblCellMar>
        <w:left w:w="108" w:type="dxa"/>
        <w:right w:w="108" w:type="dxa"/>
      </w:tblCellMar>
    </w:tblPr>
  </w:style>
  <w:style w:type="table" w:customStyle="1" w:styleId="afe">
    <w:basedOn w:val="TableNormal4"/>
    <w:pPr>
      <w:spacing w:after="0" w:line="240" w:lineRule="auto"/>
    </w:pPr>
    <w:tblPr>
      <w:tblStyleRowBandSize w:val="1"/>
      <w:tblStyleColBandSize w:val="1"/>
      <w:tblCellMar>
        <w:left w:w="108" w:type="dxa"/>
        <w:right w:w="108" w:type="dxa"/>
      </w:tblCellMar>
    </w:tblPr>
  </w:style>
  <w:style w:type="table" w:customStyle="1" w:styleId="aff">
    <w:basedOn w:val="TableNormal3"/>
    <w:pPr>
      <w:spacing w:after="0" w:line="240" w:lineRule="auto"/>
    </w:pPr>
    <w:tblPr>
      <w:tblStyleRowBandSize w:val="1"/>
      <w:tblStyleColBandSize w:val="1"/>
      <w:tblCellMar>
        <w:left w:w="108" w:type="dxa"/>
        <w:right w:w="108" w:type="dxa"/>
      </w:tblCellMar>
    </w:tblPr>
  </w:style>
  <w:style w:type="table" w:customStyle="1" w:styleId="aff0">
    <w:basedOn w:val="TableNormal3"/>
    <w:pPr>
      <w:spacing w:after="0" w:line="240" w:lineRule="auto"/>
    </w:pPr>
    <w:tblPr>
      <w:tblStyleRowBandSize w:val="1"/>
      <w:tblStyleColBandSize w:val="1"/>
      <w:tblCellMar>
        <w:left w:w="108" w:type="dxa"/>
        <w:right w:w="108" w:type="dxa"/>
      </w:tblCellMar>
    </w:tblPr>
  </w:style>
  <w:style w:type="table" w:customStyle="1" w:styleId="aff1">
    <w:basedOn w:val="TableNormal3"/>
    <w:pPr>
      <w:spacing w:after="0" w:line="240" w:lineRule="auto"/>
    </w:pPr>
    <w:tblPr>
      <w:tblStyleRowBandSize w:val="1"/>
      <w:tblStyleColBandSize w:val="1"/>
      <w:tblCellMar>
        <w:left w:w="108" w:type="dxa"/>
        <w:right w:w="108" w:type="dxa"/>
      </w:tblCellMar>
    </w:tblPr>
  </w:style>
  <w:style w:type="table" w:customStyle="1" w:styleId="aff2">
    <w:basedOn w:val="TableNormal3"/>
    <w:pPr>
      <w:spacing w:after="0" w:line="240" w:lineRule="auto"/>
    </w:pPr>
    <w:tblPr>
      <w:tblStyleRowBandSize w:val="1"/>
      <w:tblStyleColBandSize w:val="1"/>
      <w:tblCellMar>
        <w:left w:w="108" w:type="dxa"/>
        <w:right w:w="108" w:type="dxa"/>
      </w:tblCellMar>
    </w:tblPr>
  </w:style>
  <w:style w:type="table" w:customStyle="1" w:styleId="aff3">
    <w:basedOn w:val="TableNormal2"/>
    <w:pPr>
      <w:spacing w:after="0" w:line="240" w:lineRule="auto"/>
    </w:pPr>
    <w:tblPr>
      <w:tblStyleRowBandSize w:val="1"/>
      <w:tblStyleColBandSize w:val="1"/>
      <w:tblCellMar>
        <w:left w:w="108" w:type="dxa"/>
        <w:right w:w="108" w:type="dxa"/>
      </w:tblCellMar>
    </w:tblPr>
  </w:style>
  <w:style w:type="table" w:customStyle="1" w:styleId="aff4">
    <w:basedOn w:val="TableNormal2"/>
    <w:pPr>
      <w:spacing w:after="0" w:line="240" w:lineRule="auto"/>
    </w:pPr>
    <w:tblPr>
      <w:tblStyleRowBandSize w:val="1"/>
      <w:tblStyleColBandSize w:val="1"/>
      <w:tblCellMar>
        <w:left w:w="108" w:type="dxa"/>
        <w:right w:w="108" w:type="dxa"/>
      </w:tblCellMar>
    </w:tblPr>
  </w:style>
  <w:style w:type="table" w:customStyle="1" w:styleId="aff5">
    <w:basedOn w:val="TableNormal2"/>
    <w:pPr>
      <w:spacing w:after="0" w:line="240" w:lineRule="auto"/>
    </w:pPr>
    <w:tblPr>
      <w:tblStyleRowBandSize w:val="1"/>
      <w:tblStyleColBandSize w:val="1"/>
      <w:tblCellMar>
        <w:left w:w="108" w:type="dxa"/>
        <w:right w:w="108" w:type="dxa"/>
      </w:tblCellMar>
    </w:tblPr>
  </w:style>
  <w:style w:type="table" w:customStyle="1" w:styleId="aff6">
    <w:basedOn w:val="TableNormal2"/>
    <w:pPr>
      <w:spacing w:after="0" w:line="240" w:lineRule="auto"/>
    </w:pPr>
    <w:tblPr>
      <w:tblStyleRowBandSize w:val="1"/>
      <w:tblStyleColBandSize w:val="1"/>
      <w:tblCellMar>
        <w:left w:w="108" w:type="dxa"/>
        <w:right w:w="108"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144077"/>
    <w:rPr>
      <w:color w:val="605E5C"/>
      <w:shd w:val="clear" w:color="auto" w:fill="E1DFDD"/>
    </w:r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2.toluca.gob.mx/"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prUcbUaHdEVptVlIoOuBBDHOw==">CgMxLjAyCWguMnM4ZXlvMTIIaC5namRneHMyCWguMzVua3VuMjIJaC4xa3N2NHV2MgloLjQ0c2luaW8yCWguMmV0OTJwMDIJaC4yanhzeHFoMghoLnozMzd5YTIJaC4zajJxcW0zMg5oLjY5b3hlMW44emx1ODIOaC5hMGYxMHd2andwYTEyDWguZ2x2ZWo1ejM3YmoyCWguM2FzNHBvajgAciExX0QxamJGV05JTFdmdEVBMmZtRE9uVzFwbGZaNzBSSzI=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840DF4-83DC-4C03-AA35-A8650493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3136</Words>
  <Characters>17254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2025-03-28T17:09:00Z</cp:lastPrinted>
  <dcterms:created xsi:type="dcterms:W3CDTF">2025-03-28T17:09:00Z</dcterms:created>
  <dcterms:modified xsi:type="dcterms:W3CDTF">2025-03-28T17:09:00Z</dcterms:modified>
</cp:coreProperties>
</file>