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E1D6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84BC3">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w:t>
      </w:r>
      <w:r w:rsidR="00E14749" w:rsidRPr="00484BC3">
        <w:rPr>
          <w:rFonts w:ascii="Palatino Linotype" w:eastAsia="Palatino Linotype" w:hAnsi="Palatino Linotype" w:cs="Palatino Linotype"/>
          <w:sz w:val="22"/>
          <w:szCs w:val="22"/>
        </w:rPr>
        <w:t>pec, Estado de México, a catorce</w:t>
      </w:r>
      <w:r w:rsidRPr="00484BC3">
        <w:rPr>
          <w:rFonts w:ascii="Palatino Linotype" w:eastAsia="Palatino Linotype" w:hAnsi="Palatino Linotype" w:cs="Palatino Linotype"/>
          <w:sz w:val="22"/>
          <w:szCs w:val="22"/>
        </w:rPr>
        <w:t xml:space="preserve"> de </w:t>
      </w:r>
      <w:r w:rsidR="000B448F" w:rsidRPr="00484BC3">
        <w:rPr>
          <w:rFonts w:ascii="Palatino Linotype" w:eastAsia="Palatino Linotype" w:hAnsi="Palatino Linotype" w:cs="Palatino Linotype"/>
          <w:sz w:val="22"/>
          <w:szCs w:val="22"/>
        </w:rPr>
        <w:t>mayo</w:t>
      </w:r>
      <w:r w:rsidRPr="00484BC3">
        <w:rPr>
          <w:rFonts w:ascii="Palatino Linotype" w:eastAsia="Palatino Linotype" w:hAnsi="Palatino Linotype" w:cs="Palatino Linotype"/>
          <w:sz w:val="22"/>
          <w:szCs w:val="22"/>
        </w:rPr>
        <w:t xml:space="preserve"> de dos mil veinticinco. </w:t>
      </w:r>
    </w:p>
    <w:p w14:paraId="293B36D0" w14:textId="3ACFB69C" w:rsidR="00DA2A6F" w:rsidRPr="00484BC3" w:rsidRDefault="00B8010F">
      <w:pPr>
        <w:spacing w:before="240" w:after="240" w:line="360" w:lineRule="auto"/>
        <w:jc w:val="both"/>
        <w:rPr>
          <w:rFonts w:ascii="Palatino Linotype" w:eastAsia="Palatino Linotype" w:hAnsi="Palatino Linotype" w:cs="Palatino Linotype"/>
          <w:sz w:val="20"/>
          <w:szCs w:val="20"/>
        </w:rPr>
      </w:pPr>
      <w:r w:rsidRPr="00484BC3">
        <w:rPr>
          <w:rFonts w:ascii="Palatino Linotype" w:eastAsia="Palatino Linotype" w:hAnsi="Palatino Linotype" w:cs="Palatino Linotype"/>
          <w:b/>
          <w:sz w:val="22"/>
          <w:szCs w:val="22"/>
        </w:rPr>
        <w:t>Visto</w:t>
      </w:r>
      <w:r w:rsidRPr="00484BC3">
        <w:rPr>
          <w:rFonts w:ascii="Palatino Linotype" w:eastAsia="Palatino Linotype" w:hAnsi="Palatino Linotype" w:cs="Palatino Linotype"/>
          <w:sz w:val="22"/>
          <w:szCs w:val="22"/>
        </w:rPr>
        <w:t xml:space="preserve"> el expediente formado con motivo del recurso de revisión </w:t>
      </w:r>
      <w:r w:rsidR="000B448F" w:rsidRPr="00484BC3">
        <w:rPr>
          <w:rFonts w:ascii="Palatino Linotype" w:eastAsia="Palatino Linotype" w:hAnsi="Palatino Linotype" w:cs="Palatino Linotype"/>
          <w:b/>
          <w:sz w:val="22"/>
          <w:szCs w:val="22"/>
        </w:rPr>
        <w:t>02334/INFOEM/IP/RR/2025</w:t>
      </w:r>
      <w:r w:rsidRPr="00484BC3">
        <w:rPr>
          <w:rFonts w:ascii="Palatino Linotype" w:eastAsia="Palatino Linotype" w:hAnsi="Palatino Linotype" w:cs="Palatino Linotype"/>
          <w:sz w:val="22"/>
          <w:szCs w:val="22"/>
        </w:rPr>
        <w:t>, interpuesto por</w:t>
      </w:r>
      <w:r w:rsidRPr="00484BC3">
        <w:rPr>
          <w:rFonts w:ascii="Palatino Linotype" w:eastAsia="Palatino Linotype" w:hAnsi="Palatino Linotype" w:cs="Palatino Linotype"/>
          <w:b/>
          <w:sz w:val="22"/>
          <w:szCs w:val="22"/>
        </w:rPr>
        <w:t xml:space="preserve"> </w:t>
      </w:r>
      <w:r w:rsidR="00F34942" w:rsidRPr="00F34942">
        <w:rPr>
          <w:rFonts w:ascii="Palatino Linotype" w:eastAsia="Palatino Linotype" w:hAnsi="Palatino Linotype" w:cs="Palatino Linotype"/>
          <w:b/>
          <w:sz w:val="22"/>
          <w:szCs w:val="22"/>
        </w:rPr>
        <w:t>XXXXXX XXXX XXXXXXXXX</w:t>
      </w:r>
      <w:r w:rsidRPr="00484BC3">
        <w:rPr>
          <w:rFonts w:ascii="Palatino Linotype" w:eastAsia="Palatino Linotype" w:hAnsi="Palatino Linotype" w:cs="Palatino Linotype"/>
          <w:b/>
          <w:sz w:val="22"/>
          <w:szCs w:val="22"/>
        </w:rPr>
        <w:t>,</w:t>
      </w:r>
      <w:r w:rsidRPr="00484BC3">
        <w:rPr>
          <w:rFonts w:ascii="Palatino Linotype" w:eastAsia="Palatino Linotype" w:hAnsi="Palatino Linotype" w:cs="Palatino Linotype"/>
          <w:sz w:val="22"/>
          <w:szCs w:val="22"/>
        </w:rPr>
        <w:t xml:space="preserve"> en lo sucesivo</w:t>
      </w:r>
      <w:r w:rsidRPr="00484BC3">
        <w:rPr>
          <w:rFonts w:ascii="Palatino Linotype" w:eastAsia="Palatino Linotype" w:hAnsi="Palatino Linotype" w:cs="Palatino Linotype"/>
          <w:b/>
          <w:sz w:val="22"/>
          <w:szCs w:val="22"/>
        </w:rPr>
        <w:t xml:space="preserve"> la parte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en contra de la respuesta a su solicitud con número de folio </w:t>
      </w:r>
      <w:r w:rsidRPr="00484BC3">
        <w:rPr>
          <w:rFonts w:ascii="Palatino Linotype" w:eastAsia="Palatino Linotype" w:hAnsi="Palatino Linotype" w:cs="Palatino Linotype"/>
          <w:b/>
          <w:sz w:val="22"/>
          <w:szCs w:val="22"/>
        </w:rPr>
        <w:t>001</w:t>
      </w:r>
      <w:r w:rsidR="000B448F" w:rsidRPr="00484BC3">
        <w:rPr>
          <w:rFonts w:ascii="Palatino Linotype" w:eastAsia="Palatino Linotype" w:hAnsi="Palatino Linotype" w:cs="Palatino Linotype"/>
          <w:b/>
          <w:sz w:val="22"/>
          <w:szCs w:val="22"/>
        </w:rPr>
        <w:t>63</w:t>
      </w:r>
      <w:r w:rsidRPr="00484BC3">
        <w:rPr>
          <w:rFonts w:ascii="Palatino Linotype" w:eastAsia="Palatino Linotype" w:hAnsi="Palatino Linotype" w:cs="Palatino Linotype"/>
          <w:b/>
          <w:sz w:val="22"/>
          <w:szCs w:val="22"/>
        </w:rPr>
        <w:t xml:space="preserve">/SF/IP/2025, </w:t>
      </w:r>
      <w:r w:rsidRPr="00484BC3">
        <w:rPr>
          <w:rFonts w:ascii="Palatino Linotype" w:eastAsia="Palatino Linotype" w:hAnsi="Palatino Linotype" w:cs="Palatino Linotype"/>
          <w:sz w:val="22"/>
          <w:szCs w:val="22"/>
        </w:rPr>
        <w:t xml:space="preserve">por parte de la </w:t>
      </w:r>
      <w:r w:rsidRPr="00484BC3">
        <w:rPr>
          <w:rFonts w:ascii="Palatino Linotype" w:eastAsia="Palatino Linotype" w:hAnsi="Palatino Linotype" w:cs="Palatino Linotype"/>
          <w:b/>
          <w:sz w:val="22"/>
          <w:szCs w:val="22"/>
        </w:rPr>
        <w:t xml:space="preserve">Secretaría de Finanzas, </w:t>
      </w:r>
      <w:r w:rsidRPr="00484BC3">
        <w:rPr>
          <w:rFonts w:ascii="Palatino Linotype" w:eastAsia="Palatino Linotype" w:hAnsi="Palatino Linotype" w:cs="Palatino Linotype"/>
          <w:sz w:val="22"/>
          <w:szCs w:val="22"/>
        </w:rPr>
        <w:t xml:space="preserve">en lo sucesivo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 xml:space="preserve">se procede a dictar la presente resolución con base en los siguientes: </w:t>
      </w:r>
    </w:p>
    <w:p w14:paraId="5FB29217" w14:textId="77777777" w:rsidR="00DA2A6F" w:rsidRPr="00484BC3" w:rsidRDefault="00B8010F">
      <w:pPr>
        <w:spacing w:before="240" w:after="240" w:line="360" w:lineRule="auto"/>
        <w:jc w:val="center"/>
        <w:rPr>
          <w:rFonts w:ascii="Palatino Linotype" w:eastAsia="Palatino Linotype" w:hAnsi="Palatino Linotype" w:cs="Palatino Linotype"/>
          <w:b/>
          <w:sz w:val="22"/>
          <w:szCs w:val="22"/>
        </w:rPr>
      </w:pPr>
      <w:r w:rsidRPr="00484BC3">
        <w:rPr>
          <w:rFonts w:ascii="Palatino Linotype" w:eastAsia="Palatino Linotype" w:hAnsi="Palatino Linotype" w:cs="Palatino Linotype"/>
          <w:b/>
          <w:sz w:val="22"/>
          <w:szCs w:val="22"/>
        </w:rPr>
        <w:t>I. A N T E C E D E N T E S</w:t>
      </w:r>
    </w:p>
    <w:p w14:paraId="609B75F6" w14:textId="77777777" w:rsidR="00DA2A6F" w:rsidRPr="00484BC3" w:rsidRDefault="00B8010F">
      <w:pPr>
        <w:spacing w:before="240" w:after="240" w:line="360" w:lineRule="auto"/>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b/>
          <w:sz w:val="22"/>
          <w:szCs w:val="22"/>
        </w:rPr>
        <w:t xml:space="preserve">1. Solicitud de acceso a la información. </w:t>
      </w:r>
      <w:r w:rsidRPr="00484BC3">
        <w:rPr>
          <w:rFonts w:ascii="Palatino Linotype" w:eastAsia="Palatino Linotype" w:hAnsi="Palatino Linotype" w:cs="Palatino Linotype"/>
          <w:sz w:val="22"/>
          <w:szCs w:val="22"/>
        </w:rPr>
        <w:t xml:space="preserve">El </w:t>
      </w:r>
      <w:r w:rsidRPr="00484BC3">
        <w:rPr>
          <w:rFonts w:ascii="Palatino Linotype" w:eastAsia="Palatino Linotype" w:hAnsi="Palatino Linotype" w:cs="Palatino Linotype"/>
          <w:b/>
          <w:sz w:val="22"/>
          <w:szCs w:val="22"/>
        </w:rPr>
        <w:t>dieciséis de febrero del dos mil veinticinco,</w:t>
      </w:r>
      <w:r w:rsidRPr="00484BC3">
        <w:rPr>
          <w:rFonts w:ascii="Palatino Linotype" w:eastAsia="Palatino Linotype" w:hAnsi="Palatino Linotype" w:cs="Palatino Linotype"/>
          <w:sz w:val="22"/>
          <w:szCs w:val="22"/>
        </w:rPr>
        <w:t xml:space="preserve"> 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 xml:space="preserve">presentó su solicitud de acceso a la información ante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a través del Sistema de Acceso a la Información Mexiquense, en lo subsecuente el </w:t>
      </w:r>
      <w:r w:rsidRPr="00484BC3">
        <w:rPr>
          <w:rFonts w:ascii="Palatino Linotype" w:eastAsia="Palatino Linotype" w:hAnsi="Palatino Linotype" w:cs="Palatino Linotype"/>
          <w:b/>
          <w:sz w:val="22"/>
          <w:szCs w:val="22"/>
        </w:rPr>
        <w:t>SAIMEX,</w:t>
      </w:r>
      <w:r w:rsidRPr="00484BC3">
        <w:rPr>
          <w:rFonts w:ascii="Palatino Linotype" w:eastAsia="Palatino Linotype" w:hAnsi="Palatino Linotype" w:cs="Palatino Linotype"/>
          <w:sz w:val="22"/>
          <w:szCs w:val="22"/>
        </w:rPr>
        <w:t xml:space="preserve"> sin embargo, al corresponder a un día inhábil se tuvo por presentada el día </w:t>
      </w:r>
      <w:r w:rsidRPr="00484BC3">
        <w:rPr>
          <w:rFonts w:ascii="Palatino Linotype" w:eastAsia="Palatino Linotype" w:hAnsi="Palatino Linotype" w:cs="Palatino Linotype"/>
          <w:b/>
          <w:sz w:val="22"/>
          <w:szCs w:val="22"/>
        </w:rPr>
        <w:t>diecisiete de febrero de dos mil veinticinco;</w:t>
      </w:r>
      <w:r w:rsidRPr="00484BC3">
        <w:rPr>
          <w:rFonts w:ascii="Palatino Linotype" w:eastAsia="Palatino Linotype" w:hAnsi="Palatino Linotype" w:cs="Palatino Linotype"/>
          <w:sz w:val="22"/>
          <w:szCs w:val="22"/>
        </w:rPr>
        <w:t xml:space="preserve"> mediante la cual requirió lo siguiente:</w:t>
      </w:r>
    </w:p>
    <w:p w14:paraId="47095700" w14:textId="77777777" w:rsidR="00DA2A6F" w:rsidRPr="00484BC3" w:rsidRDefault="00B8010F">
      <w:pPr>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4C5B85C6"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“●Monto total individualizado asignado a mi plaza como ingreso bruto, que debí y debo percibir, por este año 2024;</w:t>
      </w:r>
    </w:p>
    <w:p w14:paraId="6E27D08C"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08787FFA"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bookmarkStart w:id="1" w:name="_heading=h.gjdgxs" w:colFirst="0" w:colLast="0"/>
      <w:bookmarkEnd w:id="1"/>
      <w:r w:rsidRPr="00484BC3">
        <w:rPr>
          <w:rFonts w:ascii="Palatino Linotype" w:eastAsia="Palatino Linotype" w:hAnsi="Palatino Linotype" w:cs="Palatino Linotype"/>
          <w:i/>
          <w:sz w:val="22"/>
          <w:szCs w:val="22"/>
        </w:rPr>
        <w:lastRenderedPageBreak/>
        <w:t>●</w:t>
      </w:r>
      <w:r w:rsidRPr="00484BC3">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11D249B4" w14:textId="77777777" w:rsidR="00DA2A6F" w:rsidRPr="00484BC3" w:rsidRDefault="00B8010F">
      <w:pPr>
        <w:spacing w:before="240" w:after="240" w:line="360" w:lineRule="auto"/>
        <w:ind w:right="49"/>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La persona solicitante adjuntó lo siguiente:</w:t>
      </w:r>
    </w:p>
    <w:p w14:paraId="4B62347D" w14:textId="77777777" w:rsidR="00DA2A6F" w:rsidRPr="00484BC3" w:rsidRDefault="00B8010F">
      <w:pPr>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Digitalización por ambos lados de la Credencial para Votar, expedida por el Instituto Nacional Electoral, a favor de la persona solicitante en el presente asunto.</w:t>
      </w:r>
    </w:p>
    <w:p w14:paraId="11847ECC" w14:textId="77777777" w:rsidR="00DA2A6F" w:rsidRPr="00484BC3" w:rsidRDefault="00B8010F">
      <w:pPr>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2301145B" w14:textId="77777777" w:rsidR="00DA2A6F" w:rsidRPr="00484BC3" w:rsidRDefault="00B8010F">
      <w:pPr>
        <w:spacing w:before="240" w:after="240" w:line="360" w:lineRule="auto"/>
        <w:ind w:right="49"/>
        <w:rPr>
          <w:rFonts w:ascii="Palatino Linotype" w:eastAsia="Palatino Linotype" w:hAnsi="Palatino Linotype" w:cs="Palatino Linotype"/>
          <w:b/>
          <w:sz w:val="22"/>
          <w:szCs w:val="22"/>
        </w:rPr>
      </w:pPr>
      <w:r w:rsidRPr="00484BC3">
        <w:rPr>
          <w:rFonts w:ascii="Palatino Linotype" w:eastAsia="Palatino Linotype" w:hAnsi="Palatino Linotype" w:cs="Palatino Linotype"/>
          <w:b/>
          <w:sz w:val="22"/>
          <w:szCs w:val="22"/>
        </w:rPr>
        <w:t>Modalidad de Entrega:</w:t>
      </w:r>
      <w:r w:rsidRPr="00484BC3">
        <w:rPr>
          <w:rFonts w:ascii="Palatino Linotype" w:eastAsia="Palatino Linotype" w:hAnsi="Palatino Linotype" w:cs="Palatino Linotype"/>
          <w:sz w:val="22"/>
          <w:szCs w:val="22"/>
        </w:rPr>
        <w:t xml:space="preserve"> A través </w:t>
      </w:r>
      <w:r w:rsidRPr="00484BC3">
        <w:rPr>
          <w:rFonts w:ascii="Palatino Linotype" w:eastAsia="Palatino Linotype" w:hAnsi="Palatino Linotype" w:cs="Palatino Linotype"/>
          <w:b/>
          <w:sz w:val="22"/>
          <w:szCs w:val="22"/>
        </w:rPr>
        <w:t>del SAIMEX.</w:t>
      </w:r>
    </w:p>
    <w:p w14:paraId="7B769C08" w14:textId="77777777" w:rsidR="00DA2A6F" w:rsidRPr="00484BC3" w:rsidRDefault="00B8010F">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484BC3">
        <w:rPr>
          <w:rFonts w:ascii="Palatino Linotype" w:eastAsia="Palatino Linotype" w:hAnsi="Palatino Linotype" w:cs="Palatino Linotype"/>
          <w:b/>
          <w:sz w:val="22"/>
          <w:szCs w:val="22"/>
        </w:rPr>
        <w:t xml:space="preserve">2. Información que Puede estar en Poder de Otro Sujeto Obligado. </w:t>
      </w:r>
      <w:r w:rsidRPr="00484BC3">
        <w:rPr>
          <w:rFonts w:ascii="Palatino Linotype" w:eastAsia="Palatino Linotype" w:hAnsi="Palatino Linotype" w:cs="Palatino Linotype"/>
          <w:sz w:val="22"/>
          <w:szCs w:val="22"/>
        </w:rPr>
        <w:t xml:space="preserve">El </w:t>
      </w:r>
      <w:r w:rsidR="000B448F" w:rsidRPr="00484BC3">
        <w:rPr>
          <w:rFonts w:ascii="Palatino Linotype" w:eastAsia="Palatino Linotype" w:hAnsi="Palatino Linotype" w:cs="Palatino Linotype"/>
          <w:b/>
          <w:sz w:val="22"/>
          <w:szCs w:val="22"/>
        </w:rPr>
        <w:t>diecinueve</w:t>
      </w:r>
      <w:r w:rsidRPr="00484BC3">
        <w:rPr>
          <w:rFonts w:ascii="Palatino Linotype" w:eastAsia="Palatino Linotype" w:hAnsi="Palatino Linotype" w:cs="Palatino Linotype"/>
          <w:b/>
          <w:sz w:val="22"/>
          <w:szCs w:val="22"/>
        </w:rPr>
        <w:t xml:space="preserve"> de febrero de dos mil veinticinco</w:t>
      </w:r>
      <w:r w:rsidRPr="00484BC3">
        <w:rPr>
          <w:rFonts w:ascii="Palatino Linotype" w:eastAsia="Palatino Linotype" w:hAnsi="Palatino Linotype" w:cs="Palatino Linotype"/>
          <w:sz w:val="22"/>
          <w:szCs w:val="22"/>
        </w:rPr>
        <w:t xml:space="preserve">,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104CC8DC" w14:textId="77777777" w:rsidR="00DA2A6F" w:rsidRPr="00484BC3" w:rsidRDefault="00B8010F">
      <w:pPr>
        <w:spacing w:before="240" w:after="24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“Sobre el particular, sírvase encontrar en archivo adjunto copia del Acuerdo de Incompetencia de fecha 18 de febrero de 2025, mediante el cual se detalla incompetencia de este Sujeto Obligado” (Sic)</w:t>
      </w:r>
    </w:p>
    <w:p w14:paraId="6CC24D67" w14:textId="77777777" w:rsidR="00DA2A6F" w:rsidRPr="00484BC3" w:rsidRDefault="00B8010F">
      <w:pPr>
        <w:widowControl w:val="0"/>
        <w:spacing w:before="240" w:after="240"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rPr>
        <w:t xml:space="preserve">Asimismo, adjuntó el Acuerdo de incompetencia mediante el cual refiere en lo medular, que la información requerida no es competencia de la Secretaría de Finanzas, al corresponder al Departamento de Recursos Humanos del Colegio de Bachilleres del Estado de México, conforme a su Manual General de Organización, así como a la Dirección General de Personal de la Oficialía Mayor, conforme a su </w:t>
      </w:r>
      <w:r w:rsidRPr="00484BC3">
        <w:rPr>
          <w:rFonts w:ascii="Palatino Linotype" w:eastAsia="Palatino Linotype" w:hAnsi="Palatino Linotype" w:cs="Palatino Linotype"/>
        </w:rPr>
        <w:lastRenderedPageBreak/>
        <w:t>Reglamento Interior y su Manual de Organización, en consecuencia, se sugiere formular su solicitud ante dichos Sujetos Obligados.</w:t>
      </w:r>
    </w:p>
    <w:p w14:paraId="75204C12" w14:textId="77777777" w:rsidR="00DA2A6F" w:rsidRPr="00484BC3" w:rsidRDefault="00B8010F">
      <w:pPr>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 xml:space="preserve">3. Interposición del recurso de revisión. </w:t>
      </w:r>
      <w:r w:rsidRPr="00484BC3">
        <w:rPr>
          <w:rFonts w:ascii="Palatino Linotype" w:eastAsia="Palatino Linotype" w:hAnsi="Palatino Linotype" w:cs="Palatino Linotype"/>
          <w:sz w:val="22"/>
          <w:szCs w:val="22"/>
        </w:rPr>
        <w:t xml:space="preserve">Inconforme con los términos de la declaración de incompetencia, emitida por parte del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el </w:t>
      </w:r>
      <w:r w:rsidRPr="00484BC3">
        <w:rPr>
          <w:rFonts w:ascii="Palatino Linotype" w:eastAsia="Palatino Linotype" w:hAnsi="Palatino Linotype" w:cs="Palatino Linotype"/>
          <w:b/>
          <w:sz w:val="22"/>
          <w:szCs w:val="22"/>
        </w:rPr>
        <w:t>dos de marzo de dos mil veinticinco</w:t>
      </w:r>
      <w:r w:rsidRPr="00484BC3">
        <w:rPr>
          <w:rFonts w:ascii="Palatino Linotype" w:eastAsia="Palatino Linotype" w:hAnsi="Palatino Linotype" w:cs="Palatino Linotype"/>
          <w:sz w:val="22"/>
          <w:szCs w:val="22"/>
        </w:rPr>
        <w:t>, la parte</w:t>
      </w:r>
      <w:r w:rsidRPr="00484BC3">
        <w:rPr>
          <w:rFonts w:ascii="Palatino Linotype" w:eastAsia="Palatino Linotype" w:hAnsi="Palatino Linotype" w:cs="Palatino Linotype"/>
          <w:b/>
          <w:sz w:val="22"/>
          <w:szCs w:val="22"/>
        </w:rPr>
        <w:t xml:space="preserve"> Recurrente </w:t>
      </w:r>
      <w:r w:rsidRPr="00484BC3">
        <w:rPr>
          <w:rFonts w:ascii="Palatino Linotype" w:eastAsia="Palatino Linotype" w:hAnsi="Palatino Linotype" w:cs="Palatino Linotype"/>
          <w:sz w:val="22"/>
          <w:szCs w:val="22"/>
        </w:rPr>
        <w:t xml:space="preserve">interpuso el recurso de revisión a través de </w:t>
      </w:r>
      <w:r w:rsidRPr="00484BC3">
        <w:rPr>
          <w:rFonts w:ascii="Palatino Linotype" w:eastAsia="Palatino Linotype" w:hAnsi="Palatino Linotype" w:cs="Palatino Linotype"/>
          <w:b/>
          <w:sz w:val="22"/>
          <w:szCs w:val="22"/>
        </w:rPr>
        <w:t>SAIMEX</w:t>
      </w:r>
      <w:r w:rsidRPr="00484BC3">
        <w:rPr>
          <w:rFonts w:ascii="Palatino Linotype" w:eastAsia="Palatino Linotype" w:hAnsi="Palatino Linotype" w:cs="Palatino Linotype"/>
          <w:sz w:val="22"/>
          <w:szCs w:val="22"/>
        </w:rPr>
        <w:t>, sin embargo, al ser un día inhábil, de conformidad con el Calendario Oficial en materia de Transparencia, Acceso a la Información Pública y Protección de Datos Personales del Estado de México y Municipios, el medio de impugnación se tuvo por presentado al día hábil siguiente que es el</w:t>
      </w:r>
      <w:r w:rsidRPr="00484BC3">
        <w:rPr>
          <w:rFonts w:ascii="Palatino Linotype" w:eastAsia="Palatino Linotype" w:hAnsi="Palatino Linotype" w:cs="Palatino Linotype"/>
          <w:b/>
          <w:sz w:val="22"/>
          <w:szCs w:val="22"/>
        </w:rPr>
        <w:t xml:space="preserve"> cuatro de marzo de dos mil veinticinco, </w:t>
      </w:r>
      <w:r w:rsidRPr="00484BC3">
        <w:rPr>
          <w:rFonts w:ascii="Palatino Linotype" w:eastAsia="Palatino Linotype" w:hAnsi="Palatino Linotype" w:cs="Palatino Linotype"/>
          <w:sz w:val="22"/>
          <w:szCs w:val="22"/>
        </w:rPr>
        <w:t>en donde se manifestó en los términos que a continuación se detallan:</w:t>
      </w:r>
    </w:p>
    <w:p w14:paraId="73133EDB" w14:textId="77777777" w:rsidR="00DA2A6F" w:rsidRPr="00484BC3" w:rsidRDefault="00B8010F">
      <w:pPr>
        <w:spacing w:line="360" w:lineRule="auto"/>
        <w:ind w:right="560"/>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sz w:val="22"/>
          <w:szCs w:val="22"/>
        </w:rPr>
        <w:t>Acto Impugnado</w:t>
      </w:r>
      <w:r w:rsidRPr="00484BC3">
        <w:rPr>
          <w:rFonts w:ascii="Palatino Linotype" w:eastAsia="Palatino Linotype" w:hAnsi="Palatino Linotype" w:cs="Palatino Linotype"/>
          <w:b/>
          <w:i/>
          <w:sz w:val="22"/>
          <w:szCs w:val="22"/>
        </w:rPr>
        <w:t>:</w:t>
      </w:r>
    </w:p>
    <w:p w14:paraId="445F3C30" w14:textId="77777777" w:rsidR="00DA2A6F" w:rsidRPr="00484BC3" w:rsidRDefault="00B8010F">
      <w:pPr>
        <w:spacing w:before="120" w:after="120"/>
        <w:ind w:left="851"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 xml:space="preserve"> “Oficio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1494D52E" w14:textId="77777777" w:rsidR="00DA2A6F" w:rsidRPr="00484BC3" w:rsidRDefault="00B8010F">
      <w:pPr>
        <w:spacing w:line="360" w:lineRule="auto"/>
        <w:ind w:right="560"/>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Motivo de inconformidad:</w:t>
      </w:r>
      <w:r w:rsidRPr="00484BC3">
        <w:rPr>
          <w:rFonts w:ascii="Palatino Linotype" w:eastAsia="Palatino Linotype" w:hAnsi="Palatino Linotype" w:cs="Palatino Linotype"/>
          <w:sz w:val="22"/>
          <w:szCs w:val="22"/>
        </w:rPr>
        <w:t xml:space="preserve"> </w:t>
      </w:r>
    </w:p>
    <w:p w14:paraId="2CC31416" w14:textId="77777777" w:rsidR="00DA2A6F" w:rsidRPr="00484BC3" w:rsidRDefault="00B8010F">
      <w:pPr>
        <w:spacing w:before="120" w:after="120"/>
        <w:ind w:left="851" w:right="902"/>
        <w:jc w:val="both"/>
        <w:rPr>
          <w:rFonts w:ascii="Palatino Linotype" w:eastAsia="Palatino Linotype" w:hAnsi="Palatino Linotype" w:cs="Palatino Linotype"/>
          <w:i/>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u w:val="single"/>
        </w:rPr>
        <w:t xml:space="preserve">La declaración de incompetencia de la Secretaría de </w:t>
      </w:r>
      <w:r w:rsidRPr="00484BC3">
        <w:rPr>
          <w:rFonts w:ascii="Palatino Linotype" w:eastAsia="Palatino Linotype" w:hAnsi="Palatino Linotype" w:cs="Palatino Linotype"/>
          <w:i/>
          <w:sz w:val="22"/>
          <w:szCs w:val="22"/>
        </w:rPr>
        <w:t>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w:t>
      </w:r>
      <w:r w:rsidRPr="00484BC3">
        <w:rPr>
          <w:rFonts w:ascii="Palatino Linotype" w:eastAsia="Palatino Linotype" w:hAnsi="Palatino Linotype" w:cs="Palatino Linotype"/>
          <w:i/>
        </w:rPr>
        <w:t xml:space="preserve"> (sic)</w:t>
      </w:r>
    </w:p>
    <w:p w14:paraId="52E669AE"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 xml:space="preserve">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adjuntó nuevamente la digitalización por ambos lados de su Credencial para Votar, así como el Anexo de Ejecución / Apoyo Financiero 2024 SEMS-EL COBAEM-MÉXICO 0236/24, referidos con antelación.</w:t>
      </w:r>
    </w:p>
    <w:p w14:paraId="6C71224F"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 xml:space="preserve">4. Turno. </w:t>
      </w:r>
      <w:r w:rsidRPr="00484BC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84BC3">
        <w:rPr>
          <w:rFonts w:ascii="Palatino Linotype" w:eastAsia="Palatino Linotype" w:hAnsi="Palatino Linotype" w:cs="Palatino Linotype"/>
          <w:b/>
          <w:sz w:val="22"/>
          <w:szCs w:val="22"/>
        </w:rPr>
        <w:t xml:space="preserve">Guadalupe Ramírez Peña, </w:t>
      </w:r>
      <w:r w:rsidRPr="00484BC3">
        <w:rPr>
          <w:rFonts w:ascii="Palatino Linotype" w:eastAsia="Palatino Linotype" w:hAnsi="Palatino Linotype" w:cs="Palatino Linotype"/>
          <w:sz w:val="22"/>
          <w:szCs w:val="22"/>
        </w:rPr>
        <w:t xml:space="preserve">a efecto de que analizara sobre su admisión o su </w:t>
      </w:r>
      <w:proofErr w:type="spellStart"/>
      <w:r w:rsidRPr="00484BC3">
        <w:rPr>
          <w:rFonts w:ascii="Palatino Linotype" w:eastAsia="Palatino Linotype" w:hAnsi="Palatino Linotype" w:cs="Palatino Linotype"/>
          <w:sz w:val="22"/>
          <w:szCs w:val="22"/>
        </w:rPr>
        <w:t>desechamiento</w:t>
      </w:r>
      <w:proofErr w:type="spellEnd"/>
      <w:r w:rsidRPr="00484BC3">
        <w:rPr>
          <w:rFonts w:ascii="Palatino Linotype" w:eastAsia="Palatino Linotype" w:hAnsi="Palatino Linotype" w:cs="Palatino Linotype"/>
          <w:sz w:val="22"/>
          <w:szCs w:val="22"/>
        </w:rPr>
        <w:t>.</w:t>
      </w:r>
    </w:p>
    <w:p w14:paraId="4B3E1255"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5. Admisión del Recurso de revisión.</w:t>
      </w:r>
      <w:r w:rsidRPr="00484BC3">
        <w:rPr>
          <w:rFonts w:ascii="Palatino Linotype" w:eastAsia="Palatino Linotype" w:hAnsi="Palatino Linotype" w:cs="Palatino Linotype"/>
          <w:sz w:val="22"/>
          <w:szCs w:val="22"/>
        </w:rPr>
        <w:t xml:space="preserve"> El </w:t>
      </w:r>
      <w:r w:rsidRPr="00484BC3">
        <w:rPr>
          <w:rFonts w:ascii="Palatino Linotype" w:eastAsia="Palatino Linotype" w:hAnsi="Palatino Linotype" w:cs="Palatino Linotype"/>
          <w:b/>
          <w:sz w:val="22"/>
          <w:szCs w:val="22"/>
        </w:rPr>
        <w:t xml:space="preserve">siete de marzo de dos mil veinticinco, </w:t>
      </w:r>
      <w:r w:rsidRPr="00484BC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presentara su informe justificado.</w:t>
      </w:r>
    </w:p>
    <w:p w14:paraId="2752146E" w14:textId="77777777" w:rsidR="00DA2A6F" w:rsidRPr="00484BC3"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484BC3">
        <w:rPr>
          <w:rFonts w:ascii="Palatino Linotype" w:eastAsia="Palatino Linotype" w:hAnsi="Palatino Linotype" w:cs="Palatino Linotype"/>
          <w:b/>
          <w:sz w:val="22"/>
          <w:szCs w:val="22"/>
        </w:rPr>
        <w:t>6. Manifestaciones e Informe Justificado</w:t>
      </w:r>
      <w:r w:rsidRPr="00484BC3">
        <w:rPr>
          <w:rFonts w:ascii="Palatino Linotype" w:eastAsia="Palatino Linotype" w:hAnsi="Palatino Linotype" w:cs="Palatino Linotype"/>
          <w:sz w:val="22"/>
          <w:szCs w:val="22"/>
        </w:rPr>
        <w:t xml:space="preserve">. El </w:t>
      </w:r>
      <w:r w:rsidRPr="00484BC3">
        <w:rPr>
          <w:rFonts w:ascii="Palatino Linotype" w:eastAsia="Palatino Linotype" w:hAnsi="Palatino Linotype" w:cs="Palatino Linotype"/>
          <w:b/>
          <w:sz w:val="22"/>
          <w:szCs w:val="22"/>
        </w:rPr>
        <w:t>doce de marzo de dos mil veinticinco</w:t>
      </w:r>
      <w:r w:rsidRPr="00484BC3">
        <w:rPr>
          <w:rFonts w:ascii="Palatino Linotype" w:eastAsia="Palatino Linotype" w:hAnsi="Palatino Linotype" w:cs="Palatino Linotype"/>
          <w:sz w:val="22"/>
          <w:szCs w:val="22"/>
        </w:rPr>
        <w:t>, el Sujeto Obligado rindió su informe justificado, mediante el cual ratificó en lo sustancial la respuesta inicial respecto a la declaración de incompetencia, no obstante, se hizo del conocimiento de la persona solicitante con la finalidad de que manifestara lo que a su derecho estimara conveniente.</w:t>
      </w:r>
    </w:p>
    <w:p w14:paraId="12E699B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El </w:t>
      </w:r>
      <w:r w:rsidRPr="00484BC3">
        <w:rPr>
          <w:rFonts w:ascii="Palatino Linotype" w:eastAsia="Palatino Linotype" w:hAnsi="Palatino Linotype" w:cs="Palatino Linotype"/>
          <w:b/>
          <w:sz w:val="22"/>
          <w:szCs w:val="22"/>
        </w:rPr>
        <w:t xml:space="preserve">catorce de marzo de dos mil veinticinco, </w:t>
      </w:r>
      <w:r w:rsidRPr="00484BC3">
        <w:rPr>
          <w:rFonts w:ascii="Palatino Linotype" w:eastAsia="Palatino Linotype" w:hAnsi="Palatino Linotype" w:cs="Palatino Linotype"/>
          <w:sz w:val="22"/>
          <w:szCs w:val="22"/>
        </w:rPr>
        <w:t xml:space="preserve">la </w:t>
      </w:r>
      <w:r w:rsidRPr="00484BC3">
        <w:rPr>
          <w:rFonts w:ascii="Palatino Linotype" w:eastAsia="Palatino Linotype" w:hAnsi="Palatino Linotype" w:cs="Palatino Linotype"/>
          <w:b/>
          <w:sz w:val="22"/>
          <w:szCs w:val="22"/>
        </w:rPr>
        <w:t>parte Recurrente</w:t>
      </w:r>
      <w:r w:rsidRPr="00484BC3">
        <w:rPr>
          <w:rFonts w:ascii="Palatino Linotype" w:eastAsia="Palatino Linotype" w:hAnsi="Palatino Linotype" w:cs="Palatino Linotype"/>
          <w:sz w:val="22"/>
          <w:szCs w:val="22"/>
        </w:rPr>
        <w:t>, adjuntó nuevamente la digitalización por ambos lados de su Credencial para Votar, así como el Anexo de Ejecución / Apoyo Financiero 2024 SEMS-EL COBAEM-MÉXICO 0236/24.</w:t>
      </w:r>
    </w:p>
    <w:p w14:paraId="33A43F46" w14:textId="77777777" w:rsidR="00DA2A6F" w:rsidRPr="00484BC3" w:rsidRDefault="00B8010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lastRenderedPageBreak/>
        <w:t xml:space="preserve">7. Reconducción de Vía. </w:t>
      </w:r>
      <w:r w:rsidRPr="00484BC3">
        <w:rPr>
          <w:rFonts w:ascii="Palatino Linotype" w:eastAsia="Palatino Linotype" w:hAnsi="Palatino Linotype" w:cs="Palatino Linotype"/>
          <w:sz w:val="22"/>
          <w:szCs w:val="22"/>
        </w:rPr>
        <w:t>El</w:t>
      </w:r>
      <w:r w:rsidRPr="00484BC3">
        <w:rPr>
          <w:rFonts w:ascii="Palatino Linotype" w:eastAsia="Palatino Linotype" w:hAnsi="Palatino Linotype" w:cs="Palatino Linotype"/>
          <w:b/>
          <w:sz w:val="22"/>
          <w:szCs w:val="22"/>
        </w:rPr>
        <w:t xml:space="preserve"> siete de abril de dos mil veinticinco, </w:t>
      </w:r>
      <w:r w:rsidRPr="00484BC3">
        <w:rPr>
          <w:rFonts w:ascii="Palatino Linotype" w:eastAsia="Palatino Linotype" w:hAnsi="Palatino Linotype" w:cs="Palatino Linotype"/>
          <w:sz w:val="22"/>
          <w:szCs w:val="22"/>
        </w:rPr>
        <w:t>se notificó a las partes</w:t>
      </w:r>
      <w:r w:rsidRPr="00484BC3">
        <w:rPr>
          <w:rFonts w:ascii="Palatino Linotype" w:eastAsia="Palatino Linotype" w:hAnsi="Palatino Linotype" w:cs="Palatino Linotype"/>
        </w:rPr>
        <w:t xml:space="preserve">, </w:t>
      </w:r>
      <w:r w:rsidRPr="00484BC3">
        <w:rPr>
          <w:rFonts w:ascii="Palatino Linotype" w:eastAsia="Palatino Linotype" w:hAnsi="Palatino Linotype" w:cs="Palatino Linotype"/>
          <w:sz w:val="22"/>
          <w:szCs w:val="22"/>
        </w:rPr>
        <w:t xml:space="preserve">el acuerdo por el que se recondujo la vía para dar tratamiento al presente Recurso de Revisión, vía Derecho de Acceso, Rectificación, Cancelación y Oposición –para posteriores referencias, Derechos ARCO-, toda vez que se determinó que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3F1C3DF1" w14:textId="77777777" w:rsidR="00DA2A6F" w:rsidRPr="00484BC3" w:rsidRDefault="00DA2A6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9811467" w14:textId="77777777" w:rsidR="00DA2A6F" w:rsidRPr="00484BC3" w:rsidRDefault="00B8010F">
      <w:pPr>
        <w:spacing w:after="240" w:line="360" w:lineRule="auto"/>
        <w:ind w:left="567" w:right="900"/>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 Tener por acreditada la identidad de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dentro del presente Recurso de Revisión. </w:t>
      </w:r>
    </w:p>
    <w:p w14:paraId="27F882B2" w14:textId="77777777" w:rsidR="00DA2A6F" w:rsidRPr="00484BC3" w:rsidRDefault="00B8010F">
      <w:pPr>
        <w:spacing w:after="240" w:line="360" w:lineRule="auto"/>
        <w:ind w:left="567" w:right="900"/>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b) El requerimiento a las partes para que en un plazo no mayor a siete días manifestaran, por cualquier medio, su voluntad de conciliar, con el apercibimiento de que, en caso de no hacerlo, se tendría por precluido su derecho, para tales efectos; y</w:t>
      </w:r>
    </w:p>
    <w:p w14:paraId="03BAA0E3" w14:textId="77777777" w:rsidR="00DA2A6F" w:rsidRPr="00484BC3" w:rsidRDefault="00B8010F">
      <w:pPr>
        <w:spacing w:after="160" w:line="360" w:lineRule="auto"/>
        <w:ind w:right="333"/>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8. Conciliación</w:t>
      </w:r>
      <w:r w:rsidRPr="00484BC3">
        <w:rPr>
          <w:rFonts w:ascii="Palatino Linotype" w:eastAsia="Palatino Linotype" w:hAnsi="Palatino Linotype" w:cs="Palatino Linotype"/>
          <w:b/>
        </w:rPr>
        <w:t xml:space="preserve">. </w:t>
      </w:r>
      <w:r w:rsidRPr="00484BC3">
        <w:rPr>
          <w:rFonts w:ascii="Palatino Linotype" w:eastAsia="Palatino Linotype" w:hAnsi="Palatino Linotype" w:cs="Palatino Linotype"/>
          <w:sz w:val="22"/>
          <w:szCs w:val="22"/>
        </w:rPr>
        <w:t xml:space="preserve">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u w:val="single"/>
        </w:rPr>
        <w:t>expresó su voluntad para conciliar en el presente asunto</w:t>
      </w:r>
      <w:r w:rsidRPr="00484BC3">
        <w:rPr>
          <w:rFonts w:ascii="Palatino Linotype" w:eastAsia="Palatino Linotype" w:hAnsi="Palatino Linotype" w:cs="Palatino Linotype"/>
          <w:sz w:val="22"/>
          <w:szCs w:val="22"/>
        </w:rPr>
        <w:t xml:space="preserve">, el </w:t>
      </w:r>
      <w:r w:rsidR="009E5376" w:rsidRPr="00484BC3">
        <w:rPr>
          <w:rFonts w:ascii="Palatino Linotype" w:eastAsia="Palatino Linotype" w:hAnsi="Palatino Linotype" w:cs="Palatino Linotype"/>
          <w:b/>
          <w:sz w:val="22"/>
          <w:szCs w:val="22"/>
        </w:rPr>
        <w:t>dieciséis</w:t>
      </w:r>
      <w:r w:rsidRPr="00484BC3">
        <w:rPr>
          <w:rFonts w:ascii="Palatino Linotype" w:eastAsia="Palatino Linotype" w:hAnsi="Palatino Linotype" w:cs="Palatino Linotype"/>
          <w:b/>
          <w:sz w:val="22"/>
          <w:szCs w:val="22"/>
        </w:rPr>
        <w:t xml:space="preserve"> de abril de dos mil veinticinco</w:t>
      </w:r>
      <w:r w:rsidRPr="00484BC3">
        <w:rPr>
          <w:rFonts w:ascii="Palatino Linotype" w:eastAsia="Palatino Linotype" w:hAnsi="Palatino Linotype" w:cs="Palatino Linotype"/>
          <w:sz w:val="22"/>
          <w:szCs w:val="22"/>
        </w:rPr>
        <w:t xml:space="preserve">, a través del SAIMEX, mientras que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 xml:space="preserve">el </w:t>
      </w:r>
      <w:r w:rsidRPr="00484BC3">
        <w:rPr>
          <w:rFonts w:ascii="Palatino Linotype" w:eastAsia="Palatino Linotype" w:hAnsi="Palatino Linotype" w:cs="Palatino Linotype"/>
          <w:b/>
          <w:sz w:val="22"/>
          <w:szCs w:val="22"/>
        </w:rPr>
        <w:t>veintidós de abril de dos mil veinticinco</w:t>
      </w:r>
      <w:r w:rsidRPr="00484BC3">
        <w:rPr>
          <w:rFonts w:ascii="Palatino Linotype" w:eastAsia="Palatino Linotype" w:hAnsi="Palatino Linotype" w:cs="Palatino Linotype"/>
          <w:sz w:val="22"/>
          <w:szCs w:val="22"/>
        </w:rPr>
        <w:t xml:space="preserve">, adjuntó el oficio número 20700004S/UT-0750/2025, mediante el cual manifiesta medularmente que </w:t>
      </w:r>
      <w:r w:rsidRPr="00484BC3">
        <w:rPr>
          <w:rFonts w:ascii="Palatino Linotype" w:eastAsia="Palatino Linotype" w:hAnsi="Palatino Linotype" w:cs="Palatino Linotype"/>
          <w:b/>
          <w:sz w:val="22"/>
          <w:szCs w:val="22"/>
          <w:u w:val="single"/>
        </w:rPr>
        <w:t>no es posible llevar a cabo la conciliación</w:t>
      </w:r>
      <w:r w:rsidRPr="00484BC3">
        <w:rPr>
          <w:rFonts w:ascii="Palatino Linotype" w:eastAsia="Palatino Linotype" w:hAnsi="Palatino Linotype" w:cs="Palatino Linotype"/>
          <w:sz w:val="22"/>
          <w:szCs w:val="22"/>
        </w:rPr>
        <w:t>, en virtud de que no cuenta con la competencia para conocer de la información solicitada.</w:t>
      </w:r>
    </w:p>
    <w:p w14:paraId="29BADD1D" w14:textId="77777777" w:rsidR="00DA2A6F" w:rsidRPr="00484BC3" w:rsidRDefault="00B8010F">
      <w:pPr>
        <w:spacing w:after="160" w:line="360" w:lineRule="auto"/>
        <w:ind w:right="333"/>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 xml:space="preserve">9. Preclusión y cierre de instrucción. </w:t>
      </w:r>
      <w:r w:rsidRPr="00484BC3">
        <w:rPr>
          <w:rFonts w:ascii="Palatino Linotype" w:eastAsia="Palatino Linotype" w:hAnsi="Palatino Linotype" w:cs="Palatino Linotype"/>
          <w:sz w:val="22"/>
          <w:szCs w:val="22"/>
        </w:rPr>
        <w:t xml:space="preserve">El </w:t>
      </w:r>
      <w:r w:rsidR="00651E4F" w:rsidRPr="00484BC3">
        <w:rPr>
          <w:rFonts w:ascii="Palatino Linotype" w:eastAsia="Palatino Linotype" w:hAnsi="Palatino Linotype" w:cs="Palatino Linotype"/>
          <w:b/>
          <w:sz w:val="22"/>
          <w:szCs w:val="22"/>
        </w:rPr>
        <w:t>ocho</w:t>
      </w:r>
      <w:r w:rsidRPr="00484BC3">
        <w:rPr>
          <w:rFonts w:ascii="Palatino Linotype" w:eastAsia="Palatino Linotype" w:hAnsi="Palatino Linotype" w:cs="Palatino Linotype"/>
          <w:b/>
          <w:sz w:val="22"/>
          <w:szCs w:val="22"/>
        </w:rPr>
        <w:t xml:space="preserve"> de </w:t>
      </w:r>
      <w:r w:rsidR="00B2000B" w:rsidRPr="00484BC3">
        <w:rPr>
          <w:rFonts w:ascii="Palatino Linotype" w:eastAsia="Palatino Linotype" w:hAnsi="Palatino Linotype" w:cs="Palatino Linotype"/>
          <w:b/>
          <w:sz w:val="22"/>
          <w:szCs w:val="22"/>
        </w:rPr>
        <w:t>mayo</w:t>
      </w:r>
      <w:r w:rsidRPr="00484BC3">
        <w:rPr>
          <w:rFonts w:ascii="Palatino Linotype" w:eastAsia="Palatino Linotype" w:hAnsi="Palatino Linotype" w:cs="Palatino Linotype"/>
          <w:b/>
          <w:sz w:val="22"/>
          <w:szCs w:val="22"/>
        </w:rPr>
        <w:t xml:space="preserve"> de dos mil veintic</w:t>
      </w:r>
      <w:r w:rsidR="00A813CF" w:rsidRPr="00484BC3">
        <w:rPr>
          <w:rFonts w:ascii="Palatino Linotype" w:eastAsia="Palatino Linotype" w:hAnsi="Palatino Linotype" w:cs="Palatino Linotype"/>
          <w:b/>
          <w:sz w:val="22"/>
          <w:szCs w:val="22"/>
        </w:rPr>
        <w:t>inco</w:t>
      </w:r>
      <w:r w:rsidRPr="00484BC3">
        <w:rPr>
          <w:rFonts w:ascii="Palatino Linotype" w:eastAsia="Palatino Linotype" w:hAnsi="Palatino Linotype" w:cs="Palatino Linotype"/>
          <w:sz w:val="22"/>
          <w:szCs w:val="22"/>
        </w:rPr>
        <w:t xml:space="preserve">, ante la inexistencia de una voluntad recíproca para conciliar en el presente asunto se tuvo por prelucido el derecho de las partes para llevar a cabo la conciliación,  y al no existir </w:t>
      </w:r>
      <w:r w:rsidRPr="00484BC3">
        <w:rPr>
          <w:rFonts w:ascii="Palatino Linotype" w:eastAsia="Palatino Linotype" w:hAnsi="Palatino Linotype" w:cs="Palatino Linotype"/>
          <w:sz w:val="22"/>
          <w:szCs w:val="22"/>
        </w:rPr>
        <w:lastRenderedPageBreak/>
        <w:t>actuación procesal pendiente que llevar a cabo en el presente asunto,  se  decretó el cierre de instrucción  con fundamento en lo dispuesto por el artículo 185, fracción VI, de la Ley de Transparencia y Acceso a la Información Pública del Estado de México y Municipios, de aplicación supletoria.</w:t>
      </w:r>
    </w:p>
    <w:p w14:paraId="00C1614E"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5BE908E" w14:textId="77777777" w:rsidR="00DA2A6F" w:rsidRPr="00484BC3" w:rsidRDefault="00B8010F">
      <w:pPr>
        <w:widowControl w:val="0"/>
        <w:spacing w:before="240" w:after="240" w:line="360" w:lineRule="auto"/>
        <w:jc w:val="center"/>
        <w:rPr>
          <w:rFonts w:ascii="Palatino Linotype" w:eastAsia="Palatino Linotype" w:hAnsi="Palatino Linotype" w:cs="Palatino Linotype"/>
          <w:b/>
          <w:sz w:val="22"/>
          <w:szCs w:val="22"/>
        </w:rPr>
      </w:pPr>
      <w:r w:rsidRPr="00484BC3">
        <w:rPr>
          <w:rFonts w:ascii="Palatino Linotype" w:eastAsia="Palatino Linotype" w:hAnsi="Palatino Linotype" w:cs="Palatino Linotype"/>
          <w:b/>
          <w:sz w:val="22"/>
          <w:szCs w:val="22"/>
        </w:rPr>
        <w:t>II. C O N S I D E R A N D O S</w:t>
      </w:r>
    </w:p>
    <w:p w14:paraId="4ABC594D" w14:textId="77777777" w:rsidR="00DA2A6F" w:rsidRPr="00484BC3" w:rsidRDefault="00B8010F">
      <w:pPr>
        <w:spacing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Primero. Competencia.</w:t>
      </w:r>
      <w:r w:rsidRPr="00484BC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w:t>
      </w:r>
      <w:r w:rsidRPr="00484BC3">
        <w:rPr>
          <w:rFonts w:ascii="Palatino Linotype" w:eastAsia="Palatino Linotype" w:hAnsi="Palatino Linotype" w:cs="Palatino Linotype"/>
          <w:b/>
          <w:sz w:val="22"/>
          <w:szCs w:val="22"/>
        </w:rPr>
        <w:t xml:space="preserve"> Recurrente</w:t>
      </w:r>
      <w:r w:rsidRPr="00484BC3">
        <w:rPr>
          <w:rFonts w:ascii="Palatino Linotype" w:eastAsia="Palatino Linotype" w:hAnsi="Palatino Linotype" w:cs="Palatino Linotype"/>
          <w:sz w:val="22"/>
          <w:szCs w:val="22"/>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36BAA96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484BC3">
        <w:rPr>
          <w:rFonts w:ascii="Palatino Linotype" w:eastAsia="Palatino Linotype" w:hAnsi="Palatino Linotype" w:cs="Palatino Linotype"/>
          <w:b/>
          <w:sz w:val="22"/>
          <w:szCs w:val="22"/>
        </w:rPr>
        <w:t xml:space="preserve">Segundo. Oportunidad y Procedibilidad del Recurso de Revisión. </w:t>
      </w:r>
      <w:r w:rsidRPr="00484BC3">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w:t>
      </w:r>
      <w:r w:rsidRPr="00484BC3">
        <w:rPr>
          <w:rFonts w:ascii="Palatino Linotype" w:eastAsia="Palatino Linotype" w:hAnsi="Palatino Linotype" w:cs="Palatino Linotype"/>
          <w:sz w:val="22"/>
          <w:szCs w:val="22"/>
        </w:rPr>
        <w:lastRenderedPageBreak/>
        <w:t xml:space="preserve">advierte que el presente medio de impugnación fue interpuesto dentro del plazo de quince días previsto en el primer artículo de referencia; toda vez que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declaró su incompetencia para atender la solicitud de información de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el</w:t>
      </w:r>
      <w:r w:rsidRPr="00484BC3">
        <w:rPr>
          <w:rFonts w:ascii="Palatino Linotype" w:eastAsia="Palatino Linotype" w:hAnsi="Palatino Linotype" w:cs="Palatino Linotype"/>
          <w:b/>
          <w:sz w:val="22"/>
          <w:szCs w:val="22"/>
        </w:rPr>
        <w:t xml:space="preserve"> </w:t>
      </w:r>
      <w:r w:rsidR="009E5376" w:rsidRPr="00484BC3">
        <w:rPr>
          <w:rFonts w:ascii="Palatino Linotype" w:eastAsia="Palatino Linotype" w:hAnsi="Palatino Linotype" w:cs="Palatino Linotype"/>
          <w:b/>
          <w:sz w:val="22"/>
          <w:szCs w:val="22"/>
        </w:rPr>
        <w:t>diecinueve</w:t>
      </w:r>
      <w:r w:rsidRPr="00484BC3">
        <w:rPr>
          <w:rFonts w:ascii="Palatino Linotype" w:eastAsia="Palatino Linotype" w:hAnsi="Palatino Linotype" w:cs="Palatino Linotype"/>
          <w:b/>
          <w:sz w:val="22"/>
          <w:szCs w:val="22"/>
        </w:rPr>
        <w:t xml:space="preserve"> de febrero del año dos mil veinticinco,</w:t>
      </w:r>
      <w:r w:rsidRPr="00484BC3">
        <w:rPr>
          <w:rFonts w:ascii="Palatino Linotype" w:eastAsia="Palatino Linotype" w:hAnsi="Palatino Linotype" w:cs="Palatino Linotype"/>
          <w:sz w:val="22"/>
          <w:szCs w:val="22"/>
        </w:rPr>
        <w:t xml:space="preserve"> mientras que </w:t>
      </w:r>
      <w:r w:rsidRPr="00484BC3">
        <w:rPr>
          <w:rFonts w:ascii="Palatino Linotype" w:eastAsia="Palatino Linotype" w:hAnsi="Palatino Linotype" w:cs="Palatino Linotype"/>
          <w:b/>
          <w:sz w:val="22"/>
          <w:szCs w:val="22"/>
        </w:rPr>
        <w:t>la parte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interpuso su recurso de revisión el </w:t>
      </w:r>
      <w:r w:rsidRPr="00484BC3">
        <w:rPr>
          <w:rFonts w:ascii="Palatino Linotype" w:eastAsia="Palatino Linotype" w:hAnsi="Palatino Linotype" w:cs="Palatino Linotype"/>
          <w:b/>
          <w:sz w:val="22"/>
          <w:szCs w:val="22"/>
        </w:rPr>
        <w:t>cuatro de marzo de dos mil veinticinco</w:t>
      </w:r>
      <w:r w:rsidRPr="00484BC3">
        <w:rPr>
          <w:rFonts w:ascii="Palatino Linotype" w:eastAsia="Palatino Linotype" w:hAnsi="Palatino Linotype" w:cs="Palatino Linotype"/>
          <w:sz w:val="22"/>
          <w:szCs w:val="22"/>
        </w:rPr>
        <w:t xml:space="preserve">, esto es al </w:t>
      </w:r>
      <w:r w:rsidR="002F1E76" w:rsidRPr="00484BC3">
        <w:rPr>
          <w:rFonts w:ascii="Palatino Linotype" w:eastAsia="Palatino Linotype" w:hAnsi="Palatino Linotype" w:cs="Palatino Linotype"/>
          <w:b/>
          <w:sz w:val="22"/>
          <w:szCs w:val="22"/>
        </w:rPr>
        <w:t>octavo</w:t>
      </w:r>
      <w:r w:rsidR="002F1E76"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día hábil</w:t>
      </w:r>
      <w:r w:rsidRPr="00484BC3">
        <w:rPr>
          <w:rFonts w:ascii="Palatino Linotype" w:eastAsia="Palatino Linotype" w:hAnsi="Palatino Linotype" w:cs="Palatino Linotype"/>
          <w:sz w:val="22"/>
          <w:szCs w:val="22"/>
        </w:rPr>
        <w:t xml:space="preserve"> de tener conocimiento de la 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32021FC6"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84BC3">
        <w:rPr>
          <w:rFonts w:ascii="Palatino Linotype" w:eastAsia="Palatino Linotype" w:hAnsi="Palatino Linotype" w:cs="Palatino Linotype"/>
          <w:b/>
          <w:sz w:val="22"/>
          <w:szCs w:val="22"/>
        </w:rPr>
        <w:t>la parte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en sus motivos de inconformidad, de acuerdo al artículo 129, fracción III de la Ley de Protección de Datos Personales aplicable a la entidad, que a la letra dice: </w:t>
      </w:r>
    </w:p>
    <w:p w14:paraId="1689C7B9" w14:textId="77777777" w:rsidR="00DA2A6F" w:rsidRPr="00484BC3" w:rsidRDefault="00B8010F">
      <w:pP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 xml:space="preserve">Artículo 129. </w:t>
      </w:r>
      <w:r w:rsidRPr="00484BC3">
        <w:rPr>
          <w:rFonts w:ascii="Palatino Linotype" w:eastAsia="Palatino Linotype" w:hAnsi="Palatino Linotype" w:cs="Palatino Linotype"/>
          <w:i/>
          <w:sz w:val="22"/>
          <w:szCs w:val="22"/>
        </w:rPr>
        <w:t>El recurso de revisión procederá en los supuestos siguientes:</w:t>
      </w:r>
    </w:p>
    <w:p w14:paraId="3EBFC10D" w14:textId="77777777" w:rsidR="00DA2A6F" w:rsidRPr="00484BC3" w:rsidRDefault="00B8010F">
      <w:pP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5D5DD614" w14:textId="77777777" w:rsidR="00DA2A6F" w:rsidRPr="00484BC3" w:rsidRDefault="00B8010F">
      <w:pPr>
        <w:spacing w:before="120" w:after="120"/>
        <w:ind w:left="567"/>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i/>
          <w:sz w:val="22"/>
          <w:szCs w:val="22"/>
        </w:rPr>
        <w:t xml:space="preserve">III. Se declare la incompetencia por el responsable.;” </w:t>
      </w:r>
    </w:p>
    <w:p w14:paraId="73EAAC9B" w14:textId="77777777" w:rsidR="00DA2A6F" w:rsidRPr="00484BC3" w:rsidRDefault="00B8010F">
      <w:pPr>
        <w:spacing w:before="120" w:after="120"/>
        <w:ind w:left="567"/>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(Énfasis añadido)</w:t>
      </w:r>
    </w:p>
    <w:p w14:paraId="0CECB35E" w14:textId="77777777" w:rsidR="009E5376" w:rsidRPr="00484BC3" w:rsidRDefault="009E5376">
      <w:pPr>
        <w:spacing w:before="120" w:after="120"/>
        <w:ind w:left="567"/>
        <w:rPr>
          <w:rFonts w:ascii="Palatino Linotype" w:eastAsia="Palatino Linotype" w:hAnsi="Palatino Linotype" w:cs="Palatino Linotype"/>
          <w:i/>
          <w:sz w:val="22"/>
          <w:szCs w:val="22"/>
        </w:rPr>
      </w:pPr>
    </w:p>
    <w:p w14:paraId="6FA9D6C4" w14:textId="77777777" w:rsidR="00DA2A6F" w:rsidRPr="00484BC3" w:rsidRDefault="00B8010F">
      <w:pPr>
        <w:spacing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rPr>
        <w:t xml:space="preserve">Tercero. Estudio de fondo del asunto. </w:t>
      </w:r>
      <w:r w:rsidRPr="00484BC3">
        <w:rPr>
          <w:rFonts w:ascii="Palatino Linotype" w:eastAsia="Palatino Linotype" w:hAnsi="Palatino Linotype" w:cs="Palatino Linotype"/>
          <w:sz w:val="22"/>
          <w:szCs w:val="22"/>
        </w:rPr>
        <w:t xml:space="preserve">En primer término, es de señalar que el ejercicio de los derechos de acceso, rectificación, cancelación y oposición, ARCO, se encuentra regulado por el artículo 6 apartado A, fracción II, párrafo primero, y 16, párrafo segundo de la Constitución de los Estados Unidos Mexicanos, los cuales establecen lo siguiente: </w:t>
      </w:r>
    </w:p>
    <w:p w14:paraId="61A11131" w14:textId="77777777" w:rsidR="00DA2A6F" w:rsidRPr="00484BC3"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Artículo 6o.</w:t>
      </w:r>
    </w:p>
    <w:p w14:paraId="7B1D6588" w14:textId="77777777" w:rsidR="00DA2A6F" w:rsidRPr="00484BC3"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31CCFF5A" w14:textId="77777777" w:rsidR="00DA2A6F" w:rsidRPr="00484BC3" w:rsidRDefault="00B8010F">
      <w:pPr>
        <w:tabs>
          <w:tab w:val="left" w:pos="7513"/>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A.</w:t>
      </w:r>
      <w:r w:rsidRPr="00484BC3">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206CFDBC" w14:textId="77777777" w:rsidR="00DA2A6F" w:rsidRPr="00484BC3"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lastRenderedPageBreak/>
        <w:t>…</w:t>
      </w:r>
    </w:p>
    <w:p w14:paraId="104EC734" w14:textId="77777777" w:rsidR="00DA2A6F" w:rsidRPr="00484BC3" w:rsidRDefault="00B8010F">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II.</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 xml:space="preserve">La información que se refiere a la vida privada y los datos personales será protegida </w:t>
      </w:r>
      <w:r w:rsidRPr="00484BC3">
        <w:rPr>
          <w:rFonts w:ascii="Palatino Linotype" w:eastAsia="Palatino Linotype" w:hAnsi="Palatino Linotype" w:cs="Palatino Linotype"/>
          <w:i/>
          <w:sz w:val="22"/>
          <w:szCs w:val="22"/>
        </w:rPr>
        <w:t>en los términos y con las excepciones que fijen las leyes. Para tal efecto, los sujetos obligados contarán con las facultades suficientes para su atención.</w:t>
      </w:r>
      <w:r w:rsidRPr="00484BC3">
        <w:rPr>
          <w:rFonts w:ascii="Palatino Linotype" w:eastAsia="Palatino Linotype" w:hAnsi="Palatino Linotype" w:cs="Palatino Linotype"/>
          <w:i/>
          <w:sz w:val="22"/>
          <w:szCs w:val="22"/>
        </w:rPr>
        <w:br/>
        <w:t>...</w:t>
      </w:r>
    </w:p>
    <w:p w14:paraId="393CC851" w14:textId="77777777" w:rsidR="00DA2A6F" w:rsidRPr="00484BC3" w:rsidRDefault="00B8010F">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Artículo 16.</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i/>
          <w:sz w:val="22"/>
          <w:szCs w:val="22"/>
        </w:rPr>
        <w:t xml:space="preserve">Toda persona </w:t>
      </w:r>
      <w:r w:rsidRPr="00484BC3">
        <w:rPr>
          <w:rFonts w:ascii="Palatino Linotype" w:eastAsia="Palatino Linotype" w:hAnsi="Palatino Linotype" w:cs="Palatino Linotype"/>
          <w:b/>
          <w:i/>
          <w:sz w:val="22"/>
          <w:szCs w:val="22"/>
        </w:rPr>
        <w:t xml:space="preserve">tiene derecho a la protección de sus datos personales, al acceso, </w:t>
      </w:r>
      <w:r w:rsidRPr="00484BC3">
        <w:rPr>
          <w:rFonts w:ascii="Palatino Linotype" w:eastAsia="Palatino Linotype" w:hAnsi="Palatino Linotype" w:cs="Palatino Linotype"/>
          <w:i/>
          <w:sz w:val="22"/>
          <w:szCs w:val="22"/>
        </w:rPr>
        <w:t>rectificación y cancelación de los mismos, así</w:t>
      </w:r>
      <w:r w:rsidRPr="00484BC3">
        <w:rPr>
          <w:rFonts w:ascii="Palatino Linotype" w:eastAsia="Palatino Linotype" w:hAnsi="Palatino Linotype" w:cs="Palatino Linotype"/>
          <w:b/>
          <w:i/>
          <w:sz w:val="22"/>
          <w:szCs w:val="22"/>
        </w:rPr>
        <w:t xml:space="preserve"> </w:t>
      </w:r>
      <w:r w:rsidRPr="00484BC3">
        <w:rPr>
          <w:rFonts w:ascii="Palatino Linotype" w:eastAsia="Palatino Linotype" w:hAnsi="Palatino Linotype" w:cs="Palatino Linotype"/>
          <w:i/>
          <w:sz w:val="22"/>
          <w:szCs w:val="22"/>
        </w:rPr>
        <w:t>como a manifestar su oposición, en los términos que fije la ley,</w:t>
      </w:r>
      <w:r w:rsidRPr="00484BC3">
        <w:rPr>
          <w:rFonts w:ascii="Palatino Linotype" w:eastAsia="Palatino Linotype" w:hAnsi="Palatino Linotype" w:cs="Palatino Linotype"/>
          <w:b/>
          <w:i/>
          <w:sz w:val="22"/>
          <w:szCs w:val="22"/>
        </w:rPr>
        <w:t xml:space="preserve"> </w:t>
      </w:r>
      <w:r w:rsidRPr="00484BC3">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6BDDAEA1"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Derivado de lo anterior, se desprende que </w:t>
      </w:r>
      <w:r w:rsidRPr="00484BC3">
        <w:rPr>
          <w:rFonts w:ascii="Palatino Linotype" w:eastAsia="Palatino Linotype" w:hAnsi="Palatino Linotype" w:cs="Palatino Linotype"/>
          <w:b/>
          <w:sz w:val="22"/>
          <w:szCs w:val="22"/>
        </w:rPr>
        <w:t>la protección de datos personales</w:t>
      </w:r>
      <w:r w:rsidRPr="00484BC3">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32814336" w14:textId="77777777" w:rsidR="00DA2A6F" w:rsidRPr="00484BC3" w:rsidRDefault="00B8010F">
      <w:pPr>
        <w:spacing w:before="240" w:after="240" w:line="360" w:lineRule="auto"/>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sz w:val="22"/>
          <w:szCs w:val="22"/>
        </w:rPr>
        <w:t>Ante tal premisa se puede apreciar que la inclusión</w:t>
      </w:r>
      <w:r w:rsidRPr="00484BC3">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23FC37AD" w14:textId="77777777" w:rsidR="00DA2A6F" w:rsidRPr="00484BC3" w:rsidRDefault="00B8010F">
      <w:pPr>
        <w:spacing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este sentido, la Ley de Protección de Datos Personales en Posesión de Sujetos Obligados del Estado de México y Municipios, señala expresamente que:</w:t>
      </w:r>
    </w:p>
    <w:p w14:paraId="1DF09F26"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Artículo 4</w:t>
      </w:r>
      <w:r w:rsidRPr="00484BC3">
        <w:rPr>
          <w:rFonts w:ascii="Palatino Linotype" w:eastAsia="Palatino Linotype" w:hAnsi="Palatino Linotype" w:cs="Palatino Linotype"/>
          <w:i/>
          <w:sz w:val="22"/>
          <w:szCs w:val="22"/>
        </w:rPr>
        <w:t>. Para los efectos de esta Ley se entenderá por:</w:t>
      </w:r>
    </w:p>
    <w:p w14:paraId="33162A3B"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745EE076"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Datos personales</w:t>
      </w:r>
      <w:r w:rsidRPr="00484BC3">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6D6168F"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0E2C6A5B"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lastRenderedPageBreak/>
        <w:t>XIII.</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Derechos ARCO:</w:t>
      </w:r>
      <w:r w:rsidRPr="00484BC3">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58F8E904"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601034FD"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484BC3">
        <w:rPr>
          <w:rFonts w:ascii="Palatino Linotype" w:eastAsia="Palatino Linotype" w:hAnsi="Palatino Linotype" w:cs="Palatino Linotype"/>
          <w:i/>
          <w:sz w:val="22"/>
          <w:szCs w:val="22"/>
        </w:rPr>
        <w:t>.</w:t>
      </w:r>
    </w:p>
    <w:p w14:paraId="68CDB562"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36B46AE3" w14:textId="77777777" w:rsidR="00DA2A6F" w:rsidRPr="00484BC3" w:rsidRDefault="00B8010F">
      <w:pPr>
        <w:spacing w:before="120" w:after="120"/>
        <w:ind w:left="567" w:right="1185"/>
        <w:jc w:val="both"/>
        <w:rPr>
          <w:rFonts w:ascii="Palatino Linotype" w:eastAsia="Palatino Linotype" w:hAnsi="Palatino Linotype" w:cs="Palatino Linotype"/>
          <w:b/>
          <w:i/>
          <w:sz w:val="22"/>
          <w:szCs w:val="22"/>
          <w:u w:val="single"/>
        </w:rPr>
      </w:pPr>
      <w:r w:rsidRPr="00484BC3">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484BC3">
        <w:rPr>
          <w:rFonts w:ascii="Palatino Linotype" w:eastAsia="Palatino Linotype" w:hAnsi="Palatino Linotype" w:cs="Palatino Linotype"/>
          <w:b/>
          <w:i/>
          <w:sz w:val="22"/>
          <w:szCs w:val="22"/>
          <w:u w:val="single"/>
        </w:rPr>
        <w:t>.</w:t>
      </w:r>
    </w:p>
    <w:p w14:paraId="42754ABA"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28C08741" w14:textId="77777777" w:rsidR="00DA2A6F" w:rsidRPr="00484BC3" w:rsidRDefault="00B8010F">
      <w:pPr>
        <w:spacing w:before="120" w:after="120"/>
        <w:ind w:left="567" w:right="118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Artículo 98. El titular tiene derecho a</w:t>
      </w:r>
      <w:r w:rsidRPr="00484BC3">
        <w:rPr>
          <w:rFonts w:ascii="Palatino Linotype" w:eastAsia="Palatino Linotype" w:hAnsi="Palatino Linotype" w:cs="Palatino Linotype"/>
          <w:i/>
          <w:sz w:val="22"/>
          <w:szCs w:val="22"/>
        </w:rPr>
        <w:t xml:space="preserve"> acceder, </w:t>
      </w:r>
      <w:r w:rsidRPr="00484BC3">
        <w:rPr>
          <w:rFonts w:ascii="Palatino Linotype" w:eastAsia="Palatino Linotype" w:hAnsi="Palatino Linotype" w:cs="Palatino Linotype"/>
          <w:b/>
          <w:i/>
          <w:sz w:val="22"/>
          <w:szCs w:val="22"/>
        </w:rPr>
        <w:t>solicitar y ser informado sobre sus datos personales en posesión de los sujetos obligados</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las cesiones realizadas o que se pretendan realizar,</w:t>
      </w:r>
      <w:r w:rsidRPr="00484BC3">
        <w:rPr>
          <w:rFonts w:ascii="Palatino Linotype" w:eastAsia="Palatino Linotype" w:hAnsi="Palatino Linotype" w:cs="Palatino Linotype"/>
          <w:i/>
          <w:sz w:val="22"/>
          <w:szCs w:val="22"/>
        </w:rPr>
        <w:t xml:space="preserve"> así como tener acceso al aviso de privacidad al que está sujeto.</w:t>
      </w:r>
      <w:r w:rsidRPr="00484BC3">
        <w:rPr>
          <w:rFonts w:ascii="Palatino Linotype" w:eastAsia="Palatino Linotype" w:hAnsi="Palatino Linotype" w:cs="Palatino Linotype"/>
          <w:b/>
          <w:i/>
          <w:sz w:val="22"/>
          <w:szCs w:val="22"/>
        </w:rPr>
        <w:t xml:space="preserve">” </w:t>
      </w:r>
    </w:p>
    <w:p w14:paraId="7D119F9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función de la normativa señalada, se desprenden las premisas siguientes:</w:t>
      </w:r>
    </w:p>
    <w:p w14:paraId="2824D2BB"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484BC3">
        <w:rPr>
          <w:rFonts w:ascii="Palatino Linotype" w:eastAsia="Palatino Linotype" w:hAnsi="Palatino Linotype" w:cs="Palatino Linotype"/>
          <w:b/>
          <w:sz w:val="22"/>
          <w:szCs w:val="22"/>
        </w:rPr>
        <w:t>identificable cuando su identidad pueda determinarse directa o indirectamente a través de cualquier información</w:t>
      </w:r>
      <w:r w:rsidRPr="00484BC3">
        <w:rPr>
          <w:rFonts w:ascii="Palatino Linotype" w:eastAsia="Palatino Linotype" w:hAnsi="Palatino Linotype" w:cs="Palatino Linotype"/>
          <w:sz w:val="22"/>
          <w:szCs w:val="22"/>
        </w:rPr>
        <w:t>.</w:t>
      </w:r>
    </w:p>
    <w:p w14:paraId="27B5061C"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De igual manera, se destaca que en todo momento el </w:t>
      </w:r>
      <w:r w:rsidRPr="00484BC3">
        <w:rPr>
          <w:rFonts w:ascii="Palatino Linotype" w:eastAsia="Palatino Linotype" w:hAnsi="Palatino Linotype" w:cs="Palatino Linotype"/>
          <w:b/>
          <w:sz w:val="22"/>
          <w:szCs w:val="22"/>
        </w:rPr>
        <w:t>titular podrá solicitar al responsable</w:t>
      </w:r>
      <w:r w:rsidRPr="00484BC3">
        <w:rPr>
          <w:rFonts w:ascii="Palatino Linotype" w:eastAsia="Palatino Linotype" w:hAnsi="Palatino Linotype" w:cs="Palatino Linotype"/>
          <w:sz w:val="22"/>
          <w:szCs w:val="22"/>
        </w:rPr>
        <w:t xml:space="preserve">, el acceso, rectificación, cancelación u </w:t>
      </w:r>
      <w:r w:rsidRPr="00484BC3">
        <w:rPr>
          <w:rFonts w:ascii="Palatino Linotype" w:eastAsia="Palatino Linotype" w:hAnsi="Palatino Linotype" w:cs="Palatino Linotype"/>
          <w:b/>
          <w:sz w:val="22"/>
          <w:szCs w:val="22"/>
        </w:rPr>
        <w:t xml:space="preserve">oposición </w:t>
      </w:r>
      <w:r w:rsidRPr="00484BC3">
        <w:rPr>
          <w:rFonts w:ascii="Palatino Linotype" w:eastAsia="Palatino Linotype" w:hAnsi="Palatino Linotype" w:cs="Palatino Linotype"/>
          <w:sz w:val="22"/>
          <w:szCs w:val="22"/>
        </w:rPr>
        <w:t>-derechos ARCO- al tratamiento de los datos personales que le conciernen.</w:t>
      </w:r>
    </w:p>
    <w:p w14:paraId="66B82029"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la</w:t>
      </w:r>
      <w:r w:rsidRPr="00484BC3">
        <w:rPr>
          <w:rFonts w:ascii="Palatino Linotype" w:eastAsia="Palatino Linotype" w:hAnsi="Palatino Linotype" w:cs="Palatino Linotype"/>
          <w:b/>
          <w:sz w:val="22"/>
          <w:szCs w:val="22"/>
        </w:rPr>
        <w:t xml:space="preserve"> recepción y trámite </w:t>
      </w:r>
      <w:r w:rsidRPr="00484BC3">
        <w:rPr>
          <w:rFonts w:ascii="Palatino Linotype" w:eastAsia="Palatino Linotype" w:hAnsi="Palatino Linotype" w:cs="Palatino Linotype"/>
          <w:sz w:val="22"/>
          <w:szCs w:val="22"/>
        </w:rPr>
        <w:t>de las solicitudes de ejercicio de los derechos ARCO,</w:t>
      </w:r>
      <w:r w:rsidRPr="00484BC3">
        <w:rPr>
          <w:rFonts w:ascii="Palatino Linotype" w:eastAsia="Palatino Linotype" w:hAnsi="Palatino Linotype" w:cs="Palatino Linotype"/>
          <w:b/>
          <w:sz w:val="22"/>
          <w:szCs w:val="22"/>
        </w:rPr>
        <w:t xml:space="preserve"> </w:t>
      </w:r>
      <w:r w:rsidRPr="00484BC3">
        <w:rPr>
          <w:rFonts w:ascii="Palatino Linotype" w:eastAsia="Palatino Linotype" w:hAnsi="Palatino Linotype" w:cs="Palatino Linotype"/>
          <w:sz w:val="22"/>
          <w:szCs w:val="22"/>
        </w:rPr>
        <w:t>que se formulen a los sujetos obligados</w:t>
      </w:r>
      <w:r w:rsidRPr="00484BC3">
        <w:rPr>
          <w:rFonts w:ascii="Palatino Linotype" w:eastAsia="Palatino Linotype" w:hAnsi="Palatino Linotype" w:cs="Palatino Linotype"/>
          <w:b/>
          <w:sz w:val="22"/>
          <w:szCs w:val="22"/>
        </w:rPr>
        <w:t xml:space="preserve">, se sujetará al procedimiento establecido en el Título </w:t>
      </w:r>
      <w:r w:rsidRPr="00484BC3">
        <w:rPr>
          <w:rFonts w:ascii="Palatino Linotype" w:eastAsia="Palatino Linotype" w:hAnsi="Palatino Linotype" w:cs="Palatino Linotype"/>
          <w:b/>
          <w:sz w:val="22"/>
          <w:szCs w:val="22"/>
        </w:rPr>
        <w:lastRenderedPageBreak/>
        <w:t>Tercero de la Ley General de Protección de Datos Personales en Posesión de Sujetos Obligados</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484BC3">
        <w:rPr>
          <w:rFonts w:ascii="Palatino Linotype" w:eastAsia="Palatino Linotype" w:hAnsi="Palatino Linotype" w:cs="Palatino Linotype"/>
          <w:sz w:val="22"/>
          <w:szCs w:val="22"/>
        </w:rPr>
        <w:t xml:space="preserve"> y demás disposiciones que resulten aplicables en la materia.</w:t>
      </w:r>
    </w:p>
    <w:p w14:paraId="40B6A361"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484BC3">
        <w:rPr>
          <w:rFonts w:ascii="Palatino Linotype" w:eastAsia="Palatino Linotype" w:hAnsi="Palatino Linotype" w:cs="Palatino Linotype"/>
          <w:b/>
          <w:sz w:val="22"/>
          <w:szCs w:val="22"/>
        </w:rPr>
        <w:t>su obtención</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484BC3">
        <w:rPr>
          <w:rFonts w:ascii="Palatino Linotype" w:eastAsia="Palatino Linotype" w:hAnsi="Palatino Linotype" w:cs="Palatino Linotype"/>
          <w:sz w:val="22"/>
          <w:szCs w:val="22"/>
        </w:rPr>
        <w:t>.</w:t>
      </w:r>
    </w:p>
    <w:p w14:paraId="39A69BF4"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47B99FB4" w14:textId="77777777" w:rsidR="00DA2A6F" w:rsidRPr="00484BC3" w:rsidRDefault="00B8010F">
      <w:pPr>
        <w:spacing w:before="240" w:after="240" w:line="360" w:lineRule="auto"/>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sz w:val="22"/>
          <w:szCs w:val="22"/>
        </w:rPr>
        <w:t>Expuesto lo anterior, se procede al análisis de la totalidad de las constancias que integran el expediente electrónico del SAIMEX, con</w:t>
      </w:r>
      <w:r w:rsidRPr="00484BC3">
        <w:rPr>
          <w:rFonts w:ascii="Palatino Linotype" w:eastAsia="Palatino Linotype" w:hAnsi="Palatino Linotype" w:cs="Palatino Linotype"/>
          <w:b/>
          <w:sz w:val="22"/>
          <w:szCs w:val="22"/>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3730A1D8"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Ahora bien, del análisis de la solicitud de acceso a datos personales, que motiva el recurso de revisión que ahora se resuelve, se advierte que </w:t>
      </w:r>
      <w:r w:rsidRPr="00484BC3">
        <w:rPr>
          <w:rFonts w:ascii="Palatino Linotype" w:eastAsia="Palatino Linotype" w:hAnsi="Palatino Linotype" w:cs="Palatino Linotype"/>
          <w:b/>
          <w:sz w:val="22"/>
          <w:szCs w:val="22"/>
        </w:rPr>
        <w:t>la parte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requirió al </w:t>
      </w:r>
      <w:r w:rsidRPr="00484BC3">
        <w:rPr>
          <w:rFonts w:ascii="Palatino Linotype" w:eastAsia="Palatino Linotype" w:hAnsi="Palatino Linotype" w:cs="Palatino Linotype"/>
          <w:b/>
          <w:sz w:val="22"/>
          <w:szCs w:val="22"/>
        </w:rPr>
        <w:t>Sujeto Obligado o Responsable</w:t>
      </w:r>
      <w:r w:rsidRPr="00484BC3">
        <w:rPr>
          <w:rFonts w:ascii="Palatino Linotype" w:eastAsia="Palatino Linotype" w:hAnsi="Palatino Linotype" w:cs="Palatino Linotype"/>
          <w:sz w:val="22"/>
          <w:szCs w:val="22"/>
        </w:rPr>
        <w:t xml:space="preserve"> le proporcione, información consistente en lo siguiente:</w:t>
      </w:r>
    </w:p>
    <w:p w14:paraId="5FBDB30F" w14:textId="77777777" w:rsidR="00DA2A6F" w:rsidRPr="00484BC3" w:rsidRDefault="00B8010F">
      <w:pPr>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w:t>
      </w:r>
      <w:r w:rsidRPr="00484BC3">
        <w:rPr>
          <w:rFonts w:ascii="Palatino Linotype" w:eastAsia="Palatino Linotype" w:hAnsi="Palatino Linotype" w:cs="Palatino Linotype"/>
          <w:sz w:val="22"/>
          <w:szCs w:val="22"/>
        </w:rPr>
        <w:lastRenderedPageBreak/>
        <w:t xml:space="preserve">incluye el Apartado Analítico de servicios personales 2024, plazas, horas y sueldos autorizados, la siguiente información: </w:t>
      </w:r>
    </w:p>
    <w:p w14:paraId="0B8B2D41"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“●Monto total individualizado asignado a mi plaza como ingreso bruto, que debí y debo percibir, por este año 2024;</w:t>
      </w:r>
    </w:p>
    <w:p w14:paraId="7553D22E"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2BB31810" w14:textId="77777777" w:rsidR="00DA2A6F" w:rsidRPr="00484BC3" w:rsidRDefault="00B8010F">
      <w:pPr>
        <w:spacing w:before="240" w:after="240" w:line="276" w:lineRule="auto"/>
        <w:ind w:left="567"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10AEE047"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Derivado de esta solicitud,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declaró la incompetencia total para atender la presente solicitud de información, asimismo refirió que puede ser competente para atender la presente solicitud el Colegio de Bachilleres del Estado de México y la Oficialía Mayor.</w:t>
      </w:r>
    </w:p>
    <w:p w14:paraId="1FDEBBB1" w14:textId="77777777" w:rsidR="00DA2A6F" w:rsidRPr="00484BC3"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sz w:val="22"/>
          <w:szCs w:val="22"/>
        </w:rPr>
        <w:t xml:space="preserve">Una vez conocida la respuesta, </w:t>
      </w:r>
      <w:r w:rsidRPr="00484BC3">
        <w:rPr>
          <w:rFonts w:ascii="Palatino Linotype" w:eastAsia="Palatino Linotype" w:hAnsi="Palatino Linotype" w:cs="Palatino Linotype"/>
          <w:b/>
          <w:sz w:val="22"/>
          <w:szCs w:val="22"/>
        </w:rPr>
        <w:t>la parte Recurrente</w:t>
      </w:r>
      <w:r w:rsidRPr="00484BC3">
        <w:rPr>
          <w:rFonts w:ascii="Palatino Linotype" w:eastAsia="Palatino Linotype" w:hAnsi="Palatino Linotype" w:cs="Palatino Linotype"/>
          <w:sz w:val="22"/>
          <w:szCs w:val="22"/>
        </w:rPr>
        <w:t xml:space="preserve"> interpuso el recurso de revisión que nos ocupa, inconformándose por la incompetencia alegada por el </w:t>
      </w:r>
      <w:r w:rsidRPr="00484BC3">
        <w:rPr>
          <w:rFonts w:ascii="Palatino Linotype" w:eastAsia="Palatino Linotype" w:hAnsi="Palatino Linotype" w:cs="Palatino Linotype"/>
          <w:b/>
          <w:sz w:val="22"/>
          <w:szCs w:val="22"/>
        </w:rPr>
        <w:t>Sujeto Obligado.</w:t>
      </w:r>
    </w:p>
    <w:p w14:paraId="3ED33C1C" w14:textId="77777777" w:rsidR="00DA2A6F" w:rsidRPr="00484BC3"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Ejecución / Apoyo Financiero 2024 SEMS-EL COBAEM-MÉXICO 0236/24, los cuales son coincidentes en contenido con los remitidos desde la solicitud de acceso a la información.</w:t>
      </w:r>
    </w:p>
    <w:p w14:paraId="48B5CA99"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w:t>
      </w:r>
      <w:r w:rsidRPr="00484BC3">
        <w:rPr>
          <w:rFonts w:ascii="Palatino Linotype" w:eastAsia="Palatino Linotype" w:hAnsi="Palatino Linotype" w:cs="Palatino Linotype"/>
          <w:sz w:val="22"/>
          <w:szCs w:val="22"/>
        </w:rPr>
        <w:lastRenderedPageBreak/>
        <w:t xml:space="preserve">Organismo Garantes como el entonces Instituto Nacional de Acceso a la Información Pública y Protección de Datos Personales (INAI) se han pronunciado por la procedencia de los recursos de revisión según la materia de la solicitud. </w:t>
      </w:r>
    </w:p>
    <w:p w14:paraId="012A33E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Discernimiento que encuentra apoyo en el criterio orientador </w:t>
      </w:r>
      <w:r w:rsidRPr="00484BC3">
        <w:rPr>
          <w:rFonts w:ascii="Palatino Linotype" w:eastAsia="Palatino Linotype" w:hAnsi="Palatino Linotype" w:cs="Palatino Linotype"/>
          <w:b/>
          <w:sz w:val="22"/>
          <w:szCs w:val="22"/>
        </w:rPr>
        <w:t>008/2009</w:t>
      </w:r>
      <w:r w:rsidRPr="00484BC3">
        <w:rPr>
          <w:rFonts w:ascii="Palatino Linotype" w:eastAsia="Palatino Linotype" w:hAnsi="Palatino Linotype" w:cs="Palatino Linotype"/>
          <w:sz w:val="22"/>
          <w:szCs w:val="22"/>
        </w:rPr>
        <w:t xml:space="preserve"> del entonces INAI, que a la letra dispone lo siguiente:</w:t>
      </w:r>
    </w:p>
    <w:p w14:paraId="4B1653CD" w14:textId="77777777" w:rsidR="00DA2A6F" w:rsidRPr="00484BC3" w:rsidRDefault="00B8010F">
      <w:pPr>
        <w:tabs>
          <w:tab w:val="left" w:pos="7655"/>
        </w:tabs>
        <w:spacing w:after="120" w:line="276" w:lineRule="auto"/>
        <w:ind w:left="851" w:right="902"/>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 xml:space="preserve">Todas aquellas solicitudes cuyo objetivo sea allegarse de información pública y que sean ingresadas por la vía de acceso a datos personales, así como el caso contrario, </w:t>
      </w:r>
      <w:r w:rsidRPr="00484BC3">
        <w:rPr>
          <w:rFonts w:ascii="Palatino Linotype" w:eastAsia="Palatino Linotype" w:hAnsi="Palatino Linotype" w:cs="Palatino Linotype"/>
          <w:b/>
          <w:i/>
          <w:sz w:val="22"/>
          <w:szCs w:val="22"/>
          <w:u w:val="single"/>
        </w:rPr>
        <w:t>deberán ser tramitadas por las dependencias y entidades de conformidad con la naturaleza de la información de que se trate</w:t>
      </w:r>
      <w:r w:rsidRPr="00484BC3">
        <w:rPr>
          <w:rFonts w:ascii="Palatino Linotype" w:eastAsia="Palatino Linotype" w:hAnsi="Palatino Linotype" w:cs="Palatino Linotype"/>
          <w:b/>
          <w:i/>
          <w:sz w:val="22"/>
          <w:szCs w:val="22"/>
        </w:rPr>
        <w:t>, sin necesidad de que el particular requiera presentar una nueva solicitud.</w:t>
      </w:r>
    </w:p>
    <w:p w14:paraId="3299B75E" w14:textId="77777777" w:rsidR="00DA2A6F" w:rsidRPr="00484BC3" w:rsidRDefault="00B8010F">
      <w:pPr>
        <w:tabs>
          <w:tab w:val="left" w:pos="7655"/>
        </w:tabs>
        <w:spacing w:after="120" w:line="276" w:lineRule="auto"/>
        <w:ind w:left="851" w:right="902"/>
        <w:jc w:val="both"/>
        <w:rPr>
          <w:rFonts w:ascii="Palatino Linotype" w:eastAsia="Palatino Linotype" w:hAnsi="Palatino Linotype" w:cs="Palatino Linotype"/>
          <w:i/>
          <w:sz w:val="20"/>
          <w:szCs w:val="20"/>
        </w:rPr>
      </w:pPr>
      <w:r w:rsidRPr="00484BC3">
        <w:rPr>
          <w:rFonts w:ascii="Palatino Linotype" w:eastAsia="Palatino Linotype" w:hAnsi="Palatino Linotype" w:cs="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w:t>
      </w:r>
      <w:r w:rsidRPr="00484BC3">
        <w:rPr>
          <w:rFonts w:ascii="Palatino Linotype" w:eastAsia="Palatino Linotype" w:hAnsi="Palatino Linotype" w:cs="Palatino Linotype"/>
          <w:i/>
          <w:sz w:val="22"/>
          <w:szCs w:val="22"/>
        </w:rPr>
        <w:lastRenderedPageBreak/>
        <w:t xml:space="preserve">por la que los particulares presentan sus solicitudes. </w:t>
      </w:r>
      <w:r w:rsidRPr="00484BC3">
        <w:rPr>
          <w:rFonts w:ascii="Palatino Linotype" w:eastAsia="Palatino Linotype" w:hAnsi="Palatino Linotype" w:cs="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484BC3">
        <w:rPr>
          <w:rFonts w:ascii="Palatino Linotype" w:eastAsia="Palatino Linotype" w:hAnsi="Palatino Linotype" w:cs="Palatino Linotype"/>
          <w:i/>
          <w:sz w:val="22"/>
          <w:szCs w:val="22"/>
        </w:rPr>
        <w:t>.” (Énfasis añadido)</w:t>
      </w:r>
    </w:p>
    <w:p w14:paraId="4E1C528F"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Lo anterior, bajo el principio  de </w:t>
      </w:r>
      <w:proofErr w:type="spellStart"/>
      <w:r w:rsidRPr="00484BC3">
        <w:rPr>
          <w:rFonts w:ascii="Palatino Linotype" w:eastAsia="Palatino Linotype" w:hAnsi="Palatino Linotype" w:cs="Palatino Linotype"/>
          <w:sz w:val="22"/>
          <w:szCs w:val="22"/>
        </w:rPr>
        <w:t>expeditez</w:t>
      </w:r>
      <w:proofErr w:type="spellEnd"/>
      <w:r w:rsidRPr="00484BC3">
        <w:rPr>
          <w:rFonts w:ascii="Palatino Linotype" w:eastAsia="Palatino Linotype" w:hAnsi="Palatino Linotype" w:cs="Palatino Linotype"/>
          <w:sz w:val="22"/>
          <w:szCs w:val="22"/>
          <w:vertAlign w:val="superscript"/>
        </w:rPr>
        <w:footnoteReference w:id="1"/>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i/>
          <w:sz w:val="22"/>
          <w:szCs w:val="22"/>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484BC3">
        <w:rPr>
          <w:rFonts w:ascii="Palatino Linotype" w:eastAsia="Palatino Linotype" w:hAnsi="Palatino Linotype" w:cs="Palatino Linotype"/>
          <w:sz w:val="22"/>
          <w:szCs w:val="22"/>
        </w:rPr>
        <w:t xml:space="preserve">determina  procedente dar trámite a la solicitud formulada por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2F9827BE"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Aunado a lo anterior, los Lineamientos 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484BC3">
        <w:rPr>
          <w:rFonts w:ascii="Palatino Linotype" w:eastAsia="Palatino Linotype" w:hAnsi="Palatino Linotype" w:cs="Palatino Linotype"/>
          <w:b/>
          <w:sz w:val="22"/>
          <w:szCs w:val="22"/>
        </w:rPr>
        <w:t>trigésimo noveno</w:t>
      </w:r>
      <w:r w:rsidRPr="00484BC3">
        <w:rPr>
          <w:rFonts w:ascii="Palatino Linotype" w:eastAsia="Palatino Linotype" w:hAnsi="Palatino Linotype" w:cs="Palatino Linotype"/>
          <w:sz w:val="22"/>
          <w:szCs w:val="22"/>
        </w:rPr>
        <w:t xml:space="preserve">: </w:t>
      </w:r>
    </w:p>
    <w:p w14:paraId="7B397E29" w14:textId="77777777" w:rsidR="00DA2A6F" w:rsidRPr="00484BC3" w:rsidRDefault="00B8010F">
      <w:pP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Trigésimo noveno</w:t>
      </w:r>
      <w:r w:rsidRPr="00484BC3">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14:paraId="67A9D870" w14:textId="77777777" w:rsidR="00DA2A6F" w:rsidRPr="00484BC3" w:rsidRDefault="00B8010F">
      <w:pPr>
        <w:spacing w:before="120" w:after="120"/>
        <w:ind w:left="567" w:right="902"/>
        <w:jc w:val="both"/>
        <w:rPr>
          <w:rFonts w:ascii="Palatino Linotype" w:eastAsia="Palatino Linotype" w:hAnsi="Palatino Linotype" w:cs="Palatino Linotype"/>
          <w:b/>
          <w:i/>
          <w:sz w:val="22"/>
          <w:szCs w:val="22"/>
          <w:u w:val="single"/>
        </w:rPr>
      </w:pPr>
      <w:r w:rsidRPr="00484BC3">
        <w:rPr>
          <w:rFonts w:ascii="Palatino Linotype" w:eastAsia="Palatino Linotype" w:hAnsi="Palatino Linotype" w:cs="Palatino Linotype"/>
          <w:b/>
          <w:i/>
          <w:sz w:val="22"/>
          <w:szCs w:val="22"/>
          <w:u w:val="single"/>
        </w:rPr>
        <w:t xml:space="preserve">En caso de que el titular de los datos o su representante realice una solicitud de acceso a la información donde se encuentren sus datos personales, los </w:t>
      </w:r>
      <w:r w:rsidRPr="00484BC3">
        <w:rPr>
          <w:rFonts w:ascii="Palatino Linotype" w:eastAsia="Palatino Linotype" w:hAnsi="Palatino Linotype" w:cs="Palatino Linotype"/>
          <w:b/>
          <w:i/>
          <w:sz w:val="22"/>
          <w:szCs w:val="22"/>
          <w:u w:val="single"/>
        </w:rPr>
        <w:lastRenderedPageBreak/>
        <w:t>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79E1301A" w14:textId="77777777" w:rsidR="00DA2A6F" w:rsidRPr="00484BC3" w:rsidRDefault="00B8010F">
      <w:pP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En caso de que los documentos puestos a disposición del titular de los datos contengan información pública, además de sus datos personales, no deberá testarse ésta.</w:t>
      </w:r>
    </w:p>
    <w:p w14:paraId="4EFF5978" w14:textId="77777777" w:rsidR="00DA2A6F" w:rsidRPr="00484BC3" w:rsidRDefault="00B8010F">
      <w:pP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35182C88" w14:textId="77777777" w:rsidR="00DA2A6F" w:rsidRPr="00484BC3" w:rsidRDefault="00B8010F">
      <w:pPr>
        <w:spacing w:after="16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Teniendo esto en cuenta, este Instituto </w:t>
      </w:r>
      <w:proofErr w:type="spellStart"/>
      <w:r w:rsidRPr="00484BC3">
        <w:rPr>
          <w:rFonts w:ascii="Palatino Linotype" w:eastAsia="Palatino Linotype" w:hAnsi="Palatino Linotype" w:cs="Palatino Linotype"/>
          <w:sz w:val="22"/>
          <w:szCs w:val="22"/>
        </w:rPr>
        <w:t>aperturó</w:t>
      </w:r>
      <w:proofErr w:type="spellEnd"/>
      <w:r w:rsidRPr="00484BC3">
        <w:rPr>
          <w:rFonts w:ascii="Palatino Linotype" w:eastAsia="Palatino Linotype" w:hAnsi="Palatino Linotype" w:cs="Palatino Linotype"/>
          <w:sz w:val="22"/>
          <w:szCs w:val="22"/>
        </w:rPr>
        <w:t xml:space="preserve"> la fase de conciliación, en la cual</w:t>
      </w:r>
      <w:r w:rsidRPr="00484BC3">
        <w:rPr>
          <w:rFonts w:ascii="Palatino Linotype" w:eastAsia="Palatino Linotype" w:hAnsi="Palatino Linotype" w:cs="Palatino Linotype"/>
          <w:b/>
          <w:sz w:val="22"/>
          <w:szCs w:val="22"/>
        </w:rPr>
        <w:t xml:space="preserve"> la parte Recurrente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u w:val="single"/>
        </w:rPr>
        <w:t>expresó su voluntad para conciliar en el presente asunto</w:t>
      </w:r>
      <w:r w:rsidRPr="00484BC3">
        <w:rPr>
          <w:rFonts w:ascii="Palatino Linotype" w:eastAsia="Palatino Linotype" w:hAnsi="Palatino Linotype" w:cs="Palatino Linotype"/>
          <w:sz w:val="22"/>
          <w:szCs w:val="22"/>
        </w:rPr>
        <w:t xml:space="preserve">, mientras que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manifestó medularmente que </w:t>
      </w:r>
      <w:r w:rsidRPr="00484BC3">
        <w:rPr>
          <w:rFonts w:ascii="Palatino Linotype" w:eastAsia="Palatino Linotype" w:hAnsi="Palatino Linotype" w:cs="Palatino Linotype"/>
          <w:b/>
          <w:sz w:val="22"/>
          <w:szCs w:val="22"/>
          <w:u w:val="single"/>
        </w:rPr>
        <w:t>no es posible llevar a cabo la conciliación</w:t>
      </w:r>
      <w:r w:rsidRPr="00484BC3">
        <w:rPr>
          <w:rFonts w:ascii="Palatino Linotype" w:eastAsia="Palatino Linotype" w:hAnsi="Palatino Linotype" w:cs="Palatino Linotype"/>
          <w:sz w:val="22"/>
          <w:szCs w:val="22"/>
        </w:rPr>
        <w:t>, en virtud de que no cuenta con la competencia para conocer de la información solicitada, por lo que ante la inexistencia de una voluntad recíproca para conciliar en el presente asunto se cerró la etapa conciliatoria.</w:t>
      </w:r>
    </w:p>
    <w:p w14:paraId="7B71325F"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Asimismo, es de suma importancia mencionar que en el escrito mediante el cual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manifestó su voluntad de conciliar se advierte que hizo referencia a la conciliación pero bajo la entrega por parte del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de “</w:t>
      </w:r>
      <w:r w:rsidRPr="00484BC3">
        <w:rPr>
          <w:rFonts w:ascii="Palatino Linotype" w:eastAsia="Palatino Linotype" w:hAnsi="Palatino Linotype" w:cs="Palatino Linotype"/>
          <w:i/>
          <w:sz w:val="22"/>
          <w:szCs w:val="22"/>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484BC3">
        <w:rPr>
          <w:rFonts w:ascii="Palatino Linotype" w:eastAsia="Palatino Linotype" w:hAnsi="Palatino Linotype" w:cs="Palatino Linotype"/>
          <w:sz w:val="22"/>
          <w:szCs w:val="22"/>
        </w:rPr>
        <w:t>”.</w:t>
      </w:r>
    </w:p>
    <w:p w14:paraId="40A665F7"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Al respecto, debe mencionarse que 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 xml:space="preserve">pretendió ampliar su solicitud, pues como se advierte, requirió que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 xml:space="preserve">proporcionara los documentos donde se deslinda de la responsabilidad del Anexo de Ejecución 2024, presentando recibos, </w:t>
      </w:r>
      <w:r w:rsidRPr="00484BC3">
        <w:rPr>
          <w:rFonts w:ascii="Palatino Linotype" w:eastAsia="Palatino Linotype" w:hAnsi="Palatino Linotype" w:cs="Palatino Linotype"/>
          <w:sz w:val="22"/>
          <w:szCs w:val="22"/>
        </w:rPr>
        <w:lastRenderedPageBreak/>
        <w:t xml:space="preserve">transferencia, acuses o documento fehaciente donde acredite y demuestre que entregó el recurso económico tanto Federal como el Estatal al Colegio de Bachilleres del Estado de México; sin embargo, dicha información no fue requerida al momento de presentar la solicitud de información, como se desprende de los antecedentes de la presente resolución, y de las constancias que obran en el expediente electrónico del SAIMEX. En este sentido, dichos pronunciamientos se traducen como </w:t>
      </w:r>
      <w:proofErr w:type="gramStart"/>
      <w:r w:rsidRPr="00484BC3">
        <w:rPr>
          <w:rFonts w:ascii="Palatino Linotype" w:eastAsia="Palatino Linotype" w:hAnsi="Palatino Linotype" w:cs="Palatino Linotype"/>
          <w:sz w:val="22"/>
          <w:szCs w:val="22"/>
        </w:rPr>
        <w:t xml:space="preserve">una </w:t>
      </w:r>
      <w:r w:rsidRPr="00484BC3">
        <w:rPr>
          <w:rFonts w:ascii="Palatino Linotype" w:eastAsia="Palatino Linotype" w:hAnsi="Palatino Linotype" w:cs="Palatino Linotype"/>
          <w:i/>
          <w:sz w:val="22"/>
          <w:szCs w:val="22"/>
        </w:rPr>
        <w:t>plus</w:t>
      </w:r>
      <w:proofErr w:type="gramEnd"/>
      <w:r w:rsidRPr="00484BC3">
        <w:rPr>
          <w:rFonts w:ascii="Palatino Linotype" w:eastAsia="Palatino Linotype" w:hAnsi="Palatino Linotype" w:cs="Palatino Linotype"/>
          <w:i/>
          <w:sz w:val="22"/>
          <w:szCs w:val="22"/>
        </w:rPr>
        <w:t xml:space="preserve"> </w:t>
      </w:r>
      <w:proofErr w:type="spellStart"/>
      <w:r w:rsidRPr="00484BC3">
        <w:rPr>
          <w:rFonts w:ascii="Palatino Linotype" w:eastAsia="Palatino Linotype" w:hAnsi="Palatino Linotype" w:cs="Palatino Linotype"/>
          <w:i/>
          <w:sz w:val="22"/>
          <w:szCs w:val="22"/>
        </w:rPr>
        <w:t>petitio</w:t>
      </w:r>
      <w:proofErr w:type="spellEnd"/>
      <w:r w:rsidRPr="00484BC3">
        <w:rPr>
          <w:rFonts w:ascii="Palatino Linotype" w:eastAsia="Palatino Linotype" w:hAnsi="Palatino Linotype" w:cs="Palatino Linotype"/>
          <w:b/>
          <w:i/>
          <w:sz w:val="22"/>
          <w:szCs w:val="22"/>
        </w:rPr>
        <w:t xml:space="preserve">, </w:t>
      </w:r>
      <w:r w:rsidRPr="00484BC3">
        <w:rPr>
          <w:rFonts w:ascii="Palatino Linotype" w:eastAsia="Palatino Linotype" w:hAnsi="Palatino Linotype" w:cs="Palatino Linotype"/>
          <w:sz w:val="22"/>
          <w:szCs w:val="22"/>
        </w:rPr>
        <w:t xml:space="preserve">y por tanto inatendibles a través del recurso de revisión.  </w:t>
      </w:r>
    </w:p>
    <w:p w14:paraId="4AA28D85"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este orden de ideas, una vez formulada su solicitud inicial,</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591C0A85"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23CC7D0A" w14:textId="77777777" w:rsidR="00DA2A6F" w:rsidRPr="00484BC3" w:rsidRDefault="00B8010F">
      <w:pPr>
        <w:spacing w:before="240" w:after="240"/>
        <w:ind w:left="993" w:right="900"/>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84BC3">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84BC3">
        <w:rPr>
          <w:rFonts w:ascii="Palatino Linotype" w:eastAsia="Palatino Linotype" w:hAnsi="Palatino Linotype" w:cs="Palatino Linotype"/>
          <w:b/>
          <w:i/>
          <w:sz w:val="22"/>
          <w:szCs w:val="22"/>
        </w:rPr>
        <w:t>.</w:t>
      </w:r>
      <w:r w:rsidRPr="00484BC3">
        <w:rPr>
          <w:rFonts w:ascii="Palatino Linotype" w:eastAsia="Palatino Linotype" w:hAnsi="Palatino Linotype" w:cs="Palatino Linotype"/>
          <w:i/>
          <w:sz w:val="22"/>
          <w:szCs w:val="22"/>
        </w:rPr>
        <w:t>”</w:t>
      </w:r>
    </w:p>
    <w:p w14:paraId="76E5B19C"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No obstante, se dejan a salvo los derechos de la persona solicitante para que, en caso de considerar conveniente a sus intereses, el conocer la información que fue señalada, la solicite a través de una nueva solicitud de información.</w:t>
      </w:r>
    </w:p>
    <w:p w14:paraId="64DBAABA"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Precisado lo anterior, es de retomar que, del análisis a la solicitud que dio origen al recurso de revisión de nuestra atención, se advierte que la parte</w:t>
      </w:r>
      <w:r w:rsidRPr="00484BC3">
        <w:rPr>
          <w:rFonts w:ascii="Palatino Linotype" w:eastAsia="Palatino Linotype" w:hAnsi="Palatino Linotype" w:cs="Palatino Linotype"/>
          <w:b/>
          <w:sz w:val="22"/>
          <w:szCs w:val="22"/>
        </w:rPr>
        <w:t xml:space="preserve"> Recurrente</w:t>
      </w:r>
      <w:r w:rsidRPr="00484BC3">
        <w:rPr>
          <w:rFonts w:ascii="Palatino Linotype" w:eastAsia="Palatino Linotype" w:hAnsi="Palatino Linotype" w:cs="Palatino Linotype"/>
          <w:sz w:val="22"/>
          <w:szCs w:val="22"/>
        </w:rPr>
        <w:t xml:space="preserve"> pretendió ejercer uno de los derechos ARCO, como es el de acceso a datos personales, ello en virtud de que requiere el monto total individualizado asignado a su plaza como ingreso bruto, que debió y debe percibir, por el año 2024; el monto detallado anual que debió aplicarse por concepto tanto de percepciones como de deducciones -cuyos conceptos se precisaron-, respecto del ejercicio 2024,  y en caso de que exista diferencia salarial entre lo autorizado en el Anexo de Ejecución y lo que realmente se ha pagado en 2024, se le informe el monto que dejó de percibir y los conceptos, en los cuales se aplicó la deducción.</w:t>
      </w:r>
    </w:p>
    <w:p w14:paraId="5A31818D"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Por lo que, una vez establecidas las posturas de las partes, se procede al análisis de los requerimientos de información, así como la información proporcionada por el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 xml:space="preserve">en contraposición con el motivo de inconformidad alegado por 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3843F236"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este tenor, toda vez que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se declaró incompetente para dar atención a la solicitud y que este es el motivo de inconformidad hecho valer por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21AFE25A"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Sirve de sustento a lo anterior, por analogía, la Jurisprudencia con número de registro 170827, emitida por la Segunda Sala de la Suprema Corte de Justicia de la Nación, cuyo rubro y texto a continuación se transcriben:</w:t>
      </w:r>
    </w:p>
    <w:p w14:paraId="738B5D46" w14:textId="77777777" w:rsidR="00DA2A6F" w:rsidRPr="00484BC3" w:rsidRDefault="00B8010F">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COMPETENCIA. SU ESTUDIO OFICIOSO RESPECTO DE LA AUTORIDAD DEMANDADA EN EL JUICIO CONTENCIOSO ADMINISTRATIVO, DEBE SER ANALIZADA POR LAS SALAS DEL TRIBUNAL FEDERAL DE JUSTICIA FISCAL Y ADMINISTRATIVA</w:t>
      </w:r>
      <w:r w:rsidRPr="00484BC3">
        <w:rPr>
          <w:rFonts w:ascii="Palatino Linotype" w:eastAsia="Palatino Linotype" w:hAnsi="Palatino Linotype" w:cs="Palatino Linotype"/>
          <w:i/>
          <w:sz w:val="22"/>
          <w:szCs w:val="22"/>
        </w:rPr>
        <w:t xml:space="preserve">.- El artículo 238, penúltimo párrafo, del Código Fiscal de la Federación y su correlativo 51, penúltimo párrafo, de la Ley Federal de Procedimiento Contencioso Administrativo, </w:t>
      </w:r>
      <w:r w:rsidRPr="00484BC3">
        <w:rPr>
          <w:rFonts w:ascii="Palatino Linotype" w:eastAsia="Palatino Linotype" w:hAnsi="Palatino Linotype" w:cs="Palatino Linotype"/>
          <w:b/>
          <w:i/>
          <w:sz w:val="22"/>
          <w:szCs w:val="22"/>
        </w:rPr>
        <w:t>establece que ese Tribunal podrá hacer valer de oficio, por ser de orden público, la incompetencia de la autoridad para dictar la resolución impugnada.</w:t>
      </w:r>
      <w:r w:rsidRPr="00484BC3">
        <w:rPr>
          <w:rFonts w:ascii="Palatino Linotype" w:eastAsia="Palatino Linotype" w:hAnsi="Palatino Linotype" w:cs="Palatino Linotype"/>
          <w:i/>
          <w:sz w:val="22"/>
          <w:szCs w:val="22"/>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RPr="00484BC3">
        <w:rPr>
          <w:rFonts w:ascii="Palatino Linotype" w:eastAsia="Palatino Linotype" w:hAnsi="Palatino Linotype" w:cs="Palatino Linotype"/>
          <w:b/>
          <w:i/>
          <w:sz w:val="22"/>
          <w:szCs w:val="22"/>
        </w:rPr>
        <w:t>en el caso de que las Salas fiscales estimen que la autoridad administrativa es incompetente, su pronunciamiento en ese sentido será indispensable, porque ello constituirá causa de nulidad de la resolución impugnada;</w:t>
      </w:r>
      <w:r w:rsidRPr="00484BC3">
        <w:rPr>
          <w:rFonts w:ascii="Palatino Linotype" w:eastAsia="Palatino Linotype" w:hAnsi="Palatino Linotype" w:cs="Palatino Linotype"/>
          <w:i/>
          <w:sz w:val="22"/>
          <w:szCs w:val="22"/>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44864AAE"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w:t>
      </w:r>
      <w:r w:rsidRPr="00484BC3">
        <w:rPr>
          <w:rFonts w:ascii="Palatino Linotype" w:eastAsia="Palatino Linotype" w:hAnsi="Palatino Linotype" w:cs="Palatino Linotype"/>
          <w:sz w:val="22"/>
          <w:szCs w:val="22"/>
        </w:rPr>
        <w:lastRenderedPageBreak/>
        <w:t>autoridad tiene o no atribuciones o facultades para conocer respecto de los actos de molestia, y esté en posibilidad de oponer sus defensas.</w:t>
      </w:r>
    </w:p>
    <w:p w14:paraId="6EEBBF9D"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484BC3">
        <w:rPr>
          <w:rFonts w:ascii="Palatino Linotype" w:eastAsia="Palatino Linotype" w:hAnsi="Palatino Linotype" w:cs="Palatino Linotype"/>
          <w:b/>
          <w:sz w:val="22"/>
          <w:szCs w:val="22"/>
        </w:rPr>
        <w:t>Secretaría de Finanzas</w:t>
      </w:r>
      <w:r w:rsidRPr="00484BC3">
        <w:rPr>
          <w:rFonts w:ascii="Palatino Linotype" w:eastAsia="Palatino Linotype" w:hAnsi="Palatino Linotype" w:cs="Palatino Linotype"/>
          <w:sz w:val="22"/>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6522D209"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w:t>
      </w:r>
      <w:r w:rsidRPr="00484BC3">
        <w:rPr>
          <w:rFonts w:ascii="Palatino Linotype" w:eastAsia="Palatino Linotype" w:hAnsi="Palatino Linotype" w:cs="Palatino Linotype"/>
          <w:sz w:val="22"/>
          <w:szCs w:val="22"/>
        </w:rPr>
        <w:lastRenderedPageBreak/>
        <w:t>partes operarán dicho instrumento a través de los oficios de autorización que expida la SEP, o bien mediante la suscripción de anexos de ejecución, anuales y específicos por cada uno de los organismos públicos descentralizados que operen en la entidad.</w:t>
      </w:r>
    </w:p>
    <w:p w14:paraId="03E0819C"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56D8E515" w14:textId="77777777" w:rsidR="00DA2A6F" w:rsidRPr="00484BC3"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84BC3">
        <w:rPr>
          <w:rFonts w:ascii="Palatino Linotype" w:eastAsia="Palatino Linotype" w:hAnsi="Palatino Linotype" w:cs="Palatino Linotype"/>
          <w:noProof/>
        </w:rPr>
        <w:drawing>
          <wp:inline distT="0" distB="0" distL="0" distR="0" wp14:anchorId="3CFE7C93" wp14:editId="09FDF76F">
            <wp:extent cx="5296512" cy="3153139"/>
            <wp:effectExtent l="0" t="0" r="0" b="0"/>
            <wp:docPr id="21401319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408"/>
                    <a:stretch>
                      <a:fillRect/>
                    </a:stretch>
                  </pic:blipFill>
                  <pic:spPr>
                    <a:xfrm>
                      <a:off x="0" y="0"/>
                      <a:ext cx="5296512" cy="3153139"/>
                    </a:xfrm>
                    <a:prstGeom prst="rect">
                      <a:avLst/>
                    </a:prstGeom>
                    <a:ln/>
                  </pic:spPr>
                </pic:pic>
              </a:graphicData>
            </a:graphic>
          </wp:inline>
        </w:drawing>
      </w:r>
    </w:p>
    <w:p w14:paraId="59D9454C" w14:textId="77777777" w:rsidR="00DA2A6F" w:rsidRPr="00484BC3"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84BC3">
        <w:rPr>
          <w:rFonts w:ascii="Palatino Linotype" w:eastAsia="Palatino Linotype" w:hAnsi="Palatino Linotype" w:cs="Palatino Linotype"/>
          <w:noProof/>
        </w:rPr>
        <w:lastRenderedPageBreak/>
        <w:drawing>
          <wp:inline distT="0" distB="0" distL="0" distR="0" wp14:anchorId="6F0A239B" wp14:editId="7304D9AE">
            <wp:extent cx="5400000" cy="4184725"/>
            <wp:effectExtent l="0" t="0" r="0" b="0"/>
            <wp:docPr id="2140131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7F44594F" w14:textId="77777777" w:rsidR="00DA2A6F" w:rsidRPr="00484BC3"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Una vez precisado lo anterior, se procede al análisis del marco normativo aplicable al </w:t>
      </w:r>
      <w:r w:rsidRPr="00484BC3">
        <w:rPr>
          <w:rFonts w:ascii="Palatino Linotype" w:eastAsia="Palatino Linotype" w:hAnsi="Palatino Linotype" w:cs="Palatino Linotype"/>
          <w:b/>
          <w:sz w:val="22"/>
          <w:szCs w:val="22"/>
        </w:rPr>
        <w:t xml:space="preserve">Sujeto Obligado, </w:t>
      </w:r>
      <w:r w:rsidRPr="00484BC3">
        <w:rPr>
          <w:rFonts w:ascii="Palatino Linotype" w:eastAsia="Palatino Linotype" w:hAnsi="Palatino Linotype" w:cs="Palatino Linotype"/>
          <w:sz w:val="22"/>
          <w:szCs w:val="22"/>
        </w:rPr>
        <w:t>con la finalidad de determinar sus atribuciones, y si estas se vinculan con la materia de la solicitud.</w:t>
      </w:r>
    </w:p>
    <w:p w14:paraId="7C2330B2" w14:textId="77777777" w:rsidR="00DA2A6F" w:rsidRPr="00484BC3" w:rsidRDefault="00B8010F">
      <w:pPr>
        <w:numPr>
          <w:ilvl w:val="0"/>
          <w:numId w:val="1"/>
        </w:numPr>
        <w:pBdr>
          <w:top w:val="nil"/>
          <w:left w:val="nil"/>
          <w:bottom w:val="nil"/>
          <w:right w:val="nil"/>
          <w:between w:val="nil"/>
        </w:pBdr>
        <w:spacing w:before="240" w:after="240" w:line="360" w:lineRule="auto"/>
        <w:ind w:left="0" w:right="99" w:hanging="142"/>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b/>
          <w:sz w:val="22"/>
          <w:szCs w:val="22"/>
          <w:u w:val="single"/>
        </w:rPr>
        <w:t xml:space="preserve">De la esfera competencial de la Secretaría de Finanzas </w:t>
      </w:r>
    </w:p>
    <w:p w14:paraId="6D100663" w14:textId="77777777" w:rsidR="00DA2A6F" w:rsidRPr="00484BC3"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1AD1E932" w14:textId="77777777" w:rsidR="00DA2A6F" w:rsidRPr="00484BC3"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 xml:space="preserve">Sus atribuciones se contemplan en el artículo 29 de la Ley Orgánica de la Administración Pública: </w:t>
      </w:r>
    </w:p>
    <w:p w14:paraId="01EBE5E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Artículo 29</w:t>
      </w:r>
      <w:r w:rsidRPr="00484BC3">
        <w:rPr>
          <w:rFonts w:ascii="Palatino Linotype" w:eastAsia="Palatino Linotype" w:hAnsi="Palatino Linotype" w:cs="Palatino Linotype"/>
          <w:i/>
          <w:sz w:val="22"/>
          <w:szCs w:val="22"/>
        </w:rPr>
        <w:t xml:space="preserve">. La Secretaría de Finanzas contará con las siguientes atribuciones: </w:t>
      </w:r>
    </w:p>
    <w:p w14:paraId="51E088D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 xml:space="preserve">I. </w:t>
      </w:r>
      <w:r w:rsidRPr="00484BC3">
        <w:rPr>
          <w:rFonts w:ascii="Palatino Linotype" w:eastAsia="Palatino Linotype" w:hAnsi="Palatino Linotype" w:cs="Palatino Linotype"/>
          <w:i/>
          <w:sz w:val="22"/>
          <w:szCs w:val="22"/>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2DEF895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II.</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 xml:space="preserve">Establecer políticas en materia hacendaria, así como </w:t>
      </w:r>
      <w:r w:rsidRPr="00484BC3">
        <w:rPr>
          <w:rFonts w:ascii="Palatino Linotype" w:eastAsia="Palatino Linotype" w:hAnsi="Palatino Linotype" w:cs="Palatino Linotype"/>
          <w:b/>
          <w:i/>
          <w:sz w:val="22"/>
          <w:szCs w:val="22"/>
          <w:u w:val="single"/>
        </w:rPr>
        <w:t>recaudar</w:t>
      </w:r>
      <w:r w:rsidRPr="00484BC3">
        <w:rPr>
          <w:rFonts w:ascii="Palatino Linotype" w:eastAsia="Palatino Linotype" w:hAnsi="Palatino Linotype" w:cs="Palatino Linotype"/>
          <w:b/>
          <w:i/>
          <w:sz w:val="22"/>
          <w:szCs w:val="22"/>
        </w:rPr>
        <w:t xml:space="preserve"> los impuestos, derechos, aportaciones de mejoras, productos y aprovechamientos, que correspondan al Estado</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 xml:space="preserve">y </w:t>
      </w:r>
      <w:r w:rsidRPr="00484BC3">
        <w:rPr>
          <w:rFonts w:ascii="Palatino Linotype" w:eastAsia="Palatino Linotype" w:hAnsi="Palatino Linotype" w:cs="Palatino Linotype"/>
          <w:b/>
          <w:i/>
          <w:sz w:val="22"/>
          <w:szCs w:val="22"/>
          <w:u w:val="single"/>
        </w:rPr>
        <w:t>las contribuciones federales</w:t>
      </w:r>
      <w:r w:rsidRPr="00484BC3">
        <w:rPr>
          <w:rFonts w:ascii="Palatino Linotype" w:eastAsia="Palatino Linotype" w:hAnsi="Palatino Linotype" w:cs="Palatino Linotype"/>
          <w:b/>
          <w:i/>
          <w:sz w:val="22"/>
          <w:szCs w:val="22"/>
        </w:rPr>
        <w:t xml:space="preserve"> y municipales en los términos de los convenios suscritos, conforme a las leyes estatales y generales aplicables</w:t>
      </w:r>
      <w:r w:rsidRPr="00484BC3">
        <w:rPr>
          <w:rFonts w:ascii="Palatino Linotype" w:eastAsia="Palatino Linotype" w:hAnsi="Palatino Linotype" w:cs="Palatino Linotype"/>
          <w:i/>
          <w:sz w:val="22"/>
          <w:szCs w:val="22"/>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59748D2B"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III</w:t>
      </w:r>
      <w:r w:rsidRPr="00484BC3">
        <w:rPr>
          <w:rFonts w:ascii="Palatino Linotype" w:eastAsia="Palatino Linotype" w:hAnsi="Palatino Linotype" w:cs="Palatino Linotype"/>
          <w:i/>
          <w:sz w:val="22"/>
          <w:szCs w:val="22"/>
        </w:rPr>
        <w:t xml:space="preserve">. Instrumentar, vigilar y buscar asegurar el cumplimiento de las disposiciones legales de carácter fiscal y las demás de su ramo, aplicables en el Estado; </w:t>
      </w:r>
    </w:p>
    <w:p w14:paraId="67589E2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IV</w:t>
      </w:r>
      <w:r w:rsidRPr="00484BC3">
        <w:rPr>
          <w:rFonts w:ascii="Palatino Linotype" w:eastAsia="Palatino Linotype" w:hAnsi="Palatino Linotype" w:cs="Palatino Linotype"/>
          <w:i/>
          <w:sz w:val="22"/>
          <w:szCs w:val="22"/>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4DB8682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V</w:t>
      </w:r>
      <w:r w:rsidRPr="00484BC3">
        <w:rPr>
          <w:rFonts w:ascii="Palatino Linotype" w:eastAsia="Palatino Linotype" w:hAnsi="Palatino Linotype" w:cs="Palatino Linotype"/>
          <w:i/>
          <w:sz w:val="22"/>
          <w:szCs w:val="22"/>
        </w:rPr>
        <w:t xml:space="preserve">. Formular y presentar a la persona titular del Poder Ejecutivo del Estado, los proyectos de Ley de Ingresos, del Presupuesto de Egresos y el programa general del gasto público; </w:t>
      </w:r>
    </w:p>
    <w:p w14:paraId="36818C05"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VI</w:t>
      </w:r>
      <w:r w:rsidRPr="00484BC3">
        <w:rPr>
          <w:rFonts w:ascii="Palatino Linotype" w:eastAsia="Palatino Linotype" w:hAnsi="Palatino Linotype" w:cs="Palatino Linotype"/>
          <w:i/>
          <w:sz w:val="22"/>
          <w:szCs w:val="22"/>
        </w:rPr>
        <w:t>. Practicar revisiones y auditorías a los causantes para prevenir la evasión y elusión, y en su caso, determinar créditos fiscales y precisar las bases para su liquidación;</w:t>
      </w:r>
    </w:p>
    <w:p w14:paraId="22E57775"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VII</w:t>
      </w:r>
      <w:r w:rsidRPr="00484BC3">
        <w:rPr>
          <w:rFonts w:ascii="Palatino Linotype" w:eastAsia="Palatino Linotype" w:hAnsi="Palatino Linotype" w:cs="Palatino Linotype"/>
          <w:i/>
          <w:sz w:val="22"/>
          <w:szCs w:val="22"/>
        </w:rPr>
        <w:t>. Formular mensualmente los estados financieros de la hacienda pública, presentando anualmente a la persona titular del Poder Ejecutivo del Estado, en la primera quincena del mes de enero, un informe pormenorizado del ejercicio fiscal anterior;</w:t>
      </w:r>
    </w:p>
    <w:p w14:paraId="58247C9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lastRenderedPageBreak/>
        <w:t>VIII</w:t>
      </w:r>
      <w:r w:rsidRPr="00484BC3">
        <w:rPr>
          <w:rFonts w:ascii="Palatino Linotype" w:eastAsia="Palatino Linotype" w:hAnsi="Palatino Linotype" w:cs="Palatino Linotype"/>
          <w:i/>
          <w:sz w:val="22"/>
          <w:szCs w:val="22"/>
        </w:rPr>
        <w:t>. Ejercer la facultad económico-coactiva conforme a las leyes relativas, para hacer efectivos los créditos fiscales a favor del Estado;</w:t>
      </w:r>
    </w:p>
    <w:p w14:paraId="0ACCE32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IX.</w:t>
      </w:r>
      <w:r w:rsidRPr="00484BC3">
        <w:rPr>
          <w:rFonts w:ascii="Palatino Linotype" w:eastAsia="Palatino Linotype" w:hAnsi="Palatino Linotype" w:cs="Palatino Linotype"/>
          <w:i/>
          <w:sz w:val="22"/>
          <w:szCs w:val="22"/>
        </w:rPr>
        <w:t xml:space="preserve"> Establecer, administrar, integrar, controlar, verificar y mantener actualizados, el padrón fiscal de contribuyentes y demás registros relacionados, conforme a las disposiciones legales aplicables; </w:t>
      </w:r>
    </w:p>
    <w:p w14:paraId="71334CBF"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w:t>
      </w:r>
      <w:r w:rsidRPr="00484BC3">
        <w:rPr>
          <w:rFonts w:ascii="Palatino Linotype" w:eastAsia="Palatino Linotype" w:hAnsi="Palatino Linotype" w:cs="Palatino Linotype"/>
          <w:i/>
          <w:sz w:val="22"/>
          <w:szCs w:val="22"/>
        </w:rPr>
        <w:t xml:space="preserve">. Cuidar que las personas empleadas que manejen fondos del Estado otorguen fianza suficiente para garantizar su manejo en los términos que determine la ley; </w:t>
      </w:r>
    </w:p>
    <w:p w14:paraId="581425B5"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w:t>
      </w:r>
      <w:r w:rsidRPr="00484BC3">
        <w:rPr>
          <w:rFonts w:ascii="Palatino Linotype" w:eastAsia="Palatino Linotype" w:hAnsi="Palatino Linotype" w:cs="Palatino Linotype"/>
          <w:i/>
          <w:sz w:val="22"/>
          <w:szCs w:val="22"/>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17F7875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XII</w:t>
      </w:r>
      <w:r w:rsidRPr="00484BC3">
        <w:rPr>
          <w:rFonts w:ascii="Palatino Linotype" w:eastAsia="Palatino Linotype" w:hAnsi="Palatino Linotype" w:cs="Palatino Linotype"/>
          <w:i/>
          <w:sz w:val="22"/>
          <w:szCs w:val="22"/>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0E10E93C"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XIII</w:t>
      </w:r>
      <w:r w:rsidRPr="00484BC3">
        <w:rPr>
          <w:rFonts w:ascii="Palatino Linotype" w:eastAsia="Palatino Linotype" w:hAnsi="Palatino Linotype" w:cs="Palatino Linotype"/>
          <w:i/>
          <w:sz w:val="22"/>
          <w:szCs w:val="22"/>
        </w:rPr>
        <w:t xml:space="preserve">. Dirigir, regular, controlar, supervisar y evaluar las actividades de las personas servidoras públicas en las oficinas recaudadoras físicas y virtuales, así como de orientación y asistencia a las personas contribuyentes en el Estado; </w:t>
      </w:r>
    </w:p>
    <w:p w14:paraId="39D04C3C"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XIV</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Efectuar los pagos conforme a los programas y presupuestos aprobados, así como, formular mensualmente el estado de origen y aplicación de los recursos financieros y tributarios del Estado</w:t>
      </w:r>
      <w:r w:rsidRPr="00484BC3">
        <w:rPr>
          <w:rFonts w:ascii="Palatino Linotype" w:eastAsia="Palatino Linotype" w:hAnsi="Palatino Linotype" w:cs="Palatino Linotype"/>
          <w:i/>
          <w:sz w:val="22"/>
          <w:szCs w:val="22"/>
        </w:rPr>
        <w:t xml:space="preserve">; </w:t>
      </w:r>
    </w:p>
    <w:p w14:paraId="07095E6F"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XV</w:t>
      </w:r>
      <w:r w:rsidRPr="00484BC3">
        <w:rPr>
          <w:rFonts w:ascii="Palatino Linotype" w:eastAsia="Palatino Linotype" w:hAnsi="Palatino Linotype" w:cs="Palatino Linotype"/>
          <w:i/>
          <w:sz w:val="22"/>
          <w:szCs w:val="22"/>
        </w:rPr>
        <w:t xml:space="preserve">. Proponer a la persona titular del Poder Ejecutivo del Estado la cancelación de cuentas incobrables, así como el otorgamiento de subsidios fiscales en los casos en que proceda; </w:t>
      </w:r>
    </w:p>
    <w:p w14:paraId="0D788A7D"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 xml:space="preserve">XVI. </w:t>
      </w:r>
      <w:r w:rsidRPr="00484BC3">
        <w:rPr>
          <w:rFonts w:ascii="Palatino Linotype" w:eastAsia="Palatino Linotype" w:hAnsi="Palatino Linotype" w:cs="Palatino Linotype"/>
          <w:i/>
          <w:sz w:val="22"/>
          <w:szCs w:val="22"/>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64659FCB"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XVII</w:t>
      </w:r>
      <w:r w:rsidRPr="00484BC3">
        <w:rPr>
          <w:rFonts w:ascii="Palatino Linotype" w:eastAsia="Palatino Linotype" w:hAnsi="Palatino Linotype" w:cs="Palatino Linotype"/>
          <w:i/>
          <w:sz w:val="22"/>
          <w:szCs w:val="22"/>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29B02C6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a)</w:t>
      </w:r>
      <w:r w:rsidRPr="00484BC3">
        <w:rPr>
          <w:rFonts w:ascii="Palatino Linotype" w:eastAsia="Palatino Linotype" w:hAnsi="Palatino Linotype" w:cs="Palatino Linotype"/>
          <w:i/>
          <w:sz w:val="22"/>
          <w:szCs w:val="22"/>
        </w:rPr>
        <w:t xml:space="preserve"> Intervenir como parte en los juicios contra resoluciones o actos emitidos por la Entidad en ejercicio de sus facultades por ingresos federales ya sea por sí o a través </w:t>
      </w:r>
      <w:r w:rsidRPr="00484BC3">
        <w:rPr>
          <w:rFonts w:ascii="Palatino Linotype" w:eastAsia="Palatino Linotype" w:hAnsi="Palatino Linotype" w:cs="Palatino Linotype"/>
          <w:i/>
          <w:sz w:val="22"/>
          <w:szCs w:val="22"/>
        </w:rPr>
        <w:lastRenderedPageBreak/>
        <w:t xml:space="preserve">de las dependencias u organismos auxiliares de la Administración Pública, sin perjuicio de la intervención que corresponda a la Secretaría de Hacienda y Crédito Público y/o al Servicio de Administración Tributaria; </w:t>
      </w:r>
    </w:p>
    <w:p w14:paraId="66A43658"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b)</w:t>
      </w:r>
      <w:r w:rsidRPr="00484BC3">
        <w:rPr>
          <w:rFonts w:ascii="Palatino Linotype" w:eastAsia="Palatino Linotype" w:hAnsi="Palatino Linotype" w:cs="Palatino Linotype"/>
          <w:i/>
          <w:sz w:val="22"/>
          <w:szCs w:val="22"/>
        </w:rPr>
        <w:t xml:space="preserve"> Ejercer las acciones, oponer las excepciones y defensas que correspondan a los actos emitidos por la Entidad en los juicios; </w:t>
      </w:r>
    </w:p>
    <w:p w14:paraId="44C5C062"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c)</w:t>
      </w:r>
      <w:r w:rsidRPr="00484BC3">
        <w:rPr>
          <w:rFonts w:ascii="Palatino Linotype" w:eastAsia="Palatino Linotype" w:hAnsi="Palatino Linotype" w:cs="Palatino Linotype"/>
          <w:i/>
          <w:sz w:val="22"/>
          <w:szCs w:val="22"/>
        </w:rPr>
        <w:t xml:space="preserve"> Intervenir en su carácter de autoridad ejecutora, en los juicios interpuestos contra requerimientos de pago a cargo de instituciones de fianzas con base en pólizas que se hayan expedido para asegurar el interés fiscal; </w:t>
      </w:r>
    </w:p>
    <w:p w14:paraId="71725773"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d)</w:t>
      </w:r>
      <w:r w:rsidRPr="00484BC3">
        <w:rPr>
          <w:rFonts w:ascii="Palatino Linotype" w:eastAsia="Palatino Linotype" w:hAnsi="Palatino Linotype" w:cs="Palatino Linotype"/>
          <w:i/>
          <w:sz w:val="22"/>
          <w:szCs w:val="22"/>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4A91CD8A"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5686FD3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XVIII.</w:t>
      </w:r>
      <w:r w:rsidRPr="00484BC3">
        <w:rPr>
          <w:rFonts w:ascii="Palatino Linotype" w:eastAsia="Palatino Linotype" w:hAnsi="Palatino Linotype" w:cs="Palatino Linotype"/>
          <w:i/>
          <w:sz w:val="22"/>
          <w:szCs w:val="22"/>
        </w:rPr>
        <w:t xml:space="preserve"> Fijar las políticas, normas y lineamientos generales en materia de catastro, de acuerdo con las leyes respectivas; </w:t>
      </w:r>
    </w:p>
    <w:p w14:paraId="13AD689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XIX.</w:t>
      </w:r>
      <w:r w:rsidRPr="00484BC3">
        <w:rPr>
          <w:rFonts w:ascii="Palatino Linotype" w:eastAsia="Palatino Linotype" w:hAnsi="Palatino Linotype" w:cs="Palatino Linotype"/>
          <w:i/>
          <w:sz w:val="22"/>
          <w:szCs w:val="22"/>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7E9276D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w:t>
      </w:r>
      <w:r w:rsidRPr="00484BC3">
        <w:rPr>
          <w:rFonts w:ascii="Palatino Linotype" w:eastAsia="Palatino Linotype" w:hAnsi="Palatino Linotype" w:cs="Palatino Linotype"/>
          <w:i/>
          <w:sz w:val="22"/>
          <w:szCs w:val="22"/>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53E61E53"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w:t>
      </w:r>
      <w:r w:rsidRPr="00484BC3">
        <w:rPr>
          <w:rFonts w:ascii="Palatino Linotype" w:eastAsia="Palatino Linotype" w:hAnsi="Palatino Linotype" w:cs="Palatino Linotype"/>
          <w:i/>
          <w:sz w:val="22"/>
          <w:szCs w:val="22"/>
        </w:rPr>
        <w:t xml:space="preserve">. Solicitar a la Oficialía Mayor el diseño, implementación y actualización de todos los sistemas informáticos indispensables para el cumplimiento de sus </w:t>
      </w:r>
      <w:r w:rsidRPr="00484BC3">
        <w:rPr>
          <w:rFonts w:ascii="Palatino Linotype" w:eastAsia="Palatino Linotype" w:hAnsi="Palatino Linotype" w:cs="Palatino Linotype"/>
          <w:i/>
          <w:sz w:val="22"/>
          <w:szCs w:val="22"/>
        </w:rPr>
        <w:lastRenderedPageBreak/>
        <w:t xml:space="preserve">atribuciones, tales como: de ingresos, del gasto público, de contabilidad gubernamental, disciplina financiera y estadística y demás apegadas a las disposiciones legales aplicables; </w:t>
      </w:r>
    </w:p>
    <w:p w14:paraId="3E2638AF"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XXII</w:t>
      </w:r>
      <w:r w:rsidRPr="00484BC3">
        <w:rPr>
          <w:rFonts w:ascii="Palatino Linotype" w:eastAsia="Palatino Linotype" w:hAnsi="Palatino Linotype" w:cs="Palatino Linotype"/>
          <w:i/>
          <w:sz w:val="22"/>
          <w:szCs w:val="22"/>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5B5965F1"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XXIII.</w:t>
      </w:r>
      <w:r w:rsidRPr="00484BC3">
        <w:rPr>
          <w:rFonts w:ascii="Palatino Linotype" w:eastAsia="Palatino Linotype" w:hAnsi="Palatino Linotype" w:cs="Palatino Linotype"/>
          <w:i/>
          <w:sz w:val="22"/>
          <w:szCs w:val="22"/>
        </w:rPr>
        <w:t xml:space="preserve"> Proyectar y calcular los egresos del Gobierno del Estado y los ingresos y egresos de sus organismos auxiliares; </w:t>
      </w:r>
    </w:p>
    <w:p w14:paraId="0FA8BCA0"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XXIV.</w:t>
      </w:r>
      <w:r w:rsidRPr="00484BC3">
        <w:rPr>
          <w:rFonts w:ascii="Palatino Linotype" w:eastAsia="Palatino Linotype" w:hAnsi="Palatino Linotype" w:cs="Palatino Linotype"/>
          <w:i/>
          <w:sz w:val="22"/>
          <w:szCs w:val="22"/>
        </w:rPr>
        <w:t xml:space="preserve"> Garantizar, en el ámbito de su competencia, la aplicación de las reglas y criterios de disciplina financiera, equilibrio presupuestario y responsabilidad hacendaria, en términos de la legislación en la materia; </w:t>
      </w:r>
    </w:p>
    <w:p w14:paraId="5758F315"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XXV</w:t>
      </w:r>
      <w:r w:rsidRPr="00484BC3">
        <w:rPr>
          <w:rFonts w:ascii="Palatino Linotype" w:eastAsia="Palatino Linotype" w:hAnsi="Palatino Linotype" w:cs="Palatino Linotype"/>
          <w:i/>
          <w:sz w:val="22"/>
          <w:szCs w:val="22"/>
        </w:rPr>
        <w:t xml:space="preserve">. Establecer y llevar los sistemas de contabilidad gubernamental, disciplina financiera y de estadística general del Gobierno del Estado; </w:t>
      </w:r>
    </w:p>
    <w:p w14:paraId="0A7245DF"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XXVI.</w:t>
      </w:r>
      <w:r w:rsidRPr="00484BC3">
        <w:rPr>
          <w:rFonts w:ascii="Palatino Linotype" w:eastAsia="Palatino Linotype" w:hAnsi="Palatino Linotype" w:cs="Palatino Linotype"/>
          <w:i/>
          <w:sz w:val="22"/>
          <w:szCs w:val="22"/>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5CEF3C4C"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 xml:space="preserve">XXVII. </w:t>
      </w:r>
      <w:r w:rsidRPr="00484BC3">
        <w:rPr>
          <w:rFonts w:ascii="Palatino Linotype" w:eastAsia="Palatino Linotype" w:hAnsi="Palatino Linotype" w:cs="Palatino Linotype"/>
          <w:i/>
          <w:sz w:val="22"/>
          <w:szCs w:val="22"/>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60E929F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XXVIII</w:t>
      </w:r>
      <w:r w:rsidRPr="00484BC3">
        <w:rPr>
          <w:rFonts w:ascii="Palatino Linotype" w:eastAsia="Palatino Linotype" w:hAnsi="Palatino Linotype" w:cs="Palatino Linotype"/>
          <w:i/>
          <w:sz w:val="22"/>
          <w:szCs w:val="22"/>
        </w:rPr>
        <w:t xml:space="preserve">. Celebrar convenios con los entes públicos estatales que se ubiquen en un nivel de endeudamiento elevado, con el objeto de establecer obligaciones específicas de responsabilidad hacendaria; </w:t>
      </w:r>
    </w:p>
    <w:p w14:paraId="6BFBDA52"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XXIX</w:t>
      </w:r>
      <w:r w:rsidRPr="00484BC3">
        <w:rPr>
          <w:rFonts w:ascii="Palatino Linotype" w:eastAsia="Palatino Linotype" w:hAnsi="Palatino Linotype" w:cs="Palatino Linotype"/>
          <w:i/>
          <w:sz w:val="22"/>
          <w:szCs w:val="22"/>
        </w:rPr>
        <w:t xml:space="preserve">. Hacer la glosa preventiva de los ingresos y egresos del Gobierno del Estado, elaborar la cuenta pública y mantener las relaciones con el Órgano Superior de Fiscalización del Estado de México; </w:t>
      </w:r>
    </w:p>
    <w:p w14:paraId="37F363B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w:t>
      </w:r>
      <w:r w:rsidRPr="00484BC3">
        <w:rPr>
          <w:rFonts w:ascii="Palatino Linotype" w:eastAsia="Palatino Linotype" w:hAnsi="Palatino Linotype" w:cs="Palatino Linotype"/>
          <w:i/>
          <w:sz w:val="22"/>
          <w:szCs w:val="22"/>
        </w:rPr>
        <w:t xml:space="preserve"> Registrar y normar los actos y contratos de los que resulten derechos y obligaciones para el Gobierno del Estado; </w:t>
      </w:r>
    </w:p>
    <w:p w14:paraId="0F453AED"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XXXI.</w:t>
      </w:r>
      <w:r w:rsidRPr="00484BC3">
        <w:rPr>
          <w:rFonts w:ascii="Palatino Linotype" w:eastAsia="Palatino Linotype" w:hAnsi="Palatino Linotype" w:cs="Palatino Linotype"/>
          <w:i/>
          <w:sz w:val="22"/>
          <w:szCs w:val="22"/>
        </w:rPr>
        <w:t xml:space="preserve"> Determinar el destino final tratándose de tráileres, autobuses y cualquier tipo de remolques, una vez declarados abandonados; </w:t>
      </w:r>
    </w:p>
    <w:p w14:paraId="6DF2489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XXXII</w:t>
      </w:r>
      <w:r w:rsidRPr="00484BC3">
        <w:rPr>
          <w:rFonts w:ascii="Palatino Linotype" w:eastAsia="Palatino Linotype" w:hAnsi="Palatino Linotype" w:cs="Palatino Linotype"/>
          <w:i/>
          <w:sz w:val="22"/>
          <w:szCs w:val="22"/>
        </w:rPr>
        <w:t xml:space="preserve">. Instrumentar e intervenir en el otorgamiento de los subsidios, aportaciones, ayudas, transferencias y financiamiento temporal a las dependencias, municipios, </w:t>
      </w:r>
      <w:r w:rsidRPr="00484BC3">
        <w:rPr>
          <w:rFonts w:ascii="Palatino Linotype" w:eastAsia="Palatino Linotype" w:hAnsi="Palatino Linotype" w:cs="Palatino Linotype"/>
          <w:i/>
          <w:sz w:val="22"/>
          <w:szCs w:val="22"/>
        </w:rPr>
        <w:lastRenderedPageBreak/>
        <w:t>instituciones o particulares, con el objeto de comprobar que la inversión se efectúe en los términos establecidos de conformidad con la legislación aplicable y las disposiciones normativas que para estos efectos se emitan;</w:t>
      </w:r>
    </w:p>
    <w:p w14:paraId="02D7FFC2"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XXIII</w:t>
      </w:r>
      <w:r w:rsidRPr="00484BC3">
        <w:rPr>
          <w:rFonts w:ascii="Palatino Linotype" w:eastAsia="Palatino Linotype" w:hAnsi="Palatino Linotype" w:cs="Palatino Linotype"/>
          <w:i/>
          <w:sz w:val="22"/>
          <w:szCs w:val="22"/>
        </w:rPr>
        <w:t xml:space="preserve">. Prestar a los municipios, cuando así lo soliciten, la asesoría y el apoyo técnico necesario para la elaboración de sus planes y programas de desarrollo económico y social; </w:t>
      </w:r>
    </w:p>
    <w:p w14:paraId="337B77CA"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XXXIV</w:t>
      </w:r>
      <w:r w:rsidRPr="00484BC3">
        <w:rPr>
          <w:rFonts w:ascii="Palatino Linotype" w:eastAsia="Palatino Linotype" w:hAnsi="Palatino Linotype" w:cs="Palatino Linotype"/>
          <w:i/>
          <w:sz w:val="22"/>
          <w:szCs w:val="22"/>
        </w:rPr>
        <w:t xml:space="preserve">. Integrar y mantener actualizada la información geográfica y estadística de la Entidad; </w:t>
      </w:r>
    </w:p>
    <w:p w14:paraId="22AF50B6"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 xml:space="preserve">XXXV. </w:t>
      </w:r>
      <w:r w:rsidRPr="00484BC3">
        <w:rPr>
          <w:rFonts w:ascii="Palatino Linotype" w:eastAsia="Palatino Linotype" w:hAnsi="Palatino Linotype" w:cs="Palatino Linotype"/>
          <w:i/>
          <w:sz w:val="22"/>
          <w:szCs w:val="22"/>
        </w:rPr>
        <w:t xml:space="preserve">Asesorar a la persona titular del Poder Ejecutivo del Estado en la elaboración de los convenios que celebre el Gobierno del Estado en materia de planeación, programación, supervisión y evaluación del desarrollo de la Entidad; </w:t>
      </w:r>
    </w:p>
    <w:p w14:paraId="3AB815CF"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XXXVI</w:t>
      </w:r>
      <w:r w:rsidRPr="00484BC3">
        <w:rPr>
          <w:rFonts w:ascii="Palatino Linotype" w:eastAsia="Palatino Linotype" w:hAnsi="Palatino Linotype" w:cs="Palatino Linotype"/>
          <w:i/>
          <w:sz w:val="22"/>
          <w:szCs w:val="22"/>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432968D0"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XXXVI</w:t>
      </w:r>
      <w:r w:rsidRPr="00484BC3">
        <w:rPr>
          <w:rFonts w:ascii="Palatino Linotype" w:eastAsia="Palatino Linotype" w:hAnsi="Palatino Linotype" w:cs="Palatino Linotype"/>
          <w:i/>
          <w:sz w:val="22"/>
          <w:szCs w:val="22"/>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26A6B966"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XXXVIII</w:t>
      </w:r>
      <w:r w:rsidRPr="00484BC3">
        <w:rPr>
          <w:rFonts w:ascii="Palatino Linotype" w:eastAsia="Palatino Linotype" w:hAnsi="Palatino Linotype" w:cs="Palatino Linotype"/>
          <w:i/>
          <w:sz w:val="22"/>
          <w:szCs w:val="22"/>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65233C9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XXXIX</w:t>
      </w:r>
      <w:r w:rsidRPr="00484BC3">
        <w:rPr>
          <w:rFonts w:ascii="Palatino Linotype" w:eastAsia="Palatino Linotype" w:hAnsi="Palatino Linotype" w:cs="Palatino Linotype"/>
          <w:i/>
          <w:sz w:val="22"/>
          <w:szCs w:val="22"/>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13D96CF1"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w:t>
      </w:r>
      <w:r w:rsidRPr="00484BC3">
        <w:rPr>
          <w:rFonts w:ascii="Palatino Linotype" w:eastAsia="Palatino Linotype" w:hAnsi="Palatino Linotype" w:cs="Palatino Linotype"/>
          <w:i/>
          <w:sz w:val="22"/>
          <w:szCs w:val="22"/>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1735107A"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lastRenderedPageBreak/>
        <w:t>XLI</w:t>
      </w:r>
      <w:r w:rsidRPr="00484BC3">
        <w:rPr>
          <w:rFonts w:ascii="Palatino Linotype" w:eastAsia="Palatino Linotype" w:hAnsi="Palatino Linotype" w:cs="Palatino Linotype"/>
          <w:i/>
          <w:sz w:val="22"/>
          <w:szCs w:val="22"/>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69C5D143"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XLII.</w:t>
      </w:r>
      <w:r w:rsidRPr="00484BC3">
        <w:rPr>
          <w:rFonts w:ascii="Palatino Linotype" w:eastAsia="Palatino Linotype" w:hAnsi="Palatino Linotype" w:cs="Palatino Linotype"/>
          <w:i/>
          <w:sz w:val="22"/>
          <w:szCs w:val="22"/>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64F9F95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XLIII</w:t>
      </w:r>
      <w:r w:rsidRPr="00484BC3">
        <w:rPr>
          <w:rFonts w:ascii="Palatino Linotype" w:eastAsia="Palatino Linotype" w:hAnsi="Palatino Linotype" w:cs="Palatino Linotype"/>
          <w:i/>
          <w:sz w:val="22"/>
          <w:szCs w:val="22"/>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64DF5E10"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XLIV</w:t>
      </w:r>
      <w:r w:rsidRPr="00484BC3">
        <w:rPr>
          <w:rFonts w:ascii="Palatino Linotype" w:eastAsia="Palatino Linotype" w:hAnsi="Palatino Linotype" w:cs="Palatino Linotype"/>
          <w:i/>
          <w:sz w:val="22"/>
          <w:szCs w:val="22"/>
        </w:rPr>
        <w:t xml:space="preserve">. Emitir, en conjunto con la Secretaría General de Gobierno, los lineamientos técnicos en materia de Gobierno Digital conforme a lo establecido en los ordenamientos jurídicos aplicables; </w:t>
      </w:r>
    </w:p>
    <w:p w14:paraId="68287562"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XLV.</w:t>
      </w:r>
      <w:r w:rsidRPr="00484BC3">
        <w:rPr>
          <w:rFonts w:ascii="Palatino Linotype" w:eastAsia="Palatino Linotype" w:hAnsi="Palatino Linotype" w:cs="Palatino Linotype"/>
          <w:i/>
          <w:sz w:val="22"/>
          <w:szCs w:val="22"/>
        </w:rPr>
        <w:t xml:space="preserve"> Dar asesoría en materia de Gobierno Digital a los sujetos de la Ley de Gobierno Digital, teniendo como base la normatividad aplicable en dicha materia; </w:t>
      </w:r>
    </w:p>
    <w:p w14:paraId="732C2E2E"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XLVI</w:t>
      </w:r>
      <w:r w:rsidRPr="00484BC3">
        <w:rPr>
          <w:rFonts w:ascii="Palatino Linotype" w:eastAsia="Palatino Linotype" w:hAnsi="Palatino Linotype" w:cs="Palatino Linotype"/>
          <w:i/>
          <w:sz w:val="22"/>
          <w:szCs w:val="22"/>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00F4850A"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XLVII</w:t>
      </w:r>
      <w:r w:rsidRPr="00484BC3">
        <w:rPr>
          <w:rFonts w:ascii="Palatino Linotype" w:eastAsia="Palatino Linotype" w:hAnsi="Palatino Linotype" w:cs="Palatino Linotype"/>
          <w:i/>
          <w:sz w:val="22"/>
          <w:szCs w:val="22"/>
        </w:rPr>
        <w:t xml:space="preserve">. Implementar y administrar el Sistema Estatal de Información, Trámites y Servicios, en coordinación con el Consejo Estatal de Gobierno Digital y la Secretaría General de Gobierno; </w:t>
      </w:r>
    </w:p>
    <w:p w14:paraId="3FA07A85"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lastRenderedPageBreak/>
        <w:t>XLVIII.</w:t>
      </w:r>
      <w:r w:rsidRPr="00484BC3">
        <w:rPr>
          <w:rFonts w:ascii="Palatino Linotype" w:eastAsia="Palatino Linotype" w:hAnsi="Palatino Linotype" w:cs="Palatino Linotype"/>
          <w:i/>
          <w:sz w:val="22"/>
          <w:szCs w:val="22"/>
        </w:rPr>
        <w:t xml:space="preserve"> Impulsar la igualdad entre mujeres y hombres a través de la incorporación de la perspectiva de género en la planeación, diseño, elaboración, ejecución, seguimiento y evaluación del presupuesto; </w:t>
      </w:r>
    </w:p>
    <w:p w14:paraId="0A890867"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XLIX.</w:t>
      </w:r>
      <w:r w:rsidRPr="00484BC3">
        <w:rPr>
          <w:rFonts w:ascii="Palatino Linotype" w:eastAsia="Palatino Linotype" w:hAnsi="Palatino Linotype" w:cs="Palatino Linotype"/>
          <w:i/>
          <w:sz w:val="22"/>
          <w:szCs w:val="22"/>
        </w:rPr>
        <w:t xml:space="preserve"> Aplicar las políticas en materia de protección de datos personales respecto del almacenamiento y custodia de información que derive del ejercicio de sus atribuciones; y </w:t>
      </w:r>
    </w:p>
    <w:p w14:paraId="46140C51"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L</w:t>
      </w:r>
      <w:r w:rsidRPr="00484BC3">
        <w:rPr>
          <w:rFonts w:ascii="Palatino Linotype" w:eastAsia="Palatino Linotype" w:hAnsi="Palatino Linotype" w:cs="Palatino Linotype"/>
          <w:i/>
          <w:sz w:val="22"/>
          <w:szCs w:val="22"/>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0A296269" w14:textId="77777777" w:rsidR="00DA2A6F" w:rsidRPr="00484BC3"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rPr>
      </w:pPr>
      <w:r w:rsidRPr="00484BC3">
        <w:rPr>
          <w:rFonts w:ascii="Palatino Linotype" w:eastAsia="Palatino Linotype" w:hAnsi="Palatino Linotype" w:cs="Palatino Linotype"/>
          <w:b/>
          <w:i/>
          <w:sz w:val="22"/>
          <w:szCs w:val="22"/>
        </w:rPr>
        <w:t>LI.</w:t>
      </w:r>
      <w:r w:rsidRPr="00484BC3">
        <w:rPr>
          <w:rFonts w:ascii="Palatino Linotype" w:eastAsia="Palatino Linotype" w:hAnsi="Palatino Linotype" w:cs="Palatino Linotype"/>
          <w:i/>
          <w:sz w:val="22"/>
          <w:szCs w:val="22"/>
        </w:rPr>
        <w:t xml:space="preserve"> Las demás que le señalen otras leyes, reglamentos y disposiciones jurídicas aplicables, así como las que le encomiende la persona titular del Poder Ejecutivo del Estado.”</w:t>
      </w:r>
    </w:p>
    <w:p w14:paraId="70B10798"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527D4DED"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Asimismo, es conveniente referir que, si bien,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2C2352BE" w14:textId="77777777" w:rsidR="00DA2A6F" w:rsidRPr="00484BC3" w:rsidRDefault="00DA2A6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622A0E1A"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noProof/>
        </w:rPr>
        <w:lastRenderedPageBreak/>
        <w:drawing>
          <wp:inline distT="0" distB="0" distL="0" distR="0" wp14:anchorId="1C1FE977" wp14:editId="0F4C3A73">
            <wp:extent cx="5400000" cy="6825894"/>
            <wp:effectExtent l="0" t="0" r="0" b="0"/>
            <wp:docPr id="21401319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00000" cy="6825894"/>
                    </a:xfrm>
                    <a:prstGeom prst="rect">
                      <a:avLst/>
                    </a:prstGeom>
                    <a:ln/>
                  </pic:spPr>
                </pic:pic>
              </a:graphicData>
            </a:graphic>
          </wp:inline>
        </w:drawing>
      </w:r>
      <w:r w:rsidRPr="00484BC3">
        <w:rPr>
          <w:noProof/>
        </w:rPr>
        <mc:AlternateContent>
          <mc:Choice Requires="wpg">
            <w:drawing>
              <wp:anchor distT="0" distB="0" distL="114300" distR="114300" simplePos="0" relativeHeight="251658240" behindDoc="0" locked="0" layoutInCell="1" hidden="0" allowOverlap="1" wp14:anchorId="7A6AF470" wp14:editId="74306266">
                <wp:simplePos x="0" y="0"/>
                <wp:positionH relativeFrom="column">
                  <wp:posOffset>-12699</wp:posOffset>
                </wp:positionH>
                <wp:positionV relativeFrom="paragraph">
                  <wp:posOffset>228600</wp:posOffset>
                </wp:positionV>
                <wp:extent cx="5498620" cy="3652568"/>
                <wp:effectExtent l="0" t="0" r="0" b="0"/>
                <wp:wrapNone/>
                <wp:docPr id="2140131898" name="Rectángulo 2140131898"/>
                <wp:cNvGraphicFramePr/>
                <a:graphic xmlns:a="http://schemas.openxmlformats.org/drawingml/2006/main">
                  <a:graphicData uri="http://schemas.microsoft.com/office/word/2010/wordprocessingShape">
                    <wps:wsp>
                      <wps:cNvSpPr/>
                      <wps:spPr>
                        <a:xfrm>
                          <a:off x="2615740" y="1972766"/>
                          <a:ext cx="5460520" cy="3614468"/>
                        </a:xfrm>
                        <a:prstGeom prst="rect">
                          <a:avLst/>
                        </a:prstGeom>
                        <a:noFill/>
                        <a:ln w="38100" cap="flat" cmpd="sng">
                          <a:solidFill>
                            <a:srgbClr val="C00000"/>
                          </a:solidFill>
                          <a:prstDash val="solid"/>
                          <a:miter lim="800000"/>
                          <a:headEnd type="none" w="sm" len="sm"/>
                          <a:tailEnd type="none" w="sm" len="sm"/>
                        </a:ln>
                      </wps:spPr>
                      <wps:txbx>
                        <w:txbxContent>
                          <w:p w14:paraId="010BAACF" w14:textId="77777777" w:rsidR="00DA2A6F" w:rsidRDefault="00DA2A6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498620" cy="3652568"/>
                <wp:effectExtent b="0" l="0" r="0" t="0"/>
                <wp:wrapNone/>
                <wp:docPr id="2140131898"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498620" cy="3652568"/>
                        </a:xfrm>
                        <a:prstGeom prst="rect"/>
                        <a:ln/>
                      </pic:spPr>
                    </pic:pic>
                  </a:graphicData>
                </a:graphic>
              </wp:anchor>
            </w:drawing>
          </mc:Fallback>
        </mc:AlternateContent>
      </w:r>
    </w:p>
    <w:p w14:paraId="026BD570" w14:textId="77777777" w:rsidR="00DA2A6F" w:rsidRPr="00484BC3" w:rsidRDefault="00DA2A6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7DE7E2EE"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43F9BBF9"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La recepción de los recursos ministrados por la Secretaría de Educación Pública, a través de la apertura de una cuenta bancaria productiva específica en una institución bancaria autorizada.</w:t>
      </w:r>
    </w:p>
    <w:p w14:paraId="5EAD256F"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3381F555"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1BAD87D6"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6B40DAEE"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Reintegrar a la Tesorería de la Federación los recursos financieros que aporte la SEP, que no se transfieran al COBAEM, así como los rendimientos generados por los recursos federales.</w:t>
      </w:r>
    </w:p>
    <w:p w14:paraId="321BD386" w14:textId="77777777" w:rsidR="00DA2A6F" w:rsidRPr="00484BC3"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 Informar al COBAEM, al día siguiente en el que sean radicados los recursos financieros federales por parte de la SEP, de la disponibilidad presupuestaria correspondiente.</w:t>
      </w:r>
    </w:p>
    <w:p w14:paraId="708E8748"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Con base en lo previo, se colige que existe una evidente incompetencia por parte del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26E8B990" w14:textId="77777777" w:rsidR="00DA2A6F" w:rsidRPr="00484BC3" w:rsidRDefault="00B8010F">
      <w:pPr>
        <w:ind w:left="851" w:right="851"/>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484BC3">
        <w:rPr>
          <w:rFonts w:ascii="Palatino Linotype" w:eastAsia="Palatino Linotype" w:hAnsi="Palatino Linotype" w:cs="Palatino Linotype"/>
          <w:i/>
          <w:sz w:val="22"/>
          <w:szCs w:val="22"/>
        </w:rPr>
        <w:t xml:space="preserve">; es decir, se trata de una cuestión de derecho, </w:t>
      </w:r>
      <w:r w:rsidRPr="00484BC3">
        <w:rPr>
          <w:rFonts w:ascii="Palatino Linotype" w:eastAsia="Palatino Linotype" w:hAnsi="Palatino Linotype" w:cs="Palatino Linotype"/>
          <w:b/>
          <w:i/>
          <w:sz w:val="22"/>
          <w:szCs w:val="22"/>
        </w:rPr>
        <w:t>en tanto que no existan facultades para contar con lo requerido</w:t>
      </w:r>
      <w:r w:rsidRPr="00484BC3">
        <w:rPr>
          <w:rFonts w:ascii="Palatino Linotype" w:eastAsia="Palatino Linotype" w:hAnsi="Palatino Linotype" w:cs="Palatino Linotype"/>
          <w:i/>
          <w:sz w:val="22"/>
          <w:szCs w:val="22"/>
        </w:rPr>
        <w:t>; por lo que la incompetencia es una cualidad atribuida al sujeto obligado que la declara.”</w:t>
      </w:r>
    </w:p>
    <w:p w14:paraId="49238C13" w14:textId="77777777" w:rsidR="00DA2A6F" w:rsidRPr="00484BC3" w:rsidRDefault="00DA2A6F">
      <w:pPr>
        <w:spacing w:before="120" w:after="120"/>
        <w:ind w:left="851" w:right="851"/>
        <w:jc w:val="both"/>
        <w:rPr>
          <w:rFonts w:ascii="Palatino Linotype" w:eastAsia="Palatino Linotype" w:hAnsi="Palatino Linotype" w:cs="Palatino Linotype"/>
          <w:i/>
          <w:sz w:val="22"/>
          <w:szCs w:val="22"/>
        </w:rPr>
      </w:pPr>
    </w:p>
    <w:p w14:paraId="73C188AB" w14:textId="77777777" w:rsidR="00DA2A6F" w:rsidRPr="00484BC3" w:rsidRDefault="00B8010F">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2"/>
          <w:szCs w:val="22"/>
          <w:u w:val="single"/>
        </w:rPr>
      </w:pPr>
      <w:r w:rsidRPr="00484BC3">
        <w:rPr>
          <w:rFonts w:ascii="Palatino Linotype" w:eastAsia="Palatino Linotype" w:hAnsi="Palatino Linotype" w:cs="Palatino Linotype"/>
          <w:b/>
          <w:u w:val="single"/>
        </w:rPr>
        <w:t xml:space="preserve"> </w:t>
      </w:r>
      <w:r w:rsidRPr="00484BC3">
        <w:rPr>
          <w:rFonts w:ascii="Palatino Linotype" w:eastAsia="Palatino Linotype" w:hAnsi="Palatino Linotype" w:cs="Palatino Linotype"/>
          <w:b/>
          <w:sz w:val="22"/>
          <w:szCs w:val="22"/>
          <w:u w:val="single"/>
        </w:rPr>
        <w:t>Delimitación del ámbito competencial relativo a la información solicitada</w:t>
      </w:r>
    </w:p>
    <w:p w14:paraId="62A50B2B"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70AA64FB"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53F0F4C2"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5DEA8ED1"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484BC3">
        <w:rPr>
          <w:rFonts w:ascii="Palatino Linotype" w:eastAsia="Palatino Linotype" w:hAnsi="Palatino Linotype" w:cs="Palatino Linotype"/>
          <w:sz w:val="22"/>
          <w:szCs w:val="22"/>
          <w:vertAlign w:val="superscript"/>
        </w:rPr>
        <w:footnoteReference w:id="2"/>
      </w:r>
      <w:r w:rsidRPr="00484BC3">
        <w:rPr>
          <w:rFonts w:ascii="Palatino Linotype" w:eastAsia="Palatino Linotype" w:hAnsi="Palatino Linotype" w:cs="Palatino Linotype"/>
          <w:sz w:val="22"/>
          <w:szCs w:val="22"/>
        </w:rPr>
        <w:t>.</w:t>
      </w:r>
    </w:p>
    <w:p w14:paraId="0A75C7B0"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637A63A8"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694E1120"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72F3E472"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especifica.</w:t>
      </w:r>
    </w:p>
    <w:p w14:paraId="118FD1DE" w14:textId="77777777" w:rsidR="00DA2A6F" w:rsidRPr="00484BC3" w:rsidRDefault="00B8010F">
      <w:pPr>
        <w:spacing w:before="240" w:after="240" w:line="360" w:lineRule="auto"/>
        <w:ind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Así, pueden considerarse como las características más importantes de la descentralización administrativa por servicio las siguientes:</w:t>
      </w:r>
    </w:p>
    <w:p w14:paraId="5572ED37"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1. Su establecimiento mediante ley o decreto. </w:t>
      </w:r>
    </w:p>
    <w:p w14:paraId="35034055"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2. Personalidad jurídica propia.</w:t>
      </w:r>
    </w:p>
    <w:p w14:paraId="58C7BF30"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3. Patrimonio propio.</w:t>
      </w:r>
    </w:p>
    <w:p w14:paraId="01FE8B21"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4. Estatuto y regulación propios.</w:t>
      </w:r>
    </w:p>
    <w:p w14:paraId="1D2C19AD"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5. Realización de una actividad técnica.</w:t>
      </w:r>
    </w:p>
    <w:p w14:paraId="3FE1CD87" w14:textId="77777777" w:rsidR="00DA2A6F" w:rsidRPr="00484BC3" w:rsidRDefault="00B8010F">
      <w:pPr>
        <w:spacing w:before="120" w:after="120" w:line="276" w:lineRule="auto"/>
        <w:ind w:left="284" w:right="51"/>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6. Tutela y vigilancia por parte de la administración central.</w:t>
      </w:r>
    </w:p>
    <w:p w14:paraId="5496900E"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484BC3">
        <w:rPr>
          <w:rFonts w:ascii="Palatino Linotype" w:eastAsia="Palatino Linotype" w:hAnsi="Palatino Linotype" w:cs="Palatino Linotype"/>
          <w:sz w:val="22"/>
          <w:szCs w:val="22"/>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484BC3">
        <w:rPr>
          <w:rFonts w:ascii="Palatino Linotype" w:eastAsia="Palatino Linotype" w:hAnsi="Palatino Linotype" w:cs="Palatino Linotype"/>
          <w:b/>
          <w:sz w:val="22"/>
          <w:szCs w:val="22"/>
          <w:u w:val="single"/>
        </w:rPr>
        <w:t>dicho organismo cuenta con personalidad jurídica y patrimonio propios.</w:t>
      </w:r>
    </w:p>
    <w:p w14:paraId="2F214506"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Ahora bien, por cuanto hace a la materia de la solicitud, es oportuno traer a contexto el Manual General de Organización del Colegio de Bachilleres del Estado de México, cuyo contenido en su parte conducente, es el siguiente:</w:t>
      </w:r>
    </w:p>
    <w:p w14:paraId="2A61CC26"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i/>
          <w:sz w:val="22"/>
          <w:szCs w:val="22"/>
        </w:rPr>
        <w:t xml:space="preserve">210C0701040001L DEPARTAMENTO DE RECURSOS HUMANOS </w:t>
      </w:r>
    </w:p>
    <w:p w14:paraId="04E1A6E6"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OBJETIVO:</w:t>
      </w:r>
      <w:r w:rsidRPr="00484BC3">
        <w:rPr>
          <w:rFonts w:ascii="Palatino Linotype" w:eastAsia="Palatino Linotype" w:hAnsi="Palatino Linotype" w:cs="Palatino Linotype"/>
          <w:i/>
          <w:sz w:val="22"/>
          <w:szCs w:val="22"/>
        </w:rPr>
        <w:t xml:space="preserve"> Llevar a cabo las acciones de selección, contratación, registro, control, capacitación y desarrollo del personal adscrito al Colegio de Bachilleres, así como </w:t>
      </w:r>
      <w:r w:rsidRPr="00484BC3">
        <w:rPr>
          <w:rFonts w:ascii="Palatino Linotype" w:eastAsia="Palatino Linotype" w:hAnsi="Palatino Linotype" w:cs="Palatino Linotype"/>
          <w:b/>
          <w:i/>
          <w:sz w:val="22"/>
          <w:szCs w:val="22"/>
        </w:rPr>
        <w:lastRenderedPageBreak/>
        <w:t>llevar a cabo las acciones necesarias para el pago oportuno de sus remuneraciones</w:t>
      </w:r>
      <w:r w:rsidRPr="00484BC3">
        <w:rPr>
          <w:rFonts w:ascii="Palatino Linotype" w:eastAsia="Palatino Linotype" w:hAnsi="Palatino Linotype" w:cs="Palatino Linotype"/>
          <w:i/>
          <w:sz w:val="22"/>
          <w:szCs w:val="22"/>
        </w:rPr>
        <w:t>.</w:t>
      </w:r>
    </w:p>
    <w:p w14:paraId="5FCC77E8"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y </w:t>
      </w:r>
      <w:r w:rsidRPr="00484BC3">
        <w:rPr>
          <w:rFonts w:ascii="Palatino Linotype" w:eastAsia="Palatino Linotype" w:hAnsi="Palatino Linotype" w:cs="Palatino Linotype"/>
          <w:b/>
          <w:i/>
          <w:sz w:val="22"/>
          <w:szCs w:val="22"/>
        </w:rPr>
        <w:t>verificar que la asignación de puestos y de sueldos se ajusten a las plazas y a los tabuladores autorizados para el Estado</w:t>
      </w:r>
      <w:r w:rsidRPr="00484BC3">
        <w:rPr>
          <w:rFonts w:ascii="Palatino Linotype" w:eastAsia="Palatino Linotype" w:hAnsi="Palatino Linotype" w:cs="Palatino Linotype"/>
          <w:i/>
          <w:sz w:val="22"/>
          <w:szCs w:val="22"/>
        </w:rPr>
        <w:t>, de acuerdo con la normatividad vigente en la materia.</w:t>
      </w:r>
    </w:p>
    <w:p w14:paraId="4220DB85"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019247CD"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u w:val="single"/>
        </w:rPr>
      </w:pP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63D925B7"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1C88B7B3"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  Informar detalladamente a la Subdirección de Planeación de Sueldos y Salarios del Sector Auxiliar de la Dirección de Política Salarial, de la plantilla y movimientos del personal adscrito al Colegio.</w:t>
      </w:r>
    </w:p>
    <w:p w14:paraId="43FC0147" w14:textId="77777777" w:rsidR="00DA2A6F" w:rsidRPr="00484BC3"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p>
    <w:p w14:paraId="35C9E3ED"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484BC3">
        <w:rPr>
          <w:rFonts w:ascii="Palatino Linotype" w:eastAsia="Palatino Linotype" w:hAnsi="Palatino Linotype" w:cs="Palatino Linotype"/>
          <w:b/>
          <w:sz w:val="22"/>
          <w:szCs w:val="22"/>
          <w:u w:val="single"/>
        </w:rPr>
        <w:t>elaborar las nóminas y pagar oportunamente las remuneraciones al personal</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u w:val="single"/>
        </w:rPr>
        <w:t>aplicar las sanciones y descuentos</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u w:val="single"/>
        </w:rPr>
        <w:t>por concepto de retardos y faltas; Impuesto Sobre la Renta, sobre Sueldos y Salarios; cuotas al ISSEMyM, entre otros impuestos y derechos</w:t>
      </w:r>
      <w:r w:rsidRPr="00484BC3">
        <w:rPr>
          <w:rFonts w:ascii="Palatino Linotype" w:eastAsia="Palatino Linotype" w:hAnsi="Palatino Linotype" w:cs="Palatino Linotype"/>
          <w:sz w:val="22"/>
          <w:szCs w:val="22"/>
        </w:rPr>
        <w:t>.</w:t>
      </w:r>
    </w:p>
    <w:p w14:paraId="1D39BA7D"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Por lo tanto, se colige que </w:t>
      </w:r>
      <w:r w:rsidRPr="00484BC3">
        <w:rPr>
          <w:rFonts w:ascii="Palatino Linotype" w:eastAsia="Palatino Linotype" w:hAnsi="Palatino Linotype" w:cs="Palatino Linotype"/>
          <w:b/>
          <w:sz w:val="22"/>
          <w:szCs w:val="22"/>
          <w:u w:val="single"/>
        </w:rPr>
        <w:t>el Colegio de Bachilleres del Estado de México es, en primera instancia, el Sujeto Obligado que pudiera dar atención a la solicitud,</w:t>
      </w:r>
      <w:r w:rsidRPr="00484BC3">
        <w:rPr>
          <w:rFonts w:ascii="Palatino Linotype" w:eastAsia="Palatino Linotype" w:hAnsi="Palatino Linotype" w:cs="Palatino Linotype"/>
          <w:sz w:val="22"/>
          <w:szCs w:val="22"/>
        </w:rPr>
        <w:t xml:space="preserve"> ya que cuenta con facultades para generar, administrar y/o poseer la información materia de las mismas, esto </w:t>
      </w:r>
      <w:r w:rsidRPr="00484BC3">
        <w:rPr>
          <w:rFonts w:ascii="Palatino Linotype" w:eastAsia="Palatino Linotype" w:hAnsi="Palatino Linotype" w:cs="Palatino Linotype"/>
          <w:sz w:val="22"/>
          <w:szCs w:val="22"/>
        </w:rPr>
        <w:lastRenderedPageBreak/>
        <w:t>es, el pago de percepciones y la aplicación de descuentos de los servidores públicos bajo su adscripción.</w:t>
      </w:r>
    </w:p>
    <w:p w14:paraId="4AB41A83"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Argumento que se robustece con el mismo Anexo de Ejecución / Apoyo Financiero 2024 SEMS-EL COBAEM-MÉXICO 0236/24, el cual en su Cláusula Quinta establece las obligaciones que se le confieren al COBAEM:</w:t>
      </w:r>
    </w:p>
    <w:p w14:paraId="7A69E9E7" w14:textId="77777777" w:rsidR="00DA2A6F" w:rsidRPr="00484BC3" w:rsidRDefault="00B8010F">
      <w:pPr>
        <w:spacing w:after="200" w:line="360" w:lineRule="auto"/>
        <w:jc w:val="center"/>
        <w:rPr>
          <w:rFonts w:ascii="Palatino Linotype" w:eastAsia="Palatino Linotype" w:hAnsi="Palatino Linotype" w:cs="Palatino Linotype"/>
        </w:rPr>
      </w:pPr>
      <w:r w:rsidRPr="00484BC3">
        <w:rPr>
          <w:rFonts w:ascii="Palatino Linotype" w:eastAsia="Palatino Linotype" w:hAnsi="Palatino Linotype" w:cs="Palatino Linotype"/>
          <w:noProof/>
        </w:rPr>
        <w:drawing>
          <wp:inline distT="0" distB="0" distL="0" distR="0" wp14:anchorId="7F3BCAAD" wp14:editId="33DB5725">
            <wp:extent cx="4680000" cy="5233894"/>
            <wp:effectExtent l="0" t="0" r="0" b="0"/>
            <wp:docPr id="21401319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680000" cy="5233894"/>
                    </a:xfrm>
                    <a:prstGeom prst="rect">
                      <a:avLst/>
                    </a:prstGeom>
                    <a:ln/>
                  </pic:spPr>
                </pic:pic>
              </a:graphicData>
            </a:graphic>
          </wp:inline>
        </w:drawing>
      </w:r>
    </w:p>
    <w:p w14:paraId="4C3F4CB6" w14:textId="77777777" w:rsidR="00DA2A6F" w:rsidRPr="00484BC3" w:rsidRDefault="00B8010F">
      <w:pPr>
        <w:spacing w:after="200" w:line="360" w:lineRule="auto"/>
        <w:jc w:val="center"/>
        <w:rPr>
          <w:rFonts w:ascii="Palatino Linotype" w:eastAsia="Palatino Linotype" w:hAnsi="Palatino Linotype" w:cs="Palatino Linotype"/>
        </w:rPr>
      </w:pPr>
      <w:r w:rsidRPr="00484BC3">
        <w:rPr>
          <w:rFonts w:ascii="Palatino Linotype" w:eastAsia="Palatino Linotype" w:hAnsi="Palatino Linotype" w:cs="Palatino Linotype"/>
          <w:noProof/>
        </w:rPr>
        <w:lastRenderedPageBreak/>
        <w:drawing>
          <wp:inline distT="0" distB="0" distL="0" distR="0" wp14:anchorId="00AAE982" wp14:editId="37CCC325">
            <wp:extent cx="4525289" cy="1829169"/>
            <wp:effectExtent l="0" t="0" r="0" b="0"/>
            <wp:docPr id="21401319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525289" cy="1829169"/>
                    </a:xfrm>
                    <a:prstGeom prst="rect">
                      <a:avLst/>
                    </a:prstGeom>
                    <a:ln/>
                  </pic:spPr>
                </pic:pic>
              </a:graphicData>
            </a:graphic>
          </wp:inline>
        </w:drawing>
      </w:r>
    </w:p>
    <w:p w14:paraId="336EBD75"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3A66F517" w14:textId="77777777" w:rsidR="00DA2A6F" w:rsidRPr="00484BC3" w:rsidRDefault="00B8010F">
      <w:pPr>
        <w:spacing w:after="20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 </w:t>
      </w:r>
      <w:proofErr w:type="spellStart"/>
      <w:r w:rsidRPr="00484BC3">
        <w:rPr>
          <w:rFonts w:ascii="Palatino Linotype" w:eastAsia="Palatino Linotype" w:hAnsi="Palatino Linotype" w:cs="Palatino Linotype"/>
          <w:sz w:val="22"/>
          <w:szCs w:val="22"/>
        </w:rPr>
        <w:t>Aperturar</w:t>
      </w:r>
      <w:proofErr w:type="spellEnd"/>
      <w:r w:rsidRPr="00484BC3">
        <w:rPr>
          <w:rFonts w:ascii="Palatino Linotype" w:eastAsia="Palatino Linotype" w:hAnsi="Palatino Linotype" w:cs="Palatino Linotype"/>
          <w:sz w:val="22"/>
          <w:szCs w:val="22"/>
        </w:rPr>
        <w:t xml:space="preserve"> dos cuentas bancarias productivas específicas en una institución bancaria autorizada para la recepción, administración y ejercicio de los recursos financieros que aporte la SEP, y el Gobierno del Estado.</w:t>
      </w:r>
    </w:p>
    <w:p w14:paraId="1AD5470E" w14:textId="77777777" w:rsidR="00DA2A6F" w:rsidRPr="00484BC3" w:rsidRDefault="00B8010F">
      <w:pPr>
        <w:spacing w:after="200" w:line="360" w:lineRule="auto"/>
        <w:ind w:left="284"/>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 xml:space="preserve">Destinar el subsidio financiero objeto del Anexo de Ejecución, únicamente a cubrir los gastos relacionados con su operación indispensables para la realización de sus actividades, </w:t>
      </w:r>
      <w:r w:rsidRPr="00484BC3">
        <w:rPr>
          <w:rFonts w:ascii="Palatino Linotype" w:eastAsia="Palatino Linotype" w:hAnsi="Palatino Linotype" w:cs="Palatino Linotype"/>
          <w:sz w:val="22"/>
          <w:szCs w:val="22"/>
        </w:rPr>
        <w:t xml:space="preserve">esto es, </w:t>
      </w:r>
      <w:r w:rsidRPr="00484BC3">
        <w:rPr>
          <w:rFonts w:ascii="Palatino Linotype" w:eastAsia="Palatino Linotype" w:hAnsi="Palatino Linotype" w:cs="Palatino Linotype"/>
          <w:b/>
          <w:sz w:val="22"/>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w:t>
      </w:r>
      <w:r w:rsidRPr="00484BC3">
        <w:rPr>
          <w:rFonts w:ascii="Palatino Linotype" w:eastAsia="Palatino Linotype" w:hAnsi="Palatino Linotype" w:cs="Palatino Linotype"/>
          <w:sz w:val="22"/>
          <w:szCs w:val="22"/>
        </w:rPr>
        <w:t xml:space="preserve">de conformidad con los </w:t>
      </w:r>
      <w:r w:rsidRPr="00484BC3">
        <w:rPr>
          <w:rFonts w:ascii="Palatino Linotype" w:eastAsia="Palatino Linotype" w:hAnsi="Palatino Linotype" w:cs="Palatino Linotype"/>
          <w:b/>
          <w:sz w:val="22"/>
          <w:szCs w:val="22"/>
        </w:rPr>
        <w:t>Apartados</w:t>
      </w:r>
      <w:r w:rsidRPr="00484BC3">
        <w:rPr>
          <w:rFonts w:ascii="Palatino Linotype" w:eastAsia="Palatino Linotype" w:hAnsi="Palatino Linotype" w:cs="Palatino Linotype"/>
          <w:sz w:val="22"/>
          <w:szCs w:val="22"/>
        </w:rPr>
        <w:t xml:space="preserve"> “A” y </w:t>
      </w:r>
      <w:r w:rsidRPr="00484BC3">
        <w:rPr>
          <w:rFonts w:ascii="Palatino Linotype" w:eastAsia="Palatino Linotype" w:hAnsi="Palatino Linotype" w:cs="Palatino Linotype"/>
          <w:b/>
          <w:sz w:val="22"/>
          <w:szCs w:val="22"/>
        </w:rPr>
        <w:t>“B”.</w:t>
      </w:r>
    </w:p>
    <w:p w14:paraId="03139372" w14:textId="77777777" w:rsidR="00DA2A6F" w:rsidRPr="00484BC3" w:rsidRDefault="00B8010F">
      <w:pPr>
        <w:spacing w:after="20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 Resguardar la documentación original justificativa y comprobatoria del ejercicio y aplicación de los recursos financieros materia del Anexo de </w:t>
      </w:r>
      <w:proofErr w:type="gramStart"/>
      <w:r w:rsidRPr="00484BC3">
        <w:rPr>
          <w:rFonts w:ascii="Palatino Linotype" w:eastAsia="Palatino Linotype" w:hAnsi="Palatino Linotype" w:cs="Palatino Linotype"/>
          <w:sz w:val="22"/>
          <w:szCs w:val="22"/>
        </w:rPr>
        <w:t>Ejecución,  para</w:t>
      </w:r>
      <w:proofErr w:type="gramEnd"/>
      <w:r w:rsidRPr="00484BC3">
        <w:rPr>
          <w:rFonts w:ascii="Palatino Linotype" w:eastAsia="Palatino Linotype" w:hAnsi="Palatino Linotype" w:cs="Palatino Linotype"/>
          <w:sz w:val="22"/>
          <w:szCs w:val="22"/>
        </w:rPr>
        <w:t xml:space="preserve"> efectos de </w:t>
      </w:r>
      <w:r w:rsidRPr="00484BC3">
        <w:rPr>
          <w:rFonts w:ascii="Palatino Linotype" w:eastAsia="Palatino Linotype" w:hAnsi="Palatino Linotype" w:cs="Palatino Linotype"/>
          <w:sz w:val="22"/>
          <w:szCs w:val="22"/>
        </w:rPr>
        <w:lastRenderedPageBreak/>
        <w:t>rendición de cuentas y transparencia, así como mantener un registro específico de este Anexo de Ejecución debidamente actualizado, identificado y controlado.</w:t>
      </w:r>
    </w:p>
    <w:p w14:paraId="210C2819" w14:textId="77777777" w:rsidR="00DA2A6F" w:rsidRPr="00484BC3" w:rsidRDefault="00B8010F">
      <w:pPr>
        <w:spacing w:after="20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 Informar trimestralmente a la SEP y al Gobierno del Estado de México sobre el ejercicio de los recursos a los que se refiere el Anexo de Ejecución, y de manera complementaria, </w:t>
      </w:r>
      <w:r w:rsidRPr="00484BC3">
        <w:rPr>
          <w:rFonts w:ascii="Palatino Linotype" w:eastAsia="Palatino Linotype" w:hAnsi="Palatino Linotype" w:cs="Palatino Linotype"/>
          <w:b/>
          <w:sz w:val="22"/>
          <w:szCs w:val="22"/>
          <w:u w:val="single"/>
        </w:rPr>
        <w:t>remitir mensualmente los documentos de trabajo donde se identifiquen los recursos federales y estatales ejercidos para el pago de la nómina conforme al Apartado “B” (sueldos, plazas, horas y prestaciones autorizadas)</w:t>
      </w:r>
    </w:p>
    <w:p w14:paraId="6A6B1CF3" w14:textId="77777777" w:rsidR="00DA2A6F" w:rsidRPr="00484BC3" w:rsidRDefault="00B8010F">
      <w:pPr>
        <w:spacing w:after="200" w:line="360" w:lineRule="auto"/>
        <w:ind w:left="284"/>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2A428D44"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Corolario a lo anterior, es imprescindible mencionar que la obligación prevista en la Cláusula Q</w:t>
      </w:r>
      <w:r w:rsidR="009E5376" w:rsidRPr="00484BC3">
        <w:rPr>
          <w:rFonts w:ascii="Palatino Linotype" w:eastAsia="Palatino Linotype" w:hAnsi="Palatino Linotype" w:cs="Palatino Linotype"/>
          <w:sz w:val="22"/>
          <w:szCs w:val="22"/>
        </w:rPr>
        <w:t xml:space="preserve">uinta, inciso f), del Anexo, </w:t>
      </w:r>
      <w:r w:rsidRPr="00484BC3">
        <w:rPr>
          <w:rFonts w:ascii="Palatino Linotype" w:eastAsia="Palatino Linotype" w:hAnsi="Palatino Linotype" w:cs="Palatino Linotype"/>
          <w:sz w:val="22"/>
          <w:szCs w:val="22"/>
        </w:rPr>
        <w:t xml:space="preserve">guarda estrecha relación con las </w:t>
      </w:r>
      <w:proofErr w:type="spellStart"/>
      <w:r w:rsidRPr="00484BC3">
        <w:rPr>
          <w:rFonts w:ascii="Palatino Linotype" w:eastAsia="Palatino Linotype" w:hAnsi="Palatino Linotype" w:cs="Palatino Linotype"/>
          <w:sz w:val="22"/>
          <w:szCs w:val="22"/>
        </w:rPr>
        <w:t>Clausulas</w:t>
      </w:r>
      <w:proofErr w:type="spellEnd"/>
      <w:r w:rsidRPr="00484BC3">
        <w:rPr>
          <w:rFonts w:ascii="Palatino Linotype" w:eastAsia="Palatino Linotype" w:hAnsi="Palatino Linotype" w:cs="Palatino Linotype"/>
          <w:sz w:val="22"/>
          <w:szCs w:val="22"/>
        </w:rPr>
        <w:t xml:space="preserve"> Tercera, incisos c), d) y e), y Cuarta, incisos f), g), primer párrafo y h) del mismo anexo, que disponen lo siguiente:</w:t>
      </w:r>
    </w:p>
    <w:p w14:paraId="56322E43" w14:textId="77777777" w:rsidR="00DA2A6F" w:rsidRPr="00484BC3" w:rsidRDefault="00B8010F">
      <w:pPr>
        <w:spacing w:after="200"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noProof/>
        </w:rPr>
        <w:drawing>
          <wp:inline distT="0" distB="0" distL="0" distR="0" wp14:anchorId="45672EA5" wp14:editId="22754AD5">
            <wp:extent cx="5612130" cy="182880"/>
            <wp:effectExtent l="0" t="0" r="0" b="0"/>
            <wp:docPr id="2140131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82880"/>
                    </a:xfrm>
                    <a:prstGeom prst="rect">
                      <a:avLst/>
                    </a:prstGeom>
                    <a:ln/>
                  </pic:spPr>
                </pic:pic>
              </a:graphicData>
            </a:graphic>
          </wp:inline>
        </w:drawing>
      </w:r>
    </w:p>
    <w:p w14:paraId="5E25A1E5" w14:textId="77777777" w:rsidR="00DA2A6F" w:rsidRPr="00484BC3" w:rsidRDefault="00B8010F">
      <w:pPr>
        <w:spacing w:after="200"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noProof/>
        </w:rPr>
        <w:drawing>
          <wp:inline distT="0" distB="0" distL="0" distR="0" wp14:anchorId="08C48D85" wp14:editId="7775ED5F">
            <wp:extent cx="5612130" cy="843915"/>
            <wp:effectExtent l="0" t="0" r="0" b="0"/>
            <wp:docPr id="21401319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33683"/>
                    <a:stretch>
                      <a:fillRect/>
                    </a:stretch>
                  </pic:blipFill>
                  <pic:spPr>
                    <a:xfrm>
                      <a:off x="0" y="0"/>
                      <a:ext cx="5612130" cy="843915"/>
                    </a:xfrm>
                    <a:prstGeom prst="rect">
                      <a:avLst/>
                    </a:prstGeom>
                    <a:ln/>
                  </pic:spPr>
                </pic:pic>
              </a:graphicData>
            </a:graphic>
          </wp:inline>
        </w:drawing>
      </w:r>
      <w:r w:rsidRPr="00484BC3">
        <w:rPr>
          <w:rFonts w:ascii="Palatino Linotype" w:eastAsia="Palatino Linotype" w:hAnsi="Palatino Linotype" w:cs="Palatino Linotype"/>
        </w:rPr>
        <w:t xml:space="preserve"> </w:t>
      </w:r>
    </w:p>
    <w:p w14:paraId="64C0BB0F" w14:textId="77777777" w:rsidR="00DA2A6F" w:rsidRPr="00484BC3" w:rsidRDefault="00B8010F">
      <w:pPr>
        <w:spacing w:after="200"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noProof/>
        </w:rPr>
        <w:lastRenderedPageBreak/>
        <w:drawing>
          <wp:inline distT="0" distB="0" distL="0" distR="0" wp14:anchorId="02204F59" wp14:editId="2C90CA4C">
            <wp:extent cx="5612130" cy="237490"/>
            <wp:effectExtent l="0" t="0" r="0" b="0"/>
            <wp:docPr id="2140131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237490"/>
                    </a:xfrm>
                    <a:prstGeom prst="rect">
                      <a:avLst/>
                    </a:prstGeom>
                    <a:ln/>
                  </pic:spPr>
                </pic:pic>
              </a:graphicData>
            </a:graphic>
          </wp:inline>
        </w:drawing>
      </w:r>
      <w:r w:rsidRPr="00484BC3">
        <w:rPr>
          <w:rFonts w:ascii="Palatino Linotype" w:eastAsia="Palatino Linotype" w:hAnsi="Palatino Linotype" w:cs="Palatino Linotype"/>
          <w:noProof/>
        </w:rPr>
        <w:drawing>
          <wp:inline distT="0" distB="0" distL="0" distR="0" wp14:anchorId="49AD8B98" wp14:editId="21D129BA">
            <wp:extent cx="5612130" cy="1732915"/>
            <wp:effectExtent l="0" t="0" r="0" b="0"/>
            <wp:docPr id="21401319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1732915"/>
                    </a:xfrm>
                    <a:prstGeom prst="rect">
                      <a:avLst/>
                    </a:prstGeom>
                    <a:ln/>
                  </pic:spPr>
                </pic:pic>
              </a:graphicData>
            </a:graphic>
          </wp:inline>
        </w:drawing>
      </w:r>
      <w:r w:rsidRPr="00484BC3">
        <w:rPr>
          <w:rFonts w:ascii="Palatino Linotype" w:eastAsia="Palatino Linotype" w:hAnsi="Palatino Linotype" w:cs="Palatino Linotype"/>
          <w:noProof/>
        </w:rPr>
        <w:drawing>
          <wp:inline distT="0" distB="0" distL="0" distR="0" wp14:anchorId="703A806F" wp14:editId="0F5E278D">
            <wp:extent cx="5612130" cy="371475"/>
            <wp:effectExtent l="0" t="0" r="0" b="0"/>
            <wp:docPr id="21401319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371475"/>
                    </a:xfrm>
                    <a:prstGeom prst="rect">
                      <a:avLst/>
                    </a:prstGeom>
                    <a:ln/>
                  </pic:spPr>
                </pic:pic>
              </a:graphicData>
            </a:graphic>
          </wp:inline>
        </w:drawing>
      </w:r>
    </w:p>
    <w:p w14:paraId="50D52BBB" w14:textId="77777777" w:rsidR="00DA2A6F" w:rsidRPr="00484BC3" w:rsidRDefault="00B8010F">
      <w:pPr>
        <w:spacing w:after="20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este tenor, se colige que </w:t>
      </w:r>
      <w:r w:rsidRPr="00484BC3">
        <w:rPr>
          <w:rFonts w:ascii="Palatino Linotype" w:eastAsia="Palatino Linotype" w:hAnsi="Palatino Linotype" w:cs="Palatino Linotype"/>
          <w:b/>
          <w:sz w:val="22"/>
          <w:szCs w:val="22"/>
          <w:u w:val="single"/>
        </w:rPr>
        <w:t>la Secretaría de Educación Pública, y la Secretaría de Educación, Ciencia, Tecnología e Innovación, también cuentan con competencia para conocer sobre la materia de la solicitud de información</w:t>
      </w:r>
      <w:r w:rsidRPr="00484BC3">
        <w:rPr>
          <w:rFonts w:ascii="Palatino Linotype" w:eastAsia="Palatino Linotype" w:hAnsi="Palatino Linotype" w:cs="Palatino Linotype"/>
          <w:sz w:val="22"/>
          <w:szCs w:val="22"/>
        </w:rPr>
        <w:t xml:space="preserve">, al ser las instancias responsables de </w:t>
      </w:r>
      <w:r w:rsidRPr="00484BC3">
        <w:rPr>
          <w:rFonts w:ascii="Palatino Linotype" w:eastAsia="Palatino Linotype" w:hAnsi="Palatino Linotype" w:cs="Palatino Linotype"/>
          <w:b/>
          <w:sz w:val="22"/>
          <w:szCs w:val="22"/>
        </w:rPr>
        <w:t>revisar los informes trimestrales sobre el ejercicio de los recursos financieros que elabore y remita el COBAEM, a fin de verificar la correcta aplicación de los mismos</w:t>
      </w:r>
      <w:r w:rsidRPr="00484BC3">
        <w:rPr>
          <w:rFonts w:ascii="Palatino Linotype" w:eastAsia="Palatino Linotype" w:hAnsi="Palatino Linotype" w:cs="Palatino Linotype"/>
          <w:sz w:val="22"/>
          <w:szCs w:val="22"/>
        </w:rPr>
        <w:t xml:space="preserve">, reiterando que </w:t>
      </w:r>
      <w:r w:rsidRPr="00484BC3">
        <w:rPr>
          <w:rFonts w:ascii="Palatino Linotype" w:eastAsia="Palatino Linotype" w:hAnsi="Palatino Linotype" w:cs="Palatino Linotype"/>
          <w:b/>
          <w:sz w:val="22"/>
          <w:szCs w:val="22"/>
          <w:u w:val="single"/>
        </w:rPr>
        <w:t>dichos informes deben contener los documentos de trabajo donde se identifiquen los recursos federales y estatales ejercidos para el pago de la nómina, conforme al Apartado "B” (sueldos, plazas, horas y prestaciones autorizados)</w:t>
      </w:r>
      <w:r w:rsidRPr="00484BC3">
        <w:rPr>
          <w:rFonts w:ascii="Palatino Linotype" w:eastAsia="Palatino Linotype" w:hAnsi="Palatino Linotype" w:cs="Palatino Linotype"/>
          <w:sz w:val="22"/>
          <w:szCs w:val="22"/>
        </w:rPr>
        <w:t xml:space="preserve">, así como </w:t>
      </w:r>
      <w:r w:rsidRPr="00484BC3">
        <w:rPr>
          <w:rFonts w:ascii="Palatino Linotype" w:eastAsia="Palatino Linotype" w:hAnsi="Palatino Linotype" w:cs="Palatino Linotype"/>
          <w:b/>
          <w:sz w:val="22"/>
          <w:szCs w:val="22"/>
        </w:rPr>
        <w:t xml:space="preserve">verificar que los recursos aportados por la SEP y el Gobierno del Estado se apliquen específicamente para el objeto del Anexo de Ejecución, </w:t>
      </w:r>
      <w:r w:rsidRPr="00484BC3">
        <w:rPr>
          <w:rFonts w:ascii="Palatino Linotype" w:eastAsia="Palatino Linotype" w:hAnsi="Palatino Linotype" w:cs="Palatino Linotype"/>
          <w:sz w:val="22"/>
          <w:szCs w:val="22"/>
        </w:rPr>
        <w:t>debiendo comunicar a las autoridades competentes cualquier irregularidad de la que tengan conocimiento con motivo de la ejecución del Anexo, de conformidad con las disposiciones aplicables.</w:t>
      </w:r>
    </w:p>
    <w:p w14:paraId="1CFB7363"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w:t>
      </w:r>
      <w:r w:rsidRPr="00484BC3">
        <w:rPr>
          <w:rFonts w:ascii="Palatino Linotype" w:eastAsia="Palatino Linotype" w:hAnsi="Palatino Linotype" w:cs="Palatino Linotype"/>
          <w:sz w:val="22"/>
          <w:szCs w:val="22"/>
        </w:rPr>
        <w:lastRenderedPageBreak/>
        <w:t>de la Ley de Transparencia y Acceso a la Información Pública del Estado de México y Municipios, de aplicación supletoria, lo que a</w:t>
      </w:r>
      <w:r w:rsidRPr="00484BC3">
        <w:rPr>
          <w:rFonts w:ascii="Palatino Linotype" w:eastAsia="Palatino Linotype" w:hAnsi="Palatino Linotype" w:cs="Palatino Linotype"/>
          <w:i/>
          <w:sz w:val="22"/>
          <w:szCs w:val="22"/>
        </w:rPr>
        <w:t xml:space="preserve"> contrario sensu</w:t>
      </w:r>
      <w:r w:rsidRPr="00484BC3">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75865742" w14:textId="77777777" w:rsidR="00DA2A6F" w:rsidRPr="00484BC3" w:rsidRDefault="00B8010F">
      <w:pPr>
        <w:spacing w:after="200" w:line="360" w:lineRule="auto"/>
        <w:ind w:right="49"/>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Dicho lo anterior, respecto a la Declaración de Incompetencia, la Ley de Transparencia y Acceso a la Información Pública del Estado de México, de aplicación supletoria, establece en los artículos 49, fracción II y 167, lo siguiente: </w:t>
      </w:r>
    </w:p>
    <w:p w14:paraId="3DCE64F4" w14:textId="77777777" w:rsidR="00DA2A6F" w:rsidRPr="00484BC3" w:rsidRDefault="00B8010F">
      <w:pPr>
        <w:tabs>
          <w:tab w:val="left" w:pos="1134"/>
          <w:tab w:val="left" w:pos="1276"/>
        </w:tabs>
        <w:spacing w:before="120" w:after="120"/>
        <w:ind w:left="567"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i/>
          <w:sz w:val="22"/>
          <w:szCs w:val="22"/>
        </w:rPr>
        <w:t>“</w:t>
      </w:r>
      <w:r w:rsidRPr="00484BC3">
        <w:rPr>
          <w:rFonts w:ascii="Palatino Linotype" w:eastAsia="Palatino Linotype" w:hAnsi="Palatino Linotype" w:cs="Palatino Linotype"/>
          <w:b/>
          <w:i/>
          <w:sz w:val="22"/>
          <w:szCs w:val="22"/>
        </w:rPr>
        <w:t>Artículo 49.</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Los Comités de Transparencia</w:t>
      </w:r>
      <w:r w:rsidRPr="00484BC3">
        <w:rPr>
          <w:rFonts w:ascii="Palatino Linotype" w:eastAsia="Palatino Linotype" w:hAnsi="Palatino Linotype" w:cs="Palatino Linotype"/>
          <w:i/>
          <w:sz w:val="22"/>
          <w:szCs w:val="22"/>
        </w:rPr>
        <w:t xml:space="preserve"> tendrán las siguientes atribuciones:</w:t>
      </w:r>
    </w:p>
    <w:p w14:paraId="3203C6B9" w14:textId="77777777" w:rsidR="00DA2A6F" w:rsidRPr="00484BC3" w:rsidRDefault="00B8010F">
      <w:pPr>
        <w:tabs>
          <w:tab w:val="left" w:pos="1134"/>
        </w:tabs>
        <w:spacing w:before="120" w:after="120"/>
        <w:ind w:left="567" w:right="902"/>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i/>
          <w:sz w:val="22"/>
          <w:szCs w:val="22"/>
        </w:rPr>
        <w:t>...</w:t>
      </w:r>
    </w:p>
    <w:p w14:paraId="55EB7821" w14:textId="77777777" w:rsidR="00DA2A6F" w:rsidRPr="00484BC3" w:rsidRDefault="00B8010F">
      <w:pPr>
        <w:tabs>
          <w:tab w:val="left" w:pos="1134"/>
        </w:tabs>
        <w:spacing w:before="120" w:after="120"/>
        <w:ind w:left="567" w:right="902"/>
        <w:jc w:val="both"/>
        <w:rPr>
          <w:rFonts w:ascii="Palatino Linotype" w:eastAsia="Palatino Linotype" w:hAnsi="Palatino Linotype" w:cs="Palatino Linotype"/>
          <w:b/>
          <w:i/>
          <w:sz w:val="22"/>
          <w:szCs w:val="22"/>
          <w:u w:val="single"/>
        </w:rPr>
      </w:pPr>
      <w:r w:rsidRPr="00484BC3">
        <w:rPr>
          <w:rFonts w:ascii="Palatino Linotype" w:eastAsia="Palatino Linotype" w:hAnsi="Palatino Linotype" w:cs="Palatino Linotype"/>
          <w:b/>
          <w:i/>
          <w:sz w:val="22"/>
          <w:szCs w:val="22"/>
        </w:rPr>
        <w:t>II.</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i/>
          <w:sz w:val="22"/>
          <w:szCs w:val="22"/>
        </w:rPr>
        <w:t>Confirmar, modificar o revocar</w:t>
      </w:r>
      <w:r w:rsidRPr="00484BC3">
        <w:rPr>
          <w:rFonts w:ascii="Palatino Linotype" w:eastAsia="Palatino Linotype" w:hAnsi="Palatino Linotype" w:cs="Palatino Linotype"/>
          <w:i/>
          <w:sz w:val="22"/>
          <w:szCs w:val="22"/>
        </w:rPr>
        <w:t xml:space="preserve"> las determinaciones </w:t>
      </w:r>
      <w:proofErr w:type="gramStart"/>
      <w:r w:rsidRPr="00484BC3">
        <w:rPr>
          <w:rFonts w:ascii="Palatino Linotype" w:eastAsia="Palatino Linotype" w:hAnsi="Palatino Linotype" w:cs="Palatino Linotype"/>
          <w:i/>
          <w:sz w:val="22"/>
          <w:szCs w:val="22"/>
        </w:rPr>
        <w:t>que</w:t>
      </w:r>
      <w:proofErr w:type="gramEnd"/>
      <w:r w:rsidRPr="00484BC3">
        <w:rPr>
          <w:rFonts w:ascii="Palatino Linotype" w:eastAsia="Palatino Linotype" w:hAnsi="Palatino Linotype" w:cs="Palatino Linotype"/>
          <w:i/>
          <w:sz w:val="22"/>
          <w:szCs w:val="22"/>
        </w:rPr>
        <w:t xml:space="preserve"> en materia de ampliación del plazo de respuesta, clasificación de la información </w:t>
      </w:r>
      <w:r w:rsidRPr="00484BC3">
        <w:rPr>
          <w:rFonts w:ascii="Palatino Linotype" w:eastAsia="Palatino Linotype" w:hAnsi="Palatino Linotype" w:cs="Palatino Linotype"/>
          <w:b/>
          <w:i/>
          <w:sz w:val="22"/>
          <w:szCs w:val="22"/>
        </w:rPr>
        <w:t>y declaración</w:t>
      </w:r>
      <w:r w:rsidRPr="00484BC3">
        <w:rPr>
          <w:rFonts w:ascii="Palatino Linotype" w:eastAsia="Palatino Linotype" w:hAnsi="Palatino Linotype" w:cs="Palatino Linotype"/>
          <w:i/>
          <w:sz w:val="22"/>
          <w:szCs w:val="22"/>
        </w:rPr>
        <w:t xml:space="preserve"> de inexistencia o </w:t>
      </w:r>
      <w:r w:rsidRPr="00484BC3">
        <w:rPr>
          <w:rFonts w:ascii="Palatino Linotype" w:eastAsia="Palatino Linotype" w:hAnsi="Palatino Linotype" w:cs="Palatino Linotype"/>
          <w:b/>
          <w:i/>
          <w:sz w:val="22"/>
          <w:szCs w:val="22"/>
        </w:rPr>
        <w:t>de incompetencia realicen los titulares de las áreas de los sujetos obligados;</w:t>
      </w:r>
    </w:p>
    <w:p w14:paraId="456C6A6C" w14:textId="77777777" w:rsidR="00DA2A6F" w:rsidRPr="00484BC3" w:rsidRDefault="00B8010F">
      <w:pPr>
        <w:tabs>
          <w:tab w:val="left" w:pos="1134"/>
        </w:tabs>
        <w:spacing w:before="120" w:after="120"/>
        <w:ind w:left="851" w:right="902"/>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i/>
          <w:sz w:val="22"/>
          <w:szCs w:val="22"/>
        </w:rPr>
        <w:t>...</w:t>
      </w:r>
    </w:p>
    <w:p w14:paraId="6B3B824E" w14:textId="77777777" w:rsidR="00DA2A6F" w:rsidRPr="00484BC3" w:rsidRDefault="00B8010F">
      <w:pPr>
        <w:tabs>
          <w:tab w:val="left" w:pos="1134"/>
        </w:tabs>
        <w:spacing w:before="120" w:after="120"/>
        <w:ind w:left="851" w:right="902"/>
        <w:jc w:val="both"/>
        <w:rPr>
          <w:rFonts w:ascii="Palatino Linotype" w:eastAsia="Palatino Linotype" w:hAnsi="Palatino Linotype" w:cs="Palatino Linotype"/>
          <w:b/>
          <w:i/>
          <w:sz w:val="22"/>
          <w:szCs w:val="22"/>
        </w:rPr>
      </w:pPr>
      <w:r w:rsidRPr="00484BC3">
        <w:rPr>
          <w:rFonts w:ascii="Palatino Linotype" w:eastAsia="Palatino Linotype" w:hAnsi="Palatino Linotype" w:cs="Palatino Linotype"/>
          <w:b/>
          <w:i/>
          <w:sz w:val="22"/>
          <w:szCs w:val="22"/>
        </w:rPr>
        <w:t>Artículo 167</w:t>
      </w:r>
      <w:r w:rsidRPr="00484BC3">
        <w:rPr>
          <w:rFonts w:ascii="Palatino Linotype" w:eastAsia="Palatino Linotype" w:hAnsi="Palatino Linotype" w:cs="Palatino Linotype"/>
          <w:i/>
          <w:sz w:val="22"/>
          <w:szCs w:val="22"/>
        </w:rPr>
        <w:t xml:space="preserve">. </w:t>
      </w:r>
      <w:r w:rsidRPr="00484BC3">
        <w:rPr>
          <w:rFonts w:ascii="Palatino Linotype" w:eastAsia="Palatino Linotype" w:hAnsi="Palatino Linotype" w:cs="Palatino Linotype"/>
          <w:b/>
          <w:i/>
          <w:sz w:val="22"/>
          <w:szCs w:val="22"/>
        </w:rPr>
        <w:t>Cuando las unidades de transparencia determinen la notoria incompetencia</w:t>
      </w:r>
      <w:r w:rsidRPr="00484BC3">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484BC3">
        <w:rPr>
          <w:rFonts w:ascii="Palatino Linotype" w:eastAsia="Palatino Linotype" w:hAnsi="Palatino Linotype" w:cs="Palatino Linotype"/>
          <w:b/>
          <w:i/>
          <w:sz w:val="22"/>
          <w:szCs w:val="22"/>
        </w:rPr>
        <w:t>deberán comunicarlo al solicitante, dentro de los tres días hábiles posteriores a la recepción de la solicitud</w:t>
      </w:r>
      <w:r w:rsidRPr="00484BC3">
        <w:rPr>
          <w:rFonts w:ascii="Palatino Linotype" w:eastAsia="Palatino Linotype" w:hAnsi="Palatino Linotype" w:cs="Palatino Linotype"/>
          <w:i/>
          <w:sz w:val="22"/>
          <w:szCs w:val="22"/>
        </w:rPr>
        <w:t xml:space="preserve"> y, </w:t>
      </w:r>
      <w:r w:rsidRPr="00484BC3">
        <w:rPr>
          <w:rFonts w:ascii="Palatino Linotype" w:eastAsia="Palatino Linotype" w:hAnsi="Palatino Linotype" w:cs="Palatino Linotype"/>
          <w:b/>
          <w:i/>
          <w:sz w:val="22"/>
          <w:szCs w:val="22"/>
        </w:rPr>
        <w:t>en su caso orientar al solicitante, el o los sujetos obligados competentes.”</w:t>
      </w:r>
    </w:p>
    <w:p w14:paraId="6502D8B4"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484BC3">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484BC3">
        <w:rPr>
          <w:rFonts w:ascii="Palatino Linotype" w:eastAsia="Palatino Linotype" w:hAnsi="Palatino Linotype" w:cs="Palatino Linotype"/>
          <w:b/>
          <w:sz w:val="22"/>
          <w:szCs w:val="22"/>
        </w:rPr>
        <w:t xml:space="preserve"> en aquellos casos en los que no se trate de una notoria incompetencia. </w:t>
      </w:r>
    </w:p>
    <w:p w14:paraId="394060A9"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u w:val="single"/>
        </w:rPr>
      </w:pPr>
      <w:r w:rsidRPr="00484BC3">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w:t>
      </w:r>
      <w:r w:rsidRPr="00484BC3">
        <w:rPr>
          <w:rFonts w:ascii="Palatino Linotype" w:eastAsia="Palatino Linotype" w:hAnsi="Palatino Linotype" w:cs="Palatino Linotype"/>
          <w:sz w:val="22"/>
          <w:szCs w:val="22"/>
        </w:rPr>
        <w:lastRenderedPageBreak/>
        <w:t xml:space="preserve">incompetencia cuando ésta sea notoria, siendo innecesario que dicha circunstancia sea sometida a consideración de los integrantes del Comité de Transparencia </w:t>
      </w:r>
      <w:r w:rsidRPr="00484BC3">
        <w:rPr>
          <w:rFonts w:ascii="Palatino Linotype" w:eastAsia="Palatino Linotype" w:hAnsi="Palatino Linotype" w:cs="Palatino Linotype"/>
          <w:sz w:val="22"/>
          <w:szCs w:val="22"/>
          <w:u w:val="single"/>
        </w:rPr>
        <w:t xml:space="preserve">para su aprobación. </w:t>
      </w:r>
    </w:p>
    <w:p w14:paraId="75C9031E"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3B8979EE" w14:textId="77777777" w:rsidR="00DA2A6F" w:rsidRPr="00484BC3" w:rsidRDefault="00B8010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“Declaración de incompetencia por parte del Comité, cuando no sea notoria o manifiesta.</w:t>
      </w:r>
      <w:r w:rsidRPr="00484BC3">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41765D2"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484BC3">
        <w:rPr>
          <w:rFonts w:ascii="Palatino Linotype" w:eastAsia="Palatino Linotype" w:hAnsi="Palatino Linotype" w:cs="Palatino Linotype"/>
          <w:b/>
          <w:sz w:val="22"/>
          <w:szCs w:val="22"/>
        </w:rPr>
        <w:t xml:space="preserve"> </w:t>
      </w:r>
      <w:r w:rsidRPr="00484BC3">
        <w:rPr>
          <w:rFonts w:ascii="Palatino Linotype" w:eastAsia="Palatino Linotype" w:hAnsi="Palatino Linotype" w:cs="Palatino Linotype"/>
          <w:b/>
          <w:sz w:val="22"/>
          <w:szCs w:val="22"/>
          <w:u w:val="single"/>
        </w:rPr>
        <w:t>duda razonable sobre la administración del documento materia de la solicitud de información</w:t>
      </w:r>
      <w:r w:rsidRPr="00484BC3">
        <w:rPr>
          <w:rFonts w:ascii="Palatino Linotype" w:eastAsia="Palatino Linotype" w:hAnsi="Palatino Linotype" w:cs="Palatino Linotype"/>
          <w:sz w:val="22"/>
          <w:szCs w:val="22"/>
        </w:rPr>
        <w:t>, como se lee enseguida:</w:t>
      </w:r>
    </w:p>
    <w:p w14:paraId="30A9F245" w14:textId="77777777" w:rsidR="00DA2A6F" w:rsidRPr="00484BC3" w:rsidRDefault="00B8010F">
      <w:pPr>
        <w:tabs>
          <w:tab w:val="left" w:pos="1418"/>
        </w:tabs>
        <w:spacing w:before="120" w:after="120" w:line="276" w:lineRule="auto"/>
        <w:ind w:left="851" w:right="902"/>
        <w:jc w:val="both"/>
        <w:rPr>
          <w:rFonts w:ascii="Palatino Linotype" w:eastAsia="Palatino Linotype" w:hAnsi="Palatino Linotype" w:cs="Palatino Linotype"/>
          <w:i/>
          <w:sz w:val="22"/>
          <w:szCs w:val="22"/>
        </w:rPr>
      </w:pPr>
      <w:r w:rsidRPr="00484BC3">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484BC3">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484BC3">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484BC3">
        <w:rPr>
          <w:rFonts w:ascii="Palatino Linotype" w:eastAsia="Palatino Linotype" w:hAnsi="Palatino Linotype" w:cs="Palatino Linotype"/>
          <w:b/>
          <w:i/>
          <w:sz w:val="22"/>
          <w:szCs w:val="22"/>
          <w:u w:val="single"/>
        </w:rPr>
        <w:t xml:space="preserve">impiden determinar dentro del término </w:t>
      </w:r>
      <w:r w:rsidRPr="00484BC3">
        <w:rPr>
          <w:rFonts w:ascii="Palatino Linotype" w:eastAsia="Palatino Linotype" w:hAnsi="Palatino Linotype" w:cs="Palatino Linotype"/>
          <w:b/>
          <w:i/>
          <w:sz w:val="22"/>
          <w:szCs w:val="22"/>
          <w:u w:val="single"/>
        </w:rPr>
        <w:lastRenderedPageBreak/>
        <w:t>legal de tres días hábiles</w:t>
      </w:r>
      <w:r w:rsidRPr="00484BC3">
        <w:rPr>
          <w:rFonts w:ascii="Palatino Linotype" w:eastAsia="Palatino Linotype" w:hAnsi="Palatino Linotype" w:cs="Palatino Linotype"/>
          <w:b/>
          <w:i/>
          <w:sz w:val="22"/>
          <w:szCs w:val="22"/>
        </w:rPr>
        <w:t>, si se posee o no la información por el Sujeto Obligado requerid</w:t>
      </w:r>
      <w:r w:rsidRPr="00484BC3">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02C017C3"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En el caso particular, dado que se ha demostrado que la incompetencia del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es notoria, por lo </w:t>
      </w:r>
      <w:proofErr w:type="gramStart"/>
      <w:r w:rsidRPr="00484BC3">
        <w:rPr>
          <w:rFonts w:ascii="Palatino Linotype" w:eastAsia="Palatino Linotype" w:hAnsi="Palatino Linotype" w:cs="Palatino Linotype"/>
          <w:sz w:val="22"/>
          <w:szCs w:val="22"/>
        </w:rPr>
        <w:t>tanto</w:t>
      </w:r>
      <w:proofErr w:type="gramEnd"/>
      <w:r w:rsidRPr="00484BC3">
        <w:rPr>
          <w:rFonts w:ascii="Palatino Linotype" w:eastAsia="Palatino Linotype" w:hAnsi="Palatino Linotype" w:cs="Palatino Linotype"/>
          <w:sz w:val="22"/>
          <w:szCs w:val="22"/>
        </w:rPr>
        <w:t xml:space="preserve"> resulta innecesaria la emisión de una declaratoria formal de incompetencia a través del Comité de Transparencia.</w:t>
      </w:r>
    </w:p>
    <w:p w14:paraId="1E5C4D63" w14:textId="77777777" w:rsidR="00DA2A6F" w:rsidRPr="00484BC3" w:rsidRDefault="00B8010F">
      <w:pP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 xml:space="preserve">Atento a lo anterior, se dejan a salvo los derechos de la parte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561195A0" w14:textId="77777777" w:rsidR="00DA2A6F" w:rsidRPr="00484BC3" w:rsidRDefault="00B8010F">
      <w:pPr>
        <w:tabs>
          <w:tab w:val="left" w:pos="142"/>
          <w:tab w:val="left" w:pos="284"/>
        </w:tabs>
        <w:spacing w:before="240" w:after="240"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sz w:val="22"/>
          <w:szCs w:val="22"/>
        </w:rPr>
        <w:t xml:space="preserve">Derivado de lo expuesto, dado que 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w:t>
      </w:r>
      <w:r w:rsidRPr="00484BC3">
        <w:rPr>
          <w:rFonts w:ascii="Palatino Linotype" w:eastAsia="Palatino Linotype" w:hAnsi="Palatino Linotype" w:cs="Palatino Linotype"/>
          <w:sz w:val="22"/>
          <w:szCs w:val="22"/>
        </w:rPr>
        <w:lastRenderedPageBreak/>
        <w:t xml:space="preserve">importancia señalar que la facultad de orientación a las personas solicitantes para que formulen su solicitud ante el Sujeto Obligado competente es potestativa; se concluye que motivos de inconformidad de 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 xml:space="preserve">son infundados, por lo que resulta procedente </w:t>
      </w:r>
      <w:r w:rsidRPr="00484BC3">
        <w:rPr>
          <w:rFonts w:ascii="Palatino Linotype" w:eastAsia="Palatino Linotype" w:hAnsi="Palatino Linotype" w:cs="Palatino Linotype"/>
          <w:i/>
          <w:sz w:val="22"/>
          <w:szCs w:val="22"/>
        </w:rPr>
        <w:t xml:space="preserve">confirmar </w:t>
      </w:r>
      <w:r w:rsidRPr="00484BC3">
        <w:rPr>
          <w:rFonts w:ascii="Palatino Linotype" w:eastAsia="Palatino Linotype" w:hAnsi="Palatino Linotype" w:cs="Palatino Linotype"/>
          <w:sz w:val="22"/>
          <w:szCs w:val="22"/>
        </w:rPr>
        <w:t xml:space="preserve">la respuesta proporcionada a la solicitud de información </w:t>
      </w:r>
      <w:r w:rsidRPr="00484BC3">
        <w:rPr>
          <w:rFonts w:ascii="Palatino Linotype" w:eastAsia="Palatino Linotype" w:hAnsi="Palatino Linotype" w:cs="Palatino Linotype"/>
          <w:b/>
          <w:sz w:val="22"/>
          <w:szCs w:val="22"/>
        </w:rPr>
        <w:t>00</w:t>
      </w:r>
      <w:r w:rsidR="009E5376" w:rsidRPr="00484BC3">
        <w:rPr>
          <w:rFonts w:ascii="Palatino Linotype" w:eastAsia="Palatino Linotype" w:hAnsi="Palatino Linotype" w:cs="Palatino Linotype"/>
          <w:b/>
          <w:sz w:val="22"/>
          <w:szCs w:val="22"/>
        </w:rPr>
        <w:t>163</w:t>
      </w:r>
      <w:r w:rsidRPr="00484BC3">
        <w:rPr>
          <w:rFonts w:ascii="Palatino Linotype" w:eastAsia="Palatino Linotype" w:hAnsi="Palatino Linotype" w:cs="Palatino Linotype"/>
          <w:b/>
          <w:sz w:val="22"/>
          <w:szCs w:val="22"/>
        </w:rPr>
        <w:t>/SF/IP/2025</w:t>
      </w:r>
      <w:r w:rsidRPr="00484BC3">
        <w:rPr>
          <w:rFonts w:ascii="Palatino Linotype" w:eastAsia="Palatino Linotype" w:hAnsi="Palatino Linotype" w:cs="Palatino Linotype"/>
          <w:sz w:val="22"/>
          <w:szCs w:val="22"/>
        </w:rPr>
        <w:t>.</w:t>
      </w:r>
    </w:p>
    <w:p w14:paraId="7BA5F09D" w14:textId="77777777" w:rsidR="00DA2A6F" w:rsidRPr="00484BC3"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4BC3">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280CC0E8" w14:textId="77777777" w:rsidR="00DA2A6F" w:rsidRPr="00484BC3"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84BC3">
        <w:rPr>
          <w:rFonts w:ascii="Palatino Linotype" w:eastAsia="Palatino Linotype" w:hAnsi="Palatino Linotype" w:cs="Palatino Linotype"/>
          <w:b/>
          <w:sz w:val="22"/>
          <w:szCs w:val="22"/>
        </w:rPr>
        <w:t>III. R E S U E L V E</w:t>
      </w:r>
    </w:p>
    <w:p w14:paraId="0C514027" w14:textId="77777777" w:rsidR="00DA2A6F" w:rsidRPr="00484BC3"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bookmarkStart w:id="5" w:name="_heading=h.17dp8vu" w:colFirst="0" w:colLast="0"/>
      <w:bookmarkEnd w:id="5"/>
      <w:r w:rsidRPr="00484BC3">
        <w:rPr>
          <w:rFonts w:ascii="Palatino Linotype" w:eastAsia="Palatino Linotype" w:hAnsi="Palatino Linotype" w:cs="Palatino Linotype"/>
          <w:b/>
          <w:sz w:val="22"/>
          <w:szCs w:val="22"/>
        </w:rPr>
        <w:t xml:space="preserve">Primero. </w:t>
      </w:r>
      <w:r w:rsidRPr="00484BC3">
        <w:rPr>
          <w:rFonts w:ascii="Palatino Linotype" w:eastAsia="Palatino Linotype" w:hAnsi="Palatino Linotype" w:cs="Palatino Linotype"/>
          <w:sz w:val="22"/>
          <w:szCs w:val="22"/>
        </w:rPr>
        <w:t>Resultan</w:t>
      </w:r>
      <w:r w:rsidRPr="00484BC3">
        <w:rPr>
          <w:rFonts w:ascii="Palatino Linotype" w:eastAsia="Palatino Linotype" w:hAnsi="Palatino Linotype" w:cs="Palatino Linotype"/>
          <w:b/>
          <w:sz w:val="22"/>
          <w:szCs w:val="22"/>
        </w:rPr>
        <w:t xml:space="preserve"> infundados</w:t>
      </w:r>
      <w:r w:rsidRPr="00484BC3">
        <w:rPr>
          <w:rFonts w:ascii="Palatino Linotype" w:eastAsia="Palatino Linotype" w:hAnsi="Palatino Linotype" w:cs="Palatino Linotype"/>
          <w:sz w:val="22"/>
          <w:szCs w:val="22"/>
        </w:rPr>
        <w:t xml:space="preserve"> los motivos de inconformidad hechos valer por la parte </w:t>
      </w:r>
      <w:r w:rsidRPr="00484BC3">
        <w:rPr>
          <w:rFonts w:ascii="Palatino Linotype" w:eastAsia="Palatino Linotype" w:hAnsi="Palatino Linotype" w:cs="Palatino Linotype"/>
          <w:b/>
          <w:sz w:val="22"/>
          <w:szCs w:val="22"/>
        </w:rPr>
        <w:t xml:space="preserve">Recurrente </w:t>
      </w:r>
      <w:r w:rsidRPr="00484BC3">
        <w:rPr>
          <w:rFonts w:ascii="Palatino Linotype" w:eastAsia="Palatino Linotype" w:hAnsi="Palatino Linotype" w:cs="Palatino Linotype"/>
          <w:sz w:val="22"/>
          <w:szCs w:val="22"/>
        </w:rPr>
        <w:t xml:space="preserve">en el recurso de revisión </w:t>
      </w:r>
      <w:r w:rsidR="000B448F" w:rsidRPr="00484BC3">
        <w:rPr>
          <w:rFonts w:ascii="Palatino Linotype" w:eastAsia="Palatino Linotype" w:hAnsi="Palatino Linotype" w:cs="Palatino Linotype"/>
          <w:b/>
          <w:sz w:val="22"/>
          <w:szCs w:val="22"/>
        </w:rPr>
        <w:t>02334/INFOEM/IP/RR/2025</w:t>
      </w:r>
      <w:r w:rsidRPr="00484BC3">
        <w:rPr>
          <w:rFonts w:ascii="Palatino Linotype" w:eastAsia="Palatino Linotype" w:hAnsi="Palatino Linotype" w:cs="Palatino Linotype"/>
          <w:sz w:val="22"/>
          <w:szCs w:val="22"/>
        </w:rPr>
        <w:t xml:space="preserve">; por lo que, en términos de los argumentos señalados en el </w:t>
      </w:r>
      <w:r w:rsidRPr="00484BC3">
        <w:rPr>
          <w:rFonts w:ascii="Palatino Linotype" w:eastAsia="Palatino Linotype" w:hAnsi="Palatino Linotype" w:cs="Palatino Linotype"/>
          <w:b/>
          <w:sz w:val="22"/>
          <w:szCs w:val="22"/>
        </w:rPr>
        <w:t>Considerando Tercero</w:t>
      </w:r>
      <w:r w:rsidRPr="00484BC3">
        <w:rPr>
          <w:rFonts w:ascii="Palatino Linotype" w:eastAsia="Palatino Linotype" w:hAnsi="Palatino Linotype" w:cs="Palatino Linotype"/>
          <w:sz w:val="22"/>
          <w:szCs w:val="22"/>
        </w:rPr>
        <w:t xml:space="preserve">, se </w:t>
      </w:r>
      <w:r w:rsidRPr="00484BC3">
        <w:rPr>
          <w:rFonts w:ascii="Palatino Linotype" w:eastAsia="Palatino Linotype" w:hAnsi="Palatino Linotype" w:cs="Palatino Linotype"/>
          <w:b/>
          <w:sz w:val="22"/>
          <w:szCs w:val="22"/>
        </w:rPr>
        <w:t xml:space="preserve">Confirma </w:t>
      </w:r>
      <w:r w:rsidRPr="00484BC3">
        <w:rPr>
          <w:rFonts w:ascii="Palatino Linotype" w:eastAsia="Palatino Linotype" w:hAnsi="Palatino Linotype" w:cs="Palatino Linotype"/>
          <w:sz w:val="22"/>
          <w:szCs w:val="22"/>
        </w:rPr>
        <w:t xml:space="preserve">la respuesta emitida por el </w:t>
      </w:r>
      <w:r w:rsidRPr="00484BC3">
        <w:rPr>
          <w:rFonts w:ascii="Palatino Linotype" w:eastAsia="Palatino Linotype" w:hAnsi="Palatino Linotype" w:cs="Palatino Linotype"/>
          <w:b/>
          <w:sz w:val="22"/>
          <w:szCs w:val="22"/>
        </w:rPr>
        <w:t>Sujeto Obligado.</w:t>
      </w:r>
    </w:p>
    <w:p w14:paraId="2416D0AA" w14:textId="77777777" w:rsidR="00DA2A6F" w:rsidRPr="00484BC3" w:rsidRDefault="00DA2A6F">
      <w:pPr>
        <w:spacing w:line="360" w:lineRule="auto"/>
        <w:rPr>
          <w:rFonts w:ascii="Palatino Linotype" w:eastAsia="Palatino Linotype" w:hAnsi="Palatino Linotype" w:cs="Palatino Linotype"/>
        </w:rPr>
      </w:pPr>
    </w:p>
    <w:p w14:paraId="1A4FE1F3" w14:textId="77777777" w:rsidR="00DA2A6F" w:rsidRPr="00484BC3"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b/>
          <w:sz w:val="22"/>
          <w:szCs w:val="22"/>
        </w:rPr>
        <w:t>Segundo</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 xml:space="preserve">Notifíquese, </w:t>
      </w:r>
      <w:r w:rsidRPr="00484BC3">
        <w:rPr>
          <w:rFonts w:ascii="Palatino Linotype" w:eastAsia="Palatino Linotype" w:hAnsi="Palatino Linotype" w:cs="Palatino Linotype"/>
          <w:sz w:val="22"/>
          <w:szCs w:val="22"/>
        </w:rPr>
        <w:t xml:space="preserve">vía </w:t>
      </w:r>
      <w:r w:rsidRPr="00484BC3">
        <w:rPr>
          <w:rFonts w:ascii="Palatino Linotype" w:eastAsia="Palatino Linotype" w:hAnsi="Palatino Linotype" w:cs="Palatino Linotype"/>
          <w:b/>
          <w:sz w:val="22"/>
          <w:szCs w:val="22"/>
        </w:rPr>
        <w:t xml:space="preserve">SAIMEX, </w:t>
      </w:r>
      <w:r w:rsidRPr="00484BC3">
        <w:rPr>
          <w:rFonts w:ascii="Palatino Linotype" w:eastAsia="Palatino Linotype" w:hAnsi="Palatino Linotype" w:cs="Palatino Linotype"/>
          <w:sz w:val="22"/>
          <w:szCs w:val="22"/>
        </w:rPr>
        <w:t xml:space="preserve">al Titular de la Unidad de Transparencia del </w:t>
      </w:r>
      <w:r w:rsidRPr="00484BC3">
        <w:rPr>
          <w:rFonts w:ascii="Palatino Linotype" w:eastAsia="Palatino Linotype" w:hAnsi="Palatino Linotype" w:cs="Palatino Linotype"/>
          <w:b/>
          <w:sz w:val="22"/>
          <w:szCs w:val="22"/>
        </w:rPr>
        <w:t>Sujeto Obligado</w:t>
      </w:r>
      <w:r w:rsidRPr="00484BC3">
        <w:rPr>
          <w:rFonts w:ascii="Palatino Linotype" w:eastAsia="Palatino Linotype" w:hAnsi="Palatino Linotype" w:cs="Palatino Linotype"/>
          <w:sz w:val="22"/>
          <w:szCs w:val="22"/>
        </w:rPr>
        <w:t xml:space="preserve"> para su conocimiento, la presente resolución.</w:t>
      </w:r>
    </w:p>
    <w:p w14:paraId="059BF91A" w14:textId="77777777" w:rsidR="00DA2A6F" w:rsidRPr="00484BC3" w:rsidRDefault="00DA2A6F">
      <w:pPr>
        <w:spacing w:line="360" w:lineRule="auto"/>
        <w:rPr>
          <w:rFonts w:ascii="Palatino Linotype" w:eastAsia="Palatino Linotype" w:hAnsi="Palatino Linotype" w:cs="Palatino Linotype"/>
        </w:rPr>
      </w:pPr>
    </w:p>
    <w:p w14:paraId="4BB01B68" w14:textId="77777777" w:rsidR="00DA2A6F" w:rsidRPr="00484BC3"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r w:rsidRPr="00484BC3">
        <w:rPr>
          <w:rFonts w:ascii="Palatino Linotype" w:eastAsia="Palatino Linotype" w:hAnsi="Palatino Linotype" w:cs="Palatino Linotype"/>
          <w:b/>
          <w:sz w:val="22"/>
          <w:szCs w:val="22"/>
        </w:rPr>
        <w:t>Tercero.  Notifíquese</w:t>
      </w:r>
      <w:r w:rsidRPr="00484BC3">
        <w:rPr>
          <w:rFonts w:ascii="Palatino Linotype" w:eastAsia="Palatino Linotype" w:hAnsi="Palatino Linotype" w:cs="Palatino Linotype"/>
          <w:sz w:val="22"/>
          <w:szCs w:val="22"/>
        </w:rPr>
        <w:t xml:space="preserve"> vía</w:t>
      </w:r>
      <w:r w:rsidRPr="00484BC3">
        <w:rPr>
          <w:rFonts w:ascii="Palatino Linotype" w:eastAsia="Palatino Linotype" w:hAnsi="Palatino Linotype" w:cs="Palatino Linotype"/>
          <w:b/>
          <w:sz w:val="22"/>
          <w:szCs w:val="22"/>
        </w:rPr>
        <w:t xml:space="preserve"> SAIMEX, </w:t>
      </w:r>
      <w:r w:rsidRPr="00484BC3">
        <w:rPr>
          <w:rFonts w:ascii="Palatino Linotype" w:eastAsia="Palatino Linotype" w:hAnsi="Palatino Linotype" w:cs="Palatino Linotype"/>
          <w:sz w:val="22"/>
          <w:szCs w:val="22"/>
        </w:rPr>
        <w:t xml:space="preserve">a </w:t>
      </w:r>
      <w:r w:rsidRPr="00484BC3">
        <w:rPr>
          <w:rFonts w:ascii="Palatino Linotype" w:eastAsia="Palatino Linotype" w:hAnsi="Palatino Linotype" w:cs="Palatino Linotype"/>
          <w:b/>
          <w:sz w:val="22"/>
          <w:szCs w:val="22"/>
        </w:rPr>
        <w:t>la parte</w:t>
      </w:r>
      <w:r w:rsidRPr="00484BC3">
        <w:rPr>
          <w:rFonts w:ascii="Palatino Linotype" w:eastAsia="Palatino Linotype" w:hAnsi="Palatino Linotype" w:cs="Palatino Linotype"/>
          <w:sz w:val="22"/>
          <w:szCs w:val="22"/>
        </w:rPr>
        <w:t xml:space="preserve"> </w:t>
      </w:r>
      <w:r w:rsidRPr="00484BC3">
        <w:rPr>
          <w:rFonts w:ascii="Palatino Linotype" w:eastAsia="Palatino Linotype" w:hAnsi="Palatino Linotype" w:cs="Palatino Linotype"/>
          <w:b/>
          <w:sz w:val="22"/>
          <w:szCs w:val="22"/>
        </w:rPr>
        <w:t>Recurrente</w:t>
      </w:r>
      <w:r w:rsidRPr="00484BC3">
        <w:rPr>
          <w:rFonts w:ascii="Palatino Linotype" w:eastAsia="Palatino Linotype" w:hAnsi="Palatino Linotype" w:cs="Palatino Linotype"/>
          <w:sz w:val="22"/>
          <w:szCs w:val="22"/>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14:paraId="3E185121" w14:textId="77777777" w:rsidR="00DA2A6F" w:rsidRPr="00484BC3" w:rsidRDefault="00DA2A6F">
      <w:pPr>
        <w:spacing w:line="360" w:lineRule="auto"/>
        <w:jc w:val="both"/>
        <w:rPr>
          <w:rFonts w:ascii="Palatino Linotype" w:eastAsia="Palatino Linotype" w:hAnsi="Palatino Linotype" w:cs="Palatino Linotype"/>
        </w:rPr>
      </w:pPr>
    </w:p>
    <w:p w14:paraId="45ED2B7D" w14:textId="77777777" w:rsidR="00DA2A6F" w:rsidRPr="001B5B82" w:rsidRDefault="00B8010F">
      <w:pPr>
        <w:spacing w:line="360" w:lineRule="auto"/>
        <w:jc w:val="both"/>
        <w:rPr>
          <w:rFonts w:ascii="Palatino Linotype" w:eastAsia="Palatino Linotype" w:hAnsi="Palatino Linotype" w:cs="Palatino Linotype"/>
        </w:rPr>
      </w:pPr>
      <w:bookmarkStart w:id="6" w:name="_heading=h.imdovam0oscq" w:colFirst="0" w:colLast="0"/>
      <w:bookmarkEnd w:id="6"/>
      <w:r w:rsidRPr="00484BC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51E4F" w:rsidRPr="00484BC3">
        <w:rPr>
          <w:rFonts w:ascii="Palatino Linotype" w:eastAsia="Palatino Linotype" w:hAnsi="Palatino Linotype" w:cs="Palatino Linotype"/>
        </w:rPr>
        <w:t xml:space="preserve"> (EMITIENDO OPINIÓN PARTICULAR)</w:t>
      </w:r>
      <w:r w:rsidRPr="00484BC3">
        <w:rPr>
          <w:rFonts w:ascii="Palatino Linotype" w:eastAsia="Palatino Linotype" w:hAnsi="Palatino Linotype" w:cs="Palatino Linotype"/>
        </w:rPr>
        <w:t xml:space="preserve">, SHARON CRISTINA MORALES MARTÍNEZ, LUIS GUSTAVO PARRA NORIEGA Y GUADALUPE RAMÍREZ PEÑA; EN LA DÉCIMA </w:t>
      </w:r>
      <w:r w:rsidR="00E14749" w:rsidRPr="00484BC3">
        <w:rPr>
          <w:rFonts w:ascii="Palatino Linotype" w:eastAsia="Palatino Linotype" w:hAnsi="Palatino Linotype" w:cs="Palatino Linotype"/>
        </w:rPr>
        <w:t>SÉPTIMA</w:t>
      </w:r>
      <w:r w:rsidRPr="00484BC3">
        <w:rPr>
          <w:rFonts w:ascii="Palatino Linotype" w:eastAsia="Palatino Linotype" w:hAnsi="Palatino Linotype" w:cs="Palatino Linotype"/>
        </w:rPr>
        <w:t xml:space="preserve"> SESIÓN ORDINARIA, CELEBRADA EL </w:t>
      </w:r>
      <w:r w:rsidR="00E14749" w:rsidRPr="00484BC3">
        <w:rPr>
          <w:rFonts w:ascii="Palatino Linotype" w:eastAsia="Palatino Linotype" w:hAnsi="Palatino Linotype" w:cs="Palatino Linotype"/>
        </w:rPr>
        <w:t>CATORCE</w:t>
      </w:r>
      <w:r w:rsidRPr="00484BC3">
        <w:rPr>
          <w:rFonts w:ascii="Palatino Linotype" w:eastAsia="Palatino Linotype" w:hAnsi="Palatino Linotype" w:cs="Palatino Linotype"/>
        </w:rPr>
        <w:t xml:space="preserve"> DE </w:t>
      </w:r>
      <w:r w:rsidR="000B448F" w:rsidRPr="00484BC3">
        <w:rPr>
          <w:rFonts w:ascii="Palatino Linotype" w:eastAsia="Palatino Linotype" w:hAnsi="Palatino Linotype" w:cs="Palatino Linotype"/>
        </w:rPr>
        <w:t>MAYO</w:t>
      </w:r>
      <w:r w:rsidRPr="00484BC3">
        <w:rPr>
          <w:rFonts w:ascii="Palatino Linotype" w:eastAsia="Palatino Linotype" w:hAnsi="Palatino Linotype" w:cs="Palatino Linotype"/>
        </w:rPr>
        <w:t xml:space="preserve"> DE DOS MIL VEINTICINCO, ANTE EL SECRETARIO TÉCNICO DEL PLENO ALEXIS TAPIA RAMÍREZ.</w:t>
      </w:r>
      <w:r w:rsidRPr="001B5B82">
        <w:rPr>
          <w:rFonts w:ascii="Palatino Linotype" w:eastAsia="Palatino Linotype" w:hAnsi="Palatino Linotype" w:cs="Palatino Linotype"/>
        </w:rPr>
        <w:t xml:space="preserve"> </w:t>
      </w:r>
    </w:p>
    <w:p w14:paraId="36AA45B5" w14:textId="77777777" w:rsidR="00DA2A6F" w:rsidRPr="001B5B82" w:rsidRDefault="00DA2A6F">
      <w:pPr>
        <w:rPr>
          <w:rFonts w:ascii="Palatino Linotype" w:eastAsia="Palatino Linotype" w:hAnsi="Palatino Linotype" w:cs="Palatino Linotype"/>
        </w:rPr>
      </w:pPr>
    </w:p>
    <w:p w14:paraId="3D410ECA" w14:textId="77777777" w:rsidR="00DA2A6F" w:rsidRPr="001B5B82" w:rsidRDefault="00DA2A6F">
      <w:pPr>
        <w:rPr>
          <w:rFonts w:ascii="Palatino Linotype" w:eastAsia="Palatino Linotype" w:hAnsi="Palatino Linotype" w:cs="Palatino Linotype"/>
        </w:rPr>
      </w:pPr>
    </w:p>
    <w:p w14:paraId="03E133A7" w14:textId="77777777" w:rsidR="00DA2A6F" w:rsidRPr="001B5B82" w:rsidRDefault="00DA2A6F">
      <w:pPr>
        <w:spacing w:line="360" w:lineRule="auto"/>
        <w:jc w:val="both"/>
        <w:rPr>
          <w:rFonts w:ascii="Palatino Linotype" w:eastAsia="Palatino Linotype" w:hAnsi="Palatino Linotype" w:cs="Palatino Linotype"/>
        </w:rPr>
      </w:pPr>
      <w:bookmarkStart w:id="7" w:name="_heading=h.3rdcrjn" w:colFirst="0" w:colLast="0"/>
      <w:bookmarkEnd w:id="7"/>
    </w:p>
    <w:p w14:paraId="71874018" w14:textId="77777777" w:rsidR="00DA2A6F" w:rsidRPr="001B5B82" w:rsidRDefault="00DA2A6F">
      <w:pPr>
        <w:spacing w:line="360" w:lineRule="auto"/>
        <w:jc w:val="both"/>
        <w:rPr>
          <w:rFonts w:ascii="Palatino Linotype" w:eastAsia="Palatino Linotype" w:hAnsi="Palatino Linotype" w:cs="Palatino Linotype"/>
        </w:rPr>
      </w:pPr>
    </w:p>
    <w:p w14:paraId="6CB2BBEC" w14:textId="77777777" w:rsidR="00DA2A6F" w:rsidRPr="001B5B82" w:rsidRDefault="00DA2A6F">
      <w:pPr>
        <w:spacing w:line="360" w:lineRule="auto"/>
        <w:jc w:val="both"/>
        <w:rPr>
          <w:rFonts w:ascii="Palatino Linotype" w:eastAsia="Palatino Linotype" w:hAnsi="Palatino Linotype" w:cs="Palatino Linotype"/>
        </w:rPr>
      </w:pPr>
    </w:p>
    <w:p w14:paraId="1FE03975" w14:textId="77777777" w:rsidR="00DA2A6F" w:rsidRPr="001B5B82" w:rsidRDefault="00DA2A6F">
      <w:pPr>
        <w:spacing w:line="360" w:lineRule="auto"/>
        <w:jc w:val="both"/>
        <w:rPr>
          <w:rFonts w:ascii="Palatino Linotype" w:eastAsia="Palatino Linotype" w:hAnsi="Palatino Linotype" w:cs="Palatino Linotype"/>
        </w:rPr>
      </w:pPr>
      <w:bookmarkStart w:id="8" w:name="_heading=h.1t3h5sf" w:colFirst="0" w:colLast="0"/>
      <w:bookmarkEnd w:id="8"/>
    </w:p>
    <w:p w14:paraId="7809068E" w14:textId="77777777" w:rsidR="00DA2A6F" w:rsidRPr="001B5B82" w:rsidRDefault="00DA2A6F">
      <w:pPr>
        <w:spacing w:line="360" w:lineRule="auto"/>
        <w:jc w:val="both"/>
        <w:rPr>
          <w:rFonts w:ascii="Palatino Linotype" w:eastAsia="Palatino Linotype" w:hAnsi="Palatino Linotype" w:cs="Palatino Linotype"/>
        </w:rPr>
      </w:pPr>
    </w:p>
    <w:p w14:paraId="0D4D799D" w14:textId="77777777" w:rsidR="00DA2A6F" w:rsidRPr="001B5B82" w:rsidRDefault="00DA2A6F">
      <w:pPr>
        <w:spacing w:line="360" w:lineRule="auto"/>
        <w:jc w:val="both"/>
        <w:rPr>
          <w:rFonts w:ascii="Palatino Linotype" w:eastAsia="Palatino Linotype" w:hAnsi="Palatino Linotype" w:cs="Palatino Linotype"/>
        </w:rPr>
      </w:pPr>
    </w:p>
    <w:p w14:paraId="703F319B" w14:textId="77777777" w:rsidR="00DA2A6F" w:rsidRPr="001B5B82" w:rsidRDefault="00DA2A6F">
      <w:pPr>
        <w:spacing w:line="360" w:lineRule="auto"/>
        <w:jc w:val="both"/>
        <w:rPr>
          <w:rFonts w:ascii="Palatino Linotype" w:eastAsia="Palatino Linotype" w:hAnsi="Palatino Linotype" w:cs="Palatino Linotype"/>
        </w:rPr>
      </w:pPr>
    </w:p>
    <w:p w14:paraId="435F02A4" w14:textId="77777777" w:rsidR="00DA2A6F" w:rsidRPr="001B5B82" w:rsidRDefault="00DA2A6F">
      <w:pPr>
        <w:spacing w:line="360" w:lineRule="auto"/>
        <w:jc w:val="both"/>
        <w:rPr>
          <w:rFonts w:ascii="Palatino Linotype" w:eastAsia="Palatino Linotype" w:hAnsi="Palatino Linotype" w:cs="Palatino Linotype"/>
        </w:rPr>
      </w:pPr>
    </w:p>
    <w:p w14:paraId="2EF526D2" w14:textId="77777777" w:rsidR="00DA2A6F" w:rsidRPr="001B5B82" w:rsidRDefault="00DA2A6F">
      <w:pPr>
        <w:spacing w:line="360" w:lineRule="auto"/>
        <w:jc w:val="both"/>
        <w:rPr>
          <w:rFonts w:ascii="Palatino Linotype" w:eastAsia="Palatino Linotype" w:hAnsi="Palatino Linotype" w:cs="Palatino Linotype"/>
        </w:rPr>
      </w:pPr>
    </w:p>
    <w:p w14:paraId="0DDF0695" w14:textId="77777777" w:rsidR="00DA2A6F" w:rsidRPr="001B5B82" w:rsidRDefault="00DA2A6F">
      <w:pPr>
        <w:spacing w:line="360" w:lineRule="auto"/>
        <w:jc w:val="both"/>
        <w:rPr>
          <w:rFonts w:ascii="Palatino Linotype" w:eastAsia="Palatino Linotype" w:hAnsi="Palatino Linotype" w:cs="Palatino Linotype"/>
        </w:rPr>
      </w:pPr>
    </w:p>
    <w:p w14:paraId="400C2FC3" w14:textId="77777777" w:rsidR="00DA2A6F" w:rsidRPr="001B5B82" w:rsidRDefault="00DA2A6F">
      <w:pPr>
        <w:spacing w:line="360" w:lineRule="auto"/>
        <w:jc w:val="both"/>
        <w:rPr>
          <w:rFonts w:ascii="Palatino Linotype" w:eastAsia="Palatino Linotype" w:hAnsi="Palatino Linotype" w:cs="Palatino Linotype"/>
        </w:rPr>
      </w:pPr>
    </w:p>
    <w:p w14:paraId="2E911712" w14:textId="77777777" w:rsidR="00DA2A6F" w:rsidRPr="001B5B82" w:rsidRDefault="00DA2A6F">
      <w:pPr>
        <w:spacing w:line="360" w:lineRule="auto"/>
        <w:jc w:val="both"/>
        <w:rPr>
          <w:rFonts w:ascii="Palatino Linotype" w:eastAsia="Palatino Linotype" w:hAnsi="Palatino Linotype" w:cs="Palatino Linotype"/>
        </w:rPr>
      </w:pPr>
    </w:p>
    <w:p w14:paraId="0F2ECF1B" w14:textId="77777777" w:rsidR="00DA2A6F" w:rsidRPr="001B5B82" w:rsidRDefault="00DA2A6F">
      <w:pPr>
        <w:spacing w:line="360" w:lineRule="auto"/>
        <w:jc w:val="both"/>
        <w:rPr>
          <w:rFonts w:ascii="Palatino Linotype" w:eastAsia="Palatino Linotype" w:hAnsi="Palatino Linotype" w:cs="Palatino Linotype"/>
        </w:rPr>
      </w:pPr>
    </w:p>
    <w:p w14:paraId="11CBEFD1" w14:textId="77777777" w:rsidR="00DA2A6F" w:rsidRPr="001B5B82" w:rsidRDefault="00DA2A6F">
      <w:pPr>
        <w:spacing w:line="360" w:lineRule="auto"/>
        <w:jc w:val="both"/>
        <w:rPr>
          <w:rFonts w:ascii="Palatino Linotype" w:eastAsia="Palatino Linotype" w:hAnsi="Palatino Linotype" w:cs="Palatino Linotype"/>
        </w:rPr>
      </w:pPr>
    </w:p>
    <w:p w14:paraId="57BBD075" w14:textId="77777777" w:rsidR="00DA2A6F" w:rsidRPr="001B5B82" w:rsidRDefault="00DA2A6F">
      <w:pPr>
        <w:spacing w:line="360" w:lineRule="auto"/>
        <w:jc w:val="both"/>
        <w:rPr>
          <w:rFonts w:ascii="Palatino Linotype" w:eastAsia="Palatino Linotype" w:hAnsi="Palatino Linotype" w:cs="Palatino Linotype"/>
        </w:rPr>
      </w:pPr>
    </w:p>
    <w:p w14:paraId="5B3906CC" w14:textId="77777777" w:rsidR="00DA2A6F" w:rsidRPr="001B5B82" w:rsidRDefault="00DA2A6F">
      <w:pPr>
        <w:spacing w:line="360" w:lineRule="auto"/>
        <w:jc w:val="both"/>
        <w:rPr>
          <w:rFonts w:ascii="Palatino Linotype" w:eastAsia="Palatino Linotype" w:hAnsi="Palatino Linotype" w:cs="Palatino Linotype"/>
        </w:rPr>
      </w:pPr>
    </w:p>
    <w:p w14:paraId="35C6A856" w14:textId="77777777" w:rsidR="00DA2A6F" w:rsidRPr="001B5B82" w:rsidRDefault="00DA2A6F">
      <w:pPr>
        <w:spacing w:line="360" w:lineRule="auto"/>
        <w:jc w:val="both"/>
        <w:rPr>
          <w:rFonts w:ascii="Palatino Linotype" w:eastAsia="Palatino Linotype" w:hAnsi="Palatino Linotype" w:cs="Palatino Linotype"/>
        </w:rPr>
      </w:pPr>
    </w:p>
    <w:p w14:paraId="2134B81F" w14:textId="77777777" w:rsidR="00DA2A6F" w:rsidRPr="001B5B82" w:rsidRDefault="00DA2A6F">
      <w:pPr>
        <w:spacing w:line="360" w:lineRule="auto"/>
        <w:jc w:val="both"/>
        <w:rPr>
          <w:rFonts w:ascii="Palatino Linotype" w:eastAsia="Palatino Linotype" w:hAnsi="Palatino Linotype" w:cs="Palatino Linotype"/>
        </w:rPr>
      </w:pPr>
    </w:p>
    <w:p w14:paraId="7E883EAC" w14:textId="77777777" w:rsidR="00DA2A6F" w:rsidRPr="001B5B82" w:rsidRDefault="00DA2A6F">
      <w:pPr>
        <w:spacing w:line="360" w:lineRule="auto"/>
        <w:jc w:val="both"/>
        <w:rPr>
          <w:rFonts w:ascii="Palatino Linotype" w:eastAsia="Palatino Linotype" w:hAnsi="Palatino Linotype" w:cs="Palatino Linotype"/>
        </w:rPr>
      </w:pPr>
    </w:p>
    <w:p w14:paraId="4BD93C47" w14:textId="77777777" w:rsidR="00DA2A6F" w:rsidRPr="001B5B82" w:rsidRDefault="00DA2A6F">
      <w:pPr>
        <w:spacing w:line="360" w:lineRule="auto"/>
        <w:jc w:val="both"/>
        <w:rPr>
          <w:rFonts w:ascii="Palatino Linotype" w:eastAsia="Palatino Linotype" w:hAnsi="Palatino Linotype" w:cs="Palatino Linotype"/>
        </w:rPr>
      </w:pPr>
    </w:p>
    <w:p w14:paraId="67EA49EE" w14:textId="77777777" w:rsidR="00DA2A6F" w:rsidRPr="001B5B82" w:rsidRDefault="00DA2A6F">
      <w:pPr>
        <w:spacing w:line="360" w:lineRule="auto"/>
        <w:jc w:val="both"/>
        <w:rPr>
          <w:rFonts w:ascii="Palatino Linotype" w:eastAsia="Palatino Linotype" w:hAnsi="Palatino Linotype" w:cs="Palatino Linotype"/>
        </w:rPr>
      </w:pPr>
    </w:p>
    <w:p w14:paraId="22231D02" w14:textId="77777777" w:rsidR="00DA2A6F" w:rsidRPr="001B5B82" w:rsidRDefault="00DA2A6F">
      <w:pPr>
        <w:spacing w:line="360" w:lineRule="auto"/>
        <w:jc w:val="both"/>
        <w:rPr>
          <w:rFonts w:ascii="Palatino Linotype" w:eastAsia="Palatino Linotype" w:hAnsi="Palatino Linotype" w:cs="Palatino Linotype"/>
        </w:rPr>
      </w:pPr>
    </w:p>
    <w:p w14:paraId="381C9EA2" w14:textId="77777777" w:rsidR="00DA2A6F" w:rsidRPr="001B5B82" w:rsidRDefault="00DA2A6F">
      <w:pPr>
        <w:spacing w:line="360" w:lineRule="auto"/>
        <w:jc w:val="both"/>
        <w:rPr>
          <w:rFonts w:ascii="Palatino Linotype" w:eastAsia="Palatino Linotype" w:hAnsi="Palatino Linotype" w:cs="Palatino Linotype"/>
        </w:rPr>
      </w:pPr>
    </w:p>
    <w:sectPr w:rsidR="00DA2A6F" w:rsidRPr="001B5B82">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316B" w14:textId="77777777" w:rsidR="00FF7BCD" w:rsidRDefault="00FF7BCD">
      <w:r>
        <w:separator/>
      </w:r>
    </w:p>
  </w:endnote>
  <w:endnote w:type="continuationSeparator" w:id="0">
    <w:p w14:paraId="2A9875F8" w14:textId="77777777" w:rsidR="00FF7BCD" w:rsidRDefault="00FF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FB42" w14:textId="77777777" w:rsidR="00DA2A6F" w:rsidRDefault="00B801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3DB8">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3DB8">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097F3A2" w14:textId="77777777" w:rsidR="00DA2A6F" w:rsidRDefault="00DA2A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4D5D" w14:textId="77777777" w:rsidR="00DA2A6F" w:rsidRDefault="00B801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3DB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3DB8">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D4495BE" w14:textId="77777777" w:rsidR="00DA2A6F" w:rsidRDefault="00DA2A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FBA34" w14:textId="77777777" w:rsidR="00FF7BCD" w:rsidRDefault="00FF7BCD">
      <w:r>
        <w:separator/>
      </w:r>
    </w:p>
  </w:footnote>
  <w:footnote w:type="continuationSeparator" w:id="0">
    <w:p w14:paraId="7D2B96B6" w14:textId="77777777" w:rsidR="00FF7BCD" w:rsidRDefault="00FF7BCD">
      <w:r>
        <w:continuationSeparator/>
      </w:r>
    </w:p>
  </w:footnote>
  <w:footnote w:id="1">
    <w:p w14:paraId="36F5F30F" w14:textId="77777777" w:rsidR="00DA2A6F" w:rsidRDefault="00B8010F">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147A465E" w14:textId="77777777" w:rsidR="00DA2A6F" w:rsidRDefault="00B8010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5BB1" w14:textId="77777777" w:rsidR="00DA2A6F" w:rsidRDefault="00B8010F">
    <w:pPr>
      <w:rPr>
        <w:rFonts w:ascii="Cambria" w:eastAsia="Cambria" w:hAnsi="Cambria" w:cs="Cambria"/>
        <w:color w:val="000000"/>
      </w:rPr>
    </w:pPr>
    <w:r>
      <w:rPr>
        <w:noProof/>
      </w:rPr>
      <w:drawing>
        <wp:anchor distT="0" distB="0" distL="0" distR="0" simplePos="0" relativeHeight="251658240" behindDoc="1" locked="0" layoutInCell="1" hidden="0" allowOverlap="1" wp14:anchorId="42E25F45" wp14:editId="016DA54C">
          <wp:simplePos x="0" y="0"/>
          <wp:positionH relativeFrom="column">
            <wp:posOffset>-1080111</wp:posOffset>
          </wp:positionH>
          <wp:positionV relativeFrom="paragraph">
            <wp:posOffset>-488286</wp:posOffset>
          </wp:positionV>
          <wp:extent cx="7809865" cy="10165715"/>
          <wp:effectExtent l="0" t="0" r="0" b="0"/>
          <wp:wrapNone/>
          <wp:docPr id="2140131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DA2A6F" w14:paraId="68B0C3ED" w14:textId="77777777">
      <w:tc>
        <w:tcPr>
          <w:tcW w:w="2489" w:type="dxa"/>
          <w:shd w:val="clear" w:color="auto" w:fill="auto"/>
        </w:tcPr>
        <w:p w14:paraId="053487DF"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B4D1F26" w14:textId="77777777" w:rsidR="00DA2A6F" w:rsidRDefault="000B44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02334/INFOEM/IP/RR/2025</w:t>
          </w:r>
        </w:p>
      </w:tc>
    </w:tr>
    <w:tr w:rsidR="00DA2A6F" w14:paraId="39705FD4" w14:textId="77777777">
      <w:trPr>
        <w:trHeight w:val="228"/>
      </w:trPr>
      <w:tc>
        <w:tcPr>
          <w:tcW w:w="2489" w:type="dxa"/>
          <w:shd w:val="clear" w:color="auto" w:fill="auto"/>
          <w:vAlign w:val="center"/>
        </w:tcPr>
        <w:p w14:paraId="6059541B"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DFC770F" w14:textId="77777777" w:rsidR="00DA2A6F" w:rsidRDefault="00B8010F">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DA2A6F" w14:paraId="241EF046" w14:textId="77777777">
      <w:tc>
        <w:tcPr>
          <w:tcW w:w="2489" w:type="dxa"/>
          <w:shd w:val="clear" w:color="auto" w:fill="auto"/>
          <w:vAlign w:val="center"/>
        </w:tcPr>
        <w:p w14:paraId="271918A4" w14:textId="77777777" w:rsidR="00DA2A6F" w:rsidRDefault="00B8010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08D31024" w14:textId="77777777" w:rsidR="00DA2A6F" w:rsidRDefault="00B801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F473F0" w14:textId="77777777" w:rsidR="00DA2A6F" w:rsidRDefault="00B8010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6E05" w14:textId="77777777" w:rsidR="00DA2A6F" w:rsidRDefault="00B8010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66B162B" wp14:editId="353E6D5A">
          <wp:simplePos x="0" y="0"/>
          <wp:positionH relativeFrom="column">
            <wp:posOffset>-1079489</wp:posOffset>
          </wp:positionH>
          <wp:positionV relativeFrom="paragraph">
            <wp:posOffset>-328919</wp:posOffset>
          </wp:positionV>
          <wp:extent cx="7809865" cy="10165715"/>
          <wp:effectExtent l="0" t="0" r="0" b="0"/>
          <wp:wrapNone/>
          <wp:docPr id="2140131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DA2A6F" w14:paraId="1F5376FB" w14:textId="77777777">
      <w:tc>
        <w:tcPr>
          <w:tcW w:w="2551" w:type="dxa"/>
          <w:shd w:val="clear" w:color="auto" w:fill="auto"/>
          <w:vAlign w:val="center"/>
        </w:tcPr>
        <w:p w14:paraId="128BA623"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2714AE9" w14:textId="77777777" w:rsidR="00DA2A6F" w:rsidRDefault="00B8010F" w:rsidP="000B448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w:t>
          </w:r>
          <w:r w:rsidR="000B448F">
            <w:rPr>
              <w:rFonts w:ascii="Palatino Linotype" w:eastAsia="Palatino Linotype" w:hAnsi="Palatino Linotype" w:cs="Palatino Linotype"/>
              <w:b/>
              <w:sz w:val="22"/>
              <w:szCs w:val="22"/>
            </w:rPr>
            <w:t>34</w:t>
          </w:r>
          <w:r>
            <w:rPr>
              <w:rFonts w:ascii="Palatino Linotype" w:eastAsia="Palatino Linotype" w:hAnsi="Palatino Linotype" w:cs="Palatino Linotype"/>
              <w:b/>
              <w:sz w:val="22"/>
              <w:szCs w:val="22"/>
            </w:rPr>
            <w:t>/INFOEM/IP/RR/2025</w:t>
          </w:r>
        </w:p>
      </w:tc>
    </w:tr>
    <w:tr w:rsidR="00DA2A6F" w14:paraId="2A15BB78" w14:textId="77777777">
      <w:trPr>
        <w:trHeight w:val="130"/>
      </w:trPr>
      <w:tc>
        <w:tcPr>
          <w:tcW w:w="2551" w:type="dxa"/>
          <w:shd w:val="clear" w:color="auto" w:fill="auto"/>
          <w:vAlign w:val="center"/>
        </w:tcPr>
        <w:p w14:paraId="600846B6"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88D918E" w14:textId="1419BCC8" w:rsidR="00DA2A6F" w:rsidRDefault="00F34942">
          <w:pPr>
            <w:ind w:left="-45" w:right="17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 XXXXXXXXX </w:t>
          </w:r>
        </w:p>
      </w:tc>
    </w:tr>
    <w:tr w:rsidR="00DA2A6F" w14:paraId="2F4B286E" w14:textId="77777777">
      <w:trPr>
        <w:trHeight w:val="228"/>
      </w:trPr>
      <w:tc>
        <w:tcPr>
          <w:tcW w:w="2551" w:type="dxa"/>
          <w:shd w:val="clear" w:color="auto" w:fill="auto"/>
          <w:vAlign w:val="center"/>
        </w:tcPr>
        <w:p w14:paraId="1EC5BDFE"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316731F" w14:textId="77777777" w:rsidR="00DA2A6F" w:rsidRDefault="00B8010F">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DA2A6F" w14:paraId="76CBD9E2" w14:textId="77777777">
      <w:tc>
        <w:tcPr>
          <w:tcW w:w="2551" w:type="dxa"/>
          <w:shd w:val="clear" w:color="auto" w:fill="auto"/>
          <w:vAlign w:val="center"/>
        </w:tcPr>
        <w:p w14:paraId="715AD854"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529FC96" w14:textId="77777777" w:rsidR="00DA2A6F" w:rsidRDefault="00B8010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72B9AD" w14:textId="77777777" w:rsidR="00DA2A6F" w:rsidRDefault="00DA2A6F">
    <w:pPr>
      <w:pBdr>
        <w:top w:val="nil"/>
        <w:left w:val="nil"/>
        <w:bottom w:val="nil"/>
        <w:right w:val="nil"/>
        <w:between w:val="nil"/>
      </w:pBdr>
      <w:tabs>
        <w:tab w:val="center" w:pos="4252"/>
        <w:tab w:val="right" w:pos="8504"/>
      </w:tabs>
      <w:rPr>
        <w:rFonts w:ascii="Cambria" w:eastAsia="Cambria" w:hAnsi="Cambria" w:cs="Cambria"/>
        <w:color w:val="000000"/>
      </w:rPr>
    </w:pPr>
  </w:p>
  <w:p w14:paraId="1D49DE04" w14:textId="77777777" w:rsidR="00DA2A6F" w:rsidRDefault="00DA2A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3AD5"/>
    <w:multiLevelType w:val="multilevel"/>
    <w:tmpl w:val="74BA7BC4"/>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A6F"/>
    <w:rsid w:val="00033DB8"/>
    <w:rsid w:val="000B448F"/>
    <w:rsid w:val="00153D57"/>
    <w:rsid w:val="001B5B82"/>
    <w:rsid w:val="001D7C20"/>
    <w:rsid w:val="002F1E76"/>
    <w:rsid w:val="00484BC3"/>
    <w:rsid w:val="00632298"/>
    <w:rsid w:val="00651E4F"/>
    <w:rsid w:val="00986CF5"/>
    <w:rsid w:val="009A5E3A"/>
    <w:rsid w:val="009E5376"/>
    <w:rsid w:val="00A813CF"/>
    <w:rsid w:val="00B2000B"/>
    <w:rsid w:val="00B767DB"/>
    <w:rsid w:val="00B8010F"/>
    <w:rsid w:val="00CC53EF"/>
    <w:rsid w:val="00DA2A6F"/>
    <w:rsid w:val="00E14749"/>
    <w:rsid w:val="00EE5B24"/>
    <w:rsid w:val="00F34942"/>
    <w:rsid w:val="00FF7B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0A63E"/>
  <w15:docId w15:val="{5134220B-C3E3-4BE8-B76C-6E3E4283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Lw1gAiH9L4GYBSO9M48DMNkPQ==">CgMxLjAyCWguMWZvYjl0ZTIIaC5namRneHMyCWguM2R5NnZrbTIJaC4yczhleW8xMghoLnR5amN3dDIJaC4xN2RwOHZ1Mg5oLmltZG92YW0wb3NjcTIJaC4zcmRjcmpuMgloLjF0M2g1c2Y4AHIhMVZ3SUNLR0dJeVVLLXdpTEQ5VXp3V1NSMl9VMUh2MFFx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11687</Words>
  <Characters>64283</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2025-05-16T18:18:00Z</cp:lastPrinted>
  <dcterms:created xsi:type="dcterms:W3CDTF">2025-05-29T17:19:00Z</dcterms:created>
  <dcterms:modified xsi:type="dcterms:W3CDTF">2025-05-29T17:19:00Z</dcterms:modified>
</cp:coreProperties>
</file>