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06EF" w:rsidRPr="004F2E39" w:rsidRDefault="00490329">
      <w:pPr>
        <w:spacing w:before="240" w:after="240" w:line="360" w:lineRule="auto"/>
        <w:jc w:val="both"/>
        <w:rPr>
          <w:rFonts w:ascii="Palatino Linotype" w:eastAsia="Palatino Linotype" w:hAnsi="Palatino Linotype" w:cs="Palatino Linotype"/>
          <w:b/>
          <w:bCs/>
          <w:sz w:val="22"/>
          <w:szCs w:val="22"/>
        </w:rPr>
      </w:pPr>
      <w:bookmarkStart w:id="0" w:name="_heading=h.1fob9te" w:colFirst="0" w:colLast="0"/>
      <w:bookmarkEnd w:id="0"/>
      <w:r w:rsidRPr="004F2E39">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w:t>
      </w:r>
      <w:r w:rsidRPr="004F2E39">
        <w:rPr>
          <w:rFonts w:ascii="Palatino Linotype" w:eastAsia="Palatino Linotype" w:hAnsi="Palatino Linotype" w:cs="Palatino Linotype"/>
          <w:color w:val="000000"/>
          <w:sz w:val="22"/>
          <w:szCs w:val="22"/>
        </w:rPr>
        <w:t xml:space="preserve">México, </w:t>
      </w:r>
      <w:r w:rsidRPr="004F2E39">
        <w:rPr>
          <w:rFonts w:ascii="Palatino Linotype" w:eastAsia="Palatino Linotype" w:hAnsi="Palatino Linotype" w:cs="Palatino Linotype"/>
          <w:b/>
          <w:bCs/>
          <w:color w:val="000000"/>
          <w:sz w:val="22"/>
          <w:szCs w:val="22"/>
        </w:rPr>
        <w:t xml:space="preserve">a veinte de noviembre de </w:t>
      </w:r>
      <w:r w:rsidRPr="004F2E39">
        <w:rPr>
          <w:rFonts w:ascii="Palatino Linotype" w:eastAsia="Palatino Linotype" w:hAnsi="Palatino Linotype" w:cs="Palatino Linotype"/>
          <w:b/>
          <w:bCs/>
          <w:sz w:val="22"/>
          <w:szCs w:val="22"/>
        </w:rPr>
        <w:t>dos mil veinticinco</w:t>
      </w:r>
      <w:r w:rsidRPr="004F2E39">
        <w:rPr>
          <w:rFonts w:ascii="Palatino Linotype" w:eastAsia="Palatino Linotype" w:hAnsi="Palatino Linotype" w:cs="Palatino Linotype"/>
          <w:sz w:val="22"/>
          <w:szCs w:val="22"/>
        </w:rPr>
        <w:t xml:space="preserve">. </w:t>
      </w:r>
    </w:p>
    <w:p w:rsidR="00DE06EF" w:rsidRPr="004F2E39" w:rsidRDefault="00490329">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4F2E39">
        <w:rPr>
          <w:rFonts w:ascii="Palatino Linotype" w:eastAsia="Palatino Linotype" w:hAnsi="Palatino Linotype" w:cs="Palatino Linotype"/>
          <w:b/>
          <w:bCs/>
          <w:sz w:val="22"/>
          <w:szCs w:val="22"/>
        </w:rPr>
        <w:t>Visto</w:t>
      </w:r>
      <w:r w:rsidRPr="004F2E39">
        <w:rPr>
          <w:rFonts w:ascii="Palatino Linotype" w:eastAsia="Palatino Linotype" w:hAnsi="Palatino Linotype" w:cs="Palatino Linotype"/>
          <w:sz w:val="22"/>
          <w:szCs w:val="22"/>
        </w:rPr>
        <w:t xml:space="preserve"> el expediente formado con motivo del recurso de revisión </w:t>
      </w:r>
      <w:r w:rsidRPr="004F2E39">
        <w:rPr>
          <w:rFonts w:ascii="Palatino Linotype" w:eastAsia="Palatino Linotype" w:hAnsi="Palatino Linotype" w:cs="Palatino Linotype"/>
          <w:b/>
          <w:bCs/>
          <w:color w:val="000000"/>
          <w:sz w:val="22"/>
          <w:szCs w:val="22"/>
        </w:rPr>
        <w:t>11409/INFOEM</w:t>
      </w:r>
      <w:r w:rsidRPr="004F2E39">
        <w:rPr>
          <w:rFonts w:ascii="Palatino Linotype" w:eastAsia="Palatino Linotype" w:hAnsi="Palatino Linotype" w:cs="Palatino Linotype"/>
          <w:b/>
          <w:bCs/>
          <w:sz w:val="22"/>
          <w:szCs w:val="22"/>
        </w:rPr>
        <w:t>/IP/RR/2025</w:t>
      </w:r>
      <w:r w:rsidRPr="004F2E39">
        <w:rPr>
          <w:rFonts w:ascii="Palatino Linotype" w:eastAsia="Palatino Linotype" w:hAnsi="Palatino Linotype" w:cs="Palatino Linotype"/>
          <w:sz w:val="22"/>
          <w:szCs w:val="22"/>
        </w:rPr>
        <w:t xml:space="preserve">, interpuesto por </w:t>
      </w:r>
      <w:r w:rsidR="00C72BB1" w:rsidRPr="00C72BB1">
        <w:rPr>
          <w:rFonts w:ascii="Palatino Linotype" w:eastAsia="Palatino Linotype" w:hAnsi="Palatino Linotype" w:cs="Palatino Linotype"/>
          <w:b/>
          <w:bCs/>
          <w:sz w:val="22"/>
          <w:szCs w:val="22"/>
        </w:rPr>
        <w:t>XXXXXXX XXXXXX</w:t>
      </w:r>
      <w:r w:rsidRPr="00C72BB1">
        <w:rPr>
          <w:rFonts w:ascii="Palatino Linotype" w:eastAsia="Palatino Linotype" w:hAnsi="Palatino Linotype" w:cs="Palatino Linotype"/>
          <w:b/>
          <w:bCs/>
          <w:sz w:val="22"/>
          <w:szCs w:val="22"/>
        </w:rPr>
        <w:t>,</w:t>
      </w:r>
      <w:r w:rsidRPr="004F2E39">
        <w:rPr>
          <w:rFonts w:ascii="Palatino Linotype" w:eastAsia="Palatino Linotype" w:hAnsi="Palatino Linotype" w:cs="Palatino Linotype"/>
          <w:sz w:val="22"/>
          <w:szCs w:val="22"/>
        </w:rPr>
        <w:t xml:space="preserve"> en lo sucesivo</w:t>
      </w:r>
      <w:r w:rsidRPr="004F2E39">
        <w:rPr>
          <w:rFonts w:ascii="Palatino Linotype" w:eastAsia="Palatino Linotype" w:hAnsi="Palatino Linotype" w:cs="Palatino Linotype"/>
          <w:b/>
          <w:bCs/>
          <w:sz w:val="22"/>
          <w:szCs w:val="22"/>
        </w:rPr>
        <w:t xml:space="preserve"> la parte</w:t>
      </w:r>
      <w:r w:rsidRPr="004F2E39">
        <w:rPr>
          <w:rFonts w:ascii="Palatino Linotype" w:eastAsia="Palatino Linotype" w:hAnsi="Palatino Linotype" w:cs="Palatino Linotype"/>
          <w:sz w:val="22"/>
          <w:szCs w:val="22"/>
        </w:rPr>
        <w:t xml:space="preserve"> </w:t>
      </w:r>
      <w:r w:rsidRPr="004F2E39">
        <w:rPr>
          <w:rFonts w:ascii="Palatino Linotype" w:eastAsia="Palatino Linotype" w:hAnsi="Palatino Linotype" w:cs="Palatino Linotype"/>
          <w:b/>
          <w:bCs/>
          <w:sz w:val="22"/>
          <w:szCs w:val="22"/>
        </w:rPr>
        <w:t>Recurrente,</w:t>
      </w:r>
      <w:r w:rsidRPr="004F2E39">
        <w:rPr>
          <w:rFonts w:ascii="Palatino Linotype" w:eastAsia="Palatino Linotype" w:hAnsi="Palatino Linotype" w:cs="Palatino Linotype"/>
          <w:sz w:val="22"/>
          <w:szCs w:val="22"/>
        </w:rPr>
        <w:t xml:space="preserve"> en contra de la respuesta a su solicitud por parte del</w:t>
      </w:r>
      <w:r w:rsidRPr="004F2E39">
        <w:t xml:space="preserve"> </w:t>
      </w:r>
      <w:r w:rsidRPr="004F2E39">
        <w:rPr>
          <w:rFonts w:ascii="Palatino Linotype" w:eastAsia="Palatino Linotype" w:hAnsi="Palatino Linotype" w:cs="Palatino Linotype"/>
          <w:b/>
          <w:bCs/>
          <w:sz w:val="22"/>
          <w:szCs w:val="22"/>
        </w:rPr>
        <w:t xml:space="preserve">Ayuntamiento de Calimaya, </w:t>
      </w:r>
      <w:r w:rsidRPr="004F2E39">
        <w:rPr>
          <w:rFonts w:ascii="Palatino Linotype" w:eastAsia="Palatino Linotype" w:hAnsi="Palatino Linotype" w:cs="Palatino Linotype"/>
          <w:sz w:val="22"/>
          <w:szCs w:val="22"/>
        </w:rPr>
        <w:t xml:space="preserve">en lo sucesivo el </w:t>
      </w:r>
      <w:r w:rsidRPr="004F2E39">
        <w:rPr>
          <w:rFonts w:ascii="Palatino Linotype" w:eastAsia="Palatino Linotype" w:hAnsi="Palatino Linotype" w:cs="Palatino Linotype"/>
          <w:b/>
          <w:bCs/>
          <w:sz w:val="22"/>
          <w:szCs w:val="22"/>
        </w:rPr>
        <w:t xml:space="preserve">Sujeto Obligado, </w:t>
      </w:r>
      <w:r w:rsidRPr="004F2E39">
        <w:rPr>
          <w:rFonts w:ascii="Palatino Linotype" w:eastAsia="Palatino Linotype" w:hAnsi="Palatino Linotype" w:cs="Palatino Linotype"/>
          <w:sz w:val="22"/>
          <w:szCs w:val="22"/>
        </w:rPr>
        <w:t xml:space="preserve">se procede a dictar la presente resolución con base en los siguientes: </w:t>
      </w:r>
    </w:p>
    <w:p w:rsidR="00DE06EF" w:rsidRPr="004F2E39" w:rsidRDefault="00490329">
      <w:pPr>
        <w:spacing w:before="240" w:after="240" w:line="360" w:lineRule="auto"/>
        <w:jc w:val="center"/>
        <w:rPr>
          <w:rFonts w:ascii="Palatino Linotype" w:eastAsia="Palatino Linotype" w:hAnsi="Palatino Linotype" w:cs="Palatino Linotype"/>
          <w:b/>
          <w:bCs/>
          <w:sz w:val="22"/>
          <w:szCs w:val="22"/>
        </w:rPr>
      </w:pPr>
      <w:r w:rsidRPr="004F2E39">
        <w:rPr>
          <w:rFonts w:ascii="Palatino Linotype" w:eastAsia="Palatino Linotype" w:hAnsi="Palatino Linotype" w:cs="Palatino Linotype"/>
          <w:b/>
          <w:bCs/>
          <w:sz w:val="22"/>
          <w:szCs w:val="22"/>
        </w:rPr>
        <w:t>I. A N T E C E D E N T E S</w:t>
      </w:r>
    </w:p>
    <w:p w:rsidR="00DE06EF" w:rsidRPr="004F2E39" w:rsidRDefault="00490329">
      <w:pPr>
        <w:spacing w:before="240" w:after="240" w:line="360" w:lineRule="auto"/>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b/>
          <w:bCs/>
          <w:sz w:val="22"/>
          <w:szCs w:val="22"/>
        </w:rPr>
        <w:t>1. Solicitud de acceso a la información.</w:t>
      </w:r>
      <w:r w:rsidRPr="004F2E39">
        <w:rPr>
          <w:rFonts w:ascii="Palatino Linotype" w:eastAsia="Palatino Linotype" w:hAnsi="Palatino Linotype" w:cs="Palatino Linotype"/>
          <w:sz w:val="22"/>
          <w:szCs w:val="22"/>
        </w:rPr>
        <w:t xml:space="preserve"> El </w:t>
      </w:r>
      <w:r w:rsidRPr="004F2E39">
        <w:rPr>
          <w:rFonts w:ascii="Palatino Linotype" w:eastAsia="Palatino Linotype" w:hAnsi="Palatino Linotype" w:cs="Palatino Linotype"/>
          <w:b/>
          <w:bCs/>
          <w:sz w:val="22"/>
          <w:szCs w:val="22"/>
        </w:rPr>
        <w:t>diez de septiembre de dos mil veinticinco,</w:t>
      </w:r>
      <w:r w:rsidRPr="004F2E39">
        <w:rPr>
          <w:rFonts w:ascii="Palatino Linotype" w:eastAsia="Palatino Linotype" w:hAnsi="Palatino Linotype" w:cs="Palatino Linotype"/>
          <w:sz w:val="22"/>
          <w:szCs w:val="22"/>
        </w:rPr>
        <w:t xml:space="preserve"> </w:t>
      </w:r>
      <w:r w:rsidRPr="004F2E39">
        <w:rPr>
          <w:rFonts w:ascii="Palatino Linotype" w:eastAsia="Palatino Linotype" w:hAnsi="Palatino Linotype" w:cs="Palatino Linotype"/>
          <w:b/>
          <w:bCs/>
          <w:sz w:val="22"/>
          <w:szCs w:val="22"/>
        </w:rPr>
        <w:t>la parte</w:t>
      </w:r>
      <w:r w:rsidRPr="004F2E39">
        <w:rPr>
          <w:rFonts w:ascii="Palatino Linotype" w:eastAsia="Palatino Linotype" w:hAnsi="Palatino Linotype" w:cs="Palatino Linotype"/>
          <w:sz w:val="22"/>
          <w:szCs w:val="22"/>
        </w:rPr>
        <w:t xml:space="preserve"> </w:t>
      </w:r>
      <w:r w:rsidRPr="004F2E39">
        <w:rPr>
          <w:rFonts w:ascii="Palatino Linotype" w:eastAsia="Palatino Linotype" w:hAnsi="Palatino Linotype" w:cs="Palatino Linotype"/>
          <w:b/>
          <w:bCs/>
          <w:sz w:val="22"/>
          <w:szCs w:val="22"/>
        </w:rPr>
        <w:t xml:space="preserve">Recurrente </w:t>
      </w:r>
      <w:r w:rsidRPr="004F2E39">
        <w:rPr>
          <w:rFonts w:ascii="Palatino Linotype" w:eastAsia="Palatino Linotype" w:hAnsi="Palatino Linotype" w:cs="Palatino Linotype"/>
          <w:color w:val="000000"/>
          <w:sz w:val="22"/>
          <w:szCs w:val="22"/>
        </w:rPr>
        <w:t xml:space="preserve">a través del Sistema de Acceso a la Información Mexiquense, en lo subsecuente el SAIMEX, formuló ante el </w:t>
      </w:r>
      <w:r w:rsidRPr="004F2E39">
        <w:rPr>
          <w:rFonts w:ascii="Palatino Linotype" w:eastAsia="Palatino Linotype" w:hAnsi="Palatino Linotype" w:cs="Palatino Linotype"/>
          <w:b/>
          <w:bCs/>
          <w:color w:val="000000"/>
          <w:sz w:val="22"/>
          <w:szCs w:val="22"/>
        </w:rPr>
        <w:t>Sujeto Obligado</w:t>
      </w:r>
      <w:r w:rsidRPr="004F2E39">
        <w:rPr>
          <w:rFonts w:ascii="Palatino Linotype" w:eastAsia="Palatino Linotype" w:hAnsi="Palatino Linotype" w:cs="Palatino Linotype"/>
          <w:color w:val="000000"/>
          <w:sz w:val="22"/>
          <w:szCs w:val="22"/>
        </w:rPr>
        <w:t>, la solicitud de acceso a la información pública a la que se le asignó el número</w:t>
      </w:r>
      <w:r w:rsidRPr="004F2E39">
        <w:t xml:space="preserve"> </w:t>
      </w:r>
      <w:r w:rsidRPr="004F2E39">
        <w:rPr>
          <w:rFonts w:ascii="Palatino Linotype" w:eastAsia="Palatino Linotype" w:hAnsi="Palatino Linotype" w:cs="Palatino Linotype"/>
          <w:b/>
          <w:bCs/>
          <w:color w:val="000000"/>
          <w:sz w:val="22"/>
          <w:szCs w:val="22"/>
        </w:rPr>
        <w:t>00456/CALIMAYA/IP/2025</w:t>
      </w:r>
      <w:r w:rsidRPr="004F2E39">
        <w:rPr>
          <w:rFonts w:ascii="Palatino Linotype" w:eastAsia="Palatino Linotype" w:hAnsi="Palatino Linotype" w:cs="Palatino Linotype"/>
          <w:sz w:val="22"/>
          <w:szCs w:val="22"/>
        </w:rPr>
        <w:t xml:space="preserve">; mediante la cual requirió la información siguiente: </w:t>
      </w:r>
    </w:p>
    <w:p w:rsidR="00DE06EF" w:rsidRPr="004F2E39" w:rsidRDefault="00490329">
      <w:pPr>
        <w:spacing w:before="240" w:after="240"/>
        <w:ind w:left="567" w:right="474"/>
        <w:jc w:val="both"/>
        <w:rPr>
          <w:rFonts w:ascii="Palatino Linotype" w:eastAsia="Palatino Linotype" w:hAnsi="Palatino Linotype" w:cs="Palatino Linotype"/>
          <w:i/>
          <w:iCs/>
          <w:sz w:val="22"/>
          <w:szCs w:val="22"/>
        </w:rPr>
      </w:pPr>
      <w:bookmarkStart w:id="2" w:name="_heading=h.gjdgxs" w:colFirst="0" w:colLast="0"/>
      <w:bookmarkEnd w:id="2"/>
      <w:r w:rsidRPr="004F2E39">
        <w:rPr>
          <w:rFonts w:ascii="Palatino Linotype" w:eastAsia="Palatino Linotype" w:hAnsi="Palatino Linotype" w:cs="Palatino Linotype"/>
          <w:i/>
          <w:iCs/>
          <w:sz w:val="22"/>
          <w:szCs w:val="22"/>
        </w:rPr>
        <w:t xml:space="preserve">“Información pública de que cargo ocupaba y que sueldo mensual percibía Rosa Karla Romero Mendoza en el año 2021, 2020 y 2019 en la administración de Calimaya.” (Sic) </w:t>
      </w:r>
    </w:p>
    <w:p w:rsidR="00DE06EF" w:rsidRPr="004F2E39" w:rsidRDefault="00490329">
      <w:pPr>
        <w:spacing w:before="240" w:after="240" w:line="360" w:lineRule="auto"/>
        <w:ind w:right="49"/>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b/>
          <w:bCs/>
          <w:sz w:val="22"/>
          <w:szCs w:val="22"/>
        </w:rPr>
        <w:t>Modalidad de Entrega:</w:t>
      </w:r>
      <w:r w:rsidRPr="004F2E39">
        <w:rPr>
          <w:rFonts w:ascii="Palatino Linotype" w:eastAsia="Palatino Linotype" w:hAnsi="Palatino Linotype" w:cs="Palatino Linotype"/>
          <w:sz w:val="22"/>
          <w:szCs w:val="22"/>
        </w:rPr>
        <w:t xml:space="preserve"> a través del Sistema de Acceso a la Información Mexiquense (SAIMEX).</w:t>
      </w:r>
    </w:p>
    <w:p w:rsidR="00DE06EF" w:rsidRPr="004F2E39" w:rsidRDefault="00490329">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bCs/>
          <w:color w:val="000000"/>
          <w:sz w:val="22"/>
          <w:szCs w:val="22"/>
        </w:rPr>
      </w:pPr>
      <w:bookmarkStart w:id="3" w:name="_heading=h.3dy6vkm" w:colFirst="0" w:colLast="0"/>
      <w:bookmarkEnd w:id="3"/>
      <w:r w:rsidRPr="004F2E39">
        <w:rPr>
          <w:rFonts w:ascii="Palatino Linotype" w:eastAsia="Palatino Linotype" w:hAnsi="Palatino Linotype" w:cs="Palatino Linotype"/>
          <w:b/>
          <w:bCs/>
          <w:color w:val="000000"/>
          <w:sz w:val="22"/>
          <w:szCs w:val="22"/>
        </w:rPr>
        <w:t>2.</w:t>
      </w:r>
      <w:r w:rsidRPr="004F2E39">
        <w:t xml:space="preserve"> </w:t>
      </w:r>
      <w:r w:rsidRPr="004F2E39">
        <w:rPr>
          <w:rFonts w:ascii="Palatino Linotype" w:eastAsia="Palatino Linotype" w:hAnsi="Palatino Linotype" w:cs="Palatino Linotype"/>
          <w:b/>
          <w:bCs/>
          <w:color w:val="000000"/>
          <w:sz w:val="22"/>
          <w:szCs w:val="22"/>
        </w:rPr>
        <w:t xml:space="preserve">Respuesta. </w:t>
      </w:r>
      <w:r w:rsidRPr="004F2E39">
        <w:rPr>
          <w:rFonts w:ascii="Palatino Linotype" w:eastAsia="Palatino Linotype" w:hAnsi="Palatino Linotype" w:cs="Palatino Linotype"/>
          <w:sz w:val="22"/>
          <w:szCs w:val="22"/>
        </w:rPr>
        <w:t xml:space="preserve">El </w:t>
      </w:r>
      <w:r w:rsidRPr="004F2E39">
        <w:rPr>
          <w:rFonts w:ascii="Palatino Linotype" w:eastAsia="Palatino Linotype" w:hAnsi="Palatino Linotype" w:cs="Palatino Linotype"/>
          <w:b/>
          <w:bCs/>
          <w:sz w:val="22"/>
          <w:szCs w:val="22"/>
        </w:rPr>
        <w:t>treinta de septiembre de dos mil veinticinco</w:t>
      </w:r>
      <w:r w:rsidRPr="004F2E39">
        <w:rPr>
          <w:rFonts w:ascii="Palatino Linotype" w:eastAsia="Palatino Linotype" w:hAnsi="Palatino Linotype" w:cs="Palatino Linotype"/>
          <w:color w:val="000000"/>
          <w:sz w:val="22"/>
          <w:szCs w:val="22"/>
        </w:rPr>
        <w:t xml:space="preserve">, el </w:t>
      </w:r>
      <w:r w:rsidRPr="004F2E39">
        <w:rPr>
          <w:rFonts w:ascii="Palatino Linotype" w:eastAsia="Palatino Linotype" w:hAnsi="Palatino Linotype" w:cs="Palatino Linotype"/>
          <w:b/>
          <w:bCs/>
          <w:color w:val="000000"/>
          <w:sz w:val="22"/>
          <w:szCs w:val="22"/>
        </w:rPr>
        <w:t xml:space="preserve">Sujeto Obligado </w:t>
      </w:r>
      <w:r w:rsidRPr="004F2E39">
        <w:rPr>
          <w:rFonts w:ascii="Palatino Linotype" w:eastAsia="Palatino Linotype" w:hAnsi="Palatino Linotype" w:cs="Palatino Linotype"/>
          <w:color w:val="000000"/>
          <w:sz w:val="22"/>
          <w:szCs w:val="22"/>
        </w:rPr>
        <w:t>envió su respuesta a la solicitud de acceso a la información a través de SAIMEX, sustancialmente en los términos siguientes:</w:t>
      </w:r>
    </w:p>
    <w:p w:rsidR="00DE06EF" w:rsidRPr="004F2E39" w:rsidRDefault="00490329">
      <w:pPr>
        <w:spacing w:before="240" w:after="240"/>
        <w:ind w:left="567" w:right="902"/>
        <w:jc w:val="both"/>
        <w:rPr>
          <w:rFonts w:ascii="Palatino Linotype" w:eastAsia="Palatino Linotype" w:hAnsi="Palatino Linotype" w:cs="Palatino Linotype"/>
          <w:i/>
          <w:iCs/>
          <w:sz w:val="22"/>
          <w:szCs w:val="22"/>
        </w:rPr>
      </w:pPr>
      <w:r w:rsidRPr="004F2E39">
        <w:rPr>
          <w:rFonts w:ascii="Palatino Linotype" w:eastAsia="Palatino Linotype" w:hAnsi="Palatino Linotype" w:cs="Palatino Linotype"/>
          <w:i/>
          <w:iCs/>
          <w:sz w:val="22"/>
          <w:szCs w:val="22"/>
        </w:rPr>
        <w:lastRenderedPageBreak/>
        <w:t xml:space="preserve">“ESTIMADO </w:t>
      </w:r>
      <w:r w:rsidR="00C72BB1">
        <w:rPr>
          <w:rFonts w:ascii="Palatino Linotype" w:eastAsia="Palatino Linotype" w:hAnsi="Palatino Linotype" w:cs="Palatino Linotype"/>
          <w:i/>
          <w:iCs/>
          <w:sz w:val="22"/>
          <w:szCs w:val="22"/>
        </w:rPr>
        <w:t>XXXXXXXXXXX</w:t>
      </w:r>
      <w:r w:rsidRPr="004F2E39">
        <w:rPr>
          <w:rFonts w:ascii="Palatino Linotype" w:eastAsia="Palatino Linotype" w:hAnsi="Palatino Linotype" w:cs="Palatino Linotype"/>
          <w:i/>
          <w:iCs/>
          <w:sz w:val="22"/>
          <w:szCs w:val="22"/>
        </w:rPr>
        <w:t>: EN ATENCIÓN A SU SOLICITUD DE INFORMACIÓN CON NÚMERO DE FOLIO 00456/CALIMAYA/IP/2025 POR ESTE MEDIO ME PERMITO HACER DE SU CONOCIMIENTO QUE SU SOLICITUD FUE TURNADA AL SERVIDOR PÚBLICO HABILITADO QUE A CONTINUACIÓN SE ENLISTAN, QUIEN EMITIÓ LA SIGUIENTE RESPUESTA Y DOCUMENTOS ADJUNTOS QUE SE ENTREGAN A TRAVÉS DEL SAIMEX, DE CONFORMIDAD A LO ESTABLECIDO EN LOS ARTÍCULOS 53 FRACCIÓN II Y IV, 59, 158, 159, 161, 162 Y 163 DE LA LEY DE TRANSPARENCIA Y ACCESO A LA INFORMACIÓN PÚBLICA DEL ESTADO DE MÉXICO Y MUNICIPIOS: “SE HACE DEL CONOCIMIENTO DEL SOLICITANTE QUE MEDIANTE EL OFICIO NÚMERO PMC/TM/0739/2025 (TESORERÍA MUNICIPAL), SE DIO RESPUESTA A LA SOLICITUD CON NÚMERO DE FOLIO 00456/CALIMAYA/IP/2025, SE ADJUNTAN EL OFICIO DE RESPUESTA, PARA MAYOR REFERENCIA.” SIN OTRO ASUNTO, DEJANDO A SALVO SUS PRERROGATIVAS DE INCONFORMIDAD ESTABLECIDAS EN EL TÍTULO OCTAVO DE LA LEY DE TRANSPARENCIA Y ACCESO A LA INFORMACIÓN PÚBLICA DEL ESTADO DE MÉXICO Y MUNICIPIOS, INFORMANDO QUE CUENTA, EN SU CASO, CON 15 DÍAS PARA PROMOVERLA, QUEDO DE USTED.” (Sic)</w:t>
      </w:r>
    </w:p>
    <w:p w:rsidR="00DE06EF" w:rsidRPr="004F2E39" w:rsidRDefault="0049032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 xml:space="preserve">Adjunto a la respuesta, el </w:t>
      </w:r>
      <w:r w:rsidRPr="004F2E39">
        <w:rPr>
          <w:rFonts w:ascii="Palatino Linotype" w:eastAsia="Palatino Linotype" w:hAnsi="Palatino Linotype" w:cs="Palatino Linotype"/>
          <w:b/>
          <w:bCs/>
          <w:sz w:val="22"/>
          <w:szCs w:val="22"/>
        </w:rPr>
        <w:t xml:space="preserve">Sujeto Obligado </w:t>
      </w:r>
      <w:r w:rsidRPr="004F2E39">
        <w:rPr>
          <w:rFonts w:ascii="Palatino Linotype" w:eastAsia="Palatino Linotype" w:hAnsi="Palatino Linotype" w:cs="Palatino Linotype"/>
          <w:sz w:val="22"/>
          <w:szCs w:val="22"/>
        </w:rPr>
        <w:t>hizo entrega de la siguiente información:</w:t>
      </w:r>
    </w:p>
    <w:p w:rsidR="00DE06EF" w:rsidRPr="004F2E39" w:rsidRDefault="00DE06E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DE06EF" w:rsidRPr="004F2E39" w:rsidRDefault="00490329">
      <w:pPr>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color w:val="000000"/>
          <w:sz w:val="22"/>
          <w:szCs w:val="22"/>
        </w:rPr>
      </w:pPr>
      <w:r w:rsidRPr="004F2E39">
        <w:rPr>
          <w:rFonts w:ascii="Palatino Linotype" w:eastAsia="Palatino Linotype" w:hAnsi="Palatino Linotype" w:cs="Palatino Linotype"/>
          <w:color w:val="000000"/>
          <w:sz w:val="22"/>
          <w:szCs w:val="22"/>
        </w:rPr>
        <w:t>Oficio de 30 de septiembre de 2025, a través del cual el Tesorero Municipal informó que después de una búsqueda exhaustiva en los archivos físicos y digitales no se encontró información alguna a nombre de la persona referida en la solicitud de información.</w:t>
      </w:r>
    </w:p>
    <w:p w:rsidR="00DE06EF" w:rsidRPr="004F2E39" w:rsidRDefault="00DE06EF">
      <w:pPr>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p>
    <w:p w:rsidR="00DE06EF" w:rsidRPr="004F2E39" w:rsidRDefault="00490329">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4F2E39">
        <w:rPr>
          <w:rFonts w:ascii="Palatino Linotype" w:eastAsia="Palatino Linotype" w:hAnsi="Palatino Linotype" w:cs="Palatino Linotype"/>
          <w:b/>
          <w:bCs/>
          <w:sz w:val="22"/>
          <w:szCs w:val="22"/>
        </w:rPr>
        <w:t xml:space="preserve">3. Interposición del recurso de revisión. </w:t>
      </w:r>
      <w:r w:rsidRPr="004F2E39">
        <w:rPr>
          <w:rFonts w:ascii="Palatino Linotype" w:eastAsia="Palatino Linotype" w:hAnsi="Palatino Linotype" w:cs="Palatino Linotype"/>
          <w:sz w:val="22"/>
          <w:szCs w:val="22"/>
        </w:rPr>
        <w:t xml:space="preserve">Inconforme con los términos de la respuesta emitida por parte del </w:t>
      </w:r>
      <w:r w:rsidRPr="004F2E39">
        <w:rPr>
          <w:rFonts w:ascii="Palatino Linotype" w:eastAsia="Palatino Linotype" w:hAnsi="Palatino Linotype" w:cs="Palatino Linotype"/>
          <w:b/>
          <w:bCs/>
          <w:sz w:val="22"/>
          <w:szCs w:val="22"/>
        </w:rPr>
        <w:t>Sujeto Obligado</w:t>
      </w:r>
      <w:r w:rsidRPr="004F2E39">
        <w:rPr>
          <w:rFonts w:ascii="Palatino Linotype" w:eastAsia="Palatino Linotype" w:hAnsi="Palatino Linotype" w:cs="Palatino Linotype"/>
          <w:sz w:val="22"/>
          <w:szCs w:val="22"/>
        </w:rPr>
        <w:t>, el</w:t>
      </w:r>
      <w:r w:rsidRPr="004F2E39">
        <w:rPr>
          <w:rFonts w:ascii="Palatino Linotype" w:eastAsia="Palatino Linotype" w:hAnsi="Palatino Linotype" w:cs="Palatino Linotype"/>
          <w:b/>
          <w:bCs/>
          <w:sz w:val="22"/>
          <w:szCs w:val="22"/>
        </w:rPr>
        <w:t xml:space="preserve"> cuatro de octubre de dos mil veinticinco,</w:t>
      </w:r>
      <w:r w:rsidRPr="004F2E39">
        <w:rPr>
          <w:rFonts w:ascii="Palatino Linotype" w:eastAsia="Palatino Linotype" w:hAnsi="Palatino Linotype" w:cs="Palatino Linotype"/>
          <w:sz w:val="22"/>
          <w:szCs w:val="22"/>
        </w:rPr>
        <w:t xml:space="preserve"> </w:t>
      </w:r>
      <w:r w:rsidRPr="004F2E39">
        <w:rPr>
          <w:rFonts w:ascii="Palatino Linotype" w:eastAsia="Palatino Linotype" w:hAnsi="Palatino Linotype" w:cs="Palatino Linotype"/>
          <w:b/>
          <w:bCs/>
          <w:sz w:val="22"/>
          <w:szCs w:val="22"/>
        </w:rPr>
        <w:t>la parte</w:t>
      </w:r>
      <w:r w:rsidRPr="004F2E39">
        <w:rPr>
          <w:rFonts w:ascii="Palatino Linotype" w:eastAsia="Palatino Linotype" w:hAnsi="Palatino Linotype" w:cs="Palatino Linotype"/>
          <w:sz w:val="22"/>
          <w:szCs w:val="22"/>
        </w:rPr>
        <w:t xml:space="preserve"> </w:t>
      </w:r>
      <w:r w:rsidRPr="004F2E39">
        <w:rPr>
          <w:rFonts w:ascii="Palatino Linotype" w:eastAsia="Palatino Linotype" w:hAnsi="Palatino Linotype" w:cs="Palatino Linotype"/>
          <w:b/>
          <w:bCs/>
          <w:sz w:val="22"/>
          <w:szCs w:val="22"/>
        </w:rPr>
        <w:t>Recurrente</w:t>
      </w:r>
      <w:r w:rsidRPr="004F2E39">
        <w:rPr>
          <w:rFonts w:ascii="Palatino Linotype" w:eastAsia="Palatino Linotype" w:hAnsi="Palatino Linotype" w:cs="Palatino Linotype"/>
          <w:sz w:val="22"/>
          <w:szCs w:val="22"/>
        </w:rPr>
        <w:t xml:space="preserve"> interpuso el recurso de revisión a través de </w:t>
      </w:r>
      <w:r w:rsidRPr="004F2E39">
        <w:rPr>
          <w:rFonts w:ascii="Palatino Linotype" w:eastAsia="Palatino Linotype" w:hAnsi="Palatino Linotype" w:cs="Palatino Linotype"/>
          <w:b/>
          <w:bCs/>
          <w:sz w:val="22"/>
          <w:szCs w:val="22"/>
        </w:rPr>
        <w:t xml:space="preserve">SAIMEX; no obstante por corresponder a un día inhábil el mismo se tuvo por presentado el seis de octubre de dos mil veinticinco, </w:t>
      </w:r>
      <w:r w:rsidRPr="004F2E39">
        <w:rPr>
          <w:rFonts w:ascii="Palatino Linotype" w:eastAsia="Palatino Linotype" w:hAnsi="Palatino Linotype" w:cs="Palatino Linotype"/>
          <w:sz w:val="22"/>
          <w:szCs w:val="22"/>
        </w:rPr>
        <w:t>en donde se manifestó de la siguiente manera:</w:t>
      </w:r>
    </w:p>
    <w:p w:rsidR="00DE06EF" w:rsidRPr="004F2E39" w:rsidRDefault="00490329">
      <w:pPr>
        <w:tabs>
          <w:tab w:val="left" w:pos="2745"/>
        </w:tabs>
        <w:spacing w:before="240" w:after="240" w:line="276" w:lineRule="auto"/>
        <w:ind w:left="567" w:right="900"/>
        <w:jc w:val="both"/>
        <w:rPr>
          <w:rFonts w:ascii="Palatino Linotype" w:eastAsia="Palatino Linotype" w:hAnsi="Palatino Linotype" w:cs="Palatino Linotype"/>
          <w:b/>
          <w:bCs/>
          <w:sz w:val="22"/>
          <w:szCs w:val="22"/>
        </w:rPr>
      </w:pPr>
      <w:r w:rsidRPr="004F2E39">
        <w:rPr>
          <w:rFonts w:ascii="Palatino Linotype" w:eastAsia="Palatino Linotype" w:hAnsi="Palatino Linotype" w:cs="Palatino Linotype"/>
          <w:b/>
          <w:bCs/>
          <w:sz w:val="22"/>
          <w:szCs w:val="22"/>
        </w:rPr>
        <w:t xml:space="preserve">a) Acto impugnado: </w:t>
      </w:r>
      <w:r w:rsidRPr="004F2E39">
        <w:rPr>
          <w:rFonts w:ascii="Palatino Linotype" w:eastAsia="Palatino Linotype" w:hAnsi="Palatino Linotype" w:cs="Palatino Linotype"/>
          <w:i/>
          <w:iCs/>
          <w:sz w:val="22"/>
          <w:szCs w:val="22"/>
        </w:rPr>
        <w:t>“La información pública 00456/CALIMAYA/IP/2025” (Sic)</w:t>
      </w:r>
    </w:p>
    <w:p w:rsidR="00DE06EF" w:rsidRPr="004F2E39" w:rsidRDefault="00490329">
      <w:pPr>
        <w:spacing w:line="276" w:lineRule="auto"/>
        <w:ind w:left="567" w:right="900"/>
        <w:jc w:val="both"/>
        <w:rPr>
          <w:rFonts w:ascii="Palatino Linotype" w:eastAsia="Palatino Linotype" w:hAnsi="Palatino Linotype" w:cs="Palatino Linotype"/>
          <w:i/>
          <w:iCs/>
          <w:sz w:val="22"/>
          <w:szCs w:val="22"/>
        </w:rPr>
      </w:pPr>
      <w:bookmarkStart w:id="4" w:name="_heading=h.30j0zll" w:colFirst="0" w:colLast="0"/>
      <w:bookmarkEnd w:id="4"/>
      <w:r w:rsidRPr="004F2E39">
        <w:rPr>
          <w:rFonts w:ascii="Palatino Linotype" w:eastAsia="Palatino Linotype" w:hAnsi="Palatino Linotype" w:cs="Palatino Linotype"/>
          <w:b/>
          <w:bCs/>
          <w:sz w:val="22"/>
          <w:szCs w:val="22"/>
        </w:rPr>
        <w:lastRenderedPageBreak/>
        <w:t>b) Razones o motivos de inconformidad</w:t>
      </w:r>
      <w:r w:rsidRPr="004F2E39">
        <w:rPr>
          <w:rFonts w:ascii="Palatino Linotype" w:eastAsia="Palatino Linotype" w:hAnsi="Palatino Linotype" w:cs="Palatino Linotype"/>
          <w:sz w:val="22"/>
          <w:szCs w:val="22"/>
        </w:rPr>
        <w:t xml:space="preserve">: </w:t>
      </w:r>
      <w:r w:rsidRPr="004F2E39">
        <w:rPr>
          <w:rFonts w:ascii="Palatino Linotype" w:eastAsia="Palatino Linotype" w:hAnsi="Palatino Linotype" w:cs="Palatino Linotype"/>
          <w:i/>
          <w:iCs/>
          <w:sz w:val="22"/>
          <w:szCs w:val="22"/>
        </w:rPr>
        <w:t>“No se da la información pública a pesar de que sí trabajo en la administración anterior o en los años que se solicita” (Sic)</w:t>
      </w:r>
    </w:p>
    <w:p w:rsidR="00DE06EF" w:rsidRPr="004F2E39" w:rsidRDefault="00DE06EF">
      <w:pPr>
        <w:spacing w:line="276" w:lineRule="auto"/>
        <w:ind w:left="567" w:right="900"/>
        <w:jc w:val="both"/>
        <w:rPr>
          <w:rFonts w:ascii="Palatino Linotype" w:eastAsia="Palatino Linotype" w:hAnsi="Palatino Linotype" w:cs="Palatino Linotype"/>
          <w:i/>
          <w:iCs/>
          <w:sz w:val="22"/>
          <w:szCs w:val="22"/>
        </w:rPr>
      </w:pPr>
    </w:p>
    <w:p w:rsidR="00DE06EF" w:rsidRPr="004F2E39" w:rsidRDefault="00490329">
      <w:pPr>
        <w:spacing w:line="276" w:lineRule="auto"/>
        <w:ind w:left="567" w:right="900"/>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 xml:space="preserve">Adjunto al recurso de revisión la parte </w:t>
      </w:r>
      <w:r w:rsidRPr="004F2E39">
        <w:rPr>
          <w:rFonts w:ascii="Palatino Linotype" w:eastAsia="Palatino Linotype" w:hAnsi="Palatino Linotype" w:cs="Palatino Linotype"/>
          <w:b/>
          <w:bCs/>
          <w:sz w:val="22"/>
          <w:szCs w:val="22"/>
        </w:rPr>
        <w:t xml:space="preserve">Recurrente </w:t>
      </w:r>
      <w:r w:rsidRPr="004F2E39">
        <w:rPr>
          <w:rFonts w:ascii="Palatino Linotype" w:eastAsia="Palatino Linotype" w:hAnsi="Palatino Linotype" w:cs="Palatino Linotype"/>
          <w:sz w:val="22"/>
          <w:szCs w:val="22"/>
        </w:rPr>
        <w:t>hizo entrega de un archivo que contiene un curriculum en formato oficial del Ayuntamiento de Calimaya a nombre de la persona referida en la solicitud, donde se indica que laboró en dicho ente público en el ejercicio 2022.</w:t>
      </w:r>
    </w:p>
    <w:p w:rsidR="00DE06EF" w:rsidRPr="004F2E39" w:rsidRDefault="00DE06EF">
      <w:pPr>
        <w:spacing w:line="276" w:lineRule="auto"/>
        <w:ind w:left="567" w:right="900"/>
        <w:jc w:val="both"/>
        <w:rPr>
          <w:rFonts w:ascii="Palatino Linotype" w:eastAsia="Palatino Linotype" w:hAnsi="Palatino Linotype" w:cs="Palatino Linotype"/>
          <w:i/>
          <w:iCs/>
          <w:sz w:val="22"/>
          <w:szCs w:val="22"/>
        </w:rPr>
      </w:pPr>
    </w:p>
    <w:p w:rsidR="00DE06EF" w:rsidRPr="004F2E39" w:rsidRDefault="00490329">
      <w:pPr>
        <w:spacing w:line="360" w:lineRule="auto"/>
        <w:ind w:right="51"/>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b/>
          <w:bCs/>
          <w:sz w:val="22"/>
          <w:szCs w:val="22"/>
        </w:rPr>
        <w:t xml:space="preserve">4. Turno. </w:t>
      </w:r>
      <w:r w:rsidRPr="004F2E39">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F2E39">
        <w:rPr>
          <w:rFonts w:ascii="Palatino Linotype" w:eastAsia="Palatino Linotype" w:hAnsi="Palatino Linotype" w:cs="Palatino Linotype"/>
          <w:b/>
          <w:bCs/>
          <w:sz w:val="22"/>
          <w:szCs w:val="22"/>
        </w:rPr>
        <w:t xml:space="preserve">Guadalupe Ramírez Peña, </w:t>
      </w:r>
      <w:r w:rsidRPr="004F2E39">
        <w:rPr>
          <w:rFonts w:ascii="Palatino Linotype" w:eastAsia="Palatino Linotype" w:hAnsi="Palatino Linotype" w:cs="Palatino Linotype"/>
          <w:sz w:val="22"/>
          <w:szCs w:val="22"/>
        </w:rPr>
        <w:t>a efecto de que analizara sobre su admisión o su desechamiento.</w:t>
      </w:r>
    </w:p>
    <w:p w:rsidR="00DE06EF" w:rsidRPr="004F2E39" w:rsidRDefault="00DE06EF">
      <w:pPr>
        <w:spacing w:line="360" w:lineRule="auto"/>
        <w:ind w:right="51"/>
        <w:jc w:val="both"/>
        <w:rPr>
          <w:rFonts w:ascii="Palatino Linotype" w:eastAsia="Palatino Linotype" w:hAnsi="Palatino Linotype" w:cs="Palatino Linotype"/>
          <w:sz w:val="22"/>
          <w:szCs w:val="22"/>
        </w:rPr>
      </w:pPr>
    </w:p>
    <w:p w:rsidR="00DE06EF" w:rsidRPr="004F2E39" w:rsidRDefault="00490329">
      <w:pPr>
        <w:spacing w:line="360" w:lineRule="auto"/>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b/>
          <w:bCs/>
          <w:sz w:val="22"/>
          <w:szCs w:val="22"/>
        </w:rPr>
        <w:t>5. Admisión del Recurso de revisión.</w:t>
      </w:r>
      <w:r w:rsidRPr="004F2E39">
        <w:rPr>
          <w:rFonts w:ascii="Palatino Linotype" w:eastAsia="Palatino Linotype" w:hAnsi="Palatino Linotype" w:cs="Palatino Linotype"/>
          <w:sz w:val="22"/>
          <w:szCs w:val="22"/>
        </w:rPr>
        <w:t xml:space="preserve"> El </w:t>
      </w:r>
      <w:r w:rsidRPr="004F2E39">
        <w:rPr>
          <w:rFonts w:ascii="Palatino Linotype" w:eastAsia="Palatino Linotype" w:hAnsi="Palatino Linotype" w:cs="Palatino Linotype"/>
          <w:b/>
          <w:bCs/>
          <w:sz w:val="22"/>
          <w:szCs w:val="22"/>
        </w:rPr>
        <w:t xml:space="preserve">nueve de octubre de dos mil veinticinco, </w:t>
      </w:r>
      <w:r w:rsidRPr="004F2E39">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F2E39">
        <w:rPr>
          <w:rFonts w:ascii="Palatino Linotype" w:eastAsia="Palatino Linotype" w:hAnsi="Palatino Linotype" w:cs="Palatino Linotype"/>
          <w:b/>
          <w:bCs/>
          <w:sz w:val="22"/>
          <w:szCs w:val="22"/>
        </w:rPr>
        <w:t xml:space="preserve">Sujeto Obligado </w:t>
      </w:r>
      <w:r w:rsidRPr="004F2E39">
        <w:rPr>
          <w:rFonts w:ascii="Palatino Linotype" w:eastAsia="Palatino Linotype" w:hAnsi="Palatino Linotype" w:cs="Palatino Linotype"/>
          <w:sz w:val="22"/>
          <w:szCs w:val="22"/>
        </w:rPr>
        <w:t>presentara su informe justificado.</w:t>
      </w:r>
    </w:p>
    <w:p w:rsidR="00DE06EF" w:rsidRPr="004F2E39" w:rsidRDefault="00DE06EF">
      <w:pPr>
        <w:spacing w:line="360" w:lineRule="auto"/>
        <w:jc w:val="both"/>
        <w:rPr>
          <w:rFonts w:ascii="Palatino Linotype" w:eastAsia="Palatino Linotype" w:hAnsi="Palatino Linotype" w:cs="Palatino Linotype"/>
          <w:sz w:val="22"/>
          <w:szCs w:val="22"/>
        </w:rPr>
      </w:pPr>
    </w:p>
    <w:p w:rsidR="00DE06EF" w:rsidRPr="004F2E39" w:rsidRDefault="0049032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bookmarkStart w:id="5" w:name="_heading=h.2s8eyo1" w:colFirst="0" w:colLast="0"/>
      <w:bookmarkEnd w:id="5"/>
      <w:r w:rsidRPr="004F2E39">
        <w:rPr>
          <w:rFonts w:ascii="Palatino Linotype" w:eastAsia="Palatino Linotype" w:hAnsi="Palatino Linotype" w:cs="Palatino Linotype"/>
          <w:b/>
          <w:bCs/>
          <w:sz w:val="22"/>
          <w:szCs w:val="22"/>
        </w:rPr>
        <w:t>6. Manifestaciones</w:t>
      </w:r>
      <w:r w:rsidRPr="004F2E39">
        <w:rPr>
          <w:rFonts w:ascii="Palatino Linotype" w:eastAsia="Palatino Linotype" w:hAnsi="Palatino Linotype" w:cs="Palatino Linotype"/>
          <w:sz w:val="22"/>
          <w:szCs w:val="22"/>
        </w:rPr>
        <w:t xml:space="preserve">. </w:t>
      </w:r>
      <w:r w:rsidRPr="004F2E39">
        <w:rPr>
          <w:rFonts w:ascii="Palatino Linotype" w:eastAsia="Palatino Linotype" w:hAnsi="Palatino Linotype" w:cs="Palatino Linotype"/>
          <w:color w:val="000000"/>
          <w:sz w:val="22"/>
          <w:szCs w:val="22"/>
        </w:rPr>
        <w:t>De las constancias que integran el expediente en que se actúa se advierte que las partes fueron omisas en hacer valer manifestaciones, como se muestra:</w:t>
      </w:r>
    </w:p>
    <w:p w:rsidR="00DE06EF" w:rsidRPr="004F2E39" w:rsidRDefault="00DE06E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rsidR="00DE06EF" w:rsidRPr="004F2E39" w:rsidRDefault="0049032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r w:rsidRPr="004F2E39">
        <w:rPr>
          <w:rFonts w:ascii="Palatino Linotype" w:eastAsia="Palatino Linotype" w:hAnsi="Palatino Linotype" w:cs="Palatino Linotype"/>
          <w:noProof/>
          <w:color w:val="000000"/>
          <w:sz w:val="22"/>
          <w:szCs w:val="22"/>
        </w:rPr>
        <w:drawing>
          <wp:inline distT="0" distB="0" distL="0" distR="0">
            <wp:extent cx="5612130" cy="1311275"/>
            <wp:effectExtent l="0" t="0" r="0" b="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12130" cy="1311275"/>
                    </a:xfrm>
                    <a:prstGeom prst="rect">
                      <a:avLst/>
                    </a:prstGeom>
                    <a:ln/>
                  </pic:spPr>
                </pic:pic>
              </a:graphicData>
            </a:graphic>
          </wp:inline>
        </w:drawing>
      </w:r>
    </w:p>
    <w:p w:rsidR="00DE06EF" w:rsidRPr="004F2E39" w:rsidRDefault="00DE06E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rsidR="00DE06EF" w:rsidRPr="004F2E39" w:rsidRDefault="0049032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b/>
          <w:bCs/>
          <w:color w:val="000000"/>
          <w:sz w:val="22"/>
          <w:szCs w:val="22"/>
        </w:rPr>
        <w:t xml:space="preserve">7. </w:t>
      </w:r>
      <w:r w:rsidRPr="004F2E39">
        <w:rPr>
          <w:rFonts w:ascii="Palatino Linotype" w:eastAsia="Palatino Linotype" w:hAnsi="Palatino Linotype" w:cs="Palatino Linotype"/>
          <w:b/>
          <w:bCs/>
          <w:sz w:val="22"/>
          <w:szCs w:val="22"/>
        </w:rPr>
        <w:t xml:space="preserve">Cierre de instrucción. </w:t>
      </w:r>
      <w:r w:rsidRPr="004F2E39">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4F2E39">
        <w:rPr>
          <w:rFonts w:ascii="Palatino Linotype" w:eastAsia="Palatino Linotype" w:hAnsi="Palatino Linotype" w:cs="Palatino Linotype"/>
          <w:b/>
          <w:bCs/>
          <w:sz w:val="22"/>
          <w:szCs w:val="22"/>
        </w:rPr>
        <w:t>doce de noviembre de dos mil veinticinco,</w:t>
      </w:r>
      <w:r w:rsidRPr="004F2E39">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rsidR="00DE06EF" w:rsidRPr="004F2E39" w:rsidRDefault="00DE06EF">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rsidR="00DE06EF" w:rsidRPr="004F2E39" w:rsidRDefault="0049032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rsidR="00DE06EF" w:rsidRPr="004F2E39" w:rsidRDefault="00490329">
      <w:pPr>
        <w:widowControl w:val="0"/>
        <w:spacing w:before="240" w:after="240" w:line="360" w:lineRule="auto"/>
        <w:jc w:val="center"/>
        <w:rPr>
          <w:rFonts w:ascii="Palatino Linotype" w:eastAsia="Palatino Linotype" w:hAnsi="Palatino Linotype" w:cs="Palatino Linotype"/>
          <w:b/>
          <w:bCs/>
          <w:sz w:val="22"/>
          <w:szCs w:val="22"/>
        </w:rPr>
      </w:pPr>
      <w:r w:rsidRPr="004F2E39">
        <w:rPr>
          <w:rFonts w:ascii="Palatino Linotype" w:eastAsia="Palatino Linotype" w:hAnsi="Palatino Linotype" w:cs="Palatino Linotype"/>
          <w:b/>
          <w:bCs/>
          <w:sz w:val="22"/>
          <w:szCs w:val="22"/>
        </w:rPr>
        <w:t>II. C O N S I D E R A N D O S</w:t>
      </w:r>
    </w:p>
    <w:p w:rsidR="00DE06EF" w:rsidRPr="004F2E39" w:rsidRDefault="00490329">
      <w:pPr>
        <w:spacing w:line="360" w:lineRule="auto"/>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b/>
          <w:bCs/>
          <w:sz w:val="22"/>
          <w:szCs w:val="22"/>
        </w:rPr>
        <w:t>Primero. Competencia.</w:t>
      </w:r>
      <w:r w:rsidRPr="004F2E39">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DE06EF" w:rsidRPr="004F2E39" w:rsidRDefault="00DE06EF">
      <w:pPr>
        <w:spacing w:line="360" w:lineRule="auto"/>
        <w:jc w:val="both"/>
        <w:rPr>
          <w:rFonts w:ascii="Palatino Linotype" w:eastAsia="Palatino Linotype" w:hAnsi="Palatino Linotype" w:cs="Palatino Linotype"/>
          <w:sz w:val="22"/>
          <w:szCs w:val="22"/>
        </w:rPr>
      </w:pPr>
    </w:p>
    <w:p w:rsidR="00DE06EF" w:rsidRPr="004F2E39" w:rsidRDefault="00490329">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4F2E39">
        <w:rPr>
          <w:rFonts w:ascii="Palatino Linotype" w:eastAsia="Palatino Linotype" w:hAnsi="Palatino Linotype" w:cs="Palatino Linotype"/>
          <w:b/>
          <w:bCs/>
          <w:sz w:val="22"/>
          <w:szCs w:val="22"/>
        </w:rPr>
        <w:t>Segundo. Oportunidad y Procedibilidad del Recurso de Revisión</w:t>
      </w:r>
      <w:r w:rsidRPr="004F2E39">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DE06EF" w:rsidRPr="004F2E39" w:rsidRDefault="00DE06EF">
      <w:pPr>
        <w:spacing w:line="360" w:lineRule="auto"/>
        <w:jc w:val="both"/>
        <w:rPr>
          <w:rFonts w:ascii="Palatino Linotype" w:eastAsia="Palatino Linotype" w:hAnsi="Palatino Linotype" w:cs="Palatino Linotype"/>
          <w:sz w:val="22"/>
          <w:szCs w:val="22"/>
        </w:rPr>
      </w:pPr>
    </w:p>
    <w:p w:rsidR="00DE06EF" w:rsidRPr="004F2E39" w:rsidRDefault="00490329">
      <w:pPr>
        <w:spacing w:line="360" w:lineRule="auto"/>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4F2E39">
        <w:rPr>
          <w:rFonts w:ascii="Palatino Linotype" w:eastAsia="Palatino Linotype" w:hAnsi="Palatino Linotype" w:cs="Palatino Linotype"/>
          <w:b/>
          <w:bCs/>
          <w:sz w:val="22"/>
          <w:szCs w:val="22"/>
        </w:rPr>
        <w:t xml:space="preserve">Sujeto Obligado </w:t>
      </w:r>
      <w:r w:rsidRPr="004F2E39">
        <w:rPr>
          <w:rFonts w:ascii="Palatino Linotype" w:eastAsia="Palatino Linotype" w:hAnsi="Palatino Linotype" w:cs="Palatino Linotype"/>
          <w:sz w:val="22"/>
          <w:szCs w:val="22"/>
        </w:rPr>
        <w:t>remitió la respuesta a la solicitud de información el</w:t>
      </w:r>
      <w:r w:rsidRPr="004F2E39">
        <w:t xml:space="preserve"> </w:t>
      </w:r>
      <w:r w:rsidRPr="004F2E39">
        <w:rPr>
          <w:rFonts w:ascii="Palatino Linotype" w:eastAsia="Palatino Linotype" w:hAnsi="Palatino Linotype" w:cs="Palatino Linotype"/>
          <w:b/>
          <w:bCs/>
          <w:sz w:val="22"/>
          <w:szCs w:val="22"/>
        </w:rPr>
        <w:t xml:space="preserve">treinta de septiembre de dos mil veinticinco, </w:t>
      </w:r>
      <w:r w:rsidRPr="004F2E39">
        <w:rPr>
          <w:rFonts w:ascii="Palatino Linotype" w:eastAsia="Palatino Linotype" w:hAnsi="Palatino Linotype" w:cs="Palatino Linotype"/>
          <w:sz w:val="22"/>
          <w:szCs w:val="22"/>
        </w:rPr>
        <w:t xml:space="preserve">mientras que el recurso de revisión interpuesto por </w:t>
      </w:r>
      <w:r w:rsidRPr="004F2E39">
        <w:rPr>
          <w:rFonts w:ascii="Palatino Linotype" w:eastAsia="Palatino Linotype" w:hAnsi="Palatino Linotype" w:cs="Palatino Linotype"/>
          <w:b/>
          <w:bCs/>
          <w:sz w:val="22"/>
          <w:szCs w:val="22"/>
        </w:rPr>
        <w:t>la parte</w:t>
      </w:r>
      <w:r w:rsidRPr="004F2E39">
        <w:rPr>
          <w:rFonts w:ascii="Palatino Linotype" w:eastAsia="Palatino Linotype" w:hAnsi="Palatino Linotype" w:cs="Palatino Linotype"/>
          <w:sz w:val="22"/>
          <w:szCs w:val="22"/>
        </w:rPr>
        <w:t xml:space="preserve"> </w:t>
      </w:r>
      <w:r w:rsidRPr="004F2E39">
        <w:rPr>
          <w:rFonts w:ascii="Palatino Linotype" w:eastAsia="Palatino Linotype" w:hAnsi="Palatino Linotype" w:cs="Palatino Linotype"/>
          <w:b/>
          <w:bCs/>
          <w:sz w:val="22"/>
          <w:szCs w:val="22"/>
        </w:rPr>
        <w:t>Recurrente</w:t>
      </w:r>
      <w:r w:rsidRPr="004F2E39">
        <w:rPr>
          <w:rFonts w:ascii="Palatino Linotype" w:eastAsia="Palatino Linotype" w:hAnsi="Palatino Linotype" w:cs="Palatino Linotype"/>
          <w:sz w:val="22"/>
          <w:szCs w:val="22"/>
        </w:rPr>
        <w:t xml:space="preserve">, se tuvo por presentado el </w:t>
      </w:r>
      <w:r w:rsidRPr="004F2E39">
        <w:rPr>
          <w:rFonts w:ascii="Palatino Linotype" w:eastAsia="Palatino Linotype" w:hAnsi="Palatino Linotype" w:cs="Palatino Linotype"/>
          <w:b/>
          <w:bCs/>
          <w:sz w:val="22"/>
          <w:szCs w:val="22"/>
        </w:rPr>
        <w:t xml:space="preserve">seis de octubre de dos mil veinticinco </w:t>
      </w:r>
      <w:r w:rsidRPr="004F2E39">
        <w:rPr>
          <w:rFonts w:ascii="Palatino Linotype" w:eastAsia="Palatino Linotype" w:hAnsi="Palatino Linotype" w:cs="Palatino Linotype"/>
          <w:sz w:val="22"/>
          <w:szCs w:val="22"/>
        </w:rPr>
        <w:t xml:space="preserve">esto es, al </w:t>
      </w:r>
      <w:r w:rsidRPr="004F2E39">
        <w:rPr>
          <w:rFonts w:ascii="Palatino Linotype" w:eastAsia="Palatino Linotype" w:hAnsi="Palatino Linotype" w:cs="Palatino Linotype"/>
          <w:b/>
          <w:bCs/>
          <w:sz w:val="22"/>
          <w:szCs w:val="22"/>
          <w:u w:val="single"/>
        </w:rPr>
        <w:t>cuarto</w:t>
      </w:r>
      <w:r w:rsidRPr="004F2E39">
        <w:rPr>
          <w:rFonts w:ascii="Palatino Linotype" w:eastAsia="Palatino Linotype" w:hAnsi="Palatino Linotype" w:cs="Palatino Linotype"/>
          <w:sz w:val="22"/>
          <w:szCs w:val="22"/>
        </w:rPr>
        <w:t xml:space="preserve"> día hábil siguiente a aquel </w:t>
      </w:r>
      <w:r w:rsidRPr="004F2E39">
        <w:rPr>
          <w:rFonts w:ascii="Palatino Linotype" w:eastAsia="Palatino Linotype" w:hAnsi="Palatino Linotype" w:cs="Palatino Linotype"/>
          <w:b/>
          <w:bCs/>
          <w:sz w:val="22"/>
          <w:szCs w:val="22"/>
        </w:rPr>
        <w:t>en que se tuvo conocimiento de la respuesta impugnada</w:t>
      </w:r>
      <w:r w:rsidRPr="004F2E39">
        <w:rPr>
          <w:rFonts w:ascii="Palatino Linotype" w:eastAsia="Palatino Linotype" w:hAnsi="Palatino Linotype" w:cs="Palatino Linotype"/>
          <w:sz w:val="22"/>
          <w:szCs w:val="22"/>
        </w:rPr>
        <w:t xml:space="preserve">. </w:t>
      </w:r>
    </w:p>
    <w:p w:rsidR="00DE06EF" w:rsidRPr="004F2E39" w:rsidRDefault="00DE06EF">
      <w:pPr>
        <w:spacing w:line="360" w:lineRule="auto"/>
        <w:jc w:val="both"/>
        <w:rPr>
          <w:rFonts w:ascii="Palatino Linotype" w:eastAsia="Palatino Linotype" w:hAnsi="Palatino Linotype" w:cs="Palatino Linotype"/>
          <w:sz w:val="22"/>
          <w:szCs w:val="22"/>
        </w:rPr>
      </w:pPr>
    </w:p>
    <w:p w:rsidR="00DE06EF" w:rsidRPr="004F2E39" w:rsidRDefault="00490329">
      <w:pPr>
        <w:spacing w:line="360" w:lineRule="auto"/>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rsidR="00DE06EF" w:rsidRPr="004F2E39" w:rsidRDefault="00DE06EF">
      <w:pPr>
        <w:spacing w:line="360" w:lineRule="auto"/>
        <w:jc w:val="both"/>
        <w:rPr>
          <w:rFonts w:ascii="Palatino Linotype" w:eastAsia="Palatino Linotype" w:hAnsi="Palatino Linotype" w:cs="Palatino Linotype"/>
          <w:sz w:val="22"/>
          <w:szCs w:val="22"/>
        </w:rPr>
      </w:pPr>
    </w:p>
    <w:p w:rsidR="00DE06EF" w:rsidRPr="004F2E39" w:rsidRDefault="00490329">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4F2E39">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DE06EF" w:rsidRPr="004F2E39" w:rsidRDefault="00DE06EF">
      <w:pPr>
        <w:tabs>
          <w:tab w:val="left" w:pos="7938"/>
        </w:tabs>
        <w:spacing w:line="360" w:lineRule="auto"/>
        <w:jc w:val="both"/>
        <w:rPr>
          <w:rFonts w:ascii="Palatino Linotype" w:eastAsia="Palatino Linotype" w:hAnsi="Palatino Linotype" w:cs="Palatino Linotype"/>
          <w:sz w:val="22"/>
          <w:szCs w:val="22"/>
        </w:rPr>
      </w:pPr>
    </w:p>
    <w:p w:rsidR="00DE06EF" w:rsidRPr="004F2E39" w:rsidRDefault="00490329">
      <w:pPr>
        <w:spacing w:line="360" w:lineRule="auto"/>
        <w:jc w:val="both"/>
        <w:rPr>
          <w:rFonts w:ascii="Palatino Linotype" w:eastAsia="Palatino Linotype" w:hAnsi="Palatino Linotype" w:cs="Palatino Linotype"/>
          <w:color w:val="222222"/>
          <w:sz w:val="22"/>
          <w:szCs w:val="22"/>
        </w:rPr>
      </w:pPr>
      <w:r w:rsidRPr="004F2E39">
        <w:rPr>
          <w:rFonts w:ascii="Palatino Linotype" w:eastAsia="Palatino Linotype" w:hAnsi="Palatino Linotype" w:cs="Palatino Linotype"/>
          <w:sz w:val="22"/>
          <w:szCs w:val="22"/>
        </w:rPr>
        <w:t>Por otro lado, es de suma importancia mencionar que, si bien la parte</w:t>
      </w:r>
      <w:r w:rsidRPr="004F2E39">
        <w:rPr>
          <w:rFonts w:ascii="Palatino Linotype" w:eastAsia="Palatino Linotype" w:hAnsi="Palatino Linotype" w:cs="Palatino Linotype"/>
          <w:b/>
          <w:bCs/>
          <w:sz w:val="22"/>
          <w:szCs w:val="22"/>
        </w:rPr>
        <w:t xml:space="preserve"> Recurrente</w:t>
      </w:r>
      <w:r w:rsidRPr="004F2E39">
        <w:rPr>
          <w:rFonts w:ascii="Palatino Linotype" w:eastAsia="Palatino Linotype" w:hAnsi="Palatino Linotype" w:cs="Palatino Linotype"/>
          <w:sz w:val="22"/>
          <w:szCs w:val="22"/>
        </w:rPr>
        <w:t xml:space="preserve"> </w:t>
      </w:r>
      <w:r w:rsidRPr="004F2E39">
        <w:rPr>
          <w:rFonts w:ascii="Palatino Linotype" w:eastAsia="Palatino Linotype" w:hAnsi="Palatino Linotype" w:cs="Palatino Linotype"/>
          <w:b/>
          <w:bCs/>
          <w:sz w:val="22"/>
          <w:szCs w:val="22"/>
        </w:rPr>
        <w:t>no</w:t>
      </w:r>
      <w:r w:rsidRPr="004F2E39">
        <w:rPr>
          <w:rFonts w:ascii="Palatino Linotype" w:eastAsia="Palatino Linotype" w:hAnsi="Palatino Linotype" w:cs="Palatino Linotype"/>
          <w:sz w:val="22"/>
          <w:szCs w:val="22"/>
        </w:rPr>
        <w:t xml:space="preserve"> </w:t>
      </w:r>
      <w:r w:rsidRPr="004F2E39">
        <w:rPr>
          <w:rFonts w:ascii="Palatino Linotype" w:eastAsia="Palatino Linotype" w:hAnsi="Palatino Linotype" w:cs="Palatino Linotype"/>
          <w:b/>
          <w:bCs/>
          <w:sz w:val="22"/>
          <w:szCs w:val="22"/>
        </w:rPr>
        <w:t>proporcionó nombre completo,</w:t>
      </w:r>
      <w:r w:rsidRPr="004F2E39">
        <w:rPr>
          <w:rFonts w:ascii="Palatino Linotype" w:eastAsia="Palatino Linotype" w:hAnsi="Palatino Linotype" w:cs="Palatino Linotype"/>
          <w:sz w:val="22"/>
          <w:szCs w:val="22"/>
        </w:rPr>
        <w:t xml:space="preserve"> </w:t>
      </w:r>
      <w:r w:rsidRPr="004F2E39">
        <w:rPr>
          <w:rFonts w:ascii="Palatino Linotype" w:eastAsia="Palatino Linotype" w:hAnsi="Palatino Linotype" w:cs="Palatino Linotype"/>
          <w:color w:val="222222"/>
          <w:sz w:val="22"/>
          <w:szCs w:val="22"/>
        </w:rPr>
        <w:t>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DE06EF" w:rsidRPr="004F2E39" w:rsidRDefault="00DE06EF">
      <w:pPr>
        <w:spacing w:line="360" w:lineRule="auto"/>
        <w:jc w:val="both"/>
        <w:rPr>
          <w:rFonts w:ascii="Palatino Linotype" w:eastAsia="Palatino Linotype" w:hAnsi="Palatino Linotype" w:cs="Palatino Linotype"/>
          <w:color w:val="222222"/>
          <w:sz w:val="22"/>
          <w:szCs w:val="22"/>
        </w:rPr>
      </w:pPr>
    </w:p>
    <w:p w:rsidR="00DE06EF" w:rsidRPr="004F2E39" w:rsidRDefault="00490329">
      <w:pPr>
        <w:spacing w:line="276" w:lineRule="auto"/>
        <w:ind w:left="851" w:right="902"/>
        <w:jc w:val="both"/>
        <w:rPr>
          <w:rFonts w:ascii="Palatino Linotype" w:eastAsia="Palatino Linotype" w:hAnsi="Palatino Linotype" w:cs="Palatino Linotype"/>
          <w:color w:val="222222"/>
          <w:sz w:val="22"/>
          <w:szCs w:val="22"/>
        </w:rPr>
      </w:pPr>
      <w:r w:rsidRPr="004F2E39">
        <w:rPr>
          <w:rFonts w:ascii="Palatino Linotype" w:eastAsia="Palatino Linotype" w:hAnsi="Palatino Linotype" w:cs="Palatino Linotype"/>
          <w:i/>
          <w:iCs/>
          <w:color w:val="222222"/>
          <w:sz w:val="22"/>
          <w:szCs w:val="22"/>
        </w:rPr>
        <w:t>"</w:t>
      </w:r>
      <w:r w:rsidRPr="004F2E39">
        <w:rPr>
          <w:rFonts w:ascii="Palatino Linotype" w:eastAsia="Palatino Linotype" w:hAnsi="Palatino Linotype" w:cs="Palatino Linotype"/>
          <w:b/>
          <w:bCs/>
          <w:i/>
          <w:iCs/>
          <w:color w:val="222222"/>
          <w:sz w:val="22"/>
          <w:szCs w:val="22"/>
        </w:rPr>
        <w:t xml:space="preserve">Las solicitudes </w:t>
      </w:r>
      <w:r w:rsidRPr="004F2E39">
        <w:rPr>
          <w:rFonts w:ascii="Palatino Linotype" w:eastAsia="Palatino Linotype" w:hAnsi="Palatino Linotype" w:cs="Palatino Linotype"/>
          <w:i/>
          <w:iCs/>
          <w:color w:val="222222"/>
          <w:sz w:val="22"/>
          <w:szCs w:val="22"/>
        </w:rPr>
        <w:t xml:space="preserve">anónimas, </w:t>
      </w:r>
      <w:r w:rsidRPr="004F2E39">
        <w:rPr>
          <w:rFonts w:ascii="Palatino Linotype" w:eastAsia="Palatino Linotype" w:hAnsi="Palatino Linotype" w:cs="Palatino Linotype"/>
          <w:b/>
          <w:bCs/>
          <w:i/>
          <w:iCs/>
          <w:color w:val="222222"/>
          <w:sz w:val="22"/>
          <w:szCs w:val="22"/>
        </w:rPr>
        <w:t>con nombre incompleto</w:t>
      </w:r>
      <w:r w:rsidRPr="004F2E39">
        <w:rPr>
          <w:rFonts w:ascii="Palatino Linotype" w:eastAsia="Palatino Linotype" w:hAnsi="Palatino Linotype" w:cs="Palatino Linotype"/>
          <w:i/>
          <w:iCs/>
          <w:color w:val="222222"/>
          <w:sz w:val="22"/>
          <w:szCs w:val="22"/>
        </w:rPr>
        <w:t xml:space="preserve"> o seudónimo </w:t>
      </w:r>
      <w:r w:rsidRPr="004F2E39">
        <w:rPr>
          <w:rFonts w:ascii="Palatino Linotype" w:eastAsia="Palatino Linotype" w:hAnsi="Palatino Linotype" w:cs="Palatino Linotype"/>
          <w:b/>
          <w:bCs/>
          <w:i/>
          <w:iCs/>
          <w:color w:val="222222"/>
          <w:sz w:val="22"/>
          <w:szCs w:val="22"/>
        </w:rPr>
        <w:t>serán procedentes para su trámite por parte del sujeto obligado ante quien se presente</w:t>
      </w:r>
      <w:r w:rsidRPr="004F2E39">
        <w:rPr>
          <w:rFonts w:ascii="Palatino Linotype" w:eastAsia="Palatino Linotype" w:hAnsi="Palatino Linotype" w:cs="Palatino Linotype"/>
          <w:i/>
          <w:iCs/>
          <w:color w:val="222222"/>
          <w:sz w:val="22"/>
          <w:szCs w:val="22"/>
        </w:rPr>
        <w:t>. No podrá requerirse información adicional con motivo del nombre proporcionado por el solicitante."</w:t>
      </w:r>
    </w:p>
    <w:p w:rsidR="00DE06EF" w:rsidRPr="004F2E39" w:rsidRDefault="00DE06EF">
      <w:pPr>
        <w:tabs>
          <w:tab w:val="left" w:pos="7938"/>
        </w:tabs>
        <w:spacing w:line="360" w:lineRule="auto"/>
        <w:jc w:val="both"/>
        <w:rPr>
          <w:rFonts w:ascii="Palatino Linotype" w:eastAsia="Palatino Linotype" w:hAnsi="Palatino Linotype" w:cs="Palatino Linotype"/>
          <w:sz w:val="22"/>
          <w:szCs w:val="22"/>
        </w:rPr>
      </w:pPr>
    </w:p>
    <w:p w:rsidR="00DE06EF" w:rsidRPr="004F2E39" w:rsidRDefault="00490329">
      <w:pPr>
        <w:spacing w:line="360" w:lineRule="auto"/>
        <w:jc w:val="both"/>
        <w:rPr>
          <w:rFonts w:ascii="Palatino Linotype" w:eastAsia="Palatino Linotype" w:hAnsi="Palatino Linotype" w:cs="Palatino Linotype"/>
          <w:color w:val="000000"/>
          <w:sz w:val="22"/>
          <w:szCs w:val="22"/>
        </w:rPr>
      </w:pPr>
      <w:r w:rsidRPr="004F2E39">
        <w:rPr>
          <w:rFonts w:ascii="Palatino Linotype" w:eastAsia="Palatino Linotype" w:hAnsi="Palatino Linotype" w:cs="Palatino Linotype"/>
          <w:sz w:val="22"/>
          <w:szCs w:val="22"/>
        </w:rPr>
        <w:t xml:space="preserve">Finalmente, se advierte que resulta procedente la interposición del recurso, según lo manifestado por </w:t>
      </w:r>
      <w:r w:rsidRPr="004F2E39">
        <w:rPr>
          <w:rFonts w:ascii="Palatino Linotype" w:eastAsia="Palatino Linotype" w:hAnsi="Palatino Linotype" w:cs="Palatino Linotype"/>
          <w:b/>
          <w:bCs/>
          <w:sz w:val="22"/>
          <w:szCs w:val="22"/>
        </w:rPr>
        <w:t>la parte</w:t>
      </w:r>
      <w:r w:rsidRPr="004F2E39">
        <w:rPr>
          <w:rFonts w:ascii="Palatino Linotype" w:eastAsia="Palatino Linotype" w:hAnsi="Palatino Linotype" w:cs="Palatino Linotype"/>
          <w:sz w:val="22"/>
          <w:szCs w:val="22"/>
        </w:rPr>
        <w:t xml:space="preserve"> </w:t>
      </w:r>
      <w:r w:rsidRPr="004F2E39">
        <w:rPr>
          <w:rFonts w:ascii="Palatino Linotype" w:eastAsia="Palatino Linotype" w:hAnsi="Palatino Linotype" w:cs="Palatino Linotype"/>
          <w:b/>
          <w:bCs/>
          <w:sz w:val="22"/>
          <w:szCs w:val="22"/>
        </w:rPr>
        <w:t>Recurrente</w:t>
      </w:r>
      <w:r w:rsidRPr="004F2E39">
        <w:rPr>
          <w:rFonts w:ascii="Palatino Linotype" w:eastAsia="Palatino Linotype" w:hAnsi="Palatino Linotype" w:cs="Palatino Linotype"/>
          <w:sz w:val="22"/>
          <w:szCs w:val="22"/>
        </w:rPr>
        <w:t xml:space="preserve"> en sus motivos de inconformidad, de acuerdo </w:t>
      </w:r>
      <w:r w:rsidRPr="004F2E39">
        <w:rPr>
          <w:rFonts w:ascii="Palatino Linotype" w:eastAsia="Palatino Linotype" w:hAnsi="Palatino Linotype" w:cs="Palatino Linotype"/>
          <w:color w:val="000000"/>
          <w:sz w:val="22"/>
          <w:szCs w:val="22"/>
        </w:rPr>
        <w:t>al artículo 179, fracción I del ordenamiento legal citado, que a la letra dice: </w:t>
      </w:r>
    </w:p>
    <w:p w:rsidR="00DE06EF" w:rsidRPr="004F2E39" w:rsidRDefault="00DE06EF">
      <w:pPr>
        <w:spacing w:line="360" w:lineRule="auto"/>
        <w:jc w:val="both"/>
        <w:rPr>
          <w:rFonts w:ascii="Palatino Linotype" w:eastAsia="Palatino Linotype" w:hAnsi="Palatino Linotype" w:cs="Palatino Linotype"/>
          <w:color w:val="000000"/>
          <w:sz w:val="22"/>
          <w:szCs w:val="22"/>
        </w:rPr>
      </w:pPr>
    </w:p>
    <w:p w:rsidR="00DE06EF" w:rsidRPr="004F2E39" w:rsidRDefault="00490329">
      <w:pPr>
        <w:ind w:left="567" w:right="902"/>
        <w:jc w:val="both"/>
        <w:rPr>
          <w:rFonts w:ascii="Palatino Linotype" w:eastAsia="Palatino Linotype" w:hAnsi="Palatino Linotype" w:cs="Palatino Linotype"/>
          <w:i/>
          <w:iCs/>
          <w:color w:val="000000"/>
          <w:sz w:val="22"/>
          <w:szCs w:val="22"/>
        </w:rPr>
      </w:pPr>
      <w:r w:rsidRPr="004F2E39">
        <w:rPr>
          <w:rFonts w:ascii="Palatino Linotype" w:eastAsia="Palatino Linotype" w:hAnsi="Palatino Linotype" w:cs="Palatino Linotype"/>
          <w:i/>
          <w:iCs/>
          <w:color w:val="000000"/>
          <w:sz w:val="22"/>
          <w:szCs w:val="22"/>
        </w:rPr>
        <w:t>“</w:t>
      </w:r>
      <w:r w:rsidRPr="004F2E39">
        <w:rPr>
          <w:rFonts w:ascii="Palatino Linotype" w:eastAsia="Palatino Linotype" w:hAnsi="Palatino Linotype" w:cs="Palatino Linotype"/>
          <w:b/>
          <w:bCs/>
          <w:i/>
          <w:iCs/>
          <w:color w:val="000000"/>
          <w:sz w:val="22"/>
          <w:szCs w:val="22"/>
        </w:rPr>
        <w:t>Artículo 179.</w:t>
      </w:r>
      <w:r w:rsidRPr="004F2E39">
        <w:rPr>
          <w:rFonts w:ascii="Palatino Linotype" w:eastAsia="Palatino Linotype" w:hAnsi="Palatino Linotype" w:cs="Palatino Linotype"/>
          <w:i/>
          <w:iCs/>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rsidR="00DE06EF" w:rsidRPr="004F2E39" w:rsidRDefault="00490329">
      <w:pPr>
        <w:ind w:left="567" w:right="902"/>
        <w:jc w:val="both"/>
        <w:rPr>
          <w:rFonts w:ascii="Palatino Linotype" w:eastAsia="Palatino Linotype" w:hAnsi="Palatino Linotype" w:cs="Palatino Linotype"/>
          <w:b/>
          <w:bCs/>
          <w:i/>
          <w:iCs/>
          <w:color w:val="000000"/>
          <w:sz w:val="22"/>
          <w:szCs w:val="22"/>
        </w:rPr>
      </w:pPr>
      <w:r w:rsidRPr="004F2E39">
        <w:rPr>
          <w:rFonts w:ascii="Palatino Linotype" w:eastAsia="Palatino Linotype" w:hAnsi="Palatino Linotype" w:cs="Palatino Linotype"/>
          <w:b/>
          <w:bCs/>
          <w:i/>
          <w:iCs/>
          <w:color w:val="000000"/>
          <w:sz w:val="22"/>
          <w:szCs w:val="22"/>
        </w:rPr>
        <w:t>I. La negativa a la información solicitada;</w:t>
      </w:r>
    </w:p>
    <w:p w:rsidR="00DE06EF" w:rsidRPr="004F2E39" w:rsidRDefault="00490329">
      <w:pPr>
        <w:ind w:left="567" w:right="902"/>
        <w:jc w:val="both"/>
        <w:rPr>
          <w:rFonts w:ascii="Palatino Linotype" w:eastAsia="Palatino Linotype" w:hAnsi="Palatino Linotype" w:cs="Palatino Linotype"/>
          <w:i/>
          <w:iCs/>
          <w:color w:val="000000"/>
          <w:sz w:val="22"/>
          <w:szCs w:val="22"/>
        </w:rPr>
      </w:pPr>
      <w:r w:rsidRPr="004F2E39">
        <w:rPr>
          <w:rFonts w:ascii="Palatino Linotype" w:eastAsia="Palatino Linotype" w:hAnsi="Palatino Linotype" w:cs="Palatino Linotype"/>
          <w:i/>
          <w:iCs/>
          <w:color w:val="000000"/>
          <w:sz w:val="22"/>
          <w:szCs w:val="22"/>
        </w:rPr>
        <w:t>[…]”</w:t>
      </w:r>
    </w:p>
    <w:p w:rsidR="00DE06EF" w:rsidRPr="004F2E39" w:rsidRDefault="00DE06EF">
      <w:pPr>
        <w:ind w:left="567"/>
        <w:rPr>
          <w:rFonts w:ascii="Palatino Linotype" w:eastAsia="Palatino Linotype" w:hAnsi="Palatino Linotype" w:cs="Palatino Linotype"/>
          <w:b/>
          <w:bCs/>
          <w:i/>
          <w:iCs/>
          <w:sz w:val="22"/>
          <w:szCs w:val="22"/>
        </w:rPr>
      </w:pPr>
    </w:p>
    <w:p w:rsidR="00DE06EF" w:rsidRPr="004F2E39" w:rsidRDefault="00490329">
      <w:pPr>
        <w:ind w:left="567" w:right="900"/>
        <w:jc w:val="right"/>
        <w:rPr>
          <w:rFonts w:ascii="Palatino Linotype" w:eastAsia="Palatino Linotype" w:hAnsi="Palatino Linotype" w:cs="Palatino Linotype"/>
          <w:i/>
          <w:iCs/>
          <w:sz w:val="22"/>
          <w:szCs w:val="22"/>
        </w:rPr>
      </w:pPr>
      <w:r w:rsidRPr="004F2E39">
        <w:rPr>
          <w:rFonts w:ascii="Palatino Linotype" w:eastAsia="Palatino Linotype" w:hAnsi="Palatino Linotype" w:cs="Palatino Linotype"/>
          <w:b/>
          <w:bCs/>
          <w:i/>
          <w:iCs/>
          <w:sz w:val="22"/>
          <w:szCs w:val="22"/>
        </w:rPr>
        <w:t xml:space="preserve"> </w:t>
      </w:r>
      <w:r w:rsidRPr="004F2E39">
        <w:rPr>
          <w:rFonts w:ascii="Palatino Linotype" w:eastAsia="Palatino Linotype" w:hAnsi="Palatino Linotype" w:cs="Palatino Linotype"/>
          <w:i/>
          <w:iCs/>
          <w:sz w:val="22"/>
          <w:szCs w:val="22"/>
        </w:rPr>
        <w:t>(Énfasis añadido)</w:t>
      </w:r>
    </w:p>
    <w:p w:rsidR="00DE06EF" w:rsidRPr="004F2E39" w:rsidRDefault="00DE06EF">
      <w:pPr>
        <w:ind w:left="567" w:right="900"/>
        <w:jc w:val="right"/>
        <w:rPr>
          <w:rFonts w:ascii="Palatino Linotype" w:eastAsia="Palatino Linotype" w:hAnsi="Palatino Linotype" w:cs="Palatino Linotype"/>
          <w:b/>
          <w:bCs/>
          <w:i/>
          <w:iCs/>
          <w:sz w:val="22"/>
          <w:szCs w:val="22"/>
        </w:rPr>
      </w:pPr>
    </w:p>
    <w:p w:rsidR="00DE06EF" w:rsidRPr="004F2E39" w:rsidRDefault="00490329">
      <w:pPr>
        <w:spacing w:line="360" w:lineRule="auto"/>
        <w:jc w:val="both"/>
        <w:rPr>
          <w:rFonts w:ascii="Palatino Linotype" w:eastAsia="Palatino Linotype" w:hAnsi="Palatino Linotype" w:cs="Palatino Linotype"/>
          <w:b/>
          <w:bCs/>
          <w:sz w:val="22"/>
          <w:szCs w:val="22"/>
        </w:rPr>
      </w:pPr>
      <w:r w:rsidRPr="004F2E39">
        <w:rPr>
          <w:rFonts w:ascii="Palatino Linotype" w:eastAsia="Palatino Linotype" w:hAnsi="Palatino Linotype" w:cs="Palatino Linotype"/>
          <w:b/>
          <w:bCs/>
          <w:sz w:val="22"/>
          <w:szCs w:val="22"/>
        </w:rPr>
        <w:t xml:space="preserve">Tercero. Materia de la revisión. </w:t>
      </w:r>
      <w:r w:rsidRPr="004F2E39">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4F2E39">
        <w:rPr>
          <w:rFonts w:ascii="Palatino Linotype" w:eastAsia="Palatino Linotype" w:hAnsi="Palatino Linotype" w:cs="Palatino Linotype"/>
          <w:b/>
          <w:bCs/>
          <w:sz w:val="22"/>
          <w:szCs w:val="22"/>
        </w:rPr>
        <w:t>verificar si la información otorgada por el Sujeto Obligado es adecuada y suficiente</w:t>
      </w:r>
      <w:r w:rsidRPr="004F2E39">
        <w:rPr>
          <w:rFonts w:ascii="Palatino Linotype" w:eastAsia="Palatino Linotype" w:hAnsi="Palatino Linotype" w:cs="Palatino Linotype"/>
          <w:b/>
          <w:bCs/>
          <w:color w:val="FF0000"/>
          <w:sz w:val="22"/>
          <w:szCs w:val="22"/>
        </w:rPr>
        <w:t xml:space="preserve"> </w:t>
      </w:r>
      <w:r w:rsidRPr="004F2E39">
        <w:rPr>
          <w:rFonts w:ascii="Palatino Linotype" w:eastAsia="Palatino Linotype" w:hAnsi="Palatino Linotype" w:cs="Palatino Linotype"/>
          <w:b/>
          <w:bCs/>
          <w:sz w:val="22"/>
          <w:szCs w:val="22"/>
        </w:rPr>
        <w:t>para satisfacer el derecho de acceso a la información pública de la parte Recurrente,</w:t>
      </w:r>
      <w:r w:rsidRPr="004F2E39">
        <w:rPr>
          <w:rFonts w:ascii="Palatino Linotype" w:eastAsia="Palatino Linotype" w:hAnsi="Palatino Linotype" w:cs="Palatino Linotype"/>
          <w:sz w:val="22"/>
          <w:szCs w:val="22"/>
        </w:rPr>
        <w:t xml:space="preserve"> o en su defecto, en caso de ser procedente, ordenar la entrega de la información oportuna.</w:t>
      </w:r>
    </w:p>
    <w:p w:rsidR="00DE06EF" w:rsidRPr="004F2E39" w:rsidRDefault="00DE06EF">
      <w:pPr>
        <w:spacing w:line="360" w:lineRule="auto"/>
        <w:jc w:val="both"/>
        <w:rPr>
          <w:rFonts w:ascii="Palatino Linotype" w:eastAsia="Palatino Linotype" w:hAnsi="Palatino Linotype" w:cs="Palatino Linotype"/>
          <w:sz w:val="22"/>
          <w:szCs w:val="22"/>
        </w:rPr>
      </w:pPr>
    </w:p>
    <w:p w:rsidR="00DE06EF" w:rsidRPr="004F2E39" w:rsidRDefault="00490329">
      <w:pPr>
        <w:spacing w:line="360" w:lineRule="auto"/>
        <w:jc w:val="both"/>
        <w:rPr>
          <w:rFonts w:ascii="Palatino Linotype" w:eastAsia="Palatino Linotype" w:hAnsi="Palatino Linotype" w:cs="Palatino Linotype"/>
          <w:color w:val="000000"/>
          <w:sz w:val="22"/>
          <w:szCs w:val="22"/>
        </w:rPr>
      </w:pPr>
      <w:r w:rsidRPr="004F2E39">
        <w:rPr>
          <w:rFonts w:ascii="Palatino Linotype" w:eastAsia="Palatino Linotype" w:hAnsi="Palatino Linotype" w:cs="Palatino Linotype"/>
          <w:b/>
          <w:bCs/>
          <w:sz w:val="22"/>
          <w:szCs w:val="22"/>
        </w:rPr>
        <w:t xml:space="preserve">Cuarto. Estudio del asunto. </w:t>
      </w:r>
      <w:r w:rsidRPr="004F2E39">
        <w:rPr>
          <w:rFonts w:ascii="Palatino Linotype" w:eastAsia="Palatino Linotype" w:hAnsi="Palatino Linotype" w:cs="Palatino Linotype"/>
          <w:color w:val="000000"/>
          <w:sz w:val="22"/>
          <w:szCs w:val="22"/>
        </w:rPr>
        <w:t xml:space="preserve">Antes de entrar al análisis de los pronunciamientos del </w:t>
      </w:r>
      <w:r w:rsidRPr="004F2E39">
        <w:rPr>
          <w:rFonts w:ascii="Palatino Linotype" w:eastAsia="Palatino Linotype" w:hAnsi="Palatino Linotype" w:cs="Palatino Linotype"/>
          <w:b/>
          <w:bCs/>
          <w:color w:val="000000"/>
          <w:sz w:val="22"/>
          <w:szCs w:val="22"/>
        </w:rPr>
        <w:t>Sujeto Obligado</w:t>
      </w:r>
      <w:r w:rsidRPr="004F2E39">
        <w:rPr>
          <w:rFonts w:ascii="Palatino Linotype" w:eastAsia="Palatino Linotype" w:hAnsi="Palatino Linotype" w:cs="Palatino Linotype"/>
          <w:color w:val="000000"/>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DE06EF" w:rsidRPr="004F2E39" w:rsidRDefault="00DE06EF">
      <w:pPr>
        <w:spacing w:line="360" w:lineRule="auto"/>
        <w:jc w:val="both"/>
        <w:rPr>
          <w:rFonts w:ascii="Palatino Linotype" w:eastAsia="Palatino Linotype" w:hAnsi="Palatino Linotype" w:cs="Palatino Linotype"/>
          <w:color w:val="000000"/>
          <w:sz w:val="22"/>
          <w:szCs w:val="22"/>
        </w:rPr>
      </w:pPr>
    </w:p>
    <w:p w:rsidR="00DE06EF" w:rsidRPr="004F2E39" w:rsidRDefault="00490329">
      <w:pPr>
        <w:spacing w:line="276" w:lineRule="auto"/>
        <w:ind w:left="851" w:right="850"/>
        <w:jc w:val="both"/>
        <w:rPr>
          <w:rFonts w:ascii="Palatino Linotype" w:eastAsia="Palatino Linotype" w:hAnsi="Palatino Linotype" w:cs="Palatino Linotype"/>
          <w:color w:val="000000"/>
          <w:sz w:val="22"/>
          <w:szCs w:val="22"/>
        </w:rPr>
      </w:pPr>
      <w:r w:rsidRPr="004F2E39">
        <w:rPr>
          <w:rFonts w:ascii="Palatino Linotype" w:eastAsia="Palatino Linotype" w:hAnsi="Palatino Linotype" w:cs="Palatino Linotype"/>
          <w:b/>
          <w:bCs/>
          <w:i/>
          <w:iCs/>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4F2E39">
        <w:rPr>
          <w:rFonts w:ascii="Palatino Linotype" w:eastAsia="Palatino Linotype" w:hAnsi="Palatino Linotype" w:cs="Palatino Linotype"/>
          <w:i/>
          <w:iCs/>
          <w:color w:val="000000"/>
          <w:sz w:val="22"/>
          <w:szCs w:val="22"/>
        </w:rPr>
        <w:t>, así como de las garantías para su protección, cuyo ejercicio no podrá restringirse ni suspenderse, salvo en los casos y bajo las condiciones que esta Constitución establece.</w:t>
      </w:r>
    </w:p>
    <w:p w:rsidR="00DE06EF" w:rsidRPr="004F2E39" w:rsidRDefault="00490329">
      <w:pPr>
        <w:spacing w:line="276" w:lineRule="auto"/>
        <w:ind w:left="851" w:right="850"/>
        <w:jc w:val="both"/>
        <w:rPr>
          <w:rFonts w:ascii="Palatino Linotype" w:eastAsia="Palatino Linotype" w:hAnsi="Palatino Linotype" w:cs="Palatino Linotype"/>
          <w:color w:val="000000"/>
          <w:sz w:val="22"/>
          <w:szCs w:val="22"/>
        </w:rPr>
      </w:pPr>
      <w:r w:rsidRPr="004F2E39">
        <w:rPr>
          <w:rFonts w:ascii="Palatino Linotype" w:eastAsia="Palatino Linotype" w:hAnsi="Palatino Linotype" w:cs="Palatino Linotype"/>
          <w:b/>
          <w:bCs/>
          <w:i/>
          <w:iCs/>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rsidR="00DE06EF" w:rsidRPr="004F2E39" w:rsidRDefault="00490329">
      <w:pPr>
        <w:spacing w:line="276" w:lineRule="auto"/>
        <w:ind w:left="851" w:right="850"/>
        <w:jc w:val="both"/>
        <w:rPr>
          <w:rFonts w:ascii="Palatino Linotype" w:eastAsia="Palatino Linotype" w:hAnsi="Palatino Linotype" w:cs="Palatino Linotype"/>
          <w:color w:val="000000"/>
          <w:sz w:val="22"/>
          <w:szCs w:val="22"/>
        </w:rPr>
      </w:pPr>
      <w:r w:rsidRPr="004F2E39">
        <w:rPr>
          <w:rFonts w:ascii="Palatino Linotype" w:eastAsia="Palatino Linotype" w:hAnsi="Palatino Linotype" w:cs="Palatino Linotype"/>
          <w:b/>
          <w:bCs/>
          <w:i/>
          <w:iCs/>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F2E39">
        <w:rPr>
          <w:rFonts w:ascii="Palatino Linotype" w:eastAsia="Palatino Linotype" w:hAnsi="Palatino Linotype" w:cs="Palatino Linotype"/>
          <w:i/>
          <w:iCs/>
          <w:color w:val="000000"/>
          <w:sz w:val="22"/>
          <w:szCs w:val="22"/>
        </w:rPr>
        <w:t xml:space="preserve"> En consecuencia, el Estado deberá prevenir, investigar, sancionar y reparar las violaciones a los derechos humanos, en los términos que establezca la ley</w:t>
      </w:r>
    </w:p>
    <w:p w:rsidR="00DE06EF" w:rsidRPr="004F2E39" w:rsidRDefault="00490329">
      <w:pPr>
        <w:spacing w:line="276" w:lineRule="auto"/>
        <w:ind w:left="851" w:right="850"/>
        <w:jc w:val="both"/>
        <w:rPr>
          <w:rFonts w:ascii="Palatino Linotype" w:eastAsia="Palatino Linotype" w:hAnsi="Palatino Linotype" w:cs="Palatino Linotype"/>
          <w:color w:val="000000"/>
          <w:sz w:val="22"/>
          <w:szCs w:val="22"/>
        </w:rPr>
      </w:pPr>
      <w:r w:rsidRPr="004F2E39">
        <w:rPr>
          <w:rFonts w:ascii="Palatino Linotype" w:eastAsia="Palatino Linotype" w:hAnsi="Palatino Linotype" w:cs="Palatino Linotype"/>
          <w:i/>
          <w:iCs/>
          <w:color w:val="000000"/>
          <w:sz w:val="22"/>
          <w:szCs w:val="22"/>
        </w:rPr>
        <w:t>[…]</w:t>
      </w:r>
    </w:p>
    <w:p w:rsidR="00DE06EF" w:rsidRPr="004F2E39" w:rsidRDefault="00490329">
      <w:pPr>
        <w:spacing w:line="276" w:lineRule="auto"/>
        <w:ind w:left="851" w:right="901"/>
        <w:jc w:val="both"/>
        <w:rPr>
          <w:rFonts w:ascii="Palatino Linotype" w:eastAsia="Palatino Linotype" w:hAnsi="Palatino Linotype" w:cs="Palatino Linotype"/>
          <w:color w:val="000000"/>
          <w:sz w:val="22"/>
          <w:szCs w:val="22"/>
        </w:rPr>
      </w:pPr>
      <w:r w:rsidRPr="004F2E39">
        <w:rPr>
          <w:rFonts w:ascii="Palatino Linotype" w:eastAsia="Palatino Linotype" w:hAnsi="Palatino Linotype" w:cs="Palatino Linotype"/>
          <w:b/>
          <w:bCs/>
          <w:i/>
          <w:iCs/>
          <w:color w:val="000000"/>
          <w:sz w:val="22"/>
          <w:szCs w:val="22"/>
        </w:rPr>
        <w:t>“Artículo 6o.</w:t>
      </w:r>
    </w:p>
    <w:p w:rsidR="00DE06EF" w:rsidRPr="004F2E39" w:rsidRDefault="00490329">
      <w:pPr>
        <w:spacing w:line="276" w:lineRule="auto"/>
        <w:ind w:left="851" w:right="901"/>
        <w:jc w:val="both"/>
        <w:rPr>
          <w:rFonts w:ascii="Palatino Linotype" w:eastAsia="Palatino Linotype" w:hAnsi="Palatino Linotype" w:cs="Palatino Linotype"/>
          <w:color w:val="000000"/>
          <w:sz w:val="22"/>
          <w:szCs w:val="22"/>
        </w:rPr>
      </w:pPr>
      <w:r w:rsidRPr="004F2E39">
        <w:rPr>
          <w:rFonts w:ascii="Palatino Linotype" w:eastAsia="Palatino Linotype" w:hAnsi="Palatino Linotype" w:cs="Palatino Linotype"/>
          <w:i/>
          <w:iCs/>
          <w:color w:val="000000"/>
          <w:sz w:val="22"/>
          <w:szCs w:val="22"/>
        </w:rPr>
        <w:t>[...]</w:t>
      </w:r>
    </w:p>
    <w:p w:rsidR="00DE06EF" w:rsidRPr="004F2E39" w:rsidRDefault="00490329">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4F2E39">
        <w:rPr>
          <w:rFonts w:ascii="Palatino Linotype" w:eastAsia="Palatino Linotype" w:hAnsi="Palatino Linotype" w:cs="Palatino Linotype"/>
          <w:b/>
          <w:bCs/>
          <w:i/>
          <w:iCs/>
          <w:sz w:val="22"/>
          <w:szCs w:val="22"/>
        </w:rPr>
        <w:t xml:space="preserve">A. Para el ejercicio del derecho de acceso a la información, la Federación y </w:t>
      </w:r>
      <w:r w:rsidRPr="004F2E39">
        <w:rPr>
          <w:rFonts w:ascii="Palatino Linotype" w:eastAsia="Palatino Linotype" w:hAnsi="Palatino Linotype" w:cs="Palatino Linotype"/>
          <w:b/>
          <w:bCs/>
          <w:i/>
          <w:iCs/>
          <w:sz w:val="22"/>
          <w:szCs w:val="22"/>
          <w:u w:val="single"/>
        </w:rPr>
        <w:t>las entidades federativas</w:t>
      </w:r>
      <w:r w:rsidRPr="004F2E39">
        <w:rPr>
          <w:rFonts w:ascii="Palatino Linotype" w:eastAsia="Palatino Linotype" w:hAnsi="Palatino Linotype" w:cs="Palatino Linotype"/>
          <w:b/>
          <w:bCs/>
          <w:i/>
          <w:iCs/>
          <w:sz w:val="22"/>
          <w:szCs w:val="22"/>
        </w:rPr>
        <w:t>,</w:t>
      </w:r>
      <w:r w:rsidRPr="004F2E39">
        <w:rPr>
          <w:rFonts w:ascii="Palatino Linotype" w:eastAsia="Palatino Linotype" w:hAnsi="Palatino Linotype" w:cs="Palatino Linotype"/>
          <w:i/>
          <w:iCs/>
          <w:sz w:val="22"/>
          <w:szCs w:val="22"/>
        </w:rPr>
        <w:t xml:space="preserve"> en el ámbito de sus respectivas competencias, se regirán por los siguientes principios y bases:</w:t>
      </w:r>
    </w:p>
    <w:p w:rsidR="00DE06EF" w:rsidRPr="004F2E39" w:rsidRDefault="00490329">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4F2E39">
        <w:rPr>
          <w:rFonts w:ascii="Palatino Linotype" w:eastAsia="Palatino Linotype" w:hAnsi="Palatino Linotype" w:cs="Palatino Linotype"/>
          <w:i/>
          <w:iCs/>
          <w:sz w:val="22"/>
          <w:szCs w:val="22"/>
        </w:rPr>
        <w:t> </w:t>
      </w:r>
      <w:r w:rsidRPr="004F2E39">
        <w:rPr>
          <w:rFonts w:ascii="Palatino Linotype" w:eastAsia="Palatino Linotype" w:hAnsi="Palatino Linotype" w:cs="Palatino Linotype"/>
          <w:b/>
          <w:bCs/>
          <w:i/>
          <w:iCs/>
          <w:sz w:val="22"/>
          <w:szCs w:val="22"/>
        </w:rPr>
        <w:t xml:space="preserve">I. </w:t>
      </w:r>
      <w:r w:rsidRPr="004F2E39">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4F2E39">
        <w:rPr>
          <w:rFonts w:ascii="Palatino Linotype" w:eastAsia="Palatino Linotype" w:hAnsi="Palatino Linotype" w:cs="Palatino Linotype"/>
          <w:i/>
          <w:iCs/>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4F2E39">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4F2E39">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E06EF" w:rsidRPr="004F2E39" w:rsidRDefault="00490329">
      <w:pPr>
        <w:pBdr>
          <w:top w:val="nil"/>
          <w:left w:val="nil"/>
          <w:bottom w:val="nil"/>
          <w:right w:val="nil"/>
          <w:between w:val="nil"/>
        </w:pBdr>
        <w:spacing w:before="240" w:after="240"/>
        <w:ind w:left="851" w:right="851"/>
        <w:jc w:val="both"/>
        <w:rPr>
          <w:rFonts w:ascii="Palatino Linotype" w:eastAsia="Palatino Linotype" w:hAnsi="Palatino Linotype" w:cs="Palatino Linotype"/>
          <w:b/>
          <w:bCs/>
          <w:i/>
          <w:iCs/>
          <w:sz w:val="22"/>
          <w:szCs w:val="22"/>
        </w:rPr>
      </w:pPr>
      <w:r w:rsidRPr="004F2E39">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rsidR="00DE06EF" w:rsidRPr="004F2E39" w:rsidRDefault="00490329">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4F2E39">
        <w:rPr>
          <w:rFonts w:ascii="Palatino Linotype" w:eastAsia="Palatino Linotype" w:hAnsi="Palatino Linotype" w:cs="Palatino Linotype"/>
          <w:i/>
          <w:iCs/>
          <w:sz w:val="22"/>
          <w:szCs w:val="22"/>
        </w:rPr>
        <w:t> </w:t>
      </w:r>
      <w:r w:rsidRPr="004F2E39">
        <w:rPr>
          <w:rFonts w:ascii="Palatino Linotype" w:eastAsia="Palatino Linotype" w:hAnsi="Palatino Linotype" w:cs="Palatino Linotype"/>
          <w:b/>
          <w:bCs/>
          <w:i/>
          <w:iCs/>
          <w:sz w:val="22"/>
          <w:szCs w:val="22"/>
        </w:rPr>
        <w:t xml:space="preserve">III. </w:t>
      </w:r>
      <w:r w:rsidRPr="004F2E39">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4F2E39">
        <w:rPr>
          <w:rFonts w:ascii="Palatino Linotype" w:eastAsia="Palatino Linotype" w:hAnsi="Palatino Linotype" w:cs="Palatino Linotype"/>
          <w:i/>
          <w:iCs/>
          <w:sz w:val="22"/>
          <w:szCs w:val="22"/>
        </w:rPr>
        <w:t xml:space="preserve"> a sus datos personales o a la rectificación de éstos.</w:t>
      </w:r>
    </w:p>
    <w:p w:rsidR="00DE06EF" w:rsidRPr="004F2E39" w:rsidRDefault="00490329">
      <w:pPr>
        <w:pBdr>
          <w:top w:val="nil"/>
          <w:left w:val="nil"/>
          <w:bottom w:val="nil"/>
          <w:right w:val="nil"/>
          <w:between w:val="nil"/>
        </w:pBdr>
        <w:spacing w:before="240" w:after="240"/>
        <w:ind w:left="851" w:right="851"/>
        <w:jc w:val="both"/>
      </w:pPr>
      <w:r w:rsidRPr="004F2E39">
        <w:rPr>
          <w:rFonts w:ascii="Palatino Linotype" w:eastAsia="Palatino Linotype" w:hAnsi="Palatino Linotype" w:cs="Palatino Linotype"/>
          <w:b/>
          <w:bCs/>
          <w:i/>
          <w:iCs/>
          <w:sz w:val="22"/>
          <w:szCs w:val="22"/>
        </w:rPr>
        <w:t>…</w:t>
      </w:r>
    </w:p>
    <w:p w:rsidR="00DE06EF" w:rsidRPr="004F2E39" w:rsidRDefault="00490329">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4F2E39">
        <w:rPr>
          <w:rFonts w:ascii="Palatino Linotype" w:eastAsia="Palatino Linotype" w:hAnsi="Palatino Linotype" w:cs="Palatino Linotype"/>
          <w:b/>
          <w:bCs/>
          <w:i/>
          <w:iCs/>
          <w:sz w:val="22"/>
          <w:szCs w:val="22"/>
        </w:rPr>
        <w:t>IV.</w:t>
      </w:r>
      <w:r w:rsidRPr="004F2E39">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rsidR="00DE06EF" w:rsidRPr="004F2E39" w:rsidRDefault="00490329">
      <w:pPr>
        <w:pBdr>
          <w:top w:val="nil"/>
          <w:left w:val="nil"/>
          <w:bottom w:val="nil"/>
          <w:right w:val="nil"/>
          <w:between w:val="nil"/>
        </w:pBdr>
        <w:spacing w:before="240" w:after="240"/>
        <w:ind w:left="851" w:right="851"/>
        <w:jc w:val="both"/>
      </w:pPr>
      <w:r w:rsidRPr="004F2E39">
        <w:rPr>
          <w:rFonts w:ascii="Palatino Linotype" w:eastAsia="Palatino Linotype" w:hAnsi="Palatino Linotype" w:cs="Palatino Linotype"/>
          <w:b/>
          <w:bCs/>
          <w:i/>
          <w:iCs/>
          <w:sz w:val="22"/>
          <w:szCs w:val="22"/>
        </w:rPr>
        <w:t xml:space="preserve">V. </w:t>
      </w:r>
      <w:r w:rsidRPr="004F2E39">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E06EF" w:rsidRPr="004F2E39" w:rsidRDefault="00490329">
      <w:pPr>
        <w:pBdr>
          <w:top w:val="nil"/>
          <w:left w:val="nil"/>
          <w:bottom w:val="nil"/>
          <w:right w:val="nil"/>
          <w:between w:val="nil"/>
        </w:pBdr>
        <w:spacing w:before="240" w:after="240"/>
        <w:ind w:left="851" w:right="851"/>
        <w:jc w:val="both"/>
      </w:pPr>
      <w:r w:rsidRPr="004F2E39">
        <w:rPr>
          <w:rFonts w:ascii="Palatino Linotype" w:eastAsia="Palatino Linotype" w:hAnsi="Palatino Linotype" w:cs="Palatino Linotype"/>
          <w:i/>
          <w:iCs/>
          <w:sz w:val="22"/>
          <w:szCs w:val="22"/>
        </w:rPr>
        <w:t> </w:t>
      </w:r>
      <w:r w:rsidRPr="004F2E39">
        <w:rPr>
          <w:rFonts w:ascii="Palatino Linotype" w:eastAsia="Palatino Linotype" w:hAnsi="Palatino Linotype" w:cs="Palatino Linotype"/>
          <w:b/>
          <w:bCs/>
          <w:i/>
          <w:iCs/>
          <w:sz w:val="22"/>
          <w:szCs w:val="22"/>
        </w:rPr>
        <w:t xml:space="preserve">VI. </w:t>
      </w:r>
      <w:r w:rsidRPr="004F2E39">
        <w:rPr>
          <w:rFonts w:ascii="Palatino Linotype" w:eastAsia="Palatino Linotype" w:hAnsi="Palatino Linotype" w:cs="Palatino Linotype"/>
          <w:i/>
          <w:iCs/>
          <w:sz w:val="22"/>
          <w:szCs w:val="22"/>
        </w:rPr>
        <w:t>Las leyes determinarán la manera en que los sujetos obligados deberán hacer pública la información relativa a los recursos públicos que entreguen a personas físicas o morales.</w:t>
      </w:r>
    </w:p>
    <w:p w:rsidR="00DE06EF" w:rsidRPr="004F2E39" w:rsidRDefault="00490329">
      <w:pPr>
        <w:pBdr>
          <w:top w:val="nil"/>
          <w:left w:val="nil"/>
          <w:bottom w:val="nil"/>
          <w:right w:val="nil"/>
          <w:between w:val="nil"/>
        </w:pBdr>
        <w:spacing w:before="240" w:after="240"/>
        <w:ind w:left="851" w:right="851"/>
        <w:jc w:val="both"/>
      </w:pPr>
      <w:r w:rsidRPr="004F2E39">
        <w:rPr>
          <w:rFonts w:ascii="Palatino Linotype" w:eastAsia="Palatino Linotype" w:hAnsi="Palatino Linotype" w:cs="Palatino Linotype"/>
          <w:i/>
          <w:iCs/>
          <w:sz w:val="22"/>
          <w:szCs w:val="22"/>
        </w:rPr>
        <w:t> </w:t>
      </w:r>
      <w:r w:rsidRPr="004F2E39">
        <w:rPr>
          <w:rFonts w:ascii="Palatino Linotype" w:eastAsia="Palatino Linotype" w:hAnsi="Palatino Linotype" w:cs="Palatino Linotype"/>
          <w:b/>
          <w:bCs/>
          <w:i/>
          <w:iCs/>
          <w:sz w:val="22"/>
          <w:szCs w:val="22"/>
        </w:rPr>
        <w:t xml:space="preserve">VII. </w:t>
      </w:r>
      <w:r w:rsidRPr="004F2E39">
        <w:rPr>
          <w:rFonts w:ascii="Palatino Linotype" w:eastAsia="Palatino Linotype" w:hAnsi="Palatino Linotype" w:cs="Palatino Linotype"/>
          <w:i/>
          <w:iCs/>
          <w:sz w:val="22"/>
          <w:szCs w:val="22"/>
        </w:rPr>
        <w:t>La inobservancia a las disposiciones en materia de acceso a la información pública será sancionada en los términos que dispongan las leyes. [...]”</w:t>
      </w:r>
    </w:p>
    <w:p w:rsidR="00DE06EF" w:rsidRPr="004F2E39" w:rsidRDefault="00DE06EF">
      <w:pPr>
        <w:spacing w:line="276" w:lineRule="auto"/>
        <w:ind w:left="851" w:right="851"/>
        <w:jc w:val="both"/>
        <w:rPr>
          <w:rFonts w:ascii="Palatino Linotype" w:eastAsia="Palatino Linotype" w:hAnsi="Palatino Linotype" w:cs="Palatino Linotype"/>
          <w:color w:val="000000"/>
          <w:sz w:val="22"/>
          <w:szCs w:val="22"/>
        </w:rPr>
      </w:pPr>
    </w:p>
    <w:p w:rsidR="00DE06EF" w:rsidRPr="004F2E39" w:rsidRDefault="00490329">
      <w:pPr>
        <w:spacing w:line="360" w:lineRule="auto"/>
        <w:jc w:val="both"/>
        <w:rPr>
          <w:rFonts w:ascii="Palatino Linotype" w:eastAsia="Palatino Linotype" w:hAnsi="Palatino Linotype" w:cs="Palatino Linotype"/>
          <w:color w:val="000000"/>
          <w:sz w:val="22"/>
          <w:szCs w:val="22"/>
        </w:rPr>
      </w:pPr>
      <w:r w:rsidRPr="004F2E39">
        <w:rPr>
          <w:rFonts w:ascii="Palatino Linotype" w:eastAsia="Palatino Linotype" w:hAnsi="Palatino Linotype" w:cs="Palatino Linotype"/>
          <w:color w:val="000000"/>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DE06EF" w:rsidRPr="004F2E39" w:rsidRDefault="00DE06EF">
      <w:pPr>
        <w:spacing w:line="360" w:lineRule="auto"/>
        <w:jc w:val="both"/>
        <w:rPr>
          <w:rFonts w:ascii="Palatino Linotype" w:eastAsia="Palatino Linotype" w:hAnsi="Palatino Linotype" w:cs="Palatino Linotype"/>
          <w:color w:val="000000"/>
          <w:sz w:val="22"/>
          <w:szCs w:val="22"/>
        </w:rPr>
      </w:pPr>
    </w:p>
    <w:p w:rsidR="00DE06EF" w:rsidRPr="004F2E39" w:rsidRDefault="00490329">
      <w:pPr>
        <w:spacing w:line="276" w:lineRule="auto"/>
        <w:ind w:left="567" w:right="616"/>
        <w:jc w:val="both"/>
        <w:rPr>
          <w:rFonts w:ascii="Palatino Linotype" w:eastAsia="Palatino Linotype" w:hAnsi="Palatino Linotype" w:cs="Palatino Linotype"/>
          <w:i/>
          <w:iCs/>
          <w:sz w:val="22"/>
          <w:szCs w:val="22"/>
        </w:rPr>
      </w:pPr>
      <w:r w:rsidRPr="004F2E39">
        <w:rPr>
          <w:rFonts w:ascii="Palatino Linotype" w:eastAsia="Palatino Linotype" w:hAnsi="Palatino Linotype" w:cs="Palatino Linotype"/>
          <w:i/>
          <w:iCs/>
          <w:sz w:val="22"/>
          <w:szCs w:val="22"/>
        </w:rPr>
        <w:t>“</w:t>
      </w:r>
      <w:r w:rsidRPr="004F2E39">
        <w:rPr>
          <w:rFonts w:ascii="Palatino Linotype" w:eastAsia="Palatino Linotype" w:hAnsi="Palatino Linotype" w:cs="Palatino Linotype"/>
          <w:b/>
          <w:bCs/>
          <w:i/>
          <w:iCs/>
          <w:sz w:val="22"/>
          <w:szCs w:val="22"/>
        </w:rPr>
        <w:t>Artículo 4</w:t>
      </w:r>
      <w:r w:rsidRPr="004F2E39">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E06EF" w:rsidRPr="004F2E39" w:rsidRDefault="00DE06EF">
      <w:pPr>
        <w:spacing w:line="276" w:lineRule="auto"/>
        <w:ind w:left="567" w:right="616"/>
        <w:jc w:val="both"/>
        <w:rPr>
          <w:rFonts w:ascii="Palatino Linotype" w:eastAsia="Palatino Linotype" w:hAnsi="Palatino Linotype" w:cs="Palatino Linotype"/>
          <w:i/>
          <w:iCs/>
          <w:sz w:val="22"/>
          <w:szCs w:val="22"/>
        </w:rPr>
      </w:pPr>
    </w:p>
    <w:p w:rsidR="00DE06EF" w:rsidRPr="004F2E39" w:rsidRDefault="00490329">
      <w:pPr>
        <w:spacing w:line="276" w:lineRule="auto"/>
        <w:ind w:left="567" w:right="616"/>
        <w:jc w:val="both"/>
        <w:rPr>
          <w:rFonts w:ascii="Palatino Linotype" w:eastAsia="Palatino Linotype" w:hAnsi="Palatino Linotype" w:cs="Palatino Linotype"/>
          <w:i/>
          <w:iCs/>
          <w:sz w:val="22"/>
          <w:szCs w:val="22"/>
        </w:rPr>
      </w:pPr>
      <w:r w:rsidRPr="004F2E39">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4F2E39">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DE06EF" w:rsidRPr="004F2E39" w:rsidRDefault="00DE06EF">
      <w:pPr>
        <w:spacing w:line="276" w:lineRule="auto"/>
        <w:ind w:left="567" w:right="616"/>
        <w:jc w:val="both"/>
        <w:rPr>
          <w:rFonts w:ascii="Palatino Linotype" w:eastAsia="Palatino Linotype" w:hAnsi="Palatino Linotype" w:cs="Palatino Linotype"/>
          <w:i/>
          <w:iCs/>
          <w:sz w:val="22"/>
          <w:szCs w:val="22"/>
        </w:rPr>
      </w:pPr>
    </w:p>
    <w:p w:rsidR="00DE06EF" w:rsidRPr="004F2E39" w:rsidRDefault="00490329">
      <w:pPr>
        <w:spacing w:line="276" w:lineRule="auto"/>
        <w:ind w:left="567" w:right="616"/>
        <w:jc w:val="both"/>
        <w:rPr>
          <w:rFonts w:ascii="Palatino Linotype" w:eastAsia="Palatino Linotype" w:hAnsi="Palatino Linotype" w:cs="Palatino Linotype"/>
          <w:i/>
          <w:iCs/>
          <w:sz w:val="22"/>
          <w:szCs w:val="22"/>
        </w:rPr>
      </w:pPr>
      <w:r w:rsidRPr="004F2E39">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4F2E39">
        <w:rPr>
          <w:rFonts w:ascii="Palatino Linotype" w:eastAsia="Palatino Linotype" w:hAnsi="Palatino Linotype" w:cs="Palatino Linotype"/>
          <w:i/>
          <w:iCs/>
          <w:sz w:val="22"/>
          <w:szCs w:val="22"/>
        </w:rPr>
        <w:t>.”</w:t>
      </w:r>
    </w:p>
    <w:p w:rsidR="00DE06EF" w:rsidRPr="004F2E39" w:rsidRDefault="00DE06EF">
      <w:pPr>
        <w:spacing w:line="360" w:lineRule="auto"/>
        <w:jc w:val="both"/>
        <w:rPr>
          <w:rFonts w:ascii="Palatino Linotype" w:eastAsia="Palatino Linotype" w:hAnsi="Palatino Linotype" w:cs="Palatino Linotype"/>
          <w:sz w:val="22"/>
          <w:szCs w:val="22"/>
        </w:rPr>
      </w:pPr>
    </w:p>
    <w:p w:rsidR="00DE06EF" w:rsidRPr="004F2E39" w:rsidRDefault="00490329">
      <w:pPr>
        <w:spacing w:line="360" w:lineRule="auto"/>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DE06EF" w:rsidRPr="004F2E39" w:rsidRDefault="00DE06EF">
      <w:pPr>
        <w:spacing w:line="360" w:lineRule="auto"/>
        <w:jc w:val="both"/>
        <w:rPr>
          <w:rFonts w:ascii="Palatino Linotype" w:eastAsia="Palatino Linotype" w:hAnsi="Palatino Linotype" w:cs="Palatino Linotype"/>
          <w:sz w:val="22"/>
          <w:szCs w:val="22"/>
        </w:rPr>
      </w:pPr>
    </w:p>
    <w:p w:rsidR="00DE06EF" w:rsidRPr="004F2E39" w:rsidRDefault="00490329">
      <w:pPr>
        <w:spacing w:line="276" w:lineRule="auto"/>
        <w:ind w:left="567" w:right="616"/>
        <w:jc w:val="both"/>
        <w:rPr>
          <w:rFonts w:ascii="Palatino Linotype" w:eastAsia="Palatino Linotype" w:hAnsi="Palatino Linotype" w:cs="Palatino Linotype"/>
          <w:i/>
          <w:iCs/>
          <w:sz w:val="22"/>
          <w:szCs w:val="22"/>
        </w:rPr>
      </w:pPr>
      <w:r w:rsidRPr="004F2E39">
        <w:rPr>
          <w:rFonts w:ascii="Palatino Linotype" w:eastAsia="Palatino Linotype" w:hAnsi="Palatino Linotype" w:cs="Palatino Linotype"/>
          <w:b/>
          <w:bCs/>
          <w:i/>
          <w:iCs/>
          <w:sz w:val="22"/>
          <w:szCs w:val="22"/>
        </w:rPr>
        <w:t>“Artículo 12.-</w:t>
      </w:r>
      <w:r w:rsidRPr="004F2E39">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rsidR="00DE06EF" w:rsidRPr="004F2E39" w:rsidRDefault="00DE06EF">
      <w:pPr>
        <w:spacing w:line="276" w:lineRule="auto"/>
        <w:ind w:left="567" w:right="616"/>
        <w:jc w:val="both"/>
        <w:rPr>
          <w:rFonts w:ascii="Palatino Linotype" w:eastAsia="Palatino Linotype" w:hAnsi="Palatino Linotype" w:cs="Palatino Linotype"/>
          <w:i/>
          <w:iCs/>
          <w:sz w:val="22"/>
          <w:szCs w:val="22"/>
        </w:rPr>
      </w:pPr>
    </w:p>
    <w:p w:rsidR="00DE06EF" w:rsidRPr="004F2E39" w:rsidRDefault="00490329">
      <w:pPr>
        <w:spacing w:line="276" w:lineRule="auto"/>
        <w:ind w:left="567" w:right="616"/>
        <w:jc w:val="both"/>
        <w:rPr>
          <w:rFonts w:ascii="Palatino Linotype" w:eastAsia="Palatino Linotype" w:hAnsi="Palatino Linotype" w:cs="Palatino Linotype"/>
          <w:b/>
          <w:bCs/>
          <w:i/>
          <w:iCs/>
          <w:sz w:val="22"/>
          <w:szCs w:val="22"/>
        </w:rPr>
      </w:pPr>
      <w:r w:rsidRPr="004F2E39">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4F2E39">
        <w:rPr>
          <w:rFonts w:ascii="Palatino Linotype" w:eastAsia="Palatino Linotype" w:hAnsi="Palatino Linotype" w:cs="Palatino Linotype"/>
          <w:i/>
          <w:iCs/>
          <w:sz w:val="22"/>
          <w:szCs w:val="22"/>
        </w:rPr>
        <w:t xml:space="preserve">. </w:t>
      </w:r>
      <w:r w:rsidRPr="004F2E39">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rsidR="00DE06EF" w:rsidRPr="004F2E39" w:rsidRDefault="00DE06EF">
      <w:pPr>
        <w:spacing w:line="360" w:lineRule="auto"/>
        <w:ind w:left="567" w:right="616"/>
        <w:jc w:val="both"/>
        <w:rPr>
          <w:rFonts w:ascii="Palatino Linotype" w:eastAsia="Palatino Linotype" w:hAnsi="Palatino Linotype" w:cs="Palatino Linotype"/>
          <w:i/>
          <w:iCs/>
          <w:sz w:val="22"/>
          <w:szCs w:val="22"/>
        </w:rPr>
      </w:pPr>
    </w:p>
    <w:p w:rsidR="00DE06EF" w:rsidRPr="004F2E39" w:rsidRDefault="00490329">
      <w:pPr>
        <w:spacing w:line="360" w:lineRule="auto"/>
        <w:ind w:right="-93"/>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DE06EF" w:rsidRPr="004F2E39" w:rsidRDefault="00DE06EF">
      <w:pPr>
        <w:spacing w:line="360" w:lineRule="auto"/>
        <w:ind w:right="-93"/>
        <w:jc w:val="both"/>
        <w:rPr>
          <w:rFonts w:ascii="Palatino Linotype" w:eastAsia="Palatino Linotype" w:hAnsi="Palatino Linotype" w:cs="Palatino Linotype"/>
          <w:sz w:val="22"/>
          <w:szCs w:val="22"/>
        </w:rPr>
      </w:pPr>
    </w:p>
    <w:p w:rsidR="00DE06EF" w:rsidRPr="004F2E39" w:rsidRDefault="00490329">
      <w:pPr>
        <w:spacing w:line="360" w:lineRule="auto"/>
        <w:jc w:val="both"/>
        <w:rPr>
          <w:rFonts w:ascii="Palatino Linotype" w:eastAsia="Palatino Linotype" w:hAnsi="Palatino Linotype" w:cs="Palatino Linotype"/>
          <w:b/>
          <w:bCs/>
          <w:sz w:val="22"/>
          <w:szCs w:val="22"/>
        </w:rPr>
      </w:pPr>
      <w:r w:rsidRPr="004F2E39">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4F2E39">
        <w:rPr>
          <w:rFonts w:ascii="Palatino Linotype" w:eastAsia="Palatino Linotype" w:hAnsi="Palatino Linotype" w:cs="Palatino Linotype"/>
          <w:b/>
          <w:bCs/>
          <w:sz w:val="22"/>
          <w:szCs w:val="22"/>
        </w:rPr>
        <w:t xml:space="preserve"> </w:t>
      </w:r>
    </w:p>
    <w:p w:rsidR="00DE06EF" w:rsidRPr="004F2E39" w:rsidRDefault="00490329">
      <w:pPr>
        <w:spacing w:line="276" w:lineRule="auto"/>
        <w:ind w:left="567" w:right="616"/>
        <w:jc w:val="both"/>
        <w:rPr>
          <w:rFonts w:ascii="Palatino Linotype" w:eastAsia="Palatino Linotype" w:hAnsi="Palatino Linotype" w:cs="Palatino Linotype"/>
          <w:i/>
          <w:iCs/>
          <w:sz w:val="22"/>
          <w:szCs w:val="22"/>
        </w:rPr>
      </w:pPr>
      <w:r w:rsidRPr="004F2E39">
        <w:rPr>
          <w:rFonts w:ascii="Palatino Linotype" w:eastAsia="Palatino Linotype" w:hAnsi="Palatino Linotype" w:cs="Palatino Linotype"/>
          <w:i/>
          <w:iCs/>
          <w:sz w:val="22"/>
          <w:szCs w:val="22"/>
        </w:rPr>
        <w:t>“</w:t>
      </w:r>
      <w:r w:rsidRPr="004F2E39">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4F2E39">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DE06EF" w:rsidRPr="004F2E39" w:rsidRDefault="00DE06EF">
      <w:pPr>
        <w:spacing w:line="360" w:lineRule="auto"/>
        <w:ind w:right="-93"/>
        <w:jc w:val="both"/>
        <w:rPr>
          <w:rFonts w:ascii="Palatino Linotype" w:eastAsia="Palatino Linotype" w:hAnsi="Palatino Linotype" w:cs="Palatino Linotype"/>
          <w:sz w:val="22"/>
          <w:szCs w:val="22"/>
        </w:rPr>
      </w:pPr>
    </w:p>
    <w:p w:rsidR="00DE06EF" w:rsidRPr="004F2E39" w:rsidRDefault="00490329">
      <w:pPr>
        <w:spacing w:line="360" w:lineRule="auto"/>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DE06EF" w:rsidRPr="004F2E39" w:rsidRDefault="00DE06EF">
      <w:pPr>
        <w:spacing w:line="360" w:lineRule="auto"/>
        <w:jc w:val="both"/>
        <w:rPr>
          <w:rFonts w:ascii="Palatino Linotype" w:eastAsia="Palatino Linotype" w:hAnsi="Palatino Linotype" w:cs="Palatino Linotype"/>
          <w:sz w:val="22"/>
          <w:szCs w:val="22"/>
        </w:rPr>
      </w:pPr>
    </w:p>
    <w:p w:rsidR="00DE06EF" w:rsidRPr="004F2E39" w:rsidRDefault="00490329">
      <w:pPr>
        <w:spacing w:line="360" w:lineRule="auto"/>
        <w:ind w:right="49"/>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DE06EF" w:rsidRPr="004F2E39" w:rsidRDefault="00DE06EF">
      <w:pPr>
        <w:spacing w:line="360" w:lineRule="auto"/>
        <w:ind w:right="49"/>
        <w:jc w:val="both"/>
        <w:rPr>
          <w:rFonts w:ascii="Palatino Linotype" w:eastAsia="Palatino Linotype" w:hAnsi="Palatino Linotype" w:cs="Palatino Linotype"/>
          <w:sz w:val="22"/>
          <w:szCs w:val="22"/>
        </w:rPr>
      </w:pPr>
    </w:p>
    <w:p w:rsidR="00DE06EF" w:rsidRPr="004F2E39" w:rsidRDefault="00490329">
      <w:pPr>
        <w:spacing w:line="360" w:lineRule="auto"/>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DE06EF" w:rsidRPr="004F2E39" w:rsidRDefault="00DE06EF">
      <w:pPr>
        <w:spacing w:line="360" w:lineRule="auto"/>
        <w:ind w:left="851" w:right="899"/>
        <w:jc w:val="both"/>
        <w:rPr>
          <w:rFonts w:ascii="Palatino Linotype" w:eastAsia="Palatino Linotype" w:hAnsi="Palatino Linotype" w:cs="Palatino Linotype"/>
          <w:i/>
          <w:iCs/>
          <w:sz w:val="22"/>
          <w:szCs w:val="22"/>
        </w:rPr>
      </w:pPr>
    </w:p>
    <w:p w:rsidR="00DE06EF" w:rsidRPr="004F2E39" w:rsidRDefault="00490329">
      <w:pPr>
        <w:spacing w:line="276" w:lineRule="auto"/>
        <w:ind w:left="567" w:right="616"/>
        <w:jc w:val="both"/>
        <w:rPr>
          <w:rFonts w:ascii="Palatino Linotype" w:eastAsia="Palatino Linotype" w:hAnsi="Palatino Linotype" w:cs="Palatino Linotype"/>
          <w:i/>
          <w:iCs/>
          <w:sz w:val="22"/>
          <w:szCs w:val="22"/>
        </w:rPr>
      </w:pPr>
      <w:r w:rsidRPr="004F2E39">
        <w:rPr>
          <w:rFonts w:ascii="Palatino Linotype" w:eastAsia="Palatino Linotype" w:hAnsi="Palatino Linotype" w:cs="Palatino Linotype"/>
          <w:i/>
          <w:iCs/>
          <w:sz w:val="22"/>
          <w:szCs w:val="22"/>
        </w:rPr>
        <w:t>“</w:t>
      </w:r>
      <w:r w:rsidRPr="004F2E39">
        <w:rPr>
          <w:rFonts w:ascii="Palatino Linotype" w:eastAsia="Palatino Linotype" w:hAnsi="Palatino Linotype" w:cs="Palatino Linotype"/>
          <w:b/>
          <w:bCs/>
          <w:i/>
          <w:iCs/>
          <w:sz w:val="22"/>
          <w:szCs w:val="22"/>
        </w:rPr>
        <w:t xml:space="preserve">Artículo 3. </w:t>
      </w:r>
      <w:r w:rsidRPr="004F2E39">
        <w:rPr>
          <w:rFonts w:ascii="Palatino Linotype" w:eastAsia="Palatino Linotype" w:hAnsi="Palatino Linotype" w:cs="Palatino Linotype"/>
          <w:i/>
          <w:iCs/>
          <w:sz w:val="22"/>
          <w:szCs w:val="22"/>
        </w:rPr>
        <w:t>Para los efectos de la presente Ley se entenderá por:</w:t>
      </w:r>
    </w:p>
    <w:p w:rsidR="00DE06EF" w:rsidRPr="004F2E39" w:rsidRDefault="00490329">
      <w:pPr>
        <w:spacing w:line="276" w:lineRule="auto"/>
        <w:ind w:left="567" w:right="616"/>
        <w:jc w:val="both"/>
        <w:rPr>
          <w:rFonts w:ascii="Palatino Linotype" w:eastAsia="Palatino Linotype" w:hAnsi="Palatino Linotype" w:cs="Palatino Linotype"/>
          <w:i/>
          <w:iCs/>
          <w:sz w:val="22"/>
          <w:szCs w:val="22"/>
        </w:rPr>
      </w:pPr>
      <w:r w:rsidRPr="004F2E39">
        <w:rPr>
          <w:rFonts w:ascii="Palatino Linotype" w:eastAsia="Palatino Linotype" w:hAnsi="Palatino Linotype" w:cs="Palatino Linotype"/>
          <w:i/>
          <w:iCs/>
          <w:sz w:val="22"/>
          <w:szCs w:val="22"/>
        </w:rPr>
        <w:t>…</w:t>
      </w:r>
    </w:p>
    <w:p w:rsidR="00DE06EF" w:rsidRPr="004F2E39" w:rsidRDefault="00490329">
      <w:pPr>
        <w:spacing w:line="276" w:lineRule="auto"/>
        <w:ind w:left="567" w:right="616"/>
        <w:jc w:val="both"/>
        <w:rPr>
          <w:rFonts w:ascii="Palatino Linotype" w:eastAsia="Palatino Linotype" w:hAnsi="Palatino Linotype" w:cs="Palatino Linotype"/>
          <w:i/>
          <w:iCs/>
          <w:sz w:val="22"/>
          <w:szCs w:val="22"/>
        </w:rPr>
      </w:pPr>
      <w:r w:rsidRPr="004F2E39">
        <w:rPr>
          <w:rFonts w:ascii="Palatino Linotype" w:eastAsia="Palatino Linotype" w:hAnsi="Palatino Linotype" w:cs="Palatino Linotype"/>
          <w:b/>
          <w:bCs/>
          <w:i/>
          <w:iCs/>
          <w:sz w:val="22"/>
          <w:szCs w:val="22"/>
        </w:rPr>
        <w:t>XI. Documento:</w:t>
      </w:r>
      <w:r w:rsidRPr="004F2E39">
        <w:rPr>
          <w:rFonts w:ascii="Palatino Linotype" w:eastAsia="Palatino Linotype" w:hAnsi="Palatino Linotype" w:cs="Palatino Linotype"/>
          <w:i/>
          <w:iCs/>
          <w:sz w:val="22"/>
          <w:szCs w:val="22"/>
        </w:rPr>
        <w:t xml:space="preserve"> Los expedientes, reportes, estudios, actas</w:t>
      </w:r>
      <w:r w:rsidRPr="004F2E39">
        <w:rPr>
          <w:rFonts w:ascii="Palatino Linotype" w:eastAsia="Palatino Linotype" w:hAnsi="Palatino Linotype" w:cs="Palatino Linotype"/>
          <w:b/>
          <w:bCs/>
          <w:i/>
          <w:iCs/>
          <w:sz w:val="22"/>
          <w:szCs w:val="22"/>
        </w:rPr>
        <w:t>,</w:t>
      </w:r>
      <w:r w:rsidRPr="004F2E39">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DE06EF" w:rsidRPr="004F2E39" w:rsidRDefault="00DE06EF">
      <w:pPr>
        <w:spacing w:line="360" w:lineRule="auto"/>
        <w:ind w:left="851" w:right="899"/>
        <w:jc w:val="both"/>
        <w:rPr>
          <w:rFonts w:ascii="Palatino Linotype" w:eastAsia="Palatino Linotype" w:hAnsi="Palatino Linotype" w:cs="Palatino Linotype"/>
          <w:sz w:val="22"/>
          <w:szCs w:val="22"/>
        </w:rPr>
      </w:pPr>
    </w:p>
    <w:p w:rsidR="00DE06EF" w:rsidRPr="004F2E39" w:rsidRDefault="00490329">
      <w:pPr>
        <w:spacing w:line="360" w:lineRule="auto"/>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DE06EF" w:rsidRPr="004F2E39" w:rsidRDefault="00DE06EF">
      <w:pPr>
        <w:spacing w:line="360" w:lineRule="auto"/>
        <w:jc w:val="both"/>
        <w:rPr>
          <w:rFonts w:ascii="Palatino Linotype" w:eastAsia="Palatino Linotype" w:hAnsi="Palatino Linotype" w:cs="Palatino Linotype"/>
          <w:sz w:val="22"/>
          <w:szCs w:val="22"/>
        </w:rPr>
      </w:pPr>
    </w:p>
    <w:p w:rsidR="00DE06EF" w:rsidRPr="004F2E39" w:rsidRDefault="00490329">
      <w:pPr>
        <w:spacing w:line="276" w:lineRule="auto"/>
        <w:ind w:left="567" w:right="616"/>
        <w:jc w:val="both"/>
        <w:rPr>
          <w:rFonts w:ascii="Palatino Linotype" w:eastAsia="Palatino Linotype" w:hAnsi="Palatino Linotype" w:cs="Palatino Linotype"/>
          <w:b/>
          <w:bCs/>
          <w:i/>
          <w:iCs/>
          <w:sz w:val="22"/>
          <w:szCs w:val="22"/>
        </w:rPr>
      </w:pPr>
      <w:r w:rsidRPr="004F2E39">
        <w:rPr>
          <w:rFonts w:ascii="Palatino Linotype" w:eastAsia="Palatino Linotype" w:hAnsi="Palatino Linotype" w:cs="Palatino Linotype"/>
          <w:b/>
          <w:bCs/>
          <w:sz w:val="22"/>
          <w:szCs w:val="22"/>
        </w:rPr>
        <w:t>“</w:t>
      </w:r>
      <w:r w:rsidRPr="004F2E39">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4F2E39">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E06EF" w:rsidRPr="004F2E39" w:rsidRDefault="00490329">
      <w:pPr>
        <w:spacing w:line="276" w:lineRule="auto"/>
        <w:ind w:left="567" w:right="616"/>
        <w:jc w:val="both"/>
        <w:rPr>
          <w:rFonts w:ascii="Palatino Linotype" w:eastAsia="Palatino Linotype" w:hAnsi="Palatino Linotype" w:cs="Palatino Linotype"/>
          <w:i/>
          <w:iCs/>
          <w:sz w:val="22"/>
          <w:szCs w:val="22"/>
        </w:rPr>
      </w:pPr>
      <w:r w:rsidRPr="004F2E39">
        <w:rPr>
          <w:rFonts w:ascii="Palatino Linotype" w:eastAsia="Palatino Linotype" w:hAnsi="Palatino Linotype" w:cs="Palatino Linotype"/>
          <w:i/>
          <w:iCs/>
          <w:sz w:val="22"/>
          <w:szCs w:val="22"/>
        </w:rPr>
        <w:t>En consecuencia el acceso a la información se refiere a que se cumplan cualquiera de los siguientes tres supuestos:</w:t>
      </w:r>
    </w:p>
    <w:p w:rsidR="00DE06EF" w:rsidRPr="004F2E39" w:rsidRDefault="00490329">
      <w:pPr>
        <w:spacing w:line="276" w:lineRule="auto"/>
        <w:ind w:left="567" w:right="616"/>
        <w:jc w:val="both"/>
        <w:rPr>
          <w:rFonts w:ascii="Palatino Linotype" w:eastAsia="Palatino Linotype" w:hAnsi="Palatino Linotype" w:cs="Palatino Linotype"/>
          <w:i/>
          <w:iCs/>
          <w:sz w:val="22"/>
          <w:szCs w:val="22"/>
        </w:rPr>
      </w:pPr>
      <w:r w:rsidRPr="004F2E39">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rsidR="00DE06EF" w:rsidRPr="004F2E39" w:rsidRDefault="00490329">
      <w:pPr>
        <w:spacing w:line="276" w:lineRule="auto"/>
        <w:ind w:left="567" w:right="616"/>
        <w:jc w:val="both"/>
        <w:rPr>
          <w:rFonts w:ascii="Palatino Linotype" w:eastAsia="Palatino Linotype" w:hAnsi="Palatino Linotype" w:cs="Palatino Linotype"/>
          <w:b/>
          <w:bCs/>
          <w:i/>
          <w:iCs/>
          <w:sz w:val="22"/>
          <w:szCs w:val="22"/>
        </w:rPr>
      </w:pPr>
      <w:r w:rsidRPr="004F2E39">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rsidR="00DE06EF" w:rsidRPr="004F2E39" w:rsidRDefault="00490329">
      <w:pPr>
        <w:spacing w:line="276" w:lineRule="auto"/>
        <w:ind w:left="567" w:right="616"/>
        <w:jc w:val="both"/>
        <w:rPr>
          <w:rFonts w:ascii="Palatino Linotype" w:eastAsia="Palatino Linotype" w:hAnsi="Palatino Linotype" w:cs="Palatino Linotype"/>
          <w:b/>
          <w:bCs/>
          <w:i/>
          <w:iCs/>
          <w:sz w:val="22"/>
          <w:szCs w:val="22"/>
        </w:rPr>
      </w:pPr>
      <w:r w:rsidRPr="004F2E39">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rsidR="00DE06EF" w:rsidRPr="004F2E39" w:rsidRDefault="00DE06EF">
      <w:pPr>
        <w:spacing w:line="276" w:lineRule="auto"/>
        <w:ind w:left="567" w:right="616"/>
        <w:jc w:val="both"/>
        <w:rPr>
          <w:rFonts w:ascii="Palatino Linotype" w:eastAsia="Palatino Linotype" w:hAnsi="Palatino Linotype" w:cs="Palatino Linotype"/>
          <w:b/>
          <w:bCs/>
          <w:i/>
          <w:iCs/>
          <w:sz w:val="22"/>
          <w:szCs w:val="22"/>
        </w:rPr>
      </w:pPr>
    </w:p>
    <w:p w:rsidR="00DE06EF" w:rsidRPr="004F2E39" w:rsidRDefault="00490329">
      <w:pPr>
        <w:spacing w:line="360" w:lineRule="auto"/>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 xml:space="preserve">De ahí que el </w:t>
      </w:r>
      <w:r w:rsidRPr="004F2E39">
        <w:rPr>
          <w:rFonts w:ascii="Palatino Linotype" w:eastAsia="Palatino Linotype" w:hAnsi="Palatino Linotype" w:cs="Palatino Linotype"/>
          <w:b/>
          <w:bCs/>
          <w:sz w:val="22"/>
          <w:szCs w:val="22"/>
        </w:rPr>
        <w:t>Sujeto Obligado</w:t>
      </w:r>
      <w:r w:rsidRPr="004F2E39">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4F2E39">
        <w:rPr>
          <w:rFonts w:ascii="Palatino Linotype" w:eastAsia="Palatino Linotype" w:hAnsi="Palatino Linotype" w:cs="Palatino Linotype"/>
          <w:sz w:val="22"/>
          <w:szCs w:val="22"/>
          <w:vertAlign w:val="superscript"/>
        </w:rPr>
        <w:footnoteReference w:id="1"/>
      </w:r>
      <w:r w:rsidRPr="004F2E39">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4F2E39">
        <w:rPr>
          <w:rFonts w:ascii="Palatino Linotype" w:eastAsia="Palatino Linotype" w:hAnsi="Palatino Linotype" w:cs="Palatino Linotype"/>
          <w:sz w:val="22"/>
          <w:szCs w:val="22"/>
          <w:vertAlign w:val="superscript"/>
        </w:rPr>
        <w:footnoteReference w:id="2"/>
      </w:r>
      <w:r w:rsidRPr="004F2E39">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rsidR="00DE06EF" w:rsidRPr="004F2E39" w:rsidRDefault="00DE06E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DE06EF" w:rsidRPr="004F2E39" w:rsidRDefault="00490329">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bookmarkStart w:id="8" w:name="_heading=h.1y810tw" w:colFirst="0" w:colLast="0"/>
      <w:bookmarkEnd w:id="8"/>
      <w:r w:rsidRPr="004F2E39">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w:t>
      </w:r>
      <w:r w:rsidRPr="004F2E39">
        <w:rPr>
          <w:rFonts w:ascii="Palatino Linotype" w:eastAsia="Palatino Linotype" w:hAnsi="Palatino Linotype" w:cs="Palatino Linotype"/>
          <w:b/>
          <w:bCs/>
          <w:sz w:val="22"/>
          <w:szCs w:val="22"/>
        </w:rPr>
        <w:t>de la persona señalada en la solicitud:</w:t>
      </w:r>
    </w:p>
    <w:p w:rsidR="00DE06EF" w:rsidRPr="004F2E39" w:rsidRDefault="00DE06EF">
      <w:pPr>
        <w:spacing w:line="360" w:lineRule="auto"/>
        <w:ind w:right="49"/>
        <w:jc w:val="both"/>
        <w:rPr>
          <w:rFonts w:ascii="Palatino Linotype" w:eastAsia="Palatino Linotype" w:hAnsi="Palatino Linotype" w:cs="Palatino Linotype"/>
          <w:b/>
          <w:bCs/>
          <w:sz w:val="22"/>
          <w:szCs w:val="22"/>
        </w:rPr>
      </w:pPr>
    </w:p>
    <w:p w:rsidR="00DE06EF" w:rsidRPr="004F2E39" w:rsidRDefault="00490329">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sz w:val="22"/>
          <w:szCs w:val="22"/>
        </w:rPr>
      </w:pPr>
      <w:r w:rsidRPr="004F2E39">
        <w:rPr>
          <w:rFonts w:ascii="Palatino Linotype" w:eastAsia="Palatino Linotype" w:hAnsi="Palatino Linotype" w:cs="Palatino Linotype"/>
          <w:b/>
          <w:bCs/>
          <w:color w:val="000000"/>
          <w:sz w:val="22"/>
          <w:szCs w:val="22"/>
        </w:rPr>
        <w:t>Cargo y sueldo mensual bruto y neto que percibía en la Administración Pública Municipal 2019-2021.</w:t>
      </w:r>
    </w:p>
    <w:p w:rsidR="00DE06EF" w:rsidRPr="004F2E39" w:rsidRDefault="00DE06EF">
      <w:pPr>
        <w:spacing w:line="360" w:lineRule="auto"/>
        <w:ind w:right="49"/>
        <w:jc w:val="both"/>
        <w:rPr>
          <w:rFonts w:ascii="Palatino Linotype" w:eastAsia="Palatino Linotype" w:hAnsi="Palatino Linotype" w:cs="Palatino Linotype"/>
          <w:sz w:val="22"/>
          <w:szCs w:val="22"/>
        </w:rPr>
      </w:pPr>
    </w:p>
    <w:p w:rsidR="00DE06EF" w:rsidRPr="004F2E39" w:rsidRDefault="0049032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 xml:space="preserve">Sobre lo anterior, </w:t>
      </w:r>
      <w:r w:rsidRPr="004F2E39">
        <w:rPr>
          <w:rFonts w:ascii="Palatino Linotype" w:eastAsia="Palatino Linotype" w:hAnsi="Palatino Linotype" w:cs="Palatino Linotype"/>
          <w:b/>
          <w:bCs/>
          <w:sz w:val="22"/>
          <w:szCs w:val="22"/>
        </w:rPr>
        <w:t xml:space="preserve">el Sujeto Obligado </w:t>
      </w:r>
      <w:r w:rsidRPr="004F2E39">
        <w:rPr>
          <w:rFonts w:ascii="Palatino Linotype" w:eastAsia="Palatino Linotype" w:hAnsi="Palatino Linotype" w:cs="Palatino Linotype"/>
          <w:sz w:val="22"/>
          <w:szCs w:val="22"/>
        </w:rPr>
        <w:t>por conducto de la Tesorería Municipal, refirió que después de una búsqueda exhaustiva en los archivos físicos y digitales no se encontró información alguna a nombre de la persona referida en la solicitud de información.</w:t>
      </w:r>
    </w:p>
    <w:p w:rsidR="00DE06EF" w:rsidRPr="004F2E39" w:rsidRDefault="00DE06E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DE06EF" w:rsidRPr="004F2E39" w:rsidRDefault="00490329">
      <w:p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4F2E39">
        <w:rPr>
          <w:rFonts w:ascii="Palatino Linotype" w:eastAsia="Palatino Linotype" w:hAnsi="Palatino Linotype" w:cs="Palatino Linotype"/>
          <w:sz w:val="22"/>
          <w:szCs w:val="22"/>
        </w:rPr>
        <w:t xml:space="preserve">Inconforme con la respuesta, la parte </w:t>
      </w:r>
      <w:r w:rsidRPr="004F2E39">
        <w:rPr>
          <w:rFonts w:ascii="Palatino Linotype" w:eastAsia="Palatino Linotype" w:hAnsi="Palatino Linotype" w:cs="Palatino Linotype"/>
          <w:b/>
          <w:bCs/>
          <w:sz w:val="22"/>
          <w:szCs w:val="22"/>
        </w:rPr>
        <w:t xml:space="preserve">Recurrente </w:t>
      </w:r>
      <w:r w:rsidRPr="004F2E39">
        <w:rPr>
          <w:rFonts w:ascii="Palatino Linotype" w:eastAsia="Palatino Linotype" w:hAnsi="Palatino Linotype" w:cs="Palatino Linotype"/>
          <w:sz w:val="22"/>
          <w:szCs w:val="22"/>
        </w:rPr>
        <w:t xml:space="preserve">promovió el presente recurso de revisión en el que a manera de motivos de inconformidad </w:t>
      </w:r>
      <w:r w:rsidRPr="004F2E39">
        <w:rPr>
          <w:rFonts w:ascii="Palatino Linotype" w:eastAsia="Palatino Linotype" w:hAnsi="Palatino Linotype" w:cs="Palatino Linotype"/>
          <w:b/>
          <w:bCs/>
          <w:sz w:val="22"/>
          <w:szCs w:val="22"/>
        </w:rPr>
        <w:t>se adolece medularmente de la negativa a la entrega de lo requerido, ya que a su consideración la persona que refirió en su solicitud laboró en la administración anterior o en los años indicados en la solicitud.</w:t>
      </w:r>
    </w:p>
    <w:p w:rsidR="00DE06EF" w:rsidRPr="004F2E39" w:rsidRDefault="00DE06EF">
      <w:p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p>
    <w:p w:rsidR="00DE06EF" w:rsidRPr="004F2E39" w:rsidRDefault="0049032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 xml:space="preserve">A lo anterior, el particular adjuntó a su recurso de revisión un archivo que contiene un curriculum en formato oficial del Ayuntamiento de Calimaya a nombre de la persona referida en la solicitud, donde se indica que laboró en dicho ente público en el ejercicio 2022. </w:t>
      </w:r>
      <w:r w:rsidRPr="004F2E39">
        <w:rPr>
          <w:rFonts w:ascii="Palatino Linotype" w:eastAsia="Palatino Linotype" w:hAnsi="Palatino Linotype" w:cs="Palatino Linotype"/>
          <w:b/>
          <w:bCs/>
          <w:sz w:val="22"/>
          <w:szCs w:val="22"/>
        </w:rPr>
        <w:t xml:space="preserve"> </w:t>
      </w:r>
    </w:p>
    <w:p w:rsidR="00DE06EF" w:rsidRPr="004F2E39" w:rsidRDefault="00DE06EF">
      <w:pPr>
        <w:spacing w:line="360" w:lineRule="auto"/>
        <w:ind w:right="49"/>
        <w:jc w:val="both"/>
        <w:rPr>
          <w:rFonts w:ascii="Palatino Linotype" w:eastAsia="Palatino Linotype" w:hAnsi="Palatino Linotype" w:cs="Palatino Linotype"/>
          <w:sz w:val="22"/>
          <w:szCs w:val="22"/>
        </w:rPr>
      </w:pPr>
    </w:p>
    <w:p w:rsidR="00DE06EF" w:rsidRPr="004F2E39" w:rsidRDefault="00490329">
      <w:pPr>
        <w:spacing w:line="360" w:lineRule="auto"/>
        <w:jc w:val="both"/>
        <w:rPr>
          <w:rFonts w:ascii="Palatino Linotype" w:eastAsia="Palatino Linotype" w:hAnsi="Palatino Linotype" w:cs="Palatino Linotype"/>
          <w:color w:val="000000"/>
          <w:sz w:val="22"/>
          <w:szCs w:val="22"/>
        </w:rPr>
      </w:pPr>
      <w:r w:rsidRPr="004F2E39">
        <w:rPr>
          <w:rFonts w:ascii="Palatino Linotype" w:eastAsia="Palatino Linotype" w:hAnsi="Palatino Linotype" w:cs="Palatino Linotype"/>
          <w:color w:val="000000"/>
          <w:sz w:val="22"/>
          <w:szCs w:val="22"/>
        </w:rPr>
        <w:t>Admitido el presente recurso de revisión, en términos del artículo 185 fracción II</w:t>
      </w:r>
      <w:r w:rsidRPr="004F2E39">
        <w:rPr>
          <w:rFonts w:ascii="Palatino Linotype" w:eastAsia="Palatino Linotype" w:hAnsi="Palatino Linotype" w:cs="Palatino Linotype"/>
          <w:color w:val="000000"/>
          <w:sz w:val="22"/>
          <w:szCs w:val="22"/>
          <w:vertAlign w:val="superscript"/>
        </w:rPr>
        <w:footnoteReference w:id="3"/>
      </w:r>
      <w:r w:rsidRPr="004F2E39">
        <w:rPr>
          <w:rFonts w:ascii="Palatino Linotype" w:eastAsia="Palatino Linotype" w:hAnsi="Palatino Linotype" w:cs="Palatino Linotype"/>
          <w:color w:val="000000"/>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DE06EF" w:rsidRPr="004F2E39" w:rsidRDefault="00DE06EF">
      <w:pPr>
        <w:spacing w:line="360" w:lineRule="auto"/>
        <w:jc w:val="both"/>
        <w:rPr>
          <w:rFonts w:ascii="Palatino Linotype" w:eastAsia="Palatino Linotype" w:hAnsi="Palatino Linotype" w:cs="Palatino Linotype"/>
          <w:color w:val="000000"/>
          <w:sz w:val="22"/>
          <w:szCs w:val="22"/>
        </w:rPr>
      </w:pPr>
    </w:p>
    <w:p w:rsidR="00DE06EF" w:rsidRPr="004F2E39" w:rsidRDefault="00490329">
      <w:pPr>
        <w:spacing w:line="360" w:lineRule="auto"/>
        <w:jc w:val="both"/>
        <w:rPr>
          <w:rFonts w:ascii="Palatino Linotype" w:eastAsia="Palatino Linotype" w:hAnsi="Palatino Linotype" w:cs="Palatino Linotype"/>
          <w:color w:val="000000"/>
          <w:sz w:val="22"/>
          <w:szCs w:val="22"/>
        </w:rPr>
      </w:pPr>
      <w:r w:rsidRPr="004F2E39">
        <w:rPr>
          <w:rFonts w:ascii="Palatino Linotype" w:eastAsia="Palatino Linotype" w:hAnsi="Palatino Linotype" w:cs="Palatino Linotype"/>
          <w:color w:val="000000"/>
          <w:sz w:val="22"/>
          <w:szCs w:val="22"/>
        </w:rPr>
        <w:t>Cabe resaltar que, de las constancias que obran en el expediente electrónico en que se actúa, se advierte que las partes fueron omisas en rendir manifestaciones.</w:t>
      </w:r>
    </w:p>
    <w:p w:rsidR="00DE06EF" w:rsidRPr="004F2E39" w:rsidRDefault="00DE06EF">
      <w:pPr>
        <w:spacing w:line="360" w:lineRule="auto"/>
        <w:jc w:val="both"/>
        <w:rPr>
          <w:rFonts w:ascii="Palatino Linotype" w:eastAsia="Palatino Linotype" w:hAnsi="Palatino Linotype" w:cs="Palatino Linotype"/>
          <w:color w:val="000000"/>
          <w:sz w:val="22"/>
          <w:szCs w:val="22"/>
        </w:rPr>
      </w:pPr>
    </w:p>
    <w:p w:rsidR="00DE06EF" w:rsidRPr="004F2E39" w:rsidRDefault="00490329">
      <w:pPr>
        <w:spacing w:line="360" w:lineRule="auto"/>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Expuestas las posturas de las partes, en el caso es de recordar que quien se pronunció fue la Tesorería Municipal, misma que de acuerdo al organigrama que tiene publicado en el IPOMEX del Ayuntamiento de Calimaya, tiene bajo su estructura una Coordinación de Recursos Humanos, como se muestra:</w:t>
      </w:r>
    </w:p>
    <w:p w:rsidR="00DE06EF" w:rsidRPr="004F2E39" w:rsidRDefault="00DE06EF">
      <w:pPr>
        <w:spacing w:line="360" w:lineRule="auto"/>
        <w:jc w:val="both"/>
        <w:rPr>
          <w:rFonts w:ascii="Palatino Linotype" w:eastAsia="Palatino Linotype" w:hAnsi="Palatino Linotype" w:cs="Palatino Linotype"/>
          <w:sz w:val="22"/>
          <w:szCs w:val="22"/>
        </w:rPr>
      </w:pPr>
    </w:p>
    <w:p w:rsidR="00DE06EF" w:rsidRPr="004F2E39" w:rsidRDefault="00490329">
      <w:pPr>
        <w:spacing w:line="360" w:lineRule="auto"/>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noProof/>
          <w:sz w:val="22"/>
          <w:szCs w:val="22"/>
        </w:rPr>
        <w:drawing>
          <wp:inline distT="0" distB="0" distL="0" distR="0">
            <wp:extent cx="5610225" cy="2695575"/>
            <wp:effectExtent l="0" t="0" r="0" b="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0225" cy="2695575"/>
                    </a:xfrm>
                    <a:prstGeom prst="rect">
                      <a:avLst/>
                    </a:prstGeom>
                    <a:ln/>
                  </pic:spPr>
                </pic:pic>
              </a:graphicData>
            </a:graphic>
          </wp:inline>
        </w:drawing>
      </w:r>
    </w:p>
    <w:p w:rsidR="00DE06EF" w:rsidRPr="004F2E39" w:rsidRDefault="00DE06EF">
      <w:pPr>
        <w:spacing w:line="360" w:lineRule="auto"/>
        <w:jc w:val="both"/>
        <w:rPr>
          <w:rFonts w:ascii="Palatino Linotype" w:eastAsia="Palatino Linotype" w:hAnsi="Palatino Linotype" w:cs="Palatino Linotype"/>
          <w:sz w:val="22"/>
          <w:szCs w:val="22"/>
        </w:rPr>
      </w:pPr>
    </w:p>
    <w:p w:rsidR="00DE06EF" w:rsidRPr="004F2E39" w:rsidRDefault="00490329">
      <w:pPr>
        <w:spacing w:line="360" w:lineRule="auto"/>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Dicha Coordinación de Recursos Humanos dependiente de la Tesorería Municipal, se presume competente para conocer si en sus archivos obra información sobre si la persona referida en la solicitud de información laboró en el Ayuntamiento de Calimaya en la Administración Pública Municipal 2019-2021, ya que es el área que tiene las siguientes atribuciones:</w:t>
      </w:r>
    </w:p>
    <w:p w:rsidR="00DE06EF" w:rsidRPr="004F2E39" w:rsidRDefault="00DE06EF">
      <w:pPr>
        <w:spacing w:line="360" w:lineRule="auto"/>
        <w:jc w:val="both"/>
        <w:rPr>
          <w:rFonts w:ascii="Palatino Linotype" w:eastAsia="Palatino Linotype" w:hAnsi="Palatino Linotype" w:cs="Palatino Linotype"/>
          <w:sz w:val="22"/>
          <w:szCs w:val="22"/>
        </w:rPr>
      </w:pPr>
    </w:p>
    <w:p w:rsidR="00DE06EF" w:rsidRPr="004F2E39" w:rsidRDefault="0049032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4F2E39">
        <w:rPr>
          <w:rFonts w:ascii="Palatino Linotype" w:eastAsia="Palatino Linotype" w:hAnsi="Palatino Linotype" w:cs="Palatino Linotype"/>
          <w:b/>
          <w:bCs/>
          <w:color w:val="000000"/>
          <w:sz w:val="22"/>
          <w:szCs w:val="22"/>
        </w:rPr>
        <w:t>Contratar y asignar a las dependencias de la administración pública municipal el personal que requieran para el ejercicio de sus funciones</w:t>
      </w:r>
      <w:r w:rsidRPr="004F2E39">
        <w:rPr>
          <w:rFonts w:ascii="Palatino Linotype" w:eastAsia="Palatino Linotype" w:hAnsi="Palatino Linotype" w:cs="Palatino Linotype"/>
          <w:color w:val="000000"/>
          <w:sz w:val="22"/>
          <w:szCs w:val="22"/>
        </w:rPr>
        <w:t xml:space="preserve">; </w:t>
      </w:r>
    </w:p>
    <w:p w:rsidR="00DE06EF" w:rsidRPr="004F2E39" w:rsidRDefault="0049032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r w:rsidRPr="004F2E39">
        <w:rPr>
          <w:rFonts w:ascii="Palatino Linotype" w:eastAsia="Palatino Linotype" w:hAnsi="Palatino Linotype" w:cs="Palatino Linotype"/>
          <w:b/>
          <w:bCs/>
          <w:color w:val="000000"/>
          <w:sz w:val="22"/>
          <w:szCs w:val="22"/>
        </w:rPr>
        <w:t xml:space="preserve">Llevar la base de datos, registro y control del personal que labore en la administración pública, municipal; </w:t>
      </w:r>
    </w:p>
    <w:p w:rsidR="00DE06EF" w:rsidRPr="004F2E39" w:rsidRDefault="0049032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r w:rsidRPr="004F2E39">
        <w:rPr>
          <w:rFonts w:ascii="Palatino Linotype" w:eastAsia="Palatino Linotype" w:hAnsi="Palatino Linotype" w:cs="Palatino Linotype"/>
          <w:b/>
          <w:bCs/>
          <w:color w:val="000000"/>
          <w:sz w:val="22"/>
          <w:szCs w:val="22"/>
        </w:rPr>
        <w:t xml:space="preserve">Llevar el registro de los expedientes personales y nombramientos del personal adscrito a las dependencias; </w:t>
      </w:r>
    </w:p>
    <w:p w:rsidR="00DE06EF" w:rsidRPr="004F2E39" w:rsidRDefault="00DE06EF">
      <w:pPr>
        <w:spacing w:line="360" w:lineRule="auto"/>
        <w:jc w:val="both"/>
        <w:rPr>
          <w:rFonts w:ascii="Palatino Linotype" w:eastAsia="Palatino Linotype" w:hAnsi="Palatino Linotype" w:cs="Palatino Linotype"/>
          <w:sz w:val="22"/>
          <w:szCs w:val="22"/>
        </w:rPr>
      </w:pPr>
    </w:p>
    <w:p w:rsidR="00DE06EF" w:rsidRPr="004F2E39" w:rsidRDefault="00490329">
      <w:pPr>
        <w:spacing w:line="360" w:lineRule="auto"/>
        <w:ind w:right="49"/>
        <w:jc w:val="both"/>
        <w:rPr>
          <w:rFonts w:ascii="Palatino Linotype" w:eastAsia="Palatino Linotype" w:hAnsi="Palatino Linotype" w:cs="Palatino Linotype"/>
          <w:color w:val="000000"/>
          <w:sz w:val="22"/>
          <w:szCs w:val="22"/>
        </w:rPr>
      </w:pPr>
      <w:r w:rsidRPr="004F2E39">
        <w:rPr>
          <w:rFonts w:ascii="Palatino Linotype" w:eastAsia="Palatino Linotype" w:hAnsi="Palatino Linotype" w:cs="Palatino Linotype"/>
          <w:sz w:val="22"/>
          <w:szCs w:val="22"/>
        </w:rPr>
        <w:t xml:space="preserve">En ese sentido, se tiene que en el </w:t>
      </w:r>
      <w:r w:rsidRPr="004F2E39">
        <w:rPr>
          <w:rFonts w:ascii="Palatino Linotype" w:eastAsia="Palatino Linotype" w:hAnsi="Palatino Linotype" w:cs="Palatino Linotype"/>
          <w:color w:val="000000"/>
          <w:sz w:val="22"/>
          <w:szCs w:val="22"/>
        </w:rPr>
        <w:t>caso se cumplió con el procedimiento establecido por el artículo 162 de la Ley de Transparencia y Acceso a la Información Pública del Estado de México y Municipios, ya que se turnó la solicitud al área que puede conocer de la información requerida, esto es la Tesorería Municipal quien tiene a su cargo la Coordinación de Recursos Humanos, de conformidad con la fracción XXXIX del artículo tercero de la legislación local vigente en materia de transparencia: </w:t>
      </w:r>
    </w:p>
    <w:p w:rsidR="00DE06EF" w:rsidRPr="004F2E39" w:rsidRDefault="00DE06EF">
      <w:pPr>
        <w:rPr>
          <w:color w:val="000000"/>
          <w:sz w:val="22"/>
          <w:szCs w:val="22"/>
        </w:rPr>
      </w:pPr>
    </w:p>
    <w:p w:rsidR="00DE06EF" w:rsidRPr="004F2E39" w:rsidRDefault="00490329">
      <w:pPr>
        <w:pBdr>
          <w:top w:val="nil"/>
          <w:left w:val="nil"/>
          <w:bottom w:val="nil"/>
          <w:right w:val="nil"/>
          <w:between w:val="nil"/>
        </w:pBdr>
        <w:ind w:left="864" w:right="864"/>
        <w:jc w:val="both"/>
        <w:rPr>
          <w:color w:val="000000"/>
          <w:sz w:val="22"/>
          <w:szCs w:val="22"/>
        </w:rPr>
      </w:pPr>
      <w:r w:rsidRPr="004F2E39">
        <w:rPr>
          <w:rFonts w:ascii="Palatino Linotype" w:eastAsia="Palatino Linotype" w:hAnsi="Palatino Linotype" w:cs="Palatino Linotype"/>
          <w:i/>
          <w:iCs/>
          <w:color w:val="000000"/>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rsidR="00DE06EF" w:rsidRPr="004F2E39" w:rsidRDefault="00DE06EF">
      <w:pPr>
        <w:rPr>
          <w:color w:val="000000"/>
          <w:sz w:val="22"/>
          <w:szCs w:val="22"/>
        </w:rPr>
      </w:pPr>
    </w:p>
    <w:p w:rsidR="00DE06EF" w:rsidRPr="004F2E39" w:rsidRDefault="00490329">
      <w:pPr>
        <w:pBdr>
          <w:top w:val="nil"/>
          <w:left w:val="nil"/>
          <w:bottom w:val="nil"/>
          <w:right w:val="nil"/>
          <w:between w:val="nil"/>
        </w:pBdr>
        <w:shd w:val="clear" w:color="auto" w:fill="FFFFFF"/>
        <w:spacing w:line="360" w:lineRule="auto"/>
        <w:jc w:val="both"/>
        <w:rPr>
          <w:sz w:val="22"/>
          <w:szCs w:val="22"/>
        </w:rPr>
      </w:pPr>
      <w:r w:rsidRPr="004F2E39">
        <w:rPr>
          <w:rFonts w:ascii="Palatino Linotype" w:eastAsia="Palatino Linotype" w:hAnsi="Palatino Linotype" w:cs="Palatino Linotype"/>
          <w:color w:val="000000"/>
          <w:sz w:val="22"/>
          <w:szCs w:val="22"/>
        </w:rPr>
        <w:t>En este orden de ideas, se advierte que la Unidad de Transparencia cumplió con lo expresado en el artículo 162 de la Ley de Transparencia y Acceso a la Información Pública del Estado de México y Municipios, el cual menciona lo siguiente</w:t>
      </w:r>
      <w:r w:rsidRPr="004F2E39">
        <w:rPr>
          <w:rFonts w:ascii="Palatino Linotype" w:eastAsia="Palatino Linotype" w:hAnsi="Palatino Linotype" w:cs="Palatino Linotype"/>
          <w:sz w:val="22"/>
          <w:szCs w:val="22"/>
        </w:rPr>
        <w:t>:</w:t>
      </w:r>
    </w:p>
    <w:p w:rsidR="00DE06EF" w:rsidRPr="004F2E39" w:rsidRDefault="00DE06EF">
      <w:pPr>
        <w:rPr>
          <w:sz w:val="22"/>
          <w:szCs w:val="22"/>
        </w:rPr>
      </w:pPr>
    </w:p>
    <w:p w:rsidR="00DE06EF" w:rsidRPr="004F2E39" w:rsidRDefault="00490329">
      <w:pPr>
        <w:pBdr>
          <w:top w:val="nil"/>
          <w:left w:val="nil"/>
          <w:bottom w:val="nil"/>
          <w:right w:val="nil"/>
          <w:between w:val="nil"/>
        </w:pBdr>
        <w:ind w:left="864" w:right="864"/>
        <w:jc w:val="both"/>
        <w:rPr>
          <w:sz w:val="22"/>
          <w:szCs w:val="22"/>
        </w:rPr>
      </w:pPr>
      <w:r w:rsidRPr="004F2E39">
        <w:rPr>
          <w:rFonts w:ascii="Palatino Linotype" w:eastAsia="Palatino Linotype" w:hAnsi="Palatino Linotype" w:cs="Palatino Linotype"/>
          <w:i/>
          <w:iCs/>
          <w:sz w:val="22"/>
          <w:szCs w:val="22"/>
        </w:rPr>
        <w:t xml:space="preserve">“Artículo 162. Las unidades de transparencia deberán garantizar que las solicitudes </w:t>
      </w:r>
      <w:r w:rsidRPr="004F2E39">
        <w:rPr>
          <w:rFonts w:ascii="Palatino Linotype" w:eastAsia="Palatino Linotype" w:hAnsi="Palatino Linotype" w:cs="Palatino Linotype"/>
          <w:b/>
          <w:bCs/>
          <w:i/>
          <w:iCs/>
          <w:sz w:val="22"/>
          <w:szCs w:val="22"/>
        </w:rPr>
        <w:t xml:space="preserve">se turnen a todas las Áreas competentes </w:t>
      </w:r>
      <w:r w:rsidRPr="004F2E39">
        <w:rPr>
          <w:rFonts w:ascii="Palatino Linotype" w:eastAsia="Palatino Linotype" w:hAnsi="Palatino Linotype" w:cs="Palatino Linotype"/>
          <w:i/>
          <w:iCs/>
          <w:sz w:val="22"/>
          <w:szCs w:val="22"/>
        </w:rPr>
        <w:t>que cuenten con la información o deban tenerla de acuerdo a sus facultades, competencias y funciones, con el objeto de que realicen una búsqueda exhaustiva y razonable de la información solicitada.”</w:t>
      </w:r>
    </w:p>
    <w:p w:rsidR="00DE06EF" w:rsidRPr="004F2E39" w:rsidRDefault="00DE06EF">
      <w:pPr>
        <w:spacing w:line="360" w:lineRule="auto"/>
        <w:jc w:val="both"/>
        <w:rPr>
          <w:rFonts w:ascii="Palatino Linotype" w:eastAsia="Palatino Linotype" w:hAnsi="Palatino Linotype" w:cs="Palatino Linotype"/>
          <w:sz w:val="22"/>
          <w:szCs w:val="22"/>
        </w:rPr>
      </w:pPr>
    </w:p>
    <w:p w:rsidR="00DE06EF" w:rsidRPr="004F2E39" w:rsidRDefault="0049032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Ahora, del análisis a la respuesta emitida se advierte que el servidor público habilitado competente de la Tesorería Municipal indicó que después de una búsqueda exhaustiva en los archivos físicos y digitales no se encontró información alguna a nombre de la persona referida en la solicitud de información.</w:t>
      </w:r>
    </w:p>
    <w:p w:rsidR="00DE06EF" w:rsidRPr="004F2E39" w:rsidRDefault="00DE06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E06EF" w:rsidRPr="004F2E39" w:rsidRDefault="00490329">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4F2E39">
        <w:rPr>
          <w:rFonts w:ascii="Palatino Linotype" w:eastAsia="Palatino Linotype" w:hAnsi="Palatino Linotype" w:cs="Palatino Linotype"/>
          <w:sz w:val="22"/>
          <w:szCs w:val="22"/>
        </w:rPr>
        <w:t xml:space="preserve">Por lo que, atendiendo la respuesta del ente obligado, este Órgano Garante realizó una consulta a la fracción VIII del artículo 92 de la Ley de Transparencia Local, del portal del IPOMEX del Ayuntamiento de Calimaya relativo a las “Remuneraciones”, de la cual </w:t>
      </w:r>
      <w:r w:rsidRPr="004F2E39">
        <w:rPr>
          <w:rFonts w:ascii="Palatino Linotype" w:eastAsia="Palatino Linotype" w:hAnsi="Palatino Linotype" w:cs="Palatino Linotype"/>
          <w:b/>
          <w:bCs/>
          <w:sz w:val="22"/>
          <w:szCs w:val="22"/>
        </w:rPr>
        <w:t>no se localizó indicio de que la persona referida en la solicitud haya laborado en la Administración Pública Municipal 2019-2021.</w:t>
      </w:r>
    </w:p>
    <w:p w:rsidR="00DE06EF" w:rsidRPr="004F2E39" w:rsidRDefault="00DE06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E06EF" w:rsidRPr="004F2E39" w:rsidRDefault="0049032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 xml:space="preserve">Situación que incluso se convalida con la Ficha Curricular que adjuntó el particular a su recurso de revisión, la cual fue localizada por este Órgano Garante en la página oficial del </w:t>
      </w:r>
      <w:r w:rsidRPr="004F2E39">
        <w:rPr>
          <w:rFonts w:ascii="Palatino Linotype" w:eastAsia="Palatino Linotype" w:hAnsi="Palatino Linotype" w:cs="Palatino Linotype"/>
          <w:b/>
          <w:bCs/>
          <w:sz w:val="22"/>
          <w:szCs w:val="22"/>
        </w:rPr>
        <w:t>Sujeto Obligado</w:t>
      </w:r>
      <w:r w:rsidRPr="004F2E39">
        <w:rPr>
          <w:rFonts w:ascii="Palatino Linotype" w:eastAsia="Palatino Linotype" w:hAnsi="Palatino Linotype" w:cs="Palatino Linotype"/>
          <w:sz w:val="22"/>
          <w:szCs w:val="22"/>
        </w:rPr>
        <w:t>, misma en la que se hace referencia a que la persona indicada en la solicitud ingresó a laborar al Ayuntamiento de Calimaya el 30 de marzo de 2022, como Defensora de Derechos Humanos.</w:t>
      </w:r>
    </w:p>
    <w:p w:rsidR="00DE06EF" w:rsidRPr="004F2E39" w:rsidRDefault="00DE06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E06EF" w:rsidRPr="004F2E39" w:rsidRDefault="0049032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De ahí que se tiene la certeza de que en el periodo solicitado 2019-2021, tal como se indicó en respuesta por el Sujeto Obligado, no se advierte información respecto de la persona referida en la solicitud.</w:t>
      </w:r>
    </w:p>
    <w:p w:rsidR="00DE06EF" w:rsidRPr="004F2E39" w:rsidRDefault="00DE06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E06EF" w:rsidRPr="004F2E39" w:rsidRDefault="00490329">
      <w:pPr>
        <w:spacing w:line="360" w:lineRule="auto"/>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 xml:space="preserve">Por consiguiente, toda vez que el </w:t>
      </w:r>
      <w:r w:rsidRPr="004F2E39">
        <w:rPr>
          <w:rFonts w:ascii="Palatino Linotype" w:eastAsia="Palatino Linotype" w:hAnsi="Palatino Linotype" w:cs="Palatino Linotype"/>
          <w:b/>
          <w:bCs/>
          <w:sz w:val="22"/>
          <w:szCs w:val="22"/>
        </w:rPr>
        <w:t xml:space="preserve">Sujeto Obligado </w:t>
      </w:r>
      <w:r w:rsidRPr="004F2E39">
        <w:rPr>
          <w:rFonts w:ascii="Palatino Linotype" w:eastAsia="Palatino Linotype" w:hAnsi="Palatino Linotype" w:cs="Palatino Linotype"/>
          <w:sz w:val="22"/>
          <w:szCs w:val="22"/>
        </w:rPr>
        <w:t>no posee, administra ni genera la información requerida por el particular –sueldo bruto y neto mensual y cargo de la persona referida en la solicitud-, dado que en el periodo solicitado no dicha persona no laboró en el Ayuntamiento de Calimaya; ello, constituye un hecho negativo.</w:t>
      </w:r>
    </w:p>
    <w:p w:rsidR="00DE06EF" w:rsidRPr="004F2E39" w:rsidRDefault="00DE06EF">
      <w:pPr>
        <w:spacing w:line="360" w:lineRule="auto"/>
        <w:jc w:val="both"/>
        <w:rPr>
          <w:rFonts w:ascii="Palatino Linotype" w:eastAsia="Palatino Linotype" w:hAnsi="Palatino Linotype" w:cs="Palatino Linotype"/>
          <w:sz w:val="22"/>
          <w:szCs w:val="22"/>
        </w:rPr>
      </w:pPr>
    </w:p>
    <w:p w:rsidR="00DE06EF" w:rsidRPr="004F2E39" w:rsidRDefault="00490329">
      <w:pPr>
        <w:spacing w:line="360" w:lineRule="auto"/>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 xml:space="preserve">Entonces, si se considera el hecho negativo, es obvio que éste no puede fácticamente obrar en los archivos del </w:t>
      </w:r>
      <w:r w:rsidRPr="004F2E39">
        <w:rPr>
          <w:rFonts w:ascii="Palatino Linotype" w:eastAsia="Palatino Linotype" w:hAnsi="Palatino Linotype" w:cs="Palatino Linotype"/>
          <w:b/>
          <w:bCs/>
          <w:sz w:val="22"/>
          <w:szCs w:val="22"/>
        </w:rPr>
        <w:t>Sujeto Obligado</w:t>
      </w:r>
      <w:r w:rsidRPr="004F2E39">
        <w:rPr>
          <w:rFonts w:ascii="Palatino Linotype" w:eastAsia="Palatino Linotype" w:hAnsi="Palatino Linotype" w:cs="Palatino Linotype"/>
          <w:sz w:val="22"/>
          <w:szCs w:val="22"/>
        </w:rPr>
        <w:t>, ya que no puede probarse por ser lógica y materialmente imposible.</w:t>
      </w:r>
    </w:p>
    <w:p w:rsidR="00DE06EF" w:rsidRPr="004F2E39" w:rsidRDefault="00DE06EF">
      <w:pPr>
        <w:spacing w:line="360" w:lineRule="auto"/>
        <w:jc w:val="both"/>
        <w:rPr>
          <w:rFonts w:ascii="Palatino Linotype" w:eastAsia="Palatino Linotype" w:hAnsi="Palatino Linotype" w:cs="Palatino Linotype"/>
          <w:sz w:val="22"/>
          <w:szCs w:val="22"/>
        </w:rPr>
      </w:pPr>
    </w:p>
    <w:p w:rsidR="00DE06EF" w:rsidRPr="004F2E39" w:rsidRDefault="00490329">
      <w:pPr>
        <w:spacing w:line="360" w:lineRule="auto"/>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Asimismo, no se trata de un caso por el cual la negación del hecho implique la afirmación del mismo, simplemente se está ante una notoria y evidente inexistencia fáctica de la información solicitada.</w:t>
      </w:r>
    </w:p>
    <w:p w:rsidR="00DE06EF" w:rsidRPr="004F2E39" w:rsidRDefault="00DE06EF">
      <w:pPr>
        <w:spacing w:line="360" w:lineRule="auto"/>
        <w:jc w:val="both"/>
        <w:rPr>
          <w:rFonts w:ascii="Palatino Linotype" w:eastAsia="Palatino Linotype" w:hAnsi="Palatino Linotype" w:cs="Palatino Linotype"/>
          <w:sz w:val="22"/>
          <w:szCs w:val="22"/>
        </w:rPr>
      </w:pPr>
    </w:p>
    <w:p w:rsidR="00DE06EF" w:rsidRPr="004F2E39" w:rsidRDefault="00490329">
      <w:pPr>
        <w:spacing w:line="360" w:lineRule="auto"/>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DE06EF" w:rsidRPr="004F2E39" w:rsidRDefault="00DE06EF">
      <w:pPr>
        <w:spacing w:line="360" w:lineRule="auto"/>
        <w:jc w:val="both"/>
        <w:rPr>
          <w:rFonts w:ascii="Palatino Linotype" w:eastAsia="Palatino Linotype" w:hAnsi="Palatino Linotype" w:cs="Palatino Linotype"/>
          <w:sz w:val="22"/>
          <w:szCs w:val="22"/>
        </w:rPr>
      </w:pPr>
    </w:p>
    <w:p w:rsidR="00DE06EF" w:rsidRPr="004F2E39" w:rsidRDefault="00490329">
      <w:pPr>
        <w:spacing w:line="360" w:lineRule="auto"/>
        <w:ind w:left="860" w:right="560"/>
        <w:jc w:val="both"/>
        <w:rPr>
          <w:rFonts w:ascii="Palatino Linotype" w:eastAsia="Palatino Linotype" w:hAnsi="Palatino Linotype" w:cs="Palatino Linotype"/>
          <w:b/>
          <w:bCs/>
          <w:i/>
          <w:iCs/>
          <w:sz w:val="22"/>
          <w:szCs w:val="22"/>
        </w:rPr>
      </w:pPr>
      <w:r w:rsidRPr="004F2E39">
        <w:rPr>
          <w:rFonts w:ascii="Palatino Linotype" w:eastAsia="Palatino Linotype" w:hAnsi="Palatino Linotype" w:cs="Palatino Linotype"/>
          <w:b/>
          <w:bCs/>
          <w:i/>
          <w:iCs/>
          <w:sz w:val="22"/>
          <w:szCs w:val="22"/>
        </w:rPr>
        <w:t>HECHOS NEGATIVOS, NO SON SUSCEPTIBLES DE DEMOSTRACIÓN.</w:t>
      </w:r>
    </w:p>
    <w:p w:rsidR="00DE06EF" w:rsidRPr="004F2E39" w:rsidRDefault="00490329">
      <w:pPr>
        <w:spacing w:line="360" w:lineRule="auto"/>
        <w:ind w:left="860" w:right="560"/>
        <w:jc w:val="both"/>
        <w:rPr>
          <w:rFonts w:ascii="Palatino Linotype" w:eastAsia="Palatino Linotype" w:hAnsi="Palatino Linotype" w:cs="Palatino Linotype"/>
          <w:i/>
          <w:iCs/>
          <w:sz w:val="22"/>
          <w:szCs w:val="22"/>
        </w:rPr>
      </w:pPr>
      <w:r w:rsidRPr="004F2E39">
        <w:rPr>
          <w:rFonts w:ascii="Palatino Linotype" w:eastAsia="Palatino Linotype" w:hAnsi="Palatino Linotype" w:cs="Palatino Linotype"/>
          <w:i/>
          <w:iCs/>
          <w:sz w:val="22"/>
          <w:szCs w:val="22"/>
        </w:rPr>
        <w:t>Tratándose de un hecho negativo, el Juez no tiene por que invocar prueba alguna de la que se desprenda, ya que es bien sabido que esta clase de hechos no son susceptibles de demostración.</w:t>
      </w:r>
    </w:p>
    <w:p w:rsidR="00DE06EF" w:rsidRPr="004F2E39" w:rsidRDefault="00490329">
      <w:pPr>
        <w:spacing w:line="360" w:lineRule="auto"/>
        <w:ind w:left="860" w:right="560"/>
        <w:jc w:val="both"/>
        <w:rPr>
          <w:rFonts w:ascii="Palatino Linotype" w:eastAsia="Palatino Linotype" w:hAnsi="Palatino Linotype" w:cs="Palatino Linotype"/>
          <w:i/>
          <w:iCs/>
          <w:sz w:val="22"/>
          <w:szCs w:val="22"/>
        </w:rPr>
      </w:pPr>
      <w:r w:rsidRPr="004F2E39">
        <w:rPr>
          <w:rFonts w:ascii="Palatino Linotype" w:eastAsia="Palatino Linotype" w:hAnsi="Palatino Linotype" w:cs="Palatino Linotype"/>
          <w:i/>
          <w:iCs/>
          <w:sz w:val="22"/>
          <w:szCs w:val="22"/>
        </w:rPr>
        <w:t>Amparo en revisión 2022/61. José García Florín (Menor). 9 de octubre de 1961. Cinco votos. Ponente: José Rivera Pérez Campos.”</w:t>
      </w:r>
    </w:p>
    <w:p w:rsidR="00DE06EF" w:rsidRPr="004F2E39" w:rsidRDefault="00DE06EF">
      <w:pPr>
        <w:spacing w:line="360" w:lineRule="auto"/>
        <w:jc w:val="both"/>
        <w:rPr>
          <w:rFonts w:ascii="Palatino Linotype" w:eastAsia="Palatino Linotype" w:hAnsi="Palatino Linotype" w:cs="Palatino Linotype"/>
          <w:sz w:val="22"/>
          <w:szCs w:val="22"/>
        </w:rPr>
      </w:pPr>
    </w:p>
    <w:p w:rsidR="00DE06EF" w:rsidRPr="004F2E39" w:rsidRDefault="00490329">
      <w:pPr>
        <w:spacing w:line="360" w:lineRule="auto"/>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 xml:space="preserve">Además, y de conformidad con lo establecido en el artículo 12 de la Ley de Transparencia y Acceso a la Información Pública del Estado de México y Municipios, anteriormente invocado el </w:t>
      </w:r>
      <w:r w:rsidRPr="004F2E39">
        <w:rPr>
          <w:rFonts w:ascii="Palatino Linotype" w:eastAsia="Palatino Linotype" w:hAnsi="Palatino Linotype" w:cs="Palatino Linotype"/>
          <w:b/>
          <w:bCs/>
          <w:sz w:val="22"/>
          <w:szCs w:val="22"/>
        </w:rPr>
        <w:t>Sujeto Obligado</w:t>
      </w:r>
      <w:r w:rsidRPr="004F2E39">
        <w:rPr>
          <w:rFonts w:ascii="Palatino Linotype" w:eastAsia="Palatino Linotype" w:hAnsi="Palatino Linotype" w:cs="Palatino Linotype"/>
          <w:sz w:val="22"/>
          <w:szCs w:val="22"/>
        </w:rPr>
        <w:t xml:space="preserve"> sólo proporcionará la información que obra en sus archivos, lo que a</w:t>
      </w:r>
      <w:r w:rsidRPr="004F2E39">
        <w:rPr>
          <w:rFonts w:ascii="Palatino Linotype" w:eastAsia="Palatino Linotype" w:hAnsi="Palatino Linotype" w:cs="Palatino Linotype"/>
          <w:i/>
          <w:iCs/>
          <w:sz w:val="22"/>
          <w:szCs w:val="22"/>
        </w:rPr>
        <w:t xml:space="preserve"> contrario sensu</w:t>
      </w:r>
      <w:r w:rsidRPr="004F2E39">
        <w:rPr>
          <w:rFonts w:ascii="Palatino Linotype" w:eastAsia="Palatino Linotype" w:hAnsi="Palatino Linotype" w:cs="Palatino Linotype"/>
          <w:sz w:val="22"/>
          <w:szCs w:val="22"/>
        </w:rPr>
        <w:t xml:space="preserve"> significa que no se está obligado a proporcionar lo que no obre en sus archivos; por ende, las razones o motivos de inconformidad al respecto devienen infundados.</w:t>
      </w:r>
    </w:p>
    <w:p w:rsidR="00DE06EF" w:rsidRPr="004F2E39" w:rsidRDefault="00DE06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E06EF" w:rsidRPr="004F2E39" w:rsidRDefault="0049032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Ahora, por cuanto hace a los motivos de inconformidad relativos a la entrega de la información ya que hay constancia de que la persona referida en la solicitud laboró en la administración pasada, esto es la administración 2022-2024, es de indicar que dicho motivo de inconformidad constituye una ampliación a la solicitud inicial, ya que no fue requerido con antelación.</w:t>
      </w:r>
    </w:p>
    <w:p w:rsidR="00DE06EF" w:rsidRPr="004F2E39" w:rsidRDefault="00DE06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E06EF" w:rsidRPr="004F2E39" w:rsidRDefault="0049032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4F2E39">
        <w:rPr>
          <w:rFonts w:ascii="Palatino Linotype" w:eastAsia="Palatino Linotype" w:hAnsi="Palatino Linotype" w:cs="Palatino Linotype"/>
          <w:color w:val="000000"/>
          <w:sz w:val="22"/>
          <w:szCs w:val="22"/>
        </w:rPr>
        <w:t xml:space="preserve">Argumentos esgrimidos en los motivos de inconformidad, que no son susceptibles de ser valorados en términos de la fracción VII del Artículo 191 de la Ley de Transparencia y Acceso a la Información Pública del Estado de México y Municipios,  pues la parte </w:t>
      </w:r>
      <w:r w:rsidRPr="004F2E39">
        <w:rPr>
          <w:rFonts w:ascii="Palatino Linotype" w:eastAsia="Palatino Linotype" w:hAnsi="Palatino Linotype" w:cs="Palatino Linotype"/>
          <w:b/>
          <w:bCs/>
          <w:color w:val="000000"/>
          <w:sz w:val="22"/>
          <w:szCs w:val="22"/>
        </w:rPr>
        <w:t>RECURRENTE</w:t>
      </w:r>
      <w:r w:rsidRPr="004F2E39">
        <w:rPr>
          <w:rFonts w:ascii="Palatino Linotype" w:eastAsia="Palatino Linotype" w:hAnsi="Palatino Linotype" w:cs="Palatino Linotype"/>
          <w:color w:val="000000"/>
          <w:sz w:val="22"/>
          <w:szCs w:val="22"/>
        </w:rPr>
        <w:t xml:space="preserve"> formuló nuevos cuestionamientos, en los que solicitó información que no formó parte de su solicitud inicial y por lo tanto son inatendibles a través del recurso de revisión.</w:t>
      </w:r>
    </w:p>
    <w:p w:rsidR="00DE06EF" w:rsidRPr="004F2E39" w:rsidRDefault="00490329">
      <w:pPr>
        <w:pBdr>
          <w:top w:val="nil"/>
          <w:left w:val="nil"/>
          <w:bottom w:val="nil"/>
          <w:right w:val="nil"/>
          <w:between w:val="nil"/>
        </w:pBdr>
        <w:spacing w:line="360" w:lineRule="auto"/>
        <w:jc w:val="both"/>
        <w:rPr>
          <w:color w:val="000000"/>
          <w:sz w:val="22"/>
          <w:szCs w:val="22"/>
        </w:rPr>
      </w:pPr>
      <w:r w:rsidRPr="004F2E39">
        <w:rPr>
          <w:rFonts w:ascii="Palatino Linotype" w:eastAsia="Palatino Linotype" w:hAnsi="Palatino Linotype" w:cs="Palatino Linotype"/>
          <w:color w:val="000000"/>
          <w:sz w:val="22"/>
          <w:szCs w:val="22"/>
        </w:rPr>
        <w:t> </w:t>
      </w:r>
    </w:p>
    <w:p w:rsidR="00DE06EF" w:rsidRPr="004F2E39" w:rsidRDefault="0049032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4F2E39">
        <w:rPr>
          <w:rFonts w:ascii="Palatino Linotype" w:eastAsia="Palatino Linotype" w:hAnsi="Palatino Linotype" w:cs="Palatino Linotype"/>
          <w:color w:val="000000"/>
          <w:sz w:val="22"/>
          <w:szCs w:val="22"/>
        </w:rPr>
        <w:t>En este tenor, es posible determinar que para el caso que nos ocupa, los argumentos formulados como motivos o razones de inconformidad son una ampliación a la solicitud inicial y corresponden a nuevos requerimientos de información, que no se encuentran relacionados con lo solicitado en un primer momento.</w:t>
      </w:r>
    </w:p>
    <w:p w:rsidR="00DE06EF" w:rsidRPr="004F2E39" w:rsidRDefault="00DE06EF">
      <w:pPr>
        <w:pBdr>
          <w:top w:val="nil"/>
          <w:left w:val="nil"/>
          <w:bottom w:val="nil"/>
          <w:right w:val="nil"/>
          <w:between w:val="nil"/>
        </w:pBdr>
        <w:spacing w:line="360" w:lineRule="auto"/>
        <w:jc w:val="both"/>
        <w:rPr>
          <w:color w:val="000000"/>
          <w:sz w:val="22"/>
          <w:szCs w:val="22"/>
        </w:rPr>
      </w:pPr>
    </w:p>
    <w:p w:rsidR="00DE06EF" w:rsidRPr="004F2E39" w:rsidRDefault="0049032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4F2E39">
        <w:rPr>
          <w:rFonts w:ascii="Palatino Linotype" w:eastAsia="Palatino Linotype" w:hAnsi="Palatino Linotype" w:cs="Palatino Linotype"/>
          <w:color w:val="000000"/>
          <w:sz w:val="22"/>
          <w:szCs w:val="22"/>
        </w:rPr>
        <w:t>En este orden de ideas, una vez formulada su solicitud inicial,</w:t>
      </w:r>
      <w:r w:rsidRPr="004F2E39">
        <w:rPr>
          <w:rFonts w:ascii="Palatino Linotype" w:eastAsia="Palatino Linotype" w:hAnsi="Palatino Linotype" w:cs="Palatino Linotype"/>
          <w:i/>
          <w:iCs/>
          <w:color w:val="000000"/>
          <w:sz w:val="22"/>
          <w:szCs w:val="22"/>
        </w:rPr>
        <w:t xml:space="preserve"> </w:t>
      </w:r>
      <w:r w:rsidRPr="004F2E39">
        <w:rPr>
          <w:rFonts w:ascii="Palatino Linotype" w:eastAsia="Palatino Linotype" w:hAnsi="Palatino Linotype" w:cs="Palatino Linotype"/>
          <w:color w:val="000000"/>
          <w:sz w:val="22"/>
          <w:szCs w:val="22"/>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rsidR="00DE06EF" w:rsidRPr="004F2E39" w:rsidRDefault="00DE06EF">
      <w:pPr>
        <w:pBdr>
          <w:top w:val="nil"/>
          <w:left w:val="nil"/>
          <w:bottom w:val="nil"/>
          <w:right w:val="nil"/>
          <w:between w:val="nil"/>
        </w:pBdr>
        <w:spacing w:line="360" w:lineRule="auto"/>
        <w:jc w:val="both"/>
        <w:rPr>
          <w:color w:val="000000"/>
          <w:sz w:val="22"/>
          <w:szCs w:val="22"/>
        </w:rPr>
      </w:pPr>
    </w:p>
    <w:p w:rsidR="00DE06EF" w:rsidRPr="004F2E39" w:rsidRDefault="0049032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4F2E39">
        <w:rPr>
          <w:rFonts w:ascii="Palatino Linotype" w:eastAsia="Palatino Linotype" w:hAnsi="Palatino Linotype" w:cs="Palatino Linotype"/>
          <w:color w:val="000000"/>
          <w:sz w:val="22"/>
          <w:szCs w:val="22"/>
        </w:rPr>
        <w:t>Robustece lo anterior lo plasmado en el criterio orientador número 01/17 emitido por el entonces Instituto Nacional de Transparencia, Acceso a la Información y Protección de Datos Personales, INAI, que lleva por rubro y texto lo que a continuación se transcribe:</w:t>
      </w:r>
    </w:p>
    <w:p w:rsidR="00DE06EF" w:rsidRPr="004F2E39" w:rsidRDefault="00DE06EF">
      <w:pPr>
        <w:pBdr>
          <w:top w:val="nil"/>
          <w:left w:val="nil"/>
          <w:bottom w:val="nil"/>
          <w:right w:val="nil"/>
          <w:between w:val="nil"/>
        </w:pBdr>
        <w:spacing w:line="360" w:lineRule="auto"/>
        <w:jc w:val="both"/>
        <w:rPr>
          <w:color w:val="000000"/>
          <w:sz w:val="22"/>
          <w:szCs w:val="22"/>
        </w:rPr>
      </w:pPr>
    </w:p>
    <w:p w:rsidR="00DE06EF" w:rsidRPr="004F2E39" w:rsidRDefault="00490329">
      <w:pPr>
        <w:pBdr>
          <w:top w:val="nil"/>
          <w:left w:val="nil"/>
          <w:bottom w:val="nil"/>
          <w:right w:val="nil"/>
          <w:between w:val="nil"/>
        </w:pBdr>
        <w:ind w:left="567" w:right="616"/>
        <w:jc w:val="both"/>
        <w:rPr>
          <w:color w:val="000000"/>
          <w:sz w:val="22"/>
          <w:szCs w:val="22"/>
        </w:rPr>
      </w:pPr>
      <w:r w:rsidRPr="004F2E39">
        <w:rPr>
          <w:rFonts w:ascii="Palatino Linotype" w:eastAsia="Palatino Linotype" w:hAnsi="Palatino Linotype" w:cs="Palatino Linotype"/>
          <w:i/>
          <w:iCs/>
          <w:color w:val="000000"/>
          <w:sz w:val="22"/>
          <w:szCs w:val="22"/>
        </w:rPr>
        <w:t>“</w:t>
      </w:r>
      <w:r w:rsidRPr="004F2E39">
        <w:rPr>
          <w:rFonts w:ascii="Palatino Linotype" w:eastAsia="Palatino Linotype" w:hAnsi="Palatino Linotype" w:cs="Palatino Linotype"/>
          <w:b/>
          <w:bCs/>
          <w:i/>
          <w:iCs/>
          <w:color w:val="000000"/>
          <w:sz w:val="22"/>
          <w:szCs w:val="22"/>
        </w:rPr>
        <w:t xml:space="preserve">Es improcedente ampliar las solicitudes de acceso a información, a través de la interposición del recurso de revisión. </w:t>
      </w:r>
      <w:r w:rsidRPr="004F2E39">
        <w:rPr>
          <w:rFonts w:ascii="Palatino Linotype" w:eastAsia="Palatino Linotype" w:hAnsi="Palatino Linotype" w:cs="Palatino Linotype"/>
          <w:i/>
          <w:iCs/>
          <w:color w:val="000000"/>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4F2E39">
        <w:rPr>
          <w:rFonts w:ascii="Palatino Linotype" w:eastAsia="Palatino Linotype" w:hAnsi="Palatino Linotype" w:cs="Palatino Linotype"/>
          <w:b/>
          <w:bCs/>
          <w:i/>
          <w:iCs/>
          <w:color w:val="000000"/>
          <w:sz w:val="22"/>
          <w:szCs w:val="22"/>
        </w:rPr>
        <w:t>.</w:t>
      </w:r>
      <w:r w:rsidRPr="004F2E39">
        <w:rPr>
          <w:rFonts w:ascii="Palatino Linotype" w:eastAsia="Palatino Linotype" w:hAnsi="Palatino Linotype" w:cs="Palatino Linotype"/>
          <w:i/>
          <w:iCs/>
          <w:color w:val="000000"/>
          <w:sz w:val="22"/>
          <w:szCs w:val="22"/>
        </w:rPr>
        <w:t>”</w:t>
      </w:r>
    </w:p>
    <w:p w:rsidR="00DE06EF" w:rsidRPr="004F2E39" w:rsidRDefault="00DE06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E06EF" w:rsidRPr="004F2E39" w:rsidRDefault="00490329">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bookmarkStart w:id="9" w:name="_heading=h.elr658e0i4ec" w:colFirst="0" w:colLast="0"/>
      <w:bookmarkEnd w:id="9"/>
      <w:r w:rsidRPr="004F2E39">
        <w:rPr>
          <w:rFonts w:ascii="Palatino Linotype" w:eastAsia="Palatino Linotype" w:hAnsi="Palatino Linotype" w:cs="Palatino Linotype"/>
          <w:sz w:val="22"/>
          <w:szCs w:val="22"/>
        </w:rPr>
        <w:t xml:space="preserve">Por las consideraciones expuestas, se determina que los motivos de inconformidad hechos valer por la parte </w:t>
      </w:r>
      <w:r w:rsidRPr="004F2E39">
        <w:rPr>
          <w:rFonts w:ascii="Palatino Linotype" w:eastAsia="Palatino Linotype" w:hAnsi="Palatino Linotype" w:cs="Palatino Linotype"/>
          <w:b/>
          <w:bCs/>
          <w:sz w:val="22"/>
          <w:szCs w:val="22"/>
        </w:rPr>
        <w:t xml:space="preserve">recurrente </w:t>
      </w:r>
      <w:r w:rsidRPr="004F2E39">
        <w:rPr>
          <w:rFonts w:ascii="Palatino Linotype" w:eastAsia="Palatino Linotype" w:hAnsi="Palatino Linotype" w:cs="Palatino Linotype"/>
          <w:sz w:val="22"/>
          <w:szCs w:val="22"/>
        </w:rPr>
        <w:t xml:space="preserve">resultan infundados, siendo procedente </w:t>
      </w:r>
      <w:r w:rsidRPr="004F2E39">
        <w:rPr>
          <w:rFonts w:ascii="Palatino Linotype" w:eastAsia="Palatino Linotype" w:hAnsi="Palatino Linotype" w:cs="Palatino Linotype"/>
          <w:b/>
          <w:bCs/>
          <w:sz w:val="22"/>
          <w:szCs w:val="22"/>
        </w:rPr>
        <w:t xml:space="preserve">confirmar </w:t>
      </w:r>
      <w:r w:rsidRPr="004F2E39">
        <w:rPr>
          <w:rFonts w:ascii="Palatino Linotype" w:eastAsia="Palatino Linotype" w:hAnsi="Palatino Linotype" w:cs="Palatino Linotype"/>
          <w:sz w:val="22"/>
          <w:szCs w:val="22"/>
        </w:rPr>
        <w:t xml:space="preserve">la respuesta del </w:t>
      </w:r>
      <w:r w:rsidRPr="004F2E39">
        <w:rPr>
          <w:rFonts w:ascii="Palatino Linotype" w:eastAsia="Palatino Linotype" w:hAnsi="Palatino Linotype" w:cs="Palatino Linotype"/>
          <w:b/>
          <w:bCs/>
          <w:sz w:val="22"/>
          <w:szCs w:val="22"/>
        </w:rPr>
        <w:t xml:space="preserve">Sujeto Obligado. </w:t>
      </w:r>
    </w:p>
    <w:p w:rsidR="00DE06EF" w:rsidRPr="004F2E39" w:rsidRDefault="00DE06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E06EF" w:rsidRPr="004F2E39" w:rsidRDefault="0049032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 así como 188 de la Ley de Transparencia y Acceso a la Información Pública del Estado de México y Municipios, este Pleno:</w:t>
      </w:r>
    </w:p>
    <w:p w:rsidR="00DE06EF" w:rsidRPr="004F2E39" w:rsidRDefault="00DE06EF">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sz w:val="22"/>
          <w:szCs w:val="22"/>
        </w:rPr>
      </w:pPr>
    </w:p>
    <w:p w:rsidR="00DE06EF" w:rsidRPr="004F2E39" w:rsidRDefault="00490329">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10" w:name="_heading=h.ijv98pntcd5s" w:colFirst="0" w:colLast="0"/>
      <w:bookmarkEnd w:id="10"/>
      <w:r w:rsidRPr="004F2E39">
        <w:rPr>
          <w:rFonts w:ascii="Palatino Linotype" w:eastAsia="Palatino Linotype" w:hAnsi="Palatino Linotype" w:cs="Palatino Linotype"/>
          <w:b/>
          <w:bCs/>
          <w:sz w:val="22"/>
          <w:szCs w:val="22"/>
        </w:rPr>
        <w:t>III. R E S U E L V E</w:t>
      </w:r>
    </w:p>
    <w:p w:rsidR="00DE06EF" w:rsidRPr="004F2E39" w:rsidRDefault="00DE06EF">
      <w:pPr>
        <w:spacing w:line="360" w:lineRule="auto"/>
        <w:jc w:val="both"/>
        <w:rPr>
          <w:rFonts w:ascii="Palatino Linotype" w:eastAsia="Palatino Linotype" w:hAnsi="Palatino Linotype" w:cs="Palatino Linotype"/>
          <w:b/>
          <w:bCs/>
          <w:sz w:val="22"/>
          <w:szCs w:val="22"/>
        </w:rPr>
      </w:pPr>
      <w:bookmarkStart w:id="11" w:name="_heading=h.26in1rg" w:colFirst="0" w:colLast="0"/>
      <w:bookmarkEnd w:id="11"/>
    </w:p>
    <w:p w:rsidR="00DE06EF" w:rsidRPr="004F2E39" w:rsidRDefault="00490329">
      <w:pPr>
        <w:spacing w:line="360" w:lineRule="auto"/>
        <w:ind w:right="49"/>
        <w:jc w:val="both"/>
        <w:rPr>
          <w:rFonts w:ascii="Palatino Linotype" w:eastAsia="Palatino Linotype" w:hAnsi="Palatino Linotype" w:cs="Palatino Linotype"/>
          <w:color w:val="000000"/>
          <w:sz w:val="22"/>
          <w:szCs w:val="22"/>
        </w:rPr>
      </w:pPr>
      <w:bookmarkStart w:id="12" w:name="_heading=h.h7nzb79wlra" w:colFirst="0" w:colLast="0"/>
      <w:bookmarkEnd w:id="12"/>
      <w:r w:rsidRPr="004F2E39">
        <w:rPr>
          <w:rFonts w:ascii="Palatino Linotype" w:eastAsia="Palatino Linotype" w:hAnsi="Palatino Linotype" w:cs="Palatino Linotype"/>
          <w:b/>
          <w:bCs/>
          <w:color w:val="000000"/>
          <w:sz w:val="22"/>
          <w:szCs w:val="22"/>
        </w:rPr>
        <w:t>Primero.</w:t>
      </w:r>
      <w:r w:rsidRPr="004F2E39">
        <w:rPr>
          <w:rFonts w:ascii="Palatino Linotype" w:eastAsia="Palatino Linotype" w:hAnsi="Palatino Linotype" w:cs="Palatino Linotype"/>
          <w:color w:val="000000"/>
          <w:sz w:val="22"/>
          <w:szCs w:val="22"/>
        </w:rPr>
        <w:t xml:space="preserve"> Resulta infundado el motivo de inconformidad aducido por la parte </w:t>
      </w:r>
      <w:r w:rsidRPr="004F2E39">
        <w:rPr>
          <w:rFonts w:ascii="Palatino Linotype" w:eastAsia="Palatino Linotype" w:hAnsi="Palatino Linotype" w:cs="Palatino Linotype"/>
          <w:b/>
          <w:bCs/>
          <w:color w:val="000000"/>
          <w:sz w:val="22"/>
          <w:szCs w:val="22"/>
        </w:rPr>
        <w:t>Recurrente</w:t>
      </w:r>
      <w:r w:rsidRPr="004F2E39">
        <w:rPr>
          <w:rFonts w:ascii="Palatino Linotype" w:eastAsia="Palatino Linotype" w:hAnsi="Palatino Linotype" w:cs="Palatino Linotype"/>
          <w:color w:val="000000"/>
          <w:sz w:val="22"/>
          <w:szCs w:val="22"/>
        </w:rPr>
        <w:t xml:space="preserve"> en el recurso de revisión </w:t>
      </w:r>
      <w:r w:rsidRPr="004F2E39">
        <w:rPr>
          <w:rFonts w:ascii="Palatino Linotype" w:eastAsia="Palatino Linotype" w:hAnsi="Palatino Linotype" w:cs="Palatino Linotype"/>
          <w:b/>
          <w:bCs/>
          <w:color w:val="000000"/>
          <w:sz w:val="22"/>
          <w:szCs w:val="22"/>
        </w:rPr>
        <w:t>11409/INFOEM/IP/RR/2025</w:t>
      </w:r>
      <w:r w:rsidRPr="004F2E39">
        <w:rPr>
          <w:rFonts w:ascii="Palatino Linotype" w:eastAsia="Palatino Linotype" w:hAnsi="Palatino Linotype" w:cs="Palatino Linotype"/>
          <w:color w:val="000000"/>
          <w:sz w:val="22"/>
          <w:szCs w:val="22"/>
        </w:rPr>
        <w:t xml:space="preserve">; por lo que, en términos de los argumentos señalados en el Considerando Cuarto se </w:t>
      </w:r>
      <w:r w:rsidRPr="004F2E39">
        <w:rPr>
          <w:rFonts w:ascii="Palatino Linotype" w:eastAsia="Palatino Linotype" w:hAnsi="Palatino Linotype" w:cs="Palatino Linotype"/>
          <w:b/>
          <w:bCs/>
          <w:color w:val="000000"/>
          <w:sz w:val="22"/>
          <w:szCs w:val="22"/>
        </w:rPr>
        <w:t>Confirma</w:t>
      </w:r>
      <w:r w:rsidRPr="004F2E39">
        <w:rPr>
          <w:rFonts w:ascii="Palatino Linotype" w:eastAsia="Palatino Linotype" w:hAnsi="Palatino Linotype" w:cs="Palatino Linotype"/>
          <w:color w:val="000000"/>
          <w:sz w:val="22"/>
          <w:szCs w:val="22"/>
        </w:rPr>
        <w:t xml:space="preserve"> la respuesta emitida por el </w:t>
      </w:r>
      <w:r w:rsidRPr="004F2E39">
        <w:rPr>
          <w:rFonts w:ascii="Palatino Linotype" w:eastAsia="Palatino Linotype" w:hAnsi="Palatino Linotype" w:cs="Palatino Linotype"/>
          <w:b/>
          <w:bCs/>
          <w:color w:val="000000"/>
          <w:sz w:val="22"/>
          <w:szCs w:val="22"/>
        </w:rPr>
        <w:t>Sujeto Obligado</w:t>
      </w:r>
      <w:r w:rsidRPr="004F2E39">
        <w:rPr>
          <w:rFonts w:ascii="Palatino Linotype" w:eastAsia="Palatino Linotype" w:hAnsi="Palatino Linotype" w:cs="Palatino Linotype"/>
          <w:color w:val="000000"/>
          <w:sz w:val="22"/>
          <w:szCs w:val="22"/>
        </w:rPr>
        <w:t>.</w:t>
      </w:r>
    </w:p>
    <w:p w:rsidR="00DE06EF" w:rsidRPr="004F2E39" w:rsidRDefault="00DE06EF">
      <w:pPr>
        <w:spacing w:line="360" w:lineRule="auto"/>
        <w:ind w:right="49"/>
        <w:jc w:val="both"/>
        <w:rPr>
          <w:rFonts w:ascii="Palatino Linotype" w:eastAsia="Palatino Linotype" w:hAnsi="Palatino Linotype" w:cs="Palatino Linotype"/>
          <w:color w:val="000000"/>
          <w:sz w:val="22"/>
          <w:szCs w:val="22"/>
        </w:rPr>
      </w:pPr>
    </w:p>
    <w:p w:rsidR="00DE06EF" w:rsidRPr="004F2E39" w:rsidRDefault="00490329">
      <w:pPr>
        <w:spacing w:line="360" w:lineRule="auto"/>
        <w:ind w:right="49"/>
        <w:jc w:val="both"/>
        <w:rPr>
          <w:rFonts w:ascii="Palatino Linotype" w:eastAsia="Palatino Linotype" w:hAnsi="Palatino Linotype" w:cs="Palatino Linotype"/>
          <w:color w:val="000000"/>
          <w:sz w:val="22"/>
          <w:szCs w:val="22"/>
        </w:rPr>
      </w:pPr>
      <w:r w:rsidRPr="004F2E39">
        <w:rPr>
          <w:rFonts w:ascii="Palatino Linotype" w:eastAsia="Palatino Linotype" w:hAnsi="Palatino Linotype" w:cs="Palatino Linotype"/>
          <w:b/>
          <w:bCs/>
          <w:color w:val="000000"/>
          <w:sz w:val="22"/>
          <w:szCs w:val="22"/>
        </w:rPr>
        <w:t>Segundo. Notifíquese</w:t>
      </w:r>
      <w:r w:rsidRPr="004F2E39">
        <w:rPr>
          <w:rFonts w:ascii="Palatino Linotype" w:eastAsia="Palatino Linotype" w:hAnsi="Palatino Linotype" w:cs="Palatino Linotype"/>
          <w:color w:val="000000"/>
          <w:sz w:val="22"/>
          <w:szCs w:val="22"/>
        </w:rPr>
        <w:t xml:space="preserve"> vía </w:t>
      </w:r>
      <w:r w:rsidRPr="004F2E39">
        <w:rPr>
          <w:rFonts w:ascii="Palatino Linotype" w:eastAsia="Palatino Linotype" w:hAnsi="Palatino Linotype" w:cs="Palatino Linotype"/>
          <w:b/>
          <w:bCs/>
          <w:color w:val="000000"/>
          <w:sz w:val="22"/>
          <w:szCs w:val="22"/>
        </w:rPr>
        <w:t xml:space="preserve">SAIMEX </w:t>
      </w:r>
      <w:r w:rsidRPr="004F2E39">
        <w:rPr>
          <w:rFonts w:ascii="Palatino Linotype" w:eastAsia="Palatino Linotype" w:hAnsi="Palatino Linotype" w:cs="Palatino Linotype"/>
          <w:color w:val="000000"/>
          <w:sz w:val="22"/>
          <w:szCs w:val="22"/>
        </w:rPr>
        <w:t xml:space="preserve">la presente resolución a la Titular de la Unidad de Transparencia del </w:t>
      </w:r>
      <w:r w:rsidRPr="004F2E39">
        <w:rPr>
          <w:rFonts w:ascii="Palatino Linotype" w:eastAsia="Palatino Linotype" w:hAnsi="Palatino Linotype" w:cs="Palatino Linotype"/>
          <w:b/>
          <w:bCs/>
          <w:color w:val="000000"/>
          <w:sz w:val="22"/>
          <w:szCs w:val="22"/>
        </w:rPr>
        <w:t>Sujeto Obligado</w:t>
      </w:r>
      <w:r w:rsidRPr="004F2E39">
        <w:rPr>
          <w:rFonts w:ascii="Palatino Linotype" w:eastAsia="Palatino Linotype" w:hAnsi="Palatino Linotype" w:cs="Palatino Linotype"/>
          <w:color w:val="000000"/>
          <w:sz w:val="22"/>
          <w:szCs w:val="22"/>
        </w:rPr>
        <w:t>, para su conocimiento, lo anterior en términos del artículo 189 de la Ley de Transparencia y Acceso a la Información Pública del Estado de México y Municipios.</w:t>
      </w:r>
    </w:p>
    <w:p w:rsidR="00DE06EF" w:rsidRPr="004F2E39" w:rsidRDefault="00DE06EF">
      <w:pPr>
        <w:spacing w:line="360" w:lineRule="auto"/>
        <w:ind w:right="49"/>
        <w:jc w:val="both"/>
        <w:rPr>
          <w:rFonts w:ascii="Palatino Linotype" w:eastAsia="Palatino Linotype" w:hAnsi="Palatino Linotype" w:cs="Palatino Linotype"/>
          <w:color w:val="000000"/>
          <w:sz w:val="22"/>
          <w:szCs w:val="22"/>
        </w:rPr>
      </w:pPr>
    </w:p>
    <w:p w:rsidR="00DE06EF" w:rsidRPr="004F2E39" w:rsidRDefault="00490329">
      <w:pPr>
        <w:spacing w:line="360" w:lineRule="auto"/>
        <w:ind w:right="49"/>
        <w:jc w:val="both"/>
        <w:rPr>
          <w:rFonts w:ascii="Palatino Linotype" w:eastAsia="Palatino Linotype" w:hAnsi="Palatino Linotype" w:cs="Palatino Linotype"/>
          <w:color w:val="000000"/>
          <w:sz w:val="22"/>
          <w:szCs w:val="22"/>
        </w:rPr>
      </w:pPr>
      <w:r w:rsidRPr="004F2E39">
        <w:rPr>
          <w:rFonts w:ascii="Palatino Linotype" w:eastAsia="Palatino Linotype" w:hAnsi="Palatino Linotype" w:cs="Palatino Linotype"/>
          <w:b/>
          <w:bCs/>
          <w:color w:val="000000"/>
          <w:sz w:val="22"/>
          <w:szCs w:val="22"/>
        </w:rPr>
        <w:t xml:space="preserve">Tercero. Notifíquese, vía SAIMEX </w:t>
      </w:r>
      <w:r w:rsidRPr="004F2E39">
        <w:rPr>
          <w:rFonts w:ascii="Palatino Linotype" w:eastAsia="Palatino Linotype" w:hAnsi="Palatino Linotype" w:cs="Palatino Linotype"/>
          <w:color w:val="000000"/>
          <w:sz w:val="22"/>
          <w:szCs w:val="22"/>
        </w:rPr>
        <w:t>a</w:t>
      </w:r>
      <w:r w:rsidRPr="004F2E39">
        <w:rPr>
          <w:rFonts w:ascii="Palatino Linotype" w:eastAsia="Palatino Linotype" w:hAnsi="Palatino Linotype" w:cs="Palatino Linotype"/>
          <w:b/>
          <w:bCs/>
          <w:color w:val="000000"/>
          <w:sz w:val="22"/>
          <w:szCs w:val="22"/>
        </w:rPr>
        <w:t xml:space="preserve"> </w:t>
      </w:r>
      <w:r w:rsidRPr="004F2E39">
        <w:rPr>
          <w:rFonts w:ascii="Palatino Linotype" w:eastAsia="Palatino Linotype" w:hAnsi="Palatino Linotype" w:cs="Palatino Linotype"/>
          <w:color w:val="000000"/>
          <w:sz w:val="22"/>
          <w:szCs w:val="22"/>
        </w:rPr>
        <w:t>la parte</w:t>
      </w:r>
      <w:r w:rsidRPr="004F2E39">
        <w:rPr>
          <w:rFonts w:ascii="Palatino Linotype" w:eastAsia="Palatino Linotype" w:hAnsi="Palatino Linotype" w:cs="Palatino Linotype"/>
          <w:b/>
          <w:bCs/>
          <w:color w:val="000000"/>
          <w:sz w:val="22"/>
          <w:szCs w:val="22"/>
        </w:rPr>
        <w:t xml:space="preserve"> Recurrente</w:t>
      </w:r>
      <w:r w:rsidRPr="004F2E39">
        <w:rPr>
          <w:rFonts w:ascii="Palatino Linotype" w:eastAsia="Palatino Linotype" w:hAnsi="Palatino Linotype" w:cs="Palatino Linotype"/>
          <w:color w:val="000000"/>
          <w:sz w:val="22"/>
          <w:szCs w:val="22"/>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DE06EF" w:rsidRPr="004F2E39" w:rsidRDefault="00DE06EF">
      <w:pPr>
        <w:spacing w:line="360" w:lineRule="auto"/>
        <w:ind w:right="49"/>
        <w:jc w:val="both"/>
        <w:rPr>
          <w:rFonts w:ascii="Palatino Linotype" w:eastAsia="Palatino Linotype" w:hAnsi="Palatino Linotype" w:cs="Palatino Linotype"/>
          <w:color w:val="000000"/>
          <w:sz w:val="22"/>
          <w:szCs w:val="22"/>
        </w:rPr>
      </w:pPr>
    </w:p>
    <w:p w:rsidR="00DE06EF" w:rsidRDefault="00490329">
      <w:pPr>
        <w:spacing w:line="360" w:lineRule="auto"/>
        <w:jc w:val="both"/>
        <w:rPr>
          <w:rFonts w:ascii="Palatino Linotype" w:eastAsia="Palatino Linotype" w:hAnsi="Palatino Linotype" w:cs="Palatino Linotype"/>
          <w:sz w:val="22"/>
          <w:szCs w:val="22"/>
        </w:rPr>
      </w:pPr>
      <w:r w:rsidRPr="004F2E39">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w:t>
      </w:r>
      <w:r w:rsidRPr="004F2E39">
        <w:rPr>
          <w:rFonts w:ascii="Palatino Linotype" w:eastAsia="Palatino Linotype" w:hAnsi="Palatino Linotype" w:cs="Palatino Linotype"/>
          <w:color w:val="000000"/>
          <w:sz w:val="22"/>
          <w:szCs w:val="22"/>
        </w:rPr>
        <w:t xml:space="preserve">MARTÍNEZ VILCHIS, MARÍA DEL ROSARIO MEJÍA AYALA, SHARON CRISTINA MORALES MARTÍNEZ, LUIS GUSTAVO PARRA NORIEGA Y GUADALUPE RAMÍREZ PEÑA; EN LA CUADRAGÉSIMA PRIMERA SESIÓN ORDINARIA, CELEBRADA EL VEINTE </w:t>
      </w:r>
      <w:bookmarkStart w:id="13" w:name="_GoBack"/>
      <w:bookmarkEnd w:id="13"/>
      <w:r w:rsidRPr="004F2E39">
        <w:rPr>
          <w:rFonts w:ascii="Palatino Linotype" w:eastAsia="Palatino Linotype" w:hAnsi="Palatino Linotype" w:cs="Palatino Linotype"/>
          <w:color w:val="000000"/>
          <w:sz w:val="22"/>
          <w:szCs w:val="22"/>
        </w:rPr>
        <w:t xml:space="preserve">DE NOVIEMBRE DE </w:t>
      </w:r>
      <w:r w:rsidRPr="004F2E39">
        <w:rPr>
          <w:rFonts w:ascii="Palatino Linotype" w:eastAsia="Palatino Linotype" w:hAnsi="Palatino Linotype" w:cs="Palatino Linotype"/>
          <w:sz w:val="22"/>
          <w:szCs w:val="22"/>
        </w:rPr>
        <w:t>DOS MIL VEINTICINCO, ANTE EL SECRETARIO TÉCNICO DEL PLENO ALEXIS TAPIA RAMÍREZ.</w:t>
      </w:r>
      <w:r>
        <w:rPr>
          <w:rFonts w:ascii="Palatino Linotype" w:eastAsia="Palatino Linotype" w:hAnsi="Palatino Linotype" w:cs="Palatino Linotype"/>
          <w:sz w:val="22"/>
          <w:szCs w:val="22"/>
        </w:rPr>
        <w:t xml:space="preserve"> </w:t>
      </w:r>
    </w:p>
    <w:p w:rsidR="00DE06EF" w:rsidRDefault="00DE06EF">
      <w:pPr>
        <w:spacing w:line="360" w:lineRule="auto"/>
        <w:jc w:val="both"/>
        <w:rPr>
          <w:rFonts w:ascii="Palatino Linotype" w:eastAsia="Palatino Linotype" w:hAnsi="Palatino Linotype" w:cs="Palatino Linotype"/>
          <w:sz w:val="22"/>
          <w:szCs w:val="22"/>
        </w:rPr>
      </w:pPr>
    </w:p>
    <w:p w:rsidR="00DE06EF" w:rsidRDefault="00DE06EF">
      <w:pPr>
        <w:rPr>
          <w:rFonts w:ascii="Palatino Linotype" w:eastAsia="Palatino Linotype" w:hAnsi="Palatino Linotype" w:cs="Palatino Linotype"/>
          <w:sz w:val="22"/>
          <w:szCs w:val="22"/>
        </w:rPr>
      </w:pPr>
      <w:bookmarkStart w:id="14" w:name="_heading=h.17dp8vu" w:colFirst="0" w:colLast="0"/>
      <w:bookmarkEnd w:id="14"/>
    </w:p>
    <w:p w:rsidR="00DE06EF" w:rsidRDefault="00DE06EF">
      <w:pPr>
        <w:rPr>
          <w:rFonts w:ascii="Palatino Linotype" w:eastAsia="Palatino Linotype" w:hAnsi="Palatino Linotype" w:cs="Palatino Linotype"/>
          <w:sz w:val="22"/>
          <w:szCs w:val="22"/>
        </w:rPr>
      </w:pPr>
    </w:p>
    <w:p w:rsidR="00DE06EF" w:rsidRDefault="00DE06EF">
      <w:pPr>
        <w:spacing w:line="360" w:lineRule="auto"/>
        <w:jc w:val="both"/>
        <w:rPr>
          <w:rFonts w:ascii="Palatino Linotype" w:eastAsia="Palatino Linotype" w:hAnsi="Palatino Linotype" w:cs="Palatino Linotype"/>
          <w:sz w:val="22"/>
          <w:szCs w:val="22"/>
        </w:rPr>
      </w:pPr>
      <w:bookmarkStart w:id="15" w:name="_heading=h.3rdcrjn" w:colFirst="0" w:colLast="0"/>
      <w:bookmarkEnd w:id="15"/>
    </w:p>
    <w:p w:rsidR="00DE06EF" w:rsidRDefault="00DE06EF">
      <w:pPr>
        <w:spacing w:line="360" w:lineRule="auto"/>
        <w:jc w:val="both"/>
        <w:rPr>
          <w:rFonts w:ascii="Palatino Linotype" w:eastAsia="Palatino Linotype" w:hAnsi="Palatino Linotype" w:cs="Palatino Linotype"/>
          <w:sz w:val="22"/>
          <w:szCs w:val="22"/>
        </w:rPr>
      </w:pPr>
    </w:p>
    <w:p w:rsidR="00DE06EF" w:rsidRDefault="00DE06EF">
      <w:pPr>
        <w:spacing w:line="360" w:lineRule="auto"/>
        <w:jc w:val="both"/>
        <w:rPr>
          <w:rFonts w:ascii="Palatino Linotype" w:eastAsia="Palatino Linotype" w:hAnsi="Palatino Linotype" w:cs="Palatino Linotype"/>
          <w:sz w:val="22"/>
          <w:szCs w:val="22"/>
        </w:rPr>
      </w:pPr>
    </w:p>
    <w:p w:rsidR="00DE06EF" w:rsidRDefault="00DE06EF">
      <w:pPr>
        <w:spacing w:line="360" w:lineRule="auto"/>
        <w:jc w:val="both"/>
        <w:rPr>
          <w:rFonts w:ascii="Palatino Linotype" w:eastAsia="Palatino Linotype" w:hAnsi="Palatino Linotype" w:cs="Palatino Linotype"/>
          <w:sz w:val="22"/>
          <w:szCs w:val="22"/>
        </w:rPr>
      </w:pPr>
      <w:bookmarkStart w:id="16" w:name="_heading=h.1t3h5sf" w:colFirst="0" w:colLast="0"/>
      <w:bookmarkEnd w:id="16"/>
    </w:p>
    <w:p w:rsidR="00DE06EF" w:rsidRDefault="00DE06EF">
      <w:pPr>
        <w:spacing w:line="360" w:lineRule="auto"/>
        <w:jc w:val="both"/>
        <w:rPr>
          <w:rFonts w:ascii="Palatino Linotype" w:eastAsia="Palatino Linotype" w:hAnsi="Palatino Linotype" w:cs="Palatino Linotype"/>
          <w:sz w:val="22"/>
          <w:szCs w:val="22"/>
        </w:rPr>
      </w:pPr>
    </w:p>
    <w:p w:rsidR="00DE06EF" w:rsidRDefault="00DE06EF">
      <w:pPr>
        <w:spacing w:line="360" w:lineRule="auto"/>
        <w:jc w:val="both"/>
        <w:rPr>
          <w:rFonts w:ascii="Palatino Linotype" w:eastAsia="Palatino Linotype" w:hAnsi="Palatino Linotype" w:cs="Palatino Linotype"/>
          <w:sz w:val="22"/>
          <w:szCs w:val="22"/>
        </w:rPr>
      </w:pPr>
    </w:p>
    <w:p w:rsidR="00DE06EF" w:rsidRDefault="00DE06EF">
      <w:pPr>
        <w:spacing w:line="360" w:lineRule="auto"/>
        <w:jc w:val="both"/>
        <w:rPr>
          <w:rFonts w:ascii="Palatino Linotype" w:eastAsia="Palatino Linotype" w:hAnsi="Palatino Linotype" w:cs="Palatino Linotype"/>
          <w:sz w:val="22"/>
          <w:szCs w:val="22"/>
        </w:rPr>
      </w:pPr>
    </w:p>
    <w:p w:rsidR="00DE06EF" w:rsidRDefault="00DE06EF">
      <w:pPr>
        <w:spacing w:line="360" w:lineRule="auto"/>
        <w:jc w:val="both"/>
        <w:rPr>
          <w:rFonts w:ascii="Palatino Linotype" w:eastAsia="Palatino Linotype" w:hAnsi="Palatino Linotype" w:cs="Palatino Linotype"/>
          <w:sz w:val="22"/>
          <w:szCs w:val="22"/>
        </w:rPr>
      </w:pPr>
    </w:p>
    <w:p w:rsidR="00DE06EF" w:rsidRDefault="00DE06EF">
      <w:pPr>
        <w:spacing w:line="360" w:lineRule="auto"/>
        <w:jc w:val="both"/>
        <w:rPr>
          <w:rFonts w:ascii="Palatino Linotype" w:eastAsia="Palatino Linotype" w:hAnsi="Palatino Linotype" w:cs="Palatino Linotype"/>
          <w:sz w:val="22"/>
          <w:szCs w:val="22"/>
        </w:rPr>
      </w:pPr>
    </w:p>
    <w:p w:rsidR="00DE06EF" w:rsidRDefault="00DE06EF">
      <w:pPr>
        <w:spacing w:line="360" w:lineRule="auto"/>
        <w:jc w:val="both"/>
        <w:rPr>
          <w:rFonts w:ascii="Palatino Linotype" w:eastAsia="Palatino Linotype" w:hAnsi="Palatino Linotype" w:cs="Palatino Linotype"/>
          <w:sz w:val="22"/>
          <w:szCs w:val="22"/>
        </w:rPr>
      </w:pPr>
    </w:p>
    <w:p w:rsidR="00DE06EF" w:rsidRDefault="00DE06EF">
      <w:pPr>
        <w:spacing w:line="360" w:lineRule="auto"/>
        <w:jc w:val="both"/>
        <w:rPr>
          <w:rFonts w:ascii="Palatino Linotype" w:eastAsia="Palatino Linotype" w:hAnsi="Palatino Linotype" w:cs="Palatino Linotype"/>
          <w:sz w:val="22"/>
          <w:szCs w:val="22"/>
        </w:rPr>
      </w:pPr>
    </w:p>
    <w:p w:rsidR="00DE06EF" w:rsidRDefault="00DE06EF">
      <w:pPr>
        <w:spacing w:line="360" w:lineRule="auto"/>
        <w:jc w:val="both"/>
        <w:rPr>
          <w:rFonts w:ascii="Palatino Linotype" w:eastAsia="Palatino Linotype" w:hAnsi="Palatino Linotype" w:cs="Palatino Linotype"/>
          <w:sz w:val="22"/>
          <w:szCs w:val="22"/>
        </w:rPr>
      </w:pPr>
    </w:p>
    <w:p w:rsidR="00DE06EF" w:rsidRDefault="00DE06EF">
      <w:pPr>
        <w:spacing w:line="360" w:lineRule="auto"/>
        <w:jc w:val="both"/>
        <w:rPr>
          <w:rFonts w:ascii="Palatino Linotype" w:eastAsia="Palatino Linotype" w:hAnsi="Palatino Linotype" w:cs="Palatino Linotype"/>
          <w:sz w:val="22"/>
          <w:szCs w:val="22"/>
        </w:rPr>
      </w:pPr>
    </w:p>
    <w:p w:rsidR="00DE06EF" w:rsidRDefault="00DE06EF">
      <w:pPr>
        <w:spacing w:line="360" w:lineRule="auto"/>
        <w:jc w:val="both"/>
        <w:rPr>
          <w:rFonts w:ascii="Palatino Linotype" w:eastAsia="Palatino Linotype" w:hAnsi="Palatino Linotype" w:cs="Palatino Linotype"/>
          <w:sz w:val="22"/>
          <w:szCs w:val="22"/>
        </w:rPr>
      </w:pPr>
    </w:p>
    <w:p w:rsidR="00DE06EF" w:rsidRDefault="00DE06EF">
      <w:pPr>
        <w:spacing w:line="360" w:lineRule="auto"/>
        <w:jc w:val="both"/>
        <w:rPr>
          <w:rFonts w:ascii="Palatino Linotype" w:eastAsia="Palatino Linotype" w:hAnsi="Palatino Linotype" w:cs="Palatino Linotype"/>
          <w:sz w:val="22"/>
          <w:szCs w:val="22"/>
        </w:rPr>
      </w:pPr>
    </w:p>
    <w:p w:rsidR="00DE06EF" w:rsidRDefault="00DE06EF">
      <w:pPr>
        <w:spacing w:line="360" w:lineRule="auto"/>
        <w:jc w:val="both"/>
        <w:rPr>
          <w:rFonts w:ascii="Palatino Linotype" w:eastAsia="Palatino Linotype" w:hAnsi="Palatino Linotype" w:cs="Palatino Linotype"/>
          <w:sz w:val="22"/>
          <w:szCs w:val="22"/>
        </w:rPr>
      </w:pPr>
    </w:p>
    <w:p w:rsidR="00DE06EF" w:rsidRDefault="00DE06EF">
      <w:pPr>
        <w:spacing w:line="360" w:lineRule="auto"/>
        <w:jc w:val="both"/>
        <w:rPr>
          <w:rFonts w:ascii="Palatino Linotype" w:eastAsia="Palatino Linotype" w:hAnsi="Palatino Linotype" w:cs="Palatino Linotype"/>
          <w:sz w:val="22"/>
          <w:szCs w:val="22"/>
        </w:rPr>
      </w:pPr>
    </w:p>
    <w:p w:rsidR="00DE06EF" w:rsidRDefault="00DE06EF">
      <w:pPr>
        <w:spacing w:line="360" w:lineRule="auto"/>
        <w:jc w:val="both"/>
        <w:rPr>
          <w:rFonts w:ascii="Palatino Linotype" w:eastAsia="Palatino Linotype" w:hAnsi="Palatino Linotype" w:cs="Palatino Linotype"/>
          <w:sz w:val="22"/>
          <w:szCs w:val="22"/>
        </w:rPr>
      </w:pPr>
    </w:p>
    <w:p w:rsidR="00DE06EF" w:rsidRDefault="00DE06EF">
      <w:pPr>
        <w:spacing w:line="360" w:lineRule="auto"/>
        <w:jc w:val="both"/>
        <w:rPr>
          <w:rFonts w:ascii="Palatino Linotype" w:eastAsia="Palatino Linotype" w:hAnsi="Palatino Linotype" w:cs="Palatino Linotype"/>
          <w:sz w:val="22"/>
          <w:szCs w:val="22"/>
        </w:rPr>
      </w:pPr>
    </w:p>
    <w:p w:rsidR="00DE06EF" w:rsidRDefault="00DE06EF">
      <w:pPr>
        <w:spacing w:line="360" w:lineRule="auto"/>
        <w:jc w:val="both"/>
        <w:rPr>
          <w:rFonts w:ascii="Palatino Linotype" w:eastAsia="Palatino Linotype" w:hAnsi="Palatino Linotype" w:cs="Palatino Linotype"/>
          <w:sz w:val="22"/>
          <w:szCs w:val="22"/>
        </w:rPr>
      </w:pPr>
    </w:p>
    <w:p w:rsidR="00DE06EF" w:rsidRDefault="00DE06EF">
      <w:pPr>
        <w:spacing w:line="360" w:lineRule="auto"/>
        <w:jc w:val="both"/>
        <w:rPr>
          <w:rFonts w:ascii="Palatino Linotype" w:eastAsia="Palatino Linotype" w:hAnsi="Palatino Linotype" w:cs="Palatino Linotype"/>
          <w:sz w:val="22"/>
          <w:szCs w:val="22"/>
        </w:rPr>
      </w:pPr>
    </w:p>
    <w:p w:rsidR="00DE06EF" w:rsidRDefault="00DE06EF">
      <w:pPr>
        <w:spacing w:line="360" w:lineRule="auto"/>
        <w:jc w:val="both"/>
        <w:rPr>
          <w:rFonts w:ascii="Palatino Linotype" w:eastAsia="Palatino Linotype" w:hAnsi="Palatino Linotype" w:cs="Palatino Linotype"/>
          <w:sz w:val="22"/>
          <w:szCs w:val="22"/>
        </w:rPr>
      </w:pPr>
    </w:p>
    <w:p w:rsidR="00DE06EF" w:rsidRDefault="00DE06EF">
      <w:pPr>
        <w:spacing w:line="360" w:lineRule="auto"/>
        <w:jc w:val="both"/>
        <w:rPr>
          <w:rFonts w:ascii="Palatino Linotype" w:eastAsia="Palatino Linotype" w:hAnsi="Palatino Linotype" w:cs="Palatino Linotype"/>
          <w:sz w:val="22"/>
          <w:szCs w:val="22"/>
        </w:rPr>
      </w:pPr>
    </w:p>
    <w:p w:rsidR="00DE06EF" w:rsidRDefault="00DE06EF">
      <w:pPr>
        <w:spacing w:line="360" w:lineRule="auto"/>
        <w:jc w:val="both"/>
        <w:rPr>
          <w:rFonts w:ascii="Palatino Linotype" w:eastAsia="Palatino Linotype" w:hAnsi="Palatino Linotype" w:cs="Palatino Linotype"/>
          <w:sz w:val="22"/>
          <w:szCs w:val="22"/>
        </w:rPr>
      </w:pPr>
    </w:p>
    <w:sectPr w:rsidR="00DE06EF">
      <w:headerReference w:type="default" r:id="rId10"/>
      <w:footerReference w:type="default" r:id="rId11"/>
      <w:headerReference w:type="first" r:id="rId12"/>
      <w:footerReference w:type="first" r:id="rId1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0329" w:rsidRDefault="00490329">
      <w:r>
        <w:separator/>
      </w:r>
    </w:p>
  </w:endnote>
  <w:endnote w:type="continuationSeparator" w:id="0">
    <w:p w:rsidR="00490329" w:rsidRDefault="00490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87EE6C40-255B-4FCC-8DA1-6A345A978DB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3CE4FEB-783F-41D5-957C-82541FD8E938}"/>
    <w:embedBold r:id="rId3" w:fontKey="{071C6537-8707-47D5-A36A-4F33F7DF8321}"/>
  </w:font>
  <w:font w:name="Cambria">
    <w:panose1 w:val="02040503050406030204"/>
    <w:charset w:val="00"/>
    <w:family w:val="roman"/>
    <w:pitch w:val="variable"/>
    <w:sig w:usb0="E00006FF" w:usb1="420024FF" w:usb2="02000000" w:usb3="00000000" w:csb0="0000019F" w:csb1="00000000"/>
    <w:embedRegular r:id="rId4" w:fontKey="{D86B7CFD-6854-4E5B-A1B8-FF365F5C6141}"/>
    <w:embedBold r:id="rId5" w:fontKey="{24E5CB56-5728-4787-BBB1-0BACF97E8789}"/>
    <w:embedBoldItalic r:id="rId6" w:fontKey="{A54E3334-454B-4030-8BDD-B3151406ADAF}"/>
  </w:font>
  <w:font w:name="Segoe UI">
    <w:panose1 w:val="020B0502040204020203"/>
    <w:charset w:val="00"/>
    <w:family w:val="swiss"/>
    <w:pitch w:val="variable"/>
    <w:sig w:usb0="E4002EFF" w:usb1="C000E47F" w:usb2="00000009" w:usb3="00000000" w:csb0="000001FF" w:csb1="00000000"/>
    <w:embedRegular r:id="rId7" w:fontKey="{A3501A1D-7998-4760-9D72-EBD4FB5FD009}"/>
  </w:font>
  <w:font w:name="Georgia">
    <w:panose1 w:val="02040502050405020303"/>
    <w:charset w:val="00"/>
    <w:family w:val="roman"/>
    <w:pitch w:val="variable"/>
    <w:sig w:usb0="00000287" w:usb1="00000000" w:usb2="00000000" w:usb3="00000000" w:csb0="0000009F" w:csb1="00000000"/>
    <w:embedItalic r:id="rId8" w:fontKey="{6B6E6981-6AB3-4734-82E0-5B59250E83F6}"/>
  </w:font>
  <w:font w:name="Palatino Linotype">
    <w:panose1 w:val="02040502050505030304"/>
    <w:charset w:val="00"/>
    <w:family w:val="roman"/>
    <w:pitch w:val="variable"/>
    <w:sig w:usb0="E0000287" w:usb1="40000013" w:usb2="00000000" w:usb3="00000000" w:csb0="0000019F" w:csb1="00000000"/>
    <w:embedRegular r:id="rId9" w:fontKey="{245F433A-F746-4B05-AB00-6BAA0801788D}"/>
    <w:embedBold r:id="rId10" w:fontKey="{AD5D3FE3-0316-4BDA-A22E-7C3493402B2E}"/>
    <w:embedItalic r:id="rId11" w:fontKey="{2F156A2B-8A30-4B89-A511-5665F491D97E}"/>
    <w:embedBoldItalic r:id="rId12" w:fontKey="{FED4A270-FC35-4523-A1F3-08F1978C609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6EF" w:rsidRDefault="0049032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C72BB1">
      <w:rPr>
        <w:rFonts w:ascii="Palatino Linotype" w:eastAsia="Palatino Linotype" w:hAnsi="Palatino Linotype" w:cs="Palatino Linotype"/>
        <w:b/>
        <w:bCs/>
        <w:noProof/>
        <w:color w:val="000000"/>
        <w:sz w:val="20"/>
        <w:szCs w:val="20"/>
      </w:rPr>
      <w:t>21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C72BB1">
      <w:rPr>
        <w:rFonts w:ascii="Palatino Linotype" w:eastAsia="Palatino Linotype" w:hAnsi="Palatino Linotype" w:cs="Palatino Linotype"/>
        <w:b/>
        <w:bCs/>
        <w:noProof/>
        <w:color w:val="000000"/>
        <w:sz w:val="20"/>
        <w:szCs w:val="20"/>
      </w:rPr>
      <w:t>22</w:t>
    </w:r>
    <w:r>
      <w:rPr>
        <w:rFonts w:ascii="Palatino Linotype" w:eastAsia="Palatino Linotype" w:hAnsi="Palatino Linotype" w:cs="Palatino Linotype"/>
        <w:b/>
        <w:bCs/>
        <w:color w:val="000000"/>
        <w:sz w:val="20"/>
        <w:szCs w:val="20"/>
      </w:rPr>
      <w:fldChar w:fldCharType="end"/>
    </w:r>
  </w:p>
  <w:p w:rsidR="00DE06EF" w:rsidRDefault="00DE06E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6EF" w:rsidRDefault="0049032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C72BB1">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C72BB1">
      <w:rPr>
        <w:rFonts w:ascii="Palatino Linotype" w:eastAsia="Palatino Linotype" w:hAnsi="Palatino Linotype" w:cs="Palatino Linotype"/>
        <w:b/>
        <w:bCs/>
        <w:noProof/>
        <w:color w:val="000000"/>
        <w:sz w:val="20"/>
        <w:szCs w:val="20"/>
      </w:rPr>
      <w:t>22</w:t>
    </w:r>
    <w:r>
      <w:rPr>
        <w:rFonts w:ascii="Palatino Linotype" w:eastAsia="Palatino Linotype" w:hAnsi="Palatino Linotype" w:cs="Palatino Linotype"/>
        <w:b/>
        <w:bCs/>
        <w:color w:val="000000"/>
        <w:sz w:val="20"/>
        <w:szCs w:val="20"/>
      </w:rPr>
      <w:fldChar w:fldCharType="end"/>
    </w:r>
  </w:p>
  <w:p w:rsidR="00DE06EF" w:rsidRDefault="00DE06E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0329" w:rsidRDefault="00490329">
      <w:r>
        <w:separator/>
      </w:r>
    </w:p>
  </w:footnote>
  <w:footnote w:type="continuationSeparator" w:id="0">
    <w:p w:rsidR="00490329" w:rsidRDefault="00490329">
      <w:r>
        <w:continuationSeparator/>
      </w:r>
    </w:p>
  </w:footnote>
  <w:footnote w:id="1">
    <w:p w:rsidR="00DE06EF" w:rsidRDefault="00490329">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DE06EF" w:rsidRDefault="00490329">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DE06EF" w:rsidRDefault="00490329">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DE06EF" w:rsidRDefault="00490329">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6EF" w:rsidRDefault="00DE06EF">
    <w:pPr>
      <w:rPr>
        <w:rFonts w:ascii="Cambria" w:eastAsia="Cambria" w:hAnsi="Cambria" w:cs="Cambria"/>
        <w:color w:val="000000"/>
      </w:rPr>
    </w:pPr>
  </w:p>
  <w:tbl>
    <w:tblPr>
      <w:tblStyle w:val="a7"/>
      <w:tblW w:w="7087" w:type="dxa"/>
      <w:tblInd w:w="3261" w:type="dxa"/>
      <w:tblLayout w:type="fixed"/>
      <w:tblLook w:val="0400" w:firstRow="0" w:lastRow="0" w:firstColumn="0" w:lastColumn="0" w:noHBand="0" w:noVBand="1"/>
    </w:tblPr>
    <w:tblGrid>
      <w:gridCol w:w="2489"/>
      <w:gridCol w:w="4598"/>
    </w:tblGrid>
    <w:tr w:rsidR="00DE06EF">
      <w:tc>
        <w:tcPr>
          <w:tcW w:w="2489" w:type="dxa"/>
          <w:shd w:val="clear" w:color="auto" w:fill="auto"/>
        </w:tcPr>
        <w:p w:rsidR="00DE06EF" w:rsidRDefault="00490329">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598" w:type="dxa"/>
          <w:shd w:val="clear" w:color="auto" w:fill="auto"/>
          <w:vAlign w:val="center"/>
        </w:tcPr>
        <w:p w:rsidR="00DE06EF" w:rsidRDefault="00490329">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11409/INFOEM/IP/RR/2025</w:t>
          </w:r>
          <w:r>
            <w:rPr>
              <w:noProof/>
            </w:rPr>
            <w:drawing>
              <wp:anchor distT="0" distB="0" distL="0" distR="0" simplePos="0" relativeHeight="251658240" behindDoc="1" locked="0" layoutInCell="1" hidden="0" allowOverlap="1">
                <wp:simplePos x="0" y="0"/>
                <wp:positionH relativeFrom="column">
                  <wp:posOffset>-4305299</wp:posOffset>
                </wp:positionH>
                <wp:positionV relativeFrom="paragraph">
                  <wp:posOffset>-666114</wp:posOffset>
                </wp:positionV>
                <wp:extent cx="7809865" cy="10165715"/>
                <wp:effectExtent l="0" t="0" r="0" b="0"/>
                <wp:wrapNone/>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DE06EF">
      <w:trPr>
        <w:trHeight w:val="228"/>
      </w:trPr>
      <w:tc>
        <w:tcPr>
          <w:tcW w:w="2489" w:type="dxa"/>
          <w:shd w:val="clear" w:color="auto" w:fill="auto"/>
          <w:vAlign w:val="center"/>
        </w:tcPr>
        <w:p w:rsidR="00DE06EF" w:rsidRDefault="00490329">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598" w:type="dxa"/>
          <w:shd w:val="clear" w:color="auto" w:fill="auto"/>
          <w:vAlign w:val="center"/>
        </w:tcPr>
        <w:p w:rsidR="00DE06EF" w:rsidRDefault="00490329">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1"/>
              <w:szCs w:val="21"/>
            </w:rPr>
            <w:t>Ayuntamiento de Calimaya</w:t>
          </w:r>
        </w:p>
      </w:tc>
    </w:tr>
    <w:tr w:rsidR="00DE06EF">
      <w:tc>
        <w:tcPr>
          <w:tcW w:w="2489" w:type="dxa"/>
          <w:shd w:val="clear" w:color="auto" w:fill="auto"/>
          <w:vAlign w:val="center"/>
        </w:tcPr>
        <w:p w:rsidR="00DE06EF" w:rsidRDefault="00490329">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598" w:type="dxa"/>
          <w:shd w:val="clear" w:color="auto" w:fill="auto"/>
          <w:vAlign w:val="center"/>
        </w:tcPr>
        <w:p w:rsidR="00DE06EF" w:rsidRDefault="00490329">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DE06EF" w:rsidRDefault="0049032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6EF" w:rsidRDefault="0049032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-1079484</wp:posOffset>
          </wp:positionH>
          <wp:positionV relativeFrom="paragraph">
            <wp:posOffset>-328912</wp:posOffset>
          </wp:positionV>
          <wp:extent cx="7809865" cy="10165715"/>
          <wp:effectExtent l="0" t="0" r="0" b="0"/>
          <wp:wrapNone/>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DE06EF">
      <w:tc>
        <w:tcPr>
          <w:tcW w:w="2551" w:type="dxa"/>
          <w:shd w:val="clear" w:color="auto" w:fill="auto"/>
          <w:vAlign w:val="center"/>
        </w:tcPr>
        <w:p w:rsidR="00DE06EF" w:rsidRDefault="00490329">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394" w:type="dxa"/>
          <w:shd w:val="clear" w:color="auto" w:fill="auto"/>
          <w:vAlign w:val="center"/>
        </w:tcPr>
        <w:p w:rsidR="00DE06EF" w:rsidRDefault="00490329">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11409/INFOEM/IP/RR/2025</w:t>
          </w:r>
        </w:p>
      </w:tc>
    </w:tr>
    <w:tr w:rsidR="00DE06EF">
      <w:trPr>
        <w:trHeight w:val="130"/>
      </w:trPr>
      <w:tc>
        <w:tcPr>
          <w:tcW w:w="2551" w:type="dxa"/>
          <w:shd w:val="clear" w:color="auto" w:fill="auto"/>
          <w:vAlign w:val="center"/>
        </w:tcPr>
        <w:p w:rsidR="00DE06EF" w:rsidRDefault="00490329">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394" w:type="dxa"/>
          <w:shd w:val="clear" w:color="auto" w:fill="auto"/>
          <w:vAlign w:val="center"/>
        </w:tcPr>
        <w:p w:rsidR="00DE06EF" w:rsidRDefault="00C72BB1" w:rsidP="00C72BB1">
          <w:pPr>
            <w:ind w:left="-45" w:right="1444"/>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XXXXXXX XXXXXX </w:t>
          </w:r>
        </w:p>
      </w:tc>
    </w:tr>
    <w:tr w:rsidR="00DE06EF">
      <w:trPr>
        <w:trHeight w:val="228"/>
      </w:trPr>
      <w:tc>
        <w:tcPr>
          <w:tcW w:w="2551" w:type="dxa"/>
          <w:shd w:val="clear" w:color="auto" w:fill="auto"/>
          <w:vAlign w:val="center"/>
        </w:tcPr>
        <w:p w:rsidR="00DE06EF" w:rsidRDefault="00490329">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394" w:type="dxa"/>
          <w:shd w:val="clear" w:color="auto" w:fill="auto"/>
          <w:vAlign w:val="center"/>
        </w:tcPr>
        <w:p w:rsidR="00DE06EF" w:rsidRDefault="00490329">
          <w:pPr>
            <w:ind w:left="-45" w:right="1586"/>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Calimaya</w:t>
          </w:r>
        </w:p>
      </w:tc>
    </w:tr>
    <w:tr w:rsidR="00DE06EF">
      <w:tc>
        <w:tcPr>
          <w:tcW w:w="2551" w:type="dxa"/>
          <w:shd w:val="clear" w:color="auto" w:fill="auto"/>
          <w:vAlign w:val="center"/>
        </w:tcPr>
        <w:p w:rsidR="00DE06EF" w:rsidRDefault="00490329">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394" w:type="dxa"/>
          <w:shd w:val="clear" w:color="auto" w:fill="auto"/>
          <w:vAlign w:val="center"/>
        </w:tcPr>
        <w:p w:rsidR="00DE06EF" w:rsidRDefault="00490329">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DE06EF" w:rsidRDefault="00DE06EF">
    <w:pPr>
      <w:pBdr>
        <w:top w:val="nil"/>
        <w:left w:val="nil"/>
        <w:bottom w:val="nil"/>
        <w:right w:val="nil"/>
        <w:between w:val="nil"/>
      </w:pBdr>
      <w:tabs>
        <w:tab w:val="center" w:pos="4252"/>
        <w:tab w:val="right" w:pos="8504"/>
      </w:tabs>
      <w:rPr>
        <w:rFonts w:ascii="Cambria" w:eastAsia="Cambria" w:hAnsi="Cambria" w:cs="Cambria"/>
        <w:color w:val="000000"/>
      </w:rPr>
    </w:pPr>
  </w:p>
  <w:p w:rsidR="00DE06EF" w:rsidRDefault="00DE06E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F1BFA"/>
    <w:multiLevelType w:val="multilevel"/>
    <w:tmpl w:val="06A4079A"/>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F582A8A"/>
    <w:multiLevelType w:val="multilevel"/>
    <w:tmpl w:val="6B4E0584"/>
    <w:lvl w:ilvl="0">
      <w:start w:val="1"/>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6EF"/>
    <w:rsid w:val="00490329"/>
    <w:rsid w:val="004F2E39"/>
    <w:rsid w:val="00C72BB1"/>
    <w:rsid w:val="00DE06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55F36"/>
  <w15:docId w15:val="{27FFB7B2-46B2-4E75-B712-74B3E53B3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U3l+iZMkV0bkXwiUMOGtduS/w==">CgMxLjAyCWguMWZvYjl0ZTIJaC40ZDM0b2c4MghoLmdqZGd4czIJaC4zZHk2dmttMgloLjMwajB6bGwyCWguMnM4ZXlvMTIIaC50eWpjd3QyCWguM3pueXNoNzIJaC4xeTgxMHR3Mg5oLmVscjY1OGUwaTRlYzIOaC5panY5OHBudGNkNXMyCWguMjZpbjFyZzINaC5oN256Yjc5d2xyYTIJaC4xN2RwOHZ1MgloLjNyZGNyam4yCWguMXQzaDVzZjgAciExYjAxOE5FWWtLTHpySGhkYXJ3REdhZUtMUTMzeVhiZF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5454</Words>
  <Characters>30001</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2025-11-24T16:52:00Z</cp:lastPrinted>
  <dcterms:created xsi:type="dcterms:W3CDTF">2025-12-15T02:34:00Z</dcterms:created>
  <dcterms:modified xsi:type="dcterms:W3CDTF">2025-12-15T02:34:00Z</dcterms:modified>
</cp:coreProperties>
</file>