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584535950"/>
        <w:docPartObj>
          <w:docPartGallery w:val="Table of Contents"/>
          <w:docPartUnique/>
        </w:docPartObj>
      </w:sdtPr>
      <w:sdtEndPr>
        <w:rPr>
          <w:b/>
          <w:bCs/>
        </w:rPr>
      </w:sdtEndPr>
      <w:sdtContent>
        <w:p w14:paraId="497CAE70" w14:textId="77777777" w:rsidR="008C22FE" w:rsidRPr="00E74062" w:rsidRDefault="008C22FE" w:rsidP="00E74062">
          <w:pPr>
            <w:pStyle w:val="TtulodeTDC"/>
            <w:rPr>
              <w:color w:val="auto"/>
            </w:rPr>
          </w:pPr>
          <w:r w:rsidRPr="00E74062">
            <w:rPr>
              <w:color w:val="auto"/>
              <w:lang w:val="es-ES"/>
            </w:rPr>
            <w:t>Contenido</w:t>
          </w:r>
        </w:p>
        <w:p w14:paraId="3D72F84C" w14:textId="1F06C7ED" w:rsidR="00E74062" w:rsidRPr="00E74062" w:rsidRDefault="008C22FE" w:rsidP="00E74062">
          <w:pPr>
            <w:pStyle w:val="TDC1"/>
            <w:tabs>
              <w:tab w:val="right" w:leader="dot" w:pos="9034"/>
            </w:tabs>
            <w:rPr>
              <w:rFonts w:asciiTheme="minorHAnsi" w:eastAsiaTheme="minorEastAsia" w:hAnsiTheme="minorHAnsi" w:cstheme="minorBidi"/>
              <w:noProof/>
            </w:rPr>
          </w:pPr>
          <w:r w:rsidRPr="00E74062">
            <w:rPr>
              <w:b/>
              <w:bCs/>
              <w:lang w:val="es-ES"/>
            </w:rPr>
            <w:fldChar w:fldCharType="begin"/>
          </w:r>
          <w:r w:rsidRPr="00E74062">
            <w:rPr>
              <w:b/>
              <w:bCs/>
              <w:lang w:val="es-ES"/>
            </w:rPr>
            <w:instrText xml:space="preserve"> TOC \o "1-3" \h \z \u </w:instrText>
          </w:r>
          <w:r w:rsidRPr="00E74062">
            <w:rPr>
              <w:b/>
              <w:bCs/>
              <w:lang w:val="es-ES"/>
            </w:rPr>
            <w:fldChar w:fldCharType="separate"/>
          </w:r>
          <w:hyperlink w:anchor="_Toc203629357" w:history="1">
            <w:r w:rsidR="00E74062" w:rsidRPr="00E74062">
              <w:rPr>
                <w:rStyle w:val="Hipervnculo"/>
                <w:noProof/>
                <w:color w:val="auto"/>
              </w:rPr>
              <w:t>ANTECEDENTES</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_Toc203629357 \h </w:instrText>
            </w:r>
            <w:r w:rsidR="00E74062" w:rsidRPr="00E74062">
              <w:rPr>
                <w:noProof/>
                <w:webHidden/>
              </w:rPr>
            </w:r>
            <w:r w:rsidR="00E74062" w:rsidRPr="00E74062">
              <w:rPr>
                <w:noProof/>
                <w:webHidden/>
              </w:rPr>
              <w:fldChar w:fldCharType="separate"/>
            </w:r>
            <w:r w:rsidR="00E74062" w:rsidRPr="00E74062">
              <w:rPr>
                <w:noProof/>
                <w:webHidden/>
              </w:rPr>
              <w:t>1</w:t>
            </w:r>
            <w:r w:rsidR="00E74062" w:rsidRPr="00E74062">
              <w:rPr>
                <w:noProof/>
                <w:webHidden/>
              </w:rPr>
              <w:fldChar w:fldCharType="end"/>
            </w:r>
          </w:hyperlink>
        </w:p>
        <w:p w14:paraId="7EAC409D" w14:textId="0489CA6C" w:rsidR="00E74062" w:rsidRPr="00E74062" w:rsidRDefault="00D10CF6" w:rsidP="00E74062">
          <w:pPr>
            <w:pStyle w:val="TDC2"/>
            <w:rPr>
              <w:rFonts w:asciiTheme="minorHAnsi" w:eastAsiaTheme="minorEastAsia" w:hAnsiTheme="minorHAnsi" w:cstheme="minorBidi"/>
              <w:noProof/>
            </w:rPr>
          </w:pPr>
          <w:hyperlink w:anchor="_Toc203629358" w:history="1">
            <w:r w:rsidR="00E74062" w:rsidRPr="00E74062">
              <w:rPr>
                <w:rStyle w:val="Hipervnculo"/>
                <w:noProof/>
                <w:color w:val="auto"/>
              </w:rPr>
              <w:t>DE LA SOLICITUD DE INFORMACIÓN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_Toc203629358 \h </w:instrText>
            </w:r>
            <w:r w:rsidR="00E74062" w:rsidRPr="00E74062">
              <w:rPr>
                <w:noProof/>
                <w:webHidden/>
              </w:rPr>
            </w:r>
            <w:r w:rsidR="00E74062" w:rsidRPr="00E74062">
              <w:rPr>
                <w:noProof/>
                <w:webHidden/>
              </w:rPr>
              <w:fldChar w:fldCharType="separate"/>
            </w:r>
            <w:r w:rsidR="00E74062" w:rsidRPr="00E74062">
              <w:rPr>
                <w:noProof/>
                <w:webHidden/>
              </w:rPr>
              <w:t>1</w:t>
            </w:r>
            <w:r w:rsidR="00E74062" w:rsidRPr="00E74062">
              <w:rPr>
                <w:noProof/>
                <w:webHidden/>
              </w:rPr>
              <w:fldChar w:fldCharType="end"/>
            </w:r>
          </w:hyperlink>
        </w:p>
        <w:p w14:paraId="3137D267" w14:textId="1B12A9C2" w:rsidR="00E74062" w:rsidRPr="00E74062" w:rsidRDefault="00D10CF6" w:rsidP="00E74062">
          <w:pPr>
            <w:pStyle w:val="TDC3"/>
            <w:rPr>
              <w:rFonts w:asciiTheme="minorHAnsi" w:eastAsiaTheme="minorEastAsia" w:hAnsiTheme="minorHAnsi" w:cstheme="minorBidi"/>
              <w:noProof/>
            </w:rPr>
          </w:pPr>
          <w:hyperlink w:anchor="_Toc203629359" w:history="1">
            <w:r w:rsidR="00E74062" w:rsidRPr="00E74062">
              <w:rPr>
                <w:rStyle w:val="Hipervnculo"/>
                <w:noProof/>
                <w:color w:val="auto"/>
              </w:rPr>
              <w:t>a) Solicitud de información.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_Toc203629359 \h </w:instrText>
            </w:r>
            <w:r w:rsidR="00E74062" w:rsidRPr="00E74062">
              <w:rPr>
                <w:noProof/>
                <w:webHidden/>
              </w:rPr>
            </w:r>
            <w:r w:rsidR="00E74062" w:rsidRPr="00E74062">
              <w:rPr>
                <w:noProof/>
                <w:webHidden/>
              </w:rPr>
              <w:fldChar w:fldCharType="separate"/>
            </w:r>
            <w:r w:rsidR="00E74062" w:rsidRPr="00E74062">
              <w:rPr>
                <w:noProof/>
                <w:webHidden/>
              </w:rPr>
              <w:t>1</w:t>
            </w:r>
            <w:r w:rsidR="00E74062" w:rsidRPr="00E74062">
              <w:rPr>
                <w:noProof/>
                <w:webHidden/>
              </w:rPr>
              <w:fldChar w:fldCharType="end"/>
            </w:r>
          </w:hyperlink>
        </w:p>
        <w:p w14:paraId="458F8D90" w14:textId="48F73B61" w:rsidR="00E74062" w:rsidRPr="00E74062" w:rsidRDefault="00D10CF6" w:rsidP="00E74062">
          <w:pPr>
            <w:pStyle w:val="TDC3"/>
            <w:rPr>
              <w:rFonts w:asciiTheme="minorHAnsi" w:eastAsiaTheme="minorEastAsia" w:hAnsiTheme="minorHAnsi" w:cstheme="minorBidi"/>
              <w:noProof/>
            </w:rPr>
          </w:pPr>
          <w:hyperlink w:anchor="_Toc203629360" w:history="1">
            <w:r w:rsidR="00E74062" w:rsidRPr="00E74062">
              <w:rPr>
                <w:rStyle w:val="Hipervnculo"/>
                <w:noProof/>
                <w:color w:val="auto"/>
              </w:rPr>
              <w:t>b) Solicitud de Aclaración.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_Toc203629360 \h </w:instrText>
            </w:r>
            <w:r w:rsidR="00E74062" w:rsidRPr="00E74062">
              <w:rPr>
                <w:noProof/>
                <w:webHidden/>
              </w:rPr>
            </w:r>
            <w:r w:rsidR="00E74062" w:rsidRPr="00E74062">
              <w:rPr>
                <w:noProof/>
                <w:webHidden/>
              </w:rPr>
              <w:fldChar w:fldCharType="separate"/>
            </w:r>
            <w:r w:rsidR="00E74062" w:rsidRPr="00E74062">
              <w:rPr>
                <w:noProof/>
                <w:webHidden/>
              </w:rPr>
              <w:t>2</w:t>
            </w:r>
            <w:r w:rsidR="00E74062" w:rsidRPr="00E74062">
              <w:rPr>
                <w:noProof/>
                <w:webHidden/>
              </w:rPr>
              <w:fldChar w:fldCharType="end"/>
            </w:r>
          </w:hyperlink>
        </w:p>
        <w:p w14:paraId="2F36A67B" w14:textId="7598BC9E" w:rsidR="00E74062" w:rsidRPr="00E74062" w:rsidRDefault="00D10CF6" w:rsidP="00E74062">
          <w:pPr>
            <w:pStyle w:val="TDC3"/>
            <w:rPr>
              <w:rFonts w:asciiTheme="minorHAnsi" w:eastAsiaTheme="minorEastAsia" w:hAnsiTheme="minorHAnsi" w:cstheme="minorBidi"/>
              <w:noProof/>
            </w:rPr>
          </w:pPr>
          <w:hyperlink w:anchor="_Toc203629361" w:history="1">
            <w:r w:rsidR="00E74062" w:rsidRPr="00E74062">
              <w:rPr>
                <w:rStyle w:val="Hipervnculo"/>
                <w:noProof/>
                <w:color w:val="auto"/>
              </w:rPr>
              <w:t>c) Aclaración.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_Toc203629361 \h </w:instrText>
            </w:r>
            <w:r w:rsidR="00E74062" w:rsidRPr="00E74062">
              <w:rPr>
                <w:noProof/>
                <w:webHidden/>
              </w:rPr>
            </w:r>
            <w:r w:rsidR="00E74062" w:rsidRPr="00E74062">
              <w:rPr>
                <w:noProof/>
                <w:webHidden/>
              </w:rPr>
              <w:fldChar w:fldCharType="separate"/>
            </w:r>
            <w:r w:rsidR="00E74062" w:rsidRPr="00E74062">
              <w:rPr>
                <w:noProof/>
                <w:webHidden/>
              </w:rPr>
              <w:t>2</w:t>
            </w:r>
            <w:r w:rsidR="00E74062" w:rsidRPr="00E74062">
              <w:rPr>
                <w:noProof/>
                <w:webHidden/>
              </w:rPr>
              <w:fldChar w:fldCharType="end"/>
            </w:r>
          </w:hyperlink>
        </w:p>
        <w:p w14:paraId="5E9D7601" w14:textId="672EF6B1" w:rsidR="00E74062" w:rsidRPr="00E74062" w:rsidRDefault="00D10CF6" w:rsidP="00E74062">
          <w:pPr>
            <w:pStyle w:val="TDC3"/>
            <w:rPr>
              <w:rFonts w:asciiTheme="minorHAnsi" w:eastAsiaTheme="minorEastAsia" w:hAnsiTheme="minorHAnsi" w:cstheme="minorBidi"/>
              <w:noProof/>
            </w:rPr>
          </w:pPr>
          <w:hyperlink w:anchor="_Toc203629362" w:history="1">
            <w:r w:rsidR="00E74062" w:rsidRPr="00E74062">
              <w:rPr>
                <w:rStyle w:val="Hipervnculo"/>
                <w:noProof/>
                <w:color w:val="auto"/>
              </w:rPr>
              <w:t>d) Turno de la solicitud de información.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_Toc203629362 \h </w:instrText>
            </w:r>
            <w:r w:rsidR="00E74062" w:rsidRPr="00E74062">
              <w:rPr>
                <w:noProof/>
                <w:webHidden/>
              </w:rPr>
            </w:r>
            <w:r w:rsidR="00E74062" w:rsidRPr="00E74062">
              <w:rPr>
                <w:noProof/>
                <w:webHidden/>
              </w:rPr>
              <w:fldChar w:fldCharType="separate"/>
            </w:r>
            <w:r w:rsidR="00E74062" w:rsidRPr="00E74062">
              <w:rPr>
                <w:noProof/>
                <w:webHidden/>
              </w:rPr>
              <w:t>2</w:t>
            </w:r>
            <w:r w:rsidR="00E74062" w:rsidRPr="00E74062">
              <w:rPr>
                <w:noProof/>
                <w:webHidden/>
              </w:rPr>
              <w:fldChar w:fldCharType="end"/>
            </w:r>
          </w:hyperlink>
        </w:p>
        <w:p w14:paraId="59C4DC7A" w14:textId="65FEEE66" w:rsidR="00E74062" w:rsidRPr="00E74062" w:rsidRDefault="00D10CF6" w:rsidP="00E74062">
          <w:pPr>
            <w:pStyle w:val="TDC3"/>
            <w:rPr>
              <w:rFonts w:asciiTheme="minorHAnsi" w:eastAsiaTheme="minorEastAsia" w:hAnsiTheme="minorHAnsi" w:cstheme="minorBidi"/>
              <w:noProof/>
            </w:rPr>
          </w:pPr>
          <w:hyperlink w:anchor="_Toc203629363" w:history="1">
            <w:r w:rsidR="00E74062" w:rsidRPr="00E74062">
              <w:rPr>
                <w:rStyle w:val="Hipervnculo"/>
                <w:noProof/>
                <w:color w:val="auto"/>
              </w:rPr>
              <w:t>e) Respuesta del Sujeto Obligado.</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_Toc203629363 \h </w:instrText>
            </w:r>
            <w:r w:rsidR="00E74062" w:rsidRPr="00E74062">
              <w:rPr>
                <w:noProof/>
                <w:webHidden/>
              </w:rPr>
            </w:r>
            <w:r w:rsidR="00E74062" w:rsidRPr="00E74062">
              <w:rPr>
                <w:noProof/>
                <w:webHidden/>
              </w:rPr>
              <w:fldChar w:fldCharType="separate"/>
            </w:r>
            <w:r w:rsidR="00E74062" w:rsidRPr="00E74062">
              <w:rPr>
                <w:noProof/>
                <w:webHidden/>
              </w:rPr>
              <w:t>3</w:t>
            </w:r>
            <w:r w:rsidR="00E74062" w:rsidRPr="00E74062">
              <w:rPr>
                <w:noProof/>
                <w:webHidden/>
              </w:rPr>
              <w:fldChar w:fldCharType="end"/>
            </w:r>
          </w:hyperlink>
        </w:p>
        <w:p w14:paraId="704B2589" w14:textId="54C2C156" w:rsidR="00E74062" w:rsidRPr="00E74062" w:rsidRDefault="00D10CF6" w:rsidP="00E74062">
          <w:pPr>
            <w:pStyle w:val="TDC2"/>
            <w:rPr>
              <w:rFonts w:asciiTheme="minorHAnsi" w:eastAsiaTheme="minorEastAsia" w:hAnsiTheme="minorHAnsi" w:cstheme="minorBidi"/>
              <w:noProof/>
            </w:rPr>
          </w:pPr>
          <w:hyperlink w:anchor="_Toc203629364" w:history="1">
            <w:r w:rsidR="00E74062" w:rsidRPr="00E74062">
              <w:rPr>
                <w:rStyle w:val="Hipervnculo"/>
                <w:noProof/>
                <w:color w:val="auto"/>
              </w:rPr>
              <w:t>DEL RECURSO DE REVISIÓN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_Toc203629364 \h </w:instrText>
            </w:r>
            <w:r w:rsidR="00E74062" w:rsidRPr="00E74062">
              <w:rPr>
                <w:noProof/>
                <w:webHidden/>
              </w:rPr>
            </w:r>
            <w:r w:rsidR="00E74062" w:rsidRPr="00E74062">
              <w:rPr>
                <w:noProof/>
                <w:webHidden/>
              </w:rPr>
              <w:fldChar w:fldCharType="separate"/>
            </w:r>
            <w:r w:rsidR="00E74062" w:rsidRPr="00E74062">
              <w:rPr>
                <w:noProof/>
                <w:webHidden/>
              </w:rPr>
              <w:t>4</w:t>
            </w:r>
            <w:r w:rsidR="00E74062" w:rsidRPr="00E74062">
              <w:rPr>
                <w:noProof/>
                <w:webHidden/>
              </w:rPr>
              <w:fldChar w:fldCharType="end"/>
            </w:r>
          </w:hyperlink>
        </w:p>
        <w:p w14:paraId="0DEBE438" w14:textId="6C505C25" w:rsidR="00E74062" w:rsidRPr="00E74062" w:rsidRDefault="00D10CF6" w:rsidP="00E74062">
          <w:pPr>
            <w:pStyle w:val="TDC3"/>
            <w:rPr>
              <w:rFonts w:asciiTheme="minorHAnsi" w:eastAsiaTheme="minorEastAsia" w:hAnsiTheme="minorHAnsi" w:cstheme="minorBidi"/>
              <w:noProof/>
            </w:rPr>
          </w:pPr>
          <w:hyperlink w:anchor="_Toc203629365" w:history="1">
            <w:r w:rsidR="00E74062" w:rsidRPr="00E74062">
              <w:rPr>
                <w:rStyle w:val="Hipervnculo"/>
                <w:noProof/>
                <w:color w:val="auto"/>
              </w:rPr>
              <w:t>a) Interposición del Recurso de Revisión.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_Toc203629365 \h </w:instrText>
            </w:r>
            <w:r w:rsidR="00E74062" w:rsidRPr="00E74062">
              <w:rPr>
                <w:noProof/>
                <w:webHidden/>
              </w:rPr>
            </w:r>
            <w:r w:rsidR="00E74062" w:rsidRPr="00E74062">
              <w:rPr>
                <w:noProof/>
                <w:webHidden/>
              </w:rPr>
              <w:fldChar w:fldCharType="separate"/>
            </w:r>
            <w:r w:rsidR="00E74062" w:rsidRPr="00E74062">
              <w:rPr>
                <w:noProof/>
                <w:webHidden/>
              </w:rPr>
              <w:t>4</w:t>
            </w:r>
            <w:r w:rsidR="00E74062" w:rsidRPr="00E74062">
              <w:rPr>
                <w:noProof/>
                <w:webHidden/>
              </w:rPr>
              <w:fldChar w:fldCharType="end"/>
            </w:r>
          </w:hyperlink>
        </w:p>
        <w:p w14:paraId="2D9EFE1A" w14:textId="6F85CB9A" w:rsidR="00E74062" w:rsidRPr="00E74062" w:rsidRDefault="00D10CF6" w:rsidP="00E74062">
          <w:pPr>
            <w:pStyle w:val="TDC3"/>
            <w:rPr>
              <w:rFonts w:asciiTheme="minorHAnsi" w:eastAsiaTheme="minorEastAsia" w:hAnsiTheme="minorHAnsi" w:cstheme="minorBidi"/>
              <w:noProof/>
            </w:rPr>
          </w:pPr>
          <w:hyperlink w:anchor="_Toc203629366" w:history="1">
            <w:r w:rsidR="00E74062" w:rsidRPr="00E74062">
              <w:rPr>
                <w:rStyle w:val="Hipervnculo"/>
                <w:noProof/>
                <w:color w:val="auto"/>
              </w:rPr>
              <w:t>b) Turno del Recurso de Revisión.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_Toc203629366 \h </w:instrText>
            </w:r>
            <w:r w:rsidR="00E74062" w:rsidRPr="00E74062">
              <w:rPr>
                <w:noProof/>
                <w:webHidden/>
              </w:rPr>
            </w:r>
            <w:r w:rsidR="00E74062" w:rsidRPr="00E74062">
              <w:rPr>
                <w:noProof/>
                <w:webHidden/>
              </w:rPr>
              <w:fldChar w:fldCharType="separate"/>
            </w:r>
            <w:r w:rsidR="00E74062" w:rsidRPr="00E74062">
              <w:rPr>
                <w:noProof/>
                <w:webHidden/>
              </w:rPr>
              <w:t>4</w:t>
            </w:r>
            <w:r w:rsidR="00E74062" w:rsidRPr="00E74062">
              <w:rPr>
                <w:noProof/>
                <w:webHidden/>
              </w:rPr>
              <w:fldChar w:fldCharType="end"/>
            </w:r>
          </w:hyperlink>
        </w:p>
        <w:p w14:paraId="47870968" w14:textId="4790664F" w:rsidR="00E74062" w:rsidRPr="00E74062" w:rsidRDefault="00D10CF6" w:rsidP="00E74062">
          <w:pPr>
            <w:pStyle w:val="TDC3"/>
            <w:rPr>
              <w:rFonts w:asciiTheme="minorHAnsi" w:eastAsiaTheme="minorEastAsia" w:hAnsiTheme="minorHAnsi" w:cstheme="minorBidi"/>
              <w:noProof/>
            </w:rPr>
          </w:pPr>
          <w:hyperlink w:anchor="_Toc203629367" w:history="1">
            <w:r w:rsidR="00E74062" w:rsidRPr="00E74062">
              <w:rPr>
                <w:rStyle w:val="Hipervnculo"/>
                <w:noProof/>
                <w:color w:val="auto"/>
              </w:rPr>
              <w:t>c) Admisión del Recurso de Revisión.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_Toc203629367 \h </w:instrText>
            </w:r>
            <w:r w:rsidR="00E74062" w:rsidRPr="00E74062">
              <w:rPr>
                <w:noProof/>
                <w:webHidden/>
              </w:rPr>
            </w:r>
            <w:r w:rsidR="00E74062" w:rsidRPr="00E74062">
              <w:rPr>
                <w:noProof/>
                <w:webHidden/>
              </w:rPr>
              <w:fldChar w:fldCharType="separate"/>
            </w:r>
            <w:r w:rsidR="00E74062" w:rsidRPr="00E74062">
              <w:rPr>
                <w:noProof/>
                <w:webHidden/>
              </w:rPr>
              <w:t>5</w:t>
            </w:r>
            <w:r w:rsidR="00E74062" w:rsidRPr="00E74062">
              <w:rPr>
                <w:noProof/>
                <w:webHidden/>
              </w:rPr>
              <w:fldChar w:fldCharType="end"/>
            </w:r>
          </w:hyperlink>
        </w:p>
        <w:p w14:paraId="2280AC15" w14:textId="72C57A1E" w:rsidR="00E74062" w:rsidRPr="00E74062" w:rsidRDefault="00D10CF6" w:rsidP="00E74062">
          <w:pPr>
            <w:pStyle w:val="TDC3"/>
            <w:rPr>
              <w:rFonts w:asciiTheme="minorHAnsi" w:eastAsiaTheme="minorEastAsia" w:hAnsiTheme="minorHAnsi" w:cstheme="minorBidi"/>
              <w:noProof/>
            </w:rPr>
          </w:pPr>
          <w:hyperlink w:anchor="_Toc203629368" w:history="1">
            <w:r w:rsidR="00E74062" w:rsidRPr="00E74062">
              <w:rPr>
                <w:rStyle w:val="Hipervnculo"/>
                <w:noProof/>
                <w:color w:val="auto"/>
              </w:rPr>
              <w:t>d) Informe Justificado del Sujeto Obligado.</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_Toc203629368 \h </w:instrText>
            </w:r>
            <w:r w:rsidR="00E74062" w:rsidRPr="00E74062">
              <w:rPr>
                <w:noProof/>
                <w:webHidden/>
              </w:rPr>
            </w:r>
            <w:r w:rsidR="00E74062" w:rsidRPr="00E74062">
              <w:rPr>
                <w:noProof/>
                <w:webHidden/>
              </w:rPr>
              <w:fldChar w:fldCharType="separate"/>
            </w:r>
            <w:r w:rsidR="00E74062" w:rsidRPr="00E74062">
              <w:rPr>
                <w:noProof/>
                <w:webHidden/>
              </w:rPr>
              <w:t>5</w:t>
            </w:r>
            <w:r w:rsidR="00E74062" w:rsidRPr="00E74062">
              <w:rPr>
                <w:noProof/>
                <w:webHidden/>
              </w:rPr>
              <w:fldChar w:fldCharType="end"/>
            </w:r>
          </w:hyperlink>
        </w:p>
        <w:p w14:paraId="3D56582D" w14:textId="4AA19888" w:rsidR="00E74062" w:rsidRPr="00E74062" w:rsidRDefault="00D10CF6" w:rsidP="00E74062">
          <w:pPr>
            <w:pStyle w:val="TDC3"/>
            <w:rPr>
              <w:rFonts w:asciiTheme="minorHAnsi" w:eastAsiaTheme="minorEastAsia" w:hAnsiTheme="minorHAnsi" w:cstheme="minorBidi"/>
              <w:noProof/>
            </w:rPr>
          </w:pPr>
          <w:hyperlink w:anchor="_Toc203629369" w:history="1">
            <w:r w:rsidR="00E74062" w:rsidRPr="00E74062">
              <w:rPr>
                <w:rStyle w:val="Hipervnculo"/>
                <w:noProof/>
                <w:color w:val="auto"/>
              </w:rPr>
              <w:t>e) Manifestaciones de la Parte Recurrente.</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_Toc203629369 \h </w:instrText>
            </w:r>
            <w:r w:rsidR="00E74062" w:rsidRPr="00E74062">
              <w:rPr>
                <w:noProof/>
                <w:webHidden/>
              </w:rPr>
            </w:r>
            <w:r w:rsidR="00E74062" w:rsidRPr="00E74062">
              <w:rPr>
                <w:noProof/>
                <w:webHidden/>
              </w:rPr>
              <w:fldChar w:fldCharType="separate"/>
            </w:r>
            <w:r w:rsidR="00E74062" w:rsidRPr="00E74062">
              <w:rPr>
                <w:noProof/>
                <w:webHidden/>
              </w:rPr>
              <w:t>5</w:t>
            </w:r>
            <w:r w:rsidR="00E74062" w:rsidRPr="00E74062">
              <w:rPr>
                <w:noProof/>
                <w:webHidden/>
              </w:rPr>
              <w:fldChar w:fldCharType="end"/>
            </w:r>
          </w:hyperlink>
        </w:p>
        <w:p w14:paraId="3481992E" w14:textId="7C717556" w:rsidR="00E74062" w:rsidRPr="00E74062" w:rsidRDefault="00D10CF6" w:rsidP="00E74062">
          <w:pPr>
            <w:pStyle w:val="TDC3"/>
            <w:rPr>
              <w:rFonts w:asciiTheme="minorHAnsi" w:eastAsiaTheme="minorEastAsia" w:hAnsiTheme="minorHAnsi" w:cstheme="minorBidi"/>
              <w:noProof/>
            </w:rPr>
          </w:pPr>
          <w:hyperlink w:anchor="_Toc203629370" w:history="1">
            <w:r w:rsidR="00E74062" w:rsidRPr="00E74062">
              <w:rPr>
                <w:rStyle w:val="Hipervnculo"/>
                <w:noProof/>
                <w:color w:val="auto"/>
              </w:rPr>
              <w:t>f) Ampliación de Plazo para Resolver</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_Toc203629370 \h </w:instrText>
            </w:r>
            <w:r w:rsidR="00E74062" w:rsidRPr="00E74062">
              <w:rPr>
                <w:noProof/>
                <w:webHidden/>
              </w:rPr>
            </w:r>
            <w:r w:rsidR="00E74062" w:rsidRPr="00E74062">
              <w:rPr>
                <w:noProof/>
                <w:webHidden/>
              </w:rPr>
              <w:fldChar w:fldCharType="separate"/>
            </w:r>
            <w:r w:rsidR="00E74062" w:rsidRPr="00E74062">
              <w:rPr>
                <w:noProof/>
                <w:webHidden/>
              </w:rPr>
              <w:t>6</w:t>
            </w:r>
            <w:r w:rsidR="00E74062" w:rsidRPr="00E74062">
              <w:rPr>
                <w:noProof/>
                <w:webHidden/>
              </w:rPr>
              <w:fldChar w:fldCharType="end"/>
            </w:r>
          </w:hyperlink>
        </w:p>
        <w:p w14:paraId="6ADE4397" w14:textId="054FE53A" w:rsidR="00E74062" w:rsidRPr="00E74062" w:rsidRDefault="00D10CF6" w:rsidP="00E74062">
          <w:pPr>
            <w:pStyle w:val="TDC3"/>
            <w:rPr>
              <w:rFonts w:asciiTheme="minorHAnsi" w:eastAsiaTheme="minorEastAsia" w:hAnsiTheme="minorHAnsi" w:cstheme="minorBidi"/>
              <w:noProof/>
            </w:rPr>
          </w:pPr>
          <w:hyperlink w:anchor="_Toc203629371" w:history="1">
            <w:r w:rsidR="00E74062" w:rsidRPr="00E74062">
              <w:rPr>
                <w:rStyle w:val="Hipervnculo"/>
                <w:noProof/>
                <w:color w:val="auto"/>
              </w:rPr>
              <w:t>g) Cierre de instrucción.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_Toc203629371 \h </w:instrText>
            </w:r>
            <w:r w:rsidR="00E74062" w:rsidRPr="00E74062">
              <w:rPr>
                <w:noProof/>
                <w:webHidden/>
              </w:rPr>
            </w:r>
            <w:r w:rsidR="00E74062" w:rsidRPr="00E74062">
              <w:rPr>
                <w:noProof/>
                <w:webHidden/>
              </w:rPr>
              <w:fldChar w:fldCharType="separate"/>
            </w:r>
            <w:r w:rsidR="00E74062" w:rsidRPr="00E74062">
              <w:rPr>
                <w:noProof/>
                <w:webHidden/>
              </w:rPr>
              <w:t>6</w:t>
            </w:r>
            <w:r w:rsidR="00E74062" w:rsidRPr="00E74062">
              <w:rPr>
                <w:noProof/>
                <w:webHidden/>
              </w:rPr>
              <w:fldChar w:fldCharType="end"/>
            </w:r>
          </w:hyperlink>
        </w:p>
        <w:p w14:paraId="6BD3D570" w14:textId="29294514" w:rsidR="00E74062" w:rsidRPr="00E74062" w:rsidRDefault="00D10CF6" w:rsidP="00E74062">
          <w:pPr>
            <w:pStyle w:val="TDC1"/>
            <w:tabs>
              <w:tab w:val="right" w:leader="dot" w:pos="9034"/>
            </w:tabs>
            <w:rPr>
              <w:rFonts w:asciiTheme="minorHAnsi" w:eastAsiaTheme="minorEastAsia" w:hAnsiTheme="minorHAnsi" w:cstheme="minorBidi"/>
              <w:noProof/>
            </w:rPr>
          </w:pPr>
          <w:hyperlink w:anchor="_Toc203629372" w:history="1">
            <w:r w:rsidR="00E74062" w:rsidRPr="00E74062">
              <w:rPr>
                <w:rStyle w:val="Hipervnculo"/>
                <w:noProof/>
                <w:color w:val="auto"/>
              </w:rPr>
              <w:t>CONSIDERANDOS</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_Toc203629372 \h </w:instrText>
            </w:r>
            <w:r w:rsidR="00E74062" w:rsidRPr="00E74062">
              <w:rPr>
                <w:noProof/>
                <w:webHidden/>
              </w:rPr>
            </w:r>
            <w:r w:rsidR="00E74062" w:rsidRPr="00E74062">
              <w:rPr>
                <w:noProof/>
                <w:webHidden/>
              </w:rPr>
              <w:fldChar w:fldCharType="separate"/>
            </w:r>
            <w:r w:rsidR="00E74062" w:rsidRPr="00E74062">
              <w:rPr>
                <w:noProof/>
                <w:webHidden/>
              </w:rPr>
              <w:t>6</w:t>
            </w:r>
            <w:r w:rsidR="00E74062" w:rsidRPr="00E74062">
              <w:rPr>
                <w:noProof/>
                <w:webHidden/>
              </w:rPr>
              <w:fldChar w:fldCharType="end"/>
            </w:r>
          </w:hyperlink>
        </w:p>
        <w:p w14:paraId="38B024F2" w14:textId="0D0BFA4F" w:rsidR="00E74062" w:rsidRPr="00E74062" w:rsidRDefault="00D10CF6" w:rsidP="00E74062">
          <w:pPr>
            <w:pStyle w:val="TDC2"/>
            <w:rPr>
              <w:rFonts w:asciiTheme="minorHAnsi" w:eastAsiaTheme="minorEastAsia" w:hAnsiTheme="minorHAnsi" w:cstheme="minorBidi"/>
              <w:noProof/>
            </w:rPr>
          </w:pPr>
          <w:hyperlink w:anchor="_Toc203629373" w:history="1">
            <w:r w:rsidR="00E74062" w:rsidRPr="00E74062">
              <w:rPr>
                <w:rStyle w:val="Hipervnculo"/>
                <w:noProof/>
                <w:color w:val="auto"/>
              </w:rPr>
              <w:t>PRIMERO. Procedibilidad</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_Toc203629373 \h </w:instrText>
            </w:r>
            <w:r w:rsidR="00E74062" w:rsidRPr="00E74062">
              <w:rPr>
                <w:noProof/>
                <w:webHidden/>
              </w:rPr>
            </w:r>
            <w:r w:rsidR="00E74062" w:rsidRPr="00E74062">
              <w:rPr>
                <w:noProof/>
                <w:webHidden/>
              </w:rPr>
              <w:fldChar w:fldCharType="separate"/>
            </w:r>
            <w:r w:rsidR="00E74062" w:rsidRPr="00E74062">
              <w:rPr>
                <w:noProof/>
                <w:webHidden/>
              </w:rPr>
              <w:t>6</w:t>
            </w:r>
            <w:r w:rsidR="00E74062" w:rsidRPr="00E74062">
              <w:rPr>
                <w:noProof/>
                <w:webHidden/>
              </w:rPr>
              <w:fldChar w:fldCharType="end"/>
            </w:r>
          </w:hyperlink>
        </w:p>
        <w:p w14:paraId="58862A1C" w14:textId="76DFDCF4" w:rsidR="00E74062" w:rsidRPr="00E74062" w:rsidRDefault="00D10CF6" w:rsidP="00E74062">
          <w:pPr>
            <w:pStyle w:val="TDC3"/>
            <w:rPr>
              <w:rFonts w:asciiTheme="minorHAnsi" w:eastAsiaTheme="minorEastAsia" w:hAnsiTheme="minorHAnsi" w:cstheme="minorBidi"/>
              <w:noProof/>
            </w:rPr>
          </w:pPr>
          <w:hyperlink w:anchor="_Toc203629374" w:history="1">
            <w:r w:rsidR="00E74062" w:rsidRPr="00E74062">
              <w:rPr>
                <w:rStyle w:val="Hipervnculo"/>
                <w:noProof/>
                <w:color w:val="auto"/>
              </w:rPr>
              <w:t>a) Competencia del Instituto.</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_Toc203629374 \h </w:instrText>
            </w:r>
            <w:r w:rsidR="00E74062" w:rsidRPr="00E74062">
              <w:rPr>
                <w:noProof/>
                <w:webHidden/>
              </w:rPr>
            </w:r>
            <w:r w:rsidR="00E74062" w:rsidRPr="00E74062">
              <w:rPr>
                <w:noProof/>
                <w:webHidden/>
              </w:rPr>
              <w:fldChar w:fldCharType="separate"/>
            </w:r>
            <w:r w:rsidR="00E74062" w:rsidRPr="00E74062">
              <w:rPr>
                <w:noProof/>
                <w:webHidden/>
              </w:rPr>
              <w:t>6</w:t>
            </w:r>
            <w:r w:rsidR="00E74062" w:rsidRPr="00E74062">
              <w:rPr>
                <w:noProof/>
                <w:webHidden/>
              </w:rPr>
              <w:fldChar w:fldCharType="end"/>
            </w:r>
          </w:hyperlink>
        </w:p>
        <w:p w14:paraId="2E0A57FA" w14:textId="0084EB18" w:rsidR="00E74062" w:rsidRPr="00E74062" w:rsidRDefault="00D10CF6" w:rsidP="00E74062">
          <w:pPr>
            <w:pStyle w:val="TDC3"/>
            <w:rPr>
              <w:rFonts w:asciiTheme="minorHAnsi" w:eastAsiaTheme="minorEastAsia" w:hAnsiTheme="minorHAnsi" w:cstheme="minorBidi"/>
              <w:noProof/>
            </w:rPr>
          </w:pPr>
          <w:hyperlink w:anchor="_Toc203629375" w:history="1">
            <w:r w:rsidR="00E74062" w:rsidRPr="00E74062">
              <w:rPr>
                <w:rStyle w:val="Hipervnculo"/>
                <w:noProof/>
                <w:color w:val="auto"/>
              </w:rPr>
              <w:t>b) Legitimidad de la parte recurrente.</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_Toc203629375 \h </w:instrText>
            </w:r>
            <w:r w:rsidR="00E74062" w:rsidRPr="00E74062">
              <w:rPr>
                <w:noProof/>
                <w:webHidden/>
              </w:rPr>
            </w:r>
            <w:r w:rsidR="00E74062" w:rsidRPr="00E74062">
              <w:rPr>
                <w:noProof/>
                <w:webHidden/>
              </w:rPr>
              <w:fldChar w:fldCharType="separate"/>
            </w:r>
            <w:r w:rsidR="00E74062" w:rsidRPr="00E74062">
              <w:rPr>
                <w:noProof/>
                <w:webHidden/>
              </w:rPr>
              <w:t>7</w:t>
            </w:r>
            <w:r w:rsidR="00E74062" w:rsidRPr="00E74062">
              <w:rPr>
                <w:noProof/>
                <w:webHidden/>
              </w:rPr>
              <w:fldChar w:fldCharType="end"/>
            </w:r>
          </w:hyperlink>
        </w:p>
        <w:p w14:paraId="5DDDE98F" w14:textId="0F153F06" w:rsidR="00E74062" w:rsidRPr="00E74062" w:rsidRDefault="00D10CF6" w:rsidP="00E74062">
          <w:pPr>
            <w:pStyle w:val="TDC3"/>
            <w:rPr>
              <w:rFonts w:asciiTheme="minorHAnsi" w:eastAsiaTheme="minorEastAsia" w:hAnsiTheme="minorHAnsi" w:cstheme="minorBidi"/>
              <w:noProof/>
            </w:rPr>
          </w:pPr>
          <w:hyperlink w:anchor="_Toc203629376" w:history="1">
            <w:r w:rsidR="00E74062" w:rsidRPr="00E74062">
              <w:rPr>
                <w:rStyle w:val="Hipervnculo"/>
                <w:noProof/>
                <w:color w:val="auto"/>
              </w:rPr>
              <w:t>c) Plazo para interponer el recurso.</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_Toc203629376 \h </w:instrText>
            </w:r>
            <w:r w:rsidR="00E74062" w:rsidRPr="00E74062">
              <w:rPr>
                <w:noProof/>
                <w:webHidden/>
              </w:rPr>
            </w:r>
            <w:r w:rsidR="00E74062" w:rsidRPr="00E74062">
              <w:rPr>
                <w:noProof/>
                <w:webHidden/>
              </w:rPr>
              <w:fldChar w:fldCharType="separate"/>
            </w:r>
            <w:r w:rsidR="00E74062" w:rsidRPr="00E74062">
              <w:rPr>
                <w:noProof/>
                <w:webHidden/>
              </w:rPr>
              <w:t>7</w:t>
            </w:r>
            <w:r w:rsidR="00E74062" w:rsidRPr="00E74062">
              <w:rPr>
                <w:noProof/>
                <w:webHidden/>
              </w:rPr>
              <w:fldChar w:fldCharType="end"/>
            </w:r>
          </w:hyperlink>
        </w:p>
        <w:p w14:paraId="255607B0" w14:textId="7C5AA070" w:rsidR="00E74062" w:rsidRPr="00E74062" w:rsidRDefault="00D10CF6" w:rsidP="00E74062">
          <w:pPr>
            <w:pStyle w:val="TDC3"/>
            <w:rPr>
              <w:rFonts w:asciiTheme="minorHAnsi" w:eastAsiaTheme="minorEastAsia" w:hAnsiTheme="minorHAnsi" w:cstheme="minorBidi"/>
              <w:noProof/>
            </w:rPr>
          </w:pPr>
          <w:hyperlink w:anchor="_Toc203629377" w:history="1">
            <w:r w:rsidR="00E74062" w:rsidRPr="00E74062">
              <w:rPr>
                <w:rStyle w:val="Hipervnculo"/>
                <w:noProof/>
                <w:color w:val="auto"/>
              </w:rPr>
              <w:t>d) Causal de procedencia.</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_Toc203629377 \h </w:instrText>
            </w:r>
            <w:r w:rsidR="00E74062" w:rsidRPr="00E74062">
              <w:rPr>
                <w:noProof/>
                <w:webHidden/>
              </w:rPr>
            </w:r>
            <w:r w:rsidR="00E74062" w:rsidRPr="00E74062">
              <w:rPr>
                <w:noProof/>
                <w:webHidden/>
              </w:rPr>
              <w:fldChar w:fldCharType="separate"/>
            </w:r>
            <w:r w:rsidR="00E74062" w:rsidRPr="00E74062">
              <w:rPr>
                <w:noProof/>
                <w:webHidden/>
              </w:rPr>
              <w:t>7</w:t>
            </w:r>
            <w:r w:rsidR="00E74062" w:rsidRPr="00E74062">
              <w:rPr>
                <w:noProof/>
                <w:webHidden/>
              </w:rPr>
              <w:fldChar w:fldCharType="end"/>
            </w:r>
          </w:hyperlink>
        </w:p>
        <w:p w14:paraId="7071C4A0" w14:textId="1610B7AD" w:rsidR="00E74062" w:rsidRPr="00E74062" w:rsidRDefault="00D10CF6" w:rsidP="00E74062">
          <w:pPr>
            <w:pStyle w:val="TDC3"/>
            <w:rPr>
              <w:rFonts w:asciiTheme="minorHAnsi" w:eastAsiaTheme="minorEastAsia" w:hAnsiTheme="minorHAnsi" w:cstheme="minorBidi"/>
              <w:noProof/>
            </w:rPr>
          </w:pPr>
          <w:hyperlink w:anchor="_Toc203629378" w:history="1">
            <w:r w:rsidR="00E74062" w:rsidRPr="00E74062">
              <w:rPr>
                <w:rStyle w:val="Hipervnculo"/>
                <w:noProof/>
                <w:color w:val="auto"/>
              </w:rPr>
              <w:t>e) Requisitos formales para la interposición del recurso.</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_Toc203629378 \h </w:instrText>
            </w:r>
            <w:r w:rsidR="00E74062" w:rsidRPr="00E74062">
              <w:rPr>
                <w:noProof/>
                <w:webHidden/>
              </w:rPr>
            </w:r>
            <w:r w:rsidR="00E74062" w:rsidRPr="00E74062">
              <w:rPr>
                <w:noProof/>
                <w:webHidden/>
              </w:rPr>
              <w:fldChar w:fldCharType="separate"/>
            </w:r>
            <w:r w:rsidR="00E74062" w:rsidRPr="00E74062">
              <w:rPr>
                <w:noProof/>
                <w:webHidden/>
              </w:rPr>
              <w:t>8</w:t>
            </w:r>
            <w:r w:rsidR="00E74062" w:rsidRPr="00E74062">
              <w:rPr>
                <w:noProof/>
                <w:webHidden/>
              </w:rPr>
              <w:fldChar w:fldCharType="end"/>
            </w:r>
          </w:hyperlink>
        </w:p>
        <w:p w14:paraId="57911839" w14:textId="6E547A1E" w:rsidR="00E74062" w:rsidRPr="00E74062" w:rsidRDefault="00D10CF6" w:rsidP="00E74062">
          <w:pPr>
            <w:pStyle w:val="TDC2"/>
            <w:rPr>
              <w:rFonts w:asciiTheme="minorHAnsi" w:eastAsiaTheme="minorEastAsia" w:hAnsiTheme="minorHAnsi" w:cstheme="minorBidi"/>
              <w:noProof/>
            </w:rPr>
          </w:pPr>
          <w:hyperlink w:anchor="_Toc203629379" w:history="1">
            <w:r w:rsidR="00E74062" w:rsidRPr="00E74062">
              <w:rPr>
                <w:rStyle w:val="Hipervnculo"/>
                <w:noProof/>
                <w:color w:val="auto"/>
              </w:rPr>
              <w:t>SEGUNDO. Estudio de Fondo.</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_Toc203629379 \h </w:instrText>
            </w:r>
            <w:r w:rsidR="00E74062" w:rsidRPr="00E74062">
              <w:rPr>
                <w:noProof/>
                <w:webHidden/>
              </w:rPr>
            </w:r>
            <w:r w:rsidR="00E74062" w:rsidRPr="00E74062">
              <w:rPr>
                <w:noProof/>
                <w:webHidden/>
              </w:rPr>
              <w:fldChar w:fldCharType="separate"/>
            </w:r>
            <w:r w:rsidR="00E74062" w:rsidRPr="00E74062">
              <w:rPr>
                <w:noProof/>
                <w:webHidden/>
              </w:rPr>
              <w:t>9</w:t>
            </w:r>
            <w:r w:rsidR="00E74062" w:rsidRPr="00E74062">
              <w:rPr>
                <w:noProof/>
                <w:webHidden/>
              </w:rPr>
              <w:fldChar w:fldCharType="end"/>
            </w:r>
          </w:hyperlink>
        </w:p>
        <w:p w14:paraId="745B2456" w14:textId="18E3F397" w:rsidR="00E74062" w:rsidRPr="00E74062" w:rsidRDefault="00D10CF6" w:rsidP="00E74062">
          <w:pPr>
            <w:pStyle w:val="TDC3"/>
            <w:rPr>
              <w:rFonts w:asciiTheme="minorHAnsi" w:eastAsiaTheme="minorEastAsia" w:hAnsiTheme="minorHAnsi" w:cstheme="minorBidi"/>
              <w:noProof/>
            </w:rPr>
          </w:pPr>
          <w:hyperlink w:anchor="_Toc203629380" w:history="1">
            <w:r w:rsidR="00E74062" w:rsidRPr="00E74062">
              <w:rPr>
                <w:rStyle w:val="Hipervnculo"/>
                <w:noProof/>
                <w:color w:val="auto"/>
              </w:rPr>
              <w:t>a) Mandato de transparencia y responsabilidad del Sujeto Obligado.</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_Toc203629380 \h </w:instrText>
            </w:r>
            <w:r w:rsidR="00E74062" w:rsidRPr="00E74062">
              <w:rPr>
                <w:noProof/>
                <w:webHidden/>
              </w:rPr>
            </w:r>
            <w:r w:rsidR="00E74062" w:rsidRPr="00E74062">
              <w:rPr>
                <w:noProof/>
                <w:webHidden/>
              </w:rPr>
              <w:fldChar w:fldCharType="separate"/>
            </w:r>
            <w:r w:rsidR="00E74062" w:rsidRPr="00E74062">
              <w:rPr>
                <w:noProof/>
                <w:webHidden/>
              </w:rPr>
              <w:t>9</w:t>
            </w:r>
            <w:r w:rsidR="00E74062" w:rsidRPr="00E74062">
              <w:rPr>
                <w:noProof/>
                <w:webHidden/>
              </w:rPr>
              <w:fldChar w:fldCharType="end"/>
            </w:r>
          </w:hyperlink>
        </w:p>
        <w:p w14:paraId="678DEB14" w14:textId="2DA3C02B" w:rsidR="00E74062" w:rsidRPr="00E74062" w:rsidRDefault="00D10CF6" w:rsidP="00E74062">
          <w:pPr>
            <w:pStyle w:val="TDC3"/>
            <w:rPr>
              <w:rFonts w:asciiTheme="minorHAnsi" w:eastAsiaTheme="minorEastAsia" w:hAnsiTheme="minorHAnsi" w:cstheme="minorBidi"/>
              <w:noProof/>
            </w:rPr>
          </w:pPr>
          <w:hyperlink w:anchor="_Toc203629381" w:history="1">
            <w:r w:rsidR="00E74062" w:rsidRPr="00E74062">
              <w:rPr>
                <w:rStyle w:val="Hipervnculo"/>
                <w:noProof/>
                <w:color w:val="auto"/>
              </w:rPr>
              <w:t>b) Controversia a resolver.</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_Toc203629381 \h </w:instrText>
            </w:r>
            <w:r w:rsidR="00E74062" w:rsidRPr="00E74062">
              <w:rPr>
                <w:noProof/>
                <w:webHidden/>
              </w:rPr>
            </w:r>
            <w:r w:rsidR="00E74062" w:rsidRPr="00E74062">
              <w:rPr>
                <w:noProof/>
                <w:webHidden/>
              </w:rPr>
              <w:fldChar w:fldCharType="separate"/>
            </w:r>
            <w:r w:rsidR="00E74062" w:rsidRPr="00E74062">
              <w:rPr>
                <w:noProof/>
                <w:webHidden/>
              </w:rPr>
              <w:t>11</w:t>
            </w:r>
            <w:r w:rsidR="00E74062" w:rsidRPr="00E74062">
              <w:rPr>
                <w:noProof/>
                <w:webHidden/>
              </w:rPr>
              <w:fldChar w:fldCharType="end"/>
            </w:r>
          </w:hyperlink>
        </w:p>
        <w:p w14:paraId="4A805793" w14:textId="216FB68F" w:rsidR="00E74062" w:rsidRPr="00E74062" w:rsidRDefault="00D10CF6" w:rsidP="00E74062">
          <w:pPr>
            <w:pStyle w:val="TDC3"/>
            <w:rPr>
              <w:rFonts w:asciiTheme="minorHAnsi" w:eastAsiaTheme="minorEastAsia" w:hAnsiTheme="minorHAnsi" w:cstheme="minorBidi"/>
              <w:noProof/>
            </w:rPr>
          </w:pPr>
          <w:hyperlink w:anchor="_Toc203629382" w:history="1">
            <w:r w:rsidR="00E74062" w:rsidRPr="00E74062">
              <w:rPr>
                <w:rStyle w:val="Hipervnculo"/>
                <w:noProof/>
                <w:color w:val="auto"/>
              </w:rPr>
              <w:t>c) Estudio de la controversia.</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_Toc203629382 \h </w:instrText>
            </w:r>
            <w:r w:rsidR="00E74062" w:rsidRPr="00E74062">
              <w:rPr>
                <w:noProof/>
                <w:webHidden/>
              </w:rPr>
            </w:r>
            <w:r w:rsidR="00E74062" w:rsidRPr="00E74062">
              <w:rPr>
                <w:noProof/>
                <w:webHidden/>
              </w:rPr>
              <w:fldChar w:fldCharType="separate"/>
            </w:r>
            <w:r w:rsidR="00E74062" w:rsidRPr="00E74062">
              <w:rPr>
                <w:noProof/>
                <w:webHidden/>
              </w:rPr>
              <w:t>13</w:t>
            </w:r>
            <w:r w:rsidR="00E74062" w:rsidRPr="00E74062">
              <w:rPr>
                <w:noProof/>
                <w:webHidden/>
              </w:rPr>
              <w:fldChar w:fldCharType="end"/>
            </w:r>
          </w:hyperlink>
        </w:p>
        <w:p w14:paraId="38AC7F2A" w14:textId="4687DDBE" w:rsidR="00E74062" w:rsidRPr="00E74062" w:rsidRDefault="00D10CF6" w:rsidP="00E74062">
          <w:pPr>
            <w:pStyle w:val="TDC3"/>
            <w:rPr>
              <w:rFonts w:asciiTheme="minorHAnsi" w:eastAsiaTheme="minorEastAsia" w:hAnsiTheme="minorHAnsi" w:cstheme="minorBidi"/>
              <w:noProof/>
            </w:rPr>
          </w:pPr>
          <w:hyperlink w:anchor="_Toc203629383" w:history="1">
            <w:r w:rsidR="00E74062" w:rsidRPr="00E74062">
              <w:rPr>
                <w:rStyle w:val="Hipervnculo"/>
                <w:noProof/>
                <w:color w:val="auto"/>
              </w:rPr>
              <w:t>d) Versión pública</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_Toc203629383 \h </w:instrText>
            </w:r>
            <w:r w:rsidR="00E74062" w:rsidRPr="00E74062">
              <w:rPr>
                <w:noProof/>
                <w:webHidden/>
              </w:rPr>
            </w:r>
            <w:r w:rsidR="00E74062" w:rsidRPr="00E74062">
              <w:rPr>
                <w:noProof/>
                <w:webHidden/>
              </w:rPr>
              <w:fldChar w:fldCharType="separate"/>
            </w:r>
            <w:r w:rsidR="00E74062" w:rsidRPr="00E74062">
              <w:rPr>
                <w:noProof/>
                <w:webHidden/>
              </w:rPr>
              <w:t>21</w:t>
            </w:r>
            <w:r w:rsidR="00E74062" w:rsidRPr="00E74062">
              <w:rPr>
                <w:noProof/>
                <w:webHidden/>
              </w:rPr>
              <w:fldChar w:fldCharType="end"/>
            </w:r>
          </w:hyperlink>
        </w:p>
        <w:p w14:paraId="4C974327" w14:textId="1734E611" w:rsidR="00E74062" w:rsidRPr="00E74062" w:rsidRDefault="00D10CF6" w:rsidP="00E74062">
          <w:pPr>
            <w:pStyle w:val="TDC3"/>
            <w:rPr>
              <w:rFonts w:asciiTheme="minorHAnsi" w:eastAsiaTheme="minorEastAsia" w:hAnsiTheme="minorHAnsi" w:cstheme="minorBidi"/>
              <w:noProof/>
            </w:rPr>
          </w:pPr>
          <w:hyperlink w:anchor="_Toc203629384" w:history="1">
            <w:r w:rsidR="00E74062" w:rsidRPr="00E74062">
              <w:rPr>
                <w:rStyle w:val="Hipervnculo"/>
                <w:noProof/>
                <w:color w:val="auto"/>
              </w:rPr>
              <w:t>e) Conclusión.</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_Toc203629384 \h </w:instrText>
            </w:r>
            <w:r w:rsidR="00E74062" w:rsidRPr="00E74062">
              <w:rPr>
                <w:noProof/>
                <w:webHidden/>
              </w:rPr>
            </w:r>
            <w:r w:rsidR="00E74062" w:rsidRPr="00E74062">
              <w:rPr>
                <w:noProof/>
                <w:webHidden/>
              </w:rPr>
              <w:fldChar w:fldCharType="separate"/>
            </w:r>
            <w:r w:rsidR="00E74062" w:rsidRPr="00E74062">
              <w:rPr>
                <w:noProof/>
                <w:webHidden/>
              </w:rPr>
              <w:t>28</w:t>
            </w:r>
            <w:r w:rsidR="00E74062" w:rsidRPr="00E74062">
              <w:rPr>
                <w:noProof/>
                <w:webHidden/>
              </w:rPr>
              <w:fldChar w:fldCharType="end"/>
            </w:r>
          </w:hyperlink>
        </w:p>
        <w:p w14:paraId="61F8014A" w14:textId="453E8188" w:rsidR="00E74062" w:rsidRPr="00E74062" w:rsidRDefault="00D10CF6" w:rsidP="00E74062">
          <w:pPr>
            <w:pStyle w:val="TDC1"/>
            <w:tabs>
              <w:tab w:val="right" w:leader="dot" w:pos="9034"/>
            </w:tabs>
            <w:rPr>
              <w:rFonts w:asciiTheme="minorHAnsi" w:eastAsiaTheme="minorEastAsia" w:hAnsiTheme="minorHAnsi" w:cstheme="minorBidi"/>
              <w:noProof/>
            </w:rPr>
          </w:pPr>
          <w:hyperlink w:anchor="_Toc203629385" w:history="1">
            <w:r w:rsidR="00E74062" w:rsidRPr="00E74062">
              <w:rPr>
                <w:rStyle w:val="Hipervnculo"/>
                <w:noProof/>
                <w:color w:val="auto"/>
              </w:rPr>
              <w:t>RESUELVE</w:t>
            </w:r>
            <w:r w:rsidR="00E74062" w:rsidRPr="00E74062">
              <w:rPr>
                <w:noProof/>
                <w:webHidden/>
              </w:rPr>
              <w:tab/>
            </w:r>
            <w:r w:rsidR="00E74062" w:rsidRPr="00E74062">
              <w:rPr>
                <w:noProof/>
                <w:webHidden/>
              </w:rPr>
              <w:fldChar w:fldCharType="begin"/>
            </w:r>
            <w:r w:rsidR="00E74062" w:rsidRPr="00E74062">
              <w:rPr>
                <w:noProof/>
                <w:webHidden/>
              </w:rPr>
              <w:instrText xml:space="preserve"> PAGEREF _Toc203629385 \h </w:instrText>
            </w:r>
            <w:r w:rsidR="00E74062" w:rsidRPr="00E74062">
              <w:rPr>
                <w:noProof/>
                <w:webHidden/>
              </w:rPr>
            </w:r>
            <w:r w:rsidR="00E74062" w:rsidRPr="00E74062">
              <w:rPr>
                <w:noProof/>
                <w:webHidden/>
              </w:rPr>
              <w:fldChar w:fldCharType="separate"/>
            </w:r>
            <w:r w:rsidR="00E74062" w:rsidRPr="00E74062">
              <w:rPr>
                <w:noProof/>
                <w:webHidden/>
              </w:rPr>
              <w:t>28</w:t>
            </w:r>
            <w:r w:rsidR="00E74062" w:rsidRPr="00E74062">
              <w:rPr>
                <w:noProof/>
                <w:webHidden/>
              </w:rPr>
              <w:fldChar w:fldCharType="end"/>
            </w:r>
          </w:hyperlink>
        </w:p>
        <w:p w14:paraId="0D8545CA" w14:textId="112B1936" w:rsidR="008C22FE" w:rsidRPr="00E74062" w:rsidRDefault="008C22FE" w:rsidP="00E74062">
          <w:r w:rsidRPr="00E74062">
            <w:rPr>
              <w:b/>
              <w:bCs/>
              <w:lang w:val="es-ES"/>
            </w:rPr>
            <w:fldChar w:fldCharType="end"/>
          </w:r>
        </w:p>
      </w:sdtContent>
    </w:sdt>
    <w:p w14:paraId="4CD317CB" w14:textId="77777777" w:rsidR="00B421CC" w:rsidRPr="00E74062" w:rsidRDefault="00B421CC" w:rsidP="00E74062">
      <w:pPr>
        <w:sectPr w:rsidR="00B421CC" w:rsidRPr="00E74062">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5944B68A" w14:textId="77777777" w:rsidR="00B421CC" w:rsidRPr="00E74062" w:rsidRDefault="00392087" w:rsidP="00E74062">
      <w:pPr>
        <w:rPr>
          <w:b/>
        </w:rPr>
      </w:pPr>
      <w:r w:rsidRPr="00E74062">
        <w:lastRenderedPageBreak/>
        <w:t xml:space="preserve">Resolución del Pleno del Instituto de Transparencia, Acceso a la Información Pública y Protección de Datos Personales del Estado de México y Municipios, con domicilio en Metepec, Estado de México, del </w:t>
      </w:r>
      <w:r w:rsidR="00582DD5" w:rsidRPr="00E74062">
        <w:rPr>
          <w:b/>
        </w:rPr>
        <w:t>dieciséis</w:t>
      </w:r>
      <w:r w:rsidRPr="00E74062">
        <w:rPr>
          <w:b/>
        </w:rPr>
        <w:t xml:space="preserve"> de julio de dos mil veinticinco.</w:t>
      </w:r>
    </w:p>
    <w:p w14:paraId="3C1BA646" w14:textId="77777777" w:rsidR="00B421CC" w:rsidRPr="00E74062" w:rsidRDefault="00B421CC" w:rsidP="00E74062"/>
    <w:p w14:paraId="0BC6929D" w14:textId="28A7FBC1" w:rsidR="00B421CC" w:rsidRPr="00E74062" w:rsidRDefault="00392087" w:rsidP="00E74062">
      <w:r w:rsidRPr="00E74062">
        <w:rPr>
          <w:b/>
        </w:rPr>
        <w:t xml:space="preserve">VISTO </w:t>
      </w:r>
      <w:r w:rsidRPr="00E74062">
        <w:t xml:space="preserve">el expediente formado con motivo del Recurso de Revisión </w:t>
      </w:r>
      <w:r w:rsidR="00582DD5" w:rsidRPr="00E74062">
        <w:rPr>
          <w:b/>
        </w:rPr>
        <w:t>0607</w:t>
      </w:r>
      <w:r w:rsidRPr="00E74062">
        <w:rPr>
          <w:b/>
        </w:rPr>
        <w:t>7/INFOEM/IP/RR/2025</w:t>
      </w:r>
      <w:r w:rsidRPr="00E74062">
        <w:t xml:space="preserve"> interpuesto por </w:t>
      </w:r>
      <w:bookmarkStart w:id="2" w:name="_GoBack"/>
      <w:r w:rsidR="0066237A">
        <w:rPr>
          <w:b/>
        </w:rPr>
        <w:t>XXXXXXXXXXX X XXXXXX</w:t>
      </w:r>
      <w:r w:rsidRPr="00E74062">
        <w:rPr>
          <w:b/>
        </w:rPr>
        <w:t xml:space="preserve"> </w:t>
      </w:r>
      <w:bookmarkEnd w:id="2"/>
      <w:r w:rsidRPr="00E74062">
        <w:t xml:space="preserve">a quien en lo subsecuente se le denominará </w:t>
      </w:r>
      <w:r w:rsidRPr="00E74062">
        <w:rPr>
          <w:b/>
        </w:rPr>
        <w:t>LA PARTE RECURRENTE</w:t>
      </w:r>
      <w:r w:rsidRPr="00E74062">
        <w:t xml:space="preserve">, en contra de la respuesta emitida por el </w:t>
      </w:r>
      <w:r w:rsidRPr="00E74062">
        <w:rPr>
          <w:b/>
        </w:rPr>
        <w:t xml:space="preserve">Organismo Público Descentralizado para la Prestación de Los Servicios de Agua Potable Alcantarillado y Saneamiento del Municipio de Tlalnepantla de Baz, </w:t>
      </w:r>
      <w:r w:rsidRPr="00E74062">
        <w:t xml:space="preserve">en adelante </w:t>
      </w:r>
      <w:r w:rsidRPr="00E74062">
        <w:rPr>
          <w:b/>
        </w:rPr>
        <w:t>EL SUJETO OBLIGADO</w:t>
      </w:r>
      <w:r w:rsidRPr="00E74062">
        <w:t>, se emite la presente Resolución con base en los Antecedentes y Considerandos que se exponen a continuación:</w:t>
      </w:r>
    </w:p>
    <w:p w14:paraId="5BF359F0" w14:textId="77777777" w:rsidR="00B421CC" w:rsidRPr="00E74062" w:rsidRDefault="00B421CC" w:rsidP="00E74062"/>
    <w:p w14:paraId="21CE4247" w14:textId="77777777" w:rsidR="00B421CC" w:rsidRPr="00E74062" w:rsidRDefault="00392087" w:rsidP="00E74062">
      <w:pPr>
        <w:pStyle w:val="Ttulo1"/>
      </w:pPr>
      <w:bookmarkStart w:id="3" w:name="_Toc203629357"/>
      <w:r w:rsidRPr="00E74062">
        <w:t>ANTECEDENTES</w:t>
      </w:r>
      <w:bookmarkEnd w:id="3"/>
    </w:p>
    <w:p w14:paraId="00D15B77" w14:textId="77777777" w:rsidR="00B421CC" w:rsidRPr="00E74062" w:rsidRDefault="00B421CC" w:rsidP="00E74062"/>
    <w:p w14:paraId="7AAE8426" w14:textId="77777777" w:rsidR="00B421CC" w:rsidRPr="00E74062" w:rsidRDefault="00392087" w:rsidP="00E74062">
      <w:pPr>
        <w:pStyle w:val="Ttulo2"/>
        <w:jc w:val="left"/>
      </w:pPr>
      <w:bookmarkStart w:id="4" w:name="_Toc203629358"/>
      <w:r w:rsidRPr="00E74062">
        <w:t>DE LA SOLICITUD DE INFORMACIÓN</w:t>
      </w:r>
      <w:bookmarkEnd w:id="4"/>
    </w:p>
    <w:p w14:paraId="14108E2F" w14:textId="77777777" w:rsidR="00B421CC" w:rsidRPr="00E74062" w:rsidRDefault="00392087" w:rsidP="00E74062">
      <w:pPr>
        <w:pStyle w:val="Ttulo3"/>
        <w:spacing w:line="360" w:lineRule="auto"/>
      </w:pPr>
      <w:bookmarkStart w:id="5" w:name="_Toc203629359"/>
      <w:r w:rsidRPr="00E74062">
        <w:t>a) Solicitud de información.</w:t>
      </w:r>
      <w:bookmarkEnd w:id="5"/>
    </w:p>
    <w:p w14:paraId="5A2B6123" w14:textId="77777777" w:rsidR="00B421CC" w:rsidRPr="00E74062" w:rsidRDefault="00392087" w:rsidP="00E74062">
      <w:pPr>
        <w:pBdr>
          <w:top w:val="nil"/>
          <w:left w:val="nil"/>
          <w:bottom w:val="nil"/>
          <w:right w:val="nil"/>
          <w:between w:val="nil"/>
        </w:pBdr>
        <w:tabs>
          <w:tab w:val="left" w:pos="0"/>
        </w:tabs>
      </w:pPr>
      <w:r w:rsidRPr="00E74062">
        <w:t xml:space="preserve">El </w:t>
      </w:r>
      <w:r w:rsidR="00582DD5" w:rsidRPr="00E74062">
        <w:rPr>
          <w:b/>
        </w:rPr>
        <w:t>veintitrés</w:t>
      </w:r>
      <w:r w:rsidRPr="00E74062">
        <w:rPr>
          <w:b/>
        </w:rPr>
        <w:t xml:space="preserve"> de </w:t>
      </w:r>
      <w:r w:rsidR="00582DD5" w:rsidRPr="00E74062">
        <w:rPr>
          <w:b/>
        </w:rPr>
        <w:t>abril de dos mil veinticinco</w:t>
      </w:r>
      <w:r w:rsidRPr="00E74062">
        <w:rPr>
          <w:b/>
        </w:rPr>
        <w:t xml:space="preserve"> LA PARTE RECURRENTE</w:t>
      </w:r>
      <w:r w:rsidRPr="00E74062">
        <w:t xml:space="preserve"> presentó una solicitud de acceso a la información pública ante el </w:t>
      </w:r>
      <w:r w:rsidRPr="00E74062">
        <w:rPr>
          <w:b/>
        </w:rPr>
        <w:t>SUJETO OBLIGADO</w:t>
      </w:r>
      <w:r w:rsidRPr="00E74062">
        <w:t>, a través del Sistema de Acceso a la Información Mexiquense (SAIMEX). Dicha solicitud quedó registrada con el número de folio</w:t>
      </w:r>
      <w:r w:rsidRPr="00E74062">
        <w:rPr>
          <w:b/>
        </w:rPr>
        <w:t xml:space="preserve"> </w:t>
      </w:r>
      <w:r w:rsidR="00582DD5" w:rsidRPr="00E74062">
        <w:rPr>
          <w:b/>
        </w:rPr>
        <w:t>00141/OASTLALNE/IP/2025</w:t>
      </w:r>
      <w:r w:rsidRPr="00E74062">
        <w:rPr>
          <w:b/>
        </w:rPr>
        <w:t xml:space="preserve"> </w:t>
      </w:r>
      <w:r w:rsidRPr="00E74062">
        <w:t>y en ella se requirió la siguiente información:</w:t>
      </w:r>
    </w:p>
    <w:p w14:paraId="4D3A612B" w14:textId="77777777" w:rsidR="00B421CC" w:rsidRPr="00E74062" w:rsidRDefault="00B421CC" w:rsidP="00E74062">
      <w:pPr>
        <w:tabs>
          <w:tab w:val="left" w:pos="4667"/>
        </w:tabs>
        <w:ind w:left="567" w:right="567"/>
        <w:rPr>
          <w:b/>
        </w:rPr>
      </w:pPr>
    </w:p>
    <w:p w14:paraId="53AE8636" w14:textId="77777777" w:rsidR="00B421CC" w:rsidRPr="00E74062" w:rsidRDefault="00392087" w:rsidP="00E74062">
      <w:pPr>
        <w:pStyle w:val="Puesto"/>
        <w:spacing w:line="276" w:lineRule="auto"/>
        <w:ind w:left="851" w:right="822" w:firstLine="0"/>
        <w:rPr>
          <w:i w:val="0"/>
          <w:color w:val="auto"/>
        </w:rPr>
      </w:pPr>
      <w:r w:rsidRPr="00E74062">
        <w:rPr>
          <w:color w:val="auto"/>
        </w:rPr>
        <w:t>“</w:t>
      </w:r>
      <w:r w:rsidR="00582DD5" w:rsidRPr="00E74062">
        <w:rPr>
          <w:color w:val="auto"/>
        </w:rPr>
        <w:t>SE SOLICITA A LA DEPENDENCIA LOS DOCUMENTOS DE SEGURIDAD DE LA ADMINISTRACION 2022-2024 Y LOS ACTUALES</w:t>
      </w:r>
      <w:r w:rsidRPr="00E74062">
        <w:rPr>
          <w:color w:val="auto"/>
        </w:rPr>
        <w:t xml:space="preserve">” </w:t>
      </w:r>
      <w:r w:rsidRPr="00E74062">
        <w:rPr>
          <w:i w:val="0"/>
          <w:color w:val="auto"/>
        </w:rPr>
        <w:t>(sic).</w:t>
      </w:r>
    </w:p>
    <w:p w14:paraId="695FAC6B" w14:textId="77777777" w:rsidR="00B421CC" w:rsidRPr="00E74062" w:rsidRDefault="00B421CC" w:rsidP="00E74062">
      <w:pPr>
        <w:tabs>
          <w:tab w:val="left" w:pos="5743"/>
        </w:tabs>
        <w:ind w:left="567" w:right="567"/>
        <w:rPr>
          <w:i/>
        </w:rPr>
      </w:pPr>
    </w:p>
    <w:p w14:paraId="166666CE" w14:textId="77777777" w:rsidR="00B421CC" w:rsidRPr="00E74062" w:rsidRDefault="00392087" w:rsidP="00E74062">
      <w:pPr>
        <w:tabs>
          <w:tab w:val="left" w:pos="4667"/>
        </w:tabs>
        <w:ind w:right="567"/>
      </w:pPr>
      <w:r w:rsidRPr="00E74062">
        <w:rPr>
          <w:b/>
        </w:rPr>
        <w:t>Modalidad de entrega</w:t>
      </w:r>
      <w:r w:rsidRPr="00E74062">
        <w:t>: a</w:t>
      </w:r>
      <w:r w:rsidRPr="00E74062">
        <w:rPr>
          <w:i/>
        </w:rPr>
        <w:t xml:space="preserve"> </w:t>
      </w:r>
      <w:r w:rsidRPr="00E74062">
        <w:t xml:space="preserve">través del </w:t>
      </w:r>
      <w:r w:rsidRPr="00E74062">
        <w:rPr>
          <w:b/>
        </w:rPr>
        <w:t>SAIMEX</w:t>
      </w:r>
      <w:r w:rsidRPr="00E74062">
        <w:t>.</w:t>
      </w:r>
    </w:p>
    <w:p w14:paraId="7182AFD2" w14:textId="77777777" w:rsidR="00582DD5" w:rsidRPr="00E74062" w:rsidRDefault="00582DD5" w:rsidP="00E74062">
      <w:pPr>
        <w:pStyle w:val="Ttulo3"/>
        <w:spacing w:line="360" w:lineRule="auto"/>
      </w:pPr>
      <w:bookmarkStart w:id="6" w:name="_Toc203629360"/>
      <w:r w:rsidRPr="00E74062">
        <w:lastRenderedPageBreak/>
        <w:t>b) Solicitud de Aclaración.</w:t>
      </w:r>
      <w:bookmarkEnd w:id="6"/>
    </w:p>
    <w:p w14:paraId="3D9FF3F7" w14:textId="2F633D6B" w:rsidR="00582DD5" w:rsidRPr="00E74062" w:rsidRDefault="00582DD5" w:rsidP="00E74062">
      <w:r w:rsidRPr="00E74062">
        <w:t xml:space="preserve">El </w:t>
      </w:r>
      <w:r w:rsidRPr="00E74062">
        <w:rPr>
          <w:b/>
        </w:rPr>
        <w:t xml:space="preserve">treinta de abril de dos mil </w:t>
      </w:r>
      <w:r w:rsidR="00D87A95" w:rsidRPr="00E74062">
        <w:rPr>
          <w:b/>
        </w:rPr>
        <w:t>veinticinco</w:t>
      </w:r>
      <w:r w:rsidRPr="00E74062">
        <w:t xml:space="preserve">, </w:t>
      </w:r>
      <w:r w:rsidRPr="00E74062">
        <w:rPr>
          <w:b/>
        </w:rPr>
        <w:t xml:space="preserve">EL SUJETO OBLIGADO </w:t>
      </w:r>
      <w:r w:rsidRPr="00E74062">
        <w:t xml:space="preserve">notificó a través del </w:t>
      </w:r>
      <w:r w:rsidR="00DA2512" w:rsidRPr="00E74062">
        <w:rPr>
          <w:b/>
        </w:rPr>
        <w:t>SAIMEX</w:t>
      </w:r>
      <w:r w:rsidRPr="00E74062">
        <w:t xml:space="preserve"> un requerimiento de aclaración en los siguientes términos:</w:t>
      </w:r>
    </w:p>
    <w:p w14:paraId="3C5F1B21" w14:textId="77777777" w:rsidR="00582DD5" w:rsidRPr="00E74062" w:rsidRDefault="00582DD5" w:rsidP="00E74062"/>
    <w:p w14:paraId="356188E7" w14:textId="2A6AA103" w:rsidR="00582DD5" w:rsidRPr="00E74062" w:rsidRDefault="00582DD5" w:rsidP="00E74062">
      <w:pPr>
        <w:pStyle w:val="Puesto"/>
        <w:tabs>
          <w:tab w:val="left" w:pos="8222"/>
        </w:tabs>
        <w:ind w:left="851" w:right="822" w:firstLine="0"/>
        <w:rPr>
          <w:color w:val="auto"/>
        </w:rPr>
      </w:pPr>
      <w:r w:rsidRPr="00E74062">
        <w:rPr>
          <w:color w:val="auto"/>
        </w:rPr>
        <w:t>“</w:t>
      </w:r>
      <w:r w:rsidR="00DE1A30" w:rsidRPr="00E74062">
        <w:rPr>
          <w:color w:val="auto"/>
        </w:rPr>
        <w:t>…</w:t>
      </w:r>
    </w:p>
    <w:p w14:paraId="0B2DC04E" w14:textId="0D3806FE" w:rsidR="00DE1A30" w:rsidRPr="00E74062" w:rsidRDefault="00582DD5" w:rsidP="00E74062">
      <w:pPr>
        <w:pStyle w:val="Puesto"/>
        <w:tabs>
          <w:tab w:val="left" w:pos="8222"/>
        </w:tabs>
        <w:ind w:left="851" w:right="822" w:firstLine="0"/>
        <w:rPr>
          <w:color w:val="auto"/>
        </w:rPr>
      </w:pPr>
      <w:r w:rsidRPr="00E74062">
        <w:rPr>
          <w:color w:val="auto"/>
        </w:rPr>
        <w:t xml:space="preserve">Con fundamento en el </w:t>
      </w:r>
      <w:proofErr w:type="gramStart"/>
      <w:r w:rsidRPr="00E74062">
        <w:rPr>
          <w:color w:val="auto"/>
        </w:rPr>
        <w:t>articulo</w:t>
      </w:r>
      <w:proofErr w:type="gramEnd"/>
      <w:r w:rsidRPr="00E74062">
        <w:rPr>
          <w:color w:val="auto"/>
        </w:rPr>
        <w:t xml:space="preserve"> 159 de la Ley de Transparencia y Acceso a la Información Pública del Estado de México y Municipios, se le requiere para que dentro del plazo de diez días hábiles realice lo siguiente:</w:t>
      </w:r>
    </w:p>
    <w:p w14:paraId="5EB09C61" w14:textId="3970FEF0" w:rsidR="00DE1A30" w:rsidRPr="00E74062" w:rsidRDefault="00582DD5" w:rsidP="00E74062">
      <w:pPr>
        <w:pStyle w:val="Puesto"/>
        <w:tabs>
          <w:tab w:val="left" w:pos="8222"/>
        </w:tabs>
        <w:ind w:left="851" w:right="822" w:firstLine="0"/>
        <w:rPr>
          <w:color w:val="auto"/>
        </w:rPr>
      </w:pPr>
      <w:r w:rsidRPr="00E74062">
        <w:rPr>
          <w:color w:val="auto"/>
        </w:rPr>
        <w:t xml:space="preserve">Con el fin de atender el presente </w:t>
      </w:r>
      <w:proofErr w:type="gramStart"/>
      <w:r w:rsidRPr="00E74062">
        <w:rPr>
          <w:color w:val="auto"/>
        </w:rPr>
        <w:t>saimex ,se</w:t>
      </w:r>
      <w:proofErr w:type="gramEnd"/>
      <w:r w:rsidRPr="00E74062">
        <w:rPr>
          <w:color w:val="auto"/>
        </w:rPr>
        <w:t xml:space="preserve"> le solicita ampliar los datos que permitan facilitar la búsqueda de la información tal y como usted lo requiere.</w:t>
      </w:r>
    </w:p>
    <w:p w14:paraId="28E691C3" w14:textId="3EF10DA9" w:rsidR="00DE1A30" w:rsidRPr="00E74062" w:rsidRDefault="00582DD5" w:rsidP="00E74062">
      <w:pPr>
        <w:pStyle w:val="Puesto"/>
        <w:tabs>
          <w:tab w:val="left" w:pos="8222"/>
        </w:tabs>
        <w:ind w:left="851" w:right="822" w:firstLine="0"/>
        <w:rPr>
          <w:color w:val="auto"/>
        </w:rPr>
      </w:pPr>
      <w:r w:rsidRPr="00E74062">
        <w:rPr>
          <w:color w:val="auto"/>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501F25" w14:textId="77777777" w:rsidR="00582DD5" w:rsidRPr="00E74062" w:rsidRDefault="00582DD5" w:rsidP="00E74062">
      <w:pPr>
        <w:pStyle w:val="Puesto"/>
        <w:tabs>
          <w:tab w:val="left" w:pos="8222"/>
        </w:tabs>
        <w:ind w:left="851" w:right="822" w:firstLine="0"/>
        <w:rPr>
          <w:color w:val="auto"/>
        </w:rPr>
      </w:pPr>
      <w:r w:rsidRPr="00E74062">
        <w:rPr>
          <w:color w:val="auto"/>
        </w:rPr>
        <w:t>ATENTAMENTE</w:t>
      </w:r>
    </w:p>
    <w:p w14:paraId="13C7B998" w14:textId="77777777" w:rsidR="00582DD5" w:rsidRPr="00E74062" w:rsidRDefault="00582DD5" w:rsidP="00E74062">
      <w:pPr>
        <w:pStyle w:val="Puesto"/>
        <w:tabs>
          <w:tab w:val="left" w:pos="8222"/>
        </w:tabs>
        <w:ind w:left="851" w:right="822" w:firstLine="0"/>
        <w:rPr>
          <w:color w:val="auto"/>
        </w:rPr>
      </w:pPr>
      <w:r w:rsidRPr="00E74062">
        <w:rPr>
          <w:color w:val="auto"/>
        </w:rPr>
        <w:t>Mtra. Mariamneé Vega Blancarte”</w:t>
      </w:r>
    </w:p>
    <w:p w14:paraId="7027A5F4" w14:textId="77777777" w:rsidR="00582DD5" w:rsidRPr="00E74062" w:rsidRDefault="00582DD5" w:rsidP="00E74062"/>
    <w:p w14:paraId="3C166226" w14:textId="77777777" w:rsidR="00582DD5" w:rsidRPr="00E74062" w:rsidRDefault="00582DD5" w:rsidP="00E74062">
      <w:pPr>
        <w:pStyle w:val="Ttulo3"/>
        <w:spacing w:line="360" w:lineRule="auto"/>
        <w:rPr>
          <w:b w:val="0"/>
        </w:rPr>
      </w:pPr>
      <w:bookmarkStart w:id="7" w:name="_heading=h.2et92p0" w:colFirst="0" w:colLast="0"/>
      <w:bookmarkStart w:id="8" w:name="_Toc203629361"/>
      <w:bookmarkEnd w:id="7"/>
      <w:r w:rsidRPr="00E74062">
        <w:t>c) Aclaración.</w:t>
      </w:r>
      <w:bookmarkEnd w:id="8"/>
    </w:p>
    <w:p w14:paraId="41C023D8" w14:textId="77777777" w:rsidR="00582DD5" w:rsidRPr="00E74062" w:rsidRDefault="00582DD5" w:rsidP="00E74062">
      <w:r w:rsidRPr="00E74062">
        <w:t xml:space="preserve">El </w:t>
      </w:r>
      <w:r w:rsidR="00D87A95" w:rsidRPr="00E74062">
        <w:rPr>
          <w:b/>
        </w:rPr>
        <w:t>uno</w:t>
      </w:r>
      <w:r w:rsidRPr="00E74062">
        <w:rPr>
          <w:b/>
        </w:rPr>
        <w:t xml:space="preserve"> de </w:t>
      </w:r>
      <w:r w:rsidR="00D87A95" w:rsidRPr="00E74062">
        <w:rPr>
          <w:b/>
        </w:rPr>
        <w:t>mayo</w:t>
      </w:r>
      <w:r w:rsidRPr="00E74062">
        <w:rPr>
          <w:b/>
        </w:rPr>
        <w:t xml:space="preserve"> de dos mil </w:t>
      </w:r>
      <w:r w:rsidR="00D87A95" w:rsidRPr="00E74062">
        <w:rPr>
          <w:b/>
        </w:rPr>
        <w:t>veinticinco</w:t>
      </w:r>
      <w:r w:rsidRPr="00E74062">
        <w:t xml:space="preserve"> </w:t>
      </w:r>
      <w:r w:rsidRPr="00E74062">
        <w:rPr>
          <w:b/>
        </w:rPr>
        <w:t>LA PARTE</w:t>
      </w:r>
      <w:r w:rsidRPr="00E74062">
        <w:t xml:space="preserve"> </w:t>
      </w:r>
      <w:r w:rsidRPr="00E74062">
        <w:rPr>
          <w:b/>
        </w:rPr>
        <w:t xml:space="preserve">RECURRENTE </w:t>
      </w:r>
      <w:r w:rsidRPr="00E74062">
        <w:t xml:space="preserve">desahogó el requerimiento de aclaración </w:t>
      </w:r>
      <w:r w:rsidR="00D87A95" w:rsidRPr="00E74062">
        <w:t>en los siguientes términos:</w:t>
      </w:r>
    </w:p>
    <w:p w14:paraId="032BFFB9" w14:textId="77777777" w:rsidR="00D87A95" w:rsidRPr="00E74062" w:rsidRDefault="00D87A95" w:rsidP="00E74062"/>
    <w:p w14:paraId="49FDFF0C" w14:textId="77777777" w:rsidR="00D87A95" w:rsidRPr="00E74062" w:rsidRDefault="00D87A95" w:rsidP="00E74062">
      <w:pPr>
        <w:pStyle w:val="Puesto"/>
        <w:tabs>
          <w:tab w:val="left" w:pos="8222"/>
        </w:tabs>
        <w:ind w:left="851" w:right="822" w:firstLine="0"/>
        <w:rPr>
          <w:i w:val="0"/>
          <w:color w:val="auto"/>
        </w:rPr>
      </w:pPr>
      <w:r w:rsidRPr="00E74062">
        <w:rPr>
          <w:color w:val="auto"/>
        </w:rPr>
        <w:t xml:space="preserve">“aclarando la solicitud que es muy precisa, el titular de la unidad de transparencia debe conocer que algunas unidades administrativas deben contar con el documento de seguridad en términos de ley, en consecuencia, se solicitan los documentos de seguridad que se manejaron en la administración anterior y los actuales” </w:t>
      </w:r>
      <w:r w:rsidRPr="00E74062">
        <w:rPr>
          <w:i w:val="0"/>
          <w:color w:val="auto"/>
        </w:rPr>
        <w:t>(sic).</w:t>
      </w:r>
    </w:p>
    <w:p w14:paraId="302E5AF6" w14:textId="77777777" w:rsidR="00B421CC" w:rsidRPr="00E74062" w:rsidRDefault="00B421CC" w:rsidP="00E74062"/>
    <w:p w14:paraId="7D64538C" w14:textId="77777777" w:rsidR="00B421CC" w:rsidRPr="00E74062" w:rsidRDefault="00D87A95" w:rsidP="00E74062">
      <w:pPr>
        <w:pStyle w:val="Ttulo3"/>
      </w:pPr>
      <w:bookmarkStart w:id="9" w:name="_Toc203629362"/>
      <w:r w:rsidRPr="00E74062">
        <w:t>d</w:t>
      </w:r>
      <w:r w:rsidR="00392087" w:rsidRPr="00E74062">
        <w:t>) Turno de la solicitud de información.</w:t>
      </w:r>
      <w:bookmarkEnd w:id="9"/>
    </w:p>
    <w:p w14:paraId="0CE62D4E" w14:textId="77777777" w:rsidR="00B421CC" w:rsidRPr="00E74062" w:rsidRDefault="00392087" w:rsidP="00E74062">
      <w:r w:rsidRPr="00E74062">
        <w:t xml:space="preserve">En cumplimiento al artículo 162 de la Ley de Transparencia y Acceso a la Información Pública del Estado de México y Municipios, el </w:t>
      </w:r>
      <w:r w:rsidR="00D87A95" w:rsidRPr="00E74062">
        <w:rPr>
          <w:b/>
        </w:rPr>
        <w:t>seis</w:t>
      </w:r>
      <w:r w:rsidRPr="00E74062">
        <w:rPr>
          <w:b/>
        </w:rPr>
        <w:t xml:space="preserve"> de mayo de dos mil veinticinco,</w:t>
      </w:r>
      <w:r w:rsidRPr="00E74062">
        <w:t xml:space="preserve"> el Titular de la </w:t>
      </w:r>
      <w:r w:rsidRPr="00E74062">
        <w:lastRenderedPageBreak/>
        <w:t xml:space="preserve">Unidad de Transparencia del </w:t>
      </w:r>
      <w:r w:rsidRPr="00E74062">
        <w:rPr>
          <w:b/>
        </w:rPr>
        <w:t>SUJETO OBLIGADO</w:t>
      </w:r>
      <w:r w:rsidRPr="00E74062">
        <w:t xml:space="preserve"> turnó la solicitud de información a las servidoras públicas habilitadas que estimó pertinentes.</w:t>
      </w:r>
    </w:p>
    <w:p w14:paraId="7564BE28" w14:textId="77777777" w:rsidR="00B421CC" w:rsidRPr="00E74062" w:rsidRDefault="00B421CC" w:rsidP="00E74062"/>
    <w:p w14:paraId="34E006E8" w14:textId="5AA49FDB" w:rsidR="00B421CC" w:rsidRPr="00E74062" w:rsidRDefault="00DE1A30" w:rsidP="00E74062">
      <w:pPr>
        <w:pStyle w:val="Ttulo3"/>
        <w:spacing w:line="360" w:lineRule="auto"/>
      </w:pPr>
      <w:bookmarkStart w:id="10" w:name="_Toc203629363"/>
      <w:r w:rsidRPr="00E74062">
        <w:t>e</w:t>
      </w:r>
      <w:r w:rsidR="00392087" w:rsidRPr="00E74062">
        <w:t>) Respuesta del Sujeto Obligado.</w:t>
      </w:r>
      <w:bookmarkEnd w:id="10"/>
    </w:p>
    <w:p w14:paraId="1175CE39" w14:textId="77777777" w:rsidR="00B421CC" w:rsidRPr="00E74062" w:rsidRDefault="00392087" w:rsidP="00E74062">
      <w:pPr>
        <w:pBdr>
          <w:top w:val="nil"/>
          <w:left w:val="nil"/>
          <w:bottom w:val="nil"/>
          <w:right w:val="nil"/>
          <w:between w:val="nil"/>
        </w:pBdr>
      </w:pPr>
      <w:r w:rsidRPr="00E74062">
        <w:t xml:space="preserve">El </w:t>
      </w:r>
      <w:r w:rsidRPr="00E74062">
        <w:rPr>
          <w:b/>
        </w:rPr>
        <w:t>veintiséis de mayo de dos mil veinticinco</w:t>
      </w:r>
      <w:r w:rsidRPr="00E74062">
        <w:t xml:space="preserve"> el Titular de la Unidad de Transparencia del </w:t>
      </w:r>
      <w:r w:rsidRPr="00E74062">
        <w:rPr>
          <w:b/>
        </w:rPr>
        <w:t>SUJETO OBLIGADO</w:t>
      </w:r>
      <w:r w:rsidRPr="00E74062">
        <w:t xml:space="preserve"> notificó la siguiente respuesta a través del </w:t>
      </w:r>
      <w:r w:rsidRPr="00E74062">
        <w:rPr>
          <w:b/>
        </w:rPr>
        <w:t>SAIMEX</w:t>
      </w:r>
      <w:r w:rsidRPr="00E74062">
        <w:t>:</w:t>
      </w:r>
    </w:p>
    <w:p w14:paraId="6F750F4F" w14:textId="77777777" w:rsidR="00B421CC" w:rsidRPr="00E74062" w:rsidRDefault="00B421CC" w:rsidP="00E74062">
      <w:pPr>
        <w:tabs>
          <w:tab w:val="left" w:pos="4667"/>
        </w:tabs>
        <w:ind w:left="567" w:right="567"/>
        <w:rPr>
          <w:b/>
        </w:rPr>
      </w:pPr>
    </w:p>
    <w:p w14:paraId="7EDB4CD8" w14:textId="4EECB928" w:rsidR="00D87A95" w:rsidRPr="00E74062" w:rsidRDefault="00D87A95" w:rsidP="00E74062">
      <w:pPr>
        <w:pStyle w:val="Puesto"/>
        <w:ind w:left="851" w:right="822" w:firstLine="0"/>
        <w:rPr>
          <w:color w:val="auto"/>
        </w:rPr>
      </w:pPr>
      <w:r w:rsidRPr="00E74062">
        <w:rPr>
          <w:color w:val="auto"/>
        </w:rPr>
        <w:t>“</w:t>
      </w:r>
      <w:r w:rsidR="00DE1A30" w:rsidRPr="00E74062">
        <w:rPr>
          <w:color w:val="auto"/>
        </w:rPr>
        <w:t>…</w:t>
      </w:r>
      <w:r w:rsidRPr="00E74062">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5B65D2" w14:textId="77777777" w:rsidR="00DE1A30" w:rsidRPr="00E74062" w:rsidRDefault="00DE1A30" w:rsidP="00E74062"/>
    <w:p w14:paraId="3E1FE5B1" w14:textId="77777777" w:rsidR="00D87A95" w:rsidRPr="00E74062" w:rsidRDefault="00D87A95" w:rsidP="00E74062">
      <w:pPr>
        <w:pStyle w:val="Puesto"/>
        <w:ind w:left="851" w:right="822" w:firstLine="0"/>
        <w:rPr>
          <w:color w:val="auto"/>
        </w:rPr>
      </w:pPr>
      <w:r w:rsidRPr="00E74062">
        <w:rPr>
          <w:color w:val="auto"/>
        </w:rPr>
        <w:t>Número de Folio de la Solicitud: 000141/OASTLALNE/IP/2025</w:t>
      </w:r>
    </w:p>
    <w:p w14:paraId="13C387D2" w14:textId="77777777" w:rsidR="00DE1A30" w:rsidRPr="00E74062" w:rsidRDefault="00DE1A30" w:rsidP="00E74062">
      <w:pPr>
        <w:pStyle w:val="Puesto"/>
        <w:ind w:left="851" w:right="822" w:firstLine="0"/>
        <w:rPr>
          <w:color w:val="auto"/>
        </w:rPr>
      </w:pPr>
    </w:p>
    <w:p w14:paraId="68BB8E71" w14:textId="48417F75" w:rsidR="00D87A95" w:rsidRPr="00E74062" w:rsidRDefault="00D87A95" w:rsidP="00E74062">
      <w:pPr>
        <w:pStyle w:val="Puesto"/>
        <w:ind w:left="851" w:right="822" w:firstLine="0"/>
        <w:rPr>
          <w:color w:val="auto"/>
        </w:rPr>
      </w:pPr>
      <w:r w:rsidRPr="00E74062">
        <w:rPr>
          <w:color w:val="auto"/>
        </w:rPr>
        <w:t>ATENTAMENTE</w:t>
      </w:r>
    </w:p>
    <w:p w14:paraId="017D8AC6" w14:textId="77777777" w:rsidR="00DE1A30" w:rsidRPr="00E74062" w:rsidRDefault="00DE1A30" w:rsidP="00E74062"/>
    <w:p w14:paraId="7E546867" w14:textId="77777777" w:rsidR="00B421CC" w:rsidRPr="00E74062" w:rsidRDefault="00D87A95" w:rsidP="00E74062">
      <w:pPr>
        <w:pStyle w:val="Puesto"/>
        <w:ind w:left="851" w:right="822" w:firstLine="0"/>
        <w:rPr>
          <w:color w:val="auto"/>
        </w:rPr>
      </w:pPr>
      <w:r w:rsidRPr="00E74062">
        <w:rPr>
          <w:color w:val="auto"/>
        </w:rPr>
        <w:t>Mtra. Mariamneé Vega Blancarte</w:t>
      </w:r>
      <w:r w:rsidR="00392087" w:rsidRPr="00E74062">
        <w:rPr>
          <w:color w:val="auto"/>
        </w:rPr>
        <w:t>”</w:t>
      </w:r>
    </w:p>
    <w:p w14:paraId="07363214" w14:textId="77777777" w:rsidR="00B421CC" w:rsidRPr="00E74062" w:rsidRDefault="00B421CC" w:rsidP="00E74062">
      <w:pPr>
        <w:pBdr>
          <w:top w:val="nil"/>
          <w:left w:val="nil"/>
          <w:bottom w:val="nil"/>
          <w:right w:val="nil"/>
          <w:between w:val="nil"/>
        </w:pBdr>
        <w:ind w:right="-28"/>
      </w:pPr>
    </w:p>
    <w:p w14:paraId="452BEA14" w14:textId="77777777" w:rsidR="00B421CC" w:rsidRPr="00E74062" w:rsidRDefault="00392087" w:rsidP="00E74062">
      <w:pPr>
        <w:pBdr>
          <w:top w:val="nil"/>
          <w:left w:val="nil"/>
          <w:bottom w:val="nil"/>
          <w:right w:val="nil"/>
          <w:between w:val="nil"/>
        </w:pBdr>
        <w:ind w:right="-28"/>
      </w:pPr>
      <w:r w:rsidRPr="00E74062">
        <w:t xml:space="preserve">A la respuesta, </w:t>
      </w:r>
      <w:r w:rsidRPr="00E74062">
        <w:rPr>
          <w:b/>
        </w:rPr>
        <w:t xml:space="preserve">EL SUJETO OBLIGADO </w:t>
      </w:r>
      <w:r w:rsidRPr="00E74062">
        <w:t>adjuntó el documento que a continuación se describe:</w:t>
      </w:r>
    </w:p>
    <w:p w14:paraId="40BFDFAD" w14:textId="77777777" w:rsidR="00B421CC" w:rsidRPr="00E74062" w:rsidRDefault="00B421CC" w:rsidP="00E74062">
      <w:pPr>
        <w:pBdr>
          <w:top w:val="nil"/>
          <w:left w:val="nil"/>
          <w:bottom w:val="nil"/>
          <w:right w:val="nil"/>
          <w:between w:val="nil"/>
        </w:pBdr>
        <w:ind w:right="-28"/>
      </w:pPr>
    </w:p>
    <w:p w14:paraId="1BF4C498" w14:textId="77777777" w:rsidR="00B421CC" w:rsidRPr="00E74062" w:rsidRDefault="00392087" w:rsidP="00E74062">
      <w:pPr>
        <w:numPr>
          <w:ilvl w:val="0"/>
          <w:numId w:val="1"/>
        </w:numPr>
        <w:pBdr>
          <w:top w:val="nil"/>
          <w:left w:val="nil"/>
          <w:bottom w:val="nil"/>
          <w:right w:val="nil"/>
          <w:between w:val="nil"/>
        </w:pBdr>
        <w:ind w:right="-28"/>
      </w:pPr>
      <w:r w:rsidRPr="00E74062">
        <w:rPr>
          <w:b/>
          <w:i/>
        </w:rPr>
        <w:t>“</w:t>
      </w:r>
      <w:r w:rsidR="00D87A95" w:rsidRPr="00E74062">
        <w:rPr>
          <w:b/>
          <w:i/>
        </w:rPr>
        <w:t>5 QUINTA SESIÓN ORDINARIA.pdf</w:t>
      </w:r>
      <w:r w:rsidRPr="00E74062">
        <w:rPr>
          <w:b/>
          <w:i/>
        </w:rPr>
        <w:t xml:space="preserve">”: </w:t>
      </w:r>
      <w:r w:rsidRPr="00E74062">
        <w:t xml:space="preserve">documento que contiene el </w:t>
      </w:r>
      <w:r w:rsidR="00D87A95" w:rsidRPr="00E74062">
        <w:t>acta de la Quinta Sesión Ordinaria del Comité de Transparencia del Organismo Público Descentralizado para la Prestación de los Servicios de Agua Potable, Alcantarillado y Saneamiento del Municipio de Tlalnepantla Denominado OPDM, 2025, por medio de cual se aprueba una ampliación de plazo para dar respuesta a la solicitud de acceso a la información pública registrada con el folio 00141/OASTLALNE/IP/2025.</w:t>
      </w:r>
    </w:p>
    <w:p w14:paraId="1826BF68" w14:textId="77777777" w:rsidR="00B421CC" w:rsidRPr="00E74062" w:rsidRDefault="00B421CC" w:rsidP="00E74062">
      <w:pPr>
        <w:pBdr>
          <w:top w:val="nil"/>
          <w:left w:val="nil"/>
          <w:bottom w:val="nil"/>
          <w:right w:val="nil"/>
          <w:between w:val="nil"/>
        </w:pBdr>
        <w:ind w:left="720" w:right="-28"/>
      </w:pPr>
    </w:p>
    <w:p w14:paraId="2189B780" w14:textId="77777777" w:rsidR="00B421CC" w:rsidRPr="00E74062" w:rsidRDefault="00392087" w:rsidP="00E74062">
      <w:pPr>
        <w:pStyle w:val="Ttulo2"/>
        <w:jc w:val="left"/>
      </w:pPr>
      <w:bookmarkStart w:id="11" w:name="_Toc203629364"/>
      <w:r w:rsidRPr="00E74062">
        <w:t>DEL RECURSO DE REVISIÓN</w:t>
      </w:r>
      <w:bookmarkEnd w:id="11"/>
    </w:p>
    <w:p w14:paraId="3B515E40" w14:textId="77777777" w:rsidR="00B421CC" w:rsidRPr="00E74062" w:rsidRDefault="00392087" w:rsidP="00E74062">
      <w:pPr>
        <w:pStyle w:val="Ttulo3"/>
        <w:spacing w:line="360" w:lineRule="auto"/>
      </w:pPr>
      <w:bookmarkStart w:id="12" w:name="_Toc203629365"/>
      <w:r w:rsidRPr="00E74062">
        <w:t>a) Interposición del Recurso de Revisión.</w:t>
      </w:r>
      <w:bookmarkEnd w:id="12"/>
    </w:p>
    <w:p w14:paraId="3B99924B" w14:textId="77777777" w:rsidR="00B421CC" w:rsidRPr="00E74062" w:rsidRDefault="00392087" w:rsidP="00E74062">
      <w:pPr>
        <w:ind w:right="-28"/>
      </w:pPr>
      <w:r w:rsidRPr="00E74062">
        <w:t xml:space="preserve">El </w:t>
      </w:r>
      <w:r w:rsidRPr="00E74062">
        <w:rPr>
          <w:b/>
        </w:rPr>
        <w:t xml:space="preserve">veintisiete de </w:t>
      </w:r>
      <w:r w:rsidR="00D87A95" w:rsidRPr="00E74062">
        <w:rPr>
          <w:b/>
        </w:rPr>
        <w:t>mayo</w:t>
      </w:r>
      <w:r w:rsidRPr="00E74062">
        <w:rPr>
          <w:b/>
        </w:rPr>
        <w:t xml:space="preserve"> de dos mil veinticinco</w:t>
      </w:r>
      <w:r w:rsidRPr="00E74062">
        <w:t xml:space="preserve"> </w:t>
      </w:r>
      <w:r w:rsidRPr="00E74062">
        <w:rPr>
          <w:b/>
        </w:rPr>
        <w:t>LA PARTE RECURRENTE</w:t>
      </w:r>
      <w:r w:rsidRPr="00E74062">
        <w:t xml:space="preserve"> interpuso el recurso de revisión en contra de la respuesta emitida por el </w:t>
      </w:r>
      <w:r w:rsidRPr="00E74062">
        <w:rPr>
          <w:b/>
        </w:rPr>
        <w:t>SUJETO OBLIGADO</w:t>
      </w:r>
      <w:r w:rsidRPr="00E74062">
        <w:t xml:space="preserve">, mismo que fue registrado en </w:t>
      </w:r>
      <w:r w:rsidRPr="00E74062">
        <w:rPr>
          <w:b/>
        </w:rPr>
        <w:t>EL SAIMEX</w:t>
      </w:r>
      <w:r w:rsidRPr="00E74062">
        <w:t xml:space="preserve"> con el número de expediente </w:t>
      </w:r>
      <w:r w:rsidR="00D87A95" w:rsidRPr="00E74062">
        <w:rPr>
          <w:b/>
        </w:rPr>
        <w:t>0607</w:t>
      </w:r>
      <w:r w:rsidRPr="00E74062">
        <w:rPr>
          <w:b/>
        </w:rPr>
        <w:t>7/INFOEM/IP/RR/2025</w:t>
      </w:r>
      <w:r w:rsidRPr="00E74062">
        <w:t xml:space="preserve"> y en el cual manifiesta lo siguiente:</w:t>
      </w:r>
    </w:p>
    <w:p w14:paraId="0D8E274F" w14:textId="77777777" w:rsidR="00B421CC" w:rsidRPr="00E74062" w:rsidRDefault="00B421CC" w:rsidP="00E74062">
      <w:pPr>
        <w:tabs>
          <w:tab w:val="left" w:pos="4667"/>
        </w:tabs>
        <w:ind w:right="539"/>
      </w:pPr>
    </w:p>
    <w:p w14:paraId="2186AFEF" w14:textId="77777777" w:rsidR="00B421CC" w:rsidRPr="00E74062" w:rsidRDefault="00392087" w:rsidP="00E74062">
      <w:pPr>
        <w:ind w:right="-28"/>
        <w:rPr>
          <w:b/>
        </w:rPr>
      </w:pPr>
      <w:r w:rsidRPr="00E74062">
        <w:rPr>
          <w:b/>
        </w:rPr>
        <w:t>ACTO IMPUGNADO:</w:t>
      </w:r>
    </w:p>
    <w:p w14:paraId="47181A12" w14:textId="77777777" w:rsidR="00B421CC" w:rsidRPr="00E74062" w:rsidRDefault="00B421CC" w:rsidP="00E74062">
      <w:pPr>
        <w:pStyle w:val="Puesto"/>
        <w:ind w:firstLine="567"/>
        <w:rPr>
          <w:color w:val="auto"/>
        </w:rPr>
      </w:pPr>
    </w:p>
    <w:p w14:paraId="02AD11DD" w14:textId="77777777" w:rsidR="00B421CC" w:rsidRPr="00E74062" w:rsidRDefault="00392087" w:rsidP="00E74062">
      <w:pPr>
        <w:pStyle w:val="Puesto"/>
        <w:ind w:firstLine="0"/>
        <w:rPr>
          <w:color w:val="auto"/>
        </w:rPr>
      </w:pPr>
      <w:bookmarkStart w:id="13" w:name="_heading=h.7itr7u1iy7he" w:colFirst="0" w:colLast="0"/>
      <w:bookmarkEnd w:id="13"/>
      <w:r w:rsidRPr="00E74062">
        <w:rPr>
          <w:color w:val="auto"/>
        </w:rPr>
        <w:t>“</w:t>
      </w:r>
      <w:r w:rsidR="00D87A95" w:rsidRPr="00E74062">
        <w:rPr>
          <w:color w:val="auto"/>
        </w:rPr>
        <w:t>no se entrega la información</w:t>
      </w:r>
      <w:r w:rsidRPr="00E74062">
        <w:rPr>
          <w:color w:val="auto"/>
        </w:rPr>
        <w:t xml:space="preserve">” </w:t>
      </w:r>
      <w:r w:rsidRPr="00E74062">
        <w:rPr>
          <w:i w:val="0"/>
          <w:color w:val="auto"/>
        </w:rPr>
        <w:t>(sic).</w:t>
      </w:r>
    </w:p>
    <w:p w14:paraId="4492FF49" w14:textId="77777777" w:rsidR="00B421CC" w:rsidRPr="00E74062" w:rsidRDefault="00B421CC" w:rsidP="00E74062">
      <w:pPr>
        <w:pStyle w:val="Puesto"/>
        <w:ind w:firstLine="567"/>
        <w:rPr>
          <w:color w:val="auto"/>
        </w:rPr>
      </w:pPr>
    </w:p>
    <w:p w14:paraId="56586F9C" w14:textId="77777777" w:rsidR="00B421CC" w:rsidRPr="00E74062" w:rsidRDefault="00392087" w:rsidP="00E74062">
      <w:pPr>
        <w:ind w:right="-28"/>
        <w:rPr>
          <w:b/>
        </w:rPr>
      </w:pPr>
      <w:r w:rsidRPr="00E74062">
        <w:rPr>
          <w:b/>
        </w:rPr>
        <w:t>RAZONES O MOTIVOS DE INCONFORMIDAD;</w:t>
      </w:r>
    </w:p>
    <w:p w14:paraId="19BE8738" w14:textId="77777777" w:rsidR="00B421CC" w:rsidRPr="00E74062" w:rsidRDefault="00B421CC" w:rsidP="00E74062">
      <w:pPr>
        <w:pStyle w:val="Puesto"/>
        <w:ind w:firstLine="567"/>
        <w:rPr>
          <w:color w:val="auto"/>
        </w:rPr>
      </w:pPr>
    </w:p>
    <w:p w14:paraId="3D563720" w14:textId="77777777" w:rsidR="00B421CC" w:rsidRPr="00E74062" w:rsidRDefault="00392087" w:rsidP="00E74062">
      <w:pPr>
        <w:pStyle w:val="Puesto"/>
        <w:ind w:firstLine="0"/>
        <w:rPr>
          <w:color w:val="auto"/>
        </w:rPr>
      </w:pPr>
      <w:r w:rsidRPr="00E74062">
        <w:rPr>
          <w:color w:val="auto"/>
        </w:rPr>
        <w:t>“</w:t>
      </w:r>
      <w:r w:rsidR="00D87A95" w:rsidRPr="00E74062">
        <w:rPr>
          <w:color w:val="auto"/>
        </w:rPr>
        <w:t>solo anexan una acta de consejo pero ni en plataforma ni en ningún lado refieren a la ampliación de plazo para determinar que les fue aprobada ya que en la plataforma no aparece la aprobación de la ampliación de plazo por lo que al no realizarla de manera correcta se tiene como respuesta el acta que anexaron, lo que no constituye la respuesta a lo solicitado.</w:t>
      </w:r>
      <w:r w:rsidRPr="00E74062">
        <w:rPr>
          <w:color w:val="auto"/>
        </w:rPr>
        <w:t xml:space="preserve">” </w:t>
      </w:r>
      <w:r w:rsidRPr="00E74062">
        <w:rPr>
          <w:i w:val="0"/>
          <w:color w:val="auto"/>
        </w:rPr>
        <w:t>(Sic).</w:t>
      </w:r>
    </w:p>
    <w:p w14:paraId="2F8DA0EA" w14:textId="77777777" w:rsidR="00B421CC" w:rsidRPr="00E74062" w:rsidRDefault="00B421CC" w:rsidP="00E74062"/>
    <w:p w14:paraId="67630620" w14:textId="77777777" w:rsidR="00B421CC" w:rsidRPr="00E74062" w:rsidRDefault="00392087" w:rsidP="00E74062">
      <w:pPr>
        <w:pStyle w:val="Ttulo3"/>
        <w:spacing w:line="360" w:lineRule="auto"/>
      </w:pPr>
      <w:bookmarkStart w:id="14" w:name="_Toc203629366"/>
      <w:r w:rsidRPr="00E74062">
        <w:t>b) Turno del Recurso de Revisión.</w:t>
      </w:r>
      <w:bookmarkEnd w:id="14"/>
    </w:p>
    <w:p w14:paraId="5CEEE0A6" w14:textId="77777777" w:rsidR="00B421CC" w:rsidRPr="00E74062" w:rsidRDefault="00392087" w:rsidP="00E74062">
      <w:r w:rsidRPr="00E74062">
        <w:t>Con fundamento en el artículo 185, fracción I de la Ley de Transparencia y Acceso a la Información Pública del Estado de México y Municipios, el</w:t>
      </w:r>
      <w:r w:rsidRPr="00E74062">
        <w:rPr>
          <w:b/>
        </w:rPr>
        <w:t xml:space="preserve"> veintisiete de </w:t>
      </w:r>
      <w:r w:rsidR="00D87A95" w:rsidRPr="00E74062">
        <w:rPr>
          <w:b/>
        </w:rPr>
        <w:t>mayo</w:t>
      </w:r>
      <w:r w:rsidRPr="00E74062">
        <w:rPr>
          <w:b/>
        </w:rPr>
        <w:t xml:space="preserve"> de dos mil veinticinco</w:t>
      </w:r>
      <w:r w:rsidRPr="00E74062">
        <w:t xml:space="preserve"> se turnó el recurso de revisión a través del SAIMEX a la </w:t>
      </w:r>
      <w:r w:rsidRPr="00E74062">
        <w:rPr>
          <w:b/>
        </w:rPr>
        <w:t>Comisionada Sharon Cristina Morales Martínez</w:t>
      </w:r>
      <w:r w:rsidRPr="00E74062">
        <w:t>, a efecto de decretar su admisión o desechamiento.</w:t>
      </w:r>
    </w:p>
    <w:p w14:paraId="532D3724" w14:textId="77777777" w:rsidR="00B421CC" w:rsidRPr="00E74062" w:rsidRDefault="00B421CC" w:rsidP="00E74062"/>
    <w:p w14:paraId="08A93D11" w14:textId="77777777" w:rsidR="00B421CC" w:rsidRPr="00E74062" w:rsidRDefault="00392087" w:rsidP="00E74062">
      <w:pPr>
        <w:pStyle w:val="Ttulo3"/>
        <w:spacing w:line="360" w:lineRule="auto"/>
      </w:pPr>
      <w:bookmarkStart w:id="15" w:name="_Toc203629367"/>
      <w:r w:rsidRPr="00E74062">
        <w:lastRenderedPageBreak/>
        <w:t>c) Admisión del Recurso de Revisión.</w:t>
      </w:r>
      <w:bookmarkEnd w:id="15"/>
    </w:p>
    <w:p w14:paraId="5F98789C" w14:textId="77777777" w:rsidR="00B421CC" w:rsidRPr="00E74062" w:rsidRDefault="00392087" w:rsidP="00E74062">
      <w:r w:rsidRPr="00E74062">
        <w:t xml:space="preserve">El </w:t>
      </w:r>
      <w:r w:rsidR="00D87A95" w:rsidRPr="00E74062">
        <w:rPr>
          <w:b/>
        </w:rPr>
        <w:t>treinta</w:t>
      </w:r>
      <w:r w:rsidRPr="00E74062">
        <w:rPr>
          <w:b/>
        </w:rPr>
        <w:t xml:space="preserve"> de </w:t>
      </w:r>
      <w:r w:rsidR="00D87A95" w:rsidRPr="00E74062">
        <w:rPr>
          <w:b/>
        </w:rPr>
        <w:t>mayo</w:t>
      </w:r>
      <w:r w:rsidRPr="00E74062">
        <w:rPr>
          <w:b/>
        </w:rPr>
        <w:t xml:space="preserve"> de dos mil veinticinco</w:t>
      </w:r>
      <w:r w:rsidRPr="00E7406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757E4CA" w14:textId="77777777" w:rsidR="00B421CC" w:rsidRPr="00E74062" w:rsidRDefault="00B421CC" w:rsidP="00E74062">
      <w:pPr>
        <w:rPr>
          <w:b/>
        </w:rPr>
      </w:pPr>
    </w:p>
    <w:p w14:paraId="01F11DB6" w14:textId="77777777" w:rsidR="00B421CC" w:rsidRPr="00E74062" w:rsidRDefault="00392087" w:rsidP="00E74062">
      <w:pPr>
        <w:pStyle w:val="Ttulo3"/>
        <w:spacing w:line="360" w:lineRule="auto"/>
      </w:pPr>
      <w:bookmarkStart w:id="16" w:name="_Toc203629368"/>
      <w:r w:rsidRPr="00E74062">
        <w:t>d) Informe Justificado del Sujeto Obligado.</w:t>
      </w:r>
      <w:bookmarkEnd w:id="16"/>
    </w:p>
    <w:p w14:paraId="1A0D7A34" w14:textId="77777777" w:rsidR="00B421CC" w:rsidRPr="00E74062" w:rsidRDefault="00392087" w:rsidP="00E74062">
      <w:r w:rsidRPr="00E74062">
        <w:t xml:space="preserve">El </w:t>
      </w:r>
      <w:r w:rsidR="00D87A95" w:rsidRPr="00E74062">
        <w:rPr>
          <w:b/>
        </w:rPr>
        <w:t>seis</w:t>
      </w:r>
      <w:r w:rsidRPr="00E74062">
        <w:rPr>
          <w:b/>
        </w:rPr>
        <w:t xml:space="preserve"> de junio de dos mil veinticinco EL SUJETO OBLIGADO</w:t>
      </w:r>
      <w:r w:rsidRPr="00E74062">
        <w:t xml:space="preserve"> remitió conforme a su derecho, los archivos digitales denominados que se describen a continuación:</w:t>
      </w:r>
    </w:p>
    <w:p w14:paraId="1215E161" w14:textId="77777777" w:rsidR="00B421CC" w:rsidRPr="00E74062" w:rsidRDefault="00B421CC" w:rsidP="00E74062"/>
    <w:p w14:paraId="6C741177" w14:textId="77777777" w:rsidR="00B421CC" w:rsidRPr="00E74062" w:rsidRDefault="00392087" w:rsidP="00E74062">
      <w:pPr>
        <w:numPr>
          <w:ilvl w:val="0"/>
          <w:numId w:val="2"/>
        </w:numPr>
        <w:pBdr>
          <w:top w:val="nil"/>
          <w:left w:val="nil"/>
          <w:bottom w:val="nil"/>
          <w:right w:val="nil"/>
          <w:between w:val="nil"/>
        </w:pBdr>
        <w:rPr>
          <w:b/>
          <w:i/>
        </w:rPr>
      </w:pPr>
      <w:r w:rsidRPr="00E74062">
        <w:rPr>
          <w:b/>
          <w:i/>
        </w:rPr>
        <w:t>“</w:t>
      </w:r>
      <w:r w:rsidR="00D87A95" w:rsidRPr="00E74062">
        <w:rPr>
          <w:b/>
          <w:i/>
        </w:rPr>
        <w:t>MANIFESTACIONES RR 6077 SAIMEX 141.pdf</w:t>
      </w:r>
      <w:r w:rsidRPr="00E74062">
        <w:rPr>
          <w:b/>
          <w:i/>
        </w:rPr>
        <w:t>“</w:t>
      </w:r>
      <w:r w:rsidR="00033970" w:rsidRPr="00E74062">
        <w:t>: documento</w:t>
      </w:r>
      <w:r w:rsidRPr="00E74062">
        <w:t xml:space="preserve"> que contiene el oficio con número de registro </w:t>
      </w:r>
      <w:r w:rsidR="00D87A95" w:rsidRPr="00E74062">
        <w:t>OPDM/UT/0582/2025</w:t>
      </w:r>
      <w:r w:rsidRPr="00E74062">
        <w:t xml:space="preserve">, suscrito por la Titular de la </w:t>
      </w:r>
      <w:r w:rsidR="00D87A95" w:rsidRPr="00E74062">
        <w:t xml:space="preserve">Unidad de Transparencia, por medio del cual indica que la información requerida por el solicitante </w:t>
      </w:r>
      <w:r w:rsidR="00033970" w:rsidRPr="00E74062">
        <w:t xml:space="preserve">debe clasificarse como confidencial. </w:t>
      </w:r>
    </w:p>
    <w:p w14:paraId="3BCEEA28" w14:textId="77777777" w:rsidR="00B421CC" w:rsidRPr="00E74062" w:rsidRDefault="00B421CC" w:rsidP="00E74062">
      <w:pPr>
        <w:pBdr>
          <w:top w:val="nil"/>
          <w:left w:val="nil"/>
          <w:bottom w:val="nil"/>
          <w:right w:val="nil"/>
          <w:between w:val="nil"/>
        </w:pBdr>
        <w:ind w:left="720"/>
        <w:rPr>
          <w:b/>
          <w:i/>
        </w:rPr>
      </w:pPr>
    </w:p>
    <w:p w14:paraId="0BF9D7FA" w14:textId="77777777" w:rsidR="00B421CC" w:rsidRPr="00E74062" w:rsidRDefault="00392087" w:rsidP="00E74062">
      <w:r w:rsidRPr="00E74062">
        <w:t xml:space="preserve">Esta información fue puesta a la vista de </w:t>
      </w:r>
      <w:r w:rsidRPr="00E74062">
        <w:rPr>
          <w:b/>
        </w:rPr>
        <w:t xml:space="preserve">LA PARTE RECURRENTE </w:t>
      </w:r>
      <w:r w:rsidRPr="00E74062">
        <w:t xml:space="preserve">el </w:t>
      </w:r>
      <w:r w:rsidR="00E9326D" w:rsidRPr="00E74062">
        <w:rPr>
          <w:b/>
        </w:rPr>
        <w:t>ocho</w:t>
      </w:r>
      <w:r w:rsidRPr="00E74062">
        <w:rPr>
          <w:b/>
        </w:rPr>
        <w:t xml:space="preserve"> de julio de dos mil veinticinco,</w:t>
      </w:r>
      <w:r w:rsidRPr="00E7406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ADF4453" w14:textId="77777777" w:rsidR="00B421CC" w:rsidRPr="00E74062" w:rsidRDefault="00B421CC" w:rsidP="00E74062"/>
    <w:p w14:paraId="324CE7F7" w14:textId="77777777" w:rsidR="00B421CC" w:rsidRPr="00E74062" w:rsidRDefault="00392087" w:rsidP="00E74062">
      <w:pPr>
        <w:pStyle w:val="Ttulo3"/>
        <w:spacing w:line="360" w:lineRule="auto"/>
      </w:pPr>
      <w:bookmarkStart w:id="17" w:name="_Toc203629369"/>
      <w:r w:rsidRPr="00E74062">
        <w:t>e) Manifestaciones de la Parte Recurrente.</w:t>
      </w:r>
      <w:bookmarkEnd w:id="17"/>
    </w:p>
    <w:p w14:paraId="4B6BB0F7" w14:textId="77777777" w:rsidR="00B421CC" w:rsidRPr="00E74062" w:rsidRDefault="00392087" w:rsidP="00E74062">
      <w:bookmarkStart w:id="18" w:name="_heading=h.26in1rg" w:colFirst="0" w:colLast="0"/>
      <w:bookmarkEnd w:id="18"/>
      <w:r w:rsidRPr="00E74062">
        <w:rPr>
          <w:b/>
        </w:rPr>
        <w:t xml:space="preserve">LA PARTE RECURRENTE </w:t>
      </w:r>
      <w:r w:rsidRPr="00E74062">
        <w:t>no realizó manifestación alguna dentro del término legalmente concedido para tal efecto, ni presentó pruebas o alegatos.</w:t>
      </w:r>
    </w:p>
    <w:p w14:paraId="57373DBC" w14:textId="77777777" w:rsidR="002C308C" w:rsidRPr="00E74062" w:rsidRDefault="002C308C" w:rsidP="00E74062"/>
    <w:p w14:paraId="7D482DEF" w14:textId="76833BC7" w:rsidR="002C308C" w:rsidRPr="00E74062" w:rsidRDefault="002C308C" w:rsidP="00E74062">
      <w:pPr>
        <w:pStyle w:val="Ttulo3"/>
      </w:pPr>
      <w:bookmarkStart w:id="19" w:name="_Toc202373614"/>
      <w:bookmarkStart w:id="20" w:name="_Toc203629370"/>
      <w:r w:rsidRPr="00E74062">
        <w:t>f) Ampliación de Plazo para Resolver</w:t>
      </w:r>
      <w:bookmarkEnd w:id="19"/>
      <w:bookmarkEnd w:id="20"/>
      <w:r w:rsidRPr="00E74062">
        <w:t xml:space="preserve"> </w:t>
      </w:r>
    </w:p>
    <w:p w14:paraId="55172574" w14:textId="05D3E2DE" w:rsidR="002C308C" w:rsidRPr="00E74062" w:rsidRDefault="002C308C" w:rsidP="00E74062">
      <w:r w:rsidRPr="00E74062">
        <w:t xml:space="preserve">El </w:t>
      </w:r>
      <w:r w:rsidRPr="00E74062">
        <w:rPr>
          <w:b/>
        </w:rPr>
        <w:t>catorce de julio de dos mil veinticinco</w:t>
      </w:r>
      <w:r w:rsidRPr="00E74062">
        <w:t>, se notificó el acuerdo de ampliación de plazo para resolver el presente Recurso de Revisión, previsto en el artículo 181, tercer párrafo de la Ley de Transparencia y Acceso a la Información Pública del Estado de México y Municipios.</w:t>
      </w:r>
    </w:p>
    <w:p w14:paraId="7D70E372" w14:textId="77777777" w:rsidR="00B421CC" w:rsidRPr="00E74062" w:rsidRDefault="00B421CC" w:rsidP="00E74062"/>
    <w:p w14:paraId="6ED285F2" w14:textId="48D17E20" w:rsidR="00B421CC" w:rsidRPr="00E74062" w:rsidRDefault="002C308C" w:rsidP="00E74062">
      <w:pPr>
        <w:pStyle w:val="Ttulo3"/>
        <w:spacing w:line="360" w:lineRule="auto"/>
      </w:pPr>
      <w:bookmarkStart w:id="21" w:name="_Toc203629371"/>
      <w:r w:rsidRPr="00E74062">
        <w:t>g</w:t>
      </w:r>
      <w:r w:rsidR="00392087" w:rsidRPr="00E74062">
        <w:t>) Cierre de instrucción.</w:t>
      </w:r>
      <w:bookmarkEnd w:id="21"/>
    </w:p>
    <w:p w14:paraId="1D6986BC" w14:textId="77777777" w:rsidR="00B421CC" w:rsidRPr="00E74062" w:rsidRDefault="00392087" w:rsidP="00E74062">
      <w:bookmarkStart w:id="22" w:name="_heading=h.35nkun2" w:colFirst="0" w:colLast="0"/>
      <w:bookmarkEnd w:id="22"/>
      <w:r w:rsidRPr="00E74062">
        <w:t xml:space="preserve">Al no existir diligencias pendientes por desahogar, el </w:t>
      </w:r>
      <w:r w:rsidR="00033970" w:rsidRPr="00E74062">
        <w:rPr>
          <w:b/>
        </w:rPr>
        <w:t>quince</w:t>
      </w:r>
      <w:r w:rsidRPr="00E74062">
        <w:rPr>
          <w:b/>
        </w:rPr>
        <w:t xml:space="preserve"> de julio de dos mil veinticinco</w:t>
      </w:r>
      <w:r w:rsidRPr="00E74062">
        <w:t xml:space="preserve"> la </w:t>
      </w:r>
      <w:r w:rsidRPr="00E74062">
        <w:rPr>
          <w:b/>
        </w:rPr>
        <w:t xml:space="preserve">Comisionada Sharon Cristina Morales Martínez </w:t>
      </w:r>
      <w:r w:rsidRPr="00E7406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74062">
        <w:rPr>
          <w:b/>
        </w:rPr>
        <w:t>SAIMEX</w:t>
      </w:r>
      <w:r w:rsidRPr="00E74062">
        <w:t>.</w:t>
      </w:r>
    </w:p>
    <w:p w14:paraId="74628A79" w14:textId="77777777" w:rsidR="00B421CC" w:rsidRPr="00E74062" w:rsidRDefault="00B421CC" w:rsidP="00E74062"/>
    <w:p w14:paraId="03673C4C" w14:textId="77777777" w:rsidR="00B421CC" w:rsidRPr="00E74062" w:rsidRDefault="00392087" w:rsidP="00E74062">
      <w:pPr>
        <w:pStyle w:val="Ttulo1"/>
      </w:pPr>
      <w:bookmarkStart w:id="23" w:name="_Toc203629372"/>
      <w:r w:rsidRPr="00E74062">
        <w:t>CONSIDERANDOS</w:t>
      </w:r>
      <w:bookmarkEnd w:id="23"/>
    </w:p>
    <w:p w14:paraId="2A80D84C" w14:textId="77777777" w:rsidR="00B421CC" w:rsidRPr="00E74062" w:rsidRDefault="00B421CC" w:rsidP="00E74062">
      <w:pPr>
        <w:jc w:val="center"/>
        <w:rPr>
          <w:b/>
        </w:rPr>
      </w:pPr>
    </w:p>
    <w:p w14:paraId="2BF6A74A" w14:textId="77777777" w:rsidR="00B421CC" w:rsidRPr="00E74062" w:rsidRDefault="00392087" w:rsidP="00E74062">
      <w:pPr>
        <w:pStyle w:val="Ttulo2"/>
      </w:pPr>
      <w:bookmarkStart w:id="24" w:name="_Toc203629373"/>
      <w:r w:rsidRPr="00E74062">
        <w:t>PRIMERO. Procedibilidad</w:t>
      </w:r>
      <w:bookmarkEnd w:id="24"/>
    </w:p>
    <w:p w14:paraId="307C86E5" w14:textId="77777777" w:rsidR="00B421CC" w:rsidRPr="00E74062" w:rsidRDefault="00392087" w:rsidP="00E74062">
      <w:pPr>
        <w:pStyle w:val="Ttulo3"/>
        <w:spacing w:line="360" w:lineRule="auto"/>
      </w:pPr>
      <w:bookmarkStart w:id="25" w:name="_Toc203629374"/>
      <w:r w:rsidRPr="00E74062">
        <w:t>a) Competencia del Instituto.</w:t>
      </w:r>
      <w:bookmarkEnd w:id="25"/>
    </w:p>
    <w:p w14:paraId="344FBDD5" w14:textId="77777777" w:rsidR="00B421CC" w:rsidRPr="00E74062" w:rsidRDefault="00392087" w:rsidP="00E74062">
      <w:r w:rsidRPr="00E7406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w:t>
      </w:r>
      <w:r w:rsidRPr="00E74062">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2326885" w14:textId="77777777" w:rsidR="00B421CC" w:rsidRPr="00E74062" w:rsidRDefault="00B421CC" w:rsidP="00E74062"/>
    <w:p w14:paraId="12E0B5D9" w14:textId="77777777" w:rsidR="00B421CC" w:rsidRPr="00E74062" w:rsidRDefault="00392087" w:rsidP="00E74062">
      <w:pPr>
        <w:pStyle w:val="Ttulo3"/>
        <w:spacing w:line="360" w:lineRule="auto"/>
      </w:pPr>
      <w:bookmarkStart w:id="26" w:name="_Toc203629375"/>
      <w:r w:rsidRPr="00E74062">
        <w:t>b) Legitimidad de la parte recurrente.</w:t>
      </w:r>
      <w:bookmarkEnd w:id="26"/>
    </w:p>
    <w:p w14:paraId="51ACFF4D" w14:textId="77777777" w:rsidR="00B421CC" w:rsidRPr="00E74062" w:rsidRDefault="00392087" w:rsidP="00E74062">
      <w:r w:rsidRPr="00E74062">
        <w:t>El recurso de revisión fue interpuesto por parte legítima, ya que se presentó por la misma persona que formuló la solicitud de acceso a la Información Pública,</w:t>
      </w:r>
      <w:r w:rsidRPr="00E74062">
        <w:rPr>
          <w:b/>
        </w:rPr>
        <w:t xml:space="preserve"> </w:t>
      </w:r>
      <w:r w:rsidRPr="00E74062">
        <w:t>debido a que los datos de acceso</w:t>
      </w:r>
      <w:r w:rsidRPr="00E74062">
        <w:rPr>
          <w:b/>
        </w:rPr>
        <w:t xml:space="preserve"> SAIMEX</w:t>
      </w:r>
      <w:r w:rsidRPr="00E74062">
        <w:t xml:space="preserve"> son personales e irrepetibles.</w:t>
      </w:r>
    </w:p>
    <w:p w14:paraId="74CB1306" w14:textId="77777777" w:rsidR="00B421CC" w:rsidRPr="00E74062" w:rsidRDefault="00B421CC" w:rsidP="00E74062"/>
    <w:p w14:paraId="2DA5B628" w14:textId="77777777" w:rsidR="00B421CC" w:rsidRPr="00E74062" w:rsidRDefault="00392087" w:rsidP="00E74062">
      <w:pPr>
        <w:pStyle w:val="Ttulo3"/>
        <w:spacing w:line="360" w:lineRule="auto"/>
      </w:pPr>
      <w:bookmarkStart w:id="27" w:name="_Toc203629376"/>
      <w:r w:rsidRPr="00E74062">
        <w:t>c) Plazo para interponer el recurso.</w:t>
      </w:r>
      <w:bookmarkEnd w:id="27"/>
    </w:p>
    <w:p w14:paraId="4949E270" w14:textId="475A14EA" w:rsidR="00B421CC" w:rsidRPr="00E74062" w:rsidRDefault="00392087" w:rsidP="00E74062">
      <w:bookmarkStart w:id="28" w:name="_heading=h.1y810tw" w:colFirst="0" w:colLast="0"/>
      <w:bookmarkEnd w:id="28"/>
      <w:r w:rsidRPr="00E74062">
        <w:rPr>
          <w:b/>
        </w:rPr>
        <w:t>EL SUJETO OBLIGADO</w:t>
      </w:r>
      <w:r w:rsidRPr="00E74062">
        <w:t xml:space="preserve"> notificó la respuesta a la solicitud de acceso a la Información Pública el </w:t>
      </w:r>
      <w:r w:rsidR="00033970" w:rsidRPr="00E74062">
        <w:rPr>
          <w:b/>
        </w:rPr>
        <w:t>veintiséis</w:t>
      </w:r>
      <w:r w:rsidRPr="00E74062">
        <w:rPr>
          <w:b/>
        </w:rPr>
        <w:t xml:space="preserve"> de mayo de dos mil veinticinco</w:t>
      </w:r>
      <w:r w:rsidRPr="00E74062">
        <w:t xml:space="preserve"> y el recurso que nos ocupa se tuvo por interpuesto el </w:t>
      </w:r>
      <w:r w:rsidRPr="00E74062">
        <w:rPr>
          <w:b/>
        </w:rPr>
        <w:t xml:space="preserve">veintisiete de mayo de dos mil </w:t>
      </w:r>
      <w:r w:rsidR="00DE1A30" w:rsidRPr="00E74062">
        <w:rPr>
          <w:b/>
        </w:rPr>
        <w:t>veinticinco,</w:t>
      </w:r>
      <w:r w:rsidRPr="00E74062">
        <w:t xml:space="preserve"> por lo </w:t>
      </w:r>
      <w:r w:rsidR="003A718E" w:rsidRPr="00E74062">
        <w:t>tanto,</w:t>
      </w:r>
      <w:r w:rsidRPr="00E74062">
        <w:t xml:space="preserve"> éste se encuentra dentro del margen temporal previsto en el artículo 178 de la Ley de Transparencia y Acceso a la Información Pública del Estado de México y Municipios.</w:t>
      </w:r>
    </w:p>
    <w:p w14:paraId="3280CE96" w14:textId="77777777" w:rsidR="00B421CC" w:rsidRPr="00E74062" w:rsidRDefault="00B421CC" w:rsidP="00E74062"/>
    <w:p w14:paraId="1282198D" w14:textId="77777777" w:rsidR="00B421CC" w:rsidRPr="00E74062" w:rsidRDefault="00392087" w:rsidP="00E74062">
      <w:pPr>
        <w:pStyle w:val="Ttulo3"/>
        <w:spacing w:line="360" w:lineRule="auto"/>
      </w:pPr>
      <w:bookmarkStart w:id="29" w:name="_Toc203629377"/>
      <w:r w:rsidRPr="00E74062">
        <w:t>d) Causal de procedencia.</w:t>
      </w:r>
      <w:bookmarkEnd w:id="29"/>
    </w:p>
    <w:p w14:paraId="241AED86" w14:textId="77777777" w:rsidR="00B421CC" w:rsidRPr="00E74062" w:rsidRDefault="00392087" w:rsidP="00E74062">
      <w:r w:rsidRPr="00E74062">
        <w:t xml:space="preserve">Resulta procedente la interposición del recurso de revisión, ya que se actualiza la causal de procedencia señalada en el artículo 179, fracción </w:t>
      </w:r>
      <w:r w:rsidR="00033970" w:rsidRPr="00E74062">
        <w:t>I</w:t>
      </w:r>
      <w:r w:rsidRPr="00E74062">
        <w:t xml:space="preserve"> de la Ley de Transparencia y Acceso a la Información Pública del Estado de México y Municipios.</w:t>
      </w:r>
    </w:p>
    <w:p w14:paraId="3816E31B" w14:textId="77777777" w:rsidR="00B421CC" w:rsidRPr="00E74062" w:rsidRDefault="00B421CC" w:rsidP="00E74062"/>
    <w:p w14:paraId="611349D7" w14:textId="77777777" w:rsidR="00B421CC" w:rsidRPr="00E74062" w:rsidRDefault="00392087" w:rsidP="00E74062">
      <w:pPr>
        <w:pStyle w:val="Ttulo3"/>
        <w:spacing w:line="360" w:lineRule="auto"/>
      </w:pPr>
      <w:bookmarkStart w:id="30" w:name="_Toc203629378"/>
      <w:r w:rsidRPr="00E74062">
        <w:lastRenderedPageBreak/>
        <w:t>e) Requisitos formales para la interposición del recurso.</w:t>
      </w:r>
      <w:bookmarkEnd w:id="30"/>
    </w:p>
    <w:p w14:paraId="3C049E70" w14:textId="77777777" w:rsidR="00B421CC" w:rsidRPr="00E74062" w:rsidRDefault="00033970" w:rsidP="00E74062">
      <w:r w:rsidRPr="00E74062">
        <w:rPr>
          <w:b/>
        </w:rPr>
        <w:t xml:space="preserve">LA PARTE RECURRENTE </w:t>
      </w:r>
      <w:r w:rsidRPr="00E74062">
        <w:t>acreditó todos y cada uno de los elementos formales exigidos por el artículo 180 de la misma normatividad.</w:t>
      </w:r>
    </w:p>
    <w:p w14:paraId="183F06A8" w14:textId="77777777" w:rsidR="00B421CC" w:rsidRPr="00E74062" w:rsidRDefault="00B421CC" w:rsidP="00E74062"/>
    <w:p w14:paraId="4BEA43DE" w14:textId="77777777" w:rsidR="00DE1A30" w:rsidRPr="00E74062" w:rsidRDefault="00DE1A30" w:rsidP="00E74062">
      <w:pPr>
        <w:rPr>
          <w:rFonts w:eastAsia="Times New Roman" w:cs="Arial"/>
          <w:szCs w:val="20"/>
          <w:lang w:val="es-ES" w:eastAsia="es-ES"/>
        </w:rPr>
      </w:pPr>
      <w:r w:rsidRPr="00E74062">
        <w:rPr>
          <w:rFonts w:eastAsia="Times New Roman" w:cs="Times New Roman"/>
          <w:szCs w:val="20"/>
          <w:lang w:val="es-ES" w:eastAsia="es-ES"/>
        </w:rPr>
        <w:t xml:space="preserve">Sin embargo, es importante mencionar que, de la revisión de los expedientes electrónicos del </w:t>
      </w:r>
      <w:r w:rsidRPr="00E74062">
        <w:rPr>
          <w:rFonts w:eastAsia="Times New Roman" w:cs="Times New Roman"/>
          <w:b/>
          <w:bCs/>
          <w:szCs w:val="20"/>
          <w:lang w:val="es-ES" w:eastAsia="es-ES"/>
        </w:rPr>
        <w:t>SAIMEX</w:t>
      </w:r>
      <w:r w:rsidRPr="00E74062">
        <w:rPr>
          <w:rFonts w:eastAsia="Times New Roman" w:cs="Times New Roman"/>
          <w:bCs/>
          <w:szCs w:val="20"/>
          <w:lang w:val="es-ES" w:eastAsia="es-ES"/>
        </w:rPr>
        <w:t>,</w:t>
      </w:r>
      <w:r w:rsidRPr="00E74062">
        <w:rPr>
          <w:rFonts w:eastAsia="Times New Roman" w:cs="Times New Roman"/>
          <w:szCs w:val="20"/>
          <w:lang w:val="es-ES" w:eastAsia="es-ES"/>
        </w:rPr>
        <w:t xml:space="preserve"> se observa que </w:t>
      </w:r>
      <w:r w:rsidRPr="00E74062">
        <w:rPr>
          <w:rFonts w:eastAsia="Times New Roman" w:cs="Times New Roman"/>
          <w:b/>
          <w:bCs/>
          <w:szCs w:val="20"/>
          <w:lang w:val="es-ES" w:eastAsia="es-ES"/>
        </w:rPr>
        <w:t>LA PARTE RECURRENTE</w:t>
      </w:r>
      <w:r w:rsidRPr="00E74062">
        <w:rPr>
          <w:rFonts w:eastAsia="Times New Roman" w:cs="Times New Roman"/>
          <w:szCs w:val="20"/>
          <w:lang w:val="es-ES" w:eastAsia="es-ES"/>
        </w:rPr>
        <w:t xml:space="preserve"> no proporcionó su nombre para ser identificado, lo que en estricto sentido provoca que </w:t>
      </w:r>
      <w:r w:rsidRPr="00E74062">
        <w:rPr>
          <w:rFonts w:eastAsia="Times New Roman" w:cs="Arial"/>
          <w:szCs w:val="20"/>
          <w:lang w:val="es-ES" w:eastAsia="es-ES"/>
        </w:rPr>
        <w:t>no</w:t>
      </w:r>
      <w:r w:rsidRPr="00E74062">
        <w:rPr>
          <w:rFonts w:eastAsia="Times New Roman" w:cs="Times New Roman"/>
          <w:szCs w:val="20"/>
          <w:lang w:val="es-ES" w:eastAsia="es-ES"/>
        </w:rPr>
        <w:t xml:space="preserve"> se colmen los requisitos establecidos en el artículo 180 de la Ley de Transparencia; sin embargo, el artículo 15 de </w:t>
      </w:r>
      <w:r w:rsidRPr="00E74062">
        <w:rPr>
          <w:rFonts w:eastAsia="Times New Roman" w:cs="Arial"/>
          <w:szCs w:val="20"/>
          <w:lang w:val="es-ES"/>
        </w:rPr>
        <w:t xml:space="preserve">Ley de Transparencia y Acceso a la </w:t>
      </w:r>
      <w:r w:rsidRPr="00E74062">
        <w:rPr>
          <w:rFonts w:eastAsia="Times New Roman" w:cs="Arial"/>
          <w:szCs w:val="20"/>
          <w:lang w:val="es-ES" w:eastAsia="es-ES"/>
        </w:rPr>
        <w:t>Información</w:t>
      </w:r>
      <w:r w:rsidRPr="00E74062">
        <w:rPr>
          <w:rFonts w:eastAsia="Times New Roman" w:cs="Arial"/>
          <w:szCs w:val="20"/>
          <w:lang w:val="es-ES"/>
        </w:rPr>
        <w:t xml:space="preserve"> Pública del Estado de México y Municipios </w:t>
      </w:r>
      <w:r w:rsidRPr="00E74062">
        <w:rPr>
          <w:rFonts w:eastAsia="Times New Roman" w:cs="Arial"/>
          <w:iCs/>
          <w:szCs w:val="20"/>
          <w:lang w:val="es-ES" w:eastAsia="es-ES"/>
        </w:rPr>
        <w:t xml:space="preserve">prevé que </w:t>
      </w:r>
      <w:r w:rsidRPr="00E74062">
        <w:rPr>
          <w:rFonts w:eastAsia="Times New Roman" w:cs="Times New Roman"/>
          <w:szCs w:val="20"/>
          <w:lang w:val="es-ES" w:eastAsia="es-ES"/>
        </w:rPr>
        <w:t xml:space="preserve">toda persona tendrá acceso a la información </w:t>
      </w:r>
      <w:r w:rsidRPr="00E74062">
        <w:rPr>
          <w:rFonts w:eastAsia="Times New Roman" w:cs="Arial"/>
          <w:szCs w:val="20"/>
          <w:lang w:val="es-ES" w:eastAsia="es-ES"/>
        </w:rPr>
        <w:t xml:space="preserve">sin necesidad de acreditar interés alguno o justificar su utilización, de lo que se infiere que </w:t>
      </w:r>
      <w:r w:rsidRPr="00E74062">
        <w:rPr>
          <w:rFonts w:eastAsia="Times New Roman" w:cs="Arial"/>
          <w:b/>
          <w:szCs w:val="20"/>
          <w:u w:val="single"/>
          <w:lang w:val="es-ES" w:eastAsia="es-ES"/>
        </w:rPr>
        <w:t xml:space="preserve">el nombre no es un requisito </w:t>
      </w:r>
      <w:r w:rsidRPr="00E74062">
        <w:rPr>
          <w:rFonts w:eastAsia="Times New Roman" w:cs="Arial"/>
          <w:b/>
          <w:iCs/>
          <w:szCs w:val="20"/>
          <w:u w:val="single"/>
          <w:lang w:val="es-ES" w:eastAsia="es-ES"/>
        </w:rPr>
        <w:t>indispensable</w:t>
      </w:r>
      <w:r w:rsidRPr="00E74062">
        <w:rPr>
          <w:rFonts w:eastAsia="Times New Roman" w:cs="Arial"/>
          <w:szCs w:val="20"/>
          <w:lang w:val="es-ES" w:eastAsia="es-ES"/>
        </w:rPr>
        <w:t xml:space="preserve"> para que las y los ciudadanos ejerzan el derecho de acceso a la información pública. </w:t>
      </w:r>
    </w:p>
    <w:p w14:paraId="753A7645" w14:textId="77777777" w:rsidR="00DE1A30" w:rsidRPr="00E74062" w:rsidRDefault="00DE1A30" w:rsidP="00E74062">
      <w:pPr>
        <w:rPr>
          <w:rFonts w:eastAsia="Times New Roman" w:cs="Arial"/>
          <w:sz w:val="24"/>
          <w:szCs w:val="24"/>
          <w:lang w:val="es-ES" w:eastAsia="es-ES"/>
        </w:rPr>
      </w:pPr>
    </w:p>
    <w:p w14:paraId="5ED83CAF" w14:textId="77777777" w:rsidR="00DE1A30" w:rsidRPr="00E74062" w:rsidRDefault="00DE1A30" w:rsidP="00E74062">
      <w:pPr>
        <w:rPr>
          <w:rFonts w:eastAsia="Times New Roman" w:cs="Times New Roman"/>
          <w:szCs w:val="20"/>
          <w:lang w:val="es-ES" w:eastAsia="es-ES"/>
        </w:rPr>
      </w:pPr>
      <w:r w:rsidRPr="00E74062">
        <w:rPr>
          <w:rFonts w:eastAsia="Times New Roman" w:cs="Times New Roman"/>
          <w:szCs w:val="20"/>
          <w:lang w:val="es-ES" w:eastAsia="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74062">
        <w:rPr>
          <w:rFonts w:eastAsia="Times New Roman" w:cs="Times New Roman"/>
          <w:b/>
          <w:bCs/>
          <w:szCs w:val="20"/>
          <w:lang w:val="es-ES" w:eastAsia="es-ES"/>
        </w:rPr>
        <w:t>LA PARTE RECURRENTE</w:t>
      </w:r>
      <w:r w:rsidRPr="00E74062">
        <w:rPr>
          <w:rFonts w:eastAsia="Times New Roman" w:cs="Times New Roman"/>
          <w:b/>
          <w:szCs w:val="20"/>
          <w:lang w:val="es-ES" w:eastAsia="es-ES"/>
        </w:rPr>
        <w:t>;</w:t>
      </w:r>
      <w:r w:rsidRPr="00E74062">
        <w:rPr>
          <w:rFonts w:eastAsia="Times New Roman" w:cs="Times New Roman"/>
          <w:szCs w:val="20"/>
          <w:lang w:val="es-ES" w:eastAsia="es-ES"/>
        </w:rPr>
        <w:t xml:space="preserve"> por lo que, en el presente caso, al haber sido presentado el recurso de revisión vía </w:t>
      </w:r>
      <w:r w:rsidRPr="00E74062">
        <w:rPr>
          <w:rFonts w:eastAsia="Times New Roman" w:cs="Times New Roman"/>
          <w:b/>
          <w:bCs/>
          <w:szCs w:val="20"/>
          <w:lang w:val="es-ES" w:eastAsia="es-ES"/>
        </w:rPr>
        <w:t>SAIMEX</w:t>
      </w:r>
      <w:r w:rsidRPr="00E74062">
        <w:rPr>
          <w:rFonts w:eastAsia="Times New Roman" w:cs="Times New Roman"/>
          <w:szCs w:val="20"/>
          <w:lang w:val="es-ES" w:eastAsia="es-ES"/>
        </w:rPr>
        <w:t>, dicho requisito resulta innecesario.</w:t>
      </w:r>
    </w:p>
    <w:p w14:paraId="7674DBD2" w14:textId="77777777" w:rsidR="00DE1A30" w:rsidRPr="00E74062" w:rsidRDefault="00DE1A30" w:rsidP="00E74062">
      <w:pPr>
        <w:rPr>
          <w:lang w:val="es-ES"/>
        </w:rPr>
      </w:pPr>
    </w:p>
    <w:p w14:paraId="44EF17F3" w14:textId="77777777" w:rsidR="00B421CC" w:rsidRPr="00E74062" w:rsidRDefault="00392087" w:rsidP="00E74062">
      <w:pPr>
        <w:pStyle w:val="Ttulo2"/>
      </w:pPr>
      <w:bookmarkStart w:id="31" w:name="_Toc203629379"/>
      <w:r w:rsidRPr="00E74062">
        <w:lastRenderedPageBreak/>
        <w:t>SEGUNDO. Estudio de Fondo.</w:t>
      </w:r>
      <w:bookmarkEnd w:id="31"/>
    </w:p>
    <w:p w14:paraId="2376929B" w14:textId="77777777" w:rsidR="00B421CC" w:rsidRPr="00E74062" w:rsidRDefault="00392087" w:rsidP="00E74062">
      <w:pPr>
        <w:pStyle w:val="Ttulo3"/>
        <w:spacing w:line="360" w:lineRule="auto"/>
      </w:pPr>
      <w:bookmarkStart w:id="32" w:name="_Toc203629380"/>
      <w:r w:rsidRPr="00E74062">
        <w:t>a) Mandato de transparencia y responsabilidad del Sujeto Obligado.</w:t>
      </w:r>
      <w:bookmarkEnd w:id="32"/>
    </w:p>
    <w:p w14:paraId="16E3092C" w14:textId="77777777" w:rsidR="00B421CC" w:rsidRPr="00E74062" w:rsidRDefault="00392087" w:rsidP="00E74062">
      <w:r w:rsidRPr="00E7406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EE38DB1" w14:textId="77777777" w:rsidR="00B421CC" w:rsidRPr="00E74062" w:rsidRDefault="00B421CC" w:rsidP="00E74062"/>
    <w:p w14:paraId="1ABF7554" w14:textId="77777777" w:rsidR="00B421CC" w:rsidRPr="00E74062" w:rsidRDefault="00392087" w:rsidP="00E74062">
      <w:pPr>
        <w:spacing w:line="240" w:lineRule="auto"/>
        <w:ind w:left="567" w:right="539"/>
        <w:rPr>
          <w:b/>
          <w:i/>
        </w:rPr>
      </w:pPr>
      <w:r w:rsidRPr="00E74062">
        <w:rPr>
          <w:b/>
          <w:i/>
        </w:rPr>
        <w:t>Constitución Política de los Estados Unidos Mexicanos</w:t>
      </w:r>
    </w:p>
    <w:p w14:paraId="3E04C991" w14:textId="77777777" w:rsidR="00B421CC" w:rsidRPr="00E74062" w:rsidRDefault="00392087" w:rsidP="00E74062">
      <w:pPr>
        <w:spacing w:line="240" w:lineRule="auto"/>
        <w:ind w:left="567" w:right="539"/>
        <w:rPr>
          <w:b/>
          <w:i/>
        </w:rPr>
      </w:pPr>
      <w:r w:rsidRPr="00E74062">
        <w:rPr>
          <w:b/>
          <w:i/>
        </w:rPr>
        <w:t>“Artículo 6.</w:t>
      </w:r>
    </w:p>
    <w:p w14:paraId="58B5A667" w14:textId="77777777" w:rsidR="00B421CC" w:rsidRPr="00E74062" w:rsidRDefault="00392087" w:rsidP="00E74062">
      <w:pPr>
        <w:spacing w:line="240" w:lineRule="auto"/>
        <w:ind w:left="567" w:right="539"/>
        <w:rPr>
          <w:i/>
        </w:rPr>
      </w:pPr>
      <w:r w:rsidRPr="00E74062">
        <w:rPr>
          <w:i/>
        </w:rPr>
        <w:t>(…)</w:t>
      </w:r>
    </w:p>
    <w:p w14:paraId="4BBD9861" w14:textId="77777777" w:rsidR="00B421CC" w:rsidRPr="00E74062" w:rsidRDefault="00392087" w:rsidP="00E74062">
      <w:pPr>
        <w:spacing w:line="240" w:lineRule="auto"/>
        <w:ind w:left="567" w:right="539"/>
        <w:rPr>
          <w:i/>
        </w:rPr>
      </w:pPr>
      <w:r w:rsidRPr="00E74062">
        <w:rPr>
          <w:i/>
        </w:rPr>
        <w:t>Para efectos de lo dispuesto en el presente artículo se observará lo siguiente:</w:t>
      </w:r>
    </w:p>
    <w:p w14:paraId="438BAEB5" w14:textId="77777777" w:rsidR="00B421CC" w:rsidRPr="00E74062" w:rsidRDefault="00392087" w:rsidP="00E74062">
      <w:pPr>
        <w:spacing w:line="240" w:lineRule="auto"/>
        <w:ind w:left="567" w:right="539"/>
        <w:rPr>
          <w:b/>
          <w:i/>
        </w:rPr>
      </w:pPr>
      <w:r w:rsidRPr="00E74062">
        <w:rPr>
          <w:b/>
          <w:i/>
        </w:rPr>
        <w:t>A</w:t>
      </w:r>
      <w:r w:rsidRPr="00E74062">
        <w:rPr>
          <w:i/>
        </w:rPr>
        <w:t xml:space="preserve">. </w:t>
      </w:r>
      <w:r w:rsidRPr="00E74062">
        <w:rPr>
          <w:b/>
          <w:i/>
        </w:rPr>
        <w:t>Para el ejercicio del derecho de acceso a la información</w:t>
      </w:r>
      <w:r w:rsidRPr="00E74062">
        <w:rPr>
          <w:i/>
        </w:rPr>
        <w:t xml:space="preserve">, la Federación y </w:t>
      </w:r>
      <w:r w:rsidRPr="00E74062">
        <w:rPr>
          <w:b/>
          <w:i/>
        </w:rPr>
        <w:t>las entidades federativas, en el ámbito de sus respectivas competencias, se regirán por los siguientes principios y bases:</w:t>
      </w:r>
    </w:p>
    <w:p w14:paraId="60BA3E0D" w14:textId="77777777" w:rsidR="00B421CC" w:rsidRPr="00E74062" w:rsidRDefault="00392087" w:rsidP="00E74062">
      <w:pPr>
        <w:spacing w:line="240" w:lineRule="auto"/>
        <w:ind w:left="567" w:right="539"/>
        <w:rPr>
          <w:i/>
        </w:rPr>
      </w:pPr>
      <w:r w:rsidRPr="00E74062">
        <w:rPr>
          <w:b/>
          <w:i/>
        </w:rPr>
        <w:t xml:space="preserve">I. </w:t>
      </w:r>
      <w:r w:rsidRPr="00E74062">
        <w:rPr>
          <w:b/>
          <w:i/>
        </w:rPr>
        <w:tab/>
        <w:t>Toda la información en posesión de cualquier</w:t>
      </w:r>
      <w:r w:rsidRPr="00E74062">
        <w:rPr>
          <w:i/>
        </w:rPr>
        <w:t xml:space="preserve"> </w:t>
      </w:r>
      <w:r w:rsidRPr="00E74062">
        <w:rPr>
          <w:b/>
          <w:i/>
        </w:rPr>
        <w:t>autoridad</w:t>
      </w:r>
      <w:r w:rsidRPr="00E7406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74062">
        <w:rPr>
          <w:b/>
          <w:i/>
        </w:rPr>
        <w:t>municipal</w:t>
      </w:r>
      <w:r w:rsidRPr="00E74062">
        <w:rPr>
          <w:i/>
        </w:rPr>
        <w:t xml:space="preserve">, </w:t>
      </w:r>
      <w:r w:rsidRPr="00E74062">
        <w:rPr>
          <w:b/>
          <w:i/>
        </w:rPr>
        <w:t>es pública</w:t>
      </w:r>
      <w:r w:rsidRPr="00E74062">
        <w:rPr>
          <w:i/>
        </w:rPr>
        <w:t xml:space="preserve"> y sólo podrá ser reservada temporalmente por razones de interés público y seguridad nacional, en los términos que fijen las leyes. </w:t>
      </w:r>
      <w:r w:rsidRPr="00E74062">
        <w:rPr>
          <w:b/>
          <w:i/>
        </w:rPr>
        <w:t>En la interpretación de este derecho deberá prevalecer el principio de máxima publicidad. Los sujetos obligados deberán documentar todo acto que derive del ejercicio de sus facultades, competencias o funciones</w:t>
      </w:r>
      <w:r w:rsidRPr="00E74062">
        <w:rPr>
          <w:i/>
        </w:rPr>
        <w:t>, la ley determinará los supuestos específicos bajo los cuales procederá la declaración de inexistencia de la información.”</w:t>
      </w:r>
    </w:p>
    <w:p w14:paraId="63EB72EE" w14:textId="77777777" w:rsidR="00B421CC" w:rsidRPr="00E74062" w:rsidRDefault="00B421CC" w:rsidP="00E74062">
      <w:pPr>
        <w:spacing w:line="240" w:lineRule="auto"/>
        <w:ind w:left="567" w:right="539"/>
        <w:rPr>
          <w:b/>
          <w:i/>
        </w:rPr>
      </w:pPr>
    </w:p>
    <w:p w14:paraId="5AA4F81D" w14:textId="77777777" w:rsidR="00B421CC" w:rsidRPr="00E74062" w:rsidRDefault="00392087" w:rsidP="00E74062">
      <w:pPr>
        <w:spacing w:line="240" w:lineRule="auto"/>
        <w:ind w:left="567" w:right="539"/>
        <w:rPr>
          <w:b/>
          <w:i/>
        </w:rPr>
      </w:pPr>
      <w:r w:rsidRPr="00E74062">
        <w:rPr>
          <w:b/>
          <w:i/>
        </w:rPr>
        <w:t>Constitución Política del Estado Libre y Soberano de México</w:t>
      </w:r>
    </w:p>
    <w:p w14:paraId="05CF60B5" w14:textId="77777777" w:rsidR="00B421CC" w:rsidRPr="00E74062" w:rsidRDefault="00392087" w:rsidP="00E74062">
      <w:pPr>
        <w:spacing w:line="240" w:lineRule="auto"/>
        <w:ind w:left="567" w:right="539"/>
        <w:rPr>
          <w:i/>
        </w:rPr>
      </w:pPr>
      <w:r w:rsidRPr="00E74062">
        <w:rPr>
          <w:b/>
          <w:i/>
        </w:rPr>
        <w:t>“Artículo 5</w:t>
      </w:r>
      <w:r w:rsidRPr="00E74062">
        <w:rPr>
          <w:i/>
        </w:rPr>
        <w:t xml:space="preserve">.- </w:t>
      </w:r>
    </w:p>
    <w:p w14:paraId="7FBDB001" w14:textId="77777777" w:rsidR="00B421CC" w:rsidRPr="00E74062" w:rsidRDefault="00392087" w:rsidP="00E74062">
      <w:pPr>
        <w:spacing w:line="240" w:lineRule="auto"/>
        <w:ind w:left="567" w:right="539"/>
        <w:rPr>
          <w:i/>
        </w:rPr>
      </w:pPr>
      <w:r w:rsidRPr="00E74062">
        <w:rPr>
          <w:i/>
        </w:rPr>
        <w:t>(…)</w:t>
      </w:r>
    </w:p>
    <w:p w14:paraId="2B1615AB" w14:textId="77777777" w:rsidR="00B421CC" w:rsidRPr="00E74062" w:rsidRDefault="00392087" w:rsidP="00E74062">
      <w:pPr>
        <w:spacing w:line="240" w:lineRule="auto"/>
        <w:ind w:left="567" w:right="539"/>
        <w:rPr>
          <w:i/>
        </w:rPr>
      </w:pPr>
      <w:r w:rsidRPr="00E74062">
        <w:rPr>
          <w:b/>
          <w:i/>
        </w:rPr>
        <w:t>El derecho a la información será garantizado por el Estado. La ley establecerá las previsiones que permitan asegurar la protección, el respeto y la difusión de este derecho</w:t>
      </w:r>
      <w:r w:rsidRPr="00E74062">
        <w:rPr>
          <w:i/>
        </w:rPr>
        <w:t>.</w:t>
      </w:r>
    </w:p>
    <w:p w14:paraId="094A0BFA" w14:textId="77777777" w:rsidR="00B421CC" w:rsidRPr="00E74062" w:rsidRDefault="00392087" w:rsidP="00E74062">
      <w:pPr>
        <w:spacing w:line="240" w:lineRule="auto"/>
        <w:ind w:left="567" w:right="539"/>
        <w:rPr>
          <w:i/>
        </w:rPr>
      </w:pPr>
      <w:r w:rsidRPr="00E74062">
        <w:rPr>
          <w:i/>
        </w:rPr>
        <w:t xml:space="preserve">Para garantizar el ejercicio del derecho de transparencia, acceso a la información pública y protección de datos personales, los poderes públicos y los organismos autónomos, </w:t>
      </w:r>
      <w:r w:rsidRPr="00E74062">
        <w:rPr>
          <w:i/>
        </w:rPr>
        <w:lastRenderedPageBreak/>
        <w:t>transparentarán sus acciones, en términos de las disposiciones aplicables, la información será oportuna, clara, veraz y de fácil acceso.</w:t>
      </w:r>
    </w:p>
    <w:p w14:paraId="78BA3AE7" w14:textId="77777777" w:rsidR="00B421CC" w:rsidRPr="00E74062" w:rsidRDefault="00392087" w:rsidP="00E74062">
      <w:pPr>
        <w:spacing w:line="240" w:lineRule="auto"/>
        <w:ind w:left="567" w:right="539"/>
        <w:rPr>
          <w:i/>
        </w:rPr>
      </w:pPr>
      <w:r w:rsidRPr="00E74062">
        <w:rPr>
          <w:b/>
          <w:i/>
        </w:rPr>
        <w:t>Este derecho se regirá por los principios y bases siguientes</w:t>
      </w:r>
      <w:r w:rsidRPr="00E74062">
        <w:rPr>
          <w:i/>
        </w:rPr>
        <w:t>:</w:t>
      </w:r>
    </w:p>
    <w:p w14:paraId="1B729BE4" w14:textId="77777777" w:rsidR="00B421CC" w:rsidRPr="00E74062" w:rsidRDefault="00392087" w:rsidP="00E74062">
      <w:pPr>
        <w:spacing w:line="240" w:lineRule="auto"/>
        <w:ind w:left="567" w:right="539"/>
        <w:rPr>
          <w:i/>
        </w:rPr>
      </w:pPr>
      <w:r w:rsidRPr="00E74062">
        <w:rPr>
          <w:b/>
          <w:i/>
        </w:rPr>
        <w:t>I. Toda la información en posesión de cualquier autoridad, entidad, órgano y organismos de los</w:t>
      </w:r>
      <w:r w:rsidRPr="00E74062">
        <w:rPr>
          <w:i/>
        </w:rPr>
        <w:t xml:space="preserve"> Poderes Ejecutivo, Legislativo y Judicial, órganos autónomos, partidos políticos, fideicomisos y fondos públicos estatales y </w:t>
      </w:r>
      <w:r w:rsidRPr="00E74062">
        <w:rPr>
          <w:b/>
          <w:i/>
        </w:rPr>
        <w:t>municipales</w:t>
      </w:r>
      <w:r w:rsidRPr="00E7406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74062">
        <w:rPr>
          <w:b/>
          <w:i/>
        </w:rPr>
        <w:t>es pública</w:t>
      </w:r>
      <w:r w:rsidRPr="00E74062">
        <w:rPr>
          <w:i/>
        </w:rPr>
        <w:t xml:space="preserve"> y sólo podrá ser reservada temporalmente por razones previstas en la Constitución Política de los Estados Unidos Mexicanos de interés público y seguridad, en los términos que fijen las leyes. </w:t>
      </w:r>
      <w:r w:rsidRPr="00E74062">
        <w:rPr>
          <w:b/>
          <w:i/>
        </w:rPr>
        <w:t>En la interpretación de este derecho deberá prevalecer el principio de máxima publicidad</w:t>
      </w:r>
      <w:r w:rsidRPr="00E74062">
        <w:rPr>
          <w:i/>
        </w:rPr>
        <w:t xml:space="preserve">. </w:t>
      </w:r>
      <w:r w:rsidRPr="00E74062">
        <w:rPr>
          <w:b/>
          <w:i/>
        </w:rPr>
        <w:t>Los sujetos obligados deberán documentar todo acto que derive del ejercicio de sus facultades, competencias o funciones</w:t>
      </w:r>
      <w:r w:rsidRPr="00E74062">
        <w:rPr>
          <w:i/>
        </w:rPr>
        <w:t>, la ley determinará los supuestos específicos bajo los cuales procederá la declaración de inexistencia de la información.”</w:t>
      </w:r>
    </w:p>
    <w:p w14:paraId="16D349EE" w14:textId="77777777" w:rsidR="00B421CC" w:rsidRPr="00E74062" w:rsidRDefault="00B421CC" w:rsidP="00E74062">
      <w:pPr>
        <w:rPr>
          <w:b/>
          <w:i/>
        </w:rPr>
      </w:pPr>
    </w:p>
    <w:p w14:paraId="42C7E99B" w14:textId="77777777" w:rsidR="00B421CC" w:rsidRPr="00E74062" w:rsidRDefault="00392087" w:rsidP="00E74062">
      <w:pPr>
        <w:rPr>
          <w:i/>
        </w:rPr>
      </w:pPr>
      <w:r w:rsidRPr="00E7406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74062">
        <w:rPr>
          <w:i/>
        </w:rPr>
        <w:t>por los principios de simplicidad, rapidez, gratuidad del procedimiento, auxilio y orientación a los particulares.</w:t>
      </w:r>
    </w:p>
    <w:p w14:paraId="0A59B75A" w14:textId="77777777" w:rsidR="00B421CC" w:rsidRPr="00E74062" w:rsidRDefault="00B421CC" w:rsidP="00E74062">
      <w:pPr>
        <w:rPr>
          <w:i/>
        </w:rPr>
      </w:pPr>
    </w:p>
    <w:p w14:paraId="2EDBBB95" w14:textId="77777777" w:rsidR="00B421CC" w:rsidRPr="00E74062" w:rsidRDefault="00392087" w:rsidP="00E74062">
      <w:pPr>
        <w:rPr>
          <w:i/>
        </w:rPr>
      </w:pPr>
      <w:r w:rsidRPr="00E7406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EB80C56" w14:textId="77777777" w:rsidR="00B421CC" w:rsidRPr="00E74062" w:rsidRDefault="00B421CC" w:rsidP="00E74062"/>
    <w:p w14:paraId="35BE047A" w14:textId="77777777" w:rsidR="00B421CC" w:rsidRPr="00E74062" w:rsidRDefault="00392087" w:rsidP="00E74062">
      <w:r w:rsidRPr="00E74062">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E74062">
        <w:lastRenderedPageBreak/>
        <w:t>conforme al interés del solicitante; tal y como lo establece el artículo 12 de la Ley de Transparencia y Acceso a la Información Pública del Estado de México y Municipios.</w:t>
      </w:r>
    </w:p>
    <w:p w14:paraId="55BE8FDD" w14:textId="77777777" w:rsidR="00B421CC" w:rsidRPr="00E74062" w:rsidRDefault="00B421CC" w:rsidP="00E74062"/>
    <w:p w14:paraId="0AA1FF6F" w14:textId="77777777" w:rsidR="00B421CC" w:rsidRPr="00E74062" w:rsidRDefault="00392087" w:rsidP="00E74062">
      <w:r w:rsidRPr="00E7406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3D0F941" w14:textId="77777777" w:rsidR="00B421CC" w:rsidRPr="00E74062" w:rsidRDefault="00B421CC" w:rsidP="00E74062"/>
    <w:p w14:paraId="02F6E15F" w14:textId="77777777" w:rsidR="00B421CC" w:rsidRPr="00E74062" w:rsidRDefault="00392087" w:rsidP="00E74062">
      <w:r w:rsidRPr="00E7406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430BA2D" w14:textId="77777777" w:rsidR="00B421CC" w:rsidRPr="00E74062" w:rsidRDefault="00B421CC" w:rsidP="00E74062"/>
    <w:p w14:paraId="6C6320D2" w14:textId="77777777" w:rsidR="00B421CC" w:rsidRPr="00E74062" w:rsidRDefault="00392087" w:rsidP="00E74062">
      <w:bookmarkStart w:id="33" w:name="_heading=h.2bn6wsx" w:colFirst="0" w:colLast="0"/>
      <w:bookmarkEnd w:id="33"/>
      <w:r w:rsidRPr="00E74062">
        <w:t xml:space="preserve">Con base en lo anterior, se considera que </w:t>
      </w:r>
      <w:r w:rsidRPr="00E74062">
        <w:rPr>
          <w:b/>
        </w:rPr>
        <w:t>EL</w:t>
      </w:r>
      <w:r w:rsidRPr="00E74062">
        <w:t xml:space="preserve"> </w:t>
      </w:r>
      <w:r w:rsidRPr="00E74062">
        <w:rPr>
          <w:b/>
        </w:rPr>
        <w:t>SUJETO OBLIGADO</w:t>
      </w:r>
      <w:r w:rsidRPr="00E74062">
        <w:t xml:space="preserve"> se encontraba compelido a atender la solicitud de acceso a la información realizada por </w:t>
      </w:r>
      <w:r w:rsidRPr="00E74062">
        <w:rPr>
          <w:b/>
        </w:rPr>
        <w:t>LA PARTE RECURRENTE</w:t>
      </w:r>
      <w:r w:rsidRPr="00E74062">
        <w:t>.</w:t>
      </w:r>
    </w:p>
    <w:p w14:paraId="31EF0C47" w14:textId="77777777" w:rsidR="00B421CC" w:rsidRPr="00E74062" w:rsidRDefault="00B421CC" w:rsidP="00E74062"/>
    <w:p w14:paraId="3AB6E087" w14:textId="77777777" w:rsidR="00B421CC" w:rsidRPr="00E74062" w:rsidRDefault="00392087" w:rsidP="00E74062">
      <w:pPr>
        <w:pStyle w:val="Ttulo3"/>
        <w:spacing w:line="360" w:lineRule="auto"/>
      </w:pPr>
      <w:bookmarkStart w:id="34" w:name="_Toc203629381"/>
      <w:r w:rsidRPr="00E74062">
        <w:t>b) Controversia a resolver.</w:t>
      </w:r>
      <w:bookmarkEnd w:id="34"/>
    </w:p>
    <w:p w14:paraId="7DB8DE6A" w14:textId="24F277F4" w:rsidR="00033970" w:rsidRPr="00E74062" w:rsidRDefault="00392087" w:rsidP="00E74062">
      <w:r w:rsidRPr="00E74062">
        <w:t xml:space="preserve">Con el objeto de ilustrar la controversia planteada, resulta conveniente precisar que, una vez realizado el estudio de las constancias que integran el expediente en que se actúa, se desprende </w:t>
      </w:r>
      <w:r w:rsidRPr="00E74062">
        <w:lastRenderedPageBreak/>
        <w:t xml:space="preserve">que </w:t>
      </w:r>
      <w:r w:rsidRPr="00E74062">
        <w:rPr>
          <w:b/>
        </w:rPr>
        <w:t>LA PARTE RECURRENTE</w:t>
      </w:r>
      <w:r w:rsidRPr="00E74062">
        <w:t xml:space="preserve"> solicitó </w:t>
      </w:r>
      <w:r w:rsidR="00DE1A30" w:rsidRPr="00E74062">
        <w:t>l</w:t>
      </w:r>
      <w:r w:rsidR="00033970" w:rsidRPr="00E74062">
        <w:t>os documentos de seguridad de la administración 2022-2024 y los actuales.</w:t>
      </w:r>
    </w:p>
    <w:p w14:paraId="38398FE7" w14:textId="77777777" w:rsidR="00B421CC" w:rsidRPr="00E74062" w:rsidRDefault="00B421CC" w:rsidP="00E74062">
      <w:pPr>
        <w:pBdr>
          <w:top w:val="nil"/>
          <w:left w:val="nil"/>
          <w:bottom w:val="nil"/>
          <w:right w:val="nil"/>
          <w:between w:val="nil"/>
        </w:pBdr>
        <w:tabs>
          <w:tab w:val="left" w:pos="4667"/>
          <w:tab w:val="left" w:pos="4962"/>
        </w:tabs>
        <w:ind w:left="720" w:right="567"/>
      </w:pPr>
    </w:p>
    <w:p w14:paraId="13527374" w14:textId="77777777" w:rsidR="00B421CC" w:rsidRPr="00E74062" w:rsidRDefault="00392087" w:rsidP="00E74062">
      <w:pPr>
        <w:pBdr>
          <w:top w:val="nil"/>
          <w:left w:val="nil"/>
          <w:bottom w:val="nil"/>
          <w:right w:val="nil"/>
          <w:between w:val="nil"/>
        </w:pBdr>
        <w:ind w:right="-28"/>
      </w:pPr>
      <w:r w:rsidRPr="00E74062">
        <w:t xml:space="preserve">En respuesta, </w:t>
      </w:r>
      <w:r w:rsidRPr="00E74062">
        <w:rPr>
          <w:b/>
        </w:rPr>
        <w:t xml:space="preserve">EL SUJETO OBLIGADO </w:t>
      </w:r>
      <w:r w:rsidRPr="00E74062">
        <w:t>se pronunció p</w:t>
      </w:r>
      <w:r w:rsidR="00033970" w:rsidRPr="00E74062">
        <w:t xml:space="preserve">or conducto de la Titular de la Unidad de Transparencia, </w:t>
      </w:r>
      <w:r w:rsidR="005A61F5" w:rsidRPr="00E74062">
        <w:t>quien remitió el acta de la Quinta Sesión Ordinaria del Comité de Transparencia del Organismo Público Descentralizado para la Prestación de los Servicios de Agua Potable, Alcantarillado y Saneamiento del Municipio de Tlalnepantla Denominado OPDM, 2025, por medio de cual se aprueba una ampliación de plazo para dar respuesta a la solicitud de acceso a la información pública registrada con el folio 00141/OASTLALNE/IP/2025.</w:t>
      </w:r>
    </w:p>
    <w:p w14:paraId="5D23D725" w14:textId="77777777" w:rsidR="00B421CC" w:rsidRPr="00E74062" w:rsidRDefault="00B421CC" w:rsidP="00E74062">
      <w:pPr>
        <w:pBdr>
          <w:top w:val="nil"/>
          <w:left w:val="nil"/>
          <w:bottom w:val="nil"/>
          <w:right w:val="nil"/>
          <w:between w:val="nil"/>
        </w:pBdr>
        <w:ind w:right="-28"/>
      </w:pPr>
    </w:p>
    <w:p w14:paraId="43019483" w14:textId="77777777" w:rsidR="00B421CC" w:rsidRPr="00E74062" w:rsidRDefault="00392087" w:rsidP="00E74062">
      <w:pPr>
        <w:tabs>
          <w:tab w:val="left" w:pos="4962"/>
        </w:tabs>
      </w:pPr>
      <w:r w:rsidRPr="00E74062">
        <w:t xml:space="preserve">Ahora bien, en la interposición del presente recurso </w:t>
      </w:r>
      <w:r w:rsidRPr="00E74062">
        <w:rPr>
          <w:b/>
        </w:rPr>
        <w:t>LA PARTE RECURRENTE</w:t>
      </w:r>
      <w:r w:rsidRPr="00E74062">
        <w:t xml:space="preserve"> se inconformó sobre la </w:t>
      </w:r>
      <w:r w:rsidR="005A61F5" w:rsidRPr="00E74062">
        <w:t>negativa a la información solicitada, precisando que en respuesta fue proporcionada información que no constituye lo solicitado.</w:t>
      </w:r>
    </w:p>
    <w:p w14:paraId="2EAB38E9" w14:textId="77777777" w:rsidR="00B421CC" w:rsidRPr="00E74062" w:rsidRDefault="00B421CC" w:rsidP="00E74062"/>
    <w:p w14:paraId="79B31BE2" w14:textId="77777777" w:rsidR="00B421CC" w:rsidRPr="00E74062" w:rsidRDefault="00392087" w:rsidP="00E74062">
      <w:r w:rsidRPr="00E74062">
        <w:t xml:space="preserve">Por parte, de las constancias que obran dentro del expediente electrónico del </w:t>
      </w:r>
      <w:r w:rsidRPr="00E74062">
        <w:rPr>
          <w:b/>
          <w:bCs/>
        </w:rPr>
        <w:t>SAIMEX</w:t>
      </w:r>
      <w:r w:rsidRPr="00E74062">
        <w:t xml:space="preserve">, se advierte que el </w:t>
      </w:r>
      <w:r w:rsidRPr="00E74062">
        <w:rPr>
          <w:b/>
        </w:rPr>
        <w:t xml:space="preserve">SUJETO OBLIGADO </w:t>
      </w:r>
      <w:r w:rsidRPr="00E74062">
        <w:t xml:space="preserve">a través de su informe justificado </w:t>
      </w:r>
      <w:r w:rsidR="005A61F5" w:rsidRPr="00E74062">
        <w:t>precisó que la información solicitada por el particular debe clasificarse como información confidencial.</w:t>
      </w:r>
    </w:p>
    <w:p w14:paraId="674193C0" w14:textId="77777777" w:rsidR="005A61F5" w:rsidRPr="00E74062" w:rsidRDefault="005A61F5" w:rsidP="00E74062"/>
    <w:p w14:paraId="59CE2742" w14:textId="77777777" w:rsidR="00B421CC" w:rsidRPr="00E74062" w:rsidRDefault="00392087" w:rsidP="00E74062">
      <w:pPr>
        <w:tabs>
          <w:tab w:val="left" w:pos="4962"/>
        </w:tabs>
      </w:pPr>
      <w:r w:rsidRPr="00E74062">
        <w:t xml:space="preserve">En razón de lo anterior, el estudio se centrará en determinar si la respuesta otorgada por </w:t>
      </w:r>
      <w:r w:rsidRPr="00E74062">
        <w:rPr>
          <w:b/>
        </w:rPr>
        <w:t>EL SUJETO OBLIGADO</w:t>
      </w:r>
      <w:r w:rsidRPr="00E74062">
        <w:t xml:space="preserve"> </w:t>
      </w:r>
      <w:r w:rsidR="005A61F5" w:rsidRPr="00E74062">
        <w:t>los documentos de seguridad son susceptibles de clasificarse como información confidencial.</w:t>
      </w:r>
    </w:p>
    <w:p w14:paraId="54C4E824" w14:textId="77777777" w:rsidR="005A61F5" w:rsidRPr="00E74062" w:rsidRDefault="005A61F5" w:rsidP="00E74062">
      <w:pPr>
        <w:tabs>
          <w:tab w:val="left" w:pos="4962"/>
        </w:tabs>
      </w:pPr>
    </w:p>
    <w:p w14:paraId="210A8CC4" w14:textId="77777777" w:rsidR="00B421CC" w:rsidRPr="00E74062" w:rsidRDefault="00392087" w:rsidP="00E74062">
      <w:pPr>
        <w:pStyle w:val="Ttulo3"/>
        <w:tabs>
          <w:tab w:val="left" w:pos="6015"/>
        </w:tabs>
        <w:spacing w:line="360" w:lineRule="auto"/>
      </w:pPr>
      <w:bookmarkStart w:id="35" w:name="_Toc203629382"/>
      <w:r w:rsidRPr="00E74062">
        <w:lastRenderedPageBreak/>
        <w:t>c) Estudio de la controversia.</w:t>
      </w:r>
      <w:bookmarkEnd w:id="35"/>
    </w:p>
    <w:p w14:paraId="2CC6ECF5" w14:textId="77777777" w:rsidR="00E662EE" w:rsidRPr="00E74062" w:rsidRDefault="00392087" w:rsidP="00E74062">
      <w:pPr>
        <w:ind w:right="-93"/>
      </w:pPr>
      <w:r w:rsidRPr="00E74062">
        <w:t>Una vez precisado lo anterior, resulta necesario comenz</w:t>
      </w:r>
      <w:r w:rsidR="00E662EE" w:rsidRPr="00E74062">
        <w:t>ar con el estudio señalando que la Ley General de Protección de Datos Personales en Posesión de Sujetos Obligados del Estado de México y Municipios, tiene el objeto de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14:paraId="667D3DDB" w14:textId="77777777" w:rsidR="00E662EE" w:rsidRPr="00E74062" w:rsidRDefault="00E662EE" w:rsidP="00E74062"/>
    <w:p w14:paraId="6DBAE601" w14:textId="77777777" w:rsidR="00E662EE" w:rsidRPr="00E74062" w:rsidRDefault="00E662EE" w:rsidP="00E74062">
      <w:r w:rsidRPr="00E74062">
        <w:t xml:space="preserve">En este sentido, el cuerpo normativo en estudio, instaura para los responsables del tratamiento de datos personales, un complejo entramado de obligaciones, entre los cuales destaca el deber de establecer y mantener medidas de seguridad 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3616A056" w14:textId="77777777" w:rsidR="00E662EE" w:rsidRPr="00E74062" w:rsidRDefault="00E662EE" w:rsidP="00E74062"/>
    <w:p w14:paraId="1D11D358" w14:textId="77777777" w:rsidR="00E662EE" w:rsidRPr="00E74062" w:rsidRDefault="00E662EE" w:rsidP="00E74062">
      <w:r w:rsidRPr="00E74062">
        <w:t xml:space="preserve">Cabe mencionar, que las medidas de seguridad que el responsable ha de establecer y mantener para el tratamiento de datos personales, deberán ser documentadas y contenidas en el denominado documento de seguridad, entendiendo a esté como el instrumento que describe y da cuenta de manera general sobre las medidas de seguridad técnicas, físicas y administrativas adoptadas por el responsable para garantizar la confidencialidad, integridad </w:t>
      </w:r>
      <w:r w:rsidRPr="00E74062">
        <w:lastRenderedPageBreak/>
        <w:t xml:space="preserve">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 </w:t>
      </w:r>
    </w:p>
    <w:p w14:paraId="4FE5911D" w14:textId="77777777" w:rsidR="00E662EE" w:rsidRPr="00E74062" w:rsidRDefault="00E662EE" w:rsidP="00E74062"/>
    <w:p w14:paraId="34FCDD94" w14:textId="77777777" w:rsidR="00E662EE" w:rsidRPr="00E74062" w:rsidRDefault="00E662EE" w:rsidP="00E74062">
      <w:r w:rsidRPr="00E74062">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63CD3AA6" w14:textId="77777777" w:rsidR="00E662EE" w:rsidRPr="00E74062" w:rsidRDefault="00E662EE" w:rsidP="00E74062"/>
    <w:p w14:paraId="534FE1DF" w14:textId="77777777" w:rsidR="00E662EE" w:rsidRPr="00E74062" w:rsidRDefault="00E662EE" w:rsidP="00E74062">
      <w:r w:rsidRPr="00E74062">
        <w:t xml:space="preserve">Así,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w:t>
      </w:r>
      <w:r w:rsidRPr="00E74062">
        <w:lastRenderedPageBreak/>
        <w:t>propósito de brindar a los Sistemas y/o Bases de Datos Personales, una mayor garantía en su resguardo, tal y como lo enuncian los artículos 6 segundo párrafo y 43 de la citada Ley, como se advierte enseguida:</w:t>
      </w:r>
    </w:p>
    <w:p w14:paraId="3A99139C" w14:textId="77777777" w:rsidR="00E662EE" w:rsidRPr="00E74062" w:rsidRDefault="00E662EE" w:rsidP="00E74062"/>
    <w:p w14:paraId="1D921B38" w14:textId="77777777" w:rsidR="00E662EE" w:rsidRPr="00E74062" w:rsidRDefault="00E662EE" w:rsidP="00E74062">
      <w:pPr>
        <w:tabs>
          <w:tab w:val="left" w:pos="851"/>
        </w:tabs>
        <w:spacing w:line="240" w:lineRule="auto"/>
        <w:ind w:left="851" w:right="899"/>
        <w:rPr>
          <w:i/>
          <w:lang w:val="es-ES"/>
        </w:rPr>
      </w:pPr>
      <w:r w:rsidRPr="00E74062">
        <w:rPr>
          <w:i/>
          <w:lang w:val="es-ES"/>
        </w:rPr>
        <w:t>“</w:t>
      </w:r>
      <w:r w:rsidRPr="00E74062">
        <w:rPr>
          <w:b/>
          <w:i/>
          <w:lang w:val="es-ES"/>
        </w:rPr>
        <w:t xml:space="preserve">Artículo 6. </w:t>
      </w:r>
      <w:r w:rsidRPr="00E74062">
        <w:rPr>
          <w:i/>
          <w:lang w:val="es-ES"/>
        </w:rPr>
        <w:t xml:space="preserve">El Estado garantizará la privacidad de los individuos y velará porque no se incurra en conductas que puedan afectarla arbitrariamente. </w:t>
      </w:r>
    </w:p>
    <w:p w14:paraId="092AFB21" w14:textId="77777777" w:rsidR="00E662EE" w:rsidRPr="00E74062" w:rsidRDefault="00E662EE" w:rsidP="00E74062">
      <w:pPr>
        <w:tabs>
          <w:tab w:val="left" w:pos="851"/>
        </w:tabs>
        <w:spacing w:line="240" w:lineRule="auto"/>
        <w:ind w:left="851" w:right="899"/>
        <w:rPr>
          <w:b/>
          <w:i/>
          <w:lang w:val="es-ES"/>
        </w:rPr>
      </w:pPr>
      <w:r w:rsidRPr="00E74062">
        <w:rPr>
          <w:b/>
          <w:i/>
          <w:lang w:val="es-ES"/>
        </w:rPr>
        <w:t xml:space="preserve">Los responsables aplicarán las medidas establecidas en esta Ley para la protección de las personas y su dignidad, respecto al tratamiento de sus datos personales. </w:t>
      </w:r>
    </w:p>
    <w:p w14:paraId="50F0D4EA"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El derecho a la protección de los datos personales solamente se limitará por razones de seguridad pública en términos de la Ley en la materia, disposiciones de orden público, salud pública o para proteger los derechos de terceros. </w:t>
      </w:r>
    </w:p>
    <w:p w14:paraId="4224EA20" w14:textId="77777777" w:rsidR="00E662EE" w:rsidRPr="00E74062" w:rsidRDefault="00E662EE" w:rsidP="00E74062">
      <w:pPr>
        <w:tabs>
          <w:tab w:val="left" w:pos="851"/>
        </w:tabs>
        <w:spacing w:line="240" w:lineRule="auto"/>
        <w:ind w:left="851" w:right="899"/>
        <w:rPr>
          <w:i/>
          <w:lang w:val="es-ES"/>
        </w:rPr>
      </w:pPr>
    </w:p>
    <w:p w14:paraId="1D36B4A7" w14:textId="77777777" w:rsidR="00E662EE" w:rsidRPr="00E74062" w:rsidRDefault="00E662EE" w:rsidP="00E74062">
      <w:pPr>
        <w:tabs>
          <w:tab w:val="left" w:pos="851"/>
        </w:tabs>
        <w:spacing w:line="240" w:lineRule="auto"/>
        <w:ind w:left="851" w:right="899"/>
        <w:rPr>
          <w:i/>
          <w:lang w:val="es-ES"/>
        </w:rPr>
      </w:pPr>
      <w:r w:rsidRPr="00E74062">
        <w:rPr>
          <w:b/>
          <w:i/>
          <w:lang w:val="es-ES"/>
        </w:rPr>
        <w:t>Artículo 43.</w:t>
      </w:r>
      <w:r w:rsidRPr="00E74062">
        <w:rPr>
          <w:i/>
          <w:lang w:val="es-E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56BD3B24" w14:textId="77777777" w:rsidR="00E662EE" w:rsidRPr="00E74062" w:rsidRDefault="00E662EE" w:rsidP="00E74062">
      <w:pPr>
        <w:tabs>
          <w:tab w:val="left" w:pos="851"/>
        </w:tabs>
        <w:spacing w:line="240" w:lineRule="auto"/>
        <w:ind w:left="851" w:right="899"/>
        <w:rPr>
          <w:i/>
          <w:lang w:val="es-ES"/>
        </w:rPr>
      </w:pPr>
    </w:p>
    <w:p w14:paraId="3492B111" w14:textId="77777777" w:rsidR="00E662EE" w:rsidRPr="00E74062" w:rsidRDefault="00E662EE" w:rsidP="00E74062">
      <w:pPr>
        <w:tabs>
          <w:tab w:val="left" w:pos="851"/>
        </w:tabs>
        <w:spacing w:line="240" w:lineRule="auto"/>
        <w:ind w:left="851" w:right="899"/>
        <w:rPr>
          <w:i/>
          <w:lang w:val="es-ES"/>
        </w:rPr>
      </w:pPr>
      <w:r w:rsidRPr="00E74062">
        <w:rPr>
          <w:b/>
          <w:i/>
          <w:lang w:val="es-ES"/>
        </w:rPr>
        <w:t>Por la naturaleza de la información, las medidas de seguridad que se adopten serán consideradas confidenciales</w:t>
      </w:r>
      <w:r w:rsidRPr="00E74062">
        <w:rPr>
          <w:i/>
          <w:lang w:val="es-ES"/>
        </w:rPr>
        <w:t xml:space="preserve"> y únicamente se comunicará al Instituto, para su registro, el nivel de seguridad aplicable. </w:t>
      </w:r>
    </w:p>
    <w:p w14:paraId="7A9F9C9C" w14:textId="77777777" w:rsidR="00E662EE" w:rsidRPr="00E74062" w:rsidRDefault="00E662EE" w:rsidP="00E74062">
      <w:pPr>
        <w:tabs>
          <w:tab w:val="left" w:pos="851"/>
        </w:tabs>
        <w:spacing w:line="240" w:lineRule="auto"/>
        <w:ind w:left="851" w:right="899"/>
        <w:rPr>
          <w:i/>
          <w:lang w:val="es-ES"/>
        </w:rPr>
      </w:pPr>
      <w:r w:rsidRPr="00E74062">
        <w:rPr>
          <w:i/>
          <w:lang w:val="es-ES"/>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5847F8CB"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5C2061C8"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61540DEC"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El responsable o el encargado, designarán a una o un administrador, quien tendrá bajo su responsabilidad directa la base y sistema de datos personales.” </w:t>
      </w:r>
    </w:p>
    <w:p w14:paraId="70A6EF86" w14:textId="77777777" w:rsidR="00E662EE" w:rsidRPr="00E74062" w:rsidRDefault="00E662EE" w:rsidP="00E74062"/>
    <w:p w14:paraId="4F3FCAE2" w14:textId="77777777" w:rsidR="00E662EE" w:rsidRPr="00E74062" w:rsidRDefault="00E662EE" w:rsidP="00E74062">
      <w:pPr>
        <w:rPr>
          <w:rFonts w:eastAsia="MS Mincho" w:cs="Tahoma"/>
        </w:rPr>
      </w:pPr>
      <w:r w:rsidRPr="00E74062">
        <w:rPr>
          <w:rFonts w:eastAsia="MS Mincho" w:cs="Tahoma"/>
        </w:rPr>
        <w:t xml:space="preserve">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 </w:t>
      </w:r>
    </w:p>
    <w:p w14:paraId="5D572CD2" w14:textId="77777777" w:rsidR="00E662EE" w:rsidRPr="00E74062" w:rsidRDefault="00E662EE" w:rsidP="00E74062">
      <w:pPr>
        <w:rPr>
          <w:rFonts w:eastAsia="MS Mincho" w:cs="Tahoma"/>
        </w:rPr>
      </w:pPr>
    </w:p>
    <w:p w14:paraId="745F63A1" w14:textId="77777777" w:rsidR="00E662EE" w:rsidRPr="00E74062" w:rsidRDefault="00E662EE" w:rsidP="00E74062">
      <w:pPr>
        <w:rPr>
          <w:rFonts w:eastAsia="MS Mincho" w:cs="Tahoma"/>
        </w:rPr>
      </w:pPr>
      <w:r w:rsidRPr="00E74062">
        <w:rPr>
          <w:rFonts w:eastAsia="MS Mincho" w:cs="Tahoma"/>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Documento de Seguridad,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 </w:t>
      </w:r>
    </w:p>
    <w:p w14:paraId="0A7E148C" w14:textId="77777777" w:rsidR="00E662EE" w:rsidRPr="00E74062" w:rsidRDefault="00E662EE" w:rsidP="00E74062">
      <w:pPr>
        <w:rPr>
          <w:rFonts w:eastAsia="MS Mincho" w:cs="Tahoma"/>
        </w:rPr>
      </w:pPr>
    </w:p>
    <w:p w14:paraId="21E6F87B" w14:textId="77777777" w:rsidR="00E662EE" w:rsidRPr="00E74062" w:rsidRDefault="00E662EE" w:rsidP="00E74062">
      <w:pPr>
        <w:rPr>
          <w:rFonts w:eastAsia="MS Mincho" w:cs="Tahoma"/>
        </w:rPr>
      </w:pPr>
      <w:r w:rsidRPr="00E74062">
        <w:rPr>
          <w:rFonts w:eastAsia="MS Mincho" w:cs="Tahoma"/>
        </w:rPr>
        <w:t xml:space="preserve">Ahora bien, el </w:t>
      </w:r>
      <w:r w:rsidRPr="00E74062">
        <w:rPr>
          <w:rFonts w:eastAsia="MS Mincho" w:cs="Tahoma"/>
          <w:b/>
        </w:rPr>
        <w:t>Documento de Seguridad</w:t>
      </w:r>
      <w:r w:rsidRPr="00E74062">
        <w:rPr>
          <w:rFonts w:eastAsia="MS Mincho" w:cs="Tahoma"/>
        </w:rPr>
        <w:t xml:space="preserve"> al ser una política para la gestión, soporte y revisión de la seguridad de la información en la organización de los Responsables, es considerada una </w:t>
      </w:r>
      <w:r w:rsidRPr="00E74062">
        <w:rPr>
          <w:rFonts w:eastAsia="MS Mincho" w:cs="Tahoma"/>
        </w:rPr>
        <w:lastRenderedPageBreak/>
        <w:t xml:space="preserve">medida de seguridad de carácter administrativa; por lo cual, </w:t>
      </w:r>
      <w:r w:rsidRPr="00E74062">
        <w:rPr>
          <w:rFonts w:eastAsia="MS Mincho" w:cs="Tahoma"/>
          <w:b/>
        </w:rPr>
        <w:t>esté debe considerarse como información de carácter confidencial, solo en cuanto hace a dichas medidas de seguridad</w:t>
      </w:r>
      <w:r w:rsidRPr="00E74062">
        <w:rPr>
          <w:rFonts w:eastAsia="MS Mincho" w:cs="Tahoma"/>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34D7544F" w14:textId="77777777" w:rsidR="00E662EE" w:rsidRPr="00E74062" w:rsidRDefault="00E662EE" w:rsidP="00E74062">
      <w:pPr>
        <w:rPr>
          <w:rFonts w:eastAsia="MS Mincho" w:cs="Tahoma"/>
        </w:rPr>
      </w:pPr>
    </w:p>
    <w:p w14:paraId="43CA3B6F" w14:textId="77777777" w:rsidR="00E662EE" w:rsidRPr="00E74062" w:rsidRDefault="00E662EE" w:rsidP="00E74062">
      <w:pPr>
        <w:rPr>
          <w:rFonts w:eastAsia="MS Mincho" w:cs="Tahoma"/>
        </w:rPr>
      </w:pPr>
      <w:r w:rsidRPr="00E74062">
        <w:rPr>
          <w:rFonts w:eastAsia="MS Mincho" w:cs="Tahoma"/>
        </w:rPr>
        <w:t xml:space="preserve">En este sentido, la Ley señala puntualmente que el documento de seguridad es una medida de seguridad administrativa de carácter general, ya que este debe incluir todos los sistemas y/o bases de datos personales que poseen los Sujetos Obligados. De igual manera, es preciso mencionar que el Documento de Seguridad 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 </w:t>
      </w:r>
    </w:p>
    <w:p w14:paraId="4056D7E8" w14:textId="77777777" w:rsidR="00E662EE" w:rsidRPr="00E74062" w:rsidRDefault="00E662EE" w:rsidP="00E74062">
      <w:pPr>
        <w:rPr>
          <w:rFonts w:eastAsia="MS Mincho" w:cs="Tahoma"/>
        </w:rPr>
      </w:pPr>
    </w:p>
    <w:p w14:paraId="5EA5BD2A" w14:textId="77777777" w:rsidR="00E662EE" w:rsidRPr="00E74062" w:rsidRDefault="00E662EE" w:rsidP="00E74062">
      <w:pPr>
        <w:rPr>
          <w:rFonts w:eastAsia="MS Mincho" w:cs="Tahoma"/>
        </w:rPr>
      </w:pPr>
      <w:r w:rsidRPr="00E74062">
        <w:rPr>
          <w:rFonts w:eastAsia="MS Mincho" w:cs="Tahoma"/>
        </w:rPr>
        <w:t xml:space="preserve">Debido a lo anterior, es obligación del responsable, encargado, administrador, usuarios, guardar el secreto y sigilo correspondiente, conservando en todo momento la confidencialidad de los procesos, aun después de cumplida la finalidad del tratamiento. Aunado a lo anterior, </w:t>
      </w:r>
      <w:r w:rsidRPr="00E74062">
        <w:rPr>
          <w:rFonts w:eastAsia="MS Mincho" w:cs="Tahoma"/>
        </w:rPr>
        <w:lastRenderedPageBreak/>
        <w:t xml:space="preserve">se establecen mecanismos o controles para que aquellas personas que intervengan en el tratamiento de los datos personales guarden la debida confidencialidad de estos, aun finalizadas sus relaciones con los sujetos obligados, tal como lo enuncia el artículo 40 de la Ley. </w:t>
      </w:r>
    </w:p>
    <w:p w14:paraId="1756E4F4" w14:textId="77777777" w:rsidR="00E662EE" w:rsidRPr="00E74062" w:rsidRDefault="00E662EE" w:rsidP="00E74062">
      <w:pPr>
        <w:rPr>
          <w:rFonts w:eastAsia="MS Mincho" w:cs="Tahoma"/>
        </w:rPr>
      </w:pPr>
    </w:p>
    <w:p w14:paraId="7B9A1F4E" w14:textId="77777777" w:rsidR="00E662EE" w:rsidRPr="00E74062" w:rsidRDefault="00E662EE" w:rsidP="00E74062">
      <w:pPr>
        <w:rPr>
          <w:rFonts w:eastAsia="MS Mincho" w:cs="Tahoma"/>
        </w:rPr>
      </w:pPr>
      <w:r w:rsidRPr="00E74062">
        <w:rPr>
          <w:rFonts w:eastAsia="MS Mincho" w:cs="Tahoma"/>
        </w:rPr>
        <w:t xml:space="preserve">En este orden de ideas, se concluye que la Ley de Protección de Datos Personales en Posesión de Sujetos Obligados del Estado de México y Municipios, </w:t>
      </w:r>
      <w:r w:rsidRPr="00E74062">
        <w:rPr>
          <w:rFonts w:eastAsia="MS Mincho" w:cs="Tahoma"/>
          <w:b/>
        </w:rPr>
        <w:t>determina que el Documento de Seguridad no puede ser entregado de forma íntegra al público en general</w:t>
      </w:r>
      <w:r w:rsidRPr="00E74062">
        <w:rPr>
          <w:rFonts w:eastAsia="MS Mincho" w:cs="Tahoma"/>
        </w:rPr>
        <w:t xml:space="preserve">,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 </w:t>
      </w:r>
    </w:p>
    <w:p w14:paraId="62AFFC27" w14:textId="77777777" w:rsidR="00E662EE" w:rsidRPr="00E74062" w:rsidRDefault="00E662EE" w:rsidP="00E74062">
      <w:pPr>
        <w:rPr>
          <w:rFonts w:eastAsia="MS Mincho" w:cs="Tahoma"/>
        </w:rPr>
      </w:pPr>
    </w:p>
    <w:p w14:paraId="14695816" w14:textId="77777777" w:rsidR="00E662EE" w:rsidRPr="00E74062" w:rsidRDefault="00E662EE" w:rsidP="00E74062">
      <w:pPr>
        <w:rPr>
          <w:rFonts w:eastAsia="MS Mincho" w:cs="Tahoma"/>
        </w:rPr>
      </w:pPr>
      <w:r w:rsidRPr="00E74062">
        <w:rPr>
          <w:rFonts w:eastAsia="MS Mincho" w:cs="Tahoma"/>
        </w:rPr>
        <w:t xml:space="preserve">Abonando a lo anterior, se precisa que en términos del artículo 4 fracciones XXXI, XXXII y XXXIII de la Ley de Protección de Datos Personales en Posesión de Sujetos Obligados del Estado de México y Municipios, </w:t>
      </w:r>
      <w:r w:rsidRPr="00E74062">
        <w:rPr>
          <w:rFonts w:eastAsia="MS Mincho" w:cs="Tahoma"/>
          <w:b/>
        </w:rPr>
        <w:t>las medidas que contiene el Documento de Seguridad</w:t>
      </w:r>
      <w:r w:rsidRPr="00E74062">
        <w:rPr>
          <w:rFonts w:eastAsia="MS Mincho" w:cs="Tahoma"/>
        </w:rPr>
        <w:t xml:space="preserve"> son las siguientes:</w:t>
      </w:r>
    </w:p>
    <w:p w14:paraId="2864F765" w14:textId="77777777" w:rsidR="00E662EE" w:rsidRPr="00E74062" w:rsidRDefault="00E662EE" w:rsidP="00E74062">
      <w:pPr>
        <w:rPr>
          <w:rFonts w:eastAsia="MS Mincho" w:cs="Tahoma"/>
        </w:rPr>
      </w:pPr>
    </w:p>
    <w:p w14:paraId="4473A865" w14:textId="77777777" w:rsidR="00E662EE" w:rsidRPr="00E74062" w:rsidRDefault="00E662EE" w:rsidP="00E74062">
      <w:pPr>
        <w:tabs>
          <w:tab w:val="left" w:pos="851"/>
        </w:tabs>
        <w:spacing w:line="240" w:lineRule="auto"/>
        <w:ind w:left="851" w:right="899"/>
        <w:rPr>
          <w:i/>
          <w:lang w:val="es-ES"/>
        </w:rPr>
      </w:pPr>
      <w:r w:rsidRPr="00E74062">
        <w:rPr>
          <w:i/>
          <w:lang w:val="es-ES"/>
        </w:rPr>
        <w:t>"</w:t>
      </w:r>
      <w:r w:rsidRPr="00E74062">
        <w:rPr>
          <w:b/>
          <w:i/>
          <w:lang w:val="es-ES"/>
        </w:rPr>
        <w:t>Artículo 4</w:t>
      </w:r>
      <w:r w:rsidRPr="00E74062">
        <w:rPr>
          <w:i/>
          <w:lang w:val="es-ES"/>
        </w:rPr>
        <w:t>. Para los efectos de esta Ley se entenderá por:</w:t>
      </w:r>
    </w:p>
    <w:p w14:paraId="24100834" w14:textId="77777777" w:rsidR="00E662EE" w:rsidRPr="00E74062" w:rsidRDefault="00E662EE" w:rsidP="00E74062">
      <w:pPr>
        <w:tabs>
          <w:tab w:val="left" w:pos="851"/>
        </w:tabs>
        <w:spacing w:line="240" w:lineRule="auto"/>
        <w:ind w:left="851" w:right="899"/>
        <w:rPr>
          <w:i/>
          <w:lang w:val="es-ES"/>
        </w:rPr>
      </w:pPr>
      <w:r w:rsidRPr="00E74062">
        <w:rPr>
          <w:i/>
          <w:lang w:val="es-ES"/>
        </w:rPr>
        <w:t>(…)</w:t>
      </w:r>
    </w:p>
    <w:p w14:paraId="161780BE" w14:textId="77777777" w:rsidR="00E662EE" w:rsidRPr="00E74062" w:rsidRDefault="00E662EE" w:rsidP="00E74062">
      <w:pPr>
        <w:tabs>
          <w:tab w:val="left" w:pos="851"/>
        </w:tabs>
        <w:spacing w:line="240" w:lineRule="auto"/>
        <w:ind w:left="851" w:right="899"/>
        <w:rPr>
          <w:i/>
          <w:lang w:val="es-ES"/>
        </w:rPr>
      </w:pPr>
      <w:r w:rsidRPr="00E74062">
        <w:rPr>
          <w:b/>
          <w:i/>
          <w:lang w:val="es-ES"/>
        </w:rPr>
        <w:t>XXXI</w:t>
      </w:r>
      <w:r w:rsidRPr="00E74062">
        <w:rPr>
          <w:i/>
          <w:lang w:val="es-ES"/>
        </w:rPr>
        <w:t xml:space="preserve">. </w:t>
      </w:r>
      <w:r w:rsidRPr="00E74062">
        <w:rPr>
          <w:b/>
          <w:i/>
          <w:lang w:val="es-ES"/>
        </w:rPr>
        <w:t>Medidas de seguridad administrativas</w:t>
      </w:r>
      <w:r w:rsidRPr="00E74062">
        <w:rPr>
          <w:i/>
          <w:lang w:val="es-ES"/>
        </w:rPr>
        <w:t xml:space="preserve">: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14:paraId="1EB2C84D" w14:textId="77777777" w:rsidR="00E662EE" w:rsidRPr="00E74062" w:rsidRDefault="00E662EE" w:rsidP="00E74062">
      <w:pPr>
        <w:tabs>
          <w:tab w:val="left" w:pos="851"/>
        </w:tabs>
        <w:spacing w:line="240" w:lineRule="auto"/>
        <w:ind w:left="851" w:right="899"/>
        <w:rPr>
          <w:i/>
          <w:lang w:val="es-ES"/>
        </w:rPr>
      </w:pPr>
      <w:r w:rsidRPr="00E74062">
        <w:rPr>
          <w:b/>
          <w:i/>
          <w:lang w:val="es-ES"/>
        </w:rPr>
        <w:lastRenderedPageBreak/>
        <w:t>XXXII</w:t>
      </w:r>
      <w:r w:rsidRPr="00E74062">
        <w:rPr>
          <w:i/>
          <w:lang w:val="es-ES"/>
        </w:rPr>
        <w:t xml:space="preserve">. </w:t>
      </w:r>
      <w:r w:rsidRPr="00E74062">
        <w:rPr>
          <w:b/>
          <w:i/>
          <w:lang w:val="es-ES"/>
        </w:rPr>
        <w:t>Medidas de seguridad físicas</w:t>
      </w:r>
      <w:r w:rsidRPr="00E74062">
        <w:rPr>
          <w:i/>
          <w:lang w:val="es-ES"/>
        </w:rPr>
        <w:t xml:space="preserve">: a las acciones y mecanismos para proteger el entorno físico de los datos personales y de los recursos involucrados en su tratamiento. De manera enunciativa más no limitativa, se considerarán las actividades siguientes: </w:t>
      </w:r>
    </w:p>
    <w:p w14:paraId="4BBAEC31" w14:textId="77777777" w:rsidR="00E662EE" w:rsidRPr="00E74062" w:rsidRDefault="00E662EE" w:rsidP="00E74062">
      <w:pPr>
        <w:tabs>
          <w:tab w:val="left" w:pos="851"/>
        </w:tabs>
        <w:spacing w:line="240" w:lineRule="auto"/>
        <w:ind w:left="851" w:right="899"/>
        <w:rPr>
          <w:i/>
          <w:lang w:val="es-ES"/>
        </w:rPr>
      </w:pPr>
    </w:p>
    <w:p w14:paraId="5D03F2CF" w14:textId="77777777" w:rsidR="00E662EE" w:rsidRPr="00E74062" w:rsidRDefault="00E662EE" w:rsidP="00E74062">
      <w:pPr>
        <w:tabs>
          <w:tab w:val="left" w:pos="851"/>
        </w:tabs>
        <w:spacing w:line="240" w:lineRule="auto"/>
        <w:ind w:left="851" w:right="899"/>
        <w:rPr>
          <w:i/>
          <w:lang w:val="es-ES"/>
        </w:rPr>
      </w:pPr>
      <w:r w:rsidRPr="00E74062">
        <w:rPr>
          <w:i/>
          <w:lang w:val="es-ES"/>
        </w:rPr>
        <w:t>a) Prevenir el acceso no autorizado al perímetro de la organización, sus instalaciones físicas, áreas críticas, recursos e información</w:t>
      </w:r>
    </w:p>
    <w:p w14:paraId="7B86D553"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b) Prevenir el daño o interferencia a las instalaciones físicas, áreas críticas de la organización, recursos e información. </w:t>
      </w:r>
    </w:p>
    <w:p w14:paraId="7EB2C117"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c) Proteger los recursos móviles, portátiles y cualquier soporte físico o electrónico que pueda salir de la organización. </w:t>
      </w:r>
    </w:p>
    <w:p w14:paraId="2AA69DF2"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d) Proveer a los equipos que contienen o almacenan datos personales de un mantenimiento eficaz que asegure su disponibilidad e integridad. </w:t>
      </w:r>
    </w:p>
    <w:p w14:paraId="550619DD" w14:textId="77777777" w:rsidR="00E662EE" w:rsidRPr="00E74062" w:rsidRDefault="00E662EE" w:rsidP="00E74062">
      <w:pPr>
        <w:tabs>
          <w:tab w:val="left" w:pos="851"/>
        </w:tabs>
        <w:spacing w:line="240" w:lineRule="auto"/>
        <w:ind w:left="851" w:right="899"/>
        <w:rPr>
          <w:i/>
          <w:lang w:val="es-ES"/>
        </w:rPr>
      </w:pPr>
    </w:p>
    <w:p w14:paraId="661B2207" w14:textId="77777777" w:rsidR="00E662EE" w:rsidRPr="00E74062" w:rsidRDefault="00E662EE" w:rsidP="00E74062">
      <w:pPr>
        <w:tabs>
          <w:tab w:val="left" w:pos="851"/>
        </w:tabs>
        <w:spacing w:line="240" w:lineRule="auto"/>
        <w:ind w:left="851" w:right="899"/>
        <w:rPr>
          <w:i/>
          <w:lang w:val="es-ES"/>
        </w:rPr>
      </w:pPr>
      <w:r w:rsidRPr="00E74062">
        <w:rPr>
          <w:b/>
          <w:i/>
          <w:lang w:val="es-ES"/>
        </w:rPr>
        <w:t>XXXIII, Medidas de seguridad técnicas:</w:t>
      </w:r>
      <w:r w:rsidRPr="00E74062">
        <w:rPr>
          <w:i/>
          <w:lang w:val="es-ES"/>
        </w:rPr>
        <w:t xml:space="preserve">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 </w:t>
      </w:r>
    </w:p>
    <w:p w14:paraId="39F55237"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a) Prevenir que el acceso a los sistemas y bases de datos o a la información, así como a los recursos, sea por usuarios identificados y autorizados. </w:t>
      </w:r>
    </w:p>
    <w:p w14:paraId="135FE27F"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b) Generar un esquema de privilegios para que el usuario lleve a cabo las actividades que requiere con motivo de sus funciones. </w:t>
      </w:r>
    </w:p>
    <w:p w14:paraId="6080E5CC"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c) Revisar la configuración de seguridad en la adquisición, operación, desarrollo y mantenimiento del software y hardware. </w:t>
      </w:r>
    </w:p>
    <w:p w14:paraId="4BFC9DC6"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d) Gestionar las comunicaciones, operaciones y medios de almacenamiento de los recursos informáticos en el tratamiento de datos personales.” </w:t>
      </w:r>
    </w:p>
    <w:p w14:paraId="353D8687" w14:textId="77777777" w:rsidR="00E662EE" w:rsidRPr="00E74062" w:rsidRDefault="00E662EE" w:rsidP="00E74062">
      <w:pPr>
        <w:rPr>
          <w:i/>
          <w:lang w:val="es-ES"/>
        </w:rPr>
      </w:pPr>
    </w:p>
    <w:p w14:paraId="145EBB78" w14:textId="77777777" w:rsidR="00E662EE" w:rsidRPr="00E74062" w:rsidRDefault="00E662EE" w:rsidP="00E74062">
      <w:pPr>
        <w:rPr>
          <w:rFonts w:eastAsia="Calibri" w:cs="Arial"/>
        </w:rPr>
      </w:pPr>
      <w:r w:rsidRPr="00E74062">
        <w:rPr>
          <w:rFonts w:eastAsia="Calibri" w:cs="Arial"/>
        </w:rPr>
        <w:t>Por todo lo antes expuesto, resulta oportuno describir los elementos mínimos contenidos en el documento de seguridad, establecidos en el artículo 49 de la Ley, que se mencionan a continuación:</w:t>
      </w:r>
    </w:p>
    <w:p w14:paraId="114A9694" w14:textId="77777777" w:rsidR="00E662EE" w:rsidRPr="00E74062" w:rsidRDefault="00E662EE" w:rsidP="00E74062">
      <w:pPr>
        <w:rPr>
          <w:i/>
          <w:lang w:val="es-ES"/>
        </w:rPr>
      </w:pPr>
    </w:p>
    <w:p w14:paraId="757F7724" w14:textId="77777777" w:rsidR="00E662EE" w:rsidRPr="00E74062" w:rsidRDefault="00E662EE" w:rsidP="00E74062">
      <w:pPr>
        <w:tabs>
          <w:tab w:val="left" w:pos="851"/>
        </w:tabs>
        <w:spacing w:line="240" w:lineRule="auto"/>
        <w:ind w:left="851" w:right="899"/>
        <w:rPr>
          <w:i/>
          <w:lang w:val="es-ES"/>
        </w:rPr>
      </w:pPr>
      <w:r w:rsidRPr="00E74062">
        <w:rPr>
          <w:i/>
          <w:lang w:val="es-ES"/>
        </w:rPr>
        <w:t>"</w:t>
      </w:r>
      <w:r w:rsidRPr="00E74062">
        <w:rPr>
          <w:b/>
          <w:i/>
          <w:lang w:val="es-ES"/>
        </w:rPr>
        <w:t>Artículo 49.</w:t>
      </w:r>
      <w:r w:rsidRPr="00E74062">
        <w:rPr>
          <w:i/>
          <w:lang w:val="es-ES"/>
        </w:rPr>
        <w:t xml:space="preserve"> El documento de seguridad deberá contener como mínimo lo siguiente: </w:t>
      </w:r>
    </w:p>
    <w:p w14:paraId="360A95F1" w14:textId="77777777" w:rsidR="00E662EE" w:rsidRPr="00E74062" w:rsidRDefault="00E662EE" w:rsidP="00E74062">
      <w:pPr>
        <w:tabs>
          <w:tab w:val="left" w:pos="851"/>
        </w:tabs>
        <w:spacing w:line="240" w:lineRule="auto"/>
        <w:ind w:left="851" w:right="899"/>
        <w:rPr>
          <w:i/>
          <w:lang w:val="es-ES"/>
        </w:rPr>
      </w:pPr>
    </w:p>
    <w:p w14:paraId="4F270DC0"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I. Respecto de los sistemas de datos personales: </w:t>
      </w:r>
    </w:p>
    <w:p w14:paraId="2847585E"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a) El nombre. </w:t>
      </w:r>
    </w:p>
    <w:p w14:paraId="5415CAEA"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b) El nombre, cargo y adscripción del administrador de cada sistema y base de datos. </w:t>
      </w:r>
    </w:p>
    <w:p w14:paraId="631658C2"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c) Las funciones y obligaciones del responsable, encargado o encargados y todas las personas que traten datos personales. </w:t>
      </w:r>
    </w:p>
    <w:p w14:paraId="6B57FDF0"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d) El folio del registro del sistema y base de datos. </w:t>
      </w:r>
    </w:p>
    <w:p w14:paraId="29B5DCDF"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e) El inventario o la especificación detallada del tipo de datos personales contenidos. </w:t>
      </w:r>
    </w:p>
    <w:p w14:paraId="40E71414"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f) La estructura y descripción de los sistemas y bases de datos personales, lo cual consiste en precisar y describir el tipo de soporte, así como las características del lugar donde se resguardan. </w:t>
      </w:r>
    </w:p>
    <w:p w14:paraId="7BFA1E86" w14:textId="77777777" w:rsidR="00E662EE" w:rsidRPr="00E74062" w:rsidRDefault="00E662EE" w:rsidP="00E74062">
      <w:pPr>
        <w:tabs>
          <w:tab w:val="left" w:pos="851"/>
        </w:tabs>
        <w:spacing w:line="240" w:lineRule="auto"/>
        <w:ind w:left="851" w:right="899"/>
        <w:rPr>
          <w:i/>
          <w:lang w:val="es-ES"/>
        </w:rPr>
      </w:pPr>
    </w:p>
    <w:p w14:paraId="45720406"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II. Respecto de las medidas de seguridad implementadas deberá incluir lo siguiente: </w:t>
      </w:r>
    </w:p>
    <w:p w14:paraId="42113212"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a) Transferencia y remisiones. </w:t>
      </w:r>
    </w:p>
    <w:p w14:paraId="28BAB8DA"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b) Resguardo de soportes físicos y electrónicos. </w:t>
      </w:r>
    </w:p>
    <w:p w14:paraId="1E5254A5" w14:textId="77777777" w:rsidR="00E662EE" w:rsidRPr="00E74062" w:rsidRDefault="00E662EE" w:rsidP="00E74062">
      <w:pPr>
        <w:tabs>
          <w:tab w:val="left" w:pos="851"/>
        </w:tabs>
        <w:spacing w:line="240" w:lineRule="auto"/>
        <w:ind w:left="851" w:right="899"/>
        <w:rPr>
          <w:i/>
          <w:lang w:val="es-ES"/>
        </w:rPr>
      </w:pPr>
      <w:r w:rsidRPr="00E74062">
        <w:rPr>
          <w:i/>
          <w:lang w:val="es-ES"/>
        </w:rPr>
        <w:t>c) Bitácoras para accesos, operación cotidiana y violaciones a la seguridad de los datos personales.</w:t>
      </w:r>
    </w:p>
    <w:p w14:paraId="5786026D"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d) El análisis de riesgos. </w:t>
      </w:r>
    </w:p>
    <w:p w14:paraId="4B17EA30"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e) El análisis de brecha. </w:t>
      </w:r>
    </w:p>
    <w:p w14:paraId="6F7FFE10"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f) Gestión de incidentes. </w:t>
      </w:r>
    </w:p>
    <w:p w14:paraId="1C42A8B8"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g) Acceso a las instalaciones. </w:t>
      </w:r>
    </w:p>
    <w:p w14:paraId="444F6CE4"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h) Identificación y autenticación. </w:t>
      </w:r>
    </w:p>
    <w:p w14:paraId="36113CB2"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i) Procedimientos de respaldo y recuperación de datos. </w:t>
      </w:r>
    </w:p>
    <w:p w14:paraId="4E5258A6"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j) Plan de contingencia. </w:t>
      </w:r>
    </w:p>
    <w:p w14:paraId="481FA5EE"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k) Auditorías. </w:t>
      </w:r>
    </w:p>
    <w:p w14:paraId="012D7C33"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l) Supresión y borrado seguro de datos. </w:t>
      </w:r>
    </w:p>
    <w:p w14:paraId="490250BF"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m) El plan de trabajo. </w:t>
      </w:r>
    </w:p>
    <w:p w14:paraId="78E08D45"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n) Los mecanismos de monitoreo y revisión de las medidas de seguridad. </w:t>
      </w:r>
    </w:p>
    <w:p w14:paraId="59988C39" w14:textId="77777777" w:rsidR="00E662EE" w:rsidRPr="00E74062" w:rsidRDefault="00E662EE" w:rsidP="00E74062">
      <w:pPr>
        <w:tabs>
          <w:tab w:val="left" w:pos="851"/>
        </w:tabs>
        <w:spacing w:line="240" w:lineRule="auto"/>
        <w:ind w:left="851" w:right="899"/>
        <w:rPr>
          <w:i/>
          <w:lang w:val="es-ES"/>
        </w:rPr>
      </w:pPr>
      <w:r w:rsidRPr="00E74062">
        <w:rPr>
          <w:i/>
          <w:lang w:val="es-ES"/>
        </w:rPr>
        <w:t xml:space="preserve">o) El programa general de capacitación." </w:t>
      </w:r>
    </w:p>
    <w:p w14:paraId="4C483FCC" w14:textId="77777777" w:rsidR="00E662EE" w:rsidRPr="00E74062" w:rsidRDefault="00E662EE" w:rsidP="00E74062">
      <w:pPr>
        <w:tabs>
          <w:tab w:val="left" w:pos="851"/>
        </w:tabs>
        <w:ind w:right="1134"/>
        <w:rPr>
          <w:i/>
          <w:lang w:val="es-ES"/>
        </w:rPr>
      </w:pPr>
    </w:p>
    <w:p w14:paraId="0AC44DD4" w14:textId="77777777" w:rsidR="00E662EE" w:rsidRPr="00E74062" w:rsidRDefault="00E662EE" w:rsidP="00E74062">
      <w:pPr>
        <w:rPr>
          <w:rFonts w:eastAsia="MS Mincho" w:cs="Tahoma"/>
        </w:rPr>
      </w:pPr>
      <w:r w:rsidRPr="00E74062">
        <w:rPr>
          <w:rFonts w:eastAsia="MS Mincho" w:cs="Tahoma"/>
        </w:rPr>
        <w:t xml:space="preserve">En consecuencia, si bien es cierto que, el marco normativo señala que 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w:t>
      </w:r>
      <w:r w:rsidRPr="00E74062">
        <w:rPr>
          <w:rFonts w:eastAsia="MS Mincho" w:cs="Tahoma"/>
        </w:rPr>
        <w:lastRenderedPageBreak/>
        <w:t>personales, también lo es que contiene datos que son susceptibles de ser entregados, previa elaboración de la versión pública, los cuales de manera enunciativa mas no limitativa son el nombre, cargo y adscripción del administrador de cada sistema y base de datos, las funciones y obligaciones del responsable, encargado o encargados y todas las personas que traten datos personales, así como el folio del registro del sistema y la estructura y descripción de los sistemas y bases de datos personales.</w:t>
      </w:r>
    </w:p>
    <w:p w14:paraId="27EA73E4" w14:textId="77777777" w:rsidR="00E662EE" w:rsidRPr="00E74062" w:rsidRDefault="00E662EE" w:rsidP="00E74062">
      <w:pPr>
        <w:rPr>
          <w:i/>
          <w:lang w:val="es-ES"/>
        </w:rPr>
      </w:pPr>
    </w:p>
    <w:p w14:paraId="686CBC4E" w14:textId="77777777" w:rsidR="00E662EE" w:rsidRPr="00E74062" w:rsidRDefault="00E662EE" w:rsidP="00E74062">
      <w:pPr>
        <w:rPr>
          <w:rFonts w:eastAsia="Calibri" w:cs="Arial"/>
        </w:rPr>
      </w:pPr>
      <w:r w:rsidRPr="00E74062">
        <w:rPr>
          <w:rFonts w:eastAsia="Calibri" w:cs="Arial"/>
        </w:rPr>
        <w:t xml:space="preserve">Es así que, no debe perderse de vista </w:t>
      </w:r>
      <w:r w:rsidRPr="00E74062">
        <w:rPr>
          <w:rFonts w:cs="Arial"/>
        </w:rPr>
        <w:t xml:space="preserve">el contenido del artículo 137 de la Ley de Transparencia y Acceso a la Información Pública del Estado de México y Municipios, el cual dispone que cuando los documentos contengan información considera como confidencial, la Unidad de Transparencia para efectos de atender una solicitud de información, </w:t>
      </w:r>
      <w:r w:rsidRPr="00E74062">
        <w:rPr>
          <w:rFonts w:cs="Arial"/>
          <w:b/>
        </w:rPr>
        <w:t>permite la elaboración de versiones públicas</w:t>
      </w:r>
      <w:r w:rsidRPr="00E74062">
        <w:rPr>
          <w:rFonts w:cs="Arial"/>
        </w:rPr>
        <w:t xml:space="preserve"> en las que se suprima aquella información </w:t>
      </w:r>
      <w:r w:rsidRPr="00E74062">
        <w:rPr>
          <w:rFonts w:cs="Arial"/>
          <w:lang w:val="es-ES_tradnl"/>
        </w:rPr>
        <w:t xml:space="preserve">susceptible de clasificarse, </w:t>
      </w:r>
      <w:r w:rsidRPr="00E74062">
        <w:rPr>
          <w:rFonts w:cs="Arial"/>
        </w:rPr>
        <w:t>acompañada del Acuerdo respectivo del Comité de Transparencia</w:t>
      </w:r>
    </w:p>
    <w:p w14:paraId="2E80EB4E" w14:textId="77777777" w:rsidR="00E662EE" w:rsidRPr="00E74062" w:rsidRDefault="00E662EE" w:rsidP="00E74062">
      <w:pPr>
        <w:rPr>
          <w:rFonts w:eastAsia="Calibri" w:cs="Arial"/>
        </w:rPr>
      </w:pPr>
    </w:p>
    <w:p w14:paraId="22CFE98D" w14:textId="77777777" w:rsidR="00B421CC" w:rsidRPr="00E74062" w:rsidRDefault="00E662EE" w:rsidP="00E74062">
      <w:pPr>
        <w:tabs>
          <w:tab w:val="left" w:pos="4962"/>
        </w:tabs>
      </w:pPr>
      <w:r w:rsidRPr="00E74062">
        <w:rPr>
          <w:rFonts w:eastAsiaTheme="minorEastAsia" w:cs="Arial"/>
          <w:lang w:val="es-ES_tradnl"/>
        </w:rPr>
        <w:t xml:space="preserve">Por ende, </w:t>
      </w:r>
      <w:r w:rsidRPr="00E74062">
        <w:rPr>
          <w:rFonts w:eastAsiaTheme="minorEastAsia" w:cs="Arial"/>
          <w:b/>
          <w:lang w:val="es-ES_tradnl"/>
        </w:rPr>
        <w:t>EL SUJETO OBLIGADO</w:t>
      </w:r>
      <w:r w:rsidRPr="00E74062">
        <w:rPr>
          <w:rFonts w:eastAsiaTheme="minorEastAsia" w:cs="Arial"/>
          <w:lang w:val="es-ES_tradnl"/>
        </w:rPr>
        <w:t xml:space="preserve"> debe hacer entrega de los </w:t>
      </w:r>
      <w:r w:rsidRPr="00E74062">
        <w:t>documentos de seguridad de la administración 2022-2024 y los actuales</w:t>
      </w:r>
      <w:r w:rsidRPr="00E74062">
        <w:rPr>
          <w:rFonts w:eastAsiaTheme="minorEastAsia" w:cs="Arial"/>
          <w:lang w:val="es-ES_tradnl"/>
        </w:rPr>
        <w:t>, debiendo testar todos los datos considerados confidenciales, sin pasar por alto que la clasificación respectiva tiene que cumplirse a través de la forma y formalidades que la Ley impone.</w:t>
      </w:r>
    </w:p>
    <w:p w14:paraId="1D3F9460" w14:textId="77777777" w:rsidR="00E662EE" w:rsidRPr="00E74062" w:rsidRDefault="00E662EE" w:rsidP="00E74062">
      <w:pPr>
        <w:tabs>
          <w:tab w:val="left" w:pos="4962"/>
        </w:tabs>
      </w:pPr>
    </w:p>
    <w:p w14:paraId="2B2BEBA9" w14:textId="77777777" w:rsidR="00B421CC" w:rsidRPr="00E74062" w:rsidRDefault="00392087" w:rsidP="00E74062">
      <w:pPr>
        <w:pStyle w:val="Ttulo3"/>
        <w:tabs>
          <w:tab w:val="left" w:pos="4253"/>
        </w:tabs>
        <w:spacing w:line="360" w:lineRule="auto"/>
      </w:pPr>
      <w:bookmarkStart w:id="36" w:name="_Toc203629383"/>
      <w:r w:rsidRPr="00E74062">
        <w:t>d) Versión pública</w:t>
      </w:r>
      <w:bookmarkEnd w:id="36"/>
    </w:p>
    <w:p w14:paraId="4EFC827E" w14:textId="77777777" w:rsidR="00B421CC" w:rsidRPr="00E74062" w:rsidRDefault="00392087" w:rsidP="00E74062">
      <w:r w:rsidRPr="00E74062">
        <w:t xml:space="preserve">Para el caso de que el o los documentos de los cuales se ordena su entrega contengan datos personales susceptibles de ser testados, deberán ser entregados en </w:t>
      </w:r>
      <w:r w:rsidRPr="00E74062">
        <w:rPr>
          <w:b/>
        </w:rPr>
        <w:t>versión pública</w:t>
      </w:r>
      <w:r w:rsidRPr="00E74062">
        <w:t xml:space="preserve">, pues el derecho de acceso a la información tiene como limitante el respeto a la intimidad y a la vida privada de las personas, es por ello que este Instituto debe cuidar que los datos personales </w:t>
      </w:r>
      <w:r w:rsidRPr="00E74062">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26FC48" w14:textId="77777777" w:rsidR="00B421CC" w:rsidRPr="00E74062" w:rsidRDefault="00B421CC" w:rsidP="00E74062"/>
    <w:p w14:paraId="1AA92E33" w14:textId="77777777" w:rsidR="00B421CC" w:rsidRPr="00E74062" w:rsidRDefault="00392087" w:rsidP="00E74062">
      <w:r w:rsidRPr="00E74062">
        <w:t>A este respecto, los artículos 3, fracciones IX, XX, XXI y XLV; 51 y 52 de la Ley de Transparencia y Acceso a la Información Pública del Estado de México y Municipios establecen:</w:t>
      </w:r>
    </w:p>
    <w:p w14:paraId="675E1E69" w14:textId="77777777" w:rsidR="00B421CC" w:rsidRPr="00E74062" w:rsidRDefault="00B421CC" w:rsidP="00E74062"/>
    <w:p w14:paraId="20C191B7" w14:textId="77777777" w:rsidR="00B421CC" w:rsidRPr="00E74062" w:rsidRDefault="00392087" w:rsidP="00E74062">
      <w:pPr>
        <w:pStyle w:val="Puesto"/>
        <w:ind w:firstLine="567"/>
        <w:rPr>
          <w:color w:val="auto"/>
        </w:rPr>
      </w:pPr>
      <w:r w:rsidRPr="00E74062">
        <w:rPr>
          <w:b/>
          <w:color w:val="auto"/>
        </w:rPr>
        <w:t xml:space="preserve">“Artículo 3. </w:t>
      </w:r>
      <w:r w:rsidRPr="00E74062">
        <w:rPr>
          <w:color w:val="auto"/>
        </w:rPr>
        <w:t xml:space="preserve">Para los efectos de la presente Ley se entenderá por: </w:t>
      </w:r>
    </w:p>
    <w:p w14:paraId="3CFFDEB7" w14:textId="77777777" w:rsidR="00B421CC" w:rsidRPr="00E74062" w:rsidRDefault="00392087" w:rsidP="00E74062">
      <w:pPr>
        <w:pStyle w:val="Puesto"/>
        <w:ind w:firstLine="567"/>
        <w:rPr>
          <w:color w:val="auto"/>
        </w:rPr>
      </w:pPr>
      <w:r w:rsidRPr="00E74062">
        <w:rPr>
          <w:b/>
          <w:color w:val="auto"/>
        </w:rPr>
        <w:t>IX.</w:t>
      </w:r>
      <w:r w:rsidRPr="00E74062">
        <w:rPr>
          <w:color w:val="auto"/>
        </w:rPr>
        <w:t xml:space="preserve"> </w:t>
      </w:r>
      <w:r w:rsidRPr="00E74062">
        <w:rPr>
          <w:b/>
          <w:color w:val="auto"/>
        </w:rPr>
        <w:t xml:space="preserve">Datos personales: </w:t>
      </w:r>
      <w:r w:rsidRPr="00E74062">
        <w:rPr>
          <w:color w:val="auto"/>
        </w:rPr>
        <w:t xml:space="preserve">La información concerniente a una persona, identificada o identificable según lo dispuesto por la Ley de Protección de Datos Personales del Estado de México; </w:t>
      </w:r>
    </w:p>
    <w:p w14:paraId="3F0FE607" w14:textId="77777777" w:rsidR="00B421CC" w:rsidRPr="00E74062" w:rsidRDefault="00B421CC" w:rsidP="00E74062">
      <w:pPr>
        <w:spacing w:line="240" w:lineRule="auto"/>
      </w:pPr>
    </w:p>
    <w:p w14:paraId="5FF86253" w14:textId="77777777" w:rsidR="00B421CC" w:rsidRPr="00E74062" w:rsidRDefault="00392087" w:rsidP="00E74062">
      <w:pPr>
        <w:pStyle w:val="Puesto"/>
        <w:ind w:firstLine="567"/>
        <w:rPr>
          <w:color w:val="auto"/>
        </w:rPr>
      </w:pPr>
      <w:r w:rsidRPr="00E74062">
        <w:rPr>
          <w:b/>
          <w:color w:val="auto"/>
        </w:rPr>
        <w:t>XX.</w:t>
      </w:r>
      <w:r w:rsidRPr="00E74062">
        <w:rPr>
          <w:color w:val="auto"/>
        </w:rPr>
        <w:t xml:space="preserve"> </w:t>
      </w:r>
      <w:r w:rsidRPr="00E74062">
        <w:rPr>
          <w:b/>
          <w:color w:val="auto"/>
        </w:rPr>
        <w:t>Información clasificada:</w:t>
      </w:r>
      <w:r w:rsidRPr="00E74062">
        <w:rPr>
          <w:color w:val="auto"/>
        </w:rPr>
        <w:t xml:space="preserve"> Aquella considerada por la presente Ley como reservada o confidencial; </w:t>
      </w:r>
    </w:p>
    <w:p w14:paraId="56E0E471" w14:textId="77777777" w:rsidR="00B421CC" w:rsidRPr="00E74062" w:rsidRDefault="00B421CC" w:rsidP="00E74062">
      <w:pPr>
        <w:spacing w:line="240" w:lineRule="auto"/>
      </w:pPr>
    </w:p>
    <w:p w14:paraId="0CA8982C" w14:textId="77777777" w:rsidR="00B421CC" w:rsidRPr="00E74062" w:rsidRDefault="00392087" w:rsidP="00E74062">
      <w:pPr>
        <w:pStyle w:val="Puesto"/>
        <w:ind w:firstLine="567"/>
        <w:rPr>
          <w:color w:val="auto"/>
        </w:rPr>
      </w:pPr>
      <w:r w:rsidRPr="00E74062">
        <w:rPr>
          <w:b/>
          <w:color w:val="auto"/>
        </w:rPr>
        <w:t>XXI.</w:t>
      </w:r>
      <w:r w:rsidRPr="00E74062">
        <w:rPr>
          <w:color w:val="auto"/>
        </w:rPr>
        <w:t xml:space="preserve"> </w:t>
      </w:r>
      <w:r w:rsidRPr="00E74062">
        <w:rPr>
          <w:b/>
          <w:color w:val="auto"/>
        </w:rPr>
        <w:t>Información confidencial</w:t>
      </w:r>
      <w:r w:rsidRPr="00E74062">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AE290A6" w14:textId="77777777" w:rsidR="00B421CC" w:rsidRPr="00E74062" w:rsidRDefault="00B421CC" w:rsidP="00E74062">
      <w:pPr>
        <w:spacing w:line="240" w:lineRule="auto"/>
      </w:pPr>
    </w:p>
    <w:p w14:paraId="20D400C8" w14:textId="77777777" w:rsidR="00B421CC" w:rsidRPr="00E74062" w:rsidRDefault="00392087" w:rsidP="00E74062">
      <w:pPr>
        <w:pStyle w:val="Puesto"/>
        <w:ind w:firstLine="567"/>
        <w:rPr>
          <w:color w:val="auto"/>
        </w:rPr>
      </w:pPr>
      <w:r w:rsidRPr="00E74062">
        <w:rPr>
          <w:b/>
          <w:color w:val="auto"/>
        </w:rPr>
        <w:t>XLV. Versión pública:</w:t>
      </w:r>
      <w:r w:rsidRPr="00E74062">
        <w:rPr>
          <w:color w:val="auto"/>
        </w:rPr>
        <w:t xml:space="preserve"> Documento en el que se elimine, suprime o borra la información clasificada como reservada o confidencial para permitir su acceso. </w:t>
      </w:r>
    </w:p>
    <w:p w14:paraId="002EAF48" w14:textId="77777777" w:rsidR="00B421CC" w:rsidRPr="00E74062" w:rsidRDefault="00B421CC" w:rsidP="00E74062">
      <w:pPr>
        <w:spacing w:line="240" w:lineRule="auto"/>
      </w:pPr>
    </w:p>
    <w:p w14:paraId="1A072098" w14:textId="77777777" w:rsidR="00B421CC" w:rsidRPr="00E74062" w:rsidRDefault="00392087" w:rsidP="00E74062">
      <w:pPr>
        <w:pStyle w:val="Puesto"/>
        <w:ind w:firstLine="567"/>
        <w:rPr>
          <w:color w:val="auto"/>
        </w:rPr>
      </w:pPr>
      <w:r w:rsidRPr="00E74062">
        <w:rPr>
          <w:b/>
          <w:color w:val="auto"/>
        </w:rPr>
        <w:t>Artículo 51.</w:t>
      </w:r>
      <w:r w:rsidRPr="00E74062">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74062">
        <w:rPr>
          <w:b/>
          <w:color w:val="auto"/>
        </w:rPr>
        <w:t xml:space="preserve">y tendrá la responsabilidad de verificar en cada caso que la misma no sea confidencial o reservada. </w:t>
      </w:r>
      <w:r w:rsidRPr="00E74062">
        <w:rPr>
          <w:color w:val="auto"/>
        </w:rPr>
        <w:t xml:space="preserve">Dicha Unidad contará con las facultades internas necesarias para gestionar la </w:t>
      </w:r>
      <w:r w:rsidRPr="00E74062">
        <w:rPr>
          <w:color w:val="auto"/>
        </w:rPr>
        <w:lastRenderedPageBreak/>
        <w:t>atención a las solicitudes de información en los términos de la Ley General y la presente Ley.</w:t>
      </w:r>
    </w:p>
    <w:p w14:paraId="1E7A2CFB" w14:textId="77777777" w:rsidR="00B421CC" w:rsidRPr="00E74062" w:rsidRDefault="00B421CC" w:rsidP="00E74062">
      <w:pPr>
        <w:spacing w:line="240" w:lineRule="auto"/>
      </w:pPr>
    </w:p>
    <w:p w14:paraId="501C5F26" w14:textId="77777777" w:rsidR="00B421CC" w:rsidRPr="00E74062" w:rsidRDefault="00392087" w:rsidP="00E74062">
      <w:pPr>
        <w:pStyle w:val="Puesto"/>
        <w:ind w:firstLine="567"/>
        <w:rPr>
          <w:color w:val="auto"/>
        </w:rPr>
      </w:pPr>
      <w:r w:rsidRPr="00E74062">
        <w:rPr>
          <w:b/>
          <w:color w:val="auto"/>
        </w:rPr>
        <w:t>Artículo 52.</w:t>
      </w:r>
      <w:r w:rsidRPr="00E74062">
        <w:rPr>
          <w:color w:val="auto"/>
        </w:rPr>
        <w:t xml:space="preserve"> Las solicitudes de acceso a la información y las respuestas que se les dé, incluyendo, en su caso, </w:t>
      </w:r>
      <w:r w:rsidRPr="00E74062">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E74062">
        <w:rPr>
          <w:color w:val="auto"/>
        </w:rPr>
        <w:t xml:space="preserve">, siempre y cuando la resolución de referencia se someta a un proceso de disociación, es decir, no haga identificable al titular de tales datos personales.” </w:t>
      </w:r>
      <w:r w:rsidRPr="00E74062">
        <w:rPr>
          <w:i w:val="0"/>
          <w:color w:val="auto"/>
        </w:rPr>
        <w:t>(Énfasis añadido)</w:t>
      </w:r>
    </w:p>
    <w:p w14:paraId="6B7B092C" w14:textId="77777777" w:rsidR="00B421CC" w:rsidRPr="00E74062" w:rsidRDefault="00B421CC" w:rsidP="00E74062"/>
    <w:p w14:paraId="6A1BCB0D" w14:textId="77777777" w:rsidR="00B421CC" w:rsidRPr="00E74062" w:rsidRDefault="00392087" w:rsidP="00E74062">
      <w:r w:rsidRPr="00E7406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749AB7B" w14:textId="77777777" w:rsidR="00B421CC" w:rsidRPr="00E74062" w:rsidRDefault="00B421CC" w:rsidP="00E74062"/>
    <w:p w14:paraId="70446DE4" w14:textId="77777777" w:rsidR="00B421CC" w:rsidRPr="00E74062" w:rsidRDefault="00392087" w:rsidP="00E74062">
      <w:pPr>
        <w:pStyle w:val="Puesto"/>
        <w:ind w:firstLine="567"/>
        <w:rPr>
          <w:color w:val="auto"/>
        </w:rPr>
      </w:pPr>
      <w:r w:rsidRPr="00E74062">
        <w:rPr>
          <w:b/>
          <w:color w:val="auto"/>
        </w:rPr>
        <w:t>“Artículo 22.</w:t>
      </w:r>
      <w:r w:rsidRPr="00E74062">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0C38A65D" w14:textId="77777777" w:rsidR="00B421CC" w:rsidRPr="00E74062" w:rsidRDefault="00B421CC" w:rsidP="00E74062">
      <w:pPr>
        <w:spacing w:line="240" w:lineRule="auto"/>
      </w:pPr>
    </w:p>
    <w:p w14:paraId="7452EBDD" w14:textId="77777777" w:rsidR="00B421CC" w:rsidRPr="00E74062" w:rsidRDefault="00392087" w:rsidP="00E74062">
      <w:pPr>
        <w:pStyle w:val="Puesto"/>
        <w:ind w:firstLine="567"/>
        <w:rPr>
          <w:color w:val="auto"/>
        </w:rPr>
      </w:pPr>
      <w:r w:rsidRPr="00E74062">
        <w:rPr>
          <w:b/>
          <w:color w:val="auto"/>
        </w:rPr>
        <w:t>Artículo 38.</w:t>
      </w:r>
      <w:r w:rsidRPr="00E74062">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74062">
        <w:rPr>
          <w:b/>
          <w:color w:val="auto"/>
        </w:rPr>
        <w:t>”</w:t>
      </w:r>
      <w:r w:rsidRPr="00E74062">
        <w:rPr>
          <w:color w:val="auto"/>
        </w:rPr>
        <w:t xml:space="preserve"> </w:t>
      </w:r>
    </w:p>
    <w:p w14:paraId="2C2F7253" w14:textId="77777777" w:rsidR="00B421CC" w:rsidRPr="00E74062" w:rsidRDefault="00B421CC" w:rsidP="00E74062">
      <w:pPr>
        <w:rPr>
          <w:i/>
        </w:rPr>
      </w:pPr>
    </w:p>
    <w:p w14:paraId="3341A981" w14:textId="77777777" w:rsidR="00B421CC" w:rsidRPr="00E74062" w:rsidRDefault="00392087" w:rsidP="00E74062">
      <w:r w:rsidRPr="00E74062">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07B0C" w14:textId="77777777" w:rsidR="00B421CC" w:rsidRPr="00E74062" w:rsidRDefault="00B421CC" w:rsidP="00E74062"/>
    <w:p w14:paraId="084D7C9D" w14:textId="77777777" w:rsidR="00B421CC" w:rsidRPr="00E74062" w:rsidRDefault="00392087" w:rsidP="00E74062">
      <w:r w:rsidRPr="00E7406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74062">
        <w:rPr>
          <w:b/>
        </w:rPr>
        <w:t>EL SUJETO OBLIGADO,</w:t>
      </w:r>
      <w:r w:rsidRPr="00E74062">
        <w:t xml:space="preserve"> por lo que, todo dato personal susceptible de clasificación debe ser protegido.</w:t>
      </w:r>
    </w:p>
    <w:p w14:paraId="1FB25340" w14:textId="77777777" w:rsidR="00B421CC" w:rsidRPr="00E74062" w:rsidRDefault="00B421CC" w:rsidP="00E74062"/>
    <w:p w14:paraId="17308B47" w14:textId="77777777" w:rsidR="00B421CC" w:rsidRPr="00E74062" w:rsidRDefault="00392087" w:rsidP="00E74062">
      <w:r w:rsidRPr="00E74062">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C5BF225" w14:textId="77777777" w:rsidR="00B421CC" w:rsidRPr="00E74062" w:rsidRDefault="00B421CC" w:rsidP="00E74062"/>
    <w:p w14:paraId="2E6536A1" w14:textId="77777777" w:rsidR="00B421CC" w:rsidRPr="00E74062" w:rsidRDefault="00392087" w:rsidP="00E74062">
      <w:r w:rsidRPr="00E74062">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E74062">
        <w:lastRenderedPageBreak/>
        <w:t>Desclasificación de la Información, así como para la elaboración de Versiones Públicas, que literalmente expresan:</w:t>
      </w:r>
    </w:p>
    <w:p w14:paraId="7BED995F" w14:textId="77777777" w:rsidR="00B421CC" w:rsidRPr="00E74062" w:rsidRDefault="00B421CC" w:rsidP="00E74062"/>
    <w:p w14:paraId="6521DE60" w14:textId="77777777" w:rsidR="00B421CC" w:rsidRPr="00E74062" w:rsidRDefault="00392087" w:rsidP="00E74062">
      <w:pPr>
        <w:spacing w:line="240" w:lineRule="auto"/>
        <w:jc w:val="center"/>
        <w:rPr>
          <w:b/>
          <w:i/>
        </w:rPr>
      </w:pPr>
      <w:r w:rsidRPr="00E74062">
        <w:rPr>
          <w:b/>
          <w:i/>
        </w:rPr>
        <w:t>Ley de Transparencia y Acceso a la Información Pública del Estado de México y Municipios</w:t>
      </w:r>
    </w:p>
    <w:p w14:paraId="5F5CF54B" w14:textId="77777777" w:rsidR="00B421CC" w:rsidRPr="00E74062" w:rsidRDefault="00B421CC" w:rsidP="00E74062">
      <w:pPr>
        <w:spacing w:line="240" w:lineRule="auto"/>
      </w:pPr>
    </w:p>
    <w:p w14:paraId="0C3B3815" w14:textId="77777777" w:rsidR="00B421CC" w:rsidRPr="00E74062" w:rsidRDefault="00392087" w:rsidP="00E74062">
      <w:pPr>
        <w:pStyle w:val="Puesto"/>
        <w:ind w:firstLine="567"/>
        <w:rPr>
          <w:color w:val="auto"/>
        </w:rPr>
      </w:pPr>
      <w:r w:rsidRPr="00E74062">
        <w:rPr>
          <w:b/>
          <w:color w:val="auto"/>
        </w:rPr>
        <w:t xml:space="preserve">“Artículo 49. </w:t>
      </w:r>
      <w:r w:rsidRPr="00E74062">
        <w:rPr>
          <w:color w:val="auto"/>
        </w:rPr>
        <w:t>Los Comités de Transparencia tendrán las siguientes atribuciones:</w:t>
      </w:r>
    </w:p>
    <w:p w14:paraId="56E33E71" w14:textId="77777777" w:rsidR="00B421CC" w:rsidRPr="00E74062" w:rsidRDefault="00392087" w:rsidP="00E74062">
      <w:pPr>
        <w:pStyle w:val="Puesto"/>
        <w:ind w:firstLine="567"/>
        <w:rPr>
          <w:color w:val="auto"/>
        </w:rPr>
      </w:pPr>
      <w:r w:rsidRPr="00E74062">
        <w:rPr>
          <w:b/>
          <w:color w:val="auto"/>
        </w:rPr>
        <w:t>VIII.</w:t>
      </w:r>
      <w:r w:rsidRPr="00E74062">
        <w:rPr>
          <w:color w:val="auto"/>
        </w:rPr>
        <w:t xml:space="preserve"> Aprobar, modificar o revocar la clasificación de la información;</w:t>
      </w:r>
    </w:p>
    <w:p w14:paraId="66DF5375" w14:textId="77777777" w:rsidR="00B421CC" w:rsidRPr="00E74062" w:rsidRDefault="00B421CC" w:rsidP="00E74062">
      <w:pPr>
        <w:spacing w:line="240" w:lineRule="auto"/>
      </w:pPr>
    </w:p>
    <w:p w14:paraId="2091AA9D" w14:textId="77777777" w:rsidR="00B421CC" w:rsidRPr="00E74062" w:rsidRDefault="00392087" w:rsidP="00E74062">
      <w:pPr>
        <w:pStyle w:val="Puesto"/>
        <w:ind w:firstLine="567"/>
        <w:rPr>
          <w:color w:val="auto"/>
        </w:rPr>
      </w:pPr>
      <w:r w:rsidRPr="00E74062">
        <w:rPr>
          <w:b/>
          <w:color w:val="auto"/>
        </w:rPr>
        <w:t>Artículo 132.</w:t>
      </w:r>
      <w:r w:rsidRPr="00E74062">
        <w:rPr>
          <w:color w:val="auto"/>
        </w:rPr>
        <w:t xml:space="preserve"> La clasificación de la información se llevará a cabo en el momento en que:</w:t>
      </w:r>
    </w:p>
    <w:p w14:paraId="0F4B0D39" w14:textId="77777777" w:rsidR="00B421CC" w:rsidRPr="00E74062" w:rsidRDefault="00392087" w:rsidP="00E74062">
      <w:pPr>
        <w:pStyle w:val="Puesto"/>
        <w:ind w:firstLine="567"/>
        <w:rPr>
          <w:color w:val="auto"/>
        </w:rPr>
      </w:pPr>
      <w:r w:rsidRPr="00E74062">
        <w:rPr>
          <w:b/>
          <w:color w:val="auto"/>
        </w:rPr>
        <w:t>I.</w:t>
      </w:r>
      <w:r w:rsidRPr="00E74062">
        <w:rPr>
          <w:color w:val="auto"/>
        </w:rPr>
        <w:t xml:space="preserve"> Se reciba una solicitud de acceso a la información;</w:t>
      </w:r>
    </w:p>
    <w:p w14:paraId="4D47026C" w14:textId="77777777" w:rsidR="00B421CC" w:rsidRPr="00E74062" w:rsidRDefault="00392087" w:rsidP="00E74062">
      <w:pPr>
        <w:pStyle w:val="Puesto"/>
        <w:ind w:firstLine="567"/>
        <w:rPr>
          <w:color w:val="auto"/>
        </w:rPr>
      </w:pPr>
      <w:r w:rsidRPr="00E74062">
        <w:rPr>
          <w:b/>
          <w:color w:val="auto"/>
        </w:rPr>
        <w:t>II.</w:t>
      </w:r>
      <w:r w:rsidRPr="00E74062">
        <w:rPr>
          <w:color w:val="auto"/>
        </w:rPr>
        <w:t xml:space="preserve"> Se determine mediante resolución de autoridad competente; o</w:t>
      </w:r>
    </w:p>
    <w:p w14:paraId="3834C459" w14:textId="77777777" w:rsidR="00B421CC" w:rsidRPr="00E74062" w:rsidRDefault="00392087" w:rsidP="00E74062">
      <w:pPr>
        <w:pStyle w:val="Puesto"/>
        <w:ind w:firstLine="567"/>
        <w:rPr>
          <w:b/>
          <w:color w:val="auto"/>
        </w:rPr>
      </w:pPr>
      <w:r w:rsidRPr="00E74062">
        <w:rPr>
          <w:b/>
          <w:color w:val="auto"/>
        </w:rPr>
        <w:t>III.</w:t>
      </w:r>
      <w:r w:rsidRPr="00E74062">
        <w:rPr>
          <w:color w:val="auto"/>
        </w:rPr>
        <w:t xml:space="preserve"> Se generen versiones públicas para dar cumplimiento a las obligaciones de transparencia previstas en esta Ley.</w:t>
      </w:r>
      <w:r w:rsidRPr="00E74062">
        <w:rPr>
          <w:b/>
          <w:color w:val="auto"/>
        </w:rPr>
        <w:t>”</w:t>
      </w:r>
    </w:p>
    <w:p w14:paraId="5B5D5F60" w14:textId="77777777" w:rsidR="00B421CC" w:rsidRPr="00E74062" w:rsidRDefault="00B421CC" w:rsidP="00E74062">
      <w:pPr>
        <w:spacing w:line="240" w:lineRule="auto"/>
      </w:pPr>
    </w:p>
    <w:p w14:paraId="2820C5EF" w14:textId="77777777" w:rsidR="00B421CC" w:rsidRPr="00E74062" w:rsidRDefault="00392087" w:rsidP="00E74062">
      <w:pPr>
        <w:pStyle w:val="Puesto"/>
        <w:ind w:firstLine="567"/>
        <w:rPr>
          <w:color w:val="auto"/>
        </w:rPr>
      </w:pPr>
      <w:r w:rsidRPr="00E74062">
        <w:rPr>
          <w:b/>
          <w:color w:val="auto"/>
        </w:rPr>
        <w:t>“Segundo. -</w:t>
      </w:r>
      <w:r w:rsidRPr="00E74062">
        <w:rPr>
          <w:color w:val="auto"/>
        </w:rPr>
        <w:t xml:space="preserve"> Para efectos de los presentes Lineamientos Generales, se entenderá por:</w:t>
      </w:r>
    </w:p>
    <w:p w14:paraId="0C56366C" w14:textId="77777777" w:rsidR="00B421CC" w:rsidRPr="00E74062" w:rsidRDefault="00392087" w:rsidP="00E74062">
      <w:pPr>
        <w:pStyle w:val="Puesto"/>
        <w:ind w:firstLine="567"/>
        <w:rPr>
          <w:color w:val="auto"/>
        </w:rPr>
      </w:pPr>
      <w:r w:rsidRPr="00E74062">
        <w:rPr>
          <w:b/>
          <w:color w:val="auto"/>
        </w:rPr>
        <w:t>XVIII.</w:t>
      </w:r>
      <w:r w:rsidRPr="00E74062">
        <w:rPr>
          <w:color w:val="auto"/>
        </w:rPr>
        <w:t xml:space="preserve">  </w:t>
      </w:r>
      <w:r w:rsidRPr="00E74062">
        <w:rPr>
          <w:b/>
          <w:color w:val="auto"/>
        </w:rPr>
        <w:t>Versión pública:</w:t>
      </w:r>
      <w:r w:rsidRPr="00E74062">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72837B" w14:textId="77777777" w:rsidR="00B421CC" w:rsidRPr="00E74062" w:rsidRDefault="00B421CC" w:rsidP="00E74062">
      <w:pPr>
        <w:pStyle w:val="Puesto"/>
        <w:ind w:firstLine="567"/>
        <w:rPr>
          <w:color w:val="auto"/>
        </w:rPr>
      </w:pPr>
    </w:p>
    <w:p w14:paraId="5E2AF301" w14:textId="77777777" w:rsidR="00B421CC" w:rsidRPr="00E74062" w:rsidRDefault="00392087" w:rsidP="00E74062">
      <w:pPr>
        <w:pStyle w:val="Puesto"/>
        <w:ind w:firstLine="567"/>
        <w:rPr>
          <w:b/>
          <w:color w:val="auto"/>
        </w:rPr>
      </w:pPr>
      <w:r w:rsidRPr="00E74062">
        <w:rPr>
          <w:b/>
          <w:color w:val="auto"/>
        </w:rPr>
        <w:t>Lineamientos Generales en materia de Clasificación y Desclasificación de la Información</w:t>
      </w:r>
    </w:p>
    <w:p w14:paraId="30B947BA" w14:textId="77777777" w:rsidR="00B421CC" w:rsidRPr="00E74062" w:rsidRDefault="00B421CC" w:rsidP="00E74062">
      <w:pPr>
        <w:pStyle w:val="Puesto"/>
        <w:ind w:firstLine="567"/>
        <w:rPr>
          <w:color w:val="auto"/>
        </w:rPr>
      </w:pPr>
    </w:p>
    <w:p w14:paraId="4F0186A8" w14:textId="77777777" w:rsidR="00B421CC" w:rsidRPr="00E74062" w:rsidRDefault="00392087" w:rsidP="00E74062">
      <w:pPr>
        <w:pStyle w:val="Puesto"/>
        <w:ind w:firstLine="567"/>
        <w:rPr>
          <w:color w:val="auto"/>
        </w:rPr>
      </w:pPr>
      <w:r w:rsidRPr="00E74062">
        <w:rPr>
          <w:b/>
          <w:color w:val="auto"/>
        </w:rPr>
        <w:t>Cuarto.</w:t>
      </w:r>
      <w:r w:rsidRPr="00E74062">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97BDF1" w14:textId="77777777" w:rsidR="00B421CC" w:rsidRPr="00E74062" w:rsidRDefault="00392087" w:rsidP="00E74062">
      <w:pPr>
        <w:pStyle w:val="Puesto"/>
        <w:ind w:firstLine="567"/>
        <w:rPr>
          <w:color w:val="auto"/>
        </w:rPr>
      </w:pPr>
      <w:r w:rsidRPr="00E74062">
        <w:rPr>
          <w:color w:val="auto"/>
        </w:rPr>
        <w:t>Los sujetos obligados deberán aplicar, de manera estricta, las excepciones al derecho de acceso a la información y sólo podrán invocarlas cuando acrediten su procedencia.</w:t>
      </w:r>
    </w:p>
    <w:p w14:paraId="405E7109" w14:textId="77777777" w:rsidR="00B421CC" w:rsidRPr="00E74062" w:rsidRDefault="00B421CC" w:rsidP="00E74062">
      <w:pPr>
        <w:spacing w:line="240" w:lineRule="auto"/>
      </w:pPr>
    </w:p>
    <w:p w14:paraId="02233FBD" w14:textId="77777777" w:rsidR="00B421CC" w:rsidRPr="00E74062" w:rsidRDefault="00392087" w:rsidP="00E74062">
      <w:pPr>
        <w:pStyle w:val="Puesto"/>
        <w:ind w:firstLine="567"/>
        <w:rPr>
          <w:color w:val="auto"/>
        </w:rPr>
      </w:pPr>
      <w:r w:rsidRPr="00E74062">
        <w:rPr>
          <w:b/>
          <w:color w:val="auto"/>
        </w:rPr>
        <w:lastRenderedPageBreak/>
        <w:t>Quinto.</w:t>
      </w:r>
      <w:r w:rsidRPr="00E74062">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50E47E" w14:textId="77777777" w:rsidR="00B421CC" w:rsidRPr="00E74062" w:rsidRDefault="00B421CC" w:rsidP="00E74062">
      <w:pPr>
        <w:spacing w:line="240" w:lineRule="auto"/>
      </w:pPr>
    </w:p>
    <w:p w14:paraId="435A7D68" w14:textId="77777777" w:rsidR="00B421CC" w:rsidRPr="00E74062" w:rsidRDefault="00392087" w:rsidP="00E74062">
      <w:pPr>
        <w:pStyle w:val="Puesto"/>
        <w:ind w:firstLine="567"/>
        <w:rPr>
          <w:color w:val="auto"/>
        </w:rPr>
      </w:pPr>
      <w:r w:rsidRPr="00E74062">
        <w:rPr>
          <w:b/>
          <w:color w:val="auto"/>
        </w:rPr>
        <w:t>Sexto.</w:t>
      </w:r>
      <w:r w:rsidRPr="00E74062">
        <w:rPr>
          <w:color w:val="auto"/>
        </w:rPr>
        <w:t xml:space="preserve"> Se deroga.</w:t>
      </w:r>
    </w:p>
    <w:p w14:paraId="0189E224" w14:textId="77777777" w:rsidR="00B421CC" w:rsidRPr="00E74062" w:rsidRDefault="00B421CC" w:rsidP="00E74062">
      <w:pPr>
        <w:spacing w:line="240" w:lineRule="auto"/>
      </w:pPr>
    </w:p>
    <w:p w14:paraId="21B52D03" w14:textId="77777777" w:rsidR="00B421CC" w:rsidRPr="00E74062" w:rsidRDefault="00392087" w:rsidP="00E74062">
      <w:pPr>
        <w:pStyle w:val="Puesto"/>
        <w:ind w:firstLine="567"/>
        <w:rPr>
          <w:color w:val="auto"/>
        </w:rPr>
      </w:pPr>
      <w:r w:rsidRPr="00E74062">
        <w:rPr>
          <w:b/>
          <w:color w:val="auto"/>
        </w:rPr>
        <w:t>Séptimo.</w:t>
      </w:r>
      <w:r w:rsidRPr="00E74062">
        <w:rPr>
          <w:color w:val="auto"/>
        </w:rPr>
        <w:t xml:space="preserve"> La clasificación de la información se llevará a cabo en el momento en que:</w:t>
      </w:r>
    </w:p>
    <w:p w14:paraId="3E8C8CD4" w14:textId="77777777" w:rsidR="00B421CC" w:rsidRPr="00E74062" w:rsidRDefault="00392087" w:rsidP="00E74062">
      <w:pPr>
        <w:pStyle w:val="Puesto"/>
        <w:ind w:firstLine="567"/>
        <w:rPr>
          <w:color w:val="auto"/>
        </w:rPr>
      </w:pPr>
      <w:r w:rsidRPr="00E74062">
        <w:rPr>
          <w:b/>
          <w:color w:val="auto"/>
        </w:rPr>
        <w:t>I.</w:t>
      </w:r>
      <w:r w:rsidRPr="00E74062">
        <w:rPr>
          <w:color w:val="auto"/>
        </w:rPr>
        <w:t xml:space="preserve">        Se reciba una solicitud de acceso a la información;</w:t>
      </w:r>
    </w:p>
    <w:p w14:paraId="310383F6" w14:textId="77777777" w:rsidR="00B421CC" w:rsidRPr="00E74062" w:rsidRDefault="00392087" w:rsidP="00E74062">
      <w:pPr>
        <w:pStyle w:val="Puesto"/>
        <w:ind w:firstLine="567"/>
        <w:rPr>
          <w:color w:val="auto"/>
        </w:rPr>
      </w:pPr>
      <w:r w:rsidRPr="00E74062">
        <w:rPr>
          <w:b/>
          <w:color w:val="auto"/>
        </w:rPr>
        <w:t>II.</w:t>
      </w:r>
      <w:r w:rsidRPr="00E74062">
        <w:rPr>
          <w:color w:val="auto"/>
        </w:rPr>
        <w:t xml:space="preserve">       Se determine mediante resolución del Comité de Transparencia, el órgano garante competente, o en cumplimiento a una sentencia del Poder Judicial; o</w:t>
      </w:r>
    </w:p>
    <w:p w14:paraId="6EEA358D" w14:textId="77777777" w:rsidR="00B421CC" w:rsidRPr="00E74062" w:rsidRDefault="00392087" w:rsidP="00E74062">
      <w:pPr>
        <w:pStyle w:val="Puesto"/>
        <w:ind w:firstLine="567"/>
        <w:rPr>
          <w:color w:val="auto"/>
        </w:rPr>
      </w:pPr>
      <w:r w:rsidRPr="00E74062">
        <w:rPr>
          <w:b/>
          <w:color w:val="auto"/>
        </w:rPr>
        <w:t>III.</w:t>
      </w:r>
      <w:r w:rsidRPr="00E74062">
        <w:rPr>
          <w:color w:val="auto"/>
        </w:rPr>
        <w:t xml:space="preserve">      Se generen versiones públicas para dar cumplimiento a las obligaciones de transparencia previstas en la Ley General, la Ley Federal y las correspondientes de las entidades federativas.</w:t>
      </w:r>
    </w:p>
    <w:p w14:paraId="2A15637A" w14:textId="77777777" w:rsidR="00B421CC" w:rsidRPr="00E74062" w:rsidRDefault="00392087" w:rsidP="00E74062">
      <w:pPr>
        <w:pStyle w:val="Puesto"/>
        <w:ind w:firstLine="567"/>
        <w:rPr>
          <w:color w:val="auto"/>
        </w:rPr>
      </w:pPr>
      <w:r w:rsidRPr="00E74062">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1195FF89" w14:textId="77777777" w:rsidR="00B421CC" w:rsidRPr="00E74062" w:rsidRDefault="00B421CC" w:rsidP="00E74062">
      <w:pPr>
        <w:spacing w:line="240" w:lineRule="auto"/>
      </w:pPr>
    </w:p>
    <w:p w14:paraId="4278F7CC" w14:textId="77777777" w:rsidR="00B421CC" w:rsidRPr="00E74062" w:rsidRDefault="00392087" w:rsidP="00E74062">
      <w:pPr>
        <w:pStyle w:val="Puesto"/>
        <w:ind w:firstLine="567"/>
        <w:rPr>
          <w:color w:val="auto"/>
        </w:rPr>
      </w:pPr>
      <w:r w:rsidRPr="00E74062">
        <w:rPr>
          <w:b/>
          <w:color w:val="auto"/>
        </w:rPr>
        <w:t>Octavo.</w:t>
      </w:r>
      <w:r w:rsidRPr="00E74062">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5C71C76" w14:textId="77777777" w:rsidR="00B421CC" w:rsidRPr="00E74062" w:rsidRDefault="00392087" w:rsidP="00E74062">
      <w:pPr>
        <w:pStyle w:val="Puesto"/>
        <w:ind w:firstLine="567"/>
        <w:rPr>
          <w:color w:val="auto"/>
        </w:rPr>
      </w:pPr>
      <w:r w:rsidRPr="00E74062">
        <w:rPr>
          <w:color w:val="auto"/>
        </w:rPr>
        <w:t>Para motivar la clasificación se deberán señalar las razones o circunstancias especiales que lo llevaron a concluir que el caso particular se ajusta al supuesto previsto por la norma legal invocada como fundamento.</w:t>
      </w:r>
    </w:p>
    <w:p w14:paraId="329B9C0E" w14:textId="77777777" w:rsidR="00B421CC" w:rsidRPr="00E74062" w:rsidRDefault="00392087" w:rsidP="00E74062">
      <w:pPr>
        <w:pStyle w:val="Puesto"/>
        <w:ind w:firstLine="567"/>
        <w:rPr>
          <w:color w:val="auto"/>
        </w:rPr>
      </w:pPr>
      <w:r w:rsidRPr="00E74062">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6BE9FFA" w14:textId="77777777" w:rsidR="00B421CC" w:rsidRPr="00E74062" w:rsidRDefault="00B421CC" w:rsidP="00E74062">
      <w:pPr>
        <w:spacing w:line="240" w:lineRule="auto"/>
      </w:pPr>
    </w:p>
    <w:p w14:paraId="2A0BF9F6" w14:textId="77777777" w:rsidR="00B421CC" w:rsidRPr="00E74062" w:rsidRDefault="00392087" w:rsidP="00E74062">
      <w:pPr>
        <w:pStyle w:val="Puesto"/>
        <w:ind w:firstLine="567"/>
        <w:rPr>
          <w:color w:val="auto"/>
        </w:rPr>
      </w:pPr>
      <w:r w:rsidRPr="00E74062">
        <w:rPr>
          <w:b/>
          <w:color w:val="auto"/>
        </w:rPr>
        <w:t>Noveno.</w:t>
      </w:r>
      <w:r w:rsidRPr="00E74062">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81186D" w14:textId="77777777" w:rsidR="00B421CC" w:rsidRPr="00E74062" w:rsidRDefault="00B421CC" w:rsidP="00E74062">
      <w:pPr>
        <w:spacing w:line="240" w:lineRule="auto"/>
      </w:pPr>
    </w:p>
    <w:p w14:paraId="7B92E111" w14:textId="77777777" w:rsidR="00B421CC" w:rsidRPr="00E74062" w:rsidRDefault="00392087" w:rsidP="00E74062">
      <w:pPr>
        <w:pStyle w:val="Puesto"/>
        <w:ind w:firstLine="567"/>
        <w:rPr>
          <w:color w:val="auto"/>
        </w:rPr>
      </w:pPr>
      <w:r w:rsidRPr="00E74062">
        <w:rPr>
          <w:b/>
          <w:color w:val="auto"/>
        </w:rPr>
        <w:t>Décimo.</w:t>
      </w:r>
      <w:r w:rsidRPr="00E74062">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CD1305A" w14:textId="77777777" w:rsidR="00B421CC" w:rsidRPr="00E74062" w:rsidRDefault="00392087" w:rsidP="00E74062">
      <w:pPr>
        <w:pStyle w:val="Puesto"/>
        <w:ind w:firstLine="567"/>
        <w:rPr>
          <w:color w:val="auto"/>
        </w:rPr>
      </w:pPr>
      <w:r w:rsidRPr="00E74062">
        <w:rPr>
          <w:color w:val="auto"/>
        </w:rPr>
        <w:t>En ausencia de los titulares de las áreas, la información será clasificada o desclasificada por la persona que lo supla, en términos de la normativa que rija la actuación del sujeto obligado.</w:t>
      </w:r>
    </w:p>
    <w:p w14:paraId="1038CB2F" w14:textId="77777777" w:rsidR="00B421CC" w:rsidRPr="00E74062" w:rsidRDefault="00392087" w:rsidP="00E74062">
      <w:pPr>
        <w:pStyle w:val="Puesto"/>
        <w:ind w:firstLine="567"/>
        <w:rPr>
          <w:b/>
          <w:color w:val="auto"/>
        </w:rPr>
      </w:pPr>
      <w:r w:rsidRPr="00E74062">
        <w:rPr>
          <w:b/>
          <w:color w:val="auto"/>
        </w:rPr>
        <w:t>Décimo primero.</w:t>
      </w:r>
      <w:r w:rsidRPr="00E74062">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74062">
        <w:rPr>
          <w:b/>
          <w:color w:val="auto"/>
        </w:rPr>
        <w:t>”</w:t>
      </w:r>
    </w:p>
    <w:p w14:paraId="6DD77F6C" w14:textId="77777777" w:rsidR="00B421CC" w:rsidRPr="00E74062" w:rsidRDefault="00B421CC" w:rsidP="00E74062">
      <w:pPr>
        <w:spacing w:line="240" w:lineRule="auto"/>
      </w:pPr>
    </w:p>
    <w:p w14:paraId="7F4038A8" w14:textId="77777777" w:rsidR="00B421CC" w:rsidRPr="00E74062" w:rsidRDefault="00392087" w:rsidP="00E74062">
      <w:r w:rsidRPr="00E74062">
        <w:t xml:space="preserve">Consecuentemente, se destaca que la versión pública que elabore </w:t>
      </w:r>
      <w:r w:rsidRPr="00E74062">
        <w:rPr>
          <w:b/>
        </w:rPr>
        <w:t>EL SUJETO OBLIGADO</w:t>
      </w:r>
      <w:r w:rsidRPr="00E74062">
        <w:t xml:space="preserve"> debe cumplir con las formalidades exigidas en la Ley, por lo que para tal efecto emitirá el </w:t>
      </w:r>
      <w:r w:rsidRPr="00E74062">
        <w:rPr>
          <w:b/>
        </w:rPr>
        <w:t>Acuerdo del Comité de Transparencia</w:t>
      </w:r>
      <w:r w:rsidRPr="00E7406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DCA90EC" w14:textId="77777777" w:rsidR="00B421CC" w:rsidRPr="00E74062" w:rsidRDefault="00B421CC" w:rsidP="00E74062">
      <w:pPr>
        <w:widowControl w:val="0"/>
      </w:pPr>
    </w:p>
    <w:p w14:paraId="3F268C5F" w14:textId="77777777" w:rsidR="00B421CC" w:rsidRPr="00E74062" w:rsidRDefault="00392087" w:rsidP="00E74062">
      <w:pPr>
        <w:pStyle w:val="Ttulo3"/>
        <w:spacing w:line="360" w:lineRule="auto"/>
      </w:pPr>
      <w:bookmarkStart w:id="37" w:name="_Toc203629384"/>
      <w:r w:rsidRPr="00E74062">
        <w:lastRenderedPageBreak/>
        <w:t>e) Conclusión.</w:t>
      </w:r>
      <w:bookmarkEnd w:id="37"/>
    </w:p>
    <w:p w14:paraId="44E3DBCC" w14:textId="77777777" w:rsidR="00B421CC" w:rsidRPr="00E74062" w:rsidRDefault="00392087" w:rsidP="00E74062">
      <w:pPr>
        <w:widowControl w:val="0"/>
        <w:tabs>
          <w:tab w:val="left" w:pos="1701"/>
          <w:tab w:val="left" w:pos="1843"/>
        </w:tabs>
      </w:pPr>
      <w:r w:rsidRPr="00E74062">
        <w:t xml:space="preserve">En razón de lo anteriormente expuesto, este Instituto estima que las razones o motivos de inconformidad hechos valer por </w:t>
      </w:r>
      <w:r w:rsidRPr="00E74062">
        <w:rPr>
          <w:b/>
        </w:rPr>
        <w:t>EL RECURRENTE</w:t>
      </w:r>
      <w:r w:rsidRPr="00E74062">
        <w:t xml:space="preserve"> devienen </w:t>
      </w:r>
      <w:r w:rsidRPr="00E74062">
        <w:rPr>
          <w:b/>
        </w:rPr>
        <w:t>fundadas</w:t>
      </w:r>
      <w:r w:rsidRPr="00E74062">
        <w:t xml:space="preserve">; motivo por el cual, este Órgano Garante determina </w:t>
      </w:r>
      <w:r w:rsidR="00E662EE" w:rsidRPr="00E74062">
        <w:rPr>
          <w:b/>
        </w:rPr>
        <w:t>REVOCAR</w:t>
      </w:r>
      <w:r w:rsidRPr="00E74062">
        <w:rPr>
          <w:b/>
        </w:rPr>
        <w:t xml:space="preserve"> </w:t>
      </w:r>
      <w:r w:rsidRPr="00E74062">
        <w:t xml:space="preserve">la respuesta otorgada por </w:t>
      </w:r>
      <w:r w:rsidRPr="00E74062">
        <w:rPr>
          <w:b/>
        </w:rPr>
        <w:t xml:space="preserve">EL SUJETO OBLIGADO, </w:t>
      </w:r>
      <w:r w:rsidRPr="00E74062">
        <w:t>en términos del artículo 186, fracción III de la Ley de Transparencia y Acceso a la Información Pública del Estado de México y Municipios por las razones expuestas en el presente considerando.</w:t>
      </w:r>
    </w:p>
    <w:p w14:paraId="7473FF4B" w14:textId="77777777" w:rsidR="00B421CC" w:rsidRPr="00E74062" w:rsidRDefault="00B421CC" w:rsidP="00E74062">
      <w:pPr>
        <w:widowControl w:val="0"/>
        <w:tabs>
          <w:tab w:val="left" w:pos="1701"/>
          <w:tab w:val="left" w:pos="1843"/>
        </w:tabs>
      </w:pPr>
    </w:p>
    <w:p w14:paraId="2115C673" w14:textId="3550BC07" w:rsidR="00B421CC" w:rsidRDefault="00392087" w:rsidP="00E74062">
      <w:pPr>
        <w:ind w:right="-93"/>
      </w:pPr>
      <w:r w:rsidRPr="00E74062">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B6AFA53" w14:textId="77777777" w:rsidR="00B421CC" w:rsidRPr="00E74062" w:rsidRDefault="00B421CC" w:rsidP="00E74062"/>
    <w:p w14:paraId="3212261C" w14:textId="77777777" w:rsidR="00B421CC" w:rsidRPr="00E74062" w:rsidRDefault="00392087" w:rsidP="00E74062">
      <w:pPr>
        <w:pStyle w:val="Ttulo1"/>
      </w:pPr>
      <w:bookmarkStart w:id="38" w:name="_Toc203629385"/>
      <w:r w:rsidRPr="00E74062">
        <w:t>RESUELVE</w:t>
      </w:r>
      <w:bookmarkEnd w:id="38"/>
    </w:p>
    <w:p w14:paraId="7D4CBF7C" w14:textId="77777777" w:rsidR="00B421CC" w:rsidRPr="00E74062" w:rsidRDefault="00B421CC" w:rsidP="00E74062">
      <w:pPr>
        <w:ind w:right="113"/>
        <w:rPr>
          <w:b/>
        </w:rPr>
      </w:pPr>
    </w:p>
    <w:p w14:paraId="045AE48C" w14:textId="77777777" w:rsidR="00B421CC" w:rsidRPr="00E74062" w:rsidRDefault="00392087" w:rsidP="00E74062">
      <w:pPr>
        <w:widowControl w:val="0"/>
      </w:pPr>
      <w:r w:rsidRPr="00E74062">
        <w:rPr>
          <w:b/>
        </w:rPr>
        <w:t>PRIMERO.</w:t>
      </w:r>
      <w:r w:rsidRPr="00E74062">
        <w:t xml:space="preserve"> Se </w:t>
      </w:r>
      <w:r w:rsidR="00E662EE" w:rsidRPr="00E74062">
        <w:rPr>
          <w:b/>
        </w:rPr>
        <w:t>REVOCA</w:t>
      </w:r>
      <w:r w:rsidRPr="00E74062">
        <w:t xml:space="preserve"> la respuesta entregada por el </w:t>
      </w:r>
      <w:r w:rsidRPr="00E74062">
        <w:rPr>
          <w:b/>
        </w:rPr>
        <w:t>SUJETO OBLIGADO</w:t>
      </w:r>
      <w:r w:rsidRPr="00E74062">
        <w:t xml:space="preserve"> en la solicitud de información</w:t>
      </w:r>
      <w:r w:rsidRPr="00E74062">
        <w:rPr>
          <w:b/>
        </w:rPr>
        <w:t xml:space="preserve"> </w:t>
      </w:r>
      <w:r w:rsidR="00E662EE" w:rsidRPr="00E74062">
        <w:rPr>
          <w:b/>
        </w:rPr>
        <w:t>00141/OASTLALNE/IP/2025</w:t>
      </w:r>
      <w:r w:rsidRPr="00E74062">
        <w:t xml:space="preserve">, por resultar </w:t>
      </w:r>
      <w:r w:rsidRPr="00E74062">
        <w:rPr>
          <w:b/>
        </w:rPr>
        <w:t>FUNDADAS</w:t>
      </w:r>
      <w:r w:rsidRPr="00E74062">
        <w:t xml:space="preserve"> las razones o motivos de inconformidad hechos valer por </w:t>
      </w:r>
      <w:r w:rsidRPr="00E74062">
        <w:rPr>
          <w:b/>
        </w:rPr>
        <w:t>LA PARTE RECURRENTE</w:t>
      </w:r>
      <w:r w:rsidRPr="00E74062">
        <w:t xml:space="preserve"> en el Recurso de Revisión </w:t>
      </w:r>
      <w:r w:rsidR="00E662EE" w:rsidRPr="00E74062">
        <w:rPr>
          <w:b/>
        </w:rPr>
        <w:t>0607</w:t>
      </w:r>
      <w:r w:rsidRPr="00E74062">
        <w:rPr>
          <w:b/>
        </w:rPr>
        <w:t xml:space="preserve">7/INFOEM/IP/RR/2025 </w:t>
      </w:r>
      <w:r w:rsidRPr="00E74062">
        <w:t xml:space="preserve">en términos del considerando </w:t>
      </w:r>
      <w:r w:rsidRPr="00E74062">
        <w:rPr>
          <w:b/>
        </w:rPr>
        <w:t>SEGUNDO</w:t>
      </w:r>
      <w:r w:rsidRPr="00E74062">
        <w:t xml:space="preserve"> de la presente Resolución.</w:t>
      </w:r>
    </w:p>
    <w:p w14:paraId="2DFE82F0" w14:textId="77777777" w:rsidR="00B421CC" w:rsidRPr="00E74062" w:rsidRDefault="00B421CC" w:rsidP="00E74062">
      <w:pPr>
        <w:widowControl w:val="0"/>
      </w:pPr>
    </w:p>
    <w:p w14:paraId="17F1EDE2" w14:textId="49A888B2" w:rsidR="00B421CC" w:rsidRPr="00E74062" w:rsidRDefault="00392087" w:rsidP="00E74062">
      <w:pPr>
        <w:pBdr>
          <w:top w:val="nil"/>
          <w:left w:val="nil"/>
          <w:bottom w:val="nil"/>
          <w:right w:val="nil"/>
          <w:between w:val="nil"/>
        </w:pBdr>
      </w:pPr>
      <w:r w:rsidRPr="00E74062">
        <w:rPr>
          <w:b/>
        </w:rPr>
        <w:t>SEGUNDO.</w:t>
      </w:r>
      <w:r w:rsidRPr="00E74062">
        <w:t xml:space="preserve"> Se </w:t>
      </w:r>
      <w:r w:rsidRPr="00E74062">
        <w:rPr>
          <w:b/>
        </w:rPr>
        <w:t xml:space="preserve">ORDENA </w:t>
      </w:r>
      <w:r w:rsidRPr="00E74062">
        <w:t xml:space="preserve">al </w:t>
      </w:r>
      <w:r w:rsidRPr="00E74062">
        <w:rPr>
          <w:b/>
        </w:rPr>
        <w:t>SUJETO OBLIGADO</w:t>
      </w:r>
      <w:r w:rsidRPr="00E74062">
        <w:t xml:space="preserve">, a efecto de que, entregue a través del </w:t>
      </w:r>
      <w:r w:rsidRPr="00E74062">
        <w:rPr>
          <w:b/>
        </w:rPr>
        <w:t>SAIMEX</w:t>
      </w:r>
      <w:r w:rsidRPr="00E74062">
        <w:t xml:space="preserve">, en </w:t>
      </w:r>
      <w:r w:rsidRPr="00E74062">
        <w:rPr>
          <w:b/>
          <w:bCs/>
        </w:rPr>
        <w:t xml:space="preserve">versión pública </w:t>
      </w:r>
      <w:r w:rsidRPr="00E74062">
        <w:t>los documentos donde conste lo siguiente:</w:t>
      </w:r>
    </w:p>
    <w:p w14:paraId="373FAF86" w14:textId="77777777" w:rsidR="00B421CC" w:rsidRPr="00E74062" w:rsidRDefault="00B421CC" w:rsidP="00E74062">
      <w:pPr>
        <w:rPr>
          <w:b/>
        </w:rPr>
      </w:pPr>
      <w:bookmarkStart w:id="39" w:name="_heading=h.p2f5rm941076" w:colFirst="0" w:colLast="0"/>
      <w:bookmarkEnd w:id="39"/>
    </w:p>
    <w:p w14:paraId="213D78E7" w14:textId="048B7265" w:rsidR="00E662EE" w:rsidRPr="00E74062" w:rsidRDefault="00E662EE" w:rsidP="00E74062">
      <w:pPr>
        <w:pStyle w:val="Puesto"/>
        <w:spacing w:line="276" w:lineRule="auto"/>
        <w:ind w:firstLine="0"/>
        <w:rPr>
          <w:b/>
          <w:color w:val="auto"/>
        </w:rPr>
      </w:pPr>
      <w:r w:rsidRPr="00E74062">
        <w:rPr>
          <w:b/>
          <w:color w:val="auto"/>
        </w:rPr>
        <w:t>Los documentos de seguridad de la administración 2022-202</w:t>
      </w:r>
      <w:r w:rsidR="00DA2512" w:rsidRPr="00E74062">
        <w:rPr>
          <w:b/>
          <w:color w:val="auto"/>
        </w:rPr>
        <w:t>4</w:t>
      </w:r>
      <w:r w:rsidR="00DE1A30" w:rsidRPr="00E74062">
        <w:rPr>
          <w:b/>
          <w:color w:val="auto"/>
        </w:rPr>
        <w:t xml:space="preserve">; </w:t>
      </w:r>
      <w:r w:rsidRPr="00E74062">
        <w:rPr>
          <w:b/>
          <w:color w:val="auto"/>
        </w:rPr>
        <w:t>así como</w:t>
      </w:r>
      <w:r w:rsidR="00DE1A30" w:rsidRPr="00E74062">
        <w:rPr>
          <w:b/>
          <w:color w:val="auto"/>
        </w:rPr>
        <w:t>, l</w:t>
      </w:r>
      <w:r w:rsidRPr="00E74062">
        <w:rPr>
          <w:b/>
          <w:color w:val="auto"/>
        </w:rPr>
        <w:t xml:space="preserve">os </w:t>
      </w:r>
      <w:r w:rsidR="00DE1A30" w:rsidRPr="00E74062">
        <w:rPr>
          <w:b/>
          <w:color w:val="auto"/>
        </w:rPr>
        <w:t>vigentes al 23</w:t>
      </w:r>
      <w:r w:rsidRPr="00E74062">
        <w:rPr>
          <w:b/>
          <w:color w:val="auto"/>
        </w:rPr>
        <w:t xml:space="preserve"> de abril de</w:t>
      </w:r>
      <w:r w:rsidR="00DE1A30" w:rsidRPr="00E74062">
        <w:rPr>
          <w:b/>
          <w:color w:val="auto"/>
        </w:rPr>
        <w:t xml:space="preserve"> 2025</w:t>
      </w:r>
      <w:r w:rsidRPr="00E74062">
        <w:rPr>
          <w:b/>
          <w:color w:val="auto"/>
        </w:rPr>
        <w:t>.</w:t>
      </w:r>
    </w:p>
    <w:p w14:paraId="4E540BDC" w14:textId="77777777" w:rsidR="00B421CC" w:rsidRPr="00E74062" w:rsidRDefault="00B421CC" w:rsidP="00E74062">
      <w:pPr>
        <w:ind w:right="-28"/>
      </w:pPr>
    </w:p>
    <w:p w14:paraId="0957DDE1" w14:textId="39B88E8E" w:rsidR="00B421CC" w:rsidRPr="00E74062" w:rsidRDefault="00DE1A30" w:rsidP="00E74062">
      <w:pPr>
        <w:ind w:right="-93"/>
      </w:pPr>
      <w:r w:rsidRPr="00E74062">
        <w:t xml:space="preserve">Para </w:t>
      </w:r>
      <w:r w:rsidR="00392087" w:rsidRPr="00E74062">
        <w:t>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AE7A3E2" w14:textId="77777777" w:rsidR="00B421CC" w:rsidRPr="00E74062" w:rsidRDefault="00B421CC" w:rsidP="00E74062">
      <w:pPr>
        <w:ind w:right="-28"/>
      </w:pPr>
    </w:p>
    <w:p w14:paraId="7386CFD8" w14:textId="77777777" w:rsidR="00B421CC" w:rsidRPr="00E74062" w:rsidRDefault="00392087" w:rsidP="00E74062">
      <w:r w:rsidRPr="00E74062">
        <w:rPr>
          <w:b/>
        </w:rPr>
        <w:t>TERCERO.</w:t>
      </w:r>
      <w:r w:rsidRPr="00E74062">
        <w:t xml:space="preserve"> </w:t>
      </w:r>
      <w:r w:rsidRPr="00E74062">
        <w:rPr>
          <w:b/>
        </w:rPr>
        <w:t xml:space="preserve">Notifíquese </w:t>
      </w:r>
      <w:r w:rsidRPr="00E74062">
        <w:t>vía Sistema de Acceso a la Información Mexiquense (</w:t>
      </w:r>
      <w:r w:rsidRPr="00E74062">
        <w:rPr>
          <w:b/>
        </w:rPr>
        <w:t>SAIMEX)</w:t>
      </w:r>
      <w:r w:rsidRPr="00E7406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E07AE5" w14:textId="77777777" w:rsidR="00B421CC" w:rsidRPr="00E74062" w:rsidRDefault="00B421CC" w:rsidP="00E74062"/>
    <w:p w14:paraId="5FD76C8B" w14:textId="77777777" w:rsidR="00B421CC" w:rsidRPr="00E74062" w:rsidRDefault="00392087" w:rsidP="00E74062">
      <w:pPr>
        <w:rPr>
          <w:b/>
        </w:rPr>
      </w:pPr>
      <w:r w:rsidRPr="00E74062">
        <w:rPr>
          <w:b/>
        </w:rPr>
        <w:t>CUARTO.</w:t>
      </w:r>
      <w:r w:rsidRPr="00E74062">
        <w:t xml:space="preserve"> Notifíquese a </w:t>
      </w:r>
      <w:r w:rsidRPr="00E74062">
        <w:rPr>
          <w:b/>
        </w:rPr>
        <w:t>LA PARTE RECURRENTE</w:t>
      </w:r>
      <w:r w:rsidRPr="00E74062">
        <w:t xml:space="preserve"> la presente resolución vía Sistema de Acceso a la Información Mexiquense </w:t>
      </w:r>
      <w:r w:rsidRPr="00E74062">
        <w:rPr>
          <w:b/>
        </w:rPr>
        <w:t>(SAIMEX).</w:t>
      </w:r>
    </w:p>
    <w:p w14:paraId="666C0A07" w14:textId="77777777" w:rsidR="00B421CC" w:rsidRPr="00E74062" w:rsidRDefault="00B421CC" w:rsidP="00E74062"/>
    <w:p w14:paraId="59C9A035" w14:textId="77777777" w:rsidR="00B421CC" w:rsidRPr="00E74062" w:rsidRDefault="00392087" w:rsidP="00E74062">
      <w:r w:rsidRPr="00E74062">
        <w:rPr>
          <w:b/>
        </w:rPr>
        <w:t>QUINTO</w:t>
      </w:r>
      <w:r w:rsidRPr="00E74062">
        <w:t xml:space="preserve">. Hágase del conocimiento a </w:t>
      </w:r>
      <w:r w:rsidRPr="00E74062">
        <w:rPr>
          <w:b/>
        </w:rPr>
        <w:t>LA PARTE RECURRENTE</w:t>
      </w:r>
      <w:r w:rsidRPr="00E74062">
        <w:t xml:space="preserve"> que, de conformidad con lo establecido en el artículo 196 de la Ley de Transparencia y Acceso a la Información Pública </w:t>
      </w:r>
      <w:r w:rsidRPr="00E74062">
        <w:lastRenderedPageBreak/>
        <w:t>del Estado de México y Municipios, podrá impugnar la presente resolución vía Juicio de Amparo en los términos de las leyes aplicables.</w:t>
      </w:r>
    </w:p>
    <w:p w14:paraId="27140026" w14:textId="77777777" w:rsidR="00B421CC" w:rsidRPr="00E74062" w:rsidRDefault="00B421CC" w:rsidP="00E74062"/>
    <w:p w14:paraId="4556850D" w14:textId="77777777" w:rsidR="00B421CC" w:rsidRPr="00E74062" w:rsidRDefault="00392087" w:rsidP="00E74062">
      <w:r w:rsidRPr="00E74062">
        <w:rPr>
          <w:b/>
        </w:rPr>
        <w:t>SEXTO.</w:t>
      </w:r>
      <w:r w:rsidRPr="00E74062">
        <w:t xml:space="preserve"> De conformidad con el artículo 198 de la Ley de Transparencia y Acceso a la Información Pública del Estado de México y Municipios, el </w:t>
      </w:r>
      <w:r w:rsidRPr="00E74062">
        <w:rPr>
          <w:b/>
        </w:rPr>
        <w:t>SUJETO OBLIGADO</w:t>
      </w:r>
      <w:r w:rsidRPr="00E74062">
        <w:t xml:space="preserve"> podrá solicitar una ampliación de plazo de manera fundada y motivada, para el cumplimiento de la presente resolución.</w:t>
      </w:r>
    </w:p>
    <w:p w14:paraId="233B15FF" w14:textId="77777777" w:rsidR="00B421CC" w:rsidRPr="00E74062" w:rsidRDefault="00B421CC" w:rsidP="00E74062">
      <w:pPr>
        <w:ind w:right="113"/>
        <w:rPr>
          <w:b/>
        </w:rPr>
      </w:pPr>
    </w:p>
    <w:p w14:paraId="2CC79C0C" w14:textId="77777777" w:rsidR="00B421CC" w:rsidRPr="00E74062" w:rsidRDefault="00392087" w:rsidP="00E74062">
      <w:pPr>
        <w:ind w:right="-93"/>
      </w:pPr>
      <w:r w:rsidRPr="00E74062">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C22FE" w:rsidRPr="00E74062">
        <w:t>SEXTA</w:t>
      </w:r>
      <w:r w:rsidRPr="00E74062">
        <w:t xml:space="preserve"> SESIÓN ORDINARIA, CELEBRADA EL </w:t>
      </w:r>
      <w:r w:rsidR="008C22FE" w:rsidRPr="00E74062">
        <w:t>DIECISÉIS</w:t>
      </w:r>
      <w:r w:rsidRPr="00E74062">
        <w:t xml:space="preserve"> DE JULIO DE DOS MIL VEINTICINCO ANTE EL SECRETARIO TÉCNICO DEL PLENO, ALEXIS TAPIA RAMÍREZ.</w:t>
      </w:r>
    </w:p>
    <w:p w14:paraId="00BA4BFC" w14:textId="77777777" w:rsidR="00B421CC" w:rsidRPr="00E74062" w:rsidRDefault="00392087" w:rsidP="00E74062">
      <w:pPr>
        <w:tabs>
          <w:tab w:val="left" w:pos="2325"/>
        </w:tabs>
        <w:rPr>
          <w:sz w:val="20"/>
          <w:szCs w:val="10"/>
        </w:rPr>
      </w:pPr>
      <w:bookmarkStart w:id="40" w:name="_heading=h.6ju6lvk1yv8s" w:colFirst="0" w:colLast="0"/>
      <w:bookmarkEnd w:id="40"/>
      <w:r w:rsidRPr="00E74062">
        <w:rPr>
          <w:sz w:val="20"/>
          <w:szCs w:val="10"/>
        </w:rPr>
        <w:t>SCMM/AGZ/DEMF/DLM</w:t>
      </w:r>
    </w:p>
    <w:p w14:paraId="0601AAF0" w14:textId="77777777" w:rsidR="00B421CC" w:rsidRPr="00E74062" w:rsidRDefault="00B421CC" w:rsidP="00E74062">
      <w:pPr>
        <w:ind w:right="-93"/>
      </w:pPr>
      <w:bookmarkStart w:id="41" w:name="_heading=h.f7hqgsisyppw" w:colFirst="0" w:colLast="0"/>
      <w:bookmarkEnd w:id="41"/>
    </w:p>
    <w:p w14:paraId="090768FF" w14:textId="77777777" w:rsidR="00B421CC" w:rsidRPr="00E74062" w:rsidRDefault="00B421CC" w:rsidP="00E74062">
      <w:pPr>
        <w:ind w:right="-93"/>
      </w:pPr>
    </w:p>
    <w:p w14:paraId="7C53B943" w14:textId="77777777" w:rsidR="00B421CC" w:rsidRPr="00E74062" w:rsidRDefault="00B421CC" w:rsidP="00E74062">
      <w:pPr>
        <w:ind w:right="-93"/>
      </w:pPr>
    </w:p>
    <w:p w14:paraId="32F729DF" w14:textId="77777777" w:rsidR="00B421CC" w:rsidRPr="00E74062" w:rsidRDefault="00B421CC" w:rsidP="00E74062">
      <w:pPr>
        <w:ind w:right="-93"/>
      </w:pPr>
    </w:p>
    <w:p w14:paraId="4F0E16AB" w14:textId="77777777" w:rsidR="00B421CC" w:rsidRPr="00E74062" w:rsidRDefault="00B421CC" w:rsidP="00E74062">
      <w:pPr>
        <w:ind w:right="-93"/>
      </w:pPr>
    </w:p>
    <w:p w14:paraId="6A8882F9" w14:textId="77777777" w:rsidR="00B421CC" w:rsidRPr="00E74062" w:rsidRDefault="00B421CC" w:rsidP="00E74062">
      <w:pPr>
        <w:ind w:right="-93"/>
      </w:pPr>
    </w:p>
    <w:p w14:paraId="12157708" w14:textId="77777777" w:rsidR="00B421CC" w:rsidRPr="00E74062" w:rsidRDefault="00B421CC" w:rsidP="00E74062">
      <w:pPr>
        <w:ind w:right="-93"/>
      </w:pPr>
    </w:p>
    <w:p w14:paraId="5C8428F3" w14:textId="77777777" w:rsidR="00B421CC" w:rsidRPr="00E74062" w:rsidRDefault="00B421CC" w:rsidP="00E74062">
      <w:pPr>
        <w:ind w:right="-93"/>
      </w:pPr>
    </w:p>
    <w:p w14:paraId="5523D136" w14:textId="77777777" w:rsidR="00B421CC" w:rsidRPr="00E74062" w:rsidRDefault="00B421CC" w:rsidP="00E74062">
      <w:pPr>
        <w:tabs>
          <w:tab w:val="center" w:pos="4568"/>
        </w:tabs>
        <w:ind w:right="-93"/>
      </w:pPr>
    </w:p>
    <w:p w14:paraId="5A1DE3C6" w14:textId="77777777" w:rsidR="00B421CC" w:rsidRPr="00E74062" w:rsidRDefault="00B421CC" w:rsidP="00E74062">
      <w:pPr>
        <w:tabs>
          <w:tab w:val="center" w:pos="4568"/>
        </w:tabs>
        <w:ind w:right="-93"/>
      </w:pPr>
    </w:p>
    <w:p w14:paraId="47B816FE" w14:textId="77777777" w:rsidR="00B421CC" w:rsidRPr="00E74062" w:rsidRDefault="00B421CC" w:rsidP="00E74062">
      <w:pPr>
        <w:tabs>
          <w:tab w:val="center" w:pos="4568"/>
        </w:tabs>
        <w:ind w:right="-93"/>
      </w:pPr>
    </w:p>
    <w:p w14:paraId="7C56F5F9" w14:textId="77777777" w:rsidR="00B421CC" w:rsidRPr="00E74062" w:rsidRDefault="00B421CC" w:rsidP="00E74062">
      <w:pPr>
        <w:tabs>
          <w:tab w:val="center" w:pos="4568"/>
        </w:tabs>
        <w:ind w:right="-93"/>
      </w:pPr>
    </w:p>
    <w:p w14:paraId="2F273A48" w14:textId="77777777" w:rsidR="00B421CC" w:rsidRPr="00E74062" w:rsidRDefault="00B421CC" w:rsidP="00E74062">
      <w:pPr>
        <w:tabs>
          <w:tab w:val="center" w:pos="4568"/>
        </w:tabs>
        <w:ind w:right="-93"/>
      </w:pPr>
    </w:p>
    <w:p w14:paraId="0EF3BA7F" w14:textId="77777777" w:rsidR="00B421CC" w:rsidRPr="00E74062" w:rsidRDefault="00B421CC" w:rsidP="00E74062">
      <w:pPr>
        <w:tabs>
          <w:tab w:val="center" w:pos="4568"/>
        </w:tabs>
        <w:ind w:right="-93"/>
      </w:pPr>
    </w:p>
    <w:p w14:paraId="3746418D" w14:textId="77777777" w:rsidR="00B421CC" w:rsidRPr="00E74062" w:rsidRDefault="00B421CC" w:rsidP="00E74062">
      <w:pPr>
        <w:tabs>
          <w:tab w:val="center" w:pos="4568"/>
        </w:tabs>
        <w:ind w:right="-93"/>
      </w:pPr>
    </w:p>
    <w:p w14:paraId="1D4D8688" w14:textId="77777777" w:rsidR="00B421CC" w:rsidRPr="00E74062" w:rsidRDefault="00B421CC" w:rsidP="00E74062">
      <w:pPr>
        <w:tabs>
          <w:tab w:val="center" w:pos="4568"/>
        </w:tabs>
        <w:ind w:right="-93"/>
      </w:pPr>
    </w:p>
    <w:p w14:paraId="422ECDBF" w14:textId="77777777" w:rsidR="00B421CC" w:rsidRPr="00E74062" w:rsidRDefault="00B421CC" w:rsidP="00E74062">
      <w:pPr>
        <w:tabs>
          <w:tab w:val="center" w:pos="4568"/>
        </w:tabs>
        <w:ind w:right="-93"/>
      </w:pPr>
    </w:p>
    <w:p w14:paraId="1897F706" w14:textId="77777777" w:rsidR="00B421CC" w:rsidRPr="00E74062" w:rsidRDefault="00B421CC" w:rsidP="00E74062">
      <w:pPr>
        <w:tabs>
          <w:tab w:val="center" w:pos="4568"/>
        </w:tabs>
        <w:ind w:right="-93"/>
      </w:pPr>
    </w:p>
    <w:p w14:paraId="18EC6478" w14:textId="77777777" w:rsidR="00B421CC" w:rsidRPr="00E74062" w:rsidRDefault="00B421CC" w:rsidP="00E74062">
      <w:pPr>
        <w:tabs>
          <w:tab w:val="center" w:pos="4568"/>
        </w:tabs>
        <w:ind w:right="-93"/>
      </w:pPr>
    </w:p>
    <w:p w14:paraId="3FD7076A" w14:textId="77777777" w:rsidR="00B421CC" w:rsidRPr="00E74062" w:rsidRDefault="00B421CC" w:rsidP="00E74062">
      <w:pPr>
        <w:tabs>
          <w:tab w:val="center" w:pos="4568"/>
        </w:tabs>
        <w:ind w:right="-93"/>
      </w:pPr>
    </w:p>
    <w:p w14:paraId="374453B6" w14:textId="77777777" w:rsidR="00B421CC" w:rsidRPr="00E74062" w:rsidRDefault="00B421CC" w:rsidP="00E74062">
      <w:pPr>
        <w:tabs>
          <w:tab w:val="center" w:pos="4568"/>
        </w:tabs>
        <w:ind w:right="-93"/>
      </w:pPr>
    </w:p>
    <w:p w14:paraId="534C3DAA" w14:textId="77777777" w:rsidR="00B421CC" w:rsidRPr="00E74062" w:rsidRDefault="00B421CC" w:rsidP="00E74062">
      <w:pPr>
        <w:tabs>
          <w:tab w:val="center" w:pos="4568"/>
        </w:tabs>
        <w:ind w:right="-93"/>
      </w:pPr>
    </w:p>
    <w:p w14:paraId="2EE686B7" w14:textId="77777777" w:rsidR="00B421CC" w:rsidRPr="00E74062" w:rsidRDefault="00B421CC" w:rsidP="00E74062">
      <w:pPr>
        <w:tabs>
          <w:tab w:val="center" w:pos="4568"/>
        </w:tabs>
        <w:ind w:right="-93"/>
      </w:pPr>
    </w:p>
    <w:p w14:paraId="5CCAD9CB" w14:textId="77777777" w:rsidR="00B421CC" w:rsidRPr="00E74062" w:rsidRDefault="00B421CC" w:rsidP="00E74062">
      <w:pPr>
        <w:tabs>
          <w:tab w:val="center" w:pos="4568"/>
        </w:tabs>
        <w:ind w:right="-93"/>
      </w:pPr>
    </w:p>
    <w:p w14:paraId="6D122D3D" w14:textId="77777777" w:rsidR="00B421CC" w:rsidRPr="00E74062" w:rsidRDefault="00B421CC" w:rsidP="00E74062"/>
    <w:sectPr w:rsidR="00B421CC" w:rsidRPr="00E74062">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D1F27" w14:textId="77777777" w:rsidR="00D10CF6" w:rsidRDefault="00D10CF6">
      <w:pPr>
        <w:spacing w:line="240" w:lineRule="auto"/>
      </w:pPr>
      <w:r>
        <w:separator/>
      </w:r>
    </w:p>
  </w:endnote>
  <w:endnote w:type="continuationSeparator" w:id="0">
    <w:p w14:paraId="49CC6E24" w14:textId="77777777" w:rsidR="00D10CF6" w:rsidRDefault="00D10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4FF2" w14:textId="77777777" w:rsidR="00D87A95" w:rsidRDefault="00D87A95">
    <w:pPr>
      <w:tabs>
        <w:tab w:val="center" w:pos="4550"/>
        <w:tab w:val="left" w:pos="5818"/>
      </w:tabs>
      <w:ind w:right="260"/>
      <w:jc w:val="right"/>
      <w:rPr>
        <w:color w:val="071320"/>
        <w:sz w:val="24"/>
        <w:szCs w:val="24"/>
      </w:rPr>
    </w:pPr>
  </w:p>
  <w:p w14:paraId="7B83E488" w14:textId="77777777" w:rsidR="00D87A95" w:rsidRDefault="00D87A9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87F71" w14:textId="6BD87EBB" w:rsidR="00D87A95" w:rsidRDefault="00D87A9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6237A">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6237A">
      <w:rPr>
        <w:noProof/>
        <w:color w:val="0A1D30"/>
        <w:sz w:val="24"/>
        <w:szCs w:val="24"/>
      </w:rPr>
      <w:t>33</w:t>
    </w:r>
    <w:r>
      <w:rPr>
        <w:color w:val="0A1D30"/>
        <w:sz w:val="24"/>
        <w:szCs w:val="24"/>
      </w:rPr>
      <w:fldChar w:fldCharType="end"/>
    </w:r>
  </w:p>
  <w:p w14:paraId="0BFDE886" w14:textId="77777777" w:rsidR="00D87A95" w:rsidRDefault="00D87A9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48FF6" w14:textId="77777777" w:rsidR="00D10CF6" w:rsidRDefault="00D10CF6">
      <w:pPr>
        <w:spacing w:line="240" w:lineRule="auto"/>
      </w:pPr>
      <w:r>
        <w:separator/>
      </w:r>
    </w:p>
  </w:footnote>
  <w:footnote w:type="continuationSeparator" w:id="0">
    <w:p w14:paraId="065E3F7F" w14:textId="77777777" w:rsidR="00D10CF6" w:rsidRDefault="00D10C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E7DC" w14:textId="77777777" w:rsidR="00D87A95" w:rsidRDefault="00D87A95">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87A95" w14:paraId="6BE145C6" w14:textId="77777777">
      <w:trPr>
        <w:trHeight w:val="144"/>
        <w:jc w:val="right"/>
      </w:trPr>
      <w:tc>
        <w:tcPr>
          <w:tcW w:w="2727" w:type="dxa"/>
        </w:tcPr>
        <w:p w14:paraId="3C51BD96" w14:textId="77777777" w:rsidR="00D87A95" w:rsidRDefault="00D87A95">
          <w:pPr>
            <w:tabs>
              <w:tab w:val="right" w:pos="8838"/>
            </w:tabs>
            <w:ind w:left="-74" w:right="-105"/>
            <w:rPr>
              <w:b/>
            </w:rPr>
          </w:pPr>
          <w:r>
            <w:rPr>
              <w:b/>
            </w:rPr>
            <w:t>Recurso de Revisión:</w:t>
          </w:r>
        </w:p>
      </w:tc>
      <w:tc>
        <w:tcPr>
          <w:tcW w:w="3402" w:type="dxa"/>
        </w:tcPr>
        <w:p w14:paraId="26E2F517" w14:textId="77777777" w:rsidR="00D87A95" w:rsidRDefault="00D87A95">
          <w:pPr>
            <w:tabs>
              <w:tab w:val="right" w:pos="8838"/>
            </w:tabs>
            <w:ind w:left="-74" w:right="-105"/>
          </w:pPr>
          <w:r>
            <w:t xml:space="preserve">06077/INFOEM/IP/RR/2025 </w:t>
          </w:r>
        </w:p>
      </w:tc>
    </w:tr>
    <w:tr w:rsidR="00D87A95" w14:paraId="2798A960" w14:textId="77777777">
      <w:trPr>
        <w:trHeight w:val="283"/>
        <w:jc w:val="right"/>
      </w:trPr>
      <w:tc>
        <w:tcPr>
          <w:tcW w:w="2727" w:type="dxa"/>
        </w:tcPr>
        <w:p w14:paraId="3C3EB5A4" w14:textId="77777777" w:rsidR="00D87A95" w:rsidRDefault="00D87A95">
          <w:pPr>
            <w:tabs>
              <w:tab w:val="right" w:pos="8838"/>
            </w:tabs>
            <w:ind w:left="-74" w:right="-105"/>
            <w:rPr>
              <w:b/>
            </w:rPr>
          </w:pPr>
          <w:r>
            <w:rPr>
              <w:b/>
            </w:rPr>
            <w:t>Sujeto Obligado:</w:t>
          </w:r>
        </w:p>
      </w:tc>
      <w:tc>
        <w:tcPr>
          <w:tcW w:w="3402" w:type="dxa"/>
        </w:tcPr>
        <w:p w14:paraId="4CCB2008" w14:textId="77777777" w:rsidR="00D87A95" w:rsidRDefault="00D87A95">
          <w:pPr>
            <w:tabs>
              <w:tab w:val="left" w:pos="2834"/>
              <w:tab w:val="right" w:pos="8838"/>
            </w:tabs>
            <w:ind w:left="-108" w:right="-105"/>
            <w:rPr>
              <w:highlight w:val="yellow"/>
            </w:rPr>
          </w:pPr>
          <w:r>
            <w:t>Organismo Público Descentralizado para la Prestación de Los Servicios de Agua Potable Alcantarillado y Saneamiento del Municipio de Tlalnepantla de Baz</w:t>
          </w:r>
        </w:p>
      </w:tc>
    </w:tr>
    <w:tr w:rsidR="00D87A95" w14:paraId="2420BA35" w14:textId="77777777">
      <w:trPr>
        <w:trHeight w:val="283"/>
        <w:jc w:val="right"/>
      </w:trPr>
      <w:tc>
        <w:tcPr>
          <w:tcW w:w="2727" w:type="dxa"/>
        </w:tcPr>
        <w:p w14:paraId="26A692E1" w14:textId="77777777" w:rsidR="00D87A95" w:rsidRDefault="00D87A95">
          <w:pPr>
            <w:tabs>
              <w:tab w:val="right" w:pos="8838"/>
            </w:tabs>
            <w:ind w:left="-74" w:right="-105"/>
            <w:rPr>
              <w:b/>
            </w:rPr>
          </w:pPr>
          <w:r>
            <w:rPr>
              <w:b/>
            </w:rPr>
            <w:t>Comisionada Ponente:</w:t>
          </w:r>
        </w:p>
      </w:tc>
      <w:tc>
        <w:tcPr>
          <w:tcW w:w="3402" w:type="dxa"/>
        </w:tcPr>
        <w:p w14:paraId="5F5D94C2" w14:textId="77777777" w:rsidR="00D87A95" w:rsidRDefault="00D87A95">
          <w:pPr>
            <w:tabs>
              <w:tab w:val="right" w:pos="8838"/>
            </w:tabs>
            <w:ind w:left="-108" w:right="-105"/>
          </w:pPr>
          <w:r>
            <w:t>Sharon Cristina Morales Martínez</w:t>
          </w:r>
        </w:p>
      </w:tc>
    </w:tr>
  </w:tbl>
  <w:p w14:paraId="16945408" w14:textId="77777777" w:rsidR="00D87A95" w:rsidRDefault="00D87A9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AEEDDED" wp14:editId="38C4C43C">
          <wp:simplePos x="0" y="0"/>
          <wp:positionH relativeFrom="margin">
            <wp:posOffset>-995038</wp:posOffset>
          </wp:positionH>
          <wp:positionV relativeFrom="margin">
            <wp:posOffset>-1782438</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E24B1" w14:textId="2720D644" w:rsidR="00D87A95" w:rsidRDefault="00D10CF6">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FA90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5.9pt;margin-top:-147.1pt;width:663.5pt;height:12in;z-index:-251658240;mso-position-horizontal-relative:margin;mso-position-vertical-relative:margin">
          <v:imagedata r:id="rId1" o:title="image1"/>
          <w10:wrap anchorx="margin" anchory="margin"/>
        </v:shape>
      </w:pict>
    </w:r>
  </w:p>
  <w:tbl>
    <w:tblPr>
      <w:tblStyle w:val="ac"/>
      <w:tblW w:w="6660" w:type="dxa"/>
      <w:tblInd w:w="2552" w:type="dxa"/>
      <w:tblLayout w:type="fixed"/>
      <w:tblLook w:val="0400" w:firstRow="0" w:lastRow="0" w:firstColumn="0" w:lastColumn="0" w:noHBand="0" w:noVBand="1"/>
    </w:tblPr>
    <w:tblGrid>
      <w:gridCol w:w="283"/>
      <w:gridCol w:w="6377"/>
    </w:tblGrid>
    <w:tr w:rsidR="00D87A95" w14:paraId="62114DA2" w14:textId="77777777">
      <w:trPr>
        <w:trHeight w:val="1435"/>
      </w:trPr>
      <w:tc>
        <w:tcPr>
          <w:tcW w:w="283" w:type="dxa"/>
          <w:shd w:val="clear" w:color="auto" w:fill="auto"/>
        </w:tcPr>
        <w:p w14:paraId="3CA28CA4" w14:textId="77777777" w:rsidR="00D87A95" w:rsidRDefault="00D87A95">
          <w:pPr>
            <w:tabs>
              <w:tab w:val="right" w:pos="4273"/>
            </w:tabs>
            <w:rPr>
              <w:rFonts w:ascii="Garamond" w:eastAsia="Garamond" w:hAnsi="Garamond" w:cs="Garamond"/>
            </w:rPr>
          </w:pPr>
        </w:p>
      </w:tc>
      <w:tc>
        <w:tcPr>
          <w:tcW w:w="6377" w:type="dxa"/>
          <w:shd w:val="clear" w:color="auto" w:fill="auto"/>
        </w:tcPr>
        <w:p w14:paraId="42FA5076" w14:textId="77777777" w:rsidR="00D87A95" w:rsidRDefault="00D87A95">
          <w:pPr>
            <w:widowControl w:val="0"/>
            <w:pBdr>
              <w:top w:val="nil"/>
              <w:left w:val="nil"/>
              <w:bottom w:val="nil"/>
              <w:right w:val="nil"/>
              <w:between w:val="nil"/>
            </w:pBdr>
            <w:spacing w:line="276" w:lineRule="auto"/>
            <w:jc w:val="left"/>
            <w:rPr>
              <w:rFonts w:ascii="Garamond" w:eastAsia="Garamond" w:hAnsi="Garamond" w:cs="Garamond"/>
            </w:rPr>
          </w:pPr>
        </w:p>
        <w:tbl>
          <w:tblPr>
            <w:tblStyle w:val="ad"/>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D87A95" w14:paraId="5C2360BD" w14:textId="77777777">
            <w:trPr>
              <w:trHeight w:val="144"/>
            </w:trPr>
            <w:tc>
              <w:tcPr>
                <w:tcW w:w="2790" w:type="dxa"/>
              </w:tcPr>
              <w:p w14:paraId="17ED9364" w14:textId="77777777" w:rsidR="00D87A95" w:rsidRDefault="00D87A95">
                <w:pPr>
                  <w:tabs>
                    <w:tab w:val="right" w:pos="8838"/>
                  </w:tabs>
                  <w:ind w:left="-74" w:right="-105"/>
                  <w:rPr>
                    <w:b/>
                  </w:rPr>
                </w:pPr>
                <w:bookmarkStart w:id="0" w:name="_heading=h.147n2zr" w:colFirst="0" w:colLast="0"/>
                <w:bookmarkEnd w:id="0"/>
                <w:r>
                  <w:rPr>
                    <w:b/>
                  </w:rPr>
                  <w:t>Recurso de Revisión:</w:t>
                </w:r>
              </w:p>
            </w:tc>
            <w:tc>
              <w:tcPr>
                <w:tcW w:w="3345" w:type="dxa"/>
              </w:tcPr>
              <w:p w14:paraId="103C129C" w14:textId="77777777" w:rsidR="00D87A95" w:rsidRDefault="00D87A95">
                <w:pPr>
                  <w:tabs>
                    <w:tab w:val="right" w:pos="8838"/>
                  </w:tabs>
                  <w:ind w:left="-74" w:right="-105"/>
                </w:pPr>
                <w:r>
                  <w:t xml:space="preserve">06077/INFOEM/IP/RR/2025 </w:t>
                </w:r>
              </w:p>
            </w:tc>
            <w:tc>
              <w:tcPr>
                <w:tcW w:w="3405" w:type="dxa"/>
              </w:tcPr>
              <w:p w14:paraId="6BA2B5BF" w14:textId="77777777" w:rsidR="00D87A95" w:rsidRDefault="00D87A95">
                <w:pPr>
                  <w:tabs>
                    <w:tab w:val="right" w:pos="8838"/>
                  </w:tabs>
                  <w:ind w:left="-74" w:right="-105"/>
                </w:pPr>
              </w:p>
            </w:tc>
          </w:tr>
          <w:tr w:rsidR="00D87A95" w14:paraId="2C00E9EB" w14:textId="77777777">
            <w:trPr>
              <w:trHeight w:val="144"/>
            </w:trPr>
            <w:tc>
              <w:tcPr>
                <w:tcW w:w="2790" w:type="dxa"/>
              </w:tcPr>
              <w:p w14:paraId="54431258" w14:textId="77777777" w:rsidR="00D87A95" w:rsidRDefault="00D87A95">
                <w:pPr>
                  <w:tabs>
                    <w:tab w:val="right" w:pos="8838"/>
                  </w:tabs>
                  <w:ind w:left="-74" w:right="-105"/>
                  <w:rPr>
                    <w:b/>
                  </w:rPr>
                </w:pPr>
                <w:bookmarkStart w:id="1" w:name="_heading=h.3o7alnk" w:colFirst="0" w:colLast="0"/>
                <w:bookmarkEnd w:id="1"/>
                <w:r>
                  <w:rPr>
                    <w:b/>
                  </w:rPr>
                  <w:t>Recurrente:</w:t>
                </w:r>
              </w:p>
            </w:tc>
            <w:tc>
              <w:tcPr>
                <w:tcW w:w="3345" w:type="dxa"/>
              </w:tcPr>
              <w:p w14:paraId="2C239216" w14:textId="6C747AE5" w:rsidR="00D87A95" w:rsidRDefault="0066237A">
                <w:pPr>
                  <w:tabs>
                    <w:tab w:val="left" w:pos="3122"/>
                    <w:tab w:val="right" w:pos="8838"/>
                  </w:tabs>
                  <w:ind w:left="-105" w:right="-105"/>
                </w:pPr>
                <w:r>
                  <w:t>XXXXXXXXXXX X XXXXXX</w:t>
                </w:r>
              </w:p>
            </w:tc>
            <w:tc>
              <w:tcPr>
                <w:tcW w:w="3405" w:type="dxa"/>
              </w:tcPr>
              <w:p w14:paraId="6BA820D8" w14:textId="77777777" w:rsidR="00D87A95" w:rsidRDefault="00D87A95">
                <w:pPr>
                  <w:tabs>
                    <w:tab w:val="left" w:pos="3122"/>
                    <w:tab w:val="right" w:pos="8838"/>
                  </w:tabs>
                  <w:ind w:left="-105" w:right="-105"/>
                </w:pPr>
              </w:p>
            </w:tc>
          </w:tr>
          <w:tr w:rsidR="00D87A95" w14:paraId="19AB0451" w14:textId="77777777">
            <w:trPr>
              <w:trHeight w:val="283"/>
            </w:trPr>
            <w:tc>
              <w:tcPr>
                <w:tcW w:w="2790" w:type="dxa"/>
              </w:tcPr>
              <w:p w14:paraId="3A1AA221" w14:textId="77777777" w:rsidR="00D87A95" w:rsidRDefault="00D87A95">
                <w:pPr>
                  <w:tabs>
                    <w:tab w:val="right" w:pos="8838"/>
                  </w:tabs>
                  <w:ind w:left="-74" w:right="-105"/>
                  <w:rPr>
                    <w:b/>
                  </w:rPr>
                </w:pPr>
                <w:r>
                  <w:rPr>
                    <w:b/>
                  </w:rPr>
                  <w:t>Sujeto Obligado:</w:t>
                </w:r>
              </w:p>
            </w:tc>
            <w:tc>
              <w:tcPr>
                <w:tcW w:w="3345" w:type="dxa"/>
              </w:tcPr>
              <w:p w14:paraId="2ACAA9F3" w14:textId="77777777" w:rsidR="00D87A95" w:rsidRDefault="00D87A95">
                <w:pPr>
                  <w:tabs>
                    <w:tab w:val="left" w:pos="3122"/>
                    <w:tab w:val="right" w:pos="8838"/>
                  </w:tabs>
                  <w:ind w:left="-105" w:right="-105"/>
                  <w:rPr>
                    <w:highlight w:val="yellow"/>
                  </w:rPr>
                </w:pPr>
                <w:r>
                  <w:t>Organismo Público Descentralizado para la Prestación de Los Servicios de Agua Potable Alcantarillado y Saneamiento del Municipio de Tlalnepantla de Baz</w:t>
                </w:r>
              </w:p>
            </w:tc>
            <w:tc>
              <w:tcPr>
                <w:tcW w:w="3405" w:type="dxa"/>
              </w:tcPr>
              <w:p w14:paraId="3BE6A093" w14:textId="77777777" w:rsidR="00D87A95" w:rsidRDefault="00D87A95">
                <w:pPr>
                  <w:tabs>
                    <w:tab w:val="left" w:pos="2834"/>
                    <w:tab w:val="right" w:pos="8838"/>
                  </w:tabs>
                  <w:ind w:left="-108" w:right="-105"/>
                </w:pPr>
              </w:p>
            </w:tc>
          </w:tr>
          <w:tr w:rsidR="00D87A95" w14:paraId="08F2C273" w14:textId="77777777">
            <w:trPr>
              <w:trHeight w:val="283"/>
            </w:trPr>
            <w:tc>
              <w:tcPr>
                <w:tcW w:w="2790" w:type="dxa"/>
              </w:tcPr>
              <w:p w14:paraId="50D153E4" w14:textId="77777777" w:rsidR="00D87A95" w:rsidRDefault="00D87A95">
                <w:pPr>
                  <w:tabs>
                    <w:tab w:val="right" w:pos="8838"/>
                  </w:tabs>
                  <w:ind w:left="-74" w:right="-105"/>
                  <w:rPr>
                    <w:b/>
                  </w:rPr>
                </w:pPr>
                <w:r>
                  <w:rPr>
                    <w:b/>
                  </w:rPr>
                  <w:t>Comisionada Ponente:</w:t>
                </w:r>
              </w:p>
            </w:tc>
            <w:tc>
              <w:tcPr>
                <w:tcW w:w="3345" w:type="dxa"/>
              </w:tcPr>
              <w:p w14:paraId="098C4213" w14:textId="77777777" w:rsidR="00D87A95" w:rsidRDefault="00D87A95">
                <w:pPr>
                  <w:tabs>
                    <w:tab w:val="right" w:pos="8838"/>
                  </w:tabs>
                  <w:ind w:left="-108" w:right="-105"/>
                </w:pPr>
                <w:r>
                  <w:t>Sharon Cristina Morales Martínez</w:t>
                </w:r>
              </w:p>
            </w:tc>
            <w:tc>
              <w:tcPr>
                <w:tcW w:w="3405" w:type="dxa"/>
              </w:tcPr>
              <w:p w14:paraId="64CF8A1F" w14:textId="77777777" w:rsidR="00D87A95" w:rsidRDefault="00D87A95">
                <w:pPr>
                  <w:tabs>
                    <w:tab w:val="right" w:pos="8838"/>
                  </w:tabs>
                  <w:ind w:left="-108" w:right="-105"/>
                </w:pPr>
              </w:p>
            </w:tc>
          </w:tr>
        </w:tbl>
        <w:p w14:paraId="641A5A91" w14:textId="77777777" w:rsidR="00D87A95" w:rsidRDefault="00D87A95">
          <w:pPr>
            <w:tabs>
              <w:tab w:val="right" w:pos="8838"/>
            </w:tabs>
            <w:ind w:left="-28"/>
            <w:rPr>
              <w:rFonts w:ascii="Arial" w:eastAsia="Arial" w:hAnsi="Arial" w:cs="Arial"/>
              <w:b/>
            </w:rPr>
          </w:pPr>
        </w:p>
      </w:tc>
    </w:tr>
  </w:tbl>
  <w:p w14:paraId="4CDC1B57" w14:textId="4F0C54DF" w:rsidR="00D87A95" w:rsidRDefault="00D87A95">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2B0B"/>
    <w:multiLevelType w:val="multilevel"/>
    <w:tmpl w:val="00A40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4D4A33"/>
    <w:multiLevelType w:val="hybridMultilevel"/>
    <w:tmpl w:val="08564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F821DF"/>
    <w:multiLevelType w:val="multilevel"/>
    <w:tmpl w:val="50649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874DEF"/>
    <w:multiLevelType w:val="hybridMultilevel"/>
    <w:tmpl w:val="08564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471F1"/>
    <w:multiLevelType w:val="multilevel"/>
    <w:tmpl w:val="F418E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9965CD"/>
    <w:multiLevelType w:val="multilevel"/>
    <w:tmpl w:val="5906A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2656E5"/>
    <w:multiLevelType w:val="hybridMultilevel"/>
    <w:tmpl w:val="D85031C0"/>
    <w:lvl w:ilvl="0" w:tplc="6622A6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CC"/>
    <w:rsid w:val="00033970"/>
    <w:rsid w:val="000D65DD"/>
    <w:rsid w:val="001847CD"/>
    <w:rsid w:val="002C308C"/>
    <w:rsid w:val="00392087"/>
    <w:rsid w:val="003A718E"/>
    <w:rsid w:val="00582DD5"/>
    <w:rsid w:val="005A61F5"/>
    <w:rsid w:val="005E4317"/>
    <w:rsid w:val="0066237A"/>
    <w:rsid w:val="007229DE"/>
    <w:rsid w:val="00842586"/>
    <w:rsid w:val="008C22FE"/>
    <w:rsid w:val="009429D0"/>
    <w:rsid w:val="00B04DB7"/>
    <w:rsid w:val="00B421CC"/>
    <w:rsid w:val="00D10CF6"/>
    <w:rsid w:val="00D33BD9"/>
    <w:rsid w:val="00D81C80"/>
    <w:rsid w:val="00D87A95"/>
    <w:rsid w:val="00DA2512"/>
    <w:rsid w:val="00DB7E49"/>
    <w:rsid w:val="00DE1A30"/>
    <w:rsid w:val="00E662EE"/>
    <w:rsid w:val="00E74062"/>
    <w:rsid w:val="00E9326D"/>
    <w:rsid w:val="00EB4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5B5180"/>
  <w15:docId w15:val="{EF0D3546-D68E-4074-83BB-DCFD3827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line="240" w:lineRule="auto"/>
    </w:pPr>
    <w:tblPr>
      <w:tblStyleRowBandSize w:val="1"/>
      <w:tblStyleColBandSize w:val="1"/>
      <w:tblCellMar>
        <w:left w:w="108" w:type="dxa"/>
        <w:right w:w="108" w:type="dxa"/>
      </w:tblCellMar>
    </w:tblPr>
  </w:style>
  <w:style w:type="character" w:customStyle="1" w:styleId="ng-star-inserted">
    <w:name w:val="ng-star-inserted"/>
    <w:basedOn w:val="Fuentedeprrafopredeter"/>
    <w:rsid w:val="00F93F0B"/>
  </w:style>
  <w:style w:type="character" w:customStyle="1" w:styleId="mdc-buttonlabel">
    <w:name w:val="mdc-button__label"/>
    <w:basedOn w:val="Fuentedeprrafopredeter"/>
    <w:rsid w:val="00F93F0B"/>
  </w:style>
  <w:style w:type="paragraph" w:styleId="Subttulo">
    <w:name w:val="Subtitle"/>
    <w:basedOn w:val="Normal"/>
    <w:next w:val="Normal"/>
    <w:rPr>
      <w:color w:val="595959"/>
      <w:sz w:val="28"/>
      <w:szCs w:val="28"/>
    </w:r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1573">
      <w:bodyDiv w:val="1"/>
      <w:marLeft w:val="0"/>
      <w:marRight w:val="0"/>
      <w:marTop w:val="0"/>
      <w:marBottom w:val="0"/>
      <w:divBdr>
        <w:top w:val="none" w:sz="0" w:space="0" w:color="auto"/>
        <w:left w:val="none" w:sz="0" w:space="0" w:color="auto"/>
        <w:bottom w:val="none" w:sz="0" w:space="0" w:color="auto"/>
        <w:right w:val="none" w:sz="0" w:space="0" w:color="auto"/>
      </w:divBdr>
    </w:div>
    <w:div w:id="951940515">
      <w:bodyDiv w:val="1"/>
      <w:marLeft w:val="0"/>
      <w:marRight w:val="0"/>
      <w:marTop w:val="0"/>
      <w:marBottom w:val="0"/>
      <w:divBdr>
        <w:top w:val="none" w:sz="0" w:space="0" w:color="auto"/>
        <w:left w:val="none" w:sz="0" w:space="0" w:color="auto"/>
        <w:bottom w:val="none" w:sz="0" w:space="0" w:color="auto"/>
        <w:right w:val="none" w:sz="0" w:space="0" w:color="auto"/>
      </w:divBdr>
    </w:div>
    <w:div w:id="1160776824">
      <w:bodyDiv w:val="1"/>
      <w:marLeft w:val="0"/>
      <w:marRight w:val="0"/>
      <w:marTop w:val="0"/>
      <w:marBottom w:val="0"/>
      <w:divBdr>
        <w:top w:val="none" w:sz="0" w:space="0" w:color="auto"/>
        <w:left w:val="none" w:sz="0" w:space="0" w:color="auto"/>
        <w:bottom w:val="none" w:sz="0" w:space="0" w:color="auto"/>
        <w:right w:val="none" w:sz="0" w:space="0" w:color="auto"/>
      </w:divBdr>
    </w:div>
    <w:div w:id="182769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CYPy4U+b+6os3MqF+brRg3l5w==">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8311</Words>
  <Characters>45711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INFOEM381</cp:lastModifiedBy>
  <cp:revision>7</cp:revision>
  <dcterms:created xsi:type="dcterms:W3CDTF">2025-07-14T21:26:00Z</dcterms:created>
  <dcterms:modified xsi:type="dcterms:W3CDTF">2025-08-19T20:23:00Z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