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Resolución del Pleno del Instituto de Transparencia, Acceso a la Información Pública y Protección de Datos Personales del Estado de México y Municipios, con domicilio en Metepec, Estado de México, a quince de octubre de dos mil veinticinco.</w:t>
      </w:r>
    </w:p>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p>
    <w:p w:rsidR="005E60D6" w:rsidRPr="00C120E7" w:rsidRDefault="005E60D6" w:rsidP="005E60D6">
      <w:pPr>
        <w:tabs>
          <w:tab w:val="left" w:pos="1701"/>
        </w:tabs>
        <w:spacing w:before="240" w:after="0" w:line="360" w:lineRule="auto"/>
        <w:jc w:val="both"/>
        <w:rPr>
          <w:rFonts w:ascii="Palatino Linotype" w:eastAsia="Times New Roman" w:hAnsi="Palatino Linotype" w:cs="Arial"/>
          <w:sz w:val="28"/>
          <w:szCs w:val="24"/>
          <w:lang w:val="es-ES" w:eastAsia="es-ES"/>
        </w:rPr>
      </w:pPr>
      <w:r w:rsidRPr="00C120E7">
        <w:rPr>
          <w:rFonts w:ascii="Palatino Linotype" w:eastAsia="Times New Roman" w:hAnsi="Palatino Linotype" w:cs="Arial"/>
          <w:b/>
          <w:sz w:val="24"/>
          <w:szCs w:val="24"/>
          <w:lang w:val="es-ES" w:eastAsia="es-ES"/>
        </w:rPr>
        <w:t>VISTO</w:t>
      </w:r>
      <w:r w:rsidRPr="00C120E7">
        <w:rPr>
          <w:rFonts w:ascii="Palatino Linotype" w:eastAsia="Times New Roman" w:hAnsi="Palatino Linotype" w:cs="Arial"/>
          <w:sz w:val="24"/>
          <w:szCs w:val="24"/>
          <w:lang w:val="es-ES" w:eastAsia="es-ES"/>
        </w:rPr>
        <w:t xml:space="preserve"> el expediente electrónico formado con motivo del recurso de revisión número</w:t>
      </w:r>
      <w:r w:rsidRPr="00C120E7">
        <w:rPr>
          <w:rFonts w:ascii="Palatino Linotype" w:eastAsia="Times New Roman" w:hAnsi="Palatino Linotype" w:cs="Arial"/>
          <w:b/>
          <w:sz w:val="24"/>
          <w:szCs w:val="24"/>
          <w:lang w:val="es-ES" w:eastAsia="es-ES"/>
        </w:rPr>
        <w:t xml:space="preserve"> </w:t>
      </w:r>
      <w:bookmarkStart w:id="0" w:name="_GoBack"/>
      <w:r w:rsidRPr="00C120E7">
        <w:rPr>
          <w:rFonts w:ascii="Palatino Linotype" w:eastAsia="Times New Roman" w:hAnsi="Palatino Linotype" w:cs="Arial"/>
          <w:b/>
          <w:bCs/>
          <w:sz w:val="24"/>
          <w:szCs w:val="24"/>
          <w:lang w:val="es-ES" w:eastAsia="es-MX"/>
        </w:rPr>
        <w:t>10750/INFOEM/IP/RR/2025</w:t>
      </w:r>
      <w:bookmarkEnd w:id="0"/>
      <w:r w:rsidRPr="00C120E7">
        <w:rPr>
          <w:rFonts w:ascii="Palatino Linotype" w:eastAsia="Times New Roman" w:hAnsi="Palatino Linotype" w:cs="Arial"/>
          <w:b/>
          <w:bCs/>
          <w:sz w:val="24"/>
          <w:szCs w:val="24"/>
          <w:lang w:val="es-ES" w:eastAsia="es-MX"/>
        </w:rPr>
        <w:t xml:space="preserve">, </w:t>
      </w:r>
      <w:r w:rsidRPr="00C120E7">
        <w:rPr>
          <w:rFonts w:ascii="Palatino Linotype" w:eastAsia="Times New Roman" w:hAnsi="Palatino Linotype" w:cs="Times New Roman"/>
          <w:sz w:val="24"/>
          <w:szCs w:val="24"/>
          <w:lang w:val="es-ES" w:eastAsia="es-ES"/>
        </w:rPr>
        <w:t xml:space="preserve">interpuesto por un particular que no proporcionó nombre o seudónimo, en lo sucesivo la parte </w:t>
      </w:r>
      <w:r w:rsidRPr="00C120E7">
        <w:rPr>
          <w:rFonts w:ascii="Palatino Linotype" w:eastAsia="Times New Roman" w:hAnsi="Palatino Linotype" w:cs="Times New Roman"/>
          <w:b/>
          <w:sz w:val="24"/>
          <w:szCs w:val="24"/>
          <w:lang w:val="es-ES" w:eastAsia="es-ES"/>
        </w:rPr>
        <w:t>Recurrente</w:t>
      </w:r>
      <w:r w:rsidRPr="00C120E7">
        <w:rPr>
          <w:rFonts w:ascii="Palatino Linotype" w:eastAsia="Times New Roman" w:hAnsi="Palatino Linotype" w:cs="Times New Roman"/>
          <w:sz w:val="24"/>
          <w:szCs w:val="24"/>
          <w:lang w:val="es-ES" w:eastAsia="es-ES"/>
        </w:rPr>
        <w:t xml:space="preserve">, en lo sucesivo la parte </w:t>
      </w:r>
      <w:r w:rsidRPr="00C120E7">
        <w:rPr>
          <w:rFonts w:ascii="Palatino Linotype" w:eastAsia="Times New Roman" w:hAnsi="Palatino Linotype" w:cs="Times New Roman"/>
          <w:b/>
          <w:sz w:val="24"/>
          <w:szCs w:val="24"/>
          <w:lang w:val="es-ES" w:eastAsia="es-ES"/>
        </w:rPr>
        <w:t>Recurrente</w:t>
      </w:r>
      <w:r w:rsidRPr="00C120E7">
        <w:rPr>
          <w:rFonts w:ascii="Palatino Linotype" w:eastAsia="Times New Roman" w:hAnsi="Palatino Linotype" w:cs="Times New Roman"/>
          <w:sz w:val="24"/>
          <w:szCs w:val="24"/>
          <w:lang w:val="es-ES" w:eastAsia="es-ES"/>
        </w:rPr>
        <w:t xml:space="preserve">, en contra de la respuesta del </w:t>
      </w:r>
      <w:r w:rsidRPr="00C120E7">
        <w:rPr>
          <w:rFonts w:ascii="Palatino Linotype" w:eastAsia="Times New Roman" w:hAnsi="Palatino Linotype" w:cs="Times New Roman"/>
          <w:b/>
          <w:sz w:val="24"/>
          <w:szCs w:val="24"/>
          <w:lang w:val="es-ES" w:eastAsia="es-ES"/>
        </w:rPr>
        <w:t>Instituto Mexiquense de la Vivienda Social</w:t>
      </w:r>
      <w:r w:rsidRPr="00C120E7">
        <w:rPr>
          <w:rFonts w:ascii="Palatino Linotype" w:eastAsia="Times New Roman" w:hAnsi="Palatino Linotype" w:cs="Times New Roman"/>
          <w:sz w:val="24"/>
          <w:szCs w:val="24"/>
          <w:lang w:val="es-ES" w:eastAsia="es-ES"/>
        </w:rPr>
        <w:t xml:space="preserve">, en lo subsecuente el </w:t>
      </w:r>
      <w:r w:rsidRPr="00C120E7">
        <w:rPr>
          <w:rFonts w:ascii="Palatino Linotype" w:eastAsia="Times New Roman" w:hAnsi="Palatino Linotype" w:cs="Times New Roman"/>
          <w:b/>
          <w:sz w:val="24"/>
          <w:szCs w:val="24"/>
          <w:lang w:val="es-ES" w:eastAsia="es-ES"/>
        </w:rPr>
        <w:t>Sujeto Obligado</w:t>
      </w:r>
      <w:r w:rsidRPr="00C120E7">
        <w:rPr>
          <w:rFonts w:ascii="Palatino Linotype" w:eastAsia="Times New Roman" w:hAnsi="Palatino Linotype" w:cs="Times New Roman"/>
          <w:sz w:val="24"/>
          <w:szCs w:val="24"/>
          <w:lang w:val="es-ES" w:eastAsia="es-ES"/>
        </w:rPr>
        <w:t>, se procede a dictar la presente resolución.</w:t>
      </w:r>
    </w:p>
    <w:p w:rsidR="005E60D6" w:rsidRPr="00C120E7" w:rsidRDefault="005E60D6" w:rsidP="005E60D6">
      <w:pPr>
        <w:spacing w:before="240" w:line="360" w:lineRule="auto"/>
        <w:ind w:left="851" w:right="851"/>
        <w:jc w:val="center"/>
        <w:rPr>
          <w:rFonts w:ascii="Palatino Linotype" w:eastAsia="Calibri" w:hAnsi="Palatino Linotype" w:cs="Times New Roman"/>
          <w:b/>
          <w:bCs/>
          <w:iCs/>
          <w:sz w:val="24"/>
          <w:szCs w:val="28"/>
        </w:rPr>
      </w:pPr>
    </w:p>
    <w:p w:rsidR="005E60D6" w:rsidRPr="00C120E7" w:rsidRDefault="005E60D6" w:rsidP="005E60D6">
      <w:pPr>
        <w:spacing w:before="240" w:line="360" w:lineRule="auto"/>
        <w:ind w:left="851" w:right="851"/>
        <w:jc w:val="center"/>
        <w:rPr>
          <w:rFonts w:ascii="Palatino Linotype" w:eastAsia="Calibri" w:hAnsi="Palatino Linotype" w:cs="Times New Roman"/>
          <w:b/>
          <w:bCs/>
          <w:iCs/>
          <w:sz w:val="28"/>
          <w:szCs w:val="28"/>
        </w:rPr>
      </w:pPr>
      <w:r w:rsidRPr="00C120E7">
        <w:rPr>
          <w:rFonts w:ascii="Palatino Linotype" w:eastAsia="Calibri" w:hAnsi="Palatino Linotype" w:cs="Times New Roman"/>
          <w:b/>
          <w:bCs/>
          <w:iCs/>
          <w:sz w:val="28"/>
          <w:szCs w:val="28"/>
        </w:rPr>
        <w:t>A N T E C E D E N T E S   D E L   A S U N T O</w:t>
      </w:r>
    </w:p>
    <w:p w:rsidR="005E60D6" w:rsidRPr="00C120E7" w:rsidRDefault="005E60D6" w:rsidP="005E60D6">
      <w:pPr>
        <w:spacing w:before="240" w:line="360" w:lineRule="auto"/>
        <w:ind w:left="851" w:right="851"/>
        <w:jc w:val="center"/>
        <w:rPr>
          <w:rFonts w:ascii="Palatino Linotype" w:eastAsia="Calibri" w:hAnsi="Palatino Linotype" w:cs="Times New Roman"/>
          <w:b/>
          <w:bCs/>
          <w:iCs/>
          <w:sz w:val="24"/>
          <w:szCs w:val="28"/>
        </w:rPr>
      </w:pPr>
    </w:p>
    <w:p w:rsidR="005E60D6" w:rsidRPr="00C120E7" w:rsidRDefault="005E60D6" w:rsidP="005E60D6">
      <w:pPr>
        <w:spacing w:before="240" w:after="24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Arial"/>
          <w:b/>
          <w:sz w:val="28"/>
          <w:szCs w:val="24"/>
          <w:lang w:val="es-ES" w:eastAsia="es-ES"/>
        </w:rPr>
        <w:t>PRIMERO.</w:t>
      </w:r>
      <w:r w:rsidRPr="00C120E7">
        <w:rPr>
          <w:rFonts w:ascii="Palatino Linotype" w:eastAsia="Times New Roman" w:hAnsi="Palatino Linotype" w:cs="Arial"/>
          <w:sz w:val="24"/>
          <w:szCs w:val="24"/>
          <w:lang w:val="es-ES" w:eastAsia="es-ES"/>
        </w:rPr>
        <w:t xml:space="preserve"> </w:t>
      </w:r>
      <w:r w:rsidRPr="00C120E7">
        <w:rPr>
          <w:rFonts w:ascii="Palatino Linotype" w:eastAsia="Times New Roman" w:hAnsi="Palatino Linotype" w:cs="Times New Roman"/>
          <w:b/>
          <w:sz w:val="28"/>
          <w:szCs w:val="28"/>
          <w:lang w:val="es-ES" w:eastAsia="es-ES"/>
        </w:rPr>
        <w:t>De la Solicitud de Información.</w:t>
      </w:r>
    </w:p>
    <w:p w:rsidR="005E60D6" w:rsidRPr="00C120E7" w:rsidRDefault="005E60D6" w:rsidP="005E60D6">
      <w:pPr>
        <w:spacing w:before="240"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Con fecha </w:t>
      </w:r>
      <w:r w:rsidRPr="00C120E7">
        <w:rPr>
          <w:rFonts w:ascii="Palatino Linotype" w:eastAsia="Times New Roman" w:hAnsi="Palatino Linotype" w:cs="Arial"/>
          <w:b/>
          <w:sz w:val="24"/>
          <w:szCs w:val="24"/>
          <w:lang w:val="es-ES" w:eastAsia="es-ES"/>
        </w:rPr>
        <w:t>cuatro de agosto de dos mil veinticinco</w:t>
      </w:r>
      <w:r w:rsidRPr="00C120E7">
        <w:rPr>
          <w:rFonts w:ascii="Palatino Linotype" w:eastAsia="Times New Roman" w:hAnsi="Palatino Linotype" w:cs="Arial"/>
          <w:sz w:val="24"/>
          <w:szCs w:val="24"/>
          <w:lang w:val="es-ES" w:eastAsia="es-ES"/>
        </w:rPr>
        <w:t>, la parte</w:t>
      </w:r>
      <w:r w:rsidRPr="00C120E7">
        <w:rPr>
          <w:rFonts w:ascii="Palatino Linotype" w:eastAsia="Times New Roman" w:hAnsi="Palatino Linotype" w:cs="Arial"/>
          <w:b/>
          <w:sz w:val="24"/>
          <w:szCs w:val="24"/>
          <w:lang w:val="es-ES" w:eastAsia="es-ES"/>
        </w:rPr>
        <w:t xml:space="preserve"> Recurrente </w:t>
      </w:r>
      <w:r w:rsidRPr="00C120E7">
        <w:rPr>
          <w:rFonts w:ascii="Palatino Linotype" w:eastAsia="Times New Roman" w:hAnsi="Palatino Linotype" w:cs="Arial"/>
          <w:sz w:val="24"/>
          <w:szCs w:val="24"/>
          <w:lang w:val="es-ES" w:eastAsia="es-ES"/>
        </w:rPr>
        <w:t>presentó a través del Sistema de Acceso a la Información Mexiquense (</w:t>
      </w:r>
      <w:r w:rsidRPr="00C120E7">
        <w:rPr>
          <w:rFonts w:ascii="Palatino Linotype" w:eastAsia="Times New Roman" w:hAnsi="Palatino Linotype" w:cs="Arial"/>
          <w:b/>
          <w:sz w:val="24"/>
          <w:szCs w:val="24"/>
          <w:lang w:val="es-ES" w:eastAsia="es-ES"/>
        </w:rPr>
        <w:t>SAIMEX)</w:t>
      </w:r>
      <w:r w:rsidRPr="00C120E7">
        <w:rPr>
          <w:rFonts w:ascii="Palatino Linotype" w:eastAsia="Times New Roman" w:hAnsi="Palatino Linotype" w:cs="Arial"/>
          <w:sz w:val="24"/>
          <w:szCs w:val="24"/>
          <w:lang w:val="es-ES" w:eastAsia="es-ES"/>
        </w:rPr>
        <w:t xml:space="preserve"> ante </w:t>
      </w:r>
      <w:r w:rsidRPr="00C120E7">
        <w:rPr>
          <w:rFonts w:ascii="Palatino Linotype" w:eastAsia="Times New Roman" w:hAnsi="Palatino Linotype" w:cs="Arial"/>
          <w:b/>
          <w:sz w:val="24"/>
          <w:szCs w:val="24"/>
          <w:lang w:val="es-ES" w:eastAsia="es-ES"/>
        </w:rPr>
        <w:t>El Sujeto Obligado</w:t>
      </w:r>
      <w:r w:rsidRPr="00C120E7">
        <w:rPr>
          <w:rFonts w:ascii="Palatino Linotype" w:eastAsia="Times New Roman" w:hAnsi="Palatino Linotype" w:cs="Arial"/>
          <w:sz w:val="24"/>
          <w:szCs w:val="24"/>
          <w:lang w:val="es-ES" w:eastAsia="es-ES"/>
        </w:rPr>
        <w:t xml:space="preserve">, solicitud de acceso a la información pública, registrada bajo el número de expediente </w:t>
      </w:r>
      <w:r w:rsidRPr="00C120E7">
        <w:rPr>
          <w:rFonts w:ascii="Palatino Linotype" w:eastAsia="Times New Roman" w:hAnsi="Palatino Linotype" w:cs="Arial"/>
          <w:b/>
          <w:sz w:val="24"/>
          <w:szCs w:val="24"/>
          <w:lang w:val="es-ES" w:eastAsia="es-ES"/>
        </w:rPr>
        <w:t xml:space="preserve">00080/IMEVIS/IP/2025, </w:t>
      </w:r>
      <w:r w:rsidRPr="00C120E7">
        <w:rPr>
          <w:rFonts w:ascii="Palatino Linotype" w:eastAsia="Times New Roman" w:hAnsi="Palatino Linotype" w:cs="Arial"/>
          <w:sz w:val="24"/>
          <w:szCs w:val="24"/>
          <w:lang w:val="es-ES" w:eastAsia="es-ES"/>
        </w:rPr>
        <w:t>mediante la cual solicitó información en el tenor siguiente:</w:t>
      </w:r>
    </w:p>
    <w:p w:rsidR="005E60D6" w:rsidRPr="00C120E7" w:rsidRDefault="005E60D6" w:rsidP="005E60D6">
      <w:pPr>
        <w:spacing w:before="240" w:line="360" w:lineRule="auto"/>
        <w:ind w:left="851" w:right="851"/>
        <w:jc w:val="both"/>
        <w:rPr>
          <w:rFonts w:ascii="Palatino Linotype" w:eastAsia="Calibri" w:hAnsi="Palatino Linotype" w:cs="Times New Roman"/>
          <w:i/>
          <w:szCs w:val="14"/>
          <w:lang w:val="es-ES_tradnl" w:eastAsia="es-ES"/>
        </w:rPr>
      </w:pPr>
      <w:r w:rsidRPr="00C120E7">
        <w:rPr>
          <w:rFonts w:ascii="Palatino Linotype" w:eastAsia="Calibri" w:hAnsi="Palatino Linotype" w:cs="Times New Roman"/>
          <w:i/>
          <w:szCs w:val="14"/>
          <w:lang w:val="es-ES_tradnl" w:eastAsia="es-ES"/>
        </w:rPr>
        <w:lastRenderedPageBreak/>
        <w:t>“</w:t>
      </w:r>
      <w:r w:rsidRPr="00C120E7">
        <w:rPr>
          <w:rFonts w:ascii="Palatino Linotype" w:eastAsia="Calibri" w:hAnsi="Palatino Linotype" w:cs="Times New Roman"/>
          <w:i/>
          <w:szCs w:val="14"/>
          <w:lang w:val="es-ES" w:eastAsia="es-ES"/>
        </w:rPr>
        <w:t xml:space="preserve">Quiero que se me entreguen los recibos de </w:t>
      </w:r>
      <w:proofErr w:type="spellStart"/>
      <w:r w:rsidRPr="00C120E7">
        <w:rPr>
          <w:rFonts w:ascii="Palatino Linotype" w:eastAsia="Calibri" w:hAnsi="Palatino Linotype" w:cs="Times New Roman"/>
          <w:i/>
          <w:szCs w:val="14"/>
          <w:lang w:val="es-ES" w:eastAsia="es-ES"/>
        </w:rPr>
        <w:t>nomina</w:t>
      </w:r>
      <w:proofErr w:type="spellEnd"/>
      <w:r w:rsidRPr="00C120E7">
        <w:rPr>
          <w:rFonts w:ascii="Palatino Linotype" w:eastAsia="Calibri" w:hAnsi="Palatino Linotype" w:cs="Times New Roman"/>
          <w:i/>
          <w:szCs w:val="14"/>
          <w:lang w:val="es-ES" w:eastAsia="es-ES"/>
        </w:rPr>
        <w:t xml:space="preserve"> de todos los empleados del IMEVIS de enero a julio de 2025 así como copia digital de los gafetes de todos los empleados en donde se pueda ver la fotografía, nombre completo y puesto</w:t>
      </w:r>
      <w:r w:rsidRPr="00C120E7">
        <w:rPr>
          <w:rFonts w:ascii="Palatino Linotype" w:eastAsia="Calibri" w:hAnsi="Palatino Linotype" w:cs="Times New Roman"/>
          <w:i/>
          <w:szCs w:val="14"/>
          <w:lang w:val="es-ES_tradnl" w:eastAsia="es-ES"/>
        </w:rPr>
        <w:t>” (Sic)</w:t>
      </w:r>
    </w:p>
    <w:p w:rsidR="005E60D6" w:rsidRPr="00C120E7" w:rsidRDefault="005E60D6" w:rsidP="005E60D6">
      <w:pPr>
        <w:spacing w:before="240" w:after="0" w:line="360" w:lineRule="auto"/>
        <w:jc w:val="both"/>
        <w:rPr>
          <w:rFonts w:ascii="Palatino Linotype" w:eastAsia="Times New Roman" w:hAnsi="Palatino Linotype" w:cs="Times New Roman"/>
          <w:sz w:val="24"/>
          <w:szCs w:val="24"/>
          <w:lang w:val="es-ES_tradnl" w:eastAsia="es-ES"/>
        </w:rPr>
      </w:pPr>
      <w:r w:rsidRPr="00C120E7">
        <w:rPr>
          <w:rFonts w:ascii="Palatino Linotype" w:eastAsia="Times New Roman" w:hAnsi="Palatino Linotype" w:cs="Times New Roman"/>
          <w:b/>
          <w:sz w:val="24"/>
          <w:szCs w:val="24"/>
          <w:lang w:val="es-ES_tradnl" w:eastAsia="es-ES"/>
        </w:rPr>
        <w:t>Modalidad de entrega:</w:t>
      </w:r>
      <w:r w:rsidRPr="00C120E7">
        <w:rPr>
          <w:rFonts w:ascii="Palatino Linotype" w:eastAsia="Times New Roman" w:hAnsi="Palatino Linotype" w:cs="Times New Roman"/>
          <w:sz w:val="24"/>
          <w:szCs w:val="24"/>
          <w:lang w:val="es-ES_tradnl" w:eastAsia="es-ES"/>
        </w:rPr>
        <w:t xml:space="preserve"> A través del SAIMEX.</w:t>
      </w:r>
    </w:p>
    <w:p w:rsidR="005E60D6" w:rsidRPr="00C120E7" w:rsidRDefault="005E60D6" w:rsidP="005E60D6">
      <w:pPr>
        <w:spacing w:before="240" w:after="0" w:line="360" w:lineRule="auto"/>
        <w:jc w:val="both"/>
        <w:rPr>
          <w:rFonts w:ascii="Palatino Linotype" w:eastAsia="Times New Roman" w:hAnsi="Palatino Linotype" w:cs="Arial"/>
          <w:b/>
          <w:sz w:val="28"/>
          <w:szCs w:val="24"/>
          <w:lang w:val="es-ES" w:eastAsia="es-ES"/>
        </w:rPr>
      </w:pPr>
    </w:p>
    <w:p w:rsidR="005E60D6" w:rsidRPr="00C120E7" w:rsidRDefault="005E60D6" w:rsidP="005E60D6">
      <w:pPr>
        <w:spacing w:after="0" w:line="360" w:lineRule="auto"/>
        <w:jc w:val="both"/>
        <w:rPr>
          <w:rFonts w:ascii="Times New Roman" w:eastAsia="Times New Roman" w:hAnsi="Times New Roman" w:cs="Times New Roman"/>
          <w:sz w:val="24"/>
          <w:szCs w:val="24"/>
          <w:lang w:val="es-ES" w:eastAsia="es-ES"/>
        </w:rPr>
      </w:pPr>
      <w:r w:rsidRPr="00C120E7">
        <w:rPr>
          <w:rFonts w:ascii="Palatino Linotype" w:eastAsia="Times New Roman" w:hAnsi="Palatino Linotype" w:cs="Arial"/>
          <w:b/>
          <w:sz w:val="28"/>
          <w:szCs w:val="24"/>
          <w:lang w:val="es-ES" w:eastAsia="es-ES"/>
        </w:rPr>
        <w:t xml:space="preserve">SEGUNDO. </w:t>
      </w:r>
      <w:r w:rsidRPr="00C120E7">
        <w:rPr>
          <w:rFonts w:ascii="Palatino Linotype" w:eastAsia="Times New Roman" w:hAnsi="Palatino Linotype" w:cs="Arial"/>
          <w:b/>
          <w:sz w:val="28"/>
          <w:szCs w:val="20"/>
          <w:lang w:val="es-ES" w:eastAsia="es-ES"/>
        </w:rPr>
        <w:t>De la respuesta o entrega de la información.</w:t>
      </w:r>
    </w:p>
    <w:p w:rsidR="005E60D6" w:rsidRPr="00C120E7" w:rsidRDefault="005E60D6" w:rsidP="005E60D6">
      <w:pPr>
        <w:spacing w:after="0" w:line="360" w:lineRule="auto"/>
        <w:jc w:val="both"/>
        <w:rPr>
          <w:rFonts w:ascii="Palatino Linotype" w:eastAsia="Calibri" w:hAnsi="Palatino Linotype" w:cs="Arial"/>
          <w:b/>
          <w:sz w:val="24"/>
        </w:rPr>
      </w:pPr>
      <w:r w:rsidRPr="00C120E7">
        <w:rPr>
          <w:rFonts w:ascii="Palatino Linotype" w:eastAsia="Calibri" w:hAnsi="Palatino Linotype" w:cs="Times New Roman"/>
          <w:sz w:val="24"/>
        </w:rPr>
        <w:t xml:space="preserve">De las constancias que obran en el expediente electrónico, se advierte que el </w:t>
      </w:r>
      <w:r w:rsidRPr="00C120E7">
        <w:rPr>
          <w:rFonts w:ascii="Palatino Linotype" w:eastAsia="Calibri" w:hAnsi="Palatino Linotype" w:cs="Arial"/>
          <w:sz w:val="24"/>
        </w:rPr>
        <w:t xml:space="preserve">día </w:t>
      </w:r>
      <w:r w:rsidRPr="00C120E7">
        <w:rPr>
          <w:rFonts w:ascii="Palatino Linotype" w:eastAsia="Calibri" w:hAnsi="Palatino Linotype" w:cs="Arial"/>
          <w:b/>
          <w:sz w:val="24"/>
        </w:rPr>
        <w:t>veinticinco de agosto de dos mil veinticinco</w:t>
      </w:r>
      <w:r w:rsidRPr="00C120E7">
        <w:rPr>
          <w:rFonts w:ascii="Palatino Linotype" w:eastAsia="Calibri" w:hAnsi="Palatino Linotype" w:cs="Arial"/>
          <w:sz w:val="24"/>
        </w:rPr>
        <w:t xml:space="preserve">, el </w:t>
      </w:r>
      <w:r w:rsidRPr="00C120E7">
        <w:rPr>
          <w:rFonts w:ascii="Palatino Linotype" w:eastAsia="Calibri" w:hAnsi="Palatino Linotype" w:cs="Arial"/>
          <w:b/>
          <w:sz w:val="24"/>
        </w:rPr>
        <w:t>Sujeto Obligado</w:t>
      </w:r>
      <w:r w:rsidRPr="00C120E7">
        <w:rPr>
          <w:rFonts w:ascii="Palatino Linotype" w:eastAsia="Calibri" w:hAnsi="Palatino Linotype" w:cs="Arial"/>
          <w:sz w:val="24"/>
        </w:rPr>
        <w:t xml:space="preserve"> dio respuesta a la solicitud de información en los siguientes términos: </w:t>
      </w: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after="0" w:line="240" w:lineRule="auto"/>
        <w:ind w:left="567" w:right="567"/>
        <w:jc w:val="both"/>
        <w:rPr>
          <w:rFonts w:ascii="Palatino Linotype" w:eastAsia="Times New Roman" w:hAnsi="Palatino Linotype" w:cs="Arial"/>
          <w:i/>
          <w:sz w:val="24"/>
          <w:szCs w:val="24"/>
          <w:lang w:val="es-ES" w:eastAsia="es-ES"/>
        </w:rPr>
      </w:pPr>
      <w:r w:rsidRPr="00C120E7">
        <w:rPr>
          <w:rFonts w:ascii="Palatino Linotype" w:eastAsia="Times New Roman" w:hAnsi="Palatino Linotype" w:cs="Arial"/>
          <w:i/>
          <w:sz w:val="24"/>
          <w:szCs w:val="24"/>
          <w:lang w:val="es-ES" w:eastAsia="es-ES"/>
        </w:rPr>
        <w:t>“Se anexa oficio de respuesta número 230C0101000200S/UT/442/2025 de fecha 25 de agosto del 2025, y anexos.</w:t>
      </w:r>
    </w:p>
    <w:p w:rsidR="005E60D6" w:rsidRPr="00C120E7" w:rsidRDefault="005E60D6" w:rsidP="005E60D6">
      <w:pPr>
        <w:spacing w:after="0" w:line="240" w:lineRule="auto"/>
        <w:ind w:left="567" w:right="567"/>
        <w:jc w:val="both"/>
        <w:rPr>
          <w:rFonts w:ascii="Palatino Linotype" w:eastAsia="Times New Roman" w:hAnsi="Palatino Linotype" w:cs="Arial"/>
          <w:i/>
          <w:sz w:val="24"/>
          <w:szCs w:val="24"/>
          <w:lang w:val="es-ES" w:eastAsia="es-ES"/>
        </w:rPr>
      </w:pPr>
      <w:r w:rsidRPr="00C120E7">
        <w:rPr>
          <w:rFonts w:ascii="Palatino Linotype" w:eastAsia="Times New Roman" w:hAnsi="Palatino Linotype" w:cs="Arial"/>
          <w:i/>
          <w:sz w:val="24"/>
          <w:szCs w:val="24"/>
          <w:lang w:val="es-ES" w:eastAsia="es-ES"/>
        </w:rPr>
        <w:t>ATENTAMENTE</w:t>
      </w:r>
    </w:p>
    <w:p w:rsidR="005E60D6" w:rsidRPr="00C120E7" w:rsidRDefault="005E60D6" w:rsidP="005E60D6">
      <w:pPr>
        <w:spacing w:after="0" w:line="240" w:lineRule="auto"/>
        <w:ind w:left="567" w:right="567"/>
        <w:jc w:val="both"/>
        <w:rPr>
          <w:rFonts w:ascii="Palatino Linotype" w:eastAsia="Times New Roman" w:hAnsi="Palatino Linotype" w:cs="Arial"/>
          <w:i/>
          <w:sz w:val="24"/>
          <w:szCs w:val="24"/>
          <w:lang w:val="es-ES" w:eastAsia="es-ES"/>
        </w:rPr>
      </w:pPr>
      <w:proofErr w:type="spellStart"/>
      <w:r w:rsidRPr="00C120E7">
        <w:rPr>
          <w:rFonts w:ascii="Palatino Linotype" w:eastAsia="Times New Roman" w:hAnsi="Palatino Linotype" w:cs="Arial"/>
          <w:i/>
          <w:sz w:val="24"/>
          <w:szCs w:val="24"/>
          <w:lang w:val="es-ES" w:eastAsia="es-ES"/>
        </w:rPr>
        <w:t>Sarai</w:t>
      </w:r>
      <w:proofErr w:type="spellEnd"/>
      <w:r w:rsidRPr="00C120E7">
        <w:rPr>
          <w:rFonts w:ascii="Palatino Linotype" w:eastAsia="Times New Roman" w:hAnsi="Palatino Linotype" w:cs="Arial"/>
          <w:i/>
          <w:sz w:val="24"/>
          <w:szCs w:val="24"/>
          <w:lang w:val="es-ES" w:eastAsia="es-ES"/>
        </w:rPr>
        <w:t xml:space="preserve"> </w:t>
      </w:r>
      <w:proofErr w:type="spellStart"/>
      <w:r w:rsidRPr="00C120E7">
        <w:rPr>
          <w:rFonts w:ascii="Palatino Linotype" w:eastAsia="Times New Roman" w:hAnsi="Palatino Linotype" w:cs="Arial"/>
          <w:i/>
          <w:sz w:val="24"/>
          <w:szCs w:val="24"/>
          <w:lang w:val="es-ES" w:eastAsia="es-ES"/>
        </w:rPr>
        <w:t>Jaimes</w:t>
      </w:r>
      <w:proofErr w:type="spellEnd"/>
      <w:r w:rsidRPr="00C120E7">
        <w:rPr>
          <w:rFonts w:ascii="Palatino Linotype" w:eastAsia="Times New Roman" w:hAnsi="Palatino Linotype" w:cs="Arial"/>
          <w:i/>
          <w:sz w:val="24"/>
          <w:szCs w:val="24"/>
          <w:lang w:val="es-ES" w:eastAsia="es-ES"/>
        </w:rPr>
        <w:t xml:space="preserve"> González “(Sic).</w:t>
      </w:r>
    </w:p>
    <w:p w:rsidR="005E60D6" w:rsidRPr="00C120E7" w:rsidRDefault="005E60D6" w:rsidP="005E60D6">
      <w:pPr>
        <w:spacing w:after="0" w:line="360" w:lineRule="auto"/>
        <w:ind w:right="567"/>
        <w:jc w:val="both"/>
        <w:rPr>
          <w:rFonts w:ascii="Palatino Linotype" w:eastAsia="Times New Roman" w:hAnsi="Palatino Linotype" w:cs="Arial"/>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Adicionalmente, el </w:t>
      </w:r>
      <w:r w:rsidRPr="00C120E7">
        <w:rPr>
          <w:rFonts w:ascii="Palatino Linotype" w:eastAsia="Times New Roman" w:hAnsi="Palatino Linotype" w:cs="Arial"/>
          <w:b/>
          <w:sz w:val="24"/>
          <w:szCs w:val="24"/>
          <w:lang w:val="es-ES" w:eastAsia="es-ES"/>
        </w:rPr>
        <w:t>Sujeto Obligado</w:t>
      </w:r>
      <w:r w:rsidRPr="00C120E7">
        <w:rPr>
          <w:rFonts w:ascii="Palatino Linotype" w:eastAsia="Times New Roman" w:hAnsi="Palatino Linotype" w:cs="Arial"/>
          <w:sz w:val="24"/>
          <w:szCs w:val="24"/>
          <w:lang w:val="es-ES" w:eastAsia="es-ES"/>
        </w:rPr>
        <w:t xml:space="preserve"> adjuntó los archivos electrónicos denominados “</w:t>
      </w:r>
      <w:r w:rsidRPr="00C120E7">
        <w:rPr>
          <w:rFonts w:ascii="Palatino Linotype" w:eastAsia="Times New Roman" w:hAnsi="Palatino Linotype" w:cs="Arial"/>
          <w:b/>
          <w:i/>
          <w:sz w:val="24"/>
          <w:szCs w:val="24"/>
          <w:lang w:val="es-ES" w:eastAsia="es-ES"/>
        </w:rPr>
        <w:t xml:space="preserve">NOMINAS_00080.rar”, “00080_RESP_DAF.PDF”, “ANEXO_GAFETES IMEVIS.pdf”, “00080_RESPUESTA_UT.PDF, “00080_ACUERDO_COMITE_TRANSPARENCIA.PDF”, </w:t>
      </w:r>
      <w:r w:rsidRPr="00C120E7">
        <w:rPr>
          <w:rFonts w:ascii="Palatino Linotype" w:eastAsia="Times New Roman" w:hAnsi="Palatino Linotype" w:cs="Arial"/>
          <w:sz w:val="24"/>
          <w:szCs w:val="24"/>
          <w:lang w:val="es-ES" w:eastAsia="es-ES"/>
        </w:rPr>
        <w:t xml:space="preserve">mismos que no se reproducen por ser del conocimiento de las partes, sin embargo, serán materia de estudio en el considerando respectivo. </w:t>
      </w: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before="240" w:after="0" w:line="360" w:lineRule="auto"/>
        <w:jc w:val="both"/>
        <w:rPr>
          <w:rFonts w:ascii="Palatino Linotype" w:eastAsia="Times New Roman" w:hAnsi="Palatino Linotype" w:cs="Arial"/>
          <w:b/>
          <w:sz w:val="28"/>
          <w:szCs w:val="24"/>
          <w:lang w:val="es-ES" w:eastAsia="es-ES"/>
        </w:rPr>
      </w:pPr>
      <w:r w:rsidRPr="00C120E7">
        <w:rPr>
          <w:rFonts w:ascii="Palatino Linotype" w:eastAsia="Times New Roman" w:hAnsi="Palatino Linotype" w:cs="Arial"/>
          <w:b/>
          <w:sz w:val="28"/>
          <w:szCs w:val="24"/>
          <w:lang w:val="es-ES" w:eastAsia="es-ES"/>
        </w:rPr>
        <w:t xml:space="preserve">TERCERO. </w:t>
      </w:r>
      <w:r w:rsidRPr="00C120E7">
        <w:rPr>
          <w:rFonts w:ascii="Palatino Linotype" w:eastAsia="Times New Roman" w:hAnsi="Palatino Linotype" w:cs="Times New Roman"/>
          <w:b/>
          <w:sz w:val="28"/>
          <w:szCs w:val="24"/>
          <w:lang w:val="es-ES" w:eastAsia="es-ES"/>
        </w:rPr>
        <w:t>Del recurso de revisión.</w:t>
      </w:r>
    </w:p>
    <w:p w:rsidR="005E60D6" w:rsidRPr="00C120E7" w:rsidRDefault="005E60D6" w:rsidP="005E60D6">
      <w:pPr>
        <w:spacing w:before="240"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lastRenderedPageBreak/>
        <w:t xml:space="preserve">Inconforme con la respuesta notificada por </w:t>
      </w:r>
      <w:r w:rsidRPr="00C120E7">
        <w:rPr>
          <w:rFonts w:ascii="Palatino Linotype" w:eastAsia="Times New Roman" w:hAnsi="Palatino Linotype" w:cs="Arial"/>
          <w:b/>
          <w:sz w:val="24"/>
          <w:szCs w:val="24"/>
          <w:lang w:val="es-ES" w:eastAsia="es-ES"/>
        </w:rPr>
        <w:t xml:space="preserve">El Sujeto Obligado, </w:t>
      </w:r>
      <w:r w:rsidRPr="00C120E7">
        <w:rPr>
          <w:rFonts w:ascii="Palatino Linotype" w:eastAsia="Times New Roman" w:hAnsi="Palatino Linotype" w:cs="Arial"/>
          <w:sz w:val="24"/>
          <w:szCs w:val="24"/>
          <w:lang w:val="es-ES" w:eastAsia="es-ES"/>
        </w:rPr>
        <w:t>el</w:t>
      </w:r>
      <w:r w:rsidRPr="00C120E7">
        <w:rPr>
          <w:rFonts w:ascii="Palatino Linotype" w:eastAsia="Times New Roman" w:hAnsi="Palatino Linotype" w:cs="Arial"/>
          <w:b/>
          <w:sz w:val="24"/>
          <w:szCs w:val="24"/>
          <w:lang w:val="es-ES" w:eastAsia="es-ES"/>
        </w:rPr>
        <w:t xml:space="preserve"> Recurrente </w:t>
      </w:r>
      <w:r w:rsidRPr="00C120E7">
        <w:rPr>
          <w:rFonts w:ascii="Palatino Linotype" w:eastAsia="Times New Roman" w:hAnsi="Palatino Linotype" w:cs="Arial"/>
          <w:sz w:val="24"/>
          <w:szCs w:val="24"/>
          <w:lang w:val="es-ES" w:eastAsia="es-ES"/>
        </w:rPr>
        <w:t xml:space="preserve">interpuso recurso de revisión, en fecha </w:t>
      </w:r>
      <w:r w:rsidRPr="00C120E7">
        <w:rPr>
          <w:rFonts w:ascii="Palatino Linotype" w:eastAsia="Times New Roman" w:hAnsi="Palatino Linotype" w:cs="Arial"/>
          <w:b/>
          <w:sz w:val="24"/>
          <w:szCs w:val="24"/>
          <w:lang w:val="es-ES" w:eastAsia="es-ES"/>
        </w:rPr>
        <w:t>once de septiembre de dos mil veinticinco</w:t>
      </w:r>
      <w:r w:rsidRPr="00C120E7">
        <w:rPr>
          <w:rFonts w:ascii="Palatino Linotype" w:eastAsia="Times New Roman" w:hAnsi="Palatino Linotype" w:cs="Arial"/>
          <w:sz w:val="24"/>
          <w:szCs w:val="24"/>
          <w:lang w:val="es-ES" w:eastAsia="es-ES"/>
        </w:rPr>
        <w:t xml:space="preserve">, el cual fue registrado en el sistema electrónico con el expediente número </w:t>
      </w:r>
      <w:r w:rsidRPr="00C120E7">
        <w:rPr>
          <w:rFonts w:ascii="Palatino Linotype" w:eastAsia="Times New Roman" w:hAnsi="Palatino Linotype" w:cs="Arial"/>
          <w:b/>
          <w:sz w:val="24"/>
          <w:szCs w:val="24"/>
          <w:lang w:val="es-ES" w:eastAsia="es-ES"/>
        </w:rPr>
        <w:t xml:space="preserve">10750/INFOEM/IP/RR/2025; </w:t>
      </w:r>
      <w:r w:rsidRPr="00C120E7">
        <w:rPr>
          <w:rFonts w:ascii="Palatino Linotype" w:eastAsia="Times New Roman" w:hAnsi="Palatino Linotype" w:cs="Arial"/>
          <w:sz w:val="24"/>
          <w:szCs w:val="24"/>
          <w:lang w:val="es-ES" w:eastAsia="es-ES"/>
        </w:rPr>
        <w:t>en los cuales arguye las siguientes manifestaciones:</w:t>
      </w:r>
    </w:p>
    <w:p w:rsidR="005E60D6" w:rsidRPr="00C120E7" w:rsidRDefault="005E60D6" w:rsidP="005E60D6">
      <w:pPr>
        <w:numPr>
          <w:ilvl w:val="0"/>
          <w:numId w:val="2"/>
        </w:numPr>
        <w:spacing w:before="240" w:after="0" w:line="360" w:lineRule="auto"/>
        <w:ind w:left="142"/>
        <w:jc w:val="both"/>
        <w:rPr>
          <w:rFonts w:ascii="Palatino Linotype" w:eastAsia="Times New Roman" w:hAnsi="Palatino Linotype" w:cs="Arial"/>
          <w:b/>
          <w:i/>
          <w:sz w:val="24"/>
          <w:szCs w:val="24"/>
          <w:lang w:val="es-ES" w:eastAsia="es-ES"/>
        </w:rPr>
      </w:pPr>
      <w:r w:rsidRPr="00C120E7">
        <w:rPr>
          <w:rFonts w:ascii="Palatino Linotype" w:eastAsia="Times New Roman" w:hAnsi="Palatino Linotype" w:cs="Arial"/>
          <w:b/>
          <w:i/>
          <w:sz w:val="24"/>
          <w:szCs w:val="24"/>
          <w:lang w:val="es-ES" w:eastAsia="es-ES"/>
        </w:rPr>
        <w:t xml:space="preserve">Acto impugnado </w:t>
      </w:r>
    </w:p>
    <w:p w:rsidR="005E60D6" w:rsidRPr="00C120E7" w:rsidRDefault="005E60D6" w:rsidP="005E60D6">
      <w:pPr>
        <w:spacing w:before="240" w:line="360" w:lineRule="auto"/>
        <w:ind w:left="720" w:right="851"/>
        <w:jc w:val="both"/>
        <w:rPr>
          <w:rFonts w:ascii="Palatino Linotype" w:eastAsia="Calibri" w:hAnsi="Palatino Linotype" w:cs="Times New Roman"/>
          <w:i/>
          <w:szCs w:val="14"/>
        </w:rPr>
      </w:pPr>
      <w:r w:rsidRPr="00C120E7">
        <w:rPr>
          <w:rFonts w:ascii="Palatino Linotype" w:eastAsia="Calibri" w:hAnsi="Palatino Linotype" w:cs="Times New Roman"/>
          <w:i/>
          <w:szCs w:val="14"/>
        </w:rPr>
        <w:t>“Respuesta a mi solicitud de información” (sic)</w:t>
      </w:r>
    </w:p>
    <w:p w:rsidR="005E60D6" w:rsidRPr="00C120E7" w:rsidRDefault="005E60D6" w:rsidP="005E60D6">
      <w:pPr>
        <w:numPr>
          <w:ilvl w:val="0"/>
          <w:numId w:val="2"/>
        </w:numPr>
        <w:spacing w:before="240" w:after="0" w:line="360" w:lineRule="auto"/>
        <w:ind w:left="142"/>
        <w:jc w:val="both"/>
        <w:rPr>
          <w:rFonts w:ascii="Palatino Linotype" w:eastAsia="Times New Roman" w:hAnsi="Palatino Linotype" w:cs="Arial"/>
          <w:b/>
          <w:i/>
          <w:sz w:val="24"/>
          <w:szCs w:val="24"/>
          <w:lang w:val="es-ES" w:eastAsia="es-ES"/>
        </w:rPr>
      </w:pPr>
      <w:r w:rsidRPr="00C120E7">
        <w:rPr>
          <w:rFonts w:ascii="Palatino Linotype" w:eastAsia="Times New Roman" w:hAnsi="Palatino Linotype" w:cs="Arial"/>
          <w:b/>
          <w:i/>
          <w:sz w:val="24"/>
          <w:szCs w:val="24"/>
          <w:lang w:val="es-ES" w:eastAsia="es-ES"/>
        </w:rPr>
        <w:t>Razones o motivos de inconformidad</w:t>
      </w:r>
    </w:p>
    <w:p w:rsidR="005E60D6" w:rsidRPr="00C120E7" w:rsidRDefault="005E60D6" w:rsidP="005E60D6">
      <w:pPr>
        <w:spacing w:before="240" w:line="360" w:lineRule="auto"/>
        <w:ind w:left="709" w:right="851"/>
        <w:jc w:val="both"/>
        <w:rPr>
          <w:rFonts w:ascii="Palatino Linotype" w:eastAsia="Calibri" w:hAnsi="Palatino Linotype" w:cs="Times New Roman"/>
          <w:i/>
          <w:szCs w:val="14"/>
        </w:rPr>
      </w:pPr>
      <w:r w:rsidRPr="00C120E7">
        <w:rPr>
          <w:rFonts w:ascii="Palatino Linotype" w:eastAsia="Calibri" w:hAnsi="Palatino Linotype" w:cs="Times New Roman"/>
          <w:i/>
          <w:szCs w:val="14"/>
        </w:rPr>
        <w:t xml:space="preserve">“El número de gafetes entregados no es el mismo a la cantidad de recibos de </w:t>
      </w:r>
      <w:proofErr w:type="spellStart"/>
      <w:r w:rsidRPr="00C120E7">
        <w:rPr>
          <w:rFonts w:ascii="Palatino Linotype" w:eastAsia="Calibri" w:hAnsi="Palatino Linotype" w:cs="Times New Roman"/>
          <w:i/>
          <w:szCs w:val="14"/>
        </w:rPr>
        <w:t>nomina</w:t>
      </w:r>
      <w:proofErr w:type="spellEnd"/>
      <w:r w:rsidRPr="00C120E7">
        <w:rPr>
          <w:rFonts w:ascii="Palatino Linotype" w:eastAsia="Calibri" w:hAnsi="Palatino Linotype" w:cs="Times New Roman"/>
          <w:i/>
          <w:szCs w:val="14"/>
        </w:rPr>
        <w:t>, es decir, la información está incompleta ya que no se entregan todos los gafetes de todos los servidores públicos, destacando qué la mayoría de gafetes faltantes corresponden a personal que casualmente no se presentan físicamente a su lugar de trabajo, (son aviadores)” (sic)</w:t>
      </w:r>
    </w:p>
    <w:p w:rsidR="005E60D6" w:rsidRPr="00C120E7" w:rsidRDefault="005E60D6" w:rsidP="005E60D6">
      <w:pPr>
        <w:spacing w:before="240"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before="240" w:after="0" w:line="360" w:lineRule="auto"/>
        <w:jc w:val="both"/>
        <w:rPr>
          <w:rFonts w:ascii="Palatino Linotype" w:eastAsia="Times New Roman" w:hAnsi="Palatino Linotype" w:cs="Arial"/>
          <w:b/>
          <w:sz w:val="24"/>
          <w:szCs w:val="24"/>
          <w:lang w:val="es-ES" w:eastAsia="es-ES"/>
        </w:rPr>
      </w:pPr>
      <w:r w:rsidRPr="00C120E7">
        <w:rPr>
          <w:rFonts w:ascii="Palatino Linotype" w:eastAsia="Times New Roman" w:hAnsi="Palatino Linotype" w:cs="Arial"/>
          <w:b/>
          <w:sz w:val="28"/>
          <w:szCs w:val="24"/>
          <w:lang w:val="es-ES" w:eastAsia="es-ES"/>
        </w:rPr>
        <w:t xml:space="preserve">CUARTO. </w:t>
      </w:r>
      <w:r w:rsidRPr="00C120E7">
        <w:rPr>
          <w:rFonts w:ascii="Palatino Linotype" w:eastAsia="Times New Roman" w:hAnsi="Palatino Linotype" w:cs="Arial"/>
          <w:b/>
          <w:sz w:val="28"/>
          <w:szCs w:val="28"/>
          <w:lang w:val="es-ES" w:eastAsia="es-ES"/>
        </w:rPr>
        <w:t>Del turno y admisión del recurso de revisión.</w:t>
      </w:r>
    </w:p>
    <w:p w:rsidR="005E60D6" w:rsidRPr="00C120E7" w:rsidRDefault="005E60D6" w:rsidP="005E60D6">
      <w:pPr>
        <w:spacing w:before="240" w:after="0" w:line="360" w:lineRule="auto"/>
        <w:jc w:val="both"/>
        <w:rPr>
          <w:rFonts w:ascii="Palatino Linotype" w:eastAsia="Times New Roman" w:hAnsi="Palatino Linotype" w:cs="Arial"/>
          <w:sz w:val="28"/>
          <w:szCs w:val="24"/>
          <w:lang w:val="es-ES" w:eastAsia="es-ES"/>
        </w:rPr>
      </w:pPr>
      <w:r w:rsidRPr="00C120E7">
        <w:rPr>
          <w:rFonts w:ascii="Palatino Linotype" w:eastAsia="Times New Roman" w:hAnsi="Palatino Linotype" w:cs="Times New Roman"/>
          <w:sz w:val="24"/>
          <w:szCs w:val="24"/>
          <w:lang w:val="es-ES" w:eastAsia="es-ES"/>
        </w:rPr>
        <w:t xml:space="preserve">El medio de impugnación fue turnado al Comisionado Presidente </w:t>
      </w:r>
      <w:r w:rsidRPr="00C120E7">
        <w:rPr>
          <w:rFonts w:ascii="Palatino Linotype" w:eastAsia="Times New Roman" w:hAnsi="Palatino Linotype" w:cs="Times New Roman"/>
          <w:b/>
          <w:sz w:val="24"/>
          <w:szCs w:val="24"/>
          <w:lang w:val="es-ES" w:eastAsia="es-ES"/>
        </w:rPr>
        <w:t>José Martínez Vilchis,</w:t>
      </w:r>
      <w:r w:rsidRPr="00C120E7">
        <w:rPr>
          <w:rFonts w:ascii="Palatino Linotype" w:eastAsia="Times New Roman" w:hAnsi="Palatino Linotype" w:cs="Times New Roman"/>
          <w:sz w:val="24"/>
          <w:szCs w:val="24"/>
          <w:lang w:val="es-ES" w:eastAsia="es-ES"/>
        </w:rPr>
        <w:t xml:space="preserve"> por medio del sistema electrónico SAIMEX, en términos del artículo 185, fracción I, de la Ley de Transparencia y Acceso a la información Pública del Estado de México y Municipios, del cual recayó acuerdo de </w:t>
      </w:r>
      <w:r w:rsidRPr="00C120E7">
        <w:rPr>
          <w:rFonts w:ascii="Palatino Linotype" w:eastAsia="Times New Roman" w:hAnsi="Palatino Linotype" w:cs="Times New Roman"/>
          <w:b/>
          <w:sz w:val="24"/>
          <w:szCs w:val="24"/>
          <w:lang w:val="es-ES" w:eastAsia="es-ES"/>
        </w:rPr>
        <w:t>admisión</w:t>
      </w:r>
      <w:r w:rsidRPr="00C120E7">
        <w:rPr>
          <w:rFonts w:ascii="Palatino Linotype" w:eastAsia="Times New Roman" w:hAnsi="Palatino Linotype" w:cs="Times New Roman"/>
          <w:sz w:val="24"/>
          <w:szCs w:val="24"/>
          <w:lang w:val="es-ES" w:eastAsia="es-ES"/>
        </w:rPr>
        <w:t xml:space="preserve"> en fecha </w:t>
      </w:r>
      <w:r w:rsidRPr="00C120E7">
        <w:rPr>
          <w:rFonts w:ascii="Palatino Linotype" w:eastAsia="Times New Roman" w:hAnsi="Palatino Linotype" w:cs="Times New Roman"/>
          <w:b/>
          <w:sz w:val="24"/>
          <w:szCs w:val="24"/>
          <w:lang w:val="es-ES" w:eastAsia="es-ES"/>
        </w:rPr>
        <w:t>diecisiete de septiembre de dos mil veinticinco</w:t>
      </w:r>
      <w:r w:rsidRPr="00C120E7">
        <w:rPr>
          <w:rFonts w:ascii="Palatino Linotype" w:eastAsia="Times New Roman" w:hAnsi="Palatino Linotype" w:cs="Times New Roman"/>
          <w:sz w:val="24"/>
          <w:szCs w:val="24"/>
          <w:lang w:val="es-ES" w:eastAsia="es-ES"/>
        </w:rPr>
        <w:t xml:space="preserve">, determinándose en ellos, un plazo de siete días </w:t>
      </w:r>
      <w:r w:rsidRPr="00C120E7">
        <w:rPr>
          <w:rFonts w:ascii="Palatino Linotype" w:eastAsia="Times New Roman" w:hAnsi="Palatino Linotype" w:cs="Times New Roman"/>
          <w:sz w:val="24"/>
          <w:szCs w:val="24"/>
          <w:lang w:val="es-ES" w:eastAsia="es-ES"/>
        </w:rPr>
        <w:lastRenderedPageBreak/>
        <w:t>para que las partes manifestaran lo que a su derecho corresponda en términos del numeral ya citado.</w:t>
      </w: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Arial"/>
          <w:b/>
          <w:sz w:val="28"/>
          <w:szCs w:val="28"/>
          <w:lang w:val="es-ES" w:eastAsia="es-ES"/>
        </w:rPr>
      </w:pPr>
      <w:r w:rsidRPr="00C120E7">
        <w:rPr>
          <w:rFonts w:ascii="Palatino Linotype" w:eastAsia="Times New Roman" w:hAnsi="Palatino Linotype" w:cs="Arial"/>
          <w:b/>
          <w:sz w:val="28"/>
          <w:szCs w:val="24"/>
          <w:lang w:val="es-ES" w:eastAsia="es-ES"/>
        </w:rPr>
        <w:t xml:space="preserve">QUINTO. </w:t>
      </w:r>
      <w:r w:rsidRPr="00C120E7">
        <w:rPr>
          <w:rFonts w:ascii="Palatino Linotype" w:eastAsia="Times New Roman" w:hAnsi="Palatino Linotype" w:cs="Arial"/>
          <w:b/>
          <w:sz w:val="28"/>
          <w:szCs w:val="28"/>
          <w:lang w:val="es-ES" w:eastAsia="es-ES"/>
        </w:rPr>
        <w:t>De la etapa de instrucción.</w:t>
      </w:r>
    </w:p>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Arial"/>
          <w:sz w:val="24"/>
          <w:szCs w:val="24"/>
          <w:lang w:val="es-ES" w:eastAsia="es-ES"/>
        </w:rPr>
        <w:t xml:space="preserve">De las constancias que obran en el expediente electrónico del SAIMEX, se advierte que el </w:t>
      </w:r>
      <w:r w:rsidRPr="00C120E7">
        <w:rPr>
          <w:rFonts w:ascii="Palatino Linotype" w:eastAsia="Times New Roman" w:hAnsi="Palatino Linotype" w:cs="Arial"/>
          <w:b/>
          <w:sz w:val="24"/>
          <w:szCs w:val="24"/>
          <w:lang w:val="es-ES" w:eastAsia="es-ES"/>
        </w:rPr>
        <w:t>Sujeto Obligado</w:t>
      </w:r>
      <w:r w:rsidRPr="00C120E7">
        <w:rPr>
          <w:rFonts w:ascii="Palatino Linotype" w:eastAsia="Times New Roman" w:hAnsi="Palatino Linotype" w:cs="Arial"/>
          <w:sz w:val="24"/>
          <w:szCs w:val="24"/>
          <w:lang w:val="es-ES" w:eastAsia="es-ES"/>
        </w:rPr>
        <w:t xml:space="preserve"> rindió su informe justificado en fecha veinticinco de septiembre de dos mil veinticinco, por medio de los archivos electrónicos “</w:t>
      </w:r>
      <w:r w:rsidRPr="00C120E7">
        <w:rPr>
          <w:rFonts w:ascii="Palatino Linotype" w:eastAsia="Times New Roman" w:hAnsi="Palatino Linotype" w:cs="Arial"/>
          <w:b/>
          <w:i/>
          <w:sz w:val="24"/>
          <w:szCs w:val="24"/>
          <w:lang w:val="es-ES" w:eastAsia="es-ES"/>
        </w:rPr>
        <w:t>00080_INFORME_JUSTIFICADO_RR_10750.PDF”</w:t>
      </w:r>
      <w:r w:rsidRPr="00C120E7">
        <w:rPr>
          <w:rFonts w:ascii="Palatino Linotype" w:eastAsia="Times New Roman" w:hAnsi="Palatino Linotype" w:cs="Arial"/>
          <w:sz w:val="24"/>
          <w:szCs w:val="24"/>
          <w:lang w:val="es-ES" w:eastAsia="es-ES"/>
        </w:rPr>
        <w:t>, mismos que fueron puestos a la vista del Recurrente en fecha dos de octubre de dos mil veinticinco</w:t>
      </w:r>
      <w:r w:rsidRPr="00C120E7">
        <w:rPr>
          <w:rFonts w:ascii="Palatino Linotype" w:eastAsia="Times New Roman" w:hAnsi="Palatino Linotype" w:cs="Arial"/>
          <w:b/>
          <w:i/>
          <w:sz w:val="24"/>
          <w:szCs w:val="24"/>
          <w:lang w:val="es-ES" w:eastAsia="es-ES"/>
        </w:rPr>
        <w:t>.</w:t>
      </w:r>
    </w:p>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Así mismo, se aprecia que no se llevaron a cabo audiencias durante la sustanciación del recurso de revisión, ni se ofrecieron pruebas por parte del </w:t>
      </w:r>
      <w:r w:rsidRPr="00C120E7">
        <w:rPr>
          <w:rFonts w:ascii="Palatino Linotype" w:eastAsia="Times New Roman" w:hAnsi="Palatino Linotype" w:cs="Arial"/>
          <w:b/>
          <w:sz w:val="24"/>
          <w:szCs w:val="24"/>
          <w:lang w:val="es-ES" w:eastAsia="es-ES"/>
        </w:rPr>
        <w:t>Recurrente</w:t>
      </w:r>
      <w:r w:rsidRPr="00C120E7">
        <w:rPr>
          <w:rFonts w:ascii="Palatino Linotype" w:eastAsia="Times New Roman" w:hAnsi="Palatino Linotype" w:cs="Arial"/>
          <w:sz w:val="24"/>
          <w:szCs w:val="24"/>
          <w:lang w:val="es-ES" w:eastAsia="es-ES"/>
        </w:rPr>
        <w:t>; todo lo anterior en términos de los artículos 185 fracciones II y IV, y 195 de la Ley de Transparencia y Acceso a la Información Pública del Estado de México y Municipios.</w:t>
      </w:r>
    </w:p>
    <w:p w:rsidR="005E60D6" w:rsidRPr="00C120E7" w:rsidRDefault="005E60D6" w:rsidP="005E60D6">
      <w:pPr>
        <w:spacing w:after="0" w:line="360" w:lineRule="auto"/>
        <w:jc w:val="both"/>
        <w:rPr>
          <w:rFonts w:ascii="Palatino Linotype" w:eastAsia="Calibri" w:hAnsi="Palatino Linotype" w:cs="Arial"/>
          <w:b/>
          <w:sz w:val="28"/>
          <w:szCs w:val="28"/>
          <w:lang w:val="es-ES" w:eastAsia="es-ES"/>
        </w:rPr>
      </w:pPr>
    </w:p>
    <w:p w:rsidR="005E60D6" w:rsidRPr="00C120E7" w:rsidRDefault="005E60D6" w:rsidP="005E60D6">
      <w:pPr>
        <w:spacing w:after="0" w:line="360" w:lineRule="auto"/>
        <w:jc w:val="both"/>
        <w:rPr>
          <w:rFonts w:ascii="Palatino Linotype" w:eastAsia="Times New Roman" w:hAnsi="Palatino Linotype" w:cs="Arial"/>
          <w:b/>
          <w:sz w:val="28"/>
          <w:szCs w:val="28"/>
          <w:lang w:val="es-ES" w:eastAsia="es-ES"/>
        </w:rPr>
      </w:pPr>
      <w:r w:rsidRPr="00C120E7">
        <w:rPr>
          <w:rFonts w:ascii="Palatino Linotype" w:eastAsia="Times New Roman" w:hAnsi="Palatino Linotype" w:cs="Arial"/>
          <w:b/>
          <w:sz w:val="28"/>
          <w:szCs w:val="28"/>
          <w:lang w:val="es-ES" w:eastAsia="es-ES"/>
        </w:rPr>
        <w:t>SEXTO.  Del Cierre de Instrucción.</w:t>
      </w: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C120E7">
        <w:rPr>
          <w:rFonts w:ascii="Palatino Linotype" w:eastAsia="Times New Roman" w:hAnsi="Palatino Linotype" w:cs="Arial"/>
          <w:b/>
          <w:sz w:val="24"/>
          <w:szCs w:val="24"/>
          <w:lang w:val="es-ES" w:eastAsia="es-ES"/>
        </w:rPr>
        <w:t>ocho de octubre de dos mil veinticinco</w:t>
      </w:r>
      <w:r w:rsidRPr="00C120E7">
        <w:rPr>
          <w:rFonts w:ascii="Palatino Linotype" w:eastAsia="Times New Roman" w:hAnsi="Palatino Linotype" w:cs="Arial"/>
          <w:sz w:val="24"/>
          <w:szCs w:val="24"/>
          <w:lang w:val="es-ES" w:eastAsia="es-ES"/>
        </w:rPr>
        <w:t>, en términos del artículo 185 fracción VI de la Ley de Transparencia y Acceso a la Información Pública del Estado de México y Municipios, ordenándose turnar el expediente a la resolución que en derecho proceda.</w:t>
      </w:r>
    </w:p>
    <w:p w:rsidR="005E60D6" w:rsidRPr="00C120E7" w:rsidRDefault="005E60D6" w:rsidP="005E60D6">
      <w:pPr>
        <w:spacing w:after="0" w:line="360" w:lineRule="auto"/>
        <w:jc w:val="center"/>
        <w:rPr>
          <w:rFonts w:ascii="Palatino Linotype" w:eastAsia="Times New Roman" w:hAnsi="Palatino Linotype" w:cs="Times New Roman"/>
          <w:b/>
          <w:bCs/>
          <w:spacing w:val="60"/>
          <w:sz w:val="28"/>
          <w:szCs w:val="24"/>
          <w:lang w:val="es-ES_tradnl" w:eastAsia="es-ES"/>
        </w:rPr>
      </w:pPr>
      <w:r w:rsidRPr="00C120E7">
        <w:rPr>
          <w:rFonts w:ascii="Palatino Linotype" w:eastAsia="Times New Roman" w:hAnsi="Palatino Linotype" w:cs="Times New Roman"/>
          <w:b/>
          <w:bCs/>
          <w:spacing w:val="60"/>
          <w:sz w:val="28"/>
          <w:szCs w:val="24"/>
          <w:lang w:val="es-ES_tradnl" w:eastAsia="es-ES"/>
        </w:rPr>
        <w:lastRenderedPageBreak/>
        <w:t>CONSIDERANDO</w:t>
      </w:r>
    </w:p>
    <w:p w:rsidR="005E60D6" w:rsidRPr="00C120E7" w:rsidRDefault="005E60D6" w:rsidP="005E60D6">
      <w:pPr>
        <w:spacing w:before="240" w:after="0" w:line="360" w:lineRule="auto"/>
        <w:jc w:val="both"/>
        <w:rPr>
          <w:rFonts w:ascii="Palatino Linotype" w:eastAsia="Times New Roman" w:hAnsi="Palatino Linotype" w:cs="Arial"/>
          <w:sz w:val="28"/>
          <w:szCs w:val="28"/>
          <w:lang w:val="es-ES" w:eastAsia="es-ES"/>
        </w:rPr>
      </w:pPr>
      <w:r w:rsidRPr="00C120E7">
        <w:rPr>
          <w:rFonts w:ascii="Palatino Linotype" w:eastAsia="Times New Roman" w:hAnsi="Palatino Linotype" w:cs="Arial"/>
          <w:b/>
          <w:sz w:val="28"/>
          <w:szCs w:val="24"/>
          <w:lang w:val="es-ES" w:eastAsia="es-ES"/>
        </w:rPr>
        <w:t>PRIMERO.</w:t>
      </w:r>
      <w:r w:rsidRPr="00C120E7">
        <w:rPr>
          <w:rFonts w:ascii="Palatino Linotype" w:eastAsia="Times New Roman" w:hAnsi="Palatino Linotype" w:cs="Arial"/>
          <w:b/>
          <w:sz w:val="24"/>
          <w:szCs w:val="24"/>
          <w:lang w:val="es-ES" w:eastAsia="es-ES"/>
        </w:rPr>
        <w:t xml:space="preserve"> </w:t>
      </w:r>
      <w:r w:rsidRPr="00C120E7">
        <w:rPr>
          <w:rFonts w:ascii="Palatino Linotype" w:eastAsia="Times New Roman" w:hAnsi="Palatino Linotype" w:cs="Arial"/>
          <w:b/>
          <w:sz w:val="28"/>
          <w:szCs w:val="28"/>
          <w:lang w:val="es-ES" w:eastAsia="es-ES"/>
        </w:rPr>
        <w:t>De la competencia</w:t>
      </w:r>
      <w:r w:rsidRPr="00C120E7">
        <w:rPr>
          <w:rFonts w:ascii="Palatino Linotype" w:eastAsia="Times New Roman" w:hAnsi="Palatino Linotype" w:cs="Arial"/>
          <w:sz w:val="28"/>
          <w:szCs w:val="28"/>
          <w:lang w:val="es-ES" w:eastAsia="es-ES"/>
        </w:rPr>
        <w:t>.</w:t>
      </w:r>
    </w:p>
    <w:p w:rsidR="005E60D6" w:rsidRPr="00C120E7" w:rsidRDefault="005E60D6" w:rsidP="005E60D6">
      <w:pPr>
        <w:tabs>
          <w:tab w:val="left" w:pos="3402"/>
        </w:tabs>
        <w:spacing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E60D6" w:rsidRPr="00C120E7" w:rsidRDefault="005E60D6" w:rsidP="005E60D6">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p>
    <w:p w:rsidR="005E60D6" w:rsidRPr="00C120E7" w:rsidRDefault="005E60D6" w:rsidP="005E60D6">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sidRPr="00C120E7">
        <w:rPr>
          <w:rFonts w:ascii="Palatino Linotype" w:eastAsia="Times New Roman" w:hAnsi="Palatino Linotype" w:cs="Arial"/>
          <w:b/>
          <w:sz w:val="28"/>
          <w:szCs w:val="24"/>
          <w:lang w:val="es-ES" w:eastAsia="es-ES"/>
        </w:rPr>
        <w:t>SEGUNDO</w:t>
      </w:r>
      <w:r w:rsidRPr="00C120E7">
        <w:rPr>
          <w:rFonts w:ascii="Palatino Linotype" w:eastAsia="Times New Roman" w:hAnsi="Palatino Linotype" w:cs="Arial"/>
          <w:b/>
          <w:sz w:val="24"/>
          <w:szCs w:val="24"/>
          <w:lang w:val="es-ES" w:eastAsia="es-ES"/>
        </w:rPr>
        <w:t xml:space="preserve">. </w:t>
      </w:r>
      <w:r w:rsidRPr="00C120E7">
        <w:rPr>
          <w:rFonts w:ascii="Palatino Linotype" w:eastAsia="Times New Roman" w:hAnsi="Palatino Linotype" w:cs="Arial"/>
          <w:b/>
          <w:sz w:val="28"/>
          <w:szCs w:val="28"/>
          <w:lang w:val="es-ES" w:eastAsia="es-ES"/>
        </w:rPr>
        <w:t>Sobre los alcances del recurso de revisión.</w:t>
      </w:r>
      <w:r w:rsidRPr="00C120E7">
        <w:rPr>
          <w:rFonts w:ascii="Palatino Linotype" w:eastAsia="Times New Roman" w:hAnsi="Palatino Linotype" w:cs="Arial"/>
          <w:b/>
          <w:sz w:val="24"/>
          <w:szCs w:val="24"/>
          <w:lang w:val="es-ES" w:eastAsia="es-ES"/>
        </w:rPr>
        <w:t xml:space="preserve"> </w:t>
      </w:r>
    </w:p>
    <w:p w:rsidR="005E60D6" w:rsidRPr="00C120E7" w:rsidRDefault="005E60D6" w:rsidP="005E60D6">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120E7">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rsidR="005E60D6" w:rsidRPr="00C120E7" w:rsidRDefault="005E60D6" w:rsidP="005E60D6">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rsidR="005E60D6" w:rsidRPr="00C120E7" w:rsidRDefault="005E60D6" w:rsidP="005E60D6">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120E7">
        <w:rPr>
          <w:rFonts w:ascii="Palatino Linotype" w:eastAsia="Times New Roman" w:hAnsi="Palatino Linotype" w:cs="Arial"/>
          <w:i/>
          <w:sz w:val="24"/>
          <w:szCs w:val="24"/>
          <w:lang w:val="es-ES" w:eastAsia="es-ES"/>
        </w:rPr>
        <w:t xml:space="preserve">“Artículo 180. El recurso de revisión contendrá: </w:t>
      </w:r>
    </w:p>
    <w:p w:rsidR="005E60D6" w:rsidRPr="00C120E7" w:rsidRDefault="005E60D6" w:rsidP="005E60D6">
      <w:pPr>
        <w:numPr>
          <w:ilvl w:val="0"/>
          <w:numId w:val="5"/>
        </w:numPr>
        <w:autoSpaceDE w:val="0"/>
        <w:autoSpaceDN w:val="0"/>
        <w:adjustRightInd w:val="0"/>
        <w:spacing w:after="0" w:line="240" w:lineRule="auto"/>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 xml:space="preserve">El sujeto obligado ante la cual se presentó la solicitud; </w:t>
      </w:r>
    </w:p>
    <w:p w:rsidR="005E60D6" w:rsidRPr="00C120E7" w:rsidRDefault="005E60D6" w:rsidP="005E60D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b/>
          <w:i/>
          <w:sz w:val="24"/>
          <w:szCs w:val="24"/>
          <w:lang w:val="es-ES_tradnl" w:eastAsia="es-ES"/>
        </w:rPr>
        <w:t>II. El nombre del solicitante que recurre</w:t>
      </w:r>
      <w:r w:rsidRPr="00C120E7">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5E60D6" w:rsidRPr="00C120E7" w:rsidRDefault="005E60D6" w:rsidP="005E60D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III. El número de folio de respuesta de la solicitud de acceso;</w:t>
      </w:r>
    </w:p>
    <w:p w:rsidR="005E60D6" w:rsidRPr="00C120E7" w:rsidRDefault="005E60D6" w:rsidP="005E60D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5E60D6" w:rsidRPr="00C120E7" w:rsidRDefault="005E60D6" w:rsidP="005E60D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V. El acto que se recurre;</w:t>
      </w:r>
    </w:p>
    <w:p w:rsidR="005E60D6" w:rsidRPr="00C120E7" w:rsidRDefault="005E60D6" w:rsidP="005E60D6">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VI. Las razones o motivos de inconformidad;</w:t>
      </w:r>
    </w:p>
    <w:p w:rsidR="005E60D6" w:rsidRPr="00C120E7" w:rsidRDefault="005E60D6" w:rsidP="005E60D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5E60D6" w:rsidRPr="00C120E7" w:rsidRDefault="005E60D6" w:rsidP="005E60D6">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5E60D6" w:rsidRPr="00C120E7" w:rsidRDefault="005E60D6" w:rsidP="005E60D6">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5E60D6" w:rsidRPr="00C120E7" w:rsidRDefault="005E60D6" w:rsidP="005E60D6">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120E7">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5E60D6" w:rsidRPr="00C120E7" w:rsidRDefault="005E60D6" w:rsidP="005E60D6">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120E7">
        <w:rPr>
          <w:rFonts w:ascii="Palatino Linotype" w:eastAsia="Calibri" w:hAnsi="Palatino Linotype" w:cs="Arial"/>
          <w:b/>
          <w:i/>
          <w:sz w:val="24"/>
          <w:szCs w:val="24"/>
          <w:lang w:val="es-ES" w:eastAsia="es-ES"/>
        </w:rPr>
        <w:lastRenderedPageBreak/>
        <w:t>En caso de que el recurso se interponga de manera electrónica no será indispensable que contengan los requisitos establecidos en las fracciones II, IV, VII y VIII.”</w:t>
      </w:r>
    </w:p>
    <w:p w:rsidR="005E60D6" w:rsidRPr="00C120E7" w:rsidRDefault="005E60D6" w:rsidP="005E60D6">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rsidR="005E60D6" w:rsidRPr="00C120E7" w:rsidRDefault="005E60D6" w:rsidP="005E60D6">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5E60D6" w:rsidRPr="00C120E7" w:rsidTr="003316C0">
        <w:trPr>
          <w:trHeight w:val="1360"/>
        </w:trPr>
        <w:tc>
          <w:tcPr>
            <w:tcW w:w="7982" w:type="dxa"/>
          </w:tcPr>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5E60D6" w:rsidRPr="00C120E7" w:rsidRDefault="005E60D6" w:rsidP="005E60D6">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5E60D6" w:rsidRPr="00C120E7" w:rsidTr="003316C0">
        <w:trPr>
          <w:jc w:val="center"/>
        </w:trPr>
        <w:tc>
          <w:tcPr>
            <w:tcW w:w="8075" w:type="dxa"/>
          </w:tcPr>
          <w:p w:rsidR="005E60D6" w:rsidRPr="00C120E7" w:rsidRDefault="005E60D6" w:rsidP="003316C0">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120E7">
              <w:rPr>
                <w:rFonts w:ascii="Palatino Linotype" w:eastAsia="Times New Roman" w:hAnsi="Palatino Linotype" w:cs="Times New Roman"/>
                <w:b/>
                <w:i/>
                <w:sz w:val="24"/>
                <w:szCs w:val="24"/>
                <w:lang w:val="es-ES" w:eastAsia="es-ES"/>
              </w:rPr>
              <w:t xml:space="preserve">Constitución Política de los Estados Unidos Mexicanos </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 xml:space="preserve">“Artículo 6°.- La manifestación de las ideas no será objeto de ninguna inquisición judicial o administrativa, sino en el caso de que ataque a la moral, la vida privada </w:t>
            </w:r>
            <w:r w:rsidRPr="00C120E7">
              <w:rPr>
                <w:rFonts w:ascii="Palatino Linotype" w:eastAsia="Times New Roman" w:hAnsi="Palatino Linotype" w:cs="Times New Roman"/>
                <w:i/>
                <w:sz w:val="24"/>
                <w:szCs w:val="24"/>
                <w:lang w:val="es-ES" w:eastAsia="es-ES"/>
              </w:rPr>
              <w:lastRenderedPageBreak/>
              <w:t xml:space="preserve">o los derechos de terceros, provoque algún delito, o perturbe el orden público; el derecho de réplica será ejercido en los términos dispuestos por la ley. El derecho a la información será garantizado por el Estado. </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 xml:space="preserve">(…) </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 xml:space="preserve"> (…) </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120E7">
              <w:rPr>
                <w:rFonts w:ascii="Palatino Linotype" w:eastAsia="Times New Roman" w:hAnsi="Palatino Linotype" w:cs="Arial"/>
                <w:i/>
                <w:sz w:val="24"/>
                <w:szCs w:val="24"/>
                <w:lang w:val="es-ES" w:eastAsia="es-ES"/>
              </w:rPr>
              <w:t>IV. Se establecerán mecanismos de acceso a la información y procedimientos de revisión expeditos que se sustanciarán ante los organismos autónomos especializados e imparciales que establece esta Constitución.”</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120E7">
              <w:rPr>
                <w:rFonts w:ascii="Palatino Linotype" w:eastAsia="Times New Roman" w:hAnsi="Palatino Linotype" w:cs="Arial"/>
                <w:b/>
                <w:i/>
                <w:sz w:val="24"/>
                <w:szCs w:val="24"/>
                <w:lang w:val="es-ES" w:eastAsia="es-ES"/>
              </w:rPr>
              <w:t>Constitución Política del Estado Libre y Soberano de México</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w:t>
            </w:r>
            <w:r w:rsidRPr="00C120E7">
              <w:rPr>
                <w:rFonts w:ascii="Palatino Linotype" w:eastAsia="Calibri" w:hAnsi="Palatino Linotype" w:cs="Arial"/>
                <w:i/>
                <w:sz w:val="24"/>
                <w:szCs w:val="24"/>
                <w:lang w:val="es-ES_tradnl" w:eastAsia="es-MX"/>
              </w:rPr>
              <w:lastRenderedPageBreak/>
              <w:t>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rsidR="005E60D6" w:rsidRPr="00C120E7" w:rsidRDefault="005E60D6" w:rsidP="003316C0">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120E7">
              <w:rPr>
                <w:rFonts w:ascii="Palatino Linotype" w:eastAsia="Calibri" w:hAnsi="Palatino Linotype" w:cs="Arial"/>
                <w:i/>
                <w:sz w:val="24"/>
                <w:szCs w:val="24"/>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120E7">
              <w:rPr>
                <w:rFonts w:ascii="Palatino Linotype" w:eastAsia="Times New Roman" w:hAnsi="Palatino Linotype" w:cs="Arial"/>
                <w:i/>
                <w:sz w:val="24"/>
                <w:szCs w:val="24"/>
                <w:lang w:val="es-ES" w:eastAsia="es-ES"/>
              </w:rPr>
              <w:t>(…)</w:t>
            </w:r>
          </w:p>
          <w:p w:rsidR="005E60D6" w:rsidRPr="00C120E7" w:rsidRDefault="005E60D6" w:rsidP="003316C0">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120E7">
              <w:rPr>
                <w:rFonts w:ascii="Palatino Linotype" w:eastAsia="Times New Roman" w:hAnsi="Palatino Linotype" w:cs="Arial"/>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5E60D6" w:rsidRPr="00C120E7" w:rsidRDefault="005E60D6" w:rsidP="005E60D6">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120E7">
        <w:rPr>
          <w:rFonts w:ascii="Palatino Linotype" w:eastAsia="Times New Roman"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120E7">
        <w:rPr>
          <w:rFonts w:ascii="Palatino Linotype" w:eastAsia="Times New Roman" w:hAnsi="Palatino Linotype" w:cs="Times New Roman"/>
          <w:sz w:val="24"/>
          <w:szCs w:val="24"/>
          <w:lang w:val="es-ES" w:eastAsia="es-ES"/>
        </w:rPr>
        <w:t xml:space="preserve">. </w:t>
      </w:r>
    </w:p>
    <w:p w:rsidR="005E60D6" w:rsidRPr="00C120E7" w:rsidRDefault="005E60D6" w:rsidP="005E60D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 xml:space="preserve">En conclusión, se cubrieron los requisitos de procedencia y </w:t>
      </w:r>
      <w:proofErr w:type="spellStart"/>
      <w:r w:rsidRPr="00C120E7">
        <w:rPr>
          <w:rFonts w:ascii="Palatino Linotype" w:eastAsia="Times New Roman" w:hAnsi="Palatino Linotype" w:cs="Times New Roman"/>
          <w:sz w:val="24"/>
          <w:szCs w:val="24"/>
          <w:lang w:val="es-ES" w:eastAsia="es-ES"/>
        </w:rPr>
        <w:t>procedibilidad</w:t>
      </w:r>
      <w:proofErr w:type="spellEnd"/>
      <w:r w:rsidRPr="00C120E7">
        <w:rPr>
          <w:rFonts w:ascii="Palatino Linotype" w:eastAsia="Times New Roman" w:hAnsi="Palatino Linotype" w:cs="Times New Roman"/>
          <w:sz w:val="24"/>
          <w:szCs w:val="24"/>
          <w:lang w:val="es-ES" w:eastAsia="es-ES"/>
        </w:rPr>
        <w:t xml:space="preserve"> y conforme a las constancias que obran en el expediente.</w:t>
      </w:r>
    </w:p>
    <w:p w:rsidR="005E60D6" w:rsidRPr="00C120E7" w:rsidRDefault="005E60D6" w:rsidP="005E60D6">
      <w:pPr>
        <w:autoSpaceDE w:val="0"/>
        <w:autoSpaceDN w:val="0"/>
        <w:adjustRightInd w:val="0"/>
        <w:spacing w:before="240" w:line="360" w:lineRule="auto"/>
        <w:jc w:val="both"/>
        <w:rPr>
          <w:rFonts w:ascii="Palatino Linotype" w:eastAsia="Times New Roman" w:hAnsi="Palatino Linotype" w:cs="Arial"/>
          <w:b/>
          <w:sz w:val="28"/>
          <w:szCs w:val="28"/>
          <w:lang w:val="es-ES" w:eastAsia="es-ES"/>
        </w:rPr>
      </w:pPr>
      <w:r w:rsidRPr="00C120E7">
        <w:rPr>
          <w:rFonts w:ascii="Palatino Linotype" w:eastAsia="Times New Roman" w:hAnsi="Palatino Linotype" w:cs="Arial"/>
          <w:b/>
          <w:sz w:val="28"/>
          <w:szCs w:val="24"/>
          <w:lang w:val="es-ES" w:eastAsia="es-ES"/>
        </w:rPr>
        <w:lastRenderedPageBreak/>
        <w:t>TERCERO</w:t>
      </w:r>
      <w:r w:rsidRPr="00C120E7">
        <w:rPr>
          <w:rFonts w:ascii="Palatino Linotype" w:eastAsia="Times New Roman" w:hAnsi="Palatino Linotype" w:cs="Arial"/>
          <w:b/>
          <w:sz w:val="24"/>
          <w:szCs w:val="24"/>
          <w:lang w:val="es-ES" w:eastAsia="es-ES"/>
        </w:rPr>
        <w:t xml:space="preserve">. </w:t>
      </w:r>
      <w:r w:rsidRPr="00C120E7">
        <w:rPr>
          <w:rFonts w:ascii="Palatino Linotype" w:eastAsia="Times New Roman" w:hAnsi="Palatino Linotype" w:cs="Arial"/>
          <w:b/>
          <w:sz w:val="28"/>
          <w:szCs w:val="28"/>
          <w:lang w:val="es-ES" w:eastAsia="es-ES"/>
        </w:rPr>
        <w:t>De las causas de improcedencia.</w:t>
      </w:r>
    </w:p>
    <w:p w:rsidR="005E60D6" w:rsidRPr="00C120E7" w:rsidRDefault="005E60D6" w:rsidP="005E60D6">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En el procedimiento de acceso a la información y de los medios de impugnación de la materia, se advierten diversos supuestos de </w:t>
      </w:r>
      <w:proofErr w:type="spellStart"/>
      <w:r w:rsidRPr="00C120E7">
        <w:rPr>
          <w:rFonts w:ascii="Palatino Linotype" w:eastAsia="Times New Roman" w:hAnsi="Palatino Linotype" w:cs="Arial"/>
          <w:sz w:val="24"/>
          <w:szCs w:val="24"/>
          <w:lang w:val="es-ES" w:eastAsia="es-ES"/>
        </w:rPr>
        <w:t>procedibilidad</w:t>
      </w:r>
      <w:proofErr w:type="spellEnd"/>
      <w:r w:rsidRPr="00C120E7">
        <w:rPr>
          <w:rFonts w:ascii="Palatino Linotype" w:eastAsia="Times New Roman" w:hAnsi="Palatino Linotype" w:cs="Arial"/>
          <w:sz w:val="24"/>
          <w:szCs w:val="24"/>
          <w:lang w:val="es-ES" w:eastAsia="es-ES"/>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E60D6" w:rsidRPr="00C120E7" w:rsidRDefault="005E60D6" w:rsidP="005E60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 xml:space="preserve">Siendo facultad de este Órgano entrar al estudio de las causas de improcedencia que hagan valer las partes o que se adviertan de oficio por este </w:t>
      </w:r>
      <w:proofErr w:type="spellStart"/>
      <w:r w:rsidRPr="00C120E7">
        <w:rPr>
          <w:rFonts w:ascii="Palatino Linotype" w:eastAsia="Times New Roman" w:hAnsi="Palatino Linotype" w:cs="Arial"/>
          <w:sz w:val="24"/>
          <w:szCs w:val="24"/>
          <w:lang w:val="es-ES" w:eastAsia="es-ES"/>
        </w:rPr>
        <w:t>Resolutor</w:t>
      </w:r>
      <w:proofErr w:type="spellEnd"/>
      <w:r w:rsidRPr="00C120E7">
        <w:rPr>
          <w:rFonts w:ascii="Palatino Linotype" w:eastAsia="Times New Roman" w:hAnsi="Palatino Linotype" w:cs="Arial"/>
          <w:sz w:val="24"/>
          <w:szCs w:val="24"/>
          <w:lang w:val="es-ES" w:eastAsia="es-E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20E7">
        <w:rPr>
          <w:rFonts w:ascii="Palatino Linotype" w:eastAsia="Times New Roman" w:hAnsi="Palatino Linotype" w:cs="Arial"/>
          <w:sz w:val="24"/>
          <w:szCs w:val="24"/>
          <w:vertAlign w:val="superscript"/>
          <w:lang w:val="es-ES" w:eastAsia="es-ES"/>
        </w:rPr>
        <w:footnoteReference w:id="1"/>
      </w:r>
      <w:r w:rsidRPr="00C120E7">
        <w:rPr>
          <w:rFonts w:ascii="Palatino Linotype" w:eastAsia="Times New Roman" w:hAnsi="Palatino Linotype" w:cs="Arial"/>
          <w:sz w:val="24"/>
          <w:szCs w:val="24"/>
          <w:lang w:val="es-ES" w:eastAsia="es-ES"/>
        </w:rPr>
        <w:t xml:space="preserve">. Así las cosas, del análisis de los </w:t>
      </w:r>
      <w:r w:rsidRPr="00C120E7">
        <w:rPr>
          <w:rFonts w:ascii="Palatino Linotype" w:eastAsia="Times New Roman" w:hAnsi="Palatino Linotype" w:cs="Arial"/>
          <w:sz w:val="24"/>
          <w:szCs w:val="24"/>
          <w:lang w:val="es-ES" w:eastAsia="es-ES"/>
        </w:rPr>
        <w:lastRenderedPageBreak/>
        <w:t>expedientes electrónicos no se advierte ninguna causa de improcedencia que se actualice ni mucho menos alguna hecha valer por alguna de las partes, procediendo al estudio del fondo del asunto, en los siguientes términos.</w:t>
      </w:r>
    </w:p>
    <w:p w:rsidR="005E60D6" w:rsidRPr="00C120E7" w:rsidRDefault="005E60D6" w:rsidP="005E60D6">
      <w:pPr>
        <w:tabs>
          <w:tab w:val="left" w:pos="709"/>
        </w:tabs>
        <w:spacing w:before="240" w:after="0" w:line="360" w:lineRule="auto"/>
        <w:ind w:right="51"/>
        <w:jc w:val="both"/>
        <w:rPr>
          <w:rFonts w:ascii="Palatino Linotype" w:eastAsia="Times New Roman" w:hAnsi="Palatino Linotype" w:cs="Times New Roman"/>
          <w:b/>
          <w:sz w:val="28"/>
          <w:szCs w:val="28"/>
          <w:lang w:val="es-ES" w:eastAsia="es-ES"/>
        </w:rPr>
      </w:pPr>
    </w:p>
    <w:p w:rsidR="005E60D6" w:rsidRPr="00C120E7" w:rsidRDefault="005E60D6" w:rsidP="005E60D6">
      <w:pPr>
        <w:tabs>
          <w:tab w:val="left" w:pos="709"/>
        </w:tabs>
        <w:spacing w:before="240" w:after="0" w:line="360" w:lineRule="auto"/>
        <w:ind w:right="51"/>
        <w:jc w:val="both"/>
        <w:rPr>
          <w:rFonts w:ascii="Palatino Linotype" w:eastAsia="Times New Roman" w:hAnsi="Palatino Linotype" w:cs="Times New Roman"/>
          <w:b/>
          <w:sz w:val="28"/>
          <w:szCs w:val="28"/>
          <w:lang w:val="es-ES" w:eastAsia="es-ES"/>
        </w:rPr>
      </w:pPr>
      <w:r w:rsidRPr="00C120E7">
        <w:rPr>
          <w:rFonts w:ascii="Palatino Linotype" w:eastAsia="Times New Roman" w:hAnsi="Palatino Linotype" w:cs="Times New Roman"/>
          <w:b/>
          <w:sz w:val="28"/>
          <w:szCs w:val="28"/>
          <w:lang w:val="es-ES" w:eastAsia="es-ES"/>
        </w:rPr>
        <w:t xml:space="preserve">CUARTO. Estudio y resolución del asunto </w:t>
      </w:r>
      <w:r w:rsidRPr="00C120E7">
        <w:rPr>
          <w:rFonts w:ascii="Palatino Linotype" w:eastAsia="Times New Roman" w:hAnsi="Palatino Linotype" w:cs="Times New Roman"/>
          <w:b/>
          <w:sz w:val="28"/>
          <w:szCs w:val="28"/>
          <w:lang w:val="es-ES" w:eastAsia="es-ES"/>
        </w:rPr>
        <w:tab/>
      </w:r>
    </w:p>
    <w:p w:rsidR="005E60D6" w:rsidRPr="00C120E7" w:rsidRDefault="005E60D6" w:rsidP="005E60D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r w:rsidRPr="00C120E7">
        <w:rPr>
          <w:rFonts w:ascii="Palatino Linotype" w:eastAsia="Palatino Linotype" w:hAnsi="Palatino Linotype" w:cs="Palatino Linotype"/>
          <w:color w:val="000000"/>
          <w:sz w:val="24"/>
          <w:szCs w:val="24"/>
          <w:lang w:val="es-ES" w:eastAsia="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E60D6" w:rsidRPr="00C120E7" w:rsidRDefault="005E60D6" w:rsidP="005E60D6">
      <w:pPr>
        <w:autoSpaceDE w:val="0"/>
        <w:autoSpaceDN w:val="0"/>
        <w:adjustRightInd w:val="0"/>
        <w:spacing w:after="0" w:line="240" w:lineRule="auto"/>
        <w:ind w:right="567"/>
        <w:rPr>
          <w:rFonts w:ascii="Palatino Linotype" w:eastAsia="Calibri" w:hAnsi="Palatino Linotype" w:cs="Arial"/>
          <w:sz w:val="24"/>
          <w:szCs w:val="24"/>
          <w:lang w:val="es-ES" w:eastAsia="es-ES"/>
        </w:rPr>
      </w:pPr>
    </w:p>
    <w:p w:rsidR="005E60D6" w:rsidRPr="00C120E7" w:rsidRDefault="005E60D6" w:rsidP="005E60D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r w:rsidRPr="00C120E7">
        <w:rPr>
          <w:rFonts w:ascii="Palatino Linotype" w:eastAsia="Palatino Linotype" w:hAnsi="Palatino Linotype" w:cs="Palatino Linotype"/>
          <w:color w:val="000000"/>
          <w:sz w:val="24"/>
          <w:szCs w:val="24"/>
          <w:lang w:val="es-ES" w:eastAsia="es-ES"/>
        </w:rPr>
        <w:t>Ahora bien, el artículo 179 de la Ley de Transparencia establece las causales para la procedencia del recurso de revisión, tal como se transcribe:</w:t>
      </w:r>
    </w:p>
    <w:p w:rsidR="005E60D6" w:rsidRPr="00C120E7" w:rsidRDefault="005E60D6" w:rsidP="005E60D6">
      <w:pPr>
        <w:spacing w:after="0" w:line="240" w:lineRule="auto"/>
        <w:ind w:left="851" w:right="851"/>
        <w:jc w:val="both"/>
        <w:rPr>
          <w:rFonts w:ascii="Palatino Linotype" w:eastAsia="Calibri" w:hAnsi="Palatino Linotype" w:cs="Arial"/>
          <w:i/>
        </w:rPr>
      </w:pPr>
      <w:r w:rsidRPr="00C120E7">
        <w:rPr>
          <w:rFonts w:ascii="Palatino Linotype" w:eastAsia="Calibri" w:hAnsi="Palatino Linotype" w:cs="Arial"/>
          <w:b/>
          <w:i/>
        </w:rPr>
        <w:t>Artículo 179.</w:t>
      </w:r>
      <w:r w:rsidRPr="00C120E7">
        <w:rPr>
          <w:rFonts w:ascii="Palatino Linotype" w:eastAsia="Calibri" w:hAnsi="Palatino Linotype" w:cs="Arial"/>
          <w:i/>
        </w:rPr>
        <w:t xml:space="preserve"> El recurso de revisión es un medio de protección que la Ley otorga a los particulares, para hacer valer su derecho de acceso a la información pública, y procederá en contra de las siguientes causas: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negativa a la información solicitada;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lastRenderedPageBreak/>
        <w:t xml:space="preserve">La clasificación de la información;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declaración de inexistencia de la información;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declaración de incompetencia por el sujeto obligado;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b/>
          <w:i/>
        </w:rPr>
      </w:pPr>
      <w:r w:rsidRPr="00C120E7">
        <w:rPr>
          <w:rFonts w:ascii="Palatino Linotype" w:eastAsia="Calibri" w:hAnsi="Palatino Linotype" w:cs="Arial"/>
          <w:b/>
          <w:i/>
        </w:rPr>
        <w:t xml:space="preserve">La entrega de información incompleta;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entrega de información que no corresponda con lo solicitado;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falta de respuesta a una solicitud de acceso a la información;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notificación, entrega o puesta a disposición de información en una modalidad o formato distinto al solicitado;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entrega o puesta a disposición de información en un formato incomprensible y/o no accesible para el solicitante;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Los costos o tiempos de entrega de la información;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falta de trámite a una solicitud;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negativa a permitir la consulta directa de la información;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falta, deficiencia o insuficiencia de la fundamentación y/o motivación en la respuesta; y </w:t>
      </w:r>
    </w:p>
    <w:p w:rsidR="005E60D6" w:rsidRPr="00C120E7" w:rsidRDefault="005E60D6" w:rsidP="005E60D6">
      <w:pPr>
        <w:numPr>
          <w:ilvl w:val="0"/>
          <w:numId w:val="3"/>
        </w:numPr>
        <w:spacing w:after="0" w:line="240" w:lineRule="auto"/>
        <w:ind w:right="851"/>
        <w:jc w:val="both"/>
        <w:rPr>
          <w:rFonts w:ascii="Palatino Linotype" w:eastAsia="Calibri" w:hAnsi="Palatino Linotype" w:cs="Arial"/>
          <w:i/>
        </w:rPr>
      </w:pPr>
      <w:r w:rsidRPr="00C120E7">
        <w:rPr>
          <w:rFonts w:ascii="Palatino Linotype" w:eastAsia="Calibri" w:hAnsi="Palatino Linotype" w:cs="Arial"/>
          <w:i/>
        </w:rPr>
        <w:t xml:space="preserve">La orientación a un trámite específico. </w:t>
      </w:r>
    </w:p>
    <w:p w:rsidR="005E60D6" w:rsidRPr="00C120E7" w:rsidRDefault="005E60D6" w:rsidP="005E60D6">
      <w:pPr>
        <w:spacing w:after="0" w:line="240" w:lineRule="auto"/>
        <w:ind w:left="851" w:right="851"/>
        <w:jc w:val="both"/>
        <w:rPr>
          <w:rFonts w:ascii="Palatino Linotype" w:eastAsia="Calibri" w:hAnsi="Palatino Linotype" w:cs="Arial"/>
          <w:i/>
        </w:rPr>
      </w:pPr>
      <w:r w:rsidRPr="00C120E7">
        <w:rPr>
          <w:rFonts w:ascii="Palatino Linotype" w:eastAsia="Calibri"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5E60D6" w:rsidRPr="00C120E7" w:rsidRDefault="005E60D6" w:rsidP="005E60D6">
      <w:pPr>
        <w:autoSpaceDE w:val="0"/>
        <w:autoSpaceDN w:val="0"/>
        <w:adjustRightInd w:val="0"/>
        <w:spacing w:after="0" w:line="240" w:lineRule="auto"/>
        <w:ind w:right="567"/>
        <w:rPr>
          <w:rFonts w:ascii="Palatino Linotype" w:eastAsia="Calibri" w:hAnsi="Palatino Linotype" w:cs="Arial"/>
          <w:sz w:val="24"/>
          <w:szCs w:val="24"/>
          <w:lang w:val="es-ES" w:eastAsia="es-ES"/>
        </w:rPr>
      </w:pPr>
    </w:p>
    <w:p w:rsidR="005E60D6" w:rsidRPr="00C120E7" w:rsidRDefault="005E60D6" w:rsidP="005E60D6">
      <w:pPr>
        <w:autoSpaceDE w:val="0"/>
        <w:autoSpaceDN w:val="0"/>
        <w:adjustRightInd w:val="0"/>
        <w:spacing w:after="0" w:line="240" w:lineRule="auto"/>
        <w:ind w:right="567"/>
        <w:rPr>
          <w:rFonts w:ascii="Palatino Linotype" w:eastAsia="Calibri" w:hAnsi="Palatino Linotype" w:cs="Arial"/>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Tahoma"/>
          <w:bCs/>
          <w:sz w:val="24"/>
          <w:szCs w:val="24"/>
          <w:lang w:val="es-ES" w:eastAsia="es-ES"/>
        </w:rPr>
      </w:pPr>
      <w:r w:rsidRPr="00C120E7">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C120E7">
        <w:rPr>
          <w:rFonts w:ascii="Palatino Linotype" w:eastAsia="Times New Roman" w:hAnsi="Palatino Linotype" w:cs="Tahoma"/>
          <w:b/>
          <w:bCs/>
          <w:sz w:val="24"/>
          <w:szCs w:val="24"/>
          <w:lang w:val="es-ES" w:eastAsia="es-ES"/>
        </w:rPr>
        <w:t>Recurrente</w:t>
      </w:r>
      <w:r w:rsidRPr="00C120E7">
        <w:rPr>
          <w:rFonts w:ascii="Palatino Linotype" w:eastAsia="Times New Roman" w:hAnsi="Palatino Linotype" w:cs="Tahoma"/>
          <w:bCs/>
          <w:sz w:val="24"/>
          <w:szCs w:val="24"/>
          <w:lang w:val="es-ES" w:eastAsia="es-ES"/>
        </w:rPr>
        <w:t>, de manera objetiva se precisa que requiere la siguiente información:</w:t>
      </w:r>
    </w:p>
    <w:p w:rsidR="005E60D6" w:rsidRPr="00C120E7" w:rsidRDefault="005E60D6" w:rsidP="005E60D6">
      <w:pPr>
        <w:numPr>
          <w:ilvl w:val="0"/>
          <w:numId w:val="4"/>
        </w:numPr>
        <w:spacing w:before="240"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Recibos de nómina de todos los empleados del IMEVIS de enero a julio de 2025.</w:t>
      </w:r>
    </w:p>
    <w:p w:rsidR="005E60D6" w:rsidRPr="00C120E7" w:rsidRDefault="005E60D6" w:rsidP="005E60D6">
      <w:pPr>
        <w:numPr>
          <w:ilvl w:val="0"/>
          <w:numId w:val="4"/>
        </w:numPr>
        <w:spacing w:before="240"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Gafetes de todos los empleados, con nombre, foto y puesto.</w:t>
      </w:r>
    </w:p>
    <w:p w:rsidR="005E60D6" w:rsidRPr="00C120E7" w:rsidRDefault="005E60D6" w:rsidP="005E60D6">
      <w:pPr>
        <w:spacing w:before="240"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before="240" w:after="0" w:line="360" w:lineRule="auto"/>
        <w:jc w:val="both"/>
        <w:rPr>
          <w:rFonts w:ascii="Palatino Linotype" w:eastAsia="Times New Roman" w:hAnsi="Palatino Linotype" w:cs="Arial"/>
          <w:b/>
          <w:sz w:val="24"/>
          <w:szCs w:val="24"/>
          <w:lang w:val="es-ES" w:eastAsia="es-ES"/>
        </w:rPr>
      </w:pPr>
      <w:r w:rsidRPr="00C120E7">
        <w:rPr>
          <w:rFonts w:ascii="Palatino Linotype" w:eastAsia="Times New Roman" w:hAnsi="Palatino Linotype" w:cs="Arial"/>
          <w:sz w:val="24"/>
          <w:szCs w:val="24"/>
          <w:lang w:val="es-ES" w:eastAsia="es-ES"/>
        </w:rPr>
        <w:t xml:space="preserve">De conformidad con las constancias que obran en el expediente electrónico, se observa que el </w:t>
      </w:r>
      <w:r w:rsidRPr="00C120E7">
        <w:rPr>
          <w:rFonts w:ascii="Palatino Linotype" w:eastAsia="Times New Roman" w:hAnsi="Palatino Linotype" w:cs="Arial"/>
          <w:b/>
          <w:sz w:val="24"/>
          <w:szCs w:val="24"/>
          <w:lang w:val="es-ES" w:eastAsia="es-ES"/>
        </w:rPr>
        <w:t>Sujeto Obligado</w:t>
      </w:r>
      <w:r w:rsidRPr="00C120E7">
        <w:rPr>
          <w:rFonts w:ascii="Palatino Linotype" w:eastAsia="Times New Roman" w:hAnsi="Palatino Linotype" w:cs="Arial"/>
          <w:sz w:val="24"/>
          <w:szCs w:val="24"/>
          <w:lang w:val="es-ES" w:eastAsia="es-ES"/>
        </w:rPr>
        <w:t xml:space="preserve"> dio respuesta por medio del sistema SAIMEX, a la solicitud de información</w:t>
      </w:r>
      <w:r w:rsidRPr="00C120E7">
        <w:rPr>
          <w:rFonts w:ascii="Palatino Linotype" w:eastAsia="Palatino Linotype" w:hAnsi="Palatino Linotype" w:cs="Palatino Linotype"/>
          <w:b/>
          <w:color w:val="000000"/>
          <w:sz w:val="24"/>
          <w:szCs w:val="24"/>
          <w:lang w:val="es-ES" w:eastAsia="es-ES"/>
        </w:rPr>
        <w:t xml:space="preserve"> </w:t>
      </w:r>
      <w:r w:rsidRPr="00C120E7">
        <w:rPr>
          <w:rFonts w:ascii="Palatino Linotype" w:eastAsia="Times New Roman" w:hAnsi="Palatino Linotype" w:cs="Arial"/>
          <w:b/>
          <w:sz w:val="24"/>
          <w:szCs w:val="24"/>
          <w:lang w:val="es-ES" w:eastAsia="es-ES"/>
        </w:rPr>
        <w:t xml:space="preserve">00080/IMEVIS/IP/2025; </w:t>
      </w:r>
      <w:r w:rsidRPr="00C120E7">
        <w:rPr>
          <w:rFonts w:ascii="Palatino Linotype" w:eastAsia="Times New Roman" w:hAnsi="Palatino Linotype" w:cs="Arial"/>
          <w:sz w:val="24"/>
          <w:szCs w:val="24"/>
          <w:lang w:val="es-ES" w:eastAsia="es-ES"/>
        </w:rPr>
        <w:t>a través de los archivos electrónicos</w:t>
      </w:r>
      <w:r w:rsidRPr="00C120E7">
        <w:rPr>
          <w:rFonts w:ascii="Palatino Linotype" w:eastAsia="Times New Roman" w:hAnsi="Palatino Linotype" w:cs="Arial"/>
          <w:b/>
          <w:sz w:val="24"/>
          <w:szCs w:val="24"/>
          <w:lang w:val="es-ES" w:eastAsia="es-ES"/>
        </w:rPr>
        <w:t>:</w:t>
      </w:r>
    </w:p>
    <w:p w:rsidR="005E60D6" w:rsidRPr="00C120E7" w:rsidRDefault="005E60D6" w:rsidP="005E60D6">
      <w:pPr>
        <w:numPr>
          <w:ilvl w:val="0"/>
          <w:numId w:val="1"/>
        </w:numPr>
        <w:spacing w:before="240" w:after="0" w:line="360" w:lineRule="auto"/>
        <w:jc w:val="both"/>
        <w:rPr>
          <w:rFonts w:ascii="Palatino Linotype" w:eastAsia="Calibri" w:hAnsi="Palatino Linotype" w:cs="Arial"/>
          <w:b/>
          <w:i/>
          <w:sz w:val="24"/>
        </w:rPr>
      </w:pPr>
      <w:r w:rsidRPr="00C120E7">
        <w:rPr>
          <w:rFonts w:ascii="Palatino Linotype" w:eastAsia="Calibri" w:hAnsi="Palatino Linotype" w:cs="Arial"/>
          <w:b/>
          <w:i/>
          <w:sz w:val="24"/>
        </w:rPr>
        <w:lastRenderedPageBreak/>
        <w:t xml:space="preserve">NOMINAS_00080.rar: </w:t>
      </w:r>
      <w:r w:rsidRPr="00C120E7">
        <w:rPr>
          <w:rFonts w:ascii="Palatino Linotype" w:eastAsia="Calibri" w:hAnsi="Palatino Linotype" w:cs="Arial"/>
          <w:sz w:val="24"/>
        </w:rPr>
        <w:t xml:space="preserve">carpeta </w:t>
      </w:r>
      <w:proofErr w:type="spellStart"/>
      <w:r w:rsidRPr="00C120E7">
        <w:rPr>
          <w:rFonts w:ascii="Palatino Linotype" w:eastAsia="Calibri" w:hAnsi="Palatino Linotype" w:cs="Arial"/>
          <w:sz w:val="24"/>
        </w:rPr>
        <w:t>rar</w:t>
      </w:r>
      <w:proofErr w:type="spellEnd"/>
      <w:r w:rsidRPr="00C120E7">
        <w:rPr>
          <w:rFonts w:ascii="Palatino Linotype" w:eastAsia="Calibri" w:hAnsi="Palatino Linotype" w:cs="Arial"/>
          <w:sz w:val="24"/>
        </w:rPr>
        <w:t xml:space="preserve">, contiene 28 documentos </w:t>
      </w:r>
      <w:proofErr w:type="spellStart"/>
      <w:r w:rsidRPr="00C120E7">
        <w:rPr>
          <w:rFonts w:ascii="Palatino Linotype" w:eastAsia="Calibri" w:hAnsi="Palatino Linotype" w:cs="Arial"/>
          <w:sz w:val="24"/>
        </w:rPr>
        <w:t>pdf</w:t>
      </w:r>
      <w:proofErr w:type="spellEnd"/>
      <w:r w:rsidRPr="00C120E7">
        <w:rPr>
          <w:rFonts w:ascii="Palatino Linotype" w:eastAsia="Calibri" w:hAnsi="Palatino Linotype" w:cs="Arial"/>
          <w:sz w:val="24"/>
        </w:rPr>
        <w:t>, documentos que a su vez contienen recibos de nómina, de las quincenas de enero, febrero, marzo, abril, mayo, junio y julio.</w:t>
      </w:r>
    </w:p>
    <w:p w:rsidR="005E60D6" w:rsidRPr="00C120E7" w:rsidRDefault="005E60D6" w:rsidP="005E60D6">
      <w:pPr>
        <w:spacing w:before="240" w:after="0" w:line="360" w:lineRule="auto"/>
        <w:ind w:left="720"/>
        <w:jc w:val="center"/>
        <w:rPr>
          <w:rFonts w:ascii="Palatino Linotype" w:eastAsia="Calibri" w:hAnsi="Palatino Linotype" w:cs="Arial"/>
          <w:b/>
          <w:i/>
          <w:sz w:val="24"/>
        </w:rPr>
      </w:pPr>
      <w:r w:rsidRPr="00C120E7">
        <w:rPr>
          <w:rFonts w:ascii="Palatino Linotype" w:eastAsia="Calibri" w:hAnsi="Palatino Linotype" w:cs="Arial"/>
          <w:b/>
          <w:i/>
          <w:noProof/>
          <w:sz w:val="24"/>
          <w:lang w:eastAsia="es-MX"/>
        </w:rPr>
        <w:drawing>
          <wp:inline distT="0" distB="0" distL="0" distR="0" wp14:anchorId="65499D42" wp14:editId="5422D6A0">
            <wp:extent cx="4226180" cy="40100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32601" cy="4016118"/>
                    </a:xfrm>
                    <a:prstGeom prst="rect">
                      <a:avLst/>
                    </a:prstGeom>
                  </pic:spPr>
                </pic:pic>
              </a:graphicData>
            </a:graphic>
          </wp:inline>
        </w:drawing>
      </w:r>
    </w:p>
    <w:p w:rsidR="005E60D6" w:rsidRPr="00C120E7" w:rsidRDefault="005E60D6" w:rsidP="005E60D6">
      <w:pPr>
        <w:numPr>
          <w:ilvl w:val="0"/>
          <w:numId w:val="1"/>
        </w:numPr>
        <w:spacing w:before="240" w:after="0" w:line="360" w:lineRule="auto"/>
        <w:jc w:val="both"/>
        <w:rPr>
          <w:rFonts w:ascii="Palatino Linotype" w:eastAsia="Calibri" w:hAnsi="Palatino Linotype" w:cs="Arial"/>
          <w:b/>
          <w:i/>
          <w:sz w:val="24"/>
        </w:rPr>
      </w:pPr>
      <w:r w:rsidRPr="00C120E7">
        <w:rPr>
          <w:rFonts w:ascii="Palatino Linotype" w:eastAsia="Calibri" w:hAnsi="Palatino Linotype" w:cs="Arial"/>
          <w:b/>
          <w:i/>
          <w:sz w:val="24"/>
        </w:rPr>
        <w:t xml:space="preserve">00080_RESP_DAF.PDF: </w:t>
      </w:r>
      <w:r w:rsidRPr="00C120E7">
        <w:rPr>
          <w:rFonts w:ascii="Palatino Linotype" w:eastAsia="Calibri" w:hAnsi="Palatino Linotype" w:cs="Arial"/>
          <w:sz w:val="24"/>
        </w:rPr>
        <w:t>oficio número 230C0101070000L/1938/2025, firmado por el Director de Administración y Finanzas, dirigido al Titular de la Unidad de Transparencia, por medio del cual solicita la clasificación de los datos personales contenidos en los recibos de nómina.</w:t>
      </w:r>
    </w:p>
    <w:p w:rsidR="005E60D6" w:rsidRPr="00C120E7" w:rsidRDefault="005E60D6" w:rsidP="005E60D6">
      <w:pPr>
        <w:numPr>
          <w:ilvl w:val="0"/>
          <w:numId w:val="1"/>
        </w:numPr>
        <w:spacing w:before="240" w:after="0" w:line="360" w:lineRule="auto"/>
        <w:jc w:val="both"/>
        <w:rPr>
          <w:rFonts w:ascii="Palatino Linotype" w:eastAsia="Calibri" w:hAnsi="Palatino Linotype" w:cs="Arial"/>
          <w:b/>
          <w:i/>
          <w:sz w:val="24"/>
        </w:rPr>
      </w:pPr>
      <w:r w:rsidRPr="00C120E7">
        <w:rPr>
          <w:rFonts w:ascii="Palatino Linotype" w:eastAsia="Calibri" w:hAnsi="Palatino Linotype" w:cs="Arial"/>
          <w:b/>
          <w:i/>
          <w:sz w:val="24"/>
        </w:rPr>
        <w:lastRenderedPageBreak/>
        <w:t xml:space="preserve">ANEXO_GAFETES IMEVIS.pdf: </w:t>
      </w:r>
      <w:r w:rsidRPr="00C120E7">
        <w:rPr>
          <w:rFonts w:ascii="Palatino Linotype" w:eastAsia="Calibri" w:hAnsi="Palatino Linotype" w:cs="Arial"/>
          <w:sz w:val="24"/>
        </w:rPr>
        <w:t>contiene 476 fojas, las cuales contienen gafetes de servidores públicos, con nombre completo, foto y cargo.</w:t>
      </w:r>
    </w:p>
    <w:p w:rsidR="005E60D6" w:rsidRPr="00C120E7" w:rsidRDefault="005E60D6" w:rsidP="005E60D6">
      <w:pPr>
        <w:spacing w:before="240" w:after="0" w:line="360" w:lineRule="auto"/>
        <w:ind w:left="720"/>
        <w:jc w:val="center"/>
        <w:rPr>
          <w:rFonts w:ascii="Palatino Linotype" w:eastAsia="Calibri" w:hAnsi="Palatino Linotype" w:cs="Arial"/>
          <w:b/>
          <w:i/>
          <w:sz w:val="24"/>
        </w:rPr>
      </w:pPr>
      <w:r w:rsidRPr="00C120E7">
        <w:rPr>
          <w:rFonts w:ascii="Palatino Linotype" w:eastAsia="Calibri" w:hAnsi="Palatino Linotype" w:cs="Arial"/>
          <w:b/>
          <w:i/>
          <w:noProof/>
          <w:sz w:val="24"/>
          <w:lang w:eastAsia="es-MX"/>
        </w:rPr>
        <w:drawing>
          <wp:inline distT="0" distB="0" distL="0" distR="0" wp14:anchorId="5790964F" wp14:editId="60E33AE6">
            <wp:extent cx="1704975" cy="2760687"/>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0019" cy="2768854"/>
                    </a:xfrm>
                    <a:prstGeom prst="rect">
                      <a:avLst/>
                    </a:prstGeom>
                  </pic:spPr>
                </pic:pic>
              </a:graphicData>
            </a:graphic>
          </wp:inline>
        </w:drawing>
      </w:r>
    </w:p>
    <w:p w:rsidR="005E60D6" w:rsidRPr="00C120E7" w:rsidRDefault="005E60D6" w:rsidP="005E60D6">
      <w:pPr>
        <w:numPr>
          <w:ilvl w:val="0"/>
          <w:numId w:val="1"/>
        </w:numPr>
        <w:spacing w:before="240" w:after="0" w:line="360" w:lineRule="auto"/>
        <w:jc w:val="both"/>
        <w:rPr>
          <w:rFonts w:ascii="Palatino Linotype" w:eastAsia="Calibri" w:hAnsi="Palatino Linotype" w:cs="Arial"/>
          <w:b/>
          <w:i/>
          <w:sz w:val="24"/>
        </w:rPr>
      </w:pPr>
      <w:r w:rsidRPr="00C120E7">
        <w:rPr>
          <w:rFonts w:ascii="Palatino Linotype" w:eastAsia="Calibri" w:hAnsi="Palatino Linotype" w:cs="Arial"/>
          <w:b/>
          <w:i/>
          <w:sz w:val="24"/>
        </w:rPr>
        <w:t>00080_RESPUESTA_UT.PDF</w:t>
      </w:r>
      <w:proofErr w:type="gramStart"/>
      <w:r w:rsidRPr="00C120E7">
        <w:rPr>
          <w:rFonts w:ascii="Palatino Linotype" w:eastAsia="Calibri" w:hAnsi="Palatino Linotype" w:cs="Arial"/>
          <w:b/>
          <w:i/>
          <w:sz w:val="24"/>
        </w:rPr>
        <w:t xml:space="preserve">: </w:t>
      </w:r>
      <w:r w:rsidRPr="00C120E7">
        <w:rPr>
          <w:rFonts w:ascii="Palatino Linotype" w:eastAsia="Calibri" w:hAnsi="Palatino Linotype" w:cs="Arial"/>
          <w:sz w:val="24"/>
        </w:rPr>
        <w:t xml:space="preserve"> contiene</w:t>
      </w:r>
      <w:proofErr w:type="gramEnd"/>
      <w:r w:rsidRPr="00C120E7">
        <w:rPr>
          <w:rFonts w:ascii="Palatino Linotype" w:eastAsia="Calibri" w:hAnsi="Palatino Linotype" w:cs="Arial"/>
          <w:sz w:val="24"/>
        </w:rPr>
        <w:t xml:space="preserve"> el oficio número 230C0101000200S/UT/442/2025, firmado por la Unidad de Transparencia, en el que refiere remitir la información en versión pública, así como el acuerdo número 02/IMEVIS-18-08-2025/EXT-12.</w:t>
      </w:r>
    </w:p>
    <w:p w:rsidR="005E60D6" w:rsidRPr="00C120E7" w:rsidRDefault="005E60D6" w:rsidP="005E60D6">
      <w:pPr>
        <w:numPr>
          <w:ilvl w:val="0"/>
          <w:numId w:val="1"/>
        </w:numPr>
        <w:spacing w:before="240" w:after="0" w:line="360" w:lineRule="auto"/>
        <w:jc w:val="both"/>
        <w:rPr>
          <w:rFonts w:ascii="Palatino Linotype" w:eastAsia="Calibri" w:hAnsi="Palatino Linotype" w:cs="Arial"/>
          <w:b/>
          <w:i/>
          <w:sz w:val="24"/>
        </w:rPr>
      </w:pPr>
      <w:r w:rsidRPr="00C120E7">
        <w:rPr>
          <w:rFonts w:ascii="Palatino Linotype" w:eastAsia="Calibri" w:hAnsi="Palatino Linotype" w:cs="Arial"/>
          <w:b/>
          <w:i/>
          <w:sz w:val="24"/>
        </w:rPr>
        <w:t xml:space="preserve">00080_ACUERDO_COMITE_TRANSPARENCIA.PDF: </w:t>
      </w:r>
      <w:r w:rsidRPr="00C120E7">
        <w:rPr>
          <w:rFonts w:ascii="Palatino Linotype" w:eastAsia="Calibri" w:hAnsi="Palatino Linotype" w:cs="Arial"/>
          <w:sz w:val="24"/>
        </w:rPr>
        <w:t>contiene el Acta de la Décima Segunda Sesión Extraordinaria del Comité de Transparencia, en el que se aprobó la clasificación de los datos personales contenidos en los recibos de nómina.</w:t>
      </w:r>
    </w:p>
    <w:p w:rsidR="005E60D6" w:rsidRPr="00C120E7" w:rsidRDefault="005E60D6" w:rsidP="005E60D6">
      <w:pPr>
        <w:spacing w:after="0" w:line="360" w:lineRule="auto"/>
        <w:jc w:val="both"/>
        <w:rPr>
          <w:rFonts w:ascii="Palatino Linotype" w:eastAsia="Times New Roman" w:hAnsi="Palatino Linotype" w:cs="Arial"/>
          <w:bCs/>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Times New Roman"/>
          <w:b/>
          <w:i/>
          <w:sz w:val="24"/>
          <w:szCs w:val="24"/>
          <w:u w:val="single"/>
          <w:lang w:val="es-ES" w:eastAsia="es-ES"/>
        </w:rPr>
      </w:pPr>
      <w:r w:rsidRPr="00C120E7">
        <w:rPr>
          <w:rFonts w:ascii="Palatino Linotype" w:eastAsia="Times New Roman" w:hAnsi="Palatino Linotype" w:cs="Arial"/>
          <w:bCs/>
          <w:sz w:val="24"/>
          <w:szCs w:val="24"/>
          <w:lang w:val="es-ES" w:eastAsia="es-ES"/>
        </w:rPr>
        <w:lastRenderedPageBreak/>
        <w:t xml:space="preserve">Es así como, derivado de la respuesta emitida por </w:t>
      </w:r>
      <w:r w:rsidRPr="00C120E7">
        <w:rPr>
          <w:rFonts w:ascii="Palatino Linotype" w:eastAsia="Times New Roman" w:hAnsi="Palatino Linotype" w:cs="Arial"/>
          <w:b/>
          <w:bCs/>
          <w:sz w:val="24"/>
          <w:szCs w:val="24"/>
          <w:lang w:val="es-ES" w:eastAsia="es-ES"/>
        </w:rPr>
        <w:t>El Sujeto Obligado</w:t>
      </w:r>
      <w:r w:rsidRPr="00C120E7">
        <w:rPr>
          <w:rFonts w:ascii="Palatino Linotype" w:eastAsia="Times New Roman" w:hAnsi="Palatino Linotype" w:cs="Arial"/>
          <w:bCs/>
          <w:sz w:val="24"/>
          <w:szCs w:val="24"/>
          <w:lang w:val="es-ES" w:eastAsia="es-ES"/>
        </w:rPr>
        <w:t xml:space="preserve">, </w:t>
      </w:r>
      <w:r w:rsidRPr="00C120E7">
        <w:rPr>
          <w:rFonts w:ascii="Palatino Linotype" w:eastAsia="Times New Roman" w:hAnsi="Palatino Linotype" w:cs="Arial"/>
          <w:b/>
          <w:bCs/>
          <w:sz w:val="24"/>
          <w:szCs w:val="24"/>
          <w:lang w:val="es-ES" w:eastAsia="es-ES"/>
        </w:rPr>
        <w:t>el Recurrente</w:t>
      </w:r>
      <w:r w:rsidRPr="00C120E7">
        <w:rPr>
          <w:rFonts w:ascii="Palatino Linotype" w:eastAsia="Times New Roman" w:hAnsi="Palatino Linotype" w:cs="Arial"/>
          <w:bCs/>
          <w:sz w:val="24"/>
          <w:szCs w:val="24"/>
          <w:lang w:val="es-ES" w:eastAsia="es-ES"/>
        </w:rPr>
        <w:t>, interpuso el presente recurso de revisión, señalando sustancialmente como sus razones o motivos de inconformidad, lo siguiente:</w:t>
      </w:r>
      <w:r w:rsidRPr="00C120E7" w:rsidDel="00107C3B">
        <w:rPr>
          <w:rFonts w:ascii="Palatino Linotype" w:eastAsia="Times New Roman" w:hAnsi="Palatino Linotype" w:cs="Times New Roman"/>
          <w:b/>
          <w:i/>
          <w:sz w:val="24"/>
          <w:szCs w:val="24"/>
          <w:lang w:val="es-ES" w:eastAsia="es-ES"/>
        </w:rPr>
        <w:t xml:space="preserve"> </w:t>
      </w:r>
      <w:r w:rsidRPr="00C120E7">
        <w:rPr>
          <w:rFonts w:ascii="Palatino Linotype" w:eastAsia="Times New Roman" w:hAnsi="Palatino Linotype" w:cs="Times New Roman"/>
          <w:i/>
          <w:sz w:val="24"/>
          <w:szCs w:val="24"/>
          <w:lang w:val="es-ES" w:eastAsia="es-ES"/>
        </w:rPr>
        <w:t xml:space="preserve">“El número de gafetes entregados no es el mismo a la cantidad de recibos de </w:t>
      </w:r>
      <w:proofErr w:type="spellStart"/>
      <w:r w:rsidRPr="00C120E7">
        <w:rPr>
          <w:rFonts w:ascii="Palatino Linotype" w:eastAsia="Times New Roman" w:hAnsi="Palatino Linotype" w:cs="Times New Roman"/>
          <w:i/>
          <w:sz w:val="24"/>
          <w:szCs w:val="24"/>
          <w:lang w:val="es-ES" w:eastAsia="es-ES"/>
        </w:rPr>
        <w:t>nomina</w:t>
      </w:r>
      <w:proofErr w:type="spellEnd"/>
      <w:r w:rsidRPr="00C120E7">
        <w:rPr>
          <w:rFonts w:ascii="Palatino Linotype" w:eastAsia="Times New Roman" w:hAnsi="Palatino Linotype" w:cs="Times New Roman"/>
          <w:i/>
          <w:sz w:val="24"/>
          <w:szCs w:val="24"/>
          <w:lang w:val="es-ES" w:eastAsia="es-ES"/>
        </w:rPr>
        <w:t>, es decir, la información está incompleta ya que no se entregan todos los gafetes de todos los servidores públicos, destacando qué la mayoría de gafetes faltantes corresponden a personal que casualmente no se presentan físicamente a su lugar de trabajo, (son aviadores)” (Sic).</w:t>
      </w:r>
    </w:p>
    <w:p w:rsidR="005E60D6" w:rsidRPr="00C120E7" w:rsidRDefault="005E60D6" w:rsidP="005E60D6">
      <w:pPr>
        <w:spacing w:after="0" w:line="360" w:lineRule="auto"/>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 xml:space="preserve"> </w:t>
      </w:r>
    </w:p>
    <w:p w:rsidR="005E60D6" w:rsidRPr="00C120E7" w:rsidRDefault="005E60D6" w:rsidP="005E60D6">
      <w:pPr>
        <w:tabs>
          <w:tab w:val="left" w:pos="8789"/>
        </w:tabs>
        <w:spacing w:after="0" w:line="360" w:lineRule="auto"/>
        <w:ind w:right="49"/>
        <w:jc w:val="both"/>
        <w:rPr>
          <w:rFonts w:ascii="Palatino Linotype" w:eastAsia="Palatino Linotype" w:hAnsi="Palatino Linotype" w:cs="Palatino Linotype"/>
          <w:sz w:val="24"/>
          <w:u w:val="single"/>
          <w:lang w:val="es-ES_tradnl" w:eastAsia="es-MX"/>
        </w:rPr>
      </w:pPr>
      <w:r w:rsidRPr="00C120E7">
        <w:rPr>
          <w:rFonts w:ascii="Palatino Linotype" w:eastAsia="Palatino Linotype" w:hAnsi="Palatino Linotype" w:cs="Palatino Linotype"/>
          <w:sz w:val="24"/>
          <w:lang w:val="es-ES_tradnl" w:eastAsia="es-MX"/>
        </w:rPr>
        <w:t xml:space="preserve">En primer lugar, es de señalar que de los motivos de inconformidad en cita se aprecia que el particular únicamente se inconforma sobre el punto 2, </w:t>
      </w:r>
      <w:r w:rsidRPr="00C120E7">
        <w:rPr>
          <w:rFonts w:ascii="Palatino Linotype" w:eastAsia="Palatino Linotype" w:hAnsi="Palatino Linotype" w:cs="Palatino Linotype"/>
          <w:sz w:val="24"/>
          <w:u w:val="single"/>
          <w:lang w:val="es-ES_tradnl" w:eastAsia="es-MX"/>
        </w:rPr>
        <w:t>sin que se aprecie inconformidad alguna respecto del punto 1.</w:t>
      </w:r>
    </w:p>
    <w:p w:rsidR="005E60D6" w:rsidRPr="00C120E7" w:rsidRDefault="005E60D6" w:rsidP="005E60D6">
      <w:pPr>
        <w:tabs>
          <w:tab w:val="left" w:pos="8789"/>
        </w:tabs>
        <w:spacing w:after="0" w:line="360" w:lineRule="auto"/>
        <w:ind w:right="49"/>
        <w:jc w:val="both"/>
        <w:rPr>
          <w:rFonts w:ascii="Palatino Linotype" w:eastAsia="Calibri" w:hAnsi="Palatino Linotype" w:cs="Calibri"/>
          <w:i/>
          <w:sz w:val="24"/>
          <w:lang w:val="es-ES_tradnl" w:eastAsia="es-MX"/>
        </w:rPr>
      </w:pPr>
      <w:r w:rsidRPr="00C120E7">
        <w:rPr>
          <w:rFonts w:ascii="Palatino Linotype" w:eastAsia="Palatino Linotype" w:hAnsi="Palatino Linotype" w:cs="Palatino Linotype"/>
          <w:sz w:val="24"/>
          <w:lang w:val="es-ES_tradnl" w:eastAsia="es-MX"/>
        </w:rPr>
        <w:t xml:space="preserve"> </w:t>
      </w:r>
    </w:p>
    <w:p w:rsidR="005E60D6" w:rsidRPr="00C120E7" w:rsidRDefault="005E60D6" w:rsidP="005E60D6">
      <w:pPr>
        <w:tabs>
          <w:tab w:val="left" w:pos="8789"/>
        </w:tabs>
        <w:spacing w:after="0" w:line="360" w:lineRule="auto"/>
        <w:ind w:right="49"/>
        <w:jc w:val="both"/>
        <w:rPr>
          <w:rFonts w:ascii="Palatino Linotype" w:eastAsia="Calibri" w:hAnsi="Palatino Linotype" w:cs="Calibri"/>
          <w:i/>
          <w:sz w:val="24"/>
          <w:lang w:val="es-ES_tradnl" w:eastAsia="es-MX"/>
        </w:rPr>
      </w:pPr>
      <w:r w:rsidRPr="00C120E7">
        <w:rPr>
          <w:rFonts w:ascii="Palatino Linotype" w:eastAsia="Palatino Linotype" w:hAnsi="Palatino Linotype" w:cs="Palatino Linotype"/>
          <w:sz w:val="24"/>
          <w:lang w:val="es-ES_tradnl" w:eastAsia="es-MX"/>
        </w:rPr>
        <w:t>Sirve de sustento, la tesis jurisprudencial número VI.3o.C. J/60, publicada en el Semanario Judicial de la Federación y su Gaceta bajo el número de registro 176,608 que a la letra dice:</w:t>
      </w:r>
    </w:p>
    <w:p w:rsidR="005E60D6" w:rsidRPr="00C120E7" w:rsidRDefault="005E60D6" w:rsidP="005E60D6">
      <w:pPr>
        <w:tabs>
          <w:tab w:val="left" w:pos="851"/>
        </w:tabs>
        <w:spacing w:after="0" w:line="360" w:lineRule="auto"/>
        <w:ind w:left="851" w:right="616"/>
        <w:jc w:val="both"/>
        <w:rPr>
          <w:rFonts w:ascii="Palatino Linotype" w:eastAsia="Palatino Linotype" w:hAnsi="Palatino Linotype" w:cs="Palatino Linotype"/>
          <w:i/>
          <w:sz w:val="24"/>
          <w:lang w:val="es-ES_tradnl" w:eastAsia="es-MX"/>
        </w:rPr>
      </w:pPr>
      <w:r w:rsidRPr="00C120E7">
        <w:rPr>
          <w:rFonts w:ascii="Palatino Linotype" w:eastAsia="Palatino Linotype" w:hAnsi="Palatino Linotype" w:cs="Palatino Linotype"/>
          <w:b/>
          <w:i/>
          <w:sz w:val="24"/>
          <w:lang w:val="es-ES_tradnl" w:eastAsia="es-MX"/>
        </w:rPr>
        <w:t xml:space="preserve">“ACTOS CONSENTIDOS. SON LOS QUE NO SE IMPUGNAN MEDIANTE EL RECURSO IDÓNEO. </w:t>
      </w:r>
      <w:r w:rsidRPr="00C120E7">
        <w:rPr>
          <w:rFonts w:ascii="Palatino Linotype" w:eastAsia="Palatino Linotype" w:hAnsi="Palatino Linotype" w:cs="Palatino Linotype"/>
          <w:i/>
          <w:sz w:val="24"/>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E60D6" w:rsidRPr="00C120E7" w:rsidRDefault="005E60D6" w:rsidP="005E60D6">
      <w:pPr>
        <w:tabs>
          <w:tab w:val="left" w:pos="851"/>
        </w:tabs>
        <w:spacing w:after="0" w:line="360" w:lineRule="auto"/>
        <w:ind w:right="616"/>
        <w:jc w:val="both"/>
        <w:rPr>
          <w:rFonts w:ascii="Palatino Linotype" w:eastAsia="Palatino Linotype" w:hAnsi="Palatino Linotype" w:cs="Palatino Linotype"/>
          <w:sz w:val="24"/>
          <w:lang w:val="es-ES_tradnl" w:eastAsia="es-MX"/>
        </w:rPr>
      </w:pPr>
    </w:p>
    <w:p w:rsidR="005E60D6" w:rsidRPr="00C120E7" w:rsidRDefault="005E60D6" w:rsidP="005E60D6">
      <w:pPr>
        <w:spacing w:after="280" w:line="360" w:lineRule="auto"/>
        <w:jc w:val="both"/>
        <w:rPr>
          <w:rFonts w:ascii="Palatino Linotype" w:eastAsia="Palatino Linotype" w:hAnsi="Palatino Linotype" w:cs="Palatino Linotype"/>
          <w:sz w:val="24"/>
          <w:lang w:val="es-ES_tradnl" w:eastAsia="es-MX"/>
        </w:rPr>
      </w:pPr>
      <w:r w:rsidRPr="00C120E7">
        <w:rPr>
          <w:rFonts w:ascii="Palatino Linotype" w:eastAsia="Palatino Linotype" w:hAnsi="Palatino Linotype" w:cs="Palatino Linotype"/>
          <w:sz w:val="24"/>
          <w:lang w:val="es-ES_tradnl" w:eastAsia="es-MX"/>
        </w:rPr>
        <w:lastRenderedPageBreak/>
        <w:t xml:space="preserve">De la interpretación del criterio antes citado, se advierte que cuando el particular impugnó la respuesta del </w:t>
      </w:r>
      <w:r w:rsidRPr="00C120E7">
        <w:rPr>
          <w:rFonts w:ascii="Palatino Linotype" w:eastAsia="Palatino Linotype" w:hAnsi="Palatino Linotype" w:cs="Palatino Linotype"/>
          <w:b/>
          <w:sz w:val="24"/>
          <w:lang w:val="es-ES_tradnl" w:eastAsia="es-MX"/>
        </w:rPr>
        <w:t>SUJETO OBLIGADO</w:t>
      </w:r>
      <w:r w:rsidRPr="00C120E7">
        <w:rPr>
          <w:rFonts w:ascii="Palatino Linotype" w:eastAsia="Palatino Linotype" w:hAnsi="Palatino Linotype" w:cs="Palatino Linotype"/>
          <w:sz w:val="24"/>
          <w:lang w:val="es-ES_tradnl" w:eastAsia="es-MX"/>
        </w:rPr>
        <w:t>, no expresó razón o motivo de inconformidad en contra de todos los rubros solicitados, por tanto, estos deben declararse atendidos.</w:t>
      </w:r>
    </w:p>
    <w:p w:rsidR="005E60D6" w:rsidRPr="00C120E7" w:rsidRDefault="005E60D6" w:rsidP="005E60D6">
      <w:pPr>
        <w:spacing w:before="280" w:after="280" w:line="360" w:lineRule="auto"/>
        <w:jc w:val="both"/>
        <w:rPr>
          <w:rFonts w:ascii="Palatino Linotype" w:eastAsia="Palatino Linotype" w:hAnsi="Palatino Linotype" w:cs="Palatino Linotype"/>
          <w:sz w:val="24"/>
          <w:lang w:val="es-ES_tradnl" w:eastAsia="es-MX"/>
        </w:rPr>
      </w:pPr>
      <w:r w:rsidRPr="00C120E7">
        <w:rPr>
          <w:rFonts w:ascii="Palatino Linotype" w:eastAsia="Palatino Linotype" w:hAnsi="Palatino Linotype" w:cs="Palatino Linotype"/>
          <w:sz w:val="24"/>
          <w:lang w:val="es-ES_tradnl" w:eastAsia="es-MX"/>
        </w:rPr>
        <w:t>Atento a ello, es importante traer a contexto la Tesis Jurisprudencial Número 3ª./J.7/91, Publicada en el Semanario Judicial de la Federación y su Gaceta bajo el número de registro 174,177, que establece lo siguiente:</w:t>
      </w:r>
    </w:p>
    <w:p w:rsidR="005E60D6" w:rsidRPr="00C120E7" w:rsidRDefault="005E60D6" w:rsidP="005E60D6">
      <w:pPr>
        <w:tabs>
          <w:tab w:val="left" w:pos="7937"/>
          <w:tab w:val="left" w:pos="8222"/>
        </w:tabs>
        <w:spacing w:after="0" w:line="360" w:lineRule="auto"/>
        <w:ind w:left="851" w:right="901"/>
        <w:jc w:val="both"/>
        <w:rPr>
          <w:rFonts w:ascii="Palatino Linotype" w:eastAsia="Palatino Linotype" w:hAnsi="Palatino Linotype" w:cs="Palatino Linotype"/>
          <w:i/>
          <w:sz w:val="24"/>
          <w:lang w:val="es-ES_tradnl" w:eastAsia="es-MX"/>
        </w:rPr>
      </w:pPr>
      <w:r w:rsidRPr="00C120E7">
        <w:rPr>
          <w:rFonts w:ascii="Palatino Linotype" w:eastAsia="Palatino Linotype" w:hAnsi="Palatino Linotype" w:cs="Palatino Linotype"/>
          <w:b/>
          <w:i/>
          <w:sz w:val="24"/>
          <w:lang w:val="es-ES_tradnl" w:eastAsia="es-MX"/>
        </w:rPr>
        <w:t xml:space="preserve">“REVISIÓN EN AMPARO. LOS RESOLUTIVOS NO COMBATIDOS DEBEN DECLARARSE FIRMES. </w:t>
      </w:r>
      <w:r w:rsidRPr="00C120E7">
        <w:rPr>
          <w:rFonts w:ascii="Palatino Linotype" w:eastAsia="Palatino Linotype" w:hAnsi="Palatino Linotype" w:cs="Palatino Linotype"/>
          <w:i/>
          <w:sz w:val="24"/>
          <w:lang w:val="es-ES_tradnl"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E60D6" w:rsidRPr="00C120E7" w:rsidRDefault="005E60D6" w:rsidP="005E60D6">
      <w:pPr>
        <w:widowControl w:val="0"/>
        <w:tabs>
          <w:tab w:val="left" w:pos="1701"/>
          <w:tab w:val="left" w:pos="1843"/>
        </w:tabs>
        <w:spacing w:before="360" w:after="240" w:line="360" w:lineRule="auto"/>
        <w:jc w:val="both"/>
        <w:rPr>
          <w:rFonts w:ascii="Palatino Linotype" w:eastAsia="Palatino Linotype" w:hAnsi="Palatino Linotype" w:cs="Palatino Linotype"/>
          <w:sz w:val="24"/>
          <w:lang w:val="es-ES_tradnl" w:eastAsia="es-MX"/>
        </w:rPr>
      </w:pPr>
      <w:r w:rsidRPr="00C120E7">
        <w:rPr>
          <w:rFonts w:ascii="Palatino Linotype" w:eastAsia="Palatino Linotype" w:hAnsi="Palatino Linotype" w:cs="Palatino Linotype"/>
          <w:sz w:val="24"/>
          <w:lang w:val="es-ES_tradnl" w:eastAsia="es-MX"/>
        </w:rPr>
        <w:t xml:space="preserve">Para mayor abundamiento, también resulta aplicable el criterio 01/20 emitido por el Instituto Nacional de Transparencia, Acceso a la Información Pública y Protección de Datos Personales, que a la letra estipula lo siguiente: </w:t>
      </w:r>
    </w:p>
    <w:p w:rsidR="005E60D6" w:rsidRPr="00C120E7" w:rsidRDefault="005E60D6" w:rsidP="005E60D6">
      <w:pPr>
        <w:spacing w:before="240" w:line="240" w:lineRule="auto"/>
        <w:ind w:left="851" w:right="851"/>
        <w:jc w:val="both"/>
        <w:rPr>
          <w:rFonts w:ascii="Palatino Linotype" w:eastAsia="Calibri" w:hAnsi="Palatino Linotype" w:cs="Times New Roman"/>
          <w:i/>
          <w:szCs w:val="14"/>
        </w:rPr>
      </w:pPr>
      <w:r w:rsidRPr="00C120E7">
        <w:rPr>
          <w:rFonts w:ascii="Palatino Linotype" w:eastAsia="Calibri" w:hAnsi="Palatino Linotype" w:cs="Times New Roman"/>
          <w:b/>
          <w:i/>
          <w:szCs w:val="14"/>
        </w:rPr>
        <w:lastRenderedPageBreak/>
        <w:t>Actos consentidos tácitamente. Improcedencia de su análisis</w:t>
      </w:r>
      <w:r w:rsidRPr="00C120E7">
        <w:rPr>
          <w:rFonts w:ascii="Palatino Linotype" w:eastAsia="Calibri" w:hAnsi="Palatino Linotype" w:cs="Times New Roman"/>
          <w:i/>
          <w:szCs w:val="14"/>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5E60D6" w:rsidRPr="00C120E7" w:rsidRDefault="005E60D6" w:rsidP="005E60D6">
      <w:pPr>
        <w:widowControl w:val="0"/>
        <w:tabs>
          <w:tab w:val="left" w:pos="1701"/>
          <w:tab w:val="left" w:pos="1843"/>
        </w:tabs>
        <w:spacing w:before="360" w:after="0" w:line="360" w:lineRule="auto"/>
        <w:jc w:val="both"/>
        <w:rPr>
          <w:rFonts w:ascii="Palatino Linotype" w:eastAsia="Palatino Linotype" w:hAnsi="Palatino Linotype" w:cs="Palatino Linotype"/>
          <w:sz w:val="24"/>
          <w:lang w:val="es-ES_tradnl" w:eastAsia="es-MX"/>
        </w:rPr>
      </w:pPr>
      <w:r w:rsidRPr="00C120E7">
        <w:rPr>
          <w:rFonts w:ascii="Palatino Linotype" w:eastAsia="Palatino Linotype" w:hAnsi="Palatino Linotype" w:cs="Palatino Linotype"/>
          <w:sz w:val="24"/>
          <w:lang w:val="es-ES_tradnl" w:eastAsia="es-MX"/>
        </w:rPr>
        <w:t xml:space="preserve">Por lo que, al no haberse inconformado sobre todos los rubros solicitados, se consideran actos consentidos y, por tanto, se tienen por colmados dichos rubros de la solicitud. </w:t>
      </w:r>
    </w:p>
    <w:p w:rsidR="005E60D6" w:rsidRPr="00C120E7" w:rsidRDefault="005E60D6" w:rsidP="005E60D6">
      <w:pPr>
        <w:spacing w:after="0" w:line="360" w:lineRule="auto"/>
        <w:jc w:val="both"/>
        <w:rPr>
          <w:rFonts w:ascii="Palatino Linotype" w:eastAsia="Calibri" w:hAnsi="Palatino Linotype" w:cs="Calibri"/>
          <w:sz w:val="24"/>
          <w:szCs w:val="24"/>
          <w:lang w:val="es-ES_tradnl" w:eastAsia="es-MX"/>
        </w:rPr>
      </w:pP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r w:rsidRPr="00C120E7">
        <w:rPr>
          <w:rFonts w:ascii="Palatino Linotype" w:eastAsia="Calibri" w:hAnsi="Palatino Linotype" w:cs="Calibri"/>
          <w:sz w:val="24"/>
          <w:szCs w:val="24"/>
          <w:lang w:val="es-ES_tradnl" w:eastAsia="es-MX"/>
        </w:rPr>
        <w:t>De las constancias que obran en el expediente electrónico del SAIMEX, se advierte que el Sujeto Obligado rindió su informe justificado por medio del archivo electrónico denominado “</w:t>
      </w:r>
      <w:r w:rsidRPr="00C120E7">
        <w:rPr>
          <w:rFonts w:ascii="Palatino Linotype" w:eastAsia="Times New Roman" w:hAnsi="Palatino Linotype" w:cs="Arial"/>
          <w:b/>
          <w:i/>
          <w:sz w:val="24"/>
          <w:szCs w:val="24"/>
          <w:lang w:val="es-ES" w:eastAsia="es-ES"/>
        </w:rPr>
        <w:t>00080_INFORME_JUSTIFICADO_RR_10750.PDF”</w:t>
      </w:r>
      <w:r w:rsidRPr="00C120E7">
        <w:rPr>
          <w:rFonts w:ascii="Palatino Linotype" w:eastAsia="Times New Roman" w:hAnsi="Palatino Linotype" w:cs="Arial"/>
          <w:sz w:val="24"/>
          <w:szCs w:val="24"/>
          <w:lang w:val="es-ES" w:eastAsia="es-ES"/>
        </w:rPr>
        <w:t>, en el ratifica su respuesta y refiere lo siguiente:</w:t>
      </w:r>
    </w:p>
    <w:p w:rsidR="005E60D6" w:rsidRPr="00C120E7" w:rsidRDefault="005E60D6" w:rsidP="005E60D6">
      <w:pPr>
        <w:spacing w:before="240" w:line="360" w:lineRule="auto"/>
        <w:ind w:left="851" w:right="851"/>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val="es-ES_tradnl" w:eastAsia="es-ES"/>
        </w:rPr>
        <w:t>“</w:t>
      </w:r>
      <w:r w:rsidRPr="00C120E7">
        <w:rPr>
          <w:rFonts w:ascii="Palatino Linotype" w:eastAsia="Calibri" w:hAnsi="Palatino Linotype" w:cs="Times New Roman"/>
          <w:i/>
          <w:szCs w:val="14"/>
          <w:lang w:val="es-ES" w:eastAsia="es-ES"/>
        </w:rPr>
        <w:t xml:space="preserve">… que se entregó la totalidad de copias de los gafetes en existencia, y en el caso de que faltara alguno se debe a los movimientos de alta de personal, </w:t>
      </w:r>
      <w:r w:rsidRPr="00C120E7">
        <w:rPr>
          <w:rFonts w:ascii="Palatino Linotype" w:eastAsia="Calibri" w:hAnsi="Palatino Linotype" w:cs="Times New Roman"/>
          <w:b/>
          <w:i/>
          <w:szCs w:val="14"/>
          <w:u w:val="single"/>
          <w:lang w:val="es-ES" w:eastAsia="es-ES"/>
        </w:rPr>
        <w:t>ya que hay servidores públicos que no han acudido a la toma de fotografía para la impresión de la misma, lo anterior derivado de las cargas de trabajo</w:t>
      </w:r>
      <w:r w:rsidRPr="00C120E7">
        <w:rPr>
          <w:rFonts w:ascii="Palatino Linotype" w:eastAsia="Calibri" w:hAnsi="Palatino Linotype" w:cs="Times New Roman"/>
          <w:i/>
          <w:szCs w:val="14"/>
          <w:lang w:val="es-ES" w:eastAsia="es-ES"/>
        </w:rPr>
        <w:t>, así como la distancia que existe entre su lugar de trabajo y las oficinas centrales de este Instituto las cuales se encuentran ubicadas en carretera Toluca- Tenango del Valle, Km. 145, C.P. 52280, San Antonio La Isla, Estado de México, donde se realiza el trámite, en merito; no se omite mencionar que el Instituto de la Vivienda Social (IMEVIS) cuenta con doce Delegaciones Regionales distribuidas en todo el territorio estatal; como a continuación se observa.</w:t>
      </w:r>
    </w:p>
    <w:p w:rsidR="005E60D6" w:rsidRPr="00C120E7" w:rsidRDefault="005E60D6" w:rsidP="005E60D6">
      <w:pPr>
        <w:spacing w:before="240" w:line="360" w:lineRule="auto"/>
        <w:ind w:left="851" w:right="851"/>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noProof/>
          <w:szCs w:val="14"/>
          <w:lang w:eastAsia="es-MX"/>
        </w:rPr>
        <w:lastRenderedPageBreak/>
        <w:drawing>
          <wp:inline distT="0" distB="0" distL="0" distR="0" wp14:anchorId="08578078" wp14:editId="1FE83930">
            <wp:extent cx="1314633" cy="16956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4633" cy="1695687"/>
                    </a:xfrm>
                    <a:prstGeom prst="rect">
                      <a:avLst/>
                    </a:prstGeom>
                  </pic:spPr>
                </pic:pic>
              </a:graphicData>
            </a:graphic>
          </wp:inline>
        </w:drawing>
      </w:r>
    </w:p>
    <w:p w:rsidR="005E60D6" w:rsidRPr="00C120E7" w:rsidRDefault="005E60D6" w:rsidP="005E60D6">
      <w:pPr>
        <w:spacing w:before="240" w:line="360" w:lineRule="auto"/>
        <w:ind w:left="851" w:right="851"/>
        <w:jc w:val="both"/>
        <w:rPr>
          <w:rFonts w:ascii="Palatino Linotype" w:eastAsia="Calibri" w:hAnsi="Palatino Linotype" w:cs="Times New Roman"/>
          <w:i/>
          <w:szCs w:val="14"/>
          <w:lang w:val="es-ES_tradnl" w:eastAsia="es-ES"/>
        </w:rPr>
      </w:pPr>
      <w:r w:rsidRPr="00C120E7">
        <w:rPr>
          <w:rFonts w:ascii="Palatino Linotype" w:eastAsia="Calibri" w:hAnsi="Palatino Linotype" w:cs="Times New Roman"/>
          <w:i/>
          <w:szCs w:val="14"/>
          <w:lang w:val="es-ES" w:eastAsia="es-ES"/>
        </w:rPr>
        <w:t>…</w:t>
      </w:r>
      <w:r w:rsidRPr="00C120E7">
        <w:rPr>
          <w:rFonts w:ascii="Palatino Linotype" w:eastAsia="Calibri" w:hAnsi="Palatino Linotype" w:cs="Times New Roman"/>
          <w:i/>
          <w:szCs w:val="14"/>
          <w:lang w:val="es-ES_tradnl" w:eastAsia="es-ES"/>
        </w:rPr>
        <w:t>” (Sic)</w:t>
      </w: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En ese orden de ideas, resulta necesario establecer las unidades administrativas con las que cuenta el Sujeto Obligado, conforme al Reglamento Interior del Instituto Mexiquense de la Vivienda Social:</w:t>
      </w:r>
    </w:p>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p>
    <w:p w:rsidR="005E60D6" w:rsidRPr="00C120E7" w:rsidRDefault="005E60D6" w:rsidP="000564D9">
      <w:pPr>
        <w:spacing w:after="0" w:line="360" w:lineRule="auto"/>
        <w:ind w:left="851" w:right="332"/>
        <w:jc w:val="both"/>
        <w:rPr>
          <w:rFonts w:ascii="Palatino Linotype" w:eastAsia="Calibri" w:hAnsi="Palatino Linotype" w:cs="Times New Roman"/>
          <w:i/>
          <w:szCs w:val="14"/>
          <w:lang w:eastAsia="es-ES"/>
        </w:rPr>
      </w:pPr>
      <w:r w:rsidRPr="00C120E7">
        <w:rPr>
          <w:rFonts w:ascii="Palatino Linotype" w:eastAsia="Calibri" w:hAnsi="Palatino Linotype" w:cs="Times New Roman"/>
          <w:i/>
          <w:szCs w:val="14"/>
          <w:lang w:eastAsia="es-ES"/>
        </w:rPr>
        <w:t xml:space="preserve">Artículo 17.- Corresponde a la Dirección de Administración y Finanzas: </w:t>
      </w:r>
    </w:p>
    <w:p w:rsidR="005E60D6" w:rsidRPr="00C120E7" w:rsidRDefault="005E60D6" w:rsidP="000564D9">
      <w:pPr>
        <w:pStyle w:val="Prrafodelista"/>
        <w:numPr>
          <w:ilvl w:val="0"/>
          <w:numId w:val="6"/>
        </w:numPr>
        <w:spacing w:after="0" w:line="360" w:lineRule="auto"/>
        <w:ind w:left="1276" w:right="332" w:hanging="425"/>
        <w:jc w:val="both"/>
        <w:rPr>
          <w:rFonts w:ascii="Palatino Linotype" w:eastAsia="Calibri" w:hAnsi="Palatino Linotype" w:cs="Times New Roman"/>
          <w:i/>
          <w:szCs w:val="14"/>
          <w:lang w:eastAsia="es-ES"/>
        </w:rPr>
      </w:pPr>
      <w:r w:rsidRPr="00C120E7">
        <w:rPr>
          <w:rFonts w:ascii="Palatino Linotype" w:eastAsia="Calibri" w:hAnsi="Palatino Linotype" w:cs="Times New Roman"/>
          <w:b/>
          <w:i/>
          <w:szCs w:val="14"/>
          <w:u w:val="single"/>
          <w:lang w:eastAsia="es-ES"/>
        </w:rPr>
        <w:t>Establecer políticas, normas, sistemas y procedimientos de administración de los recursos humanos, financieros</w:t>
      </w:r>
      <w:r w:rsidRPr="00C120E7">
        <w:rPr>
          <w:rFonts w:ascii="Palatino Linotype" w:eastAsia="Calibri" w:hAnsi="Palatino Linotype" w:cs="Times New Roman"/>
          <w:i/>
          <w:szCs w:val="14"/>
          <w:lang w:eastAsia="es-ES"/>
        </w:rPr>
        <w:t xml:space="preserve"> y materiales, ejerciendo el control respectivo, de acuerdo con los objetivos, lineamientos y estrategias del Instituto;</w:t>
      </w:r>
    </w:p>
    <w:p w:rsidR="005E60D6" w:rsidRPr="00C120E7" w:rsidRDefault="005E60D6" w:rsidP="000564D9">
      <w:pPr>
        <w:pStyle w:val="Prrafodelista"/>
        <w:numPr>
          <w:ilvl w:val="0"/>
          <w:numId w:val="6"/>
        </w:numPr>
        <w:spacing w:after="0" w:line="360" w:lineRule="auto"/>
        <w:ind w:left="1276" w:right="332" w:hanging="425"/>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b/>
          <w:i/>
          <w:szCs w:val="14"/>
          <w:u w:val="single"/>
          <w:lang w:eastAsia="es-ES"/>
        </w:rPr>
        <w:t>Someter a consideración de la persona titular de la Dirección General los nombramientos de las personas servidoras públicas y los movimientos de personal del Instituto</w:t>
      </w:r>
      <w:r w:rsidRPr="00C120E7">
        <w:rPr>
          <w:rFonts w:ascii="Palatino Linotype" w:eastAsia="Calibri" w:hAnsi="Palatino Linotype" w:cs="Times New Roman"/>
          <w:i/>
          <w:szCs w:val="14"/>
          <w:lang w:eastAsia="es-ES"/>
        </w:rPr>
        <w:t>;</w:t>
      </w:r>
    </w:p>
    <w:p w:rsidR="005E60D6" w:rsidRPr="00C120E7" w:rsidRDefault="005E60D6" w:rsidP="000564D9">
      <w:pPr>
        <w:pStyle w:val="Prrafodelista"/>
        <w:numPr>
          <w:ilvl w:val="0"/>
          <w:numId w:val="6"/>
        </w:numPr>
        <w:spacing w:after="0" w:line="360" w:lineRule="auto"/>
        <w:ind w:left="1276" w:right="332" w:hanging="425"/>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Asesorar a las unidades administrativas en la elaboración de sus programas de trabajo, en materia de los recursos financieros necesarios para el cumplimiento de sus funciones;</w:t>
      </w:r>
    </w:p>
    <w:p w:rsidR="005E60D6" w:rsidRPr="00C120E7" w:rsidRDefault="005E60D6" w:rsidP="000564D9">
      <w:pPr>
        <w:pStyle w:val="Prrafodelista"/>
        <w:numPr>
          <w:ilvl w:val="0"/>
          <w:numId w:val="6"/>
        </w:numPr>
        <w:spacing w:after="0" w:line="360" w:lineRule="auto"/>
        <w:ind w:left="1276" w:right="332" w:hanging="425"/>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Realizar diagnósticos y análisis financieros, orientados a mejorar el manejo de los recursos del Instituto y para el cumplimento de su objeto; </w:t>
      </w:r>
    </w:p>
    <w:p w:rsidR="005E60D6" w:rsidRPr="00C120E7" w:rsidRDefault="005E60D6" w:rsidP="000564D9">
      <w:pPr>
        <w:pStyle w:val="Prrafodelista"/>
        <w:numPr>
          <w:ilvl w:val="0"/>
          <w:numId w:val="6"/>
        </w:numPr>
        <w:spacing w:after="0" w:line="360" w:lineRule="auto"/>
        <w:ind w:left="1276" w:right="332" w:hanging="425"/>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lastRenderedPageBreak/>
        <w:t xml:space="preserve">Determinar, en coordinación con la Dirección de Administración de Suelo, Dirección de Promoción y Fomento a la Vivienda y la Coordinación de Delegaciones Regionales, los costos generados por las actividades del Instituto, con motivo de la regularización de la tenencia de la tierra, así como por la venta de bienes inmuebles; </w:t>
      </w:r>
    </w:p>
    <w:p w:rsidR="005E60D6" w:rsidRPr="00C120E7" w:rsidRDefault="005E60D6" w:rsidP="000564D9">
      <w:pPr>
        <w:pStyle w:val="Prrafodelista"/>
        <w:numPr>
          <w:ilvl w:val="0"/>
          <w:numId w:val="6"/>
        </w:numPr>
        <w:spacing w:after="0" w:line="360" w:lineRule="auto"/>
        <w:ind w:left="1276" w:right="332" w:hanging="425"/>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Proponer a la persona titular de la Dirección General programas de recuperación financiera que permitan al Instituto mayor liquidez para el cumplimiento de sus objetivos;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Autorizar las erogaciones o pagos con cargo al presupuesto de egresos del Instituto;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Elaborar el anteproyecto de presupuesto anual de ingresos y egresos del Instituto y someterlo a consideración de la persona titular de la Dirección General, estableciendo los mecanismos y sistemas que permitan su manejo adecuado;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Tramitar, operar y controlar el ejercicio del presupuesto de las unidades administrativas y vigilar su aplicación;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Elaborar los estados financieros comparativos mensuales y los resultados en el periodo respectivo e informar a la persona titular de la Dirección General, para que sean presentados al Consejo Directivo;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Intervenir en la elaboración y actualización de los planes globales del Instituto, para hacerlos congruentes con los programas presupuestales y lineamientos en materia financiera y de control de cartera;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Coordinar las actividades referentes a adquisiciones, almacenamiento, suministros, servicios generales y control patrimonial;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Autorizar los contratos de arrendamiento, adquisiciones y de prestación de servicios que celebre el Instituto y los demás documentos que impliquen actos de administración, conforme a la normatividad aplicable;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lastRenderedPageBreak/>
        <w:t xml:space="preserve">Constituir y presidir el Comité de Adquisiciones y Servicios del Instituto de acuerdo con las disposiciones legales en la materia;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Presidir los Comités de Adquisiciones y Servicios, así como el de Arrendamientos, Adquisiciones de Inmuebles y Enajenaciones del Instituto;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Suscribir contratos, convenios o acuerdos de conformidad con la normatividad vigente aplicable, y los que, en su caso, le sean delegados por persona titular de la Dirección General;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Coordinar la actualización de los inventarios de bienes muebles en el Sistema Integral de Control Patrimonial del Poder Ejecutivo del Estado; así como establecer las políticas y procedimientos para el registro contable de los inmuebles propiedad del Instituto;</w:t>
      </w:r>
    </w:p>
    <w:p w:rsidR="005E60D6" w:rsidRPr="00C120E7" w:rsidRDefault="005E60D6" w:rsidP="000564D9">
      <w:pPr>
        <w:pStyle w:val="Prrafodelista"/>
        <w:numPr>
          <w:ilvl w:val="0"/>
          <w:numId w:val="6"/>
        </w:numPr>
        <w:spacing w:after="0" w:line="360" w:lineRule="auto"/>
        <w:ind w:left="1701" w:right="332" w:hanging="850"/>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Coordinar la integración y actualización del Reglamento Interior y los manuales administrativos del Instituto y remitirlos para la </w:t>
      </w:r>
      <w:proofErr w:type="spellStart"/>
      <w:r w:rsidRPr="00C120E7">
        <w:rPr>
          <w:rFonts w:ascii="Palatino Linotype" w:eastAsia="Calibri" w:hAnsi="Palatino Linotype" w:cs="Times New Roman"/>
          <w:i/>
          <w:szCs w:val="14"/>
          <w:lang w:eastAsia="es-ES"/>
        </w:rPr>
        <w:t>dictaminación</w:t>
      </w:r>
      <w:proofErr w:type="spellEnd"/>
      <w:r w:rsidRPr="00C120E7">
        <w:rPr>
          <w:rFonts w:ascii="Palatino Linotype" w:eastAsia="Calibri" w:hAnsi="Palatino Linotype" w:cs="Times New Roman"/>
          <w:i/>
          <w:szCs w:val="14"/>
          <w:lang w:eastAsia="es-ES"/>
        </w:rPr>
        <w:t xml:space="preserve"> de la Dirección General de Innovación de la Oficialía Mayor, y posteriormente para la aprobación del Consejo Directivo;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Formular conjuntamente con las demás unidades administrativas del Instituto, los programas anuales de adquisiciones, arrendamientos y servicios del Instituto, de acuerdo con las disposiciones jurídicas establecidas;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b/>
          <w:i/>
          <w:szCs w:val="14"/>
          <w:u w:val="single"/>
          <w:lang w:eastAsia="es-ES"/>
        </w:rPr>
        <w:t>Aplicar las políticas y normas relativas al reclutamiento, selección, nombramiento, contratación, inducción, capacitación, desarrollo, promoción, sanciones y bajas de personal del Instituto; asimismo tramitar los movimientos de altas, bajas, cambios, permisos y licencias</w:t>
      </w:r>
      <w:r w:rsidRPr="00C120E7">
        <w:rPr>
          <w:rFonts w:ascii="Palatino Linotype" w:eastAsia="Calibri" w:hAnsi="Palatino Linotype" w:cs="Times New Roman"/>
          <w:i/>
          <w:szCs w:val="14"/>
          <w:lang w:eastAsia="es-ES"/>
        </w:rPr>
        <w:t xml:space="preserve">; </w:t>
      </w:r>
    </w:p>
    <w:p w:rsidR="005E60D6" w:rsidRPr="00C120E7" w:rsidRDefault="005E60D6" w:rsidP="000564D9">
      <w:pPr>
        <w:pStyle w:val="Prrafodelista"/>
        <w:numPr>
          <w:ilvl w:val="0"/>
          <w:numId w:val="6"/>
        </w:numPr>
        <w:spacing w:after="0" w:line="360" w:lineRule="auto"/>
        <w:ind w:left="1418"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Promover y vigilar la aplicación de las Condiciones Generales de Trabajo del Instituto; </w:t>
      </w:r>
    </w:p>
    <w:p w:rsidR="005E60D6" w:rsidRPr="00C120E7" w:rsidRDefault="005E60D6" w:rsidP="000564D9">
      <w:pPr>
        <w:pStyle w:val="Prrafodelista"/>
        <w:numPr>
          <w:ilvl w:val="0"/>
          <w:numId w:val="6"/>
        </w:numPr>
        <w:spacing w:after="0" w:line="360" w:lineRule="auto"/>
        <w:ind w:left="1560" w:right="332" w:hanging="709"/>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lastRenderedPageBreak/>
        <w:t xml:space="preserve">Apoyar, gestionar y entregar la información o datos personales que sea solicitada de conformidad con la normatividad aplicable en la materia; </w:t>
      </w:r>
    </w:p>
    <w:p w:rsidR="005E60D6" w:rsidRPr="00C120E7" w:rsidRDefault="005E60D6" w:rsidP="000564D9">
      <w:pPr>
        <w:pStyle w:val="Prrafodelista"/>
        <w:numPr>
          <w:ilvl w:val="0"/>
          <w:numId w:val="6"/>
        </w:numPr>
        <w:spacing w:after="0" w:line="360" w:lineRule="auto"/>
        <w:ind w:left="1701" w:right="332" w:hanging="850"/>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Coordinar la atención de requerimientos o presentación de información correspondiente a la Dirección de Administración y Finanzas, que deba ser sometida en sesiones del Consejo Directivo; </w:t>
      </w:r>
    </w:p>
    <w:p w:rsidR="005E60D6" w:rsidRPr="00C120E7" w:rsidRDefault="005E60D6" w:rsidP="000564D9">
      <w:pPr>
        <w:pStyle w:val="Prrafodelista"/>
        <w:numPr>
          <w:ilvl w:val="0"/>
          <w:numId w:val="6"/>
        </w:numPr>
        <w:spacing w:after="0" w:line="360" w:lineRule="auto"/>
        <w:ind w:left="1276" w:right="332" w:hanging="567"/>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 Coordinar las acciones de protección civil del Instituto, con base en las normas y políticas aplicables;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Expedir constancias o copias certificadas de los documentos existentes en sus archivos, cuando se trate de asuntos relacionados con sus atribuciones;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Habilitar a personas servidoras públicas adscritas a la Dirección de Administración y Finanzas, así como horas y días inhábiles para la práctica de diligencias relacionadas con los procedimientos administrativos de su competencia;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Coordinar al interior del Instituto el cumplimiento de las disposiciones en materia archivística y de administración de documentos establecidos en la Ley de Archivos y Administración de Documentos del Estado de México y Municipios y en otras disposiciones jurídicas aplicables;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Realizar la investigación y estudio concernientes para integrar la memoria histórica del Instituto en la administración pública estatal;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Operar los fondos financieros de vivienda que se constituyan para coordinar los programas de suelo y vivienda social que se promuevan en el Estado a través del Instituto;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Administrar, custodiar y controlar los bienes inmuebles patrimonio del Instituto;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t xml:space="preserve">Realizar en coordinación con la Dirección Jurídica y de Igualdad de Género, las gestiones ante las instancias competentes, para la cancelación de gravámenes, respecto de los inmuebles patrimonio del Instituto, y </w:t>
      </w:r>
    </w:p>
    <w:p w:rsidR="005E60D6" w:rsidRPr="00C120E7" w:rsidRDefault="005E60D6" w:rsidP="000564D9">
      <w:pPr>
        <w:pStyle w:val="Prrafodelista"/>
        <w:numPr>
          <w:ilvl w:val="0"/>
          <w:numId w:val="6"/>
        </w:numPr>
        <w:spacing w:after="0" w:line="360" w:lineRule="auto"/>
        <w:ind w:right="332"/>
        <w:jc w:val="both"/>
        <w:rPr>
          <w:rFonts w:ascii="Palatino Linotype" w:eastAsia="Calibri" w:hAnsi="Palatino Linotype" w:cs="Times New Roman"/>
          <w:i/>
          <w:szCs w:val="14"/>
          <w:lang w:val="es-ES" w:eastAsia="es-ES"/>
        </w:rPr>
      </w:pPr>
      <w:r w:rsidRPr="00C120E7">
        <w:rPr>
          <w:rFonts w:ascii="Palatino Linotype" w:eastAsia="Calibri" w:hAnsi="Palatino Linotype" w:cs="Times New Roman"/>
          <w:i/>
          <w:szCs w:val="14"/>
          <w:lang w:eastAsia="es-ES"/>
        </w:rPr>
        <w:lastRenderedPageBreak/>
        <w:t>Las demás que le confieran otros ordenamientos jurídicos y las que le encomiende la persona titular de la Dirección General.</w:t>
      </w:r>
    </w:p>
    <w:p w:rsidR="00E91E08" w:rsidRPr="00C120E7" w:rsidRDefault="00E91E08" w:rsidP="005E60D6">
      <w:pPr>
        <w:spacing w:after="0" w:line="360" w:lineRule="auto"/>
        <w:jc w:val="both"/>
        <w:rPr>
          <w:rFonts w:ascii="Palatino Linotype" w:eastAsia="Times New Roman" w:hAnsi="Palatino Linotype" w:cs="Times New Roman"/>
          <w:sz w:val="24"/>
          <w:szCs w:val="24"/>
          <w:lang w:val="es-ES" w:eastAsia="es-ES"/>
        </w:rPr>
      </w:pPr>
    </w:p>
    <w:p w:rsidR="005E60D6" w:rsidRPr="00C120E7" w:rsidRDefault="006A7D57" w:rsidP="005E60D6">
      <w:pPr>
        <w:spacing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Por otro lado, el Manual de Normas y Procedimientos de Desarrollo y Administración de Personal</w:t>
      </w:r>
      <w:r w:rsidR="00A4182C" w:rsidRPr="00C120E7">
        <w:rPr>
          <w:rFonts w:ascii="Palatino Linotype" w:eastAsia="Times New Roman" w:hAnsi="Palatino Linotype" w:cs="Times New Roman"/>
          <w:sz w:val="24"/>
          <w:szCs w:val="24"/>
          <w:lang w:val="es-ES" w:eastAsia="es-ES"/>
        </w:rPr>
        <w:t>, establece lo siguiente:</w:t>
      </w:r>
    </w:p>
    <w:p w:rsidR="00A4182C" w:rsidRPr="00C120E7" w:rsidRDefault="00C449F3" w:rsidP="00C449F3">
      <w:pPr>
        <w:spacing w:after="0" w:line="360" w:lineRule="auto"/>
        <w:jc w:val="center"/>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noProof/>
          <w:sz w:val="24"/>
          <w:szCs w:val="24"/>
          <w:lang w:eastAsia="es-MX"/>
        </w:rPr>
        <w:drawing>
          <wp:inline distT="0" distB="0" distL="0" distR="0" wp14:anchorId="1E44833B" wp14:editId="3E15F478">
            <wp:extent cx="4844406" cy="5305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6625" cy="5340710"/>
                    </a:xfrm>
                    <a:prstGeom prst="rect">
                      <a:avLst/>
                    </a:prstGeom>
                  </pic:spPr>
                </pic:pic>
              </a:graphicData>
            </a:graphic>
          </wp:inline>
        </w:drawing>
      </w:r>
    </w:p>
    <w:p w:rsidR="00E91E08" w:rsidRPr="00C120E7" w:rsidRDefault="00E91E08" w:rsidP="005E60D6">
      <w:pPr>
        <w:spacing w:after="0" w:line="360" w:lineRule="auto"/>
        <w:jc w:val="both"/>
        <w:rPr>
          <w:rFonts w:ascii="Palatino Linotype" w:eastAsia="Times New Roman" w:hAnsi="Palatino Linotype" w:cs="Times New Roman"/>
          <w:sz w:val="24"/>
          <w:szCs w:val="24"/>
          <w:lang w:val="es-ES" w:eastAsia="es-ES"/>
        </w:rPr>
      </w:pPr>
    </w:p>
    <w:p w:rsidR="005E60D6" w:rsidRPr="00C120E7" w:rsidRDefault="005E60D6" w:rsidP="005E60D6">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lastRenderedPageBreak/>
        <w:t>De la respuesta e informe justificado remitido, es necesario acotar si el Sujeto Obligado colmó el derecho de acceso a la información pública:</w:t>
      </w:r>
    </w:p>
    <w:tbl>
      <w:tblPr>
        <w:tblStyle w:val="Tablaconcuadrcula1"/>
        <w:tblW w:w="9356"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27"/>
        <w:gridCol w:w="2268"/>
        <w:gridCol w:w="3402"/>
        <w:gridCol w:w="1559"/>
      </w:tblGrid>
      <w:tr w:rsidR="006A7D57" w:rsidRPr="00C120E7" w:rsidTr="006A7D57">
        <w:trPr>
          <w:trHeight w:val="271"/>
        </w:trPr>
        <w:tc>
          <w:tcPr>
            <w:tcW w:w="2127" w:type="dxa"/>
            <w:shd w:val="clear" w:color="auto" w:fill="E7E6E6"/>
          </w:tcPr>
          <w:p w:rsidR="006A7D57" w:rsidRPr="00C120E7" w:rsidRDefault="006A7D57" w:rsidP="003316C0">
            <w:pPr>
              <w:spacing w:line="360" w:lineRule="auto"/>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Requerimientos</w:t>
            </w:r>
          </w:p>
        </w:tc>
        <w:tc>
          <w:tcPr>
            <w:tcW w:w="2268" w:type="dxa"/>
            <w:shd w:val="clear" w:color="auto" w:fill="E7E6E6"/>
          </w:tcPr>
          <w:p w:rsidR="006A7D57" w:rsidRPr="00C120E7" w:rsidRDefault="006A7D57" w:rsidP="003316C0">
            <w:pPr>
              <w:spacing w:line="360" w:lineRule="auto"/>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Respuesta</w:t>
            </w:r>
          </w:p>
        </w:tc>
        <w:tc>
          <w:tcPr>
            <w:tcW w:w="3402" w:type="dxa"/>
            <w:shd w:val="clear" w:color="auto" w:fill="E7E6E6"/>
          </w:tcPr>
          <w:p w:rsidR="006A7D57" w:rsidRPr="00C120E7" w:rsidRDefault="006A7D57" w:rsidP="003316C0">
            <w:pPr>
              <w:spacing w:line="360" w:lineRule="auto"/>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Informe Justificado</w:t>
            </w:r>
          </w:p>
        </w:tc>
        <w:tc>
          <w:tcPr>
            <w:tcW w:w="1559" w:type="dxa"/>
            <w:shd w:val="clear" w:color="auto" w:fill="E7E6E6"/>
          </w:tcPr>
          <w:p w:rsidR="006A7D57" w:rsidRPr="00C120E7" w:rsidRDefault="006A7D57" w:rsidP="003316C0">
            <w:pPr>
              <w:spacing w:line="360" w:lineRule="auto"/>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Colma</w:t>
            </w:r>
          </w:p>
        </w:tc>
      </w:tr>
      <w:tr w:rsidR="006A7D57" w:rsidRPr="00C120E7" w:rsidTr="006A7D57">
        <w:trPr>
          <w:trHeight w:val="271"/>
        </w:trPr>
        <w:tc>
          <w:tcPr>
            <w:tcW w:w="2127" w:type="dxa"/>
            <w:shd w:val="clear" w:color="auto" w:fill="auto"/>
          </w:tcPr>
          <w:p w:rsidR="006A7D57" w:rsidRPr="00C120E7" w:rsidRDefault="006A7D57" w:rsidP="003316C0">
            <w:pPr>
              <w:tabs>
                <w:tab w:val="left" w:pos="1828"/>
              </w:tabs>
              <w:jc w:val="both"/>
              <w:rPr>
                <w:rFonts w:ascii="Palatino Linotype" w:eastAsia="Times New Roman" w:hAnsi="Palatino Linotype" w:cs="Times New Roman"/>
                <w:color w:val="000000"/>
                <w:sz w:val="24"/>
                <w:szCs w:val="24"/>
                <w:lang w:val="es-ES" w:eastAsia="es-ES"/>
              </w:rPr>
            </w:pPr>
            <w:r w:rsidRPr="00C120E7">
              <w:rPr>
                <w:rFonts w:ascii="Palatino Linotype" w:eastAsia="Times New Roman" w:hAnsi="Palatino Linotype" w:cs="Times New Roman"/>
                <w:color w:val="000000"/>
                <w:sz w:val="24"/>
                <w:szCs w:val="24"/>
                <w:lang w:val="es-ES" w:eastAsia="es-ES"/>
              </w:rPr>
              <w:t>Recibos de nómina de todos los empleados del IMEVIS de enero a julio de 2025.</w:t>
            </w:r>
          </w:p>
        </w:tc>
        <w:tc>
          <w:tcPr>
            <w:tcW w:w="2268" w:type="dxa"/>
            <w:shd w:val="clear" w:color="auto" w:fill="auto"/>
          </w:tcPr>
          <w:p w:rsidR="006A7D57" w:rsidRPr="00C120E7" w:rsidRDefault="006A7D57" w:rsidP="003316C0">
            <w:pPr>
              <w:jc w:val="both"/>
              <w:rPr>
                <w:rFonts w:ascii="Palatino Linotype" w:eastAsia="Times New Roman" w:hAnsi="Palatino Linotype" w:cs="Times New Roman"/>
                <w:color w:val="000000"/>
                <w:szCs w:val="24"/>
                <w:lang w:val="es-ES" w:eastAsia="es-ES"/>
              </w:rPr>
            </w:pPr>
            <w:r w:rsidRPr="00C120E7">
              <w:rPr>
                <w:rFonts w:ascii="Palatino Linotype" w:eastAsia="Times New Roman" w:hAnsi="Palatino Linotype" w:cs="Times New Roman"/>
                <w:color w:val="000000"/>
                <w:szCs w:val="24"/>
                <w:lang w:val="es-ES" w:eastAsia="es-ES"/>
              </w:rPr>
              <w:t>Recibos de nómina en versión pública de enero a julio.</w:t>
            </w:r>
          </w:p>
        </w:tc>
        <w:tc>
          <w:tcPr>
            <w:tcW w:w="3402" w:type="dxa"/>
          </w:tcPr>
          <w:p w:rsidR="006A7D57" w:rsidRPr="00C120E7" w:rsidRDefault="006A7D57" w:rsidP="003316C0">
            <w:pPr>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 xml:space="preserve">Ratifica </w:t>
            </w:r>
          </w:p>
        </w:tc>
        <w:tc>
          <w:tcPr>
            <w:tcW w:w="1559" w:type="dxa"/>
            <w:shd w:val="clear" w:color="auto" w:fill="auto"/>
          </w:tcPr>
          <w:p w:rsidR="006A7D57" w:rsidRPr="00C120E7" w:rsidRDefault="006A7D57" w:rsidP="003316C0">
            <w:pPr>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Sí</w:t>
            </w:r>
          </w:p>
          <w:p w:rsidR="006A7D57" w:rsidRPr="00C120E7" w:rsidRDefault="006A7D57" w:rsidP="003316C0">
            <w:pPr>
              <w:jc w:val="center"/>
              <w:rPr>
                <w:rFonts w:ascii="Palatino Linotype" w:eastAsia="Times New Roman" w:hAnsi="Palatino Linotype" w:cs="Times New Roman"/>
                <w:b/>
                <w:i/>
                <w:color w:val="000000"/>
                <w:sz w:val="24"/>
                <w:szCs w:val="24"/>
                <w:lang w:val="es-ES" w:eastAsia="es-ES"/>
              </w:rPr>
            </w:pPr>
            <w:r w:rsidRPr="00C120E7">
              <w:rPr>
                <w:rFonts w:ascii="Palatino Linotype" w:eastAsia="Times New Roman" w:hAnsi="Palatino Linotype" w:cs="Times New Roman"/>
                <w:b/>
                <w:i/>
                <w:color w:val="000000"/>
                <w:sz w:val="24"/>
                <w:szCs w:val="24"/>
                <w:lang w:val="es-ES" w:eastAsia="es-ES"/>
              </w:rPr>
              <w:t>Actos consentidos</w:t>
            </w:r>
          </w:p>
        </w:tc>
      </w:tr>
      <w:tr w:rsidR="006A7D57" w:rsidRPr="00C120E7" w:rsidTr="006A7D57">
        <w:trPr>
          <w:trHeight w:val="348"/>
        </w:trPr>
        <w:tc>
          <w:tcPr>
            <w:tcW w:w="2127" w:type="dxa"/>
            <w:shd w:val="clear" w:color="auto" w:fill="auto"/>
          </w:tcPr>
          <w:p w:rsidR="006A7D57" w:rsidRPr="00C120E7" w:rsidRDefault="006A7D57" w:rsidP="003316C0">
            <w:pPr>
              <w:tabs>
                <w:tab w:val="left" w:pos="1828"/>
              </w:tabs>
              <w:jc w:val="both"/>
              <w:rPr>
                <w:rFonts w:ascii="Palatino Linotype" w:eastAsia="Times New Roman" w:hAnsi="Palatino Linotype" w:cs="Tahoma"/>
                <w:bCs/>
                <w:lang w:val="es-ES" w:eastAsia="es-ES"/>
              </w:rPr>
            </w:pPr>
            <w:r w:rsidRPr="00C120E7">
              <w:rPr>
                <w:rFonts w:ascii="Palatino Linotype" w:eastAsia="Times New Roman" w:hAnsi="Palatino Linotype" w:cs="Tahoma"/>
                <w:bCs/>
                <w:lang w:val="es-ES" w:eastAsia="es-ES"/>
              </w:rPr>
              <w:t>Gafetes de todos los empleados, con nombre, foto y puesto</w:t>
            </w:r>
          </w:p>
        </w:tc>
        <w:tc>
          <w:tcPr>
            <w:tcW w:w="2268" w:type="dxa"/>
          </w:tcPr>
          <w:p w:rsidR="006A7D57" w:rsidRPr="00C120E7" w:rsidRDefault="006A7D57" w:rsidP="003316C0">
            <w:pPr>
              <w:jc w:val="both"/>
              <w:rPr>
                <w:rFonts w:ascii="Palatino Linotype" w:eastAsia="Times New Roman" w:hAnsi="Palatino Linotype" w:cs="Times New Roman"/>
                <w:color w:val="000000"/>
                <w:lang w:val="es-ES" w:eastAsia="es-ES"/>
              </w:rPr>
            </w:pPr>
            <w:r w:rsidRPr="00C120E7">
              <w:rPr>
                <w:rFonts w:ascii="Palatino Linotype" w:eastAsia="Times New Roman" w:hAnsi="Palatino Linotype" w:cs="Times New Roman"/>
                <w:color w:val="000000"/>
                <w:lang w:val="es-ES" w:eastAsia="es-ES"/>
              </w:rPr>
              <w:t>Entregaron alrededor de 600 gafetes del personal, con nombre, puesto y foto.</w:t>
            </w:r>
          </w:p>
        </w:tc>
        <w:tc>
          <w:tcPr>
            <w:tcW w:w="3402" w:type="dxa"/>
          </w:tcPr>
          <w:p w:rsidR="006A7D57" w:rsidRPr="00C120E7" w:rsidRDefault="006A7D57" w:rsidP="006A7D57">
            <w:pPr>
              <w:jc w:val="both"/>
              <w:rPr>
                <w:rFonts w:ascii="Palatino Linotype" w:eastAsia="Times New Roman" w:hAnsi="Palatino Linotype" w:cs="Times New Roman"/>
                <w:i/>
                <w:lang w:val="es-ES" w:eastAsia="es-ES"/>
              </w:rPr>
            </w:pPr>
            <w:r w:rsidRPr="00C120E7">
              <w:rPr>
                <w:rFonts w:ascii="Palatino Linotype" w:eastAsia="Times New Roman" w:hAnsi="Palatino Linotype" w:cs="Times New Roman"/>
                <w:i/>
                <w:lang w:val="es-ES" w:eastAsia="es-ES"/>
              </w:rPr>
              <w:t xml:space="preserve">“… que se entregó la totalidad de copias de los gafetes en existencia, </w:t>
            </w:r>
            <w:r w:rsidRPr="00C120E7">
              <w:rPr>
                <w:rFonts w:ascii="Palatino Linotype" w:eastAsia="Times New Roman" w:hAnsi="Palatino Linotype" w:cs="Times New Roman"/>
                <w:b/>
                <w:i/>
                <w:lang w:val="es-ES" w:eastAsia="es-ES"/>
              </w:rPr>
              <w:t xml:space="preserve">y en el caso de que faltara alguno </w:t>
            </w:r>
            <w:r w:rsidRPr="00C120E7">
              <w:rPr>
                <w:rFonts w:ascii="Palatino Linotype" w:eastAsia="Times New Roman" w:hAnsi="Palatino Linotype" w:cs="Times New Roman"/>
                <w:b/>
                <w:i/>
                <w:u w:val="single"/>
                <w:lang w:val="es-ES" w:eastAsia="es-ES"/>
              </w:rPr>
              <w:t>se debe a los movimientos de alta de personal, ya que hay servidores públicos que no han acudido a la toma de fotografía para la impresión de la misma</w:t>
            </w:r>
            <w:r w:rsidRPr="00C120E7">
              <w:rPr>
                <w:rFonts w:ascii="Palatino Linotype" w:eastAsia="Times New Roman" w:hAnsi="Palatino Linotype" w:cs="Times New Roman"/>
                <w:i/>
                <w:lang w:val="es-ES" w:eastAsia="es-ES"/>
              </w:rPr>
              <w:t>, lo anterior derivado de las cargas de trabajo, así como la distancia que existe entre su lugar de trabajo y las oficinas centrales de este Instituto las cuales se encuentran ubicadas en carretera Toluca- Tenango del Valle, Km. 145, C.P. 52280, San Antonio La Isla, Estado de México, donde se realiza el trámite, en merito; no se omite mencionar que el Instituto de la Vivienda Social (IMEVIS) cuenta con doce Delegaciones Regionales distribuidas en todo el territorio estatal; como a continuación se observa.</w:t>
            </w:r>
          </w:p>
          <w:p w:rsidR="006A7D57" w:rsidRPr="00C120E7" w:rsidRDefault="006A7D57" w:rsidP="006A7D57">
            <w:pPr>
              <w:jc w:val="both"/>
              <w:rPr>
                <w:rFonts w:ascii="Palatino Linotype" w:eastAsia="Times New Roman" w:hAnsi="Palatino Linotype" w:cs="Times New Roman"/>
                <w:i/>
                <w:lang w:val="es-ES" w:eastAsia="es-ES"/>
              </w:rPr>
            </w:pPr>
            <w:r w:rsidRPr="00C120E7">
              <w:rPr>
                <w:rFonts w:ascii="Palatino Linotype" w:eastAsia="Times New Roman" w:hAnsi="Palatino Linotype" w:cs="Times New Roman"/>
                <w:i/>
                <w:lang w:val="es-ES" w:eastAsia="es-ES"/>
              </w:rPr>
              <w:t>…” (Sic)</w:t>
            </w:r>
          </w:p>
        </w:tc>
        <w:tc>
          <w:tcPr>
            <w:tcW w:w="1559" w:type="dxa"/>
          </w:tcPr>
          <w:p w:rsidR="006A7D57" w:rsidRPr="00C120E7" w:rsidRDefault="00F66C9D" w:rsidP="003316C0">
            <w:pPr>
              <w:jc w:val="center"/>
              <w:rPr>
                <w:rFonts w:ascii="Palatino Linotype" w:eastAsia="Times New Roman" w:hAnsi="Palatino Linotype" w:cs="Times New Roman"/>
                <w:b/>
                <w:i/>
                <w:lang w:val="es-ES" w:eastAsia="es-ES"/>
              </w:rPr>
            </w:pPr>
            <w:r w:rsidRPr="00C120E7">
              <w:rPr>
                <w:rFonts w:ascii="Palatino Linotype" w:eastAsia="Times New Roman" w:hAnsi="Palatino Linotype" w:cs="Times New Roman"/>
                <w:b/>
                <w:i/>
                <w:lang w:val="es-ES" w:eastAsia="es-ES"/>
              </w:rPr>
              <w:t xml:space="preserve">Parcialmente </w:t>
            </w:r>
          </w:p>
          <w:p w:rsidR="00F66C9D" w:rsidRPr="00C120E7" w:rsidRDefault="00F66C9D" w:rsidP="003316C0">
            <w:pPr>
              <w:jc w:val="center"/>
              <w:rPr>
                <w:rFonts w:ascii="Palatino Linotype" w:eastAsia="Times New Roman" w:hAnsi="Palatino Linotype" w:cs="Times New Roman"/>
                <w:i/>
                <w:lang w:val="es-ES" w:eastAsia="es-ES"/>
              </w:rPr>
            </w:pPr>
            <w:r w:rsidRPr="00C120E7">
              <w:rPr>
                <w:rFonts w:ascii="Palatino Linotype" w:eastAsia="Times New Roman" w:hAnsi="Palatino Linotype" w:cs="Times New Roman"/>
                <w:i/>
                <w:lang w:val="es-ES" w:eastAsia="es-ES"/>
              </w:rPr>
              <w:t xml:space="preserve">Se debió entregar el acuerdo de inexistencia respecto de los gafetes faltantes, al </w:t>
            </w:r>
            <w:proofErr w:type="spellStart"/>
            <w:r w:rsidRPr="00C120E7">
              <w:rPr>
                <w:rFonts w:ascii="Palatino Linotype" w:eastAsia="Times New Roman" w:hAnsi="Palatino Linotype" w:cs="Times New Roman"/>
                <w:i/>
                <w:lang w:val="es-ES" w:eastAsia="es-ES"/>
              </w:rPr>
              <w:t>exitir</w:t>
            </w:r>
            <w:proofErr w:type="spellEnd"/>
            <w:r w:rsidRPr="00C120E7">
              <w:rPr>
                <w:rFonts w:ascii="Palatino Linotype" w:eastAsia="Times New Roman" w:hAnsi="Palatino Linotype" w:cs="Times New Roman"/>
                <w:i/>
                <w:lang w:val="es-ES" w:eastAsia="es-ES"/>
              </w:rPr>
              <w:t xml:space="preserve"> fuente obligacional para contar con ellos.</w:t>
            </w:r>
          </w:p>
        </w:tc>
      </w:tr>
    </w:tbl>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p>
    <w:p w:rsidR="00F66C9D" w:rsidRPr="00C120E7" w:rsidRDefault="00F66C9D" w:rsidP="00F66C9D">
      <w:pPr>
        <w:shd w:val="clear" w:color="auto" w:fill="FFFFFF"/>
        <w:spacing w:after="0" w:line="360" w:lineRule="auto"/>
        <w:jc w:val="both"/>
        <w:rPr>
          <w:rFonts w:ascii="Palatino Linotype" w:eastAsia="Palatino Linotype" w:hAnsi="Palatino Linotype" w:cs="Palatino Linotype"/>
          <w:sz w:val="24"/>
          <w:szCs w:val="24"/>
          <w:lang w:val="es-ES" w:eastAsia="es-MX"/>
        </w:rPr>
      </w:pPr>
      <w:r w:rsidRPr="00C120E7">
        <w:rPr>
          <w:rFonts w:ascii="Palatino Linotype" w:eastAsia="Palatino Linotype" w:hAnsi="Palatino Linotype" w:cs="Palatino Linotype"/>
          <w:sz w:val="24"/>
          <w:szCs w:val="24"/>
          <w:lang w:val="es-ES" w:eastAsia="es-MX"/>
        </w:rPr>
        <w:lastRenderedPageBreak/>
        <w:t xml:space="preserve">Resulta aplicable el criterio orientados número </w:t>
      </w:r>
      <w:r w:rsidRPr="00C120E7">
        <w:rPr>
          <w:rFonts w:ascii="Palatino Linotype" w:eastAsia="Palatino Linotype" w:hAnsi="Palatino Linotype" w:cs="Palatino Linotype"/>
          <w:b/>
          <w:sz w:val="24"/>
          <w:szCs w:val="24"/>
          <w:lang w:val="es-ES" w:eastAsia="es-MX"/>
        </w:rPr>
        <w:t>08/19</w:t>
      </w:r>
      <w:r w:rsidRPr="00C120E7">
        <w:rPr>
          <w:rFonts w:ascii="Palatino Linotype" w:eastAsia="Palatino Linotype" w:hAnsi="Palatino Linotype" w:cs="Palatino Linotype"/>
          <w:sz w:val="24"/>
          <w:szCs w:val="24"/>
          <w:lang w:val="es-ES" w:eastAsia="es-MX"/>
        </w:rPr>
        <w:t>, emitidos por Acuerdo del Pleno del entonces Instituto de Transparencia y Acceso a la Información Pública del Estado de México y Municipios, que a la letra dice:</w:t>
      </w:r>
    </w:p>
    <w:p w:rsidR="00F66C9D" w:rsidRPr="00C120E7" w:rsidRDefault="00F66C9D" w:rsidP="00F66C9D">
      <w:pPr>
        <w:shd w:val="clear" w:color="auto" w:fill="FFFFFF"/>
        <w:spacing w:after="0" w:line="240" w:lineRule="auto"/>
        <w:jc w:val="both"/>
        <w:rPr>
          <w:rFonts w:ascii="Palatino Linotype" w:eastAsia="Palatino Linotype" w:hAnsi="Palatino Linotype" w:cs="Palatino Linotype"/>
          <w:sz w:val="24"/>
          <w:szCs w:val="24"/>
          <w:lang w:val="es-ES" w:eastAsia="es-MX"/>
        </w:rPr>
      </w:pPr>
    </w:p>
    <w:p w:rsidR="00F66C9D" w:rsidRPr="00C120E7" w:rsidRDefault="00F66C9D" w:rsidP="00F66C9D">
      <w:pPr>
        <w:shd w:val="clear" w:color="auto" w:fill="FFFFFF"/>
        <w:spacing w:after="0" w:line="240" w:lineRule="auto"/>
        <w:ind w:left="567" w:right="567"/>
        <w:jc w:val="both"/>
        <w:rPr>
          <w:rFonts w:ascii="Palatino Linotype" w:eastAsia="Palatino Linotype" w:hAnsi="Palatino Linotype" w:cs="Palatino Linotype"/>
          <w:i/>
          <w:sz w:val="24"/>
          <w:szCs w:val="24"/>
          <w:lang w:val="es-ES" w:eastAsia="es-MX"/>
        </w:rPr>
      </w:pPr>
      <w:r w:rsidRPr="00C120E7">
        <w:rPr>
          <w:rFonts w:ascii="Palatino Linotype" w:eastAsia="Palatino Linotype" w:hAnsi="Palatino Linotype" w:cs="Palatino Linotype"/>
          <w:b/>
          <w:i/>
          <w:sz w:val="24"/>
          <w:szCs w:val="24"/>
          <w:lang w:val="es-ES" w:eastAsia="es-MX"/>
        </w:rPr>
        <w:t>“INEXISTENCIA DE LA INFORMACIÓN. SUPUESTOS PARA EMITIR LA RESOLUCIÓN DE LA</w:t>
      </w:r>
      <w:r w:rsidRPr="00C120E7">
        <w:rPr>
          <w:rFonts w:ascii="Palatino Linotype" w:eastAsia="Palatino Linotype" w:hAnsi="Palatino Linotype" w:cs="Palatino Linotype"/>
          <w:i/>
          <w:sz w:val="24"/>
          <w:szCs w:val="24"/>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120E7">
        <w:rPr>
          <w:rFonts w:ascii="Palatino Linotype" w:eastAsia="Palatino Linotype" w:hAnsi="Palatino Linotype" w:cs="Palatino Linotype"/>
          <w:b/>
          <w:i/>
          <w:sz w:val="24"/>
          <w:szCs w:val="24"/>
          <w:lang w:val="es-ES" w:eastAsia="es-MX"/>
        </w:rPr>
        <w:t>”</w:t>
      </w:r>
    </w:p>
    <w:p w:rsidR="00F66C9D" w:rsidRPr="00C120E7" w:rsidRDefault="00F66C9D" w:rsidP="00F66C9D">
      <w:pPr>
        <w:shd w:val="clear" w:color="auto" w:fill="FFFFFF"/>
        <w:spacing w:after="0" w:line="240" w:lineRule="auto"/>
        <w:ind w:left="567" w:right="567" w:firstLine="851"/>
        <w:jc w:val="right"/>
        <w:rPr>
          <w:rFonts w:ascii="Palatino Linotype" w:eastAsia="Palatino Linotype" w:hAnsi="Palatino Linotype" w:cs="Palatino Linotype"/>
          <w:i/>
          <w:sz w:val="24"/>
          <w:szCs w:val="24"/>
          <w:lang w:val="es-ES" w:eastAsia="es-MX"/>
        </w:rPr>
      </w:pPr>
      <w:r w:rsidRPr="00C120E7">
        <w:rPr>
          <w:rFonts w:ascii="Palatino Linotype" w:eastAsia="Palatino Linotype" w:hAnsi="Palatino Linotype" w:cs="Palatino Linotype"/>
          <w:i/>
          <w:sz w:val="24"/>
          <w:szCs w:val="24"/>
          <w:lang w:val="es-ES" w:eastAsia="es-MX"/>
        </w:rPr>
        <w:t>(Énfasis añadido)</w:t>
      </w:r>
    </w:p>
    <w:p w:rsidR="00F66C9D" w:rsidRPr="00C120E7" w:rsidRDefault="00F66C9D" w:rsidP="00F66C9D">
      <w:pPr>
        <w:spacing w:after="0" w:line="360" w:lineRule="auto"/>
        <w:jc w:val="both"/>
        <w:rPr>
          <w:rFonts w:ascii="Palatino Linotype" w:eastAsia="Palatino Linotype" w:hAnsi="Palatino Linotype" w:cs="Palatino Linotype"/>
          <w:sz w:val="24"/>
          <w:szCs w:val="24"/>
          <w:lang w:val="es-ES" w:eastAsia="es-MX"/>
        </w:rPr>
      </w:pPr>
    </w:p>
    <w:p w:rsidR="00F66C9D" w:rsidRPr="00C120E7" w:rsidRDefault="00F66C9D" w:rsidP="00F66C9D">
      <w:pPr>
        <w:spacing w:after="0" w:line="360" w:lineRule="auto"/>
        <w:jc w:val="both"/>
        <w:rPr>
          <w:rFonts w:ascii="Palatino Linotype" w:eastAsia="Palatino Linotype" w:hAnsi="Palatino Linotype" w:cs="Palatino Linotype"/>
          <w:sz w:val="24"/>
          <w:szCs w:val="24"/>
          <w:lang w:val="es-ES" w:eastAsia="es-MX"/>
        </w:rPr>
      </w:pPr>
      <w:r w:rsidRPr="00C120E7">
        <w:rPr>
          <w:rFonts w:ascii="Palatino Linotype" w:eastAsia="Palatino Linotype" w:hAnsi="Palatino Linotype" w:cs="Palatino Linotype"/>
          <w:sz w:val="24"/>
          <w:szCs w:val="24"/>
          <w:lang w:val="es-ES" w:eastAsia="es-MX"/>
        </w:rPr>
        <w:t xml:space="preserve">Ello obedece a que, conforme al artículo 12, de la Ley de Transparencia y Acceso a la Información Pública del Estado de México y Municipios se destaca que quienes generen, recopilen, administren, manejen, procesen, archiven o conserven información </w:t>
      </w:r>
      <w:r w:rsidRPr="00C120E7">
        <w:rPr>
          <w:rFonts w:ascii="Palatino Linotype" w:eastAsia="Palatino Linotype" w:hAnsi="Palatino Linotype" w:cs="Palatino Linotype"/>
          <w:sz w:val="24"/>
          <w:szCs w:val="24"/>
          <w:lang w:val="es-ES" w:eastAsia="es-MX"/>
        </w:rPr>
        <w:lastRenderedPageBreak/>
        <w:t>pública serán responsables de ésta; vinculando inminentemente al servidor público con los documentos que por el ejercicio de sus funciones obra en su poder, por lo que, impone un compromiso en su cuidado y resguardo.</w:t>
      </w:r>
    </w:p>
    <w:p w:rsidR="00F66C9D" w:rsidRPr="00C120E7" w:rsidRDefault="00F66C9D" w:rsidP="00F66C9D">
      <w:pPr>
        <w:spacing w:before="240" w:after="0" w:line="360" w:lineRule="auto"/>
        <w:jc w:val="both"/>
        <w:rPr>
          <w:rFonts w:ascii="Palatino Linotype" w:eastAsia="Times New Roman" w:hAnsi="Palatino Linotype" w:cs="Times New Roman"/>
          <w:sz w:val="24"/>
          <w:szCs w:val="24"/>
          <w:lang w:val="es-ES" w:eastAsia="es-ES"/>
        </w:rPr>
      </w:pPr>
    </w:p>
    <w:p w:rsidR="00F66C9D" w:rsidRPr="00C120E7" w:rsidRDefault="00F66C9D" w:rsidP="00F66C9D">
      <w:pPr>
        <w:tabs>
          <w:tab w:val="left" w:pos="709"/>
        </w:tabs>
        <w:spacing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bCs/>
          <w:sz w:val="24"/>
          <w:szCs w:val="24"/>
          <w:lang w:val="es-ES" w:eastAsia="es-ES"/>
        </w:rPr>
        <w:t xml:space="preserve">Declaratoria que </w:t>
      </w:r>
      <w:r w:rsidRPr="00C120E7">
        <w:rPr>
          <w:rFonts w:ascii="Palatino Linotype" w:eastAsia="Times New Roman" w:hAnsi="Palatino Linotype" w:cs="Times New Roman"/>
          <w:sz w:val="24"/>
          <w:szCs w:val="24"/>
          <w:lang w:val="es-ES" w:eastAsia="es-ES"/>
        </w:rPr>
        <w:t>deberá realizarse conforme a lo establecido en lo dispuesto por los artículos 19, 49 fracciones II y XIII, 169 y 170 de la Ley de Transparencia y Acceso a la Información Pública del Estado de México y Municipios, cuyo contenido es el siguiente:</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b/>
          <w:bCs/>
          <w:i/>
          <w:iCs/>
          <w:sz w:val="24"/>
          <w:szCs w:val="24"/>
          <w:lang w:val="es-ES" w:eastAsia="es-ES"/>
        </w:rPr>
        <w:t xml:space="preserve">“Artículo 19. </w:t>
      </w:r>
      <w:r w:rsidRPr="00C120E7">
        <w:rPr>
          <w:rFonts w:ascii="Palatino Linotype" w:eastAsia="Times New Roman" w:hAnsi="Palatino Linotype" w:cs="Times New Roman"/>
          <w:i/>
          <w:iCs/>
          <w:sz w:val="24"/>
          <w:szCs w:val="24"/>
          <w:u w:val="single"/>
          <w:lang w:val="es-ES" w:eastAsia="es-ES"/>
        </w:rPr>
        <w:t>Se presume que la información debe existir si se refiere a las facultades, competencias y funciones que los ordenamientos jurídicos aplicables otorgan a los sujetos obligados. </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iCs/>
          <w:sz w:val="24"/>
          <w:szCs w:val="24"/>
          <w:lang w:val="es-ES" w:eastAsia="es-ES"/>
        </w:rPr>
        <w:t>(…)</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iCs/>
          <w:sz w:val="24"/>
          <w:szCs w:val="24"/>
          <w:lang w:val="es-ES" w:eastAsia="es-ES"/>
        </w:rPr>
        <w:t xml:space="preserve">Si el sujeto obligado, en el ejercicio de sus atribuciones, debía generar, poseer o administrar la información, pero ésta no se encuentra, </w:t>
      </w:r>
      <w:r w:rsidRPr="00C120E7">
        <w:rPr>
          <w:rFonts w:ascii="Palatino Linotype" w:eastAsia="Times New Roman" w:hAnsi="Palatino Linotype" w:cs="Times New Roman"/>
          <w:i/>
          <w:iCs/>
          <w:sz w:val="24"/>
          <w:szCs w:val="24"/>
          <w:u w:val="single"/>
          <w:lang w:val="es-ES" w:eastAsia="es-ES"/>
        </w:rPr>
        <w:t>el Comité de transparencia deberá emitir un acuerdo de inexistencia, debidamente fundado y motivado, en el que detalle las razones del por qué no obra en sus archivos.</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b/>
          <w:bCs/>
          <w:i/>
          <w:iCs/>
          <w:sz w:val="24"/>
          <w:szCs w:val="24"/>
          <w:lang w:val="es-ES" w:eastAsia="es-ES"/>
        </w:rPr>
        <w:t>Artículo 49.</w:t>
      </w:r>
      <w:r w:rsidRPr="00C120E7">
        <w:rPr>
          <w:rFonts w:ascii="Palatino Linotype" w:eastAsia="Times New Roman" w:hAnsi="Palatino Linotype" w:cs="Times New Roman"/>
          <w:i/>
          <w:iCs/>
          <w:sz w:val="24"/>
          <w:szCs w:val="24"/>
          <w:lang w:val="es-ES" w:eastAsia="es-ES"/>
        </w:rPr>
        <w:t xml:space="preserve"> Los </w:t>
      </w:r>
      <w:r w:rsidRPr="00C120E7">
        <w:rPr>
          <w:rFonts w:ascii="Palatino Linotype" w:eastAsia="Times New Roman" w:hAnsi="Palatino Linotype" w:cs="Times New Roman"/>
          <w:i/>
          <w:iCs/>
          <w:sz w:val="24"/>
          <w:szCs w:val="24"/>
          <w:u w:val="single"/>
          <w:lang w:val="es-ES" w:eastAsia="es-ES"/>
        </w:rPr>
        <w:t xml:space="preserve">Comités de Transparencia </w:t>
      </w:r>
      <w:r w:rsidRPr="00C120E7">
        <w:rPr>
          <w:rFonts w:ascii="Palatino Linotype" w:eastAsia="Times New Roman" w:hAnsi="Palatino Linotype" w:cs="Times New Roman"/>
          <w:i/>
          <w:iCs/>
          <w:sz w:val="24"/>
          <w:szCs w:val="24"/>
          <w:lang w:val="es-ES" w:eastAsia="es-ES"/>
        </w:rPr>
        <w:t>tendrán las siguientes atribuciones:</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II. Confirmar, modificar o revocar las determinaciones que en materia de ampliación del plazo de respuesta, clasificación de la información</w:t>
      </w:r>
      <w:r w:rsidRPr="00C120E7">
        <w:rPr>
          <w:rFonts w:ascii="Palatino Linotype" w:eastAsia="Times New Roman" w:hAnsi="Palatino Linotype" w:cs="Times New Roman"/>
          <w:i/>
          <w:sz w:val="24"/>
          <w:szCs w:val="24"/>
          <w:u w:val="single"/>
          <w:lang w:val="es-ES" w:eastAsia="es-ES"/>
        </w:rPr>
        <w:t xml:space="preserve"> y declaración </w:t>
      </w:r>
      <w:r w:rsidRPr="00C120E7">
        <w:rPr>
          <w:rFonts w:ascii="Palatino Linotype" w:eastAsia="Times New Roman" w:hAnsi="Palatino Linotype" w:cs="Times New Roman"/>
          <w:i/>
          <w:sz w:val="24"/>
          <w:szCs w:val="24"/>
          <w:u w:val="single"/>
          <w:lang w:val="es-ES" w:eastAsia="es-ES"/>
        </w:rPr>
        <w:lastRenderedPageBreak/>
        <w:t xml:space="preserve">de inexistencia </w:t>
      </w:r>
      <w:r w:rsidRPr="00C120E7">
        <w:rPr>
          <w:rFonts w:ascii="Palatino Linotype" w:eastAsia="Times New Roman" w:hAnsi="Palatino Linotype" w:cs="Times New Roman"/>
          <w:i/>
          <w:sz w:val="24"/>
          <w:szCs w:val="24"/>
          <w:lang w:val="es-ES" w:eastAsia="es-ES"/>
        </w:rPr>
        <w:t>o de incompetencia realicen los titulares de las áreas de los sujetos obligados;</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lang w:val="es-ES" w:eastAsia="es-ES"/>
        </w:rPr>
      </w:pPr>
      <w:r w:rsidRPr="00C120E7">
        <w:rPr>
          <w:rFonts w:ascii="Palatino Linotype" w:eastAsia="Times New Roman" w:hAnsi="Palatino Linotype" w:cs="Times New Roman"/>
          <w:i/>
          <w:sz w:val="24"/>
          <w:szCs w:val="24"/>
          <w:lang w:val="es-ES" w:eastAsia="es-ES"/>
        </w:rPr>
        <w:t xml:space="preserve">XIII. </w:t>
      </w:r>
      <w:r w:rsidRPr="00C120E7">
        <w:rPr>
          <w:rFonts w:ascii="Palatino Linotype" w:eastAsia="Times New Roman" w:hAnsi="Palatino Linotype" w:cs="Times New Roman"/>
          <w:i/>
          <w:sz w:val="24"/>
          <w:szCs w:val="24"/>
          <w:u w:val="single"/>
          <w:lang w:val="es-ES" w:eastAsia="es-ES"/>
        </w:rPr>
        <w:t>Dictaminar las declaratorias de inexistencia de la información que les remitan las unidades administrativas y resolver en consecuencia</w:t>
      </w:r>
      <w:r w:rsidRPr="00C120E7">
        <w:rPr>
          <w:rFonts w:ascii="Palatino Linotype" w:eastAsia="Times New Roman" w:hAnsi="Palatino Linotype" w:cs="Times New Roman"/>
          <w:i/>
          <w:sz w:val="24"/>
          <w:szCs w:val="24"/>
          <w:lang w:val="es-ES" w:eastAsia="es-ES"/>
        </w:rPr>
        <w:t>;</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b/>
          <w:i/>
          <w:sz w:val="24"/>
          <w:szCs w:val="24"/>
          <w:u w:val="single"/>
          <w:lang w:val="es-ES" w:eastAsia="es-ES"/>
        </w:rPr>
      </w:pPr>
      <w:r w:rsidRPr="00C120E7">
        <w:rPr>
          <w:rFonts w:ascii="Palatino Linotype" w:eastAsia="Times New Roman" w:hAnsi="Palatino Linotype" w:cs="Times New Roman"/>
          <w:b/>
          <w:i/>
          <w:sz w:val="24"/>
          <w:szCs w:val="24"/>
          <w:u w:val="single"/>
          <w:lang w:val="es-ES" w:eastAsia="es-ES"/>
        </w:rPr>
        <w:t>Artículo 169. Cuando la información no se encuentre en los archivos del sujeto obligado, el Comité de Transparencia:</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b/>
          <w:i/>
          <w:sz w:val="24"/>
          <w:szCs w:val="24"/>
          <w:lang w:val="es-ES" w:eastAsia="es-ES"/>
        </w:rPr>
      </w:pPr>
      <w:r w:rsidRPr="00C120E7">
        <w:rPr>
          <w:rFonts w:ascii="Palatino Linotype" w:eastAsia="Times New Roman" w:hAnsi="Palatino Linotype" w:cs="Times New Roman"/>
          <w:b/>
          <w:bCs/>
          <w:i/>
          <w:sz w:val="24"/>
          <w:szCs w:val="24"/>
          <w:lang w:val="es-ES" w:eastAsia="es-ES"/>
        </w:rPr>
        <w:t xml:space="preserve">I. </w:t>
      </w:r>
      <w:r w:rsidRPr="00C120E7">
        <w:rPr>
          <w:rFonts w:ascii="Palatino Linotype" w:eastAsia="Times New Roman" w:hAnsi="Palatino Linotype" w:cs="Times New Roman"/>
          <w:i/>
          <w:sz w:val="24"/>
          <w:szCs w:val="24"/>
          <w:u w:val="single"/>
          <w:lang w:val="es-ES" w:eastAsia="es-ES"/>
        </w:rPr>
        <w:t>Analizará el caso y tomará las medidas necesarias para localizar la información;</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b/>
          <w:i/>
          <w:sz w:val="24"/>
          <w:szCs w:val="24"/>
          <w:lang w:val="es-ES" w:eastAsia="es-ES"/>
        </w:rPr>
      </w:pPr>
      <w:r w:rsidRPr="00C120E7">
        <w:rPr>
          <w:rFonts w:ascii="Palatino Linotype" w:eastAsia="Times New Roman" w:hAnsi="Palatino Linotype" w:cs="Times New Roman"/>
          <w:b/>
          <w:bCs/>
          <w:i/>
          <w:sz w:val="24"/>
          <w:szCs w:val="24"/>
          <w:lang w:val="es-ES" w:eastAsia="es-ES"/>
        </w:rPr>
        <w:t xml:space="preserve">II. </w:t>
      </w:r>
      <w:r w:rsidRPr="00C120E7">
        <w:rPr>
          <w:rFonts w:ascii="Palatino Linotype" w:eastAsia="Times New Roman" w:hAnsi="Palatino Linotype" w:cs="Times New Roman"/>
          <w:i/>
          <w:sz w:val="24"/>
          <w:szCs w:val="24"/>
          <w:u w:val="single"/>
          <w:lang w:val="es-ES" w:eastAsia="es-ES"/>
        </w:rPr>
        <w:t>Expedirá una resolución que confirme la inexistencia del documento;</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b/>
          <w:i/>
          <w:sz w:val="24"/>
          <w:szCs w:val="24"/>
          <w:lang w:val="es-ES" w:eastAsia="es-ES"/>
        </w:rPr>
      </w:pPr>
      <w:r w:rsidRPr="00C120E7">
        <w:rPr>
          <w:rFonts w:ascii="Palatino Linotype" w:eastAsia="Times New Roman" w:hAnsi="Palatino Linotype" w:cs="Times New Roman"/>
          <w:b/>
          <w:bCs/>
          <w:i/>
          <w:sz w:val="24"/>
          <w:szCs w:val="24"/>
          <w:lang w:val="es-ES" w:eastAsia="es-ES"/>
        </w:rPr>
        <w:t xml:space="preserve">III. </w:t>
      </w:r>
      <w:r w:rsidRPr="00C120E7">
        <w:rPr>
          <w:rFonts w:ascii="Palatino Linotype" w:eastAsia="Times New Roman" w:hAnsi="Palatino Linotype" w:cs="Times New Roman"/>
          <w:i/>
          <w:sz w:val="24"/>
          <w:szCs w:val="24"/>
          <w:u w:val="single"/>
          <w:lang w:val="es-ES"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u w:val="single"/>
          <w:lang w:val="es-ES" w:eastAsia="es-ES"/>
        </w:rPr>
      </w:pPr>
      <w:r w:rsidRPr="00C120E7">
        <w:rPr>
          <w:rFonts w:ascii="Palatino Linotype" w:eastAsia="Times New Roman" w:hAnsi="Palatino Linotype" w:cs="Times New Roman"/>
          <w:b/>
          <w:bCs/>
          <w:i/>
          <w:sz w:val="24"/>
          <w:szCs w:val="24"/>
          <w:lang w:val="es-ES" w:eastAsia="es-ES"/>
        </w:rPr>
        <w:t xml:space="preserve">IV. </w:t>
      </w:r>
      <w:r w:rsidRPr="00C120E7">
        <w:rPr>
          <w:rFonts w:ascii="Palatino Linotype" w:eastAsia="Times New Roman" w:hAnsi="Palatino Linotype" w:cs="Times New Roman"/>
          <w:i/>
          <w:sz w:val="24"/>
          <w:szCs w:val="24"/>
          <w:u w:val="single"/>
          <w:lang w:val="es-ES" w:eastAsia="es-ES"/>
        </w:rPr>
        <w:t>Notificará al órgano interno de control o equivalente del sujeto obligado quien, en su caso, deberá iniciar el procedimiento de responsabilidad administrativa que corresponda.</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u w:val="single"/>
          <w:lang w:val="es-ES" w:eastAsia="es-ES"/>
        </w:rPr>
      </w:pPr>
      <w:r w:rsidRPr="00C120E7">
        <w:rPr>
          <w:rFonts w:ascii="Palatino Linotype" w:eastAsia="Times New Roman" w:hAnsi="Palatino Linotype" w:cs="Times New Roman"/>
          <w:i/>
          <w:sz w:val="24"/>
          <w:szCs w:val="24"/>
          <w:u w:val="single"/>
          <w:lang w:val="es-ES" w:eastAsia="es-ES"/>
        </w:rPr>
        <w:lastRenderedPageBreak/>
        <w:t>La Unidad de Transparencia deberá notificarlo al solicitante por escrito, en un plazo que no exceda de quince días hábiles contados a partir del día siguiente a la presentación de la solicitud.</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i/>
          <w:sz w:val="24"/>
          <w:szCs w:val="24"/>
          <w:u w:val="single"/>
          <w:lang w:val="es-ES" w:eastAsia="es-ES"/>
        </w:rPr>
      </w:pPr>
      <w:r w:rsidRPr="00C120E7">
        <w:rPr>
          <w:rFonts w:ascii="Palatino Linotype" w:eastAsia="Times New Roman" w:hAnsi="Palatino Linotype" w:cs="Times New Roman"/>
          <w:i/>
          <w:sz w:val="24"/>
          <w:szCs w:val="24"/>
          <w:u w:val="single"/>
          <w:lang w:val="es-ES" w:eastAsia="es-ES"/>
        </w:rPr>
        <w:t>Este plazo podrá ampliarse hasta por otros siete días hábiles, siempre que existan razones para ello, debiendo notificarse por escrito al solicitante.</w:t>
      </w:r>
    </w:p>
    <w:p w:rsidR="00F66C9D" w:rsidRPr="00C120E7" w:rsidRDefault="00F66C9D" w:rsidP="00F66C9D">
      <w:pPr>
        <w:tabs>
          <w:tab w:val="left" w:pos="709"/>
        </w:tabs>
        <w:spacing w:before="240" w:after="0" w:line="360" w:lineRule="auto"/>
        <w:ind w:left="851" w:right="851"/>
        <w:jc w:val="both"/>
        <w:rPr>
          <w:rFonts w:ascii="Palatino Linotype" w:eastAsia="Times New Roman" w:hAnsi="Palatino Linotype" w:cs="Times New Roman"/>
          <w:b/>
          <w:i/>
          <w:iCs/>
          <w:sz w:val="24"/>
          <w:szCs w:val="24"/>
          <w:lang w:val="es-ES" w:eastAsia="es-ES"/>
        </w:rPr>
      </w:pPr>
      <w:r w:rsidRPr="00C120E7">
        <w:rPr>
          <w:rFonts w:ascii="Palatino Linotype" w:eastAsia="Times New Roman" w:hAnsi="Palatino Linotype" w:cs="Times New Roman"/>
          <w:b/>
          <w:i/>
          <w:sz w:val="24"/>
          <w:szCs w:val="24"/>
          <w:lang w:val="es-ES" w:eastAsia="es-ES"/>
        </w:rPr>
        <w:t>Artículo 170</w:t>
      </w:r>
      <w:r w:rsidRPr="00C120E7">
        <w:rPr>
          <w:rFonts w:ascii="Palatino Linotype" w:eastAsia="Times New Roman" w:hAnsi="Palatino Linotype" w:cs="Times New Roman"/>
          <w:b/>
          <w:bCs/>
          <w:i/>
          <w:iCs/>
          <w:sz w:val="24"/>
          <w:szCs w:val="24"/>
          <w:lang w:val="es-ES" w:eastAsia="es-ES"/>
        </w:rPr>
        <w:t>.</w:t>
      </w:r>
      <w:r w:rsidRPr="00C120E7">
        <w:rPr>
          <w:rFonts w:ascii="Palatino Linotype" w:eastAsia="Times New Roman" w:hAnsi="Palatino Linotype" w:cs="Times New Roman"/>
          <w:i/>
          <w:iCs/>
          <w:sz w:val="24"/>
          <w:szCs w:val="24"/>
          <w:lang w:val="es-ES" w:eastAsia="es-ES"/>
        </w:rPr>
        <w:t xml:space="preserve"> </w:t>
      </w:r>
      <w:r w:rsidRPr="00C120E7">
        <w:rPr>
          <w:rFonts w:ascii="Palatino Linotype" w:eastAsia="Times New Roman" w:hAnsi="Palatino Linotype" w:cs="Times New Roman"/>
          <w:i/>
          <w:iCs/>
          <w:sz w:val="24"/>
          <w:szCs w:val="24"/>
          <w:u w:val="single"/>
          <w:lang w:val="es-ES"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C120E7">
        <w:rPr>
          <w:rFonts w:ascii="Palatino Linotype" w:eastAsia="Times New Roman" w:hAnsi="Palatino Linotype" w:cs="Times New Roman"/>
          <w:i/>
          <w:iCs/>
          <w:sz w:val="24"/>
          <w:szCs w:val="24"/>
          <w:lang w:val="es-ES" w:eastAsia="es-ES"/>
        </w:rPr>
        <w:t xml:space="preserve">” </w:t>
      </w:r>
      <w:r w:rsidRPr="00C120E7">
        <w:rPr>
          <w:rFonts w:ascii="Palatino Linotype" w:eastAsia="Times New Roman" w:hAnsi="Palatino Linotype" w:cs="Times New Roman"/>
          <w:b/>
          <w:i/>
          <w:iCs/>
          <w:sz w:val="24"/>
          <w:szCs w:val="24"/>
          <w:lang w:val="es-ES" w:eastAsia="es-ES"/>
        </w:rPr>
        <w:t>[Sic]</w:t>
      </w:r>
    </w:p>
    <w:p w:rsidR="00F66C9D" w:rsidRPr="00C120E7" w:rsidRDefault="00F66C9D" w:rsidP="00F66C9D">
      <w:pPr>
        <w:tabs>
          <w:tab w:val="left" w:pos="709"/>
        </w:tabs>
        <w:spacing w:after="0" w:line="240" w:lineRule="auto"/>
        <w:ind w:left="567" w:right="567"/>
        <w:jc w:val="both"/>
        <w:rPr>
          <w:rFonts w:ascii="Palatino Linotype" w:eastAsia="Times New Roman" w:hAnsi="Palatino Linotype" w:cs="Times New Roman"/>
          <w:i/>
          <w:sz w:val="24"/>
          <w:szCs w:val="24"/>
          <w:lang w:val="es-ES" w:eastAsia="es-ES"/>
        </w:rPr>
      </w:pPr>
    </w:p>
    <w:p w:rsidR="00F66C9D" w:rsidRPr="00C120E7" w:rsidRDefault="00F66C9D" w:rsidP="00F66C9D">
      <w:pPr>
        <w:spacing w:after="0" w:line="360" w:lineRule="auto"/>
        <w:jc w:val="both"/>
        <w:rPr>
          <w:rFonts w:ascii="Palatino Linotype" w:eastAsia="Times New Roman" w:hAnsi="Palatino Linotype" w:cs="Times New Roman"/>
          <w:sz w:val="24"/>
          <w:szCs w:val="24"/>
          <w:lang w:val="es-ES" w:eastAsia="es-ES"/>
        </w:rPr>
      </w:pPr>
    </w:p>
    <w:p w:rsidR="00F66C9D" w:rsidRPr="00C120E7" w:rsidRDefault="00F66C9D" w:rsidP="00F66C9D">
      <w:pPr>
        <w:spacing w:after="0" w:line="360" w:lineRule="auto"/>
        <w:contextualSpacing/>
        <w:jc w:val="both"/>
        <w:rPr>
          <w:rFonts w:ascii="Palatino Linotype" w:eastAsia="Palatino Linotype" w:hAnsi="Palatino Linotype" w:cs="Palatino Linotype"/>
          <w:sz w:val="24"/>
          <w:szCs w:val="24"/>
          <w:lang w:val="es-ES" w:eastAsia="es-ES"/>
        </w:rPr>
      </w:pPr>
      <w:r w:rsidRPr="00C120E7">
        <w:rPr>
          <w:rFonts w:ascii="Palatino Linotype" w:eastAsia="Palatino Linotype" w:hAnsi="Palatino Linotype" w:cs="Palatino Linotype"/>
          <w:sz w:val="24"/>
          <w:szCs w:val="24"/>
          <w:lang w:val="es-ES" w:eastAsia="es-ES"/>
        </w:rPr>
        <w:t>Al respecto, el Criterio orientador 04/19 emitido por el entonces Instituto Nacional de Transparencia, Acceso a la Información y Protección de Datos Personales, que a la letra estipula lo siguiente:</w:t>
      </w:r>
    </w:p>
    <w:p w:rsidR="00F66C9D" w:rsidRPr="00C120E7" w:rsidRDefault="00F66C9D" w:rsidP="00F66C9D">
      <w:pPr>
        <w:spacing w:before="240" w:line="360" w:lineRule="auto"/>
        <w:ind w:left="851" w:right="851"/>
        <w:jc w:val="both"/>
        <w:rPr>
          <w:rFonts w:ascii="Palatino Linotype" w:eastAsia="Calibri" w:hAnsi="Palatino Linotype" w:cs="Arial"/>
          <w:b/>
          <w:i/>
        </w:rPr>
      </w:pPr>
      <w:r w:rsidRPr="00C120E7">
        <w:rPr>
          <w:rFonts w:ascii="Palatino Linotype" w:eastAsia="Calibri" w:hAnsi="Palatino Linotype" w:cs="Arial"/>
          <w:b/>
          <w:i/>
        </w:rPr>
        <w:t xml:space="preserve">“PROPÓSITO DE LA DECLARACIÓN FORMAL DE INEXISTENCIA. </w:t>
      </w:r>
    </w:p>
    <w:p w:rsidR="00F66C9D" w:rsidRPr="00C120E7" w:rsidRDefault="00F66C9D" w:rsidP="00F66C9D">
      <w:pPr>
        <w:spacing w:before="240" w:line="360" w:lineRule="auto"/>
        <w:ind w:left="851" w:right="851"/>
        <w:jc w:val="both"/>
        <w:rPr>
          <w:rFonts w:ascii="Palatino Linotype" w:eastAsia="Calibri" w:hAnsi="Palatino Linotype" w:cs="Arial"/>
          <w:b/>
          <w:i/>
        </w:rPr>
      </w:pPr>
      <w:r w:rsidRPr="00C120E7">
        <w:rPr>
          <w:rFonts w:ascii="Palatino Linotype" w:eastAsia="Calibri" w:hAnsi="Palatino Linotype" w:cs="Arial"/>
          <w:i/>
        </w:rPr>
        <w:t>El propósito de que los Comités de Transparencia emitan una declaración que confirme la inexistencia de la información solicitada,</w:t>
      </w:r>
      <w:r w:rsidRPr="00C120E7">
        <w:rPr>
          <w:rFonts w:ascii="Palatino Linotype" w:eastAsia="Calibri" w:hAnsi="Palatino Linotype" w:cs="Arial"/>
          <w:b/>
          <w:bCs/>
          <w:i/>
        </w:rPr>
        <w:t xml:space="preserve"> </w:t>
      </w:r>
      <w:r w:rsidRPr="00C120E7">
        <w:rPr>
          <w:rFonts w:ascii="Palatino Linotype" w:eastAsia="Calibri" w:hAnsi="Palatino Linotype" w:cs="Arial"/>
          <w:b/>
          <w:bCs/>
          <w:i/>
          <w:u w:val="single"/>
        </w:rPr>
        <w:t>es garantizar al solicitante que se realizaron las gestiones necesarias para la ubicación de la información de su interés; por lo cual, el acta en el que se haga constar esa declaración formal de inexistencia</w:t>
      </w:r>
      <w:r w:rsidRPr="00C120E7">
        <w:rPr>
          <w:rFonts w:ascii="Palatino Linotype" w:eastAsia="Calibri" w:hAnsi="Palatino Linotype" w:cs="Arial"/>
          <w:i/>
        </w:rPr>
        <w:t xml:space="preserve">, debe contener los elementos suficientes para </w:t>
      </w:r>
      <w:r w:rsidRPr="00C120E7">
        <w:rPr>
          <w:rFonts w:ascii="Palatino Linotype" w:eastAsia="Calibri" w:hAnsi="Palatino Linotype" w:cs="Arial"/>
          <w:i/>
        </w:rPr>
        <w:lastRenderedPageBreak/>
        <w:t xml:space="preserve">generar en los solicitantes la certeza del carácter exhaustivo de la búsqueda de lo solicitado.” </w:t>
      </w:r>
      <w:r w:rsidRPr="00C120E7">
        <w:rPr>
          <w:rFonts w:ascii="Palatino Linotype" w:eastAsia="Calibri" w:hAnsi="Palatino Linotype" w:cs="Arial"/>
          <w:b/>
          <w:i/>
        </w:rPr>
        <w:t xml:space="preserve">[Sic] </w:t>
      </w:r>
    </w:p>
    <w:p w:rsidR="00F66C9D" w:rsidRPr="00C120E7" w:rsidRDefault="00F66C9D" w:rsidP="00F66C9D">
      <w:pPr>
        <w:spacing w:after="0" w:line="360" w:lineRule="auto"/>
        <w:contextualSpacing/>
        <w:jc w:val="both"/>
        <w:rPr>
          <w:rFonts w:ascii="Palatino Linotype" w:eastAsia="Palatino Linotype" w:hAnsi="Palatino Linotype" w:cs="Palatino Linotype"/>
          <w:sz w:val="24"/>
          <w:szCs w:val="24"/>
          <w:lang w:val="es-ES" w:eastAsia="es-ES"/>
        </w:rPr>
      </w:pPr>
    </w:p>
    <w:p w:rsidR="00F66C9D" w:rsidRPr="00C120E7" w:rsidRDefault="00F66C9D" w:rsidP="00F66C9D">
      <w:pPr>
        <w:spacing w:after="0" w:line="360" w:lineRule="auto"/>
        <w:contextualSpacing/>
        <w:jc w:val="both"/>
        <w:rPr>
          <w:rFonts w:ascii="Palatino Linotype" w:eastAsia="Palatino Linotype" w:hAnsi="Palatino Linotype" w:cs="Palatino Linotype"/>
          <w:sz w:val="24"/>
          <w:szCs w:val="24"/>
          <w:lang w:val="es-ES" w:eastAsia="es-ES"/>
        </w:rPr>
      </w:pPr>
      <w:r w:rsidRPr="00C120E7">
        <w:rPr>
          <w:rFonts w:ascii="Palatino Linotype" w:eastAsia="Palatino Linotype" w:hAnsi="Palatino Linotype" w:cs="Palatino Linotype"/>
          <w:sz w:val="24"/>
          <w:szCs w:val="24"/>
          <w:lang w:val="es-ES" w:eastAsia="es-ES"/>
        </w:rPr>
        <w:t xml:space="preserve">De tal forma que, con el propósito de otorgarle certeza jurídica a </w:t>
      </w:r>
      <w:r w:rsidRPr="00C120E7">
        <w:rPr>
          <w:rFonts w:ascii="Palatino Linotype" w:eastAsia="Palatino Linotype" w:hAnsi="Palatino Linotype" w:cs="Palatino Linotype"/>
          <w:b/>
          <w:bCs/>
          <w:sz w:val="24"/>
          <w:szCs w:val="24"/>
          <w:lang w:val="es-ES" w:eastAsia="es-ES"/>
        </w:rPr>
        <w:t>La Recurrente</w:t>
      </w:r>
      <w:r w:rsidRPr="00C120E7">
        <w:rPr>
          <w:rFonts w:ascii="Palatino Linotype" w:eastAsia="Palatino Linotype" w:hAnsi="Palatino Linotype" w:cs="Palatino Linotype"/>
          <w:sz w:val="24"/>
          <w:szCs w:val="24"/>
          <w:lang w:val="es-ES" w:eastAsia="es-ES"/>
        </w:rPr>
        <w:t xml:space="preserve"> de que se realizaron las acciones necesarias durante la búsqueda exhaustiva y razonable de la información, sin que esta fuera localizada, resulta procedente ordenar la entrega del acuerdo en cita. </w:t>
      </w:r>
    </w:p>
    <w:p w:rsidR="005E60D6" w:rsidRPr="00C120E7" w:rsidRDefault="005E60D6" w:rsidP="005E60D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p>
    <w:p w:rsidR="00F66C9D" w:rsidRPr="00C120E7" w:rsidRDefault="00F66C9D" w:rsidP="00F66C9D">
      <w:pPr>
        <w:spacing w:line="360" w:lineRule="auto"/>
        <w:jc w:val="both"/>
        <w:rPr>
          <w:rFonts w:ascii="Palatino Linotype" w:hAnsi="Palatino Linotype" w:cs="Arial"/>
          <w:sz w:val="24"/>
        </w:rPr>
      </w:pPr>
      <w:r w:rsidRPr="00C120E7">
        <w:rPr>
          <w:rFonts w:ascii="Palatino Linotype" w:hAnsi="Palatino Linotype"/>
          <w:sz w:val="24"/>
        </w:rPr>
        <w:t xml:space="preserve">En mérito de lo expuesto en líneas anteriores, resultan parcialmente fundados los motivos de inconformidad que arguye </w:t>
      </w:r>
      <w:r w:rsidRPr="00C120E7">
        <w:rPr>
          <w:rFonts w:ascii="Palatino Linotype" w:hAnsi="Palatino Linotype"/>
          <w:bCs/>
          <w:sz w:val="24"/>
        </w:rPr>
        <w:t>el</w:t>
      </w:r>
      <w:r w:rsidRPr="00C120E7">
        <w:rPr>
          <w:rFonts w:ascii="Palatino Linotype" w:hAnsi="Palatino Linotype"/>
          <w:b/>
          <w:bCs/>
          <w:sz w:val="24"/>
        </w:rPr>
        <w:t xml:space="preserve"> Recurrente </w:t>
      </w:r>
      <w:r w:rsidRPr="00C120E7">
        <w:rPr>
          <w:rFonts w:ascii="Palatino Linotype" w:hAnsi="Palatino Linotype"/>
          <w:sz w:val="24"/>
        </w:rPr>
        <w:t xml:space="preserve">en su medio de impugnación que fue materia de estudio, por ello </w:t>
      </w:r>
      <w:r w:rsidRPr="00C120E7">
        <w:rPr>
          <w:rFonts w:ascii="Palatino Linotype" w:hAnsi="Palatino Linotype" w:cs="Arial"/>
          <w:sz w:val="24"/>
        </w:rPr>
        <w:t>con fundamento en la</w:t>
      </w:r>
      <w:r w:rsidRPr="00C120E7">
        <w:rPr>
          <w:rFonts w:ascii="Palatino Linotype" w:hAnsi="Palatino Linotype" w:cs="Arial"/>
          <w:b/>
          <w:sz w:val="24"/>
        </w:rPr>
        <w:t xml:space="preserve"> </w:t>
      </w:r>
      <w:r w:rsidRPr="00C120E7">
        <w:rPr>
          <w:rFonts w:ascii="Palatino Linotype" w:hAnsi="Palatino Linotype" w:cs="Arial"/>
          <w:b/>
          <w:bCs/>
          <w:i/>
          <w:sz w:val="24"/>
        </w:rPr>
        <w:t>segunda hipótesis</w:t>
      </w:r>
      <w:r w:rsidRPr="00C120E7">
        <w:rPr>
          <w:rFonts w:ascii="Palatino Linotype" w:hAnsi="Palatino Linotype" w:cs="Arial"/>
          <w:b/>
          <w:sz w:val="24"/>
        </w:rPr>
        <w:t xml:space="preserve"> </w:t>
      </w:r>
      <w:r w:rsidRPr="00C120E7">
        <w:rPr>
          <w:rFonts w:ascii="Palatino Linotype" w:hAnsi="Palatino Linotype" w:cs="Arial"/>
          <w:sz w:val="24"/>
        </w:rPr>
        <w:t>de la fracción</w:t>
      </w:r>
      <w:r w:rsidRPr="00C120E7">
        <w:rPr>
          <w:rFonts w:ascii="Palatino Linotype" w:hAnsi="Palatino Linotype" w:cs="Arial"/>
          <w:b/>
          <w:sz w:val="24"/>
        </w:rPr>
        <w:t xml:space="preserve"> </w:t>
      </w:r>
      <w:r w:rsidRPr="00C120E7">
        <w:rPr>
          <w:rFonts w:ascii="Palatino Linotype" w:hAnsi="Palatino Linotype" w:cs="Arial"/>
          <w:sz w:val="24"/>
        </w:rPr>
        <w:t>III, del artículo 186,</w:t>
      </w:r>
      <w:r w:rsidRPr="00C120E7">
        <w:rPr>
          <w:rFonts w:ascii="Palatino Linotype" w:hAnsi="Palatino Linotype" w:cs="Arial"/>
          <w:b/>
          <w:sz w:val="24"/>
        </w:rPr>
        <w:t xml:space="preserve"> </w:t>
      </w:r>
      <w:r w:rsidRPr="00C120E7">
        <w:rPr>
          <w:rFonts w:ascii="Palatino Linotype" w:hAnsi="Palatino Linotype" w:cs="Arial"/>
          <w:sz w:val="24"/>
        </w:rPr>
        <w:t xml:space="preserve">de la Ley de Transparencia y Acceso a la Información Pública del Estado de México y Municipios, se </w:t>
      </w:r>
      <w:r w:rsidRPr="00C120E7">
        <w:rPr>
          <w:rFonts w:ascii="Palatino Linotype" w:hAnsi="Palatino Linotype" w:cs="Arial"/>
          <w:b/>
          <w:sz w:val="24"/>
        </w:rPr>
        <w:t xml:space="preserve">MODIFICA </w:t>
      </w:r>
      <w:r w:rsidRPr="00C120E7">
        <w:rPr>
          <w:rFonts w:ascii="Palatino Linotype" w:hAnsi="Palatino Linotype" w:cs="Arial"/>
          <w:sz w:val="24"/>
        </w:rPr>
        <w:t>la respuesta a la solicitud de información número</w:t>
      </w:r>
      <w:r w:rsidRPr="00C120E7">
        <w:rPr>
          <w:rFonts w:ascii="Palatino Linotype" w:hAnsi="Palatino Linotype"/>
          <w:b/>
          <w:sz w:val="24"/>
        </w:rPr>
        <w:t xml:space="preserve"> </w:t>
      </w:r>
      <w:r w:rsidRPr="00C120E7">
        <w:rPr>
          <w:rFonts w:ascii="Palatino Linotype" w:hAnsi="Palatino Linotype" w:cs="Arial"/>
          <w:b/>
          <w:sz w:val="24"/>
        </w:rPr>
        <w:t xml:space="preserve">00080/IMEVIS/IP/2025, </w:t>
      </w:r>
      <w:r w:rsidRPr="00C120E7">
        <w:rPr>
          <w:rFonts w:ascii="Palatino Linotype" w:hAnsi="Palatino Linotype" w:cs="Arial"/>
          <w:sz w:val="24"/>
        </w:rPr>
        <w:t xml:space="preserve">que ha sido materia del presente fallo. </w:t>
      </w:r>
    </w:p>
    <w:p w:rsidR="00F66C9D" w:rsidRPr="00C120E7" w:rsidRDefault="00F66C9D" w:rsidP="00F66C9D">
      <w:pPr>
        <w:spacing w:line="360" w:lineRule="auto"/>
        <w:jc w:val="both"/>
        <w:rPr>
          <w:rFonts w:ascii="Palatino Linotype" w:hAnsi="Palatino Linotype"/>
          <w:sz w:val="24"/>
        </w:rPr>
      </w:pPr>
      <w:r w:rsidRPr="00C120E7">
        <w:rPr>
          <w:rFonts w:ascii="Palatino Linotype" w:hAnsi="Palatino Linotype"/>
          <w:sz w:val="24"/>
        </w:rPr>
        <w:t>Por lo antes expuesto y fundado es de resolverse y,</w:t>
      </w:r>
    </w:p>
    <w:p w:rsidR="005E60D6" w:rsidRPr="00C120E7" w:rsidRDefault="005E60D6" w:rsidP="005E60D6">
      <w:pPr>
        <w:spacing w:after="0" w:line="360" w:lineRule="auto"/>
        <w:jc w:val="both"/>
        <w:rPr>
          <w:rFonts w:ascii="Palatino Linotype" w:eastAsia="Times New Roman" w:hAnsi="Palatino Linotype" w:cs="Times New Roman"/>
          <w:sz w:val="24"/>
          <w:szCs w:val="24"/>
          <w:lang w:val="es-ES" w:eastAsia="es-ES"/>
        </w:rPr>
      </w:pPr>
    </w:p>
    <w:p w:rsidR="005E60D6" w:rsidRPr="00C120E7" w:rsidRDefault="005E60D6" w:rsidP="005E60D6">
      <w:pPr>
        <w:spacing w:after="0" w:line="360" w:lineRule="auto"/>
        <w:jc w:val="center"/>
        <w:rPr>
          <w:rFonts w:ascii="Palatino Linotype" w:eastAsia="Times New Roman" w:hAnsi="Palatino Linotype" w:cs="Times New Roman"/>
          <w:bCs/>
          <w:spacing w:val="60"/>
          <w:sz w:val="24"/>
          <w:szCs w:val="24"/>
          <w:lang w:val="es-ES_tradnl" w:eastAsia="es-ES"/>
        </w:rPr>
      </w:pPr>
      <w:r w:rsidRPr="00C120E7">
        <w:rPr>
          <w:rFonts w:ascii="Palatino Linotype" w:eastAsia="Times New Roman" w:hAnsi="Palatino Linotype" w:cs="Times New Roman"/>
          <w:b/>
          <w:bCs/>
          <w:spacing w:val="60"/>
          <w:sz w:val="28"/>
          <w:szCs w:val="24"/>
          <w:lang w:val="es-ES_tradnl" w:eastAsia="es-ES"/>
        </w:rPr>
        <w:t>SE    RESUELVE</w:t>
      </w:r>
    </w:p>
    <w:p w:rsidR="005E60D6" w:rsidRPr="00C120E7" w:rsidRDefault="005E60D6" w:rsidP="005E60D6">
      <w:pPr>
        <w:autoSpaceDE w:val="0"/>
        <w:autoSpaceDN w:val="0"/>
        <w:adjustRightInd w:val="0"/>
        <w:spacing w:after="0" w:line="240" w:lineRule="auto"/>
        <w:ind w:right="49"/>
        <w:jc w:val="both"/>
        <w:rPr>
          <w:rFonts w:ascii="Palatino Linotype" w:eastAsia="Times New Roman" w:hAnsi="Palatino Linotype" w:cs="Arial"/>
          <w:sz w:val="28"/>
          <w:szCs w:val="28"/>
          <w:lang w:val="es-ES_tradnl" w:eastAsia="es-ES"/>
        </w:rPr>
      </w:pPr>
    </w:p>
    <w:p w:rsidR="00F4048A" w:rsidRPr="00C120E7" w:rsidRDefault="00F4048A" w:rsidP="00F4048A">
      <w:pPr>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b/>
          <w:sz w:val="28"/>
          <w:szCs w:val="28"/>
          <w:lang w:val="es-ES" w:eastAsia="es-ES"/>
        </w:rPr>
        <w:t>PRIMERO</w:t>
      </w:r>
      <w:r w:rsidRPr="00C120E7">
        <w:rPr>
          <w:rFonts w:ascii="Palatino Linotype" w:eastAsia="Times New Roman" w:hAnsi="Palatino Linotype" w:cs="Arial"/>
          <w:sz w:val="32"/>
          <w:szCs w:val="28"/>
          <w:lang w:val="es-ES" w:eastAsia="es-ES"/>
        </w:rPr>
        <w:t>.</w:t>
      </w:r>
      <w:r w:rsidRPr="00C120E7">
        <w:rPr>
          <w:rFonts w:ascii="Palatino Linotype" w:eastAsia="Times New Roman" w:hAnsi="Palatino Linotype" w:cs="Arial"/>
          <w:sz w:val="24"/>
          <w:szCs w:val="24"/>
          <w:lang w:val="es-ES" w:eastAsia="es-ES"/>
        </w:rPr>
        <w:t xml:space="preserve"> Resultan </w:t>
      </w:r>
      <w:r w:rsidRPr="00C120E7">
        <w:rPr>
          <w:rFonts w:ascii="Palatino Linotype" w:eastAsia="Times New Roman" w:hAnsi="Palatino Linotype" w:cs="Arial"/>
          <w:b/>
          <w:sz w:val="24"/>
          <w:szCs w:val="24"/>
          <w:lang w:val="es-ES" w:eastAsia="es-ES"/>
        </w:rPr>
        <w:t>fundadas</w:t>
      </w:r>
      <w:r w:rsidRPr="00C120E7">
        <w:rPr>
          <w:rFonts w:ascii="Palatino Linotype" w:eastAsia="Times New Roman" w:hAnsi="Palatino Linotype" w:cs="Arial"/>
          <w:sz w:val="24"/>
          <w:szCs w:val="24"/>
          <w:lang w:val="es-ES" w:eastAsia="es-ES"/>
        </w:rPr>
        <w:t xml:space="preserve"> las razones o motivos de inconformidad planteadas por </w:t>
      </w:r>
      <w:r w:rsidRPr="00C120E7">
        <w:rPr>
          <w:rFonts w:ascii="Palatino Linotype" w:eastAsia="Times New Roman" w:hAnsi="Palatino Linotype" w:cs="Times New Roman"/>
          <w:b/>
          <w:sz w:val="24"/>
          <w:szCs w:val="17"/>
          <w:lang w:val="es-ES" w:eastAsia="es-ES_tradnl"/>
        </w:rPr>
        <w:t>EL</w:t>
      </w:r>
      <w:r w:rsidRPr="00C120E7">
        <w:rPr>
          <w:rFonts w:ascii="Palatino Linotype" w:eastAsia="Times New Roman" w:hAnsi="Palatino Linotype" w:cs="Arial"/>
          <w:b/>
          <w:sz w:val="24"/>
          <w:szCs w:val="24"/>
          <w:lang w:val="es-ES" w:eastAsia="es-ES"/>
        </w:rPr>
        <w:t xml:space="preserve"> RECURRENTE</w:t>
      </w:r>
      <w:r w:rsidRPr="00C120E7">
        <w:rPr>
          <w:rFonts w:ascii="Palatino Linotype" w:eastAsia="Times New Roman" w:hAnsi="Palatino Linotype" w:cs="Arial"/>
          <w:sz w:val="24"/>
          <w:szCs w:val="24"/>
          <w:lang w:val="es-ES" w:eastAsia="es-ES"/>
        </w:rPr>
        <w:t xml:space="preserve">, en términos del Considerando </w:t>
      </w:r>
      <w:r w:rsidRPr="00C120E7">
        <w:rPr>
          <w:rFonts w:ascii="Palatino Linotype" w:eastAsia="Times New Roman" w:hAnsi="Palatino Linotype" w:cs="Arial"/>
          <w:b/>
          <w:sz w:val="24"/>
          <w:szCs w:val="24"/>
          <w:lang w:val="es-ES" w:eastAsia="es-ES"/>
        </w:rPr>
        <w:t>Cuarto</w:t>
      </w:r>
      <w:r w:rsidRPr="00C120E7">
        <w:rPr>
          <w:rFonts w:ascii="Palatino Linotype" w:eastAsia="Times New Roman" w:hAnsi="Palatino Linotype" w:cs="Arial"/>
          <w:sz w:val="24"/>
          <w:szCs w:val="24"/>
          <w:lang w:val="es-ES" w:eastAsia="es-ES"/>
        </w:rPr>
        <w:t xml:space="preserve"> de la presente resolución.</w:t>
      </w:r>
    </w:p>
    <w:p w:rsidR="00F4048A" w:rsidRPr="00C120E7" w:rsidRDefault="00F4048A" w:rsidP="00F4048A">
      <w:pPr>
        <w:spacing w:after="0" w:line="360" w:lineRule="auto"/>
        <w:jc w:val="both"/>
        <w:rPr>
          <w:rFonts w:ascii="Palatino Linotype" w:eastAsia="Times New Roman" w:hAnsi="Palatino Linotype" w:cs="Arial"/>
          <w:b/>
          <w:sz w:val="24"/>
          <w:szCs w:val="28"/>
          <w:lang w:val="es-ES" w:eastAsia="es-ES"/>
        </w:rPr>
      </w:pPr>
    </w:p>
    <w:p w:rsidR="00F4048A" w:rsidRPr="00C120E7" w:rsidRDefault="00F4048A" w:rsidP="00F4048A">
      <w:pPr>
        <w:spacing w:after="0" w:line="360" w:lineRule="auto"/>
        <w:ind w:right="49"/>
        <w:jc w:val="both"/>
        <w:rPr>
          <w:rFonts w:ascii="Palatino Linotype" w:eastAsia="Times New Roman" w:hAnsi="Palatino Linotype" w:cs="Arial"/>
          <w:color w:val="000000"/>
          <w:sz w:val="24"/>
          <w:szCs w:val="24"/>
          <w:lang w:val="es-ES" w:eastAsia="es-ES"/>
        </w:rPr>
      </w:pPr>
      <w:r w:rsidRPr="00C120E7">
        <w:rPr>
          <w:rFonts w:ascii="Palatino Linotype" w:eastAsia="Times New Roman" w:hAnsi="Palatino Linotype" w:cs="Arial"/>
          <w:b/>
          <w:sz w:val="28"/>
          <w:szCs w:val="28"/>
          <w:lang w:val="es-ES" w:eastAsia="es-ES"/>
        </w:rPr>
        <w:lastRenderedPageBreak/>
        <w:t>SEGUNDO</w:t>
      </w:r>
      <w:r w:rsidRPr="00C120E7">
        <w:rPr>
          <w:rFonts w:ascii="Palatino Linotype" w:eastAsia="Times New Roman" w:hAnsi="Palatino Linotype" w:cs="Arial"/>
          <w:sz w:val="28"/>
          <w:szCs w:val="28"/>
          <w:lang w:val="es-ES" w:eastAsia="es-ES"/>
        </w:rPr>
        <w:t>.</w:t>
      </w:r>
      <w:r w:rsidRPr="00C120E7">
        <w:rPr>
          <w:rFonts w:ascii="Palatino Linotype" w:eastAsia="Times New Roman" w:hAnsi="Palatino Linotype" w:cs="Arial"/>
          <w:sz w:val="24"/>
          <w:szCs w:val="24"/>
          <w:lang w:val="es-ES" w:eastAsia="es-ES"/>
        </w:rPr>
        <w:t xml:space="preserve"> </w:t>
      </w:r>
      <w:r w:rsidRPr="00C120E7">
        <w:rPr>
          <w:rFonts w:ascii="Palatino Linotype" w:eastAsia="Calibri" w:hAnsi="Palatino Linotype" w:cs="Arial"/>
          <w:sz w:val="24"/>
          <w:szCs w:val="24"/>
          <w:lang w:val="es-ES" w:eastAsia="es-ES"/>
        </w:rPr>
        <w:t xml:space="preserve">Se </w:t>
      </w:r>
      <w:r w:rsidRPr="00C120E7">
        <w:rPr>
          <w:rFonts w:ascii="Palatino Linotype" w:eastAsia="Calibri" w:hAnsi="Palatino Linotype" w:cs="Arial"/>
          <w:b/>
          <w:sz w:val="24"/>
          <w:szCs w:val="24"/>
          <w:lang w:val="es-ES" w:eastAsia="es-ES"/>
        </w:rPr>
        <w:t xml:space="preserve">MODIFICA </w:t>
      </w:r>
      <w:r w:rsidRPr="00C120E7">
        <w:rPr>
          <w:rFonts w:ascii="Palatino Linotype" w:eastAsia="Calibri" w:hAnsi="Palatino Linotype" w:cs="Arial"/>
          <w:sz w:val="24"/>
          <w:szCs w:val="24"/>
          <w:lang w:val="es-ES" w:eastAsia="es-ES"/>
        </w:rPr>
        <w:t xml:space="preserve">la respuesta proporcionada por </w:t>
      </w:r>
      <w:r w:rsidRPr="00C120E7">
        <w:rPr>
          <w:rFonts w:ascii="Palatino Linotype" w:eastAsia="Calibri" w:hAnsi="Palatino Linotype" w:cs="Arial"/>
          <w:b/>
          <w:sz w:val="24"/>
          <w:szCs w:val="24"/>
          <w:lang w:val="es-ES" w:eastAsia="es-ES"/>
        </w:rPr>
        <w:t xml:space="preserve">EL SUJETO OBLIGADO </w:t>
      </w:r>
      <w:r w:rsidRPr="00C120E7">
        <w:rPr>
          <w:rFonts w:ascii="Palatino Linotype" w:eastAsia="Times New Roman" w:hAnsi="Palatino Linotype" w:cs="Arial"/>
          <w:sz w:val="24"/>
          <w:szCs w:val="24"/>
          <w:lang w:val="es-ES" w:eastAsia="es-ES"/>
        </w:rPr>
        <w:t xml:space="preserve">en la solicitud de información número </w:t>
      </w:r>
      <w:r w:rsidR="00F66C9D" w:rsidRPr="00C120E7">
        <w:rPr>
          <w:rFonts w:ascii="Palatino Linotype" w:eastAsia="Times New Roman" w:hAnsi="Palatino Linotype" w:cs="Arial"/>
          <w:b/>
          <w:sz w:val="24"/>
          <w:szCs w:val="24"/>
          <w:lang w:val="es-ES" w:eastAsia="es-ES"/>
        </w:rPr>
        <w:t xml:space="preserve">00080/IMEVIS/IP/2025 </w:t>
      </w:r>
      <w:r w:rsidRPr="00C120E7">
        <w:rPr>
          <w:rFonts w:ascii="Palatino Linotype" w:eastAsia="Calibri" w:hAnsi="Palatino Linotype" w:cs="Arial"/>
          <w:sz w:val="24"/>
          <w:szCs w:val="24"/>
          <w:lang w:val="es-ES" w:eastAsia="es-ES"/>
        </w:rPr>
        <w:t xml:space="preserve">y se </w:t>
      </w:r>
      <w:r w:rsidRPr="00C120E7">
        <w:rPr>
          <w:rFonts w:ascii="Palatino Linotype" w:eastAsia="Calibri" w:hAnsi="Palatino Linotype" w:cs="Arial"/>
          <w:b/>
          <w:sz w:val="24"/>
          <w:szCs w:val="24"/>
          <w:lang w:val="es-ES" w:eastAsia="es-ES"/>
        </w:rPr>
        <w:t>ORDENA</w:t>
      </w:r>
      <w:r w:rsidRPr="00C120E7">
        <w:rPr>
          <w:rFonts w:ascii="Palatino Linotype" w:eastAsia="Calibri" w:hAnsi="Palatino Linotype" w:cs="Arial"/>
          <w:b/>
          <w:sz w:val="28"/>
          <w:szCs w:val="24"/>
          <w:lang w:val="es-ES" w:eastAsia="es-ES"/>
        </w:rPr>
        <w:t xml:space="preserve"> </w:t>
      </w:r>
      <w:r w:rsidRPr="00C120E7">
        <w:rPr>
          <w:rFonts w:ascii="Palatino Linotype" w:eastAsia="Times New Roman" w:hAnsi="Palatino Linotype" w:cs="Arial"/>
          <w:sz w:val="24"/>
          <w:szCs w:val="24"/>
          <w:lang w:val="es-ES" w:eastAsia="es-ES"/>
        </w:rPr>
        <w:t xml:space="preserve">al </w:t>
      </w:r>
      <w:r w:rsidRPr="00C120E7">
        <w:rPr>
          <w:rFonts w:ascii="Palatino Linotype" w:eastAsia="Times New Roman" w:hAnsi="Palatino Linotype" w:cs="Arial"/>
          <w:b/>
          <w:sz w:val="24"/>
          <w:szCs w:val="24"/>
          <w:lang w:val="es-ES" w:eastAsia="es-ES"/>
        </w:rPr>
        <w:t>Sujeto Obligado</w:t>
      </w:r>
      <w:r w:rsidRPr="00C120E7">
        <w:rPr>
          <w:rFonts w:ascii="Palatino Linotype" w:eastAsia="Times New Roman" w:hAnsi="Palatino Linotype" w:cs="Arial"/>
          <w:sz w:val="24"/>
          <w:szCs w:val="24"/>
          <w:lang w:val="es-ES" w:eastAsia="es-ES"/>
        </w:rPr>
        <w:t xml:space="preserve">, en términos del considerando </w:t>
      </w:r>
      <w:r w:rsidRPr="00C120E7">
        <w:rPr>
          <w:rFonts w:ascii="Palatino Linotype" w:eastAsia="Times New Roman" w:hAnsi="Palatino Linotype" w:cs="Arial"/>
          <w:b/>
          <w:sz w:val="24"/>
          <w:szCs w:val="24"/>
          <w:lang w:val="es-ES" w:eastAsia="es-ES"/>
        </w:rPr>
        <w:t xml:space="preserve">CUARTO </w:t>
      </w:r>
      <w:r w:rsidRPr="00C120E7">
        <w:rPr>
          <w:rFonts w:ascii="Palatino Linotype" w:eastAsia="Times New Roman" w:hAnsi="Palatino Linotype" w:cs="Arial"/>
          <w:sz w:val="24"/>
          <w:szCs w:val="24"/>
          <w:lang w:val="es-ES" w:eastAsia="es-ES"/>
        </w:rPr>
        <w:t>de esta resolución, haga entrega de lo siguiente</w:t>
      </w:r>
      <w:r w:rsidRPr="00C120E7">
        <w:rPr>
          <w:rFonts w:ascii="Palatino Linotype" w:eastAsia="Times New Roman" w:hAnsi="Palatino Linotype" w:cs="Times New Roman"/>
          <w:bCs/>
          <w:sz w:val="24"/>
          <w:szCs w:val="24"/>
          <w:lang w:val="es-ES" w:eastAsia="es-ES"/>
        </w:rPr>
        <w:t>:</w:t>
      </w:r>
    </w:p>
    <w:p w:rsidR="00F4048A" w:rsidRPr="00C120E7" w:rsidRDefault="00F4048A" w:rsidP="00F4048A">
      <w:pPr>
        <w:numPr>
          <w:ilvl w:val="0"/>
          <w:numId w:val="9"/>
        </w:numPr>
        <w:spacing w:before="240" w:after="0" w:line="360" w:lineRule="auto"/>
        <w:jc w:val="both"/>
        <w:rPr>
          <w:rFonts w:ascii="Palatino Linotype" w:eastAsia="Times New Roman" w:hAnsi="Palatino Linotype" w:cs="Times New Roman"/>
          <w:sz w:val="24"/>
          <w:szCs w:val="24"/>
          <w:lang w:val="es-ES" w:eastAsia="es-ES"/>
        </w:rPr>
      </w:pPr>
      <w:r w:rsidRPr="00C120E7">
        <w:rPr>
          <w:rFonts w:ascii="Palatino Linotype" w:eastAsia="Times New Roman" w:hAnsi="Palatino Linotype" w:cs="Times New Roman"/>
          <w:sz w:val="24"/>
          <w:szCs w:val="24"/>
          <w:lang w:val="es-ES" w:eastAsia="es-ES"/>
        </w:rPr>
        <w:t xml:space="preserve">Acuerdo que emita el Comité de Transparencia por el cual se declare formalmente la inexistencia respecto de los </w:t>
      </w:r>
      <w:r w:rsidR="00F66C9D" w:rsidRPr="00C120E7">
        <w:rPr>
          <w:rFonts w:ascii="Palatino Linotype" w:eastAsia="Times New Roman" w:hAnsi="Palatino Linotype" w:cs="Times New Roman"/>
          <w:sz w:val="24"/>
          <w:szCs w:val="24"/>
          <w:lang w:val="es-ES" w:eastAsia="es-ES"/>
        </w:rPr>
        <w:t>gafetes faltantes</w:t>
      </w:r>
      <w:r w:rsidR="002D5006" w:rsidRPr="00C120E7">
        <w:rPr>
          <w:rFonts w:ascii="Palatino Linotype" w:eastAsia="Times New Roman" w:hAnsi="Palatino Linotype" w:cs="Times New Roman"/>
          <w:sz w:val="24"/>
          <w:szCs w:val="24"/>
          <w:lang w:val="es-ES" w:eastAsia="es-ES"/>
        </w:rPr>
        <w:t xml:space="preserve"> de los servidores públicos adscritos</w:t>
      </w:r>
      <w:r w:rsidR="009B4CC5" w:rsidRPr="00C120E7">
        <w:rPr>
          <w:rFonts w:ascii="Palatino Linotype" w:eastAsia="Times New Roman" w:hAnsi="Palatino Linotype" w:cs="Times New Roman"/>
          <w:sz w:val="24"/>
          <w:szCs w:val="24"/>
          <w:lang w:val="es-ES" w:eastAsia="es-ES"/>
        </w:rPr>
        <w:t xml:space="preserve"> al Sujeto Obligado,</w:t>
      </w:r>
      <w:r w:rsidR="002D5006" w:rsidRPr="00C120E7">
        <w:rPr>
          <w:rFonts w:ascii="Palatino Linotype" w:eastAsia="Times New Roman" w:hAnsi="Palatino Linotype" w:cs="Times New Roman"/>
          <w:sz w:val="24"/>
          <w:szCs w:val="24"/>
          <w:lang w:val="es-ES" w:eastAsia="es-ES"/>
        </w:rPr>
        <w:t xml:space="preserve"> del </w:t>
      </w:r>
      <w:r w:rsidR="009B4CC5" w:rsidRPr="00C120E7">
        <w:rPr>
          <w:rFonts w:ascii="Palatino Linotype" w:eastAsia="Times New Roman" w:hAnsi="Palatino Linotype" w:cs="Times New Roman"/>
          <w:sz w:val="24"/>
          <w:szCs w:val="24"/>
          <w:lang w:val="es-ES" w:eastAsia="es-ES"/>
        </w:rPr>
        <w:t>primero de enero al treinta y uno de julio de dos mil veinticinco.</w:t>
      </w:r>
      <w:r w:rsidRPr="00C120E7">
        <w:rPr>
          <w:rFonts w:ascii="Palatino Linotype" w:eastAsia="Times New Roman" w:hAnsi="Palatino Linotype" w:cs="Times New Roman"/>
          <w:sz w:val="24"/>
          <w:szCs w:val="24"/>
          <w:lang w:val="es-ES" w:eastAsia="es-ES"/>
        </w:rPr>
        <w:t xml:space="preserve"> </w:t>
      </w:r>
    </w:p>
    <w:p w:rsidR="00F4048A" w:rsidRPr="00C120E7" w:rsidRDefault="00F4048A" w:rsidP="00F4048A">
      <w:pPr>
        <w:spacing w:after="0" w:line="360" w:lineRule="auto"/>
        <w:jc w:val="both"/>
        <w:rPr>
          <w:rFonts w:ascii="Palatino Linotype" w:eastAsia="Times New Roman" w:hAnsi="Palatino Linotype" w:cs="Arial"/>
          <w:sz w:val="24"/>
          <w:szCs w:val="24"/>
          <w:lang w:val="es-ES" w:eastAsia="es-ES"/>
        </w:rPr>
      </w:pPr>
    </w:p>
    <w:p w:rsidR="00F4048A" w:rsidRPr="00C120E7" w:rsidRDefault="00F4048A" w:rsidP="00F4048A">
      <w:pPr>
        <w:spacing w:after="0" w:line="360" w:lineRule="auto"/>
        <w:jc w:val="both"/>
        <w:rPr>
          <w:rFonts w:ascii="Palatino Linotype" w:eastAsia="Times New Roman" w:hAnsi="Palatino Linotype" w:cs="Tahoma"/>
          <w:bCs/>
          <w:sz w:val="24"/>
          <w:szCs w:val="24"/>
          <w:lang w:val="es-ES" w:eastAsia="es-ES"/>
        </w:rPr>
      </w:pPr>
      <w:r w:rsidRPr="00C120E7">
        <w:rPr>
          <w:rFonts w:ascii="Palatino Linotype" w:eastAsia="Times New Roman" w:hAnsi="Palatino Linotype" w:cs="Arial"/>
          <w:b/>
          <w:sz w:val="28"/>
          <w:szCs w:val="24"/>
          <w:lang w:val="es-ES" w:eastAsia="es-ES"/>
        </w:rPr>
        <w:t>TERCERO</w:t>
      </w:r>
      <w:r w:rsidRPr="00C120E7">
        <w:rPr>
          <w:rFonts w:ascii="Palatino Linotype" w:eastAsia="Times New Roman" w:hAnsi="Palatino Linotype" w:cs="Arial"/>
          <w:b/>
          <w:sz w:val="24"/>
          <w:szCs w:val="24"/>
          <w:lang w:val="es-ES" w:eastAsia="es-ES"/>
        </w:rPr>
        <w:t>.</w:t>
      </w:r>
      <w:r w:rsidRPr="00C120E7">
        <w:rPr>
          <w:rFonts w:ascii="Palatino Linotype" w:eastAsia="Times New Roman" w:hAnsi="Palatino Linotype" w:cs="Arial"/>
          <w:sz w:val="24"/>
          <w:szCs w:val="24"/>
          <w:lang w:val="es-ES" w:eastAsia="es-ES"/>
        </w:rPr>
        <w:t xml:space="preserve"> </w:t>
      </w:r>
      <w:r w:rsidRPr="00C120E7">
        <w:rPr>
          <w:rFonts w:ascii="Palatino Linotype" w:eastAsia="Times New Roman" w:hAnsi="Palatino Linotype" w:cs="Tahoma"/>
          <w:b/>
          <w:sz w:val="24"/>
          <w:szCs w:val="24"/>
          <w:lang w:val="es-ES" w:eastAsia="es-ES"/>
        </w:rPr>
        <w:t xml:space="preserve">NOTIFÍQUESE </w:t>
      </w:r>
      <w:r w:rsidRPr="00C120E7">
        <w:rPr>
          <w:rFonts w:ascii="Palatino Linotype" w:eastAsia="Times New Roman" w:hAnsi="Palatino Linotype" w:cs="Arial"/>
          <w:sz w:val="24"/>
          <w:szCs w:val="24"/>
          <w:lang w:val="es-ES" w:eastAsia="es-ES"/>
        </w:rPr>
        <w:t xml:space="preserve">a través del Sistema de Acceso a la Información Mexiquense </w:t>
      </w:r>
      <w:r w:rsidRPr="00C120E7">
        <w:rPr>
          <w:rFonts w:ascii="Palatino Linotype" w:eastAsia="Times New Roman" w:hAnsi="Palatino Linotype" w:cs="Arial"/>
          <w:b/>
          <w:sz w:val="24"/>
          <w:szCs w:val="24"/>
          <w:lang w:val="es-ES" w:eastAsia="es-ES"/>
        </w:rPr>
        <w:t>(SAIMEX)</w:t>
      </w:r>
      <w:r w:rsidRPr="00C120E7">
        <w:rPr>
          <w:rFonts w:ascii="Palatino Linotype" w:eastAsia="Times New Roman" w:hAnsi="Palatino Linotype" w:cs="Arial"/>
          <w:sz w:val="24"/>
          <w:szCs w:val="24"/>
          <w:lang w:val="es-ES" w:eastAsia="es-ES"/>
        </w:rPr>
        <w:t xml:space="preserve">, </w:t>
      </w:r>
      <w:r w:rsidRPr="00C120E7">
        <w:rPr>
          <w:rFonts w:ascii="Palatino Linotype" w:eastAsia="Times New Roman" w:hAnsi="Palatino Linotype" w:cs="Tahoma"/>
          <w:sz w:val="24"/>
          <w:szCs w:val="24"/>
          <w:lang w:val="es-ES" w:eastAsia="es-ES"/>
        </w:rPr>
        <w:t xml:space="preserve">la presente Resolución al Titular de la Unidad de Transparencia del </w:t>
      </w:r>
      <w:r w:rsidRPr="00C120E7">
        <w:rPr>
          <w:rFonts w:ascii="Palatino Linotype" w:eastAsia="Times New Roman" w:hAnsi="Palatino Linotype" w:cs="Tahoma"/>
          <w:b/>
          <w:sz w:val="24"/>
          <w:szCs w:val="24"/>
          <w:lang w:val="es-ES" w:eastAsia="es-ES"/>
        </w:rPr>
        <w:t>Sujeto Obligado</w:t>
      </w:r>
      <w:r w:rsidRPr="00C120E7">
        <w:rPr>
          <w:rFonts w:ascii="Palatino Linotype" w:eastAsia="Times New Roman" w:hAnsi="Palatino Linotype" w:cs="Tahoma"/>
          <w:sz w:val="24"/>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C120E7">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4048A" w:rsidRPr="00C120E7" w:rsidRDefault="00F4048A" w:rsidP="00F4048A">
      <w:pPr>
        <w:spacing w:after="0" w:line="360" w:lineRule="auto"/>
        <w:ind w:right="-595"/>
        <w:jc w:val="both"/>
        <w:rPr>
          <w:rFonts w:ascii="Palatino Linotype" w:eastAsia="Times New Roman" w:hAnsi="Palatino Linotype" w:cs="Tahoma"/>
          <w:bCs/>
          <w:sz w:val="24"/>
          <w:szCs w:val="24"/>
          <w:lang w:val="es-ES" w:eastAsia="es-ES"/>
        </w:rPr>
      </w:pPr>
    </w:p>
    <w:p w:rsidR="00F4048A" w:rsidRPr="00C120E7" w:rsidRDefault="00F4048A" w:rsidP="00F404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b/>
          <w:sz w:val="28"/>
          <w:szCs w:val="28"/>
          <w:lang w:val="es-ES" w:eastAsia="es-ES"/>
        </w:rPr>
        <w:lastRenderedPageBreak/>
        <w:t>CUARTO.</w:t>
      </w:r>
      <w:r w:rsidRPr="00C120E7">
        <w:rPr>
          <w:rFonts w:ascii="Palatino Linotype" w:eastAsia="Times New Roman" w:hAnsi="Palatino Linotype" w:cs="Arial"/>
          <w:b/>
          <w:sz w:val="24"/>
          <w:szCs w:val="24"/>
          <w:lang w:val="es-ES" w:eastAsia="es-ES"/>
        </w:rPr>
        <w:t xml:space="preserve"> </w:t>
      </w:r>
      <w:r w:rsidRPr="00C120E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120E7">
        <w:rPr>
          <w:rFonts w:ascii="Palatino Linotype" w:eastAsia="Times New Roman" w:hAnsi="Palatino Linotype" w:cs="Arial"/>
          <w:b/>
          <w:sz w:val="24"/>
          <w:szCs w:val="24"/>
          <w:lang w:val="es-ES" w:eastAsia="es-ES"/>
        </w:rPr>
        <w:t>Sujeto Obligado</w:t>
      </w:r>
      <w:r w:rsidRPr="00C120E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F4048A" w:rsidRPr="00C120E7" w:rsidRDefault="00F4048A" w:rsidP="00F404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E60D6" w:rsidRPr="00C120E7" w:rsidRDefault="00F4048A" w:rsidP="00F404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Times New Roman"/>
          <w:b/>
          <w:sz w:val="28"/>
          <w:szCs w:val="28"/>
          <w:lang w:val="es-ES" w:eastAsia="es-ES"/>
        </w:rPr>
        <w:t>QUINTO</w:t>
      </w:r>
      <w:r w:rsidRPr="00C120E7">
        <w:rPr>
          <w:rFonts w:ascii="Palatino Linotype" w:eastAsia="Times New Roman" w:hAnsi="Palatino Linotype" w:cs="Times New Roman"/>
          <w:b/>
          <w:sz w:val="24"/>
          <w:szCs w:val="24"/>
          <w:lang w:val="es-ES" w:eastAsia="es-ES"/>
        </w:rPr>
        <w:t xml:space="preserve">. </w:t>
      </w:r>
      <w:r w:rsidRPr="00C120E7">
        <w:rPr>
          <w:rFonts w:ascii="Palatino Linotype" w:eastAsia="Times New Roman" w:hAnsi="Palatino Linotype" w:cs="Arial"/>
          <w:b/>
          <w:sz w:val="24"/>
          <w:szCs w:val="24"/>
          <w:lang w:val="es-ES" w:eastAsia="es-ES"/>
        </w:rPr>
        <w:t>NOTIFÍQUESE</w:t>
      </w:r>
      <w:r w:rsidRPr="00C120E7">
        <w:rPr>
          <w:rFonts w:ascii="Palatino Linotype" w:eastAsia="Times New Roman" w:hAnsi="Palatino Linotype" w:cs="Arial"/>
          <w:sz w:val="24"/>
          <w:szCs w:val="24"/>
          <w:lang w:val="es-ES" w:eastAsia="es-ES"/>
        </w:rPr>
        <w:t xml:space="preserve"> a través del Sistema de Acceso a la Información Mexiquense </w:t>
      </w:r>
      <w:r w:rsidRPr="00C120E7">
        <w:rPr>
          <w:rFonts w:ascii="Palatino Linotype" w:eastAsia="Times New Roman" w:hAnsi="Palatino Linotype" w:cs="Arial"/>
          <w:b/>
          <w:sz w:val="24"/>
          <w:szCs w:val="24"/>
          <w:lang w:val="es-ES" w:eastAsia="es-ES"/>
        </w:rPr>
        <w:t>(SAIMEX)</w:t>
      </w:r>
      <w:r w:rsidRPr="00C120E7">
        <w:rPr>
          <w:rFonts w:ascii="Palatino Linotype" w:eastAsia="Times New Roman" w:hAnsi="Palatino Linotype" w:cs="Arial"/>
          <w:sz w:val="24"/>
          <w:szCs w:val="24"/>
          <w:lang w:val="es-ES" w:eastAsia="es-ES"/>
        </w:rPr>
        <w:t xml:space="preserve">, al </w:t>
      </w:r>
      <w:r w:rsidRPr="00C120E7">
        <w:rPr>
          <w:rFonts w:ascii="Palatino Linotype" w:eastAsia="Times New Roman" w:hAnsi="Palatino Linotype" w:cs="Arial"/>
          <w:b/>
          <w:sz w:val="24"/>
          <w:szCs w:val="24"/>
          <w:lang w:val="es-ES" w:eastAsia="es-ES"/>
        </w:rPr>
        <w:t>Recurrente</w:t>
      </w:r>
      <w:r w:rsidRPr="00C120E7">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66C9D" w:rsidRPr="00C120E7" w:rsidRDefault="00F66C9D" w:rsidP="00F404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E60D6" w:rsidRPr="00C120E7" w:rsidRDefault="005E60D6" w:rsidP="005E60D6">
      <w:pPr>
        <w:spacing w:after="0" w:line="360" w:lineRule="auto"/>
        <w:jc w:val="both"/>
        <w:rPr>
          <w:rFonts w:ascii="Palatino Linotype" w:eastAsia="Times New Roman" w:hAnsi="Palatino Linotype" w:cs="Arial"/>
          <w:sz w:val="24"/>
          <w:szCs w:val="24"/>
          <w:lang w:val="es-ES" w:eastAsia="es-ES"/>
        </w:rPr>
      </w:pPr>
      <w:r w:rsidRPr="00C120E7">
        <w:rPr>
          <w:rFonts w:ascii="Palatino Linotype" w:eastAsia="Times New Roman" w:hAnsi="Palatino Linotype" w:cs="Arial"/>
          <w:sz w:val="24"/>
          <w:szCs w:val="24"/>
          <w:lang w:val="es-ES" w:eastAsia="es-ES"/>
        </w:rPr>
        <w:t>ASÍ LO RESUELVE, POR UNANIMIDAD DE VOTOS EL PLENO DEL</w:t>
      </w:r>
      <w:r w:rsidRPr="00C120E7">
        <w:rPr>
          <w:rFonts w:ascii="Palatino Linotype" w:eastAsia="Arial Unicode MS" w:hAnsi="Palatino Linotype" w:cs="Arial"/>
          <w:sz w:val="24"/>
          <w:szCs w:val="24"/>
          <w:lang w:val="es-ES" w:eastAsia="es-ES"/>
        </w:rPr>
        <w:t xml:space="preserve"> INSTITUTO DE TRANSPARENCIA, ACCESO A LA INFORMACIÓN PÚBLICA Y PROTECCIÓN DE DATOS PERSONALES DEL ESTADO DE MÉXICO Y MUNICIPIOS</w:t>
      </w:r>
      <w:r w:rsidRPr="00C120E7">
        <w:rPr>
          <w:rFonts w:ascii="Palatino Linotype" w:eastAsia="Times New Roman" w:hAnsi="Palatino Linotype" w:cs="Arial"/>
          <w:sz w:val="24"/>
          <w:szCs w:val="24"/>
          <w:lang w:val="es-ES" w:eastAsia="es-ES"/>
        </w:rPr>
        <w:t>,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 --------------------------------------------------------------------------------------------------------------------------------------</w:t>
      </w:r>
      <w:r w:rsidR="00EA5E5F" w:rsidRPr="00C120E7">
        <w:rPr>
          <w:rFonts w:ascii="Palatino Linotype" w:eastAsia="Times New Roman" w:hAnsi="Palatino Linotype" w:cs="Arial"/>
          <w:sz w:val="24"/>
          <w:szCs w:val="24"/>
          <w:lang w:val="es-ES" w:eastAsia="es-ES"/>
        </w:rPr>
        <w:t>---------------------</w:t>
      </w:r>
      <w:r w:rsidRPr="00C120E7">
        <w:rPr>
          <w:rFonts w:ascii="Palatino Linotype" w:eastAsia="Times New Roman" w:hAnsi="Palatino Linotype" w:cs="Arial"/>
          <w:sz w:val="24"/>
          <w:szCs w:val="24"/>
          <w:lang w:val="es-ES" w:eastAsia="es-ES"/>
        </w:rPr>
        <w:t>------------------------</w:t>
      </w:r>
    </w:p>
    <w:p w:rsidR="005E60D6" w:rsidRPr="00BA7340" w:rsidRDefault="005E60D6" w:rsidP="005E60D6">
      <w:pPr>
        <w:spacing w:after="0" w:line="360" w:lineRule="auto"/>
        <w:jc w:val="both"/>
        <w:rPr>
          <w:rFonts w:ascii="Palatino Linotype" w:eastAsia="Times New Roman" w:hAnsi="Palatino Linotype" w:cs="Arial"/>
          <w:sz w:val="16"/>
          <w:szCs w:val="24"/>
          <w:lang w:val="es-ES" w:eastAsia="es-ES"/>
        </w:rPr>
      </w:pPr>
      <w:r w:rsidRPr="00C120E7">
        <w:rPr>
          <w:rFonts w:ascii="Palatino Linotype" w:eastAsia="Times New Roman" w:hAnsi="Palatino Linotype" w:cs="Arial"/>
          <w:sz w:val="16"/>
          <w:szCs w:val="24"/>
          <w:lang w:val="es-ES" w:eastAsia="es-ES"/>
        </w:rPr>
        <w:t>JMV/CCR/LMST</w:t>
      </w: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Pr="00BA7340" w:rsidRDefault="005E60D6" w:rsidP="005E60D6">
      <w:pPr>
        <w:spacing w:after="0" w:line="240" w:lineRule="auto"/>
        <w:rPr>
          <w:rFonts w:ascii="Times New Roman" w:eastAsia="Times New Roman" w:hAnsi="Times New Roman" w:cs="Times New Roman"/>
          <w:sz w:val="24"/>
          <w:szCs w:val="24"/>
          <w:lang w:val="es-ES" w:eastAsia="es-ES"/>
        </w:rPr>
      </w:pPr>
    </w:p>
    <w:p w:rsidR="005E60D6" w:rsidRDefault="005E60D6" w:rsidP="005E60D6"/>
    <w:p w:rsidR="00D623BD" w:rsidRDefault="00D623BD"/>
    <w:sectPr w:rsidR="00D623BD" w:rsidSect="0058370A">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7C4" w:rsidRDefault="001267C4" w:rsidP="005E60D6">
      <w:pPr>
        <w:spacing w:after="0" w:line="240" w:lineRule="auto"/>
      </w:pPr>
      <w:r>
        <w:separator/>
      </w:r>
    </w:p>
  </w:endnote>
  <w:endnote w:type="continuationSeparator" w:id="0">
    <w:p w:rsidR="001267C4" w:rsidRDefault="001267C4" w:rsidP="005E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5F5" w:rsidRPr="00A2780F" w:rsidRDefault="009B4CC5" w:rsidP="0058370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90B93">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90B93">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5F5" w:rsidRPr="00070856" w:rsidRDefault="009B4CC5" w:rsidP="0058370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90B9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90B93">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7C4" w:rsidRDefault="001267C4" w:rsidP="005E60D6">
      <w:pPr>
        <w:spacing w:after="0" w:line="240" w:lineRule="auto"/>
      </w:pPr>
      <w:r>
        <w:separator/>
      </w:r>
    </w:p>
  </w:footnote>
  <w:footnote w:type="continuationSeparator" w:id="0">
    <w:p w:rsidR="001267C4" w:rsidRDefault="001267C4" w:rsidP="005E60D6">
      <w:pPr>
        <w:spacing w:after="0" w:line="240" w:lineRule="auto"/>
      </w:pPr>
      <w:r>
        <w:continuationSeparator/>
      </w:r>
    </w:p>
  </w:footnote>
  <w:footnote w:id="1">
    <w:p w:rsidR="005E60D6" w:rsidRPr="005552A8" w:rsidRDefault="005E60D6" w:rsidP="005E60D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E60D6" w:rsidRPr="005552A8" w:rsidRDefault="005E60D6" w:rsidP="005E60D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151"/>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151"/>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975F5" w:rsidRPr="008F2CCC" w:rsidTr="0058370A">
      <w:tc>
        <w:tcPr>
          <w:tcW w:w="3620" w:type="dxa"/>
          <w:shd w:val="clear" w:color="auto" w:fill="auto"/>
        </w:tcPr>
        <w:p w:rsidR="00A975F5" w:rsidRPr="007E5FC4" w:rsidRDefault="009B4CC5" w:rsidP="0058370A">
          <w:pPr>
            <w:spacing w:line="276" w:lineRule="auto"/>
            <w:jc w:val="right"/>
            <w:rPr>
              <w:rFonts w:ascii="Palatino Linotype" w:hAnsi="Palatino Linotype"/>
              <w:lang w:val="es-ES_tradnl"/>
            </w:rPr>
          </w:pPr>
          <w:r w:rsidRPr="007E5FC4">
            <w:rPr>
              <w:rFonts w:ascii="Palatino Linotype" w:hAnsi="Palatino Linotype"/>
              <w:lang w:val="es-ES_tradnl"/>
            </w:rPr>
            <w:t>Recurso de revisión:</w:t>
          </w:r>
        </w:p>
      </w:tc>
      <w:tc>
        <w:tcPr>
          <w:tcW w:w="4252" w:type="dxa"/>
          <w:shd w:val="clear" w:color="auto" w:fill="auto"/>
          <w:vAlign w:val="center"/>
        </w:tcPr>
        <w:p w:rsidR="00A975F5" w:rsidRPr="00664658" w:rsidRDefault="009B4CC5" w:rsidP="00BA7340">
          <w:pPr>
            <w:spacing w:line="276" w:lineRule="auto"/>
            <w:jc w:val="right"/>
            <w:rPr>
              <w:rFonts w:ascii="Palatino Linotype" w:hAnsi="Palatino Linotype"/>
              <w:b/>
              <w:lang w:val="es-ES_tradnl"/>
            </w:rPr>
          </w:pPr>
          <w:r>
            <w:rPr>
              <w:rFonts w:ascii="Palatino Linotype" w:hAnsi="Palatino Linotype"/>
              <w:b/>
              <w:lang w:val="es-ES_tradnl"/>
            </w:rPr>
            <w:t>10750/INFOEM/IP/RR/2025</w:t>
          </w:r>
        </w:p>
      </w:tc>
    </w:tr>
    <w:tr w:rsidR="00A975F5" w:rsidRPr="008F2CCC" w:rsidTr="0058370A">
      <w:tc>
        <w:tcPr>
          <w:tcW w:w="3620" w:type="dxa"/>
          <w:shd w:val="clear" w:color="auto" w:fill="auto"/>
        </w:tcPr>
        <w:p w:rsidR="00A975F5" w:rsidRPr="007E5FC4" w:rsidRDefault="009B4CC5" w:rsidP="0058370A">
          <w:pPr>
            <w:spacing w:line="276" w:lineRule="auto"/>
            <w:jc w:val="right"/>
            <w:rPr>
              <w:rFonts w:ascii="Palatino Linotype" w:hAnsi="Palatino Linotype"/>
              <w:lang w:val="es-ES_tradnl"/>
            </w:rPr>
          </w:pPr>
          <w:r w:rsidRPr="007E5FC4">
            <w:rPr>
              <w:rFonts w:ascii="Palatino Linotype" w:hAnsi="Palatino Linotype"/>
              <w:lang w:val="es-ES_tradnl"/>
            </w:rPr>
            <w:t>Sujeto Obligado:</w:t>
          </w:r>
        </w:p>
      </w:tc>
      <w:tc>
        <w:tcPr>
          <w:tcW w:w="4252" w:type="dxa"/>
          <w:shd w:val="clear" w:color="auto" w:fill="auto"/>
          <w:vAlign w:val="center"/>
        </w:tcPr>
        <w:p w:rsidR="00A975F5" w:rsidRPr="00664658" w:rsidRDefault="009B4CC5" w:rsidP="0058370A">
          <w:pPr>
            <w:spacing w:line="276" w:lineRule="auto"/>
            <w:jc w:val="right"/>
            <w:rPr>
              <w:rFonts w:ascii="Palatino Linotype" w:hAnsi="Palatino Linotype"/>
              <w:b/>
              <w:lang w:val="es-ES_tradnl"/>
            </w:rPr>
          </w:pPr>
          <w:r w:rsidRPr="00BA7340">
            <w:rPr>
              <w:rFonts w:ascii="Palatino Linotype" w:hAnsi="Palatino Linotype"/>
              <w:b/>
            </w:rPr>
            <w:t>Instituto Mexiquense de la Vivienda Social</w:t>
          </w:r>
        </w:p>
      </w:tc>
    </w:tr>
    <w:tr w:rsidR="00A975F5" w:rsidRPr="008F2CCC" w:rsidTr="0058370A">
      <w:trPr>
        <w:trHeight w:val="228"/>
      </w:trPr>
      <w:tc>
        <w:tcPr>
          <w:tcW w:w="3620" w:type="dxa"/>
          <w:shd w:val="clear" w:color="auto" w:fill="auto"/>
        </w:tcPr>
        <w:p w:rsidR="00A975F5" w:rsidRPr="007E5FC4" w:rsidRDefault="009B4CC5" w:rsidP="0058370A">
          <w:pPr>
            <w:spacing w:line="276" w:lineRule="auto"/>
            <w:jc w:val="right"/>
            <w:rPr>
              <w:rFonts w:ascii="Palatino Linotype" w:hAnsi="Palatino Linotype"/>
              <w:lang w:val="es-ES_tradnl"/>
            </w:rPr>
          </w:pPr>
          <w:r w:rsidRPr="007E5FC4">
            <w:rPr>
              <w:rFonts w:ascii="Palatino Linotype" w:hAnsi="Palatino Linotype"/>
              <w:lang w:val="es-ES_tradnl"/>
            </w:rPr>
            <w:t>Comisionado Ponente:</w:t>
          </w:r>
        </w:p>
      </w:tc>
      <w:tc>
        <w:tcPr>
          <w:tcW w:w="4252" w:type="dxa"/>
          <w:shd w:val="clear" w:color="auto" w:fill="auto"/>
        </w:tcPr>
        <w:p w:rsidR="00A975F5" w:rsidRPr="00664658" w:rsidRDefault="009B4CC5" w:rsidP="0058370A">
          <w:pPr>
            <w:spacing w:line="276" w:lineRule="auto"/>
            <w:jc w:val="right"/>
            <w:rPr>
              <w:rFonts w:ascii="Palatino Linotype" w:hAnsi="Palatino Linotype"/>
              <w:b/>
              <w:lang w:val="es-ES_tradnl"/>
            </w:rPr>
          </w:pPr>
          <w:r>
            <w:rPr>
              <w:rFonts w:ascii="Palatino Linotype" w:hAnsi="Palatino Linotype"/>
              <w:b/>
              <w:lang w:val="es-ES_tradnl"/>
            </w:rPr>
            <w:t>José Martínez Vilchis</w:t>
          </w:r>
        </w:p>
      </w:tc>
    </w:tr>
  </w:tbl>
  <w:p w:rsidR="00A975F5" w:rsidRDefault="001267C4" w:rsidP="0058370A">
    <w:pPr>
      <w:pStyle w:val="Encabezado"/>
      <w:tabs>
        <w:tab w:val="left" w:pos="2326"/>
      </w:tabs>
      <w:rPr>
        <w:rFonts w:ascii="Palatino Linotype" w:hAnsi="Palatino Linotype"/>
        <w:sz w:val="20"/>
      </w:rPr>
    </w:pPr>
  </w:p>
  <w:p w:rsidR="00A975F5" w:rsidRPr="001779E0" w:rsidRDefault="009B4CC5" w:rsidP="0058370A">
    <w:pPr>
      <w:pStyle w:val="Encabezado"/>
      <w:tabs>
        <w:tab w:val="left" w:pos="2326"/>
      </w:tabs>
      <w:rPr>
        <w:rFonts w:ascii="Palatino Linotype" w:hAnsi="Palatino Linotype"/>
        <w:sz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4DAA8113" wp14:editId="212699EF">
          <wp:simplePos x="0" y="0"/>
          <wp:positionH relativeFrom="page">
            <wp:align>left</wp:align>
          </wp:positionH>
          <wp:positionV relativeFrom="page">
            <wp:posOffset>35560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975F5" w:rsidRPr="008F2CCC" w:rsidTr="0058370A">
      <w:tc>
        <w:tcPr>
          <w:tcW w:w="2977" w:type="dxa"/>
          <w:shd w:val="clear" w:color="auto" w:fill="auto"/>
        </w:tcPr>
        <w:p w:rsidR="00A975F5" w:rsidRPr="007E5FC4" w:rsidRDefault="009B4CC5" w:rsidP="0058370A">
          <w:pPr>
            <w:spacing w:line="360" w:lineRule="auto"/>
            <w:jc w:val="right"/>
            <w:rPr>
              <w:rFonts w:ascii="Palatino Linotype" w:hAnsi="Palatino Linotype"/>
              <w:lang w:val="es-ES_tradnl"/>
            </w:rPr>
          </w:pPr>
          <w:r w:rsidRPr="007E5FC4">
            <w:rPr>
              <w:rFonts w:ascii="Palatino Linotype" w:hAnsi="Palatino Linotype"/>
              <w:lang w:val="es-ES_tradnl"/>
            </w:rPr>
            <w:t>Recurso de revisión:</w:t>
          </w:r>
        </w:p>
      </w:tc>
      <w:tc>
        <w:tcPr>
          <w:tcW w:w="4536" w:type="dxa"/>
          <w:shd w:val="clear" w:color="auto" w:fill="auto"/>
          <w:vAlign w:val="center"/>
        </w:tcPr>
        <w:p w:rsidR="00A975F5" w:rsidRPr="008F2CCC" w:rsidRDefault="009B4CC5" w:rsidP="00BA7340">
          <w:pPr>
            <w:spacing w:line="360" w:lineRule="auto"/>
            <w:jc w:val="right"/>
            <w:rPr>
              <w:rFonts w:ascii="Palatino Linotype" w:hAnsi="Palatino Linotype"/>
              <w:b/>
              <w:lang w:val="es-ES_tradnl"/>
            </w:rPr>
          </w:pPr>
          <w:r>
            <w:rPr>
              <w:rFonts w:ascii="Palatino Linotype" w:hAnsi="Palatino Linotype"/>
              <w:b/>
              <w:lang w:val="es-ES_tradnl"/>
            </w:rPr>
            <w:t>10750/INFOEM/IP/RR/2025</w:t>
          </w:r>
        </w:p>
      </w:tc>
    </w:tr>
    <w:tr w:rsidR="00A975F5" w:rsidRPr="008F2CCC" w:rsidTr="0058370A">
      <w:tc>
        <w:tcPr>
          <w:tcW w:w="2977" w:type="dxa"/>
          <w:shd w:val="clear" w:color="auto" w:fill="auto"/>
          <w:vAlign w:val="center"/>
        </w:tcPr>
        <w:p w:rsidR="00A975F5" w:rsidRPr="007E5FC4" w:rsidRDefault="009B4CC5" w:rsidP="0058370A">
          <w:pPr>
            <w:spacing w:line="360" w:lineRule="auto"/>
            <w:jc w:val="right"/>
            <w:rPr>
              <w:rFonts w:ascii="Palatino Linotype" w:hAnsi="Palatino Linotype"/>
              <w:lang w:val="es-ES_tradnl"/>
            </w:rPr>
          </w:pPr>
          <w:r w:rsidRPr="007E5FC4">
            <w:rPr>
              <w:rFonts w:ascii="Palatino Linotype" w:hAnsi="Palatino Linotype"/>
              <w:lang w:val="es-ES_tradnl"/>
            </w:rPr>
            <w:t>Recurrente:</w:t>
          </w:r>
        </w:p>
      </w:tc>
      <w:tc>
        <w:tcPr>
          <w:tcW w:w="4536" w:type="dxa"/>
          <w:shd w:val="clear" w:color="auto" w:fill="auto"/>
          <w:vAlign w:val="center"/>
        </w:tcPr>
        <w:p w:rsidR="00A975F5" w:rsidRPr="008F2CCC" w:rsidRDefault="00890B93" w:rsidP="0058370A">
          <w:pPr>
            <w:spacing w:line="360" w:lineRule="auto"/>
            <w:jc w:val="right"/>
            <w:rPr>
              <w:rFonts w:ascii="Palatino Linotype" w:hAnsi="Palatino Linotype"/>
              <w:b/>
              <w:lang w:val="es-ES_tradnl"/>
            </w:rPr>
          </w:pPr>
          <w:r>
            <w:rPr>
              <w:rFonts w:ascii="Palatino Linotype" w:hAnsi="Palatino Linotype"/>
              <w:b/>
              <w:lang w:val="es-ES_tradnl"/>
            </w:rPr>
            <w:t>XXXX</w:t>
          </w:r>
          <w:r w:rsidR="009B4CC5">
            <w:rPr>
              <w:rFonts w:ascii="Palatino Linotype" w:hAnsi="Palatino Linotype"/>
              <w:b/>
              <w:lang w:val="es-ES_tradnl"/>
            </w:rPr>
            <w:t xml:space="preserve"> </w:t>
          </w:r>
        </w:p>
      </w:tc>
    </w:tr>
    <w:tr w:rsidR="00A975F5" w:rsidRPr="008F2CCC" w:rsidTr="0058370A">
      <w:trPr>
        <w:trHeight w:val="228"/>
      </w:trPr>
      <w:tc>
        <w:tcPr>
          <w:tcW w:w="2977" w:type="dxa"/>
          <w:shd w:val="clear" w:color="auto" w:fill="auto"/>
        </w:tcPr>
        <w:p w:rsidR="00A975F5" w:rsidRPr="007E5FC4" w:rsidRDefault="009B4CC5" w:rsidP="0058370A">
          <w:pPr>
            <w:spacing w:line="360" w:lineRule="auto"/>
            <w:jc w:val="right"/>
            <w:rPr>
              <w:rFonts w:ascii="Palatino Linotype" w:hAnsi="Palatino Linotype"/>
              <w:lang w:val="es-ES_tradnl"/>
            </w:rPr>
          </w:pPr>
          <w:r w:rsidRPr="007E5FC4">
            <w:rPr>
              <w:rFonts w:ascii="Palatino Linotype" w:hAnsi="Palatino Linotype"/>
              <w:lang w:val="es-ES_tradnl"/>
            </w:rPr>
            <w:t>Sujeto Obligado:</w:t>
          </w:r>
        </w:p>
      </w:tc>
      <w:tc>
        <w:tcPr>
          <w:tcW w:w="4536" w:type="dxa"/>
          <w:shd w:val="clear" w:color="auto" w:fill="auto"/>
          <w:vAlign w:val="center"/>
        </w:tcPr>
        <w:p w:rsidR="00A975F5" w:rsidRPr="00DC41C8" w:rsidRDefault="009B4CC5" w:rsidP="0058370A">
          <w:pPr>
            <w:spacing w:line="360" w:lineRule="auto"/>
            <w:jc w:val="right"/>
            <w:rPr>
              <w:rFonts w:ascii="Palatino Linotype" w:hAnsi="Palatino Linotype"/>
              <w:b/>
            </w:rPr>
          </w:pPr>
          <w:r w:rsidRPr="00BA7340">
            <w:rPr>
              <w:rFonts w:ascii="Palatino Linotype" w:hAnsi="Palatino Linotype"/>
              <w:b/>
            </w:rPr>
            <w:t>Instituto Mexiquense de la Vivienda Social</w:t>
          </w:r>
        </w:p>
      </w:tc>
    </w:tr>
    <w:tr w:rsidR="00A975F5" w:rsidRPr="008F2CCC" w:rsidTr="0058370A">
      <w:tc>
        <w:tcPr>
          <w:tcW w:w="2977" w:type="dxa"/>
          <w:shd w:val="clear" w:color="auto" w:fill="auto"/>
        </w:tcPr>
        <w:p w:rsidR="00A975F5" w:rsidRPr="007E5FC4" w:rsidRDefault="009B4CC5" w:rsidP="0058370A">
          <w:pPr>
            <w:spacing w:line="360" w:lineRule="auto"/>
            <w:jc w:val="right"/>
            <w:rPr>
              <w:rFonts w:ascii="Palatino Linotype" w:hAnsi="Palatino Linotype"/>
              <w:lang w:val="es-ES_tradnl"/>
            </w:rPr>
          </w:pPr>
          <w:r w:rsidRPr="007E5FC4">
            <w:rPr>
              <w:rFonts w:ascii="Palatino Linotype" w:hAnsi="Palatino Linotype"/>
              <w:lang w:val="es-ES_tradnl"/>
            </w:rPr>
            <w:t>Comisionado Ponente:</w:t>
          </w:r>
        </w:p>
      </w:tc>
      <w:tc>
        <w:tcPr>
          <w:tcW w:w="4536" w:type="dxa"/>
          <w:shd w:val="clear" w:color="auto" w:fill="auto"/>
        </w:tcPr>
        <w:p w:rsidR="00A975F5" w:rsidRPr="008F2CCC" w:rsidRDefault="009B4CC5" w:rsidP="0058370A">
          <w:pPr>
            <w:spacing w:line="360" w:lineRule="auto"/>
            <w:jc w:val="right"/>
            <w:rPr>
              <w:rFonts w:ascii="Palatino Linotype" w:hAnsi="Palatino Linotype"/>
              <w:b/>
              <w:lang w:val="es-ES_tradnl"/>
            </w:rPr>
          </w:pPr>
          <w:r>
            <w:rPr>
              <w:rFonts w:ascii="Palatino Linotype" w:hAnsi="Palatino Linotype"/>
              <w:b/>
              <w:lang w:val="es-ES_tradnl"/>
            </w:rPr>
            <w:t>José Martínez Vilchis</w:t>
          </w:r>
        </w:p>
      </w:tc>
    </w:tr>
  </w:tbl>
  <w:p w:rsidR="00A975F5" w:rsidRPr="009F1AB6" w:rsidRDefault="009B4CC5">
    <w:pPr>
      <w:pStyle w:val="Encabezado"/>
      <w:rPr>
        <w:sz w:val="1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0EC2C1B" wp14:editId="5F64F02F">
          <wp:simplePos x="0" y="0"/>
          <wp:positionH relativeFrom="page">
            <wp:align>left</wp:align>
          </wp:positionH>
          <wp:positionV relativeFrom="page">
            <wp:align>top</wp:align>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0C0"/>
    <w:multiLevelType w:val="hybridMultilevel"/>
    <w:tmpl w:val="037AC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1F4CDC"/>
    <w:multiLevelType w:val="hybridMultilevel"/>
    <w:tmpl w:val="C17E997C"/>
    <w:lvl w:ilvl="0" w:tplc="DC30B6BC">
      <w:start w:val="8"/>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73B079DE"/>
    <w:multiLevelType w:val="hybridMultilevel"/>
    <w:tmpl w:val="2150519E"/>
    <w:lvl w:ilvl="0" w:tplc="55ACF90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2"/>
  </w:num>
  <w:num w:numId="3">
    <w:abstractNumId w:val="3"/>
  </w:num>
  <w:num w:numId="4">
    <w:abstractNumId w:val="4"/>
  </w:num>
  <w:num w:numId="5">
    <w:abstractNumId w:val="1"/>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D6"/>
    <w:rsid w:val="000564D9"/>
    <w:rsid w:val="001267C4"/>
    <w:rsid w:val="002D5006"/>
    <w:rsid w:val="00405028"/>
    <w:rsid w:val="005E60D6"/>
    <w:rsid w:val="006A7D57"/>
    <w:rsid w:val="00890B93"/>
    <w:rsid w:val="008D42D0"/>
    <w:rsid w:val="009B4CC5"/>
    <w:rsid w:val="009E3D77"/>
    <w:rsid w:val="00A4182C"/>
    <w:rsid w:val="00C120E7"/>
    <w:rsid w:val="00C449F3"/>
    <w:rsid w:val="00D623BD"/>
    <w:rsid w:val="00DB26D9"/>
    <w:rsid w:val="00E91E08"/>
    <w:rsid w:val="00EA5E5F"/>
    <w:rsid w:val="00F4048A"/>
    <w:rsid w:val="00F6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7E100-773B-4776-8AF2-50072C9F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0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60D6"/>
  </w:style>
  <w:style w:type="paragraph" w:styleId="Piedepgina">
    <w:name w:val="footer"/>
    <w:basedOn w:val="Normal"/>
    <w:link w:val="PiedepginaCar"/>
    <w:uiPriority w:val="99"/>
    <w:unhideWhenUsed/>
    <w:rsid w:val="005E6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0D6"/>
  </w:style>
  <w:style w:type="character" w:customStyle="1" w:styleId="Hipervnculo151">
    <w:name w:val="Hipervínculo151"/>
    <w:basedOn w:val="Fuentedeprrafopredeter"/>
    <w:uiPriority w:val="99"/>
    <w:unhideWhenUsed/>
    <w:rsid w:val="005E60D6"/>
    <w:rPr>
      <w:color w:val="0563C1"/>
      <w:u w:val="single"/>
    </w:rPr>
  </w:style>
  <w:style w:type="character" w:customStyle="1" w:styleId="apple-converted-space">
    <w:name w:val="apple-converted-space"/>
    <w:basedOn w:val="Fuentedeprrafopredeter"/>
    <w:rsid w:val="005E60D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E60D6"/>
    <w:rPr>
      <w:vertAlign w:val="superscript"/>
    </w:rPr>
  </w:style>
  <w:style w:type="table" w:customStyle="1" w:styleId="Tablaconcuadrcula1">
    <w:name w:val="Tabla con cuadrícula1"/>
    <w:basedOn w:val="Tablanormal"/>
    <w:next w:val="Tablaconcuadrcula"/>
    <w:uiPriority w:val="39"/>
    <w:rsid w:val="005E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5E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60D6"/>
    <w:pPr>
      <w:ind w:left="720"/>
      <w:contextualSpacing/>
    </w:pPr>
  </w:style>
  <w:style w:type="table" w:styleId="Tablaconcuadrcula">
    <w:name w:val="Table Grid"/>
    <w:basedOn w:val="Tablanormal"/>
    <w:uiPriority w:val="39"/>
    <w:rsid w:val="005E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32</Pages>
  <Words>6177</Words>
  <Characters>33979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7</cp:revision>
  <cp:lastPrinted>2025-10-16T19:50:00Z</cp:lastPrinted>
  <dcterms:created xsi:type="dcterms:W3CDTF">2025-10-13T20:06:00Z</dcterms:created>
  <dcterms:modified xsi:type="dcterms:W3CDTF">2025-11-26T17:58:00Z</dcterms:modified>
</cp:coreProperties>
</file>