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42EE4"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treinta de abril de dos mil veinticinco. </w:t>
      </w:r>
    </w:p>
    <w:p w14:paraId="2AB7D74B"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69CB1263" w14:textId="27ABEF56"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Visto</w:t>
      </w:r>
      <w:r w:rsidRPr="00704DAA">
        <w:rPr>
          <w:rFonts w:ascii="Palatino Linotype" w:eastAsia="Palatino Linotype" w:hAnsi="Palatino Linotype" w:cs="Palatino Linotype"/>
          <w:sz w:val="22"/>
          <w:szCs w:val="22"/>
        </w:rPr>
        <w:t xml:space="preserve"> el expediente relativo al recurso de revisión </w:t>
      </w:r>
      <w:r w:rsidRPr="00704DAA">
        <w:rPr>
          <w:rFonts w:ascii="Palatino Linotype" w:eastAsia="Palatino Linotype" w:hAnsi="Palatino Linotype" w:cs="Palatino Linotype"/>
          <w:b/>
          <w:sz w:val="22"/>
          <w:szCs w:val="22"/>
        </w:rPr>
        <w:t>02059/INFOEM/IP/RR/2025</w:t>
      </w:r>
      <w:r w:rsidRPr="00704DAA">
        <w:rPr>
          <w:rFonts w:ascii="Palatino Linotype" w:eastAsia="Palatino Linotype" w:hAnsi="Palatino Linotype" w:cs="Palatino Linotype"/>
          <w:sz w:val="22"/>
          <w:szCs w:val="22"/>
        </w:rPr>
        <w:t xml:space="preserve">, interpuesto por </w:t>
      </w:r>
      <w:r w:rsidR="007A3CAA" w:rsidRPr="007A3CAA">
        <w:rPr>
          <w:rFonts w:ascii="Palatino Linotype" w:eastAsia="Palatino Linotype" w:hAnsi="Palatino Linotype" w:cs="Palatino Linotype"/>
          <w:b/>
          <w:sz w:val="22"/>
          <w:szCs w:val="22"/>
        </w:rPr>
        <w:t>XXXX XXXXX XXXXXX XXXX</w:t>
      </w:r>
      <w:r w:rsidRPr="00704DAA">
        <w:rPr>
          <w:rFonts w:ascii="Palatino Linotype" w:eastAsia="Palatino Linotype" w:hAnsi="Palatino Linotype" w:cs="Palatino Linotype"/>
          <w:b/>
          <w:sz w:val="22"/>
          <w:szCs w:val="22"/>
        </w:rPr>
        <w:t xml:space="preserve">, </w:t>
      </w:r>
      <w:r w:rsidRPr="00704DAA">
        <w:rPr>
          <w:rFonts w:ascii="Palatino Linotype" w:eastAsia="Palatino Linotype" w:hAnsi="Palatino Linotype" w:cs="Palatino Linotype"/>
          <w:sz w:val="22"/>
          <w:szCs w:val="22"/>
        </w:rPr>
        <w:t>en lo sucesivo se le denominará la parte</w:t>
      </w:r>
      <w:r w:rsidRPr="00704DAA">
        <w:rPr>
          <w:rFonts w:ascii="Palatino Linotype" w:eastAsia="Palatino Linotype" w:hAnsi="Palatino Linotype" w:cs="Palatino Linotype"/>
          <w:b/>
          <w:sz w:val="22"/>
          <w:szCs w:val="22"/>
        </w:rPr>
        <w:t xml:space="preserve"> Recurrente</w:t>
      </w:r>
      <w:r w:rsidRPr="00704DAA">
        <w:rPr>
          <w:rFonts w:ascii="Palatino Linotype" w:eastAsia="Palatino Linotype" w:hAnsi="Palatino Linotype" w:cs="Palatino Linotype"/>
          <w:sz w:val="22"/>
          <w:szCs w:val="22"/>
        </w:rPr>
        <w:t>, en contra de la respuesta a su solicitud de información con número de folio</w:t>
      </w:r>
      <w:r w:rsidRPr="00704DAA">
        <w:rPr>
          <w:rFonts w:ascii="Palatino Linotype" w:eastAsia="Palatino Linotype" w:hAnsi="Palatino Linotype" w:cs="Palatino Linotype"/>
          <w:b/>
          <w:sz w:val="22"/>
          <w:szCs w:val="22"/>
        </w:rPr>
        <w:t xml:space="preserve"> 00019/DIFTLALNE/IP/2025</w:t>
      </w:r>
      <w:r w:rsidRPr="00704DAA">
        <w:rPr>
          <w:rFonts w:ascii="Palatino Linotype" w:eastAsia="Palatino Linotype" w:hAnsi="Palatino Linotype" w:cs="Palatino Linotype"/>
          <w:sz w:val="22"/>
          <w:szCs w:val="22"/>
        </w:rPr>
        <w:t xml:space="preserve">, por parte de la </w:t>
      </w:r>
      <w:r w:rsidRPr="00704DAA">
        <w:rPr>
          <w:rFonts w:ascii="Palatino Linotype" w:eastAsia="Palatino Linotype" w:hAnsi="Palatino Linotype" w:cs="Palatino Linotype"/>
          <w:b/>
          <w:sz w:val="22"/>
          <w:szCs w:val="22"/>
        </w:rPr>
        <w:t xml:space="preserve">Sistema Municipal Para el Desarrollo Integral de la Familia de Tlalnepantla de Baz </w:t>
      </w:r>
      <w:r w:rsidRPr="00704DAA">
        <w:rPr>
          <w:rFonts w:ascii="Palatino Linotype" w:eastAsia="Palatino Linotype" w:hAnsi="Palatino Linotype" w:cs="Palatino Linotype"/>
          <w:sz w:val="22"/>
          <w:szCs w:val="22"/>
        </w:rPr>
        <w:t xml:space="preserve">en lo sucesivo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w:t>
      </w:r>
      <w:r w:rsidRPr="00704DAA">
        <w:rPr>
          <w:rFonts w:ascii="Palatino Linotype" w:eastAsia="Palatino Linotype" w:hAnsi="Palatino Linotype" w:cs="Palatino Linotype"/>
          <w:b/>
          <w:sz w:val="22"/>
          <w:szCs w:val="22"/>
        </w:rPr>
        <w:t xml:space="preserve"> </w:t>
      </w:r>
      <w:r w:rsidRPr="00704DAA">
        <w:rPr>
          <w:rFonts w:ascii="Palatino Linotype" w:eastAsia="Palatino Linotype" w:hAnsi="Palatino Linotype" w:cs="Palatino Linotype"/>
          <w:sz w:val="22"/>
          <w:szCs w:val="22"/>
        </w:rPr>
        <w:t>se procede a dictar la presente resolución, con base en los siguientes:</w:t>
      </w:r>
    </w:p>
    <w:p w14:paraId="2E8D5E5F" w14:textId="77777777" w:rsidR="00820398" w:rsidRPr="00704DAA" w:rsidRDefault="00AD5A10">
      <w:pPr>
        <w:numPr>
          <w:ilvl w:val="0"/>
          <w:numId w:val="7"/>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704DAA">
        <w:rPr>
          <w:rFonts w:ascii="Palatino Linotype" w:eastAsia="Palatino Linotype" w:hAnsi="Palatino Linotype" w:cs="Palatino Linotype"/>
          <w:b/>
          <w:sz w:val="22"/>
          <w:szCs w:val="22"/>
        </w:rPr>
        <w:t>A N T E C E D E N T E S:</w:t>
      </w:r>
    </w:p>
    <w:p w14:paraId="006A2667" w14:textId="77777777" w:rsidR="00820398" w:rsidRPr="00704DAA" w:rsidRDefault="00820398">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34FE043" w14:textId="77777777" w:rsidR="00820398" w:rsidRPr="00704DAA" w:rsidRDefault="00AD5A10">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04DAA">
        <w:rPr>
          <w:rFonts w:ascii="Palatino Linotype" w:eastAsia="Palatino Linotype" w:hAnsi="Palatino Linotype" w:cs="Palatino Linotype"/>
          <w:b/>
          <w:sz w:val="22"/>
          <w:szCs w:val="22"/>
        </w:rPr>
        <w:t xml:space="preserve">Solicitud de acceso a la información. </w:t>
      </w:r>
      <w:r w:rsidRPr="00704DAA">
        <w:rPr>
          <w:rFonts w:ascii="Palatino Linotype" w:eastAsia="Palatino Linotype" w:hAnsi="Palatino Linotype" w:cs="Palatino Linotype"/>
          <w:sz w:val="22"/>
          <w:szCs w:val="22"/>
        </w:rPr>
        <w:t xml:space="preserve">Con fecha </w:t>
      </w:r>
      <w:r w:rsidRPr="00704DAA">
        <w:rPr>
          <w:rFonts w:ascii="Palatino Linotype" w:eastAsia="Palatino Linotype" w:hAnsi="Palatino Linotype" w:cs="Palatino Linotype"/>
          <w:b/>
          <w:sz w:val="22"/>
          <w:szCs w:val="22"/>
        </w:rPr>
        <w:t>veintisiete de enero de dos mil veinticinco</w:t>
      </w:r>
      <w:r w:rsidRPr="00704DAA">
        <w:rPr>
          <w:rFonts w:ascii="Palatino Linotype" w:eastAsia="Palatino Linotype" w:hAnsi="Palatino Linotype" w:cs="Palatino Linotype"/>
          <w:sz w:val="22"/>
          <w:szCs w:val="22"/>
        </w:rPr>
        <w:t xml:space="preserve">, la parte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xml:space="preserve"> formuló solicitud de acceso a información pública al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a través del Sistema de Acceso a la Información Mexiquense, en adelante </w:t>
      </w:r>
      <w:r w:rsidRPr="00704DAA">
        <w:rPr>
          <w:rFonts w:ascii="Palatino Linotype" w:eastAsia="Palatino Linotype" w:hAnsi="Palatino Linotype" w:cs="Palatino Linotype"/>
          <w:b/>
          <w:sz w:val="22"/>
          <w:szCs w:val="22"/>
        </w:rPr>
        <w:t>SAIMEX</w:t>
      </w:r>
      <w:r w:rsidRPr="00704DAA">
        <w:rPr>
          <w:rFonts w:ascii="Palatino Linotype" w:eastAsia="Palatino Linotype" w:hAnsi="Palatino Linotype" w:cs="Palatino Linotype"/>
          <w:sz w:val="22"/>
          <w:szCs w:val="22"/>
        </w:rPr>
        <w:t>, requiriéndole lo siguiente:</w:t>
      </w:r>
    </w:p>
    <w:p w14:paraId="2A5B2F94" w14:textId="77777777" w:rsidR="00820398" w:rsidRPr="00704DAA" w:rsidRDefault="0082039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73CF973"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“Solicito saber cuál es el presupuesto que se dejó de la administración 2022 - 2024 a la nueva administración 2025 - 2027 para continuar con las labores.”</w:t>
      </w:r>
    </w:p>
    <w:p w14:paraId="493A7034" w14:textId="77777777" w:rsidR="00820398" w:rsidRPr="00704DAA" w:rsidRDefault="00820398">
      <w:pPr>
        <w:spacing w:line="360" w:lineRule="auto"/>
        <w:ind w:left="709" w:right="900"/>
        <w:jc w:val="both"/>
        <w:rPr>
          <w:rFonts w:ascii="Palatino Linotype" w:eastAsia="Palatino Linotype" w:hAnsi="Palatino Linotype" w:cs="Palatino Linotype"/>
          <w:b/>
          <w:i/>
          <w:sz w:val="22"/>
          <w:szCs w:val="22"/>
        </w:rPr>
      </w:pPr>
    </w:p>
    <w:p w14:paraId="61EF5EA8"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Modalidad elegida para la entrega de la información: </w:t>
      </w:r>
      <w:r w:rsidRPr="00704DAA">
        <w:rPr>
          <w:rFonts w:ascii="Palatino Linotype" w:eastAsia="Palatino Linotype" w:hAnsi="Palatino Linotype" w:cs="Palatino Linotype"/>
          <w:sz w:val="22"/>
          <w:szCs w:val="22"/>
        </w:rPr>
        <w:t xml:space="preserve">a través del Sistema de Acceso a la Información Mexiquense. </w:t>
      </w:r>
    </w:p>
    <w:p w14:paraId="370F3A6F" w14:textId="77777777" w:rsidR="00820398" w:rsidRPr="00704DAA" w:rsidRDefault="008203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418146" w14:textId="77777777" w:rsidR="00820398" w:rsidRPr="00704DAA" w:rsidRDefault="00AD5A1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lastRenderedPageBreak/>
        <w:t xml:space="preserve">Respuesta. </w:t>
      </w:r>
      <w:r w:rsidRPr="00704DAA">
        <w:rPr>
          <w:rFonts w:ascii="Palatino Linotype" w:eastAsia="Palatino Linotype" w:hAnsi="Palatino Linotype" w:cs="Palatino Linotype"/>
          <w:sz w:val="22"/>
          <w:szCs w:val="22"/>
        </w:rPr>
        <w:t xml:space="preserve">Con fecha </w:t>
      </w:r>
      <w:r w:rsidRPr="00704DAA">
        <w:rPr>
          <w:rFonts w:ascii="Palatino Linotype" w:eastAsia="Palatino Linotype" w:hAnsi="Palatino Linotype" w:cs="Palatino Linotype"/>
          <w:b/>
          <w:sz w:val="22"/>
          <w:szCs w:val="22"/>
        </w:rPr>
        <w:t>trece de febrero de dos mil veinticinco</w:t>
      </w:r>
      <w:r w:rsidRPr="00704DAA">
        <w:rPr>
          <w:rFonts w:ascii="Palatino Linotype" w:eastAsia="Palatino Linotype" w:hAnsi="Palatino Linotype" w:cs="Palatino Linotype"/>
          <w:sz w:val="22"/>
          <w:szCs w:val="22"/>
        </w:rPr>
        <w:t xml:space="preserv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1209492D" w14:textId="77777777" w:rsidR="00820398" w:rsidRPr="00704DAA" w:rsidRDefault="00820398">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094908A9" w14:textId="77777777" w:rsidR="00820398" w:rsidRPr="00704DAA" w:rsidRDefault="00AD5A10">
      <w:pPr>
        <w:tabs>
          <w:tab w:val="left" w:pos="7371"/>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DDEF8B" w14:textId="77777777" w:rsidR="00820398" w:rsidRPr="00704DAA" w:rsidRDefault="00AD5A10">
      <w:pPr>
        <w:tabs>
          <w:tab w:val="left" w:pos="7371"/>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Se adjunta respuesta, a solicitud de información folio: 00019/DIFTLALNE/IP/2025.</w:t>
      </w:r>
    </w:p>
    <w:p w14:paraId="4A3B9185" w14:textId="77777777" w:rsidR="00820398" w:rsidRPr="00704DAA" w:rsidRDefault="00AD5A10">
      <w:pPr>
        <w:tabs>
          <w:tab w:val="left" w:pos="7371"/>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ATENTAMENTE</w:t>
      </w:r>
    </w:p>
    <w:p w14:paraId="6A4A75FA" w14:textId="77777777" w:rsidR="00820398" w:rsidRPr="00704DAA" w:rsidRDefault="00AD5A10">
      <w:pPr>
        <w:tabs>
          <w:tab w:val="left" w:pos="7371"/>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Lic. </w:t>
      </w:r>
      <w:proofErr w:type="spellStart"/>
      <w:r w:rsidRPr="00704DAA">
        <w:rPr>
          <w:rFonts w:ascii="Palatino Linotype" w:eastAsia="Palatino Linotype" w:hAnsi="Palatino Linotype" w:cs="Palatino Linotype"/>
          <w:i/>
          <w:sz w:val="22"/>
          <w:szCs w:val="22"/>
        </w:rPr>
        <w:t>laura</w:t>
      </w:r>
      <w:proofErr w:type="spellEnd"/>
      <w:r w:rsidRPr="00704DAA">
        <w:rPr>
          <w:rFonts w:ascii="Palatino Linotype" w:eastAsia="Palatino Linotype" w:hAnsi="Palatino Linotype" w:cs="Palatino Linotype"/>
          <w:i/>
          <w:sz w:val="22"/>
          <w:szCs w:val="22"/>
        </w:rPr>
        <w:t xml:space="preserve"> Ortiz.” (Sic)</w:t>
      </w:r>
    </w:p>
    <w:p w14:paraId="459CEFC8" w14:textId="77777777" w:rsidR="00820398" w:rsidRPr="00704DAA" w:rsidRDefault="00820398">
      <w:pPr>
        <w:spacing w:line="360" w:lineRule="auto"/>
        <w:ind w:right="49"/>
        <w:jc w:val="both"/>
        <w:rPr>
          <w:rFonts w:ascii="Palatino Linotype" w:eastAsia="Palatino Linotype" w:hAnsi="Palatino Linotype" w:cs="Palatino Linotype"/>
          <w:sz w:val="22"/>
          <w:szCs w:val="22"/>
        </w:rPr>
      </w:pPr>
    </w:p>
    <w:p w14:paraId="30A79E14" w14:textId="77777777" w:rsidR="00820398" w:rsidRPr="00704DAA" w:rsidRDefault="00AD5A10">
      <w:pPr>
        <w:spacing w:line="360" w:lineRule="auto"/>
        <w:ind w:right="49"/>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Del mismo modo,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adjuntó a su respuesta los archivos electrónicos denominados </w:t>
      </w:r>
      <w:r w:rsidRPr="00704DAA">
        <w:rPr>
          <w:rFonts w:ascii="Palatino Linotype" w:eastAsia="Palatino Linotype" w:hAnsi="Palatino Linotype" w:cs="Palatino Linotype"/>
          <w:b/>
          <w:i/>
          <w:sz w:val="22"/>
          <w:szCs w:val="22"/>
        </w:rPr>
        <w:t xml:space="preserve">“respuesta recursos financieros.pdf </w:t>
      </w:r>
      <w:r w:rsidRPr="00704DAA">
        <w:rPr>
          <w:rFonts w:ascii="Palatino Linotype" w:eastAsia="Palatino Linotype" w:hAnsi="Palatino Linotype" w:cs="Palatino Linotype"/>
          <w:sz w:val="22"/>
          <w:szCs w:val="22"/>
        </w:rPr>
        <w:t xml:space="preserve">y </w:t>
      </w:r>
      <w:r w:rsidRPr="00704DAA">
        <w:rPr>
          <w:rFonts w:ascii="Palatino Linotype" w:eastAsia="Palatino Linotype" w:hAnsi="Palatino Linotype" w:cs="Palatino Linotype"/>
          <w:b/>
          <w:i/>
          <w:sz w:val="22"/>
          <w:szCs w:val="22"/>
        </w:rPr>
        <w:t>Respuesta UT 19.pdf “,</w:t>
      </w:r>
      <w:r w:rsidRPr="00704DAA">
        <w:rPr>
          <w:rFonts w:ascii="Palatino Linotype" w:eastAsia="Palatino Linotype" w:hAnsi="Palatino Linotype" w:cs="Palatino Linotype"/>
          <w:sz w:val="22"/>
          <w:szCs w:val="22"/>
        </w:rPr>
        <w:t xml:space="preserve"> los cuales contienen: </w:t>
      </w:r>
    </w:p>
    <w:p w14:paraId="2968379D" w14:textId="77777777" w:rsidR="00820398" w:rsidRPr="00704DAA" w:rsidRDefault="00AD5A10">
      <w:pPr>
        <w:numPr>
          <w:ilvl w:val="0"/>
          <w:numId w:val="4"/>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Oficio número SMDIF/OM/</w:t>
      </w:r>
      <w:proofErr w:type="spellStart"/>
      <w:r w:rsidRPr="00704DAA">
        <w:rPr>
          <w:rFonts w:ascii="Palatino Linotype" w:eastAsia="Palatino Linotype" w:hAnsi="Palatino Linotype" w:cs="Palatino Linotype"/>
          <w:sz w:val="22"/>
          <w:szCs w:val="22"/>
        </w:rPr>
        <w:t>RFyCP</w:t>
      </w:r>
      <w:proofErr w:type="spellEnd"/>
      <w:r w:rsidRPr="00704DAA">
        <w:rPr>
          <w:rFonts w:ascii="Palatino Linotype" w:eastAsia="Palatino Linotype" w:hAnsi="Palatino Linotype" w:cs="Palatino Linotype"/>
          <w:sz w:val="22"/>
          <w:szCs w:val="22"/>
        </w:rPr>
        <w:t xml:space="preserve">/008/2025 de fecha veintinueve de enero de dos mil veinticinco, signado por el Jefe de Departamento de Recursos Financieros y Control Presupuestario, mediante el cual informó que en la Décima Octava Sesión Ordinaria de la Junta de Gobierno del Organismo Público Descentralizado de Asistencia Social denominado Sistema Municipal para el Desarrollo Integral de la Familia de Tlalnepantla de Baz, Estado de México, de fecha 19 de diciembre de 2024, se aprobó el Anteproyecto de Presupuesto de Ingresos y Egresos para el Ejercicio Fiscal 2025, el cual se encuentra publicado en la página oficial del SMDIF de Tlalnepantla de Baz, en la siguiente liga: </w:t>
      </w:r>
      <w:hyperlink r:id="rId8">
        <w:r w:rsidRPr="00704DAA">
          <w:rPr>
            <w:rFonts w:ascii="Palatino Linotype" w:eastAsia="Palatino Linotype" w:hAnsi="Palatino Linotype" w:cs="Palatino Linotype"/>
            <w:sz w:val="22"/>
            <w:szCs w:val="22"/>
            <w:u w:val="single"/>
          </w:rPr>
          <w:t>http://repositorio.tlalnepantla.gob.mx/files/pdf/repositorio/8282JGDIF.pdf</w:t>
        </w:r>
      </w:hyperlink>
      <w:r w:rsidRPr="00704DAA">
        <w:rPr>
          <w:rFonts w:ascii="Palatino Linotype" w:eastAsia="Palatino Linotype" w:hAnsi="Palatino Linotype" w:cs="Palatino Linotype"/>
          <w:sz w:val="22"/>
          <w:szCs w:val="22"/>
        </w:rPr>
        <w:t xml:space="preserve">. </w:t>
      </w:r>
    </w:p>
    <w:p w14:paraId="1E2A4D6A" w14:textId="77777777" w:rsidR="00820398" w:rsidRPr="00704DAA" w:rsidRDefault="00AD5A10">
      <w:pPr>
        <w:numPr>
          <w:ilvl w:val="0"/>
          <w:numId w:val="4"/>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Oficio de fecha trece de febrero de dos mil veinticinco, signado por el Titular de la Unidad de Transparencia y Protección de Datos Personales, mediante el cual informó la entrega de la respuesta emitida por el Jefe de Departamento de Recursos Financieros y Control Presupuestario, del Sistema Municipal para el Desarrollo Integral de la Familia, Tlalnepantla de Baz, Estado de México.</w:t>
      </w:r>
    </w:p>
    <w:p w14:paraId="57E8AB01" w14:textId="77777777" w:rsidR="00820398" w:rsidRPr="00704DAA" w:rsidRDefault="00820398">
      <w:pPr>
        <w:spacing w:line="360" w:lineRule="auto"/>
        <w:ind w:right="49"/>
        <w:jc w:val="both"/>
        <w:rPr>
          <w:rFonts w:ascii="Palatino Linotype" w:eastAsia="Palatino Linotype" w:hAnsi="Palatino Linotype" w:cs="Palatino Linotype"/>
          <w:sz w:val="22"/>
          <w:szCs w:val="22"/>
        </w:rPr>
      </w:pPr>
    </w:p>
    <w:p w14:paraId="13F53ADB" w14:textId="77777777" w:rsidR="00820398" w:rsidRPr="00704DAA" w:rsidRDefault="00AD5A10">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Interposición del recurso de revisión. </w:t>
      </w:r>
      <w:r w:rsidRPr="00704DAA">
        <w:rPr>
          <w:rFonts w:ascii="Palatino Linotype" w:eastAsia="Palatino Linotype" w:hAnsi="Palatino Linotype" w:cs="Palatino Linotype"/>
          <w:sz w:val="22"/>
          <w:szCs w:val="22"/>
        </w:rPr>
        <w:t xml:space="preserve">Inconforme con la respuesta del </w:t>
      </w:r>
      <w:r w:rsidRPr="00704DAA">
        <w:rPr>
          <w:rFonts w:ascii="Palatino Linotype" w:eastAsia="Palatino Linotype" w:hAnsi="Palatino Linotype" w:cs="Palatino Linotype"/>
          <w:b/>
          <w:sz w:val="22"/>
          <w:szCs w:val="22"/>
        </w:rPr>
        <w:t xml:space="preserve">Sujeto Obligado, </w:t>
      </w:r>
      <w:r w:rsidRPr="00704DAA">
        <w:rPr>
          <w:rFonts w:ascii="Palatino Linotype" w:eastAsia="Palatino Linotype" w:hAnsi="Palatino Linotype" w:cs="Palatino Linotype"/>
          <w:sz w:val="22"/>
          <w:szCs w:val="22"/>
        </w:rPr>
        <w:t>la parte</w:t>
      </w:r>
      <w:r w:rsidRPr="00704DAA">
        <w:rPr>
          <w:rFonts w:ascii="Palatino Linotype" w:eastAsia="Palatino Linotype" w:hAnsi="Palatino Linotype" w:cs="Palatino Linotype"/>
          <w:b/>
          <w:sz w:val="22"/>
          <w:szCs w:val="22"/>
        </w:rPr>
        <w:t xml:space="preserve"> Recurrente</w:t>
      </w:r>
      <w:r w:rsidRPr="00704DAA">
        <w:rPr>
          <w:rFonts w:ascii="Palatino Linotype" w:eastAsia="Palatino Linotype" w:hAnsi="Palatino Linotype" w:cs="Palatino Linotype"/>
          <w:sz w:val="22"/>
          <w:szCs w:val="22"/>
        </w:rPr>
        <w:t xml:space="preserve"> interpuso recurso de revisión a través del SAIMEX en fecha </w:t>
      </w:r>
      <w:r w:rsidRPr="00704DAA">
        <w:rPr>
          <w:rFonts w:ascii="Palatino Linotype" w:eastAsia="Palatino Linotype" w:hAnsi="Palatino Linotype" w:cs="Palatino Linotype"/>
          <w:b/>
          <w:sz w:val="22"/>
          <w:szCs w:val="22"/>
        </w:rPr>
        <w:t>veinticinco de febrero de dos mil veinticinco</w:t>
      </w:r>
      <w:r w:rsidRPr="00704DAA">
        <w:rPr>
          <w:rFonts w:ascii="Palatino Linotype" w:eastAsia="Palatino Linotype" w:hAnsi="Palatino Linotype" w:cs="Palatino Linotype"/>
          <w:sz w:val="22"/>
          <w:szCs w:val="22"/>
        </w:rPr>
        <w:t>, a través del cual expresó lo siguiente:</w:t>
      </w:r>
    </w:p>
    <w:p w14:paraId="41DF8FD7" w14:textId="77777777" w:rsidR="00820398" w:rsidRPr="00704DAA" w:rsidRDefault="00820398">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389E125C" w14:textId="77777777" w:rsidR="00820398" w:rsidRPr="00704DAA" w:rsidRDefault="00AD5A10">
      <w:pPr>
        <w:spacing w:line="360" w:lineRule="auto"/>
        <w:ind w:left="851"/>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sz w:val="22"/>
          <w:szCs w:val="22"/>
        </w:rPr>
        <w:t xml:space="preserve">Acto impugnado. </w:t>
      </w:r>
      <w:r w:rsidRPr="00704DAA">
        <w:rPr>
          <w:rFonts w:ascii="Palatino Linotype" w:eastAsia="Palatino Linotype" w:hAnsi="Palatino Linotype" w:cs="Palatino Linotype"/>
          <w:i/>
          <w:sz w:val="22"/>
          <w:szCs w:val="22"/>
        </w:rPr>
        <w:t xml:space="preserve">“a la respuesta” </w:t>
      </w:r>
    </w:p>
    <w:p w14:paraId="23331270" w14:textId="77777777" w:rsidR="00820398" w:rsidRPr="00704DAA" w:rsidRDefault="00820398">
      <w:pPr>
        <w:spacing w:line="360" w:lineRule="auto"/>
        <w:ind w:left="851"/>
        <w:jc w:val="both"/>
        <w:rPr>
          <w:rFonts w:ascii="Palatino Linotype" w:eastAsia="Palatino Linotype" w:hAnsi="Palatino Linotype" w:cs="Palatino Linotype"/>
          <w:b/>
          <w:sz w:val="22"/>
          <w:szCs w:val="22"/>
        </w:rPr>
      </w:pPr>
    </w:p>
    <w:p w14:paraId="7957234F" w14:textId="77777777" w:rsidR="00820398" w:rsidRPr="00704DAA" w:rsidRDefault="00AD5A10">
      <w:pPr>
        <w:spacing w:line="360" w:lineRule="auto"/>
        <w:ind w:left="851"/>
        <w:jc w:val="both"/>
        <w:rPr>
          <w:rFonts w:ascii="Palatino Linotype" w:eastAsia="Palatino Linotype" w:hAnsi="Palatino Linotype" w:cs="Palatino Linotype"/>
          <w:b/>
          <w:i/>
          <w:sz w:val="22"/>
          <w:szCs w:val="22"/>
          <w:u w:val="single"/>
        </w:rPr>
      </w:pPr>
      <w:r w:rsidRPr="00704DAA">
        <w:rPr>
          <w:rFonts w:ascii="Palatino Linotype" w:eastAsia="Palatino Linotype" w:hAnsi="Palatino Linotype" w:cs="Palatino Linotype"/>
          <w:b/>
          <w:sz w:val="22"/>
          <w:szCs w:val="22"/>
        </w:rPr>
        <w:t xml:space="preserve">Motivos de inconformidad. </w:t>
      </w:r>
      <w:r w:rsidRPr="00704DAA">
        <w:rPr>
          <w:rFonts w:ascii="Palatino Linotype" w:eastAsia="Palatino Linotype" w:hAnsi="Palatino Linotype" w:cs="Palatino Linotype"/>
          <w:i/>
          <w:sz w:val="22"/>
          <w:szCs w:val="22"/>
        </w:rPr>
        <w:t>“no es lo que solicite”</w:t>
      </w:r>
    </w:p>
    <w:p w14:paraId="1EF278A0" w14:textId="77777777" w:rsidR="00820398" w:rsidRPr="00704DAA" w:rsidRDefault="00820398">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570A4D64" w14:textId="77777777" w:rsidR="00820398" w:rsidRPr="00704DAA" w:rsidRDefault="00AD5A10">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Turno. </w:t>
      </w:r>
      <w:r w:rsidRPr="00704DA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704DAA">
        <w:rPr>
          <w:rFonts w:ascii="Palatino Linotype" w:eastAsia="Palatino Linotype" w:hAnsi="Palatino Linotype" w:cs="Palatino Linotype"/>
          <w:b/>
          <w:sz w:val="22"/>
          <w:szCs w:val="22"/>
        </w:rPr>
        <w:t>02059/INFOEM/IP/RR/2025</w:t>
      </w:r>
      <w:r w:rsidRPr="00704DA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04DAA">
        <w:rPr>
          <w:rFonts w:ascii="Palatino Linotype" w:eastAsia="Palatino Linotype" w:hAnsi="Palatino Linotype" w:cs="Palatino Linotype"/>
          <w:b/>
          <w:sz w:val="22"/>
          <w:szCs w:val="22"/>
        </w:rPr>
        <w:t>Guadalupe Ramírez Peña</w:t>
      </w:r>
      <w:r w:rsidRPr="00704DAA">
        <w:rPr>
          <w:rFonts w:ascii="Palatino Linotype" w:eastAsia="Palatino Linotype" w:hAnsi="Palatino Linotype" w:cs="Palatino Linotype"/>
          <w:sz w:val="22"/>
          <w:szCs w:val="22"/>
        </w:rPr>
        <w:t>, para su análisis, estudio, elaboración del proyecto y presentación ante el Pleno de este Instituto.</w:t>
      </w:r>
    </w:p>
    <w:p w14:paraId="4147E92B" w14:textId="77777777" w:rsidR="00820398" w:rsidRPr="00704DAA" w:rsidRDefault="0082039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EC8E96A" w14:textId="77777777" w:rsidR="00820398" w:rsidRPr="00704DAA" w:rsidRDefault="00AD5A10">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704DAA">
        <w:rPr>
          <w:rFonts w:ascii="Palatino Linotype" w:eastAsia="Palatino Linotype" w:hAnsi="Palatino Linotype" w:cs="Palatino Linotype"/>
          <w:b/>
          <w:sz w:val="22"/>
          <w:szCs w:val="22"/>
        </w:rPr>
        <w:t xml:space="preserve">Admisión del recurso de revisión: </w:t>
      </w:r>
      <w:r w:rsidRPr="00704DAA">
        <w:rPr>
          <w:rFonts w:ascii="Palatino Linotype" w:eastAsia="Palatino Linotype" w:hAnsi="Palatino Linotype" w:cs="Palatino Linotype"/>
          <w:sz w:val="22"/>
          <w:szCs w:val="22"/>
        </w:rPr>
        <w:t xml:space="preserve">En fecha </w:t>
      </w:r>
      <w:r w:rsidRPr="00704DAA">
        <w:rPr>
          <w:rFonts w:ascii="Palatino Linotype" w:eastAsia="Palatino Linotype" w:hAnsi="Palatino Linotype" w:cs="Palatino Linotype"/>
          <w:b/>
          <w:sz w:val="22"/>
          <w:szCs w:val="22"/>
        </w:rPr>
        <w:t>veintisiete de febrero de dos mil veinticinco</w:t>
      </w:r>
      <w:r w:rsidRPr="00704DAA">
        <w:rPr>
          <w:rFonts w:ascii="Palatino Linotype" w:eastAsia="Palatino Linotype" w:hAnsi="Palatino Linotype" w:cs="Palatino Linotype"/>
          <w:sz w:val="22"/>
          <w:szCs w:val="22"/>
        </w:rPr>
        <w:t xml:space="preserve">, la Comisionada Ponente admitió a trámite el recurso de revisión que ahora se </w:t>
      </w:r>
      <w:r w:rsidRPr="00704DAA">
        <w:rPr>
          <w:rFonts w:ascii="Palatino Linotype" w:eastAsia="Palatino Linotype" w:hAnsi="Palatino Linotype" w:cs="Palatino Linotype"/>
          <w:sz w:val="22"/>
          <w:szCs w:val="22"/>
        </w:rPr>
        <w:lastRenderedPageBreak/>
        <w:t xml:space="preserve">resuelve, dando un plazo máximo de siete días hábiles para que las partes manifestaran lo que a su derecho resultara conveniente, ofrecieran pruebas, formularan alegatos y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presentara su informe justificado.</w:t>
      </w:r>
    </w:p>
    <w:p w14:paraId="7CAF7CB1" w14:textId="77777777" w:rsidR="00820398" w:rsidRPr="00704DAA" w:rsidRDefault="0082039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34F95CC" w14:textId="77777777" w:rsidR="00820398" w:rsidRPr="00704DAA" w:rsidRDefault="00AD5A10">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Manifestaciones</w:t>
      </w:r>
      <w:r w:rsidRPr="00704DAA">
        <w:rPr>
          <w:rFonts w:ascii="Palatino Linotype" w:eastAsia="Palatino Linotype" w:hAnsi="Palatino Linotype" w:cs="Palatino Linotype"/>
          <w:sz w:val="22"/>
          <w:szCs w:val="22"/>
        </w:rPr>
        <w:t xml:space="preserve">: De las constancias que obran en el expediente electrónico del SAIMEX se desprende que el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xml:space="preserve"> fue omiso en presentar sus alegatos o manifestación alguna. </w:t>
      </w:r>
    </w:p>
    <w:p w14:paraId="4F32AAEB" w14:textId="77777777" w:rsidR="00820398" w:rsidRPr="00704DAA" w:rsidRDefault="0082039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5D3E44B" w14:textId="77777777" w:rsidR="00820398" w:rsidRPr="00704DAA" w:rsidRDefault="00AD5A1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Por su parte,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en fecha </w:t>
      </w:r>
      <w:r w:rsidRPr="00704DAA">
        <w:rPr>
          <w:rFonts w:ascii="Palatino Linotype" w:eastAsia="Palatino Linotype" w:hAnsi="Palatino Linotype" w:cs="Palatino Linotype"/>
          <w:b/>
          <w:sz w:val="22"/>
          <w:szCs w:val="22"/>
        </w:rPr>
        <w:t>once de marzo de dos mil veinticinco</w:t>
      </w:r>
      <w:r w:rsidRPr="00704DAA">
        <w:rPr>
          <w:rFonts w:ascii="Palatino Linotype" w:eastAsia="Palatino Linotype" w:hAnsi="Palatino Linotype" w:cs="Palatino Linotype"/>
          <w:sz w:val="22"/>
          <w:szCs w:val="22"/>
        </w:rPr>
        <w:t xml:space="preserve">, adjunto el archivo electrónico denominado </w:t>
      </w:r>
      <w:r w:rsidRPr="00704DAA">
        <w:rPr>
          <w:rFonts w:ascii="Palatino Linotype" w:eastAsia="Palatino Linotype" w:hAnsi="Palatino Linotype" w:cs="Palatino Linotype"/>
          <w:b/>
          <w:i/>
          <w:sz w:val="22"/>
          <w:szCs w:val="22"/>
        </w:rPr>
        <w:t xml:space="preserve">“Informe Justificado 02059.pdf </w:t>
      </w:r>
      <w:r w:rsidRPr="00704DAA">
        <w:rPr>
          <w:rFonts w:ascii="Palatino Linotype" w:eastAsia="Palatino Linotype" w:hAnsi="Palatino Linotype" w:cs="Palatino Linotype"/>
          <w:sz w:val="22"/>
          <w:szCs w:val="22"/>
        </w:rPr>
        <w:t>y</w:t>
      </w:r>
      <w:r w:rsidRPr="00704DAA">
        <w:rPr>
          <w:rFonts w:ascii="Palatino Linotype" w:eastAsia="Palatino Linotype" w:hAnsi="Palatino Linotype" w:cs="Palatino Linotype"/>
          <w:b/>
          <w:i/>
          <w:sz w:val="22"/>
          <w:szCs w:val="22"/>
        </w:rPr>
        <w:t xml:space="preserve"> Acta 4SE_JG_250225.pdf”</w:t>
      </w:r>
      <w:r w:rsidRPr="00704DAA">
        <w:rPr>
          <w:rFonts w:ascii="Palatino Linotype" w:eastAsia="Palatino Linotype" w:hAnsi="Palatino Linotype" w:cs="Palatino Linotype"/>
          <w:sz w:val="22"/>
          <w:szCs w:val="22"/>
        </w:rPr>
        <w:t xml:space="preserve">, los cuales contienen: </w:t>
      </w:r>
    </w:p>
    <w:p w14:paraId="0CE9F2CE" w14:textId="77777777" w:rsidR="00820398" w:rsidRPr="00704DAA" w:rsidRDefault="0082039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6148F59" w14:textId="77777777" w:rsidR="00820398" w:rsidRPr="00704DAA" w:rsidRDefault="00AD5A10">
      <w:pPr>
        <w:numPr>
          <w:ilvl w:val="0"/>
          <w:numId w:val="3"/>
        </w:numPr>
        <w:pBdr>
          <w:top w:val="nil"/>
          <w:left w:val="nil"/>
          <w:bottom w:val="nil"/>
          <w:right w:val="nil"/>
          <w:between w:val="nil"/>
        </w:pBdr>
        <w:tabs>
          <w:tab w:val="left" w:pos="284"/>
        </w:tabs>
        <w:spacing w:line="360" w:lineRule="auto"/>
        <w:ind w:left="851" w:right="616"/>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Oficio número SMDIF-TLA/OM/148/2025 de fecha diez de marzo de dos mil veinticinco, signado por el Oficial Mayor, en el que refiere la entrega del Acta de la Cuarta Sesión Extraordinaria de la Junta de Gobierno del Sistema, celebrada el 25 de febrero del presente año, donde se aprueba el presupuesto de egresos autorizado para el ejercicio 2025.. </w:t>
      </w:r>
    </w:p>
    <w:p w14:paraId="5DCBF9E2" w14:textId="77777777" w:rsidR="00820398" w:rsidRPr="00704DAA" w:rsidRDefault="00AD5A10">
      <w:pPr>
        <w:numPr>
          <w:ilvl w:val="0"/>
          <w:numId w:val="3"/>
        </w:numPr>
        <w:pBdr>
          <w:top w:val="nil"/>
          <w:left w:val="nil"/>
          <w:bottom w:val="nil"/>
          <w:right w:val="nil"/>
          <w:between w:val="nil"/>
        </w:pBdr>
        <w:tabs>
          <w:tab w:val="left" w:pos="284"/>
        </w:tabs>
        <w:spacing w:line="360" w:lineRule="auto"/>
        <w:ind w:left="851" w:right="616"/>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Acta de la Cuarta Sesión Extraordinaria de la Junta de Gobierno del Organismo Público Descentralizado de Asistencia Social, denominado Sistema Municipal para el Desarrollo Integral de la Familia de Tlalnepantla de Baz, celebrada el 25 de febrero del dos mil veinticinco, en la que se aprobó la Ley de Ingresos y Presupuesto de Egresos del Sistema Municipal para el Desarrollo Integral de la Familia de Tlalnepantla de Baz, Estado de México para el Ejercicio Fiscal 2025, para quedar en la cantidad de $349,675,040.77 (Trescientos cuarenta y nueve millones seiscientos setenta y cinco mil cuarenta pesos con setenta y siete centavos 77/100 M.N.), como presupuesto </w:t>
      </w:r>
      <w:r w:rsidRPr="00704DAA">
        <w:rPr>
          <w:rFonts w:ascii="Palatino Linotype" w:eastAsia="Palatino Linotype" w:hAnsi="Palatino Linotype" w:cs="Palatino Linotype"/>
          <w:sz w:val="22"/>
          <w:szCs w:val="22"/>
        </w:rPr>
        <w:lastRenderedPageBreak/>
        <w:t>definitivo, conforme a los anexos correspondientes que integran el presente acuerdo y a los que forman parte del apéndice del acta de la presente Sesión.</w:t>
      </w:r>
    </w:p>
    <w:p w14:paraId="753E47E9" w14:textId="77777777" w:rsidR="00820398" w:rsidRPr="00704DAA" w:rsidRDefault="00AD5A10">
      <w:pPr>
        <w:pBdr>
          <w:top w:val="nil"/>
          <w:left w:val="nil"/>
          <w:bottom w:val="nil"/>
          <w:right w:val="nil"/>
          <w:between w:val="nil"/>
        </w:pBdr>
        <w:tabs>
          <w:tab w:val="left" w:pos="284"/>
        </w:tabs>
        <w:spacing w:line="360" w:lineRule="auto"/>
        <w:ind w:left="851" w:right="616"/>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A efecto de dar cabal cumplimiento a lo ordenado en el Acuerdo 3/2025 por el que se emiten los Lineamientos para la Integración, Envío y Recepción Electrónica del Paquete Presupuestal Municipal 2025, publicado en el Periódico Oficial Gaceta del Gobierno del Estado Libre y Soberano de México Numero 14 de fecha 22 de enero de 2025, en la presente se plasma la siguiente leyenda: “Se hace constar que la Ley de Ingresos y el Presupuesto de Egresos para el ejercicio fiscal 2025, han sido aprobados por unanimidad de votos, los cuales ascienden al monto de </w:t>
      </w:r>
      <w:r w:rsidRPr="00704DAA">
        <w:rPr>
          <w:rFonts w:ascii="Palatino Linotype" w:eastAsia="Palatino Linotype" w:hAnsi="Palatino Linotype" w:cs="Palatino Linotype"/>
          <w:b/>
          <w:sz w:val="22"/>
          <w:szCs w:val="22"/>
        </w:rPr>
        <w:t>$349,675,040.77 (Trescientos cuarenta y nueve millones seiscientos setenta y cinco mil cuarenta pesos con setenta y siete centavos 77/100 M.N.)</w:t>
      </w:r>
      <w:r w:rsidRPr="00704DAA">
        <w:rPr>
          <w:rFonts w:ascii="Palatino Linotype" w:eastAsia="Palatino Linotype" w:hAnsi="Palatino Linotype" w:cs="Palatino Linotype"/>
          <w:sz w:val="22"/>
          <w:szCs w:val="22"/>
        </w:rPr>
        <w:t>.</w:t>
      </w:r>
    </w:p>
    <w:p w14:paraId="7159BCAA"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1AA7ABE3" w14:textId="77777777" w:rsidR="00820398" w:rsidRPr="00704DAA" w:rsidRDefault="00AD5A10">
      <w:pPr>
        <w:numPr>
          <w:ilvl w:val="0"/>
          <w:numId w:val="9"/>
        </w:numPr>
        <w:pBdr>
          <w:top w:val="nil"/>
          <w:left w:val="nil"/>
          <w:bottom w:val="nil"/>
          <w:right w:val="nil"/>
          <w:between w:val="nil"/>
        </w:pBdr>
        <w:spacing w:line="360" w:lineRule="auto"/>
        <w:ind w:left="142" w:right="49" w:firstLine="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Ampliación de plazo: </w:t>
      </w:r>
      <w:r w:rsidRPr="00704DAA">
        <w:rPr>
          <w:rFonts w:ascii="Palatino Linotype" w:eastAsia="Palatino Linotype" w:hAnsi="Palatino Linotype" w:cs="Palatino Linotype"/>
          <w:sz w:val="22"/>
          <w:szCs w:val="22"/>
        </w:rPr>
        <w:t>El</w:t>
      </w:r>
      <w:r w:rsidRPr="00704DAA">
        <w:rPr>
          <w:rFonts w:ascii="Palatino Linotype" w:eastAsia="Palatino Linotype" w:hAnsi="Palatino Linotype" w:cs="Palatino Linotype"/>
          <w:b/>
          <w:sz w:val="22"/>
          <w:szCs w:val="22"/>
        </w:rPr>
        <w:t xml:space="preserve"> veinticuatro de abril de dos mil veinticinco, </w:t>
      </w:r>
      <w:r w:rsidRPr="00704DAA">
        <w:rPr>
          <w:rFonts w:ascii="Palatino Linotype" w:eastAsia="Palatino Linotype" w:hAnsi="Palatino Linotype" w:cs="Palatino Linotype"/>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D79ED1F"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398A86F1" w14:textId="77777777" w:rsidR="00820398" w:rsidRPr="00704DAA" w:rsidRDefault="00AD5A10">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Cierre de instrucción. </w:t>
      </w:r>
      <w:r w:rsidRPr="00704DAA">
        <w:rPr>
          <w:rFonts w:ascii="Palatino Linotype" w:eastAsia="Palatino Linotype" w:hAnsi="Palatino Linotype" w:cs="Palatino Linotype"/>
          <w:sz w:val="22"/>
          <w:szCs w:val="22"/>
        </w:rPr>
        <w:t xml:space="preserve">El </w:t>
      </w:r>
      <w:r w:rsidRPr="00704DAA">
        <w:rPr>
          <w:rFonts w:ascii="Palatino Linotype" w:eastAsia="Palatino Linotype" w:hAnsi="Palatino Linotype" w:cs="Palatino Linotype"/>
          <w:b/>
          <w:sz w:val="22"/>
          <w:szCs w:val="22"/>
        </w:rPr>
        <w:t>veintiocho de abril de dos mil veinticinco</w:t>
      </w:r>
      <w:r w:rsidRPr="00704DA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267ACBC" w14:textId="77777777" w:rsidR="00820398" w:rsidRPr="00704DAA" w:rsidRDefault="0082039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E5A7254"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5EE0C5AC"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700C4A6C" w14:textId="77777777" w:rsidR="00820398" w:rsidRPr="00704DAA" w:rsidRDefault="00AD5A10">
      <w:pPr>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704DAA">
        <w:rPr>
          <w:rFonts w:ascii="Palatino Linotype" w:eastAsia="Palatino Linotype" w:hAnsi="Palatino Linotype" w:cs="Palatino Linotype"/>
          <w:b/>
          <w:sz w:val="22"/>
          <w:szCs w:val="22"/>
        </w:rPr>
        <w:t>C O N S I D E R A N D O:</w:t>
      </w:r>
    </w:p>
    <w:p w14:paraId="22900381" w14:textId="77777777" w:rsidR="00820398" w:rsidRPr="00704DAA" w:rsidRDefault="00820398">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9E31F7E"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Primero. Competencia. </w:t>
      </w:r>
      <w:r w:rsidRPr="00704DAA">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93BDE04" w14:textId="77777777" w:rsidR="00820398" w:rsidRPr="00704DAA" w:rsidRDefault="00820398">
      <w:pPr>
        <w:spacing w:line="360" w:lineRule="auto"/>
        <w:jc w:val="both"/>
        <w:rPr>
          <w:rFonts w:ascii="Palatino Linotype" w:eastAsia="Palatino Linotype" w:hAnsi="Palatino Linotype" w:cs="Palatino Linotype"/>
          <w:b/>
          <w:sz w:val="22"/>
          <w:szCs w:val="22"/>
        </w:rPr>
      </w:pPr>
    </w:p>
    <w:p w14:paraId="38C136F7"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Segundo. Oportunidad y Procedibilidad del Recurso de Revisión</w:t>
      </w:r>
      <w:r w:rsidRPr="00704DA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76670B4"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5FFE9476" w14:textId="77777777" w:rsidR="00820398" w:rsidRPr="00704DAA" w:rsidRDefault="00AD5A10">
      <w:pPr>
        <w:spacing w:line="360" w:lineRule="auto"/>
        <w:ind w:right="49"/>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proporcionó su respuesta a la </w:t>
      </w:r>
      <w:r w:rsidRPr="00704DAA">
        <w:rPr>
          <w:rFonts w:ascii="Palatino Linotype" w:eastAsia="Palatino Linotype" w:hAnsi="Palatino Linotype" w:cs="Palatino Linotype"/>
          <w:sz w:val="22"/>
          <w:szCs w:val="22"/>
        </w:rPr>
        <w:lastRenderedPageBreak/>
        <w:t xml:space="preserve">solicitud de información el </w:t>
      </w:r>
      <w:r w:rsidRPr="00704DAA">
        <w:rPr>
          <w:rFonts w:ascii="Palatino Linotype" w:eastAsia="Palatino Linotype" w:hAnsi="Palatino Linotype" w:cs="Palatino Linotype"/>
          <w:b/>
          <w:sz w:val="22"/>
          <w:szCs w:val="22"/>
        </w:rPr>
        <w:t>trece de febrero de dos mil veinticinco</w:t>
      </w:r>
      <w:r w:rsidRPr="00704DAA">
        <w:rPr>
          <w:rFonts w:ascii="Palatino Linotype" w:eastAsia="Palatino Linotype" w:hAnsi="Palatino Linotype" w:cs="Palatino Linotype"/>
          <w:sz w:val="22"/>
          <w:szCs w:val="22"/>
        </w:rPr>
        <w:t xml:space="preserve">, y la parte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xml:space="preserve"> presentó su recurso de revisión el </w:t>
      </w:r>
      <w:r w:rsidRPr="00704DAA">
        <w:rPr>
          <w:rFonts w:ascii="Palatino Linotype" w:eastAsia="Palatino Linotype" w:hAnsi="Palatino Linotype" w:cs="Palatino Linotype"/>
          <w:b/>
          <w:sz w:val="22"/>
          <w:szCs w:val="22"/>
        </w:rPr>
        <w:t>veinticinco de febrero de dos mil veinticinco</w:t>
      </w:r>
      <w:r w:rsidRPr="00704DAA">
        <w:rPr>
          <w:rFonts w:ascii="Palatino Linotype" w:eastAsia="Palatino Linotype" w:hAnsi="Palatino Linotype" w:cs="Palatino Linotype"/>
          <w:sz w:val="22"/>
          <w:szCs w:val="22"/>
        </w:rPr>
        <w:t>;</w:t>
      </w:r>
      <w:r w:rsidRPr="00704DAA">
        <w:rPr>
          <w:rFonts w:ascii="Palatino Linotype" w:eastAsia="Palatino Linotype" w:hAnsi="Palatino Linotype" w:cs="Palatino Linotype"/>
          <w:b/>
          <w:sz w:val="22"/>
          <w:szCs w:val="22"/>
        </w:rPr>
        <w:t xml:space="preserve"> </w:t>
      </w:r>
      <w:r w:rsidRPr="00704DAA">
        <w:rPr>
          <w:rFonts w:ascii="Palatino Linotype" w:eastAsia="Palatino Linotype" w:hAnsi="Palatino Linotype" w:cs="Palatino Linotype"/>
          <w:sz w:val="22"/>
          <w:szCs w:val="22"/>
        </w:rPr>
        <w:t xml:space="preserve">esto es al octavo día hábil siguiente en que tuvo conocimiento de la respuesta. </w:t>
      </w:r>
    </w:p>
    <w:p w14:paraId="4492625C"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3ED4480D" w14:textId="77777777" w:rsidR="00820398" w:rsidRPr="00704DAA" w:rsidRDefault="00AD5A10">
      <w:pPr>
        <w:spacing w:line="360" w:lineRule="auto"/>
        <w:jc w:val="both"/>
        <w:rPr>
          <w:rFonts w:ascii="Palatino Linotype" w:eastAsia="Palatino Linotype" w:hAnsi="Palatino Linotype" w:cs="Palatino Linotype"/>
          <w:b/>
          <w:sz w:val="22"/>
          <w:szCs w:val="22"/>
        </w:rPr>
      </w:pPr>
      <w:r w:rsidRPr="00704DAA">
        <w:rPr>
          <w:rFonts w:ascii="Palatino Linotype" w:eastAsia="Palatino Linotype" w:hAnsi="Palatino Linotype" w:cs="Palatino Linotype"/>
          <w:sz w:val="22"/>
          <w:szCs w:val="22"/>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704DAA">
        <w:rPr>
          <w:rFonts w:ascii="Palatino Linotype" w:eastAsia="Palatino Linotype" w:hAnsi="Palatino Linotype" w:cs="Palatino Linotype"/>
          <w:b/>
          <w:sz w:val="22"/>
          <w:szCs w:val="22"/>
        </w:rPr>
        <w:t>SAIMEX.</w:t>
      </w:r>
    </w:p>
    <w:p w14:paraId="70DCF263"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674BADBC"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5D54E32E"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1C9C4C68"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 xml:space="preserve">Artículo 179. </w:t>
      </w:r>
      <w:r w:rsidRPr="00704DA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32BEC74"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371ADA3C"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 La entrega de información que no corresponda con lo solicitado;</w:t>
      </w:r>
    </w:p>
    <w:p w14:paraId="1C32FD33" w14:textId="77777777" w:rsidR="00820398" w:rsidRPr="00704DAA" w:rsidRDefault="00AD5A10">
      <w:pPr>
        <w:spacing w:line="360"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 </w:t>
      </w:r>
    </w:p>
    <w:p w14:paraId="6B28595A" w14:textId="77777777" w:rsidR="00820398" w:rsidRPr="00704DAA" w:rsidRDefault="00AD5A10">
      <w:pPr>
        <w:spacing w:before="240" w:after="240" w:line="360" w:lineRule="auto"/>
        <w:ind w:right="6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Tercero. Materia de Revisión</w:t>
      </w:r>
      <w:r w:rsidRPr="00704DAA">
        <w:rPr>
          <w:rFonts w:ascii="Palatino Linotype" w:eastAsia="Palatino Linotype" w:hAnsi="Palatino Linotype" w:cs="Palatino Linotype"/>
          <w:sz w:val="22"/>
          <w:szCs w:val="22"/>
        </w:rPr>
        <w:t>: De las constancias que integran el expediente electrónico se advierte que el tema sobre el que este Instituto se pronunciará será: verificar si la respuesta como informe justificado otorgados por el</w:t>
      </w:r>
      <w:r w:rsidRPr="00704DAA">
        <w:rPr>
          <w:rFonts w:ascii="Palatino Linotype" w:eastAsia="Palatino Linotype" w:hAnsi="Palatino Linotype" w:cs="Palatino Linotype"/>
          <w:b/>
          <w:sz w:val="22"/>
          <w:szCs w:val="22"/>
        </w:rPr>
        <w:t xml:space="preserve"> Sujeto Obligado </w:t>
      </w:r>
      <w:r w:rsidRPr="00704DAA">
        <w:rPr>
          <w:rFonts w:ascii="Palatino Linotype" w:eastAsia="Palatino Linotype" w:hAnsi="Palatino Linotype" w:cs="Palatino Linotype"/>
          <w:sz w:val="22"/>
          <w:szCs w:val="22"/>
        </w:rPr>
        <w:t xml:space="preserve">es adecuada y suficiente para satisfacer el derecho de acceso a la información pública de la parte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o en su defecto, en caso de ser procedente, ordenar la entrega de información.</w:t>
      </w:r>
    </w:p>
    <w:p w14:paraId="05F8CB02"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lastRenderedPageBreak/>
        <w:t xml:space="preserve">Cuarto. Estudio de fondo del asunto. </w:t>
      </w:r>
      <w:r w:rsidRPr="00704DAA">
        <w:rPr>
          <w:rFonts w:ascii="Palatino Linotype" w:eastAsia="Palatino Linotype" w:hAnsi="Palatino Linotype" w:cs="Palatino Linotype"/>
          <w:sz w:val="22"/>
          <w:szCs w:val="22"/>
        </w:rPr>
        <w:t xml:space="preserve">Es conveniente analizar si la respuesta e informe justificado del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490C233" w14:textId="77777777" w:rsidR="00820398" w:rsidRPr="00704DAA" w:rsidRDefault="00AD5A10">
      <w:pPr>
        <w:spacing w:before="240"/>
        <w:ind w:left="709" w:right="760"/>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Artículo 4</w:t>
      </w:r>
      <w:r w:rsidRPr="00704DA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76FA64" w14:textId="77777777" w:rsidR="00820398" w:rsidRPr="00704DAA" w:rsidRDefault="00AD5A10">
      <w:pPr>
        <w:ind w:left="709" w:right="760"/>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4DA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F709C54" w14:textId="77777777" w:rsidR="00820398" w:rsidRPr="00704DAA" w:rsidRDefault="00AD5A10">
      <w:pPr>
        <w:ind w:left="709" w:right="760"/>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4DAA">
        <w:rPr>
          <w:rFonts w:ascii="Palatino Linotype" w:eastAsia="Palatino Linotype" w:hAnsi="Palatino Linotype" w:cs="Palatino Linotype"/>
          <w:i/>
          <w:sz w:val="22"/>
          <w:szCs w:val="22"/>
        </w:rPr>
        <w:t>.”(Sic)</w:t>
      </w:r>
    </w:p>
    <w:p w14:paraId="7E2A1FB9"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310FFAE9"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w:t>
      </w:r>
      <w:r w:rsidRPr="00704DAA">
        <w:rPr>
          <w:rFonts w:ascii="Palatino Linotype" w:eastAsia="Palatino Linotype" w:hAnsi="Palatino Linotype" w:cs="Palatino Linotype"/>
          <w:sz w:val="22"/>
          <w:szCs w:val="22"/>
        </w:rPr>
        <w:lastRenderedPageBreak/>
        <w:t>lo establece el artículo 12 de la Ley de Transparencia y Acceso a la Información Pública del Estado de México y Municipios, que a la letra dice:</w:t>
      </w:r>
    </w:p>
    <w:p w14:paraId="4D199C7A"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6A94DA5F"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Artículo 12.-</w:t>
      </w:r>
      <w:r w:rsidRPr="00704DA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B8A577C" w14:textId="77777777" w:rsidR="00820398" w:rsidRPr="00704DAA" w:rsidRDefault="00820398">
      <w:pPr>
        <w:ind w:left="851" w:right="616"/>
        <w:jc w:val="both"/>
        <w:rPr>
          <w:rFonts w:ascii="Palatino Linotype" w:eastAsia="Palatino Linotype" w:hAnsi="Palatino Linotype" w:cs="Palatino Linotype"/>
          <w:i/>
          <w:sz w:val="22"/>
          <w:szCs w:val="22"/>
        </w:rPr>
      </w:pPr>
    </w:p>
    <w:p w14:paraId="354B1C3F"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4DAA">
        <w:rPr>
          <w:rFonts w:ascii="Palatino Linotype" w:eastAsia="Palatino Linotype" w:hAnsi="Palatino Linotype" w:cs="Palatino Linotype"/>
          <w:i/>
          <w:sz w:val="22"/>
          <w:szCs w:val="22"/>
        </w:rPr>
        <w:t xml:space="preserve">. </w:t>
      </w:r>
      <w:r w:rsidRPr="00704DA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D875B74" w14:textId="77777777" w:rsidR="00820398" w:rsidRPr="00704DAA" w:rsidRDefault="00820398">
      <w:pPr>
        <w:spacing w:line="360" w:lineRule="auto"/>
        <w:ind w:right="-93"/>
        <w:jc w:val="both"/>
        <w:rPr>
          <w:rFonts w:ascii="Palatino Linotype" w:eastAsia="Palatino Linotype" w:hAnsi="Palatino Linotype" w:cs="Palatino Linotype"/>
          <w:sz w:val="22"/>
          <w:szCs w:val="22"/>
        </w:rPr>
      </w:pPr>
    </w:p>
    <w:p w14:paraId="6CCC3E50" w14:textId="77777777" w:rsidR="00820398" w:rsidRPr="00704DAA" w:rsidRDefault="00AD5A10">
      <w:pPr>
        <w:spacing w:line="360" w:lineRule="auto"/>
        <w:ind w:right="-93"/>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27F86B5" w14:textId="77777777" w:rsidR="00820398" w:rsidRPr="00704DAA" w:rsidRDefault="00820398">
      <w:pPr>
        <w:spacing w:line="360" w:lineRule="auto"/>
        <w:ind w:right="-93"/>
        <w:jc w:val="both"/>
        <w:rPr>
          <w:rFonts w:ascii="Palatino Linotype" w:eastAsia="Palatino Linotype" w:hAnsi="Palatino Linotype" w:cs="Palatino Linotype"/>
          <w:sz w:val="22"/>
          <w:szCs w:val="22"/>
        </w:rPr>
      </w:pPr>
    </w:p>
    <w:p w14:paraId="215FD381" w14:textId="77777777" w:rsidR="00820398" w:rsidRPr="00704DAA" w:rsidRDefault="00AD5A10">
      <w:pPr>
        <w:spacing w:line="360" w:lineRule="auto"/>
        <w:jc w:val="both"/>
        <w:rPr>
          <w:rFonts w:ascii="Palatino Linotype" w:eastAsia="Palatino Linotype" w:hAnsi="Palatino Linotype" w:cs="Palatino Linotype"/>
          <w:b/>
          <w:sz w:val="22"/>
          <w:szCs w:val="22"/>
        </w:rPr>
      </w:pPr>
      <w:r w:rsidRPr="00704DA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04DAA">
        <w:rPr>
          <w:rFonts w:ascii="Palatino Linotype" w:eastAsia="Palatino Linotype" w:hAnsi="Palatino Linotype" w:cs="Palatino Linotype"/>
          <w:b/>
          <w:sz w:val="22"/>
          <w:szCs w:val="22"/>
        </w:rPr>
        <w:t xml:space="preserve"> </w:t>
      </w:r>
    </w:p>
    <w:p w14:paraId="7441B82D" w14:textId="77777777" w:rsidR="00820398" w:rsidRPr="00704DAA" w:rsidRDefault="00820398">
      <w:pPr>
        <w:ind w:left="851" w:right="850"/>
        <w:jc w:val="both"/>
        <w:rPr>
          <w:rFonts w:ascii="Palatino Linotype" w:eastAsia="Palatino Linotype" w:hAnsi="Palatino Linotype" w:cs="Palatino Linotype"/>
          <w:sz w:val="22"/>
          <w:szCs w:val="22"/>
        </w:rPr>
      </w:pPr>
    </w:p>
    <w:p w14:paraId="18439F05"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No existe obligación de elaborar documentos ad hoc para atender las solicitudes de acceso a la información.</w:t>
      </w:r>
      <w:r w:rsidRPr="00704DA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w:t>
      </w:r>
      <w:r w:rsidRPr="00704DAA">
        <w:rPr>
          <w:rFonts w:ascii="Palatino Linotype" w:eastAsia="Palatino Linotype" w:hAnsi="Palatino Linotype" w:cs="Palatino Linotype"/>
          <w:i/>
          <w:sz w:val="22"/>
          <w:szCs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5384247"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Resoluciones: </w:t>
      </w:r>
    </w:p>
    <w:p w14:paraId="0A53983B"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4403BB6B"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E39C33F"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Mora.”(Sic)</w:t>
      </w:r>
    </w:p>
    <w:p w14:paraId="69043DBF" w14:textId="77777777" w:rsidR="00820398" w:rsidRPr="00704DAA" w:rsidRDefault="00820398">
      <w:pPr>
        <w:spacing w:line="360" w:lineRule="auto"/>
        <w:ind w:right="-93"/>
        <w:jc w:val="both"/>
        <w:rPr>
          <w:rFonts w:ascii="Palatino Linotype" w:eastAsia="Palatino Linotype" w:hAnsi="Palatino Linotype" w:cs="Palatino Linotype"/>
          <w:sz w:val="22"/>
          <w:szCs w:val="22"/>
        </w:rPr>
      </w:pPr>
    </w:p>
    <w:p w14:paraId="62C1BDDF"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9E0D05"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73666011" w14:textId="77777777" w:rsidR="00820398" w:rsidRPr="00704DAA" w:rsidRDefault="00AD5A10">
      <w:pPr>
        <w:spacing w:line="360" w:lineRule="auto"/>
        <w:ind w:right="49"/>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980518E" w14:textId="77777777" w:rsidR="00820398" w:rsidRPr="00704DAA" w:rsidRDefault="00820398">
      <w:pPr>
        <w:spacing w:line="360" w:lineRule="auto"/>
        <w:ind w:right="49"/>
        <w:jc w:val="both"/>
        <w:rPr>
          <w:rFonts w:ascii="Palatino Linotype" w:eastAsia="Palatino Linotype" w:hAnsi="Palatino Linotype" w:cs="Palatino Linotype"/>
          <w:sz w:val="22"/>
          <w:szCs w:val="22"/>
        </w:rPr>
      </w:pPr>
    </w:p>
    <w:p w14:paraId="0AC5854A"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970D0C" w14:textId="77777777" w:rsidR="00820398" w:rsidRPr="00704DAA" w:rsidRDefault="00820398">
      <w:pPr>
        <w:ind w:left="851" w:right="899"/>
        <w:jc w:val="both"/>
        <w:rPr>
          <w:rFonts w:ascii="Palatino Linotype" w:eastAsia="Palatino Linotype" w:hAnsi="Palatino Linotype" w:cs="Palatino Linotype"/>
          <w:i/>
          <w:sz w:val="22"/>
          <w:szCs w:val="22"/>
        </w:rPr>
      </w:pPr>
    </w:p>
    <w:p w14:paraId="7BDC62CB"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 xml:space="preserve">Artículo 3. </w:t>
      </w:r>
      <w:r w:rsidRPr="00704DAA">
        <w:rPr>
          <w:rFonts w:ascii="Palatino Linotype" w:eastAsia="Palatino Linotype" w:hAnsi="Palatino Linotype" w:cs="Palatino Linotype"/>
          <w:i/>
          <w:sz w:val="22"/>
          <w:szCs w:val="22"/>
        </w:rPr>
        <w:t>Para los efectos de la presente Ley se entenderá por:</w:t>
      </w:r>
    </w:p>
    <w:p w14:paraId="50C6F2FE"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7B64CDD1"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XI. Documento:</w:t>
      </w:r>
      <w:r w:rsidRPr="00704DAA">
        <w:rPr>
          <w:rFonts w:ascii="Palatino Linotype" w:eastAsia="Palatino Linotype" w:hAnsi="Palatino Linotype" w:cs="Palatino Linotype"/>
          <w:i/>
          <w:sz w:val="22"/>
          <w:szCs w:val="22"/>
        </w:rPr>
        <w:t xml:space="preserve"> Los expedientes, reportes, estudios, actas</w:t>
      </w:r>
      <w:r w:rsidRPr="00704DAA">
        <w:rPr>
          <w:rFonts w:ascii="Palatino Linotype" w:eastAsia="Palatino Linotype" w:hAnsi="Palatino Linotype" w:cs="Palatino Linotype"/>
          <w:b/>
          <w:i/>
          <w:sz w:val="22"/>
          <w:szCs w:val="22"/>
        </w:rPr>
        <w:t>,</w:t>
      </w:r>
      <w:r w:rsidRPr="00704DA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538B912" w14:textId="77777777" w:rsidR="00820398" w:rsidRPr="00704DAA" w:rsidRDefault="00820398">
      <w:pPr>
        <w:ind w:left="851" w:right="899"/>
        <w:jc w:val="both"/>
        <w:rPr>
          <w:rFonts w:ascii="Palatino Linotype" w:eastAsia="Palatino Linotype" w:hAnsi="Palatino Linotype" w:cs="Palatino Linotype"/>
          <w:sz w:val="22"/>
          <w:szCs w:val="22"/>
        </w:rPr>
      </w:pPr>
    </w:p>
    <w:p w14:paraId="4C20C1FA"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FBE76E1" w14:textId="77777777" w:rsidR="00820398" w:rsidRPr="00704DAA" w:rsidRDefault="00820398">
      <w:pPr>
        <w:ind w:left="851" w:right="899"/>
        <w:jc w:val="both"/>
        <w:rPr>
          <w:rFonts w:ascii="Palatino Linotype" w:eastAsia="Palatino Linotype" w:hAnsi="Palatino Linotype" w:cs="Palatino Linotype"/>
          <w:sz w:val="22"/>
          <w:szCs w:val="22"/>
        </w:rPr>
      </w:pPr>
    </w:p>
    <w:p w14:paraId="68E34E28" w14:textId="77777777" w:rsidR="00820398" w:rsidRPr="00704DAA" w:rsidRDefault="00AD5A10">
      <w:pPr>
        <w:spacing w:line="276" w:lineRule="auto"/>
        <w:ind w:left="851" w:right="899"/>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sz w:val="22"/>
          <w:szCs w:val="22"/>
        </w:rPr>
        <w:t>“</w:t>
      </w:r>
      <w:r w:rsidRPr="00704DAA">
        <w:rPr>
          <w:rFonts w:ascii="Palatino Linotype" w:eastAsia="Palatino Linotype" w:hAnsi="Palatino Linotype" w:cs="Palatino Linotype"/>
          <w:b/>
          <w:i/>
          <w:sz w:val="22"/>
          <w:szCs w:val="22"/>
        </w:rPr>
        <w:t>CRITERIO 0002-11</w:t>
      </w:r>
    </w:p>
    <w:p w14:paraId="733A4C1D"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04DAA">
        <w:rPr>
          <w:rFonts w:ascii="Palatino Linotype" w:eastAsia="Palatino Linotype" w:hAnsi="Palatino Linotype" w:cs="Palatino Linotype"/>
          <w:i/>
          <w:sz w:val="22"/>
          <w:szCs w:val="22"/>
        </w:rPr>
        <w:t xml:space="preserve"> De conformidad con los artículos antes referidos, el derecho de acceso a la información pública, se define </w:t>
      </w:r>
      <w:r w:rsidRPr="00704DAA">
        <w:rPr>
          <w:rFonts w:ascii="Palatino Linotype" w:eastAsia="Palatino Linotype" w:hAnsi="Palatino Linotype" w:cs="Palatino Linotype"/>
          <w:i/>
          <w:sz w:val="22"/>
          <w:szCs w:val="22"/>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86F0D8"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9D24F2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4329BD3" w14:textId="77777777" w:rsidR="00820398" w:rsidRPr="00704DAA" w:rsidRDefault="00AD5A10">
      <w:pPr>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490CAA4" w14:textId="77777777" w:rsidR="00820398" w:rsidRPr="00704DAA" w:rsidRDefault="00AD5A10">
      <w:pPr>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1BAB904"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63589436" w14:textId="77777777" w:rsidR="00820398" w:rsidRPr="00704DAA" w:rsidRDefault="00AD5A10">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Ahora bien, del análisis de la solicitud de información motivo del recurso de revisión que ahora se resuelve, se advierte que el particular requirió al Sistema Municipal para el Desarrollo Integral de la Familia de Tlalnepantla de Baz, la información consistente en lo siguiente:</w:t>
      </w:r>
    </w:p>
    <w:p w14:paraId="583AB993" w14:textId="77777777" w:rsidR="00820398" w:rsidRPr="00704DAA" w:rsidRDefault="00AD5A10">
      <w:pPr>
        <w:numPr>
          <w:ilvl w:val="0"/>
          <w:numId w:val="5"/>
        </w:numPr>
        <w:pBdr>
          <w:top w:val="nil"/>
          <w:left w:val="nil"/>
          <w:bottom w:val="nil"/>
          <w:right w:val="nil"/>
          <w:between w:val="nil"/>
        </w:pBdr>
        <w:spacing w:before="240" w:after="240" w:line="360" w:lineRule="auto"/>
        <w:ind w:right="60"/>
        <w:jc w:val="both"/>
        <w:rPr>
          <w:rFonts w:ascii="Palatino Linotype" w:eastAsia="Palatino Linotype" w:hAnsi="Palatino Linotype" w:cs="Palatino Linotype"/>
          <w:b/>
          <w:sz w:val="22"/>
          <w:szCs w:val="22"/>
        </w:rPr>
      </w:pPr>
      <w:r w:rsidRPr="00704DAA">
        <w:rPr>
          <w:rFonts w:ascii="Palatino Linotype" w:eastAsia="Palatino Linotype" w:hAnsi="Palatino Linotype" w:cs="Palatino Linotype"/>
          <w:b/>
          <w:sz w:val="22"/>
          <w:szCs w:val="22"/>
        </w:rPr>
        <w:t>Presupuesto que dejó de la administración 2022 - 2024 a la nueva administración 2025 - 2027 para continuar con las labores</w:t>
      </w:r>
    </w:p>
    <w:p w14:paraId="5FEE3410"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Por su parte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emitió su respuesta a través del Departamento de Recursos Financieros y Control Presupuestario mediante el cual informó que en la Décima Octava Sesión Ordinaria de la Junta de Gobierno del Organismo Público Descentralizado de Asistencia Social denominado Sistema Municipal para el Desarrollo Integral de la Familia de Tlalnepantla de Baz, Estado de México, de fecha 19 de diciembre de 2024, se aprobó el Anteproyecto de Presupuesto de Ingresos y Egresos para el Ejercicio Fiscal 2025, el cual se </w:t>
      </w:r>
      <w:r w:rsidRPr="00704DAA">
        <w:rPr>
          <w:rFonts w:ascii="Palatino Linotype" w:eastAsia="Palatino Linotype" w:hAnsi="Palatino Linotype" w:cs="Palatino Linotype"/>
          <w:sz w:val="22"/>
          <w:szCs w:val="22"/>
        </w:rPr>
        <w:lastRenderedPageBreak/>
        <w:t xml:space="preserve">encuentra publicado en la página oficial del SMDIF de Tlalnepantla de Baz, en la siguiente liga electrónica: </w:t>
      </w:r>
      <w:hyperlink r:id="rId9">
        <w:r w:rsidRPr="00704DAA">
          <w:rPr>
            <w:rFonts w:ascii="Palatino Linotype" w:eastAsia="Palatino Linotype" w:hAnsi="Palatino Linotype" w:cs="Palatino Linotype"/>
            <w:sz w:val="22"/>
            <w:szCs w:val="22"/>
            <w:u w:val="single"/>
          </w:rPr>
          <w:t>http://repositorio.tlalnepantla.gob.mx/files/pdf/repositorio/8282JGDIF.pdf</w:t>
        </w:r>
      </w:hyperlink>
      <w:r w:rsidRPr="00704DAA">
        <w:rPr>
          <w:rFonts w:ascii="Palatino Linotype" w:eastAsia="Palatino Linotype" w:hAnsi="Palatino Linotype" w:cs="Palatino Linotype"/>
          <w:sz w:val="22"/>
          <w:szCs w:val="22"/>
        </w:rPr>
        <w:t xml:space="preserve">. </w:t>
      </w:r>
    </w:p>
    <w:p w14:paraId="505026B9"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Inconforme la parte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xml:space="preserve"> con la respuesta, interpuso el Recurso de Revisión en el que expreso </w:t>
      </w:r>
      <w:r w:rsidRPr="00704DAA">
        <w:rPr>
          <w:rFonts w:ascii="Palatino Linotype" w:eastAsia="Palatino Linotype" w:hAnsi="Palatino Linotype" w:cs="Palatino Linotype"/>
          <w:i/>
          <w:sz w:val="22"/>
          <w:szCs w:val="22"/>
        </w:rPr>
        <w:t>“no es lo que solicite”.</w:t>
      </w:r>
      <w:r w:rsidRPr="00704DAA">
        <w:rPr>
          <w:rFonts w:ascii="Palatino Linotype" w:eastAsia="Palatino Linotype" w:hAnsi="Palatino Linotype" w:cs="Palatino Linotype"/>
          <w:sz w:val="22"/>
          <w:szCs w:val="22"/>
        </w:rPr>
        <w:t xml:space="preserve"> </w:t>
      </w:r>
    </w:p>
    <w:p w14:paraId="2DEA6A0A"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14F2CB84" w14:textId="77777777" w:rsidR="00820398" w:rsidRPr="00704DAA" w:rsidRDefault="00AD5A10">
      <w:pPr>
        <w:spacing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Una vez notificado el recurso de revisión al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rindió su informe justificado, mediante el cual entregó el Acta de la Cuarta Sesión Extraordinaria de la Junta de Gobierno del Organismo Público Descentralizado de Asistencia Social, denominado Sistema Municipal para el Desarrollo Integral de la Familia de Tlalnepantla de Baz, celebrada el 25 de febrero del dos mil veinticinco, en la que se aprobó la Ley de Ingresos y Presupuesto de Egresos del Sistema Municipal para el Desarrollo Integral de la Familia de Tlalnepantla de Baz, Estado de México para el Ejercicio Fiscal 2025, para quedar en la cantidad de $349,675,040.77 (Trescientos cuarenta y nueve millones seiscientos setenta y cinco mil cuarenta pesos 77/100 M.N.), como presupuesto definitivo, conforme a los anexos correspondientes que integran el acuerdo.</w:t>
      </w:r>
    </w:p>
    <w:p w14:paraId="41763E2D"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Expuesto lo anterior, conviene señalar que el artículo 63 del Reglamento Interno del Sistema Municipal para el Desarrollo Integral de la Familia de Tlalnepantla de Baz refiere que para el eficaz desempeño de sus atribuciones, la Dirección General del SMDIF se auxiliara de una Oficialía Mayor, misma que de conformidad con el artículo 80 del mismo ordenamiento, contara con las siguientes atribuciones:</w:t>
      </w:r>
    </w:p>
    <w:p w14:paraId="703C192A"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Artículo 80.-</w:t>
      </w:r>
      <w:r w:rsidRPr="00704DAA">
        <w:rPr>
          <w:rFonts w:ascii="Palatino Linotype" w:eastAsia="Palatino Linotype" w:hAnsi="Palatino Linotype" w:cs="Palatino Linotype"/>
          <w:i/>
          <w:sz w:val="22"/>
          <w:szCs w:val="22"/>
        </w:rPr>
        <w:t xml:space="preserve"> Son atribuciones y obligaciones </w:t>
      </w:r>
      <w:r w:rsidRPr="00704DAA">
        <w:rPr>
          <w:rFonts w:ascii="Palatino Linotype" w:eastAsia="Palatino Linotype" w:hAnsi="Palatino Linotype" w:cs="Palatino Linotype"/>
          <w:b/>
          <w:i/>
          <w:sz w:val="22"/>
          <w:szCs w:val="22"/>
        </w:rPr>
        <w:t>de la Oficialía Mayor</w:t>
      </w:r>
      <w:r w:rsidRPr="00704DAA">
        <w:rPr>
          <w:rFonts w:ascii="Palatino Linotype" w:eastAsia="Palatino Linotype" w:hAnsi="Palatino Linotype" w:cs="Palatino Linotype"/>
          <w:i/>
          <w:sz w:val="22"/>
          <w:szCs w:val="22"/>
        </w:rPr>
        <w:t>, las siguientes:</w:t>
      </w:r>
    </w:p>
    <w:p w14:paraId="4C9E51C6"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lastRenderedPageBreak/>
        <w:t>I. Dirigir, coordinar, administrar y supervisar los recursos</w:t>
      </w:r>
      <w:r w:rsidRPr="00704DAA">
        <w:rPr>
          <w:rFonts w:ascii="Palatino Linotype" w:eastAsia="Palatino Linotype" w:hAnsi="Palatino Linotype" w:cs="Palatino Linotype"/>
          <w:i/>
          <w:sz w:val="22"/>
          <w:szCs w:val="22"/>
        </w:rPr>
        <w:t xml:space="preserve"> humanos, materiales, </w:t>
      </w:r>
      <w:r w:rsidRPr="00704DAA">
        <w:rPr>
          <w:rFonts w:ascii="Palatino Linotype" w:eastAsia="Palatino Linotype" w:hAnsi="Palatino Linotype" w:cs="Palatino Linotype"/>
          <w:b/>
          <w:i/>
          <w:sz w:val="22"/>
          <w:szCs w:val="22"/>
        </w:rPr>
        <w:t xml:space="preserve">económicos </w:t>
      </w:r>
      <w:r w:rsidRPr="00704DAA">
        <w:rPr>
          <w:rFonts w:ascii="Palatino Linotype" w:eastAsia="Palatino Linotype" w:hAnsi="Palatino Linotype" w:cs="Palatino Linotype"/>
          <w:i/>
          <w:sz w:val="22"/>
          <w:szCs w:val="22"/>
        </w:rPr>
        <w:t xml:space="preserve">y de equipamiento </w:t>
      </w:r>
      <w:r w:rsidRPr="00704DAA">
        <w:rPr>
          <w:rFonts w:ascii="Palatino Linotype" w:eastAsia="Palatino Linotype" w:hAnsi="Palatino Linotype" w:cs="Palatino Linotype"/>
          <w:b/>
          <w:i/>
          <w:sz w:val="22"/>
          <w:szCs w:val="22"/>
        </w:rPr>
        <w:t>de las diferentes unidades administrativas del SMDIF</w:t>
      </w:r>
      <w:r w:rsidRPr="00704DAA">
        <w:rPr>
          <w:rFonts w:ascii="Palatino Linotype" w:eastAsia="Palatino Linotype" w:hAnsi="Palatino Linotype" w:cs="Palatino Linotype"/>
          <w:i/>
          <w:sz w:val="22"/>
          <w:szCs w:val="22"/>
        </w:rPr>
        <w:t>;</w:t>
      </w:r>
    </w:p>
    <w:p w14:paraId="70B3F9F6"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II. Participar en coordinación con el Área de la UIPPE de la Secretaría Técnica en el proceso de formulación del </w:t>
      </w:r>
      <w:proofErr w:type="spellStart"/>
      <w:r w:rsidRPr="00704DAA">
        <w:rPr>
          <w:rFonts w:ascii="Palatino Linotype" w:eastAsia="Palatino Linotype" w:hAnsi="Palatino Linotype" w:cs="Palatino Linotype"/>
          <w:i/>
          <w:sz w:val="22"/>
          <w:szCs w:val="22"/>
        </w:rPr>
        <w:t>PbRM</w:t>
      </w:r>
      <w:proofErr w:type="spellEnd"/>
      <w:r w:rsidRPr="00704DAA">
        <w:rPr>
          <w:rFonts w:ascii="Palatino Linotype" w:eastAsia="Palatino Linotype" w:hAnsi="Palatino Linotype" w:cs="Palatino Linotype"/>
          <w:i/>
          <w:sz w:val="22"/>
          <w:szCs w:val="22"/>
        </w:rPr>
        <w:t xml:space="preserve"> del SMDIF;</w:t>
      </w:r>
    </w:p>
    <w:p w14:paraId="438934D3"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III. Dar el visto bueno a las reconducciones programáticas presupuestales, recalendarizaciones, traspasos internos y externos, previamente autorizados y validados por el Área de la UIPPE del SMDIF, según sea el caso;</w:t>
      </w:r>
    </w:p>
    <w:p w14:paraId="01BC5035"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IV. Proponer a la Dirección General las políticas y estrategias para incrementar los ingresos propios del SMDIF;</w:t>
      </w:r>
    </w:p>
    <w:p w14:paraId="305DB4A8"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 Dirigir y controlar la política de ingresos del SMDIF con eficiencia y transparencia;</w:t>
      </w:r>
    </w:p>
    <w:p w14:paraId="15E85BBD"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 Recibir, analizar y valorar en conjunto con el Área de Ingresos, la factibilidad y viabilidad de las propuestas realizadas por parte de las Subdirecciones, relativas a modificaciones y/o ajustes a las cuotas de recuperación por la prestación a bajo costo de los diversos bienes y servicios que ofrece el SMDIF;</w:t>
      </w:r>
    </w:p>
    <w:p w14:paraId="0E142FD0"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VII. Dar visto bueno, cuando así se estime conveniente, a las propuestas realizadas por las Subdirecciones y Coordinaciones relativas a las modificaciones y/o ajustes sobre las cuotas de recuperación por la prestación a bajo costo de los diversos bienes y servicios que ofrece el SMDIF;</w:t>
      </w:r>
    </w:p>
    <w:p w14:paraId="377B035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VIII. Vigilar que el ejercicio del gasto público del SMDIF se ejecute observando su eficacia, eficiencia, calidad y transparencia;</w:t>
      </w:r>
    </w:p>
    <w:p w14:paraId="053C3D6F"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IX. Establecer los mecanismos y procedimientos de control necesarios para realizar el ejercicio del gasto</w:t>
      </w:r>
      <w:r w:rsidRPr="00704DAA">
        <w:rPr>
          <w:rFonts w:ascii="Palatino Linotype" w:eastAsia="Palatino Linotype" w:hAnsi="Palatino Linotype" w:cs="Palatino Linotype"/>
          <w:i/>
          <w:sz w:val="22"/>
          <w:szCs w:val="22"/>
        </w:rPr>
        <w:t>, considerando estudios, análisis y disponibilidad financiera;</w:t>
      </w:r>
    </w:p>
    <w:p w14:paraId="730D8577" w14:textId="77777777" w:rsidR="00820398" w:rsidRPr="00704DAA" w:rsidRDefault="00AD5A10">
      <w:pPr>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X. Informar periódicamente a la Dirección General sobre el estado que guardan las finanzas públicas del SMDIF;</w:t>
      </w:r>
    </w:p>
    <w:p w14:paraId="68C624A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XI. Administrar la disponibilidad de recursos financieros con que cuenta el SMDIF</w:t>
      </w:r>
      <w:r w:rsidRPr="00704DAA">
        <w:rPr>
          <w:rFonts w:ascii="Palatino Linotype" w:eastAsia="Palatino Linotype" w:hAnsi="Palatino Linotype" w:cs="Palatino Linotype"/>
          <w:i/>
          <w:sz w:val="22"/>
          <w:szCs w:val="22"/>
        </w:rPr>
        <w:t>, para dar cumplimiento a los objetivos y compromisos adquiridos;</w:t>
      </w:r>
    </w:p>
    <w:p w14:paraId="1478452E"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XII. Proponer a la Dirección General, en coordinación con la Secretaría Técnica, el proyecto y modificaciones al presupuesto de egresos del SMDIF;</w:t>
      </w:r>
    </w:p>
    <w:p w14:paraId="65029F85"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lastRenderedPageBreak/>
        <w:t>XIII. Garantizar que los procesos de contratación gubernamentales del SMDIF, se determinen con base a una planeación racional de las necesidades y recursos del SMDIF, en apego a la normatividad aplicable;</w:t>
      </w:r>
    </w:p>
    <w:p w14:paraId="30AE98C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XIV. Emitir las credenciales del personal del SMDIF;</w:t>
      </w:r>
    </w:p>
    <w:p w14:paraId="352877A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XV. Gestionar el suministro de gas, agua potable, alcantarillado y energía eléctrica de las diversas unidades administrativas y centros periféricos del SMDIF conforme a la necesidad expresada por estos;</w:t>
      </w:r>
    </w:p>
    <w:p w14:paraId="6C839F61"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XVI. Proponer a la Junta de Gobierno, por conducto de la Dirección General, la cancelación de cuentas incobrables;</w:t>
      </w:r>
    </w:p>
    <w:p w14:paraId="1086384A" w14:textId="77777777" w:rsidR="00820398" w:rsidRPr="00704DAA" w:rsidRDefault="00AD5A10">
      <w:pPr>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XVII. Administrar y llevar el registro de los recursos que conforman el patrimonio del SMDIF conforme a la normatividad aplicable;</w:t>
      </w:r>
    </w:p>
    <w:p w14:paraId="082A1FAA"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XVIII. Vigilar los registros contables y el control presupuestal en materia de patrimonio, finanzas</w:t>
      </w:r>
      <w:r w:rsidRPr="00704DAA">
        <w:rPr>
          <w:rFonts w:ascii="Palatino Linotype" w:eastAsia="Palatino Linotype" w:hAnsi="Palatino Linotype" w:cs="Palatino Linotype"/>
          <w:i/>
          <w:sz w:val="22"/>
          <w:szCs w:val="22"/>
        </w:rPr>
        <w:t>, recursos humanos y materiales;</w:t>
      </w:r>
    </w:p>
    <w:p w14:paraId="530D79C0"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XIX. Vigilar y dar cumplimiento y cálculo de las obligaciones fiscales del SMDIF;</w:t>
      </w:r>
    </w:p>
    <w:p w14:paraId="47048F0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 Dirigir la integración y entrega de la cuenta pública e informes con la periodicidad establecida por el OSFEM;</w:t>
      </w:r>
    </w:p>
    <w:p w14:paraId="14F0801A"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XXI. Firmar los cheques en forma mancomunada con la Dirección General o quien la Presidencia designe;</w:t>
      </w:r>
    </w:p>
    <w:p w14:paraId="696F1685"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XXII. Autorizar en conjunto con la Dirección General las transferencias electrónicas de fondos conforme el presupuesto asignado, de las cuales se dará cuenta mediante los informes de estados financieros entregados de manera mensual</w:t>
      </w:r>
      <w:r w:rsidRPr="00704DAA">
        <w:rPr>
          <w:rFonts w:ascii="Palatino Linotype" w:eastAsia="Palatino Linotype" w:hAnsi="Palatino Linotype" w:cs="Palatino Linotype"/>
          <w:i/>
          <w:sz w:val="22"/>
          <w:szCs w:val="22"/>
        </w:rPr>
        <w:t>;</w:t>
      </w:r>
    </w:p>
    <w:p w14:paraId="65BFEB8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XXIII. Supervisar el adecuado control y custodia de las garantías otorgadas por los proveedores del SMDIF;</w:t>
      </w:r>
    </w:p>
    <w:p w14:paraId="0EBC1DAC"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XXIV. Dictar a través del Área de Servicios Generales y Control Vehicular las medidas de asignación, uso, cuidado, control y resguardo de las unidades vehiculares del SMDIF;</w:t>
      </w:r>
    </w:p>
    <w:p w14:paraId="61CB11B8"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XXV. Autorizar los recibos deducibles de impuestos por concepto de donativos en coordinación con el Área de Procuración de Fondos y Asistencia Social;</w:t>
      </w:r>
    </w:p>
    <w:p w14:paraId="4673AF90"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XXVI. Vigilar el buen funcionamiento, transparencia y eficiencia de la Caja General del SMDIF;</w:t>
      </w:r>
    </w:p>
    <w:p w14:paraId="5F22FA7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lastRenderedPageBreak/>
        <w:t>XXVII. Integrar y dar seguimiento al Comité Interno de Adquisiciones y Servicios, conforme a la normatividad aplicable;</w:t>
      </w:r>
    </w:p>
    <w:p w14:paraId="5BF0325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XXVIII. Coadyuvar en la regularización de la propiedad de los bienes inmuebles del SMDIF en coordinación con las autoridades correspondientes;</w:t>
      </w:r>
    </w:p>
    <w:p w14:paraId="28C86F3A"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XXIX. Verificar el estado que guardan los bienes patrimoniales de las unidades administrativas del SMDIF;</w:t>
      </w:r>
    </w:p>
    <w:p w14:paraId="2C5FD751"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XXX. Autorizar las políticas y procedimientos relativas al manejo de los vehículos propiedad del SMDIF, a propuesta del Área de Servicios Generales y Control Vehicular;</w:t>
      </w:r>
    </w:p>
    <w:p w14:paraId="73D410B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XXXI. Certificar los documentos oficiales que emanen de sus unidades administrativas;</w:t>
      </w:r>
    </w:p>
    <w:p w14:paraId="29916770"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XXXII. Coordinar, en conjunto con el Área de la UIPPE del SMDIF, la formulación y elaboración del anteproyecto de presupuesto de las diferentes unidades administrativas, así como sus modificaciones conforme los proyectos prioritarios establecidos para cada ejercicio fiscal; y</w:t>
      </w:r>
    </w:p>
    <w:p w14:paraId="4A3A076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XXXIII. Las demás que establezca la Dirección General en el ámbito de sus atribuciones o que señale la normatividad aplicable.”</w:t>
      </w:r>
    </w:p>
    <w:p w14:paraId="2F3A1052"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6190EBD5" w14:textId="77777777" w:rsidR="00820398" w:rsidRPr="00704DAA" w:rsidRDefault="00AD5A10">
      <w:pPr>
        <w:tabs>
          <w:tab w:val="left" w:pos="4962"/>
        </w:tabs>
        <w:spacing w:line="360" w:lineRule="auto"/>
        <w:ind w:right="-28"/>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Asimismo, su artículo 81 refiere que, para el eficaz despacho de sus atribuciones, la Oficialía Mayor se auxiliara del Área de Recursos Financieros y Control Presupuestario, misma que cuenta con las siguientes atribuciones y obligaciones: </w:t>
      </w:r>
    </w:p>
    <w:p w14:paraId="0FB4469D" w14:textId="77777777" w:rsidR="00820398" w:rsidRPr="00704DAA" w:rsidRDefault="00820398">
      <w:pPr>
        <w:tabs>
          <w:tab w:val="left" w:pos="4962"/>
        </w:tabs>
        <w:spacing w:line="360" w:lineRule="auto"/>
        <w:ind w:right="-28"/>
        <w:jc w:val="both"/>
        <w:rPr>
          <w:rFonts w:ascii="Palatino Linotype" w:eastAsia="Palatino Linotype" w:hAnsi="Palatino Linotype" w:cs="Palatino Linotype"/>
          <w:sz w:val="22"/>
          <w:szCs w:val="22"/>
        </w:rPr>
      </w:pPr>
    </w:p>
    <w:p w14:paraId="1205AEA8"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Artículo 82.-</w:t>
      </w:r>
      <w:r w:rsidRPr="00704DAA">
        <w:rPr>
          <w:rFonts w:ascii="Palatino Linotype" w:eastAsia="Palatino Linotype" w:hAnsi="Palatino Linotype" w:cs="Palatino Linotype"/>
          <w:i/>
          <w:sz w:val="22"/>
          <w:szCs w:val="22"/>
        </w:rPr>
        <w:t xml:space="preserve"> Son atribuciones y obligaciones del </w:t>
      </w:r>
      <w:r w:rsidRPr="00704DAA">
        <w:rPr>
          <w:rFonts w:ascii="Palatino Linotype" w:eastAsia="Palatino Linotype" w:hAnsi="Palatino Linotype" w:cs="Palatino Linotype"/>
          <w:b/>
          <w:i/>
          <w:sz w:val="22"/>
          <w:szCs w:val="22"/>
        </w:rPr>
        <w:t>Área de Recursos Financieros y Control Presupuestario</w:t>
      </w:r>
      <w:r w:rsidRPr="00704DAA">
        <w:rPr>
          <w:rFonts w:ascii="Palatino Linotype" w:eastAsia="Palatino Linotype" w:hAnsi="Palatino Linotype" w:cs="Palatino Linotype"/>
          <w:i/>
          <w:sz w:val="22"/>
          <w:szCs w:val="22"/>
        </w:rPr>
        <w:t>, las siguientes:</w:t>
      </w:r>
    </w:p>
    <w:p w14:paraId="7F0A30A7" w14:textId="77777777" w:rsidR="00820398" w:rsidRPr="00704DAA" w:rsidRDefault="00820398">
      <w:pPr>
        <w:tabs>
          <w:tab w:val="left" w:pos="4962"/>
        </w:tabs>
        <w:spacing w:line="276" w:lineRule="auto"/>
        <w:ind w:left="851" w:right="616"/>
        <w:jc w:val="both"/>
        <w:rPr>
          <w:rFonts w:ascii="Palatino Linotype" w:eastAsia="Palatino Linotype" w:hAnsi="Palatino Linotype" w:cs="Palatino Linotype"/>
          <w:i/>
          <w:sz w:val="22"/>
          <w:szCs w:val="22"/>
        </w:rPr>
      </w:pPr>
    </w:p>
    <w:p w14:paraId="44F97DC4"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I. Enterar y distribuir los techos presupuestarios a cada una de las unidades administrativas del SMDIF para la integración del anteproyecto de presupuesto del ejercicio fiscal correspondiente;</w:t>
      </w:r>
    </w:p>
    <w:p w14:paraId="325A8EDD"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 xml:space="preserve">II. Facilitar el conocimiento del estado contable-presupuestario que guarda cada una de las unidades administrativas, conforme los programas y </w:t>
      </w:r>
      <w:r w:rsidRPr="00704DAA">
        <w:rPr>
          <w:rFonts w:ascii="Palatino Linotype" w:eastAsia="Palatino Linotype" w:hAnsi="Palatino Linotype" w:cs="Palatino Linotype"/>
          <w:b/>
          <w:i/>
          <w:sz w:val="22"/>
          <w:szCs w:val="22"/>
        </w:rPr>
        <w:lastRenderedPageBreak/>
        <w:t>proyectos presupuestarios establecidos en la estructura programática del SMDIF;</w:t>
      </w:r>
    </w:p>
    <w:p w14:paraId="572772C6"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III. Planear, organizar, controlar y coordinar la política de egresos del SMDIF;</w:t>
      </w:r>
    </w:p>
    <w:p w14:paraId="1F6B0281"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IV. Integrar y garantizar que la documentación contable cumpla con los requisitos formales y legales;</w:t>
      </w:r>
    </w:p>
    <w:p w14:paraId="674BC9E8"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 Aplicar las normas, lineamientos y mecanismos necesarios para el adecuado registró contable y presupuestal del SMDIF;</w:t>
      </w:r>
    </w:p>
    <w:p w14:paraId="618DA837"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 Evaluar que el ejercicio del gasto público se realice conforme a la normatividad aplicable y en el ámbito de su competencia;</w:t>
      </w:r>
    </w:p>
    <w:p w14:paraId="127B2524"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VII. Integrar en conjunto con las diferentes unidades administrativas del SMDIF el proyecto y/o modificaciones al presupuesto de egresos que se propondrá a la Oficialía Mayor;</w:t>
      </w:r>
    </w:p>
    <w:p w14:paraId="194CA3C8"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VIII. Ejecutar y dar seguimiento a las reconducciones programáticas-presupuestales, recalendarizaciones, traspasos internos y externos, previamente autorizados y validados por la persona titular de la UIPPE;</w:t>
      </w:r>
    </w:p>
    <w:p w14:paraId="2C33F0FF"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IX. Establecer las políticas y los mecanismos de disciplina y control financiero del SMDIF;</w:t>
      </w:r>
    </w:p>
    <w:p w14:paraId="5FB12919"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X. Determinar y efectuar los pagos en general con base a los presupuestos aprobados y a la liquidez del SMDIF;</w:t>
      </w:r>
    </w:p>
    <w:p w14:paraId="2A828258"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XI. Coordinar con la Oficialía Mayor la integración y presentación del informe trimestral y la cuenta pública ante el OSFEM, de conformidad con la normatividad aplicable;</w:t>
      </w:r>
    </w:p>
    <w:p w14:paraId="6BCF30C6"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XII. Realizar mensualmente conciliaciones bancarias de ingresos y egresos;</w:t>
      </w:r>
    </w:p>
    <w:p w14:paraId="068F0EB9"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XIII. Mantener contablemente actualizados los inventarios de bienes muebles e inmuebles;</w:t>
      </w:r>
    </w:p>
    <w:p w14:paraId="39348D2C"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XIV. Informar a la Oficialía Mayor sobre el estado que guarda el ejercicio del gasto del SMDIF;</w:t>
      </w:r>
    </w:p>
    <w:p w14:paraId="3018B324"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XV. Elaborar las declaraciones fiscales ante el Gobierno del Estado de México y el Sistema de Administración Tributaria;</w:t>
      </w:r>
    </w:p>
    <w:p w14:paraId="3E9D43F8"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XVI. Gestionar, expedir y controlar la emisión de los recibos deducibles de impuestos por concepto de donativos en coordinación con el Área de Procuración de Fondos y Asistencia Social;</w:t>
      </w:r>
    </w:p>
    <w:p w14:paraId="32455D68"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lastRenderedPageBreak/>
        <w:t>XVII. Coordinar, supervisar y controlar la operación de la caja general del SMDIF;</w:t>
      </w:r>
    </w:p>
    <w:p w14:paraId="2A1D303B"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XVIII. Determinar el flujo de efectivo del SMDIF en coordinación con el Área de Ingresos; </w:t>
      </w:r>
    </w:p>
    <w:p w14:paraId="3CD00BEB"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XIX. Administrar eficientemente los recursos financieros del SMDIF;</w:t>
      </w:r>
    </w:p>
    <w:p w14:paraId="146610F6"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 Administrar el Kiosco para la comercialización de diversos productos, cuyos ingresos deberán destinarse para fines de asistencia social, siempre bajo controles previamente aprobados por el titular de la Oficialía Mayor;</w:t>
      </w:r>
    </w:p>
    <w:p w14:paraId="2AA577FF"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XXI. Supervisar periódicamente y recibir diariamente los recursos obtenidos por la comercialización de diversos productos en el Kiosco, para su debido ingreso en la caja general del SMDIF; y</w:t>
      </w:r>
    </w:p>
    <w:p w14:paraId="28F9482E"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XXII. Las demás que establezca la Oficialía Mayor en el ámbito de sus atribuciones o que señale la normatividad aplicable.”</w:t>
      </w:r>
    </w:p>
    <w:p w14:paraId="7E52DEAE" w14:textId="77777777" w:rsidR="00820398" w:rsidRPr="00704DAA" w:rsidRDefault="00AD5A10">
      <w:pPr>
        <w:tabs>
          <w:tab w:val="left" w:pos="4962"/>
        </w:tabs>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(Énfasis Añadido)</w:t>
      </w:r>
    </w:p>
    <w:p w14:paraId="4C35AE79" w14:textId="77777777" w:rsidR="00820398" w:rsidRPr="00704DAA" w:rsidRDefault="00820398">
      <w:pPr>
        <w:tabs>
          <w:tab w:val="left" w:pos="4962"/>
        </w:tabs>
        <w:spacing w:line="360" w:lineRule="auto"/>
        <w:ind w:right="-28"/>
        <w:jc w:val="both"/>
        <w:rPr>
          <w:rFonts w:ascii="Palatino Linotype" w:eastAsia="Palatino Linotype" w:hAnsi="Palatino Linotype" w:cs="Palatino Linotype"/>
          <w:sz w:val="22"/>
          <w:szCs w:val="22"/>
        </w:rPr>
      </w:pPr>
    </w:p>
    <w:p w14:paraId="42733C23" w14:textId="77777777" w:rsidR="00820398" w:rsidRPr="00704DAA" w:rsidRDefault="00AD5A10">
      <w:pPr>
        <w:spacing w:line="360" w:lineRule="auto"/>
        <w:jc w:val="both"/>
        <w:rPr>
          <w:rFonts w:ascii="Palatino Linotype" w:eastAsia="Palatino Linotype" w:hAnsi="Palatino Linotype" w:cs="Palatino Linotype"/>
          <w:sz w:val="22"/>
          <w:szCs w:val="22"/>
        </w:rPr>
      </w:pPr>
      <w:bookmarkStart w:id="3" w:name="_heading=h.sbdfpvdsiikm" w:colFirst="0" w:colLast="0"/>
      <w:bookmarkEnd w:id="3"/>
      <w:r w:rsidRPr="00704DAA">
        <w:rPr>
          <w:rFonts w:ascii="Palatino Linotype" w:eastAsia="Palatino Linotype" w:hAnsi="Palatino Linotype" w:cs="Palatino Linotype"/>
          <w:sz w:val="22"/>
          <w:szCs w:val="22"/>
        </w:rPr>
        <w:t xml:space="preserve">Por lo anteriormente expuesto, y de la revisión a las constancias que obran en el expediente electrónico, se logra advertir que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turnó la solicitud de información al área de Recursos Financieros y Control Presupuestario dependiente de la Oficialía Mayor,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59D6DEEF" w14:textId="77777777" w:rsidR="00820398" w:rsidRPr="00704DAA" w:rsidRDefault="00820398">
      <w:pPr>
        <w:spacing w:line="360" w:lineRule="auto"/>
        <w:rPr>
          <w:rFonts w:ascii="Palatino Linotype" w:eastAsia="Palatino Linotype" w:hAnsi="Palatino Linotype" w:cs="Palatino Linotype"/>
          <w:sz w:val="22"/>
          <w:szCs w:val="22"/>
        </w:rPr>
      </w:pPr>
    </w:p>
    <w:p w14:paraId="233356F6" w14:textId="77777777" w:rsidR="00820398" w:rsidRPr="00704DAA" w:rsidRDefault="00AD5A1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39BD092" w14:textId="77777777" w:rsidR="00820398" w:rsidRPr="00704DAA" w:rsidRDefault="00AD5A1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B9D232B" w14:textId="77777777" w:rsidR="00820398" w:rsidRPr="00704DAA" w:rsidRDefault="00820398">
      <w:pPr>
        <w:tabs>
          <w:tab w:val="left" w:pos="4962"/>
        </w:tabs>
        <w:spacing w:line="360" w:lineRule="auto"/>
        <w:ind w:right="-28"/>
        <w:jc w:val="both"/>
        <w:rPr>
          <w:rFonts w:ascii="Palatino Linotype" w:eastAsia="Palatino Linotype" w:hAnsi="Palatino Linotype" w:cs="Palatino Linotype"/>
          <w:sz w:val="22"/>
          <w:szCs w:val="22"/>
        </w:rPr>
      </w:pPr>
    </w:p>
    <w:p w14:paraId="265AEFF4"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De tal circunstancia, se logra colegir que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solicitud a la Oficialía Mayor, encargada de realizar las erogaciones que hace el Sistema Municipal para el Desarrollo Integral de la Familia de Tlalnepantla de Baz. </w:t>
      </w:r>
    </w:p>
    <w:p w14:paraId="09B43A7C"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62346E87" w14:textId="77777777" w:rsidR="00820398" w:rsidRPr="00704DAA" w:rsidRDefault="00AD5A10">
      <w:pPr>
        <w:spacing w:line="360" w:lineRule="auto"/>
        <w:ind w:right="51"/>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Establecido lo anterior, procedemos al análisis de la naturaleza de la información, para ello, debemos observar lo dispuesto por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108115D3" w14:textId="77777777" w:rsidR="00820398" w:rsidRPr="00704DAA" w:rsidRDefault="00820398">
      <w:pPr>
        <w:widowControl w:val="0"/>
        <w:spacing w:line="360" w:lineRule="auto"/>
        <w:jc w:val="both"/>
        <w:rPr>
          <w:rFonts w:ascii="Palatino Linotype" w:eastAsia="Palatino Linotype" w:hAnsi="Palatino Linotype" w:cs="Palatino Linotype"/>
          <w:sz w:val="22"/>
          <w:szCs w:val="22"/>
        </w:rPr>
      </w:pPr>
    </w:p>
    <w:p w14:paraId="432EFEE4"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Artículo 342.-</w:t>
      </w:r>
      <w:r w:rsidRPr="00704DAA">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7CF5565A" w14:textId="77777777" w:rsidR="00820398" w:rsidRPr="00704DAA" w:rsidRDefault="00AD5A10">
      <w:pPr>
        <w:spacing w:line="276" w:lineRule="auto"/>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w:t>
      </w:r>
    </w:p>
    <w:p w14:paraId="6AFEBF9E"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Artículo 343.-</w:t>
      </w:r>
      <w:r w:rsidRPr="00704DAA">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A09F33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lastRenderedPageBreak/>
        <w:t xml:space="preserve">El sistema de contabilidad sobre base acumulativa total se sustentará en los postulados básicos y el marco conceptual de la contabilidad gubernamental. </w:t>
      </w:r>
    </w:p>
    <w:p w14:paraId="7AC4E86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04DAA">
        <w:rPr>
          <w:rFonts w:ascii="Palatino Linotype" w:eastAsia="Palatino Linotype" w:hAnsi="Palatino Linotype" w:cs="Palatino Linotype"/>
          <w:i/>
          <w:sz w:val="22"/>
          <w:szCs w:val="22"/>
        </w:rPr>
        <w:t xml:space="preserve">en el caso de los Municipios se hará por la Tesorería. </w:t>
      </w:r>
    </w:p>
    <w:p w14:paraId="6F140284"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Derogado. </w:t>
      </w:r>
    </w:p>
    <w:p w14:paraId="6DB1792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04DAA">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4C8219CC"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3624835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Artículo 345.-</w:t>
      </w:r>
      <w:r w:rsidRPr="00704DAA">
        <w:rPr>
          <w:rFonts w:ascii="Palatino Linotype" w:eastAsia="Palatino Linotype" w:hAnsi="Palatino Linotype" w:cs="Palatino Linotype"/>
          <w:i/>
          <w:sz w:val="22"/>
          <w:szCs w:val="22"/>
        </w:rPr>
        <w:t xml:space="preserve"> </w:t>
      </w:r>
      <w:r w:rsidRPr="00704DAA">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704DAA">
        <w:rPr>
          <w:rFonts w:ascii="Palatino Linotype" w:eastAsia="Palatino Linotype" w:hAnsi="Palatino Linotype" w:cs="Palatino Linotype"/>
          <w:i/>
          <w:sz w:val="22"/>
          <w:szCs w:val="22"/>
        </w:rPr>
        <w:t xml:space="preserve">, la remitirán en un plazo que no excederá de seis meses al Archivo Contable Gubernamental. Tratándose de los comprobantes fiscales digitales, estos deberán estar agregados en forma electrónica en cada póliza de registro contable. </w:t>
      </w:r>
    </w:p>
    <w:p w14:paraId="31CFB7D0"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 “</w:t>
      </w:r>
    </w:p>
    <w:p w14:paraId="08CB6F2C" w14:textId="77777777" w:rsidR="00820398" w:rsidRPr="00704DAA" w:rsidRDefault="00820398">
      <w:pPr>
        <w:spacing w:line="276" w:lineRule="auto"/>
        <w:ind w:left="851" w:right="850"/>
        <w:jc w:val="both"/>
        <w:rPr>
          <w:rFonts w:ascii="Palatino Linotype" w:eastAsia="Palatino Linotype" w:hAnsi="Palatino Linotype" w:cs="Palatino Linotype"/>
          <w:i/>
          <w:sz w:val="22"/>
          <w:szCs w:val="22"/>
        </w:rPr>
      </w:pPr>
    </w:p>
    <w:p w14:paraId="7F749ED5" w14:textId="77777777" w:rsidR="00820398" w:rsidRPr="00704DAA" w:rsidRDefault="00AD5A10">
      <w:pPr>
        <w:tabs>
          <w:tab w:val="left" w:pos="4962"/>
        </w:tabs>
        <w:spacing w:line="360" w:lineRule="auto"/>
        <w:ind w:right="-28"/>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37FE45E5"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Acotado lo anterior, cabe recordar que el hoy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xml:space="preserve">, se inconformó porque la información que le fue remitida no corresponde con la que se solicitó; en ese sentido, este Instituto procedió a revisar la liga electrónica que refirió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en respuesta de la que se obtuvo lo siguiente: </w:t>
      </w:r>
    </w:p>
    <w:p w14:paraId="30CC270D"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drawing>
          <wp:inline distT="0" distB="0" distL="0" distR="0" wp14:anchorId="4A184880" wp14:editId="20A22327">
            <wp:extent cx="5612130" cy="5368290"/>
            <wp:effectExtent l="0" t="0" r="0" b="0"/>
            <wp:docPr id="17990381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12130" cy="5368290"/>
                    </a:xfrm>
                    <a:prstGeom prst="rect">
                      <a:avLst/>
                    </a:prstGeom>
                    <a:ln/>
                  </pic:spPr>
                </pic:pic>
              </a:graphicData>
            </a:graphic>
          </wp:inline>
        </w:drawing>
      </w:r>
    </w:p>
    <w:p w14:paraId="2302F4CB"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w:t>
      </w:r>
    </w:p>
    <w:p w14:paraId="4375C5C5"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drawing>
          <wp:inline distT="0" distB="0" distL="0" distR="0" wp14:anchorId="072B620B" wp14:editId="265CEF6D">
            <wp:extent cx="5612130" cy="3700145"/>
            <wp:effectExtent l="0" t="0" r="0" b="0"/>
            <wp:docPr id="1799038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3700145"/>
                    </a:xfrm>
                    <a:prstGeom prst="rect">
                      <a:avLst/>
                    </a:prstGeom>
                    <a:ln/>
                  </pic:spPr>
                </pic:pic>
              </a:graphicData>
            </a:graphic>
          </wp:inline>
        </w:drawing>
      </w:r>
    </w:p>
    <w:p w14:paraId="1830EEFC"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De lo anterior se advierte que, si bien es cierto que la liga electrónica remite al Acta de la Décima Octava Sesión Ordinaria de la Junta de Gobierno del Organismo Público Descentralizado de Asistencia Social denominado Sistema Municipal para el Desarrollo Integral de la Familia de Tlalnepantla de Baz, Estado de México, de fecha diecinueve de diciembre de dos mil veinticuatro, en la que se aprobó el Anteproyecto de Presupuesto de Ingresos y Egresos para el Ejercicio Fiscal 2025, tal y como lo refirió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en respuesta; lo cierto es que, el particular solicitó puntualmente el presupuesto pendiente por ejercer del ejercicio fiscal 2024 que dejó la administración saliente a la actual administración, situación que no se advierte de la consulta a la liga electrónica; aunado a que, no </w:t>
      </w:r>
      <w:r w:rsidRPr="00704DAA">
        <w:rPr>
          <w:rFonts w:ascii="Palatino Linotype" w:eastAsia="Palatino Linotype" w:hAnsi="Palatino Linotype" w:cs="Palatino Linotype"/>
          <w:sz w:val="22"/>
          <w:szCs w:val="22"/>
        </w:rPr>
        <w:lastRenderedPageBreak/>
        <w:t>proporcionó la liga electrónica en un formato abierto y accesible, además de omitir precisar el procedimiento para acceder a los datos solicitados, es decir, no refirió la forma y el lugar específico para poder obtener lo solicitado; por lo tanto, incumplió con lo establecido en el artículo 161 de la Ley de Transparencia y Acceso a la Información Pública del Estado de México y Municipios.</w:t>
      </w:r>
    </w:p>
    <w:p w14:paraId="284CF9E9"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bookmarkStart w:id="4" w:name="_heading=h.2uthlzg05emy" w:colFirst="0" w:colLast="0"/>
      <w:bookmarkEnd w:id="4"/>
      <w:r w:rsidRPr="00704DAA">
        <w:rPr>
          <w:rFonts w:ascii="Palatino Linotype" w:eastAsia="Palatino Linotype" w:hAnsi="Palatino Linotype" w:cs="Palatino Linotype"/>
          <w:sz w:val="22"/>
          <w:szCs w:val="22"/>
        </w:rPr>
        <w:t xml:space="preserve">En por lo anteriormente expuesto que, este Instituto advierte que el documento que de manera enunciativa más no limitativa puede dar atención a dicho requerimiento es el Estado de Situación Financiera. </w:t>
      </w:r>
    </w:p>
    <w:p w14:paraId="2C1C3A9C" w14:textId="77777777" w:rsidR="00820398" w:rsidRPr="00704DAA" w:rsidRDefault="00AD5A1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En ese sentido, el Manual Único de Contabilidad Gubernamental para las Dependencias y Entidades Públicas del Gobierno y Municipios del Estado de México vigente, precisa que los Estados Financieros muestran los hechos con incidencia económica-financiera que ha realizado un ente público durante un periodo determinado y son necesarios para mostrar los resultados del ejercicio presupuestal, así como la situación patrimonial de los mismos. </w:t>
      </w:r>
    </w:p>
    <w:p w14:paraId="520139C7" w14:textId="77777777" w:rsidR="00820398" w:rsidRPr="00704DAA" w:rsidRDefault="0082039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4126F99" w14:textId="77777777" w:rsidR="00820398" w:rsidRPr="00704DAA" w:rsidRDefault="00AD5A1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El objetivo general de los estados financieros, es proporcionar información sobre la situación financiera, los resultados de la gestión, </w:t>
      </w:r>
      <w:r w:rsidRPr="00704DAA">
        <w:rPr>
          <w:rFonts w:ascii="Palatino Linotype" w:eastAsia="Palatino Linotype" w:hAnsi="Palatino Linotype" w:cs="Palatino Linotype"/>
          <w:b/>
          <w:sz w:val="22"/>
          <w:szCs w:val="22"/>
          <w:u w:val="single"/>
        </w:rPr>
        <w:t>los flujos de efectivo</w:t>
      </w:r>
      <w:r w:rsidRPr="00704DAA">
        <w:rPr>
          <w:rFonts w:ascii="Palatino Linotype" w:eastAsia="Palatino Linotype" w:hAnsi="Palatino Linotype" w:cs="Palatino Linotype"/>
          <w:sz w:val="22"/>
          <w:szCs w:val="22"/>
        </w:rPr>
        <w:t xml:space="preserve"> y el ejercicio de la Ley de Ingresos y del Presupuesto de Egresos, así como de la postura fiscal de los entes públicos. </w:t>
      </w:r>
    </w:p>
    <w:p w14:paraId="224FEE11" w14:textId="77777777" w:rsidR="00820398" w:rsidRPr="00704DAA" w:rsidRDefault="0082039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F6CBF77" w14:textId="77777777" w:rsidR="00820398" w:rsidRPr="00704DAA" w:rsidRDefault="00AD5A1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Asimismo, se entenderá como información financiera, a aquella contable y presupuestaria que se presentará en estados financieros, reportes</w:t>
      </w:r>
      <w:r w:rsidRPr="00704DAA">
        <w:rPr>
          <w:rFonts w:ascii="Palatino Linotype" w:eastAsia="Palatino Linotype" w:hAnsi="Palatino Linotype" w:cs="Palatino Linotype"/>
          <w:b/>
          <w:sz w:val="22"/>
          <w:szCs w:val="22"/>
        </w:rPr>
        <w:t xml:space="preserve"> </w:t>
      </w:r>
      <w:r w:rsidRPr="00704DAA">
        <w:rPr>
          <w:rFonts w:ascii="Palatino Linotype" w:eastAsia="Palatino Linotype" w:hAnsi="Palatino Linotype" w:cs="Palatino Linotype"/>
          <w:sz w:val="22"/>
          <w:szCs w:val="22"/>
        </w:rPr>
        <w:t xml:space="preserve">e informes y, en su caso, de las notas explicativas y de la información necesaria que sea representativa de la situación del ente público. </w:t>
      </w:r>
    </w:p>
    <w:p w14:paraId="39FA2866" w14:textId="77777777" w:rsidR="00820398" w:rsidRPr="00704DAA" w:rsidRDefault="008203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ECA7BF" w14:textId="77777777" w:rsidR="00820398" w:rsidRPr="00704DAA" w:rsidRDefault="00AD5A1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Aunado a lo anterior, cabe destacar que de acuerdo con los Lineamientos para la integración y entrega del Informe Trimestral Municipal 2025, el Órgano Superior de Fiscalización es un órgano dotado de autonomía técnica y de gestión con atribuciones para recibir, revisar y fiscalizar las cuentas públicas del Estado y Municipios, la aplicación de los fondos públicos, la administración de los ingresos y egresos, así como, determinar los daños y perjuicios que afecten a la hacienda pública. </w:t>
      </w:r>
    </w:p>
    <w:p w14:paraId="2DEC2A4C" w14:textId="77777777" w:rsidR="00820398" w:rsidRPr="00704DAA" w:rsidRDefault="008203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1F6C44" w14:textId="77777777" w:rsidR="00820398" w:rsidRPr="00704DAA" w:rsidRDefault="00AD5A1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La legislatura, a través del Órgano Superior de Fiscalización del Estado de México, controlará, fiscalizará y revisará el ingreso y el gasto público de los Poderes del Estado, Organismos Autónomos, Organismos Auxiliares y demás entes públicos que manejen recurso del Estado y Municipios, a través de los informes trimestrales, que son documentos físico y/o electrónicos que trimestralmente deberán presentar, a través de la Secretaría de Finanzas del Poder Ejecutivo y las Tesorerías Municipales o sus equivalentes, dentro de los primeros veinte días hábiles posteriores al término del periodo a informar y para el trimestre correspondiente al cierre del ejercicio fiscal, para lo cual, deberán firmarse conforme a lo establecido en las matrices de firmas. </w:t>
      </w:r>
    </w:p>
    <w:p w14:paraId="4889518E"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704DAA">
        <w:rPr>
          <w:rFonts w:ascii="Palatino Linotype" w:eastAsia="Palatino Linotype" w:hAnsi="Palatino Linotype" w:cs="Palatino Linotype"/>
          <w:sz w:val="22"/>
          <w:szCs w:val="22"/>
        </w:rPr>
        <w:t>En ese orden de ideas, de la consulta a los Lineamientos en comento, se encontró que, dentro de los documentos que conforman los estados financieros, se encuentra el estado de situación financiera, cuya finalidad y llenado es el siguiente:</w:t>
      </w:r>
    </w:p>
    <w:p w14:paraId="570AA128"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lastRenderedPageBreak/>
        <w:drawing>
          <wp:inline distT="0" distB="0" distL="0" distR="0" wp14:anchorId="565A019D" wp14:editId="55FCB5C8">
            <wp:extent cx="5017187" cy="4273111"/>
            <wp:effectExtent l="0" t="0" r="0" b="0"/>
            <wp:docPr id="1799038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17187" cy="4273111"/>
                    </a:xfrm>
                    <a:prstGeom prst="rect">
                      <a:avLst/>
                    </a:prstGeom>
                    <a:ln/>
                  </pic:spPr>
                </pic:pic>
              </a:graphicData>
            </a:graphic>
          </wp:inline>
        </w:drawing>
      </w:r>
    </w:p>
    <w:p w14:paraId="4DD55CF0"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lastRenderedPageBreak/>
        <w:drawing>
          <wp:inline distT="0" distB="0" distL="0" distR="0" wp14:anchorId="5AD69A03" wp14:editId="75DF558E">
            <wp:extent cx="5515752" cy="4935315"/>
            <wp:effectExtent l="0" t="0" r="0" b="0"/>
            <wp:docPr id="17990381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15752" cy="4935315"/>
                    </a:xfrm>
                    <a:prstGeom prst="rect">
                      <a:avLst/>
                    </a:prstGeom>
                    <a:ln/>
                  </pic:spPr>
                </pic:pic>
              </a:graphicData>
            </a:graphic>
          </wp:inline>
        </w:drawing>
      </w:r>
    </w:p>
    <w:p w14:paraId="0D5B4220"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drawing>
          <wp:inline distT="0" distB="0" distL="0" distR="0" wp14:anchorId="13E21B14" wp14:editId="643596B8">
            <wp:extent cx="5045931" cy="1573499"/>
            <wp:effectExtent l="0" t="0" r="0" b="0"/>
            <wp:docPr id="1799038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45931" cy="1573499"/>
                    </a:xfrm>
                    <a:prstGeom prst="rect">
                      <a:avLst/>
                    </a:prstGeom>
                    <a:ln/>
                  </pic:spPr>
                </pic:pic>
              </a:graphicData>
            </a:graphic>
          </wp:inline>
        </w:drawing>
      </w:r>
    </w:p>
    <w:p w14:paraId="01047E6D"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De las anteriores imágenes, se reitera que el estado de situación financiera tiene como finalidad exponer la situación financiera del ente público sobre los recursos y obligaciones financieras, de sus activos, pasivos y Hacienda Pública/Patrimonio, así mismo se puede advertir el saldo de los conceptos del periodo actual que se informa, información que desea conocer la parte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xml:space="preserve">. </w:t>
      </w:r>
    </w:p>
    <w:p w14:paraId="2472C2F0"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Ahora bien, no pasa desapercibido para este Instituto que los Lineamientos que norman la Entrega-Recepción de los Ayuntamientos, sus Dependencias, Unidades Administrativas y Entidades de la Administración Pública Municipal del Estado de México, refiere que la entrega – recepción es el procedimiento administrativo de interés público de cumplimiento obligatorio y formal, mediante el cual un servidor público obligado que concluye su función, hace entrega del despacho al servidor público entrante, con la información económica, financiera, patrimonial, presupuestal, programática y administrativa, así como, todos aquellos documentos e información vinculada a las atribuciones, funciones, facultades y actividades de la unidad.</w:t>
      </w:r>
    </w:p>
    <w:p w14:paraId="61AD3286"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Además, el artículo 33 de los Lineamientos referidos, precisan que las actas de la entrega-recepción firmadas de manera autógrafa y el paquete generado por el Sistema de Entrega-Recepción se generarán y distribuirán al servidor público entrante, al servidor público saliente o servidor público que presenta la información, a la persona titular del Órgano Interno de Control o al Síndico o, en su caso, Representante, y al Órgano Superior.</w:t>
      </w:r>
    </w:p>
    <w:p w14:paraId="4C783301"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En ese orden de ideas, conviene señalar que dentro de los anexos que deben acompañar el Acta de entrega -recepción se encuentran los formatos de Información Financiera ER- 36 “Relación de Cuentas Bancarias e Inversiones” y ER- 48 “Relación de Chequeras”, cuyo contenido es el siguiente: </w:t>
      </w:r>
    </w:p>
    <w:p w14:paraId="3A499A4F"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lastRenderedPageBreak/>
        <w:drawing>
          <wp:inline distT="0" distB="0" distL="0" distR="0" wp14:anchorId="76E4037B" wp14:editId="24668271">
            <wp:extent cx="5632011" cy="2955758"/>
            <wp:effectExtent l="0" t="0" r="0" b="0"/>
            <wp:docPr id="1799038162"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Diagrama&#10;&#10;El contenido generado por IA puede ser incorrecto."/>
                    <pic:cNvPicPr preferRelativeResize="0"/>
                  </pic:nvPicPr>
                  <pic:blipFill>
                    <a:blip r:embed="rId15"/>
                    <a:srcRect/>
                    <a:stretch>
                      <a:fillRect/>
                    </a:stretch>
                  </pic:blipFill>
                  <pic:spPr>
                    <a:xfrm>
                      <a:off x="0" y="0"/>
                      <a:ext cx="5632011" cy="2955758"/>
                    </a:xfrm>
                    <a:prstGeom prst="rect">
                      <a:avLst/>
                    </a:prstGeom>
                    <a:ln/>
                  </pic:spPr>
                </pic:pic>
              </a:graphicData>
            </a:graphic>
          </wp:inline>
        </w:drawing>
      </w:r>
      <w:r w:rsidRPr="00704DAA">
        <w:rPr>
          <w:noProof/>
          <w:lang w:val="es-MX" w:eastAsia="es-MX"/>
        </w:rPr>
        <mc:AlternateContent>
          <mc:Choice Requires="wpg">
            <w:drawing>
              <wp:anchor distT="0" distB="0" distL="114300" distR="114300" simplePos="0" relativeHeight="251658240" behindDoc="0" locked="0" layoutInCell="1" hidden="0" allowOverlap="1" wp14:anchorId="0BA6ED2A" wp14:editId="1DE51C02">
                <wp:simplePos x="0" y="0"/>
                <wp:positionH relativeFrom="column">
                  <wp:posOffset>3568700</wp:posOffset>
                </wp:positionH>
                <wp:positionV relativeFrom="paragraph">
                  <wp:posOffset>774700</wp:posOffset>
                </wp:positionV>
                <wp:extent cx="416616" cy="615398"/>
                <wp:effectExtent l="0" t="0" r="0" b="0"/>
                <wp:wrapNone/>
                <wp:docPr id="1799038153" name="Rectángulo 1799038153"/>
                <wp:cNvGraphicFramePr/>
                <a:graphic xmlns:a="http://schemas.openxmlformats.org/drawingml/2006/main">
                  <a:graphicData uri="http://schemas.microsoft.com/office/word/2010/wordprocessingShape">
                    <wps:wsp>
                      <wps:cNvSpPr/>
                      <wps:spPr>
                        <a:xfrm>
                          <a:off x="5147217" y="3481826"/>
                          <a:ext cx="397566" cy="596348"/>
                        </a:xfrm>
                        <a:prstGeom prst="rect">
                          <a:avLst/>
                        </a:prstGeom>
                        <a:noFill/>
                        <a:ln w="19050" cap="flat" cmpd="sng">
                          <a:solidFill>
                            <a:srgbClr val="FF0000"/>
                          </a:solidFill>
                          <a:prstDash val="solid"/>
                          <a:miter lim="800000"/>
                          <a:headEnd type="none" w="sm" len="sm"/>
                          <a:tailEnd type="none" w="sm" len="sm"/>
                        </a:ln>
                      </wps:spPr>
                      <wps:txbx>
                        <w:txbxContent>
                          <w:p w14:paraId="3827BD76" w14:textId="77777777" w:rsidR="00820398" w:rsidRDefault="00820398">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3568700</wp:posOffset>
                </wp:positionH>
                <wp:positionV relativeFrom="paragraph">
                  <wp:posOffset>774700</wp:posOffset>
                </wp:positionV>
                <wp:extent cx="416616" cy="615398"/>
                <wp:effectExtent b="0" l="0" r="0" t="0"/>
                <wp:wrapNone/>
                <wp:docPr id="1799038153"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416616" cy="615398"/>
                        </a:xfrm>
                        <a:prstGeom prst="rect"/>
                        <a:ln/>
                      </pic:spPr>
                    </pic:pic>
                  </a:graphicData>
                </a:graphic>
              </wp:anchor>
            </w:drawing>
          </mc:Fallback>
        </mc:AlternateContent>
      </w:r>
    </w:p>
    <w:p w14:paraId="34B1A696"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drawing>
          <wp:inline distT="0" distB="0" distL="0" distR="0" wp14:anchorId="79703198" wp14:editId="602B8F40">
            <wp:extent cx="4572178" cy="3770974"/>
            <wp:effectExtent l="0" t="0" r="0" b="0"/>
            <wp:docPr id="1799038161" name="image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exto&#10;&#10;El contenido generado por IA puede ser incorrecto."/>
                    <pic:cNvPicPr preferRelativeResize="0"/>
                  </pic:nvPicPr>
                  <pic:blipFill>
                    <a:blip r:embed="rId17"/>
                    <a:srcRect/>
                    <a:stretch>
                      <a:fillRect/>
                    </a:stretch>
                  </pic:blipFill>
                  <pic:spPr>
                    <a:xfrm>
                      <a:off x="0" y="0"/>
                      <a:ext cx="4572178" cy="3770974"/>
                    </a:xfrm>
                    <a:prstGeom prst="rect">
                      <a:avLst/>
                    </a:prstGeom>
                    <a:ln/>
                  </pic:spPr>
                </pic:pic>
              </a:graphicData>
            </a:graphic>
          </wp:inline>
        </w:drawing>
      </w:r>
      <w:r w:rsidRPr="00704DAA">
        <w:rPr>
          <w:noProof/>
          <w:lang w:val="es-MX" w:eastAsia="es-MX"/>
        </w:rPr>
        <mc:AlternateContent>
          <mc:Choice Requires="wpg">
            <w:drawing>
              <wp:anchor distT="0" distB="0" distL="114300" distR="114300" simplePos="0" relativeHeight="251659264" behindDoc="0" locked="0" layoutInCell="1" hidden="0" allowOverlap="1" wp14:anchorId="02236DFC" wp14:editId="243F06F5">
                <wp:simplePos x="0" y="0"/>
                <wp:positionH relativeFrom="column">
                  <wp:posOffset>520700</wp:posOffset>
                </wp:positionH>
                <wp:positionV relativeFrom="paragraph">
                  <wp:posOffset>2552700</wp:posOffset>
                </wp:positionV>
                <wp:extent cx="3135961" cy="121838"/>
                <wp:effectExtent l="0" t="0" r="0" b="0"/>
                <wp:wrapNone/>
                <wp:docPr id="1799038152" name="Rectángulo 1799038152"/>
                <wp:cNvGraphicFramePr/>
                <a:graphic xmlns:a="http://schemas.openxmlformats.org/drawingml/2006/main">
                  <a:graphicData uri="http://schemas.microsoft.com/office/word/2010/wordprocessingShape">
                    <wps:wsp>
                      <wps:cNvSpPr/>
                      <wps:spPr>
                        <a:xfrm rot="10800000" flipH="1">
                          <a:off x="3787545" y="3728606"/>
                          <a:ext cx="3116911" cy="102788"/>
                        </a:xfrm>
                        <a:prstGeom prst="rect">
                          <a:avLst/>
                        </a:prstGeom>
                        <a:noFill/>
                        <a:ln w="19050" cap="flat" cmpd="sng">
                          <a:solidFill>
                            <a:srgbClr val="FF0000"/>
                          </a:solidFill>
                          <a:prstDash val="solid"/>
                          <a:miter lim="800000"/>
                          <a:headEnd type="none" w="sm" len="sm"/>
                          <a:tailEnd type="none" w="sm" len="sm"/>
                        </a:ln>
                      </wps:spPr>
                      <wps:txbx>
                        <w:txbxContent>
                          <w:p w14:paraId="6FBB4C72" w14:textId="77777777" w:rsidR="00820398" w:rsidRDefault="00820398">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2552700</wp:posOffset>
                </wp:positionV>
                <wp:extent cx="3135961" cy="121838"/>
                <wp:effectExtent b="0" l="0" r="0" t="0"/>
                <wp:wrapNone/>
                <wp:docPr id="1799038152"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3135961" cy="121838"/>
                        </a:xfrm>
                        <a:prstGeom prst="rect"/>
                        <a:ln/>
                      </pic:spPr>
                    </pic:pic>
                  </a:graphicData>
                </a:graphic>
              </wp:anchor>
            </w:drawing>
          </mc:Fallback>
        </mc:AlternateContent>
      </w:r>
    </w:p>
    <w:p w14:paraId="1E5092D3" w14:textId="77777777" w:rsidR="00820398" w:rsidRPr="00704DAA" w:rsidRDefault="00AD5A10">
      <w:pPr>
        <w:spacing w:before="240" w:after="240" w:line="360" w:lineRule="auto"/>
        <w:jc w:val="center"/>
        <w:rPr>
          <w:rFonts w:ascii="Palatino Linotype" w:eastAsia="Palatino Linotype" w:hAnsi="Palatino Linotype" w:cs="Palatino Linotype"/>
          <w:sz w:val="22"/>
          <w:szCs w:val="22"/>
        </w:rPr>
      </w:pPr>
      <w:r w:rsidRPr="00704DAA">
        <w:rPr>
          <w:rFonts w:ascii="Palatino Linotype" w:eastAsia="Palatino Linotype" w:hAnsi="Palatino Linotype" w:cs="Palatino Linotype"/>
          <w:noProof/>
          <w:sz w:val="22"/>
          <w:szCs w:val="22"/>
          <w:lang w:val="es-MX" w:eastAsia="es-MX"/>
        </w:rPr>
        <w:lastRenderedPageBreak/>
        <w:drawing>
          <wp:inline distT="0" distB="0" distL="0" distR="0" wp14:anchorId="20FAB781" wp14:editId="4D5E99D1">
            <wp:extent cx="5612130" cy="1913255"/>
            <wp:effectExtent l="0" t="0" r="0" b="0"/>
            <wp:docPr id="1799038164" name="image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abla&#10;&#10;El contenido generado por IA puede ser incorrecto."/>
                    <pic:cNvPicPr preferRelativeResize="0"/>
                  </pic:nvPicPr>
                  <pic:blipFill>
                    <a:blip r:embed="rId18"/>
                    <a:srcRect/>
                    <a:stretch>
                      <a:fillRect/>
                    </a:stretch>
                  </pic:blipFill>
                  <pic:spPr>
                    <a:xfrm>
                      <a:off x="0" y="0"/>
                      <a:ext cx="5612130" cy="1913255"/>
                    </a:xfrm>
                    <a:prstGeom prst="rect">
                      <a:avLst/>
                    </a:prstGeom>
                    <a:ln/>
                  </pic:spPr>
                </pic:pic>
              </a:graphicData>
            </a:graphic>
          </wp:inline>
        </w:drawing>
      </w:r>
      <w:r w:rsidRPr="00704DAA">
        <w:rPr>
          <w:rFonts w:ascii="Palatino Linotype" w:eastAsia="Palatino Linotype" w:hAnsi="Palatino Linotype" w:cs="Palatino Linotype"/>
          <w:noProof/>
          <w:sz w:val="22"/>
          <w:szCs w:val="22"/>
          <w:lang w:val="es-MX" w:eastAsia="es-MX"/>
        </w:rPr>
        <w:drawing>
          <wp:inline distT="0" distB="0" distL="0" distR="0" wp14:anchorId="413FCB7B" wp14:editId="476DFE62">
            <wp:extent cx="4848231" cy="4866181"/>
            <wp:effectExtent l="0" t="0" r="0" b="0"/>
            <wp:docPr id="1799038163"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exto&#10;&#10;El contenido generado por IA puede ser incorrecto."/>
                    <pic:cNvPicPr preferRelativeResize="0"/>
                  </pic:nvPicPr>
                  <pic:blipFill>
                    <a:blip r:embed="rId19"/>
                    <a:srcRect/>
                    <a:stretch>
                      <a:fillRect/>
                    </a:stretch>
                  </pic:blipFill>
                  <pic:spPr>
                    <a:xfrm>
                      <a:off x="0" y="0"/>
                      <a:ext cx="4848231" cy="4866181"/>
                    </a:xfrm>
                    <a:prstGeom prst="rect">
                      <a:avLst/>
                    </a:prstGeom>
                    <a:ln/>
                  </pic:spPr>
                </pic:pic>
              </a:graphicData>
            </a:graphic>
          </wp:inline>
        </w:drawing>
      </w:r>
      <w:r w:rsidRPr="00704DAA">
        <w:rPr>
          <w:noProof/>
          <w:lang w:val="es-MX" w:eastAsia="es-MX"/>
        </w:rPr>
        <mc:AlternateContent>
          <mc:Choice Requires="wpg">
            <w:drawing>
              <wp:anchor distT="0" distB="0" distL="114300" distR="114300" simplePos="0" relativeHeight="251660288" behindDoc="0" locked="0" layoutInCell="1" hidden="0" allowOverlap="1" wp14:anchorId="61C4C121" wp14:editId="5431EC6C">
                <wp:simplePos x="0" y="0"/>
                <wp:positionH relativeFrom="column">
                  <wp:posOffset>469900</wp:posOffset>
                </wp:positionH>
                <wp:positionV relativeFrom="paragraph">
                  <wp:posOffset>5778500</wp:posOffset>
                </wp:positionV>
                <wp:extent cx="4630806" cy="224707"/>
                <wp:effectExtent l="0" t="0" r="0" b="0"/>
                <wp:wrapNone/>
                <wp:docPr id="1799038151" name="Rectángulo 1799038151"/>
                <wp:cNvGraphicFramePr/>
                <a:graphic xmlns:a="http://schemas.openxmlformats.org/drawingml/2006/main">
                  <a:graphicData uri="http://schemas.microsoft.com/office/word/2010/wordprocessingShape">
                    <wps:wsp>
                      <wps:cNvSpPr/>
                      <wps:spPr>
                        <a:xfrm>
                          <a:off x="3040122" y="3677172"/>
                          <a:ext cx="4611756" cy="205657"/>
                        </a:xfrm>
                        <a:prstGeom prst="rect">
                          <a:avLst/>
                        </a:prstGeom>
                        <a:noFill/>
                        <a:ln w="19050" cap="flat" cmpd="sng">
                          <a:solidFill>
                            <a:srgbClr val="FF0000"/>
                          </a:solidFill>
                          <a:prstDash val="solid"/>
                          <a:miter lim="800000"/>
                          <a:headEnd type="none" w="sm" len="sm"/>
                          <a:tailEnd type="none" w="sm" len="sm"/>
                        </a:ln>
                      </wps:spPr>
                      <wps:txbx>
                        <w:txbxContent>
                          <w:p w14:paraId="21AE2852" w14:textId="77777777" w:rsidR="00820398" w:rsidRDefault="00820398">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5778500</wp:posOffset>
                </wp:positionV>
                <wp:extent cx="4630806" cy="224707"/>
                <wp:effectExtent b="0" l="0" r="0" t="0"/>
                <wp:wrapNone/>
                <wp:docPr id="1799038151"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4630806" cy="224707"/>
                        </a:xfrm>
                        <a:prstGeom prst="rect"/>
                        <a:ln/>
                      </pic:spPr>
                    </pic:pic>
                  </a:graphicData>
                </a:graphic>
              </wp:anchor>
            </w:drawing>
          </mc:Fallback>
        </mc:AlternateContent>
      </w:r>
    </w:p>
    <w:p w14:paraId="141D6353"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De lo anterior se advierte, que dichos documentos también pueden dar cuenta del saldo que tuvo pendiente por ejercer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durante el ejercicio fiscal 2024; pues estos dan cuenta de la cantidad de dinero que tienen en existencia las cuentas bancarias. </w:t>
      </w:r>
    </w:p>
    <w:p w14:paraId="4678233F"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En ese sentido, y de la revisión a la información entregada tanto en respuesta como en informe justificado, el </w:t>
      </w:r>
      <w:r w:rsidRPr="00704DAA">
        <w:rPr>
          <w:rFonts w:ascii="Palatino Linotype" w:eastAsia="Palatino Linotype" w:hAnsi="Palatino Linotype" w:cs="Palatino Linotype"/>
          <w:b/>
          <w:sz w:val="22"/>
          <w:szCs w:val="22"/>
        </w:rPr>
        <w:t xml:space="preserve">Sujeto Obligado </w:t>
      </w:r>
      <w:r w:rsidRPr="00704DAA">
        <w:rPr>
          <w:rFonts w:ascii="Palatino Linotype" w:eastAsia="Palatino Linotype" w:hAnsi="Palatino Linotype" w:cs="Palatino Linotype"/>
          <w:sz w:val="22"/>
          <w:szCs w:val="22"/>
        </w:rPr>
        <w:t xml:space="preserve">sólo se concretó a entregar el presupuesto autorizado para el ejercicio fiscal 2025 del Sistema Municipal para el Desarrollo Integral de la Familia del Municipio de Tlalnepantla de Baz; sin embargo, dicha información no corresponde a lo solicitado por la parte </w:t>
      </w:r>
      <w:r w:rsidRPr="00704DAA">
        <w:rPr>
          <w:rFonts w:ascii="Palatino Linotype" w:eastAsia="Palatino Linotype" w:hAnsi="Palatino Linotype" w:cs="Palatino Linotype"/>
          <w:b/>
          <w:sz w:val="22"/>
          <w:szCs w:val="22"/>
        </w:rPr>
        <w:t>Recurrente</w:t>
      </w:r>
      <w:r w:rsidRPr="00704DAA">
        <w:rPr>
          <w:rFonts w:ascii="Palatino Linotype" w:eastAsia="Palatino Linotype" w:hAnsi="Palatino Linotype" w:cs="Palatino Linotype"/>
          <w:sz w:val="22"/>
          <w:szCs w:val="22"/>
        </w:rPr>
        <w:t>; de ahí que, la respuesta careció de los principios de congruencia y exhaustividad, como refuerzo de lo anterior, resulta crucial el Criterio orientador 02/17, emitido por el entonces Instituto Nacional de Transparencia y Acceso a la Información y Protección de Datos Personales, de título y texto siguientes:</w:t>
      </w:r>
    </w:p>
    <w:p w14:paraId="09ECF54B" w14:textId="77777777" w:rsidR="00820398" w:rsidRPr="00704DAA" w:rsidRDefault="00AD5A10">
      <w:pPr>
        <w:spacing w:before="80" w:after="240"/>
        <w:ind w:left="567" w:right="900"/>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“Congruencia y exhaustividad. Sus alcances para garantizar el derecho de acceso a la información. </w:t>
      </w:r>
      <w:r w:rsidRPr="00704DAA">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04DAA">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704DAA">
        <w:rPr>
          <w:rFonts w:ascii="Palatino Linotype" w:eastAsia="Palatino Linotype" w:hAnsi="Palatino Linotype" w:cs="Palatino Linotype"/>
          <w:i/>
          <w:sz w:val="22"/>
          <w:szCs w:val="22"/>
        </w:rPr>
        <w:t xml:space="preserve">; mientras que </w:t>
      </w:r>
      <w:r w:rsidRPr="00704DAA">
        <w:rPr>
          <w:rFonts w:ascii="Palatino Linotype" w:eastAsia="Palatino Linotype" w:hAnsi="Palatino Linotype" w:cs="Palatino Linotype"/>
          <w:b/>
          <w:i/>
          <w:sz w:val="22"/>
          <w:szCs w:val="22"/>
        </w:rPr>
        <w:t>la exhaustividad significa que dicha respuesta se refiera expresamente a cada uno de los puntos solicitados</w:t>
      </w:r>
      <w:r w:rsidRPr="00704DAA">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628AE3B5"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Razones por las cuales lo procedente es ordenar, previa búsqueda exhaustiva y razonable, el o los documentos que den cuenta del presupuesto pendiente por ejercer del ejercicio 2024, con el que se contaba al 01 de enero de 2025, en versión pública de ser procedente conforme a lo señalado por el considerando quinto del presente fallo. </w:t>
      </w:r>
    </w:p>
    <w:p w14:paraId="054E9011"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 xml:space="preserve">Para el caso de no contar con la evidencia documental ordenada, por no tener presupuesto pendiente de ejercer,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w:t>
      </w:r>
    </w:p>
    <w:p w14:paraId="31F99293"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4E78E64C" w14:textId="77777777" w:rsidR="00820398" w:rsidRPr="00704DAA" w:rsidRDefault="00AD5A10">
      <w:pPr>
        <w:spacing w:line="360" w:lineRule="auto"/>
        <w:ind w:right="49"/>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Quinto. Versión Pública. </w:t>
      </w:r>
      <w:r w:rsidRPr="00704DAA">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F27C3BC" w14:textId="77777777" w:rsidR="00820398" w:rsidRPr="00704DAA" w:rsidRDefault="00820398">
      <w:pPr>
        <w:spacing w:line="360" w:lineRule="auto"/>
        <w:ind w:right="49"/>
        <w:jc w:val="both"/>
        <w:rPr>
          <w:rFonts w:ascii="Palatino Linotype" w:eastAsia="Palatino Linotype" w:hAnsi="Palatino Linotype" w:cs="Palatino Linotype"/>
          <w:sz w:val="22"/>
          <w:szCs w:val="22"/>
        </w:rPr>
      </w:pPr>
    </w:p>
    <w:p w14:paraId="038CB9C6" w14:textId="77777777" w:rsidR="00820398" w:rsidRPr="00704DAA" w:rsidRDefault="00AD5A10">
      <w:pPr>
        <w:spacing w:line="360" w:lineRule="auto"/>
        <w:ind w:right="49"/>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48BF966E"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Artículo 3</w:t>
      </w:r>
      <w:r w:rsidRPr="00704DAA">
        <w:rPr>
          <w:rFonts w:ascii="Palatino Linotype" w:eastAsia="Palatino Linotype" w:hAnsi="Palatino Linotype" w:cs="Palatino Linotype"/>
          <w:i/>
          <w:sz w:val="22"/>
          <w:szCs w:val="22"/>
        </w:rPr>
        <w:t>. Para los efectos de la presente Ley se entenderá por:</w:t>
      </w:r>
    </w:p>
    <w:p w14:paraId="78FAC7F5"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47D60594"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IX. Datos personales:</w:t>
      </w:r>
      <w:r w:rsidRPr="00704DA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8A0D71A"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XX. Información clasificada</w:t>
      </w:r>
      <w:r w:rsidRPr="00704DAA">
        <w:rPr>
          <w:rFonts w:ascii="Palatino Linotype" w:eastAsia="Palatino Linotype" w:hAnsi="Palatino Linotype" w:cs="Palatino Linotype"/>
          <w:i/>
          <w:sz w:val="22"/>
          <w:szCs w:val="22"/>
        </w:rPr>
        <w:t>: Aquella considerada por la presente Ley como reservada o confidencial;</w:t>
      </w:r>
    </w:p>
    <w:p w14:paraId="4D690691"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lastRenderedPageBreak/>
        <w:t>XXI. Información confidencial:</w:t>
      </w:r>
      <w:r w:rsidRPr="00704DA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2DC7E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XLV. Versión pública:</w:t>
      </w:r>
      <w:r w:rsidRPr="00704DA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45B0A50"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13A782A5"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Artículo 91. </w:t>
      </w:r>
      <w:r w:rsidRPr="00704DA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C4BB6C8"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Artículo 132. </w:t>
      </w:r>
      <w:r w:rsidRPr="00704DAA">
        <w:rPr>
          <w:rFonts w:ascii="Palatino Linotype" w:eastAsia="Palatino Linotype" w:hAnsi="Palatino Linotype" w:cs="Palatino Linotype"/>
          <w:i/>
          <w:sz w:val="22"/>
          <w:szCs w:val="22"/>
        </w:rPr>
        <w:t>La clasificación de la información se llevará a cabo en el momento en que:</w:t>
      </w:r>
    </w:p>
    <w:p w14:paraId="1FAFCB0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w:t>
      </w:r>
      <w:r w:rsidRPr="00704DAA">
        <w:rPr>
          <w:rFonts w:ascii="Palatino Linotype" w:eastAsia="Palatino Linotype" w:hAnsi="Palatino Linotype" w:cs="Palatino Linotype"/>
          <w:i/>
          <w:sz w:val="22"/>
          <w:szCs w:val="22"/>
        </w:rPr>
        <w:t>. Se reciba una solicitud de acceso a la información;</w:t>
      </w:r>
    </w:p>
    <w:p w14:paraId="360CCA79"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II</w:t>
      </w:r>
      <w:r w:rsidRPr="00704DAA">
        <w:rPr>
          <w:rFonts w:ascii="Palatino Linotype" w:eastAsia="Palatino Linotype" w:hAnsi="Palatino Linotype" w:cs="Palatino Linotype"/>
          <w:i/>
          <w:sz w:val="22"/>
          <w:szCs w:val="22"/>
        </w:rPr>
        <w:t>. Se determine mediante resolución de autoridad competente; o</w:t>
      </w:r>
    </w:p>
    <w:p w14:paraId="23C0524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III</w:t>
      </w:r>
      <w:r w:rsidRPr="00704DAA">
        <w:rPr>
          <w:rFonts w:ascii="Palatino Linotype" w:eastAsia="Palatino Linotype" w:hAnsi="Palatino Linotype" w:cs="Palatino Linotype"/>
          <w:i/>
          <w:sz w:val="22"/>
          <w:szCs w:val="22"/>
        </w:rPr>
        <w:t>. Se generen versiones públicas para dar cumplimiento a las obligaciones de transparencia previstas en esta Ley.</w:t>
      </w:r>
    </w:p>
    <w:p w14:paraId="242080B3"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0DF61AE3"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Artículo 143</w:t>
      </w:r>
      <w:r w:rsidRPr="00704DA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572315C"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w:t>
      </w:r>
      <w:r w:rsidRPr="00704DA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8DC676B"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II.</w:t>
      </w:r>
      <w:r w:rsidRPr="00704DA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A785B46"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III</w:t>
      </w:r>
      <w:r w:rsidRPr="00704DA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6525962"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03BCCFC" w14:textId="77777777" w:rsidR="00820398" w:rsidRPr="00704DAA" w:rsidRDefault="00AD5A10">
      <w:pP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133A4DB"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15484013"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FCEDC91"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0DF05AFB"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siendo estas las siguientes:</w:t>
      </w:r>
    </w:p>
    <w:p w14:paraId="58DEFA6B"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7D39AD4A"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“CAPÍTULO VIII </w:t>
      </w:r>
    </w:p>
    <w:p w14:paraId="28B9E898"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DE LOS ELEMENTOS PARA LA CLASIFICACIÓN </w:t>
      </w:r>
    </w:p>
    <w:p w14:paraId="7F1CDAAB"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Quincuagésimo. </w:t>
      </w:r>
      <w:r w:rsidRPr="00704DAA">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0FDCEF4"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Quincuagésimo primero. </w:t>
      </w:r>
      <w:r w:rsidRPr="00704DAA">
        <w:rPr>
          <w:rFonts w:ascii="Palatino Linotype" w:eastAsia="Palatino Linotype" w:hAnsi="Palatino Linotype" w:cs="Palatino Linotype"/>
          <w:i/>
          <w:sz w:val="22"/>
          <w:szCs w:val="22"/>
        </w:rPr>
        <w:t xml:space="preserve">Toda acta del Comité de Transparencia deberá contener: </w:t>
      </w:r>
    </w:p>
    <w:p w14:paraId="73F931CA"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I. El número de sesión y fecha; </w:t>
      </w:r>
    </w:p>
    <w:p w14:paraId="39F819B4"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II. El nombre del área que solicitó la clasificación de información; </w:t>
      </w:r>
    </w:p>
    <w:p w14:paraId="7DFEEA06"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III. La fundamentación legal y motivación correspondiente; </w:t>
      </w:r>
    </w:p>
    <w:p w14:paraId="3764EE01"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IV. La resolución o resoluciones aprobadas; y </w:t>
      </w:r>
    </w:p>
    <w:p w14:paraId="360B5FBA"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V. La rúbrica o firma digital de cada integrante del Comité de Transparencia. </w:t>
      </w:r>
    </w:p>
    <w:p w14:paraId="6D64215C"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p>
    <w:p w14:paraId="3560A881" w14:textId="77777777" w:rsidR="00820398" w:rsidRPr="00704DAA" w:rsidRDefault="00AD5A10">
      <w:pPr>
        <w:ind w:left="851" w:right="616"/>
        <w:jc w:val="both"/>
        <w:rPr>
          <w:rFonts w:ascii="Palatino Linotype" w:eastAsia="Palatino Linotype" w:hAnsi="Palatino Linotype" w:cs="Palatino Linotype"/>
          <w:b/>
          <w:i/>
          <w:sz w:val="22"/>
          <w:szCs w:val="22"/>
          <w:u w:val="single"/>
        </w:rPr>
      </w:pPr>
      <w:r w:rsidRPr="00704DAA">
        <w:rPr>
          <w:rFonts w:ascii="Palatino Linotype" w:eastAsia="Palatino Linotype" w:hAnsi="Palatino Linotype" w:cs="Palatino Linotype"/>
          <w:i/>
          <w:sz w:val="22"/>
          <w:szCs w:val="22"/>
        </w:rPr>
        <w:t xml:space="preserve">En los casos de resoluciones del Comité de Transparencia en las que se </w:t>
      </w:r>
      <w:r w:rsidRPr="00704DAA">
        <w:rPr>
          <w:rFonts w:ascii="Palatino Linotype" w:eastAsia="Palatino Linotype" w:hAnsi="Palatino Linotype" w:cs="Palatino Linotype"/>
          <w:b/>
          <w:i/>
          <w:sz w:val="22"/>
          <w:szCs w:val="22"/>
          <w:u w:val="single"/>
        </w:rPr>
        <w:t xml:space="preserve">confirme la clasificación de información confidencial solo se deberán de identificar los </w:t>
      </w:r>
      <w:r w:rsidRPr="00704DAA">
        <w:rPr>
          <w:rFonts w:ascii="Palatino Linotype" w:eastAsia="Palatino Linotype" w:hAnsi="Palatino Linotype" w:cs="Palatino Linotype"/>
          <w:b/>
          <w:i/>
          <w:sz w:val="22"/>
          <w:szCs w:val="22"/>
          <w:u w:val="single"/>
        </w:rPr>
        <w:lastRenderedPageBreak/>
        <w:t>tipos de datos protegidos, de conformidad con el lineamiento trigésimo octavo.</w:t>
      </w:r>
    </w:p>
    <w:p w14:paraId="582D2DDC" w14:textId="77777777" w:rsidR="00820398" w:rsidRPr="00704DAA" w:rsidRDefault="00AD5A10">
      <w:pPr>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 xml:space="preserve">Quincuagésimo segundo. </w:t>
      </w:r>
      <w:r w:rsidRPr="00704DAA">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704DAA">
        <w:rPr>
          <w:rFonts w:ascii="Palatino Linotype" w:eastAsia="Palatino Linotype" w:hAnsi="Palatino Linotype" w:cs="Palatino Linotype"/>
          <w:b/>
          <w:i/>
          <w:sz w:val="22"/>
          <w:szCs w:val="22"/>
        </w:rPr>
        <w:t>confidencial,</w:t>
      </w:r>
      <w:r w:rsidRPr="00704DAA">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58453852"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28E951A" w14:textId="77777777" w:rsidR="00820398" w:rsidRPr="00704DAA" w:rsidRDefault="00AD5A10">
      <w:pPr>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62FAF530" w14:textId="77777777" w:rsidR="00820398" w:rsidRPr="00704DAA" w:rsidRDefault="00AD5A10">
      <w:pPr>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509D1E42" w14:textId="77777777" w:rsidR="00820398" w:rsidRPr="00704DAA" w:rsidRDefault="00AD5A10">
      <w:pPr>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 xml:space="preserve">III. Señalar las personas o instancias autorizadas a acceder a la información clasificada. </w:t>
      </w:r>
    </w:p>
    <w:p w14:paraId="369EB26D"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704DAA">
        <w:rPr>
          <w:rFonts w:ascii="Palatino Linotype" w:eastAsia="Palatino Linotype" w:hAnsi="Palatino Linotype" w:cs="Palatino Linotype"/>
          <w:b/>
          <w:i/>
          <w:sz w:val="22"/>
          <w:szCs w:val="22"/>
          <w:u w:val="single"/>
        </w:rPr>
        <w:t>información confidencial.</w:t>
      </w:r>
      <w:r w:rsidRPr="00704DAA">
        <w:rPr>
          <w:rFonts w:ascii="Palatino Linotype" w:eastAsia="Palatino Linotype" w:hAnsi="Palatino Linotype" w:cs="Palatino Linotype"/>
          <w:i/>
          <w:sz w:val="22"/>
          <w:szCs w:val="22"/>
        </w:rPr>
        <w:t xml:space="preserve"> </w:t>
      </w:r>
    </w:p>
    <w:p w14:paraId="012FE162" w14:textId="77777777" w:rsidR="00820398" w:rsidRPr="00704DAA" w:rsidRDefault="00AD5A10">
      <w:pPr>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w:t>
      </w:r>
    </w:p>
    <w:p w14:paraId="24E621A7" w14:textId="77777777" w:rsidR="00820398" w:rsidRPr="00704DAA" w:rsidRDefault="00AD5A10">
      <w:pPr>
        <w:ind w:left="851" w:right="616"/>
        <w:jc w:val="both"/>
        <w:rPr>
          <w:rFonts w:ascii="Palatino Linotype" w:eastAsia="Palatino Linotype" w:hAnsi="Palatino Linotype" w:cs="Palatino Linotype"/>
          <w:b/>
          <w:i/>
          <w:sz w:val="22"/>
          <w:szCs w:val="22"/>
        </w:rPr>
      </w:pPr>
      <w:r w:rsidRPr="00704DAA">
        <w:rPr>
          <w:rFonts w:ascii="Palatino Linotype" w:eastAsia="Palatino Linotype" w:hAnsi="Palatino Linotype" w:cs="Palatino Linotype"/>
          <w:b/>
          <w:i/>
          <w:sz w:val="22"/>
          <w:szCs w:val="22"/>
        </w:rPr>
        <w:t xml:space="preserve">Quincuagésimo cuarto. </w:t>
      </w:r>
      <w:r w:rsidRPr="00704DAA">
        <w:rPr>
          <w:rFonts w:ascii="Palatino Linotype" w:eastAsia="Palatino Linotype" w:hAnsi="Palatino Linotype" w:cs="Palatino Linotype"/>
          <w:i/>
          <w:sz w:val="22"/>
          <w:szCs w:val="22"/>
        </w:rPr>
        <w:t xml:space="preserve">Cuando el Comité de Transparencia confirme la clasificación de documentos reservados y/o </w:t>
      </w:r>
      <w:r w:rsidRPr="00704DAA">
        <w:rPr>
          <w:rFonts w:ascii="Palatino Linotype" w:eastAsia="Palatino Linotype" w:hAnsi="Palatino Linotype" w:cs="Palatino Linotype"/>
          <w:b/>
          <w:i/>
          <w:sz w:val="22"/>
          <w:szCs w:val="22"/>
        </w:rPr>
        <w:t>confidenciales</w:t>
      </w:r>
      <w:r w:rsidRPr="00704DAA">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04DAA">
        <w:rPr>
          <w:rFonts w:ascii="Palatino Linotype" w:eastAsia="Palatino Linotype" w:hAnsi="Palatino Linotype" w:cs="Palatino Linotype"/>
          <w:b/>
          <w:i/>
          <w:sz w:val="22"/>
          <w:szCs w:val="22"/>
        </w:rPr>
        <w:t xml:space="preserve"> </w:t>
      </w:r>
    </w:p>
    <w:p w14:paraId="2BA5CE39"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 xml:space="preserve">Quincuagésimo quinto. </w:t>
      </w:r>
      <w:r w:rsidRPr="00704DA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704DAA">
        <w:rPr>
          <w:rFonts w:ascii="Palatino Linotype" w:eastAsia="Palatino Linotype" w:hAnsi="Palatino Linotype" w:cs="Palatino Linotype"/>
          <w:i/>
          <w:sz w:val="22"/>
          <w:szCs w:val="22"/>
        </w:rPr>
        <w:t>testado</w:t>
      </w:r>
      <w:proofErr w:type="spellEnd"/>
      <w:r w:rsidRPr="00704DAA">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2E53BC9" w14:textId="77777777" w:rsidR="00820398" w:rsidRPr="00704DAA" w:rsidRDefault="00AD5A10">
      <w:pPr>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(Énfasis añadido) </w:t>
      </w:r>
    </w:p>
    <w:p w14:paraId="7F334C65" w14:textId="77777777" w:rsidR="00820398" w:rsidRPr="00704DAA" w:rsidRDefault="00AD5A10">
      <w:pPr>
        <w:spacing w:before="240" w:after="240"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lastRenderedPageBreak/>
        <w:t>Asimismo, deberá observar los Lineamientos Quincuagésimo sexto, Quincuagésimo séptimo y Quincuagésimo octavo, establecen lo siguiente:</w:t>
      </w:r>
    </w:p>
    <w:p w14:paraId="6E06B3FD"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w:t>
      </w:r>
      <w:r w:rsidRPr="00704DAA">
        <w:rPr>
          <w:rFonts w:ascii="Palatino Linotype" w:eastAsia="Palatino Linotype" w:hAnsi="Palatino Linotype" w:cs="Palatino Linotype"/>
          <w:b/>
          <w:i/>
          <w:sz w:val="22"/>
          <w:szCs w:val="22"/>
        </w:rPr>
        <w:t>Quincuagésimo sexto</w:t>
      </w:r>
      <w:r w:rsidRPr="00704DAA">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233EBB9"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Quincuagésimo séptimo</w:t>
      </w:r>
      <w:r w:rsidRPr="00704DA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CE6C097"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w:t>
      </w:r>
      <w:r w:rsidRPr="00704DA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B775D62"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II.</w:t>
      </w:r>
      <w:r w:rsidRPr="00704DAA">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D46749B"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III</w:t>
      </w:r>
      <w:r w:rsidRPr="00704DA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2F44FD2"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1A7329D" w14:textId="77777777" w:rsidR="00820398" w:rsidRPr="00704DAA" w:rsidRDefault="00AD5A10">
      <w:pPr>
        <w:ind w:left="851" w:right="902"/>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i/>
          <w:sz w:val="22"/>
          <w:szCs w:val="22"/>
        </w:rPr>
        <w:t>Quincuagésimo octavo</w:t>
      </w:r>
      <w:r w:rsidRPr="00704DAA">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64D6650"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025AC429"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w:t>
      </w:r>
      <w:r w:rsidRPr="00704DAA">
        <w:rPr>
          <w:rFonts w:ascii="Palatino Linotype" w:eastAsia="Palatino Linotype" w:hAnsi="Palatino Linotype" w:cs="Palatino Linotype"/>
          <w:sz w:val="22"/>
          <w:szCs w:val="22"/>
        </w:rPr>
        <w:lastRenderedPageBreak/>
        <w:t>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F241C1A" w14:textId="77777777" w:rsidR="00820398" w:rsidRPr="00704DAA" w:rsidRDefault="00820398">
      <w:pPr>
        <w:spacing w:line="360" w:lineRule="auto"/>
        <w:ind w:right="49"/>
        <w:jc w:val="both"/>
        <w:rPr>
          <w:rFonts w:ascii="Palatino Linotype" w:eastAsia="Palatino Linotype" w:hAnsi="Palatino Linotype" w:cs="Palatino Linotype"/>
          <w:sz w:val="22"/>
          <w:szCs w:val="22"/>
        </w:rPr>
      </w:pPr>
    </w:p>
    <w:p w14:paraId="57570F07"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p>
    <w:p w14:paraId="41E85A95"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09E7D435" w14:textId="77777777" w:rsidR="00820398" w:rsidRPr="00704DAA" w:rsidRDefault="00AD5A10">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04DAA">
        <w:rPr>
          <w:rFonts w:ascii="Palatino Linotype" w:eastAsia="Palatino Linotype" w:hAnsi="Palatino Linotype" w:cs="Palatino Linotype"/>
          <w:b/>
          <w:sz w:val="22"/>
          <w:szCs w:val="22"/>
        </w:rPr>
        <w:t>III. R E S U E L V E:</w:t>
      </w:r>
    </w:p>
    <w:p w14:paraId="1DC4B312" w14:textId="77777777" w:rsidR="00820398" w:rsidRPr="00704DAA" w:rsidRDefault="00820398">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1E168DC3" w14:textId="77777777" w:rsidR="00820398" w:rsidRPr="00704DAA" w:rsidRDefault="00AD5A10">
      <w:pPr>
        <w:spacing w:line="360" w:lineRule="auto"/>
        <w:jc w:val="both"/>
        <w:rPr>
          <w:rFonts w:ascii="Palatino Linotype" w:eastAsia="Palatino Linotype" w:hAnsi="Palatino Linotype" w:cs="Palatino Linotype"/>
          <w:b/>
          <w:sz w:val="22"/>
          <w:szCs w:val="22"/>
        </w:rPr>
      </w:pPr>
      <w:r w:rsidRPr="00704DAA">
        <w:rPr>
          <w:rFonts w:ascii="Palatino Linotype" w:eastAsia="Palatino Linotype" w:hAnsi="Palatino Linotype" w:cs="Palatino Linotype"/>
          <w:b/>
          <w:sz w:val="22"/>
          <w:szCs w:val="22"/>
        </w:rPr>
        <w:t xml:space="preserve">Primero. </w:t>
      </w:r>
      <w:r w:rsidRPr="00704DAA">
        <w:rPr>
          <w:rFonts w:ascii="Palatino Linotype" w:eastAsia="Palatino Linotype" w:hAnsi="Palatino Linotype" w:cs="Palatino Linotype"/>
          <w:sz w:val="22"/>
          <w:szCs w:val="22"/>
        </w:rPr>
        <w:t>Resultan</w:t>
      </w:r>
      <w:r w:rsidRPr="00704DAA">
        <w:rPr>
          <w:rFonts w:ascii="Palatino Linotype" w:eastAsia="Palatino Linotype" w:hAnsi="Palatino Linotype" w:cs="Palatino Linotype"/>
          <w:b/>
          <w:sz w:val="22"/>
          <w:szCs w:val="22"/>
        </w:rPr>
        <w:t xml:space="preserve"> fundados</w:t>
      </w:r>
      <w:r w:rsidRPr="00704DAA">
        <w:rPr>
          <w:rFonts w:ascii="Palatino Linotype" w:eastAsia="Palatino Linotype" w:hAnsi="Palatino Linotype" w:cs="Palatino Linotype"/>
          <w:sz w:val="22"/>
          <w:szCs w:val="22"/>
        </w:rPr>
        <w:t xml:space="preserve"> los motivos de inconformidad hechos valer por la parte </w:t>
      </w:r>
      <w:r w:rsidRPr="00704DAA">
        <w:rPr>
          <w:rFonts w:ascii="Palatino Linotype" w:eastAsia="Palatino Linotype" w:hAnsi="Palatino Linotype" w:cs="Palatino Linotype"/>
          <w:b/>
          <w:sz w:val="22"/>
          <w:szCs w:val="22"/>
        </w:rPr>
        <w:t xml:space="preserve">Recurrente </w:t>
      </w:r>
      <w:r w:rsidRPr="00704DAA">
        <w:rPr>
          <w:rFonts w:ascii="Palatino Linotype" w:eastAsia="Palatino Linotype" w:hAnsi="Palatino Linotype" w:cs="Palatino Linotype"/>
          <w:sz w:val="22"/>
          <w:szCs w:val="22"/>
        </w:rPr>
        <w:t xml:space="preserve">en el recurso de revisión </w:t>
      </w:r>
      <w:r w:rsidRPr="00704DAA">
        <w:rPr>
          <w:rFonts w:ascii="Palatino Linotype" w:eastAsia="Palatino Linotype" w:hAnsi="Palatino Linotype" w:cs="Palatino Linotype"/>
          <w:b/>
          <w:sz w:val="22"/>
          <w:szCs w:val="22"/>
        </w:rPr>
        <w:t xml:space="preserve">02059/INFOEM/IP/RR/2025, </w:t>
      </w:r>
      <w:r w:rsidRPr="00704DAA">
        <w:rPr>
          <w:rFonts w:ascii="Palatino Linotype" w:eastAsia="Palatino Linotype" w:hAnsi="Palatino Linotype" w:cs="Palatino Linotype"/>
          <w:sz w:val="22"/>
          <w:szCs w:val="22"/>
        </w:rPr>
        <w:t xml:space="preserve">por lo que, en términos del Considerando </w:t>
      </w:r>
      <w:r w:rsidRPr="00704DAA">
        <w:rPr>
          <w:rFonts w:ascii="Palatino Linotype" w:eastAsia="Palatino Linotype" w:hAnsi="Palatino Linotype" w:cs="Palatino Linotype"/>
          <w:b/>
          <w:sz w:val="22"/>
          <w:szCs w:val="22"/>
        </w:rPr>
        <w:t>Cuarto</w:t>
      </w:r>
      <w:r w:rsidRPr="00704DAA">
        <w:rPr>
          <w:rFonts w:ascii="Palatino Linotype" w:eastAsia="Palatino Linotype" w:hAnsi="Palatino Linotype" w:cs="Palatino Linotype"/>
          <w:sz w:val="22"/>
          <w:szCs w:val="22"/>
        </w:rPr>
        <w:t xml:space="preserve"> de la presente resolución, se</w:t>
      </w:r>
      <w:r w:rsidRPr="00704DAA">
        <w:rPr>
          <w:rFonts w:ascii="Palatino Linotype" w:eastAsia="Palatino Linotype" w:hAnsi="Palatino Linotype" w:cs="Palatino Linotype"/>
          <w:b/>
          <w:sz w:val="22"/>
          <w:szCs w:val="22"/>
        </w:rPr>
        <w:t xml:space="preserve"> Revoca </w:t>
      </w:r>
      <w:r w:rsidRPr="00704DAA">
        <w:rPr>
          <w:rFonts w:ascii="Palatino Linotype" w:eastAsia="Palatino Linotype" w:hAnsi="Palatino Linotype" w:cs="Palatino Linotype"/>
          <w:sz w:val="22"/>
          <w:szCs w:val="22"/>
        </w:rPr>
        <w:t>la respuesta</w:t>
      </w:r>
      <w:r w:rsidRPr="00704DAA">
        <w:rPr>
          <w:rFonts w:ascii="Palatino Linotype" w:eastAsia="Palatino Linotype" w:hAnsi="Palatino Linotype" w:cs="Palatino Linotype"/>
          <w:b/>
          <w:sz w:val="22"/>
          <w:szCs w:val="22"/>
        </w:rPr>
        <w:t xml:space="preserve"> </w:t>
      </w:r>
      <w:r w:rsidRPr="00704DAA">
        <w:rPr>
          <w:rFonts w:ascii="Palatino Linotype" w:eastAsia="Palatino Linotype" w:hAnsi="Palatino Linotype" w:cs="Palatino Linotype"/>
          <w:sz w:val="22"/>
          <w:szCs w:val="22"/>
        </w:rPr>
        <w:t xml:space="preserve">del </w:t>
      </w:r>
      <w:r w:rsidRPr="00704DAA">
        <w:rPr>
          <w:rFonts w:ascii="Palatino Linotype" w:eastAsia="Palatino Linotype" w:hAnsi="Palatino Linotype" w:cs="Palatino Linotype"/>
          <w:b/>
          <w:sz w:val="22"/>
          <w:szCs w:val="22"/>
        </w:rPr>
        <w:t>Sujeto Obligado.</w:t>
      </w:r>
    </w:p>
    <w:p w14:paraId="62492B9C" w14:textId="77777777" w:rsidR="00820398" w:rsidRPr="00704DAA" w:rsidRDefault="00820398">
      <w:pPr>
        <w:spacing w:line="360" w:lineRule="auto"/>
        <w:jc w:val="both"/>
        <w:rPr>
          <w:rFonts w:ascii="Palatino Linotype" w:eastAsia="Palatino Linotype" w:hAnsi="Palatino Linotype" w:cs="Palatino Linotype"/>
          <w:b/>
          <w:sz w:val="22"/>
          <w:szCs w:val="22"/>
        </w:rPr>
      </w:pPr>
    </w:p>
    <w:p w14:paraId="2C1ADB3C" w14:textId="77777777" w:rsidR="00820398" w:rsidRPr="00704DAA" w:rsidRDefault="00AD5A10">
      <w:pPr>
        <w:spacing w:line="360" w:lineRule="auto"/>
        <w:jc w:val="both"/>
        <w:rPr>
          <w:rFonts w:ascii="Palatino Linotype" w:eastAsia="Palatino Linotype" w:hAnsi="Palatino Linotype" w:cs="Palatino Linotype"/>
          <w:sz w:val="22"/>
          <w:szCs w:val="22"/>
        </w:rPr>
      </w:pPr>
      <w:bookmarkStart w:id="6" w:name="_heading=h.17dp8vu" w:colFirst="0" w:colLast="0"/>
      <w:bookmarkEnd w:id="6"/>
      <w:r w:rsidRPr="00704DAA">
        <w:rPr>
          <w:rFonts w:ascii="Palatino Linotype" w:eastAsia="Palatino Linotype" w:hAnsi="Palatino Linotype" w:cs="Palatino Linotype"/>
          <w:b/>
          <w:sz w:val="22"/>
          <w:szCs w:val="22"/>
        </w:rPr>
        <w:t xml:space="preserve">Segundo. </w:t>
      </w:r>
      <w:r w:rsidRPr="00704DAA">
        <w:rPr>
          <w:rFonts w:ascii="Palatino Linotype" w:eastAsia="Palatino Linotype" w:hAnsi="Palatino Linotype" w:cs="Palatino Linotype"/>
          <w:sz w:val="22"/>
          <w:szCs w:val="22"/>
        </w:rPr>
        <w:t xml:space="preserve">Se </w:t>
      </w:r>
      <w:r w:rsidRPr="00704DAA">
        <w:rPr>
          <w:rFonts w:ascii="Palatino Linotype" w:eastAsia="Palatino Linotype" w:hAnsi="Palatino Linotype" w:cs="Palatino Linotype"/>
          <w:b/>
          <w:sz w:val="22"/>
          <w:szCs w:val="22"/>
        </w:rPr>
        <w:t>Ordena</w:t>
      </w:r>
      <w:r w:rsidRPr="00704DAA">
        <w:rPr>
          <w:rFonts w:ascii="Palatino Linotype" w:eastAsia="Palatino Linotype" w:hAnsi="Palatino Linotype" w:cs="Palatino Linotype"/>
          <w:sz w:val="22"/>
          <w:szCs w:val="22"/>
        </w:rPr>
        <w:t xml:space="preserve"> al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en términos de los Considerandos </w:t>
      </w:r>
      <w:r w:rsidRPr="00704DAA">
        <w:rPr>
          <w:rFonts w:ascii="Palatino Linotype" w:eastAsia="Palatino Linotype" w:hAnsi="Palatino Linotype" w:cs="Palatino Linotype"/>
          <w:b/>
          <w:sz w:val="22"/>
          <w:szCs w:val="22"/>
        </w:rPr>
        <w:t xml:space="preserve">Cuarto y Quinto </w:t>
      </w:r>
      <w:r w:rsidRPr="00704DAA">
        <w:rPr>
          <w:rFonts w:ascii="Palatino Linotype" w:eastAsia="Palatino Linotype" w:hAnsi="Palatino Linotype" w:cs="Palatino Linotype"/>
          <w:sz w:val="22"/>
          <w:szCs w:val="22"/>
        </w:rPr>
        <w:t>de esta resolución, haga</w:t>
      </w:r>
      <w:r w:rsidRPr="00704DAA">
        <w:rPr>
          <w:rFonts w:ascii="Palatino Linotype" w:eastAsia="Palatino Linotype" w:hAnsi="Palatino Linotype" w:cs="Palatino Linotype"/>
          <w:b/>
          <w:sz w:val="22"/>
          <w:szCs w:val="22"/>
        </w:rPr>
        <w:t xml:space="preserve"> entrega </w:t>
      </w:r>
      <w:r w:rsidRPr="00704DAA">
        <w:rPr>
          <w:rFonts w:ascii="Palatino Linotype" w:eastAsia="Palatino Linotype" w:hAnsi="Palatino Linotype" w:cs="Palatino Linotype"/>
          <w:sz w:val="22"/>
          <w:szCs w:val="22"/>
        </w:rPr>
        <w:t>vía</w:t>
      </w:r>
      <w:r w:rsidRPr="00704DAA">
        <w:rPr>
          <w:rFonts w:ascii="Palatino Linotype" w:eastAsia="Palatino Linotype" w:hAnsi="Palatino Linotype" w:cs="Palatino Linotype"/>
          <w:b/>
          <w:sz w:val="22"/>
          <w:szCs w:val="22"/>
        </w:rPr>
        <w:t xml:space="preserve"> </w:t>
      </w:r>
      <w:r w:rsidRPr="00704DAA">
        <w:rPr>
          <w:rFonts w:ascii="Palatino Linotype" w:eastAsia="Palatino Linotype" w:hAnsi="Palatino Linotype" w:cs="Palatino Linotype"/>
          <w:sz w:val="22"/>
          <w:szCs w:val="22"/>
        </w:rPr>
        <w:t>Sistema de Acceso a la Información Mexiquense</w:t>
      </w:r>
      <w:r w:rsidRPr="00704DAA">
        <w:rPr>
          <w:rFonts w:ascii="Palatino Linotype" w:eastAsia="Palatino Linotype" w:hAnsi="Palatino Linotype" w:cs="Palatino Linotype"/>
          <w:b/>
          <w:sz w:val="22"/>
          <w:szCs w:val="22"/>
        </w:rPr>
        <w:t xml:space="preserve"> (SAIMEX),</w:t>
      </w:r>
      <w:r w:rsidRPr="00704DAA">
        <w:rPr>
          <w:rFonts w:ascii="Palatino Linotype" w:eastAsia="Palatino Linotype" w:hAnsi="Palatino Linotype" w:cs="Palatino Linotype"/>
          <w:sz w:val="22"/>
          <w:szCs w:val="22"/>
        </w:rPr>
        <w:t xml:space="preserve"> previa búsqueda exhaustiva y razonable, de ser procedente en versión pública, de lo siguiente:</w:t>
      </w:r>
    </w:p>
    <w:p w14:paraId="1D59654A"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098F8F38" w14:textId="77777777" w:rsidR="00820398" w:rsidRPr="00704DAA" w:rsidRDefault="00AD5A10">
      <w:pPr>
        <w:numPr>
          <w:ilvl w:val="0"/>
          <w:numId w:val="8"/>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bookmarkStart w:id="7" w:name="_heading=h.z337ya" w:colFirst="0" w:colLast="0"/>
      <w:bookmarkEnd w:id="7"/>
      <w:r w:rsidRPr="00704DAA">
        <w:rPr>
          <w:rFonts w:ascii="Palatino Linotype" w:eastAsia="Palatino Linotype" w:hAnsi="Palatino Linotype" w:cs="Palatino Linotype"/>
          <w:sz w:val="22"/>
          <w:szCs w:val="22"/>
        </w:rPr>
        <w:lastRenderedPageBreak/>
        <w:t xml:space="preserve">El o los documentos que den cuenta del presupuesto pendiente por ejercer del ejercicio dos mil veinticuatro, con el que se contaba al primero de enero de dos mil veinticinco. </w:t>
      </w:r>
    </w:p>
    <w:p w14:paraId="637607D2" w14:textId="77777777" w:rsidR="00820398" w:rsidRPr="00704DAA" w:rsidRDefault="00820398">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4216F122" w14:textId="77777777" w:rsidR="00820398" w:rsidRPr="00704DAA" w:rsidRDefault="00AD5A1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i/>
          <w:sz w:val="22"/>
          <w:szCs w:val="22"/>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Pr="00704DAA">
        <w:rPr>
          <w:rFonts w:ascii="Palatino Linotype" w:eastAsia="Palatino Linotype" w:hAnsi="Palatino Linotype" w:cs="Palatino Linotype"/>
          <w:b/>
          <w:i/>
          <w:sz w:val="22"/>
          <w:szCs w:val="22"/>
        </w:rPr>
        <w:t>Recurrente,</w:t>
      </w:r>
      <w:r w:rsidRPr="00704DAA">
        <w:rPr>
          <w:rFonts w:ascii="Palatino Linotype" w:eastAsia="Palatino Linotype" w:hAnsi="Palatino Linotype" w:cs="Palatino Linotype"/>
          <w:i/>
          <w:sz w:val="22"/>
          <w:szCs w:val="22"/>
        </w:rPr>
        <w:t xml:space="preserve"> mismo que igualmente hará de su conocimiento.</w:t>
      </w:r>
    </w:p>
    <w:p w14:paraId="052D8A22" w14:textId="77777777" w:rsidR="00820398" w:rsidRPr="00704DAA" w:rsidRDefault="0082039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F18F997" w14:textId="77777777" w:rsidR="00820398" w:rsidRPr="00704DAA" w:rsidRDefault="00AD5A10">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i/>
          <w:sz w:val="22"/>
          <w:szCs w:val="22"/>
        </w:rPr>
        <w:t>Para el caso de no contar con la evidencia documental ordenada, por no tener presupuesto pendiente de ejercer,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3C2BFB62"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7E57BD28" w14:textId="77777777" w:rsidR="00820398" w:rsidRPr="00704DAA" w:rsidRDefault="00AD5A10">
      <w:pPr>
        <w:spacing w:line="360" w:lineRule="auto"/>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t xml:space="preserve">Tercero. Notifíquese, </w:t>
      </w:r>
      <w:r w:rsidRPr="00704DAA">
        <w:rPr>
          <w:rFonts w:ascii="Palatino Linotype" w:eastAsia="Palatino Linotype" w:hAnsi="Palatino Linotype" w:cs="Palatino Linotype"/>
          <w:sz w:val="22"/>
          <w:szCs w:val="22"/>
        </w:rPr>
        <w:t xml:space="preserve">vía </w:t>
      </w:r>
      <w:r w:rsidRPr="00704DAA">
        <w:rPr>
          <w:rFonts w:ascii="Palatino Linotype" w:eastAsia="Palatino Linotype" w:hAnsi="Palatino Linotype" w:cs="Palatino Linotype"/>
          <w:b/>
          <w:sz w:val="22"/>
          <w:szCs w:val="22"/>
        </w:rPr>
        <w:t>SAIMEX</w:t>
      </w:r>
      <w:r w:rsidRPr="00704DAA">
        <w:rPr>
          <w:rFonts w:ascii="Palatino Linotype" w:eastAsia="Palatino Linotype" w:hAnsi="Palatino Linotype" w:cs="Palatino Linotype"/>
          <w:sz w:val="22"/>
          <w:szCs w:val="22"/>
        </w:rPr>
        <w:t xml:space="preserve">, al Titular de la Unidad de Transparencia del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00B094" w14:textId="77777777" w:rsidR="00820398" w:rsidRPr="00704DAA" w:rsidRDefault="00820398">
      <w:pPr>
        <w:spacing w:line="360" w:lineRule="auto"/>
        <w:jc w:val="both"/>
        <w:rPr>
          <w:rFonts w:ascii="Palatino Linotype" w:eastAsia="Palatino Linotype" w:hAnsi="Palatino Linotype" w:cs="Palatino Linotype"/>
          <w:sz w:val="22"/>
          <w:szCs w:val="22"/>
        </w:rPr>
      </w:pPr>
    </w:p>
    <w:p w14:paraId="4082D9C9" w14:textId="77777777" w:rsidR="00820398" w:rsidRPr="00704DAA" w:rsidRDefault="00AD5A10">
      <w:pPr>
        <w:spacing w:line="360" w:lineRule="auto"/>
        <w:ind w:right="49"/>
        <w:jc w:val="both"/>
        <w:rPr>
          <w:rFonts w:ascii="Palatino Linotype" w:eastAsia="Palatino Linotype" w:hAnsi="Palatino Linotype" w:cs="Palatino Linotype"/>
          <w:sz w:val="22"/>
          <w:szCs w:val="22"/>
        </w:rPr>
      </w:pPr>
      <w:r w:rsidRPr="00704DAA">
        <w:rPr>
          <w:rFonts w:ascii="Palatino Linotype" w:eastAsia="Palatino Linotype" w:hAnsi="Palatino Linotype" w:cs="Palatino Linotype"/>
          <w:b/>
          <w:sz w:val="22"/>
          <w:szCs w:val="22"/>
        </w:rPr>
        <w:lastRenderedPageBreak/>
        <w:t>Cuarto.</w:t>
      </w:r>
      <w:r w:rsidRPr="00704DAA">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704DAA">
        <w:rPr>
          <w:rFonts w:ascii="Palatino Linotype" w:eastAsia="Palatino Linotype" w:hAnsi="Palatino Linotype" w:cs="Palatino Linotype"/>
          <w:b/>
          <w:sz w:val="22"/>
          <w:szCs w:val="22"/>
        </w:rPr>
        <w:t>Sujeto Obligado</w:t>
      </w:r>
      <w:r w:rsidRPr="00704DA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6E9BA73" w14:textId="77777777" w:rsidR="00820398" w:rsidRPr="00704DAA" w:rsidRDefault="00820398">
      <w:pPr>
        <w:spacing w:line="360" w:lineRule="auto"/>
        <w:ind w:right="49"/>
        <w:jc w:val="both"/>
        <w:rPr>
          <w:rFonts w:ascii="Palatino Linotype" w:eastAsia="Palatino Linotype" w:hAnsi="Palatino Linotype" w:cs="Palatino Linotype"/>
          <w:sz w:val="22"/>
          <w:szCs w:val="22"/>
        </w:rPr>
      </w:pPr>
    </w:p>
    <w:p w14:paraId="7FA2C416" w14:textId="77777777" w:rsidR="00820398" w:rsidRPr="00704DAA" w:rsidRDefault="00AD5A10">
      <w:pPr>
        <w:spacing w:line="360" w:lineRule="auto"/>
        <w:ind w:right="49"/>
        <w:jc w:val="both"/>
        <w:rPr>
          <w:rFonts w:ascii="Palatino Linotype" w:eastAsia="Palatino Linotype" w:hAnsi="Palatino Linotype" w:cs="Palatino Linotype"/>
          <w:i/>
          <w:sz w:val="22"/>
          <w:szCs w:val="22"/>
        </w:rPr>
      </w:pPr>
      <w:r w:rsidRPr="00704DAA">
        <w:rPr>
          <w:rFonts w:ascii="Palatino Linotype" w:eastAsia="Palatino Linotype" w:hAnsi="Palatino Linotype" w:cs="Palatino Linotype"/>
          <w:b/>
          <w:sz w:val="22"/>
          <w:szCs w:val="22"/>
        </w:rPr>
        <w:t>Quinto.</w:t>
      </w:r>
      <w:r w:rsidRPr="00704DAA">
        <w:rPr>
          <w:rFonts w:ascii="Palatino Linotype" w:eastAsia="Palatino Linotype" w:hAnsi="Palatino Linotype" w:cs="Palatino Linotype"/>
          <w:sz w:val="22"/>
          <w:szCs w:val="22"/>
        </w:rPr>
        <w:t xml:space="preserve"> </w:t>
      </w:r>
      <w:r w:rsidRPr="00704DAA">
        <w:rPr>
          <w:rFonts w:ascii="Palatino Linotype" w:eastAsia="Palatino Linotype" w:hAnsi="Palatino Linotype" w:cs="Palatino Linotype"/>
          <w:b/>
          <w:sz w:val="22"/>
          <w:szCs w:val="22"/>
        </w:rPr>
        <w:t>Notifíquese vía SAIMEX</w:t>
      </w:r>
      <w:r w:rsidRPr="00704DAA">
        <w:rPr>
          <w:rFonts w:ascii="Palatino Linotype" w:eastAsia="Palatino Linotype" w:hAnsi="Palatino Linotype" w:cs="Palatino Linotype"/>
          <w:sz w:val="22"/>
          <w:szCs w:val="22"/>
        </w:rPr>
        <w:t xml:space="preserve"> a la parte </w:t>
      </w:r>
      <w:r w:rsidRPr="00704DAA">
        <w:rPr>
          <w:rFonts w:ascii="Palatino Linotype" w:eastAsia="Palatino Linotype" w:hAnsi="Palatino Linotype" w:cs="Palatino Linotype"/>
          <w:b/>
          <w:sz w:val="22"/>
          <w:szCs w:val="22"/>
        </w:rPr>
        <w:t xml:space="preserve">Recurrente </w:t>
      </w:r>
      <w:r w:rsidRPr="00704DAA">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2497901" w14:textId="77777777" w:rsidR="00820398" w:rsidRPr="00511EE8" w:rsidRDefault="00AD5A10">
      <w:pPr>
        <w:spacing w:before="240" w:after="240" w:line="360" w:lineRule="auto"/>
        <w:jc w:val="both"/>
        <w:rPr>
          <w:rFonts w:ascii="Palatino Linotype" w:eastAsia="Palatino Linotype" w:hAnsi="Palatino Linotype" w:cs="Palatino Linotype"/>
          <w:sz w:val="22"/>
          <w:szCs w:val="22"/>
        </w:rPr>
        <w:sectPr w:rsidR="00820398" w:rsidRPr="00511EE8">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r w:rsidRPr="00704DA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r w:rsidRPr="00511EE8">
        <w:rPr>
          <w:rFonts w:ascii="Palatino Linotype" w:eastAsia="Palatino Linotype" w:hAnsi="Palatino Linotype" w:cs="Palatino Linotype"/>
          <w:sz w:val="22"/>
          <w:szCs w:val="22"/>
        </w:rPr>
        <w:t xml:space="preserve">  </w:t>
      </w:r>
    </w:p>
    <w:p w14:paraId="77B3DC53" w14:textId="77777777" w:rsidR="00820398" w:rsidRPr="00511EE8" w:rsidRDefault="00820398">
      <w:pPr>
        <w:spacing w:line="360" w:lineRule="auto"/>
        <w:jc w:val="both"/>
        <w:rPr>
          <w:rFonts w:ascii="Palatino Linotype" w:eastAsia="Palatino Linotype" w:hAnsi="Palatino Linotype" w:cs="Palatino Linotype"/>
          <w:sz w:val="22"/>
          <w:szCs w:val="22"/>
        </w:rPr>
      </w:pPr>
    </w:p>
    <w:sectPr w:rsidR="00820398" w:rsidRPr="00511EE8">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BCDB" w14:textId="77777777" w:rsidR="003541FB" w:rsidRDefault="003541FB">
      <w:r>
        <w:separator/>
      </w:r>
    </w:p>
  </w:endnote>
  <w:endnote w:type="continuationSeparator" w:id="0">
    <w:p w14:paraId="08188900" w14:textId="77777777" w:rsidR="003541FB" w:rsidRDefault="00354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4951" w14:textId="77777777" w:rsidR="00820398" w:rsidRDefault="00AD5A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04DAA">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04DAA">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462B753A" w14:textId="77777777" w:rsidR="00820398" w:rsidRDefault="00820398">
    <w:pPr>
      <w:pBdr>
        <w:top w:val="nil"/>
        <w:left w:val="nil"/>
        <w:bottom w:val="nil"/>
        <w:right w:val="nil"/>
        <w:between w:val="nil"/>
      </w:pBdr>
      <w:tabs>
        <w:tab w:val="center" w:pos="4252"/>
        <w:tab w:val="right" w:pos="8504"/>
      </w:tabs>
      <w:rPr>
        <w:color w:val="000000"/>
      </w:rPr>
    </w:pPr>
  </w:p>
  <w:p w14:paraId="0C3D12E2" w14:textId="77777777" w:rsidR="00820398" w:rsidRDefault="0082039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B7DE" w14:textId="77777777" w:rsidR="00820398" w:rsidRDefault="00AD5A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04DAA">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04DAA">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637C7A8A" w14:textId="77777777" w:rsidR="00820398" w:rsidRDefault="0082039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7D87C" w14:textId="77777777" w:rsidR="003541FB" w:rsidRDefault="003541FB">
      <w:r>
        <w:separator/>
      </w:r>
    </w:p>
  </w:footnote>
  <w:footnote w:type="continuationSeparator" w:id="0">
    <w:p w14:paraId="6E177179" w14:textId="77777777" w:rsidR="003541FB" w:rsidRDefault="00354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F241" w14:textId="77777777" w:rsidR="00820398" w:rsidRDefault="00AD5A1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770FFB4" wp14:editId="250E6E5D">
          <wp:simplePos x="0" y="0"/>
          <wp:positionH relativeFrom="column">
            <wp:posOffset>-638174</wp:posOffset>
          </wp:positionH>
          <wp:positionV relativeFrom="paragraph">
            <wp:posOffset>-450214</wp:posOffset>
          </wp:positionV>
          <wp:extent cx="7809876" cy="10165823"/>
          <wp:effectExtent l="0" t="0" r="0" b="0"/>
          <wp:wrapNone/>
          <wp:docPr id="1799038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528" w:type="dxa"/>
      <w:tblInd w:w="3261" w:type="dxa"/>
      <w:tblLayout w:type="fixed"/>
      <w:tblLook w:val="0400" w:firstRow="0" w:lastRow="0" w:firstColumn="0" w:lastColumn="0" w:noHBand="0" w:noVBand="1"/>
    </w:tblPr>
    <w:tblGrid>
      <w:gridCol w:w="2551"/>
      <w:gridCol w:w="2977"/>
    </w:tblGrid>
    <w:tr w:rsidR="00820398" w14:paraId="023A1D11" w14:textId="77777777">
      <w:tc>
        <w:tcPr>
          <w:tcW w:w="2551" w:type="dxa"/>
          <w:vAlign w:val="center"/>
        </w:tcPr>
        <w:p w14:paraId="1F4A62E2" w14:textId="77777777" w:rsidR="00820398" w:rsidRDefault="00AD5A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3C04595" w14:textId="77777777" w:rsidR="00820398" w:rsidRDefault="00AD5A1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02059/INFOEM/IP/RR/2025</w:t>
          </w:r>
        </w:p>
      </w:tc>
    </w:tr>
    <w:tr w:rsidR="00820398" w14:paraId="548689AF" w14:textId="77777777">
      <w:trPr>
        <w:trHeight w:val="228"/>
      </w:trPr>
      <w:tc>
        <w:tcPr>
          <w:tcW w:w="2551" w:type="dxa"/>
          <w:vAlign w:val="center"/>
        </w:tcPr>
        <w:p w14:paraId="0A79CC4A" w14:textId="77777777" w:rsidR="00820398" w:rsidRDefault="00AD5A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D9EEA11" w14:textId="77777777" w:rsidR="00820398" w:rsidRDefault="00AD5A1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Tlalnepantla de Baz</w:t>
          </w:r>
        </w:p>
      </w:tc>
    </w:tr>
    <w:tr w:rsidR="00820398" w14:paraId="1F80E3ED" w14:textId="77777777">
      <w:tc>
        <w:tcPr>
          <w:tcW w:w="2551" w:type="dxa"/>
          <w:vAlign w:val="center"/>
        </w:tcPr>
        <w:p w14:paraId="485CED18" w14:textId="77777777" w:rsidR="00820398" w:rsidRDefault="00AD5A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000887D" w14:textId="77777777" w:rsidR="00820398" w:rsidRDefault="00AD5A1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B4BDA3" w14:textId="77777777" w:rsidR="00820398" w:rsidRDefault="00AD5A1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63A7" w14:textId="77777777" w:rsidR="00820398" w:rsidRDefault="00AD5A1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5ACB4B0" wp14:editId="3D9C81AE">
          <wp:simplePos x="0" y="0"/>
          <wp:positionH relativeFrom="column">
            <wp:posOffset>-798193</wp:posOffset>
          </wp:positionH>
          <wp:positionV relativeFrom="paragraph">
            <wp:posOffset>-399413</wp:posOffset>
          </wp:positionV>
          <wp:extent cx="7809876" cy="10165823"/>
          <wp:effectExtent l="0" t="0" r="0" b="0"/>
          <wp:wrapNone/>
          <wp:docPr id="1799038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820398" w14:paraId="15237D04" w14:textId="77777777">
      <w:tc>
        <w:tcPr>
          <w:tcW w:w="2551" w:type="dxa"/>
          <w:vAlign w:val="center"/>
        </w:tcPr>
        <w:p w14:paraId="3470A202" w14:textId="77777777" w:rsidR="00820398" w:rsidRDefault="00AD5A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004043D" w14:textId="77777777" w:rsidR="00820398" w:rsidRDefault="00AD5A1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02059/INFOEM/IP/RR/2025</w:t>
          </w:r>
        </w:p>
      </w:tc>
    </w:tr>
    <w:tr w:rsidR="00820398" w14:paraId="4BC08368" w14:textId="77777777">
      <w:tc>
        <w:tcPr>
          <w:tcW w:w="2551" w:type="dxa"/>
          <w:vAlign w:val="center"/>
        </w:tcPr>
        <w:p w14:paraId="0D7FC8AA" w14:textId="77777777" w:rsidR="00820398" w:rsidRDefault="00AD5A1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A41DCCC" w14:textId="0A9C5F1B" w:rsidR="00820398" w:rsidRDefault="007A3CA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XXXXXX XXXX </w:t>
          </w:r>
        </w:p>
      </w:tc>
    </w:tr>
    <w:tr w:rsidR="00820398" w14:paraId="5E19EAD7" w14:textId="77777777">
      <w:trPr>
        <w:trHeight w:val="228"/>
      </w:trPr>
      <w:tc>
        <w:tcPr>
          <w:tcW w:w="2551" w:type="dxa"/>
          <w:vAlign w:val="center"/>
        </w:tcPr>
        <w:p w14:paraId="337E0C04" w14:textId="77777777" w:rsidR="00820398" w:rsidRDefault="00AD5A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59FCA20" w14:textId="77777777" w:rsidR="00820398" w:rsidRDefault="00AD5A10">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Tlalnepantla de Baz</w:t>
          </w:r>
        </w:p>
      </w:tc>
    </w:tr>
    <w:tr w:rsidR="00820398" w14:paraId="51B9AB78" w14:textId="77777777">
      <w:tc>
        <w:tcPr>
          <w:tcW w:w="2551" w:type="dxa"/>
          <w:vAlign w:val="center"/>
        </w:tcPr>
        <w:p w14:paraId="2353234F" w14:textId="77777777" w:rsidR="00820398" w:rsidRDefault="00AD5A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77E4213" w14:textId="77777777" w:rsidR="00820398" w:rsidRDefault="00AD5A1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AF3E8E4" w14:textId="77777777" w:rsidR="00820398" w:rsidRDefault="0082039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842C" w14:textId="77777777" w:rsidR="00820398" w:rsidRDefault="00820398">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B6F7F4D" w14:textId="77777777" w:rsidR="00820398" w:rsidRDefault="0082039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A95"/>
    <w:multiLevelType w:val="multilevel"/>
    <w:tmpl w:val="955ED1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85280"/>
    <w:multiLevelType w:val="multilevel"/>
    <w:tmpl w:val="6B1C8760"/>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0C5BEA"/>
    <w:multiLevelType w:val="multilevel"/>
    <w:tmpl w:val="DFE633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873AB2"/>
    <w:multiLevelType w:val="multilevel"/>
    <w:tmpl w:val="DD3E4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574DC6"/>
    <w:multiLevelType w:val="multilevel"/>
    <w:tmpl w:val="ED52FC6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396A67"/>
    <w:multiLevelType w:val="multilevel"/>
    <w:tmpl w:val="986C16FC"/>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39CA3163"/>
    <w:multiLevelType w:val="multilevel"/>
    <w:tmpl w:val="D6BCA4B8"/>
    <w:lvl w:ilvl="0">
      <w:start w:val="7"/>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367249"/>
    <w:multiLevelType w:val="multilevel"/>
    <w:tmpl w:val="33885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9861AD"/>
    <w:multiLevelType w:val="multilevel"/>
    <w:tmpl w:val="F856C20E"/>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
  </w:num>
  <w:num w:numId="3">
    <w:abstractNumId w:val="7"/>
  </w:num>
  <w:num w:numId="4">
    <w:abstractNumId w:val="3"/>
  </w:num>
  <w:num w:numId="5">
    <w:abstractNumId w:val="4"/>
  </w:num>
  <w:num w:numId="6">
    <w:abstractNumId w:val="0"/>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398"/>
    <w:rsid w:val="003541FB"/>
    <w:rsid w:val="00511EE8"/>
    <w:rsid w:val="00704DAA"/>
    <w:rsid w:val="007A3CAA"/>
    <w:rsid w:val="00820398"/>
    <w:rsid w:val="00AD5A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50C5"/>
  <w15:docId w15:val="{A4725564-EDE9-4603-9223-024C9E9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1D0919"/>
    <w:rPr>
      <w:color w:val="605E5C"/>
      <w:shd w:val="clear" w:color="auto" w:fill="E1DFDD"/>
    </w:rPr>
  </w:style>
  <w:style w:type="character" w:customStyle="1" w:styleId="Mencinsinresolver4">
    <w:name w:val="Mención sin resolver4"/>
    <w:basedOn w:val="Fuentedeprrafopredeter"/>
    <w:uiPriority w:val="99"/>
    <w:semiHidden/>
    <w:unhideWhenUsed/>
    <w:rsid w:val="0058784E"/>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repositorio.tlalnepantla.gob.mx/files/pdf/repositorio/8282JGDIF.pdf"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repositorio.tlalnepantla.gob.mx/files/pdf/repositorio/8282JGDIF.pdf" TargetMode="Externa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jt+O/semMWBbxThu0JAZ/9Rfg==">CgMxLjAyCWguM3pueXNoNzIIaC5namRneHMyCWguMzBqMHpsbDIOaC5zYmRmcHZkc2lpa20yDmguMnV0aGx6ZzA1ZW15MghoLnR5amN3dDIJaC4xN2RwOHZ1MghoLnozMzd5YTgAciExbl9NQUlIZEFmazk3MjNHLW0zeTRvY2ktcV9YMXFOemI=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8912</Words>
  <Characters>49018</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2025-05-06T17:10:00Z</cp:lastPrinted>
  <dcterms:created xsi:type="dcterms:W3CDTF">2025-05-08T18:07:00Z</dcterms:created>
  <dcterms:modified xsi:type="dcterms:W3CDTF">2025-05-08T18:07:00Z</dcterms:modified>
</cp:coreProperties>
</file>