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D435D" w14:textId="6CECE6D7" w:rsidR="00B433C9" w:rsidRPr="000227FF" w:rsidRDefault="00B433C9" w:rsidP="000227FF">
      <w:pPr>
        <w:shd w:val="clear" w:color="auto" w:fill="FFFFFF"/>
        <w:spacing w:after="0" w:line="360" w:lineRule="auto"/>
        <w:jc w:val="both"/>
        <w:rPr>
          <w:rFonts w:ascii="Palatino Linotype" w:eastAsia="Times New Roman" w:hAnsi="Palatino Linotype" w:cs="Arial"/>
          <w:color w:val="000000"/>
          <w:sz w:val="24"/>
          <w:szCs w:val="24"/>
          <w:lang w:eastAsia="es-MX"/>
        </w:rPr>
      </w:pPr>
      <w:r w:rsidRPr="000227F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F1C3F">
        <w:rPr>
          <w:rFonts w:ascii="Palatino Linotype" w:eastAsia="Times New Roman" w:hAnsi="Palatino Linotype" w:cs="Arial"/>
          <w:color w:val="000000"/>
          <w:sz w:val="24"/>
          <w:szCs w:val="24"/>
          <w:lang w:eastAsia="es-MX"/>
        </w:rPr>
        <w:t xml:space="preserve">dos de abril de dos mil veinticinco. </w:t>
      </w:r>
      <w:r w:rsidR="00AD179A">
        <w:rPr>
          <w:rFonts w:ascii="Palatino Linotype" w:eastAsia="Times New Roman" w:hAnsi="Palatino Linotype" w:cs="Arial"/>
          <w:color w:val="000000"/>
          <w:sz w:val="24"/>
          <w:szCs w:val="24"/>
          <w:lang w:eastAsia="es-MX"/>
        </w:rPr>
        <w:t xml:space="preserve"> </w:t>
      </w:r>
    </w:p>
    <w:p w14:paraId="2957F23F" w14:textId="77777777" w:rsidR="00C9150F" w:rsidRPr="000227FF" w:rsidRDefault="00C9150F" w:rsidP="000227FF">
      <w:pPr>
        <w:shd w:val="clear" w:color="auto" w:fill="FFFFFF"/>
        <w:spacing w:after="0" w:line="360" w:lineRule="auto"/>
        <w:jc w:val="both"/>
        <w:rPr>
          <w:rFonts w:ascii="Palatino Linotype" w:eastAsia="Times New Roman" w:hAnsi="Palatino Linotype" w:cs="Arial"/>
          <w:color w:val="000000"/>
          <w:sz w:val="24"/>
          <w:szCs w:val="24"/>
          <w:lang w:eastAsia="es-MX"/>
        </w:rPr>
      </w:pPr>
    </w:p>
    <w:p w14:paraId="5433CF6E" w14:textId="6208C856" w:rsidR="00AF1C3F" w:rsidRPr="00AF1C3F" w:rsidRDefault="00B433C9" w:rsidP="000227FF">
      <w:pPr>
        <w:tabs>
          <w:tab w:val="left" w:pos="1701"/>
        </w:tabs>
        <w:spacing w:after="0" w:line="360" w:lineRule="auto"/>
        <w:jc w:val="both"/>
        <w:rPr>
          <w:rFonts w:ascii="Palatino Linotype" w:hAnsi="Palatino Linotype" w:cs="Arial"/>
          <w:sz w:val="24"/>
          <w:lang w:eastAsia="es-MX"/>
        </w:rPr>
      </w:pPr>
      <w:r w:rsidRPr="000227FF">
        <w:rPr>
          <w:rFonts w:ascii="Palatino Linotype" w:hAnsi="Palatino Linotype" w:cs="Arial"/>
          <w:b/>
          <w:sz w:val="24"/>
        </w:rPr>
        <w:t>VISTO</w:t>
      </w:r>
      <w:r w:rsidRPr="000227FF">
        <w:rPr>
          <w:rFonts w:ascii="Palatino Linotype" w:hAnsi="Palatino Linotype" w:cs="Arial"/>
          <w:sz w:val="24"/>
        </w:rPr>
        <w:t xml:space="preserve"> el expediente electrónico formado con motivo del recurso de revisión número </w:t>
      </w:r>
      <w:bookmarkStart w:id="0" w:name="_GoBack"/>
      <w:r w:rsidR="00AF1C3F">
        <w:rPr>
          <w:rFonts w:ascii="Palatino Linotype" w:hAnsi="Palatino Linotype" w:cs="Arial"/>
          <w:b/>
          <w:bCs/>
          <w:sz w:val="24"/>
          <w:lang w:eastAsia="es-MX"/>
        </w:rPr>
        <w:t>02730</w:t>
      </w:r>
      <w:r w:rsidR="00AD179A">
        <w:rPr>
          <w:rFonts w:ascii="Palatino Linotype" w:hAnsi="Palatino Linotype" w:cs="Arial"/>
          <w:b/>
          <w:bCs/>
          <w:sz w:val="24"/>
          <w:lang w:eastAsia="es-MX"/>
        </w:rPr>
        <w:t>/INFOEM/IP/RR/2025</w:t>
      </w:r>
      <w:bookmarkEnd w:id="0"/>
      <w:r w:rsidR="00AD179A">
        <w:rPr>
          <w:rFonts w:ascii="Palatino Linotype" w:hAnsi="Palatino Linotype" w:cs="Arial"/>
          <w:b/>
          <w:bCs/>
          <w:sz w:val="24"/>
          <w:lang w:eastAsia="es-MX"/>
        </w:rPr>
        <w:t xml:space="preserve">, </w:t>
      </w:r>
      <w:r w:rsidR="00AD179A">
        <w:rPr>
          <w:rFonts w:ascii="Palatino Linotype" w:hAnsi="Palatino Linotype" w:cs="Arial"/>
          <w:sz w:val="24"/>
          <w:lang w:eastAsia="es-MX"/>
        </w:rPr>
        <w:t>interpuesto por</w:t>
      </w:r>
      <w:r w:rsidR="00AF1C3F">
        <w:rPr>
          <w:rFonts w:ascii="Palatino Linotype" w:hAnsi="Palatino Linotype" w:cs="Arial"/>
          <w:sz w:val="24"/>
          <w:lang w:eastAsia="es-MX"/>
        </w:rPr>
        <w:t xml:space="preserve"> el </w:t>
      </w:r>
      <w:r w:rsidR="00AF1C3F">
        <w:rPr>
          <w:rFonts w:ascii="Palatino Linotype" w:hAnsi="Palatino Linotype" w:cs="Arial"/>
          <w:b/>
          <w:bCs/>
          <w:sz w:val="24"/>
          <w:lang w:eastAsia="es-MX"/>
        </w:rPr>
        <w:t xml:space="preserve">C. </w:t>
      </w:r>
      <w:r w:rsidR="00792EA8">
        <w:rPr>
          <w:rFonts w:ascii="Palatino Linotype" w:hAnsi="Palatino Linotype" w:cs="Arial"/>
          <w:b/>
          <w:bCs/>
          <w:sz w:val="24"/>
          <w:lang w:eastAsia="es-MX"/>
        </w:rPr>
        <w:t>XXXXXXXXXXXXXXX</w:t>
      </w:r>
      <w:r w:rsidR="00AF1C3F">
        <w:rPr>
          <w:rFonts w:ascii="Palatino Linotype" w:hAnsi="Palatino Linotype" w:cs="Arial"/>
          <w:b/>
          <w:bCs/>
          <w:sz w:val="24"/>
          <w:lang w:eastAsia="es-MX"/>
        </w:rPr>
        <w:t xml:space="preserve">, </w:t>
      </w:r>
      <w:r w:rsidR="00AF1C3F">
        <w:rPr>
          <w:rFonts w:ascii="Palatino Linotype" w:hAnsi="Palatino Linotype" w:cs="Arial"/>
          <w:sz w:val="24"/>
          <w:lang w:eastAsia="es-MX"/>
        </w:rPr>
        <w:t xml:space="preserve">en lo sucesivo </w:t>
      </w:r>
      <w:r w:rsidR="00AF1C3F">
        <w:rPr>
          <w:rFonts w:ascii="Palatino Linotype" w:hAnsi="Palatino Linotype" w:cs="Arial"/>
          <w:b/>
          <w:bCs/>
          <w:sz w:val="24"/>
          <w:lang w:eastAsia="es-MX"/>
        </w:rPr>
        <w:t xml:space="preserve">El Recurrente, </w:t>
      </w:r>
      <w:r w:rsidR="00AF1C3F">
        <w:rPr>
          <w:rFonts w:ascii="Palatino Linotype" w:hAnsi="Palatino Linotype" w:cs="Arial"/>
          <w:sz w:val="24"/>
          <w:lang w:eastAsia="es-MX"/>
        </w:rPr>
        <w:t xml:space="preserve">en contra de la respuesta del </w:t>
      </w:r>
      <w:r w:rsidR="00AF1C3F">
        <w:rPr>
          <w:rFonts w:ascii="Palatino Linotype" w:hAnsi="Palatino Linotype" w:cs="Arial"/>
          <w:b/>
          <w:bCs/>
          <w:sz w:val="24"/>
          <w:lang w:eastAsia="es-MX"/>
        </w:rPr>
        <w:t xml:space="preserve">Ayuntamiento de Cuautitlán Izcalli, </w:t>
      </w:r>
      <w:r w:rsidR="00AF1C3F">
        <w:rPr>
          <w:rFonts w:ascii="Palatino Linotype" w:hAnsi="Palatino Linotype" w:cs="Arial"/>
          <w:sz w:val="24"/>
          <w:lang w:eastAsia="es-MX"/>
        </w:rPr>
        <w:t xml:space="preserve">en lo subsecuente </w:t>
      </w:r>
      <w:r w:rsidR="00AF1C3F">
        <w:rPr>
          <w:rFonts w:ascii="Palatino Linotype" w:hAnsi="Palatino Linotype" w:cs="Arial"/>
          <w:b/>
          <w:bCs/>
          <w:sz w:val="24"/>
          <w:lang w:eastAsia="es-MX"/>
        </w:rPr>
        <w:t xml:space="preserve">El Sujeto Obligado, </w:t>
      </w:r>
      <w:r w:rsidR="00AF1C3F">
        <w:rPr>
          <w:rFonts w:ascii="Palatino Linotype" w:hAnsi="Palatino Linotype" w:cs="Arial"/>
          <w:sz w:val="24"/>
          <w:lang w:eastAsia="es-MX"/>
        </w:rPr>
        <w:t xml:space="preserve">se procede a dictar la presente resolución. </w:t>
      </w:r>
    </w:p>
    <w:p w14:paraId="1CF4D205" w14:textId="77777777" w:rsidR="00AF1C3F" w:rsidRDefault="00AF1C3F" w:rsidP="000227FF">
      <w:pPr>
        <w:tabs>
          <w:tab w:val="left" w:pos="1701"/>
        </w:tabs>
        <w:spacing w:after="0" w:line="360" w:lineRule="auto"/>
        <w:jc w:val="both"/>
        <w:rPr>
          <w:rFonts w:ascii="Palatino Linotype" w:hAnsi="Palatino Linotype" w:cs="Arial"/>
          <w:sz w:val="24"/>
          <w:lang w:eastAsia="es-MX"/>
        </w:rPr>
      </w:pPr>
    </w:p>
    <w:p w14:paraId="722193B6" w14:textId="23668F89" w:rsidR="005B27BB" w:rsidRPr="000227FF" w:rsidRDefault="00AD179A" w:rsidP="000227FF">
      <w:pPr>
        <w:tabs>
          <w:tab w:val="left" w:pos="1701"/>
        </w:tabs>
        <w:spacing w:after="0" w:line="360" w:lineRule="auto"/>
        <w:jc w:val="both"/>
        <w:rPr>
          <w:rFonts w:ascii="Palatino Linotype" w:hAnsi="Palatino Linotype" w:cs="Arial"/>
          <w:b/>
          <w:sz w:val="24"/>
          <w:szCs w:val="24"/>
        </w:rPr>
      </w:pPr>
      <w:r>
        <w:rPr>
          <w:rFonts w:ascii="Palatino Linotype" w:hAnsi="Palatino Linotype" w:cs="Arial"/>
          <w:sz w:val="24"/>
          <w:lang w:eastAsia="es-MX"/>
        </w:rPr>
        <w:t xml:space="preserve"> </w:t>
      </w:r>
    </w:p>
    <w:p w14:paraId="3FF7C969" w14:textId="77777777" w:rsidR="00B433C9" w:rsidRPr="000227FF" w:rsidRDefault="00B433C9" w:rsidP="000227FF">
      <w:pPr>
        <w:spacing w:after="0" w:line="360" w:lineRule="auto"/>
        <w:jc w:val="center"/>
        <w:rPr>
          <w:rFonts w:ascii="Palatino Linotype" w:hAnsi="Palatino Linotype"/>
          <w:b/>
          <w:sz w:val="28"/>
        </w:rPr>
      </w:pPr>
      <w:r w:rsidRPr="000227FF">
        <w:rPr>
          <w:rFonts w:ascii="Palatino Linotype" w:hAnsi="Palatino Linotype"/>
          <w:b/>
          <w:sz w:val="28"/>
        </w:rPr>
        <w:t>A N T E C E D E N T E S   D E L   A S U N T O</w:t>
      </w:r>
    </w:p>
    <w:p w14:paraId="2EDB6473" w14:textId="77777777" w:rsidR="00C9150F" w:rsidRPr="000227FF" w:rsidRDefault="00C9150F" w:rsidP="000227FF">
      <w:pPr>
        <w:spacing w:after="0" w:line="360" w:lineRule="auto"/>
        <w:jc w:val="both"/>
        <w:rPr>
          <w:rFonts w:ascii="Palatino Linotype" w:hAnsi="Palatino Linotype" w:cs="Arial"/>
          <w:b/>
          <w:sz w:val="28"/>
        </w:rPr>
      </w:pPr>
    </w:p>
    <w:p w14:paraId="22560D45" w14:textId="05CB8FC2" w:rsidR="00AF1C3F" w:rsidRDefault="00B433C9" w:rsidP="000227FF">
      <w:pPr>
        <w:spacing w:after="0" w:line="360" w:lineRule="auto"/>
        <w:jc w:val="both"/>
        <w:rPr>
          <w:rFonts w:ascii="Palatino Linotype" w:eastAsia="Times New Roman" w:hAnsi="Palatino Linotype" w:cs="Times New Roman"/>
          <w:sz w:val="24"/>
          <w:szCs w:val="24"/>
          <w:lang w:eastAsia="es-ES"/>
        </w:rPr>
      </w:pPr>
      <w:r w:rsidRPr="000227FF">
        <w:rPr>
          <w:rFonts w:ascii="Palatino Linotype" w:hAnsi="Palatino Linotype" w:cs="Arial"/>
          <w:b/>
          <w:sz w:val="28"/>
        </w:rPr>
        <w:t>PRIMERO.</w:t>
      </w:r>
      <w:r w:rsidR="000227FF" w:rsidRPr="000227FF">
        <w:rPr>
          <w:rFonts w:ascii="Palatino Linotype" w:hAnsi="Palatino Linotype" w:cs="Arial"/>
          <w:b/>
          <w:sz w:val="28"/>
        </w:rPr>
        <w:t xml:space="preserve"> </w:t>
      </w:r>
      <w:r w:rsidRPr="000227FF">
        <w:rPr>
          <w:rFonts w:ascii="Palatino Linotype" w:hAnsi="Palatino Linotype" w:cs="Arial"/>
          <w:sz w:val="24"/>
        </w:rPr>
        <w:t xml:space="preserve">Con fecha </w:t>
      </w:r>
      <w:r w:rsidR="00AF1C3F">
        <w:rPr>
          <w:rFonts w:ascii="Palatino Linotype" w:hAnsi="Palatino Linotype" w:cs="Arial"/>
          <w:b/>
          <w:bCs/>
          <w:sz w:val="24"/>
        </w:rPr>
        <w:t xml:space="preserve">treinta de enero de dos mil veinticinco, El Recurrente, </w:t>
      </w:r>
      <w:r w:rsidR="005B27BB" w:rsidRPr="000227FF">
        <w:rPr>
          <w:rFonts w:ascii="Palatino Linotype" w:eastAsia="Times New Roman" w:hAnsi="Palatino Linotype" w:cs="Times New Roman"/>
          <w:sz w:val="24"/>
          <w:szCs w:val="24"/>
          <w:lang w:eastAsia="es-ES"/>
        </w:rPr>
        <w:t>presentó a través de</w:t>
      </w:r>
      <w:r w:rsidR="00392164">
        <w:rPr>
          <w:rFonts w:ascii="Palatino Linotype" w:eastAsia="Times New Roman" w:hAnsi="Palatino Linotype" w:cs="Times New Roman"/>
          <w:sz w:val="24"/>
          <w:szCs w:val="24"/>
          <w:lang w:eastAsia="es-ES"/>
        </w:rPr>
        <w:t xml:space="preserve">l </w:t>
      </w:r>
      <w:r w:rsidR="00C9150F" w:rsidRPr="000227FF">
        <w:rPr>
          <w:rFonts w:ascii="Palatino Linotype" w:eastAsia="Times New Roman" w:hAnsi="Palatino Linotype" w:cs="Times New Roman"/>
          <w:sz w:val="24"/>
          <w:szCs w:val="24"/>
          <w:lang w:eastAsia="es-ES"/>
        </w:rPr>
        <w:t xml:space="preserve">Sistema de Acceso a la Información Mexiquense, en lo sucesivo </w:t>
      </w:r>
      <w:r w:rsidR="00C9150F" w:rsidRPr="000227FF">
        <w:rPr>
          <w:rFonts w:ascii="Palatino Linotype" w:eastAsia="Times New Roman" w:hAnsi="Palatino Linotype" w:cs="Times New Roman"/>
          <w:b/>
          <w:sz w:val="24"/>
          <w:szCs w:val="24"/>
          <w:lang w:eastAsia="es-ES"/>
        </w:rPr>
        <w:t>SAIMEX</w:t>
      </w:r>
      <w:r w:rsidR="00C9150F" w:rsidRPr="000227FF">
        <w:rPr>
          <w:rFonts w:ascii="Palatino Linotype" w:eastAsia="Times New Roman" w:hAnsi="Palatino Linotype" w:cs="Times New Roman"/>
          <w:sz w:val="24"/>
          <w:szCs w:val="24"/>
          <w:lang w:eastAsia="es-ES"/>
        </w:rPr>
        <w:t>,</w:t>
      </w:r>
      <w:r w:rsidR="005B27BB" w:rsidRPr="000227FF">
        <w:rPr>
          <w:rFonts w:ascii="Palatino Linotype" w:eastAsia="Times New Roman" w:hAnsi="Palatino Linotype" w:cs="Times New Roman"/>
          <w:sz w:val="24"/>
          <w:szCs w:val="24"/>
          <w:lang w:eastAsia="es-ES"/>
        </w:rPr>
        <w:t xml:space="preserve"> ante el </w:t>
      </w:r>
      <w:r w:rsidR="005B27BB" w:rsidRPr="000227FF">
        <w:rPr>
          <w:rFonts w:ascii="Palatino Linotype" w:eastAsia="Times New Roman" w:hAnsi="Palatino Linotype" w:cs="Times New Roman"/>
          <w:b/>
          <w:bCs/>
          <w:sz w:val="24"/>
          <w:szCs w:val="24"/>
          <w:lang w:eastAsia="es-ES"/>
        </w:rPr>
        <w:t>Sujeto Obligado</w:t>
      </w:r>
      <w:r w:rsidR="005B27BB" w:rsidRPr="000227FF">
        <w:rPr>
          <w:rFonts w:ascii="Palatino Linotype" w:eastAsia="Times New Roman" w:hAnsi="Palatino Linotype" w:cs="Times New Roman"/>
          <w:sz w:val="24"/>
          <w:szCs w:val="24"/>
          <w:lang w:eastAsia="es-ES"/>
        </w:rPr>
        <w:t xml:space="preserve">, solicitud de acceso a la información pública </w:t>
      </w:r>
      <w:proofErr w:type="gramStart"/>
      <w:r w:rsidR="005B27BB" w:rsidRPr="000227FF">
        <w:rPr>
          <w:rFonts w:ascii="Palatino Linotype" w:eastAsia="Times New Roman" w:hAnsi="Palatino Linotype" w:cs="Times New Roman"/>
          <w:sz w:val="24"/>
          <w:szCs w:val="24"/>
          <w:lang w:eastAsia="es-ES"/>
        </w:rPr>
        <w:t>registrada</w:t>
      </w:r>
      <w:proofErr w:type="gramEnd"/>
      <w:r w:rsidR="005B27BB" w:rsidRPr="000227FF">
        <w:rPr>
          <w:rFonts w:ascii="Palatino Linotype" w:eastAsia="Times New Roman" w:hAnsi="Palatino Linotype" w:cs="Times New Roman"/>
          <w:sz w:val="24"/>
          <w:szCs w:val="24"/>
          <w:lang w:eastAsia="es-ES"/>
        </w:rPr>
        <w:t xml:space="preserve"> bajo el número de expediente </w:t>
      </w:r>
      <w:r w:rsidR="00AF1C3F">
        <w:rPr>
          <w:rFonts w:ascii="Palatino Linotype" w:eastAsia="Times New Roman" w:hAnsi="Palatino Linotype" w:cs="Times New Roman"/>
          <w:b/>
          <w:bCs/>
          <w:sz w:val="24"/>
          <w:szCs w:val="24"/>
          <w:lang w:eastAsia="es-ES"/>
        </w:rPr>
        <w:t xml:space="preserve">00393/CUAUTIZC/IP/2025, </w:t>
      </w:r>
      <w:r w:rsidR="00AF1C3F">
        <w:rPr>
          <w:rFonts w:ascii="Palatino Linotype" w:eastAsia="Times New Roman" w:hAnsi="Palatino Linotype" w:cs="Times New Roman"/>
          <w:sz w:val="24"/>
          <w:szCs w:val="24"/>
          <w:lang w:eastAsia="es-ES"/>
        </w:rPr>
        <w:t>mediante la cual solicitó información en el tenor siguiente:</w:t>
      </w:r>
    </w:p>
    <w:p w14:paraId="30A69579" w14:textId="30E0021F" w:rsidR="00AF1C3F" w:rsidRPr="00AF1C3F" w:rsidRDefault="00AF1C3F" w:rsidP="00AF1C3F">
      <w:pPr>
        <w:pStyle w:val="Citas"/>
        <w:rPr>
          <w:b/>
          <w:bCs/>
          <w:lang w:eastAsia="es-ES"/>
        </w:rPr>
      </w:pPr>
      <w:r>
        <w:rPr>
          <w:lang w:eastAsia="es-ES"/>
        </w:rPr>
        <w:t>“</w:t>
      </w:r>
      <w:r w:rsidRPr="00AF1C3F">
        <w:rPr>
          <w:lang w:eastAsia="es-ES"/>
        </w:rPr>
        <w:t xml:space="preserve">Solicito solo el </w:t>
      </w:r>
      <w:proofErr w:type="spellStart"/>
      <w:r w:rsidRPr="00AF1C3F">
        <w:rPr>
          <w:lang w:eastAsia="es-ES"/>
        </w:rPr>
        <w:t>numero</w:t>
      </w:r>
      <w:proofErr w:type="spellEnd"/>
      <w:r w:rsidRPr="00AF1C3F">
        <w:rPr>
          <w:lang w:eastAsia="es-ES"/>
        </w:rPr>
        <w:t xml:space="preserve"> de renuncias, número de bajas, número de personal despedido, número de personal finiquitado del 1 enero 2025 al 30 de enero 2025</w:t>
      </w:r>
      <w:r>
        <w:rPr>
          <w:lang w:eastAsia="es-ES"/>
        </w:rPr>
        <w:t xml:space="preserve">” </w:t>
      </w:r>
      <w:r>
        <w:rPr>
          <w:b/>
          <w:bCs/>
          <w:lang w:eastAsia="es-ES"/>
        </w:rPr>
        <w:t>(Sic)</w:t>
      </w:r>
    </w:p>
    <w:p w14:paraId="0E2E1CC9" w14:textId="77777777" w:rsidR="00AF1C3F" w:rsidRDefault="00AF1C3F" w:rsidP="000227FF">
      <w:pPr>
        <w:spacing w:after="0" w:line="360" w:lineRule="auto"/>
        <w:jc w:val="both"/>
        <w:rPr>
          <w:rFonts w:ascii="Palatino Linotype" w:eastAsia="Times New Roman" w:hAnsi="Palatino Linotype" w:cs="Times New Roman"/>
          <w:sz w:val="24"/>
          <w:szCs w:val="24"/>
          <w:lang w:eastAsia="es-ES"/>
        </w:rPr>
      </w:pPr>
    </w:p>
    <w:p w14:paraId="13D04962" w14:textId="2EFD1991" w:rsidR="008B1AD9" w:rsidRPr="00AD179A" w:rsidRDefault="008B1AD9" w:rsidP="000227FF">
      <w:pPr>
        <w:spacing w:after="0" w:line="360" w:lineRule="auto"/>
        <w:jc w:val="both"/>
        <w:rPr>
          <w:rFonts w:ascii="Palatino Linotype" w:hAnsi="Palatino Linotype" w:cs="Arial"/>
          <w:b/>
          <w:bCs/>
          <w:sz w:val="24"/>
        </w:rPr>
      </w:pPr>
      <w:r w:rsidRPr="00AD179A">
        <w:rPr>
          <w:rFonts w:ascii="Palatino Linotype" w:hAnsi="Palatino Linotype" w:cs="Arial"/>
          <w:b/>
          <w:bCs/>
          <w:sz w:val="24"/>
        </w:rPr>
        <w:lastRenderedPageBreak/>
        <w:t xml:space="preserve">Modalidad de </w:t>
      </w:r>
      <w:r w:rsidR="004D172C" w:rsidRPr="00AD179A">
        <w:rPr>
          <w:rFonts w:ascii="Palatino Linotype" w:hAnsi="Palatino Linotype" w:cs="Arial"/>
          <w:b/>
          <w:bCs/>
          <w:sz w:val="24"/>
        </w:rPr>
        <w:t>acceso</w:t>
      </w:r>
      <w:r w:rsidRPr="00AD179A">
        <w:rPr>
          <w:rFonts w:ascii="Palatino Linotype" w:hAnsi="Palatino Linotype" w:cs="Arial"/>
          <w:b/>
          <w:bCs/>
          <w:sz w:val="24"/>
        </w:rPr>
        <w:t xml:space="preserve">: </w:t>
      </w:r>
      <w:r w:rsidR="00392164" w:rsidRPr="00AD179A">
        <w:rPr>
          <w:rFonts w:ascii="Palatino Linotype" w:hAnsi="Palatino Linotype" w:cs="Arial"/>
          <w:iCs/>
          <w:sz w:val="24"/>
        </w:rPr>
        <w:t>a través del SAIMEX</w:t>
      </w:r>
      <w:r w:rsidR="00217202" w:rsidRPr="00AD179A">
        <w:rPr>
          <w:rFonts w:ascii="Palatino Linotype" w:hAnsi="Palatino Linotype" w:cs="Arial"/>
          <w:iCs/>
          <w:sz w:val="24"/>
        </w:rPr>
        <w:t>.</w:t>
      </w:r>
      <w:r w:rsidR="005B27BB" w:rsidRPr="00AD179A">
        <w:rPr>
          <w:rFonts w:ascii="Palatino Linotype" w:hAnsi="Palatino Linotype" w:cs="Arial"/>
          <w:b/>
          <w:bCs/>
          <w:sz w:val="24"/>
        </w:rPr>
        <w:t xml:space="preserve"> </w:t>
      </w:r>
    </w:p>
    <w:p w14:paraId="389BE8AD" w14:textId="77777777" w:rsidR="00CE0E72" w:rsidRPr="000227FF" w:rsidRDefault="00CE0E72" w:rsidP="000227FF">
      <w:pPr>
        <w:spacing w:after="0" w:line="360" w:lineRule="auto"/>
        <w:jc w:val="both"/>
        <w:rPr>
          <w:rFonts w:ascii="Palatino Linotype" w:hAnsi="Palatino Linotype" w:cs="Arial"/>
          <w:sz w:val="24"/>
        </w:rPr>
      </w:pPr>
    </w:p>
    <w:p w14:paraId="68EBC1DB" w14:textId="77777777" w:rsidR="00AD179A" w:rsidRDefault="00AD179A" w:rsidP="00AD179A">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45265435" w14:textId="6B099D7C" w:rsidR="00AF1C3F" w:rsidRDefault="00AD179A" w:rsidP="00AD179A">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día </w:t>
      </w:r>
      <w:r w:rsidR="00AF1C3F">
        <w:rPr>
          <w:rFonts w:ascii="Palatino Linotype" w:hAnsi="Palatino Linotype" w:cs="Arial"/>
          <w:b/>
          <w:bCs/>
          <w:sz w:val="24"/>
          <w:szCs w:val="24"/>
        </w:rPr>
        <w:t xml:space="preserve">diecisiete de febrero de dos mil veinticinco, El Sujeto Obligado </w:t>
      </w:r>
      <w:r w:rsidR="00AF1C3F">
        <w:rPr>
          <w:rFonts w:ascii="Palatino Linotype" w:hAnsi="Palatino Linotype" w:cs="Arial"/>
          <w:sz w:val="24"/>
          <w:szCs w:val="24"/>
        </w:rPr>
        <w:t>dio respuesta a la solicitud de información en los siguientes términos:</w:t>
      </w:r>
    </w:p>
    <w:p w14:paraId="6743471F" w14:textId="1B64E157" w:rsidR="00AF1C3F" w:rsidRDefault="00AF1C3F" w:rsidP="00AF1C3F">
      <w:pPr>
        <w:pStyle w:val="Citas"/>
      </w:pPr>
      <w:r>
        <w:t>“</w:t>
      </w:r>
      <w:r w:rsidRPr="00AF1C3F">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193C9121" w14:textId="70DE8249" w:rsidR="00AF1C3F" w:rsidRPr="00AF1C3F" w:rsidRDefault="00AF1C3F" w:rsidP="00AF1C3F">
      <w:pPr>
        <w:pStyle w:val="Citas"/>
        <w:rPr>
          <w:b/>
          <w:bCs/>
        </w:rPr>
      </w:pPr>
      <w:r w:rsidRPr="00AF1C3F">
        <w:t>Se procede a notificar la respuesta a la solicitud de información pública. Así mismo se hace de su conocimiento que usted puede interponer su recurso de revisión dentro del plazo de 15 días hábiles contados a partir de la fecha en que se realice la notificación vía electrónica, a través del SAIME</w:t>
      </w:r>
      <w:r>
        <w:t xml:space="preserve">X” </w:t>
      </w:r>
      <w:r>
        <w:rPr>
          <w:b/>
          <w:bCs/>
        </w:rPr>
        <w:t>(Sic)</w:t>
      </w:r>
    </w:p>
    <w:p w14:paraId="5AC1B40E" w14:textId="0EA2F489" w:rsidR="00662ED1" w:rsidRPr="00662ED1" w:rsidRDefault="00AD179A" w:rsidP="00AD179A">
      <w:pPr>
        <w:pStyle w:val="Citas"/>
        <w:ind w:left="0" w:right="72"/>
        <w:rPr>
          <w:i w:val="0"/>
          <w:iCs/>
          <w:sz w:val="24"/>
          <w:szCs w:val="24"/>
        </w:rPr>
      </w:pPr>
      <w:r>
        <w:rPr>
          <w:i w:val="0"/>
          <w:iCs/>
          <w:sz w:val="24"/>
          <w:szCs w:val="24"/>
        </w:rPr>
        <w:t xml:space="preserve">A mayor abundamiento, se advierte que </w:t>
      </w:r>
      <w:r>
        <w:rPr>
          <w:b/>
          <w:bCs/>
          <w:i w:val="0"/>
          <w:iCs/>
          <w:sz w:val="24"/>
          <w:szCs w:val="24"/>
        </w:rPr>
        <w:t xml:space="preserve">El Sujeto Obligado </w:t>
      </w:r>
      <w:r>
        <w:rPr>
          <w:i w:val="0"/>
          <w:iCs/>
          <w:sz w:val="24"/>
          <w:szCs w:val="24"/>
        </w:rPr>
        <w:t xml:space="preserve">adjuntó </w:t>
      </w:r>
      <w:r w:rsidR="00662ED1">
        <w:rPr>
          <w:i w:val="0"/>
          <w:iCs/>
          <w:sz w:val="24"/>
          <w:szCs w:val="24"/>
        </w:rPr>
        <w:t xml:space="preserve">el documento electrónico </w:t>
      </w:r>
      <w:r w:rsidR="00662ED1">
        <w:rPr>
          <w:b/>
          <w:bCs/>
          <w:i w:val="0"/>
          <w:iCs/>
          <w:sz w:val="24"/>
          <w:szCs w:val="24"/>
        </w:rPr>
        <w:t xml:space="preserve">“RESPUESTA 393.pdf” </w:t>
      </w:r>
      <w:r w:rsidR="00662ED1">
        <w:rPr>
          <w:i w:val="0"/>
          <w:iCs/>
          <w:sz w:val="24"/>
          <w:szCs w:val="24"/>
        </w:rPr>
        <w:t xml:space="preserve">cuyo contenido será materia de análisis en el considerando respectivo. </w:t>
      </w:r>
    </w:p>
    <w:p w14:paraId="08426302" w14:textId="77777777" w:rsidR="00AD179A" w:rsidRDefault="00AD179A" w:rsidP="00AD179A">
      <w:pPr>
        <w:pStyle w:val="Citas"/>
        <w:ind w:left="0" w:right="72"/>
        <w:rPr>
          <w:b/>
          <w:bCs/>
          <w:i w:val="0"/>
          <w:iCs/>
          <w:sz w:val="24"/>
          <w:szCs w:val="24"/>
        </w:rPr>
      </w:pPr>
    </w:p>
    <w:p w14:paraId="5A1DFB90" w14:textId="77777777" w:rsidR="00AD179A" w:rsidRDefault="00AD179A" w:rsidP="00AD179A">
      <w:pPr>
        <w:spacing w:before="240" w:line="360" w:lineRule="auto"/>
        <w:jc w:val="both"/>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b/>
          <w:sz w:val="28"/>
        </w:rPr>
        <w:t>Del recurso de revisión.</w:t>
      </w:r>
    </w:p>
    <w:p w14:paraId="3CA449B3" w14:textId="6FCCD298" w:rsidR="00662ED1" w:rsidRPr="00662ED1" w:rsidRDefault="00AD179A" w:rsidP="00AD179A">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lastRenderedPageBreak/>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El Recurrente </w:t>
      </w:r>
      <w:r>
        <w:rPr>
          <w:rFonts w:ascii="Palatino Linotype" w:hAnsi="Palatino Linotype" w:cs="Arial"/>
          <w:sz w:val="24"/>
          <w:szCs w:val="24"/>
        </w:rPr>
        <w:t xml:space="preserve">interpuso recurso de revisión, en fecha </w:t>
      </w:r>
      <w:r w:rsidR="00662ED1">
        <w:rPr>
          <w:rFonts w:ascii="Palatino Linotype" w:hAnsi="Palatino Linotype" w:cs="Arial"/>
          <w:b/>
          <w:bCs/>
          <w:sz w:val="24"/>
          <w:szCs w:val="24"/>
        </w:rPr>
        <w:t xml:space="preserve">diez de marzo de dos mil veinticinco, </w:t>
      </w:r>
      <w:r w:rsidR="00662ED1">
        <w:rPr>
          <w:rFonts w:ascii="Palatino Linotype" w:hAnsi="Palatino Linotype" w:cs="Arial"/>
          <w:sz w:val="24"/>
          <w:szCs w:val="24"/>
        </w:rPr>
        <w:t xml:space="preserve">el cual fue registrado en el sistema electrónico con el expediente número </w:t>
      </w:r>
      <w:r w:rsidR="00662ED1">
        <w:rPr>
          <w:rFonts w:ascii="Palatino Linotype" w:hAnsi="Palatino Linotype" w:cs="Arial"/>
          <w:b/>
          <w:bCs/>
          <w:sz w:val="24"/>
          <w:szCs w:val="24"/>
        </w:rPr>
        <w:t xml:space="preserve">02730/INFOEM/IP/RR/2025, </w:t>
      </w:r>
      <w:r w:rsidR="00662ED1">
        <w:rPr>
          <w:rFonts w:ascii="Palatino Linotype" w:hAnsi="Palatino Linotype" w:cs="Arial"/>
          <w:sz w:val="24"/>
          <w:szCs w:val="24"/>
        </w:rPr>
        <w:t xml:space="preserve">en el cual arguye las siguientes manifestaciones: </w:t>
      </w:r>
    </w:p>
    <w:p w14:paraId="3D03A45B" w14:textId="77777777" w:rsidR="00AD179A" w:rsidRDefault="00AD179A" w:rsidP="00AD179A">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4FC50F40" w14:textId="44FD93AD" w:rsidR="00AD179A" w:rsidRPr="00712E3A" w:rsidRDefault="00AD179A" w:rsidP="00AD179A">
      <w:pPr>
        <w:pStyle w:val="Citas"/>
        <w:rPr>
          <w:b/>
        </w:rPr>
      </w:pPr>
      <w:r w:rsidRPr="00B32223">
        <w:t>“</w:t>
      </w:r>
      <w:r w:rsidR="00662ED1" w:rsidRPr="00662ED1">
        <w:t>Respuesta</w:t>
      </w:r>
      <w:r w:rsidRPr="00B32223">
        <w:t>"</w:t>
      </w:r>
      <w:r>
        <w:rPr>
          <w:b/>
          <w:bCs/>
        </w:rPr>
        <w:t xml:space="preserve"> (Sic)</w:t>
      </w:r>
    </w:p>
    <w:p w14:paraId="55E6DC12" w14:textId="77777777" w:rsidR="00AD179A" w:rsidRDefault="00AD179A" w:rsidP="00AD179A">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149585DE" w14:textId="2D560B53" w:rsidR="00AD179A" w:rsidRPr="00712E3A" w:rsidRDefault="00AD179A" w:rsidP="00AD179A">
      <w:pPr>
        <w:pStyle w:val="Citas"/>
      </w:pPr>
      <w:r w:rsidRPr="00B32223">
        <w:t>“</w:t>
      </w:r>
      <w:r w:rsidR="00662ED1" w:rsidRPr="00662ED1">
        <w:t>No remiten todo lo solicitado</w:t>
      </w:r>
      <w:r w:rsidRPr="00B32223">
        <w:t>"</w:t>
      </w:r>
      <w:r w:rsidRPr="00A354C4">
        <w:t xml:space="preserve"> </w:t>
      </w:r>
      <w:r>
        <w:rPr>
          <w:b/>
        </w:rPr>
        <w:t>(Sic)</w:t>
      </w:r>
    </w:p>
    <w:p w14:paraId="473D5BA2" w14:textId="77777777" w:rsidR="00AD179A" w:rsidRDefault="00AD179A" w:rsidP="00AD179A">
      <w:pPr>
        <w:spacing w:line="360" w:lineRule="auto"/>
        <w:ind w:right="851"/>
        <w:jc w:val="both"/>
        <w:rPr>
          <w:rFonts w:ascii="Palatino Linotype" w:hAnsi="Palatino Linotype" w:cs="Arial"/>
          <w:i/>
        </w:rPr>
      </w:pPr>
    </w:p>
    <w:p w14:paraId="17F1225B" w14:textId="77777777" w:rsidR="00AD179A" w:rsidRDefault="00AD179A" w:rsidP="00AD179A">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Pr="008551ED">
        <w:rPr>
          <w:rFonts w:ascii="Palatino Linotype" w:hAnsi="Palatino Linotype" w:cs="Arial"/>
          <w:b/>
          <w:sz w:val="24"/>
          <w:szCs w:val="24"/>
        </w:rPr>
        <w:t xml:space="preserve">. </w:t>
      </w:r>
      <w:r w:rsidRPr="0087163A">
        <w:rPr>
          <w:rFonts w:ascii="Palatino Linotype" w:hAnsi="Palatino Linotype" w:cs="Arial"/>
          <w:b/>
          <w:sz w:val="28"/>
          <w:szCs w:val="28"/>
        </w:rPr>
        <w:t>Del turno del recurso de revisión.</w:t>
      </w:r>
    </w:p>
    <w:p w14:paraId="18BFC1FF" w14:textId="60DC25B5" w:rsidR="00AD179A" w:rsidRDefault="00AD179A" w:rsidP="00AD179A">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Medio de impugnación que le fue turnado al Comisionado presidente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662ED1">
        <w:rPr>
          <w:rFonts w:ascii="Palatino Linotype" w:hAnsi="Palatino Linotype" w:cs="Arial"/>
          <w:b/>
          <w:bCs/>
          <w:sz w:val="24"/>
          <w:szCs w:val="24"/>
        </w:rPr>
        <w:t>trece de marzo</w:t>
      </w:r>
      <w:r>
        <w:rPr>
          <w:rFonts w:ascii="Palatino Linotype" w:hAnsi="Palatino Linotype" w:cs="Arial"/>
          <w:b/>
          <w:bCs/>
          <w:sz w:val="24"/>
          <w:szCs w:val="24"/>
        </w:rPr>
        <w:t xml:space="preserve"> de dos mil veinticinco</w:t>
      </w:r>
      <w:r>
        <w:rPr>
          <w:rFonts w:ascii="Palatino Linotype" w:hAnsi="Palatino Linotype" w:cs="Arial"/>
          <w:sz w:val="24"/>
          <w:szCs w:val="24"/>
        </w:rPr>
        <w:t xml:space="preserve"> determinándose en él, un plazo de siete días para que las partes manifestaran lo que a su derecho corresponda en términos del numeral ya citado.</w:t>
      </w:r>
    </w:p>
    <w:p w14:paraId="0F820B50" w14:textId="77777777" w:rsidR="00AD179A" w:rsidRDefault="00AD179A" w:rsidP="00AD179A">
      <w:pPr>
        <w:spacing w:before="240" w:line="360" w:lineRule="auto"/>
        <w:jc w:val="both"/>
        <w:rPr>
          <w:rFonts w:ascii="Palatino Linotype" w:hAnsi="Palatino Linotype" w:cs="Arial"/>
          <w:sz w:val="24"/>
          <w:szCs w:val="24"/>
        </w:rPr>
      </w:pPr>
    </w:p>
    <w:p w14:paraId="0AF8ADF8" w14:textId="77777777" w:rsidR="00AD179A" w:rsidRDefault="00AD179A" w:rsidP="00AD179A">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Pr="00AC0CCC">
        <w:rPr>
          <w:rFonts w:ascii="Palatino Linotype" w:hAnsi="Palatino Linotype" w:cs="Arial"/>
          <w:b/>
          <w:sz w:val="28"/>
          <w:szCs w:val="28"/>
        </w:rPr>
        <w:t xml:space="preserve">. </w:t>
      </w:r>
      <w:r w:rsidRPr="0087163A">
        <w:rPr>
          <w:rFonts w:ascii="Palatino Linotype" w:hAnsi="Palatino Linotype" w:cs="Arial"/>
          <w:b/>
          <w:sz w:val="28"/>
          <w:szCs w:val="28"/>
        </w:rPr>
        <w:t>De la etapa de instrucción.</w:t>
      </w:r>
    </w:p>
    <w:p w14:paraId="16D77A3F" w14:textId="0BAE2ECD" w:rsidR="00662ED1" w:rsidRPr="00662ED1" w:rsidRDefault="00AD179A" w:rsidP="00AD179A">
      <w:pPr>
        <w:spacing w:before="240" w:line="360" w:lineRule="auto"/>
        <w:jc w:val="both"/>
        <w:rPr>
          <w:rFonts w:ascii="Palatino Linotype" w:hAnsi="Palatino Linotype" w:cs="Arial"/>
          <w:b/>
          <w:bCs/>
          <w:sz w:val="24"/>
          <w:szCs w:val="24"/>
        </w:rPr>
      </w:pPr>
      <w:r w:rsidRPr="00523CF0">
        <w:rPr>
          <w:rFonts w:ascii="Palatino Linotype" w:hAnsi="Palatino Linotype" w:cs="Arial"/>
          <w:sz w:val="24"/>
          <w:szCs w:val="24"/>
        </w:rPr>
        <w:lastRenderedPageBreak/>
        <w:t xml:space="preserve">Así, en la etapa de instrucción, </w:t>
      </w:r>
      <w:r>
        <w:rPr>
          <w:rFonts w:ascii="Palatino Linotype" w:hAnsi="Palatino Linotype" w:cs="Arial"/>
          <w:sz w:val="24"/>
          <w:szCs w:val="24"/>
        </w:rPr>
        <w:t xml:space="preserve">de las constancias que obran en el expediente electrónico se advierte que </w:t>
      </w:r>
      <w:r>
        <w:rPr>
          <w:rFonts w:ascii="Palatino Linotype" w:hAnsi="Palatino Linotype" w:cs="Arial"/>
          <w:b/>
          <w:sz w:val="24"/>
          <w:szCs w:val="24"/>
        </w:rPr>
        <w:t xml:space="preserve">El Sujeto Obligado </w:t>
      </w:r>
      <w:r>
        <w:rPr>
          <w:rFonts w:ascii="Palatino Linotype" w:hAnsi="Palatino Linotype" w:cs="Arial"/>
          <w:sz w:val="24"/>
          <w:szCs w:val="24"/>
        </w:rPr>
        <w:t xml:space="preserve">rindió su informe justificado en fecha </w:t>
      </w:r>
      <w:r w:rsidR="00662ED1">
        <w:rPr>
          <w:rFonts w:ascii="Palatino Linotype" w:hAnsi="Palatino Linotype" w:cs="Arial"/>
          <w:b/>
          <w:bCs/>
          <w:sz w:val="24"/>
          <w:szCs w:val="24"/>
        </w:rPr>
        <w:t xml:space="preserve">veintiuno de marzo, </w:t>
      </w:r>
      <w:r w:rsidR="00662ED1">
        <w:rPr>
          <w:rFonts w:ascii="Palatino Linotype" w:hAnsi="Palatino Linotype" w:cs="Arial"/>
          <w:sz w:val="24"/>
          <w:szCs w:val="24"/>
        </w:rPr>
        <w:t xml:space="preserve">mismo que fue puesto a la vista el </w:t>
      </w:r>
      <w:r w:rsidR="00662ED1">
        <w:rPr>
          <w:rFonts w:ascii="Palatino Linotype" w:hAnsi="Palatino Linotype" w:cs="Arial"/>
          <w:b/>
          <w:bCs/>
          <w:sz w:val="24"/>
          <w:szCs w:val="24"/>
        </w:rPr>
        <w:t xml:space="preserve">veinticuatro de marzo, ambos de dos mil veinticinco. </w:t>
      </w:r>
    </w:p>
    <w:p w14:paraId="2ADE9286" w14:textId="651674C3" w:rsidR="00AD179A" w:rsidRDefault="00AD179A" w:rsidP="00AD179A">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Por lo cual se decretó el cierre de instrucción con fecha </w:t>
      </w:r>
      <w:r w:rsidR="00662ED1">
        <w:rPr>
          <w:rFonts w:ascii="Palatino Linotype" w:hAnsi="Palatino Linotype" w:cs="Arial"/>
          <w:b/>
          <w:bCs/>
          <w:sz w:val="24"/>
          <w:szCs w:val="24"/>
        </w:rPr>
        <w:t>veintiocho</w:t>
      </w:r>
      <w:r>
        <w:rPr>
          <w:rFonts w:ascii="Palatino Linotype" w:hAnsi="Palatino Linotype" w:cs="Arial"/>
          <w:b/>
          <w:bCs/>
          <w:sz w:val="24"/>
          <w:szCs w:val="24"/>
        </w:rPr>
        <w:t xml:space="preserve"> de marzo del año en curso, </w:t>
      </w:r>
      <w:r>
        <w:rPr>
          <w:rFonts w:ascii="Palatino Linotype" w:hAnsi="Palatino Linotype" w:cs="Arial"/>
          <w:sz w:val="24"/>
          <w:szCs w:val="24"/>
        </w:rPr>
        <w:t xml:space="preserve">en términos del </w:t>
      </w:r>
      <w:r w:rsidRPr="00D05C83">
        <w:rPr>
          <w:rFonts w:ascii="Palatino Linotype" w:hAnsi="Palatino Linotype" w:cs="Arial"/>
          <w:sz w:val="24"/>
          <w:szCs w:val="24"/>
        </w:rPr>
        <w:t>artículo 185 Fracción VI de la Ley de Transparencia y Acceso a la Información Pública del Estado de México y Municipios, iniciando el término legal para dictar resolución definitiva del asunto.</w:t>
      </w:r>
      <w:r>
        <w:rPr>
          <w:rFonts w:ascii="Palatino Linotype" w:hAnsi="Palatino Linotype" w:cs="Arial"/>
          <w:sz w:val="24"/>
          <w:szCs w:val="24"/>
        </w:rPr>
        <w:t xml:space="preserve"> </w:t>
      </w:r>
    </w:p>
    <w:p w14:paraId="4BB41129" w14:textId="77777777" w:rsidR="00AD179A" w:rsidRDefault="00AD179A" w:rsidP="000227FF">
      <w:pPr>
        <w:spacing w:after="0" w:line="360" w:lineRule="auto"/>
        <w:jc w:val="both"/>
        <w:rPr>
          <w:rFonts w:ascii="Palatino Linotype" w:hAnsi="Palatino Linotype" w:cs="Arial"/>
          <w:b/>
          <w:sz w:val="28"/>
        </w:rPr>
      </w:pPr>
    </w:p>
    <w:p w14:paraId="72FBF36D" w14:textId="77777777" w:rsidR="00AD179A" w:rsidRPr="005D0901" w:rsidRDefault="00AD179A" w:rsidP="00AD179A">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46B67EAE" w14:textId="77777777" w:rsidR="00AD179A" w:rsidRDefault="00AD179A" w:rsidP="00AD179A">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52F64120" w14:textId="77777777" w:rsidR="00646794" w:rsidRPr="008A2022" w:rsidRDefault="00646794" w:rsidP="00646794">
      <w:pPr>
        <w:spacing w:line="360" w:lineRule="auto"/>
        <w:jc w:val="both"/>
        <w:rPr>
          <w:rFonts w:ascii="Palatino Linotype" w:hAnsi="Palatino Linotype"/>
          <w:sz w:val="24"/>
          <w:szCs w:val="24"/>
        </w:rPr>
      </w:pPr>
      <w:r w:rsidRPr="008A2022">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Pr>
          <w:rFonts w:ascii="Palatino Linotype" w:hAnsi="Palatino Linotype"/>
          <w:sz w:val="24"/>
          <w:szCs w:val="24"/>
        </w:rPr>
        <w:t xml:space="preserve">. </w:t>
      </w:r>
    </w:p>
    <w:p w14:paraId="7BA5EBFB"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lastRenderedPageBreak/>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275AEAEE"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5F38027"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rPr>
      </w:pPr>
    </w:p>
    <w:p w14:paraId="49885440" w14:textId="77777777" w:rsidR="00AD179A" w:rsidRPr="00161CEB" w:rsidRDefault="00AD179A" w:rsidP="00AD179A">
      <w:pPr>
        <w:autoSpaceDE w:val="0"/>
        <w:autoSpaceDN w:val="0"/>
        <w:adjustRightInd w:val="0"/>
        <w:spacing w:after="0" w:line="360" w:lineRule="auto"/>
        <w:jc w:val="both"/>
        <w:rPr>
          <w:rFonts w:ascii="Palatino Linotype" w:hAnsi="Palatino Linotype" w:cs="Arial"/>
          <w:b/>
        </w:rPr>
      </w:pPr>
      <w:r w:rsidRPr="007822E6">
        <w:rPr>
          <w:rFonts w:ascii="Palatino Linotype" w:hAnsi="Palatino Linotype" w:cs="Arial"/>
          <w:b/>
          <w:sz w:val="28"/>
        </w:rPr>
        <w:t>TERCERO</w:t>
      </w:r>
      <w:r w:rsidRPr="007822E6">
        <w:rPr>
          <w:rFonts w:ascii="Palatino Linotype" w:hAnsi="Palatino Linotype" w:cs="Arial"/>
          <w:b/>
        </w:rPr>
        <w:t xml:space="preserve">. </w:t>
      </w:r>
      <w:r w:rsidRPr="00161CEB">
        <w:rPr>
          <w:rFonts w:ascii="Palatino Linotype" w:hAnsi="Palatino Linotype" w:cs="Arial"/>
          <w:b/>
          <w:sz w:val="28"/>
        </w:rPr>
        <w:t>Cuestiones de previo y especial pronunciamiento</w:t>
      </w:r>
      <w:r w:rsidRPr="00161CEB">
        <w:rPr>
          <w:rFonts w:ascii="Palatino Linotype" w:hAnsi="Palatino Linotype" w:cs="Arial"/>
          <w:b/>
        </w:rPr>
        <w:t>.</w:t>
      </w:r>
    </w:p>
    <w:p w14:paraId="0082E3EC" w14:textId="37686440" w:rsidR="00662ED1" w:rsidRDefault="00662ED1" w:rsidP="00662ED1">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 la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792EA8">
        <w:rPr>
          <w:rFonts w:ascii="Palatino Linotype" w:hAnsi="Palatino Linotype" w:cs="Arial"/>
          <w:b/>
          <w:sz w:val="24"/>
          <w:szCs w:val="24"/>
        </w:rPr>
        <w:t>XXXXXX</w:t>
      </w:r>
      <w:r>
        <w:rPr>
          <w:rFonts w:ascii="Palatino Linotype" w:hAnsi="Palatino Linotype" w:cs="Arial"/>
          <w:b/>
          <w:sz w:val="24"/>
          <w:szCs w:val="24"/>
        </w:rPr>
        <w:t xml:space="preserve"> </w:t>
      </w:r>
      <w:r w:rsidR="00792EA8">
        <w:rPr>
          <w:rFonts w:ascii="Palatino Linotype" w:hAnsi="Palatino Linotype" w:cs="Arial"/>
          <w:b/>
          <w:sz w:val="24"/>
          <w:szCs w:val="24"/>
        </w:rPr>
        <w:t>XXXXXXXX</w:t>
      </w:r>
      <w:r>
        <w:rPr>
          <w:rFonts w:ascii="Palatino Linotype" w:hAnsi="Palatino Linotype" w:cs="Arial"/>
          <w:sz w:val="24"/>
        </w:rPr>
        <w:t>, del cual no se colige que corresponda al nombre de una persona.</w:t>
      </w:r>
    </w:p>
    <w:p w14:paraId="386E800B" w14:textId="77777777" w:rsidR="00662ED1" w:rsidRDefault="00662ED1" w:rsidP="00662ED1">
      <w:pPr>
        <w:spacing w:after="0" w:line="360" w:lineRule="auto"/>
        <w:jc w:val="both"/>
        <w:rPr>
          <w:rFonts w:ascii="Palatino Linotype" w:hAnsi="Palatino Linotype"/>
          <w:sz w:val="24"/>
          <w:szCs w:val="24"/>
        </w:rPr>
      </w:pPr>
    </w:p>
    <w:p w14:paraId="0232FF64" w14:textId="77777777" w:rsidR="00662ED1" w:rsidRDefault="00662ED1" w:rsidP="00662ED1">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lastRenderedPageBreak/>
        <w:t xml:space="preserve">Esta Ponencia considera importante abordar el análisis de los requisitos de procedibilidad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797C52A7" w14:textId="77777777" w:rsidR="00662ED1" w:rsidRDefault="00662ED1" w:rsidP="00662ED1">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317BBAC5" w14:textId="77777777" w:rsidR="00662ED1" w:rsidRDefault="00662ED1" w:rsidP="00662ED1">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72B8E9E9" w14:textId="77777777" w:rsidR="00662ED1" w:rsidRDefault="00662ED1" w:rsidP="00662ED1">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3AF28163" w14:textId="77777777" w:rsidR="00662ED1" w:rsidRDefault="00662ED1" w:rsidP="00662ED1">
      <w:pPr>
        <w:spacing w:before="240" w:line="360" w:lineRule="auto"/>
        <w:ind w:left="851" w:right="851"/>
        <w:rPr>
          <w:rFonts w:ascii="Palatino Linotype" w:hAnsi="Palatino Linotype"/>
          <w:i/>
        </w:rPr>
      </w:pPr>
      <w:r>
        <w:rPr>
          <w:rFonts w:ascii="Palatino Linotype" w:hAnsi="Palatino Linotype"/>
          <w:b/>
          <w:i/>
        </w:rPr>
        <w:t>(…)” [Sic]</w:t>
      </w:r>
    </w:p>
    <w:p w14:paraId="045A829E" w14:textId="77777777" w:rsidR="00662ED1" w:rsidRDefault="00662ED1" w:rsidP="00662ED1">
      <w:pPr>
        <w:pStyle w:val="Prrafodelista"/>
        <w:widowControl w:val="0"/>
        <w:autoSpaceDE w:val="0"/>
        <w:autoSpaceDN w:val="0"/>
        <w:adjustRightInd w:val="0"/>
        <w:ind w:left="0"/>
        <w:jc w:val="both"/>
        <w:rPr>
          <w:rFonts w:ascii="Palatino Linotype" w:hAnsi="Palatino Linotype"/>
          <w:highlight w:val="yellow"/>
        </w:rPr>
      </w:pPr>
    </w:p>
    <w:p w14:paraId="1F519E19" w14:textId="3AEA50DA" w:rsidR="00662ED1" w:rsidRDefault="00662ED1" w:rsidP="00662ED1">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792EA8">
        <w:rPr>
          <w:rFonts w:ascii="Palatino Linotype" w:hAnsi="Palatino Linotype" w:cs="Arial"/>
          <w:b/>
        </w:rPr>
        <w:t>XXXXXXXXXXXXXXX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192AEF7D" w14:textId="77777777" w:rsidR="00662ED1" w:rsidRDefault="00662ED1" w:rsidP="00662ED1">
      <w:pPr>
        <w:pStyle w:val="Prrafodelista"/>
        <w:widowControl w:val="0"/>
        <w:autoSpaceDE w:val="0"/>
        <w:autoSpaceDN w:val="0"/>
        <w:adjustRightInd w:val="0"/>
        <w:spacing w:line="360" w:lineRule="auto"/>
        <w:ind w:left="0"/>
        <w:jc w:val="both"/>
        <w:rPr>
          <w:rFonts w:ascii="Palatino Linotype" w:hAnsi="Palatino Linotype"/>
        </w:rPr>
      </w:pPr>
    </w:p>
    <w:p w14:paraId="1F32500D" w14:textId="77777777" w:rsidR="00662ED1" w:rsidRDefault="00662ED1" w:rsidP="00662ED1">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15 de </w:t>
      </w:r>
      <w:r>
        <w:rPr>
          <w:rFonts w:ascii="Palatino Linotype" w:hAnsi="Palatino Linotype" w:cs="Arial"/>
          <w:lang w:eastAsia="es-MX"/>
        </w:rPr>
        <w:t xml:space="preserve">Ley de Transparencia y 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w:t>
      </w:r>
      <w:r>
        <w:rPr>
          <w:rFonts w:ascii="Palatino Linotype" w:hAnsi="Palatino Linotype"/>
        </w:rPr>
        <w:lastRenderedPageBreak/>
        <w:t xml:space="preserve">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835BAB1" w14:textId="77777777" w:rsidR="00662ED1" w:rsidRDefault="00662ED1" w:rsidP="00662ED1">
      <w:pPr>
        <w:pStyle w:val="Prrafodelista"/>
        <w:widowControl w:val="0"/>
        <w:autoSpaceDE w:val="0"/>
        <w:autoSpaceDN w:val="0"/>
        <w:adjustRightInd w:val="0"/>
        <w:ind w:left="0"/>
        <w:jc w:val="both"/>
        <w:rPr>
          <w:rFonts w:ascii="Palatino Linotype" w:hAnsi="Palatino Linotype"/>
          <w:highlight w:val="yellow"/>
        </w:rPr>
      </w:pPr>
    </w:p>
    <w:p w14:paraId="70480C70" w14:textId="77777777" w:rsidR="00662ED1" w:rsidRDefault="00662ED1" w:rsidP="00662ED1">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1B8A653" w14:textId="77777777" w:rsidR="00662ED1" w:rsidRDefault="00662ED1" w:rsidP="00AD179A">
      <w:pPr>
        <w:tabs>
          <w:tab w:val="left" w:pos="709"/>
        </w:tabs>
        <w:spacing w:before="240" w:line="360" w:lineRule="auto"/>
        <w:ind w:right="51"/>
        <w:jc w:val="both"/>
        <w:rPr>
          <w:rFonts w:ascii="Palatino Linotype" w:hAnsi="Palatino Linotype"/>
          <w:b/>
          <w:sz w:val="28"/>
          <w:szCs w:val="28"/>
        </w:rPr>
      </w:pPr>
    </w:p>
    <w:p w14:paraId="72A508D1" w14:textId="77777777" w:rsidR="00AD179A" w:rsidRPr="009A0D0A" w:rsidRDefault="00AD179A" w:rsidP="00AD179A">
      <w:pPr>
        <w:tabs>
          <w:tab w:val="left" w:pos="709"/>
        </w:tabs>
        <w:spacing w:before="240" w:line="360" w:lineRule="auto"/>
        <w:ind w:right="51"/>
        <w:jc w:val="both"/>
        <w:rPr>
          <w:rFonts w:ascii="Palatino Linotype" w:hAnsi="Palatino Linotype"/>
          <w:b/>
          <w:sz w:val="28"/>
          <w:szCs w:val="28"/>
        </w:rPr>
      </w:pPr>
      <w:r w:rsidRPr="007D15EF">
        <w:rPr>
          <w:rFonts w:ascii="Palatino Linotype" w:hAnsi="Palatino Linotype"/>
          <w:b/>
          <w:sz w:val="28"/>
          <w:szCs w:val="28"/>
        </w:rPr>
        <w:t>CUARTO. Estudio y resolución del asunto</w:t>
      </w:r>
      <w:r w:rsidRPr="009A0D0A">
        <w:rPr>
          <w:rFonts w:ascii="Palatino Linotype" w:hAnsi="Palatino Linotype"/>
          <w:b/>
          <w:sz w:val="28"/>
          <w:szCs w:val="28"/>
        </w:rPr>
        <w:t xml:space="preserve"> </w:t>
      </w:r>
      <w:r>
        <w:rPr>
          <w:rFonts w:ascii="Palatino Linotype" w:hAnsi="Palatino Linotype"/>
          <w:b/>
          <w:sz w:val="28"/>
          <w:szCs w:val="28"/>
        </w:rPr>
        <w:tab/>
      </w:r>
    </w:p>
    <w:p w14:paraId="40502E24" w14:textId="77777777" w:rsidR="00AD179A" w:rsidRDefault="00AD179A" w:rsidP="00AD179A">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t xml:space="preserve">y demás leyes aplicables en la materia, así como en los tratados internacionales en los </w:t>
      </w:r>
      <w:r>
        <w:rPr>
          <w:rFonts w:ascii="Palatino Linotype" w:hAnsi="Palatino Linotype" w:cs="Arial"/>
        </w:rPr>
        <w:lastRenderedPageBreak/>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5F06EA6D" w14:textId="77777777" w:rsidR="00AD179A" w:rsidRPr="002869E1" w:rsidRDefault="00AD179A" w:rsidP="00AD179A">
      <w:pPr>
        <w:spacing w:after="0" w:line="360" w:lineRule="auto"/>
        <w:jc w:val="both"/>
        <w:rPr>
          <w:rFonts w:ascii="Palatino Linotype" w:eastAsia="Times New Roman" w:hAnsi="Palatino Linotype" w:cs="Times New Roman"/>
          <w:sz w:val="24"/>
          <w:szCs w:val="24"/>
          <w:lang w:eastAsia="es-ES"/>
        </w:rPr>
      </w:pPr>
      <w:r w:rsidRPr="002869E1">
        <w:rPr>
          <w:rFonts w:ascii="Palatino Linotype" w:hAnsi="Palatino Linotype" w:cs="Arial"/>
          <w:sz w:val="24"/>
          <w:szCs w:val="24"/>
        </w:rPr>
        <w:t xml:space="preserve">En este tenor, es necesario subrayar que </w:t>
      </w:r>
      <w:r w:rsidRPr="002869E1">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275C3F26"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Pr>
          <w:rFonts w:ascii="Palatino Linotype" w:eastAsia="Times New Roman" w:hAnsi="Palatino Linotype" w:cs="Times New Roman"/>
          <w:b/>
          <w:i/>
          <w:lang w:eastAsia="es-ES"/>
        </w:rPr>
        <w:t>“</w:t>
      </w:r>
      <w:r w:rsidRPr="006010FE">
        <w:rPr>
          <w:rFonts w:ascii="Palatino Linotype" w:eastAsia="Times New Roman" w:hAnsi="Palatino Linotype" w:cs="Times New Roman"/>
          <w:b/>
          <w:i/>
          <w:lang w:eastAsia="es-ES"/>
        </w:rPr>
        <w:t>Artículo 4.</w:t>
      </w:r>
      <w:r w:rsidRPr="006010FE">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18EF6FB2"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49CBFCE"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7C7707E4"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12.</w:t>
      </w:r>
      <w:r w:rsidRPr="006010FE">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D76AFA8"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lastRenderedPageBreak/>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D3DCDB8"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5709F844" w14:textId="77777777" w:rsidR="00AD179A" w:rsidRPr="006010FE" w:rsidRDefault="00AD179A" w:rsidP="00AD17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b/>
          <w:i/>
          <w:lang w:eastAsia="es-ES"/>
        </w:rPr>
        <w:t xml:space="preserve">Artículo 24. </w:t>
      </w:r>
    </w:p>
    <w:p w14:paraId="34861C2D"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17F3AB2A"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79FA224D"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i/>
          <w:lang w:eastAsia="es-ES"/>
        </w:rPr>
        <w:t>(…)</w:t>
      </w:r>
    </w:p>
    <w:p w14:paraId="0C02DF15" w14:textId="77777777" w:rsidR="00AD179A" w:rsidRPr="006010FE" w:rsidRDefault="00AD179A" w:rsidP="00AD179A">
      <w:pPr>
        <w:spacing w:before="240" w:line="360" w:lineRule="auto"/>
        <w:ind w:left="851" w:right="851"/>
        <w:jc w:val="both"/>
        <w:rPr>
          <w:rFonts w:ascii="Palatino Linotype" w:eastAsia="Times New Roman" w:hAnsi="Palatino Linotype" w:cs="Times New Roman"/>
          <w:i/>
          <w:lang w:eastAsia="es-ES"/>
        </w:rPr>
      </w:pPr>
      <w:r w:rsidRPr="006010FE">
        <w:rPr>
          <w:rFonts w:ascii="Palatino Linotype" w:eastAsia="Times New Roman" w:hAnsi="Palatino Linotype" w:cs="Times New Roman"/>
          <w:b/>
          <w:i/>
          <w:lang w:eastAsia="es-ES"/>
        </w:rPr>
        <w:t>Artículo 160.</w:t>
      </w:r>
      <w:r w:rsidRPr="006010FE">
        <w:rPr>
          <w:rFonts w:ascii="Palatino Linotype" w:eastAsia="Times New Roman" w:hAnsi="Palatino Linotype" w:cs="Times New Roman"/>
          <w:i/>
          <w:lang w:eastAsia="es-ES"/>
        </w:rPr>
        <w:t xml:space="preserve"> Los sujetos obligados deberán otorgar acceso a los documentos que se </w:t>
      </w:r>
      <w:r>
        <w:rPr>
          <w:rFonts w:ascii="Palatino Linotype" w:eastAsia="Times New Roman" w:hAnsi="Palatino Linotype" w:cs="Times New Roman"/>
          <w:b/>
          <w:i/>
          <w:lang w:eastAsia="es-ES"/>
        </w:rPr>
        <w:t xml:space="preserve"> </w:t>
      </w:r>
      <w:r w:rsidRPr="006010FE">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534ECE3" w14:textId="77777777" w:rsidR="00AD179A" w:rsidRDefault="00AD179A" w:rsidP="00AD179A">
      <w:pPr>
        <w:spacing w:before="240" w:line="360" w:lineRule="auto"/>
        <w:ind w:left="851" w:right="851"/>
        <w:jc w:val="both"/>
        <w:rPr>
          <w:rFonts w:ascii="Palatino Linotype" w:eastAsia="Times New Roman" w:hAnsi="Palatino Linotype" w:cs="Times New Roman"/>
          <w:b/>
          <w:i/>
          <w:lang w:eastAsia="es-ES"/>
        </w:rPr>
      </w:pPr>
      <w:r w:rsidRPr="006010FE">
        <w:rPr>
          <w:rFonts w:ascii="Palatino Linotype" w:eastAsia="Times New Roman" w:hAnsi="Palatino Linotype" w:cs="Times New Roman"/>
          <w:i/>
          <w:lang w:eastAsia="es-ES"/>
        </w:rPr>
        <w:t>En caso que la información solicitada consista en bases de datos se deberá privilegiar la entrega de la misma en formatos abiertos.</w:t>
      </w:r>
      <w:r>
        <w:rPr>
          <w:rFonts w:ascii="Palatino Linotype" w:eastAsia="Times New Roman" w:hAnsi="Palatino Linotype" w:cs="Times New Roman"/>
          <w:i/>
          <w:lang w:eastAsia="es-ES"/>
        </w:rPr>
        <w:t>”</w:t>
      </w:r>
      <w:r>
        <w:rPr>
          <w:rFonts w:ascii="Palatino Linotype" w:eastAsia="Times New Roman" w:hAnsi="Palatino Linotype" w:cs="Times New Roman"/>
          <w:b/>
          <w:i/>
          <w:lang w:eastAsia="es-ES"/>
        </w:rPr>
        <w:t>[Sic]</w:t>
      </w:r>
    </w:p>
    <w:p w14:paraId="3A70AC83" w14:textId="77777777" w:rsidR="00AD179A" w:rsidRDefault="00AD179A" w:rsidP="00AD179A">
      <w:pPr>
        <w:spacing w:after="0" w:line="360" w:lineRule="auto"/>
        <w:jc w:val="both"/>
        <w:rPr>
          <w:rFonts w:ascii="Palatino Linotype" w:eastAsia="Times New Roman" w:hAnsi="Palatino Linotype" w:cs="Times New Roman"/>
          <w:sz w:val="24"/>
          <w:szCs w:val="24"/>
          <w:lang w:eastAsia="es-ES"/>
        </w:rPr>
      </w:pPr>
    </w:p>
    <w:p w14:paraId="0F96F496" w14:textId="77777777" w:rsidR="00AD179A" w:rsidRPr="006010FE" w:rsidRDefault="00AD179A" w:rsidP="00AD179A">
      <w:pPr>
        <w:spacing w:after="0" w:line="360" w:lineRule="auto"/>
        <w:jc w:val="both"/>
        <w:rPr>
          <w:rFonts w:ascii="Palatino Linotype" w:eastAsia="Times New Roman" w:hAnsi="Palatino Linotype" w:cs="Times New Roman"/>
          <w:sz w:val="24"/>
          <w:szCs w:val="24"/>
          <w:lang w:eastAsia="es-ES"/>
        </w:rPr>
      </w:pPr>
      <w:r w:rsidRPr="006010FE">
        <w:rPr>
          <w:rFonts w:ascii="Palatino Linotype" w:eastAsia="Times New Roman" w:hAnsi="Palatino Linotype" w:cs="Times New Roman"/>
          <w:sz w:val="24"/>
          <w:szCs w:val="24"/>
          <w:lang w:eastAsia="es-ES"/>
        </w:rPr>
        <w:t>As</w:t>
      </w:r>
      <w:r>
        <w:rPr>
          <w:rFonts w:ascii="Palatino Linotype" w:eastAsia="Times New Roman" w:hAnsi="Palatino Linotype" w:cs="Times New Roman"/>
          <w:sz w:val="24"/>
          <w:szCs w:val="24"/>
          <w:lang w:eastAsia="es-ES"/>
        </w:rPr>
        <w:t xml:space="preserve">í que la obligación de los </w:t>
      </w:r>
      <w:r w:rsidRPr="006E4CCA">
        <w:rPr>
          <w:rFonts w:ascii="Palatino Linotype" w:eastAsia="Times New Roman" w:hAnsi="Palatino Linotype" w:cs="Times New Roman"/>
          <w:b/>
          <w:sz w:val="24"/>
          <w:szCs w:val="24"/>
          <w:lang w:eastAsia="es-ES"/>
        </w:rPr>
        <w:t>Sujetos Obligados</w:t>
      </w:r>
      <w:r w:rsidRPr="006010FE">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w:t>
      </w:r>
      <w:r w:rsidRPr="006010FE">
        <w:rPr>
          <w:rFonts w:ascii="Palatino Linotype" w:eastAsia="Times New Roman" w:hAnsi="Palatino Linotype" w:cs="Times New Roman"/>
          <w:sz w:val="24"/>
          <w:szCs w:val="24"/>
          <w:lang w:eastAsia="es-ES"/>
        </w:rPr>
        <w:lastRenderedPageBreak/>
        <w:t xml:space="preserve">a su disposición la información requerida, o cuando realice la consulta de la misma en el lugar que ésta se localice, de acuerdo a lo señalado por el artículo 166 </w:t>
      </w:r>
      <w:r w:rsidRPr="006010FE">
        <w:rPr>
          <w:rFonts w:ascii="Palatino Linotype" w:eastAsia="Times New Roman" w:hAnsi="Palatino Linotype" w:cs="Times New Roman"/>
          <w:bCs/>
          <w:sz w:val="24"/>
          <w:szCs w:val="24"/>
          <w:lang w:eastAsia="es-ES"/>
        </w:rPr>
        <w:t>de la Ley local en la materia, que se reproduce de la siguiente forma</w:t>
      </w:r>
      <w:r w:rsidRPr="006010FE">
        <w:rPr>
          <w:rFonts w:ascii="Palatino Linotype" w:eastAsia="Times New Roman" w:hAnsi="Palatino Linotype" w:cs="Times New Roman"/>
          <w:sz w:val="24"/>
          <w:szCs w:val="24"/>
          <w:lang w:eastAsia="es-ES"/>
        </w:rPr>
        <w:t>:</w:t>
      </w:r>
    </w:p>
    <w:p w14:paraId="2D31CD8C" w14:textId="77777777" w:rsidR="00AD179A" w:rsidRDefault="00AD179A" w:rsidP="00AD179A">
      <w:pPr>
        <w:spacing w:before="240" w:line="360" w:lineRule="auto"/>
        <w:ind w:left="851" w:right="851"/>
        <w:jc w:val="both"/>
        <w:rPr>
          <w:rFonts w:ascii="Palatino Linotype" w:eastAsia="Times New Roman" w:hAnsi="Palatino Linotype" w:cs="Arial"/>
          <w:b/>
          <w:i/>
          <w:lang w:eastAsia="es-ES"/>
        </w:rPr>
      </w:pPr>
      <w:r w:rsidRPr="006E4CCA">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eastAsia="Times New Roman" w:hAnsi="Palatino Linotype" w:cs="Arial"/>
          <w:b/>
          <w:i/>
          <w:lang w:eastAsia="es-ES"/>
        </w:rPr>
        <w:t>[Sic]</w:t>
      </w:r>
    </w:p>
    <w:p w14:paraId="6AA75065" w14:textId="77777777" w:rsidR="00AD179A" w:rsidRDefault="00AD179A" w:rsidP="00AD179A">
      <w:pPr>
        <w:autoSpaceDE w:val="0"/>
        <w:autoSpaceDN w:val="0"/>
        <w:adjustRightInd w:val="0"/>
        <w:spacing w:before="240" w:line="360" w:lineRule="auto"/>
        <w:jc w:val="both"/>
        <w:rPr>
          <w:rFonts w:ascii="Palatino Linotype" w:hAnsi="Palatino Linotype" w:cs="Arial"/>
          <w:sz w:val="24"/>
          <w:szCs w:val="24"/>
        </w:rPr>
      </w:pPr>
    </w:p>
    <w:p w14:paraId="2FC4190B" w14:textId="142EA26F" w:rsidR="00AD179A" w:rsidRDefault="00AD179A" w:rsidP="00AD179A">
      <w:pPr>
        <w:spacing w:before="240" w:line="360" w:lineRule="auto"/>
        <w:jc w:val="both"/>
        <w:rPr>
          <w:rFonts w:ascii="Palatino Linotype" w:eastAsia="Calibri" w:hAnsi="Palatino Linotype"/>
          <w:b/>
          <w:color w:val="000000" w:themeColor="text1"/>
          <w:sz w:val="24"/>
          <w:szCs w:val="24"/>
        </w:rPr>
      </w:pPr>
      <w:r w:rsidRPr="008028E9">
        <w:rPr>
          <w:rFonts w:ascii="Palatino Linotype" w:hAnsi="Palatino Linotype" w:cs="Arial"/>
          <w:sz w:val="24"/>
          <w:szCs w:val="24"/>
        </w:rPr>
        <w:t>En una aproximación inicial</w:t>
      </w:r>
      <w:r>
        <w:rPr>
          <w:rFonts w:ascii="Palatino Linotype" w:hAnsi="Palatino Linotype" w:cs="Arial"/>
          <w:sz w:val="24"/>
          <w:szCs w:val="24"/>
        </w:rPr>
        <w:t xml:space="preserve">, con relación a la solicitud de información </w:t>
      </w:r>
      <w:r w:rsidR="00662ED1">
        <w:rPr>
          <w:rFonts w:ascii="Palatino Linotype" w:hAnsi="Palatino Linotype" w:cs="Arial"/>
          <w:b/>
          <w:bCs/>
          <w:sz w:val="24"/>
          <w:szCs w:val="24"/>
        </w:rPr>
        <w:t>00393/CUAUTIZCIP/2025</w:t>
      </w:r>
      <w:r w:rsidRPr="007C18FC">
        <w:rPr>
          <w:rFonts w:ascii="Palatino Linotype" w:hAnsi="Palatino Linotype" w:cs="Arial"/>
          <w:b/>
          <w:bCs/>
          <w:sz w:val="24"/>
          <w:szCs w:val="24"/>
        </w:rPr>
        <w:t xml:space="preserve"> </w:t>
      </w:r>
      <w:r w:rsidRPr="007C18FC">
        <w:rPr>
          <w:rFonts w:ascii="Palatino Linotype" w:hAnsi="Palatino Linotype" w:cs="Arial"/>
          <w:sz w:val="24"/>
          <w:szCs w:val="24"/>
        </w:rPr>
        <w:t>se desprenden</w:t>
      </w:r>
      <w:r>
        <w:rPr>
          <w:rFonts w:ascii="Palatino Linotype" w:hAnsi="Palatino Linotype" w:cs="Arial"/>
          <w:sz w:val="24"/>
          <w:szCs w:val="24"/>
        </w:rPr>
        <w:t xml:space="preserve"> las siguientes consideraciones:</w:t>
      </w:r>
    </w:p>
    <w:p w14:paraId="1101997C" w14:textId="77777777" w:rsidR="00AD179A" w:rsidRPr="004E379B" w:rsidRDefault="00AD179A" w:rsidP="00792EA8">
      <w:pPr>
        <w:pStyle w:val="Prrafodelista"/>
        <w:numPr>
          <w:ilvl w:val="0"/>
          <w:numId w:val="3"/>
        </w:numPr>
        <w:autoSpaceDE w:val="0"/>
        <w:autoSpaceDN w:val="0"/>
        <w:adjustRightInd w:val="0"/>
        <w:spacing w:before="240" w:line="360" w:lineRule="auto"/>
        <w:jc w:val="both"/>
        <w:rPr>
          <w:rFonts w:ascii="Palatino Linotype" w:hAnsi="Palatino Linotype" w:cs="Arial"/>
        </w:rPr>
      </w:pPr>
      <w:r>
        <w:rPr>
          <w:rFonts w:ascii="Palatino Linotype" w:hAnsi="Palatino Linotype" w:cs="Arial"/>
        </w:rPr>
        <w:t xml:space="preserve">Que el derecho de acceso a la información pública estriba en la prerrogativa de </w:t>
      </w:r>
      <w:r w:rsidRPr="00511C91">
        <w:rPr>
          <w:rFonts w:ascii="Palatino Linotype" w:hAnsi="Palatino Linotype" w:cs="Arial"/>
        </w:rPr>
        <w:t xml:space="preserve">carácter constitucional que reconoce la potestad de los ciudadanos para solicitar soportes documentales generados, poseídos o administrados por los </w:t>
      </w:r>
      <w:r w:rsidRPr="00511C91">
        <w:rPr>
          <w:rFonts w:ascii="Palatino Linotype" w:hAnsi="Palatino Linotype" w:cs="Arial"/>
          <w:b/>
          <w:bCs/>
        </w:rPr>
        <w:t>Sujetos Obligados.</w:t>
      </w:r>
      <w:r>
        <w:rPr>
          <w:rFonts w:ascii="Palatino Linotype" w:hAnsi="Palatino Linotype" w:cs="Arial"/>
          <w:b/>
          <w:bCs/>
        </w:rPr>
        <w:t xml:space="preserve"> </w:t>
      </w:r>
    </w:p>
    <w:p w14:paraId="0569DF66" w14:textId="77777777" w:rsidR="00AD179A" w:rsidRPr="00B7280E" w:rsidRDefault="00AD179A" w:rsidP="00AD179A">
      <w:pPr>
        <w:pStyle w:val="Prrafodelista"/>
        <w:autoSpaceDE w:val="0"/>
        <w:autoSpaceDN w:val="0"/>
        <w:adjustRightInd w:val="0"/>
        <w:spacing w:before="240" w:line="360" w:lineRule="auto"/>
        <w:ind w:left="720"/>
        <w:jc w:val="both"/>
        <w:rPr>
          <w:rFonts w:ascii="Palatino Linotype" w:hAnsi="Palatino Linotype" w:cs="Arial"/>
        </w:rPr>
      </w:pPr>
    </w:p>
    <w:p w14:paraId="2BBF4031" w14:textId="0B634111" w:rsidR="00A27C92" w:rsidRPr="00A27C92" w:rsidRDefault="00AD179A" w:rsidP="00792EA8">
      <w:pPr>
        <w:pStyle w:val="Prrafodelista"/>
        <w:numPr>
          <w:ilvl w:val="0"/>
          <w:numId w:val="2"/>
        </w:numPr>
        <w:autoSpaceDE w:val="0"/>
        <w:autoSpaceDN w:val="0"/>
        <w:adjustRightInd w:val="0"/>
        <w:spacing w:before="240" w:line="360" w:lineRule="auto"/>
        <w:jc w:val="both"/>
        <w:rPr>
          <w:rFonts w:ascii="Palatino Linotype" w:hAnsi="Palatino Linotype"/>
        </w:rPr>
      </w:pPr>
      <w:r w:rsidRPr="00A238F0">
        <w:rPr>
          <w:rFonts w:ascii="Palatino Linotype" w:hAnsi="Palatino Linotype" w:cs="Arial"/>
        </w:rPr>
        <w:t xml:space="preserve">Que mediante la solicitud de información </w:t>
      </w:r>
      <w:r w:rsidR="00662ED1">
        <w:rPr>
          <w:rFonts w:ascii="Palatino Linotype" w:hAnsi="Palatino Linotype" w:cs="Arial"/>
          <w:b/>
          <w:bCs/>
        </w:rPr>
        <w:t>00393/CUAUTIZCIP/2025</w:t>
      </w:r>
      <w:r w:rsidR="00662ED1" w:rsidRPr="007C18FC">
        <w:rPr>
          <w:rFonts w:ascii="Palatino Linotype" w:hAnsi="Palatino Linotype" w:cs="Arial"/>
          <w:b/>
          <w:bCs/>
        </w:rPr>
        <w:t xml:space="preserve"> </w:t>
      </w:r>
      <w:r>
        <w:rPr>
          <w:rFonts w:ascii="Palatino Linotype" w:hAnsi="Palatino Linotype" w:cs="Arial"/>
        </w:rPr>
        <w:t>fue</w:t>
      </w:r>
      <w:r w:rsidR="00A27C92">
        <w:rPr>
          <w:rFonts w:ascii="Palatino Linotype" w:hAnsi="Palatino Linotype" w:cs="Arial"/>
        </w:rPr>
        <w:t xml:space="preserve">ron formulados </w:t>
      </w:r>
      <w:r w:rsidR="00A27C92">
        <w:rPr>
          <w:rFonts w:ascii="Palatino Linotype" w:hAnsi="Palatino Linotype" w:cs="Arial"/>
          <w:b/>
          <w:bCs/>
        </w:rPr>
        <w:t xml:space="preserve">4 -cuatro- </w:t>
      </w:r>
      <w:r w:rsidR="00A27C92">
        <w:rPr>
          <w:rFonts w:ascii="Palatino Linotype" w:hAnsi="Palatino Linotype" w:cs="Arial"/>
        </w:rPr>
        <w:t xml:space="preserve">requerimientos, respecto de los cuales fue señalada la temporalidad de forma diligente, al precisar </w:t>
      </w:r>
      <w:r w:rsidR="00A27C92">
        <w:rPr>
          <w:rFonts w:ascii="Palatino Linotype" w:hAnsi="Palatino Linotype" w:cs="Arial"/>
          <w:i/>
          <w:iCs/>
        </w:rPr>
        <w:t>“del 1 de enero 2025 al 30 de enero 2025”</w:t>
      </w:r>
    </w:p>
    <w:p w14:paraId="6859B6D5" w14:textId="77777777" w:rsidR="00A27C92" w:rsidRPr="00A27C92" w:rsidRDefault="00A27C92" w:rsidP="00A27C92">
      <w:pPr>
        <w:pStyle w:val="Prrafodelista"/>
        <w:autoSpaceDE w:val="0"/>
        <w:autoSpaceDN w:val="0"/>
        <w:adjustRightInd w:val="0"/>
        <w:spacing w:before="240" w:line="360" w:lineRule="auto"/>
        <w:ind w:left="720"/>
        <w:jc w:val="both"/>
        <w:rPr>
          <w:rFonts w:ascii="Palatino Linotype" w:hAnsi="Palatino Linotype"/>
        </w:rPr>
      </w:pPr>
    </w:p>
    <w:p w14:paraId="6859C059" w14:textId="2740C5C8" w:rsidR="00AD179A" w:rsidRPr="002654B3" w:rsidRDefault="00AD179A" w:rsidP="00792EA8">
      <w:pPr>
        <w:pStyle w:val="Prrafodelista"/>
        <w:numPr>
          <w:ilvl w:val="0"/>
          <w:numId w:val="2"/>
        </w:numPr>
        <w:autoSpaceDE w:val="0"/>
        <w:autoSpaceDN w:val="0"/>
        <w:adjustRightInd w:val="0"/>
        <w:spacing w:before="240" w:line="360" w:lineRule="auto"/>
        <w:jc w:val="both"/>
        <w:rPr>
          <w:rFonts w:ascii="Palatino Linotype" w:hAnsi="Palatino Linotype"/>
        </w:rPr>
      </w:pPr>
      <w:r>
        <w:rPr>
          <w:rFonts w:ascii="Palatino Linotype" w:hAnsi="Palatino Linotype" w:cs="Arial"/>
        </w:rPr>
        <w:lastRenderedPageBreak/>
        <w:t>Que</w:t>
      </w:r>
      <w:r>
        <w:rPr>
          <w:rFonts w:ascii="Palatino Linotype" w:hAnsi="Palatino Linotype" w:cs="Arial"/>
          <w:b/>
          <w:bCs/>
        </w:rPr>
        <w:t xml:space="preserve"> </w:t>
      </w:r>
      <w:r w:rsidRPr="002654B3">
        <w:rPr>
          <w:rFonts w:ascii="Palatino Linotype" w:hAnsi="Palatino Linotype" w:cs="Arial"/>
        </w:rPr>
        <w:t xml:space="preserve">cuando los particulares no identifican de forma precisa el documento requerido, bastará con que </w:t>
      </w:r>
      <w:r w:rsidRPr="002654B3">
        <w:rPr>
          <w:rFonts w:ascii="Palatino Linotype" w:hAnsi="Palatino Linotype"/>
        </w:rPr>
        <w:t xml:space="preserve">se remita cualquiera que refleje la información requerida. Al respecto, cobra relevancia </w:t>
      </w:r>
      <w:r w:rsidRPr="005245CD">
        <w:rPr>
          <w:rFonts w:ascii="Palatino Linotype" w:hAnsi="Palatino Linotype"/>
          <w:highlight w:val="cyan"/>
        </w:rPr>
        <w:t>el criterio</w:t>
      </w:r>
      <w:r w:rsidRPr="002654B3">
        <w:rPr>
          <w:rFonts w:ascii="Palatino Linotype" w:hAnsi="Palatino Linotype"/>
        </w:rPr>
        <w:t xml:space="preserve"> </w:t>
      </w:r>
      <w:r w:rsidR="00377E17" w:rsidRPr="00377E17">
        <w:rPr>
          <w:rFonts w:ascii="Palatino Linotype" w:hAnsi="Palatino Linotype"/>
          <w:highlight w:val="cyan"/>
        </w:rPr>
        <w:t>de carácter</w:t>
      </w:r>
      <w:r w:rsidR="00377E17">
        <w:rPr>
          <w:rFonts w:ascii="Palatino Linotype" w:hAnsi="Palatino Linotype"/>
        </w:rPr>
        <w:t xml:space="preserve"> </w:t>
      </w:r>
      <w:r w:rsidR="00377E17" w:rsidRPr="00377E17">
        <w:rPr>
          <w:rFonts w:ascii="Palatino Linotype" w:hAnsi="Palatino Linotype"/>
          <w:highlight w:val="cyan"/>
        </w:rPr>
        <w:t>orientador</w:t>
      </w:r>
      <w:r w:rsidR="00377E17">
        <w:rPr>
          <w:rFonts w:ascii="Palatino Linotype" w:hAnsi="Palatino Linotype"/>
        </w:rPr>
        <w:t xml:space="preserve"> </w:t>
      </w:r>
      <w:r w:rsidRPr="002654B3">
        <w:rPr>
          <w:rFonts w:ascii="Palatino Linotype" w:hAnsi="Palatino Linotype"/>
        </w:rPr>
        <w:t xml:space="preserve">emitido por el </w:t>
      </w:r>
      <w:r w:rsidR="005738E8" w:rsidRPr="005738E8">
        <w:rPr>
          <w:rFonts w:ascii="Palatino Linotype" w:hAnsi="Palatino Linotype"/>
          <w:highlight w:val="cyan"/>
        </w:rPr>
        <w:t>entonces</w:t>
      </w:r>
      <w:r w:rsidR="005738E8">
        <w:rPr>
          <w:rFonts w:ascii="Palatino Linotype" w:hAnsi="Palatino Linotype"/>
        </w:rPr>
        <w:t xml:space="preserve"> </w:t>
      </w:r>
      <w:r w:rsidRPr="002654B3">
        <w:rPr>
          <w:rFonts w:ascii="Palatino Linotype" w:hAnsi="Palatino Linotype"/>
        </w:rPr>
        <w:t xml:space="preserve">Órgano Garante Nacional con número </w:t>
      </w:r>
      <w:r w:rsidRPr="002654B3">
        <w:rPr>
          <w:rFonts w:ascii="Palatino Linotype" w:hAnsi="Palatino Linotype"/>
          <w:b/>
          <w:bCs/>
        </w:rPr>
        <w:t xml:space="preserve">16/17 </w:t>
      </w:r>
      <w:r w:rsidRPr="002654B3">
        <w:rPr>
          <w:rFonts w:ascii="Palatino Linotype" w:hAnsi="Palatino Linotype"/>
        </w:rPr>
        <w:t>cuyo rubro y texto disponen a la literalidad lo siguiente:</w:t>
      </w:r>
    </w:p>
    <w:p w14:paraId="56351449" w14:textId="77777777" w:rsidR="00AD179A" w:rsidRPr="00AB5B4A" w:rsidRDefault="00AD179A" w:rsidP="00AD179A">
      <w:pPr>
        <w:pStyle w:val="Citas"/>
        <w:jc w:val="center"/>
        <w:rPr>
          <w:b/>
          <w:bCs/>
          <w:sz w:val="24"/>
          <w:szCs w:val="24"/>
        </w:rPr>
      </w:pPr>
      <w:r w:rsidRPr="00AB5B4A">
        <w:rPr>
          <w:b/>
          <w:bCs/>
          <w:sz w:val="24"/>
          <w:szCs w:val="24"/>
        </w:rPr>
        <w:t>“EXPRESIÓN DOCUMENTAL.</w:t>
      </w:r>
    </w:p>
    <w:p w14:paraId="4D581B52" w14:textId="77777777" w:rsidR="00AD179A" w:rsidRPr="00AB5B4A" w:rsidRDefault="00AD179A" w:rsidP="00AD179A">
      <w:pPr>
        <w:pStyle w:val="Citas"/>
        <w:rPr>
          <w:szCs w:val="24"/>
        </w:rPr>
      </w:pPr>
      <w:r w:rsidRPr="00AB5B4A">
        <w:rPr>
          <w:bCs/>
          <w:szCs w:val="24"/>
        </w:rPr>
        <w:t>Cuando</w:t>
      </w:r>
      <w:r w:rsidRPr="00AB5B4A">
        <w:rPr>
          <w:lang w:val="es-ES"/>
        </w:rPr>
        <w:t xml:space="preserve"> los particulares presenten solicitudes de acceso a la información sin identificar de forma precisa la documentación que pudiera contener la información de su interés, </w:t>
      </w:r>
      <w:r w:rsidRPr="00AB5B4A">
        <w:rPr>
          <w:szCs w:val="24"/>
        </w:rPr>
        <w:t>o bien, la solicitud constituya una consulta,</w:t>
      </w:r>
      <w:r w:rsidRPr="00AB5B4A">
        <w:rPr>
          <w:lang w:val="es-ES"/>
        </w:rPr>
        <w:t xml:space="preserve"> pero la respuesta pudiera obrar en algún documento en poder de los sujetos obligados, éstos deben dar a dichas solicitudes una interpretación que les otorgue una expresión documental. </w:t>
      </w:r>
    </w:p>
    <w:p w14:paraId="481CFAB8" w14:textId="77777777" w:rsidR="00AD179A" w:rsidRPr="00AB5B4A" w:rsidRDefault="00AD179A" w:rsidP="00AD179A">
      <w:pPr>
        <w:pStyle w:val="Citas"/>
        <w:rPr>
          <w:b/>
        </w:rPr>
      </w:pPr>
      <w:r w:rsidRPr="00AB5B4A">
        <w:rPr>
          <w:b/>
        </w:rPr>
        <w:t>Precedentes:</w:t>
      </w:r>
    </w:p>
    <w:p w14:paraId="1ACB4E32" w14:textId="77777777" w:rsidR="00AD179A" w:rsidRPr="00AB5B4A" w:rsidRDefault="00AD179A" w:rsidP="00AD179A">
      <w:pPr>
        <w:pStyle w:val="Citas"/>
        <w:ind w:left="1571"/>
        <w:rPr>
          <w:color w:val="000000"/>
        </w:rPr>
      </w:pPr>
      <w:r w:rsidRPr="00AB5B4A">
        <w:t xml:space="preserve">Acceso a la información pública. RRA 0774/16. Sesión del 31 de agosto de 2016. Votación por unanimidad. </w:t>
      </w:r>
      <w:r w:rsidRPr="00AB5B4A">
        <w:rPr>
          <w:rFonts w:eastAsia="Arial"/>
        </w:rPr>
        <w:t>Sin votos disidentes o particulares.</w:t>
      </w:r>
      <w:r w:rsidRPr="00AB5B4A">
        <w:t xml:space="preserve"> Secretaría de Salud. Comisionada Ponente María Patricia </w:t>
      </w:r>
      <w:proofErr w:type="spellStart"/>
      <w:r w:rsidRPr="00AB5B4A">
        <w:t>Kurczyn</w:t>
      </w:r>
      <w:proofErr w:type="spellEnd"/>
      <w:r w:rsidRPr="00AB5B4A">
        <w:t xml:space="preserve"> Villalobos.</w:t>
      </w:r>
    </w:p>
    <w:p w14:paraId="0483967B" w14:textId="77777777" w:rsidR="00AD179A" w:rsidRPr="00AB5B4A" w:rsidRDefault="00AD179A" w:rsidP="00AD179A">
      <w:pPr>
        <w:pStyle w:val="Citas"/>
        <w:ind w:left="1571"/>
        <w:rPr>
          <w:color w:val="000000"/>
        </w:rPr>
      </w:pPr>
      <w:r w:rsidRPr="00AB5B4A">
        <w:t xml:space="preserve">Acceso a la información pública. RRA 0143/17. Sesión del 22 de febrero de 2017. Votación por unanimidad. </w:t>
      </w:r>
      <w:r w:rsidRPr="00AB5B4A">
        <w:rPr>
          <w:rFonts w:eastAsia="Arial"/>
        </w:rPr>
        <w:t>Sin votos disidentes o particulares.</w:t>
      </w:r>
      <w:r w:rsidRPr="00AB5B4A">
        <w:t xml:space="preserve"> Universidad Autónoma Agraria Antonio Narro. Comisionado Ponente Oscar Mauricio Guerra Ford. </w:t>
      </w:r>
    </w:p>
    <w:p w14:paraId="473096A5" w14:textId="77777777" w:rsidR="00AD179A" w:rsidRPr="00AB5B4A" w:rsidRDefault="00AD179A" w:rsidP="00AD179A">
      <w:pPr>
        <w:pStyle w:val="Citas"/>
        <w:ind w:left="1571"/>
        <w:rPr>
          <w:color w:val="000000"/>
        </w:rPr>
      </w:pPr>
      <w:r w:rsidRPr="00AB5B4A">
        <w:t xml:space="preserve">Acceso a la información pública. RRA 0540/17. Sesión del 08 de marzo del 2017. Votación por unanimidad. </w:t>
      </w:r>
      <w:r w:rsidRPr="00AB5B4A">
        <w:rPr>
          <w:rFonts w:eastAsia="Arial"/>
        </w:rPr>
        <w:t>Sin votos disidentes o particulares.</w:t>
      </w:r>
      <w:r w:rsidRPr="00AB5B4A">
        <w:t xml:space="preserve"> </w:t>
      </w:r>
      <w:r w:rsidRPr="00AB5B4A">
        <w:lastRenderedPageBreak/>
        <w:t xml:space="preserve">Secretaría de Economía. Comisionado Ponente Francisco Javier Acuña Llamas. </w:t>
      </w:r>
      <w:proofErr w:type="gramStart"/>
      <w:r w:rsidRPr="00AB5B4A">
        <w:t xml:space="preserve">“ </w:t>
      </w:r>
      <w:r w:rsidRPr="00AB5B4A">
        <w:rPr>
          <w:b/>
          <w:bCs/>
        </w:rPr>
        <w:t>(</w:t>
      </w:r>
      <w:proofErr w:type="gramEnd"/>
      <w:r w:rsidRPr="00AB5B4A">
        <w:rPr>
          <w:b/>
          <w:bCs/>
        </w:rPr>
        <w:t>Sic)</w:t>
      </w:r>
    </w:p>
    <w:p w14:paraId="2E1006FE" w14:textId="77777777" w:rsidR="00AD179A" w:rsidRPr="00785AF5" w:rsidRDefault="00AD179A" w:rsidP="00AD179A">
      <w:pPr>
        <w:pStyle w:val="Prrafodelista"/>
        <w:autoSpaceDE w:val="0"/>
        <w:autoSpaceDN w:val="0"/>
        <w:adjustRightInd w:val="0"/>
        <w:spacing w:before="240" w:line="360" w:lineRule="auto"/>
        <w:ind w:left="720"/>
        <w:jc w:val="both"/>
        <w:rPr>
          <w:rFonts w:ascii="Palatino Linotype" w:hAnsi="Palatino Linotype"/>
        </w:rPr>
      </w:pPr>
    </w:p>
    <w:p w14:paraId="37E909F4" w14:textId="77777777" w:rsidR="00AD179A" w:rsidRPr="0051062B" w:rsidRDefault="00AD179A" w:rsidP="00AD179A">
      <w:pPr>
        <w:spacing w:before="240" w:line="360" w:lineRule="auto"/>
        <w:jc w:val="both"/>
        <w:rPr>
          <w:rFonts w:ascii="Palatino Linotype" w:hAnsi="Palatino Linotype"/>
          <w:sz w:val="24"/>
          <w:szCs w:val="24"/>
        </w:rPr>
      </w:pPr>
      <w:r>
        <w:rPr>
          <w:rFonts w:ascii="Palatino Linotype" w:hAnsi="Palatino Linotype"/>
          <w:sz w:val="24"/>
          <w:szCs w:val="24"/>
        </w:rPr>
        <w:t>D</w:t>
      </w:r>
      <w:r w:rsidRPr="00A44FBE">
        <w:rPr>
          <w:rFonts w:ascii="Palatino Linotype" w:hAnsi="Palatino Linotype"/>
          <w:sz w:val="24"/>
          <w:szCs w:val="24"/>
        </w:rPr>
        <w:t xml:space="preserve">ichas precisiones, con fundamento </w:t>
      </w:r>
      <w:r w:rsidRPr="0051062B">
        <w:rPr>
          <w:rFonts w:ascii="Palatino Linotype" w:hAnsi="Palatino Linotype"/>
          <w:sz w:val="24"/>
          <w:szCs w:val="24"/>
        </w:rPr>
        <w:t xml:space="preserve">en los artículos 13 y 181 cuarto párrafo de la Ley en materia, los cuales a la letra rezan: </w:t>
      </w:r>
    </w:p>
    <w:p w14:paraId="022F9AA7" w14:textId="77777777" w:rsidR="00AD179A" w:rsidRPr="0051062B" w:rsidRDefault="00AD179A" w:rsidP="00AD179A">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774CB74E" w14:textId="77777777" w:rsidR="00AD179A" w:rsidRPr="0051062B" w:rsidRDefault="00AD179A" w:rsidP="00AD179A">
      <w:pPr>
        <w:pStyle w:val="Citas"/>
        <w:rPr>
          <w:b/>
        </w:rPr>
      </w:pPr>
      <w:r w:rsidRPr="0051062B">
        <w:rPr>
          <w:b/>
        </w:rPr>
        <w:t xml:space="preserve">Artículo 181. … </w:t>
      </w:r>
    </w:p>
    <w:p w14:paraId="552125D8" w14:textId="77777777" w:rsidR="00AD179A" w:rsidRDefault="00AD179A" w:rsidP="00AD179A">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73B5BFA2" w14:textId="77777777" w:rsidR="00AD179A" w:rsidRDefault="00AD179A" w:rsidP="00AD179A">
      <w:pPr>
        <w:spacing w:before="240" w:line="360" w:lineRule="auto"/>
        <w:jc w:val="both"/>
        <w:rPr>
          <w:rFonts w:ascii="Palatino Linotype" w:hAnsi="Palatino Linotype"/>
          <w:sz w:val="24"/>
          <w:szCs w:val="24"/>
        </w:rPr>
      </w:pPr>
    </w:p>
    <w:p w14:paraId="1E85A6D6" w14:textId="77777777" w:rsidR="00AD179A" w:rsidRPr="0017095B" w:rsidRDefault="00AD179A" w:rsidP="00AD179A">
      <w:pPr>
        <w:spacing w:before="240" w:line="360" w:lineRule="auto"/>
        <w:jc w:val="both"/>
        <w:rPr>
          <w:rFonts w:ascii="Palatino Linotype" w:hAnsi="Palatino Linotype"/>
          <w:sz w:val="24"/>
          <w:szCs w:val="24"/>
        </w:rPr>
      </w:pPr>
      <w:r w:rsidRPr="0017095B">
        <w:rPr>
          <w:rFonts w:ascii="Palatino Linotype" w:hAnsi="Palatino Linotype"/>
          <w:sz w:val="24"/>
          <w:szCs w:val="24"/>
        </w:rPr>
        <w:t xml:space="preserve">Bajo estas líneas argumentativas, al retomar y delimitar los requerimientos formulados por el ahora </w:t>
      </w:r>
      <w:r w:rsidRPr="0017095B">
        <w:rPr>
          <w:rFonts w:ascii="Palatino Linotype" w:hAnsi="Palatino Linotype"/>
          <w:b/>
          <w:bCs/>
          <w:sz w:val="24"/>
          <w:szCs w:val="24"/>
        </w:rPr>
        <w:t xml:space="preserve">Recurrente, </w:t>
      </w:r>
      <w:r w:rsidRPr="0017095B">
        <w:rPr>
          <w:rFonts w:ascii="Palatino Linotype" w:hAnsi="Palatino Linotype"/>
          <w:sz w:val="24"/>
          <w:szCs w:val="24"/>
        </w:rPr>
        <w:t xml:space="preserve">de manera objetiva se precisa que versa en conocer la siguiente información: </w:t>
      </w:r>
    </w:p>
    <w:p w14:paraId="72960DBC" w14:textId="14AA1D69" w:rsidR="00AD179A" w:rsidRPr="00AD179A" w:rsidRDefault="00AD179A" w:rsidP="00792EA8">
      <w:pPr>
        <w:pStyle w:val="Prrafodelista"/>
        <w:numPr>
          <w:ilvl w:val="0"/>
          <w:numId w:val="4"/>
        </w:numPr>
        <w:spacing w:line="360" w:lineRule="auto"/>
        <w:jc w:val="both"/>
        <w:rPr>
          <w:rFonts w:ascii="Palatino Linotype" w:hAnsi="Palatino Linotype" w:cs="Arial"/>
          <w:b/>
        </w:rPr>
      </w:pPr>
      <w:r w:rsidRPr="00AD179A">
        <w:rPr>
          <w:rFonts w:ascii="Palatino Linotype" w:hAnsi="Palatino Linotype" w:cs="Arial"/>
          <w:bCs/>
        </w:rPr>
        <w:t>El o los documentos donde conste</w:t>
      </w:r>
      <w:r w:rsidR="009746BB">
        <w:rPr>
          <w:rFonts w:ascii="Palatino Linotype" w:hAnsi="Palatino Linotype" w:cs="Arial"/>
          <w:bCs/>
        </w:rPr>
        <w:t xml:space="preserve">n </w:t>
      </w:r>
      <w:r w:rsidR="00A27C92">
        <w:rPr>
          <w:rFonts w:ascii="Palatino Linotype" w:hAnsi="Palatino Linotype" w:cs="Arial"/>
          <w:bCs/>
        </w:rPr>
        <w:t xml:space="preserve">el número de renuncias, bajas, personal despedido, personal finiquitado, del periodo comprendido del uno al treinta de enero de dos mil veinticinco. </w:t>
      </w:r>
    </w:p>
    <w:p w14:paraId="05F5490C" w14:textId="77777777" w:rsidR="00AD179A" w:rsidRDefault="00AD179A" w:rsidP="000227FF">
      <w:pPr>
        <w:spacing w:after="0" w:line="360" w:lineRule="auto"/>
        <w:jc w:val="both"/>
        <w:rPr>
          <w:rFonts w:ascii="Palatino Linotype" w:hAnsi="Palatino Linotype" w:cs="Arial"/>
          <w:b/>
          <w:sz w:val="28"/>
        </w:rPr>
      </w:pPr>
    </w:p>
    <w:p w14:paraId="6FD3BAAC" w14:textId="1586DAAB" w:rsidR="00AD179A" w:rsidRPr="00A27C92" w:rsidRDefault="00A27C92" w:rsidP="00A27C92">
      <w:pPr>
        <w:pStyle w:val="Sinespaciado"/>
        <w:spacing w:line="360" w:lineRule="auto"/>
        <w:jc w:val="both"/>
        <w:rPr>
          <w:rFonts w:ascii="Palatino Linotype" w:hAnsi="Palatino Linotype"/>
          <w:b/>
          <w:bCs/>
        </w:rPr>
      </w:pPr>
      <w:r>
        <w:rPr>
          <w:rFonts w:ascii="Palatino Linotype" w:hAnsi="Palatino Linotype" w:cs="Arial"/>
          <w:noProof/>
          <w:lang w:eastAsia="es-MX"/>
        </w:rPr>
        <w:lastRenderedPageBreak/>
        <w:drawing>
          <wp:anchor distT="0" distB="0" distL="114300" distR="114300" simplePos="0" relativeHeight="251667456" behindDoc="0" locked="0" layoutInCell="1" allowOverlap="1" wp14:anchorId="252F58C4" wp14:editId="5CA4E417">
            <wp:simplePos x="0" y="0"/>
            <wp:positionH relativeFrom="page">
              <wp:align>center</wp:align>
            </wp:positionH>
            <wp:positionV relativeFrom="paragraph">
              <wp:posOffset>1373293</wp:posOffset>
            </wp:positionV>
            <wp:extent cx="5748655" cy="3553460"/>
            <wp:effectExtent l="19050" t="19050" r="23495" b="27940"/>
            <wp:wrapThrough wrapText="bothSides">
              <wp:wrapPolygon edited="0">
                <wp:start x="-72" y="-116"/>
                <wp:lineTo x="-72" y="21654"/>
                <wp:lineTo x="21617" y="21654"/>
                <wp:lineTo x="21617" y="-116"/>
                <wp:lineTo x="-72" y="-116"/>
              </wp:wrapPolygon>
            </wp:wrapThrough>
            <wp:docPr id="198056735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8655" cy="35534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746BB">
        <w:rPr>
          <w:rFonts w:ascii="Palatino Linotype" w:hAnsi="Palatino Linotype"/>
        </w:rPr>
        <w:t xml:space="preserve">En virtud de lo anterior, a efecto de identificar a las unidades administrativas competentes para atender la solicitud de información, resulta oportuno traer a colación las siguientes imágenes ilustrativas correspondientes al organigrama del </w:t>
      </w:r>
      <w:r w:rsidR="009746BB">
        <w:rPr>
          <w:rFonts w:ascii="Palatino Linotype" w:hAnsi="Palatino Linotype"/>
          <w:b/>
          <w:bCs/>
        </w:rPr>
        <w:t>Sujeto Obligado:</w:t>
      </w:r>
    </w:p>
    <w:p w14:paraId="1A7888FC" w14:textId="78B13CF8" w:rsidR="00AD179A" w:rsidRDefault="00A27C92" w:rsidP="000227FF">
      <w:pPr>
        <w:spacing w:after="0" w:line="360" w:lineRule="auto"/>
        <w:jc w:val="both"/>
        <w:rPr>
          <w:rFonts w:ascii="Palatino Linotype" w:hAnsi="Palatino Linotype" w:cs="Arial"/>
          <w:b/>
          <w:sz w:val="28"/>
        </w:rPr>
      </w:pPr>
      <w:r>
        <w:rPr>
          <w:rFonts w:ascii="Palatino Linotype" w:hAnsi="Palatino Linotype" w:cs="Arial"/>
          <w:noProof/>
          <w:sz w:val="24"/>
          <w:szCs w:val="24"/>
          <w:lang w:eastAsia="es-MX"/>
        </w:rPr>
        <w:drawing>
          <wp:anchor distT="0" distB="0" distL="114300" distR="114300" simplePos="0" relativeHeight="251661311" behindDoc="0" locked="0" layoutInCell="1" allowOverlap="1" wp14:anchorId="7B93F2EE" wp14:editId="3CDBF077">
            <wp:simplePos x="0" y="0"/>
            <wp:positionH relativeFrom="page">
              <wp:align>center</wp:align>
            </wp:positionH>
            <wp:positionV relativeFrom="paragraph">
              <wp:posOffset>19262</wp:posOffset>
            </wp:positionV>
            <wp:extent cx="5756275" cy="3570605"/>
            <wp:effectExtent l="19050" t="19050" r="15875" b="10795"/>
            <wp:wrapThrough wrapText="bothSides">
              <wp:wrapPolygon edited="0">
                <wp:start x="-71" y="-115"/>
                <wp:lineTo x="-71" y="21550"/>
                <wp:lineTo x="21588" y="21550"/>
                <wp:lineTo x="21588" y="-115"/>
                <wp:lineTo x="-71" y="-115"/>
              </wp:wrapPolygon>
            </wp:wrapThrough>
            <wp:docPr id="17154730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275" cy="35706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CBFC3D6" w14:textId="7473E170" w:rsidR="009746BB" w:rsidRDefault="009746BB" w:rsidP="00DC4B0A">
      <w:pPr>
        <w:spacing w:after="0" w:line="360" w:lineRule="auto"/>
        <w:jc w:val="both"/>
        <w:rPr>
          <w:rFonts w:ascii="Palatino Linotype" w:hAnsi="Palatino Linotype" w:cs="Arial"/>
          <w:sz w:val="24"/>
          <w:szCs w:val="24"/>
        </w:rPr>
      </w:pPr>
    </w:p>
    <w:p w14:paraId="2E49515C" w14:textId="4B467521" w:rsidR="009746BB" w:rsidRPr="00586121" w:rsidRDefault="001C677E" w:rsidP="00DC4B0A">
      <w:pPr>
        <w:spacing w:after="0" w:line="360" w:lineRule="auto"/>
        <w:jc w:val="both"/>
        <w:rPr>
          <w:rFonts w:ascii="Palatino Linotype" w:hAnsi="Palatino Linotype" w:cs="Arial"/>
          <w:sz w:val="24"/>
          <w:szCs w:val="24"/>
        </w:rPr>
      </w:pPr>
      <w:r w:rsidRPr="00586121">
        <w:rPr>
          <w:rFonts w:ascii="Palatino Linotype" w:hAnsi="Palatino Linotype" w:cs="Arial"/>
          <w:sz w:val="24"/>
          <w:szCs w:val="24"/>
        </w:rPr>
        <w:t xml:space="preserve">De lo expuesto con anterioridad, se desprende que </w:t>
      </w:r>
      <w:r w:rsidRPr="00586121">
        <w:rPr>
          <w:rFonts w:ascii="Palatino Linotype" w:hAnsi="Palatino Linotype" w:cs="Arial"/>
          <w:b/>
          <w:sz w:val="24"/>
          <w:szCs w:val="24"/>
        </w:rPr>
        <w:t xml:space="preserve">El Sujeto Obligado </w:t>
      </w:r>
      <w:r w:rsidRPr="00586121">
        <w:rPr>
          <w:rFonts w:ascii="Palatino Linotype" w:hAnsi="Palatino Linotype" w:cs="Arial"/>
          <w:sz w:val="24"/>
          <w:szCs w:val="24"/>
        </w:rPr>
        <w:t xml:space="preserve">se auxilia de diversas Direcciones, Subdirecciones, Departamentos y Unidades Administrativas para cumplir con sus fines y objetivos, resultando de nuestro más amplio interés la </w:t>
      </w:r>
      <w:r w:rsidR="00A27C92">
        <w:rPr>
          <w:rFonts w:ascii="Palatino Linotype" w:hAnsi="Palatino Linotype" w:cs="Arial"/>
          <w:sz w:val="24"/>
          <w:szCs w:val="24"/>
        </w:rPr>
        <w:t>Coordinación administrativa</w:t>
      </w:r>
      <w:r w:rsidR="00EC6F87">
        <w:rPr>
          <w:rFonts w:ascii="Palatino Linotype" w:hAnsi="Palatino Linotype" w:cs="Arial"/>
          <w:sz w:val="24"/>
          <w:szCs w:val="24"/>
        </w:rPr>
        <w:t xml:space="preserve"> (Dirección de administración)</w:t>
      </w:r>
      <w:r w:rsidR="00A27C92">
        <w:rPr>
          <w:rFonts w:ascii="Palatino Linotype" w:hAnsi="Palatino Linotype" w:cs="Arial"/>
          <w:sz w:val="24"/>
          <w:szCs w:val="24"/>
        </w:rPr>
        <w:t xml:space="preserve">, así como la subdirección de recursos humanos. </w:t>
      </w:r>
      <w:r w:rsidRPr="00586121">
        <w:rPr>
          <w:rFonts w:ascii="Palatino Linotype" w:hAnsi="Palatino Linotype" w:cs="Arial"/>
          <w:sz w:val="24"/>
          <w:szCs w:val="24"/>
        </w:rPr>
        <w:t xml:space="preserve"> </w:t>
      </w:r>
    </w:p>
    <w:p w14:paraId="4C136D41" w14:textId="3EC8FD8E" w:rsidR="00A27C92" w:rsidRDefault="00A27C92" w:rsidP="00A27C92">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De forma complementaria, a efecto de ilustrar la esfera competencial de las unidades administrativas en cita, resulta oportuno traer a colación los artículos </w:t>
      </w:r>
      <w:r w:rsidR="00E36FE4">
        <w:rPr>
          <w:rFonts w:ascii="Palatino Linotype" w:hAnsi="Palatino Linotype" w:cs="Arial"/>
        </w:rPr>
        <w:t xml:space="preserve">64, 65 y 66 del Bando Municipal de Cuautitlán Izcalli; así como </w:t>
      </w:r>
      <w:r w:rsidR="00EC6F87">
        <w:rPr>
          <w:rFonts w:ascii="Palatino Linotype" w:hAnsi="Palatino Linotype" w:cs="Arial"/>
        </w:rPr>
        <w:t>el numeral 206 del Reglamento Interno de la Dirección de Administración del Municipio de Cuautitlán Izcalli, porciones normativas que disponen a la literalidad lo siguiente:</w:t>
      </w:r>
    </w:p>
    <w:p w14:paraId="4DCB479B" w14:textId="77962615" w:rsidR="00E36FE4" w:rsidRPr="00E36FE4" w:rsidRDefault="00E36FE4" w:rsidP="00E36FE4">
      <w:pPr>
        <w:pStyle w:val="Citas"/>
        <w:jc w:val="center"/>
        <w:rPr>
          <w:b/>
          <w:bCs/>
          <w:i w:val="0"/>
          <w:iCs/>
          <w:sz w:val="24"/>
          <w:szCs w:val="24"/>
        </w:rPr>
      </w:pPr>
      <w:r w:rsidRPr="00E36FE4">
        <w:rPr>
          <w:b/>
          <w:bCs/>
          <w:i w:val="0"/>
          <w:iCs/>
          <w:sz w:val="24"/>
          <w:szCs w:val="24"/>
        </w:rPr>
        <w:t>BANDO MUNICIPAL DE CUAUTITLÁN IZCALLI</w:t>
      </w:r>
      <w:r w:rsidR="00EC6F87">
        <w:rPr>
          <w:b/>
          <w:bCs/>
          <w:i w:val="0"/>
          <w:iCs/>
          <w:sz w:val="24"/>
          <w:szCs w:val="24"/>
        </w:rPr>
        <w:t xml:space="preserve"> 2025</w:t>
      </w:r>
    </w:p>
    <w:p w14:paraId="62623E0A" w14:textId="365554D0" w:rsidR="00F14D30" w:rsidRPr="00F14D30" w:rsidRDefault="00E36FE4" w:rsidP="00E36FE4">
      <w:pPr>
        <w:pStyle w:val="Citas"/>
      </w:pPr>
      <w:r>
        <w:t>“</w:t>
      </w:r>
      <w:r w:rsidR="00F14D30" w:rsidRPr="00F14D30">
        <w:t>Artículo 64. La Dirección de Administración es la encargada de gestionar, administrar y suministrar los recursos materiales,</w:t>
      </w:r>
      <w:r>
        <w:t xml:space="preserve"> </w:t>
      </w:r>
      <w:r w:rsidR="00F14D30" w:rsidRPr="00F14D30">
        <w:t>técnicos, humanos e informáticos de la Administración Pública Municipal.</w:t>
      </w:r>
    </w:p>
    <w:p w14:paraId="09BB2E92" w14:textId="5DC7E4F1" w:rsidR="00F14D30" w:rsidRPr="00F14D30" w:rsidRDefault="00F14D30" w:rsidP="00E36FE4">
      <w:pPr>
        <w:pStyle w:val="Citas"/>
      </w:pPr>
      <w:r w:rsidRPr="00F14D30">
        <w:t>La Dirección de Administración se regirá conforme a lo dispuesto en la Ley Orgánica, la Ley de Contratación Pública del Estado</w:t>
      </w:r>
      <w:r w:rsidR="00E36FE4">
        <w:t xml:space="preserve"> </w:t>
      </w:r>
      <w:r w:rsidRPr="00F14D30">
        <w:t>de México y Municipios; la Ley de Seguridad Social para los Servidores Públicos del Estado de México y Municipios; la Ley de</w:t>
      </w:r>
      <w:r w:rsidR="00E36FE4">
        <w:t xml:space="preserve"> </w:t>
      </w:r>
      <w:r w:rsidRPr="00F14D30">
        <w:t>Bienes del Estado de México y sus Municipios, así como lo dispuesto en las demás leyes, reglamentos, decretos, acuerdos y</w:t>
      </w:r>
      <w:r w:rsidR="00E36FE4">
        <w:t xml:space="preserve"> </w:t>
      </w:r>
      <w:r w:rsidRPr="00F14D30">
        <w:t>disposiciones, que le resulten aplicables.</w:t>
      </w:r>
    </w:p>
    <w:p w14:paraId="6CF6511B" w14:textId="77777777" w:rsidR="00F14D30" w:rsidRPr="00F14D30" w:rsidRDefault="00F14D30" w:rsidP="00E36FE4">
      <w:pPr>
        <w:pStyle w:val="Citas"/>
      </w:pPr>
      <w:r w:rsidRPr="00F14D30">
        <w:t>Artículo 65. Para ejercer sus atribuciones, la Dirección de Administración se apoyará en las siguientes áreas:</w:t>
      </w:r>
    </w:p>
    <w:p w14:paraId="4092703F" w14:textId="77777777" w:rsidR="00F14D30" w:rsidRPr="00F14D30" w:rsidRDefault="00F14D30" w:rsidP="00E36FE4">
      <w:pPr>
        <w:pStyle w:val="Citas"/>
      </w:pPr>
      <w:r w:rsidRPr="00F14D30">
        <w:t>I. Subdirección de Servicios Generales;</w:t>
      </w:r>
    </w:p>
    <w:p w14:paraId="4CE8E90B" w14:textId="77777777" w:rsidR="00F14D30" w:rsidRPr="00F14D30" w:rsidRDefault="00F14D30" w:rsidP="00E36FE4">
      <w:pPr>
        <w:pStyle w:val="Citas"/>
      </w:pPr>
      <w:r w:rsidRPr="00F14D30">
        <w:t>a) Departamento de Control Vehicular y Taller;</w:t>
      </w:r>
    </w:p>
    <w:p w14:paraId="1E4121C4" w14:textId="77777777" w:rsidR="00F14D30" w:rsidRPr="00F14D30" w:rsidRDefault="00F14D30" w:rsidP="00E36FE4">
      <w:pPr>
        <w:pStyle w:val="Citas"/>
      </w:pPr>
      <w:r w:rsidRPr="00F14D30">
        <w:t>b) Departamento de Mantenimiento y Limpieza;</w:t>
      </w:r>
    </w:p>
    <w:p w14:paraId="43B91CB7" w14:textId="77777777" w:rsidR="00F14D30" w:rsidRPr="00F14D30" w:rsidRDefault="00F14D30" w:rsidP="00E36FE4">
      <w:pPr>
        <w:pStyle w:val="Citas"/>
      </w:pPr>
      <w:r w:rsidRPr="00F14D30">
        <w:t>c) Departamento de Logística;</w:t>
      </w:r>
    </w:p>
    <w:p w14:paraId="2F8F8162" w14:textId="77777777" w:rsidR="00F14D30" w:rsidRPr="00F14D30" w:rsidRDefault="00F14D30" w:rsidP="00E36FE4">
      <w:pPr>
        <w:pStyle w:val="Citas"/>
      </w:pPr>
      <w:r w:rsidRPr="00F14D30">
        <w:lastRenderedPageBreak/>
        <w:t>II. Subdirección de Informática;</w:t>
      </w:r>
    </w:p>
    <w:p w14:paraId="2F634B78" w14:textId="77777777" w:rsidR="00F14D30" w:rsidRPr="00EC6F87" w:rsidRDefault="00F14D30" w:rsidP="00E36FE4">
      <w:pPr>
        <w:pStyle w:val="Citas"/>
        <w:rPr>
          <w:b/>
          <w:bCs/>
          <w:u w:val="single"/>
        </w:rPr>
      </w:pPr>
      <w:r w:rsidRPr="00EC6F87">
        <w:rPr>
          <w:b/>
          <w:bCs/>
          <w:u w:val="single"/>
        </w:rPr>
        <w:t>III. Subdirección de Recursos Humanos;</w:t>
      </w:r>
    </w:p>
    <w:p w14:paraId="0F52FD49" w14:textId="77777777" w:rsidR="00F14D30" w:rsidRPr="00F14D30" w:rsidRDefault="00F14D30" w:rsidP="00E36FE4">
      <w:pPr>
        <w:pStyle w:val="Citas"/>
      </w:pPr>
      <w:r w:rsidRPr="00F14D30">
        <w:t>a) Departamento de Nómina;</w:t>
      </w:r>
    </w:p>
    <w:p w14:paraId="7DCB7FF4" w14:textId="77777777" w:rsidR="00F14D30" w:rsidRPr="00F14D30" w:rsidRDefault="00F14D30" w:rsidP="00E36FE4">
      <w:pPr>
        <w:pStyle w:val="Citas"/>
      </w:pPr>
      <w:r w:rsidRPr="00F14D30">
        <w:t>b) Departamento de Capacitación y Evaluación;</w:t>
      </w:r>
    </w:p>
    <w:p w14:paraId="02F8BAD1" w14:textId="77777777" w:rsidR="00F14D30" w:rsidRPr="00F14D30" w:rsidRDefault="00F14D30" w:rsidP="00E36FE4">
      <w:pPr>
        <w:pStyle w:val="Citas"/>
      </w:pPr>
      <w:r w:rsidRPr="00F14D30">
        <w:t>IV. Subdirección de Recursos Materiales;</w:t>
      </w:r>
    </w:p>
    <w:p w14:paraId="1B238B1E" w14:textId="77777777" w:rsidR="00F14D30" w:rsidRPr="00F14D30" w:rsidRDefault="00F14D30" w:rsidP="00E36FE4">
      <w:pPr>
        <w:pStyle w:val="Citas"/>
      </w:pPr>
      <w:r w:rsidRPr="00F14D30">
        <w:t>a) Departamento de Licitaciones Públicas;</w:t>
      </w:r>
    </w:p>
    <w:p w14:paraId="3D9CB14D" w14:textId="77777777" w:rsidR="00F14D30" w:rsidRPr="00F14D30" w:rsidRDefault="00F14D30" w:rsidP="00E36FE4">
      <w:pPr>
        <w:pStyle w:val="Citas"/>
      </w:pPr>
      <w:r w:rsidRPr="00F14D30">
        <w:t>b) Departamento de Adjudicaciones;</w:t>
      </w:r>
    </w:p>
    <w:p w14:paraId="3F4AB8AE" w14:textId="77777777" w:rsidR="00F14D30" w:rsidRPr="00F14D30" w:rsidRDefault="00F14D30" w:rsidP="00E36FE4">
      <w:pPr>
        <w:pStyle w:val="Citas"/>
      </w:pPr>
      <w:r w:rsidRPr="00F14D30">
        <w:t>c) Departamento de Almacén;</w:t>
      </w:r>
    </w:p>
    <w:p w14:paraId="309BBFA8" w14:textId="77777777" w:rsidR="00F14D30" w:rsidRPr="00F14D30" w:rsidRDefault="00F14D30" w:rsidP="00E36FE4">
      <w:pPr>
        <w:pStyle w:val="Citas"/>
      </w:pPr>
      <w:r w:rsidRPr="00F14D30">
        <w:t>d) Departamento de Seguimiento de Contratos;</w:t>
      </w:r>
    </w:p>
    <w:p w14:paraId="62145EB4" w14:textId="77777777" w:rsidR="00F14D30" w:rsidRPr="00F14D30" w:rsidRDefault="00F14D30" w:rsidP="00E36FE4">
      <w:pPr>
        <w:pStyle w:val="Citas"/>
      </w:pPr>
      <w:r w:rsidRPr="00F14D30">
        <w:t>V. Departamento de Atención a Guardia Civil Municipal; y,</w:t>
      </w:r>
    </w:p>
    <w:p w14:paraId="428214F4" w14:textId="77777777" w:rsidR="00F14D30" w:rsidRPr="00F14D30" w:rsidRDefault="00F14D30" w:rsidP="00E36FE4">
      <w:pPr>
        <w:pStyle w:val="Citas"/>
      </w:pPr>
      <w:r w:rsidRPr="00F14D30">
        <w:t>VI. Departamento de Archivo; y</w:t>
      </w:r>
    </w:p>
    <w:p w14:paraId="136AAE42" w14:textId="77777777" w:rsidR="00F14D30" w:rsidRPr="00F14D30" w:rsidRDefault="00F14D30" w:rsidP="00E36FE4">
      <w:pPr>
        <w:pStyle w:val="Citas"/>
      </w:pPr>
      <w:r w:rsidRPr="00F14D30">
        <w:t>VII. Enlace Administrativo.</w:t>
      </w:r>
    </w:p>
    <w:p w14:paraId="6D14B600" w14:textId="58A6CD09" w:rsidR="00D346C6" w:rsidRDefault="00F14D30" w:rsidP="00E36FE4">
      <w:pPr>
        <w:pStyle w:val="Citas"/>
      </w:pPr>
      <w:r w:rsidRPr="00F14D30">
        <w:t>Artículo 66. Son atribuciones de la Dirección de Administración, las siguientes</w:t>
      </w:r>
      <w:r w:rsidR="00E36FE4">
        <w:t>:</w:t>
      </w:r>
      <w:r>
        <w:t xml:space="preserve"> </w:t>
      </w:r>
    </w:p>
    <w:p w14:paraId="609E082E" w14:textId="77777777" w:rsidR="00E36FE4" w:rsidRDefault="00E36FE4" w:rsidP="00E36FE4">
      <w:pPr>
        <w:pStyle w:val="Citas"/>
      </w:pPr>
      <w:r>
        <w:t>I. Vigilar el cumplimiento de las disposiciones legales que regulen las relaciones laborales entre la Administración Pública Municipal Centralizada y las personas servidoras públicas adscritas;</w:t>
      </w:r>
    </w:p>
    <w:p w14:paraId="29ACB7DC" w14:textId="77777777" w:rsidR="00E36FE4" w:rsidRDefault="00E36FE4" w:rsidP="00E36FE4">
      <w:pPr>
        <w:pStyle w:val="Citas"/>
      </w:pPr>
      <w:r>
        <w:t>(…)</w:t>
      </w:r>
    </w:p>
    <w:p w14:paraId="62164305" w14:textId="77777777" w:rsidR="00E36FE4" w:rsidRPr="00E36FE4" w:rsidRDefault="00E36FE4" w:rsidP="00E36FE4">
      <w:pPr>
        <w:pStyle w:val="Citas"/>
        <w:rPr>
          <w:b/>
          <w:bCs/>
          <w:u w:val="single"/>
        </w:rPr>
      </w:pPr>
      <w:r w:rsidRPr="00E36FE4">
        <w:rPr>
          <w:b/>
          <w:bCs/>
          <w:u w:val="single"/>
        </w:rPr>
        <w:lastRenderedPageBreak/>
        <w:t>III. Poner a consideración de la persona titular de la Presidencia Municipal, los nombramientos, tabuladores de sueldos, renuncias, licencias y jubilaciones de las personas servidoras públicas de la Administración Pública Municipal Centralizada, atendiendo a la normativa aplicable, con excepción de aquellas cuyo nombramiento sea determinado de manera distinta por otras disposiciones jurídicas vigentes;</w:t>
      </w:r>
    </w:p>
    <w:p w14:paraId="0B15F754" w14:textId="77777777" w:rsidR="00E36FE4" w:rsidRDefault="00E36FE4" w:rsidP="00E36FE4">
      <w:pPr>
        <w:pStyle w:val="Citas"/>
      </w:pPr>
      <w:r>
        <w:t>IV. Coordinar la integración del presupuesto del capítulo 1000 Servicios Personales y llevar el seguimiento de su ejercicio;</w:t>
      </w:r>
    </w:p>
    <w:p w14:paraId="64BE0331" w14:textId="77777777" w:rsidR="00E36FE4" w:rsidRDefault="00E36FE4" w:rsidP="00E36FE4">
      <w:pPr>
        <w:pStyle w:val="Citas"/>
      </w:pPr>
      <w:r>
        <w:t>(…)</w:t>
      </w:r>
    </w:p>
    <w:p w14:paraId="119E10EE" w14:textId="214CE240" w:rsidR="00E36FE4" w:rsidRDefault="00E36FE4" w:rsidP="00E36FE4">
      <w:pPr>
        <w:pStyle w:val="Citas"/>
        <w:rPr>
          <w:b/>
          <w:bCs/>
        </w:rPr>
      </w:pPr>
      <w:r>
        <w:t xml:space="preserve">XXXI. Las demás que deriven de otros ordenamientos legales aplicables o le sean encomendados en el área de su competencia por la persona titular de la Presidencia Municipal.” </w:t>
      </w:r>
      <w:r>
        <w:rPr>
          <w:b/>
          <w:bCs/>
        </w:rPr>
        <w:t>(Sic)</w:t>
      </w:r>
    </w:p>
    <w:p w14:paraId="4C0410BC" w14:textId="77777777" w:rsidR="00E36FE4" w:rsidRDefault="00E36FE4" w:rsidP="00E36FE4">
      <w:pPr>
        <w:pStyle w:val="Citas"/>
        <w:rPr>
          <w:b/>
          <w:bCs/>
        </w:rPr>
      </w:pPr>
    </w:p>
    <w:p w14:paraId="3105B58F" w14:textId="5BE5DEA3" w:rsidR="00E36FE4" w:rsidRPr="00EC6F87" w:rsidRDefault="00E36FE4" w:rsidP="00E36FE4">
      <w:pPr>
        <w:pStyle w:val="Citas"/>
        <w:rPr>
          <w:b/>
          <w:bCs/>
          <w:i w:val="0"/>
          <w:iCs/>
        </w:rPr>
      </w:pPr>
      <w:r w:rsidRPr="00EC6F87">
        <w:rPr>
          <w:b/>
          <w:bCs/>
          <w:i w:val="0"/>
          <w:iCs/>
        </w:rPr>
        <w:t>REGLAMENTO INTERNO DE LA DIRECCIÓN DE ADMINISTRACIÓN DEL MUNICIPIO DE CUAUTITLÁN IZCALLI, ESTADO DE MÉXICO</w:t>
      </w:r>
    </w:p>
    <w:p w14:paraId="6A768E1F" w14:textId="51D667B4" w:rsidR="00E36FE4" w:rsidRPr="00EC6F87" w:rsidRDefault="00EC6F87" w:rsidP="00EC6F87">
      <w:pPr>
        <w:pStyle w:val="Citas"/>
      </w:pPr>
      <w:r w:rsidRPr="00EC6F87">
        <w:t>“</w:t>
      </w:r>
      <w:r w:rsidR="00E36FE4" w:rsidRPr="00EC6F87">
        <w:t>Artículo 206.- La persona titular de la Subdirección de Recursos Humanos, tendrá las siguientes atribuciones:</w:t>
      </w:r>
    </w:p>
    <w:p w14:paraId="475DC24D" w14:textId="1339705A" w:rsidR="00EC6F87" w:rsidRPr="00EC6F87" w:rsidRDefault="00EC6F87" w:rsidP="00EC6F87">
      <w:pPr>
        <w:pStyle w:val="Citas"/>
      </w:pPr>
      <w:r w:rsidRPr="00EC6F87">
        <w:t>(…)</w:t>
      </w:r>
    </w:p>
    <w:p w14:paraId="1977362C" w14:textId="44CD16A3" w:rsidR="00E36FE4" w:rsidRPr="00EC6F87" w:rsidRDefault="00E36FE4" w:rsidP="00EC6F87">
      <w:pPr>
        <w:pStyle w:val="Citas"/>
      </w:pPr>
      <w:r w:rsidRPr="00EC6F87">
        <w:lastRenderedPageBreak/>
        <w:t>IV. Aplicar la creación de plazas laborales previamente autorizadas para atender</w:t>
      </w:r>
      <w:r w:rsidR="00EC6F87" w:rsidRPr="00EC6F87">
        <w:t xml:space="preserve"> </w:t>
      </w:r>
      <w:r w:rsidRPr="00EC6F87">
        <w:t>las necesidades del servicio público de acuerdo con el presupuesto y</w:t>
      </w:r>
      <w:r w:rsidR="00EC6F87" w:rsidRPr="00EC6F87">
        <w:t xml:space="preserve"> </w:t>
      </w:r>
      <w:r w:rsidRPr="00EC6F87">
        <w:t>organigrama autorizado;</w:t>
      </w:r>
    </w:p>
    <w:p w14:paraId="3074611D" w14:textId="1DC0E85B" w:rsidR="00E36FE4" w:rsidRPr="00EC6F87" w:rsidRDefault="00E36FE4" w:rsidP="00EC6F87">
      <w:pPr>
        <w:pStyle w:val="Citas"/>
      </w:pPr>
      <w:r w:rsidRPr="00EC6F87">
        <w:t>V. Dirigir los procesos para seleccionar, contratar y capacitar al personal de la</w:t>
      </w:r>
      <w:r w:rsidR="00EC6F87" w:rsidRPr="00EC6F87">
        <w:t xml:space="preserve"> </w:t>
      </w:r>
      <w:r w:rsidRPr="00EC6F87">
        <w:t>Administración Pública Municipal;</w:t>
      </w:r>
    </w:p>
    <w:p w14:paraId="6B1B26AA" w14:textId="286CC543" w:rsidR="00E36FE4" w:rsidRPr="00EC6F87" w:rsidRDefault="00E36FE4" w:rsidP="00EC6F87">
      <w:pPr>
        <w:pStyle w:val="Citas"/>
      </w:pPr>
      <w:r w:rsidRPr="00EC6F87">
        <w:t>(…)</w:t>
      </w:r>
    </w:p>
    <w:p w14:paraId="5A03A633" w14:textId="43AC53B1" w:rsidR="00E36FE4" w:rsidRPr="00EC6F87" w:rsidRDefault="00E36FE4" w:rsidP="00EC6F87">
      <w:pPr>
        <w:pStyle w:val="Citas"/>
      </w:pPr>
      <w:r w:rsidRPr="00EC6F87">
        <w:t>VIII. Aplicar los movimientos de personal de la Administración Pública Municipal, dependencias y órganos desconcentrados</w:t>
      </w:r>
    </w:p>
    <w:p w14:paraId="16E6FC44" w14:textId="2E791D83" w:rsidR="00E36FE4" w:rsidRPr="00EC6F87" w:rsidRDefault="00E36FE4" w:rsidP="00EC6F87">
      <w:pPr>
        <w:pStyle w:val="Citas"/>
      </w:pPr>
      <w:r w:rsidRPr="00EC6F87">
        <w:t>(…)</w:t>
      </w:r>
    </w:p>
    <w:p w14:paraId="502E9E58" w14:textId="6EB6B2E5" w:rsidR="00E36FE4" w:rsidRPr="00EC6F87" w:rsidRDefault="00E36FE4" w:rsidP="00EC6F87">
      <w:pPr>
        <w:pStyle w:val="Citas"/>
        <w:rPr>
          <w:b/>
          <w:bCs/>
          <w:u w:val="single"/>
        </w:rPr>
      </w:pPr>
      <w:r w:rsidRPr="00EC6F87">
        <w:rPr>
          <w:b/>
          <w:bCs/>
          <w:u w:val="single"/>
        </w:rPr>
        <w:t>XVI. Supervisar el registro de movimientos de altas y bajas de las personas</w:t>
      </w:r>
      <w:r w:rsidR="00EC6F87" w:rsidRPr="00EC6F87">
        <w:rPr>
          <w:b/>
          <w:bCs/>
          <w:u w:val="single"/>
        </w:rPr>
        <w:t xml:space="preserve"> </w:t>
      </w:r>
      <w:r w:rsidRPr="00EC6F87">
        <w:rPr>
          <w:b/>
          <w:bCs/>
          <w:u w:val="single"/>
        </w:rPr>
        <w:t>servidoras públicas municipales para presentar la declaración en el Sistema</w:t>
      </w:r>
      <w:r w:rsidR="00EC6F87" w:rsidRPr="00EC6F87">
        <w:rPr>
          <w:b/>
          <w:bCs/>
          <w:u w:val="single"/>
        </w:rPr>
        <w:t xml:space="preserve"> </w:t>
      </w:r>
      <w:r w:rsidRPr="00EC6F87">
        <w:rPr>
          <w:b/>
          <w:bCs/>
          <w:u w:val="single"/>
        </w:rPr>
        <w:t>de Evolución Patrimonial y de Intereses de la Secretaría de la Contraloría del</w:t>
      </w:r>
      <w:r w:rsidR="00EC6F87" w:rsidRPr="00EC6F87">
        <w:rPr>
          <w:b/>
          <w:bCs/>
          <w:u w:val="single"/>
        </w:rPr>
        <w:t xml:space="preserve"> </w:t>
      </w:r>
      <w:r w:rsidRPr="00EC6F87">
        <w:rPr>
          <w:b/>
          <w:bCs/>
          <w:u w:val="single"/>
        </w:rPr>
        <w:t>Gobierno del Estado de México</w:t>
      </w:r>
    </w:p>
    <w:p w14:paraId="2C881DF6" w14:textId="3659A6BE" w:rsidR="00E36FE4" w:rsidRPr="00EC6F87" w:rsidRDefault="00E36FE4" w:rsidP="00EC6F87">
      <w:pPr>
        <w:pStyle w:val="Citas"/>
      </w:pPr>
      <w:r w:rsidRPr="00EC6F87">
        <w:t>(…)</w:t>
      </w:r>
    </w:p>
    <w:p w14:paraId="4FEF5FBC" w14:textId="74D20092" w:rsidR="00E36FE4" w:rsidRPr="00EC6F87" w:rsidRDefault="00EC6F87" w:rsidP="00EC6F87">
      <w:pPr>
        <w:pStyle w:val="Citas"/>
        <w:rPr>
          <w:b/>
          <w:bCs/>
          <w:u w:val="single"/>
        </w:rPr>
      </w:pPr>
      <w:r w:rsidRPr="00EC6F87">
        <w:rPr>
          <w:b/>
          <w:bCs/>
          <w:u w:val="single"/>
        </w:rPr>
        <w:t>XXI. Resguardar los recibos firmados por cada pago de nómina o cualquier pago relacionado con servicios personales que se haga a las personas servidoras públicas;</w:t>
      </w:r>
    </w:p>
    <w:p w14:paraId="0A49DEC7" w14:textId="382D616C" w:rsidR="00EC6F87" w:rsidRPr="00EC6F87" w:rsidRDefault="00EC6F87" w:rsidP="00EC6F87">
      <w:pPr>
        <w:pStyle w:val="Citas"/>
        <w:rPr>
          <w:b/>
          <w:bCs/>
        </w:rPr>
      </w:pPr>
      <w:r>
        <w:t xml:space="preserve">(…)” </w:t>
      </w:r>
      <w:r>
        <w:rPr>
          <w:b/>
          <w:bCs/>
        </w:rPr>
        <w:t>(Sic)</w:t>
      </w:r>
    </w:p>
    <w:p w14:paraId="67A377C0" w14:textId="77777777" w:rsidR="00F14D30" w:rsidRDefault="00F14D30" w:rsidP="00F14D30">
      <w:pPr>
        <w:pStyle w:val="Citas"/>
        <w:rPr>
          <w:b/>
          <w:bCs/>
          <w:i w:val="0"/>
          <w:iCs/>
        </w:rPr>
      </w:pPr>
    </w:p>
    <w:p w14:paraId="3AE7F5DE" w14:textId="34725EAC" w:rsidR="00EC6F87" w:rsidRPr="00EC6F87" w:rsidRDefault="00EC6F87" w:rsidP="00EC6F87">
      <w:pPr>
        <w:spacing w:line="360" w:lineRule="auto"/>
        <w:jc w:val="both"/>
        <w:rPr>
          <w:rFonts w:ascii="Palatino Linotype" w:hAnsi="Palatino Linotype"/>
          <w:bCs/>
          <w:sz w:val="24"/>
          <w:szCs w:val="24"/>
        </w:rPr>
      </w:pPr>
      <w:r w:rsidRPr="00EC6F87">
        <w:rPr>
          <w:rFonts w:ascii="Palatino Linotype" w:hAnsi="Palatino Linotype"/>
          <w:bCs/>
          <w:sz w:val="24"/>
          <w:szCs w:val="24"/>
        </w:rPr>
        <w:lastRenderedPageBreak/>
        <w:t>De ahí que deba arribarse a la premisa de que la Dirección de Administración y la Subdirección de Recursos Humanos se encargan de regular diversas aristas de los servidores públicos, tales como:</w:t>
      </w:r>
    </w:p>
    <w:p w14:paraId="638C8ADC" w14:textId="64BA1417" w:rsidR="00F14D30" w:rsidRPr="00EC6F87" w:rsidRDefault="00EC6F87" w:rsidP="00792EA8">
      <w:pPr>
        <w:pStyle w:val="Citas"/>
        <w:numPr>
          <w:ilvl w:val="0"/>
          <w:numId w:val="7"/>
        </w:numPr>
        <w:rPr>
          <w:b/>
          <w:bCs/>
          <w:i w:val="0"/>
          <w:iCs/>
          <w:sz w:val="24"/>
          <w:szCs w:val="24"/>
          <w:u w:val="single"/>
        </w:rPr>
      </w:pPr>
      <w:r w:rsidRPr="00EC6F87">
        <w:rPr>
          <w:b/>
          <w:bCs/>
          <w:i w:val="0"/>
          <w:iCs/>
          <w:sz w:val="24"/>
          <w:szCs w:val="24"/>
          <w:u w:val="single"/>
        </w:rPr>
        <w:t>Movimientos de personal (altas, bajas, permisos, licencias, vacaciones, otros)</w:t>
      </w:r>
    </w:p>
    <w:p w14:paraId="431F068B" w14:textId="1162150F" w:rsidR="00EC6F87" w:rsidRPr="00EC6F87" w:rsidRDefault="00EC6F87" w:rsidP="00792EA8">
      <w:pPr>
        <w:pStyle w:val="Citas"/>
        <w:numPr>
          <w:ilvl w:val="0"/>
          <w:numId w:val="7"/>
        </w:numPr>
        <w:rPr>
          <w:i w:val="0"/>
          <w:iCs/>
          <w:sz w:val="24"/>
          <w:szCs w:val="24"/>
        </w:rPr>
      </w:pPr>
      <w:r w:rsidRPr="00EC6F87">
        <w:rPr>
          <w:i w:val="0"/>
          <w:iCs/>
          <w:sz w:val="24"/>
          <w:szCs w:val="24"/>
        </w:rPr>
        <w:t>Pago de remuneraciones</w:t>
      </w:r>
    </w:p>
    <w:p w14:paraId="64D69CB2" w14:textId="43027761" w:rsidR="00EC6F87" w:rsidRPr="00EC6F87" w:rsidRDefault="00EC6F87" w:rsidP="00792EA8">
      <w:pPr>
        <w:pStyle w:val="Citas"/>
        <w:numPr>
          <w:ilvl w:val="0"/>
          <w:numId w:val="7"/>
        </w:numPr>
        <w:rPr>
          <w:i w:val="0"/>
          <w:iCs/>
          <w:sz w:val="24"/>
          <w:szCs w:val="24"/>
        </w:rPr>
      </w:pPr>
      <w:r w:rsidRPr="00EC6F87">
        <w:rPr>
          <w:i w:val="0"/>
          <w:iCs/>
          <w:sz w:val="24"/>
          <w:szCs w:val="24"/>
        </w:rPr>
        <w:t>Integración y actualización de expedientes personales</w:t>
      </w:r>
    </w:p>
    <w:p w14:paraId="3C5CB87D" w14:textId="6B08CF9C" w:rsidR="00EC6F87" w:rsidRPr="00EC6F87" w:rsidRDefault="00EC6F87" w:rsidP="00792EA8">
      <w:pPr>
        <w:pStyle w:val="Citas"/>
        <w:numPr>
          <w:ilvl w:val="0"/>
          <w:numId w:val="7"/>
        </w:numPr>
        <w:rPr>
          <w:i w:val="0"/>
          <w:iCs/>
          <w:sz w:val="24"/>
          <w:szCs w:val="24"/>
        </w:rPr>
      </w:pPr>
      <w:r w:rsidRPr="00EC6F87">
        <w:rPr>
          <w:i w:val="0"/>
          <w:iCs/>
          <w:sz w:val="24"/>
          <w:szCs w:val="24"/>
        </w:rPr>
        <w:t xml:space="preserve">Formalización de relaciones laborales </w:t>
      </w:r>
    </w:p>
    <w:p w14:paraId="596889DD" w14:textId="34B526A0" w:rsidR="00EC6F87" w:rsidRPr="00EC6F87" w:rsidRDefault="00EC6F87" w:rsidP="00792EA8">
      <w:pPr>
        <w:pStyle w:val="Citas"/>
        <w:numPr>
          <w:ilvl w:val="0"/>
          <w:numId w:val="7"/>
        </w:numPr>
        <w:rPr>
          <w:b/>
          <w:bCs/>
          <w:i w:val="0"/>
          <w:iCs/>
          <w:sz w:val="24"/>
          <w:szCs w:val="24"/>
          <w:u w:val="single"/>
        </w:rPr>
      </w:pPr>
      <w:r w:rsidRPr="00EC6F87">
        <w:rPr>
          <w:b/>
          <w:bCs/>
          <w:i w:val="0"/>
          <w:iCs/>
          <w:sz w:val="24"/>
          <w:szCs w:val="24"/>
          <w:u w:val="single"/>
        </w:rPr>
        <w:t xml:space="preserve">Resguardar recibos por pago de nómina o cualquier pago relacionado con servicios personales </w:t>
      </w:r>
    </w:p>
    <w:p w14:paraId="2AC43DDB" w14:textId="77777777" w:rsidR="00F14D30" w:rsidRDefault="00F14D30" w:rsidP="00A27C92">
      <w:pPr>
        <w:pStyle w:val="Citas"/>
        <w:rPr>
          <w:b/>
          <w:bCs/>
          <w:i w:val="0"/>
          <w:iCs/>
        </w:rPr>
      </w:pPr>
    </w:p>
    <w:p w14:paraId="7F4D928F" w14:textId="2357E8F3" w:rsidR="00496523" w:rsidRDefault="00ED1652" w:rsidP="00496523">
      <w:pPr>
        <w:spacing w:line="360" w:lineRule="auto"/>
        <w:jc w:val="both"/>
        <w:rPr>
          <w:rFonts w:ascii="Palatino Linotype" w:hAnsi="Palatino Linotype" w:cs="Arial"/>
          <w:sz w:val="24"/>
          <w:szCs w:val="24"/>
        </w:rPr>
      </w:pPr>
      <w:r>
        <w:rPr>
          <w:rFonts w:ascii="Palatino Linotype" w:hAnsi="Palatino Linotype" w:cs="Arial"/>
          <w:sz w:val="24"/>
          <w:szCs w:val="24"/>
        </w:rPr>
        <w:t>Bajo este contexto, en términos de los numerales</w:t>
      </w:r>
      <w:r w:rsidR="00496523">
        <w:rPr>
          <w:rFonts w:ascii="Palatino Linotype" w:hAnsi="Palatino Linotype" w:cs="Arial"/>
          <w:sz w:val="24"/>
          <w:szCs w:val="24"/>
        </w:rPr>
        <w:t xml:space="preserve">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5DFC7800" w14:textId="77777777" w:rsidR="00496523" w:rsidRDefault="00496523" w:rsidP="00496523">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3994822D" w14:textId="77777777" w:rsidR="00496523" w:rsidRDefault="00496523" w:rsidP="00496523">
      <w:pPr>
        <w:pStyle w:val="Citas"/>
      </w:pPr>
      <w:r>
        <w:lastRenderedPageBreak/>
        <w:t xml:space="preserve">Artículo 19. Se presume que la información debe existir si se refiere a las facultades, competencias y funciones que los ordenamientos jurídicos aplicables otorgan a los sujetos obligados. </w:t>
      </w:r>
    </w:p>
    <w:p w14:paraId="1152BA96" w14:textId="77777777" w:rsidR="00496523" w:rsidRDefault="00496523" w:rsidP="00496523">
      <w:pPr>
        <w:pStyle w:val="Citas"/>
      </w:pPr>
      <w:r>
        <w:t xml:space="preserve">En los casos en que ciertas facultades, competencias o funciones no se hayan ejercido, se debe motivar la respuesta en función de las causas que motiven tal circunstancia. </w:t>
      </w:r>
    </w:p>
    <w:p w14:paraId="2DCCD5D9" w14:textId="77777777" w:rsidR="00496523" w:rsidRPr="00407C65" w:rsidRDefault="00496523" w:rsidP="00496523">
      <w:pPr>
        <w:pStyle w:val="Citas"/>
        <w:rPr>
          <w:b/>
          <w:bCs/>
          <w:sz w:val="24"/>
          <w:szCs w:val="24"/>
        </w:rPr>
      </w:pPr>
      <w: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Pr>
          <w:b/>
          <w:bCs/>
        </w:rPr>
        <w:t>(Sic)</w:t>
      </w:r>
    </w:p>
    <w:p w14:paraId="767F3400" w14:textId="77777777" w:rsidR="00496523" w:rsidRDefault="00496523" w:rsidP="00496523">
      <w:pPr>
        <w:pStyle w:val="Prrafodelista"/>
        <w:autoSpaceDE w:val="0"/>
        <w:autoSpaceDN w:val="0"/>
        <w:adjustRightInd w:val="0"/>
        <w:spacing w:before="240" w:after="160" w:line="360" w:lineRule="auto"/>
        <w:ind w:left="0"/>
        <w:jc w:val="both"/>
        <w:rPr>
          <w:rFonts w:ascii="Palatino Linotype" w:hAnsi="Palatino Linotype"/>
        </w:rPr>
      </w:pPr>
      <w:r w:rsidRPr="00ED1652">
        <w:rPr>
          <w:rFonts w:ascii="Palatino Linotype" w:hAnsi="Palatino Linotype"/>
        </w:rPr>
        <w:t xml:space="preserve">Una vez sentado lo anterior, como se mencionó en el antecedente segundo </w:t>
      </w:r>
      <w:r w:rsidRPr="00ED1652">
        <w:rPr>
          <w:rFonts w:ascii="Palatino Linotype" w:hAnsi="Palatino Linotype"/>
          <w:b/>
          <w:bCs/>
        </w:rPr>
        <w:t xml:space="preserve">El Sujeto Obligado </w:t>
      </w:r>
      <w:r w:rsidRPr="00ED1652">
        <w:rPr>
          <w:rFonts w:ascii="Palatino Linotype" w:hAnsi="Palatino Linotype"/>
        </w:rPr>
        <w:t>rindió su respuesta en los siguientes términos:</w:t>
      </w:r>
    </w:p>
    <w:p w14:paraId="20B368F1" w14:textId="5D2B3663" w:rsidR="00AB205C" w:rsidRPr="00F325DB" w:rsidRDefault="00ED1652" w:rsidP="00792EA8">
      <w:pPr>
        <w:pStyle w:val="Prrafodelista"/>
        <w:numPr>
          <w:ilvl w:val="0"/>
          <w:numId w:val="5"/>
        </w:numPr>
        <w:spacing w:line="360" w:lineRule="auto"/>
        <w:jc w:val="both"/>
        <w:rPr>
          <w:rFonts w:ascii="Palatino Linotype" w:hAnsi="Palatino Linotype"/>
          <w:b/>
          <w:bCs/>
        </w:rPr>
      </w:pPr>
      <w:r w:rsidRPr="00ED1652">
        <w:rPr>
          <w:rFonts w:ascii="Palatino Linotype" w:hAnsi="Palatino Linotype"/>
          <w:b/>
          <w:bCs/>
        </w:rPr>
        <w:t>“</w:t>
      </w:r>
      <w:r w:rsidR="00EC6F87">
        <w:rPr>
          <w:rFonts w:ascii="Palatino Linotype" w:hAnsi="Palatino Linotype"/>
          <w:b/>
          <w:bCs/>
        </w:rPr>
        <w:t xml:space="preserve">RESPUESTA 393.pdf”: </w:t>
      </w:r>
      <w:r w:rsidR="00EC6F87">
        <w:rPr>
          <w:rFonts w:ascii="Palatino Linotype" w:hAnsi="Palatino Linotype"/>
        </w:rPr>
        <w:t xml:space="preserve">Oficio número </w:t>
      </w:r>
      <w:r w:rsidR="00EC6F87">
        <w:rPr>
          <w:rFonts w:ascii="Palatino Linotype" w:hAnsi="Palatino Linotype"/>
          <w:b/>
          <w:bCs/>
        </w:rPr>
        <w:t xml:space="preserve">DA/1078/2025 </w:t>
      </w:r>
      <w:r w:rsidR="00EC6F87">
        <w:rPr>
          <w:rFonts w:ascii="Palatino Linotype" w:hAnsi="Palatino Linotype"/>
        </w:rPr>
        <w:t xml:space="preserve">signado por el director de administración, dirigido a la coordinadora de transparencia, de fecha trece de febrero de dos mil veinticinco, </w:t>
      </w:r>
      <w:r w:rsidR="00AB205C">
        <w:rPr>
          <w:rFonts w:ascii="Palatino Linotype" w:hAnsi="Palatino Linotype"/>
        </w:rPr>
        <w:t xml:space="preserve">en términos generales </w:t>
      </w:r>
      <w:r w:rsidR="00F325DB">
        <w:rPr>
          <w:rFonts w:ascii="Palatino Linotype" w:hAnsi="Palatino Linotype"/>
        </w:rPr>
        <w:t>resulta de nuestro interés el siguiente extracto:</w:t>
      </w:r>
    </w:p>
    <w:p w14:paraId="6C88F542" w14:textId="4ED61CE6" w:rsidR="00F325DB" w:rsidRDefault="00F325DB" w:rsidP="00F325DB">
      <w:pPr>
        <w:pStyle w:val="Prrafodelista"/>
        <w:spacing w:line="360" w:lineRule="auto"/>
        <w:ind w:left="720"/>
        <w:jc w:val="both"/>
        <w:rPr>
          <w:rFonts w:ascii="Palatino Linotype" w:hAnsi="Palatino Linotype"/>
          <w:i/>
          <w:iCs/>
        </w:rPr>
      </w:pPr>
      <w:r>
        <w:rPr>
          <w:rFonts w:ascii="Palatino Linotype" w:hAnsi="Palatino Linotype"/>
          <w:i/>
          <w:iCs/>
        </w:rPr>
        <w:t>“(…) se hace del conocimiento al particular que son 51 renuncias y 188 bajas de personal, en el periodo comprendido del primero al treinta de enero de dos mil veinticinco. Asimismo, se informa que del primero al treinta de enero de dos mil veinticinco, no se realizaron pagos por concepto de finiquito.</w:t>
      </w:r>
    </w:p>
    <w:p w14:paraId="5FC0EA5A" w14:textId="417FC6B7" w:rsidR="00F325DB" w:rsidRPr="00F325DB" w:rsidRDefault="00F325DB" w:rsidP="00F325DB">
      <w:pPr>
        <w:pStyle w:val="Prrafodelista"/>
        <w:spacing w:line="360" w:lineRule="auto"/>
        <w:ind w:left="720"/>
        <w:jc w:val="both"/>
        <w:rPr>
          <w:rFonts w:ascii="Palatino Linotype" w:hAnsi="Palatino Linotype"/>
          <w:b/>
          <w:bCs/>
          <w:i/>
          <w:iCs/>
        </w:rPr>
      </w:pPr>
      <w:r>
        <w:rPr>
          <w:rFonts w:ascii="Palatino Linotype" w:hAnsi="Palatino Linotype"/>
          <w:i/>
          <w:iCs/>
        </w:rPr>
        <w:t xml:space="preserve">Así también, se hace de su conocimiento que después de una búsqueda exhaustiva y razonable en las bases de datos, los archivos documentales y digitales que se encuentran en esta unidad administrativa, no existen constancias y/o registros que aludan a la </w:t>
      </w:r>
      <w:r>
        <w:rPr>
          <w:rFonts w:ascii="Palatino Linotype" w:hAnsi="Palatino Linotype"/>
          <w:i/>
          <w:iCs/>
        </w:rPr>
        <w:lastRenderedPageBreak/>
        <w:t xml:space="preserve">liquidación o despido de servidores públicos del Gobierno Municipal de Cuautitlán Izcalli” </w:t>
      </w:r>
      <w:r>
        <w:rPr>
          <w:rFonts w:ascii="Palatino Linotype" w:hAnsi="Palatino Linotype"/>
          <w:b/>
          <w:bCs/>
          <w:i/>
          <w:iCs/>
        </w:rPr>
        <w:t>(Sic)</w:t>
      </w:r>
    </w:p>
    <w:p w14:paraId="60014DCE" w14:textId="77777777" w:rsidR="00496523" w:rsidRDefault="00496523" w:rsidP="000227FF">
      <w:pPr>
        <w:spacing w:after="0" w:line="360" w:lineRule="auto"/>
        <w:jc w:val="both"/>
        <w:rPr>
          <w:rFonts w:ascii="Palatino Linotype" w:eastAsia="Times New Roman" w:hAnsi="Palatino Linotype" w:cs="Times New Roman"/>
          <w:sz w:val="24"/>
          <w:szCs w:val="24"/>
          <w:lang w:val="es-ES" w:eastAsia="es-ES"/>
        </w:rPr>
      </w:pPr>
    </w:p>
    <w:p w14:paraId="50F8FEEF" w14:textId="2ABD3339" w:rsidR="00ED1652" w:rsidRDefault="00ED1652" w:rsidP="00ED1652">
      <w:pPr>
        <w:spacing w:before="240" w:line="360" w:lineRule="auto"/>
        <w:jc w:val="both"/>
        <w:rPr>
          <w:rFonts w:ascii="Palatino Linotype" w:hAnsi="Palatino Linotype"/>
          <w:sz w:val="24"/>
          <w:szCs w:val="24"/>
        </w:rPr>
      </w:pPr>
      <w:r>
        <w:rPr>
          <w:rFonts w:ascii="Palatino Linotype" w:hAnsi="Palatino Linotype"/>
          <w:sz w:val="24"/>
          <w:szCs w:val="24"/>
        </w:rPr>
        <w:t xml:space="preserve">Inconforme con la respuesta del </w:t>
      </w:r>
      <w:r>
        <w:rPr>
          <w:rFonts w:ascii="Palatino Linotype" w:hAnsi="Palatino Linotype"/>
          <w:b/>
          <w:bCs/>
          <w:sz w:val="24"/>
          <w:szCs w:val="24"/>
        </w:rPr>
        <w:t xml:space="preserve">Sujeto Obligado, El Recurrente </w:t>
      </w:r>
      <w:r>
        <w:rPr>
          <w:rFonts w:ascii="Palatino Linotype" w:hAnsi="Palatino Linotype"/>
          <w:sz w:val="24"/>
          <w:szCs w:val="24"/>
        </w:rPr>
        <w:t xml:space="preserve">interpuso recurso de revisión en fecha </w:t>
      </w:r>
      <w:r w:rsidR="00F325DB">
        <w:rPr>
          <w:rFonts w:ascii="Palatino Linotype" w:hAnsi="Palatino Linotype"/>
          <w:b/>
          <w:bCs/>
          <w:sz w:val="24"/>
          <w:szCs w:val="24"/>
        </w:rPr>
        <w:t xml:space="preserve">diez de marzo, </w:t>
      </w:r>
      <w:r w:rsidR="00F325DB">
        <w:rPr>
          <w:rFonts w:ascii="Palatino Linotype" w:hAnsi="Palatino Linotype"/>
          <w:sz w:val="24"/>
          <w:szCs w:val="24"/>
        </w:rPr>
        <w:t xml:space="preserve">admitiéndose el </w:t>
      </w:r>
      <w:r w:rsidR="00F325DB">
        <w:rPr>
          <w:rFonts w:ascii="Palatino Linotype" w:hAnsi="Palatino Linotype"/>
          <w:b/>
          <w:bCs/>
          <w:sz w:val="24"/>
          <w:szCs w:val="24"/>
        </w:rPr>
        <w:t xml:space="preserve">trece de marzo, ambos de dos mil veinticinco. </w:t>
      </w:r>
      <w:r>
        <w:rPr>
          <w:rFonts w:ascii="Palatino Linotype" w:hAnsi="Palatino Linotype"/>
          <w:sz w:val="24"/>
          <w:szCs w:val="24"/>
        </w:rPr>
        <w:t>Señalando como acto impugnado y como razones o motivos de inconformidad:</w:t>
      </w:r>
    </w:p>
    <w:p w14:paraId="4935D0D0" w14:textId="77777777" w:rsidR="00F325DB" w:rsidRDefault="00F325DB" w:rsidP="00F325DB">
      <w:pPr>
        <w:spacing w:before="240" w:line="360" w:lineRule="auto"/>
        <w:jc w:val="both"/>
        <w:rPr>
          <w:rFonts w:ascii="Palatino Linotype" w:hAnsi="Palatino Linotype" w:cs="Arial"/>
          <w:b/>
          <w:sz w:val="24"/>
        </w:rPr>
      </w:pPr>
      <w:r>
        <w:rPr>
          <w:rFonts w:ascii="Palatino Linotype" w:hAnsi="Palatino Linotype" w:cs="Arial"/>
          <w:b/>
          <w:sz w:val="24"/>
        </w:rPr>
        <w:t>Acto Impugnado:</w:t>
      </w:r>
    </w:p>
    <w:p w14:paraId="30989687" w14:textId="77777777" w:rsidR="00F325DB" w:rsidRPr="00712E3A" w:rsidRDefault="00F325DB" w:rsidP="00F325DB">
      <w:pPr>
        <w:pStyle w:val="Citas"/>
        <w:rPr>
          <w:b/>
        </w:rPr>
      </w:pPr>
      <w:r w:rsidRPr="00B32223">
        <w:t>“</w:t>
      </w:r>
      <w:r w:rsidRPr="00662ED1">
        <w:t>Respuesta</w:t>
      </w:r>
      <w:r w:rsidRPr="00B32223">
        <w:t>"</w:t>
      </w:r>
      <w:r>
        <w:rPr>
          <w:b/>
          <w:bCs/>
        </w:rPr>
        <w:t xml:space="preserve"> (Sic)</w:t>
      </w:r>
    </w:p>
    <w:p w14:paraId="68D38026" w14:textId="77777777" w:rsidR="00F325DB" w:rsidRDefault="00F325DB" w:rsidP="00F325DB">
      <w:pPr>
        <w:spacing w:before="240" w:line="360" w:lineRule="auto"/>
        <w:jc w:val="both"/>
        <w:rPr>
          <w:rFonts w:ascii="Palatino Linotype" w:hAnsi="Palatino Linotype" w:cs="Arial"/>
          <w:sz w:val="24"/>
        </w:rPr>
      </w:pPr>
      <w:r>
        <w:rPr>
          <w:rFonts w:ascii="Palatino Linotype" w:hAnsi="Palatino Linotype" w:cs="Arial"/>
          <w:b/>
          <w:sz w:val="24"/>
        </w:rPr>
        <w:t>Razones o Motivos de Inconformidad</w:t>
      </w:r>
      <w:r>
        <w:rPr>
          <w:rFonts w:ascii="Palatino Linotype" w:hAnsi="Palatino Linotype" w:cs="Arial"/>
          <w:sz w:val="24"/>
        </w:rPr>
        <w:t xml:space="preserve">: </w:t>
      </w:r>
    </w:p>
    <w:p w14:paraId="14E81A1C" w14:textId="77777777" w:rsidR="00F325DB" w:rsidRPr="00712E3A" w:rsidRDefault="00F325DB" w:rsidP="00F325DB">
      <w:pPr>
        <w:pStyle w:val="Citas"/>
      </w:pPr>
      <w:r w:rsidRPr="00B32223">
        <w:t>“</w:t>
      </w:r>
      <w:r w:rsidRPr="00662ED1">
        <w:t>No remiten todo lo solicitado</w:t>
      </w:r>
      <w:r w:rsidRPr="00B32223">
        <w:t>"</w:t>
      </w:r>
      <w:r w:rsidRPr="00A354C4">
        <w:t xml:space="preserve"> </w:t>
      </w:r>
      <w:r>
        <w:rPr>
          <w:b/>
        </w:rPr>
        <w:t>(Sic)</w:t>
      </w:r>
    </w:p>
    <w:p w14:paraId="7EBA684E" w14:textId="77777777" w:rsidR="00ED1652" w:rsidRDefault="00ED1652" w:rsidP="000227FF">
      <w:pPr>
        <w:spacing w:after="0" w:line="360" w:lineRule="auto"/>
        <w:jc w:val="both"/>
        <w:rPr>
          <w:rFonts w:ascii="Palatino Linotype" w:eastAsia="Times New Roman" w:hAnsi="Palatino Linotype" w:cs="Times New Roman"/>
          <w:sz w:val="24"/>
          <w:szCs w:val="24"/>
          <w:lang w:eastAsia="es-ES"/>
        </w:rPr>
      </w:pPr>
    </w:p>
    <w:p w14:paraId="31233555" w14:textId="360C7E35" w:rsidR="00DF6D03" w:rsidRDefault="00DF6D03" w:rsidP="00DF6D03">
      <w:pPr>
        <w:pStyle w:val="infoemcitas"/>
        <w:tabs>
          <w:tab w:val="left" w:pos="7655"/>
        </w:tabs>
        <w:ind w:left="0" w:right="0"/>
        <w:rPr>
          <w:rFonts w:cs="Arial"/>
          <w:i w:val="0"/>
          <w:noProof/>
          <w:color w:val="000000"/>
          <w:sz w:val="24"/>
          <w:lang w:eastAsia="es-MX"/>
        </w:rPr>
      </w:pPr>
      <w:r>
        <w:rPr>
          <w:i w:val="0"/>
          <w:sz w:val="24"/>
          <w:szCs w:val="24"/>
        </w:rPr>
        <w:t xml:space="preserve">Así las cosas, hasta aquí lo expuesto, resulta inconcuso que </w:t>
      </w:r>
      <w:r>
        <w:rPr>
          <w:bCs/>
          <w:i w:val="0"/>
          <w:sz w:val="24"/>
          <w:szCs w:val="24"/>
        </w:rPr>
        <w:t>el acto impugnado y las razones o motivos de inconformidad expuestos por</w:t>
      </w:r>
      <w:r w:rsidRPr="00535EDD">
        <w:rPr>
          <w:rFonts w:cs="Arial"/>
          <w:i w:val="0"/>
          <w:noProof/>
          <w:color w:val="000000"/>
          <w:sz w:val="24"/>
          <w:lang w:eastAsia="es-MX"/>
        </w:rPr>
        <w:t xml:space="preserve"> </w:t>
      </w:r>
      <w:r>
        <w:rPr>
          <w:rFonts w:cs="Arial"/>
          <w:b/>
          <w:i w:val="0"/>
          <w:noProof/>
          <w:color w:val="000000"/>
          <w:sz w:val="24"/>
          <w:lang w:eastAsia="es-MX"/>
        </w:rPr>
        <w:t xml:space="preserve">El </w:t>
      </w:r>
      <w:r w:rsidRPr="00535EDD">
        <w:rPr>
          <w:rFonts w:cs="Arial"/>
          <w:b/>
          <w:i w:val="0"/>
          <w:noProof/>
          <w:color w:val="000000"/>
          <w:sz w:val="24"/>
          <w:lang w:eastAsia="es-MX"/>
        </w:rPr>
        <w:t xml:space="preserve">Recurrente, </w:t>
      </w:r>
      <w:r>
        <w:rPr>
          <w:rFonts w:cs="Arial"/>
          <w:i w:val="0"/>
          <w:noProof/>
          <w:color w:val="000000"/>
          <w:sz w:val="24"/>
          <w:lang w:eastAsia="es-MX"/>
        </w:rPr>
        <w:t>son susceptibles de actualizar la</w:t>
      </w:r>
      <w:r w:rsidR="00884BC6">
        <w:rPr>
          <w:rFonts w:cs="Arial"/>
          <w:i w:val="0"/>
          <w:noProof/>
          <w:color w:val="000000"/>
          <w:sz w:val="24"/>
          <w:lang w:eastAsia="es-MX"/>
        </w:rPr>
        <w:t>s</w:t>
      </w:r>
      <w:r>
        <w:rPr>
          <w:rFonts w:cs="Arial"/>
          <w:i w:val="0"/>
          <w:noProof/>
          <w:color w:val="000000"/>
          <w:sz w:val="24"/>
          <w:lang w:eastAsia="es-MX"/>
        </w:rPr>
        <w:t xml:space="preserve"> hipotesis prevista</w:t>
      </w:r>
      <w:r w:rsidR="00884BC6">
        <w:rPr>
          <w:rFonts w:cs="Arial"/>
          <w:i w:val="0"/>
          <w:noProof/>
          <w:color w:val="000000"/>
          <w:sz w:val="24"/>
          <w:lang w:eastAsia="es-MX"/>
        </w:rPr>
        <w:t>s</w:t>
      </w:r>
      <w:r>
        <w:rPr>
          <w:rFonts w:cs="Arial"/>
          <w:i w:val="0"/>
          <w:noProof/>
          <w:color w:val="000000"/>
          <w:sz w:val="24"/>
          <w:lang w:eastAsia="es-MX"/>
        </w:rPr>
        <w:t xml:space="preserve"> en el artículo 179, </w:t>
      </w:r>
      <w:r w:rsidR="00F325DB">
        <w:rPr>
          <w:rFonts w:cs="Arial"/>
          <w:i w:val="0"/>
          <w:noProof/>
          <w:color w:val="000000"/>
          <w:sz w:val="24"/>
          <w:lang w:eastAsia="es-MX"/>
        </w:rPr>
        <w:t>fracciones I y V</w:t>
      </w:r>
      <w:r>
        <w:rPr>
          <w:rFonts w:cs="Arial"/>
          <w:i w:val="0"/>
          <w:noProof/>
          <w:color w:val="000000"/>
          <w:sz w:val="24"/>
          <w:lang w:eastAsia="es-MX"/>
        </w:rPr>
        <w:t xml:space="preserve"> de la Ley de Transparencia y Acceso a la Información Pública del Estado de México y Municipios, cuyo contenido literal es el siguiente:</w:t>
      </w:r>
    </w:p>
    <w:p w14:paraId="2EC1D506" w14:textId="77777777" w:rsidR="00DF6D03" w:rsidRDefault="00DF6D03" w:rsidP="00DF6D03">
      <w:pPr>
        <w:pStyle w:val="Citas"/>
      </w:pPr>
      <w:r>
        <w:t>“Artículo 179. El recurso de revisión es un medio de protección que la Ley otorga a los particulares, para hacer valer su derecho de acceso a la información pública, y procederá en contra de las siguientes causas:</w:t>
      </w:r>
    </w:p>
    <w:p w14:paraId="5D16042B" w14:textId="77777777" w:rsidR="00DF6D03" w:rsidRDefault="00DF6D03" w:rsidP="00DF6D03">
      <w:pPr>
        <w:pStyle w:val="Citas"/>
      </w:pPr>
      <w:r>
        <w:lastRenderedPageBreak/>
        <w:t>I. La negativa a la información solicitada;</w:t>
      </w:r>
    </w:p>
    <w:p w14:paraId="30AAE048" w14:textId="2B97064E" w:rsidR="00DF6D03" w:rsidRDefault="00DF6D03" w:rsidP="00DF6D03">
      <w:pPr>
        <w:pStyle w:val="Citas"/>
        <w:rPr>
          <w:noProof/>
          <w:color w:val="000000"/>
          <w:sz w:val="24"/>
          <w:lang w:eastAsia="es-MX"/>
        </w:rPr>
      </w:pPr>
      <w:r>
        <w:rPr>
          <w:noProof/>
          <w:color w:val="000000"/>
          <w:sz w:val="24"/>
          <w:lang w:eastAsia="es-MX"/>
        </w:rPr>
        <w:t>(…</w:t>
      </w:r>
      <w:r w:rsidR="00F325DB">
        <w:rPr>
          <w:noProof/>
          <w:color w:val="000000"/>
          <w:sz w:val="24"/>
          <w:lang w:eastAsia="es-MX"/>
        </w:rPr>
        <w:t>)</w:t>
      </w:r>
    </w:p>
    <w:p w14:paraId="468D5549" w14:textId="20125583" w:rsidR="00F325DB" w:rsidRDefault="00F325DB" w:rsidP="00DF6D03">
      <w:pPr>
        <w:pStyle w:val="Citas"/>
        <w:rPr>
          <w:b/>
          <w:bCs/>
          <w:noProof/>
          <w:color w:val="000000"/>
          <w:sz w:val="24"/>
          <w:lang w:eastAsia="es-MX"/>
        </w:rPr>
      </w:pPr>
      <w:r w:rsidRPr="00F325DB">
        <w:rPr>
          <w:b/>
          <w:bCs/>
          <w:noProof/>
          <w:color w:val="000000"/>
          <w:sz w:val="24"/>
          <w:lang w:eastAsia="es-MX"/>
        </w:rPr>
        <w:t>V. La entrega de información incompleta;</w:t>
      </w:r>
    </w:p>
    <w:p w14:paraId="68F30969" w14:textId="476E2E7B" w:rsidR="00F325DB" w:rsidRPr="005A12AE" w:rsidRDefault="00F325DB" w:rsidP="00DF6D03">
      <w:pPr>
        <w:pStyle w:val="Citas"/>
        <w:rPr>
          <w:b/>
          <w:bCs/>
          <w:noProof/>
          <w:color w:val="000000"/>
          <w:sz w:val="24"/>
          <w:lang w:eastAsia="es-MX"/>
        </w:rPr>
      </w:pPr>
      <w:r>
        <w:rPr>
          <w:b/>
          <w:bCs/>
          <w:noProof/>
          <w:color w:val="000000"/>
          <w:sz w:val="24"/>
          <w:lang w:eastAsia="es-MX"/>
        </w:rPr>
        <w:t>(…)” (Sic)</w:t>
      </w:r>
    </w:p>
    <w:p w14:paraId="74C127DD" w14:textId="77777777" w:rsidR="00DF6D03" w:rsidRPr="00ED1652" w:rsidRDefault="00DF6D03" w:rsidP="000227FF">
      <w:pPr>
        <w:spacing w:after="0" w:line="360" w:lineRule="auto"/>
        <w:jc w:val="both"/>
        <w:rPr>
          <w:rFonts w:ascii="Palatino Linotype" w:eastAsia="Times New Roman" w:hAnsi="Palatino Linotype" w:cs="Times New Roman"/>
          <w:sz w:val="24"/>
          <w:szCs w:val="24"/>
          <w:lang w:eastAsia="es-ES"/>
        </w:rPr>
      </w:pPr>
    </w:p>
    <w:p w14:paraId="4A5880DB" w14:textId="3B821502" w:rsidR="00DF6D03" w:rsidRDefault="00DF6D03" w:rsidP="00DF6D03">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Dentro de este marco y derivado de los motivos de inconformidad, resulta oportuno referir en términos del antecedente quinto, que </w:t>
      </w:r>
      <w:r>
        <w:rPr>
          <w:rFonts w:ascii="Palatino Linotype" w:hAnsi="Palatino Linotype" w:cs="Arial"/>
          <w:b/>
          <w:bCs/>
          <w:sz w:val="24"/>
          <w:szCs w:val="24"/>
        </w:rPr>
        <w:t xml:space="preserve">El Sujeto Obligado </w:t>
      </w:r>
      <w:r>
        <w:rPr>
          <w:rFonts w:ascii="Palatino Linotype" w:hAnsi="Palatino Linotype" w:cs="Arial"/>
          <w:sz w:val="24"/>
          <w:szCs w:val="24"/>
        </w:rPr>
        <w:t>rindió su informe justificado en los siguientes términos:</w:t>
      </w:r>
    </w:p>
    <w:p w14:paraId="205060FC" w14:textId="77777777" w:rsidR="00496523" w:rsidRPr="00DF6D03" w:rsidRDefault="00496523" w:rsidP="000227FF">
      <w:pPr>
        <w:spacing w:after="0" w:line="360" w:lineRule="auto"/>
        <w:jc w:val="both"/>
        <w:rPr>
          <w:rFonts w:ascii="Palatino Linotype" w:eastAsia="Times New Roman" w:hAnsi="Palatino Linotype" w:cs="Times New Roman"/>
          <w:sz w:val="24"/>
          <w:szCs w:val="24"/>
          <w:lang w:eastAsia="es-ES"/>
        </w:rPr>
      </w:pPr>
    </w:p>
    <w:p w14:paraId="54E21AFB" w14:textId="79F4BD1A" w:rsidR="00496523" w:rsidRPr="00F325DB" w:rsidRDefault="00DF6D03" w:rsidP="00792EA8">
      <w:pPr>
        <w:pStyle w:val="Prrafodelista"/>
        <w:numPr>
          <w:ilvl w:val="0"/>
          <w:numId w:val="6"/>
        </w:numPr>
        <w:spacing w:line="360" w:lineRule="auto"/>
        <w:jc w:val="both"/>
        <w:rPr>
          <w:rFonts w:ascii="Palatino Linotype" w:hAnsi="Palatino Linotype"/>
          <w:b/>
          <w:bCs/>
        </w:rPr>
      </w:pPr>
      <w:proofErr w:type="gramStart"/>
      <w:r w:rsidRPr="00F325DB">
        <w:rPr>
          <w:rFonts w:ascii="Palatino Linotype" w:hAnsi="Palatino Linotype"/>
          <w:b/>
          <w:bCs/>
        </w:rPr>
        <w:t xml:space="preserve">“ </w:t>
      </w:r>
      <w:r w:rsidR="00F325DB" w:rsidRPr="00F325DB">
        <w:rPr>
          <w:rFonts w:ascii="Palatino Linotype" w:hAnsi="Palatino Linotype"/>
          <w:b/>
          <w:bCs/>
        </w:rPr>
        <w:t>Informe</w:t>
      </w:r>
      <w:proofErr w:type="gramEnd"/>
      <w:r w:rsidR="00F325DB" w:rsidRPr="00F325DB">
        <w:rPr>
          <w:rFonts w:ascii="Palatino Linotype" w:hAnsi="Palatino Linotype"/>
          <w:b/>
          <w:bCs/>
        </w:rPr>
        <w:t xml:space="preserve"> Justificado RR2730.pdf”: </w:t>
      </w:r>
      <w:r w:rsidR="00F325DB">
        <w:rPr>
          <w:rFonts w:ascii="Palatino Linotype" w:hAnsi="Palatino Linotype"/>
        </w:rPr>
        <w:t xml:space="preserve">Oficio número </w:t>
      </w:r>
      <w:r w:rsidR="00F325DB">
        <w:rPr>
          <w:rFonts w:ascii="Palatino Linotype" w:hAnsi="Palatino Linotype"/>
          <w:b/>
          <w:bCs/>
        </w:rPr>
        <w:t xml:space="preserve">DA/1551/2025 </w:t>
      </w:r>
      <w:r w:rsidR="00F325DB">
        <w:rPr>
          <w:rFonts w:ascii="Palatino Linotype" w:hAnsi="Palatino Linotype"/>
        </w:rPr>
        <w:t xml:space="preserve">signado por el director de administración, dirigido a la coordinadora de transparencia, de fecha dieciocho de marzo de dos mil veinticinco, ratifica la respuesta primigenia. </w:t>
      </w:r>
    </w:p>
    <w:p w14:paraId="6F0A25EB" w14:textId="77777777" w:rsidR="00F325DB" w:rsidRDefault="00F325DB" w:rsidP="00DF6D03">
      <w:pPr>
        <w:spacing w:line="360" w:lineRule="auto"/>
        <w:jc w:val="both"/>
        <w:rPr>
          <w:rFonts w:ascii="Palatino Linotype" w:hAnsi="Palatino Linotype" w:cs="Arial"/>
          <w:sz w:val="24"/>
          <w:szCs w:val="24"/>
        </w:rPr>
      </w:pPr>
    </w:p>
    <w:p w14:paraId="28004ACE" w14:textId="30773CBD" w:rsidR="00F325DB" w:rsidRDefault="00F325DB" w:rsidP="00F325DB">
      <w:pPr>
        <w:spacing w:line="360" w:lineRule="auto"/>
        <w:jc w:val="both"/>
        <w:rPr>
          <w:rFonts w:ascii="Palatino Linotype" w:hAnsi="Palatino Linotype"/>
          <w:sz w:val="24"/>
          <w:szCs w:val="24"/>
        </w:rPr>
      </w:pPr>
      <w:r>
        <w:rPr>
          <w:rFonts w:ascii="Palatino Linotype" w:hAnsi="Palatino Linotype" w:cs="Arial"/>
          <w:sz w:val="24"/>
          <w:szCs w:val="24"/>
        </w:rPr>
        <w:t xml:space="preserve">En las generalizaciones anteriores, se advierte que la respuesta e informe justificado emanan del </w:t>
      </w:r>
      <w:r w:rsidR="00884BC6">
        <w:rPr>
          <w:rFonts w:ascii="Palatino Linotype" w:hAnsi="Palatino Linotype"/>
          <w:sz w:val="24"/>
          <w:szCs w:val="24"/>
        </w:rPr>
        <w:t>director</w:t>
      </w:r>
      <w:r>
        <w:rPr>
          <w:rFonts w:ascii="Palatino Linotype" w:hAnsi="Palatino Linotype"/>
          <w:sz w:val="24"/>
          <w:szCs w:val="24"/>
        </w:rPr>
        <w:t xml:space="preserve"> de Administración, se quiere con ello significar que </w:t>
      </w:r>
      <w:r>
        <w:rPr>
          <w:rFonts w:ascii="Palatino Linotype" w:hAnsi="Palatino Linotype"/>
          <w:b/>
          <w:bCs/>
          <w:sz w:val="24"/>
          <w:szCs w:val="24"/>
        </w:rPr>
        <w:t>E</w:t>
      </w:r>
      <w:r w:rsidR="00884BC6">
        <w:rPr>
          <w:rFonts w:ascii="Palatino Linotype" w:hAnsi="Palatino Linotype"/>
          <w:b/>
          <w:bCs/>
          <w:sz w:val="24"/>
          <w:szCs w:val="24"/>
        </w:rPr>
        <w:t>l</w:t>
      </w:r>
      <w:r>
        <w:rPr>
          <w:rFonts w:ascii="Palatino Linotype" w:hAnsi="Palatino Linotype"/>
          <w:b/>
          <w:bCs/>
          <w:sz w:val="24"/>
          <w:szCs w:val="24"/>
        </w:rPr>
        <w:t xml:space="preserve"> Sujeto Obligado </w:t>
      </w:r>
      <w:r>
        <w:rPr>
          <w:rFonts w:ascii="Palatino Linotype" w:hAnsi="Palatino Linotype"/>
          <w:sz w:val="24"/>
          <w:szCs w:val="24"/>
        </w:rPr>
        <w:t>observó de forma diligente el numeral 162 de la Ley de Transparencia local, cuyo contenido literal es el siguiente:</w:t>
      </w:r>
    </w:p>
    <w:p w14:paraId="2E4285C5" w14:textId="77777777" w:rsidR="00F325DB" w:rsidRPr="00FE103B" w:rsidRDefault="00F325DB" w:rsidP="00F325DB">
      <w:pPr>
        <w:pStyle w:val="Citas"/>
        <w:rPr>
          <w:b/>
          <w:bCs/>
        </w:rPr>
      </w:pPr>
      <w:r>
        <w:t>“</w:t>
      </w:r>
      <w:r w:rsidRPr="00FE103B">
        <w:t xml:space="preserve">Artículo 162. Las unidades de transparencia deberán garantizar que las solicitudes se turnen a todas las Áreas competentes que cuenten con la información o deban </w:t>
      </w:r>
      <w:r w:rsidRPr="00FE103B">
        <w:lastRenderedPageBreak/>
        <w:t>tenerla de acuerdo a sus facultades, competencias y funciones, con el objeto de que realicen una búsqueda exhaustiva y razonable de la información solicitada</w:t>
      </w:r>
      <w:r>
        <w:t xml:space="preserve">” </w:t>
      </w:r>
      <w:r>
        <w:rPr>
          <w:b/>
          <w:bCs/>
        </w:rPr>
        <w:t>(Sic)</w:t>
      </w:r>
    </w:p>
    <w:p w14:paraId="4912B49A" w14:textId="77777777" w:rsidR="00F325DB" w:rsidRDefault="00F325DB" w:rsidP="00F325DB">
      <w:pPr>
        <w:pStyle w:val="Prrafodelista"/>
        <w:autoSpaceDE w:val="0"/>
        <w:autoSpaceDN w:val="0"/>
        <w:adjustRightInd w:val="0"/>
        <w:spacing w:before="240" w:after="160" w:line="360" w:lineRule="auto"/>
        <w:ind w:left="0"/>
        <w:jc w:val="both"/>
        <w:rPr>
          <w:rFonts w:ascii="Palatino Linotype" w:hAnsi="Palatino Linotype" w:cs="Arial"/>
        </w:rPr>
      </w:pPr>
    </w:p>
    <w:p w14:paraId="6DA75035" w14:textId="77777777" w:rsidR="00F325DB" w:rsidRDefault="00F325DB" w:rsidP="00F325DB">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 xml:space="preserve">Ahora bien, el servidor público habilitado señaló que realizó una búsqueda exhaustiva y razonable en los archivos de su competencia, pronunciándose respecto de cada uno de los puntos que nutren la solicitud de información </w:t>
      </w:r>
      <w:r>
        <w:rPr>
          <w:rFonts w:ascii="Palatino Linotype" w:hAnsi="Palatino Linotype" w:cs="Arial"/>
          <w:b/>
          <w:bCs/>
        </w:rPr>
        <w:t xml:space="preserve">00393/CUAUTIZC/IP/2025 </w:t>
      </w:r>
      <w:r>
        <w:rPr>
          <w:rFonts w:ascii="Palatino Linotype" w:hAnsi="Palatino Linotype" w:cs="Arial"/>
        </w:rPr>
        <w:t>en los siguientes términos:</w:t>
      </w:r>
    </w:p>
    <w:p w14:paraId="46BD0068" w14:textId="77777777" w:rsidR="00F325DB" w:rsidRDefault="00F325DB" w:rsidP="00F325DB">
      <w:pPr>
        <w:pStyle w:val="Prrafodelista"/>
        <w:autoSpaceDE w:val="0"/>
        <w:autoSpaceDN w:val="0"/>
        <w:adjustRightInd w:val="0"/>
        <w:spacing w:before="240" w:after="160" w:line="360" w:lineRule="auto"/>
        <w:ind w:left="0"/>
        <w:jc w:val="both"/>
        <w:rPr>
          <w:rFonts w:ascii="Palatino Linotype" w:hAnsi="Palatino Linotype" w:cs="Arial"/>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5"/>
        <w:gridCol w:w="4517"/>
      </w:tblGrid>
      <w:tr w:rsidR="00F325DB" w14:paraId="73D91B40" w14:textId="77777777" w:rsidTr="00670623">
        <w:tc>
          <w:tcPr>
            <w:tcW w:w="4531" w:type="dxa"/>
            <w:tcBorders>
              <w:right w:val="single" w:sz="12" w:space="0" w:color="FFFFFF" w:themeColor="background1"/>
            </w:tcBorders>
            <w:shd w:val="clear" w:color="auto" w:fill="000000" w:themeFill="text1"/>
          </w:tcPr>
          <w:p w14:paraId="5BC5790F" w14:textId="77777777" w:rsidR="00F325DB" w:rsidRDefault="00F325DB" w:rsidP="00C165DE">
            <w:pPr>
              <w:pStyle w:val="Prrafodelista"/>
              <w:autoSpaceDE w:val="0"/>
              <w:autoSpaceDN w:val="0"/>
              <w:adjustRightInd w:val="0"/>
              <w:spacing w:before="240" w:after="160" w:line="360" w:lineRule="auto"/>
              <w:ind w:left="0"/>
              <w:jc w:val="both"/>
              <w:rPr>
                <w:rFonts w:ascii="Palatino Linotype" w:hAnsi="Palatino Linotype" w:cs="Arial"/>
                <w:b/>
                <w:bCs/>
              </w:rPr>
            </w:pPr>
            <w:r>
              <w:rPr>
                <w:rFonts w:ascii="Palatino Linotype" w:hAnsi="Palatino Linotype" w:cs="Arial"/>
              </w:rPr>
              <w:t xml:space="preserve">Solicitud de información </w:t>
            </w:r>
            <w:r>
              <w:rPr>
                <w:rFonts w:ascii="Palatino Linotype" w:hAnsi="Palatino Linotype" w:cs="Arial"/>
                <w:b/>
                <w:bCs/>
              </w:rPr>
              <w:t>00393/CUAUTIZC/IP/2025</w:t>
            </w:r>
          </w:p>
          <w:p w14:paraId="41C22824" w14:textId="77777777" w:rsidR="00F325DB" w:rsidRPr="00AB205C" w:rsidRDefault="00F325DB" w:rsidP="00C165DE">
            <w:pPr>
              <w:pStyle w:val="Prrafodelista"/>
              <w:autoSpaceDE w:val="0"/>
              <w:autoSpaceDN w:val="0"/>
              <w:adjustRightInd w:val="0"/>
              <w:spacing w:before="240" w:after="160" w:line="360" w:lineRule="auto"/>
              <w:ind w:left="0"/>
              <w:jc w:val="both"/>
              <w:rPr>
                <w:rFonts w:ascii="Palatino Linotype" w:hAnsi="Palatino Linotype" w:cs="Arial"/>
                <w:b/>
                <w:bCs/>
              </w:rPr>
            </w:pPr>
            <w:r>
              <w:rPr>
                <w:rFonts w:ascii="Palatino Linotype" w:hAnsi="Palatino Linotype" w:cs="Arial"/>
                <w:b/>
                <w:bCs/>
              </w:rPr>
              <w:t>Del periodo comprendido del uno al treinta de enero de dos mil veinticinco</w:t>
            </w:r>
          </w:p>
        </w:tc>
        <w:tc>
          <w:tcPr>
            <w:tcW w:w="4531" w:type="dxa"/>
            <w:tcBorders>
              <w:left w:val="single" w:sz="12" w:space="0" w:color="FFFFFF" w:themeColor="background1"/>
            </w:tcBorders>
            <w:shd w:val="clear" w:color="auto" w:fill="000000" w:themeFill="text1"/>
            <w:vAlign w:val="center"/>
          </w:tcPr>
          <w:p w14:paraId="508AB1F0" w14:textId="61CC2B9C" w:rsidR="00F325DB" w:rsidRDefault="00F325DB" w:rsidP="00670623">
            <w:pPr>
              <w:pStyle w:val="Prrafodelista"/>
              <w:autoSpaceDE w:val="0"/>
              <w:autoSpaceDN w:val="0"/>
              <w:adjustRightInd w:val="0"/>
              <w:spacing w:before="240" w:after="160" w:line="360" w:lineRule="auto"/>
              <w:ind w:left="0"/>
              <w:jc w:val="center"/>
              <w:rPr>
                <w:rFonts w:ascii="Palatino Linotype" w:hAnsi="Palatino Linotype" w:cs="Arial"/>
              </w:rPr>
            </w:pPr>
            <w:r>
              <w:rPr>
                <w:rFonts w:ascii="Palatino Linotype" w:hAnsi="Palatino Linotype" w:cs="Arial"/>
              </w:rPr>
              <w:t>Respuesta</w:t>
            </w:r>
          </w:p>
        </w:tc>
      </w:tr>
      <w:tr w:rsidR="00F325DB" w14:paraId="52A0922E" w14:textId="77777777" w:rsidTr="00670623">
        <w:tc>
          <w:tcPr>
            <w:tcW w:w="4531" w:type="dxa"/>
          </w:tcPr>
          <w:p w14:paraId="6AF768FF" w14:textId="77777777" w:rsidR="00F325DB" w:rsidRDefault="00F325DB" w:rsidP="00792EA8">
            <w:pPr>
              <w:pStyle w:val="Prrafodelista"/>
              <w:numPr>
                <w:ilvl w:val="0"/>
                <w:numId w:val="8"/>
              </w:numPr>
              <w:autoSpaceDE w:val="0"/>
              <w:autoSpaceDN w:val="0"/>
              <w:adjustRightInd w:val="0"/>
              <w:spacing w:before="240" w:after="160" w:line="360" w:lineRule="auto"/>
              <w:jc w:val="both"/>
              <w:rPr>
                <w:rFonts w:ascii="Palatino Linotype" w:hAnsi="Palatino Linotype" w:cs="Arial"/>
              </w:rPr>
            </w:pPr>
            <w:r>
              <w:rPr>
                <w:rFonts w:ascii="Palatino Linotype" w:hAnsi="Palatino Linotype" w:cs="Arial"/>
              </w:rPr>
              <w:t>Número de renuncias</w:t>
            </w:r>
          </w:p>
        </w:tc>
        <w:tc>
          <w:tcPr>
            <w:tcW w:w="4531" w:type="dxa"/>
          </w:tcPr>
          <w:p w14:paraId="3083FD7E" w14:textId="77777777" w:rsidR="00F325DB" w:rsidRDefault="00F325DB" w:rsidP="00C165D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51 renuncias</w:t>
            </w:r>
          </w:p>
        </w:tc>
      </w:tr>
      <w:tr w:rsidR="00F325DB" w14:paraId="51FD08DC" w14:textId="77777777" w:rsidTr="00670623">
        <w:tc>
          <w:tcPr>
            <w:tcW w:w="4531" w:type="dxa"/>
          </w:tcPr>
          <w:p w14:paraId="7514CC85" w14:textId="77777777" w:rsidR="00F325DB" w:rsidRDefault="00F325DB" w:rsidP="00792EA8">
            <w:pPr>
              <w:pStyle w:val="Prrafodelista"/>
              <w:numPr>
                <w:ilvl w:val="0"/>
                <w:numId w:val="8"/>
              </w:numPr>
              <w:autoSpaceDE w:val="0"/>
              <w:autoSpaceDN w:val="0"/>
              <w:adjustRightInd w:val="0"/>
              <w:spacing w:before="240" w:after="160" w:line="360" w:lineRule="auto"/>
              <w:jc w:val="both"/>
              <w:rPr>
                <w:rFonts w:ascii="Palatino Linotype" w:hAnsi="Palatino Linotype" w:cs="Arial"/>
              </w:rPr>
            </w:pPr>
            <w:r>
              <w:rPr>
                <w:rFonts w:ascii="Palatino Linotype" w:hAnsi="Palatino Linotype" w:cs="Arial"/>
              </w:rPr>
              <w:t>Número de bajas</w:t>
            </w:r>
          </w:p>
        </w:tc>
        <w:tc>
          <w:tcPr>
            <w:tcW w:w="4531" w:type="dxa"/>
          </w:tcPr>
          <w:p w14:paraId="39F6F40A" w14:textId="77777777" w:rsidR="00F325DB" w:rsidRDefault="00F325DB" w:rsidP="00C165D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188 bajas de personal</w:t>
            </w:r>
          </w:p>
        </w:tc>
      </w:tr>
      <w:tr w:rsidR="00F325DB" w14:paraId="222F55DC" w14:textId="77777777" w:rsidTr="00670623">
        <w:tc>
          <w:tcPr>
            <w:tcW w:w="4531" w:type="dxa"/>
          </w:tcPr>
          <w:p w14:paraId="7349C8F8" w14:textId="77777777" w:rsidR="00F325DB" w:rsidRDefault="00F325DB" w:rsidP="00792EA8">
            <w:pPr>
              <w:pStyle w:val="Prrafodelista"/>
              <w:numPr>
                <w:ilvl w:val="0"/>
                <w:numId w:val="8"/>
              </w:numPr>
              <w:autoSpaceDE w:val="0"/>
              <w:autoSpaceDN w:val="0"/>
              <w:adjustRightInd w:val="0"/>
              <w:spacing w:before="240" w:after="160" w:line="360" w:lineRule="auto"/>
              <w:jc w:val="both"/>
              <w:rPr>
                <w:rFonts w:ascii="Palatino Linotype" w:hAnsi="Palatino Linotype" w:cs="Arial"/>
              </w:rPr>
            </w:pPr>
            <w:r>
              <w:rPr>
                <w:rFonts w:ascii="Palatino Linotype" w:hAnsi="Palatino Linotype" w:cs="Arial"/>
              </w:rPr>
              <w:t>Número de personal despedido</w:t>
            </w:r>
          </w:p>
        </w:tc>
        <w:tc>
          <w:tcPr>
            <w:tcW w:w="4531" w:type="dxa"/>
          </w:tcPr>
          <w:p w14:paraId="70AFC542" w14:textId="77777777" w:rsidR="00F325DB" w:rsidRDefault="00F325DB" w:rsidP="00C165D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No existen constancias y/o registros</w:t>
            </w:r>
          </w:p>
        </w:tc>
      </w:tr>
      <w:tr w:rsidR="00F325DB" w14:paraId="5D3BEAA2" w14:textId="77777777" w:rsidTr="00670623">
        <w:tc>
          <w:tcPr>
            <w:tcW w:w="4531" w:type="dxa"/>
          </w:tcPr>
          <w:p w14:paraId="0CFDAD85" w14:textId="77777777" w:rsidR="00F325DB" w:rsidRDefault="00F325DB" w:rsidP="00792EA8">
            <w:pPr>
              <w:pStyle w:val="Prrafodelista"/>
              <w:numPr>
                <w:ilvl w:val="0"/>
                <w:numId w:val="8"/>
              </w:numPr>
              <w:autoSpaceDE w:val="0"/>
              <w:autoSpaceDN w:val="0"/>
              <w:adjustRightInd w:val="0"/>
              <w:spacing w:before="240" w:after="160" w:line="360" w:lineRule="auto"/>
              <w:jc w:val="both"/>
              <w:rPr>
                <w:rFonts w:ascii="Palatino Linotype" w:hAnsi="Palatino Linotype" w:cs="Arial"/>
              </w:rPr>
            </w:pPr>
            <w:r>
              <w:rPr>
                <w:rFonts w:ascii="Palatino Linotype" w:hAnsi="Palatino Linotype" w:cs="Arial"/>
              </w:rPr>
              <w:lastRenderedPageBreak/>
              <w:t>Número de personal finiquitado</w:t>
            </w:r>
          </w:p>
        </w:tc>
        <w:tc>
          <w:tcPr>
            <w:tcW w:w="4531" w:type="dxa"/>
          </w:tcPr>
          <w:p w14:paraId="7AF67D90" w14:textId="77777777" w:rsidR="00F325DB" w:rsidRDefault="00F325DB" w:rsidP="00C165DE">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t>No se realizaron pagos por concepto de finiquito</w:t>
            </w:r>
          </w:p>
        </w:tc>
      </w:tr>
    </w:tbl>
    <w:p w14:paraId="5EA5234A" w14:textId="77777777" w:rsidR="00F325DB" w:rsidRPr="00AB205C" w:rsidRDefault="00F325DB" w:rsidP="00F325DB">
      <w:pPr>
        <w:pStyle w:val="Prrafodelista"/>
        <w:autoSpaceDE w:val="0"/>
        <w:autoSpaceDN w:val="0"/>
        <w:adjustRightInd w:val="0"/>
        <w:spacing w:before="240" w:after="160" w:line="360" w:lineRule="auto"/>
        <w:ind w:left="0"/>
        <w:jc w:val="both"/>
        <w:rPr>
          <w:rFonts w:ascii="Palatino Linotype" w:hAnsi="Palatino Linotype" w:cs="Arial"/>
        </w:rPr>
      </w:pPr>
    </w:p>
    <w:p w14:paraId="0047B0F1" w14:textId="43DF01F1" w:rsidR="00F325DB" w:rsidRPr="00670623" w:rsidRDefault="00F325DB" w:rsidP="00F325DB">
      <w:pPr>
        <w:pStyle w:val="Citas"/>
        <w:ind w:left="0" w:right="0"/>
        <w:rPr>
          <w:i w:val="0"/>
          <w:iCs/>
          <w:sz w:val="24"/>
          <w:szCs w:val="24"/>
        </w:rPr>
      </w:pPr>
      <w:r w:rsidRPr="00670623">
        <w:rPr>
          <w:i w:val="0"/>
          <w:iCs/>
          <w:sz w:val="24"/>
          <w:szCs w:val="24"/>
        </w:rPr>
        <w:t>Dentro de este orden de ideas, con relación al número de renuncias y bajas,</w:t>
      </w:r>
      <w:r w:rsidRPr="00670623">
        <w:rPr>
          <w:sz w:val="24"/>
          <w:szCs w:val="24"/>
        </w:rPr>
        <w:t xml:space="preserve"> </w:t>
      </w:r>
      <w:r w:rsidRPr="00670623">
        <w:rPr>
          <w:i w:val="0"/>
          <w:iCs/>
          <w:sz w:val="24"/>
          <w:szCs w:val="24"/>
        </w:rPr>
        <w:t xml:space="preserve">al haber existido un pronunciamiento por parte del </w:t>
      </w:r>
      <w:r w:rsidRPr="00670623">
        <w:rPr>
          <w:b/>
          <w:i w:val="0"/>
          <w:iCs/>
          <w:sz w:val="24"/>
          <w:szCs w:val="24"/>
        </w:rPr>
        <w:t>Sujeto Obligado</w:t>
      </w:r>
      <w:r w:rsidRPr="00670623">
        <w:rPr>
          <w:i w:val="0"/>
          <w:iCs/>
          <w:sz w:val="24"/>
          <w:szCs w:val="24"/>
        </w:rPr>
        <w:t xml:space="preserve">, a fin de dar respuesta a la solicitud planteada, este Instituto no está facultado para manifestarse sobre la veracidad de la información proporcionada, pues este Órgano Garante, conforme al artículo 36 de la Ley de la Materia, no se encuentra facultado para pronunciarse acerca de la autenticidad de dicho pronunciamiento. Dicho en otras </w:t>
      </w:r>
      <w:r w:rsidR="00670623" w:rsidRPr="00670623">
        <w:rPr>
          <w:i w:val="0"/>
          <w:iCs/>
          <w:sz w:val="24"/>
          <w:szCs w:val="24"/>
        </w:rPr>
        <w:t>palabras,</w:t>
      </w:r>
      <w:r w:rsidRPr="00670623">
        <w:rPr>
          <w:i w:val="0"/>
          <w:iCs/>
          <w:sz w:val="24"/>
          <w:szCs w:val="24"/>
        </w:rPr>
        <w:t xml:space="preserve"> se tienen por atendidos los requerimientos en cita.</w:t>
      </w:r>
    </w:p>
    <w:p w14:paraId="595BC5F8" w14:textId="77777777" w:rsidR="00F325DB" w:rsidRPr="00F325DB" w:rsidRDefault="00F325DB" w:rsidP="00F325DB">
      <w:pPr>
        <w:pStyle w:val="Citas"/>
        <w:ind w:left="0" w:right="0"/>
        <w:rPr>
          <w:rFonts w:ascii="Arial" w:hAnsi="Arial"/>
          <w:i w:val="0"/>
          <w:iCs/>
          <w:color w:val="222222"/>
          <w:sz w:val="24"/>
          <w:szCs w:val="24"/>
          <w:lang w:eastAsia="es-MX"/>
        </w:rPr>
      </w:pPr>
      <w:r w:rsidRPr="00F325DB">
        <w:rPr>
          <w:i w:val="0"/>
          <w:iCs/>
          <w:sz w:val="24"/>
          <w:szCs w:val="24"/>
        </w:rPr>
        <w:t xml:space="preserve">Ahora bien, por cuanto hace al número de personal despedido y finiquitado, </w:t>
      </w:r>
      <w:r w:rsidRPr="00F325DB">
        <w:rPr>
          <w:i w:val="0"/>
          <w:iCs/>
          <w:noProof/>
          <w:color w:val="000000"/>
          <w:sz w:val="24"/>
          <w:lang w:val="es-ES" w:eastAsia="es-MX"/>
        </w:rPr>
        <w:t xml:space="preserve">resulta obice señalar que </w:t>
      </w:r>
      <w:r w:rsidRPr="00F325DB">
        <w:rPr>
          <w:i w:val="0"/>
          <w:iCs/>
          <w:sz w:val="24"/>
          <w:szCs w:val="24"/>
        </w:rPr>
        <w:t>el Pleno del Órgano Garante local ha sostenido que, ante la presencia de un hecho negativo, resultaría innecesaria una declaratoria de inexistencia en términos de 19, 169 y 170 de la Ley de Transparencia y Acceso a la Información Pública del Estado de México y Municipios, y ante un hecho negativo resulta aplicable la siguiente tesis</w:t>
      </w:r>
      <w:r w:rsidRPr="00F325DB">
        <w:rPr>
          <w:i w:val="0"/>
          <w:iCs/>
          <w:color w:val="222222"/>
          <w:sz w:val="24"/>
          <w:szCs w:val="24"/>
        </w:rPr>
        <w:t>:</w:t>
      </w:r>
    </w:p>
    <w:p w14:paraId="30C6B2AF" w14:textId="77777777" w:rsidR="00F325DB" w:rsidRPr="005778AD" w:rsidRDefault="00F325DB" w:rsidP="00F325DB">
      <w:pPr>
        <w:pStyle w:val="Prrafodelista"/>
        <w:spacing w:before="240" w:line="360" w:lineRule="auto"/>
        <w:ind w:left="720" w:right="851"/>
        <w:jc w:val="both"/>
        <w:rPr>
          <w:rFonts w:ascii="Arial" w:hAnsi="Arial" w:cs="Arial"/>
          <w:color w:val="222222"/>
        </w:rPr>
      </w:pPr>
      <w:r w:rsidRPr="005778AD">
        <w:rPr>
          <w:rFonts w:ascii="Palatino Linotype" w:hAnsi="Palatino Linotype" w:cs="Arial"/>
          <w:color w:val="222222"/>
        </w:rPr>
        <w:t> </w:t>
      </w:r>
      <w:r w:rsidRPr="005778AD">
        <w:rPr>
          <w:rFonts w:ascii="Palatino Linotype" w:hAnsi="Palatino Linotype" w:cs="Arial"/>
          <w:b/>
          <w:bCs/>
          <w:i/>
          <w:iCs/>
          <w:color w:val="222222"/>
        </w:rPr>
        <w:t>“HECHOS NEGATIVOS, NO SON SUSCEPTIBLES DE DEMOSTRACION.</w:t>
      </w:r>
    </w:p>
    <w:p w14:paraId="51C1A18A" w14:textId="77777777" w:rsidR="00F325DB" w:rsidRPr="005778AD" w:rsidRDefault="00F325DB" w:rsidP="00F325DB">
      <w:pPr>
        <w:pStyle w:val="Prrafodelista"/>
        <w:spacing w:before="240" w:line="360" w:lineRule="auto"/>
        <w:ind w:left="720" w:right="851"/>
        <w:jc w:val="both"/>
        <w:rPr>
          <w:rFonts w:ascii="Palatino Linotype" w:hAnsi="Palatino Linotype" w:cs="Arial"/>
          <w:i/>
          <w:iCs/>
          <w:color w:val="222222"/>
        </w:rPr>
      </w:pPr>
      <w:r w:rsidRPr="005778AD">
        <w:rPr>
          <w:rFonts w:ascii="Palatino Linotype" w:hAnsi="Palatino Linotype" w:cs="Arial"/>
          <w:i/>
          <w:iCs/>
          <w:color w:val="222222"/>
        </w:rPr>
        <w:lastRenderedPageBreak/>
        <w:t xml:space="preserve">Tratándose de un hecho negativo, el Juez no tiene por qué invocar prueba alguna de la que se desprenda, ya que es bien sabido que esta clase de hechos no son susceptibles de demostración.” </w:t>
      </w:r>
      <w:r w:rsidRPr="005778AD">
        <w:rPr>
          <w:rFonts w:ascii="Palatino Linotype" w:hAnsi="Palatino Linotype" w:cs="Arial"/>
          <w:b/>
          <w:i/>
          <w:iCs/>
          <w:color w:val="222222"/>
        </w:rPr>
        <w:t>[Sic]</w:t>
      </w:r>
    </w:p>
    <w:p w14:paraId="0C5F0D4B" w14:textId="77777777" w:rsidR="00F325DB" w:rsidRDefault="00F325DB" w:rsidP="00F325DB">
      <w:pPr>
        <w:pStyle w:val="Prrafodelista"/>
        <w:autoSpaceDE w:val="0"/>
        <w:autoSpaceDN w:val="0"/>
        <w:adjustRightInd w:val="0"/>
        <w:spacing w:before="240" w:after="160" w:line="360" w:lineRule="auto"/>
        <w:ind w:left="0"/>
        <w:jc w:val="both"/>
        <w:rPr>
          <w:rFonts w:ascii="Palatino Linotype" w:hAnsi="Palatino Linotype" w:cs="Arial"/>
          <w:bCs/>
        </w:rPr>
      </w:pPr>
    </w:p>
    <w:p w14:paraId="358DA7C6" w14:textId="77777777" w:rsidR="00F325DB" w:rsidRPr="00884BC6" w:rsidRDefault="00F325DB" w:rsidP="00F325DB">
      <w:pPr>
        <w:spacing w:after="0" w:line="360" w:lineRule="auto"/>
        <w:contextualSpacing/>
        <w:jc w:val="both"/>
        <w:rPr>
          <w:rFonts w:ascii="Palatino Linotype" w:hAnsi="Palatino Linotype"/>
          <w:sz w:val="24"/>
          <w:szCs w:val="24"/>
        </w:rPr>
      </w:pPr>
      <w:r w:rsidRPr="00884BC6">
        <w:rPr>
          <w:rFonts w:ascii="Palatino Linotype" w:hAnsi="Palatino Linotype" w:cs="Arial"/>
          <w:bCs/>
          <w:sz w:val="24"/>
          <w:szCs w:val="24"/>
        </w:rPr>
        <w:t xml:space="preserve">De forma complementaria, con relación al </w:t>
      </w:r>
      <w:r w:rsidRPr="00884BC6">
        <w:rPr>
          <w:rFonts w:ascii="Palatino Linotype" w:hAnsi="Palatino Linotype"/>
          <w:sz w:val="24"/>
          <w:szCs w:val="24"/>
        </w:rPr>
        <w:t>número de personal despedido y finiquitado</w:t>
      </w:r>
      <w:r w:rsidRPr="00884BC6">
        <w:rPr>
          <w:rFonts w:ascii="Palatino Linotype" w:hAnsi="Palatino Linotype" w:cs="Arial"/>
          <w:bCs/>
          <w:sz w:val="24"/>
          <w:szCs w:val="24"/>
        </w:rPr>
        <w:t xml:space="preserve">  se comprende que el </w:t>
      </w:r>
      <w:r w:rsidRPr="00884BC6">
        <w:rPr>
          <w:rFonts w:ascii="Palatino Linotype" w:hAnsi="Palatino Linotype"/>
          <w:sz w:val="24"/>
          <w:szCs w:val="24"/>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visto de esta forma, se tienen por atendidos los requerimientos en cita. </w:t>
      </w:r>
    </w:p>
    <w:p w14:paraId="59F2699D" w14:textId="77777777" w:rsidR="00670623" w:rsidRPr="00043ADE" w:rsidRDefault="00670623" w:rsidP="00F325DB">
      <w:pPr>
        <w:spacing w:after="0" w:line="360" w:lineRule="auto"/>
        <w:contextualSpacing/>
        <w:jc w:val="both"/>
        <w:rPr>
          <w:rFonts w:ascii="Palatino Linotype" w:hAnsi="Palatino Linotype"/>
          <w:iCs/>
          <w:sz w:val="24"/>
          <w:szCs w:val="24"/>
        </w:rPr>
      </w:pPr>
    </w:p>
    <w:p w14:paraId="2667535B" w14:textId="5D5A4DB8" w:rsidR="00DF6D03" w:rsidRPr="00135A85" w:rsidRDefault="00DF6D03" w:rsidP="00670623">
      <w:pPr>
        <w:spacing w:line="360" w:lineRule="auto"/>
        <w:contextualSpacing/>
        <w:jc w:val="both"/>
        <w:rPr>
          <w:rFonts w:ascii="Palatino Linotype" w:hAnsi="Palatino Linotype"/>
          <w:b/>
          <w:lang w:val="es-ES_tradnl"/>
        </w:rPr>
      </w:pPr>
      <w:r w:rsidRPr="00135A85">
        <w:rPr>
          <w:rFonts w:ascii="Palatino Linotype" w:hAnsi="Palatino Linotype" w:cs="Arial"/>
          <w:noProof/>
          <w:color w:val="000000"/>
          <w:sz w:val="24"/>
          <w:lang w:eastAsia="es-MX"/>
        </w:rPr>
        <w:t xml:space="preserve">En virtud de lo anterior, este Órgano Garante arriba a la conclusión de que la respuesta primigenia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se encuentra dotada de los principios de </w:t>
      </w:r>
      <w:r w:rsidRPr="00135A85">
        <w:rPr>
          <w:rFonts w:ascii="Palatino Linotype" w:hAnsi="Palatino Linotype" w:cs="Arial"/>
          <w:sz w:val="24"/>
          <w:szCs w:val="24"/>
        </w:rPr>
        <w:t xml:space="preserve">congruencia y exhaustividad, los cuales a toda luz garantizan el derecho de acceso a la información pública. </w:t>
      </w:r>
    </w:p>
    <w:p w14:paraId="4B4536A2" w14:textId="77777777" w:rsidR="00670623" w:rsidRDefault="00670623" w:rsidP="00DF6D03">
      <w:pPr>
        <w:spacing w:after="0" w:line="360" w:lineRule="auto"/>
        <w:jc w:val="both"/>
        <w:rPr>
          <w:rFonts w:ascii="Palatino Linotype" w:hAnsi="Palatino Linotype" w:cs="Arial"/>
          <w:noProof/>
          <w:color w:val="000000"/>
          <w:sz w:val="24"/>
          <w:lang w:eastAsia="es-MX"/>
        </w:rPr>
      </w:pPr>
    </w:p>
    <w:p w14:paraId="3AF18A84" w14:textId="43CA8460" w:rsidR="00DF6D03" w:rsidRDefault="00DF6D03" w:rsidP="00DF6D03">
      <w:pPr>
        <w:spacing w:after="0" w:line="360" w:lineRule="auto"/>
        <w:jc w:val="both"/>
        <w:rPr>
          <w:rFonts w:ascii="Palatino Linotype" w:hAnsi="Palatino Linotype" w:cs="Arial"/>
          <w:noProof/>
          <w:color w:val="000000"/>
          <w:sz w:val="24"/>
          <w:lang w:eastAsia="es-MX"/>
        </w:rPr>
      </w:pPr>
      <w:r w:rsidRPr="00135A85">
        <w:rPr>
          <w:rFonts w:ascii="Palatino Linotype" w:hAnsi="Palatino Linotype" w:cs="Arial"/>
          <w:noProof/>
          <w:color w:val="000000"/>
          <w:sz w:val="24"/>
          <w:lang w:eastAsia="es-MX"/>
        </w:rPr>
        <w:t xml:space="preserve">Con base en lo anteriormente expuesto, se arriba a la conclusión de que la respuesta del </w:t>
      </w:r>
      <w:r w:rsidRPr="00135A85">
        <w:rPr>
          <w:rFonts w:ascii="Palatino Linotype" w:hAnsi="Palatino Linotype" w:cs="Arial"/>
          <w:b/>
          <w:noProof/>
          <w:color w:val="000000"/>
          <w:sz w:val="24"/>
          <w:lang w:eastAsia="es-MX"/>
        </w:rPr>
        <w:t xml:space="preserve">Sujeto Obligado </w:t>
      </w:r>
      <w:r w:rsidRPr="00135A85">
        <w:rPr>
          <w:rFonts w:ascii="Palatino Linotype" w:hAnsi="Palatino Linotype" w:cs="Arial"/>
          <w:noProof/>
          <w:color w:val="000000"/>
          <w:sz w:val="24"/>
          <w:lang w:eastAsia="es-MX"/>
        </w:rPr>
        <w:t xml:space="preserve">colmó el derecho de acceso a la información ejercido por el particular. </w:t>
      </w:r>
    </w:p>
    <w:p w14:paraId="776294EB" w14:textId="77777777" w:rsidR="00670623" w:rsidRPr="00135A85" w:rsidRDefault="00670623" w:rsidP="00DF6D03">
      <w:pPr>
        <w:spacing w:after="0" w:line="360" w:lineRule="auto"/>
        <w:jc w:val="both"/>
        <w:rPr>
          <w:rFonts w:ascii="Palatino Linotype" w:hAnsi="Palatino Linotype" w:cs="Arial"/>
          <w:noProof/>
          <w:color w:val="000000"/>
          <w:sz w:val="24"/>
          <w:lang w:eastAsia="es-MX"/>
        </w:rPr>
      </w:pPr>
    </w:p>
    <w:p w14:paraId="6F8EFAA7" w14:textId="2A201A0E" w:rsidR="00DF6D03" w:rsidRPr="00F91642" w:rsidRDefault="00DF6D03" w:rsidP="00DF6D03">
      <w:pPr>
        <w:spacing w:after="0" w:line="360" w:lineRule="auto"/>
        <w:jc w:val="both"/>
        <w:rPr>
          <w:rFonts w:ascii="Palatino Linotype" w:hAnsi="Palatino Linotype"/>
          <w:bCs/>
          <w:sz w:val="24"/>
          <w:szCs w:val="24"/>
        </w:rPr>
      </w:pPr>
      <w:r w:rsidRPr="00F91642">
        <w:rPr>
          <w:rFonts w:ascii="Palatino Linotype" w:hAnsi="Palatino Linotype"/>
          <w:sz w:val="24"/>
          <w:szCs w:val="24"/>
        </w:rPr>
        <w:t xml:space="preserve">En mérito de lo expuesto en líneas anteriores, resultan infundados los motivos de inconformidad que arguye </w:t>
      </w:r>
      <w:r>
        <w:rPr>
          <w:rFonts w:ascii="Palatino Linotype" w:hAnsi="Palatino Linotype"/>
          <w:b/>
          <w:sz w:val="24"/>
          <w:szCs w:val="24"/>
        </w:rPr>
        <w:t>El</w:t>
      </w:r>
      <w:r w:rsidRPr="00F91642">
        <w:rPr>
          <w:rFonts w:ascii="Palatino Linotype" w:hAnsi="Palatino Linotype"/>
          <w:b/>
          <w:sz w:val="24"/>
          <w:szCs w:val="24"/>
        </w:rPr>
        <w:t xml:space="preserve"> Recurrente </w:t>
      </w:r>
      <w:r w:rsidRPr="00F91642">
        <w:rPr>
          <w:rFonts w:ascii="Palatino Linotype" w:hAnsi="Palatino Linotype"/>
          <w:sz w:val="24"/>
          <w:szCs w:val="24"/>
        </w:rPr>
        <w:t xml:space="preserve">en su medio de impugnación que fuera materia de estudio, por ello con fundamento en el artículo 186 fracción II de la Ley de </w:t>
      </w:r>
      <w:r w:rsidRPr="00F91642">
        <w:rPr>
          <w:rFonts w:ascii="Palatino Linotype" w:hAnsi="Palatino Linotype"/>
          <w:sz w:val="24"/>
          <w:szCs w:val="24"/>
        </w:rPr>
        <w:lastRenderedPageBreak/>
        <w:t xml:space="preserve">Transparencia y Acceso a la Información Pública del Estado de México y Municipios, se </w:t>
      </w:r>
      <w:r w:rsidRPr="00F91642">
        <w:rPr>
          <w:rFonts w:ascii="Palatino Linotype" w:hAnsi="Palatino Linotype"/>
          <w:b/>
          <w:sz w:val="24"/>
          <w:szCs w:val="24"/>
        </w:rPr>
        <w:t xml:space="preserve">CONFIRMA </w:t>
      </w:r>
      <w:r w:rsidRPr="00F91642">
        <w:rPr>
          <w:rFonts w:ascii="Palatino Linotype" w:hAnsi="Palatino Linotype"/>
          <w:bCs/>
          <w:sz w:val="24"/>
          <w:szCs w:val="24"/>
        </w:rPr>
        <w:t xml:space="preserve">la respuesta a la solicitud de información número </w:t>
      </w:r>
      <w:r w:rsidR="00F325DB">
        <w:rPr>
          <w:rFonts w:ascii="Palatino Linotype" w:eastAsia="Times New Roman" w:hAnsi="Palatino Linotype" w:cs="Times New Roman"/>
          <w:b/>
          <w:bCs/>
          <w:sz w:val="24"/>
          <w:szCs w:val="24"/>
          <w:lang w:eastAsia="es-ES"/>
        </w:rPr>
        <w:t>00393/CUAUTIZC/IP/2025</w:t>
      </w:r>
      <w:r>
        <w:rPr>
          <w:rFonts w:ascii="Palatino Linotype" w:hAnsi="Palatino Linotype" w:cs="Arial"/>
          <w:b/>
          <w:bCs/>
          <w:noProof/>
          <w:color w:val="000000"/>
          <w:sz w:val="24"/>
          <w:lang w:eastAsia="es-MX"/>
        </w:rPr>
        <w:t xml:space="preserve">, </w:t>
      </w:r>
      <w:r w:rsidRPr="00F91642">
        <w:rPr>
          <w:rFonts w:ascii="Palatino Linotype" w:hAnsi="Palatino Linotype"/>
          <w:bCs/>
          <w:sz w:val="24"/>
          <w:szCs w:val="24"/>
        </w:rPr>
        <w:t xml:space="preserve">que ha sido materia del presente fallo. </w:t>
      </w:r>
    </w:p>
    <w:p w14:paraId="2D1C8E0A" w14:textId="77777777" w:rsidR="00FA4037" w:rsidRDefault="00FA4037" w:rsidP="000227FF">
      <w:pPr>
        <w:spacing w:after="0" w:line="360" w:lineRule="auto"/>
        <w:jc w:val="center"/>
        <w:rPr>
          <w:rFonts w:ascii="Palatino Linotype" w:eastAsia="Times New Roman" w:hAnsi="Palatino Linotype" w:cs="Times New Roman"/>
          <w:b/>
          <w:bCs/>
          <w:spacing w:val="60"/>
          <w:sz w:val="28"/>
          <w:szCs w:val="24"/>
          <w:lang w:val="es-ES_tradnl" w:eastAsia="es-ES"/>
        </w:rPr>
      </w:pPr>
    </w:p>
    <w:p w14:paraId="7E68D931" w14:textId="77777777" w:rsidR="00FA4037" w:rsidRDefault="00FA4037" w:rsidP="000227FF">
      <w:pPr>
        <w:spacing w:after="0" w:line="360" w:lineRule="auto"/>
        <w:jc w:val="center"/>
        <w:rPr>
          <w:rFonts w:ascii="Palatino Linotype" w:eastAsia="Times New Roman" w:hAnsi="Palatino Linotype" w:cs="Times New Roman"/>
          <w:b/>
          <w:bCs/>
          <w:spacing w:val="60"/>
          <w:sz w:val="28"/>
          <w:szCs w:val="24"/>
          <w:lang w:val="es-ES_tradnl" w:eastAsia="es-ES"/>
        </w:rPr>
      </w:pPr>
    </w:p>
    <w:p w14:paraId="3892795F" w14:textId="3B81D22D" w:rsidR="00FA158C" w:rsidRPr="000227FF" w:rsidRDefault="00FA158C" w:rsidP="000227FF">
      <w:pPr>
        <w:spacing w:after="0" w:line="360" w:lineRule="auto"/>
        <w:jc w:val="center"/>
        <w:rPr>
          <w:rFonts w:ascii="Palatino Linotype" w:eastAsia="Times New Roman" w:hAnsi="Palatino Linotype" w:cs="Times New Roman"/>
          <w:b/>
          <w:bCs/>
          <w:spacing w:val="60"/>
          <w:sz w:val="28"/>
          <w:szCs w:val="24"/>
          <w:lang w:val="es-ES_tradnl" w:eastAsia="es-ES"/>
        </w:rPr>
      </w:pPr>
      <w:r w:rsidRPr="000227FF">
        <w:rPr>
          <w:rFonts w:ascii="Palatino Linotype" w:eastAsia="Times New Roman" w:hAnsi="Palatino Linotype" w:cs="Times New Roman"/>
          <w:b/>
          <w:bCs/>
          <w:spacing w:val="60"/>
          <w:sz w:val="28"/>
          <w:szCs w:val="24"/>
          <w:lang w:val="es-ES_tradnl" w:eastAsia="es-ES"/>
        </w:rPr>
        <w:t>SE    RESUELVE</w:t>
      </w:r>
    </w:p>
    <w:p w14:paraId="664711F1" w14:textId="77777777" w:rsidR="00FA158C" w:rsidRPr="000227FF" w:rsidRDefault="00FA158C" w:rsidP="000227FF">
      <w:pPr>
        <w:spacing w:after="0" w:line="360" w:lineRule="auto"/>
        <w:jc w:val="both"/>
        <w:rPr>
          <w:rFonts w:ascii="Palatino Linotype" w:eastAsia="Times New Roman" w:hAnsi="Palatino Linotype" w:cs="Times New Roman"/>
          <w:b/>
          <w:bCs/>
          <w:spacing w:val="60"/>
          <w:sz w:val="24"/>
          <w:szCs w:val="24"/>
          <w:lang w:val="es-ES_tradnl" w:eastAsia="es-ES"/>
        </w:rPr>
      </w:pPr>
    </w:p>
    <w:p w14:paraId="4F8841FC" w14:textId="535867A0"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PRIMERO</w:t>
      </w:r>
      <w:r w:rsidRPr="000227FF">
        <w:rPr>
          <w:rFonts w:ascii="Palatino Linotype" w:eastAsia="Times New Roman" w:hAnsi="Palatino Linotype" w:cs="Arial"/>
          <w:b/>
          <w:sz w:val="24"/>
          <w:szCs w:val="24"/>
          <w:lang w:val="es-ES" w:eastAsia="es-ES"/>
        </w:rPr>
        <w:t xml:space="preserve">. </w:t>
      </w:r>
      <w:r w:rsidRPr="000227FF">
        <w:rPr>
          <w:rFonts w:ascii="Palatino Linotype" w:eastAsia="Times New Roman" w:hAnsi="Palatino Linotype" w:cs="Arial"/>
          <w:sz w:val="24"/>
          <w:szCs w:val="24"/>
          <w:lang w:val="es-ES" w:eastAsia="es-ES"/>
        </w:rPr>
        <w:t xml:space="preserve">Se </w:t>
      </w:r>
      <w:r w:rsidRPr="000227FF">
        <w:rPr>
          <w:rFonts w:ascii="Palatino Linotype" w:eastAsia="Times New Roman" w:hAnsi="Palatino Linotype" w:cs="Arial"/>
          <w:b/>
          <w:sz w:val="24"/>
          <w:szCs w:val="24"/>
          <w:lang w:val="es-ES" w:eastAsia="es-ES"/>
        </w:rPr>
        <w:t>CONFIRMA</w:t>
      </w:r>
      <w:r w:rsidRPr="000227FF">
        <w:rPr>
          <w:rFonts w:ascii="Palatino Linotype" w:eastAsia="Times New Roman" w:hAnsi="Palatino Linotype" w:cs="Arial"/>
          <w:sz w:val="24"/>
          <w:szCs w:val="24"/>
          <w:lang w:val="es-ES" w:eastAsia="es-ES"/>
        </w:rPr>
        <w:t xml:space="preserve"> la respuesta del </w:t>
      </w:r>
      <w:r w:rsidRPr="000227FF">
        <w:rPr>
          <w:rFonts w:ascii="Palatino Linotype" w:eastAsia="Times New Roman" w:hAnsi="Palatino Linotype" w:cs="Arial"/>
          <w:b/>
          <w:sz w:val="24"/>
          <w:szCs w:val="24"/>
          <w:lang w:val="es-ES" w:eastAsia="es-ES"/>
        </w:rPr>
        <w:t xml:space="preserve">Sujeto Obligado </w:t>
      </w:r>
      <w:r w:rsidRPr="000227FF">
        <w:rPr>
          <w:rFonts w:ascii="Palatino Linotype" w:eastAsia="Times New Roman" w:hAnsi="Palatino Linotype" w:cs="Arial"/>
          <w:sz w:val="24"/>
          <w:szCs w:val="24"/>
          <w:lang w:val="es-ES" w:eastAsia="es-ES"/>
        </w:rPr>
        <w:t xml:space="preserve">emitida a la solicitud de información </w:t>
      </w:r>
      <w:r w:rsidR="00F325DB">
        <w:rPr>
          <w:rFonts w:ascii="Palatino Linotype" w:eastAsia="Times New Roman" w:hAnsi="Palatino Linotype" w:cs="Times New Roman"/>
          <w:b/>
          <w:bCs/>
          <w:sz w:val="24"/>
          <w:szCs w:val="24"/>
          <w:lang w:eastAsia="es-ES"/>
        </w:rPr>
        <w:t>00393/CUAUTIZC/IP/2025</w:t>
      </w:r>
      <w:r w:rsidRPr="000227FF">
        <w:rPr>
          <w:rFonts w:ascii="Palatino Linotype" w:eastAsia="Times New Roman" w:hAnsi="Palatino Linotype" w:cs="Arial"/>
          <w:sz w:val="24"/>
          <w:szCs w:val="24"/>
          <w:lang w:val="es-ES" w:eastAsia="es-ES"/>
        </w:rPr>
        <w:t>,</w:t>
      </w:r>
      <w:r w:rsidRPr="000227FF">
        <w:rPr>
          <w:rFonts w:ascii="Palatino Linotype" w:eastAsia="Times New Roman" w:hAnsi="Palatino Linotype" w:cs="Arial"/>
          <w:bCs/>
          <w:sz w:val="24"/>
          <w:szCs w:val="24"/>
          <w:lang w:val="es-ES" w:eastAsia="es-ES"/>
        </w:rPr>
        <w:t xml:space="preserve"> </w:t>
      </w:r>
      <w:r w:rsidRPr="000227FF">
        <w:rPr>
          <w:rFonts w:ascii="Palatino Linotype" w:eastAsia="Times New Roman" w:hAnsi="Palatino Linotype" w:cs="Arial"/>
          <w:sz w:val="24"/>
          <w:szCs w:val="24"/>
          <w:lang w:val="es-ES_tradnl" w:eastAsia="es-ES"/>
        </w:rPr>
        <w:t xml:space="preserve">por resultar infundadas </w:t>
      </w:r>
      <w:r w:rsidRPr="000227FF">
        <w:rPr>
          <w:rFonts w:ascii="Palatino Linotype" w:eastAsia="Times New Roman" w:hAnsi="Palatino Linotype" w:cs="Arial"/>
          <w:sz w:val="24"/>
          <w:szCs w:val="24"/>
          <w:lang w:val="es-ES" w:eastAsia="es-ES"/>
        </w:rPr>
        <w:t xml:space="preserve">las razones o motivos de inconformidad hechos valer por el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en términos del Considerando </w:t>
      </w:r>
      <w:r w:rsidRPr="000227FF">
        <w:rPr>
          <w:rFonts w:ascii="Palatino Linotype" w:eastAsia="Times New Roman" w:hAnsi="Palatino Linotype" w:cs="Arial"/>
          <w:b/>
          <w:sz w:val="24"/>
          <w:szCs w:val="24"/>
          <w:lang w:val="es-ES" w:eastAsia="es-ES"/>
        </w:rPr>
        <w:t xml:space="preserve">CUARTO </w:t>
      </w:r>
      <w:r w:rsidRPr="000227FF">
        <w:rPr>
          <w:rFonts w:ascii="Palatino Linotype" w:eastAsia="Times New Roman" w:hAnsi="Palatino Linotype" w:cs="Arial"/>
          <w:sz w:val="24"/>
          <w:szCs w:val="24"/>
          <w:lang w:val="es-ES" w:eastAsia="es-ES"/>
        </w:rPr>
        <w:t>de esta resolución.</w:t>
      </w:r>
    </w:p>
    <w:p w14:paraId="39584EEB" w14:textId="77777777"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p>
    <w:p w14:paraId="0BD85634" w14:textId="77777777" w:rsidR="00FA158C"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Arial"/>
          <w:b/>
          <w:sz w:val="28"/>
          <w:szCs w:val="24"/>
          <w:lang w:val="es-ES" w:eastAsia="es-ES"/>
        </w:rPr>
        <w:t>SEGUNDO</w:t>
      </w:r>
      <w:r w:rsidRPr="000227FF">
        <w:rPr>
          <w:rFonts w:ascii="Palatino Linotype" w:eastAsia="Times New Roman" w:hAnsi="Palatino Linotype" w:cs="Arial"/>
          <w:b/>
          <w:sz w:val="24"/>
          <w:szCs w:val="24"/>
          <w:lang w:val="es-ES" w:eastAsia="es-ES"/>
        </w:rPr>
        <w:t>.</w:t>
      </w:r>
      <w:r w:rsidRPr="000227FF">
        <w:rPr>
          <w:rFonts w:ascii="Palatino Linotype" w:eastAsia="Times New Roman" w:hAnsi="Palatino Linotype" w:cs="Arial"/>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la presente resolución</w:t>
      </w:r>
      <w:r w:rsidRPr="000227FF">
        <w:rPr>
          <w:rFonts w:ascii="Palatino Linotype" w:eastAsia="Times New Roman" w:hAnsi="Palatino Linotype" w:cs="Arial"/>
          <w:bCs/>
          <w:sz w:val="24"/>
          <w:szCs w:val="24"/>
          <w:lang w:val="es-ES" w:eastAsia="es-MX"/>
        </w:rPr>
        <w:t xml:space="preserve"> vía Sistema de Acceso a la Información Mexiquense </w:t>
      </w:r>
      <w:r w:rsidRPr="00FA4037">
        <w:rPr>
          <w:rFonts w:ascii="Palatino Linotype" w:eastAsia="Times New Roman" w:hAnsi="Palatino Linotype" w:cs="Arial"/>
          <w:b/>
          <w:sz w:val="24"/>
          <w:szCs w:val="24"/>
          <w:lang w:val="es-ES" w:eastAsia="es-MX"/>
        </w:rPr>
        <w:t>(</w:t>
      </w:r>
      <w:r w:rsidRPr="00FA4037">
        <w:rPr>
          <w:rFonts w:ascii="Palatino Linotype" w:eastAsia="Times New Roman" w:hAnsi="Palatino Linotype" w:cs="Arial"/>
          <w:b/>
          <w:sz w:val="24"/>
          <w:szCs w:val="24"/>
          <w:lang w:val="es-ES" w:eastAsia="es-ES"/>
        </w:rPr>
        <w:t>SAIMEX),</w:t>
      </w:r>
      <w:r w:rsidRPr="000227FF">
        <w:rPr>
          <w:rFonts w:ascii="Palatino Linotype" w:eastAsia="Times New Roman" w:hAnsi="Palatino Linotype" w:cs="Arial"/>
          <w:sz w:val="24"/>
          <w:szCs w:val="24"/>
          <w:lang w:val="es-ES" w:eastAsia="es-ES"/>
        </w:rPr>
        <w:t xml:space="preserve"> al Titular de la Unidad de Transparencia del </w:t>
      </w:r>
      <w:r w:rsidRPr="000227FF">
        <w:rPr>
          <w:rFonts w:ascii="Palatino Linotype" w:eastAsia="Times New Roman" w:hAnsi="Palatino Linotype" w:cs="Arial"/>
          <w:b/>
          <w:sz w:val="24"/>
          <w:szCs w:val="24"/>
          <w:lang w:val="es-ES" w:eastAsia="es-ES"/>
        </w:rPr>
        <w:t>Sujeto Obligado</w:t>
      </w:r>
      <w:r w:rsidRPr="000227FF">
        <w:rPr>
          <w:rFonts w:ascii="Palatino Linotype" w:eastAsia="Times New Roman" w:hAnsi="Palatino Linotype" w:cs="Arial"/>
          <w:sz w:val="24"/>
          <w:szCs w:val="24"/>
          <w:lang w:val="es-ES" w:eastAsia="es-ES"/>
        </w:rPr>
        <w:t>.</w:t>
      </w:r>
    </w:p>
    <w:p w14:paraId="2AB307A0" w14:textId="77777777" w:rsidR="00884BC6" w:rsidRPr="000227FF" w:rsidRDefault="00884BC6" w:rsidP="000227FF">
      <w:pPr>
        <w:tabs>
          <w:tab w:val="left" w:pos="8647"/>
        </w:tabs>
        <w:spacing w:after="0" w:line="360" w:lineRule="auto"/>
        <w:jc w:val="both"/>
        <w:rPr>
          <w:rFonts w:ascii="Palatino Linotype" w:eastAsia="Times New Roman" w:hAnsi="Palatino Linotype" w:cs="Arial"/>
          <w:sz w:val="24"/>
          <w:szCs w:val="24"/>
          <w:lang w:val="es-ES" w:eastAsia="es-ES"/>
        </w:rPr>
      </w:pPr>
    </w:p>
    <w:p w14:paraId="056FD1A6" w14:textId="77777777" w:rsidR="00FA158C" w:rsidRPr="000227FF" w:rsidRDefault="00FA158C" w:rsidP="000227FF">
      <w:pPr>
        <w:tabs>
          <w:tab w:val="left" w:pos="8647"/>
        </w:tabs>
        <w:spacing w:after="0" w:line="360" w:lineRule="auto"/>
        <w:jc w:val="both"/>
        <w:rPr>
          <w:rFonts w:ascii="Palatino Linotype" w:eastAsia="Times New Roman" w:hAnsi="Palatino Linotype" w:cs="Arial"/>
          <w:sz w:val="24"/>
          <w:szCs w:val="24"/>
          <w:lang w:val="es-ES" w:eastAsia="es-ES"/>
        </w:rPr>
      </w:pPr>
    </w:p>
    <w:p w14:paraId="2DCA8F18" w14:textId="77777777" w:rsidR="00FA158C" w:rsidRDefault="00FA158C"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227FF">
        <w:rPr>
          <w:rFonts w:ascii="Palatino Linotype" w:eastAsia="Times New Roman" w:hAnsi="Palatino Linotype" w:cs="Times New Roman"/>
          <w:b/>
          <w:sz w:val="28"/>
          <w:szCs w:val="28"/>
          <w:lang w:val="es-ES" w:eastAsia="es-ES"/>
        </w:rPr>
        <w:t>TERCERO</w:t>
      </w:r>
      <w:r w:rsidRPr="000227FF">
        <w:rPr>
          <w:rFonts w:ascii="Palatino Linotype" w:eastAsia="Times New Roman" w:hAnsi="Palatino Linotype" w:cs="Times New Roman"/>
          <w:b/>
          <w:sz w:val="24"/>
          <w:szCs w:val="24"/>
          <w:lang w:val="es-ES" w:eastAsia="es-ES"/>
        </w:rPr>
        <w:t xml:space="preserve">. </w:t>
      </w:r>
      <w:r w:rsidRPr="000227FF">
        <w:rPr>
          <w:rFonts w:ascii="Palatino Linotype" w:eastAsia="Times New Roman" w:hAnsi="Palatino Linotype" w:cs="Arial"/>
          <w:b/>
          <w:sz w:val="24"/>
          <w:szCs w:val="24"/>
          <w:lang w:val="es-ES" w:eastAsia="es-ES"/>
        </w:rPr>
        <w:t>NOTIFÍQUESE</w:t>
      </w:r>
      <w:r w:rsidRPr="000227FF">
        <w:rPr>
          <w:rFonts w:ascii="Palatino Linotype" w:eastAsia="Times New Roman" w:hAnsi="Palatino Linotype" w:cs="Arial"/>
          <w:sz w:val="24"/>
          <w:szCs w:val="24"/>
          <w:lang w:val="es-ES" w:eastAsia="es-ES"/>
        </w:rPr>
        <w:t xml:space="preserve"> a través del Sistema de Acceso a la Información Mexiquense </w:t>
      </w:r>
      <w:r w:rsidRPr="00FA4037">
        <w:rPr>
          <w:rFonts w:ascii="Palatino Linotype" w:eastAsia="Times New Roman" w:hAnsi="Palatino Linotype" w:cs="Arial"/>
          <w:b/>
          <w:bCs/>
          <w:sz w:val="24"/>
          <w:szCs w:val="24"/>
          <w:lang w:val="es-ES" w:eastAsia="es-ES"/>
        </w:rPr>
        <w:t>(SAIMEX),</w:t>
      </w:r>
      <w:r w:rsidRPr="000227FF">
        <w:rPr>
          <w:rFonts w:ascii="Palatino Linotype" w:eastAsia="Times New Roman" w:hAnsi="Palatino Linotype" w:cs="Arial"/>
          <w:sz w:val="24"/>
          <w:szCs w:val="24"/>
          <w:lang w:val="es-ES" w:eastAsia="es-ES"/>
        </w:rPr>
        <w:t xml:space="preserve"> al </w:t>
      </w:r>
      <w:r w:rsidRPr="000227FF">
        <w:rPr>
          <w:rFonts w:ascii="Palatino Linotype" w:eastAsia="Times New Roman" w:hAnsi="Palatino Linotype" w:cs="Arial"/>
          <w:b/>
          <w:sz w:val="24"/>
          <w:szCs w:val="24"/>
          <w:lang w:val="es-ES" w:eastAsia="es-ES"/>
        </w:rPr>
        <w:t>Recurrente</w:t>
      </w:r>
      <w:r w:rsidRPr="000227FF">
        <w:rPr>
          <w:rFonts w:ascii="Palatino Linotype" w:eastAsia="Times New Roman" w:hAnsi="Palatino Linotype" w:cs="Arial"/>
          <w:sz w:val="24"/>
          <w:szCs w:val="24"/>
          <w:lang w:val="es-ES" w:eastAsia="es-ES"/>
        </w:rPr>
        <w:t xml:space="preserve"> y hágasele del conocimiento que en caso de considerar que le causa algún perjuicio, podrá promover el Juicio de Amparo en los términos de las leyes aplicables, de acuerdo a lo estipulado por el artículo 196 de la </w:t>
      </w:r>
      <w:r w:rsidRPr="000227FF">
        <w:rPr>
          <w:rFonts w:ascii="Palatino Linotype" w:eastAsia="Times New Roman" w:hAnsi="Palatino Linotype" w:cs="Arial"/>
          <w:sz w:val="24"/>
          <w:szCs w:val="24"/>
          <w:lang w:val="es-ES" w:eastAsia="es-ES"/>
        </w:rPr>
        <w:lastRenderedPageBreak/>
        <w:t>Ley de Transparencia y Acceso a la Información Pública del Estado de México y Municipios.</w:t>
      </w:r>
    </w:p>
    <w:p w14:paraId="11DB18B9" w14:textId="77777777" w:rsidR="00B04432" w:rsidRPr="000227FF" w:rsidRDefault="00B04432" w:rsidP="000227F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3431322" w14:textId="60F087D0" w:rsidR="00586121" w:rsidRPr="00627D99" w:rsidRDefault="00586121" w:rsidP="00586121">
      <w:pPr>
        <w:pStyle w:val="Prrafodelista"/>
        <w:autoSpaceDE w:val="0"/>
        <w:autoSpaceDN w:val="0"/>
        <w:adjustRightInd w:val="0"/>
        <w:spacing w:before="240" w:after="160" w:line="360" w:lineRule="auto"/>
        <w:ind w:left="0"/>
        <w:jc w:val="both"/>
        <w:rPr>
          <w:rFonts w:ascii="Palatino Linotype" w:hAnsi="Palatino Linotype" w:cs="Arial"/>
          <w:sz w:val="23"/>
          <w:szCs w:val="23"/>
        </w:rPr>
      </w:pPr>
      <w:r>
        <w:rPr>
          <w:rFonts w:ascii="Palatino Linotype" w:hAnsi="Palatino Linotype" w:cs="Arial"/>
        </w:rPr>
        <w:t>A</w:t>
      </w:r>
      <w:r w:rsidRPr="00C91103">
        <w:rPr>
          <w:rFonts w:ascii="Palatino Linotype" w:hAnsi="Palatino Linotype" w:cs="Arial"/>
        </w:rPr>
        <w:t xml:space="preserve">SÍ LO </w:t>
      </w:r>
      <w:r>
        <w:rPr>
          <w:rFonts w:ascii="Palatino Linotype" w:hAnsi="Palatino Linotype" w:cs="Arial"/>
        </w:rPr>
        <w:t>ACORDÓ</w:t>
      </w:r>
      <w:r w:rsidRPr="00C91103">
        <w:rPr>
          <w:rFonts w:ascii="Palatino Linotype" w:hAnsi="Palatino Linotype" w:cs="Arial"/>
        </w:rPr>
        <w:t xml:space="preserve">, POR UNANIMIDAD DE </w:t>
      </w:r>
      <w:r>
        <w:rPr>
          <w:rFonts w:ascii="Palatino Linotype" w:hAnsi="Palatino Linotype" w:cs="Arial"/>
        </w:rPr>
        <w:t>VOTOS,</w:t>
      </w:r>
      <w:r w:rsidRPr="00C91103">
        <w:rPr>
          <w:rFonts w:ascii="Palatino Linotype" w:hAnsi="Palatino Linotype" w:cs="Arial"/>
        </w:rPr>
        <w:t xml:space="preserve"> EL PLENO DEL</w:t>
      </w:r>
      <w:r w:rsidRPr="00C91103">
        <w:rPr>
          <w:rFonts w:ascii="Palatino Linotype" w:eastAsia="Arial Unicode MS" w:hAnsi="Palatino Linotype" w:cs="Arial"/>
        </w:rPr>
        <w:t xml:space="preserve"> INSTITUTO DE TRANSPARENCIA, ACCESO A LA INFORMACIÓN PÚBLICA Y PROTECCIÓN DE DATOS PERSONALES DEL </w:t>
      </w:r>
      <w:r w:rsidRPr="00272CE0">
        <w:rPr>
          <w:rFonts w:ascii="Palatino Linotype" w:eastAsia="Arial Unicode MS" w:hAnsi="Palatino Linotype" w:cs="Arial"/>
        </w:rPr>
        <w:t>ESTADO DE MÉXICO Y MUNICIPIOS</w:t>
      </w:r>
      <w:r w:rsidRPr="00272CE0">
        <w:rPr>
          <w:rFonts w:ascii="Palatino Linotype" w:hAnsi="Palatino Linotype" w:cs="Arial"/>
        </w:rPr>
        <w:t>, CONFORMADO POR LOS COMISIONADOS</w:t>
      </w:r>
      <w:r>
        <w:rPr>
          <w:rFonts w:ascii="Palatino Linotype" w:hAnsi="Palatino Linotype" w:cs="Arial"/>
        </w:rPr>
        <w:t xml:space="preserve"> JOSÉ MARTÍNEZ VILCHIS, MARÍA DEL ROSARIO </w:t>
      </w:r>
      <w:r w:rsidRPr="00266B85">
        <w:rPr>
          <w:rFonts w:ascii="Palatino Linotype" w:hAnsi="Palatino Linotype" w:cs="Arial"/>
        </w:rPr>
        <w:t>MEJÍA AYALA</w:t>
      </w:r>
      <w:r>
        <w:rPr>
          <w:rFonts w:ascii="Palatino Linotype" w:hAnsi="Palatino Linotype" w:cs="Arial"/>
        </w:rPr>
        <w:t xml:space="preserve">, </w:t>
      </w:r>
      <w:r w:rsidRPr="00266B85">
        <w:rPr>
          <w:rFonts w:ascii="Palatino Linotype" w:hAnsi="Palatino Linotype" w:cs="Arial"/>
        </w:rPr>
        <w:t>S</w:t>
      </w:r>
      <w:r>
        <w:rPr>
          <w:rFonts w:ascii="Palatino Linotype" w:hAnsi="Palatino Linotype" w:cs="Arial"/>
        </w:rPr>
        <w:t xml:space="preserve">HARON CRISTINA MORALES MARTÍNEZ, </w:t>
      </w:r>
      <w:r w:rsidRPr="00266B85">
        <w:rPr>
          <w:rFonts w:ascii="Palatino Linotype" w:hAnsi="Palatino Linotype" w:cs="Arial"/>
        </w:rPr>
        <w:t>LUIS GUSTAVO PARRA NORIEGA</w:t>
      </w:r>
      <w:r>
        <w:rPr>
          <w:rFonts w:ascii="Palatino Linotype" w:hAnsi="Palatino Linotype" w:cs="Arial"/>
        </w:rPr>
        <w:t xml:space="preserve"> </w:t>
      </w:r>
      <w:r w:rsidRPr="00266B85">
        <w:rPr>
          <w:rFonts w:ascii="Palatino Linotype" w:hAnsi="Palatino Linotype" w:cs="Arial"/>
        </w:rPr>
        <w:t xml:space="preserve">Y GUADALUPE RAMÍREZ PEÑA; EN LA </w:t>
      </w:r>
      <w:r>
        <w:rPr>
          <w:rFonts w:ascii="Palatino Linotype" w:hAnsi="Palatino Linotype" w:cs="Arial"/>
        </w:rPr>
        <w:t xml:space="preserve">DÉCIMA </w:t>
      </w:r>
      <w:r w:rsidR="00CC2FA9">
        <w:rPr>
          <w:rFonts w:ascii="Palatino Linotype" w:hAnsi="Palatino Linotype" w:cs="Arial"/>
        </w:rPr>
        <w:t xml:space="preserve">SEGUNDA </w:t>
      </w:r>
      <w:r>
        <w:rPr>
          <w:rFonts w:ascii="Palatino Linotype" w:hAnsi="Palatino Linotype" w:cs="Arial"/>
        </w:rPr>
        <w:t xml:space="preserve">SESIÓN ORDINARIA CELEBRADA EL </w:t>
      </w:r>
      <w:r w:rsidR="009C2CB8">
        <w:rPr>
          <w:rFonts w:ascii="Palatino Linotype" w:hAnsi="Palatino Linotype" w:cs="Arial"/>
        </w:rPr>
        <w:t>DOS DE ABRIL</w:t>
      </w:r>
      <w:r>
        <w:rPr>
          <w:rFonts w:ascii="Palatino Linotype" w:hAnsi="Palatino Linotype" w:cs="Arial"/>
        </w:rPr>
        <w:t xml:space="preserve"> DE DOS MIL VEINTICINCO, ANTE EL SECRETARIO </w:t>
      </w:r>
      <w:r w:rsidRPr="00627D99">
        <w:rPr>
          <w:rFonts w:ascii="Palatino Linotype" w:hAnsi="Palatino Linotype" w:cs="Arial"/>
          <w:sz w:val="23"/>
          <w:szCs w:val="23"/>
        </w:rPr>
        <w:t xml:space="preserve">TÉCNICO DEL PLENO, ALEXIS TAPIA RAMÍREZ. </w:t>
      </w:r>
    </w:p>
    <w:p w14:paraId="7F41CC39" w14:textId="1BF7E732" w:rsidR="00586121" w:rsidRDefault="00586121" w:rsidP="00586121">
      <w:pPr>
        <w:spacing w:line="360" w:lineRule="auto"/>
        <w:jc w:val="both"/>
        <w:rPr>
          <w:rFonts w:ascii="Palatino Linotype" w:hAnsi="Palatino Linotype"/>
          <w:bCs/>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54A3BD45" w14:textId="77777777" w:rsidR="00424808" w:rsidRPr="000227FF" w:rsidRDefault="00424808" w:rsidP="000227FF">
      <w:pPr>
        <w:spacing w:after="0" w:line="360" w:lineRule="auto"/>
        <w:contextualSpacing/>
        <w:jc w:val="both"/>
        <w:rPr>
          <w:rFonts w:ascii="Palatino Linotype" w:eastAsia="MS Mincho" w:hAnsi="Palatino Linotype"/>
        </w:rPr>
      </w:pPr>
    </w:p>
    <w:p w14:paraId="2C04736B" w14:textId="77777777" w:rsidR="00424808" w:rsidRPr="000227FF" w:rsidRDefault="00424808" w:rsidP="000227FF">
      <w:pPr>
        <w:spacing w:after="0" w:line="360" w:lineRule="auto"/>
        <w:contextualSpacing/>
        <w:jc w:val="both"/>
        <w:rPr>
          <w:rFonts w:ascii="Palatino Linotype" w:eastAsia="MS Mincho" w:hAnsi="Palatino Linotype"/>
        </w:rPr>
      </w:pPr>
    </w:p>
    <w:p w14:paraId="41CCA19E" w14:textId="77777777" w:rsidR="00424808" w:rsidRPr="000227FF" w:rsidRDefault="00424808" w:rsidP="000227FF">
      <w:pPr>
        <w:spacing w:after="0" w:line="360" w:lineRule="auto"/>
        <w:contextualSpacing/>
        <w:jc w:val="both"/>
        <w:rPr>
          <w:rFonts w:ascii="Palatino Linotype" w:eastAsia="MS Mincho" w:hAnsi="Palatino Linotype"/>
        </w:rPr>
      </w:pPr>
    </w:p>
    <w:p w14:paraId="62610AC1" w14:textId="77777777" w:rsidR="00424808" w:rsidRPr="000227FF" w:rsidRDefault="00424808" w:rsidP="000227FF">
      <w:pPr>
        <w:spacing w:after="0" w:line="360" w:lineRule="auto"/>
        <w:contextualSpacing/>
        <w:jc w:val="both"/>
        <w:rPr>
          <w:rFonts w:ascii="Palatino Linotype" w:eastAsia="MS Mincho" w:hAnsi="Palatino Linotype"/>
        </w:rPr>
      </w:pPr>
    </w:p>
    <w:p w14:paraId="3FE67E95" w14:textId="77777777" w:rsidR="00424808" w:rsidRPr="000227FF" w:rsidRDefault="00424808" w:rsidP="000227FF">
      <w:pPr>
        <w:spacing w:after="0" w:line="360" w:lineRule="auto"/>
        <w:contextualSpacing/>
        <w:jc w:val="both"/>
        <w:rPr>
          <w:rFonts w:ascii="Palatino Linotype" w:eastAsia="MS Mincho" w:hAnsi="Palatino Linotype"/>
        </w:rPr>
      </w:pPr>
    </w:p>
    <w:p w14:paraId="0892E642" w14:textId="77777777" w:rsidR="00424808" w:rsidRPr="000227FF" w:rsidRDefault="00424808" w:rsidP="000227FF">
      <w:pPr>
        <w:spacing w:after="0" w:line="360" w:lineRule="auto"/>
        <w:contextualSpacing/>
        <w:jc w:val="both"/>
        <w:rPr>
          <w:rFonts w:ascii="Palatino Linotype" w:eastAsia="MS Mincho" w:hAnsi="Palatino Linotype"/>
        </w:rPr>
      </w:pPr>
    </w:p>
    <w:p w14:paraId="06983A70" w14:textId="77777777" w:rsidR="00424808" w:rsidRDefault="00424808" w:rsidP="000227FF">
      <w:pPr>
        <w:spacing w:after="0" w:line="360" w:lineRule="auto"/>
        <w:contextualSpacing/>
        <w:jc w:val="both"/>
        <w:rPr>
          <w:rFonts w:ascii="Palatino Linotype" w:eastAsia="MS Mincho" w:hAnsi="Palatino Linotype"/>
        </w:rPr>
      </w:pPr>
    </w:p>
    <w:p w14:paraId="2569E7E7" w14:textId="77777777" w:rsidR="004B7893" w:rsidRDefault="004B7893" w:rsidP="000227FF">
      <w:pPr>
        <w:spacing w:after="0" w:line="360" w:lineRule="auto"/>
        <w:contextualSpacing/>
        <w:jc w:val="both"/>
        <w:rPr>
          <w:rFonts w:ascii="Palatino Linotype" w:eastAsia="MS Mincho" w:hAnsi="Palatino Linotype"/>
        </w:rPr>
      </w:pPr>
    </w:p>
    <w:p w14:paraId="6A377E08" w14:textId="77777777" w:rsidR="004B7893" w:rsidRDefault="004B7893" w:rsidP="000227FF">
      <w:pPr>
        <w:spacing w:after="0" w:line="360" w:lineRule="auto"/>
        <w:contextualSpacing/>
        <w:jc w:val="both"/>
        <w:rPr>
          <w:rFonts w:ascii="Palatino Linotype" w:eastAsia="MS Mincho" w:hAnsi="Palatino Linotype"/>
        </w:rPr>
      </w:pPr>
    </w:p>
    <w:p w14:paraId="6AB3F538" w14:textId="77777777" w:rsidR="004B7893" w:rsidRDefault="004B7893" w:rsidP="000227FF">
      <w:pPr>
        <w:spacing w:after="0" w:line="360" w:lineRule="auto"/>
        <w:contextualSpacing/>
        <w:jc w:val="both"/>
        <w:rPr>
          <w:rFonts w:ascii="Palatino Linotype" w:eastAsia="MS Mincho" w:hAnsi="Palatino Linotype"/>
        </w:rPr>
      </w:pPr>
    </w:p>
    <w:p w14:paraId="0CD47E92" w14:textId="77777777" w:rsidR="004B7893" w:rsidRDefault="004B7893" w:rsidP="000227FF">
      <w:pPr>
        <w:spacing w:after="0" w:line="360" w:lineRule="auto"/>
        <w:contextualSpacing/>
        <w:jc w:val="both"/>
        <w:rPr>
          <w:rFonts w:ascii="Palatino Linotype" w:eastAsia="MS Mincho" w:hAnsi="Palatino Linotype"/>
        </w:rPr>
      </w:pPr>
    </w:p>
    <w:p w14:paraId="0DA515B7" w14:textId="77777777" w:rsidR="004B7893" w:rsidRDefault="004B7893" w:rsidP="000227FF">
      <w:pPr>
        <w:spacing w:after="0" w:line="360" w:lineRule="auto"/>
        <w:contextualSpacing/>
        <w:jc w:val="both"/>
        <w:rPr>
          <w:rFonts w:ascii="Palatino Linotype" w:eastAsia="MS Mincho" w:hAnsi="Palatino Linotype"/>
        </w:rPr>
      </w:pPr>
    </w:p>
    <w:p w14:paraId="3199B05D" w14:textId="77777777" w:rsidR="004B7893" w:rsidRDefault="004B7893" w:rsidP="000227FF">
      <w:pPr>
        <w:spacing w:after="0" w:line="360" w:lineRule="auto"/>
        <w:contextualSpacing/>
        <w:jc w:val="both"/>
        <w:rPr>
          <w:rFonts w:ascii="Palatino Linotype" w:eastAsia="MS Mincho" w:hAnsi="Palatino Linotype"/>
        </w:rPr>
      </w:pPr>
    </w:p>
    <w:p w14:paraId="25204E82" w14:textId="77777777" w:rsidR="004B7893" w:rsidRDefault="004B7893" w:rsidP="000227FF">
      <w:pPr>
        <w:spacing w:after="0" w:line="360" w:lineRule="auto"/>
        <w:contextualSpacing/>
        <w:jc w:val="both"/>
        <w:rPr>
          <w:rFonts w:ascii="Palatino Linotype" w:eastAsia="MS Mincho" w:hAnsi="Palatino Linotype"/>
        </w:rPr>
      </w:pPr>
    </w:p>
    <w:p w14:paraId="70C7A63B" w14:textId="77777777" w:rsidR="004B7893" w:rsidRDefault="004B7893" w:rsidP="000227FF">
      <w:pPr>
        <w:spacing w:after="0" w:line="360" w:lineRule="auto"/>
        <w:contextualSpacing/>
        <w:jc w:val="both"/>
        <w:rPr>
          <w:rFonts w:ascii="Palatino Linotype" w:eastAsia="MS Mincho" w:hAnsi="Palatino Linotype"/>
        </w:rPr>
      </w:pPr>
    </w:p>
    <w:p w14:paraId="78A49A1E" w14:textId="77777777" w:rsidR="004B7893" w:rsidRDefault="004B7893" w:rsidP="000227FF">
      <w:pPr>
        <w:spacing w:after="0" w:line="360" w:lineRule="auto"/>
        <w:contextualSpacing/>
        <w:jc w:val="both"/>
        <w:rPr>
          <w:rFonts w:ascii="Palatino Linotype" w:eastAsia="MS Mincho" w:hAnsi="Palatino Linotype"/>
        </w:rPr>
      </w:pPr>
    </w:p>
    <w:p w14:paraId="2F4B9793" w14:textId="77777777" w:rsidR="004B7893" w:rsidRDefault="004B7893" w:rsidP="000227FF">
      <w:pPr>
        <w:spacing w:after="0" w:line="360" w:lineRule="auto"/>
        <w:contextualSpacing/>
        <w:jc w:val="both"/>
        <w:rPr>
          <w:rFonts w:ascii="Palatino Linotype" w:eastAsia="MS Mincho" w:hAnsi="Palatino Linotype"/>
        </w:rPr>
      </w:pPr>
    </w:p>
    <w:p w14:paraId="3B8124C7" w14:textId="77777777" w:rsidR="004B7893" w:rsidRDefault="004B7893" w:rsidP="000227FF">
      <w:pPr>
        <w:spacing w:after="0" w:line="360" w:lineRule="auto"/>
        <w:contextualSpacing/>
        <w:jc w:val="both"/>
        <w:rPr>
          <w:rFonts w:ascii="Palatino Linotype" w:eastAsia="MS Mincho" w:hAnsi="Palatino Linotype"/>
        </w:rPr>
      </w:pPr>
    </w:p>
    <w:p w14:paraId="39843301" w14:textId="77777777" w:rsidR="004B7893" w:rsidRDefault="004B7893" w:rsidP="000227FF">
      <w:pPr>
        <w:spacing w:after="0" w:line="360" w:lineRule="auto"/>
        <w:contextualSpacing/>
        <w:jc w:val="both"/>
        <w:rPr>
          <w:rFonts w:ascii="Palatino Linotype" w:eastAsia="MS Mincho" w:hAnsi="Palatino Linotype"/>
        </w:rPr>
      </w:pPr>
    </w:p>
    <w:p w14:paraId="2A6EFC84" w14:textId="77777777" w:rsidR="004B7893" w:rsidRDefault="004B7893" w:rsidP="000227FF">
      <w:pPr>
        <w:spacing w:after="0" w:line="360" w:lineRule="auto"/>
        <w:contextualSpacing/>
        <w:jc w:val="both"/>
        <w:rPr>
          <w:rFonts w:ascii="Palatino Linotype" w:eastAsia="MS Mincho" w:hAnsi="Palatino Linotype"/>
        </w:rPr>
      </w:pPr>
    </w:p>
    <w:p w14:paraId="0F9ABEC5" w14:textId="77777777" w:rsidR="004B7893" w:rsidRPr="000227FF" w:rsidRDefault="004B7893" w:rsidP="000227FF">
      <w:pPr>
        <w:spacing w:after="0" w:line="360" w:lineRule="auto"/>
        <w:contextualSpacing/>
        <w:jc w:val="both"/>
        <w:rPr>
          <w:rFonts w:ascii="Palatino Linotype" w:eastAsia="MS Mincho" w:hAnsi="Palatino Linotype"/>
        </w:rPr>
      </w:pPr>
    </w:p>
    <w:p w14:paraId="1906809B" w14:textId="77777777" w:rsidR="00424808" w:rsidRPr="000227FF" w:rsidRDefault="00424808" w:rsidP="000227FF">
      <w:pPr>
        <w:spacing w:after="0" w:line="360" w:lineRule="auto"/>
        <w:contextualSpacing/>
        <w:jc w:val="both"/>
        <w:rPr>
          <w:rFonts w:ascii="Palatino Linotype" w:eastAsia="MS Mincho" w:hAnsi="Palatino Linotype"/>
        </w:rPr>
      </w:pPr>
    </w:p>
    <w:p w14:paraId="3E7C4FA4" w14:textId="77777777" w:rsidR="00424808" w:rsidRPr="000227FF" w:rsidRDefault="00424808" w:rsidP="000227FF">
      <w:pPr>
        <w:spacing w:after="0" w:line="360" w:lineRule="auto"/>
        <w:contextualSpacing/>
        <w:jc w:val="both"/>
        <w:rPr>
          <w:rFonts w:ascii="Palatino Linotype" w:eastAsia="MS Mincho" w:hAnsi="Palatino Linotype"/>
        </w:rPr>
      </w:pPr>
    </w:p>
    <w:p w14:paraId="42081DB8" w14:textId="77777777" w:rsidR="00424808" w:rsidRPr="000227FF" w:rsidRDefault="00424808" w:rsidP="000227FF">
      <w:pPr>
        <w:spacing w:after="0" w:line="360" w:lineRule="auto"/>
        <w:contextualSpacing/>
        <w:jc w:val="both"/>
        <w:rPr>
          <w:rFonts w:ascii="Palatino Linotype" w:eastAsia="MS Mincho" w:hAnsi="Palatino Linotype"/>
        </w:rPr>
      </w:pPr>
    </w:p>
    <w:p w14:paraId="4C68FF33" w14:textId="77777777" w:rsidR="00424808" w:rsidRPr="000227FF" w:rsidRDefault="00424808" w:rsidP="000227FF">
      <w:pPr>
        <w:spacing w:after="0" w:line="360" w:lineRule="auto"/>
        <w:contextualSpacing/>
        <w:jc w:val="both"/>
        <w:rPr>
          <w:rFonts w:ascii="Palatino Linotype" w:eastAsia="MS Mincho" w:hAnsi="Palatino Linotype"/>
        </w:rPr>
      </w:pPr>
    </w:p>
    <w:p w14:paraId="73131BD2" w14:textId="77777777" w:rsidR="00424808" w:rsidRPr="000227FF" w:rsidRDefault="00424808" w:rsidP="000227FF">
      <w:pPr>
        <w:spacing w:after="0" w:line="360" w:lineRule="auto"/>
        <w:contextualSpacing/>
        <w:jc w:val="both"/>
        <w:rPr>
          <w:rFonts w:ascii="Palatino Linotype" w:eastAsia="MS Mincho" w:hAnsi="Palatino Linotype"/>
        </w:rPr>
      </w:pPr>
    </w:p>
    <w:p w14:paraId="3F1F2E64" w14:textId="77777777" w:rsidR="00424808" w:rsidRPr="000227FF" w:rsidRDefault="00424808" w:rsidP="000227FF">
      <w:pPr>
        <w:spacing w:after="0" w:line="360" w:lineRule="auto"/>
        <w:contextualSpacing/>
        <w:jc w:val="both"/>
        <w:rPr>
          <w:rFonts w:ascii="Palatino Linotype" w:eastAsia="MS Mincho" w:hAnsi="Palatino Linotype"/>
        </w:rPr>
      </w:pPr>
    </w:p>
    <w:sectPr w:rsidR="00424808" w:rsidRPr="000227FF" w:rsidSect="00FB4AAD">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E06EC" w14:textId="77777777" w:rsidR="0083267B" w:rsidRDefault="0083267B" w:rsidP="006168E4">
      <w:pPr>
        <w:spacing w:after="0" w:line="240" w:lineRule="auto"/>
      </w:pPr>
      <w:r>
        <w:separator/>
      </w:r>
    </w:p>
  </w:endnote>
  <w:endnote w:type="continuationSeparator" w:id="0">
    <w:p w14:paraId="5E7F9EB5" w14:textId="77777777" w:rsidR="0083267B" w:rsidRDefault="0083267B"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B624" w14:textId="77777777" w:rsidR="00872BA0" w:rsidRPr="000B69FA" w:rsidRDefault="00872BA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92EA8">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92EA8">
      <w:rPr>
        <w:rFonts w:ascii="Palatino Linotype" w:hAnsi="Palatino Linotype"/>
        <w:bCs/>
        <w:noProof/>
        <w:sz w:val="20"/>
      </w:rPr>
      <w:t>27</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1A35F" w14:textId="77777777" w:rsidR="00872BA0" w:rsidRPr="000B69FA" w:rsidRDefault="00872BA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92EA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92EA8">
      <w:rPr>
        <w:rFonts w:ascii="Palatino Linotype" w:hAnsi="Palatino Linotype"/>
        <w:bCs/>
        <w:noProof/>
        <w:sz w:val="20"/>
      </w:rPr>
      <w:t>27</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0DBB4" w14:textId="77777777" w:rsidR="0083267B" w:rsidRDefault="0083267B" w:rsidP="006168E4">
      <w:pPr>
        <w:spacing w:after="0" w:line="240" w:lineRule="auto"/>
      </w:pPr>
      <w:r>
        <w:separator/>
      </w:r>
    </w:p>
  </w:footnote>
  <w:footnote w:type="continuationSeparator" w:id="0">
    <w:p w14:paraId="4FB67F48" w14:textId="77777777" w:rsidR="0083267B" w:rsidRDefault="0083267B"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874E" w14:textId="77777777" w:rsidR="00872BA0" w:rsidRDefault="00872BA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01993DEB" wp14:editId="6EE91C3C">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872BA0" w14:paraId="5595743A" w14:textId="77777777" w:rsidTr="001640CC">
      <w:trPr>
        <w:trHeight w:val="227"/>
      </w:trPr>
      <w:tc>
        <w:tcPr>
          <w:tcW w:w="5529" w:type="dxa"/>
          <w:hideMark/>
        </w:tcPr>
        <w:p w14:paraId="23258358" w14:textId="77777777" w:rsidR="00872BA0" w:rsidRPr="00C9150F" w:rsidRDefault="00872BA0" w:rsidP="009A686F">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712C8FCC" w14:textId="57632D2E" w:rsidR="00872BA0" w:rsidRPr="00C9150F" w:rsidRDefault="00872BA0" w:rsidP="00AB7865">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w:t>
          </w:r>
          <w:r w:rsidR="00AF1C3F">
            <w:rPr>
              <w:rFonts w:ascii="Palatino Linotype" w:hAnsi="Palatino Linotype" w:cs="Arial"/>
              <w:b/>
              <w:bCs/>
              <w:sz w:val="24"/>
              <w:lang w:eastAsia="es-MX"/>
            </w:rPr>
            <w:t>2730</w:t>
          </w:r>
          <w:r>
            <w:rPr>
              <w:rFonts w:ascii="Palatino Linotype" w:hAnsi="Palatino Linotype" w:cs="Arial"/>
              <w:b/>
              <w:bCs/>
              <w:sz w:val="24"/>
              <w:lang w:eastAsia="es-MX"/>
            </w:rPr>
            <w:t>/INFOEM/IP/RR/2025</w:t>
          </w:r>
        </w:p>
      </w:tc>
    </w:tr>
    <w:tr w:rsidR="00872BA0" w14:paraId="717E51D2" w14:textId="77777777" w:rsidTr="001640CC">
      <w:trPr>
        <w:trHeight w:val="242"/>
      </w:trPr>
      <w:tc>
        <w:tcPr>
          <w:tcW w:w="5529" w:type="dxa"/>
          <w:hideMark/>
        </w:tcPr>
        <w:p w14:paraId="6198BD4B" w14:textId="77777777" w:rsidR="00872BA0" w:rsidRPr="00C9150F" w:rsidRDefault="00872BA0" w:rsidP="009A686F">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3BA2D97D" w14:textId="24DD0C5F" w:rsidR="00872BA0" w:rsidRPr="00C9150F" w:rsidRDefault="00872BA0" w:rsidP="00C9150F">
          <w:pPr>
            <w:spacing w:after="120" w:line="256" w:lineRule="auto"/>
            <w:ind w:left="639" w:right="214"/>
            <w:jc w:val="right"/>
            <w:rPr>
              <w:rFonts w:ascii="Palatino Linotype" w:hAnsi="Palatino Linotype" w:cs="Arial"/>
              <w:b/>
            </w:rPr>
          </w:pPr>
          <w:r>
            <w:rPr>
              <w:rFonts w:ascii="Palatino Linotype" w:hAnsi="Palatino Linotype" w:cs="Arial"/>
              <w:b/>
              <w:szCs w:val="20"/>
            </w:rPr>
            <w:t xml:space="preserve">Ayuntamiento de </w:t>
          </w:r>
          <w:r w:rsidR="00AF1C3F">
            <w:rPr>
              <w:rFonts w:ascii="Palatino Linotype" w:hAnsi="Palatino Linotype" w:cs="Arial"/>
              <w:b/>
              <w:szCs w:val="20"/>
            </w:rPr>
            <w:t>Cuautitlán Izcalli</w:t>
          </w:r>
        </w:p>
      </w:tc>
    </w:tr>
    <w:tr w:rsidR="00872BA0" w14:paraId="30392CC0" w14:textId="77777777" w:rsidTr="001640CC">
      <w:trPr>
        <w:trHeight w:val="342"/>
      </w:trPr>
      <w:tc>
        <w:tcPr>
          <w:tcW w:w="5529" w:type="dxa"/>
          <w:hideMark/>
        </w:tcPr>
        <w:p w14:paraId="1615D516" w14:textId="77777777" w:rsidR="00872BA0" w:rsidRPr="00C9150F" w:rsidRDefault="00872BA0" w:rsidP="009A686F">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5E9C60C4" w14:textId="77777777" w:rsidR="00872BA0" w:rsidRPr="00C9150F" w:rsidRDefault="00872BA0" w:rsidP="00C9150F">
          <w:pPr>
            <w:spacing w:after="120" w:line="256" w:lineRule="auto"/>
            <w:ind w:left="497" w:right="214" w:firstLine="142"/>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1C768AA8" w14:textId="77777777" w:rsidR="00872BA0" w:rsidRDefault="00872B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872BA0" w14:paraId="2F83FABD" w14:textId="77777777" w:rsidTr="001640CC">
      <w:trPr>
        <w:trHeight w:val="227"/>
      </w:trPr>
      <w:tc>
        <w:tcPr>
          <w:tcW w:w="5529" w:type="dxa"/>
          <w:hideMark/>
        </w:tcPr>
        <w:p w14:paraId="2224F4BC"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Recurso de Revisión N°:</w:t>
          </w:r>
        </w:p>
      </w:tc>
      <w:tc>
        <w:tcPr>
          <w:tcW w:w="4536" w:type="dxa"/>
          <w:hideMark/>
        </w:tcPr>
        <w:p w14:paraId="7ECD92C1" w14:textId="622B20C2" w:rsidR="00872BA0" w:rsidRPr="00C9150F" w:rsidRDefault="00872BA0" w:rsidP="009D2746">
          <w:pPr>
            <w:spacing w:after="120" w:line="256" w:lineRule="auto"/>
            <w:ind w:left="639" w:right="214"/>
            <w:jc w:val="right"/>
            <w:rPr>
              <w:rFonts w:ascii="Palatino Linotype" w:hAnsi="Palatino Linotype" w:cs="Arial"/>
              <w:b/>
              <w:szCs w:val="20"/>
            </w:rPr>
          </w:pPr>
          <w:r>
            <w:rPr>
              <w:rFonts w:ascii="Palatino Linotype" w:hAnsi="Palatino Linotype" w:cs="Arial"/>
              <w:b/>
              <w:bCs/>
              <w:sz w:val="24"/>
              <w:lang w:eastAsia="es-MX"/>
            </w:rPr>
            <w:t>0</w:t>
          </w:r>
          <w:r w:rsidR="00AF1C3F">
            <w:rPr>
              <w:rFonts w:ascii="Palatino Linotype" w:hAnsi="Palatino Linotype" w:cs="Arial"/>
              <w:b/>
              <w:bCs/>
              <w:sz w:val="24"/>
              <w:lang w:eastAsia="es-MX"/>
            </w:rPr>
            <w:t>2730</w:t>
          </w:r>
          <w:r>
            <w:rPr>
              <w:rFonts w:ascii="Palatino Linotype" w:hAnsi="Palatino Linotype" w:cs="Arial"/>
              <w:b/>
              <w:bCs/>
              <w:sz w:val="24"/>
              <w:lang w:eastAsia="es-MX"/>
            </w:rPr>
            <w:t>/INFOEM/IP/RR/2025</w:t>
          </w:r>
        </w:p>
      </w:tc>
    </w:tr>
    <w:tr w:rsidR="00872BA0" w14:paraId="4C16A313" w14:textId="77777777" w:rsidTr="001640CC">
      <w:trPr>
        <w:trHeight w:val="196"/>
      </w:trPr>
      <w:tc>
        <w:tcPr>
          <w:tcW w:w="5529" w:type="dxa"/>
          <w:hideMark/>
        </w:tcPr>
        <w:p w14:paraId="7536EB9D"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Recurrente:</w:t>
          </w:r>
        </w:p>
      </w:tc>
      <w:tc>
        <w:tcPr>
          <w:tcW w:w="4536" w:type="dxa"/>
          <w:hideMark/>
        </w:tcPr>
        <w:p w14:paraId="56F9E6C3" w14:textId="1DB94837" w:rsidR="00872BA0" w:rsidRPr="00C9150F" w:rsidRDefault="00792EA8" w:rsidP="00C9150F">
          <w:pPr>
            <w:spacing w:after="120" w:line="256" w:lineRule="auto"/>
            <w:ind w:left="639" w:right="214"/>
            <w:jc w:val="right"/>
            <w:rPr>
              <w:rFonts w:ascii="Palatino Linotype" w:hAnsi="Palatino Linotype" w:cs="Arial"/>
              <w:b/>
            </w:rPr>
          </w:pPr>
          <w:r>
            <w:rPr>
              <w:rFonts w:ascii="Palatino Linotype" w:hAnsi="Palatino Linotype" w:cs="Arial"/>
              <w:b/>
            </w:rPr>
            <w:t>XXXXXXXXXXXXXXXXXX</w:t>
          </w:r>
          <w:r w:rsidR="00AF1C3F">
            <w:rPr>
              <w:rFonts w:ascii="Palatino Linotype" w:hAnsi="Palatino Linotype" w:cs="Arial"/>
              <w:b/>
            </w:rPr>
            <w:t xml:space="preserve"> </w:t>
          </w:r>
        </w:p>
      </w:tc>
    </w:tr>
    <w:tr w:rsidR="00872BA0" w14:paraId="011A557E" w14:textId="77777777" w:rsidTr="001640CC">
      <w:trPr>
        <w:trHeight w:val="242"/>
      </w:trPr>
      <w:tc>
        <w:tcPr>
          <w:tcW w:w="5529" w:type="dxa"/>
          <w:hideMark/>
        </w:tcPr>
        <w:p w14:paraId="1B7B00BF" w14:textId="77777777" w:rsidR="00872BA0" w:rsidRPr="00C9150F" w:rsidRDefault="00872BA0" w:rsidP="00FB4AAD">
          <w:pPr>
            <w:spacing w:after="120" w:line="256" w:lineRule="auto"/>
            <w:ind w:right="204"/>
            <w:jc w:val="right"/>
            <w:rPr>
              <w:rFonts w:ascii="Palatino Linotype" w:hAnsi="Palatino Linotype" w:cs="Arial"/>
              <w:szCs w:val="20"/>
            </w:rPr>
          </w:pPr>
          <w:r w:rsidRPr="00C9150F">
            <w:rPr>
              <w:rFonts w:ascii="Palatino Linotype" w:hAnsi="Palatino Linotype" w:cs="Arial"/>
              <w:szCs w:val="20"/>
            </w:rPr>
            <w:t>Sujeto Obligado:</w:t>
          </w:r>
        </w:p>
      </w:tc>
      <w:tc>
        <w:tcPr>
          <w:tcW w:w="4536" w:type="dxa"/>
          <w:hideMark/>
        </w:tcPr>
        <w:p w14:paraId="58D867FE" w14:textId="595BB16B" w:rsidR="00872BA0" w:rsidRPr="00C9150F" w:rsidRDefault="00872BA0" w:rsidP="00C9150F">
          <w:pPr>
            <w:spacing w:after="120" w:line="256" w:lineRule="auto"/>
            <w:ind w:left="639" w:right="214"/>
            <w:jc w:val="right"/>
            <w:rPr>
              <w:rFonts w:ascii="Palatino Linotype" w:hAnsi="Palatino Linotype" w:cs="Arial"/>
              <w:b/>
              <w:szCs w:val="20"/>
            </w:rPr>
          </w:pPr>
          <w:r>
            <w:rPr>
              <w:rFonts w:ascii="Palatino Linotype" w:hAnsi="Palatino Linotype" w:cs="Arial"/>
              <w:b/>
              <w:szCs w:val="20"/>
            </w:rPr>
            <w:t xml:space="preserve">Ayuntamiento de </w:t>
          </w:r>
          <w:r w:rsidR="00AF1C3F">
            <w:rPr>
              <w:rFonts w:ascii="Palatino Linotype" w:hAnsi="Palatino Linotype" w:cs="Arial"/>
              <w:b/>
              <w:szCs w:val="20"/>
            </w:rPr>
            <w:t>Cuautitlán Izcalli</w:t>
          </w:r>
        </w:p>
      </w:tc>
    </w:tr>
    <w:tr w:rsidR="00872BA0" w14:paraId="019429A6" w14:textId="77777777" w:rsidTr="001640CC">
      <w:trPr>
        <w:trHeight w:val="342"/>
      </w:trPr>
      <w:tc>
        <w:tcPr>
          <w:tcW w:w="5529" w:type="dxa"/>
          <w:hideMark/>
        </w:tcPr>
        <w:p w14:paraId="6A4E6A8F" w14:textId="77777777" w:rsidR="00872BA0" w:rsidRPr="00C9150F" w:rsidRDefault="00872BA0" w:rsidP="00FB4AAD">
          <w:pPr>
            <w:tabs>
              <w:tab w:val="left" w:pos="4892"/>
            </w:tabs>
            <w:spacing w:after="120" w:line="256" w:lineRule="auto"/>
            <w:ind w:right="204"/>
            <w:jc w:val="right"/>
            <w:rPr>
              <w:rFonts w:ascii="Palatino Linotype" w:hAnsi="Palatino Linotype" w:cs="Arial"/>
              <w:szCs w:val="20"/>
            </w:rPr>
          </w:pPr>
          <w:r w:rsidRPr="00C9150F">
            <w:rPr>
              <w:rFonts w:ascii="Palatino Linotype" w:hAnsi="Palatino Linotype" w:cs="Arial"/>
              <w:szCs w:val="20"/>
            </w:rPr>
            <w:t>Comisionado Ponente:</w:t>
          </w:r>
        </w:p>
      </w:tc>
      <w:tc>
        <w:tcPr>
          <w:tcW w:w="4536" w:type="dxa"/>
          <w:hideMark/>
        </w:tcPr>
        <w:p w14:paraId="5D5ADB19" w14:textId="77777777" w:rsidR="00872BA0" w:rsidRPr="00C9150F" w:rsidRDefault="00872BA0" w:rsidP="00C9150F">
          <w:pPr>
            <w:spacing w:after="120" w:line="256" w:lineRule="auto"/>
            <w:ind w:left="639" w:right="214"/>
            <w:jc w:val="right"/>
            <w:rPr>
              <w:rFonts w:ascii="Palatino Linotype" w:hAnsi="Palatino Linotype" w:cs="Arial"/>
              <w:b/>
              <w:szCs w:val="20"/>
            </w:rPr>
          </w:pPr>
          <w:r w:rsidRPr="00C9150F">
            <w:rPr>
              <w:rFonts w:ascii="Palatino Linotype" w:hAnsi="Palatino Linotype" w:cs="Arial"/>
              <w:b/>
              <w:szCs w:val="20"/>
            </w:rPr>
            <w:t xml:space="preserve">José Martínez Vilchis </w:t>
          </w:r>
        </w:p>
      </w:tc>
    </w:tr>
  </w:tbl>
  <w:p w14:paraId="2C0E776F" w14:textId="77777777" w:rsidR="00872BA0" w:rsidRDefault="00872BA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FED2F04" wp14:editId="4931B68C">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B91"/>
    <w:multiLevelType w:val="hybridMultilevel"/>
    <w:tmpl w:val="72886F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F0C84"/>
    <w:multiLevelType w:val="hybridMultilevel"/>
    <w:tmpl w:val="8DAA1F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C54AD"/>
    <w:multiLevelType w:val="hybridMultilevel"/>
    <w:tmpl w:val="DE282032"/>
    <w:lvl w:ilvl="0" w:tplc="663A476A">
      <w:start w:val="1"/>
      <w:numFmt w:val="decimal"/>
      <w:lvlText w:val="%1."/>
      <w:lvlJc w:val="left"/>
      <w:pPr>
        <w:ind w:left="720" w:hanging="360"/>
      </w:pPr>
      <w:rPr>
        <w:b w:val="0"/>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81E09"/>
    <w:multiLevelType w:val="hybridMultilevel"/>
    <w:tmpl w:val="CC8A4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B1381"/>
    <w:multiLevelType w:val="hybridMultilevel"/>
    <w:tmpl w:val="7C4A8724"/>
    <w:lvl w:ilvl="0" w:tplc="FE0A61D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7"/>
  </w:num>
  <w:num w:numId="6">
    <w:abstractNumId w:val="1"/>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37E2"/>
    <w:rsid w:val="00010F2B"/>
    <w:rsid w:val="00020A70"/>
    <w:rsid w:val="00022604"/>
    <w:rsid w:val="000227FF"/>
    <w:rsid w:val="0002766F"/>
    <w:rsid w:val="000306A7"/>
    <w:rsid w:val="00031C92"/>
    <w:rsid w:val="00034F50"/>
    <w:rsid w:val="0004199A"/>
    <w:rsid w:val="00045379"/>
    <w:rsid w:val="000461DF"/>
    <w:rsid w:val="0005038D"/>
    <w:rsid w:val="00055224"/>
    <w:rsid w:val="0005543E"/>
    <w:rsid w:val="0005622A"/>
    <w:rsid w:val="00061821"/>
    <w:rsid w:val="000623F9"/>
    <w:rsid w:val="00062482"/>
    <w:rsid w:val="00063A10"/>
    <w:rsid w:val="00063EFB"/>
    <w:rsid w:val="000662F8"/>
    <w:rsid w:val="00071C21"/>
    <w:rsid w:val="00073E78"/>
    <w:rsid w:val="00090AFA"/>
    <w:rsid w:val="00090AFC"/>
    <w:rsid w:val="00091552"/>
    <w:rsid w:val="00091C3A"/>
    <w:rsid w:val="00092D06"/>
    <w:rsid w:val="00096DDB"/>
    <w:rsid w:val="00096F12"/>
    <w:rsid w:val="000A20B5"/>
    <w:rsid w:val="000A2D37"/>
    <w:rsid w:val="000A3486"/>
    <w:rsid w:val="000A4DD1"/>
    <w:rsid w:val="000A70F8"/>
    <w:rsid w:val="000A79DA"/>
    <w:rsid w:val="000B0073"/>
    <w:rsid w:val="000B4B51"/>
    <w:rsid w:val="000B7158"/>
    <w:rsid w:val="000C5B8B"/>
    <w:rsid w:val="000D1B55"/>
    <w:rsid w:val="000D3C75"/>
    <w:rsid w:val="000E4E21"/>
    <w:rsid w:val="000E686B"/>
    <w:rsid w:val="000F3379"/>
    <w:rsid w:val="000F3EE7"/>
    <w:rsid w:val="000F4653"/>
    <w:rsid w:val="000F68B1"/>
    <w:rsid w:val="000F6F19"/>
    <w:rsid w:val="000F7AC2"/>
    <w:rsid w:val="0010028E"/>
    <w:rsid w:val="00102D69"/>
    <w:rsid w:val="00110EDB"/>
    <w:rsid w:val="00111DCD"/>
    <w:rsid w:val="00111F3F"/>
    <w:rsid w:val="00114CF9"/>
    <w:rsid w:val="0011522F"/>
    <w:rsid w:val="001167AA"/>
    <w:rsid w:val="00117157"/>
    <w:rsid w:val="001207DE"/>
    <w:rsid w:val="00124855"/>
    <w:rsid w:val="001254F5"/>
    <w:rsid w:val="0012712B"/>
    <w:rsid w:val="001336D3"/>
    <w:rsid w:val="00136FAD"/>
    <w:rsid w:val="00144B4A"/>
    <w:rsid w:val="00146F0A"/>
    <w:rsid w:val="00147B36"/>
    <w:rsid w:val="001520A1"/>
    <w:rsid w:val="00152124"/>
    <w:rsid w:val="00152C2B"/>
    <w:rsid w:val="001640CC"/>
    <w:rsid w:val="00172661"/>
    <w:rsid w:val="001742A5"/>
    <w:rsid w:val="00174EE4"/>
    <w:rsid w:val="00175897"/>
    <w:rsid w:val="00175C56"/>
    <w:rsid w:val="00177D2C"/>
    <w:rsid w:val="001804C3"/>
    <w:rsid w:val="00180B9F"/>
    <w:rsid w:val="00181CC5"/>
    <w:rsid w:val="00191926"/>
    <w:rsid w:val="00191BCA"/>
    <w:rsid w:val="00192A11"/>
    <w:rsid w:val="00193784"/>
    <w:rsid w:val="00193FB6"/>
    <w:rsid w:val="001942EE"/>
    <w:rsid w:val="001A02EC"/>
    <w:rsid w:val="001A22D7"/>
    <w:rsid w:val="001A577E"/>
    <w:rsid w:val="001A58DE"/>
    <w:rsid w:val="001A7C9B"/>
    <w:rsid w:val="001B05B9"/>
    <w:rsid w:val="001B1519"/>
    <w:rsid w:val="001B7B88"/>
    <w:rsid w:val="001C2621"/>
    <w:rsid w:val="001C677E"/>
    <w:rsid w:val="001C6F1D"/>
    <w:rsid w:val="001C7319"/>
    <w:rsid w:val="001C7D87"/>
    <w:rsid w:val="001D3E87"/>
    <w:rsid w:val="001D5F16"/>
    <w:rsid w:val="001D6FAB"/>
    <w:rsid w:val="001D70AE"/>
    <w:rsid w:val="001D78FE"/>
    <w:rsid w:val="001E1D18"/>
    <w:rsid w:val="001F0A4F"/>
    <w:rsid w:val="001F574B"/>
    <w:rsid w:val="001F5B88"/>
    <w:rsid w:val="001F71ED"/>
    <w:rsid w:val="00203706"/>
    <w:rsid w:val="00203D3A"/>
    <w:rsid w:val="00203FF3"/>
    <w:rsid w:val="002044B4"/>
    <w:rsid w:val="00207086"/>
    <w:rsid w:val="00211D60"/>
    <w:rsid w:val="0021501E"/>
    <w:rsid w:val="00217202"/>
    <w:rsid w:val="0021770A"/>
    <w:rsid w:val="002205C0"/>
    <w:rsid w:val="0022363E"/>
    <w:rsid w:val="0022494A"/>
    <w:rsid w:val="00225507"/>
    <w:rsid w:val="002307A5"/>
    <w:rsid w:val="0023373D"/>
    <w:rsid w:val="0023423C"/>
    <w:rsid w:val="0024112D"/>
    <w:rsid w:val="00242C26"/>
    <w:rsid w:val="00244177"/>
    <w:rsid w:val="00254477"/>
    <w:rsid w:val="002550DC"/>
    <w:rsid w:val="00256860"/>
    <w:rsid w:val="002577FE"/>
    <w:rsid w:val="0025780C"/>
    <w:rsid w:val="00261D40"/>
    <w:rsid w:val="00266AE6"/>
    <w:rsid w:val="00273D0E"/>
    <w:rsid w:val="00280B8B"/>
    <w:rsid w:val="00281077"/>
    <w:rsid w:val="00281C65"/>
    <w:rsid w:val="00292350"/>
    <w:rsid w:val="00294C1E"/>
    <w:rsid w:val="00297EF9"/>
    <w:rsid w:val="002A2034"/>
    <w:rsid w:val="002A24F4"/>
    <w:rsid w:val="002A38BF"/>
    <w:rsid w:val="002A3E80"/>
    <w:rsid w:val="002A597E"/>
    <w:rsid w:val="002B0849"/>
    <w:rsid w:val="002B0FB9"/>
    <w:rsid w:val="002B1E05"/>
    <w:rsid w:val="002B3FB9"/>
    <w:rsid w:val="002B4382"/>
    <w:rsid w:val="002B5DBD"/>
    <w:rsid w:val="002B72F9"/>
    <w:rsid w:val="002C498D"/>
    <w:rsid w:val="002C4FE1"/>
    <w:rsid w:val="002C72D2"/>
    <w:rsid w:val="002D2F00"/>
    <w:rsid w:val="002D3D1D"/>
    <w:rsid w:val="002D79E2"/>
    <w:rsid w:val="002D7A5D"/>
    <w:rsid w:val="002E0A4A"/>
    <w:rsid w:val="002E0BC4"/>
    <w:rsid w:val="002E1396"/>
    <w:rsid w:val="002E21B4"/>
    <w:rsid w:val="002E2D7B"/>
    <w:rsid w:val="002E5E6A"/>
    <w:rsid w:val="002F0943"/>
    <w:rsid w:val="002F22FA"/>
    <w:rsid w:val="002F37BE"/>
    <w:rsid w:val="002F41CA"/>
    <w:rsid w:val="002F4C6A"/>
    <w:rsid w:val="002F70F6"/>
    <w:rsid w:val="00300D0B"/>
    <w:rsid w:val="003043BE"/>
    <w:rsid w:val="00306096"/>
    <w:rsid w:val="00306974"/>
    <w:rsid w:val="00307014"/>
    <w:rsid w:val="00313A1B"/>
    <w:rsid w:val="0031645D"/>
    <w:rsid w:val="00317B08"/>
    <w:rsid w:val="00320A67"/>
    <w:rsid w:val="00323B26"/>
    <w:rsid w:val="003272FB"/>
    <w:rsid w:val="00331499"/>
    <w:rsid w:val="0033580E"/>
    <w:rsid w:val="00342311"/>
    <w:rsid w:val="00343D1E"/>
    <w:rsid w:val="00345030"/>
    <w:rsid w:val="0034688E"/>
    <w:rsid w:val="00353E94"/>
    <w:rsid w:val="00354258"/>
    <w:rsid w:val="00355593"/>
    <w:rsid w:val="003556FE"/>
    <w:rsid w:val="00357E0E"/>
    <w:rsid w:val="00361B9C"/>
    <w:rsid w:val="003645AE"/>
    <w:rsid w:val="00364ABC"/>
    <w:rsid w:val="003672FB"/>
    <w:rsid w:val="00370797"/>
    <w:rsid w:val="00372F46"/>
    <w:rsid w:val="00373D34"/>
    <w:rsid w:val="003746C6"/>
    <w:rsid w:val="00375BEA"/>
    <w:rsid w:val="00376CEC"/>
    <w:rsid w:val="00377E17"/>
    <w:rsid w:val="00380758"/>
    <w:rsid w:val="003815E5"/>
    <w:rsid w:val="00381E2B"/>
    <w:rsid w:val="003878D8"/>
    <w:rsid w:val="00387929"/>
    <w:rsid w:val="00392164"/>
    <w:rsid w:val="00393D5B"/>
    <w:rsid w:val="0039460D"/>
    <w:rsid w:val="00394A1E"/>
    <w:rsid w:val="0039676C"/>
    <w:rsid w:val="003968C7"/>
    <w:rsid w:val="003A1E7C"/>
    <w:rsid w:val="003A2246"/>
    <w:rsid w:val="003A61F9"/>
    <w:rsid w:val="003A6975"/>
    <w:rsid w:val="003B1E88"/>
    <w:rsid w:val="003C467E"/>
    <w:rsid w:val="003C5243"/>
    <w:rsid w:val="003C53ED"/>
    <w:rsid w:val="003D0B7E"/>
    <w:rsid w:val="003D4E0F"/>
    <w:rsid w:val="003D63DC"/>
    <w:rsid w:val="003E16E1"/>
    <w:rsid w:val="003E1871"/>
    <w:rsid w:val="003E504D"/>
    <w:rsid w:val="003E64C1"/>
    <w:rsid w:val="003E656A"/>
    <w:rsid w:val="003E6FF0"/>
    <w:rsid w:val="003E78B7"/>
    <w:rsid w:val="003F3016"/>
    <w:rsid w:val="003F5D1E"/>
    <w:rsid w:val="003F6849"/>
    <w:rsid w:val="003F76E5"/>
    <w:rsid w:val="004012CF"/>
    <w:rsid w:val="00402FF3"/>
    <w:rsid w:val="0040673A"/>
    <w:rsid w:val="004069EB"/>
    <w:rsid w:val="00410ACB"/>
    <w:rsid w:val="00412600"/>
    <w:rsid w:val="00422ED2"/>
    <w:rsid w:val="00423213"/>
    <w:rsid w:val="0042416D"/>
    <w:rsid w:val="004247D2"/>
    <w:rsid w:val="00424808"/>
    <w:rsid w:val="0042735F"/>
    <w:rsid w:val="00434283"/>
    <w:rsid w:val="00436802"/>
    <w:rsid w:val="004413DB"/>
    <w:rsid w:val="00442E45"/>
    <w:rsid w:val="00443AD4"/>
    <w:rsid w:val="0044438E"/>
    <w:rsid w:val="00445C0F"/>
    <w:rsid w:val="00451448"/>
    <w:rsid w:val="004516EB"/>
    <w:rsid w:val="004529B6"/>
    <w:rsid w:val="00453DBD"/>
    <w:rsid w:val="00453FD8"/>
    <w:rsid w:val="00454CE6"/>
    <w:rsid w:val="00457305"/>
    <w:rsid w:val="00457955"/>
    <w:rsid w:val="00462881"/>
    <w:rsid w:val="004640F2"/>
    <w:rsid w:val="00467337"/>
    <w:rsid w:val="00472192"/>
    <w:rsid w:val="00475781"/>
    <w:rsid w:val="00475F48"/>
    <w:rsid w:val="00477CC2"/>
    <w:rsid w:val="00477D47"/>
    <w:rsid w:val="0048180A"/>
    <w:rsid w:val="00481C7A"/>
    <w:rsid w:val="00487DB5"/>
    <w:rsid w:val="004906C8"/>
    <w:rsid w:val="00492BC7"/>
    <w:rsid w:val="00496523"/>
    <w:rsid w:val="004967E2"/>
    <w:rsid w:val="004A290F"/>
    <w:rsid w:val="004A55D8"/>
    <w:rsid w:val="004A59AA"/>
    <w:rsid w:val="004A5F90"/>
    <w:rsid w:val="004A5FFD"/>
    <w:rsid w:val="004A7CE2"/>
    <w:rsid w:val="004B031A"/>
    <w:rsid w:val="004B0A54"/>
    <w:rsid w:val="004B234F"/>
    <w:rsid w:val="004B45C5"/>
    <w:rsid w:val="004B59BB"/>
    <w:rsid w:val="004B5CCC"/>
    <w:rsid w:val="004B7893"/>
    <w:rsid w:val="004C2845"/>
    <w:rsid w:val="004C499C"/>
    <w:rsid w:val="004C7961"/>
    <w:rsid w:val="004D08EB"/>
    <w:rsid w:val="004D10E9"/>
    <w:rsid w:val="004D172C"/>
    <w:rsid w:val="004D54E3"/>
    <w:rsid w:val="004E1A3D"/>
    <w:rsid w:val="004E2371"/>
    <w:rsid w:val="004E6BE9"/>
    <w:rsid w:val="004E754F"/>
    <w:rsid w:val="004F39AC"/>
    <w:rsid w:val="004F4F45"/>
    <w:rsid w:val="005001FE"/>
    <w:rsid w:val="005020E9"/>
    <w:rsid w:val="00503655"/>
    <w:rsid w:val="00504BE3"/>
    <w:rsid w:val="00506185"/>
    <w:rsid w:val="005067D2"/>
    <w:rsid w:val="00514086"/>
    <w:rsid w:val="00514207"/>
    <w:rsid w:val="005149BE"/>
    <w:rsid w:val="00515090"/>
    <w:rsid w:val="00515316"/>
    <w:rsid w:val="00516F25"/>
    <w:rsid w:val="005179E4"/>
    <w:rsid w:val="00521E57"/>
    <w:rsid w:val="005245CD"/>
    <w:rsid w:val="005305EA"/>
    <w:rsid w:val="00532746"/>
    <w:rsid w:val="0053287D"/>
    <w:rsid w:val="0053652A"/>
    <w:rsid w:val="005371E7"/>
    <w:rsid w:val="00537E4B"/>
    <w:rsid w:val="00540538"/>
    <w:rsid w:val="00542664"/>
    <w:rsid w:val="00544CF2"/>
    <w:rsid w:val="00551E8B"/>
    <w:rsid w:val="005520FE"/>
    <w:rsid w:val="0055263C"/>
    <w:rsid w:val="0055472B"/>
    <w:rsid w:val="00555D9A"/>
    <w:rsid w:val="00556513"/>
    <w:rsid w:val="00557F13"/>
    <w:rsid w:val="00560AB4"/>
    <w:rsid w:val="00562653"/>
    <w:rsid w:val="005662E2"/>
    <w:rsid w:val="005733EB"/>
    <w:rsid w:val="005734C5"/>
    <w:rsid w:val="005738E8"/>
    <w:rsid w:val="00576D51"/>
    <w:rsid w:val="00580802"/>
    <w:rsid w:val="00581A22"/>
    <w:rsid w:val="00581CFE"/>
    <w:rsid w:val="005858F0"/>
    <w:rsid w:val="005860CB"/>
    <w:rsid w:val="00586121"/>
    <w:rsid w:val="0059185E"/>
    <w:rsid w:val="00593A9E"/>
    <w:rsid w:val="00593E91"/>
    <w:rsid w:val="00593F24"/>
    <w:rsid w:val="0059442D"/>
    <w:rsid w:val="00594D38"/>
    <w:rsid w:val="005A0B49"/>
    <w:rsid w:val="005A353A"/>
    <w:rsid w:val="005A6656"/>
    <w:rsid w:val="005A6D57"/>
    <w:rsid w:val="005A71FD"/>
    <w:rsid w:val="005B27BB"/>
    <w:rsid w:val="005B3BF4"/>
    <w:rsid w:val="005B5B70"/>
    <w:rsid w:val="005B5CEF"/>
    <w:rsid w:val="005B5F05"/>
    <w:rsid w:val="005C17BF"/>
    <w:rsid w:val="005C2B8D"/>
    <w:rsid w:val="005C6982"/>
    <w:rsid w:val="005C6B74"/>
    <w:rsid w:val="005C6C81"/>
    <w:rsid w:val="005C7AEA"/>
    <w:rsid w:val="005D125D"/>
    <w:rsid w:val="005D2B59"/>
    <w:rsid w:val="005D362F"/>
    <w:rsid w:val="005D370F"/>
    <w:rsid w:val="005D44D1"/>
    <w:rsid w:val="005E265D"/>
    <w:rsid w:val="005E3D7D"/>
    <w:rsid w:val="005E4D7C"/>
    <w:rsid w:val="005F048E"/>
    <w:rsid w:val="005F57F0"/>
    <w:rsid w:val="00601010"/>
    <w:rsid w:val="006028C9"/>
    <w:rsid w:val="006038C0"/>
    <w:rsid w:val="0060721D"/>
    <w:rsid w:val="0061042F"/>
    <w:rsid w:val="00611768"/>
    <w:rsid w:val="00614EB8"/>
    <w:rsid w:val="006168E4"/>
    <w:rsid w:val="00621F47"/>
    <w:rsid w:val="006242F8"/>
    <w:rsid w:val="0062497C"/>
    <w:rsid w:val="00625200"/>
    <w:rsid w:val="006255AA"/>
    <w:rsid w:val="00631806"/>
    <w:rsid w:val="00637512"/>
    <w:rsid w:val="00640EE4"/>
    <w:rsid w:val="006466F5"/>
    <w:rsid w:val="00646794"/>
    <w:rsid w:val="0064679F"/>
    <w:rsid w:val="00652BC5"/>
    <w:rsid w:val="00657883"/>
    <w:rsid w:val="00661753"/>
    <w:rsid w:val="0066216F"/>
    <w:rsid w:val="00662ED1"/>
    <w:rsid w:val="00662FB0"/>
    <w:rsid w:val="006654F6"/>
    <w:rsid w:val="00670623"/>
    <w:rsid w:val="00675390"/>
    <w:rsid w:val="00676CAA"/>
    <w:rsid w:val="006830FB"/>
    <w:rsid w:val="006848B7"/>
    <w:rsid w:val="006868A7"/>
    <w:rsid w:val="006915EA"/>
    <w:rsid w:val="00694828"/>
    <w:rsid w:val="006A3810"/>
    <w:rsid w:val="006A68B8"/>
    <w:rsid w:val="006A7CEB"/>
    <w:rsid w:val="006B1953"/>
    <w:rsid w:val="006B1BF1"/>
    <w:rsid w:val="006B20F0"/>
    <w:rsid w:val="006B26E3"/>
    <w:rsid w:val="006B3085"/>
    <w:rsid w:val="006B37F2"/>
    <w:rsid w:val="006B4157"/>
    <w:rsid w:val="006B69CF"/>
    <w:rsid w:val="006B7444"/>
    <w:rsid w:val="006C28CA"/>
    <w:rsid w:val="006C350D"/>
    <w:rsid w:val="006C5E56"/>
    <w:rsid w:val="006C66E4"/>
    <w:rsid w:val="006D23FC"/>
    <w:rsid w:val="006D643D"/>
    <w:rsid w:val="006E063C"/>
    <w:rsid w:val="006E3851"/>
    <w:rsid w:val="006E42B6"/>
    <w:rsid w:val="006E76D3"/>
    <w:rsid w:val="006F1167"/>
    <w:rsid w:val="006F4044"/>
    <w:rsid w:val="006F46DC"/>
    <w:rsid w:val="006F50F5"/>
    <w:rsid w:val="007006BF"/>
    <w:rsid w:val="00701033"/>
    <w:rsid w:val="00701A3F"/>
    <w:rsid w:val="00712E3A"/>
    <w:rsid w:val="00721506"/>
    <w:rsid w:val="007216DB"/>
    <w:rsid w:val="007246D3"/>
    <w:rsid w:val="00725F5A"/>
    <w:rsid w:val="00727B9C"/>
    <w:rsid w:val="00730C1E"/>
    <w:rsid w:val="007404D5"/>
    <w:rsid w:val="00742F53"/>
    <w:rsid w:val="00744287"/>
    <w:rsid w:val="00744EEF"/>
    <w:rsid w:val="00745D76"/>
    <w:rsid w:val="00747487"/>
    <w:rsid w:val="007505EB"/>
    <w:rsid w:val="00754CAE"/>
    <w:rsid w:val="00763EE7"/>
    <w:rsid w:val="0076590D"/>
    <w:rsid w:val="0076623B"/>
    <w:rsid w:val="00767E4B"/>
    <w:rsid w:val="007718AD"/>
    <w:rsid w:val="007742A7"/>
    <w:rsid w:val="0077611B"/>
    <w:rsid w:val="00776A98"/>
    <w:rsid w:val="0078454A"/>
    <w:rsid w:val="00784E1E"/>
    <w:rsid w:val="007851D5"/>
    <w:rsid w:val="00792EA8"/>
    <w:rsid w:val="0079486A"/>
    <w:rsid w:val="00794F80"/>
    <w:rsid w:val="007A00E9"/>
    <w:rsid w:val="007A034A"/>
    <w:rsid w:val="007A0454"/>
    <w:rsid w:val="007A0E44"/>
    <w:rsid w:val="007A1C9E"/>
    <w:rsid w:val="007A277F"/>
    <w:rsid w:val="007A4CA1"/>
    <w:rsid w:val="007A5DFD"/>
    <w:rsid w:val="007B0398"/>
    <w:rsid w:val="007B2C77"/>
    <w:rsid w:val="007B2E78"/>
    <w:rsid w:val="007B6549"/>
    <w:rsid w:val="007B7F6B"/>
    <w:rsid w:val="007C1790"/>
    <w:rsid w:val="007C3F2F"/>
    <w:rsid w:val="007C6EC8"/>
    <w:rsid w:val="007D03F6"/>
    <w:rsid w:val="007D1A27"/>
    <w:rsid w:val="007D1B24"/>
    <w:rsid w:val="007D1F15"/>
    <w:rsid w:val="007D24EA"/>
    <w:rsid w:val="007D256D"/>
    <w:rsid w:val="007D25B1"/>
    <w:rsid w:val="007D2878"/>
    <w:rsid w:val="007E1140"/>
    <w:rsid w:val="007E307F"/>
    <w:rsid w:val="007E319E"/>
    <w:rsid w:val="007E4FA1"/>
    <w:rsid w:val="007E7B07"/>
    <w:rsid w:val="007E7BAB"/>
    <w:rsid w:val="007E7DCE"/>
    <w:rsid w:val="007E7FA9"/>
    <w:rsid w:val="007F1B77"/>
    <w:rsid w:val="007F20AC"/>
    <w:rsid w:val="00802C56"/>
    <w:rsid w:val="00807750"/>
    <w:rsid w:val="00807E35"/>
    <w:rsid w:val="00811205"/>
    <w:rsid w:val="00812C48"/>
    <w:rsid w:val="008146F9"/>
    <w:rsid w:val="00821AEB"/>
    <w:rsid w:val="00822648"/>
    <w:rsid w:val="00824DCD"/>
    <w:rsid w:val="0083267B"/>
    <w:rsid w:val="00833E8A"/>
    <w:rsid w:val="00844009"/>
    <w:rsid w:val="00844569"/>
    <w:rsid w:val="00844CDE"/>
    <w:rsid w:val="00845083"/>
    <w:rsid w:val="00847202"/>
    <w:rsid w:val="00847D23"/>
    <w:rsid w:val="00852901"/>
    <w:rsid w:val="0085339D"/>
    <w:rsid w:val="008556FF"/>
    <w:rsid w:val="008557D1"/>
    <w:rsid w:val="00857106"/>
    <w:rsid w:val="00857765"/>
    <w:rsid w:val="00863327"/>
    <w:rsid w:val="00863A40"/>
    <w:rsid w:val="00867F7E"/>
    <w:rsid w:val="00870F44"/>
    <w:rsid w:val="00872BA0"/>
    <w:rsid w:val="00872ECB"/>
    <w:rsid w:val="0087456A"/>
    <w:rsid w:val="00884054"/>
    <w:rsid w:val="00884BC6"/>
    <w:rsid w:val="00890B7A"/>
    <w:rsid w:val="00890C62"/>
    <w:rsid w:val="0089437B"/>
    <w:rsid w:val="00895089"/>
    <w:rsid w:val="008951ED"/>
    <w:rsid w:val="00895F77"/>
    <w:rsid w:val="0089761E"/>
    <w:rsid w:val="008977EE"/>
    <w:rsid w:val="008A3AD6"/>
    <w:rsid w:val="008A5928"/>
    <w:rsid w:val="008A7548"/>
    <w:rsid w:val="008A75BE"/>
    <w:rsid w:val="008B0D6E"/>
    <w:rsid w:val="008B1AD9"/>
    <w:rsid w:val="008B1D2E"/>
    <w:rsid w:val="008B4DF4"/>
    <w:rsid w:val="008C0582"/>
    <w:rsid w:val="008C08BE"/>
    <w:rsid w:val="008C229F"/>
    <w:rsid w:val="008C30DB"/>
    <w:rsid w:val="008C32A8"/>
    <w:rsid w:val="008C3445"/>
    <w:rsid w:val="008C4E94"/>
    <w:rsid w:val="008C55A3"/>
    <w:rsid w:val="008C7368"/>
    <w:rsid w:val="008D4122"/>
    <w:rsid w:val="008D57EA"/>
    <w:rsid w:val="008E6375"/>
    <w:rsid w:val="008F17A1"/>
    <w:rsid w:val="008F38E9"/>
    <w:rsid w:val="008F38EE"/>
    <w:rsid w:val="008F4C65"/>
    <w:rsid w:val="008F52F5"/>
    <w:rsid w:val="008F7579"/>
    <w:rsid w:val="00902944"/>
    <w:rsid w:val="00905422"/>
    <w:rsid w:val="00906BD5"/>
    <w:rsid w:val="009104D1"/>
    <w:rsid w:val="00911995"/>
    <w:rsid w:val="00913133"/>
    <w:rsid w:val="0091475B"/>
    <w:rsid w:val="0092081F"/>
    <w:rsid w:val="00921DB9"/>
    <w:rsid w:val="0092403D"/>
    <w:rsid w:val="00936162"/>
    <w:rsid w:val="009402DB"/>
    <w:rsid w:val="00942E41"/>
    <w:rsid w:val="009440D8"/>
    <w:rsid w:val="009449B8"/>
    <w:rsid w:val="00944DC9"/>
    <w:rsid w:val="009454E7"/>
    <w:rsid w:val="0094603F"/>
    <w:rsid w:val="00951C9C"/>
    <w:rsid w:val="009611E0"/>
    <w:rsid w:val="00962383"/>
    <w:rsid w:val="00963120"/>
    <w:rsid w:val="00965FEE"/>
    <w:rsid w:val="0096643B"/>
    <w:rsid w:val="009706B5"/>
    <w:rsid w:val="00972BDF"/>
    <w:rsid w:val="00973F49"/>
    <w:rsid w:val="009746BB"/>
    <w:rsid w:val="00976A26"/>
    <w:rsid w:val="009808EA"/>
    <w:rsid w:val="0098182D"/>
    <w:rsid w:val="00982A98"/>
    <w:rsid w:val="009855E2"/>
    <w:rsid w:val="00987C03"/>
    <w:rsid w:val="00992977"/>
    <w:rsid w:val="00992F79"/>
    <w:rsid w:val="0099557F"/>
    <w:rsid w:val="009A29DB"/>
    <w:rsid w:val="009A3511"/>
    <w:rsid w:val="009A686F"/>
    <w:rsid w:val="009A7912"/>
    <w:rsid w:val="009B049F"/>
    <w:rsid w:val="009B2286"/>
    <w:rsid w:val="009B33A8"/>
    <w:rsid w:val="009B3487"/>
    <w:rsid w:val="009B4631"/>
    <w:rsid w:val="009B7C61"/>
    <w:rsid w:val="009C2CB8"/>
    <w:rsid w:val="009C3793"/>
    <w:rsid w:val="009C62BD"/>
    <w:rsid w:val="009D26AD"/>
    <w:rsid w:val="009D2746"/>
    <w:rsid w:val="009D304A"/>
    <w:rsid w:val="009D341C"/>
    <w:rsid w:val="009E064D"/>
    <w:rsid w:val="009E1411"/>
    <w:rsid w:val="009E19FC"/>
    <w:rsid w:val="009E2316"/>
    <w:rsid w:val="009E52F2"/>
    <w:rsid w:val="009F33D4"/>
    <w:rsid w:val="009F3C1F"/>
    <w:rsid w:val="009F50E7"/>
    <w:rsid w:val="009F614E"/>
    <w:rsid w:val="009F762B"/>
    <w:rsid w:val="009F76BA"/>
    <w:rsid w:val="009F7E09"/>
    <w:rsid w:val="00A02047"/>
    <w:rsid w:val="00A035C0"/>
    <w:rsid w:val="00A036BE"/>
    <w:rsid w:val="00A0575E"/>
    <w:rsid w:val="00A12205"/>
    <w:rsid w:val="00A139AF"/>
    <w:rsid w:val="00A20113"/>
    <w:rsid w:val="00A22165"/>
    <w:rsid w:val="00A27C92"/>
    <w:rsid w:val="00A3248C"/>
    <w:rsid w:val="00A358E6"/>
    <w:rsid w:val="00A37C0F"/>
    <w:rsid w:val="00A422B7"/>
    <w:rsid w:val="00A44172"/>
    <w:rsid w:val="00A44291"/>
    <w:rsid w:val="00A44C75"/>
    <w:rsid w:val="00A44F65"/>
    <w:rsid w:val="00A453DC"/>
    <w:rsid w:val="00A47E33"/>
    <w:rsid w:val="00A50182"/>
    <w:rsid w:val="00A51024"/>
    <w:rsid w:val="00A51109"/>
    <w:rsid w:val="00A544DC"/>
    <w:rsid w:val="00A55818"/>
    <w:rsid w:val="00A56556"/>
    <w:rsid w:val="00A625E2"/>
    <w:rsid w:val="00A63DC7"/>
    <w:rsid w:val="00A66295"/>
    <w:rsid w:val="00A70289"/>
    <w:rsid w:val="00A70D1B"/>
    <w:rsid w:val="00A72105"/>
    <w:rsid w:val="00A72465"/>
    <w:rsid w:val="00A731CC"/>
    <w:rsid w:val="00A80C92"/>
    <w:rsid w:val="00A82461"/>
    <w:rsid w:val="00A8514D"/>
    <w:rsid w:val="00A851D8"/>
    <w:rsid w:val="00A870C4"/>
    <w:rsid w:val="00A87326"/>
    <w:rsid w:val="00A919CE"/>
    <w:rsid w:val="00A925C7"/>
    <w:rsid w:val="00A953BA"/>
    <w:rsid w:val="00A96F9F"/>
    <w:rsid w:val="00AA0848"/>
    <w:rsid w:val="00AA0AAF"/>
    <w:rsid w:val="00AA3807"/>
    <w:rsid w:val="00AA3C06"/>
    <w:rsid w:val="00AA56F6"/>
    <w:rsid w:val="00AA5D62"/>
    <w:rsid w:val="00AB205C"/>
    <w:rsid w:val="00AB2BF2"/>
    <w:rsid w:val="00AB2C85"/>
    <w:rsid w:val="00AB3710"/>
    <w:rsid w:val="00AB4B0F"/>
    <w:rsid w:val="00AB6C3B"/>
    <w:rsid w:val="00AB7865"/>
    <w:rsid w:val="00AB7F4A"/>
    <w:rsid w:val="00AC226E"/>
    <w:rsid w:val="00AC49DB"/>
    <w:rsid w:val="00AC6C0D"/>
    <w:rsid w:val="00AC722C"/>
    <w:rsid w:val="00AC7906"/>
    <w:rsid w:val="00AD0373"/>
    <w:rsid w:val="00AD1291"/>
    <w:rsid w:val="00AD134F"/>
    <w:rsid w:val="00AD179A"/>
    <w:rsid w:val="00AD198B"/>
    <w:rsid w:val="00AD22FC"/>
    <w:rsid w:val="00AD3428"/>
    <w:rsid w:val="00AD3AA2"/>
    <w:rsid w:val="00AD4B1A"/>
    <w:rsid w:val="00AE008F"/>
    <w:rsid w:val="00AE5F5C"/>
    <w:rsid w:val="00AE6CF8"/>
    <w:rsid w:val="00AF0161"/>
    <w:rsid w:val="00AF1C3F"/>
    <w:rsid w:val="00AF2A1F"/>
    <w:rsid w:val="00AF2D9B"/>
    <w:rsid w:val="00AF4355"/>
    <w:rsid w:val="00AF6029"/>
    <w:rsid w:val="00B00BAB"/>
    <w:rsid w:val="00B04432"/>
    <w:rsid w:val="00B0749B"/>
    <w:rsid w:val="00B10050"/>
    <w:rsid w:val="00B10A1E"/>
    <w:rsid w:val="00B11E08"/>
    <w:rsid w:val="00B14039"/>
    <w:rsid w:val="00B149FA"/>
    <w:rsid w:val="00B22242"/>
    <w:rsid w:val="00B2330D"/>
    <w:rsid w:val="00B32CD3"/>
    <w:rsid w:val="00B32F42"/>
    <w:rsid w:val="00B34CED"/>
    <w:rsid w:val="00B35A93"/>
    <w:rsid w:val="00B3672D"/>
    <w:rsid w:val="00B41E92"/>
    <w:rsid w:val="00B433C9"/>
    <w:rsid w:val="00B4745C"/>
    <w:rsid w:val="00B52D3E"/>
    <w:rsid w:val="00B56574"/>
    <w:rsid w:val="00B57980"/>
    <w:rsid w:val="00B579D8"/>
    <w:rsid w:val="00B601D4"/>
    <w:rsid w:val="00B63BC9"/>
    <w:rsid w:val="00B653BB"/>
    <w:rsid w:val="00B66E86"/>
    <w:rsid w:val="00B67A20"/>
    <w:rsid w:val="00B724E8"/>
    <w:rsid w:val="00B77BFF"/>
    <w:rsid w:val="00B82A24"/>
    <w:rsid w:val="00B86B2A"/>
    <w:rsid w:val="00B87D50"/>
    <w:rsid w:val="00B9223B"/>
    <w:rsid w:val="00B96AE6"/>
    <w:rsid w:val="00BA4D1F"/>
    <w:rsid w:val="00BA7AD1"/>
    <w:rsid w:val="00BB1BE6"/>
    <w:rsid w:val="00BB2250"/>
    <w:rsid w:val="00BB27F2"/>
    <w:rsid w:val="00BB721B"/>
    <w:rsid w:val="00BB77FD"/>
    <w:rsid w:val="00BC0FDD"/>
    <w:rsid w:val="00BC22E0"/>
    <w:rsid w:val="00BC2A46"/>
    <w:rsid w:val="00BC3FA4"/>
    <w:rsid w:val="00BD004A"/>
    <w:rsid w:val="00BD352C"/>
    <w:rsid w:val="00BD5023"/>
    <w:rsid w:val="00BD58AB"/>
    <w:rsid w:val="00BE28ED"/>
    <w:rsid w:val="00C008B2"/>
    <w:rsid w:val="00C01BD7"/>
    <w:rsid w:val="00C01F6B"/>
    <w:rsid w:val="00C12209"/>
    <w:rsid w:val="00C2092D"/>
    <w:rsid w:val="00C2390E"/>
    <w:rsid w:val="00C24A09"/>
    <w:rsid w:val="00C25084"/>
    <w:rsid w:val="00C30B0F"/>
    <w:rsid w:val="00C34257"/>
    <w:rsid w:val="00C342E1"/>
    <w:rsid w:val="00C357BE"/>
    <w:rsid w:val="00C56C44"/>
    <w:rsid w:val="00C6332C"/>
    <w:rsid w:val="00C65E41"/>
    <w:rsid w:val="00C71CD1"/>
    <w:rsid w:val="00C73143"/>
    <w:rsid w:val="00C77685"/>
    <w:rsid w:val="00C77815"/>
    <w:rsid w:val="00C77977"/>
    <w:rsid w:val="00C77ABA"/>
    <w:rsid w:val="00C81827"/>
    <w:rsid w:val="00C82490"/>
    <w:rsid w:val="00C82914"/>
    <w:rsid w:val="00C85378"/>
    <w:rsid w:val="00C9150F"/>
    <w:rsid w:val="00C91B10"/>
    <w:rsid w:val="00C9234C"/>
    <w:rsid w:val="00C9297C"/>
    <w:rsid w:val="00C971C0"/>
    <w:rsid w:val="00CA5334"/>
    <w:rsid w:val="00CA5789"/>
    <w:rsid w:val="00CA58BC"/>
    <w:rsid w:val="00CA6ED2"/>
    <w:rsid w:val="00CA6FDA"/>
    <w:rsid w:val="00CB0B52"/>
    <w:rsid w:val="00CB3B6F"/>
    <w:rsid w:val="00CB4566"/>
    <w:rsid w:val="00CC0C5F"/>
    <w:rsid w:val="00CC2F3D"/>
    <w:rsid w:val="00CC2FA9"/>
    <w:rsid w:val="00CC35D6"/>
    <w:rsid w:val="00CC5FF3"/>
    <w:rsid w:val="00CC6072"/>
    <w:rsid w:val="00CC7CF4"/>
    <w:rsid w:val="00CD365B"/>
    <w:rsid w:val="00CD4BFA"/>
    <w:rsid w:val="00CE0E72"/>
    <w:rsid w:val="00CE2ADF"/>
    <w:rsid w:val="00CE7BE7"/>
    <w:rsid w:val="00CF1C84"/>
    <w:rsid w:val="00CF1D7D"/>
    <w:rsid w:val="00CF2BDB"/>
    <w:rsid w:val="00CF45D3"/>
    <w:rsid w:val="00CF51F9"/>
    <w:rsid w:val="00CF6B6C"/>
    <w:rsid w:val="00CF7EA2"/>
    <w:rsid w:val="00D02854"/>
    <w:rsid w:val="00D03B6E"/>
    <w:rsid w:val="00D042BB"/>
    <w:rsid w:val="00D0583A"/>
    <w:rsid w:val="00D06CA0"/>
    <w:rsid w:val="00D071E6"/>
    <w:rsid w:val="00D115BB"/>
    <w:rsid w:val="00D11644"/>
    <w:rsid w:val="00D11797"/>
    <w:rsid w:val="00D12780"/>
    <w:rsid w:val="00D12C68"/>
    <w:rsid w:val="00D134FB"/>
    <w:rsid w:val="00D17789"/>
    <w:rsid w:val="00D21565"/>
    <w:rsid w:val="00D22F7D"/>
    <w:rsid w:val="00D25BEE"/>
    <w:rsid w:val="00D2737E"/>
    <w:rsid w:val="00D274A9"/>
    <w:rsid w:val="00D3042F"/>
    <w:rsid w:val="00D32644"/>
    <w:rsid w:val="00D33619"/>
    <w:rsid w:val="00D34301"/>
    <w:rsid w:val="00D346C6"/>
    <w:rsid w:val="00D42E5F"/>
    <w:rsid w:val="00D449AE"/>
    <w:rsid w:val="00D477C3"/>
    <w:rsid w:val="00D516E4"/>
    <w:rsid w:val="00D51B89"/>
    <w:rsid w:val="00D52AC7"/>
    <w:rsid w:val="00D54CA9"/>
    <w:rsid w:val="00D54D64"/>
    <w:rsid w:val="00D6340F"/>
    <w:rsid w:val="00D6535E"/>
    <w:rsid w:val="00D654EC"/>
    <w:rsid w:val="00D72D16"/>
    <w:rsid w:val="00D742B9"/>
    <w:rsid w:val="00D7492C"/>
    <w:rsid w:val="00D8195B"/>
    <w:rsid w:val="00D821F8"/>
    <w:rsid w:val="00D848F9"/>
    <w:rsid w:val="00D84DDC"/>
    <w:rsid w:val="00D85695"/>
    <w:rsid w:val="00D8619F"/>
    <w:rsid w:val="00D86764"/>
    <w:rsid w:val="00D9572F"/>
    <w:rsid w:val="00DA0DF2"/>
    <w:rsid w:val="00DA41D7"/>
    <w:rsid w:val="00DA458B"/>
    <w:rsid w:val="00DA494B"/>
    <w:rsid w:val="00DB5C0A"/>
    <w:rsid w:val="00DC17FC"/>
    <w:rsid w:val="00DC4B0A"/>
    <w:rsid w:val="00DD13E2"/>
    <w:rsid w:val="00DD5CA9"/>
    <w:rsid w:val="00DD61CA"/>
    <w:rsid w:val="00DE47A1"/>
    <w:rsid w:val="00DF003C"/>
    <w:rsid w:val="00DF1053"/>
    <w:rsid w:val="00DF137F"/>
    <w:rsid w:val="00DF1A69"/>
    <w:rsid w:val="00DF4501"/>
    <w:rsid w:val="00DF6971"/>
    <w:rsid w:val="00DF6D03"/>
    <w:rsid w:val="00DF78AE"/>
    <w:rsid w:val="00E00E78"/>
    <w:rsid w:val="00E04751"/>
    <w:rsid w:val="00E05057"/>
    <w:rsid w:val="00E076C1"/>
    <w:rsid w:val="00E11E2E"/>
    <w:rsid w:val="00E131D0"/>
    <w:rsid w:val="00E132E1"/>
    <w:rsid w:val="00E13C83"/>
    <w:rsid w:val="00E15555"/>
    <w:rsid w:val="00E15B7D"/>
    <w:rsid w:val="00E219FF"/>
    <w:rsid w:val="00E2408E"/>
    <w:rsid w:val="00E316A9"/>
    <w:rsid w:val="00E33038"/>
    <w:rsid w:val="00E36E7F"/>
    <w:rsid w:val="00E36FE4"/>
    <w:rsid w:val="00E371EC"/>
    <w:rsid w:val="00E43116"/>
    <w:rsid w:val="00E444DA"/>
    <w:rsid w:val="00E51578"/>
    <w:rsid w:val="00E5486C"/>
    <w:rsid w:val="00E571F8"/>
    <w:rsid w:val="00E64F0A"/>
    <w:rsid w:val="00E67472"/>
    <w:rsid w:val="00E67668"/>
    <w:rsid w:val="00E70AEE"/>
    <w:rsid w:val="00E7107E"/>
    <w:rsid w:val="00E71C93"/>
    <w:rsid w:val="00E72AE3"/>
    <w:rsid w:val="00E73B51"/>
    <w:rsid w:val="00E8151C"/>
    <w:rsid w:val="00E81E9C"/>
    <w:rsid w:val="00E82E15"/>
    <w:rsid w:val="00E936FF"/>
    <w:rsid w:val="00E939C8"/>
    <w:rsid w:val="00E93A33"/>
    <w:rsid w:val="00E93B6B"/>
    <w:rsid w:val="00E952B9"/>
    <w:rsid w:val="00E972D4"/>
    <w:rsid w:val="00EA1F89"/>
    <w:rsid w:val="00EB117B"/>
    <w:rsid w:val="00EB2BEB"/>
    <w:rsid w:val="00EB40D6"/>
    <w:rsid w:val="00EB4222"/>
    <w:rsid w:val="00EB5F75"/>
    <w:rsid w:val="00EB79CD"/>
    <w:rsid w:val="00EC6F87"/>
    <w:rsid w:val="00ED1652"/>
    <w:rsid w:val="00ED6EE9"/>
    <w:rsid w:val="00ED7FB3"/>
    <w:rsid w:val="00EE0F2E"/>
    <w:rsid w:val="00EE2610"/>
    <w:rsid w:val="00EE2A41"/>
    <w:rsid w:val="00EE354B"/>
    <w:rsid w:val="00EE3C1D"/>
    <w:rsid w:val="00EE6EC2"/>
    <w:rsid w:val="00EF09FB"/>
    <w:rsid w:val="00EF102E"/>
    <w:rsid w:val="00EF488A"/>
    <w:rsid w:val="00EF697A"/>
    <w:rsid w:val="00F01461"/>
    <w:rsid w:val="00F02923"/>
    <w:rsid w:val="00F0351B"/>
    <w:rsid w:val="00F06472"/>
    <w:rsid w:val="00F10A6C"/>
    <w:rsid w:val="00F11F2A"/>
    <w:rsid w:val="00F13254"/>
    <w:rsid w:val="00F13E32"/>
    <w:rsid w:val="00F1465C"/>
    <w:rsid w:val="00F14D30"/>
    <w:rsid w:val="00F177B1"/>
    <w:rsid w:val="00F22566"/>
    <w:rsid w:val="00F226DB"/>
    <w:rsid w:val="00F22963"/>
    <w:rsid w:val="00F232C2"/>
    <w:rsid w:val="00F24599"/>
    <w:rsid w:val="00F278FA"/>
    <w:rsid w:val="00F30F82"/>
    <w:rsid w:val="00F3130D"/>
    <w:rsid w:val="00F325DB"/>
    <w:rsid w:val="00F367F2"/>
    <w:rsid w:val="00F370A2"/>
    <w:rsid w:val="00F403EA"/>
    <w:rsid w:val="00F404AC"/>
    <w:rsid w:val="00F42753"/>
    <w:rsid w:val="00F42E10"/>
    <w:rsid w:val="00F44A7B"/>
    <w:rsid w:val="00F44FFA"/>
    <w:rsid w:val="00F45B6F"/>
    <w:rsid w:val="00F46C4E"/>
    <w:rsid w:val="00F510DB"/>
    <w:rsid w:val="00F5724D"/>
    <w:rsid w:val="00F60AB3"/>
    <w:rsid w:val="00F62329"/>
    <w:rsid w:val="00F65A74"/>
    <w:rsid w:val="00F70DD2"/>
    <w:rsid w:val="00F727B0"/>
    <w:rsid w:val="00F745A2"/>
    <w:rsid w:val="00F76A74"/>
    <w:rsid w:val="00F8070A"/>
    <w:rsid w:val="00F858D5"/>
    <w:rsid w:val="00F9076C"/>
    <w:rsid w:val="00F91AEE"/>
    <w:rsid w:val="00FA047C"/>
    <w:rsid w:val="00FA158C"/>
    <w:rsid w:val="00FA2545"/>
    <w:rsid w:val="00FA4037"/>
    <w:rsid w:val="00FB242A"/>
    <w:rsid w:val="00FB4AAD"/>
    <w:rsid w:val="00FB4E3D"/>
    <w:rsid w:val="00FB5F2A"/>
    <w:rsid w:val="00FB6CF8"/>
    <w:rsid w:val="00FC16E9"/>
    <w:rsid w:val="00FC279C"/>
    <w:rsid w:val="00FC45DE"/>
    <w:rsid w:val="00FC48CB"/>
    <w:rsid w:val="00FC4A26"/>
    <w:rsid w:val="00FC4F9B"/>
    <w:rsid w:val="00FC59F0"/>
    <w:rsid w:val="00FD4599"/>
    <w:rsid w:val="00FD4784"/>
    <w:rsid w:val="00FD65FE"/>
    <w:rsid w:val="00FD74EB"/>
    <w:rsid w:val="00FE20D3"/>
    <w:rsid w:val="00FE214F"/>
    <w:rsid w:val="00FE3433"/>
    <w:rsid w:val="00FE5797"/>
    <w:rsid w:val="00FE67F3"/>
    <w:rsid w:val="00FF1082"/>
    <w:rsid w:val="00FF4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636C"/>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44"/>
  </w:style>
  <w:style w:type="paragraph" w:styleId="Ttulo1">
    <w:name w:val="heading 1"/>
    <w:basedOn w:val="Normal"/>
    <w:next w:val="Normal"/>
    <w:link w:val="Ttulo1Car"/>
    <w:uiPriority w:val="9"/>
    <w:qFormat/>
    <w:rsid w:val="00CB0B52"/>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CB0B52"/>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CB0B52"/>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B0B52"/>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CB0B52"/>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CB0B5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B0B52"/>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B0B52"/>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B0B52"/>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Ttulo1Car">
    <w:name w:val="Título 1 Car"/>
    <w:basedOn w:val="Fuentedeprrafopredeter"/>
    <w:link w:val="Ttulo1"/>
    <w:uiPriority w:val="9"/>
    <w:rsid w:val="00CB0B52"/>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CB0B52"/>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B0B5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B0B52"/>
    <w:rPr>
      <w:rFonts w:eastAsiaTheme="minorEastAsia"/>
      <w:b/>
      <w:bCs/>
      <w:sz w:val="28"/>
      <w:szCs w:val="28"/>
      <w:lang w:val="en-US"/>
    </w:rPr>
  </w:style>
  <w:style w:type="character" w:customStyle="1" w:styleId="Ttulo5Car">
    <w:name w:val="Título 5 Car"/>
    <w:basedOn w:val="Fuentedeprrafopredeter"/>
    <w:link w:val="Ttulo5"/>
    <w:uiPriority w:val="9"/>
    <w:semiHidden/>
    <w:rsid w:val="00CB0B52"/>
    <w:rPr>
      <w:rFonts w:eastAsiaTheme="minorEastAsia"/>
      <w:b/>
      <w:bCs/>
      <w:i/>
      <w:iCs/>
      <w:sz w:val="26"/>
      <w:szCs w:val="26"/>
      <w:lang w:val="en-US"/>
    </w:rPr>
  </w:style>
  <w:style w:type="character" w:customStyle="1" w:styleId="Ttulo6Car">
    <w:name w:val="Título 6 Car"/>
    <w:basedOn w:val="Fuentedeprrafopredeter"/>
    <w:link w:val="Ttulo6"/>
    <w:rsid w:val="00CB0B5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B0B52"/>
    <w:rPr>
      <w:rFonts w:eastAsiaTheme="minorEastAsia"/>
      <w:sz w:val="24"/>
      <w:szCs w:val="24"/>
      <w:lang w:val="en-US"/>
    </w:rPr>
  </w:style>
  <w:style w:type="character" w:customStyle="1" w:styleId="Ttulo8Car">
    <w:name w:val="Título 8 Car"/>
    <w:basedOn w:val="Fuentedeprrafopredeter"/>
    <w:link w:val="Ttulo8"/>
    <w:uiPriority w:val="9"/>
    <w:semiHidden/>
    <w:rsid w:val="00CB0B52"/>
    <w:rPr>
      <w:rFonts w:eastAsiaTheme="minorEastAsia"/>
      <w:i/>
      <w:iCs/>
      <w:sz w:val="24"/>
      <w:szCs w:val="24"/>
      <w:lang w:val="en-US"/>
    </w:rPr>
  </w:style>
  <w:style w:type="character" w:customStyle="1" w:styleId="Ttulo9Car">
    <w:name w:val="Título 9 Car"/>
    <w:basedOn w:val="Fuentedeprrafopredeter"/>
    <w:link w:val="Ttulo9"/>
    <w:uiPriority w:val="9"/>
    <w:semiHidden/>
    <w:rsid w:val="00CB0B52"/>
    <w:rPr>
      <w:rFonts w:asciiTheme="majorHAnsi" w:eastAsiaTheme="majorEastAsia" w:hAnsiTheme="majorHAnsi" w:cstheme="majorBidi"/>
      <w:lang w:val="en-US"/>
    </w:rPr>
  </w:style>
  <w:style w:type="character" w:customStyle="1" w:styleId="markedcontent">
    <w:name w:val="markedcontent"/>
    <w:basedOn w:val="Fuentedeprrafopredeter"/>
    <w:rsid w:val="0064679F"/>
  </w:style>
  <w:style w:type="paragraph" w:customStyle="1" w:styleId="q">
    <w:name w:val="q"/>
    <w:basedOn w:val="Normal"/>
    <w:rsid w:val="007A034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711879880">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28328576">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39027914">
      <w:bodyDiv w:val="1"/>
      <w:marLeft w:val="0"/>
      <w:marRight w:val="0"/>
      <w:marTop w:val="0"/>
      <w:marBottom w:val="0"/>
      <w:divBdr>
        <w:top w:val="none" w:sz="0" w:space="0" w:color="auto"/>
        <w:left w:val="none" w:sz="0" w:space="0" w:color="auto"/>
        <w:bottom w:val="none" w:sz="0" w:space="0" w:color="auto"/>
        <w:right w:val="none" w:sz="0" w:space="0" w:color="auto"/>
      </w:divBdr>
    </w:div>
    <w:div w:id="946231510">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7905933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42425480">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0876643">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678386399">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17935945">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48292614">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01559976">
      <w:bodyDiv w:val="1"/>
      <w:marLeft w:val="0"/>
      <w:marRight w:val="0"/>
      <w:marTop w:val="0"/>
      <w:marBottom w:val="0"/>
      <w:divBdr>
        <w:top w:val="none" w:sz="0" w:space="0" w:color="auto"/>
        <w:left w:val="none" w:sz="0" w:space="0" w:color="auto"/>
        <w:bottom w:val="none" w:sz="0" w:space="0" w:color="auto"/>
        <w:right w:val="none" w:sz="0" w:space="0" w:color="auto"/>
      </w:divBdr>
    </w:div>
    <w:div w:id="2116748939">
      <w:bodyDiv w:val="1"/>
      <w:marLeft w:val="0"/>
      <w:marRight w:val="0"/>
      <w:marTop w:val="0"/>
      <w:marBottom w:val="0"/>
      <w:divBdr>
        <w:top w:val="none" w:sz="0" w:space="0" w:color="auto"/>
        <w:left w:val="none" w:sz="0" w:space="0" w:color="auto"/>
        <w:bottom w:val="none" w:sz="0" w:space="0" w:color="auto"/>
        <w:right w:val="none" w:sz="0" w:space="0" w:color="auto"/>
      </w:divBdr>
    </w:div>
    <w:div w:id="21190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7020-47C7-4FC4-B418-C2B7DD8E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27</Pages>
  <Words>4565</Words>
  <Characters>25109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21</cp:revision>
  <cp:lastPrinted>2019-11-07T00:56:00Z</cp:lastPrinted>
  <dcterms:created xsi:type="dcterms:W3CDTF">2025-03-10T20:35:00Z</dcterms:created>
  <dcterms:modified xsi:type="dcterms:W3CDTF">2025-04-29T18:37:00Z</dcterms:modified>
</cp:coreProperties>
</file>