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5D" w:rsidRPr="00591C1D" w:rsidRDefault="00AF71FF">
      <w:pPr>
        <w:tabs>
          <w:tab w:val="left" w:pos="0"/>
        </w:tabs>
        <w:spacing w:line="360" w:lineRule="auto"/>
        <w:ind w:right="-592"/>
        <w:jc w:val="both"/>
        <w:rPr>
          <w:rFonts w:ascii="Palatino Linotype" w:eastAsia="Palatino Linotype" w:hAnsi="Palatino Linotype" w:cs="Palatino Linotype"/>
        </w:rPr>
      </w:pPr>
      <w:r w:rsidRPr="00591C1D">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(06) de</w:t>
      </w:r>
      <w:r w:rsidR="003C1933" w:rsidRPr="00591C1D">
        <w:rPr>
          <w:rFonts w:ascii="Palatino Linotype" w:eastAsia="Palatino Linotype" w:hAnsi="Palatino Linotype" w:cs="Palatino Linotype"/>
        </w:rPr>
        <w:t xml:space="preserve"> febrero de dos mil veinticinco</w:t>
      </w:r>
      <w:r w:rsidRPr="00591C1D">
        <w:rPr>
          <w:rFonts w:ascii="Palatino Linotype" w:eastAsia="Palatino Linotype" w:hAnsi="Palatino Linotype" w:cs="Palatino Linotype"/>
        </w:rPr>
        <w:t xml:space="preserve">. </w:t>
      </w:r>
    </w:p>
    <w:p w:rsidR="00C34A5D" w:rsidRPr="00591C1D" w:rsidRDefault="00C34A5D">
      <w:pPr>
        <w:tabs>
          <w:tab w:val="left" w:pos="0"/>
        </w:tabs>
        <w:spacing w:line="360" w:lineRule="auto"/>
        <w:ind w:right="-592"/>
        <w:jc w:val="both"/>
        <w:rPr>
          <w:rFonts w:ascii="Palatino Linotype" w:eastAsia="Palatino Linotype" w:hAnsi="Palatino Linotype" w:cs="Palatino Linotype"/>
        </w:rPr>
      </w:pPr>
    </w:p>
    <w:p w:rsidR="00C34A5D" w:rsidRPr="00591C1D" w:rsidRDefault="00AF71FF">
      <w:pPr>
        <w:spacing w:line="360" w:lineRule="auto"/>
        <w:ind w:right="-592"/>
        <w:jc w:val="both"/>
        <w:rPr>
          <w:rFonts w:ascii="Palatino Linotype" w:eastAsia="Palatino Linotype" w:hAnsi="Palatino Linotype" w:cs="Palatino Linotype"/>
        </w:rPr>
      </w:pPr>
      <w:r w:rsidRPr="00591C1D">
        <w:rPr>
          <w:rFonts w:ascii="Palatino Linotype" w:eastAsia="Palatino Linotype" w:hAnsi="Palatino Linotype" w:cs="Palatino Linotype"/>
          <w:b/>
        </w:rPr>
        <w:t>VISTO</w:t>
      </w:r>
      <w:r w:rsidRPr="00591C1D">
        <w:rPr>
          <w:rFonts w:ascii="Palatino Linotype" w:eastAsia="Palatino Linotype" w:hAnsi="Palatino Linotype" w:cs="Palatino Linotype"/>
        </w:rPr>
        <w:t xml:space="preserve"> el expediente electrónico formado con motivo del recurso de revisión </w:t>
      </w:r>
      <w:r w:rsidRPr="00591C1D">
        <w:rPr>
          <w:rFonts w:ascii="Palatino Linotype" w:eastAsia="Palatino Linotype" w:hAnsi="Palatino Linotype" w:cs="Palatino Linotype"/>
          <w:b/>
        </w:rPr>
        <w:t xml:space="preserve">07298/INFOEM/IP/RR/2024, </w:t>
      </w:r>
      <w:r w:rsidRPr="00591C1D">
        <w:rPr>
          <w:rFonts w:ascii="Palatino Linotype" w:eastAsia="Palatino Linotype" w:hAnsi="Palatino Linotype" w:cs="Palatino Linotype"/>
        </w:rPr>
        <w:t xml:space="preserve">promovido por </w:t>
      </w:r>
      <w:r w:rsidR="00763FE0">
        <w:rPr>
          <w:rFonts w:ascii="Palatino Linotype" w:eastAsia="Palatino Linotype" w:hAnsi="Palatino Linotype" w:cs="Palatino Linotype"/>
          <w:b/>
        </w:rPr>
        <w:t xml:space="preserve">XXXX </w:t>
      </w:r>
      <w:proofErr w:type="spellStart"/>
      <w:r w:rsidR="00763FE0">
        <w:rPr>
          <w:rFonts w:ascii="Palatino Linotype" w:eastAsia="Palatino Linotype" w:hAnsi="Palatino Linotype" w:cs="Palatino Linotype"/>
          <w:b/>
        </w:rPr>
        <w:t>XXXX</w:t>
      </w:r>
      <w:proofErr w:type="spellEnd"/>
      <w:r w:rsidR="00763FE0">
        <w:rPr>
          <w:rFonts w:ascii="Palatino Linotype" w:eastAsia="Palatino Linotype" w:hAnsi="Palatino Linotype" w:cs="Palatino Linotype"/>
          <w:b/>
        </w:rPr>
        <w:t xml:space="preserve"> XXX</w:t>
      </w:r>
      <w:r w:rsidRPr="00591C1D">
        <w:rPr>
          <w:rFonts w:ascii="Palatino Linotype" w:eastAsia="Palatino Linotype" w:hAnsi="Palatino Linotype" w:cs="Palatino Linotype"/>
        </w:rPr>
        <w:t xml:space="preserve">, a quien en lo sucesivo se le identificara como </w:t>
      </w:r>
      <w:r w:rsidRPr="00591C1D">
        <w:rPr>
          <w:rFonts w:ascii="Palatino Linotype" w:eastAsia="Palatino Linotype" w:hAnsi="Palatino Linotype" w:cs="Palatino Linotype"/>
          <w:b/>
        </w:rPr>
        <w:t>RECURRENTE</w:t>
      </w:r>
      <w:r w:rsidRPr="00591C1D">
        <w:rPr>
          <w:rFonts w:ascii="Palatino Linotype" w:eastAsia="Palatino Linotype" w:hAnsi="Palatino Linotype" w:cs="Palatino Linotype"/>
        </w:rPr>
        <w:t xml:space="preserve">, en contra de la respuesta del </w:t>
      </w:r>
      <w:r w:rsidRPr="00591C1D">
        <w:rPr>
          <w:rFonts w:ascii="Palatino Linotype" w:eastAsia="Palatino Linotype" w:hAnsi="Palatino Linotype" w:cs="Palatino Linotype"/>
          <w:b/>
        </w:rPr>
        <w:t xml:space="preserve">Tribunal Estatal de Conciliación y Arbitraje, </w:t>
      </w:r>
      <w:r w:rsidRPr="00591C1D">
        <w:rPr>
          <w:rFonts w:ascii="Palatino Linotype" w:eastAsia="Palatino Linotype" w:hAnsi="Palatino Linotype" w:cs="Palatino Linotype"/>
        </w:rPr>
        <w:t>en adelante el</w:t>
      </w:r>
      <w:r w:rsidRPr="00591C1D">
        <w:rPr>
          <w:rFonts w:ascii="Palatino Linotype" w:eastAsia="Palatino Linotype" w:hAnsi="Palatino Linotype" w:cs="Palatino Linotype"/>
          <w:b/>
        </w:rPr>
        <w:t xml:space="preserve"> SUJETO OBLIGADO, </w:t>
      </w:r>
      <w:r w:rsidRPr="00591C1D">
        <w:rPr>
          <w:rFonts w:ascii="Palatino Linotype" w:eastAsia="Palatino Linotype" w:hAnsi="Palatino Linotype" w:cs="Palatino Linotype"/>
        </w:rPr>
        <w:t xml:space="preserve">se procede a dictar la presente resolución, con base en los siguientes: </w:t>
      </w:r>
    </w:p>
    <w:p w:rsidR="00C34A5D" w:rsidRPr="00591C1D" w:rsidRDefault="00C34A5D">
      <w:pPr>
        <w:spacing w:line="360" w:lineRule="auto"/>
        <w:ind w:right="-592"/>
        <w:jc w:val="both"/>
        <w:rPr>
          <w:rFonts w:ascii="Palatino Linotype" w:eastAsia="Palatino Linotype" w:hAnsi="Palatino Linotype" w:cs="Palatino Linotype"/>
        </w:rPr>
      </w:pPr>
    </w:p>
    <w:p w:rsidR="00C34A5D" w:rsidRPr="00591C1D" w:rsidRDefault="00AF71FF">
      <w:pPr>
        <w:keepNext/>
        <w:keepLines/>
        <w:tabs>
          <w:tab w:val="left" w:pos="0"/>
        </w:tabs>
        <w:spacing w:line="360" w:lineRule="auto"/>
        <w:ind w:right="-592"/>
        <w:jc w:val="center"/>
        <w:rPr>
          <w:rFonts w:ascii="Palatino Linotype" w:eastAsia="Palatino Linotype" w:hAnsi="Palatino Linotype" w:cs="Palatino Linotype"/>
          <w:b/>
        </w:rPr>
      </w:pPr>
      <w:bookmarkStart w:id="0" w:name="_heading=h.gjdgxs" w:colFirst="0" w:colLast="0"/>
      <w:bookmarkEnd w:id="0"/>
      <w:r w:rsidRPr="00591C1D">
        <w:rPr>
          <w:rFonts w:ascii="Palatino Linotype" w:eastAsia="Palatino Linotype" w:hAnsi="Palatino Linotype" w:cs="Palatino Linotype"/>
          <w:b/>
        </w:rPr>
        <w:t>A N T E C E D E N T E S</w:t>
      </w:r>
    </w:p>
    <w:p w:rsidR="00C34A5D" w:rsidRPr="00591C1D" w:rsidRDefault="00C34A5D">
      <w:pPr>
        <w:keepNext/>
        <w:keepLines/>
        <w:tabs>
          <w:tab w:val="left" w:pos="0"/>
        </w:tabs>
        <w:spacing w:line="360" w:lineRule="auto"/>
        <w:ind w:right="-592"/>
        <w:jc w:val="center"/>
        <w:rPr>
          <w:rFonts w:ascii="Palatino Linotype" w:eastAsia="Palatino Linotype" w:hAnsi="Palatino Linotype" w:cs="Palatino Linotype"/>
          <w:b/>
        </w:rPr>
      </w:pPr>
    </w:p>
    <w:p w:rsidR="00C34A5D" w:rsidRPr="00591C1D" w:rsidRDefault="00AF71FF">
      <w:pPr>
        <w:numPr>
          <w:ilvl w:val="0"/>
          <w:numId w:val="1"/>
        </w:numPr>
        <w:tabs>
          <w:tab w:val="left" w:pos="0"/>
        </w:tabs>
        <w:spacing w:line="360" w:lineRule="auto"/>
        <w:ind w:left="0" w:right="-592" w:firstLine="0"/>
        <w:jc w:val="both"/>
      </w:pPr>
      <w:r w:rsidRPr="00591C1D">
        <w:rPr>
          <w:rFonts w:ascii="Palatino Linotype" w:eastAsia="Palatino Linotype" w:hAnsi="Palatino Linotype" w:cs="Palatino Linotype"/>
        </w:rPr>
        <w:t xml:space="preserve">El </w:t>
      </w:r>
      <w:r w:rsidRPr="00591C1D">
        <w:rPr>
          <w:rFonts w:ascii="Palatino Linotype" w:eastAsia="Palatino Linotype" w:hAnsi="Palatino Linotype" w:cs="Palatino Linotype"/>
          <w:b/>
        </w:rPr>
        <w:t>veintiocho de octubre de dos mil veinticuatro</w:t>
      </w:r>
      <w:r w:rsidRPr="00591C1D">
        <w:rPr>
          <w:rFonts w:ascii="Palatino Linotype" w:eastAsia="Palatino Linotype" w:hAnsi="Palatino Linotype" w:cs="Palatino Linotype"/>
        </w:rPr>
        <w:t>, el</w:t>
      </w:r>
      <w:r w:rsidRPr="00591C1D">
        <w:rPr>
          <w:rFonts w:ascii="Palatino Linotype" w:eastAsia="Palatino Linotype" w:hAnsi="Palatino Linotype" w:cs="Palatino Linotype"/>
          <w:b/>
        </w:rPr>
        <w:t xml:space="preserve"> </w:t>
      </w:r>
      <w:r w:rsidRPr="00591C1D">
        <w:rPr>
          <w:rFonts w:ascii="Palatino Linotype" w:eastAsia="Palatino Linotype" w:hAnsi="Palatino Linotype" w:cs="Palatino Linotype"/>
        </w:rPr>
        <w:t>solicitante</w:t>
      </w:r>
      <w:r w:rsidRPr="00591C1D">
        <w:rPr>
          <w:rFonts w:ascii="Palatino Linotype" w:eastAsia="Palatino Linotype" w:hAnsi="Palatino Linotype" w:cs="Palatino Linotype"/>
          <w:b/>
        </w:rPr>
        <w:t xml:space="preserve">  </w:t>
      </w:r>
      <w:r w:rsidRPr="00591C1D">
        <w:rPr>
          <w:rFonts w:ascii="Palatino Linotype" w:eastAsia="Palatino Linotype" w:hAnsi="Palatino Linotype" w:cs="Palatino Linotype"/>
        </w:rPr>
        <w:t>presentó</w:t>
      </w:r>
      <w:r w:rsidRPr="00591C1D">
        <w:rPr>
          <w:rFonts w:ascii="Palatino Linotype" w:eastAsia="Palatino Linotype" w:hAnsi="Palatino Linotype" w:cs="Palatino Linotype"/>
          <w:b/>
        </w:rPr>
        <w:t xml:space="preserve"> </w:t>
      </w:r>
      <w:r w:rsidRPr="00591C1D">
        <w:rPr>
          <w:rFonts w:ascii="Palatino Linotype" w:eastAsia="Palatino Linotype" w:hAnsi="Palatino Linotype" w:cs="Palatino Linotype"/>
        </w:rPr>
        <w:t xml:space="preserve">ante el </w:t>
      </w:r>
      <w:r w:rsidRPr="00591C1D">
        <w:rPr>
          <w:rFonts w:ascii="Palatino Linotype" w:eastAsia="Palatino Linotype" w:hAnsi="Palatino Linotype" w:cs="Palatino Linotype"/>
          <w:b/>
        </w:rPr>
        <w:t>SUJETO OBLIGADO,</w:t>
      </w:r>
      <w:r w:rsidRPr="00591C1D">
        <w:rPr>
          <w:rFonts w:ascii="Palatino Linotype" w:eastAsia="Palatino Linotype" w:hAnsi="Palatino Linotype" w:cs="Palatino Linotype"/>
        </w:rPr>
        <w:t xml:space="preserve"> a través del Sistema de Acceso a la Información Mexiquense (SAIMEX), la solicitud de información pública registrada con el número </w:t>
      </w:r>
      <w:r w:rsidRPr="00591C1D">
        <w:rPr>
          <w:rFonts w:ascii="Palatino Linotype" w:eastAsia="Palatino Linotype" w:hAnsi="Palatino Linotype" w:cs="Palatino Linotype"/>
          <w:b/>
        </w:rPr>
        <w:t> 00104/TRIECA/IP/2024</w:t>
      </w:r>
      <w:r w:rsidRPr="00591C1D">
        <w:rPr>
          <w:rFonts w:ascii="Palatino Linotype" w:eastAsia="Palatino Linotype" w:hAnsi="Palatino Linotype" w:cs="Palatino Linotype"/>
        </w:rPr>
        <w:t>, en la que se solicitó:</w:t>
      </w:r>
    </w:p>
    <w:p w:rsidR="00C34A5D" w:rsidRPr="00591C1D" w:rsidRDefault="00C34A5D">
      <w:pPr>
        <w:tabs>
          <w:tab w:val="left" w:pos="0"/>
        </w:tabs>
        <w:spacing w:line="360" w:lineRule="auto"/>
        <w:ind w:left="360" w:right="-592"/>
        <w:jc w:val="both"/>
        <w:rPr>
          <w:rFonts w:ascii="Palatino Linotype" w:eastAsia="Palatino Linotype" w:hAnsi="Palatino Linotype" w:cs="Palatino Linotype"/>
        </w:rPr>
      </w:pPr>
    </w:p>
    <w:p w:rsidR="00C34A5D" w:rsidRPr="00591C1D" w:rsidRDefault="00AF71FF">
      <w:pPr>
        <w:tabs>
          <w:tab w:val="left" w:pos="0"/>
        </w:tabs>
        <w:spacing w:line="360" w:lineRule="auto"/>
        <w:ind w:left="567" w:right="-592"/>
        <w:jc w:val="both"/>
        <w:rPr>
          <w:rFonts w:ascii="Palatino Linotype" w:eastAsia="Palatino Linotype" w:hAnsi="Palatino Linotype" w:cs="Palatino Linotype"/>
          <w:i/>
        </w:rPr>
      </w:pPr>
      <w:r w:rsidRPr="00591C1D">
        <w:rPr>
          <w:rFonts w:ascii="Palatino Linotype" w:eastAsia="Palatino Linotype" w:hAnsi="Palatino Linotype" w:cs="Palatino Linotype"/>
          <w:i/>
        </w:rPr>
        <w:t>“</w:t>
      </w:r>
      <w:r w:rsidRPr="00591C1D">
        <w:rPr>
          <w:rFonts w:ascii="Palatino Linotype" w:eastAsia="Palatino Linotype" w:hAnsi="Palatino Linotype" w:cs="Palatino Linotype"/>
          <w:i/>
          <w:color w:val="000000"/>
        </w:rPr>
        <w:t>POR FAVOR LA SIGUIENTE INFORMACIÓN PÚBLICA: 1.- ¿CUANTOS DEMANDAS DE TIPO LABORAL (LAUDOS LABORALES) HAY AL DIA DE HOY CONTRA EL H. AYU</w:t>
      </w:r>
      <w:bookmarkStart w:id="1" w:name="_GoBack"/>
      <w:r w:rsidRPr="00591C1D">
        <w:rPr>
          <w:rFonts w:ascii="Palatino Linotype" w:eastAsia="Palatino Linotype" w:hAnsi="Palatino Linotype" w:cs="Palatino Linotype"/>
          <w:i/>
          <w:color w:val="000000"/>
        </w:rPr>
        <w:t>NTAMIENTO DE ZACUALPAN ESTADO DE MÉXICO Y EL NOMBRE DE LOS PROMOVENTES O EX TRABAJADORES QUE DEMANDARON? 2.- ¿CUANTAS ORDENES DE EMBARGO HAY AL DIA DE HOY CONTRA EL H. AYUNTAMIENTO DE ZACUALPAN EDOMEX? 3.- ¿EL N</w:t>
      </w:r>
      <w:bookmarkEnd w:id="1"/>
      <w:r w:rsidRPr="00591C1D">
        <w:rPr>
          <w:rFonts w:ascii="Palatino Linotype" w:eastAsia="Palatino Linotype" w:hAnsi="Palatino Linotype" w:cs="Palatino Linotype"/>
          <w:i/>
          <w:color w:val="000000"/>
        </w:rPr>
        <w:t xml:space="preserve">OMBRE DE LAS PERSONAS O EX TRABAJADORES QUE GANARON TALES DEMANDAS PARA </w:t>
      </w:r>
      <w:r w:rsidRPr="00591C1D">
        <w:rPr>
          <w:rFonts w:ascii="Palatino Linotype" w:eastAsia="Palatino Linotype" w:hAnsi="Palatino Linotype" w:cs="Palatino Linotype"/>
          <w:i/>
          <w:color w:val="000000"/>
        </w:rPr>
        <w:lastRenderedPageBreak/>
        <w:t>PODER LOGRAR ESOS EMBARGOS? 4.- ¿MONTO MONETARIO DE ESOS EMBARGOS DE CADA ACTOR O PROMOVENTE? GRACIAS ¡¡¡</w:t>
      </w:r>
      <w:r w:rsidRPr="00591C1D">
        <w:rPr>
          <w:rFonts w:ascii="Palatino Linotype" w:eastAsia="Palatino Linotype" w:hAnsi="Palatino Linotype" w:cs="Palatino Linotype"/>
          <w:i/>
        </w:rPr>
        <w:t>” (Sic)</w:t>
      </w:r>
    </w:p>
    <w:p w:rsidR="00C34A5D" w:rsidRPr="00591C1D" w:rsidRDefault="00C34A5D">
      <w:pPr>
        <w:tabs>
          <w:tab w:val="left" w:pos="0"/>
        </w:tabs>
        <w:spacing w:line="360" w:lineRule="auto"/>
        <w:ind w:right="-592"/>
        <w:jc w:val="both"/>
        <w:rPr>
          <w:rFonts w:ascii="Palatino Linotype" w:eastAsia="Palatino Linotype" w:hAnsi="Palatino Linotype" w:cs="Palatino Linotype"/>
        </w:rPr>
      </w:pPr>
    </w:p>
    <w:p w:rsidR="00C34A5D" w:rsidRPr="00591C1D" w:rsidRDefault="00AF71FF">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Se hace constar que se señaló como modalidad de entrega de la información a través de SAIMEX y correo electrónico. </w:t>
      </w:r>
    </w:p>
    <w:p w:rsidR="00C34A5D" w:rsidRPr="00591C1D" w:rsidRDefault="00C34A5D">
      <w:pPr>
        <w:ind w:right="-592"/>
        <w:rPr>
          <w:rFonts w:ascii="Palatino Linotype" w:eastAsia="Palatino Linotype" w:hAnsi="Palatino Linotype" w:cs="Palatino Linotype"/>
        </w:rPr>
      </w:pPr>
    </w:p>
    <w:p w:rsidR="00C34A5D" w:rsidRPr="00591C1D" w:rsidRDefault="00AF71FF">
      <w:pPr>
        <w:numPr>
          <w:ilvl w:val="0"/>
          <w:numId w:val="1"/>
        </w:numPr>
        <w:tabs>
          <w:tab w:val="left" w:pos="0"/>
        </w:tabs>
        <w:spacing w:line="360" w:lineRule="auto"/>
        <w:ind w:left="0" w:right="-592" w:firstLine="0"/>
        <w:jc w:val="both"/>
      </w:pPr>
      <w:r w:rsidRPr="00591C1D">
        <w:rPr>
          <w:rFonts w:ascii="Palatino Linotype" w:eastAsia="Palatino Linotype" w:hAnsi="Palatino Linotype" w:cs="Palatino Linotype"/>
        </w:rPr>
        <w:t xml:space="preserve">El </w:t>
      </w:r>
      <w:r w:rsidRPr="00591C1D">
        <w:rPr>
          <w:rFonts w:ascii="Palatino Linotype" w:eastAsia="Palatino Linotype" w:hAnsi="Palatino Linotype" w:cs="Palatino Linotype"/>
          <w:b/>
        </w:rPr>
        <w:t>veinte de noviembre de dos mil veinticuatro</w:t>
      </w:r>
      <w:r w:rsidRPr="00591C1D">
        <w:rPr>
          <w:rFonts w:ascii="Palatino Linotype" w:eastAsia="Palatino Linotype" w:hAnsi="Palatino Linotype" w:cs="Palatino Linotype"/>
        </w:rPr>
        <w:t>, el Sujeto Obligado dio respuesta a la solicitud de información en el siguiente sentido:</w:t>
      </w:r>
    </w:p>
    <w:p w:rsidR="00C34A5D" w:rsidRPr="00591C1D" w:rsidRDefault="00C34A5D">
      <w:pPr>
        <w:tabs>
          <w:tab w:val="left" w:pos="0"/>
        </w:tabs>
        <w:spacing w:line="360" w:lineRule="auto"/>
        <w:ind w:right="-592"/>
        <w:jc w:val="both"/>
        <w:rPr>
          <w:rFonts w:ascii="Palatino Linotype" w:eastAsia="Palatino Linotype" w:hAnsi="Palatino Linotype" w:cs="Palatino Linotype"/>
        </w:rPr>
      </w:pPr>
    </w:p>
    <w:tbl>
      <w:tblPr>
        <w:tblStyle w:val="a"/>
        <w:tblW w:w="8000" w:type="dxa"/>
        <w:jc w:val="center"/>
        <w:tblInd w:w="0" w:type="dxa"/>
        <w:tblLayout w:type="fixed"/>
        <w:tblLook w:val="0400" w:firstRow="0" w:lastRow="0" w:firstColumn="0" w:lastColumn="0" w:noHBand="0" w:noVBand="1"/>
      </w:tblPr>
      <w:tblGrid>
        <w:gridCol w:w="8000"/>
      </w:tblGrid>
      <w:tr w:rsidR="00C34A5D" w:rsidRPr="00591C1D">
        <w:trPr>
          <w:trHeight w:val="340"/>
          <w:jc w:val="center"/>
        </w:trPr>
        <w:tc>
          <w:tcPr>
            <w:tcW w:w="8000" w:type="dxa"/>
            <w:vAlign w:val="center"/>
          </w:tcPr>
          <w:p w:rsidR="00C34A5D" w:rsidRPr="00591C1D" w:rsidRDefault="00AF71FF">
            <w:pPr>
              <w:ind w:right="-592"/>
              <w:jc w:val="right"/>
              <w:rPr>
                <w:rFonts w:ascii="Palatino Linotype" w:eastAsia="Palatino Linotype" w:hAnsi="Palatino Linotype" w:cs="Palatino Linotype"/>
                <w:i/>
                <w:sz w:val="22"/>
                <w:szCs w:val="22"/>
              </w:rPr>
            </w:pPr>
            <w:r w:rsidRPr="00591C1D">
              <w:rPr>
                <w:rFonts w:ascii="Palatino Linotype" w:eastAsia="Palatino Linotype" w:hAnsi="Palatino Linotype" w:cs="Palatino Linotype"/>
                <w:i/>
                <w:sz w:val="22"/>
                <w:szCs w:val="22"/>
              </w:rPr>
              <w:t>Metepec, México a 20 de Noviembre de 2024</w:t>
            </w:r>
          </w:p>
        </w:tc>
      </w:tr>
      <w:tr w:rsidR="00C34A5D" w:rsidRPr="00591C1D">
        <w:trPr>
          <w:trHeight w:val="340"/>
          <w:jc w:val="center"/>
        </w:trPr>
        <w:tc>
          <w:tcPr>
            <w:tcW w:w="8000" w:type="dxa"/>
            <w:vAlign w:val="center"/>
          </w:tcPr>
          <w:p w:rsidR="00C34A5D" w:rsidRPr="00591C1D" w:rsidRDefault="00AF71FF">
            <w:pPr>
              <w:ind w:right="-592"/>
              <w:jc w:val="right"/>
              <w:rPr>
                <w:rFonts w:ascii="Palatino Linotype" w:eastAsia="Palatino Linotype" w:hAnsi="Palatino Linotype" w:cs="Palatino Linotype"/>
                <w:i/>
                <w:sz w:val="22"/>
                <w:szCs w:val="22"/>
              </w:rPr>
            </w:pPr>
            <w:r w:rsidRPr="00591C1D">
              <w:rPr>
                <w:rFonts w:ascii="Palatino Linotype" w:eastAsia="Palatino Linotype" w:hAnsi="Palatino Linotype" w:cs="Palatino Linotype"/>
                <w:i/>
                <w:sz w:val="22"/>
                <w:szCs w:val="22"/>
              </w:rPr>
              <w:t>Nombre del solicitante: C. Solicitante</w:t>
            </w:r>
          </w:p>
        </w:tc>
      </w:tr>
      <w:tr w:rsidR="00C34A5D" w:rsidRPr="00591C1D">
        <w:trPr>
          <w:trHeight w:val="340"/>
          <w:jc w:val="center"/>
        </w:trPr>
        <w:tc>
          <w:tcPr>
            <w:tcW w:w="8000" w:type="dxa"/>
            <w:vAlign w:val="center"/>
          </w:tcPr>
          <w:p w:rsidR="00C34A5D" w:rsidRPr="00591C1D" w:rsidRDefault="00AF71FF">
            <w:pPr>
              <w:ind w:right="-592"/>
              <w:jc w:val="right"/>
              <w:rPr>
                <w:rFonts w:ascii="Palatino Linotype" w:eastAsia="Palatino Linotype" w:hAnsi="Palatino Linotype" w:cs="Palatino Linotype"/>
                <w:i/>
                <w:sz w:val="22"/>
                <w:szCs w:val="22"/>
              </w:rPr>
            </w:pPr>
            <w:r w:rsidRPr="00591C1D">
              <w:rPr>
                <w:rFonts w:ascii="Palatino Linotype" w:eastAsia="Palatino Linotype" w:hAnsi="Palatino Linotype" w:cs="Palatino Linotype"/>
                <w:i/>
                <w:sz w:val="22"/>
                <w:szCs w:val="22"/>
              </w:rPr>
              <w:t>Folio de la solicitud: 00104/TRIECA/IP/2024</w:t>
            </w:r>
          </w:p>
        </w:tc>
      </w:tr>
      <w:tr w:rsidR="00C34A5D" w:rsidRPr="00591C1D">
        <w:trPr>
          <w:trHeight w:val="511"/>
          <w:jc w:val="center"/>
        </w:trPr>
        <w:tc>
          <w:tcPr>
            <w:tcW w:w="8000" w:type="dxa"/>
            <w:vAlign w:val="center"/>
          </w:tcPr>
          <w:p w:rsidR="00C34A5D" w:rsidRPr="00591C1D" w:rsidRDefault="00C34A5D">
            <w:pPr>
              <w:ind w:right="-592"/>
              <w:jc w:val="right"/>
              <w:rPr>
                <w:rFonts w:ascii="Palatino Linotype" w:eastAsia="Palatino Linotype" w:hAnsi="Palatino Linotype" w:cs="Palatino Linotype"/>
                <w:i/>
                <w:sz w:val="22"/>
                <w:szCs w:val="22"/>
              </w:rPr>
            </w:pPr>
          </w:p>
        </w:tc>
      </w:tr>
      <w:tr w:rsidR="00C34A5D" w:rsidRPr="00591C1D">
        <w:trPr>
          <w:trHeight w:val="170"/>
          <w:jc w:val="center"/>
        </w:trPr>
        <w:tc>
          <w:tcPr>
            <w:tcW w:w="8000" w:type="dxa"/>
            <w:vAlign w:val="center"/>
          </w:tcPr>
          <w:p w:rsidR="00C34A5D" w:rsidRPr="00591C1D" w:rsidRDefault="00C34A5D">
            <w:pPr>
              <w:ind w:right="-592"/>
              <w:jc w:val="center"/>
              <w:rPr>
                <w:rFonts w:ascii="Palatino Linotype" w:eastAsia="Palatino Linotype" w:hAnsi="Palatino Linotype" w:cs="Palatino Linotype"/>
                <w:i/>
                <w:sz w:val="22"/>
                <w:szCs w:val="22"/>
              </w:rPr>
            </w:pPr>
          </w:p>
        </w:tc>
      </w:tr>
      <w:tr w:rsidR="00C34A5D" w:rsidRPr="00591C1D">
        <w:trPr>
          <w:trHeight w:val="425"/>
          <w:jc w:val="center"/>
        </w:trPr>
        <w:tc>
          <w:tcPr>
            <w:tcW w:w="8000" w:type="dxa"/>
            <w:vAlign w:val="center"/>
          </w:tcPr>
          <w:p w:rsidR="00C34A5D" w:rsidRPr="00591C1D" w:rsidRDefault="00C34A5D">
            <w:pPr>
              <w:ind w:right="-592"/>
              <w:rPr>
                <w:rFonts w:ascii="Palatino Linotype" w:eastAsia="Palatino Linotype" w:hAnsi="Palatino Linotype" w:cs="Palatino Linotype"/>
                <w:i/>
                <w:sz w:val="22"/>
                <w:szCs w:val="22"/>
              </w:rPr>
            </w:pPr>
          </w:p>
        </w:tc>
      </w:tr>
      <w:tr w:rsidR="00C34A5D" w:rsidRPr="00591C1D">
        <w:trPr>
          <w:trHeight w:val="170"/>
          <w:jc w:val="center"/>
        </w:trPr>
        <w:tc>
          <w:tcPr>
            <w:tcW w:w="8000" w:type="dxa"/>
            <w:vAlign w:val="center"/>
          </w:tcPr>
          <w:p w:rsidR="00C34A5D" w:rsidRPr="00591C1D" w:rsidRDefault="00AF71FF">
            <w:pPr>
              <w:ind w:right="-592"/>
              <w:jc w:val="both"/>
              <w:rPr>
                <w:rFonts w:ascii="Palatino Linotype" w:eastAsia="Palatino Linotype" w:hAnsi="Palatino Linotype" w:cs="Palatino Linotype"/>
                <w:i/>
                <w:sz w:val="22"/>
                <w:szCs w:val="22"/>
              </w:rPr>
            </w:pPr>
            <w:r w:rsidRPr="00591C1D">
              <w:rPr>
                <w:rFonts w:ascii="Palatino Linotype" w:eastAsia="Palatino Linotype" w:hAnsi="Palatino Linotype" w:cs="Palatino Linotype"/>
                <w:i/>
                <w:sz w:val="22"/>
                <w:szCs w:val="22"/>
              </w:rPr>
              <w:t>En respuesta a la solicitud 00104/TRIECA/IP/2024 donde "POR FAVOR LA SIGUIENTE INFORMACIÓN PÚBLICA: 1.- ¿CUANTOS DEMANDAS DE TIPO LABORAL (LAUDOS LABORALES) HAY AL DIA DE HOY CONTRA EL H. AYUNTAMIENTO DE ZACUALPAN ESTADO DE MÉXICO Y EL NOMBRE DE LOS PROMOVENTES O EX TRABAJADORES QUE DEMANDARON? 2.- ¿CUANTAS ORDENES DE EMBARGO HAY AL DIA DE HOY CONTRA EL H. AYUNTAMIENTO DE ZACUALPAN EDOMEX? 3.- ¿EL NOMBRE DE LAS PERSONAS O EX TRABAJADORES QUE GANARON TALES DEMANDAS PARA PODER LOGRAR ESOS EMBARGOS? 4.- ¿MONTO MONETARIO DE ESOS EMBARGOS DE CADA ACTOR O PROMOVENTE? GRACIAS ¡¡¡" Se solicito a la Secretaria Generl Juridica y Consultiva de este Tribunal la cual adjunta la respuesta</w:t>
            </w:r>
          </w:p>
        </w:tc>
      </w:tr>
      <w:tr w:rsidR="00C34A5D" w:rsidRPr="00591C1D">
        <w:trPr>
          <w:trHeight w:val="425"/>
          <w:jc w:val="center"/>
        </w:trPr>
        <w:tc>
          <w:tcPr>
            <w:tcW w:w="8000" w:type="dxa"/>
            <w:vAlign w:val="center"/>
          </w:tcPr>
          <w:p w:rsidR="00C34A5D" w:rsidRPr="00591C1D" w:rsidRDefault="00C34A5D">
            <w:pPr>
              <w:ind w:right="-592"/>
              <w:rPr>
                <w:rFonts w:ascii="Palatino Linotype" w:eastAsia="Palatino Linotype" w:hAnsi="Palatino Linotype" w:cs="Palatino Linotype"/>
                <w:i/>
              </w:rPr>
            </w:pPr>
          </w:p>
        </w:tc>
      </w:tr>
      <w:tr w:rsidR="00C34A5D" w:rsidRPr="00591C1D">
        <w:trPr>
          <w:trHeight w:val="170"/>
          <w:jc w:val="center"/>
        </w:trPr>
        <w:tc>
          <w:tcPr>
            <w:tcW w:w="8000" w:type="dxa"/>
            <w:vAlign w:val="center"/>
          </w:tcPr>
          <w:p w:rsidR="00C34A5D" w:rsidRPr="00591C1D" w:rsidRDefault="00C34A5D">
            <w:pPr>
              <w:ind w:right="-592"/>
              <w:jc w:val="center"/>
              <w:rPr>
                <w:rFonts w:ascii="Palatino Linotype" w:eastAsia="Palatino Linotype" w:hAnsi="Palatino Linotype" w:cs="Palatino Linotype"/>
                <w:i/>
              </w:rPr>
            </w:pPr>
          </w:p>
        </w:tc>
      </w:tr>
      <w:tr w:rsidR="00C34A5D" w:rsidRPr="00591C1D">
        <w:trPr>
          <w:trHeight w:val="170"/>
          <w:jc w:val="center"/>
        </w:trPr>
        <w:tc>
          <w:tcPr>
            <w:tcW w:w="8000" w:type="dxa"/>
            <w:vAlign w:val="center"/>
          </w:tcPr>
          <w:p w:rsidR="00C34A5D" w:rsidRPr="00591C1D" w:rsidRDefault="00C34A5D">
            <w:pPr>
              <w:ind w:right="-592"/>
              <w:rPr>
                <w:rFonts w:ascii="Palatino Linotype" w:eastAsia="Palatino Linotype" w:hAnsi="Palatino Linotype" w:cs="Palatino Linotype"/>
                <w:i/>
              </w:rPr>
            </w:pPr>
          </w:p>
        </w:tc>
      </w:tr>
      <w:tr w:rsidR="00C34A5D" w:rsidRPr="00591C1D">
        <w:trPr>
          <w:trHeight w:val="170"/>
          <w:jc w:val="center"/>
        </w:trPr>
        <w:tc>
          <w:tcPr>
            <w:tcW w:w="8000" w:type="dxa"/>
            <w:vAlign w:val="center"/>
          </w:tcPr>
          <w:p w:rsidR="00C34A5D" w:rsidRPr="00591C1D" w:rsidRDefault="00AF71FF">
            <w:pPr>
              <w:ind w:right="-592"/>
              <w:rPr>
                <w:rFonts w:ascii="Palatino Linotype" w:eastAsia="Palatino Linotype" w:hAnsi="Palatino Linotype" w:cs="Palatino Linotype"/>
                <w:i/>
                <w:sz w:val="22"/>
                <w:szCs w:val="22"/>
              </w:rPr>
            </w:pPr>
            <w:r w:rsidRPr="00591C1D">
              <w:rPr>
                <w:rFonts w:ascii="Palatino Linotype" w:eastAsia="Palatino Linotype" w:hAnsi="Palatino Linotype" w:cs="Palatino Linotype"/>
                <w:i/>
                <w:sz w:val="22"/>
                <w:szCs w:val="22"/>
              </w:rPr>
              <w:t>ATENTAMENTE</w:t>
            </w:r>
          </w:p>
        </w:tc>
      </w:tr>
      <w:tr w:rsidR="00C34A5D" w:rsidRPr="00591C1D">
        <w:trPr>
          <w:trHeight w:val="255"/>
          <w:jc w:val="center"/>
        </w:trPr>
        <w:tc>
          <w:tcPr>
            <w:tcW w:w="8000" w:type="dxa"/>
            <w:vAlign w:val="center"/>
          </w:tcPr>
          <w:p w:rsidR="00C34A5D" w:rsidRPr="00591C1D" w:rsidRDefault="00C34A5D">
            <w:pPr>
              <w:ind w:right="-592"/>
              <w:rPr>
                <w:rFonts w:ascii="Palatino Linotype" w:eastAsia="Palatino Linotype" w:hAnsi="Palatino Linotype" w:cs="Palatino Linotype"/>
                <w:i/>
                <w:sz w:val="22"/>
                <w:szCs w:val="22"/>
              </w:rPr>
            </w:pPr>
          </w:p>
        </w:tc>
      </w:tr>
      <w:tr w:rsidR="00C34A5D" w:rsidRPr="00591C1D">
        <w:trPr>
          <w:trHeight w:val="170"/>
          <w:jc w:val="center"/>
        </w:trPr>
        <w:tc>
          <w:tcPr>
            <w:tcW w:w="8000" w:type="dxa"/>
            <w:vAlign w:val="center"/>
          </w:tcPr>
          <w:p w:rsidR="00C34A5D" w:rsidRPr="00591C1D" w:rsidRDefault="00AF71FF">
            <w:pPr>
              <w:ind w:right="-592"/>
              <w:rPr>
                <w:rFonts w:ascii="Palatino Linotype" w:eastAsia="Palatino Linotype" w:hAnsi="Palatino Linotype" w:cs="Palatino Linotype"/>
                <w:i/>
                <w:sz w:val="22"/>
                <w:szCs w:val="22"/>
              </w:rPr>
            </w:pPr>
            <w:r w:rsidRPr="00591C1D">
              <w:rPr>
                <w:rFonts w:ascii="Palatino Linotype" w:eastAsia="Palatino Linotype" w:hAnsi="Palatino Linotype" w:cs="Palatino Linotype"/>
                <w:i/>
                <w:sz w:val="22"/>
                <w:szCs w:val="22"/>
              </w:rPr>
              <w:t>LIC. JORGE RODRIGUEZ GAMA</w:t>
            </w:r>
          </w:p>
        </w:tc>
      </w:tr>
    </w:tbl>
    <w:p w:rsidR="00C34A5D" w:rsidRPr="00591C1D" w:rsidRDefault="00C34A5D">
      <w:pPr>
        <w:tabs>
          <w:tab w:val="left" w:pos="0"/>
        </w:tabs>
        <w:spacing w:line="360" w:lineRule="auto"/>
        <w:ind w:right="-592"/>
        <w:jc w:val="both"/>
        <w:rPr>
          <w:rFonts w:ascii="Palatino Linotype" w:eastAsia="Palatino Linotype" w:hAnsi="Palatino Linotype" w:cs="Palatino Linotype"/>
        </w:rPr>
      </w:pPr>
    </w:p>
    <w:p w:rsidR="00C34A5D" w:rsidRPr="00591C1D" w:rsidRDefault="00AF71FF">
      <w:pPr>
        <w:numPr>
          <w:ilvl w:val="0"/>
          <w:numId w:val="5"/>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591C1D">
        <w:rPr>
          <w:rFonts w:ascii="Palatino Linotype" w:eastAsia="Palatino Linotype" w:hAnsi="Palatino Linotype" w:cs="Palatino Linotype"/>
          <w:color w:val="000000"/>
          <w:sz w:val="22"/>
          <w:szCs w:val="22"/>
        </w:rPr>
        <w:lastRenderedPageBreak/>
        <w:t xml:space="preserve">A la respuesta se adjuntó el archivo </w:t>
      </w:r>
      <w:hyperlink r:id="rId8">
        <w:r w:rsidRPr="00591C1D">
          <w:rPr>
            <w:rFonts w:ascii="Palatino Linotype" w:eastAsia="Palatino Linotype" w:hAnsi="Palatino Linotype" w:cs="Palatino Linotype"/>
            <w:b/>
            <w:color w:val="0563C1"/>
            <w:sz w:val="22"/>
            <w:szCs w:val="22"/>
            <w:u w:val="single"/>
          </w:rPr>
          <w:t>img20241120_17182703.pdf</w:t>
        </w:r>
      </w:hyperlink>
      <w:r w:rsidRPr="00591C1D">
        <w:rPr>
          <w:rFonts w:ascii="Palatino Linotype" w:eastAsia="Palatino Linotype" w:hAnsi="Palatino Linotype" w:cs="Palatino Linotype"/>
          <w:color w:val="000000"/>
          <w:sz w:val="22"/>
          <w:szCs w:val="22"/>
        </w:rPr>
        <w:t xml:space="preserve">, en el que se advierte el oficio TECA-40500001000100L/244/2024 de fecha diecinueve de noviembre de dos mil veinticuatro, suscrito por la </w:t>
      </w:r>
      <w:r w:rsidRPr="00591C1D">
        <w:rPr>
          <w:rFonts w:ascii="Palatino Linotype" w:eastAsia="Palatino Linotype" w:hAnsi="Palatino Linotype" w:cs="Palatino Linotype"/>
          <w:sz w:val="22"/>
          <w:szCs w:val="22"/>
        </w:rPr>
        <w:t>Secretaría</w:t>
      </w:r>
      <w:r w:rsidRPr="00591C1D">
        <w:rPr>
          <w:rFonts w:ascii="Palatino Linotype" w:eastAsia="Palatino Linotype" w:hAnsi="Palatino Linotype" w:cs="Palatino Linotype"/>
          <w:color w:val="000000"/>
          <w:sz w:val="22"/>
          <w:szCs w:val="22"/>
        </w:rPr>
        <w:t xml:space="preserve"> General Jurídica del Tribunal Estatal de Conciliación y Arbitraje, en el que señaló que se da contestación a los solicitado a través del anexo. Asimismo, se adjuntó un documento con una tabla con los rubros número de expediente, actores (testado), demandado, municipio, cantidad total, número de trabajadores y fecha de laudo.</w:t>
      </w:r>
    </w:p>
    <w:p w:rsidR="00C34A5D" w:rsidRPr="00591C1D" w:rsidRDefault="00C34A5D">
      <w:pPr>
        <w:tabs>
          <w:tab w:val="left" w:pos="0"/>
        </w:tabs>
        <w:spacing w:line="360" w:lineRule="auto"/>
        <w:ind w:right="-592"/>
        <w:jc w:val="both"/>
        <w:rPr>
          <w:rFonts w:ascii="Palatino Linotype" w:eastAsia="Palatino Linotype" w:hAnsi="Palatino Linotype" w:cs="Palatino Linotype"/>
        </w:rPr>
      </w:pPr>
      <w:bookmarkStart w:id="2" w:name="_heading=h.30j0zll" w:colFirst="0" w:colLast="0"/>
      <w:bookmarkEnd w:id="2"/>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En lo sucesivo el </w:t>
      </w:r>
      <w:r w:rsidRPr="00591C1D">
        <w:rPr>
          <w:rFonts w:ascii="Palatino Linotype" w:eastAsia="Palatino Linotype" w:hAnsi="Palatino Linotype" w:cs="Palatino Linotype"/>
          <w:b/>
          <w:color w:val="000000"/>
        </w:rPr>
        <w:t>veintiuno de noviembre de dos mil veinticuatro,</w:t>
      </w:r>
      <w:r w:rsidRPr="00591C1D">
        <w:rPr>
          <w:rFonts w:ascii="Palatino Linotype" w:eastAsia="Palatino Linotype" w:hAnsi="Palatino Linotype" w:cs="Palatino Linotype"/>
          <w:color w:val="000000"/>
        </w:rPr>
        <w:t xml:space="preserve"> </w:t>
      </w:r>
      <w:r w:rsidRPr="00591C1D">
        <w:rPr>
          <w:rFonts w:ascii="Palatino Linotype" w:eastAsia="Palatino Linotype" w:hAnsi="Palatino Linotype" w:cs="Palatino Linotype"/>
          <w:b/>
          <w:color w:val="000000"/>
        </w:rPr>
        <w:t xml:space="preserve"> </w:t>
      </w:r>
      <w:r w:rsidRPr="00591C1D">
        <w:rPr>
          <w:rFonts w:ascii="Palatino Linotype" w:eastAsia="Palatino Linotype" w:hAnsi="Palatino Linotype" w:cs="Palatino Linotype"/>
          <w:color w:val="000000"/>
        </w:rPr>
        <w:t>el solicitante interpuso el recurso de revisión, señalando como:</w:t>
      </w:r>
    </w:p>
    <w:p w:rsidR="00C34A5D" w:rsidRPr="00591C1D" w:rsidRDefault="00AF71FF">
      <w:pPr>
        <w:numPr>
          <w:ilvl w:val="0"/>
          <w:numId w:val="6"/>
        </w:numPr>
        <w:tabs>
          <w:tab w:val="left" w:pos="851"/>
          <w:tab w:val="left" w:pos="8222"/>
        </w:tabs>
        <w:spacing w:line="360" w:lineRule="auto"/>
        <w:ind w:right="-25"/>
        <w:jc w:val="both"/>
        <w:rPr>
          <w:rFonts w:ascii="Palatino Linotype" w:eastAsia="Palatino Linotype" w:hAnsi="Palatino Linotype" w:cs="Palatino Linotype"/>
          <w:sz w:val="22"/>
          <w:szCs w:val="22"/>
        </w:rPr>
      </w:pPr>
      <w:r w:rsidRPr="00591C1D">
        <w:rPr>
          <w:rFonts w:ascii="Palatino Linotype" w:eastAsia="Palatino Linotype" w:hAnsi="Palatino Linotype" w:cs="Palatino Linotype"/>
          <w:b/>
          <w:sz w:val="22"/>
          <w:szCs w:val="22"/>
        </w:rPr>
        <w:t>Acto impugnado:</w:t>
      </w:r>
      <w:r w:rsidRPr="00591C1D">
        <w:rPr>
          <w:rFonts w:ascii="Palatino Linotype" w:eastAsia="Palatino Linotype" w:hAnsi="Palatino Linotype" w:cs="Palatino Linotype"/>
          <w:i/>
          <w:sz w:val="22"/>
          <w:szCs w:val="22"/>
        </w:rPr>
        <w:t xml:space="preserve"> </w:t>
      </w:r>
      <w:r w:rsidRPr="00591C1D">
        <w:rPr>
          <w:rFonts w:ascii="Palatino Linotype" w:eastAsia="Palatino Linotype" w:hAnsi="Palatino Linotype" w:cs="Palatino Linotype"/>
          <w:sz w:val="22"/>
          <w:szCs w:val="22"/>
        </w:rPr>
        <w:t>“</w:t>
      </w:r>
      <w:r w:rsidRPr="00591C1D">
        <w:rPr>
          <w:rFonts w:ascii="Palatino Linotype" w:eastAsia="Palatino Linotype" w:hAnsi="Palatino Linotype" w:cs="Palatino Linotype"/>
          <w:i/>
          <w:color w:val="000000"/>
          <w:sz w:val="22"/>
          <w:szCs w:val="22"/>
        </w:rPr>
        <w:t>NO INDICAN LOS ACTORES EN SU ARCHIVO QUE ANEXARON, DEBEN DAR LOS NOMBRES YA QUE SON O FUERON EN SU MOMENTO "SERVIDORES PUBLICOS". GRACIAS ¡¡¡”</w:t>
      </w:r>
      <w:r w:rsidRPr="00591C1D">
        <w:rPr>
          <w:rFonts w:ascii="Palatino Linotype" w:eastAsia="Palatino Linotype" w:hAnsi="Palatino Linotype" w:cs="Palatino Linotype"/>
          <w:i/>
          <w:sz w:val="22"/>
          <w:szCs w:val="22"/>
        </w:rPr>
        <w:t xml:space="preserve"> (Sic) </w:t>
      </w:r>
    </w:p>
    <w:p w:rsidR="00C34A5D" w:rsidRPr="00591C1D" w:rsidRDefault="00AF71FF">
      <w:pPr>
        <w:numPr>
          <w:ilvl w:val="0"/>
          <w:numId w:val="6"/>
        </w:numPr>
        <w:tabs>
          <w:tab w:val="left" w:pos="851"/>
        </w:tabs>
        <w:spacing w:line="360" w:lineRule="auto"/>
        <w:ind w:right="-25"/>
        <w:jc w:val="both"/>
        <w:rPr>
          <w:rFonts w:ascii="Palatino Linotype" w:eastAsia="Palatino Linotype" w:hAnsi="Palatino Linotype" w:cs="Palatino Linotype"/>
          <w:sz w:val="22"/>
          <w:szCs w:val="22"/>
        </w:rPr>
      </w:pPr>
      <w:r w:rsidRPr="00591C1D">
        <w:rPr>
          <w:rFonts w:ascii="Palatino Linotype" w:eastAsia="Palatino Linotype" w:hAnsi="Palatino Linotype" w:cs="Palatino Linotype"/>
          <w:b/>
          <w:sz w:val="22"/>
          <w:szCs w:val="22"/>
        </w:rPr>
        <w:t>Razones o Motivos de inconformidad: “</w:t>
      </w:r>
      <w:r w:rsidRPr="00591C1D">
        <w:rPr>
          <w:rFonts w:ascii="Palatino Linotype" w:eastAsia="Palatino Linotype" w:hAnsi="Palatino Linotype" w:cs="Palatino Linotype"/>
          <w:i/>
          <w:sz w:val="22"/>
          <w:szCs w:val="22"/>
        </w:rPr>
        <w:t>NO INDICAN LOS ACTORES EN SU ARCHIVO QUE ANEXARON, DEBEN DAR LOS NOMBRES YA QUE SON O FUERON EN SU MOMENTO "SERVIDORES PUBLICOS". GRACIAS ¡¡¡” (sic)</w:t>
      </w:r>
    </w:p>
    <w:p w:rsidR="00C34A5D" w:rsidRPr="00591C1D" w:rsidRDefault="00AF71FF">
      <w:pPr>
        <w:numPr>
          <w:ilvl w:val="0"/>
          <w:numId w:val="2"/>
        </w:numPr>
        <w:pBdr>
          <w:top w:val="nil"/>
          <w:left w:val="nil"/>
          <w:bottom w:val="nil"/>
          <w:right w:val="nil"/>
          <w:between w:val="nil"/>
        </w:pBdr>
        <w:tabs>
          <w:tab w:val="left" w:pos="851"/>
        </w:tabs>
        <w:spacing w:line="360" w:lineRule="auto"/>
        <w:ind w:right="-25"/>
        <w:jc w:val="both"/>
        <w:rPr>
          <w:rFonts w:ascii="Palatino Linotype" w:eastAsia="Palatino Linotype" w:hAnsi="Palatino Linotype" w:cs="Palatino Linotype"/>
          <w:color w:val="000000"/>
          <w:sz w:val="22"/>
          <w:szCs w:val="22"/>
        </w:rPr>
      </w:pPr>
      <w:r w:rsidRPr="00591C1D">
        <w:rPr>
          <w:rFonts w:ascii="Palatino Linotype" w:eastAsia="Palatino Linotype" w:hAnsi="Palatino Linotype" w:cs="Palatino Linotype"/>
          <w:color w:val="000000"/>
          <w:sz w:val="22"/>
          <w:szCs w:val="22"/>
        </w:rPr>
        <w:t xml:space="preserve">Al recurso de revisión se anexó el archivo denominado </w:t>
      </w:r>
      <w:hyperlink r:id="rId9">
        <w:r w:rsidRPr="00591C1D">
          <w:rPr>
            <w:rFonts w:ascii="Palatino Linotype" w:eastAsia="Palatino Linotype" w:hAnsi="Palatino Linotype" w:cs="Palatino Linotype"/>
            <w:b/>
            <w:color w:val="0563C1"/>
            <w:sz w:val="22"/>
            <w:szCs w:val="22"/>
            <w:u w:val="single"/>
          </w:rPr>
          <w:t>DEMANDAS CONTRA ZACUALPAN EDOMEX.pdf</w:t>
        </w:r>
      </w:hyperlink>
      <w:r w:rsidRPr="00591C1D">
        <w:rPr>
          <w:rFonts w:ascii="Palatino Linotype" w:eastAsia="Palatino Linotype" w:hAnsi="Palatino Linotype" w:cs="Palatino Linotype"/>
          <w:color w:val="000000"/>
          <w:sz w:val="22"/>
          <w:szCs w:val="22"/>
        </w:rPr>
        <w:t xml:space="preserve">, en el que se advierte la información remitida en respuesta. </w:t>
      </w:r>
    </w:p>
    <w:p w:rsidR="00C34A5D" w:rsidRPr="00591C1D" w:rsidRDefault="00C34A5D">
      <w:pPr>
        <w:pBdr>
          <w:top w:val="nil"/>
          <w:left w:val="nil"/>
          <w:bottom w:val="nil"/>
          <w:right w:val="nil"/>
          <w:between w:val="nil"/>
        </w:pBdr>
        <w:tabs>
          <w:tab w:val="left" w:pos="851"/>
        </w:tabs>
        <w:spacing w:line="360" w:lineRule="auto"/>
        <w:ind w:left="720" w:right="-592"/>
        <w:jc w:val="both"/>
        <w:rPr>
          <w:rFonts w:ascii="Palatino Linotype" w:eastAsia="Palatino Linotype" w:hAnsi="Palatino Linotype" w:cs="Palatino Linotype"/>
          <w:color w:val="000000"/>
        </w:rPr>
      </w:pPr>
    </w:p>
    <w:p w:rsidR="00C34A5D" w:rsidRPr="00591C1D" w:rsidRDefault="00AF71FF">
      <w:pPr>
        <w:numPr>
          <w:ilvl w:val="0"/>
          <w:numId w:val="1"/>
        </w:numPr>
        <w:spacing w:line="360" w:lineRule="auto"/>
        <w:ind w:left="0" w:right="-592" w:firstLine="0"/>
        <w:jc w:val="both"/>
        <w:rPr>
          <w:color w:val="000000"/>
        </w:rPr>
      </w:pPr>
      <w:r w:rsidRPr="00591C1D">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turna a la </w:t>
      </w:r>
      <w:r w:rsidRPr="00591C1D">
        <w:rPr>
          <w:rFonts w:ascii="Palatino Linotype" w:eastAsia="Palatino Linotype" w:hAnsi="Palatino Linotype" w:cs="Palatino Linotype"/>
          <w:b/>
        </w:rPr>
        <w:t>Comisionada María del Rosario Mejía Ayala,</w:t>
      </w:r>
      <w:r w:rsidRPr="00591C1D">
        <w:rPr>
          <w:rFonts w:ascii="Palatino Linotype" w:eastAsia="Palatino Linotype" w:hAnsi="Palatino Linotype" w:cs="Palatino Linotype"/>
        </w:rPr>
        <w:t xml:space="preserve"> para su análisis.</w:t>
      </w:r>
    </w:p>
    <w:p w:rsidR="00C34A5D" w:rsidRPr="00591C1D" w:rsidRDefault="00C34A5D">
      <w:pPr>
        <w:spacing w:line="360" w:lineRule="auto"/>
        <w:ind w:right="-592"/>
        <w:jc w:val="both"/>
        <w:rPr>
          <w:rFonts w:ascii="Palatino Linotype" w:eastAsia="Palatino Linotype" w:hAnsi="Palatino Linotype" w:cs="Palatino Linotype"/>
          <w:i/>
          <w:color w:val="000000"/>
        </w:rPr>
      </w:pPr>
    </w:p>
    <w:p w:rsidR="00C34A5D" w:rsidRPr="00591C1D" w:rsidRDefault="00AF71FF">
      <w:pPr>
        <w:numPr>
          <w:ilvl w:val="0"/>
          <w:numId w:val="1"/>
        </w:numPr>
        <w:spacing w:line="360" w:lineRule="auto"/>
        <w:ind w:left="0" w:right="-592" w:firstLine="0"/>
        <w:jc w:val="both"/>
        <w:rPr>
          <w:color w:val="000000"/>
        </w:rPr>
      </w:pPr>
      <w:r w:rsidRPr="00591C1D">
        <w:rPr>
          <w:rFonts w:ascii="Palatino Linotype" w:eastAsia="Palatino Linotype" w:hAnsi="Palatino Linotype" w:cs="Palatino Linotype"/>
        </w:rPr>
        <w:lastRenderedPageBreak/>
        <w:t xml:space="preserve">La Comisionada Ponente con fundamento en lo dispuesto por el artículo 185 fracción II de la ley de la materia, a través del acuerdo de admisión del </w:t>
      </w:r>
      <w:r w:rsidRPr="00591C1D">
        <w:rPr>
          <w:rFonts w:ascii="Palatino Linotype" w:eastAsia="Palatino Linotype" w:hAnsi="Palatino Linotype" w:cs="Palatino Linotype"/>
          <w:b/>
        </w:rPr>
        <w:t>veintiséis de noviembre de dos mil veinticuatro</w:t>
      </w:r>
      <w:r w:rsidRPr="00591C1D">
        <w:rPr>
          <w:rFonts w:ascii="Palatino Linotype" w:eastAsia="Palatino Linotype" w:hAnsi="Palatino Linotype" w:cs="Palatino Linotype"/>
        </w:rPr>
        <w:t xml:space="preserve">, puso a disposición de las partes el expediente electrónico vía Sistema de Acceso a la Información Mexiquense </w:t>
      </w:r>
      <w:r w:rsidRPr="00591C1D">
        <w:rPr>
          <w:rFonts w:ascii="Palatino Linotype" w:eastAsia="Palatino Linotype" w:hAnsi="Palatino Linotype" w:cs="Palatino Linotype"/>
          <w:b/>
        </w:rPr>
        <w:t xml:space="preserve">(SAIMEX) </w:t>
      </w:r>
      <w:r w:rsidRPr="00591C1D">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591C1D">
        <w:rPr>
          <w:rFonts w:ascii="Palatino Linotype" w:eastAsia="Palatino Linotype" w:hAnsi="Palatino Linotype" w:cs="Palatino Linotype"/>
          <w:b/>
        </w:rPr>
        <w:t>SUJETO OBLIGADO</w:t>
      </w:r>
      <w:r w:rsidRPr="00591C1D">
        <w:rPr>
          <w:rFonts w:ascii="Palatino Linotype" w:eastAsia="Palatino Linotype" w:hAnsi="Palatino Linotype" w:cs="Palatino Linotype"/>
        </w:rPr>
        <w:t xml:space="preserve"> presentará el Informe Justificado procedente.  </w:t>
      </w:r>
    </w:p>
    <w:p w:rsidR="00C34A5D" w:rsidRPr="00591C1D" w:rsidRDefault="00C34A5D">
      <w:pPr>
        <w:spacing w:line="360" w:lineRule="auto"/>
        <w:ind w:right="-592"/>
        <w:jc w:val="both"/>
        <w:rPr>
          <w:rFonts w:ascii="Palatino Linotype" w:eastAsia="Palatino Linotype" w:hAnsi="Palatino Linotype" w:cs="Palatino Linotype"/>
          <w:i/>
          <w:color w:val="000000"/>
        </w:rPr>
      </w:pPr>
    </w:p>
    <w:p w:rsidR="00C34A5D" w:rsidRPr="00591C1D" w:rsidRDefault="00AF71FF">
      <w:pPr>
        <w:numPr>
          <w:ilvl w:val="0"/>
          <w:numId w:val="1"/>
        </w:numPr>
        <w:spacing w:line="360" w:lineRule="auto"/>
        <w:ind w:left="0" w:right="-592" w:firstLine="0"/>
        <w:jc w:val="both"/>
        <w:rPr>
          <w:color w:val="000000"/>
        </w:rPr>
      </w:pPr>
      <w:r w:rsidRPr="00591C1D">
        <w:rPr>
          <w:rFonts w:ascii="Palatino Linotype" w:eastAsia="Palatino Linotype" w:hAnsi="Palatino Linotype" w:cs="Palatino Linotype"/>
        </w:rPr>
        <w:t>De las constancias que obran en el expediente electrónico SAIMEX, se advierte que el Sujeto Obligado no entregó informe justificado; por su parte, el particular no realizó manifestaciones que a su derecho conviniera.</w:t>
      </w:r>
    </w:p>
    <w:p w:rsidR="00C34A5D" w:rsidRPr="00591C1D" w:rsidRDefault="00C34A5D">
      <w:pPr>
        <w:spacing w:line="360" w:lineRule="auto"/>
        <w:ind w:right="-592"/>
        <w:jc w:val="both"/>
        <w:rPr>
          <w:rFonts w:ascii="Palatino Linotype" w:eastAsia="Palatino Linotype" w:hAnsi="Palatino Linotype" w:cs="Palatino Linotype"/>
          <w:b/>
        </w:rPr>
      </w:pP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rPr>
        <w:t xml:space="preserve">El </w:t>
      </w:r>
      <w:r w:rsidRPr="00591C1D">
        <w:rPr>
          <w:rFonts w:ascii="Palatino Linotype" w:eastAsia="Palatino Linotype" w:hAnsi="Palatino Linotype" w:cs="Palatino Linotype"/>
          <w:b/>
        </w:rPr>
        <w:t>veintinueve de enero de dos mil veinticuatro</w:t>
      </w:r>
      <w:r w:rsidRPr="00591C1D">
        <w:rPr>
          <w:rFonts w:ascii="Palatino Linotype" w:eastAsia="Palatino Linotype" w:hAnsi="Palatino Linotype" w:cs="Palatino Linotype"/>
        </w:rPr>
        <w:t xml:space="preserve">, se notificó acuerdo mediante el cual se aprobó la ampliación de plazo para emitir resolución. </w:t>
      </w:r>
    </w:p>
    <w:p w:rsidR="00C34A5D" w:rsidRPr="00591C1D" w:rsidRDefault="00C34A5D">
      <w:pPr>
        <w:spacing w:line="360" w:lineRule="auto"/>
        <w:ind w:right="-592"/>
        <w:jc w:val="both"/>
        <w:rPr>
          <w:rFonts w:ascii="Palatino Linotype" w:eastAsia="Palatino Linotype" w:hAnsi="Palatino Linotype" w:cs="Palatino Linotype"/>
        </w:rPr>
      </w:pP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recibidos dentro del primer semestre del año dos mil veintidós,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rsidR="00C34A5D" w:rsidRPr="00591C1D" w:rsidRDefault="00C34A5D">
      <w:pPr>
        <w:spacing w:line="360" w:lineRule="auto"/>
        <w:ind w:right="-592"/>
        <w:jc w:val="both"/>
        <w:rPr>
          <w:rFonts w:ascii="Palatino Linotype" w:eastAsia="Palatino Linotype" w:hAnsi="Palatino Linotype" w:cs="Palatino Linotype"/>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rFonts w:ascii="Century Gothic" w:eastAsia="Century Gothic" w:hAnsi="Century Gothic" w:cs="Century Gothic"/>
          <w:color w:val="000000"/>
        </w:rPr>
      </w:pPr>
      <w:r w:rsidRPr="00591C1D">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w:t>
      </w:r>
      <w:r w:rsidRPr="00591C1D">
        <w:rPr>
          <w:rFonts w:ascii="Palatino Linotype" w:eastAsia="Palatino Linotype" w:hAnsi="Palatino Linotype" w:cs="Palatino Linotype"/>
          <w:color w:val="000000"/>
        </w:rPr>
        <w:lastRenderedPageBreak/>
        <w:t>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C34A5D" w:rsidRPr="00591C1D" w:rsidRDefault="00C34A5D">
      <w:pPr>
        <w:pBdr>
          <w:top w:val="nil"/>
          <w:left w:val="nil"/>
          <w:bottom w:val="nil"/>
          <w:right w:val="nil"/>
          <w:between w:val="nil"/>
        </w:pBdr>
        <w:tabs>
          <w:tab w:val="left" w:pos="0"/>
        </w:tabs>
        <w:ind w:left="720" w:right="-592"/>
        <w:rPr>
          <w:rFonts w:ascii="Palatino Linotype" w:eastAsia="Palatino Linotype" w:hAnsi="Palatino Linotype" w:cs="Palatino Linotype"/>
          <w:color w:val="000000"/>
        </w:rPr>
      </w:pPr>
    </w:p>
    <w:p w:rsidR="00C34A5D" w:rsidRPr="00591C1D" w:rsidRDefault="00AF71FF">
      <w:pPr>
        <w:numPr>
          <w:ilvl w:val="0"/>
          <w:numId w:val="1"/>
        </w:numPr>
        <w:tabs>
          <w:tab w:val="left" w:pos="0"/>
        </w:tabs>
        <w:spacing w:line="360" w:lineRule="auto"/>
        <w:ind w:left="0" w:right="-592" w:firstLine="0"/>
        <w:jc w:val="both"/>
      </w:pPr>
      <w:r w:rsidRPr="00591C1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34A5D" w:rsidRPr="00591C1D" w:rsidRDefault="00C34A5D">
      <w:pPr>
        <w:pBdr>
          <w:top w:val="nil"/>
          <w:left w:val="nil"/>
          <w:bottom w:val="nil"/>
          <w:right w:val="nil"/>
          <w:between w:val="nil"/>
        </w:pBdr>
        <w:tabs>
          <w:tab w:val="left" w:pos="0"/>
        </w:tabs>
        <w:ind w:left="720" w:right="-592"/>
        <w:rPr>
          <w:rFonts w:ascii="Palatino Linotype" w:eastAsia="Palatino Linotype" w:hAnsi="Palatino Linotype" w:cs="Palatino Linotype"/>
          <w:color w:val="000000"/>
        </w:rPr>
      </w:pPr>
    </w:p>
    <w:p w:rsidR="00C34A5D" w:rsidRPr="00591C1D" w:rsidRDefault="00AF71FF">
      <w:pPr>
        <w:numPr>
          <w:ilvl w:val="0"/>
          <w:numId w:val="1"/>
        </w:numPr>
        <w:tabs>
          <w:tab w:val="left" w:pos="0"/>
        </w:tabs>
        <w:spacing w:line="360" w:lineRule="auto"/>
        <w:ind w:left="0" w:right="-592" w:firstLine="0"/>
        <w:jc w:val="both"/>
      </w:pPr>
      <w:r w:rsidRPr="00591C1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34A5D" w:rsidRPr="00591C1D" w:rsidRDefault="00C34A5D">
      <w:pPr>
        <w:pBdr>
          <w:top w:val="nil"/>
          <w:left w:val="nil"/>
          <w:bottom w:val="nil"/>
          <w:right w:val="nil"/>
          <w:between w:val="nil"/>
        </w:pBdr>
        <w:tabs>
          <w:tab w:val="left" w:pos="0"/>
        </w:tabs>
        <w:ind w:left="720" w:right="-592"/>
        <w:rPr>
          <w:rFonts w:ascii="Palatino Linotype" w:eastAsia="Palatino Linotype" w:hAnsi="Palatino Linotype" w:cs="Palatino Linotype"/>
          <w:color w:val="000000"/>
        </w:rPr>
      </w:pPr>
    </w:p>
    <w:p w:rsidR="00C34A5D" w:rsidRPr="00591C1D" w:rsidRDefault="00AF71FF">
      <w:pPr>
        <w:numPr>
          <w:ilvl w:val="0"/>
          <w:numId w:val="1"/>
        </w:numPr>
        <w:tabs>
          <w:tab w:val="left" w:pos="0"/>
        </w:tabs>
        <w:spacing w:line="360" w:lineRule="auto"/>
        <w:ind w:left="0" w:right="-592" w:firstLine="0"/>
        <w:jc w:val="both"/>
      </w:pPr>
      <w:r w:rsidRPr="00591C1D">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C34A5D" w:rsidRPr="00591C1D" w:rsidRDefault="00AF71FF">
      <w:pPr>
        <w:numPr>
          <w:ilvl w:val="0"/>
          <w:numId w:val="4"/>
        </w:numPr>
        <w:pBdr>
          <w:top w:val="nil"/>
          <w:left w:val="nil"/>
          <w:bottom w:val="nil"/>
          <w:right w:val="nil"/>
          <w:between w:val="nil"/>
        </w:pBdr>
        <w:tabs>
          <w:tab w:val="left" w:pos="0"/>
        </w:tabs>
        <w:spacing w:line="360" w:lineRule="auto"/>
        <w:ind w:right="-25"/>
        <w:jc w:val="both"/>
        <w:rPr>
          <w:rFonts w:ascii="Palatino Linotype" w:eastAsia="Palatino Linotype" w:hAnsi="Palatino Linotype" w:cs="Palatino Linotype"/>
          <w:color w:val="000000"/>
          <w:sz w:val="22"/>
          <w:szCs w:val="22"/>
        </w:rPr>
      </w:pPr>
      <w:r w:rsidRPr="00591C1D">
        <w:rPr>
          <w:rFonts w:ascii="Palatino Linotype" w:eastAsia="Palatino Linotype" w:hAnsi="Palatino Linotype" w:cs="Palatino Linotype"/>
          <w:color w:val="000000"/>
          <w:sz w:val="22"/>
          <w:szCs w:val="22"/>
        </w:rPr>
        <w:t xml:space="preserve">Complejidad del </w:t>
      </w:r>
      <w:r w:rsidRPr="00591C1D">
        <w:rPr>
          <w:rFonts w:ascii="Palatino Linotype" w:eastAsia="Palatino Linotype" w:hAnsi="Palatino Linotype" w:cs="Palatino Linotype"/>
          <w:sz w:val="22"/>
          <w:szCs w:val="22"/>
        </w:rPr>
        <w:t>asunto</w:t>
      </w:r>
      <w:r w:rsidRPr="00591C1D">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C34A5D" w:rsidRPr="00591C1D" w:rsidRDefault="00AF71FF">
      <w:pPr>
        <w:numPr>
          <w:ilvl w:val="0"/>
          <w:numId w:val="4"/>
        </w:numPr>
        <w:pBdr>
          <w:top w:val="nil"/>
          <w:left w:val="nil"/>
          <w:bottom w:val="nil"/>
          <w:right w:val="nil"/>
          <w:between w:val="nil"/>
        </w:pBdr>
        <w:tabs>
          <w:tab w:val="left" w:pos="0"/>
        </w:tabs>
        <w:spacing w:line="360" w:lineRule="auto"/>
        <w:ind w:right="-25"/>
        <w:jc w:val="both"/>
        <w:rPr>
          <w:rFonts w:ascii="Palatino Linotype" w:eastAsia="Palatino Linotype" w:hAnsi="Palatino Linotype" w:cs="Palatino Linotype"/>
          <w:color w:val="000000"/>
          <w:sz w:val="22"/>
          <w:szCs w:val="22"/>
        </w:rPr>
      </w:pPr>
      <w:r w:rsidRPr="00591C1D">
        <w:rPr>
          <w:rFonts w:ascii="Palatino Linotype" w:eastAsia="Palatino Linotype" w:hAnsi="Palatino Linotype" w:cs="Palatino Linotype"/>
          <w:color w:val="000000"/>
          <w:sz w:val="22"/>
          <w:szCs w:val="22"/>
        </w:rPr>
        <w:t>Actividad Procesal del interesado. Acciones u omisiones del interesado.</w:t>
      </w:r>
    </w:p>
    <w:p w:rsidR="00C34A5D" w:rsidRPr="00591C1D" w:rsidRDefault="00AF71FF">
      <w:pPr>
        <w:numPr>
          <w:ilvl w:val="0"/>
          <w:numId w:val="4"/>
        </w:numPr>
        <w:pBdr>
          <w:top w:val="nil"/>
          <w:left w:val="nil"/>
          <w:bottom w:val="nil"/>
          <w:right w:val="nil"/>
          <w:between w:val="nil"/>
        </w:pBdr>
        <w:tabs>
          <w:tab w:val="left" w:pos="0"/>
        </w:tabs>
        <w:spacing w:line="360" w:lineRule="auto"/>
        <w:ind w:right="-25"/>
        <w:jc w:val="both"/>
        <w:rPr>
          <w:rFonts w:ascii="Palatino Linotype" w:eastAsia="Palatino Linotype" w:hAnsi="Palatino Linotype" w:cs="Palatino Linotype"/>
          <w:color w:val="000000"/>
          <w:sz w:val="22"/>
          <w:szCs w:val="22"/>
        </w:rPr>
      </w:pPr>
      <w:r w:rsidRPr="00591C1D">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C34A5D" w:rsidRPr="00591C1D" w:rsidRDefault="00AF71FF">
      <w:pPr>
        <w:tabs>
          <w:tab w:val="left" w:pos="0"/>
        </w:tabs>
        <w:spacing w:line="360" w:lineRule="auto"/>
        <w:ind w:left="567" w:right="-25"/>
        <w:jc w:val="both"/>
        <w:rPr>
          <w:rFonts w:ascii="Palatino Linotype" w:eastAsia="Palatino Linotype" w:hAnsi="Palatino Linotype" w:cs="Palatino Linotype"/>
          <w:sz w:val="22"/>
          <w:szCs w:val="22"/>
        </w:rPr>
      </w:pPr>
      <w:r w:rsidRPr="00591C1D">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C34A5D" w:rsidRPr="00591C1D" w:rsidRDefault="00C34A5D">
      <w:pPr>
        <w:tabs>
          <w:tab w:val="left" w:pos="0"/>
        </w:tabs>
        <w:spacing w:line="360" w:lineRule="auto"/>
        <w:ind w:right="-592"/>
        <w:rPr>
          <w:rFonts w:ascii="Palatino Linotype" w:eastAsia="Palatino Linotype" w:hAnsi="Palatino Linotype" w:cs="Palatino Linotype"/>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34A5D" w:rsidRPr="00591C1D" w:rsidRDefault="00C34A5D">
      <w:pPr>
        <w:tabs>
          <w:tab w:val="left" w:pos="0"/>
        </w:tabs>
        <w:spacing w:line="360" w:lineRule="auto"/>
        <w:ind w:right="-592"/>
        <w:jc w:val="both"/>
        <w:rPr>
          <w:rFonts w:ascii="Palatino Linotype" w:eastAsia="Palatino Linotype" w:hAnsi="Palatino Linotype" w:cs="Palatino Linotype"/>
          <w:b/>
        </w:rPr>
      </w:pPr>
    </w:p>
    <w:p w:rsidR="00C34A5D" w:rsidRPr="00591C1D" w:rsidRDefault="00AF71FF">
      <w:pPr>
        <w:numPr>
          <w:ilvl w:val="0"/>
          <w:numId w:val="1"/>
        </w:numPr>
        <w:tabs>
          <w:tab w:val="left" w:pos="0"/>
        </w:tabs>
        <w:spacing w:line="360" w:lineRule="auto"/>
        <w:ind w:left="0" w:right="-592" w:firstLine="0"/>
        <w:jc w:val="both"/>
      </w:pPr>
      <w:r w:rsidRPr="00591C1D">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sidRPr="00591C1D">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591C1D">
        <w:rPr>
          <w:rFonts w:ascii="Palatino Linotype" w:eastAsia="Palatino Linotype" w:hAnsi="Palatino Linotype" w:cs="Palatino Linotype"/>
        </w:rPr>
        <w:t>, visible en la Gaceta del Semanario Judicial de la Federación con el registro digital 205635.</w:t>
      </w:r>
    </w:p>
    <w:p w:rsidR="00C34A5D" w:rsidRPr="00591C1D" w:rsidRDefault="00C34A5D">
      <w:pPr>
        <w:tabs>
          <w:tab w:val="left" w:pos="0"/>
        </w:tabs>
        <w:spacing w:line="360" w:lineRule="auto"/>
        <w:ind w:right="-592"/>
        <w:rPr>
          <w:rFonts w:ascii="Palatino Linotype" w:eastAsia="Palatino Linotype" w:hAnsi="Palatino Linotype" w:cs="Palatino Linotype"/>
        </w:rPr>
      </w:pPr>
    </w:p>
    <w:p w:rsidR="00C34A5D" w:rsidRPr="00591C1D" w:rsidRDefault="00AF71FF">
      <w:pPr>
        <w:numPr>
          <w:ilvl w:val="0"/>
          <w:numId w:val="1"/>
        </w:numPr>
        <w:tabs>
          <w:tab w:val="left" w:pos="0"/>
        </w:tabs>
        <w:spacing w:line="360" w:lineRule="auto"/>
        <w:ind w:left="0" w:right="-592" w:firstLine="0"/>
        <w:jc w:val="both"/>
      </w:pPr>
      <w:r w:rsidRPr="00591C1D">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34A5D" w:rsidRPr="00591C1D" w:rsidRDefault="00C34A5D">
      <w:pPr>
        <w:tabs>
          <w:tab w:val="left" w:pos="0"/>
        </w:tabs>
        <w:spacing w:line="360" w:lineRule="auto"/>
        <w:ind w:right="-592"/>
        <w:rPr>
          <w:rFonts w:ascii="Palatino Linotype" w:eastAsia="Palatino Linotype" w:hAnsi="Palatino Linotype" w:cs="Palatino Linotype"/>
        </w:rPr>
      </w:pPr>
    </w:p>
    <w:p w:rsidR="00C34A5D" w:rsidRPr="00591C1D" w:rsidRDefault="00AF71FF">
      <w:pPr>
        <w:numPr>
          <w:ilvl w:val="0"/>
          <w:numId w:val="1"/>
        </w:numPr>
        <w:tabs>
          <w:tab w:val="left" w:pos="0"/>
        </w:tabs>
        <w:spacing w:line="360" w:lineRule="auto"/>
        <w:ind w:left="0" w:right="-592" w:firstLine="0"/>
        <w:jc w:val="both"/>
      </w:pPr>
      <w:r w:rsidRPr="00591C1D">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rsidR="00C34A5D" w:rsidRPr="00591C1D" w:rsidRDefault="00C34A5D">
      <w:pPr>
        <w:tabs>
          <w:tab w:val="left" w:pos="0"/>
        </w:tabs>
        <w:spacing w:line="360" w:lineRule="auto"/>
        <w:ind w:right="-592"/>
        <w:rPr>
          <w:rFonts w:ascii="Palatino Linotype" w:eastAsia="Palatino Linotype" w:hAnsi="Palatino Linotype" w:cs="Palatino Linotype"/>
        </w:rPr>
      </w:pPr>
    </w:p>
    <w:p w:rsidR="00C34A5D" w:rsidRPr="00591C1D" w:rsidRDefault="00AF71FF">
      <w:pPr>
        <w:numPr>
          <w:ilvl w:val="0"/>
          <w:numId w:val="1"/>
        </w:numPr>
        <w:tabs>
          <w:tab w:val="left" w:pos="0"/>
        </w:tabs>
        <w:spacing w:line="360" w:lineRule="auto"/>
        <w:ind w:left="0" w:right="-592" w:firstLine="0"/>
        <w:jc w:val="both"/>
      </w:pPr>
      <w:r w:rsidRPr="00591C1D">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C34A5D" w:rsidRPr="00591C1D" w:rsidRDefault="00AF71FF">
      <w:pPr>
        <w:tabs>
          <w:tab w:val="left" w:pos="0"/>
        </w:tabs>
        <w:spacing w:line="360" w:lineRule="auto"/>
        <w:ind w:left="851" w:right="-25"/>
        <w:jc w:val="both"/>
        <w:rPr>
          <w:rFonts w:ascii="Palatino Linotype" w:eastAsia="Palatino Linotype" w:hAnsi="Palatino Linotype" w:cs="Palatino Linotype"/>
          <w:sz w:val="22"/>
          <w:szCs w:val="22"/>
        </w:rPr>
      </w:pPr>
      <w:r w:rsidRPr="00591C1D">
        <w:rPr>
          <w:rFonts w:ascii="Palatino Linotype" w:eastAsia="Palatino Linotype" w:hAnsi="Palatino Linotype" w:cs="Palatino Linotype"/>
          <w:sz w:val="22"/>
          <w:szCs w:val="22"/>
        </w:rPr>
        <w:t xml:space="preserve"> </w:t>
      </w:r>
      <w:r w:rsidRPr="00591C1D">
        <w:rPr>
          <w:rFonts w:ascii="Palatino Linotype" w:eastAsia="Palatino Linotype" w:hAnsi="Palatino Linotype" w:cs="Palatino Linotype"/>
          <w:i/>
          <w:sz w:val="22"/>
          <w:szCs w:val="22"/>
        </w:rPr>
        <w:t>“PLAZO RAZONABLE PARA RESOLVER. DIMENSIÓN Y EFECTOS DE ESTE CONCEPTO CUANDO SE ADUCE EXCESIVA CARGA DE TRABAJO.”</w:t>
      </w:r>
      <w:r w:rsidRPr="00591C1D">
        <w:rPr>
          <w:rFonts w:ascii="Palatino Linotype" w:eastAsia="Palatino Linotype" w:hAnsi="Palatino Linotype" w:cs="Palatino Linotype"/>
          <w:sz w:val="22"/>
          <w:szCs w:val="22"/>
        </w:rPr>
        <w:t xml:space="preserve"> consultable en el Semanario Judicial de la Federación y su gaceta, con el registro digital 2002351.</w:t>
      </w:r>
    </w:p>
    <w:p w:rsidR="00C34A5D" w:rsidRPr="00591C1D" w:rsidRDefault="00C34A5D">
      <w:pPr>
        <w:tabs>
          <w:tab w:val="left" w:pos="0"/>
        </w:tabs>
        <w:spacing w:line="360" w:lineRule="auto"/>
        <w:ind w:left="851" w:right="-25"/>
        <w:jc w:val="both"/>
        <w:rPr>
          <w:rFonts w:ascii="Palatino Linotype" w:eastAsia="Palatino Linotype" w:hAnsi="Palatino Linotype" w:cs="Palatino Linotype"/>
          <w:b/>
          <w:sz w:val="22"/>
          <w:szCs w:val="22"/>
        </w:rPr>
      </w:pPr>
    </w:p>
    <w:p w:rsidR="00C34A5D" w:rsidRPr="00591C1D" w:rsidRDefault="00AF71FF">
      <w:pPr>
        <w:tabs>
          <w:tab w:val="left" w:pos="0"/>
        </w:tabs>
        <w:spacing w:line="360" w:lineRule="auto"/>
        <w:ind w:left="851" w:right="-25"/>
        <w:jc w:val="both"/>
        <w:rPr>
          <w:rFonts w:ascii="Palatino Linotype" w:eastAsia="Palatino Linotype" w:hAnsi="Palatino Linotype" w:cs="Palatino Linotype"/>
          <w:sz w:val="22"/>
          <w:szCs w:val="22"/>
        </w:rPr>
      </w:pPr>
      <w:r w:rsidRPr="00591C1D">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591C1D">
        <w:rPr>
          <w:rFonts w:ascii="Palatino Linotype" w:eastAsia="Palatino Linotype" w:hAnsi="Palatino Linotype" w:cs="Palatino Linotype"/>
          <w:sz w:val="22"/>
          <w:szCs w:val="22"/>
        </w:rPr>
        <w:t>, visible en el Semanario Judicial de la Federación y su gaceta, con el registro digital 2002350.</w:t>
      </w:r>
    </w:p>
    <w:p w:rsidR="00C34A5D" w:rsidRPr="00591C1D" w:rsidRDefault="00C34A5D">
      <w:pPr>
        <w:tabs>
          <w:tab w:val="left" w:pos="0"/>
        </w:tabs>
        <w:spacing w:line="360" w:lineRule="auto"/>
        <w:ind w:right="-592"/>
        <w:jc w:val="both"/>
        <w:rPr>
          <w:rFonts w:ascii="Palatino Linotype" w:eastAsia="Palatino Linotype" w:hAnsi="Palatino Linotype" w:cs="Palatino Linotype"/>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C34A5D" w:rsidRPr="00591C1D" w:rsidRDefault="00C34A5D">
      <w:pPr>
        <w:pBdr>
          <w:top w:val="nil"/>
          <w:left w:val="nil"/>
          <w:bottom w:val="nil"/>
          <w:right w:val="nil"/>
          <w:between w:val="nil"/>
        </w:pBdr>
        <w:tabs>
          <w:tab w:val="left" w:pos="0"/>
        </w:tabs>
        <w:spacing w:line="360" w:lineRule="auto"/>
        <w:ind w:right="-592"/>
        <w:jc w:val="both"/>
        <w:rPr>
          <w:color w:val="000000"/>
        </w:rPr>
      </w:pPr>
    </w:p>
    <w:p w:rsidR="00C34A5D" w:rsidRPr="00591C1D" w:rsidRDefault="00AF71FF">
      <w:pPr>
        <w:numPr>
          <w:ilvl w:val="0"/>
          <w:numId w:val="1"/>
        </w:numPr>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El </w:t>
      </w:r>
      <w:r w:rsidRPr="00591C1D">
        <w:rPr>
          <w:rFonts w:ascii="Palatino Linotype" w:eastAsia="Palatino Linotype" w:hAnsi="Palatino Linotype" w:cs="Palatino Linotype"/>
          <w:b/>
          <w:color w:val="000000"/>
        </w:rPr>
        <w:t>veintinueve de enero de dos mil veinticuatro,</w:t>
      </w:r>
      <w:r w:rsidRPr="00591C1D">
        <w:rPr>
          <w:rFonts w:ascii="Palatino Linotype" w:eastAsia="Palatino Linotype" w:hAnsi="Palatino Linotype" w:cs="Palatino Linotype"/>
          <w:color w:val="000000"/>
        </w:rPr>
        <w:t xml:space="preserve"> se notificó acuerdo de cierre de instrucción. </w:t>
      </w:r>
    </w:p>
    <w:p w:rsidR="00C34A5D" w:rsidRPr="00591C1D" w:rsidRDefault="00C34A5D">
      <w:pPr>
        <w:spacing w:line="360" w:lineRule="auto"/>
        <w:ind w:right="-592"/>
        <w:jc w:val="both"/>
        <w:rPr>
          <w:rFonts w:ascii="Palatino Linotype" w:eastAsia="Palatino Linotype" w:hAnsi="Palatino Linotype" w:cs="Palatino Linotype"/>
          <w:b/>
        </w:rPr>
      </w:pPr>
    </w:p>
    <w:p w:rsidR="00C34A5D" w:rsidRPr="00591C1D" w:rsidRDefault="00AF71FF">
      <w:pPr>
        <w:keepNext/>
        <w:keepLines/>
        <w:spacing w:line="360" w:lineRule="auto"/>
        <w:ind w:right="-592"/>
        <w:jc w:val="center"/>
        <w:rPr>
          <w:rFonts w:ascii="Palatino Linotype" w:eastAsia="Palatino Linotype" w:hAnsi="Palatino Linotype" w:cs="Palatino Linotype"/>
          <w:b/>
        </w:rPr>
      </w:pPr>
      <w:bookmarkStart w:id="3" w:name="_heading=h.1fob9te" w:colFirst="0" w:colLast="0"/>
      <w:bookmarkEnd w:id="3"/>
      <w:r w:rsidRPr="00591C1D">
        <w:rPr>
          <w:rFonts w:ascii="Palatino Linotype" w:eastAsia="Palatino Linotype" w:hAnsi="Palatino Linotype" w:cs="Palatino Linotype"/>
          <w:b/>
        </w:rPr>
        <w:lastRenderedPageBreak/>
        <w:t>C O N S I D E R A N D O</w:t>
      </w:r>
    </w:p>
    <w:p w:rsidR="00C34A5D" w:rsidRPr="00591C1D" w:rsidRDefault="00C34A5D">
      <w:pPr>
        <w:keepNext/>
        <w:keepLines/>
        <w:spacing w:line="360" w:lineRule="auto"/>
        <w:ind w:right="-592"/>
        <w:jc w:val="center"/>
        <w:rPr>
          <w:rFonts w:ascii="Palatino Linotype" w:eastAsia="Palatino Linotype" w:hAnsi="Palatino Linotype" w:cs="Palatino Linotype"/>
          <w:b/>
        </w:rPr>
      </w:pPr>
    </w:p>
    <w:p w:rsidR="00C34A5D" w:rsidRPr="00591C1D" w:rsidRDefault="00AF71FF">
      <w:pPr>
        <w:keepNext/>
        <w:keepLines/>
        <w:spacing w:line="360" w:lineRule="auto"/>
        <w:ind w:right="-592"/>
        <w:rPr>
          <w:rFonts w:ascii="Palatino Linotype" w:eastAsia="Palatino Linotype" w:hAnsi="Palatino Linotype" w:cs="Palatino Linotype"/>
          <w:b/>
        </w:rPr>
      </w:pPr>
      <w:bookmarkStart w:id="4" w:name="_heading=h.3znysh7" w:colFirst="0" w:colLast="0"/>
      <w:bookmarkEnd w:id="4"/>
      <w:r w:rsidRPr="00591C1D">
        <w:rPr>
          <w:rFonts w:ascii="Palatino Linotype" w:eastAsia="Palatino Linotype" w:hAnsi="Palatino Linotype" w:cs="Palatino Linotype"/>
          <w:b/>
        </w:rPr>
        <w:t>PRIMERO. De la competencia.</w:t>
      </w:r>
    </w:p>
    <w:p w:rsidR="00C34A5D" w:rsidRPr="00591C1D" w:rsidRDefault="00AF71FF">
      <w:pPr>
        <w:numPr>
          <w:ilvl w:val="0"/>
          <w:numId w:val="1"/>
        </w:numPr>
        <w:pBdr>
          <w:top w:val="nil"/>
          <w:left w:val="nil"/>
          <w:bottom w:val="nil"/>
          <w:right w:val="nil"/>
          <w:between w:val="nil"/>
        </w:pBdr>
        <w:spacing w:before="240" w:after="240" w:line="360" w:lineRule="auto"/>
        <w:ind w:left="0" w:right="-592" w:firstLine="0"/>
        <w:jc w:val="both"/>
        <w:rPr>
          <w:color w:val="000000"/>
        </w:rPr>
      </w:pPr>
      <w:r w:rsidRPr="00591C1D">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591C1D">
        <w:rPr>
          <w:rFonts w:ascii="Palatino Linotype" w:eastAsia="Palatino Linotype" w:hAnsi="Palatino Linotype" w:cs="Palatino Linotype"/>
          <w:b/>
          <w:color w:val="000000"/>
        </w:rPr>
        <w:t>Constitución Política de los Estados Unidos Mexicanos</w:t>
      </w:r>
      <w:r w:rsidRPr="00591C1D">
        <w:rPr>
          <w:rFonts w:ascii="Palatino Linotype" w:eastAsia="Palatino Linotype" w:hAnsi="Palatino Linotype" w:cs="Palatino Linotype"/>
          <w:color w:val="000000"/>
        </w:rPr>
        <w:t xml:space="preserve">; 5, párrafos trigésimo segundo y trigésimo tercero, fracciones IV y V, de la </w:t>
      </w:r>
      <w:r w:rsidRPr="00591C1D">
        <w:rPr>
          <w:rFonts w:ascii="Palatino Linotype" w:eastAsia="Palatino Linotype" w:hAnsi="Palatino Linotype" w:cs="Palatino Linotype"/>
          <w:b/>
          <w:color w:val="000000"/>
        </w:rPr>
        <w:t>Constitución Política del Estado Libre y Soberano de México</w:t>
      </w:r>
      <w:r w:rsidRPr="00591C1D">
        <w:rPr>
          <w:rFonts w:ascii="Palatino Linotype" w:eastAsia="Palatino Linotype" w:hAnsi="Palatino Linotype" w:cs="Palatino Linotype"/>
          <w:color w:val="000000"/>
        </w:rPr>
        <w:t xml:space="preserve">; artículos 1, 2 fracción II, 13, 29, 36 fracciones I y II, 176, 178, 179, 181 párrafo tercero y 185 de la </w:t>
      </w:r>
      <w:r w:rsidRPr="00591C1D">
        <w:rPr>
          <w:rFonts w:ascii="Palatino Linotype" w:eastAsia="Palatino Linotype" w:hAnsi="Palatino Linotype" w:cs="Palatino Linotype"/>
          <w:b/>
          <w:color w:val="000000"/>
        </w:rPr>
        <w:t>Ley de Transparencia y Acceso a la Información Pública del Estado de México y Municipios</w:t>
      </w:r>
      <w:r w:rsidRPr="00591C1D">
        <w:rPr>
          <w:rFonts w:ascii="Palatino Linotype" w:eastAsia="Palatino Linotype" w:hAnsi="Palatino Linotype" w:cs="Palatino Linotype"/>
          <w:color w:val="000000"/>
        </w:rPr>
        <w:t xml:space="preserve">; y 7, 9 fracciones I y XXIII, y 11 del </w:t>
      </w:r>
      <w:r w:rsidRPr="00591C1D">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rsidR="00C34A5D" w:rsidRPr="00591C1D" w:rsidRDefault="00AF71FF">
      <w:pPr>
        <w:keepNext/>
        <w:keepLines/>
        <w:spacing w:line="360" w:lineRule="auto"/>
        <w:ind w:right="-592"/>
        <w:rPr>
          <w:rFonts w:ascii="Palatino Linotype" w:eastAsia="Palatino Linotype" w:hAnsi="Palatino Linotype" w:cs="Palatino Linotype"/>
          <w:b/>
        </w:rPr>
      </w:pPr>
      <w:bookmarkStart w:id="5" w:name="_heading=h.2et92p0" w:colFirst="0" w:colLast="0"/>
      <w:bookmarkEnd w:id="5"/>
      <w:r w:rsidRPr="00591C1D">
        <w:rPr>
          <w:rFonts w:ascii="Palatino Linotype" w:eastAsia="Palatino Linotype" w:hAnsi="Palatino Linotype" w:cs="Palatino Linotype"/>
          <w:b/>
        </w:rPr>
        <w:t>SEGUNDO. De la oportunidad y procedencia.</w:t>
      </w: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rPr>
        <w:t xml:space="preserve">El medio de impugnación fue presentado a través del </w:t>
      </w:r>
      <w:r w:rsidRPr="00591C1D">
        <w:rPr>
          <w:rFonts w:ascii="Palatino Linotype" w:eastAsia="Palatino Linotype" w:hAnsi="Palatino Linotype" w:cs="Palatino Linotype"/>
          <w:b/>
        </w:rPr>
        <w:t>SAIMEX,</w:t>
      </w:r>
      <w:r w:rsidRPr="00591C1D">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591C1D">
        <w:rPr>
          <w:rFonts w:ascii="Palatino Linotype" w:eastAsia="Palatino Linotype" w:hAnsi="Palatino Linotype" w:cs="Palatino Linotype"/>
          <w:b/>
        </w:rPr>
        <w:t>SUJETO OBLIGADO</w:t>
      </w:r>
      <w:r w:rsidRPr="00591C1D">
        <w:rPr>
          <w:rFonts w:ascii="Palatino Linotype" w:eastAsia="Palatino Linotype" w:hAnsi="Palatino Linotype" w:cs="Palatino Linotype"/>
        </w:rPr>
        <w:t xml:space="preserve"> entregó respuesta el día </w:t>
      </w:r>
      <w:r w:rsidRPr="00591C1D">
        <w:rPr>
          <w:rFonts w:ascii="Palatino Linotype" w:eastAsia="Palatino Linotype" w:hAnsi="Palatino Linotype" w:cs="Palatino Linotype"/>
          <w:b/>
        </w:rPr>
        <w:t>veinte de noviembre de dos mil veinticuatro</w:t>
      </w:r>
      <w:r w:rsidRPr="00591C1D">
        <w:rPr>
          <w:rFonts w:ascii="Palatino Linotype" w:eastAsia="Palatino Linotype" w:hAnsi="Palatino Linotype" w:cs="Palatino Linotype"/>
        </w:rPr>
        <w:t xml:space="preserve">, de tal forma que el plazo para interponer el recurso transcurrió del </w:t>
      </w:r>
      <w:r w:rsidRPr="00591C1D">
        <w:rPr>
          <w:rFonts w:ascii="Palatino Linotype" w:eastAsia="Palatino Linotype" w:hAnsi="Palatino Linotype" w:cs="Palatino Linotype"/>
          <w:b/>
        </w:rPr>
        <w:t>veintiuno de noviembre al once de diciembre de dos mil veinticuatro</w:t>
      </w:r>
      <w:r w:rsidRPr="00591C1D">
        <w:rPr>
          <w:rFonts w:ascii="Palatino Linotype" w:eastAsia="Palatino Linotype" w:hAnsi="Palatino Linotype" w:cs="Palatino Linotype"/>
        </w:rPr>
        <w:t xml:space="preserve">, de acuerdo al calendario oficial del Instituto de Transparencia del Estado de México y Municipios; en consecuencia, si el particular presentó su inconformidad el día </w:t>
      </w:r>
      <w:r w:rsidRPr="00591C1D">
        <w:rPr>
          <w:rFonts w:ascii="Palatino Linotype" w:eastAsia="Palatino Linotype" w:hAnsi="Palatino Linotype" w:cs="Palatino Linotype"/>
          <w:b/>
        </w:rPr>
        <w:t>veintiuno de noviembre de dos mil veinticuatro</w:t>
      </w:r>
      <w:r w:rsidRPr="00591C1D">
        <w:rPr>
          <w:rFonts w:ascii="Palatino Linotype" w:eastAsia="Palatino Linotype" w:hAnsi="Palatino Linotype" w:cs="Palatino Linotype"/>
        </w:rPr>
        <w:t xml:space="preserve">, se encuentra dentro de los márgenes temporales previstos en el artículo 178 de la </w:t>
      </w:r>
      <w:r w:rsidRPr="00591C1D">
        <w:rPr>
          <w:rFonts w:ascii="Palatino Linotype" w:eastAsia="Palatino Linotype" w:hAnsi="Palatino Linotype" w:cs="Palatino Linotype"/>
          <w:b/>
        </w:rPr>
        <w:t xml:space="preserve">Ley de Transparencia y Acceso a la Información Pública del Estado de México y Municipios </w:t>
      </w:r>
      <w:r w:rsidRPr="00591C1D">
        <w:rPr>
          <w:rFonts w:ascii="Palatino Linotype" w:eastAsia="Palatino Linotype" w:hAnsi="Palatino Linotype" w:cs="Palatino Linotype"/>
        </w:rPr>
        <w:t xml:space="preserve">vigente. </w:t>
      </w: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rPr>
        <w:lastRenderedPageBreak/>
        <w:t>Consecuentemente,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C34A5D" w:rsidRPr="00591C1D" w:rsidRDefault="00C34A5D">
      <w:pPr>
        <w:spacing w:line="360" w:lineRule="auto"/>
        <w:ind w:right="-592"/>
        <w:jc w:val="both"/>
        <w:rPr>
          <w:rFonts w:ascii="Palatino Linotype" w:eastAsia="Palatino Linotype" w:hAnsi="Palatino Linotype" w:cs="Palatino Linotype"/>
          <w:b/>
        </w:rPr>
      </w:pPr>
    </w:p>
    <w:p w:rsidR="00C34A5D" w:rsidRPr="00591C1D" w:rsidRDefault="00AF71FF">
      <w:pPr>
        <w:keepNext/>
        <w:keepLines/>
        <w:spacing w:line="360" w:lineRule="auto"/>
        <w:ind w:right="-592"/>
        <w:rPr>
          <w:rFonts w:ascii="Palatino Linotype" w:eastAsia="Palatino Linotype" w:hAnsi="Palatino Linotype" w:cs="Palatino Linotype"/>
          <w:b/>
        </w:rPr>
      </w:pPr>
      <w:bookmarkStart w:id="6" w:name="_heading=h.tyjcwt" w:colFirst="0" w:colLast="0"/>
      <w:bookmarkEnd w:id="6"/>
      <w:r w:rsidRPr="00591C1D">
        <w:rPr>
          <w:rFonts w:ascii="Palatino Linotype" w:eastAsia="Palatino Linotype" w:hAnsi="Palatino Linotype" w:cs="Palatino Linotype"/>
          <w:b/>
        </w:rPr>
        <w:t>TERCERO. Planteamiento de la Litis.</w:t>
      </w:r>
    </w:p>
    <w:p w:rsidR="00C34A5D" w:rsidRPr="00591C1D" w:rsidRDefault="00AF71FF">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El particular solicitó:</w:t>
      </w:r>
    </w:p>
    <w:p w:rsidR="00C34A5D" w:rsidRPr="00591C1D" w:rsidRDefault="00AF71FF">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color w:val="000000"/>
          <w:sz w:val="22"/>
          <w:szCs w:val="22"/>
        </w:rPr>
        <w:t>Número de demandas laborales hay en contra del Ayuntamiento de Zacualpan;</w:t>
      </w:r>
    </w:p>
    <w:p w:rsidR="00C34A5D" w:rsidRPr="00591C1D" w:rsidRDefault="00AF71FF">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color w:val="000000"/>
          <w:sz w:val="22"/>
          <w:szCs w:val="22"/>
        </w:rPr>
        <w:t>Nombres de los actores de las demandas laborales contra el Ayuntamiento de Zacualpan;</w:t>
      </w:r>
    </w:p>
    <w:p w:rsidR="00C34A5D" w:rsidRPr="00591C1D" w:rsidRDefault="00AF71FF">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color w:val="000000"/>
          <w:sz w:val="22"/>
          <w:szCs w:val="22"/>
        </w:rPr>
        <w:t>Número de orden de embargo contra el Ayuntamiento de Zacualpan vigente a la fecha de la solicitud y el monto a cada actor; y</w:t>
      </w:r>
    </w:p>
    <w:p w:rsidR="00C34A5D" w:rsidRPr="00591C1D" w:rsidRDefault="00AF71FF">
      <w:pPr>
        <w:numPr>
          <w:ilvl w:val="0"/>
          <w:numId w:val="2"/>
        </w:numPr>
        <w:pBdr>
          <w:top w:val="nil"/>
          <w:left w:val="nil"/>
          <w:bottom w:val="nil"/>
          <w:right w:val="nil"/>
          <w:between w:val="nil"/>
        </w:pBdr>
        <w:spacing w:line="360" w:lineRule="auto"/>
        <w:ind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color w:val="000000"/>
          <w:sz w:val="22"/>
          <w:szCs w:val="22"/>
        </w:rPr>
        <w:t>Nombre de las personas que ganaron las demandas para lograr los embargos referidos en el párrafo anterior.</w:t>
      </w:r>
    </w:p>
    <w:p w:rsidR="00C34A5D" w:rsidRPr="00591C1D" w:rsidRDefault="00C34A5D">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p>
    <w:p w:rsidR="00C34A5D" w:rsidRPr="00591C1D" w:rsidRDefault="00AF71FF">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En respuesta, el Sujeto Obligado adjuntó un documento ad hoc, en el que se advierte el número de expediente, actor (testado), demandado, municipio, cantidad total, número de trabajadores y fecha de laudo. Posteriormente, el particular interpuso recurso de revisión en el que señaló su inconformidad por la clasificación del nombre de los actores. </w:t>
      </w:r>
    </w:p>
    <w:p w:rsidR="00C34A5D" w:rsidRPr="00591C1D" w:rsidRDefault="00C34A5D">
      <w:pPr>
        <w:tabs>
          <w:tab w:val="left" w:pos="0"/>
        </w:tabs>
        <w:spacing w:line="360" w:lineRule="auto"/>
        <w:ind w:right="-592"/>
        <w:jc w:val="both"/>
        <w:rPr>
          <w:rFonts w:ascii="Palatino Linotype" w:eastAsia="Palatino Linotype" w:hAnsi="Palatino Linotype" w:cs="Palatino Linotype"/>
          <w:i/>
        </w:rPr>
      </w:pPr>
    </w:p>
    <w:p w:rsidR="00C34A5D" w:rsidRPr="00591C1D" w:rsidRDefault="00AF71FF">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En consecuencia, la Litis a resolver en este recurso, se circunscribe a determinar si la respuesta colma con lo solicitado o si se actualiza la causal de procedencia prevista en el artículo 179, fracción II de la Ley de Transparencia y Acceso a la Información Pública del Estado de México y Municipios; que establece la clasificación de la información. </w:t>
      </w:r>
    </w:p>
    <w:p w:rsidR="00C34A5D" w:rsidRPr="00591C1D" w:rsidRDefault="00C34A5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C34A5D" w:rsidRPr="00591C1D" w:rsidRDefault="00AF71FF">
      <w:pPr>
        <w:pStyle w:val="Ttulo1"/>
        <w:spacing w:before="0" w:line="360" w:lineRule="auto"/>
        <w:ind w:right="-592"/>
        <w:rPr>
          <w:rFonts w:ascii="Palatino Linotype" w:eastAsia="Palatino Linotype" w:hAnsi="Palatino Linotype" w:cs="Palatino Linotype"/>
          <w:b/>
          <w:color w:val="000000"/>
          <w:sz w:val="24"/>
          <w:szCs w:val="24"/>
        </w:rPr>
      </w:pPr>
      <w:bookmarkStart w:id="7" w:name="_heading=h.3dy6vkm" w:colFirst="0" w:colLast="0"/>
      <w:bookmarkEnd w:id="7"/>
      <w:r w:rsidRPr="00591C1D">
        <w:rPr>
          <w:rFonts w:ascii="Palatino Linotype" w:eastAsia="Palatino Linotype" w:hAnsi="Palatino Linotype" w:cs="Palatino Linotype"/>
          <w:b/>
          <w:color w:val="000000"/>
          <w:sz w:val="24"/>
          <w:szCs w:val="24"/>
        </w:rPr>
        <w:lastRenderedPageBreak/>
        <w:t>CUARTO. Del estudio y resolución del recurso de revisión.</w:t>
      </w:r>
    </w:p>
    <w:p w:rsidR="00C34A5D" w:rsidRPr="00591C1D" w:rsidRDefault="00AF71FF">
      <w:pPr>
        <w:pStyle w:val="Ttulo1"/>
        <w:spacing w:before="0" w:line="360" w:lineRule="auto"/>
        <w:ind w:right="-592"/>
        <w:rPr>
          <w:rFonts w:ascii="Palatino Linotype" w:eastAsia="Palatino Linotype" w:hAnsi="Palatino Linotype" w:cs="Palatino Linotype"/>
          <w:b/>
          <w:color w:val="000000"/>
          <w:sz w:val="24"/>
          <w:szCs w:val="24"/>
        </w:rPr>
      </w:pPr>
      <w:bookmarkStart w:id="8" w:name="_heading=h.4d34og8" w:colFirst="0" w:colLast="0"/>
      <w:bookmarkEnd w:id="8"/>
      <w:r w:rsidRPr="00591C1D">
        <w:rPr>
          <w:rFonts w:ascii="Palatino Linotype" w:eastAsia="Palatino Linotype" w:hAnsi="Palatino Linotype" w:cs="Palatino Linotype"/>
          <w:b/>
          <w:color w:val="000000"/>
          <w:sz w:val="24"/>
          <w:szCs w:val="24"/>
        </w:rPr>
        <w:t>De la información solicitada y la respuesta del Sujeto Obligado</w:t>
      </w:r>
    </w:p>
    <w:p w:rsidR="00C34A5D" w:rsidRPr="00591C1D" w:rsidRDefault="00AF71FF">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C34A5D" w:rsidRPr="00591C1D" w:rsidRDefault="00C34A5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Primeramente, debemos recapitular que el particular solicitó  el número de demandas laborales hay en contra del Ayuntamiento de Zacualpan, nombres de los actores de las demandas laborales contra el Ayuntamiento de Zacualpan, número de orden de embargo contra el Ayuntamiento de Zacualpan vigente a la fecha de la solicitud y el monto a cada actor y nombre de las personas que ganaron las demandas para lograr los embargos referidos en el párrafo anterior. Posteriormente, en respuesta el Sujeto Obligado adjuntó un documento ad hoc, en el que se advierte el número de expediente, actor (testado), demandado, municipio, cantidad total, número de trabajadores y fecha de laudo. Posteriormente, el particular interpuso recurso de revisión en el que señaló su inconformidad por la clasificación del nombre de los actores.</w:t>
      </w:r>
    </w:p>
    <w:p w:rsidR="00C34A5D" w:rsidRPr="00591C1D" w:rsidRDefault="00C34A5D">
      <w:pPr>
        <w:pBdr>
          <w:top w:val="nil"/>
          <w:left w:val="nil"/>
          <w:bottom w:val="nil"/>
          <w:right w:val="nil"/>
          <w:between w:val="nil"/>
        </w:pBdr>
        <w:tabs>
          <w:tab w:val="left" w:pos="851"/>
        </w:tabs>
        <w:spacing w:line="360" w:lineRule="auto"/>
        <w:ind w:right="-592"/>
        <w:jc w:val="both"/>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Ahora bien, la inconformidad del RECURRENTE radica en que la clasificación del nombre de los actores, es decir, que el particular no se </w:t>
      </w:r>
      <w:r w:rsidRPr="00591C1D">
        <w:rPr>
          <w:rFonts w:ascii="Palatino Linotype" w:eastAsia="Palatino Linotype" w:hAnsi="Palatino Linotype" w:cs="Palatino Linotype"/>
        </w:rPr>
        <w:t>conformó</w:t>
      </w:r>
      <w:r w:rsidRPr="00591C1D">
        <w:rPr>
          <w:rFonts w:ascii="Palatino Linotype" w:eastAsia="Palatino Linotype" w:hAnsi="Palatino Linotype" w:cs="Palatino Linotype"/>
          <w:color w:val="000000"/>
        </w:rPr>
        <w:t xml:space="preserve"> por el resto de la información solicitada y entregada en respuesta; en este caso, la parte de la respuesta que no fue impugnada debe declararse consentida, toda vez que al no realizar manifestaciones de inconformidad respecto de la respuesta proporcionada, no pueden producirse efectos </w:t>
      </w:r>
      <w:r w:rsidRPr="00591C1D">
        <w:rPr>
          <w:rFonts w:ascii="Palatino Linotype" w:eastAsia="Palatino Linotype" w:hAnsi="Palatino Linotype" w:cs="Palatino Linotype"/>
          <w:color w:val="000000"/>
        </w:rPr>
        <w:lastRenderedPageBreak/>
        <w:t xml:space="preserve">jurídicos tendentes a revocar, confirmar o modificar el acto reclamado, ya que no realizó manifestación alguna al respecto. </w:t>
      </w:r>
    </w:p>
    <w:p w:rsidR="00C34A5D" w:rsidRPr="00591C1D" w:rsidRDefault="00C34A5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rsidR="00C34A5D" w:rsidRPr="00591C1D" w:rsidRDefault="00AF71FF">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C34A5D" w:rsidRPr="00591C1D" w:rsidRDefault="00C34A5D">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p>
    <w:p w:rsidR="00C34A5D" w:rsidRPr="00591C1D" w:rsidRDefault="00AF71FF">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rsidR="00C34A5D" w:rsidRPr="00591C1D" w:rsidRDefault="00C34A5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rsidR="00C34A5D" w:rsidRPr="00591C1D" w:rsidRDefault="00AF71FF">
      <w:pPr>
        <w:pBdr>
          <w:top w:val="nil"/>
          <w:left w:val="nil"/>
          <w:bottom w:val="nil"/>
          <w:right w:val="nil"/>
          <w:between w:val="nil"/>
        </w:pBdr>
        <w:spacing w:after="240"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 xml:space="preserve">“REVISIÓN EN AMPARO. LOS RESOLUTIVOS NO COMBATIDOS DEBEN DECLARARSE FIRMES. Cuando algún resolutivo de la sentencia impugnada afecta a la recurrente, y ésta no expresa agravio en contra de las consideraciones que le sirven de base, </w:t>
      </w:r>
      <w:r w:rsidRPr="00591C1D">
        <w:rPr>
          <w:rFonts w:ascii="Palatino Linotype" w:eastAsia="Palatino Linotype" w:hAnsi="Palatino Linotype" w:cs="Palatino Linotype"/>
          <w:i/>
          <w:color w:val="000000"/>
          <w:sz w:val="22"/>
          <w:szCs w:val="22"/>
        </w:rPr>
        <w:lastRenderedPageBreak/>
        <w:t>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w:t>
      </w:r>
    </w:p>
    <w:p w:rsidR="007C05EB" w:rsidRPr="00591C1D" w:rsidRDefault="007C05EB" w:rsidP="007C05EB">
      <w:pPr>
        <w:spacing w:line="360" w:lineRule="auto"/>
        <w:ind w:right="-592"/>
        <w:jc w:val="both"/>
      </w:pP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rPr>
        <w:t xml:space="preserve">En este contexto, se hará pronunciamiento, únicamente por el nombre de los actores testados en la respuesta del Sujeto Obligado. </w:t>
      </w:r>
    </w:p>
    <w:p w:rsidR="00C34A5D" w:rsidRPr="00591C1D" w:rsidRDefault="00C34A5D">
      <w:pPr>
        <w:pBdr>
          <w:top w:val="nil"/>
          <w:left w:val="nil"/>
          <w:bottom w:val="nil"/>
          <w:right w:val="nil"/>
          <w:between w:val="nil"/>
        </w:pBdr>
        <w:ind w:left="720" w:right="-592"/>
        <w:rPr>
          <w:rFonts w:ascii="Palatino Linotype" w:eastAsia="Palatino Linotype" w:hAnsi="Palatino Linotype" w:cs="Palatino Linotype"/>
          <w:color w:val="000000"/>
        </w:rPr>
      </w:pP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rPr>
        <w:t xml:space="preserve">Ahora bien, en razón de la pretendida clasificación de la información por parte del Sujeto Obligado, es importante señalar que la clasificación total o parcial de la información requerida mediante solicitud de acceso a la información pública, constituye una restricción al derecho humano de acceso a la información. </w:t>
      </w:r>
    </w:p>
    <w:p w:rsidR="00C34A5D" w:rsidRPr="00591C1D" w:rsidRDefault="00C34A5D">
      <w:pPr>
        <w:pBdr>
          <w:top w:val="nil"/>
          <w:left w:val="nil"/>
          <w:bottom w:val="nil"/>
          <w:right w:val="nil"/>
          <w:between w:val="nil"/>
        </w:pBdr>
        <w:ind w:left="720" w:right="-592"/>
        <w:rPr>
          <w:rFonts w:ascii="Palatino Linotype" w:eastAsia="Palatino Linotype" w:hAnsi="Palatino Linotype" w:cs="Palatino Linotype"/>
          <w:color w:val="000000"/>
        </w:rPr>
      </w:pP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rPr>
        <w:t>En este caso, la clasificación total o parcial de la información es un supuesto que tanto la Ley General de Transparencia y Acceso a la Información Pública, en adelante, la Ley General, como la Ley de Transparencia y Acceso a la Información Pública del Estado de México y Municipios, en adelante, la Ley Estatal, establecen, y agotar el procedimiento legalmente establecido, es precisamente lo que permite acreditar el cumplimiento de los otros dos requisitos.</w:t>
      </w:r>
    </w:p>
    <w:p w:rsidR="00C34A5D" w:rsidRPr="00591C1D" w:rsidRDefault="00C34A5D">
      <w:pPr>
        <w:spacing w:line="360" w:lineRule="auto"/>
        <w:ind w:right="-592"/>
        <w:jc w:val="both"/>
        <w:rPr>
          <w:rFonts w:ascii="Palatino Linotype" w:eastAsia="Palatino Linotype" w:hAnsi="Palatino Linotype" w:cs="Palatino Linotype"/>
        </w:rPr>
      </w:pP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color w:val="000000"/>
        </w:rPr>
        <w:lastRenderedPageBreak/>
        <w:t>Es importante señalar que para la clasificación de la información se debe atender a ciertas formalidades establecidas en la Ley.</w:t>
      </w:r>
      <w:r w:rsidRPr="00591C1D">
        <w:rPr>
          <w:rFonts w:ascii="Palatino Linotype" w:eastAsia="Palatino Linotype" w:hAnsi="Palatino Linotype" w:cs="Palatino Linotype"/>
        </w:rPr>
        <w:t xml:space="preserve"> Al respecto, los Lineamientos Generales en Materia de Clasificación y Desclasificación de la Información, así Como para la Elaboración de Versiones Públicas, por cuanto hace a la clasificación de la información, señalan lo siguiente:</w:t>
      </w:r>
    </w:p>
    <w:p w:rsidR="00C34A5D" w:rsidRPr="00591C1D" w:rsidRDefault="00AF71FF">
      <w:pPr>
        <w:pBdr>
          <w:top w:val="nil"/>
          <w:left w:val="nil"/>
          <w:bottom w:val="nil"/>
          <w:right w:val="nil"/>
          <w:between w:val="nil"/>
        </w:pBdr>
        <w:tabs>
          <w:tab w:val="left" w:pos="142"/>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w:t>
      </w:r>
      <w:r w:rsidRPr="00591C1D">
        <w:rPr>
          <w:rFonts w:ascii="Palatino Linotype" w:eastAsia="Palatino Linotype" w:hAnsi="Palatino Linotype" w:cs="Palatino Linotype"/>
          <w:b/>
          <w:i/>
          <w:color w:val="000000"/>
          <w:sz w:val="22"/>
          <w:szCs w:val="22"/>
        </w:rPr>
        <w:t>Quincuagésimo.</w:t>
      </w:r>
      <w:r w:rsidRPr="00591C1D">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C34A5D" w:rsidRPr="00591C1D" w:rsidRDefault="00AF71FF">
      <w:pPr>
        <w:pBdr>
          <w:top w:val="nil"/>
          <w:left w:val="nil"/>
          <w:bottom w:val="nil"/>
          <w:right w:val="nil"/>
          <w:between w:val="nil"/>
        </w:pBdr>
        <w:tabs>
          <w:tab w:val="left" w:pos="142"/>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b/>
          <w:i/>
          <w:color w:val="000000"/>
          <w:sz w:val="22"/>
          <w:szCs w:val="22"/>
        </w:rPr>
        <w:t>Quincuagésimo primero.</w:t>
      </w:r>
      <w:r w:rsidRPr="00591C1D">
        <w:rPr>
          <w:rFonts w:ascii="Palatino Linotype" w:eastAsia="Palatino Linotype" w:hAnsi="Palatino Linotype" w:cs="Palatino Linotype"/>
          <w:i/>
          <w:color w:val="000000"/>
          <w:sz w:val="22"/>
          <w:szCs w:val="22"/>
        </w:rPr>
        <w:t xml:space="preserve"> La leyenda en los documentos clasificados indicará:</w:t>
      </w:r>
    </w:p>
    <w:p w:rsidR="00C34A5D" w:rsidRPr="00591C1D" w:rsidRDefault="00AF71FF">
      <w:pPr>
        <w:pBdr>
          <w:top w:val="nil"/>
          <w:left w:val="nil"/>
          <w:bottom w:val="nil"/>
          <w:right w:val="nil"/>
          <w:between w:val="nil"/>
        </w:pBdr>
        <w:tabs>
          <w:tab w:val="left" w:pos="142"/>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I. La fecha de sesión del Comité de Transparencia en donde se confirmó la clasificación, en su caso;</w:t>
      </w:r>
    </w:p>
    <w:p w:rsidR="00C34A5D" w:rsidRPr="00591C1D" w:rsidRDefault="00AF71FF">
      <w:pPr>
        <w:pBdr>
          <w:top w:val="nil"/>
          <w:left w:val="nil"/>
          <w:bottom w:val="nil"/>
          <w:right w:val="nil"/>
          <w:between w:val="nil"/>
        </w:pBdr>
        <w:tabs>
          <w:tab w:val="left" w:pos="142"/>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II. El nombre del área;</w:t>
      </w:r>
    </w:p>
    <w:p w:rsidR="00C34A5D" w:rsidRPr="00591C1D" w:rsidRDefault="00AF71FF">
      <w:pPr>
        <w:pBdr>
          <w:top w:val="nil"/>
          <w:left w:val="nil"/>
          <w:bottom w:val="nil"/>
          <w:right w:val="nil"/>
          <w:between w:val="nil"/>
        </w:pBdr>
        <w:tabs>
          <w:tab w:val="left" w:pos="142"/>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III. La palabra reservado o confidencial;</w:t>
      </w:r>
    </w:p>
    <w:p w:rsidR="00C34A5D" w:rsidRPr="00591C1D" w:rsidRDefault="00AF71FF">
      <w:pPr>
        <w:pBdr>
          <w:top w:val="nil"/>
          <w:left w:val="nil"/>
          <w:bottom w:val="nil"/>
          <w:right w:val="nil"/>
          <w:between w:val="nil"/>
        </w:pBdr>
        <w:tabs>
          <w:tab w:val="left" w:pos="142"/>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IV. Las partes o secciones reservadas o confidenciales, en su caso;</w:t>
      </w:r>
    </w:p>
    <w:p w:rsidR="00C34A5D" w:rsidRPr="00591C1D" w:rsidRDefault="00AF71FF">
      <w:pPr>
        <w:pBdr>
          <w:top w:val="nil"/>
          <w:left w:val="nil"/>
          <w:bottom w:val="nil"/>
          <w:right w:val="nil"/>
          <w:between w:val="nil"/>
        </w:pBdr>
        <w:tabs>
          <w:tab w:val="left" w:pos="142"/>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V. El fundamento legal;</w:t>
      </w:r>
    </w:p>
    <w:p w:rsidR="00C34A5D" w:rsidRPr="00591C1D" w:rsidRDefault="00AF71FF">
      <w:pPr>
        <w:pBdr>
          <w:top w:val="nil"/>
          <w:left w:val="nil"/>
          <w:bottom w:val="nil"/>
          <w:right w:val="nil"/>
          <w:between w:val="nil"/>
        </w:pBdr>
        <w:tabs>
          <w:tab w:val="left" w:pos="142"/>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VI. El periodo de reserva, y</w:t>
      </w:r>
    </w:p>
    <w:p w:rsidR="00C34A5D" w:rsidRPr="00591C1D" w:rsidRDefault="00AF71FF">
      <w:pPr>
        <w:pBdr>
          <w:top w:val="nil"/>
          <w:left w:val="nil"/>
          <w:bottom w:val="nil"/>
          <w:right w:val="nil"/>
          <w:between w:val="nil"/>
        </w:pBdr>
        <w:tabs>
          <w:tab w:val="left" w:pos="142"/>
          <w:tab w:val="left" w:pos="284"/>
          <w:tab w:val="left" w:pos="851"/>
        </w:tabs>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VII. La rúbrica del titular del área.</w:t>
      </w:r>
    </w:p>
    <w:p w:rsidR="00C34A5D" w:rsidRPr="00591C1D" w:rsidRDefault="00C34A5D">
      <w:pPr>
        <w:tabs>
          <w:tab w:val="left" w:pos="142"/>
          <w:tab w:val="left" w:pos="284"/>
          <w:tab w:val="left" w:pos="426"/>
        </w:tabs>
        <w:spacing w:line="360" w:lineRule="auto"/>
        <w:ind w:right="-592"/>
        <w:jc w:val="both"/>
        <w:rPr>
          <w:rFonts w:ascii="Palatino Linotype" w:eastAsia="Palatino Linotype" w:hAnsi="Palatino Linotype" w:cs="Palatino Linotype"/>
          <w:i/>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Una vez hecho lo anterior, se remite la información al Titular de la Unidad de Transparencia, con el acuerdo de clasificación correspondiente, para que sea </w:t>
      </w:r>
      <w:r w:rsidRPr="00591C1D">
        <w:rPr>
          <w:rFonts w:ascii="Palatino Linotype" w:eastAsia="Palatino Linotype" w:hAnsi="Palatino Linotype" w:cs="Palatino Linotype"/>
        </w:rPr>
        <w:t>sometida</w:t>
      </w:r>
      <w:r w:rsidRPr="00591C1D">
        <w:rPr>
          <w:rFonts w:ascii="Palatino Linotype" w:eastAsia="Palatino Linotype" w:hAnsi="Palatino Linotype" w:cs="Palatino Linotype"/>
          <w:color w:val="000000"/>
        </w:rPr>
        <w:t xml:space="preserve"> al conocimiento del Comité de Transparencia.</w:t>
      </w:r>
    </w:p>
    <w:p w:rsidR="00C34A5D" w:rsidRPr="00591C1D" w:rsidRDefault="00C34A5D">
      <w:pPr>
        <w:pBdr>
          <w:top w:val="nil"/>
          <w:left w:val="nil"/>
          <w:bottom w:val="nil"/>
          <w:right w:val="nil"/>
          <w:between w:val="nil"/>
        </w:pBdr>
        <w:tabs>
          <w:tab w:val="left" w:pos="0"/>
        </w:tabs>
        <w:spacing w:line="360" w:lineRule="auto"/>
        <w:ind w:right="-592"/>
        <w:jc w:val="both"/>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w:t>
      </w:r>
      <w:r w:rsidRPr="00591C1D">
        <w:rPr>
          <w:rFonts w:ascii="Palatino Linotype" w:eastAsia="Palatino Linotype" w:hAnsi="Palatino Linotype" w:cs="Palatino Linotype"/>
          <w:color w:val="000000"/>
        </w:rPr>
        <w:lastRenderedPageBreak/>
        <w:t xml:space="preserve">cuenta con las facultades para </w:t>
      </w:r>
      <w:r w:rsidRPr="00591C1D">
        <w:rPr>
          <w:rFonts w:ascii="Palatino Linotype" w:eastAsia="Palatino Linotype" w:hAnsi="Palatino Linotype" w:cs="Palatino Linotype"/>
          <w:b/>
          <w:color w:val="000000"/>
          <w:u w:val="single"/>
        </w:rPr>
        <w:t>confirmar, modificar o revocar</w:t>
      </w:r>
      <w:r w:rsidRPr="00591C1D">
        <w:rPr>
          <w:rFonts w:ascii="Palatino Linotype" w:eastAsia="Palatino Linotype" w:hAnsi="Palatino Linotype" w:cs="Palatino Linotype"/>
          <w:color w:val="000000"/>
        </w:rPr>
        <w:t xml:space="preserve"> la clasificación de la información que ha hecho el titular del área que administra la información. Por lo tanto, el Comité </w:t>
      </w:r>
      <w:r w:rsidRPr="00591C1D">
        <w:rPr>
          <w:rFonts w:ascii="Palatino Linotype" w:eastAsia="Palatino Linotype" w:hAnsi="Palatino Linotype" w:cs="Palatino Linotype"/>
          <w:b/>
          <w:color w:val="000000"/>
          <w:u w:val="single"/>
        </w:rPr>
        <w:t>no aprueba</w:t>
      </w:r>
      <w:r w:rsidRPr="00591C1D">
        <w:rPr>
          <w:rFonts w:ascii="Palatino Linotype" w:eastAsia="Palatino Linotype" w:hAnsi="Palatino Linotype" w:cs="Palatino Linotype"/>
          <w:color w:val="000000"/>
        </w:rPr>
        <w:t xml:space="preserve"> la clasificación, sino que revisa lo que ha hecho el titular del área y confirma, modifica o revoca la decisión a través de un acuerdo.</w:t>
      </w:r>
    </w:p>
    <w:p w:rsidR="00C34A5D" w:rsidRPr="00591C1D" w:rsidRDefault="00C34A5D">
      <w:pPr>
        <w:pBdr>
          <w:top w:val="nil"/>
          <w:left w:val="nil"/>
          <w:bottom w:val="nil"/>
          <w:right w:val="nil"/>
          <w:between w:val="nil"/>
        </w:pBdr>
        <w:tabs>
          <w:tab w:val="left" w:pos="0"/>
        </w:tabs>
        <w:spacing w:line="360" w:lineRule="auto"/>
        <w:ind w:right="-592"/>
        <w:jc w:val="both"/>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Evidentemente, esta decisión implica una restricción a un derecho humano, por lo tanto, puede generar un agravio al particular y, en consecuencia, es necesario que </w:t>
      </w:r>
      <w:r w:rsidRPr="00591C1D">
        <w:rPr>
          <w:rFonts w:ascii="Palatino Linotype" w:eastAsia="Palatino Linotype" w:hAnsi="Palatino Linotype" w:cs="Palatino Linotype"/>
          <w:b/>
          <w:color w:val="000000"/>
          <w:u w:val="single"/>
        </w:rPr>
        <w:t>el acto reúna con los requisitos elementales</w:t>
      </w:r>
      <w:r w:rsidRPr="00591C1D">
        <w:rPr>
          <w:rFonts w:ascii="Palatino Linotype" w:eastAsia="Palatino Linotype" w:hAnsi="Palatino Linotype" w:cs="Palatino Linotype"/>
          <w:color w:val="000000"/>
        </w:rPr>
        <w:t>,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C34A5D" w:rsidRPr="00591C1D" w:rsidRDefault="00C34A5D">
      <w:pPr>
        <w:pBdr>
          <w:top w:val="nil"/>
          <w:left w:val="nil"/>
          <w:bottom w:val="nil"/>
          <w:right w:val="nil"/>
          <w:between w:val="nil"/>
        </w:pBdr>
        <w:spacing w:line="360" w:lineRule="auto"/>
        <w:ind w:right="-592"/>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C34A5D" w:rsidRPr="00591C1D" w:rsidRDefault="00C34A5D">
      <w:pPr>
        <w:pBdr>
          <w:top w:val="nil"/>
          <w:left w:val="nil"/>
          <w:bottom w:val="nil"/>
          <w:right w:val="nil"/>
          <w:between w:val="nil"/>
        </w:pBdr>
        <w:spacing w:line="360" w:lineRule="auto"/>
        <w:ind w:right="-592"/>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lastRenderedPageBreak/>
        <w:t>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7C05EB" w:rsidRPr="00591C1D" w:rsidRDefault="007C05EB" w:rsidP="007C05EB">
      <w:pPr>
        <w:pBdr>
          <w:top w:val="nil"/>
          <w:left w:val="nil"/>
          <w:bottom w:val="nil"/>
          <w:right w:val="nil"/>
          <w:between w:val="nil"/>
        </w:pBdr>
        <w:tabs>
          <w:tab w:val="left" w:pos="0"/>
        </w:tabs>
        <w:spacing w:line="360" w:lineRule="auto"/>
        <w:ind w:right="-592"/>
        <w:jc w:val="both"/>
        <w:rPr>
          <w:color w:val="000000"/>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34A5D" w:rsidRPr="00591C1D" w:rsidRDefault="00C34A5D">
      <w:pPr>
        <w:pBdr>
          <w:top w:val="nil"/>
          <w:left w:val="nil"/>
          <w:bottom w:val="nil"/>
          <w:right w:val="nil"/>
          <w:between w:val="nil"/>
        </w:pBdr>
        <w:tabs>
          <w:tab w:val="left" w:pos="0"/>
        </w:tabs>
        <w:spacing w:line="360" w:lineRule="auto"/>
        <w:ind w:right="-592"/>
        <w:jc w:val="both"/>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Por su parte, el intérprete judicial del país ha establecido una jurisprudencia respecto a qué debe entenderse por fundamentación y motivación, en los siguientes términos:</w:t>
      </w:r>
    </w:p>
    <w:p w:rsidR="00C34A5D" w:rsidRPr="00591C1D" w:rsidRDefault="00AF71FF">
      <w:pPr>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b/>
          <w:i/>
          <w:color w:val="000000"/>
          <w:sz w:val="22"/>
          <w:szCs w:val="22"/>
        </w:rPr>
        <w:t>FUNDAMENTACIÓN Y MOTIVACIÓN.</w:t>
      </w:r>
      <w:r w:rsidRPr="00591C1D">
        <w:rPr>
          <w:rFonts w:ascii="Palatino Linotype" w:eastAsia="Palatino Linotype" w:hAnsi="Palatino Linotype" w:cs="Palatino Linotype"/>
          <w:i/>
          <w:color w:val="000000"/>
          <w:sz w:val="22"/>
          <w:szCs w:val="22"/>
        </w:rPr>
        <w:t xml:space="preserve"> “La </w:t>
      </w:r>
      <w:r w:rsidRPr="00591C1D">
        <w:rPr>
          <w:rFonts w:ascii="Palatino Linotype" w:eastAsia="Palatino Linotype" w:hAnsi="Palatino Linotype" w:cs="Palatino Linotype"/>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591C1D">
        <w:rPr>
          <w:rFonts w:ascii="Palatino Linotype" w:eastAsia="Palatino Linotype" w:hAnsi="Palatino Linotype" w:cs="Palatino Linotype"/>
          <w:i/>
          <w:color w:val="000000"/>
          <w:sz w:val="22"/>
          <w:szCs w:val="22"/>
        </w:rPr>
        <w:t>.”</w:t>
      </w:r>
    </w:p>
    <w:p w:rsidR="00C34A5D" w:rsidRPr="00591C1D" w:rsidRDefault="00AF71FF">
      <w:pPr>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SEGUNDO TRIBUNAL COLEGIADO DEL SEXTO CIRCUITO.</w:t>
      </w:r>
    </w:p>
    <w:p w:rsidR="00C34A5D" w:rsidRPr="00591C1D" w:rsidRDefault="00AF71FF">
      <w:pPr>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rsidR="00C34A5D" w:rsidRPr="00591C1D" w:rsidRDefault="00AF71FF">
      <w:pPr>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lastRenderedPageBreak/>
        <w:t>Revisión fiscal 103/88. Instituto Mexicano del Seguro Social. 18 de octubre de 1988. Unanimidad de votos. Ponente: Arnoldo Nájera Virgen. Secretario: Alejandro Esponda Rincón.</w:t>
      </w:r>
    </w:p>
    <w:p w:rsidR="00C34A5D" w:rsidRPr="00591C1D" w:rsidRDefault="00AF71FF">
      <w:pPr>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Amparo en revisión 333/88. Adilia Romero. 26 de octubre de 1988. Unanimidad de votos. Ponente: Arnoldo Nájera Virgen. Secretario: Enrique Crispín Campos Ramírez.</w:t>
      </w:r>
    </w:p>
    <w:p w:rsidR="00C34A5D" w:rsidRPr="00591C1D" w:rsidRDefault="00AF71FF">
      <w:pPr>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Amparo en revisión 597/95. Emilio Maurer Bretón. 15 de noviembre de 1995. Unanimidad de votos. Ponente: Clementina Ramírez Moguel Goyzueta. Secretario: Gonzalo Carrera Molina.</w:t>
      </w:r>
    </w:p>
    <w:p w:rsidR="00C34A5D" w:rsidRPr="00591C1D" w:rsidRDefault="00AF71FF">
      <w:pPr>
        <w:spacing w:line="360" w:lineRule="auto"/>
        <w:ind w:left="851"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Amparo directo 7/96. Pedro Vicente López Miro. 21 de febrero de 1996. Unanimidad de votos. Ponente: María Eugenia Estela Martínez Cardiel. Secretario: Enrique Baigts Muñoz.</w:t>
      </w:r>
    </w:p>
    <w:p w:rsidR="00C34A5D" w:rsidRPr="00591C1D" w:rsidRDefault="00C34A5D">
      <w:pPr>
        <w:pBdr>
          <w:top w:val="nil"/>
          <w:left w:val="nil"/>
          <w:bottom w:val="nil"/>
          <w:right w:val="nil"/>
          <w:between w:val="nil"/>
        </w:pBdr>
        <w:spacing w:line="360" w:lineRule="auto"/>
        <w:ind w:left="720" w:right="-592"/>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C34A5D" w:rsidRPr="00591C1D" w:rsidRDefault="00C34A5D">
      <w:pPr>
        <w:pBdr>
          <w:top w:val="nil"/>
          <w:left w:val="nil"/>
          <w:bottom w:val="nil"/>
          <w:right w:val="nil"/>
          <w:between w:val="nil"/>
        </w:pBdr>
        <w:tabs>
          <w:tab w:val="left" w:pos="0"/>
        </w:tabs>
        <w:spacing w:line="360" w:lineRule="auto"/>
        <w:ind w:right="-592"/>
        <w:jc w:val="both"/>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rsidR="00C34A5D" w:rsidRPr="00591C1D" w:rsidRDefault="00C34A5D">
      <w:pPr>
        <w:pBdr>
          <w:top w:val="nil"/>
          <w:left w:val="nil"/>
          <w:bottom w:val="nil"/>
          <w:right w:val="nil"/>
          <w:between w:val="nil"/>
        </w:pBdr>
        <w:spacing w:line="360" w:lineRule="auto"/>
        <w:ind w:right="-592"/>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tabs>
          <w:tab w:val="left" w:pos="0"/>
        </w:tabs>
        <w:spacing w:line="360" w:lineRule="auto"/>
        <w:ind w:left="0" w:right="-592" w:firstLine="0"/>
        <w:jc w:val="both"/>
        <w:rPr>
          <w:color w:val="000000"/>
        </w:rPr>
      </w:pPr>
      <w:r w:rsidRPr="00591C1D">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C34A5D" w:rsidRPr="00591C1D" w:rsidRDefault="00C34A5D">
      <w:pPr>
        <w:pBdr>
          <w:top w:val="nil"/>
          <w:left w:val="nil"/>
          <w:bottom w:val="nil"/>
          <w:right w:val="nil"/>
          <w:between w:val="nil"/>
        </w:pBdr>
        <w:tabs>
          <w:tab w:val="left" w:pos="0"/>
        </w:tabs>
        <w:spacing w:line="360" w:lineRule="auto"/>
        <w:ind w:right="-592"/>
        <w:jc w:val="both"/>
        <w:rPr>
          <w:rFonts w:ascii="Palatino Linotype" w:eastAsia="Palatino Linotype" w:hAnsi="Palatino Linotype" w:cs="Palatino Linotype"/>
          <w:color w:val="000000"/>
        </w:rPr>
      </w:pPr>
    </w:p>
    <w:p w:rsidR="00C34A5D" w:rsidRPr="00591C1D" w:rsidRDefault="00AF71FF">
      <w:pPr>
        <w:numPr>
          <w:ilvl w:val="0"/>
          <w:numId w:val="1"/>
        </w:numPr>
        <w:spacing w:line="360" w:lineRule="auto"/>
        <w:ind w:left="0" w:right="-592" w:firstLine="0"/>
        <w:jc w:val="both"/>
        <w:rPr>
          <w:color w:val="000000"/>
        </w:rPr>
      </w:pPr>
      <w:r w:rsidRPr="00591C1D">
        <w:rPr>
          <w:rFonts w:ascii="Palatino Linotype" w:eastAsia="Palatino Linotype" w:hAnsi="Palatino Linotype" w:cs="Palatino Linotype"/>
          <w:color w:val="000000"/>
        </w:rPr>
        <w:lastRenderedPageBreak/>
        <w:t>En este caso</w:t>
      </w:r>
      <w:r w:rsidRPr="00591C1D">
        <w:rPr>
          <w:rFonts w:ascii="Palatino Linotype" w:eastAsia="Palatino Linotype" w:hAnsi="Palatino Linotype" w:cs="Palatino Linotype"/>
        </w:rPr>
        <w:t xml:space="preserve">, el Sujeto Obligado no entregó acuerdo que sustente la versión pública que realizó del documento, o en su caso, el Acuerdo de Clasificación emitido por el Comité de Transparencia de acuerdo a lo establecido en la Legislación aplicable. </w:t>
      </w:r>
    </w:p>
    <w:p w:rsidR="007C05EB" w:rsidRPr="00591C1D" w:rsidRDefault="007C05EB" w:rsidP="007C05EB">
      <w:pPr>
        <w:spacing w:line="360" w:lineRule="auto"/>
        <w:ind w:right="-592"/>
        <w:jc w:val="both"/>
        <w:rPr>
          <w:color w:val="000000"/>
        </w:rPr>
      </w:pP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rPr>
        <w:t>Por otra parte, p</w:t>
      </w:r>
      <w:r w:rsidRPr="00591C1D">
        <w:rPr>
          <w:rFonts w:ascii="Palatino Linotype" w:eastAsia="Palatino Linotype" w:hAnsi="Palatino Linotype" w:cs="Palatino Linotype"/>
          <w:color w:val="000000"/>
        </w:rPr>
        <w:t xml:space="preserve">or lo que hace al nombre de la parte actora, este puede ser clasificado o no dependiendo del estado procesal, toda vez que, si ha recibido recursos públicos por haber sido ganador de la controversia o incluso el pago de los montos acordados en conciliación, se actualiza el supuesto del artículo 23, párrafo segundo, de la Ley de Transparencia y Acceso a la Información Pública del Estado de México y Municipios, por tratarse de la entrega de recursos públicos y por tanto su nombre es público, como ocurre en el presente caso, toda vez que como se advierte en el documento entregado, el Sujeto Obligado señaló la cantidad recibida. </w:t>
      </w:r>
    </w:p>
    <w:p w:rsidR="00C34A5D" w:rsidRPr="00591C1D" w:rsidRDefault="00C34A5D">
      <w:pPr>
        <w:pBdr>
          <w:top w:val="nil"/>
          <w:left w:val="nil"/>
          <w:bottom w:val="nil"/>
          <w:right w:val="nil"/>
          <w:between w:val="nil"/>
        </w:pBdr>
        <w:ind w:left="720" w:right="-592"/>
        <w:rPr>
          <w:rFonts w:ascii="Palatino Linotype" w:eastAsia="Palatino Linotype" w:hAnsi="Palatino Linotype" w:cs="Palatino Linotype"/>
          <w:color w:val="000000"/>
        </w:rPr>
      </w:pP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color w:val="000000"/>
        </w:rPr>
        <w:t>Asimismo, proporcionar el nombre de los actores que ya recibieron recursos públicos con motivo de las demandas interpuestas en contra del Ayuntamiento, es información, cuya publicidad, puede abonar en la transparencia y rendición de cuentas; por tanto, es necesario, atraer al estudio el Criterio 19/13 emitido por el Instituto Nacional de Transparencia, Acceso a la Información y Protección de Datos Personales (INAI), antes IFAI; el cual a la letra precisa:</w:t>
      </w:r>
    </w:p>
    <w:p w:rsidR="00C34A5D" w:rsidRPr="00591C1D" w:rsidRDefault="00AF71FF">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b/>
          <w:i/>
          <w:color w:val="000000"/>
          <w:sz w:val="22"/>
          <w:szCs w:val="22"/>
        </w:rPr>
        <w:t>“Nombre de actores en juicios laborales constituye, en principio, información confidencial.</w:t>
      </w:r>
      <w:r w:rsidRPr="00591C1D">
        <w:rPr>
          <w:rFonts w:ascii="Palatino Linotype" w:eastAsia="Palatino Linotype" w:hAnsi="Palatino Linotype" w:cs="Palatino Linotype"/>
          <w:i/>
          <w:color w:val="000000"/>
          <w:sz w:val="22"/>
          <w:szCs w:val="22"/>
        </w:rPr>
        <w:t xml:space="preserve"> El nombre es un atributo de la personalidad y la manifestación principal del derecho a la identidad, en razón de que por sí mismo permite identificar a una persona física. Por lo que respecta al nombre de las personas que han entablado un juicio laboral, éste permite identificar a los actores que presentaron una demanda laboral y participan en un juicio, lo cual constituye una decisión personal que refleja un acto de voluntad de quien lo realiza. En efecto, las acciones legales que emprenden los actores en el ejercicio de sus derechos laborales hacen evidente </w:t>
      </w:r>
      <w:r w:rsidRPr="00591C1D">
        <w:rPr>
          <w:rFonts w:ascii="Palatino Linotype" w:eastAsia="Palatino Linotype" w:hAnsi="Palatino Linotype" w:cs="Palatino Linotype"/>
          <w:i/>
          <w:color w:val="000000"/>
          <w:sz w:val="22"/>
          <w:szCs w:val="22"/>
        </w:rPr>
        <w:lastRenderedPageBreak/>
        <w:t>la posición jurídica en la cual se han colocado por decisión propia, con relación a determinados órganos de gobierno, para la obtención de algunas prestaciones laborales o económicas, lo cual constituye cuestiones de carácter estrictamente privado. En este tenor, el nombre de los actores de los juicios laborales que se encuentran en trámite o que, en su defecto, concluyeron con la emisión de un laudo desfavorable a los intereses personales del actor constituye información confidencial, conforme a lo dispuesto en el artículo 18, fracción II de la Ley Federal de Transparencia y Acceso a la Información Pública Gubernamental. No obstante, procede la entrega del nombre de los actores en juicios laborales cuando, en definitiva, se haya condenado a una dependencia o entidad al pago de las prestaciones económicas reclamadas o la reinstalación del servidor público, en virtud de que el cumplimiento de dicho fallo se realiza necesariamente con recursos públicos a cargo del presupuesto del sujeto obligado, lo cual permite por una parte, dar cumplimiento a las obligaciones de transparencia contenidas en el artículo 7, fracciones III, IV, IX y XVII de la Ley y, por la otra, transparenta la gestión pública y favorece la rendición de cuentas a los ciudadanos, ya que se refiere al ejercicio de los recursos públicos y al cumplimiento que se da a las resoluciones emitidas por alguna autoridad jurisdiccional encargada de dirimir conflictos</w:t>
      </w:r>
    </w:p>
    <w:p w:rsidR="00C34A5D" w:rsidRPr="00591C1D" w:rsidRDefault="00AF71FF">
      <w:pPr>
        <w:pBdr>
          <w:top w:val="nil"/>
          <w:left w:val="nil"/>
          <w:bottom w:val="nil"/>
          <w:right w:val="nil"/>
          <w:between w:val="nil"/>
        </w:pBdr>
        <w:spacing w:line="360" w:lineRule="auto"/>
        <w:ind w:left="567" w:right="-25"/>
        <w:jc w:val="both"/>
        <w:rPr>
          <w:rFonts w:ascii="Palatino Linotype" w:eastAsia="Palatino Linotype" w:hAnsi="Palatino Linotype" w:cs="Palatino Linotype"/>
          <w:i/>
          <w:color w:val="000000"/>
          <w:sz w:val="22"/>
          <w:szCs w:val="22"/>
        </w:rPr>
      </w:pPr>
      <w:r w:rsidRPr="00591C1D">
        <w:rPr>
          <w:rFonts w:ascii="Palatino Linotype" w:eastAsia="Palatino Linotype" w:hAnsi="Palatino Linotype" w:cs="Palatino Linotype"/>
          <w:i/>
          <w:color w:val="000000"/>
          <w:sz w:val="22"/>
          <w:szCs w:val="22"/>
        </w:rPr>
        <w:t>laborales.”</w:t>
      </w:r>
    </w:p>
    <w:p w:rsidR="00C34A5D" w:rsidRPr="00591C1D" w:rsidRDefault="00C34A5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C34A5D" w:rsidRPr="00591C1D" w:rsidRDefault="00AF71FF">
      <w:pPr>
        <w:numPr>
          <w:ilvl w:val="0"/>
          <w:numId w:val="1"/>
        </w:numPr>
        <w:pBdr>
          <w:top w:val="nil"/>
          <w:left w:val="nil"/>
          <w:bottom w:val="nil"/>
          <w:right w:val="nil"/>
          <w:between w:val="nil"/>
        </w:pBdr>
        <w:spacing w:after="360" w:line="360" w:lineRule="auto"/>
        <w:ind w:left="0" w:right="-592" w:firstLine="0"/>
        <w:jc w:val="both"/>
        <w:rPr>
          <w:color w:val="000000"/>
        </w:rPr>
      </w:pPr>
      <w:r w:rsidRPr="00591C1D">
        <w:rPr>
          <w:rFonts w:ascii="Palatino Linotype" w:eastAsia="Palatino Linotype" w:hAnsi="Palatino Linotype" w:cs="Palatino Linotype"/>
          <w:color w:val="000000"/>
        </w:rPr>
        <w:t xml:space="preserve">En atención al Criterio emitido por el Instituto Nacional de Transparencia, Acceso a la Información y Protección de Datos Personales (INAI), se advierte que el nombre de los actores en los procedimientos laborales, que se encuentren en trámite, o bien que se concluyeran desfavorables a ellos, es un dato personal confidencial; sin embargo, procede su entrega, siempre que culmine con la entrega a favor de los actores de recursos públicos, (como ocurre en el presente caso), pues se favorece la rendición de cuentas y se puede verificar el cumplimiento que el </w:t>
      </w:r>
      <w:r w:rsidRPr="00591C1D">
        <w:rPr>
          <w:rFonts w:ascii="Palatino Linotype" w:eastAsia="Palatino Linotype" w:hAnsi="Palatino Linotype" w:cs="Palatino Linotype"/>
          <w:b/>
          <w:color w:val="000000"/>
        </w:rPr>
        <w:t>SUJETO OBLIGADO</w:t>
      </w:r>
      <w:r w:rsidRPr="00591C1D">
        <w:rPr>
          <w:rFonts w:ascii="Palatino Linotype" w:eastAsia="Palatino Linotype" w:hAnsi="Palatino Linotype" w:cs="Palatino Linotype"/>
          <w:color w:val="000000"/>
        </w:rPr>
        <w:t xml:space="preserve"> de a las resoluciones o convenios suscritos ante la autoridad laboral. </w:t>
      </w:r>
    </w:p>
    <w:p w:rsidR="00C34A5D" w:rsidRPr="00591C1D" w:rsidRDefault="00AF71FF">
      <w:pPr>
        <w:numPr>
          <w:ilvl w:val="0"/>
          <w:numId w:val="1"/>
        </w:numPr>
        <w:spacing w:line="360" w:lineRule="auto"/>
        <w:ind w:left="0" w:right="-592" w:firstLine="0"/>
        <w:jc w:val="both"/>
      </w:pPr>
      <w:r w:rsidRPr="00591C1D">
        <w:rPr>
          <w:rFonts w:ascii="Palatino Linotype" w:eastAsia="Palatino Linotype" w:hAnsi="Palatino Linotype" w:cs="Palatino Linotype"/>
        </w:rPr>
        <w:lastRenderedPageBreak/>
        <w:t xml:space="preserve">En consecuencia, una vez analizadas las constancias que integran el expediente electrónico, y en mérito de lo expuesto en líneas anteriores, resultan  fundadas las razones o motivos de inconformidad hechos valer por el </w:t>
      </w:r>
      <w:r w:rsidRPr="00591C1D">
        <w:rPr>
          <w:rFonts w:ascii="Palatino Linotype" w:eastAsia="Palatino Linotype" w:hAnsi="Palatino Linotype" w:cs="Palatino Linotype"/>
          <w:b/>
        </w:rPr>
        <w:t>RECURRENTE</w:t>
      </w:r>
      <w:r w:rsidRPr="00591C1D">
        <w:rPr>
          <w:rFonts w:ascii="Palatino Linotype" w:eastAsia="Palatino Linotype" w:hAnsi="Palatino Linotype" w:cs="Palatino Linotype"/>
        </w:rPr>
        <w:t xml:space="preserve"> dentro del recurso de revisión </w:t>
      </w:r>
      <w:r w:rsidRPr="00591C1D">
        <w:rPr>
          <w:rFonts w:ascii="Palatino Linotype" w:eastAsia="Palatino Linotype" w:hAnsi="Palatino Linotype" w:cs="Palatino Linotype"/>
          <w:b/>
        </w:rPr>
        <w:t>07298/INFOEM/IP/RR/2024</w:t>
      </w:r>
      <w:r w:rsidRPr="00591C1D">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sidRPr="00591C1D">
        <w:rPr>
          <w:rFonts w:ascii="Palatino Linotype" w:eastAsia="Palatino Linotype" w:hAnsi="Palatino Linotype" w:cs="Palatino Linotype"/>
          <w:b/>
        </w:rPr>
        <w:t>MODIFICA</w:t>
      </w:r>
      <w:r w:rsidRPr="00591C1D">
        <w:rPr>
          <w:rFonts w:ascii="Palatino Linotype" w:eastAsia="Palatino Linotype" w:hAnsi="Palatino Linotype" w:cs="Palatino Linotype"/>
        </w:rPr>
        <w:t xml:space="preserve"> la respuesta del Sujeto Obligado. </w:t>
      </w:r>
    </w:p>
    <w:p w:rsidR="00C34A5D" w:rsidRPr="00591C1D" w:rsidRDefault="00C34A5D">
      <w:pPr>
        <w:pBdr>
          <w:top w:val="nil"/>
          <w:left w:val="nil"/>
          <w:bottom w:val="nil"/>
          <w:right w:val="nil"/>
          <w:between w:val="nil"/>
        </w:pBdr>
        <w:tabs>
          <w:tab w:val="left" w:pos="426"/>
        </w:tabs>
        <w:spacing w:line="360" w:lineRule="auto"/>
        <w:ind w:right="-592"/>
        <w:jc w:val="both"/>
        <w:rPr>
          <w:rFonts w:ascii="Palatino Linotype" w:eastAsia="Palatino Linotype" w:hAnsi="Palatino Linotype" w:cs="Palatino Linotype"/>
          <w:color w:val="000000"/>
        </w:rPr>
      </w:pPr>
    </w:p>
    <w:p w:rsidR="00C34A5D" w:rsidRPr="00591C1D" w:rsidRDefault="00AF71FF" w:rsidP="00591C1D">
      <w:pPr>
        <w:numPr>
          <w:ilvl w:val="0"/>
          <w:numId w:val="1"/>
        </w:numPr>
        <w:pBdr>
          <w:top w:val="nil"/>
          <w:left w:val="nil"/>
          <w:bottom w:val="nil"/>
          <w:right w:val="nil"/>
          <w:between w:val="nil"/>
        </w:pBdr>
        <w:spacing w:line="360" w:lineRule="auto"/>
        <w:ind w:left="0" w:right="-592" w:firstLine="0"/>
        <w:jc w:val="both"/>
        <w:rPr>
          <w:color w:val="000000"/>
        </w:rPr>
      </w:pPr>
      <w:r w:rsidRPr="00591C1D">
        <w:rPr>
          <w:rFonts w:ascii="Palatino Linotype" w:eastAsia="Palatino Linotype" w:hAnsi="Palatino Linotype" w:cs="Palatino Linotype"/>
          <w:color w:val="000000"/>
        </w:rPr>
        <w:t xml:space="preserve">Por lo anteriormente expuesto y fundado, este </w:t>
      </w:r>
      <w:r w:rsidRPr="00591C1D">
        <w:rPr>
          <w:rFonts w:ascii="Palatino Linotype" w:eastAsia="Palatino Linotype" w:hAnsi="Palatino Linotype" w:cs="Palatino Linotype"/>
          <w:b/>
          <w:color w:val="000000"/>
        </w:rPr>
        <w:t>ÓRGANO GARANTE</w:t>
      </w:r>
      <w:r w:rsidRPr="00591C1D">
        <w:rPr>
          <w:rFonts w:ascii="Palatino Linotype" w:eastAsia="Palatino Linotype" w:hAnsi="Palatino Linotype" w:cs="Palatino Linotype"/>
          <w:color w:val="000000"/>
        </w:rPr>
        <w:t xml:space="preserve"> emite los siguientes:</w:t>
      </w:r>
    </w:p>
    <w:p w:rsidR="00C34A5D" w:rsidRPr="00591C1D" w:rsidRDefault="00AF71FF">
      <w:pPr>
        <w:keepNext/>
        <w:keepLines/>
        <w:spacing w:line="360" w:lineRule="auto"/>
        <w:ind w:right="-592"/>
        <w:jc w:val="center"/>
        <w:rPr>
          <w:rFonts w:ascii="Palatino Linotype" w:eastAsia="Palatino Linotype" w:hAnsi="Palatino Linotype" w:cs="Palatino Linotype"/>
          <w:b/>
          <w:color w:val="000000"/>
        </w:rPr>
      </w:pPr>
      <w:bookmarkStart w:id="9" w:name="_heading=h.2s8eyo1" w:colFirst="0" w:colLast="0"/>
      <w:bookmarkEnd w:id="9"/>
      <w:r w:rsidRPr="00591C1D">
        <w:rPr>
          <w:rFonts w:ascii="Palatino Linotype" w:eastAsia="Palatino Linotype" w:hAnsi="Palatino Linotype" w:cs="Palatino Linotype"/>
          <w:b/>
          <w:color w:val="000000"/>
        </w:rPr>
        <w:t>R E S O L U T I V O S</w:t>
      </w:r>
    </w:p>
    <w:p w:rsidR="00C34A5D" w:rsidRPr="00591C1D" w:rsidRDefault="00C34A5D">
      <w:pPr>
        <w:keepNext/>
        <w:keepLines/>
        <w:spacing w:line="360" w:lineRule="auto"/>
        <w:ind w:right="-592"/>
        <w:jc w:val="center"/>
        <w:rPr>
          <w:rFonts w:ascii="Palatino Linotype" w:eastAsia="Palatino Linotype" w:hAnsi="Palatino Linotype" w:cs="Palatino Linotype"/>
          <w:b/>
          <w:color w:val="000000"/>
          <w:sz w:val="6"/>
        </w:rPr>
      </w:pPr>
    </w:p>
    <w:p w:rsidR="00C34A5D" w:rsidRPr="00591C1D" w:rsidRDefault="00AF71FF">
      <w:pPr>
        <w:spacing w:line="360" w:lineRule="auto"/>
        <w:ind w:right="-592"/>
        <w:jc w:val="both"/>
        <w:rPr>
          <w:rFonts w:ascii="Palatino Linotype" w:eastAsia="Palatino Linotype" w:hAnsi="Palatino Linotype" w:cs="Palatino Linotype"/>
        </w:rPr>
      </w:pPr>
      <w:r w:rsidRPr="00591C1D">
        <w:rPr>
          <w:rFonts w:ascii="Palatino Linotype" w:eastAsia="Palatino Linotype" w:hAnsi="Palatino Linotype" w:cs="Palatino Linotype"/>
          <w:b/>
        </w:rPr>
        <w:t xml:space="preserve">PRIMERO. </w:t>
      </w:r>
      <w:r w:rsidRPr="00591C1D">
        <w:rPr>
          <w:rFonts w:ascii="Palatino Linotype" w:eastAsia="Palatino Linotype" w:hAnsi="Palatino Linotype" w:cs="Palatino Linotype"/>
        </w:rPr>
        <w:t>Resultan fundadas las</w:t>
      </w:r>
      <w:r w:rsidRPr="00591C1D">
        <w:rPr>
          <w:rFonts w:ascii="Palatino Linotype" w:eastAsia="Palatino Linotype" w:hAnsi="Palatino Linotype" w:cs="Palatino Linotype"/>
          <w:b/>
        </w:rPr>
        <w:t xml:space="preserve"> </w:t>
      </w:r>
      <w:r w:rsidRPr="00591C1D">
        <w:rPr>
          <w:rFonts w:ascii="Palatino Linotype" w:eastAsia="Palatino Linotype" w:hAnsi="Palatino Linotype" w:cs="Palatino Linotype"/>
        </w:rPr>
        <w:t xml:space="preserve">razones o motivos de inconformidad hechos valer en el recurso de revisión </w:t>
      </w:r>
      <w:r w:rsidRPr="00591C1D">
        <w:rPr>
          <w:rFonts w:ascii="Palatino Linotype" w:eastAsia="Palatino Linotype" w:hAnsi="Palatino Linotype" w:cs="Palatino Linotype"/>
          <w:b/>
        </w:rPr>
        <w:t xml:space="preserve">07298/INFOEM/IP/RR/2024, </w:t>
      </w:r>
      <w:r w:rsidRPr="00591C1D">
        <w:rPr>
          <w:rFonts w:ascii="Palatino Linotype" w:eastAsia="Palatino Linotype" w:hAnsi="Palatino Linotype" w:cs="Palatino Linotype"/>
        </w:rPr>
        <w:t xml:space="preserve">en términos del </w:t>
      </w:r>
      <w:r w:rsidRPr="00591C1D">
        <w:rPr>
          <w:rFonts w:ascii="Palatino Linotype" w:eastAsia="Palatino Linotype" w:hAnsi="Palatino Linotype" w:cs="Palatino Linotype"/>
          <w:b/>
        </w:rPr>
        <w:t>Considerando</w:t>
      </w:r>
      <w:r w:rsidRPr="00591C1D">
        <w:rPr>
          <w:rFonts w:ascii="Palatino Linotype" w:eastAsia="Palatino Linotype" w:hAnsi="Palatino Linotype" w:cs="Palatino Linotype"/>
        </w:rPr>
        <w:t xml:space="preserve"> </w:t>
      </w:r>
      <w:r w:rsidRPr="00591C1D">
        <w:rPr>
          <w:rFonts w:ascii="Palatino Linotype" w:eastAsia="Palatino Linotype" w:hAnsi="Palatino Linotype" w:cs="Palatino Linotype"/>
          <w:b/>
        </w:rPr>
        <w:t xml:space="preserve">CUARTO y QUINTO  </w:t>
      </w:r>
      <w:r w:rsidRPr="00591C1D">
        <w:rPr>
          <w:rFonts w:ascii="Palatino Linotype" w:eastAsia="Palatino Linotype" w:hAnsi="Palatino Linotype" w:cs="Palatino Linotype"/>
        </w:rPr>
        <w:t>de la presente resolución.</w:t>
      </w:r>
    </w:p>
    <w:p w:rsidR="00C34A5D" w:rsidRPr="00591C1D" w:rsidRDefault="00C34A5D">
      <w:pPr>
        <w:spacing w:line="360" w:lineRule="auto"/>
        <w:ind w:right="-592"/>
        <w:jc w:val="both"/>
        <w:rPr>
          <w:rFonts w:ascii="Palatino Linotype" w:eastAsia="Palatino Linotype" w:hAnsi="Palatino Linotype" w:cs="Palatino Linotype"/>
        </w:rPr>
      </w:pPr>
    </w:p>
    <w:p w:rsidR="00C34A5D" w:rsidRPr="00591C1D" w:rsidRDefault="00AF71FF">
      <w:pPr>
        <w:spacing w:line="360" w:lineRule="auto"/>
        <w:ind w:right="-592"/>
        <w:jc w:val="both"/>
        <w:rPr>
          <w:rFonts w:ascii="Palatino Linotype" w:eastAsia="Palatino Linotype" w:hAnsi="Palatino Linotype" w:cs="Palatino Linotype"/>
        </w:rPr>
      </w:pPr>
      <w:bookmarkStart w:id="10" w:name="_heading=h.17dp8vu" w:colFirst="0" w:colLast="0"/>
      <w:bookmarkEnd w:id="10"/>
      <w:r w:rsidRPr="00591C1D">
        <w:rPr>
          <w:rFonts w:ascii="Palatino Linotype" w:eastAsia="Palatino Linotype" w:hAnsi="Palatino Linotype" w:cs="Palatino Linotype"/>
          <w:b/>
        </w:rPr>
        <w:t>SEGUNDO.</w:t>
      </w:r>
      <w:r w:rsidRPr="00591C1D">
        <w:rPr>
          <w:rFonts w:ascii="Palatino Linotype" w:eastAsia="Palatino Linotype" w:hAnsi="Palatino Linotype" w:cs="Palatino Linotype"/>
          <w:color w:val="2F5496"/>
        </w:rPr>
        <w:t xml:space="preserve"> </w:t>
      </w:r>
      <w:r w:rsidRPr="00591C1D">
        <w:rPr>
          <w:rFonts w:ascii="Palatino Linotype" w:eastAsia="Palatino Linotype" w:hAnsi="Palatino Linotype" w:cs="Palatino Linotype"/>
        </w:rPr>
        <w:t>Se</w:t>
      </w:r>
      <w:r w:rsidRPr="00591C1D">
        <w:rPr>
          <w:rFonts w:ascii="Palatino Linotype" w:eastAsia="Palatino Linotype" w:hAnsi="Palatino Linotype" w:cs="Palatino Linotype"/>
          <w:b/>
        </w:rPr>
        <w:t xml:space="preserve"> MODIFICA </w:t>
      </w:r>
      <w:r w:rsidRPr="00591C1D">
        <w:rPr>
          <w:rFonts w:ascii="Palatino Linotype" w:eastAsia="Palatino Linotype" w:hAnsi="Palatino Linotype" w:cs="Palatino Linotype"/>
        </w:rPr>
        <w:t xml:space="preserve">la respuesta emitida por el </w:t>
      </w:r>
      <w:r w:rsidRPr="00591C1D">
        <w:rPr>
          <w:rFonts w:ascii="Palatino Linotype" w:eastAsia="Palatino Linotype" w:hAnsi="Palatino Linotype" w:cs="Palatino Linotype"/>
          <w:b/>
        </w:rPr>
        <w:t xml:space="preserve">Tribunal Estatal de Conciliación y Arbitraje </w:t>
      </w:r>
      <w:r w:rsidRPr="00591C1D">
        <w:rPr>
          <w:rFonts w:ascii="Palatino Linotype" w:eastAsia="Palatino Linotype" w:hAnsi="Palatino Linotype" w:cs="Palatino Linotype"/>
        </w:rPr>
        <w:t>y se</w:t>
      </w:r>
      <w:r w:rsidRPr="00591C1D">
        <w:rPr>
          <w:rFonts w:ascii="Palatino Linotype" w:eastAsia="Palatino Linotype" w:hAnsi="Palatino Linotype" w:cs="Palatino Linotype"/>
          <w:b/>
        </w:rPr>
        <w:t xml:space="preserve"> ORDENA </w:t>
      </w:r>
      <w:r w:rsidRPr="00591C1D">
        <w:rPr>
          <w:rFonts w:ascii="Palatino Linotype" w:eastAsia="Palatino Linotype" w:hAnsi="Palatino Linotype" w:cs="Palatino Linotype"/>
        </w:rPr>
        <w:t>entregar vía Sistema de Accesos a la Información Mexiquense (SAIMEX), la siguiente información:</w:t>
      </w:r>
    </w:p>
    <w:p w:rsidR="00C34A5D" w:rsidRPr="00591C1D" w:rsidRDefault="00C34A5D">
      <w:pPr>
        <w:spacing w:line="360" w:lineRule="auto"/>
        <w:ind w:right="-592"/>
        <w:jc w:val="both"/>
        <w:rPr>
          <w:rFonts w:ascii="Palatino Linotype" w:eastAsia="Palatino Linotype" w:hAnsi="Palatino Linotype" w:cs="Palatino Linotype"/>
        </w:rPr>
      </w:pPr>
    </w:p>
    <w:p w:rsidR="00C34A5D" w:rsidRPr="00591C1D" w:rsidRDefault="00AF71FF">
      <w:pPr>
        <w:numPr>
          <w:ilvl w:val="2"/>
          <w:numId w:val="3"/>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b/>
          <w:color w:val="000000"/>
        </w:rPr>
      </w:pPr>
      <w:r w:rsidRPr="00591C1D">
        <w:rPr>
          <w:rFonts w:ascii="Palatino Linotype" w:eastAsia="Palatino Linotype" w:hAnsi="Palatino Linotype" w:cs="Palatino Linotype"/>
          <w:b/>
          <w:color w:val="000000"/>
        </w:rPr>
        <w:t xml:space="preserve">Documento entregado en respuesta a la solicitud de información 00104/TRIECA/IP/2024 de forma íntegra. </w:t>
      </w:r>
    </w:p>
    <w:p w:rsidR="00C34A5D" w:rsidRPr="00591C1D" w:rsidRDefault="00C34A5D">
      <w:pPr>
        <w:tabs>
          <w:tab w:val="left" w:pos="8080"/>
        </w:tabs>
        <w:spacing w:line="360" w:lineRule="auto"/>
        <w:ind w:right="-592"/>
        <w:jc w:val="both"/>
        <w:rPr>
          <w:rFonts w:ascii="Palatino Linotype" w:eastAsia="Palatino Linotype" w:hAnsi="Palatino Linotype" w:cs="Palatino Linotype"/>
          <w:b/>
        </w:rPr>
      </w:pPr>
      <w:bookmarkStart w:id="11" w:name="_heading=h.3rdcrjn" w:colFirst="0" w:colLast="0"/>
      <w:bookmarkEnd w:id="11"/>
    </w:p>
    <w:p w:rsidR="00C34A5D" w:rsidRPr="00591C1D" w:rsidRDefault="00AF71FF">
      <w:pPr>
        <w:tabs>
          <w:tab w:val="left" w:pos="8080"/>
        </w:tabs>
        <w:spacing w:line="360" w:lineRule="auto"/>
        <w:ind w:right="-592"/>
        <w:jc w:val="both"/>
        <w:rPr>
          <w:rFonts w:ascii="Palatino Linotype" w:eastAsia="Palatino Linotype" w:hAnsi="Palatino Linotype" w:cs="Palatino Linotype"/>
          <w:color w:val="222222"/>
        </w:rPr>
      </w:pPr>
      <w:r w:rsidRPr="00591C1D">
        <w:rPr>
          <w:rFonts w:ascii="Palatino Linotype" w:eastAsia="Palatino Linotype" w:hAnsi="Palatino Linotype" w:cs="Palatino Linotype"/>
          <w:b/>
        </w:rPr>
        <w:t xml:space="preserve">TERCERO. Notifíquese </w:t>
      </w:r>
      <w:r w:rsidRPr="00591C1D">
        <w:rPr>
          <w:rFonts w:ascii="Palatino Linotype" w:eastAsia="Palatino Linotype" w:hAnsi="Palatino Linotype" w:cs="Palatino Linotype"/>
        </w:rPr>
        <w:t xml:space="preserve">vía SAIMEX la presente resolución al Titular de la Unidad de Transparencia del Sujeto Obligado, para que conforme al artículo 186 último párrafo, 189 segundo párrafo y 194 de la Ley de Transparencia y Acceso a la Información Pública del </w:t>
      </w:r>
      <w:r w:rsidRPr="00591C1D">
        <w:rPr>
          <w:rFonts w:ascii="Palatino Linotype" w:eastAsia="Palatino Linotype" w:hAnsi="Palatino Linotype" w:cs="Palatino Linotype"/>
        </w:rPr>
        <w:lastRenderedPageBreak/>
        <w:t xml:space="preserve">Estado de México y Municipios </w:t>
      </w:r>
      <w:r w:rsidRPr="00591C1D">
        <w:rPr>
          <w:rFonts w:ascii="Palatino Linotype" w:eastAsia="Palatino Linotype" w:hAnsi="Palatino Linotype" w:cs="Palatino Linotype"/>
          <w:b/>
        </w:rPr>
        <w:t>dé cumplimiento a lo ordenado dentro del plazo de diez días hábiles</w:t>
      </w:r>
      <w:r w:rsidRPr="00591C1D">
        <w:rPr>
          <w:rFonts w:ascii="Palatino Linotype" w:eastAsia="Palatino Linotype" w:hAnsi="Palatino Linotype" w:cs="Palatino Linotype"/>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34A5D" w:rsidRPr="00591C1D" w:rsidRDefault="00C34A5D">
      <w:pPr>
        <w:tabs>
          <w:tab w:val="left" w:pos="8080"/>
        </w:tabs>
        <w:spacing w:line="360" w:lineRule="auto"/>
        <w:ind w:right="-592"/>
        <w:jc w:val="both"/>
        <w:rPr>
          <w:rFonts w:ascii="Palatino Linotype" w:eastAsia="Palatino Linotype" w:hAnsi="Palatino Linotype" w:cs="Palatino Linotype"/>
          <w:color w:val="222222"/>
        </w:rPr>
      </w:pPr>
    </w:p>
    <w:p w:rsidR="00C34A5D" w:rsidRPr="00591C1D" w:rsidRDefault="00AF71FF">
      <w:pPr>
        <w:shd w:val="clear" w:color="auto" w:fill="FFFFFF"/>
        <w:spacing w:line="360" w:lineRule="auto"/>
        <w:ind w:right="-592"/>
        <w:jc w:val="both"/>
        <w:rPr>
          <w:rFonts w:ascii="Palatino Linotype" w:eastAsia="Palatino Linotype" w:hAnsi="Palatino Linotype" w:cs="Palatino Linotype"/>
        </w:rPr>
      </w:pPr>
      <w:r w:rsidRPr="00591C1D">
        <w:rPr>
          <w:rFonts w:ascii="Palatino Linotype" w:eastAsia="Palatino Linotype" w:hAnsi="Palatino Linotype" w:cs="Palatino Linotype"/>
          <w:b/>
        </w:rPr>
        <w:t>CUARTO. Notifíquese al RECURRENTE</w:t>
      </w:r>
      <w:r w:rsidRPr="00591C1D">
        <w:rPr>
          <w:rFonts w:ascii="Palatino Linotype" w:eastAsia="Palatino Linotype" w:hAnsi="Palatino Linotype" w:cs="Palatino Linotype"/>
        </w:rPr>
        <w:t xml:space="preserve"> la presente resolución vía SAIMEX.</w:t>
      </w:r>
    </w:p>
    <w:p w:rsidR="00C34A5D" w:rsidRPr="00591C1D" w:rsidRDefault="00C34A5D">
      <w:pPr>
        <w:shd w:val="clear" w:color="auto" w:fill="FFFFFF"/>
        <w:spacing w:line="360" w:lineRule="auto"/>
        <w:ind w:right="-592"/>
        <w:jc w:val="both"/>
        <w:rPr>
          <w:rFonts w:ascii="Palatino Linotype" w:eastAsia="Palatino Linotype" w:hAnsi="Palatino Linotype" w:cs="Palatino Linotype"/>
          <w:b/>
          <w:color w:val="FF0000"/>
        </w:rPr>
      </w:pPr>
    </w:p>
    <w:p w:rsidR="00C34A5D" w:rsidRPr="00591C1D" w:rsidRDefault="00AF71FF">
      <w:pPr>
        <w:spacing w:line="360" w:lineRule="auto"/>
        <w:ind w:right="-592"/>
        <w:jc w:val="both"/>
        <w:rPr>
          <w:rFonts w:ascii="Palatino Linotype" w:eastAsia="Palatino Linotype" w:hAnsi="Palatino Linotype" w:cs="Palatino Linotype"/>
        </w:rPr>
      </w:pPr>
      <w:r w:rsidRPr="00591C1D">
        <w:rPr>
          <w:rFonts w:ascii="Palatino Linotype" w:eastAsia="Palatino Linotype" w:hAnsi="Palatino Linotype" w:cs="Palatino Linotype"/>
          <w:b/>
        </w:rPr>
        <w:t>QUINTO.</w:t>
      </w:r>
      <w:r w:rsidRPr="00591C1D">
        <w:rPr>
          <w:rFonts w:ascii="Palatino Linotype" w:eastAsia="Palatino Linotype" w:hAnsi="Palatino Linotype" w:cs="Palatino Linotype"/>
        </w:rPr>
        <w:t xml:space="preserve"> Se hace del conocimiento del </w:t>
      </w:r>
      <w:r w:rsidRPr="00591C1D">
        <w:rPr>
          <w:rFonts w:ascii="Palatino Linotype" w:eastAsia="Palatino Linotype" w:hAnsi="Palatino Linotype" w:cs="Palatino Linotype"/>
          <w:b/>
        </w:rPr>
        <w:t>RECURRENTE</w:t>
      </w:r>
      <w:r w:rsidRPr="00591C1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C34A5D" w:rsidRPr="00591C1D" w:rsidRDefault="00C34A5D">
      <w:pPr>
        <w:spacing w:line="360" w:lineRule="auto"/>
        <w:ind w:right="-592"/>
        <w:jc w:val="both"/>
        <w:rPr>
          <w:rFonts w:ascii="Palatino Linotype" w:eastAsia="Palatino Linotype" w:hAnsi="Palatino Linotype" w:cs="Palatino Linotype"/>
          <w:color w:val="000000"/>
        </w:rPr>
      </w:pPr>
    </w:p>
    <w:p w:rsidR="00C34A5D" w:rsidRPr="00591C1D" w:rsidRDefault="00AF71FF">
      <w:pPr>
        <w:spacing w:line="360" w:lineRule="auto"/>
        <w:ind w:right="-592"/>
        <w:jc w:val="both"/>
        <w:rPr>
          <w:rFonts w:ascii="Palatino Linotype" w:eastAsia="Palatino Linotype" w:hAnsi="Palatino Linotype" w:cs="Palatino Linotype"/>
        </w:rPr>
      </w:pPr>
      <w:r w:rsidRPr="00591C1D">
        <w:rPr>
          <w:rFonts w:ascii="Palatino Linotype" w:eastAsia="Palatino Linotype" w:hAnsi="Palatino Linotype" w:cs="Palatino Linotype"/>
          <w:b/>
          <w:color w:val="000000"/>
        </w:rPr>
        <w:t xml:space="preserve">SEXTO. </w:t>
      </w:r>
      <w:r w:rsidRPr="00591C1D">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C34A5D" w:rsidRPr="00591C1D" w:rsidRDefault="00C34A5D">
      <w:pPr>
        <w:shd w:val="clear" w:color="auto" w:fill="FFFFFF"/>
        <w:spacing w:line="360" w:lineRule="auto"/>
        <w:ind w:right="-592"/>
        <w:jc w:val="both"/>
        <w:rPr>
          <w:rFonts w:ascii="Palatino Linotype" w:eastAsia="Palatino Linotype" w:hAnsi="Palatino Linotype" w:cs="Palatino Linotype"/>
          <w:sz w:val="16"/>
        </w:rPr>
      </w:pPr>
    </w:p>
    <w:p w:rsidR="003C1933" w:rsidRPr="003C7186" w:rsidRDefault="003C1933" w:rsidP="00591C1D">
      <w:pPr>
        <w:spacing w:line="276" w:lineRule="auto"/>
        <w:ind w:left="-142" w:right="-595" w:firstLine="1"/>
        <w:jc w:val="both"/>
        <w:rPr>
          <w:rFonts w:ascii="Palatino Linotype" w:hAnsi="Palatino Linotype"/>
        </w:rPr>
      </w:pPr>
      <w:r w:rsidRPr="00591C1D">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C34A5D" w:rsidRDefault="00C34A5D" w:rsidP="003C1933">
      <w:pPr>
        <w:spacing w:line="360" w:lineRule="auto"/>
        <w:ind w:right="-595"/>
        <w:jc w:val="both"/>
        <w:rPr>
          <w:rFonts w:ascii="Palatino Linotype" w:eastAsia="Palatino Linotype" w:hAnsi="Palatino Linotype" w:cs="Palatino Linotype"/>
        </w:rPr>
      </w:pPr>
    </w:p>
    <w:p w:rsidR="00C34A5D" w:rsidRDefault="00C34A5D" w:rsidP="003C1933">
      <w:pPr>
        <w:spacing w:line="360" w:lineRule="auto"/>
        <w:ind w:right="-595"/>
        <w:jc w:val="both"/>
        <w:rPr>
          <w:rFonts w:ascii="Palatino Linotype" w:eastAsia="Palatino Linotype" w:hAnsi="Palatino Linotype" w:cs="Palatino Linotype"/>
        </w:rPr>
      </w:pPr>
    </w:p>
    <w:p w:rsidR="00C34A5D" w:rsidRDefault="00C34A5D">
      <w:pPr>
        <w:spacing w:line="360" w:lineRule="auto"/>
        <w:ind w:right="-592"/>
        <w:jc w:val="both"/>
        <w:rPr>
          <w:rFonts w:ascii="Palatino Linotype" w:eastAsia="Palatino Linotype" w:hAnsi="Palatino Linotype" w:cs="Palatino Linotype"/>
        </w:rPr>
      </w:pPr>
    </w:p>
    <w:p w:rsidR="00C34A5D" w:rsidRDefault="00C34A5D">
      <w:pPr>
        <w:spacing w:line="360" w:lineRule="auto"/>
        <w:ind w:right="-592"/>
        <w:jc w:val="both"/>
        <w:rPr>
          <w:rFonts w:ascii="Palatino Linotype" w:eastAsia="Palatino Linotype" w:hAnsi="Palatino Linotype" w:cs="Palatino Linotype"/>
        </w:rPr>
      </w:pPr>
    </w:p>
    <w:p w:rsidR="00C34A5D" w:rsidRDefault="00C34A5D">
      <w:pPr>
        <w:spacing w:line="360" w:lineRule="auto"/>
        <w:ind w:right="-592"/>
        <w:jc w:val="both"/>
        <w:rPr>
          <w:rFonts w:ascii="Palatino Linotype" w:eastAsia="Palatino Linotype" w:hAnsi="Palatino Linotype" w:cs="Palatino Linotype"/>
        </w:rPr>
      </w:pPr>
    </w:p>
    <w:p w:rsidR="00C34A5D" w:rsidRDefault="00C34A5D">
      <w:pPr>
        <w:spacing w:line="360" w:lineRule="auto"/>
        <w:ind w:right="-592"/>
        <w:jc w:val="both"/>
        <w:rPr>
          <w:rFonts w:ascii="Palatino Linotype" w:eastAsia="Palatino Linotype" w:hAnsi="Palatino Linotype" w:cs="Palatino Linotype"/>
        </w:rPr>
      </w:pPr>
    </w:p>
    <w:p w:rsidR="00C34A5D" w:rsidRDefault="00C34A5D">
      <w:pPr>
        <w:spacing w:line="360" w:lineRule="auto"/>
        <w:ind w:right="-592"/>
        <w:jc w:val="both"/>
        <w:rPr>
          <w:rFonts w:ascii="Palatino Linotype" w:eastAsia="Palatino Linotype" w:hAnsi="Palatino Linotype" w:cs="Palatino Linotype"/>
        </w:rPr>
      </w:pPr>
    </w:p>
    <w:p w:rsidR="00C34A5D" w:rsidRDefault="00C34A5D">
      <w:pPr>
        <w:spacing w:line="360" w:lineRule="auto"/>
        <w:ind w:right="-592"/>
        <w:jc w:val="both"/>
        <w:rPr>
          <w:rFonts w:ascii="Palatino Linotype" w:eastAsia="Palatino Linotype" w:hAnsi="Palatino Linotype" w:cs="Palatino Linotype"/>
        </w:rPr>
      </w:pPr>
    </w:p>
    <w:p w:rsidR="00C34A5D" w:rsidRDefault="00C34A5D">
      <w:pPr>
        <w:spacing w:line="360" w:lineRule="auto"/>
        <w:ind w:right="-592"/>
        <w:jc w:val="both"/>
        <w:rPr>
          <w:rFonts w:ascii="Palatino Linotype" w:eastAsia="Palatino Linotype" w:hAnsi="Palatino Linotype" w:cs="Palatino Linotype"/>
        </w:rPr>
      </w:pPr>
    </w:p>
    <w:p w:rsidR="00C34A5D" w:rsidRDefault="00C34A5D">
      <w:pPr>
        <w:spacing w:line="360" w:lineRule="auto"/>
        <w:ind w:right="-592"/>
        <w:rPr>
          <w:rFonts w:ascii="Palatino Linotype" w:eastAsia="Palatino Linotype" w:hAnsi="Palatino Linotype" w:cs="Palatino Linotype"/>
        </w:rPr>
      </w:pPr>
    </w:p>
    <w:p w:rsidR="00C34A5D" w:rsidRDefault="00C34A5D">
      <w:pPr>
        <w:spacing w:line="360" w:lineRule="auto"/>
        <w:ind w:right="-592"/>
        <w:rPr>
          <w:rFonts w:ascii="Palatino Linotype" w:eastAsia="Palatino Linotype" w:hAnsi="Palatino Linotype" w:cs="Palatino Linotype"/>
        </w:rPr>
      </w:pPr>
    </w:p>
    <w:p w:rsidR="00C34A5D" w:rsidRDefault="00C34A5D">
      <w:pPr>
        <w:spacing w:line="360" w:lineRule="auto"/>
        <w:ind w:right="-592"/>
        <w:rPr>
          <w:rFonts w:ascii="Palatino Linotype" w:eastAsia="Palatino Linotype" w:hAnsi="Palatino Linotype" w:cs="Palatino Linotype"/>
        </w:rPr>
      </w:pPr>
    </w:p>
    <w:p w:rsidR="00C34A5D" w:rsidRDefault="00C34A5D">
      <w:pPr>
        <w:spacing w:line="360" w:lineRule="auto"/>
        <w:ind w:right="-592"/>
        <w:rPr>
          <w:rFonts w:ascii="Palatino Linotype" w:eastAsia="Palatino Linotype" w:hAnsi="Palatino Linotype" w:cs="Palatino Linotype"/>
        </w:rPr>
      </w:pPr>
    </w:p>
    <w:p w:rsidR="00C34A5D" w:rsidRDefault="00C34A5D">
      <w:pPr>
        <w:spacing w:line="360" w:lineRule="auto"/>
        <w:ind w:right="-592"/>
        <w:rPr>
          <w:rFonts w:ascii="Palatino Linotype" w:eastAsia="Palatino Linotype" w:hAnsi="Palatino Linotype" w:cs="Palatino Linotype"/>
        </w:rPr>
      </w:pPr>
    </w:p>
    <w:p w:rsidR="00C34A5D" w:rsidRDefault="00C34A5D">
      <w:pPr>
        <w:ind w:right="-592"/>
      </w:pPr>
    </w:p>
    <w:p w:rsidR="00C34A5D" w:rsidRDefault="00C34A5D">
      <w:pPr>
        <w:ind w:right="-592"/>
      </w:pPr>
    </w:p>
    <w:p w:rsidR="00C34A5D" w:rsidRDefault="00C34A5D">
      <w:pPr>
        <w:ind w:right="-592"/>
      </w:pPr>
    </w:p>
    <w:p w:rsidR="00C34A5D" w:rsidRDefault="00C34A5D">
      <w:pPr>
        <w:ind w:right="-592"/>
      </w:pPr>
    </w:p>
    <w:p w:rsidR="00C34A5D" w:rsidRDefault="00C34A5D">
      <w:pPr>
        <w:ind w:right="-592"/>
      </w:pPr>
    </w:p>
    <w:p w:rsidR="00C34A5D" w:rsidRDefault="00C34A5D">
      <w:pPr>
        <w:ind w:right="-592"/>
      </w:pPr>
    </w:p>
    <w:p w:rsidR="00C34A5D" w:rsidRDefault="00C34A5D">
      <w:pPr>
        <w:ind w:right="-592"/>
      </w:pPr>
    </w:p>
    <w:sectPr w:rsidR="00C34A5D">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48B" w:rsidRDefault="004D248B">
      <w:r>
        <w:separator/>
      </w:r>
    </w:p>
  </w:endnote>
  <w:endnote w:type="continuationSeparator" w:id="0">
    <w:p w:rsidR="004D248B" w:rsidRDefault="004D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5D" w:rsidRDefault="00AF71F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63FE0">
      <w:rPr>
        <w:b/>
        <w:noProof/>
        <w:color w:val="000000"/>
      </w:rPr>
      <w:t>20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63FE0">
      <w:rPr>
        <w:b/>
        <w:noProof/>
        <w:color w:val="000000"/>
      </w:rPr>
      <w:t>21</w:t>
    </w:r>
    <w:r>
      <w:rPr>
        <w:b/>
        <w:color w:val="000000"/>
      </w:rPr>
      <w:fldChar w:fldCharType="end"/>
    </w:r>
  </w:p>
  <w:p w:rsidR="00C34A5D" w:rsidRDefault="00C34A5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5D" w:rsidRDefault="00AF71F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763FE0">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763FE0">
      <w:rPr>
        <w:b/>
        <w:noProof/>
        <w:color w:val="000000"/>
      </w:rPr>
      <w:t>21</w:t>
    </w:r>
    <w:r>
      <w:rPr>
        <w:b/>
        <w:color w:val="000000"/>
      </w:rPr>
      <w:fldChar w:fldCharType="end"/>
    </w:r>
  </w:p>
  <w:p w:rsidR="00C34A5D" w:rsidRDefault="00C34A5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48B" w:rsidRDefault="004D248B">
      <w:r>
        <w:separator/>
      </w:r>
    </w:p>
  </w:footnote>
  <w:footnote w:type="continuationSeparator" w:id="0">
    <w:p w:rsidR="004D248B" w:rsidRDefault="004D2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5D" w:rsidRDefault="004D248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10206" w:type="dxa"/>
      <w:tblInd w:w="0" w:type="dxa"/>
      <w:tblLayout w:type="fixed"/>
      <w:tblLook w:val="0400" w:firstRow="0" w:lastRow="0" w:firstColumn="0" w:lastColumn="0" w:noHBand="0" w:noVBand="1"/>
    </w:tblPr>
    <w:tblGrid>
      <w:gridCol w:w="2268"/>
      <w:gridCol w:w="7938"/>
    </w:tblGrid>
    <w:tr w:rsidR="00C34A5D" w:rsidTr="007C05EB">
      <w:trPr>
        <w:trHeight w:val="1435"/>
      </w:trPr>
      <w:tc>
        <w:tcPr>
          <w:tcW w:w="2268" w:type="dxa"/>
          <w:shd w:val="clear" w:color="auto" w:fill="auto"/>
        </w:tcPr>
        <w:p w:rsidR="00C34A5D" w:rsidRDefault="00C34A5D">
          <w:pPr>
            <w:tabs>
              <w:tab w:val="right" w:pos="4273"/>
            </w:tabs>
            <w:rPr>
              <w:rFonts w:ascii="Garamond" w:eastAsia="Garamond" w:hAnsi="Garamond" w:cs="Garamond"/>
              <w:sz w:val="16"/>
              <w:szCs w:val="16"/>
            </w:rPr>
          </w:pPr>
        </w:p>
      </w:tc>
      <w:tc>
        <w:tcPr>
          <w:tcW w:w="7938" w:type="dxa"/>
          <w:shd w:val="clear" w:color="auto" w:fill="auto"/>
        </w:tcPr>
        <w:tbl>
          <w:tblPr>
            <w:tblStyle w:val="a1"/>
            <w:tblW w:w="7783" w:type="dxa"/>
            <w:tblInd w:w="878" w:type="dxa"/>
            <w:tblLayout w:type="fixed"/>
            <w:tblLook w:val="0400" w:firstRow="0" w:lastRow="0" w:firstColumn="0" w:lastColumn="0" w:noHBand="0" w:noVBand="1"/>
          </w:tblPr>
          <w:tblGrid>
            <w:gridCol w:w="2551"/>
            <w:gridCol w:w="5232"/>
          </w:tblGrid>
          <w:tr w:rsidR="00C34A5D" w:rsidTr="007C05EB">
            <w:trPr>
              <w:trHeight w:val="150"/>
            </w:trPr>
            <w:tc>
              <w:tcPr>
                <w:tcW w:w="2551" w:type="dxa"/>
                <w:shd w:val="clear" w:color="auto" w:fill="auto"/>
              </w:tcPr>
              <w:p w:rsidR="00C34A5D" w:rsidRDefault="00AF71F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232" w:type="dxa"/>
                <w:shd w:val="clear" w:color="auto" w:fill="auto"/>
              </w:tcPr>
              <w:p w:rsidR="00C34A5D" w:rsidRDefault="00AF71FF">
                <w:pPr>
                  <w:tabs>
                    <w:tab w:val="right" w:pos="8838"/>
                  </w:tabs>
                  <w:ind w:left="-108" w:right="-10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07298/INFOEM/IP/RR/2024</w:t>
                </w:r>
              </w:p>
            </w:tc>
          </w:tr>
          <w:tr w:rsidR="00C34A5D" w:rsidTr="007C05EB">
            <w:trPr>
              <w:trHeight w:val="295"/>
            </w:trPr>
            <w:tc>
              <w:tcPr>
                <w:tcW w:w="2551" w:type="dxa"/>
                <w:shd w:val="clear" w:color="auto" w:fill="auto"/>
              </w:tcPr>
              <w:p w:rsidR="00C34A5D" w:rsidRDefault="00AF71F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232" w:type="dxa"/>
                <w:shd w:val="clear" w:color="auto" w:fill="auto"/>
              </w:tcPr>
              <w:p w:rsidR="00C34A5D" w:rsidRDefault="00AF71FF">
                <w:pPr>
                  <w:tabs>
                    <w:tab w:val="left" w:pos="2834"/>
                    <w:tab w:val="right" w:pos="8838"/>
                  </w:tabs>
                  <w:ind w:left="-108" w:right="-94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Tribunal Estatal de Conciliación y Arbitraje</w:t>
                </w:r>
              </w:p>
            </w:tc>
          </w:tr>
          <w:tr w:rsidR="00C34A5D" w:rsidTr="007C05EB">
            <w:trPr>
              <w:trHeight w:val="295"/>
            </w:trPr>
            <w:tc>
              <w:tcPr>
                <w:tcW w:w="2551" w:type="dxa"/>
                <w:shd w:val="clear" w:color="auto" w:fill="auto"/>
              </w:tcPr>
              <w:p w:rsidR="00C34A5D" w:rsidRDefault="00AF71FF">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232" w:type="dxa"/>
                <w:shd w:val="clear" w:color="auto" w:fill="auto"/>
              </w:tcPr>
              <w:p w:rsidR="00C34A5D" w:rsidRDefault="00AF71FF">
                <w:pPr>
                  <w:tabs>
                    <w:tab w:val="right" w:pos="8838"/>
                  </w:tabs>
                  <w:ind w:left="-108" w:right="1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C34A5D" w:rsidRDefault="00C34A5D">
                <w:pPr>
                  <w:tabs>
                    <w:tab w:val="right" w:pos="8838"/>
                  </w:tabs>
                  <w:ind w:left="-108" w:right="171"/>
                  <w:rPr>
                    <w:rFonts w:ascii="Palatino Linotype" w:eastAsia="Palatino Linotype" w:hAnsi="Palatino Linotype" w:cs="Palatino Linotype"/>
                    <w:b/>
                    <w:sz w:val="22"/>
                    <w:szCs w:val="22"/>
                  </w:rPr>
                </w:pPr>
              </w:p>
            </w:tc>
          </w:tr>
        </w:tbl>
        <w:p w:rsidR="00C34A5D" w:rsidRDefault="00C34A5D">
          <w:pPr>
            <w:tabs>
              <w:tab w:val="right" w:pos="8838"/>
            </w:tabs>
            <w:ind w:left="-28"/>
            <w:jc w:val="both"/>
            <w:rPr>
              <w:rFonts w:ascii="Arial" w:eastAsia="Arial" w:hAnsi="Arial" w:cs="Arial"/>
              <w:b/>
              <w:sz w:val="22"/>
              <w:szCs w:val="22"/>
            </w:rPr>
          </w:pPr>
        </w:p>
      </w:tc>
    </w:tr>
  </w:tbl>
  <w:p w:rsidR="00C34A5D" w:rsidRDefault="004D248B">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10065" w:type="dxa"/>
      <w:tblInd w:w="0" w:type="dxa"/>
      <w:tblLayout w:type="fixed"/>
      <w:tblLook w:val="0400" w:firstRow="0" w:lastRow="0" w:firstColumn="0" w:lastColumn="0" w:noHBand="0" w:noVBand="1"/>
    </w:tblPr>
    <w:tblGrid>
      <w:gridCol w:w="2265"/>
      <w:gridCol w:w="7800"/>
    </w:tblGrid>
    <w:tr w:rsidR="00C34A5D">
      <w:trPr>
        <w:trHeight w:val="1435"/>
      </w:trPr>
      <w:tc>
        <w:tcPr>
          <w:tcW w:w="2265" w:type="dxa"/>
          <w:shd w:val="clear" w:color="auto" w:fill="auto"/>
        </w:tcPr>
        <w:p w:rsidR="00C34A5D" w:rsidRDefault="00C34A5D">
          <w:pPr>
            <w:tabs>
              <w:tab w:val="right" w:pos="4273"/>
            </w:tabs>
            <w:rPr>
              <w:rFonts w:ascii="Garamond" w:eastAsia="Garamond" w:hAnsi="Garamond" w:cs="Garamond"/>
              <w:sz w:val="22"/>
              <w:szCs w:val="22"/>
            </w:rPr>
          </w:pPr>
        </w:p>
      </w:tc>
      <w:tc>
        <w:tcPr>
          <w:tcW w:w="7800" w:type="dxa"/>
          <w:shd w:val="clear" w:color="auto" w:fill="auto"/>
        </w:tcPr>
        <w:tbl>
          <w:tblPr>
            <w:tblStyle w:val="a3"/>
            <w:tblW w:w="7088" w:type="dxa"/>
            <w:tblInd w:w="455" w:type="dxa"/>
            <w:tblLayout w:type="fixed"/>
            <w:tblLook w:val="0400" w:firstRow="0" w:lastRow="0" w:firstColumn="0" w:lastColumn="0" w:noHBand="0" w:noVBand="1"/>
          </w:tblPr>
          <w:tblGrid>
            <w:gridCol w:w="2444"/>
            <w:gridCol w:w="4644"/>
          </w:tblGrid>
          <w:tr w:rsidR="00C34A5D" w:rsidTr="007C05EB">
            <w:trPr>
              <w:trHeight w:val="144"/>
            </w:trPr>
            <w:tc>
              <w:tcPr>
                <w:tcW w:w="2444" w:type="dxa"/>
                <w:shd w:val="clear" w:color="auto" w:fill="auto"/>
              </w:tcPr>
              <w:p w:rsidR="00C34A5D" w:rsidRDefault="00AF71FF">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44" w:type="dxa"/>
                <w:shd w:val="clear" w:color="auto" w:fill="auto"/>
              </w:tcPr>
              <w:p w:rsidR="00C34A5D" w:rsidRDefault="00AF71FF">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07298/INFOEM/IP/RR/2024</w:t>
                </w:r>
              </w:p>
            </w:tc>
          </w:tr>
          <w:tr w:rsidR="00C34A5D" w:rsidTr="007C05EB">
            <w:trPr>
              <w:trHeight w:val="144"/>
            </w:trPr>
            <w:tc>
              <w:tcPr>
                <w:tcW w:w="2444" w:type="dxa"/>
                <w:shd w:val="clear" w:color="auto" w:fill="auto"/>
              </w:tcPr>
              <w:p w:rsidR="00C34A5D" w:rsidRDefault="00AF71F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44" w:type="dxa"/>
                <w:shd w:val="clear" w:color="auto" w:fill="auto"/>
              </w:tcPr>
              <w:p w:rsidR="00C34A5D" w:rsidRDefault="00763FE0">
                <w:pPr>
                  <w:tabs>
                    <w:tab w:val="left" w:pos="3122"/>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 XXXXX XXXX</w:t>
                </w:r>
              </w:p>
            </w:tc>
          </w:tr>
          <w:tr w:rsidR="00C34A5D" w:rsidTr="007C05EB">
            <w:trPr>
              <w:trHeight w:val="283"/>
            </w:trPr>
            <w:tc>
              <w:tcPr>
                <w:tcW w:w="2444" w:type="dxa"/>
                <w:shd w:val="clear" w:color="auto" w:fill="auto"/>
              </w:tcPr>
              <w:p w:rsidR="00C34A5D" w:rsidRDefault="00AF71F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44" w:type="dxa"/>
                <w:shd w:val="clear" w:color="auto" w:fill="auto"/>
              </w:tcPr>
              <w:p w:rsidR="00C34A5D" w:rsidRDefault="00AF71FF">
                <w:pPr>
                  <w:tabs>
                    <w:tab w:val="left" w:pos="2834"/>
                    <w:tab w:val="right" w:pos="8838"/>
                  </w:tabs>
                  <w:ind w:left="-74" w:right="-14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Tribunal Estatal de Conciliación y Arbitraje</w:t>
                </w:r>
              </w:p>
            </w:tc>
          </w:tr>
          <w:tr w:rsidR="00C34A5D" w:rsidTr="007C05EB">
            <w:trPr>
              <w:trHeight w:val="283"/>
            </w:trPr>
            <w:tc>
              <w:tcPr>
                <w:tcW w:w="2444" w:type="dxa"/>
                <w:shd w:val="clear" w:color="auto" w:fill="auto"/>
              </w:tcPr>
              <w:p w:rsidR="00C34A5D" w:rsidRDefault="00AF71FF">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644" w:type="dxa"/>
                <w:shd w:val="clear" w:color="auto" w:fill="auto"/>
              </w:tcPr>
              <w:p w:rsidR="00C34A5D" w:rsidRDefault="00AF71FF">
                <w:pPr>
                  <w:tabs>
                    <w:tab w:val="right" w:pos="8838"/>
                  </w:tabs>
                  <w:ind w:left="-74" w:right="-10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C34A5D" w:rsidRDefault="00C34A5D">
                <w:pPr>
                  <w:tabs>
                    <w:tab w:val="right" w:pos="8838"/>
                  </w:tabs>
                  <w:ind w:left="-74" w:right="-105"/>
                  <w:rPr>
                    <w:rFonts w:ascii="Palatino Linotype" w:eastAsia="Palatino Linotype" w:hAnsi="Palatino Linotype" w:cs="Palatino Linotype"/>
                    <w:sz w:val="22"/>
                    <w:szCs w:val="22"/>
                  </w:rPr>
                </w:pPr>
              </w:p>
            </w:tc>
          </w:tr>
        </w:tbl>
        <w:p w:rsidR="00C34A5D" w:rsidRDefault="00C34A5D">
          <w:pPr>
            <w:tabs>
              <w:tab w:val="right" w:pos="8838"/>
            </w:tabs>
            <w:ind w:left="-28"/>
            <w:jc w:val="both"/>
            <w:rPr>
              <w:rFonts w:ascii="Arial" w:eastAsia="Arial" w:hAnsi="Arial" w:cs="Arial"/>
              <w:b/>
              <w:sz w:val="22"/>
              <w:szCs w:val="22"/>
            </w:rPr>
          </w:pPr>
        </w:p>
      </w:tc>
    </w:tr>
  </w:tbl>
  <w:p w:rsidR="00C34A5D" w:rsidRDefault="004D248B">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7128A"/>
    <w:multiLevelType w:val="multilevel"/>
    <w:tmpl w:val="FDCC47D4"/>
    <w:lvl w:ilvl="0">
      <w:start w:val="1"/>
      <w:numFmt w:val="decimal"/>
      <w:lvlText w:val="%1."/>
      <w:lvlJc w:val="left"/>
      <w:pPr>
        <w:ind w:left="36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upperLetter"/>
      <w:lvlText w:val="%3."/>
      <w:lvlJc w:val="left"/>
      <w:pPr>
        <w:ind w:left="2340" w:hanging="360"/>
      </w:pPr>
      <w:rPr>
        <w:color w:val="00000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AB10B7"/>
    <w:multiLevelType w:val="multilevel"/>
    <w:tmpl w:val="EC0AF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E66B6B"/>
    <w:multiLevelType w:val="multilevel"/>
    <w:tmpl w:val="61743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B4696"/>
    <w:multiLevelType w:val="multilevel"/>
    <w:tmpl w:val="74742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EA5D38"/>
    <w:multiLevelType w:val="multilevel"/>
    <w:tmpl w:val="D0EC6DC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4A0040"/>
    <w:multiLevelType w:val="multilevel"/>
    <w:tmpl w:val="96247DC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5D"/>
    <w:rsid w:val="00050085"/>
    <w:rsid w:val="001C64EC"/>
    <w:rsid w:val="003C1933"/>
    <w:rsid w:val="004D248B"/>
    <w:rsid w:val="00591C1D"/>
    <w:rsid w:val="006262DD"/>
    <w:rsid w:val="00763FE0"/>
    <w:rsid w:val="007C05EB"/>
    <w:rsid w:val="00AF71FF"/>
    <w:rsid w:val="00C34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731960E-3FE8-4020-92C5-6B280C6E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85"/>
  </w:style>
  <w:style w:type="paragraph" w:styleId="Ttulo1">
    <w:name w:val="heading 1"/>
    <w:basedOn w:val="Normal"/>
    <w:next w:val="Normal"/>
    <w:link w:val="Ttulo1Car"/>
    <w:uiPriority w:val="9"/>
    <w:qFormat/>
    <w:rsid w:val="00A50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50785"/>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A50785"/>
    <w:rPr>
      <w:rFonts w:asciiTheme="majorHAnsi" w:eastAsiaTheme="majorEastAsia" w:hAnsiTheme="majorHAnsi" w:cstheme="majorBidi"/>
      <w:color w:val="2E74B5" w:themeColor="accent1" w:themeShade="BF"/>
      <w:sz w:val="32"/>
      <w:szCs w:val="32"/>
      <w:lang w:eastAsia="es-MX"/>
    </w:rPr>
  </w:style>
  <w:style w:type="character" w:customStyle="1" w:styleId="Ttulo3Car">
    <w:name w:val="Título 3 Car"/>
    <w:basedOn w:val="Fuentedeprrafopredeter"/>
    <w:link w:val="Ttulo3"/>
    <w:uiPriority w:val="9"/>
    <w:rsid w:val="00A50785"/>
    <w:rPr>
      <w:rFonts w:asciiTheme="majorHAnsi" w:eastAsiaTheme="majorEastAsia" w:hAnsiTheme="majorHAnsi" w:cstheme="majorBidi"/>
      <w:color w:val="1F4D78" w:themeColor="accent1" w:themeShade="7F"/>
      <w:sz w:val="24"/>
      <w:szCs w:val="24"/>
      <w:lang w:val="es-ES_tradnl" w:eastAsia="es-ES"/>
    </w:rPr>
  </w:style>
  <w:style w:type="paragraph" w:styleId="Encabezado">
    <w:name w:val="header"/>
    <w:basedOn w:val="Normal"/>
    <w:link w:val="EncabezadoCar"/>
    <w:uiPriority w:val="99"/>
    <w:unhideWhenUsed/>
    <w:rsid w:val="00A50785"/>
    <w:pPr>
      <w:tabs>
        <w:tab w:val="center" w:pos="4419"/>
        <w:tab w:val="right" w:pos="8838"/>
      </w:tabs>
    </w:pPr>
  </w:style>
  <w:style w:type="character" w:customStyle="1" w:styleId="EncabezadoCar">
    <w:name w:val="Encabezado Car"/>
    <w:basedOn w:val="Fuentedeprrafopredeter"/>
    <w:link w:val="Encabezado"/>
    <w:uiPriority w:val="99"/>
    <w:rsid w:val="00A5078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50785"/>
    <w:pPr>
      <w:tabs>
        <w:tab w:val="center" w:pos="4419"/>
        <w:tab w:val="right" w:pos="8838"/>
      </w:tabs>
    </w:pPr>
  </w:style>
  <w:style w:type="character" w:customStyle="1" w:styleId="PiedepginaCar">
    <w:name w:val="Pie de página Car"/>
    <w:basedOn w:val="Fuentedeprrafopredeter"/>
    <w:link w:val="Piedepgina"/>
    <w:uiPriority w:val="99"/>
    <w:rsid w:val="00A5078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5078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A5078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A50785"/>
    <w:rPr>
      <w:color w:val="0563C1"/>
      <w:u w:val="single"/>
    </w:rPr>
  </w:style>
  <w:style w:type="table" w:styleId="Tabladecuadrcula6concolores">
    <w:name w:val="Grid Table 6 Colorful"/>
    <w:basedOn w:val="Tablanormal"/>
    <w:uiPriority w:val="51"/>
    <w:rsid w:val="00A507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50785"/>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50785"/>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A50785"/>
    <w:rPr>
      <w:vertAlign w:val="superscript"/>
    </w:rPr>
  </w:style>
  <w:style w:type="paragraph" w:styleId="NormalWeb">
    <w:name w:val="Normal (Web)"/>
    <w:basedOn w:val="Normal"/>
    <w:uiPriority w:val="99"/>
    <w:unhideWhenUsed/>
    <w:rsid w:val="00A50785"/>
    <w:pPr>
      <w:spacing w:before="100" w:beforeAutospacing="1" w:after="100" w:afterAutospacing="1"/>
    </w:pPr>
  </w:style>
  <w:style w:type="table" w:customStyle="1" w:styleId="Tablaconcuadrcula1">
    <w:name w:val="Tabla con cuadrícula1"/>
    <w:basedOn w:val="Tablanormal"/>
    <w:next w:val="Tablaconcuadrcula"/>
    <w:uiPriority w:val="59"/>
    <w:rsid w:val="00A50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50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85573.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88422.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3+deGUSeLpt8z27CpMLvfRlVA==">CgMxLjAyCGguZ2pkZ3hzMgloLjMwajB6bGwyCWguMWZvYjl0ZTIJaC4zem55c2g3MgloLjJldDkycDAyCGgudHlqY3d0MgloLjNkeTZ2a20yCWguNGQzNG9nODIJaC4yczhleW8xMgloLjE3ZHA4dnUyCWguM3JkY3JqbjgAciExOUJvNExiVUtsYzdvckdYQjdueXdraTBHSjRiWk94Mno=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4998</Words>
  <Characters>27494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6</cp:revision>
  <cp:lastPrinted>2025-02-07T16:05:00Z</cp:lastPrinted>
  <dcterms:created xsi:type="dcterms:W3CDTF">2025-02-04T23:37:00Z</dcterms:created>
  <dcterms:modified xsi:type="dcterms:W3CDTF">2025-03-25T00:46:00Z</dcterms:modified>
</cp:coreProperties>
</file>