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Default="0072148B">
      <w:pPr>
        <w:widowControl w:val="0"/>
        <w:pBdr>
          <w:top w:val="nil"/>
          <w:left w:val="nil"/>
          <w:bottom w:val="nil"/>
          <w:right w:val="nil"/>
          <w:between w:val="nil"/>
        </w:pBdr>
        <w:spacing w:line="276" w:lineRule="auto"/>
      </w:pPr>
    </w:p>
    <w:p w:rsidR="0072148B" w:rsidRDefault="0072148B">
      <w:pPr>
        <w:widowControl w:val="0"/>
        <w:pBdr>
          <w:top w:val="nil"/>
          <w:left w:val="nil"/>
          <w:bottom w:val="nil"/>
          <w:right w:val="nil"/>
          <w:between w:val="nil"/>
        </w:pBdr>
        <w:spacing w:line="276" w:lineRule="auto"/>
      </w:pPr>
    </w:p>
    <w:p w:rsidR="0072148B" w:rsidRPr="008736DB" w:rsidRDefault="00A077F4">
      <w:pPr>
        <w:tabs>
          <w:tab w:val="left" w:pos="3465"/>
        </w:tabs>
        <w:spacing w:line="360" w:lineRule="auto"/>
        <w:ind w:right="-787"/>
        <w:jc w:val="both"/>
        <w:rPr>
          <w:rFonts w:ascii="Palatino Linotype" w:eastAsia="Palatino Linotype" w:hAnsi="Palatino Linotype" w:cs="Palatino Linotype"/>
        </w:rPr>
      </w:pPr>
      <w:r w:rsidRPr="008736DB">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dos (02) de abril de dos mil veinticinco.</w:t>
      </w:r>
    </w:p>
    <w:p w:rsidR="0072148B" w:rsidRPr="008736DB" w:rsidRDefault="0072148B">
      <w:pPr>
        <w:tabs>
          <w:tab w:val="left" w:pos="3465"/>
        </w:tabs>
        <w:spacing w:line="360" w:lineRule="auto"/>
        <w:ind w:right="-787"/>
        <w:jc w:val="both"/>
        <w:rPr>
          <w:rFonts w:ascii="Palatino Linotype" w:eastAsia="Palatino Linotype" w:hAnsi="Palatino Linotype" w:cs="Palatino Linotype"/>
        </w:rPr>
      </w:pPr>
    </w:p>
    <w:p w:rsidR="0072148B" w:rsidRPr="008736DB" w:rsidRDefault="00A077F4">
      <w:pPr>
        <w:spacing w:line="360" w:lineRule="auto"/>
        <w:ind w:right="-787"/>
        <w:jc w:val="both"/>
        <w:rPr>
          <w:rFonts w:ascii="Palatino Linotype" w:eastAsia="Palatino Linotype" w:hAnsi="Palatino Linotype" w:cs="Palatino Linotype"/>
        </w:rPr>
      </w:pPr>
      <w:r w:rsidRPr="008736DB">
        <w:rPr>
          <w:rFonts w:ascii="Palatino Linotype" w:eastAsia="Palatino Linotype" w:hAnsi="Palatino Linotype" w:cs="Palatino Linotype"/>
          <w:b/>
        </w:rPr>
        <w:t xml:space="preserve">VISTAS </w:t>
      </w:r>
      <w:r w:rsidRPr="008736DB">
        <w:rPr>
          <w:rFonts w:ascii="Palatino Linotype" w:eastAsia="Palatino Linotype" w:hAnsi="Palatino Linotype" w:cs="Palatino Linotype"/>
        </w:rPr>
        <w:t xml:space="preserve">las constancias para resolver </w:t>
      </w:r>
      <w:r w:rsidRPr="008736DB">
        <w:rPr>
          <w:rFonts w:ascii="Palatino Linotype" w:eastAsia="Palatino Linotype" w:hAnsi="Palatino Linotype" w:cs="Palatino Linotype"/>
          <w:color w:val="000000"/>
        </w:rPr>
        <w:t xml:space="preserve">los Recursos de Revisión </w:t>
      </w:r>
      <w:r w:rsidRPr="008736DB">
        <w:rPr>
          <w:rFonts w:ascii="Palatino Linotype" w:eastAsia="Palatino Linotype" w:hAnsi="Palatino Linotype" w:cs="Palatino Linotype"/>
          <w:b/>
          <w:color w:val="000000"/>
        </w:rPr>
        <w:t>00368/INFOEM/IP/RR/2025 y 00369/INFOEM/IP/RR/2025 acumulados</w:t>
      </w:r>
      <w:r w:rsidRPr="008736DB">
        <w:rPr>
          <w:rFonts w:ascii="Palatino Linotype" w:eastAsia="Palatino Linotype" w:hAnsi="Palatino Linotype" w:cs="Palatino Linotype"/>
          <w:color w:val="000000"/>
        </w:rPr>
        <w:t xml:space="preserve">, promovidos por </w:t>
      </w:r>
      <w:r w:rsidR="00B57461">
        <w:rPr>
          <w:rFonts w:ascii="Palatino Linotype" w:eastAsia="Palatino Linotype" w:hAnsi="Palatino Linotype" w:cs="Palatino Linotype"/>
          <w:b/>
          <w:color w:val="000000"/>
        </w:rPr>
        <w:t>XXXX</w:t>
      </w:r>
      <w:bookmarkStart w:id="0" w:name="_GoBack"/>
      <w:bookmarkEnd w:id="0"/>
      <w:r w:rsidRPr="008736DB">
        <w:rPr>
          <w:rFonts w:ascii="Palatino Linotype" w:eastAsia="Palatino Linotype" w:hAnsi="Palatino Linotype" w:cs="Palatino Linotype"/>
          <w:b/>
          <w:color w:val="000000"/>
        </w:rPr>
        <w:t>,</w:t>
      </w:r>
      <w:r w:rsidRPr="008736DB">
        <w:rPr>
          <w:rFonts w:ascii="Palatino Linotype" w:eastAsia="Palatino Linotype" w:hAnsi="Palatino Linotype" w:cs="Palatino Linotype"/>
        </w:rPr>
        <w:t xml:space="preserve"> en lo sucesivo </w:t>
      </w:r>
      <w:r w:rsidRPr="008736DB">
        <w:rPr>
          <w:rFonts w:ascii="Palatino Linotype" w:eastAsia="Palatino Linotype" w:hAnsi="Palatino Linotype" w:cs="Palatino Linotype"/>
          <w:b/>
        </w:rPr>
        <w:t>EL RECURRENTE</w:t>
      </w:r>
      <w:r w:rsidRPr="008736DB">
        <w:rPr>
          <w:rFonts w:ascii="Palatino Linotype" w:eastAsia="Palatino Linotype" w:hAnsi="Palatino Linotype" w:cs="Palatino Linotype"/>
        </w:rPr>
        <w:t xml:space="preserve">, en contra de la respuesta otorgada a las solicitudes de información </w:t>
      </w:r>
      <w:r w:rsidRPr="008736DB">
        <w:rPr>
          <w:rFonts w:ascii="Palatino Linotype" w:eastAsia="Palatino Linotype" w:hAnsi="Palatino Linotype" w:cs="Palatino Linotype"/>
          <w:b/>
        </w:rPr>
        <w:t>00010/DIFTOLUCA/IP/2025 y 00011/DIFTOLUCA/IP/2025</w:t>
      </w:r>
      <w:r w:rsidRPr="008736DB">
        <w:rPr>
          <w:rFonts w:ascii="Palatino Linotype" w:eastAsia="Palatino Linotype" w:hAnsi="Palatino Linotype" w:cs="Palatino Linotype"/>
        </w:rPr>
        <w:t xml:space="preserve">, por parte del </w:t>
      </w:r>
      <w:r w:rsidRPr="008736DB">
        <w:rPr>
          <w:rFonts w:ascii="Palatino Linotype" w:eastAsia="Palatino Linotype" w:hAnsi="Palatino Linotype" w:cs="Palatino Linotype"/>
          <w:b/>
        </w:rPr>
        <w:t xml:space="preserve">Sistema Municipal Para el Desarrollo Integral de la Familia de Toluca, </w:t>
      </w:r>
      <w:r w:rsidRPr="008736DB">
        <w:rPr>
          <w:rFonts w:ascii="Palatino Linotype" w:eastAsia="Palatino Linotype" w:hAnsi="Palatino Linotype" w:cs="Palatino Linotype"/>
        </w:rPr>
        <w:t xml:space="preserve">en adelante el </w:t>
      </w:r>
      <w:r w:rsidRPr="008736DB">
        <w:rPr>
          <w:rFonts w:ascii="Palatino Linotype" w:eastAsia="Palatino Linotype" w:hAnsi="Palatino Linotype" w:cs="Palatino Linotype"/>
          <w:b/>
        </w:rPr>
        <w:t>SUJETO OBLIGADO</w:t>
      </w:r>
      <w:r w:rsidRPr="008736DB">
        <w:rPr>
          <w:rFonts w:ascii="Palatino Linotype" w:eastAsia="Palatino Linotype" w:hAnsi="Palatino Linotype" w:cs="Palatino Linotype"/>
        </w:rPr>
        <w:t>, se emite la presente resolución con base en los siguientes:</w:t>
      </w:r>
    </w:p>
    <w:p w:rsidR="0072148B" w:rsidRPr="008736DB" w:rsidRDefault="0072148B">
      <w:pPr>
        <w:spacing w:line="360" w:lineRule="auto"/>
        <w:ind w:right="-787"/>
        <w:jc w:val="both"/>
        <w:rPr>
          <w:rFonts w:ascii="Palatino Linotype" w:eastAsia="Palatino Linotype" w:hAnsi="Palatino Linotype" w:cs="Palatino Linotype"/>
        </w:rPr>
      </w:pPr>
    </w:p>
    <w:p w:rsidR="0072148B" w:rsidRPr="008736DB" w:rsidRDefault="00A077F4">
      <w:pPr>
        <w:pStyle w:val="Ttulo1"/>
        <w:spacing w:before="0" w:line="360" w:lineRule="auto"/>
        <w:ind w:right="-787"/>
        <w:jc w:val="center"/>
        <w:rPr>
          <w:rFonts w:ascii="Palatino Linotype" w:eastAsia="Palatino Linotype" w:hAnsi="Palatino Linotype" w:cs="Palatino Linotype"/>
          <w:b/>
          <w:color w:val="000000"/>
          <w:sz w:val="24"/>
          <w:szCs w:val="24"/>
        </w:rPr>
      </w:pPr>
      <w:bookmarkStart w:id="1" w:name="_heading=h.gjdgxs" w:colFirst="0" w:colLast="0"/>
      <w:bookmarkEnd w:id="1"/>
      <w:r w:rsidRPr="008736DB">
        <w:rPr>
          <w:rFonts w:ascii="Palatino Linotype" w:eastAsia="Palatino Linotype" w:hAnsi="Palatino Linotype" w:cs="Palatino Linotype"/>
          <w:b/>
          <w:color w:val="000000"/>
          <w:sz w:val="24"/>
          <w:szCs w:val="24"/>
        </w:rPr>
        <w:t>A N T E C E D E N T E S</w:t>
      </w:r>
    </w:p>
    <w:p w:rsidR="0072148B" w:rsidRPr="008736DB" w:rsidRDefault="0072148B">
      <w:pPr>
        <w:pBdr>
          <w:top w:val="nil"/>
          <w:left w:val="nil"/>
          <w:bottom w:val="nil"/>
          <w:right w:val="nil"/>
          <w:between w:val="nil"/>
        </w:pBdr>
        <w:spacing w:line="360" w:lineRule="auto"/>
        <w:ind w:left="720" w:right="-787"/>
        <w:jc w:val="both"/>
        <w:rPr>
          <w:rFonts w:ascii="Palatino Linotype" w:eastAsia="Palatino Linotype" w:hAnsi="Palatino Linotype" w:cs="Palatino Linotype"/>
          <w:b/>
          <w:color w:val="000000"/>
          <w:u w:val="single"/>
        </w:rPr>
      </w:pPr>
    </w:p>
    <w:p w:rsidR="0072148B" w:rsidRPr="008736DB" w:rsidRDefault="00A077F4">
      <w:pPr>
        <w:numPr>
          <w:ilvl w:val="0"/>
          <w:numId w:val="6"/>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8736DB">
        <w:rPr>
          <w:rFonts w:ascii="Palatino Linotype" w:eastAsia="Palatino Linotype" w:hAnsi="Palatino Linotype" w:cs="Palatino Linotype"/>
          <w:color w:val="000000"/>
        </w:rPr>
        <w:t xml:space="preserve">El </w:t>
      </w:r>
      <w:r w:rsidRPr="008736DB">
        <w:rPr>
          <w:rFonts w:ascii="Palatino Linotype" w:eastAsia="Palatino Linotype" w:hAnsi="Palatino Linotype" w:cs="Palatino Linotype"/>
          <w:b/>
          <w:color w:val="000000"/>
        </w:rPr>
        <w:t>quince de enero de dos mil veinticinco</w:t>
      </w:r>
      <w:r w:rsidRPr="008736DB">
        <w:rPr>
          <w:rFonts w:ascii="Palatino Linotype" w:eastAsia="Palatino Linotype" w:hAnsi="Palatino Linotype" w:cs="Palatino Linotype"/>
          <w:color w:val="000000"/>
        </w:rPr>
        <w:t>,</w:t>
      </w:r>
      <w:r w:rsidRPr="008736DB">
        <w:rPr>
          <w:rFonts w:ascii="Palatino Linotype" w:eastAsia="Palatino Linotype" w:hAnsi="Palatino Linotype" w:cs="Palatino Linotype"/>
          <w:b/>
          <w:color w:val="000000"/>
        </w:rPr>
        <w:t xml:space="preserve"> </w:t>
      </w:r>
      <w:r w:rsidRPr="008736DB">
        <w:rPr>
          <w:rFonts w:ascii="Palatino Linotype" w:eastAsia="Palatino Linotype" w:hAnsi="Palatino Linotype" w:cs="Palatino Linotype"/>
          <w:color w:val="000000"/>
        </w:rPr>
        <w:t>se presentó ante el Sujeto Obligado vía Sistema de Acceso a la Información Mexiquense, en adelante SAIMEX, las siguientes solicitudes de información pública:</w:t>
      </w:r>
    </w:p>
    <w:p w:rsidR="0072148B" w:rsidRPr="008736DB" w:rsidRDefault="0072148B">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72148B" w:rsidRPr="008736DB" w:rsidRDefault="00A077F4">
      <w:pPr>
        <w:pBdr>
          <w:top w:val="nil"/>
          <w:left w:val="nil"/>
          <w:bottom w:val="nil"/>
          <w:right w:val="nil"/>
          <w:between w:val="nil"/>
        </w:pBdr>
        <w:ind w:left="566" w:right="-220"/>
        <w:jc w:val="both"/>
        <w:rPr>
          <w:rFonts w:ascii="Palatino Linotype" w:eastAsia="Palatino Linotype" w:hAnsi="Palatino Linotype" w:cs="Palatino Linotype"/>
          <w:b/>
          <w:color w:val="000000"/>
        </w:rPr>
      </w:pPr>
      <w:r w:rsidRPr="008736DB">
        <w:rPr>
          <w:rFonts w:ascii="Palatino Linotype" w:eastAsia="Palatino Linotype" w:hAnsi="Palatino Linotype" w:cs="Palatino Linotype"/>
          <w:b/>
          <w:color w:val="000000"/>
        </w:rPr>
        <w:t xml:space="preserve">00010/DIFTOLUCA/IP/2025 </w:t>
      </w:r>
    </w:p>
    <w:p w:rsidR="0072148B" w:rsidRPr="008736DB" w:rsidRDefault="00A077F4">
      <w:pPr>
        <w:pBdr>
          <w:top w:val="nil"/>
          <w:left w:val="nil"/>
          <w:bottom w:val="nil"/>
          <w:right w:val="nil"/>
          <w:between w:val="nil"/>
        </w:pBdr>
        <w:ind w:left="566" w:right="-220"/>
        <w:jc w:val="both"/>
        <w:rPr>
          <w:rFonts w:ascii="Palatino Linotype" w:eastAsia="Palatino Linotype" w:hAnsi="Palatino Linotype" w:cs="Palatino Linotype"/>
          <w:i/>
          <w:color w:val="000000"/>
        </w:rPr>
      </w:pPr>
      <w:r w:rsidRPr="008736DB">
        <w:rPr>
          <w:rFonts w:ascii="Palatino Linotype" w:eastAsia="Palatino Linotype" w:hAnsi="Palatino Linotype" w:cs="Palatino Linotype"/>
          <w:i/>
          <w:color w:val="000000"/>
        </w:rPr>
        <w:t xml:space="preserve">“solicito los recibos de </w:t>
      </w:r>
      <w:proofErr w:type="spellStart"/>
      <w:r w:rsidRPr="008736DB">
        <w:rPr>
          <w:rFonts w:ascii="Palatino Linotype" w:eastAsia="Palatino Linotype" w:hAnsi="Palatino Linotype" w:cs="Palatino Linotype"/>
          <w:i/>
          <w:color w:val="000000"/>
        </w:rPr>
        <w:t>nomina</w:t>
      </w:r>
      <w:proofErr w:type="spellEnd"/>
      <w:r w:rsidRPr="008736DB">
        <w:rPr>
          <w:rFonts w:ascii="Palatino Linotype" w:eastAsia="Palatino Linotype" w:hAnsi="Palatino Linotype" w:cs="Palatino Linotype"/>
          <w:i/>
          <w:color w:val="000000"/>
        </w:rPr>
        <w:t xml:space="preserve"> o </w:t>
      </w:r>
      <w:proofErr w:type="spellStart"/>
      <w:r w:rsidRPr="008736DB">
        <w:rPr>
          <w:rFonts w:ascii="Palatino Linotype" w:eastAsia="Palatino Linotype" w:hAnsi="Palatino Linotype" w:cs="Palatino Linotype"/>
          <w:i/>
          <w:color w:val="000000"/>
        </w:rPr>
        <w:t>cfdi</w:t>
      </w:r>
      <w:proofErr w:type="spellEnd"/>
      <w:r w:rsidRPr="008736DB">
        <w:rPr>
          <w:rFonts w:ascii="Palatino Linotype" w:eastAsia="Palatino Linotype" w:hAnsi="Palatino Linotype" w:cs="Palatino Linotype"/>
          <w:i/>
          <w:color w:val="000000"/>
        </w:rPr>
        <w:t xml:space="preserve"> de cada uno de los servidores </w:t>
      </w:r>
      <w:proofErr w:type="spellStart"/>
      <w:r w:rsidRPr="008736DB">
        <w:rPr>
          <w:rFonts w:ascii="Palatino Linotype" w:eastAsia="Palatino Linotype" w:hAnsi="Palatino Linotype" w:cs="Palatino Linotype"/>
          <w:i/>
          <w:color w:val="000000"/>
        </w:rPr>
        <w:t>publicos</w:t>
      </w:r>
      <w:proofErr w:type="spellEnd"/>
      <w:r w:rsidRPr="008736DB">
        <w:rPr>
          <w:rFonts w:ascii="Palatino Linotype" w:eastAsia="Palatino Linotype" w:hAnsi="Palatino Linotype" w:cs="Palatino Linotype"/>
          <w:i/>
          <w:color w:val="000000"/>
        </w:rPr>
        <w:t xml:space="preserve"> del sistema municipal </w:t>
      </w:r>
      <w:proofErr w:type="spellStart"/>
      <w:r w:rsidRPr="008736DB">
        <w:rPr>
          <w:rFonts w:ascii="Palatino Linotype" w:eastAsia="Palatino Linotype" w:hAnsi="Palatino Linotype" w:cs="Palatino Linotype"/>
          <w:i/>
          <w:color w:val="000000"/>
        </w:rPr>
        <w:t>dif</w:t>
      </w:r>
      <w:proofErr w:type="spellEnd"/>
      <w:r w:rsidRPr="008736DB">
        <w:rPr>
          <w:rFonts w:ascii="Palatino Linotype" w:eastAsia="Palatino Linotype" w:hAnsi="Palatino Linotype" w:cs="Palatino Linotype"/>
          <w:i/>
          <w:color w:val="000000"/>
        </w:rPr>
        <w:t xml:space="preserve"> de </w:t>
      </w:r>
      <w:proofErr w:type="spellStart"/>
      <w:r w:rsidRPr="008736DB">
        <w:rPr>
          <w:rFonts w:ascii="Palatino Linotype" w:eastAsia="Palatino Linotype" w:hAnsi="Palatino Linotype" w:cs="Palatino Linotype"/>
          <w:i/>
          <w:color w:val="000000"/>
        </w:rPr>
        <w:t>toluca</w:t>
      </w:r>
      <w:proofErr w:type="spellEnd"/>
      <w:r w:rsidRPr="008736DB">
        <w:rPr>
          <w:rFonts w:ascii="Palatino Linotype" w:eastAsia="Palatino Linotype" w:hAnsi="Palatino Linotype" w:cs="Palatino Linotype"/>
          <w:i/>
          <w:color w:val="000000"/>
        </w:rPr>
        <w:t>, de la primera quincena de enero del año 2025” (Sic)</w:t>
      </w:r>
    </w:p>
    <w:p w:rsidR="0072148B" w:rsidRPr="008736DB" w:rsidRDefault="0072148B">
      <w:pPr>
        <w:pBdr>
          <w:top w:val="nil"/>
          <w:left w:val="nil"/>
          <w:bottom w:val="nil"/>
          <w:right w:val="nil"/>
          <w:between w:val="nil"/>
        </w:pBdr>
        <w:ind w:left="566" w:right="-220"/>
        <w:jc w:val="center"/>
        <w:rPr>
          <w:rFonts w:ascii="Palatino Linotype" w:eastAsia="Palatino Linotype" w:hAnsi="Palatino Linotype" w:cs="Palatino Linotype"/>
          <w:i/>
          <w:color w:val="000000"/>
        </w:rPr>
      </w:pPr>
    </w:p>
    <w:p w:rsidR="0072148B" w:rsidRPr="008736DB" w:rsidRDefault="00A077F4">
      <w:pPr>
        <w:pBdr>
          <w:top w:val="nil"/>
          <w:left w:val="nil"/>
          <w:bottom w:val="nil"/>
          <w:right w:val="nil"/>
          <w:between w:val="nil"/>
        </w:pBdr>
        <w:ind w:left="566" w:right="-220"/>
        <w:jc w:val="both"/>
        <w:rPr>
          <w:rFonts w:ascii="Palatino Linotype" w:eastAsia="Palatino Linotype" w:hAnsi="Palatino Linotype" w:cs="Palatino Linotype"/>
          <w:b/>
          <w:color w:val="000000"/>
        </w:rPr>
      </w:pPr>
      <w:r w:rsidRPr="008736DB">
        <w:rPr>
          <w:rFonts w:ascii="Palatino Linotype" w:eastAsia="Palatino Linotype" w:hAnsi="Palatino Linotype" w:cs="Palatino Linotype"/>
          <w:b/>
          <w:color w:val="000000"/>
        </w:rPr>
        <w:t xml:space="preserve">00011/DIFTOLUCA/IP/2025 </w:t>
      </w:r>
    </w:p>
    <w:p w:rsidR="0072148B" w:rsidRPr="008736DB" w:rsidRDefault="00A077F4">
      <w:pPr>
        <w:pBdr>
          <w:top w:val="nil"/>
          <w:left w:val="nil"/>
          <w:bottom w:val="nil"/>
          <w:right w:val="nil"/>
          <w:between w:val="nil"/>
        </w:pBdr>
        <w:ind w:left="566" w:right="-220"/>
        <w:jc w:val="both"/>
        <w:rPr>
          <w:rFonts w:ascii="Palatino Linotype" w:eastAsia="Palatino Linotype" w:hAnsi="Palatino Linotype" w:cs="Palatino Linotype"/>
          <w:i/>
          <w:color w:val="000000"/>
        </w:rPr>
      </w:pPr>
      <w:r w:rsidRPr="008736DB">
        <w:rPr>
          <w:rFonts w:ascii="Palatino Linotype" w:eastAsia="Palatino Linotype" w:hAnsi="Palatino Linotype" w:cs="Palatino Linotype"/>
          <w:i/>
          <w:color w:val="000000"/>
        </w:rPr>
        <w:t xml:space="preserve">“solicito los recibos de </w:t>
      </w:r>
      <w:proofErr w:type="spellStart"/>
      <w:r w:rsidRPr="008736DB">
        <w:rPr>
          <w:rFonts w:ascii="Palatino Linotype" w:eastAsia="Palatino Linotype" w:hAnsi="Palatino Linotype" w:cs="Palatino Linotype"/>
          <w:i/>
          <w:color w:val="000000"/>
        </w:rPr>
        <w:t>nomina</w:t>
      </w:r>
      <w:proofErr w:type="spellEnd"/>
      <w:r w:rsidRPr="008736DB">
        <w:rPr>
          <w:rFonts w:ascii="Palatino Linotype" w:eastAsia="Palatino Linotype" w:hAnsi="Palatino Linotype" w:cs="Palatino Linotype"/>
          <w:i/>
          <w:color w:val="000000"/>
        </w:rPr>
        <w:t xml:space="preserve"> y /o </w:t>
      </w:r>
      <w:proofErr w:type="spellStart"/>
      <w:r w:rsidRPr="008736DB">
        <w:rPr>
          <w:rFonts w:ascii="Palatino Linotype" w:eastAsia="Palatino Linotype" w:hAnsi="Palatino Linotype" w:cs="Palatino Linotype"/>
          <w:i/>
          <w:color w:val="000000"/>
        </w:rPr>
        <w:t>cfdi</w:t>
      </w:r>
      <w:proofErr w:type="spellEnd"/>
      <w:r w:rsidRPr="008736DB">
        <w:rPr>
          <w:rFonts w:ascii="Palatino Linotype" w:eastAsia="Palatino Linotype" w:hAnsi="Palatino Linotype" w:cs="Palatino Linotype"/>
          <w:i/>
          <w:color w:val="000000"/>
        </w:rPr>
        <w:t xml:space="preserve"> de cada uno de los servidores </w:t>
      </w:r>
      <w:proofErr w:type="spellStart"/>
      <w:r w:rsidRPr="008736DB">
        <w:rPr>
          <w:rFonts w:ascii="Palatino Linotype" w:eastAsia="Palatino Linotype" w:hAnsi="Palatino Linotype" w:cs="Palatino Linotype"/>
          <w:i/>
          <w:color w:val="000000"/>
        </w:rPr>
        <w:t>publicos</w:t>
      </w:r>
      <w:proofErr w:type="spellEnd"/>
      <w:r w:rsidRPr="008736DB">
        <w:rPr>
          <w:rFonts w:ascii="Palatino Linotype" w:eastAsia="Palatino Linotype" w:hAnsi="Palatino Linotype" w:cs="Palatino Linotype"/>
          <w:i/>
          <w:color w:val="000000"/>
        </w:rPr>
        <w:t xml:space="preserve"> del sistema municipal </w:t>
      </w:r>
      <w:proofErr w:type="spellStart"/>
      <w:r w:rsidRPr="008736DB">
        <w:rPr>
          <w:rFonts w:ascii="Palatino Linotype" w:eastAsia="Palatino Linotype" w:hAnsi="Palatino Linotype" w:cs="Palatino Linotype"/>
          <w:i/>
          <w:color w:val="000000"/>
        </w:rPr>
        <w:t>dif</w:t>
      </w:r>
      <w:proofErr w:type="spellEnd"/>
      <w:r w:rsidRPr="008736DB">
        <w:rPr>
          <w:rFonts w:ascii="Palatino Linotype" w:eastAsia="Palatino Linotype" w:hAnsi="Palatino Linotype" w:cs="Palatino Linotype"/>
          <w:i/>
          <w:color w:val="000000"/>
        </w:rPr>
        <w:t xml:space="preserve"> </w:t>
      </w:r>
      <w:proofErr w:type="spellStart"/>
      <w:r w:rsidRPr="008736DB">
        <w:rPr>
          <w:rFonts w:ascii="Palatino Linotype" w:eastAsia="Palatino Linotype" w:hAnsi="Palatino Linotype" w:cs="Palatino Linotype"/>
          <w:i/>
          <w:color w:val="000000"/>
        </w:rPr>
        <w:t>toluca</w:t>
      </w:r>
      <w:proofErr w:type="spellEnd"/>
      <w:r w:rsidRPr="008736DB">
        <w:rPr>
          <w:rFonts w:ascii="Palatino Linotype" w:eastAsia="Palatino Linotype" w:hAnsi="Palatino Linotype" w:cs="Palatino Linotype"/>
          <w:i/>
          <w:color w:val="000000"/>
        </w:rPr>
        <w:t>, de la segunda quincena del mes de enero del año 2024” (Sic)</w:t>
      </w:r>
    </w:p>
    <w:p w:rsidR="0072148B" w:rsidRPr="008736DB" w:rsidRDefault="0072148B">
      <w:pPr>
        <w:pBdr>
          <w:top w:val="nil"/>
          <w:left w:val="nil"/>
          <w:bottom w:val="nil"/>
          <w:right w:val="nil"/>
          <w:between w:val="nil"/>
        </w:pBdr>
        <w:ind w:right="-787"/>
        <w:jc w:val="both"/>
        <w:rPr>
          <w:rFonts w:ascii="Palatino Linotype" w:eastAsia="Palatino Linotype" w:hAnsi="Palatino Linotype" w:cs="Palatino Linotype"/>
          <w:b/>
          <w:color w:val="000000"/>
        </w:rPr>
      </w:pPr>
    </w:p>
    <w:p w:rsidR="0072148B" w:rsidRPr="008736DB" w:rsidRDefault="0072148B">
      <w:pPr>
        <w:pBdr>
          <w:top w:val="nil"/>
          <w:left w:val="nil"/>
          <w:bottom w:val="nil"/>
          <w:right w:val="nil"/>
          <w:between w:val="nil"/>
        </w:pBdr>
        <w:spacing w:line="360" w:lineRule="auto"/>
        <w:ind w:left="851" w:right="-787"/>
        <w:jc w:val="both"/>
        <w:rPr>
          <w:rFonts w:ascii="Palatino Linotype" w:eastAsia="Palatino Linotype" w:hAnsi="Palatino Linotype" w:cs="Palatino Linotype"/>
          <w:color w:val="000000"/>
        </w:rPr>
      </w:pPr>
    </w:p>
    <w:p w:rsidR="0072148B" w:rsidRPr="008736DB" w:rsidRDefault="00A077F4">
      <w:pPr>
        <w:numPr>
          <w:ilvl w:val="0"/>
          <w:numId w:val="1"/>
        </w:numPr>
        <w:pBdr>
          <w:top w:val="nil"/>
          <w:left w:val="nil"/>
          <w:bottom w:val="nil"/>
          <w:right w:val="nil"/>
          <w:between w:val="nil"/>
        </w:pBdr>
        <w:tabs>
          <w:tab w:val="left" w:pos="0"/>
        </w:tabs>
        <w:spacing w:line="360" w:lineRule="auto"/>
        <w:ind w:left="709" w:right="-787"/>
        <w:jc w:val="both"/>
        <w:rPr>
          <w:rFonts w:ascii="Palatino Linotype" w:eastAsia="Palatino Linotype" w:hAnsi="Palatino Linotype" w:cs="Palatino Linotype"/>
          <w:color w:val="000000"/>
        </w:rPr>
      </w:pPr>
      <w:r w:rsidRPr="008736DB">
        <w:rPr>
          <w:rFonts w:ascii="Palatino Linotype" w:eastAsia="Palatino Linotype" w:hAnsi="Palatino Linotype" w:cs="Palatino Linotype"/>
          <w:color w:val="000000"/>
        </w:rPr>
        <w:t xml:space="preserve">Se eligió como modalidad de entrega de la información: A través del </w:t>
      </w:r>
      <w:r w:rsidRPr="008736DB">
        <w:rPr>
          <w:rFonts w:ascii="Palatino Linotype" w:eastAsia="Palatino Linotype" w:hAnsi="Palatino Linotype" w:cs="Palatino Linotype"/>
          <w:b/>
          <w:color w:val="000000"/>
        </w:rPr>
        <w:t>SAIMEX.</w:t>
      </w:r>
    </w:p>
    <w:p w:rsidR="0072148B" w:rsidRPr="008736DB" w:rsidRDefault="0072148B">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b/>
          <w:color w:val="000000"/>
          <w:u w:val="single"/>
        </w:rPr>
      </w:pPr>
    </w:p>
    <w:p w:rsidR="0072148B" w:rsidRPr="008736DB" w:rsidRDefault="00A077F4">
      <w:pPr>
        <w:numPr>
          <w:ilvl w:val="0"/>
          <w:numId w:val="6"/>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8736DB">
        <w:rPr>
          <w:rFonts w:ascii="Palatino Linotype" w:eastAsia="Palatino Linotype" w:hAnsi="Palatino Linotype" w:cs="Palatino Linotype"/>
          <w:color w:val="000000"/>
        </w:rPr>
        <w:t>El</w:t>
      </w:r>
      <w:r w:rsidRPr="008736DB">
        <w:rPr>
          <w:rFonts w:ascii="Palatino Linotype" w:eastAsia="Palatino Linotype" w:hAnsi="Palatino Linotype" w:cs="Palatino Linotype"/>
          <w:b/>
          <w:color w:val="000000"/>
        </w:rPr>
        <w:t xml:space="preserve"> veintinueve de enero de dos mil veinticinco</w:t>
      </w:r>
      <w:r w:rsidRPr="008736DB">
        <w:rPr>
          <w:rFonts w:ascii="Palatino Linotype" w:eastAsia="Palatino Linotype" w:hAnsi="Palatino Linotype" w:cs="Palatino Linotype"/>
          <w:color w:val="000000"/>
        </w:rPr>
        <w:t>, el Sujeto Obligado</w:t>
      </w:r>
      <w:r w:rsidRPr="008736DB">
        <w:rPr>
          <w:rFonts w:ascii="Palatino Linotype" w:eastAsia="Palatino Linotype" w:hAnsi="Palatino Linotype" w:cs="Palatino Linotype"/>
          <w:b/>
          <w:color w:val="000000"/>
        </w:rPr>
        <w:t>,</w:t>
      </w:r>
      <w:r w:rsidRPr="008736DB">
        <w:rPr>
          <w:rFonts w:ascii="Palatino Linotype" w:eastAsia="Palatino Linotype" w:hAnsi="Palatino Linotype" w:cs="Palatino Linotype"/>
          <w:color w:val="000000"/>
        </w:rPr>
        <w:t xml:space="preserve"> dio respuesta a través de los siguientes archivos electrónicos</w:t>
      </w:r>
      <w:r w:rsidRPr="008736DB">
        <w:rPr>
          <w:rFonts w:ascii="Palatino Linotype" w:eastAsia="Palatino Linotype" w:hAnsi="Palatino Linotype" w:cs="Palatino Linotype"/>
          <w:b/>
          <w:i/>
          <w:color w:val="000000"/>
        </w:rPr>
        <w:t>:</w:t>
      </w:r>
    </w:p>
    <w:p w:rsidR="0072148B" w:rsidRPr="008736DB" w:rsidRDefault="00A077F4">
      <w:pPr>
        <w:pBdr>
          <w:top w:val="nil"/>
          <w:left w:val="nil"/>
          <w:bottom w:val="nil"/>
          <w:right w:val="nil"/>
          <w:between w:val="nil"/>
        </w:pBdr>
        <w:tabs>
          <w:tab w:val="left" w:pos="567"/>
        </w:tabs>
        <w:spacing w:line="360" w:lineRule="auto"/>
        <w:ind w:left="567" w:right="62"/>
        <w:jc w:val="both"/>
        <w:rPr>
          <w:rFonts w:ascii="Palatino Linotype" w:eastAsia="Palatino Linotype" w:hAnsi="Palatino Linotype" w:cs="Palatino Linotype"/>
          <w:b/>
          <w:sz w:val="22"/>
          <w:szCs w:val="22"/>
        </w:rPr>
      </w:pPr>
      <w:r w:rsidRPr="008736DB">
        <w:rPr>
          <w:rFonts w:ascii="Palatino Linotype" w:eastAsia="Palatino Linotype" w:hAnsi="Palatino Linotype" w:cs="Palatino Linotype"/>
          <w:b/>
          <w:color w:val="000000"/>
          <w:sz w:val="22"/>
          <w:szCs w:val="22"/>
        </w:rPr>
        <w:t xml:space="preserve">Folio de la solicitud: </w:t>
      </w:r>
      <w:r w:rsidRPr="008736DB">
        <w:rPr>
          <w:rFonts w:ascii="Palatino Linotype" w:eastAsia="Palatino Linotype" w:hAnsi="Palatino Linotype" w:cs="Palatino Linotype"/>
          <w:b/>
          <w:sz w:val="22"/>
          <w:szCs w:val="22"/>
        </w:rPr>
        <w:t>00010/DIFTOLUCA/IP/2025</w:t>
      </w:r>
      <w:r w:rsidRPr="008736DB">
        <w:rPr>
          <w:rFonts w:ascii="Palatino Linotype" w:eastAsia="Palatino Linotype" w:hAnsi="Palatino Linotype" w:cs="Palatino Linotype"/>
          <w:b/>
          <w:sz w:val="22"/>
          <w:szCs w:val="22"/>
        </w:rPr>
        <w:tab/>
      </w:r>
    </w:p>
    <w:p w:rsidR="0072148B" w:rsidRPr="008736DB" w:rsidRDefault="00A077F4">
      <w:pPr>
        <w:numPr>
          <w:ilvl w:val="0"/>
          <w:numId w:val="2"/>
        </w:numPr>
        <w:pBdr>
          <w:top w:val="nil"/>
          <w:left w:val="nil"/>
          <w:bottom w:val="nil"/>
          <w:right w:val="nil"/>
          <w:between w:val="nil"/>
        </w:pBdr>
        <w:tabs>
          <w:tab w:val="left" w:pos="567"/>
        </w:tabs>
        <w:ind w:right="62"/>
        <w:jc w:val="both"/>
        <w:rPr>
          <w:rFonts w:ascii="Palatino Linotype" w:eastAsia="Palatino Linotype" w:hAnsi="Palatino Linotype" w:cs="Palatino Linotype"/>
          <w:b/>
          <w:color w:val="000000"/>
          <w:sz w:val="22"/>
          <w:szCs w:val="22"/>
        </w:rPr>
      </w:pPr>
      <w:r w:rsidRPr="008736DB">
        <w:rPr>
          <w:rFonts w:ascii="Palatino Linotype" w:eastAsia="Palatino Linotype" w:hAnsi="Palatino Linotype" w:cs="Palatino Linotype"/>
          <w:b/>
          <w:i/>
          <w:color w:val="000000"/>
          <w:sz w:val="22"/>
          <w:szCs w:val="22"/>
        </w:rPr>
        <w:t>RESPUESTA 010-2025.pdf</w:t>
      </w:r>
    </w:p>
    <w:p w:rsidR="0072148B" w:rsidRPr="008736DB" w:rsidRDefault="00A077F4">
      <w:pPr>
        <w:numPr>
          <w:ilvl w:val="0"/>
          <w:numId w:val="3"/>
        </w:numPr>
        <w:pBdr>
          <w:top w:val="nil"/>
          <w:left w:val="nil"/>
          <w:bottom w:val="nil"/>
          <w:right w:val="nil"/>
          <w:between w:val="nil"/>
        </w:pBdr>
        <w:tabs>
          <w:tab w:val="left" w:pos="567"/>
        </w:tabs>
        <w:ind w:left="1701" w:right="62"/>
        <w:jc w:val="both"/>
        <w:rPr>
          <w:rFonts w:ascii="Palatino Linotype" w:eastAsia="Palatino Linotype" w:hAnsi="Palatino Linotype" w:cs="Palatino Linotype"/>
          <w:color w:val="000000"/>
          <w:sz w:val="22"/>
          <w:szCs w:val="22"/>
        </w:rPr>
      </w:pPr>
      <w:r w:rsidRPr="008736DB">
        <w:rPr>
          <w:rFonts w:ascii="Palatino Linotype" w:eastAsia="Palatino Linotype" w:hAnsi="Palatino Linotype" w:cs="Palatino Linotype"/>
          <w:color w:val="000000"/>
          <w:sz w:val="22"/>
          <w:szCs w:val="22"/>
        </w:rPr>
        <w:t>Oficio 200B10100/140/2025 de fecha 28 de enero de 2025, firmado por la Titular de la Unidad de Información, Planeación, Programación y Evaluación, en el que adjunta la respuesta otorgada a la solicitud de información.</w:t>
      </w:r>
    </w:p>
    <w:p w:rsidR="0072148B" w:rsidRPr="008736DB" w:rsidRDefault="0072148B">
      <w:pPr>
        <w:pBdr>
          <w:top w:val="nil"/>
          <w:left w:val="nil"/>
          <w:bottom w:val="nil"/>
          <w:right w:val="nil"/>
          <w:between w:val="nil"/>
        </w:pBdr>
        <w:tabs>
          <w:tab w:val="left" w:pos="567"/>
        </w:tabs>
        <w:ind w:left="1701" w:right="62"/>
        <w:jc w:val="both"/>
        <w:rPr>
          <w:rFonts w:ascii="Palatino Linotype" w:eastAsia="Palatino Linotype" w:hAnsi="Palatino Linotype" w:cs="Palatino Linotype"/>
          <w:color w:val="000000"/>
          <w:sz w:val="22"/>
          <w:szCs w:val="22"/>
        </w:rPr>
      </w:pPr>
    </w:p>
    <w:p w:rsidR="0072148B" w:rsidRPr="008736DB" w:rsidRDefault="00A077F4">
      <w:pPr>
        <w:numPr>
          <w:ilvl w:val="0"/>
          <w:numId w:val="3"/>
        </w:numPr>
        <w:pBdr>
          <w:top w:val="nil"/>
          <w:left w:val="nil"/>
          <w:bottom w:val="nil"/>
          <w:right w:val="nil"/>
          <w:between w:val="nil"/>
        </w:pBdr>
        <w:tabs>
          <w:tab w:val="left" w:pos="567"/>
        </w:tabs>
        <w:ind w:left="1701" w:right="62"/>
        <w:jc w:val="both"/>
        <w:rPr>
          <w:rFonts w:ascii="Palatino Linotype" w:eastAsia="Palatino Linotype" w:hAnsi="Palatino Linotype" w:cs="Palatino Linotype"/>
          <w:color w:val="000000"/>
          <w:sz w:val="22"/>
          <w:szCs w:val="22"/>
        </w:rPr>
      </w:pPr>
      <w:r w:rsidRPr="008736DB">
        <w:rPr>
          <w:rFonts w:ascii="Palatino Linotype" w:eastAsia="Palatino Linotype" w:hAnsi="Palatino Linotype" w:cs="Palatino Linotype"/>
          <w:color w:val="000000"/>
          <w:sz w:val="22"/>
          <w:szCs w:val="22"/>
        </w:rPr>
        <w:t>Oficio 200B10901/071/2025 de fecha 24 de enero de 2025, a través del cual el Director de Administración y Tesorería, a través del cual comunica que la información objeto de la solicitud se encuentra publicada en la fracción VIII A, denominada “remuneraciones” del Sistema de Información Pública de Oficio Mexiquense (IPOMEX), señalando un link.</w:t>
      </w:r>
    </w:p>
    <w:p w:rsidR="0072148B" w:rsidRPr="008736DB" w:rsidRDefault="0072148B">
      <w:pPr>
        <w:pBdr>
          <w:top w:val="nil"/>
          <w:left w:val="nil"/>
          <w:bottom w:val="nil"/>
          <w:right w:val="nil"/>
          <w:between w:val="nil"/>
        </w:pBdr>
        <w:tabs>
          <w:tab w:val="left" w:pos="567"/>
        </w:tabs>
        <w:ind w:right="62"/>
        <w:jc w:val="both"/>
        <w:rPr>
          <w:rFonts w:ascii="Palatino Linotype" w:eastAsia="Palatino Linotype" w:hAnsi="Palatino Linotype" w:cs="Palatino Linotype"/>
          <w:b/>
          <w:i/>
          <w:color w:val="000000"/>
          <w:sz w:val="22"/>
          <w:szCs w:val="22"/>
        </w:rPr>
      </w:pPr>
    </w:p>
    <w:p w:rsidR="0072148B" w:rsidRPr="008736DB" w:rsidRDefault="00A077F4">
      <w:pPr>
        <w:pBdr>
          <w:top w:val="nil"/>
          <w:left w:val="nil"/>
          <w:bottom w:val="nil"/>
          <w:right w:val="nil"/>
          <w:between w:val="nil"/>
        </w:pBdr>
        <w:tabs>
          <w:tab w:val="left" w:pos="567"/>
        </w:tabs>
        <w:spacing w:line="360" w:lineRule="auto"/>
        <w:ind w:left="567" w:right="62"/>
        <w:jc w:val="both"/>
        <w:rPr>
          <w:rFonts w:ascii="Palatino Linotype" w:eastAsia="Palatino Linotype" w:hAnsi="Palatino Linotype" w:cs="Palatino Linotype"/>
          <w:b/>
          <w:sz w:val="22"/>
          <w:szCs w:val="22"/>
        </w:rPr>
      </w:pPr>
      <w:r w:rsidRPr="008736DB">
        <w:rPr>
          <w:rFonts w:ascii="Palatino Linotype" w:eastAsia="Palatino Linotype" w:hAnsi="Palatino Linotype" w:cs="Palatino Linotype"/>
          <w:b/>
          <w:color w:val="000000"/>
          <w:sz w:val="22"/>
          <w:szCs w:val="22"/>
        </w:rPr>
        <w:t>Folio de la solicitud:</w:t>
      </w:r>
      <w:r w:rsidRPr="008736DB">
        <w:rPr>
          <w:rFonts w:ascii="Palatino Linotype" w:eastAsia="Palatino Linotype" w:hAnsi="Palatino Linotype" w:cs="Palatino Linotype"/>
          <w:b/>
          <w:sz w:val="22"/>
          <w:szCs w:val="22"/>
        </w:rPr>
        <w:t xml:space="preserve"> 00011/DIFTOLUCA/IP/2025</w:t>
      </w:r>
    </w:p>
    <w:p w:rsidR="0072148B" w:rsidRPr="008736DB" w:rsidRDefault="00A077F4">
      <w:pPr>
        <w:numPr>
          <w:ilvl w:val="0"/>
          <w:numId w:val="4"/>
        </w:numPr>
        <w:pBdr>
          <w:top w:val="nil"/>
          <w:left w:val="nil"/>
          <w:bottom w:val="nil"/>
          <w:right w:val="nil"/>
          <w:between w:val="nil"/>
        </w:pBdr>
        <w:tabs>
          <w:tab w:val="left" w:pos="567"/>
        </w:tabs>
        <w:spacing w:line="360" w:lineRule="auto"/>
        <w:ind w:right="62"/>
        <w:jc w:val="both"/>
        <w:rPr>
          <w:rFonts w:ascii="Palatino Linotype" w:eastAsia="Palatino Linotype" w:hAnsi="Palatino Linotype" w:cs="Palatino Linotype"/>
          <w:b/>
          <w:i/>
          <w:color w:val="000000"/>
          <w:sz w:val="22"/>
          <w:szCs w:val="22"/>
        </w:rPr>
      </w:pPr>
      <w:r w:rsidRPr="008736DB">
        <w:rPr>
          <w:rFonts w:ascii="Palatino Linotype" w:eastAsia="Palatino Linotype" w:hAnsi="Palatino Linotype" w:cs="Palatino Linotype"/>
          <w:b/>
          <w:i/>
          <w:color w:val="000000"/>
          <w:sz w:val="22"/>
          <w:szCs w:val="22"/>
        </w:rPr>
        <w:t>RESPUESTA 011-2025.pdf</w:t>
      </w:r>
    </w:p>
    <w:p w:rsidR="0072148B" w:rsidRPr="008736DB" w:rsidRDefault="00A077F4">
      <w:pPr>
        <w:numPr>
          <w:ilvl w:val="0"/>
          <w:numId w:val="5"/>
        </w:numPr>
        <w:pBdr>
          <w:top w:val="nil"/>
          <w:left w:val="nil"/>
          <w:bottom w:val="nil"/>
          <w:right w:val="nil"/>
          <w:between w:val="nil"/>
        </w:pBdr>
        <w:tabs>
          <w:tab w:val="left" w:pos="567"/>
        </w:tabs>
        <w:ind w:left="1647" w:right="62"/>
        <w:jc w:val="both"/>
        <w:rPr>
          <w:rFonts w:ascii="Palatino Linotype" w:eastAsia="Palatino Linotype" w:hAnsi="Palatino Linotype" w:cs="Palatino Linotype"/>
          <w:color w:val="000000"/>
          <w:sz w:val="22"/>
          <w:szCs w:val="22"/>
        </w:rPr>
      </w:pPr>
      <w:r w:rsidRPr="008736DB">
        <w:rPr>
          <w:rFonts w:ascii="Palatino Linotype" w:eastAsia="Palatino Linotype" w:hAnsi="Palatino Linotype" w:cs="Palatino Linotype"/>
          <w:color w:val="000000"/>
          <w:sz w:val="22"/>
          <w:szCs w:val="22"/>
        </w:rPr>
        <w:t>Oficio 200B10100/138/2025 de fecha 28 de enero de 2025, firmado por la Titular de la Unidad de Información, Planeación, Programación y Evaluación, en el que adjunta la respuesta otorgada a la solicitud de información.</w:t>
      </w:r>
    </w:p>
    <w:p w:rsidR="0072148B" w:rsidRPr="008736DB" w:rsidRDefault="0072148B">
      <w:pPr>
        <w:pBdr>
          <w:top w:val="nil"/>
          <w:left w:val="nil"/>
          <w:bottom w:val="nil"/>
          <w:right w:val="nil"/>
          <w:between w:val="nil"/>
        </w:pBdr>
        <w:tabs>
          <w:tab w:val="left" w:pos="567"/>
        </w:tabs>
        <w:ind w:left="2367" w:right="62"/>
        <w:jc w:val="both"/>
        <w:rPr>
          <w:rFonts w:ascii="Palatino Linotype" w:eastAsia="Palatino Linotype" w:hAnsi="Palatino Linotype" w:cs="Palatino Linotype"/>
          <w:color w:val="000000"/>
          <w:sz w:val="22"/>
          <w:szCs w:val="22"/>
        </w:rPr>
      </w:pPr>
    </w:p>
    <w:p w:rsidR="0072148B" w:rsidRPr="008736DB" w:rsidRDefault="00A077F4">
      <w:pPr>
        <w:numPr>
          <w:ilvl w:val="0"/>
          <w:numId w:val="5"/>
        </w:numPr>
        <w:pBdr>
          <w:top w:val="nil"/>
          <w:left w:val="nil"/>
          <w:bottom w:val="nil"/>
          <w:right w:val="nil"/>
          <w:between w:val="nil"/>
        </w:pBdr>
        <w:tabs>
          <w:tab w:val="left" w:pos="567"/>
        </w:tabs>
        <w:ind w:left="1647" w:right="62"/>
        <w:jc w:val="both"/>
        <w:rPr>
          <w:rFonts w:ascii="Palatino Linotype" w:eastAsia="Palatino Linotype" w:hAnsi="Palatino Linotype" w:cs="Palatino Linotype"/>
          <w:color w:val="000000"/>
          <w:sz w:val="22"/>
          <w:szCs w:val="22"/>
        </w:rPr>
      </w:pPr>
      <w:r w:rsidRPr="008736DB">
        <w:rPr>
          <w:rFonts w:ascii="Palatino Linotype" w:eastAsia="Palatino Linotype" w:hAnsi="Palatino Linotype" w:cs="Palatino Linotype"/>
          <w:color w:val="000000"/>
          <w:sz w:val="22"/>
          <w:szCs w:val="22"/>
        </w:rPr>
        <w:t>Oficio 200B10901/072/2025 de fecha 24 de enero de 2025, a través del cual el Director de Administración y Tesorería, a través del cual comunica que la información objeto de la solicitud se encuentra publicada en la fracción VIII A, denominada “remuneraciones” del Sistema de Información Pública de Oficio Mexiquense (IPOMEX), señalando un link.</w:t>
      </w:r>
    </w:p>
    <w:p w:rsidR="0072148B" w:rsidRPr="008736DB" w:rsidRDefault="0072148B">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i/>
          <w:color w:val="000000"/>
        </w:rPr>
      </w:pPr>
    </w:p>
    <w:p w:rsidR="0072148B" w:rsidRPr="008736DB" w:rsidRDefault="00A077F4">
      <w:pPr>
        <w:numPr>
          <w:ilvl w:val="0"/>
          <w:numId w:val="6"/>
        </w:num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r w:rsidRPr="008736DB">
        <w:rPr>
          <w:rFonts w:ascii="Palatino Linotype" w:eastAsia="Palatino Linotype" w:hAnsi="Palatino Linotype" w:cs="Palatino Linotype"/>
          <w:color w:val="000000"/>
        </w:rPr>
        <w:lastRenderedPageBreak/>
        <w:t>El</w:t>
      </w:r>
      <w:r w:rsidRPr="008736DB">
        <w:rPr>
          <w:rFonts w:ascii="Palatino Linotype" w:eastAsia="Palatino Linotype" w:hAnsi="Palatino Linotype" w:cs="Palatino Linotype"/>
          <w:b/>
          <w:color w:val="000000"/>
        </w:rPr>
        <w:t xml:space="preserve"> treinta y uno de enero de dos mil veinticinco</w:t>
      </w:r>
      <w:r w:rsidRPr="008736DB">
        <w:rPr>
          <w:rFonts w:ascii="Palatino Linotype" w:eastAsia="Palatino Linotype" w:hAnsi="Palatino Linotype" w:cs="Palatino Linotype"/>
          <w:color w:val="000000"/>
        </w:rPr>
        <w:t xml:space="preserve">, el particular interpuso los recursos de revisión a los que se les asignaron los folios </w:t>
      </w:r>
      <w:r w:rsidRPr="008736DB">
        <w:rPr>
          <w:rFonts w:ascii="Palatino Linotype" w:eastAsia="Palatino Linotype" w:hAnsi="Palatino Linotype" w:cs="Palatino Linotype"/>
          <w:b/>
          <w:color w:val="000000"/>
        </w:rPr>
        <w:t xml:space="preserve">00368/INFOEM/IP/RR/2025 y 00369/INFOEM/IP/RR/2025 </w:t>
      </w:r>
      <w:r w:rsidRPr="008736DB">
        <w:rPr>
          <w:rFonts w:ascii="Palatino Linotype" w:eastAsia="Palatino Linotype" w:hAnsi="Palatino Linotype" w:cs="Palatino Linotype"/>
          <w:color w:val="000000"/>
        </w:rPr>
        <w:t>en contra de las respuestas emitidas por el sujeto obligado, realizando las siguientes manifestaciones como acto impugnado y razones o motivos de inconformidad:</w:t>
      </w:r>
    </w:p>
    <w:p w:rsidR="0072148B" w:rsidRPr="008736DB" w:rsidRDefault="00A077F4">
      <w:pPr>
        <w:pBdr>
          <w:top w:val="nil"/>
          <w:left w:val="nil"/>
          <w:bottom w:val="nil"/>
          <w:right w:val="nil"/>
          <w:between w:val="nil"/>
        </w:pBdr>
        <w:tabs>
          <w:tab w:val="left" w:pos="0"/>
        </w:tabs>
        <w:spacing w:line="360" w:lineRule="auto"/>
        <w:ind w:left="360" w:right="-787"/>
        <w:jc w:val="both"/>
        <w:rPr>
          <w:rFonts w:ascii="Palatino Linotype" w:eastAsia="Palatino Linotype" w:hAnsi="Palatino Linotype" w:cs="Palatino Linotype"/>
          <w:b/>
          <w:color w:val="000000"/>
          <w:sz w:val="22"/>
          <w:szCs w:val="22"/>
        </w:rPr>
      </w:pPr>
      <w:r w:rsidRPr="008736DB">
        <w:rPr>
          <w:rFonts w:ascii="Palatino Linotype" w:eastAsia="Palatino Linotype" w:hAnsi="Palatino Linotype" w:cs="Palatino Linotype"/>
          <w:b/>
          <w:color w:val="000000"/>
          <w:sz w:val="22"/>
          <w:szCs w:val="22"/>
        </w:rPr>
        <w:t>Recurso de Revisión 00368/INFOEM/IP/RR/2025</w:t>
      </w:r>
    </w:p>
    <w:p w:rsidR="0072148B" w:rsidRPr="008736DB" w:rsidRDefault="00A077F4">
      <w:pPr>
        <w:pBdr>
          <w:top w:val="nil"/>
          <w:left w:val="nil"/>
          <w:bottom w:val="nil"/>
          <w:right w:val="nil"/>
          <w:between w:val="nil"/>
        </w:pBdr>
        <w:ind w:left="851" w:right="-787"/>
        <w:jc w:val="both"/>
        <w:rPr>
          <w:rFonts w:ascii="Palatino Linotype" w:eastAsia="Palatino Linotype" w:hAnsi="Palatino Linotype" w:cs="Palatino Linotype"/>
          <w:i/>
          <w:color w:val="000000"/>
          <w:sz w:val="22"/>
          <w:szCs w:val="22"/>
        </w:rPr>
      </w:pPr>
      <w:bookmarkStart w:id="2" w:name="_heading=h.30j0zll" w:colFirst="0" w:colLast="0"/>
      <w:bookmarkEnd w:id="2"/>
      <w:r w:rsidRPr="008736DB">
        <w:rPr>
          <w:rFonts w:ascii="Palatino Linotype" w:eastAsia="Palatino Linotype" w:hAnsi="Palatino Linotype" w:cs="Palatino Linotype"/>
          <w:b/>
          <w:color w:val="000000"/>
          <w:sz w:val="22"/>
          <w:szCs w:val="22"/>
        </w:rPr>
        <w:t xml:space="preserve">Acto impugnado: </w:t>
      </w:r>
      <w:r w:rsidRPr="008736DB">
        <w:rPr>
          <w:rFonts w:ascii="Palatino Linotype" w:eastAsia="Palatino Linotype" w:hAnsi="Palatino Linotype" w:cs="Palatino Linotype"/>
          <w:i/>
          <w:color w:val="000000"/>
          <w:sz w:val="22"/>
          <w:szCs w:val="22"/>
        </w:rPr>
        <w:t xml:space="preserve">“la respuesta emitida por la titular de la </w:t>
      </w:r>
      <w:proofErr w:type="spellStart"/>
      <w:r w:rsidRPr="008736DB">
        <w:rPr>
          <w:rFonts w:ascii="Palatino Linotype" w:eastAsia="Palatino Linotype" w:hAnsi="Palatino Linotype" w:cs="Palatino Linotype"/>
          <w:i/>
          <w:color w:val="000000"/>
          <w:sz w:val="22"/>
          <w:szCs w:val="22"/>
        </w:rPr>
        <w:t>uippe</w:t>
      </w:r>
      <w:proofErr w:type="spellEnd"/>
      <w:r w:rsidRPr="008736DB">
        <w:rPr>
          <w:rFonts w:ascii="Palatino Linotype" w:eastAsia="Palatino Linotype" w:hAnsi="Palatino Linotype" w:cs="Palatino Linotype"/>
          <w:i/>
          <w:color w:val="000000"/>
          <w:sz w:val="22"/>
          <w:szCs w:val="22"/>
        </w:rPr>
        <w:t>, mediante oficio 200B10901/071/2025, de fecha 24 de enero de 2025” (Sic)</w:t>
      </w:r>
    </w:p>
    <w:p w:rsidR="0072148B" w:rsidRPr="008736DB" w:rsidRDefault="0072148B">
      <w:pPr>
        <w:pBdr>
          <w:top w:val="nil"/>
          <w:left w:val="nil"/>
          <w:bottom w:val="nil"/>
          <w:right w:val="nil"/>
          <w:between w:val="nil"/>
        </w:pBdr>
        <w:ind w:left="851" w:right="-787"/>
        <w:jc w:val="both"/>
        <w:rPr>
          <w:rFonts w:ascii="Palatino Linotype" w:eastAsia="Palatino Linotype" w:hAnsi="Palatino Linotype" w:cs="Palatino Linotype"/>
          <w:i/>
          <w:color w:val="000000"/>
          <w:sz w:val="22"/>
          <w:szCs w:val="22"/>
        </w:rPr>
      </w:pPr>
    </w:p>
    <w:p w:rsidR="0072148B" w:rsidRPr="008736DB" w:rsidRDefault="00A077F4">
      <w:pPr>
        <w:pBdr>
          <w:top w:val="nil"/>
          <w:left w:val="nil"/>
          <w:bottom w:val="nil"/>
          <w:right w:val="nil"/>
          <w:between w:val="nil"/>
        </w:pBdr>
        <w:ind w:left="851" w:right="-79"/>
        <w:jc w:val="both"/>
        <w:rPr>
          <w:rFonts w:ascii="Palatino Linotype" w:eastAsia="Palatino Linotype" w:hAnsi="Palatino Linotype" w:cs="Palatino Linotype"/>
          <w:i/>
          <w:color w:val="000000"/>
          <w:sz w:val="22"/>
          <w:szCs w:val="22"/>
        </w:rPr>
      </w:pPr>
      <w:bookmarkStart w:id="3" w:name="_heading=h.1fob9te" w:colFirst="0" w:colLast="0"/>
      <w:bookmarkEnd w:id="3"/>
      <w:r w:rsidRPr="008736DB">
        <w:rPr>
          <w:rFonts w:ascii="Palatino Linotype" w:eastAsia="Palatino Linotype" w:hAnsi="Palatino Linotype" w:cs="Palatino Linotype"/>
          <w:b/>
          <w:color w:val="000000"/>
          <w:sz w:val="22"/>
          <w:szCs w:val="22"/>
        </w:rPr>
        <w:t xml:space="preserve">Razones o Motivos de inconformidad: </w:t>
      </w:r>
      <w:r w:rsidRPr="008736DB">
        <w:rPr>
          <w:rFonts w:ascii="Palatino Linotype" w:eastAsia="Palatino Linotype" w:hAnsi="Palatino Linotype" w:cs="Palatino Linotype"/>
          <w:i/>
          <w:color w:val="000000"/>
          <w:sz w:val="22"/>
          <w:szCs w:val="22"/>
        </w:rPr>
        <w:t xml:space="preserve">“no entregan lo solicitado” </w:t>
      </w:r>
      <w:r w:rsidRPr="008736DB">
        <w:rPr>
          <w:rFonts w:ascii="Palatino Linotype" w:eastAsia="Palatino Linotype" w:hAnsi="Palatino Linotype" w:cs="Palatino Linotype"/>
          <w:color w:val="000000"/>
          <w:sz w:val="22"/>
          <w:szCs w:val="22"/>
        </w:rPr>
        <w:t>(Sic)</w:t>
      </w:r>
    </w:p>
    <w:p w:rsidR="0072148B" w:rsidRPr="008736DB" w:rsidRDefault="0072148B">
      <w:pPr>
        <w:pBdr>
          <w:top w:val="nil"/>
          <w:left w:val="nil"/>
          <w:bottom w:val="nil"/>
          <w:right w:val="nil"/>
          <w:between w:val="nil"/>
        </w:pBdr>
        <w:ind w:right="-787"/>
        <w:jc w:val="both"/>
        <w:rPr>
          <w:rFonts w:ascii="Palatino Linotype" w:eastAsia="Palatino Linotype" w:hAnsi="Palatino Linotype" w:cs="Palatino Linotype"/>
          <w:i/>
          <w:color w:val="000000"/>
        </w:rPr>
      </w:pPr>
    </w:p>
    <w:p w:rsidR="0072148B" w:rsidRPr="008736DB" w:rsidRDefault="00A077F4">
      <w:pPr>
        <w:pBdr>
          <w:top w:val="nil"/>
          <w:left w:val="nil"/>
          <w:bottom w:val="nil"/>
          <w:right w:val="nil"/>
          <w:between w:val="nil"/>
        </w:pBdr>
        <w:tabs>
          <w:tab w:val="left" w:pos="0"/>
        </w:tabs>
        <w:spacing w:line="360" w:lineRule="auto"/>
        <w:ind w:left="360" w:right="-787"/>
        <w:jc w:val="both"/>
        <w:rPr>
          <w:rFonts w:ascii="Palatino Linotype" w:eastAsia="Palatino Linotype" w:hAnsi="Palatino Linotype" w:cs="Palatino Linotype"/>
          <w:b/>
          <w:color w:val="000000"/>
          <w:sz w:val="22"/>
          <w:szCs w:val="22"/>
        </w:rPr>
      </w:pPr>
      <w:r w:rsidRPr="008736DB">
        <w:rPr>
          <w:rFonts w:ascii="Palatino Linotype" w:eastAsia="Palatino Linotype" w:hAnsi="Palatino Linotype" w:cs="Palatino Linotype"/>
          <w:b/>
          <w:color w:val="000000"/>
          <w:sz w:val="22"/>
          <w:szCs w:val="22"/>
        </w:rPr>
        <w:t>Recurso de Revisión 00369/INFOEM/IP/RR/2025</w:t>
      </w:r>
    </w:p>
    <w:p w:rsidR="0072148B" w:rsidRPr="008736DB" w:rsidRDefault="00A077F4">
      <w:pPr>
        <w:pBdr>
          <w:top w:val="nil"/>
          <w:left w:val="nil"/>
          <w:bottom w:val="nil"/>
          <w:right w:val="nil"/>
          <w:between w:val="nil"/>
        </w:pBdr>
        <w:ind w:left="851" w:right="-787"/>
        <w:jc w:val="both"/>
        <w:rPr>
          <w:rFonts w:ascii="Palatino Linotype" w:eastAsia="Palatino Linotype" w:hAnsi="Palatino Linotype" w:cs="Palatino Linotype"/>
          <w:i/>
          <w:color w:val="000000"/>
          <w:sz w:val="22"/>
          <w:szCs w:val="22"/>
        </w:rPr>
      </w:pPr>
      <w:r w:rsidRPr="008736DB">
        <w:rPr>
          <w:rFonts w:ascii="Palatino Linotype" w:eastAsia="Palatino Linotype" w:hAnsi="Palatino Linotype" w:cs="Palatino Linotype"/>
          <w:b/>
          <w:color w:val="000000"/>
          <w:sz w:val="22"/>
          <w:szCs w:val="22"/>
        </w:rPr>
        <w:t xml:space="preserve">Acto impugnado: </w:t>
      </w:r>
      <w:r w:rsidRPr="008736DB">
        <w:rPr>
          <w:rFonts w:ascii="Palatino Linotype" w:eastAsia="Palatino Linotype" w:hAnsi="Palatino Linotype" w:cs="Palatino Linotype"/>
          <w:i/>
          <w:color w:val="000000"/>
          <w:sz w:val="22"/>
          <w:szCs w:val="22"/>
        </w:rPr>
        <w:t xml:space="preserve">“la respuesta del director de </w:t>
      </w:r>
      <w:proofErr w:type="spellStart"/>
      <w:r w:rsidRPr="008736DB">
        <w:rPr>
          <w:rFonts w:ascii="Palatino Linotype" w:eastAsia="Palatino Linotype" w:hAnsi="Palatino Linotype" w:cs="Palatino Linotype"/>
          <w:i/>
          <w:color w:val="000000"/>
          <w:sz w:val="22"/>
          <w:szCs w:val="22"/>
        </w:rPr>
        <w:t>administracion</w:t>
      </w:r>
      <w:proofErr w:type="spellEnd"/>
      <w:r w:rsidRPr="008736DB">
        <w:rPr>
          <w:rFonts w:ascii="Palatino Linotype" w:eastAsia="Palatino Linotype" w:hAnsi="Palatino Linotype" w:cs="Palatino Linotype"/>
          <w:i/>
          <w:color w:val="000000"/>
          <w:sz w:val="22"/>
          <w:szCs w:val="22"/>
        </w:rPr>
        <w:t xml:space="preserve"> del </w:t>
      </w:r>
      <w:proofErr w:type="spellStart"/>
      <w:r w:rsidRPr="008736DB">
        <w:rPr>
          <w:rFonts w:ascii="Palatino Linotype" w:eastAsia="Palatino Linotype" w:hAnsi="Palatino Linotype" w:cs="Palatino Linotype"/>
          <w:i/>
          <w:color w:val="000000"/>
          <w:sz w:val="22"/>
          <w:szCs w:val="22"/>
        </w:rPr>
        <w:t>dif</w:t>
      </w:r>
      <w:proofErr w:type="spellEnd"/>
      <w:r w:rsidRPr="008736DB">
        <w:rPr>
          <w:rFonts w:ascii="Palatino Linotype" w:eastAsia="Palatino Linotype" w:hAnsi="Palatino Linotype" w:cs="Palatino Linotype"/>
          <w:i/>
          <w:color w:val="000000"/>
          <w:sz w:val="22"/>
          <w:szCs w:val="22"/>
        </w:rPr>
        <w:t xml:space="preserve"> Edgardo de alba Garza </w:t>
      </w:r>
      <w:proofErr w:type="spellStart"/>
      <w:proofErr w:type="gramStart"/>
      <w:r w:rsidRPr="008736DB">
        <w:rPr>
          <w:rFonts w:ascii="Palatino Linotype" w:eastAsia="Palatino Linotype" w:hAnsi="Palatino Linotype" w:cs="Palatino Linotype"/>
          <w:i/>
          <w:color w:val="000000"/>
          <w:sz w:val="22"/>
          <w:szCs w:val="22"/>
        </w:rPr>
        <w:t>Garza</w:t>
      </w:r>
      <w:proofErr w:type="spellEnd"/>
      <w:r w:rsidRPr="008736DB">
        <w:rPr>
          <w:rFonts w:ascii="Palatino Linotype" w:eastAsia="Palatino Linotype" w:hAnsi="Palatino Linotype" w:cs="Palatino Linotype"/>
          <w:i/>
          <w:color w:val="000000"/>
          <w:sz w:val="22"/>
          <w:szCs w:val="22"/>
        </w:rPr>
        <w:t xml:space="preserve"> ,</w:t>
      </w:r>
      <w:proofErr w:type="gramEnd"/>
      <w:r w:rsidRPr="008736DB">
        <w:rPr>
          <w:rFonts w:ascii="Palatino Linotype" w:eastAsia="Palatino Linotype" w:hAnsi="Palatino Linotype" w:cs="Palatino Linotype"/>
          <w:i/>
          <w:color w:val="000000"/>
          <w:sz w:val="22"/>
          <w:szCs w:val="22"/>
        </w:rPr>
        <w:t xml:space="preserve"> mediante oficio 200B10901/071/2025 de fecha 24 de enero del 2025” (Sic)</w:t>
      </w:r>
    </w:p>
    <w:p w:rsidR="0072148B" w:rsidRPr="008736DB" w:rsidRDefault="0072148B">
      <w:pPr>
        <w:pBdr>
          <w:top w:val="nil"/>
          <w:left w:val="nil"/>
          <w:bottom w:val="nil"/>
          <w:right w:val="nil"/>
          <w:between w:val="nil"/>
        </w:pBdr>
        <w:ind w:left="851" w:right="-787"/>
        <w:jc w:val="both"/>
        <w:rPr>
          <w:rFonts w:ascii="Palatino Linotype" w:eastAsia="Palatino Linotype" w:hAnsi="Palatino Linotype" w:cs="Palatino Linotype"/>
          <w:i/>
          <w:color w:val="000000"/>
          <w:sz w:val="22"/>
          <w:szCs w:val="22"/>
        </w:rPr>
      </w:pPr>
    </w:p>
    <w:p w:rsidR="0072148B" w:rsidRPr="008736DB" w:rsidRDefault="00A077F4">
      <w:pPr>
        <w:pBdr>
          <w:top w:val="nil"/>
          <w:left w:val="nil"/>
          <w:bottom w:val="nil"/>
          <w:right w:val="nil"/>
          <w:between w:val="nil"/>
        </w:pBdr>
        <w:ind w:left="851" w:right="-79"/>
        <w:jc w:val="both"/>
        <w:rPr>
          <w:rFonts w:ascii="Palatino Linotype" w:eastAsia="Palatino Linotype" w:hAnsi="Palatino Linotype" w:cs="Palatino Linotype"/>
          <w:i/>
          <w:color w:val="000000"/>
          <w:sz w:val="22"/>
          <w:szCs w:val="22"/>
        </w:rPr>
      </w:pPr>
      <w:r w:rsidRPr="008736DB">
        <w:rPr>
          <w:rFonts w:ascii="Palatino Linotype" w:eastAsia="Palatino Linotype" w:hAnsi="Palatino Linotype" w:cs="Palatino Linotype"/>
          <w:b/>
          <w:color w:val="000000"/>
          <w:sz w:val="22"/>
          <w:szCs w:val="22"/>
        </w:rPr>
        <w:t xml:space="preserve">Razones o Motivos de inconformidad: </w:t>
      </w:r>
      <w:r w:rsidRPr="008736DB">
        <w:rPr>
          <w:rFonts w:ascii="Palatino Linotype" w:eastAsia="Palatino Linotype" w:hAnsi="Palatino Linotype" w:cs="Palatino Linotype"/>
          <w:i/>
          <w:color w:val="000000"/>
          <w:sz w:val="22"/>
          <w:szCs w:val="22"/>
        </w:rPr>
        <w:t xml:space="preserve">“no me entregan lo solicitado, eso corresponde al tercer </w:t>
      </w:r>
      <w:proofErr w:type="spellStart"/>
      <w:r w:rsidRPr="008736DB">
        <w:rPr>
          <w:rFonts w:ascii="Palatino Linotype" w:eastAsia="Palatino Linotype" w:hAnsi="Palatino Linotype" w:cs="Palatino Linotype"/>
          <w:i/>
          <w:color w:val="000000"/>
          <w:sz w:val="22"/>
          <w:szCs w:val="22"/>
        </w:rPr>
        <w:t>trimester</w:t>
      </w:r>
      <w:proofErr w:type="spellEnd"/>
      <w:r w:rsidRPr="008736DB">
        <w:rPr>
          <w:rFonts w:ascii="Palatino Linotype" w:eastAsia="Palatino Linotype" w:hAnsi="Palatino Linotype" w:cs="Palatino Linotype"/>
          <w:i/>
          <w:color w:val="000000"/>
          <w:sz w:val="22"/>
          <w:szCs w:val="22"/>
        </w:rPr>
        <w:t xml:space="preserve"> del año 2024, yo </w:t>
      </w:r>
      <w:proofErr w:type="spellStart"/>
      <w:r w:rsidRPr="008736DB">
        <w:rPr>
          <w:rFonts w:ascii="Palatino Linotype" w:eastAsia="Palatino Linotype" w:hAnsi="Palatino Linotype" w:cs="Palatino Linotype"/>
          <w:i/>
          <w:color w:val="000000"/>
          <w:sz w:val="22"/>
          <w:szCs w:val="22"/>
        </w:rPr>
        <w:t>pedi</w:t>
      </w:r>
      <w:proofErr w:type="spellEnd"/>
      <w:r w:rsidRPr="008736DB">
        <w:rPr>
          <w:rFonts w:ascii="Palatino Linotype" w:eastAsia="Palatino Linotype" w:hAnsi="Palatino Linotype" w:cs="Palatino Linotype"/>
          <w:i/>
          <w:color w:val="000000"/>
          <w:sz w:val="22"/>
          <w:szCs w:val="22"/>
        </w:rPr>
        <w:t xml:space="preserve"> primera quincena de enero de 2025 y son los recibos de </w:t>
      </w:r>
      <w:proofErr w:type="spellStart"/>
      <w:r w:rsidRPr="008736DB">
        <w:rPr>
          <w:rFonts w:ascii="Palatino Linotype" w:eastAsia="Palatino Linotype" w:hAnsi="Palatino Linotype" w:cs="Palatino Linotype"/>
          <w:i/>
          <w:color w:val="000000"/>
          <w:sz w:val="22"/>
          <w:szCs w:val="22"/>
        </w:rPr>
        <w:t>nomina</w:t>
      </w:r>
      <w:proofErr w:type="spellEnd"/>
      <w:r w:rsidRPr="008736DB">
        <w:rPr>
          <w:rFonts w:ascii="Palatino Linotype" w:eastAsia="Palatino Linotype" w:hAnsi="Palatino Linotype" w:cs="Palatino Linotype"/>
          <w:i/>
          <w:color w:val="000000"/>
          <w:sz w:val="22"/>
          <w:szCs w:val="22"/>
        </w:rPr>
        <w:t xml:space="preserve"> o </w:t>
      </w:r>
      <w:proofErr w:type="spellStart"/>
      <w:r w:rsidRPr="008736DB">
        <w:rPr>
          <w:rFonts w:ascii="Palatino Linotype" w:eastAsia="Palatino Linotype" w:hAnsi="Palatino Linotype" w:cs="Palatino Linotype"/>
          <w:i/>
          <w:color w:val="000000"/>
          <w:sz w:val="22"/>
          <w:szCs w:val="22"/>
        </w:rPr>
        <w:t>cfdi</w:t>
      </w:r>
      <w:proofErr w:type="spellEnd"/>
      <w:r w:rsidRPr="008736DB">
        <w:rPr>
          <w:rFonts w:ascii="Palatino Linotype" w:eastAsia="Palatino Linotype" w:hAnsi="Palatino Linotype" w:cs="Palatino Linotype"/>
          <w:i/>
          <w:color w:val="000000"/>
          <w:sz w:val="22"/>
          <w:szCs w:val="22"/>
        </w:rPr>
        <w:t xml:space="preserve">” </w:t>
      </w:r>
      <w:r w:rsidRPr="008736DB">
        <w:rPr>
          <w:rFonts w:ascii="Palatino Linotype" w:eastAsia="Palatino Linotype" w:hAnsi="Palatino Linotype" w:cs="Palatino Linotype"/>
          <w:color w:val="000000"/>
          <w:sz w:val="22"/>
          <w:szCs w:val="22"/>
        </w:rPr>
        <w:t>(Sic)</w:t>
      </w:r>
    </w:p>
    <w:p w:rsidR="0072148B" w:rsidRPr="008736DB" w:rsidRDefault="0072148B">
      <w:pPr>
        <w:pBdr>
          <w:top w:val="nil"/>
          <w:left w:val="nil"/>
          <w:bottom w:val="nil"/>
          <w:right w:val="nil"/>
          <w:between w:val="nil"/>
        </w:pBdr>
        <w:tabs>
          <w:tab w:val="left" w:pos="0"/>
        </w:tabs>
        <w:spacing w:line="360" w:lineRule="auto"/>
        <w:ind w:left="360" w:right="-787"/>
        <w:jc w:val="both"/>
        <w:rPr>
          <w:rFonts w:ascii="Palatino Linotype" w:eastAsia="Palatino Linotype" w:hAnsi="Palatino Linotype" w:cs="Palatino Linotype"/>
          <w:b/>
          <w:color w:val="000000"/>
          <w:sz w:val="22"/>
          <w:szCs w:val="22"/>
        </w:rPr>
      </w:pPr>
    </w:p>
    <w:p w:rsidR="0072148B" w:rsidRPr="008736DB" w:rsidRDefault="0072148B">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i/>
          <w:color w:val="000000"/>
          <w:u w:val="single"/>
        </w:rPr>
      </w:pPr>
    </w:p>
    <w:p w:rsidR="0072148B" w:rsidRPr="008736DB" w:rsidRDefault="00A077F4">
      <w:pPr>
        <w:numPr>
          <w:ilvl w:val="0"/>
          <w:numId w:val="6"/>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8736DB">
        <w:rPr>
          <w:rFonts w:ascii="Palatino Linotype" w:eastAsia="Palatino Linotype" w:hAnsi="Palatino Linotype" w:cs="Palatino Linotype"/>
          <w:color w:val="000000"/>
        </w:rPr>
        <w:t xml:space="preserve">Los Comisionados Ponentes de origen con fundamento en lo dispuesto por el artículo 185, fracción II, de la ley de la materia, a través de los </w:t>
      </w:r>
      <w:r w:rsidRPr="008736DB">
        <w:rPr>
          <w:rFonts w:ascii="Palatino Linotype" w:eastAsia="Palatino Linotype" w:hAnsi="Palatino Linotype" w:cs="Palatino Linotype"/>
          <w:b/>
          <w:color w:val="000000"/>
        </w:rPr>
        <w:t xml:space="preserve">acuerdos de admisión </w:t>
      </w:r>
      <w:r w:rsidRPr="008736DB">
        <w:rPr>
          <w:rFonts w:ascii="Palatino Linotype" w:eastAsia="Palatino Linotype" w:hAnsi="Palatino Linotype" w:cs="Palatino Linotype"/>
          <w:color w:val="000000"/>
        </w:rPr>
        <w:t xml:space="preserve">de fechas </w:t>
      </w:r>
      <w:r w:rsidRPr="008736DB">
        <w:rPr>
          <w:rFonts w:ascii="Palatino Linotype" w:eastAsia="Palatino Linotype" w:hAnsi="Palatino Linotype" w:cs="Palatino Linotype"/>
          <w:b/>
          <w:color w:val="000000"/>
        </w:rPr>
        <w:t xml:space="preserve">siete y seis de febrero de dos mil veinticinco, </w:t>
      </w:r>
      <w:r w:rsidRPr="008736DB">
        <w:rPr>
          <w:rFonts w:ascii="Palatino Linotype" w:eastAsia="Palatino Linotype" w:hAnsi="Palatino Linotype" w:cs="Palatino Linotype"/>
          <w:color w:val="000000"/>
        </w:rPr>
        <w:t xml:space="preserve">pusieron a disposición de las partes el expediente electrónico vía SAIMEX a efecto de que en un plazo máximo de siete días </w:t>
      </w:r>
      <w:r w:rsidRPr="008736DB">
        <w:rPr>
          <w:rFonts w:ascii="Palatino Linotype" w:eastAsia="Palatino Linotype" w:hAnsi="Palatino Linotype" w:cs="Palatino Linotype"/>
        </w:rPr>
        <w:t>manifestara</w:t>
      </w:r>
      <w:r w:rsidRPr="008736DB">
        <w:rPr>
          <w:rFonts w:ascii="Palatino Linotype" w:eastAsia="Palatino Linotype" w:hAnsi="Palatino Linotype" w:cs="Palatino Linotype"/>
          <w:color w:val="000000"/>
        </w:rPr>
        <w:t xml:space="preserve"> lo que a su derecho conviniera, </w:t>
      </w:r>
      <w:r w:rsidRPr="008736DB">
        <w:rPr>
          <w:rFonts w:ascii="Palatino Linotype" w:eastAsia="Palatino Linotype" w:hAnsi="Palatino Linotype" w:cs="Palatino Linotype"/>
        </w:rPr>
        <w:t>ofreciera</w:t>
      </w:r>
      <w:r w:rsidRPr="008736DB">
        <w:rPr>
          <w:rFonts w:ascii="Palatino Linotype" w:eastAsia="Palatino Linotype" w:hAnsi="Palatino Linotype" w:cs="Palatino Linotype"/>
          <w:color w:val="000000"/>
        </w:rPr>
        <w:t xml:space="preserve"> pruebas y alegatos según corresponda al caso concreto, de esta forma para que el </w:t>
      </w:r>
      <w:r w:rsidRPr="008736DB">
        <w:rPr>
          <w:rFonts w:ascii="Palatino Linotype" w:eastAsia="Palatino Linotype" w:hAnsi="Palatino Linotype" w:cs="Palatino Linotype"/>
          <w:b/>
          <w:color w:val="000000"/>
        </w:rPr>
        <w:t xml:space="preserve">SUJETO OBLIGADO </w:t>
      </w:r>
      <w:r w:rsidRPr="008736DB">
        <w:rPr>
          <w:rFonts w:ascii="Palatino Linotype" w:eastAsia="Palatino Linotype" w:hAnsi="Palatino Linotype" w:cs="Palatino Linotype"/>
        </w:rPr>
        <w:t>presentara</w:t>
      </w:r>
      <w:r w:rsidRPr="008736DB">
        <w:rPr>
          <w:rFonts w:ascii="Palatino Linotype" w:eastAsia="Palatino Linotype" w:hAnsi="Palatino Linotype" w:cs="Palatino Linotype"/>
          <w:color w:val="000000"/>
        </w:rPr>
        <w:t xml:space="preserve"> el Informe Justificado procedente.</w:t>
      </w:r>
    </w:p>
    <w:p w:rsidR="0072148B" w:rsidRPr="008736DB" w:rsidRDefault="0072148B">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72148B" w:rsidRPr="008736DB" w:rsidRDefault="00A077F4">
      <w:pPr>
        <w:numPr>
          <w:ilvl w:val="0"/>
          <w:numId w:val="6"/>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8736DB">
        <w:rPr>
          <w:rFonts w:ascii="Palatino Linotype" w:eastAsia="Palatino Linotype" w:hAnsi="Palatino Linotype" w:cs="Palatino Linotype"/>
          <w:color w:val="000000"/>
        </w:rPr>
        <w:lastRenderedPageBreak/>
        <w:t>Posteriormente el Pleno de este Órgano Autónomo, en la</w:t>
      </w:r>
      <w:r w:rsidRPr="008736DB">
        <w:rPr>
          <w:rFonts w:ascii="Palatino Linotype" w:eastAsia="Palatino Linotype" w:hAnsi="Palatino Linotype" w:cs="Palatino Linotype"/>
          <w:b/>
          <w:color w:val="000000"/>
        </w:rPr>
        <w:t xml:space="preserve"> Quinta Sesión Ordinaria </w:t>
      </w:r>
      <w:r w:rsidRPr="008736DB">
        <w:rPr>
          <w:rFonts w:ascii="Palatino Linotype" w:eastAsia="Palatino Linotype" w:hAnsi="Palatino Linotype" w:cs="Palatino Linotype"/>
          <w:color w:val="000000"/>
        </w:rPr>
        <w:t>de fecha</w:t>
      </w:r>
      <w:r w:rsidRPr="008736DB">
        <w:rPr>
          <w:rFonts w:ascii="Palatino Linotype" w:eastAsia="Palatino Linotype" w:hAnsi="Palatino Linotype" w:cs="Palatino Linotype"/>
          <w:b/>
          <w:color w:val="000000"/>
        </w:rPr>
        <w:t xml:space="preserve"> doce de febrero de dos mil veinticinco</w:t>
      </w:r>
      <w:r w:rsidRPr="008736DB">
        <w:rPr>
          <w:rFonts w:ascii="Palatino Linotype" w:eastAsia="Palatino Linotype" w:hAnsi="Palatino Linotype" w:cs="Palatino Linotype"/>
          <w:color w:val="000000"/>
        </w:rPr>
        <w:t xml:space="preserve">; ordenó la acumulación de los recursos de revisión de mérito, a efecto de que la Ponencia de la </w:t>
      </w:r>
      <w:r w:rsidRPr="008736DB">
        <w:rPr>
          <w:rFonts w:ascii="Palatino Linotype" w:eastAsia="Palatino Linotype" w:hAnsi="Palatino Linotype" w:cs="Palatino Linotype"/>
          <w:b/>
          <w:color w:val="000000"/>
        </w:rPr>
        <w:t xml:space="preserve">Comisionada María del Rosario Mejía Ayala </w:t>
      </w:r>
      <w:r w:rsidRPr="008736DB">
        <w:rPr>
          <w:rFonts w:ascii="Palatino Linotype" w:eastAsia="Palatino Linotype" w:hAnsi="Palatino Linotype" w:cs="Palatino Linotype"/>
        </w:rPr>
        <w:t>formulará</w:t>
      </w:r>
      <w:r w:rsidRPr="008736DB">
        <w:rPr>
          <w:rFonts w:ascii="Palatino Linotype" w:eastAsia="Palatino Linotype" w:hAnsi="Palatino Linotype" w:cs="Palatino Linotype"/>
          <w:color w:val="000000"/>
        </w:rPr>
        <w:t xml:space="preserve"> y </w:t>
      </w:r>
      <w:r w:rsidRPr="008736DB">
        <w:rPr>
          <w:rFonts w:ascii="Palatino Linotype" w:eastAsia="Palatino Linotype" w:hAnsi="Palatino Linotype" w:cs="Palatino Linotype"/>
        </w:rPr>
        <w:t>presentará</w:t>
      </w:r>
      <w:r w:rsidRPr="008736DB">
        <w:rPr>
          <w:rFonts w:ascii="Palatino Linotype" w:eastAsia="Palatino Linotype" w:hAnsi="Palatino Linotype" w:cs="Palatino Linotype"/>
          <w:color w:val="000000"/>
        </w:rPr>
        <w:t xml:space="preserve">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8736DB">
        <w:rPr>
          <w:rFonts w:ascii="Palatino Linotype" w:eastAsia="Palatino Linotype" w:hAnsi="Palatino Linotype" w:cs="Palatino Linotype"/>
          <w:i/>
          <w:color w:val="000000"/>
          <w:vertAlign w:val="superscript"/>
        </w:rPr>
        <w:footnoteReference w:id="1"/>
      </w:r>
      <w:r w:rsidRPr="008736DB">
        <w:rPr>
          <w:rFonts w:ascii="Palatino Linotype" w:eastAsia="Palatino Linotype" w:hAnsi="Palatino Linotype" w:cs="Palatino Linotype"/>
          <w:color w:val="000000"/>
        </w:rPr>
        <w:t>, que señala:</w:t>
      </w:r>
    </w:p>
    <w:p w:rsidR="0072148B" w:rsidRPr="008736DB" w:rsidRDefault="00A077F4">
      <w:pPr>
        <w:pBdr>
          <w:top w:val="nil"/>
          <w:left w:val="nil"/>
          <w:bottom w:val="nil"/>
          <w:right w:val="nil"/>
          <w:between w:val="nil"/>
        </w:pBdr>
        <w:ind w:left="1134" w:right="62"/>
        <w:jc w:val="both"/>
        <w:rPr>
          <w:rFonts w:ascii="Palatino Linotype" w:eastAsia="Palatino Linotype" w:hAnsi="Palatino Linotype" w:cs="Palatino Linotype"/>
          <w:i/>
          <w:color w:val="000000"/>
          <w:sz w:val="22"/>
          <w:szCs w:val="22"/>
        </w:rPr>
      </w:pPr>
      <w:r w:rsidRPr="008736DB">
        <w:rPr>
          <w:rFonts w:ascii="Palatino Linotype" w:eastAsia="Palatino Linotype" w:hAnsi="Palatino Linotype" w:cs="Palatino Linotype"/>
          <w:b/>
          <w:i/>
          <w:color w:val="000000"/>
          <w:sz w:val="22"/>
          <w:szCs w:val="22"/>
        </w:rPr>
        <w:t>“ONCE.</w:t>
      </w:r>
      <w:r w:rsidRPr="008736DB">
        <w:rPr>
          <w:rFonts w:ascii="Palatino Linotype" w:eastAsia="Palatino Linotype" w:hAnsi="Palatino Linotype" w:cs="Palatino Linotype"/>
          <w:i/>
          <w:color w:val="000000"/>
          <w:sz w:val="22"/>
          <w:szCs w:val="22"/>
        </w:rPr>
        <w:t xml:space="preserve"> El Instituto, para mejor resolver y evitar la emisión de resoluciones contradictorias, podrá acordar la acumulación de los expedientes de recursos de revisión, de oficio o a petición de parte cuando:</w:t>
      </w:r>
    </w:p>
    <w:p w:rsidR="0072148B" w:rsidRPr="008736DB" w:rsidRDefault="00A077F4">
      <w:pPr>
        <w:pBdr>
          <w:top w:val="nil"/>
          <w:left w:val="nil"/>
          <w:bottom w:val="nil"/>
          <w:right w:val="nil"/>
          <w:between w:val="nil"/>
        </w:pBdr>
        <w:ind w:left="1134" w:right="62"/>
        <w:jc w:val="both"/>
        <w:rPr>
          <w:rFonts w:ascii="Palatino Linotype" w:eastAsia="Palatino Linotype" w:hAnsi="Palatino Linotype" w:cs="Palatino Linotype"/>
          <w:i/>
          <w:color w:val="000000"/>
          <w:sz w:val="22"/>
          <w:szCs w:val="22"/>
        </w:rPr>
      </w:pPr>
      <w:r w:rsidRPr="008736DB">
        <w:rPr>
          <w:rFonts w:ascii="Palatino Linotype" w:eastAsia="Palatino Linotype" w:hAnsi="Palatino Linotype" w:cs="Palatino Linotype"/>
          <w:i/>
          <w:color w:val="000000"/>
          <w:sz w:val="22"/>
          <w:szCs w:val="22"/>
        </w:rPr>
        <w:t>…</w:t>
      </w:r>
      <w:r w:rsidRPr="008736DB">
        <w:rPr>
          <w:rFonts w:ascii="Palatino Linotype" w:eastAsia="Palatino Linotype" w:hAnsi="Palatino Linotype" w:cs="Palatino Linotype"/>
          <w:i/>
          <w:color w:val="000000"/>
          <w:sz w:val="22"/>
          <w:szCs w:val="22"/>
        </w:rPr>
        <w:tab/>
      </w:r>
    </w:p>
    <w:p w:rsidR="0072148B" w:rsidRPr="008736DB" w:rsidRDefault="00A077F4">
      <w:pPr>
        <w:pBdr>
          <w:top w:val="nil"/>
          <w:left w:val="nil"/>
          <w:bottom w:val="nil"/>
          <w:right w:val="nil"/>
          <w:between w:val="nil"/>
        </w:pBdr>
        <w:ind w:left="1134" w:right="62"/>
        <w:jc w:val="both"/>
        <w:rPr>
          <w:rFonts w:ascii="Palatino Linotype" w:eastAsia="Palatino Linotype" w:hAnsi="Palatino Linotype" w:cs="Palatino Linotype"/>
          <w:i/>
          <w:color w:val="000000"/>
          <w:sz w:val="22"/>
          <w:szCs w:val="22"/>
        </w:rPr>
      </w:pPr>
      <w:r w:rsidRPr="008736DB">
        <w:rPr>
          <w:rFonts w:ascii="Palatino Linotype" w:eastAsia="Palatino Linotype" w:hAnsi="Palatino Linotype" w:cs="Palatino Linotype"/>
          <w:i/>
          <w:color w:val="000000"/>
          <w:sz w:val="22"/>
          <w:szCs w:val="22"/>
        </w:rPr>
        <w:t>b) Las partes o los actos impugnados sean iguales</w:t>
      </w:r>
    </w:p>
    <w:p w:rsidR="0072148B" w:rsidRPr="008736DB" w:rsidRDefault="00A077F4">
      <w:pPr>
        <w:pBdr>
          <w:top w:val="nil"/>
          <w:left w:val="nil"/>
          <w:bottom w:val="nil"/>
          <w:right w:val="nil"/>
          <w:between w:val="nil"/>
        </w:pBdr>
        <w:ind w:left="1134" w:right="62"/>
        <w:jc w:val="both"/>
        <w:rPr>
          <w:rFonts w:ascii="Palatino Linotype" w:eastAsia="Palatino Linotype" w:hAnsi="Palatino Linotype" w:cs="Palatino Linotype"/>
          <w:i/>
          <w:color w:val="000000"/>
          <w:sz w:val="22"/>
          <w:szCs w:val="22"/>
        </w:rPr>
      </w:pPr>
      <w:r w:rsidRPr="008736DB">
        <w:rPr>
          <w:rFonts w:ascii="Palatino Linotype" w:eastAsia="Palatino Linotype" w:hAnsi="Palatino Linotype" w:cs="Palatino Linotype"/>
          <w:i/>
          <w:color w:val="000000"/>
          <w:sz w:val="22"/>
          <w:szCs w:val="22"/>
        </w:rPr>
        <w:t>c) Cuando se trate del mismo solicitante, el mismo SUJETO OBLIGADO, aunque se trate de solicitudes diversas;</w:t>
      </w:r>
    </w:p>
    <w:p w:rsidR="0072148B" w:rsidRPr="008736DB" w:rsidRDefault="00A077F4">
      <w:pPr>
        <w:pBdr>
          <w:top w:val="nil"/>
          <w:left w:val="nil"/>
          <w:bottom w:val="nil"/>
          <w:right w:val="nil"/>
          <w:between w:val="nil"/>
        </w:pBdr>
        <w:ind w:left="1134" w:right="62"/>
        <w:jc w:val="both"/>
        <w:rPr>
          <w:rFonts w:ascii="Palatino Linotype" w:eastAsia="Palatino Linotype" w:hAnsi="Palatino Linotype" w:cs="Palatino Linotype"/>
          <w:i/>
          <w:color w:val="000000"/>
          <w:sz w:val="22"/>
          <w:szCs w:val="22"/>
        </w:rPr>
      </w:pPr>
      <w:r w:rsidRPr="008736DB">
        <w:rPr>
          <w:rFonts w:ascii="Palatino Linotype" w:eastAsia="Palatino Linotype" w:hAnsi="Palatino Linotype" w:cs="Palatino Linotype"/>
          <w:i/>
          <w:color w:val="000000"/>
          <w:sz w:val="22"/>
          <w:szCs w:val="22"/>
        </w:rPr>
        <w:t>(…)”</w:t>
      </w:r>
    </w:p>
    <w:p w:rsidR="0072148B" w:rsidRPr="008736DB" w:rsidRDefault="00A077F4">
      <w:pPr>
        <w:pBdr>
          <w:top w:val="nil"/>
          <w:left w:val="nil"/>
          <w:bottom w:val="nil"/>
          <w:right w:val="nil"/>
          <w:between w:val="nil"/>
        </w:pBdr>
        <w:ind w:left="1134" w:right="62"/>
        <w:jc w:val="both"/>
        <w:rPr>
          <w:rFonts w:ascii="Palatino Linotype" w:eastAsia="Palatino Linotype" w:hAnsi="Palatino Linotype" w:cs="Palatino Linotype"/>
          <w:color w:val="000000"/>
          <w:sz w:val="22"/>
          <w:szCs w:val="22"/>
        </w:rPr>
      </w:pPr>
      <w:r w:rsidRPr="008736DB">
        <w:rPr>
          <w:rFonts w:ascii="Palatino Linotype" w:eastAsia="Palatino Linotype" w:hAnsi="Palatino Linotype" w:cs="Palatino Linotype"/>
          <w:color w:val="000000"/>
          <w:sz w:val="22"/>
          <w:szCs w:val="22"/>
        </w:rPr>
        <w:t>(Énfasis añadido)</w:t>
      </w:r>
    </w:p>
    <w:p w:rsidR="0072148B" w:rsidRPr="008736DB" w:rsidRDefault="0072148B">
      <w:pPr>
        <w:pBdr>
          <w:top w:val="nil"/>
          <w:left w:val="nil"/>
          <w:bottom w:val="nil"/>
          <w:right w:val="nil"/>
          <w:between w:val="nil"/>
        </w:pBdr>
        <w:ind w:left="1134" w:right="-787"/>
        <w:jc w:val="both"/>
        <w:rPr>
          <w:rFonts w:ascii="Palatino Linotype" w:eastAsia="Palatino Linotype" w:hAnsi="Palatino Linotype" w:cs="Palatino Linotype"/>
          <w:color w:val="000000"/>
        </w:rPr>
      </w:pPr>
    </w:p>
    <w:p w:rsidR="0072148B" w:rsidRPr="008736DB" w:rsidRDefault="00A077F4">
      <w:pPr>
        <w:numPr>
          <w:ilvl w:val="0"/>
          <w:numId w:val="6"/>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8736DB">
        <w:rPr>
          <w:rFonts w:ascii="Palatino Linotype" w:eastAsia="Palatino Linotype" w:hAnsi="Palatino Linotype" w:cs="Palatino Linotype"/>
          <w:color w:val="000000"/>
        </w:rPr>
        <w:t>Es así que,</w:t>
      </w:r>
      <w:r w:rsidRPr="008736DB">
        <w:rPr>
          <w:rFonts w:ascii="Palatino Linotype" w:eastAsia="Palatino Linotype" w:hAnsi="Palatino Linotype" w:cs="Palatino Linotype"/>
          <w:i/>
          <w:color w:val="000000"/>
        </w:rPr>
        <w:t xml:space="preserve"> </w:t>
      </w:r>
      <w:r w:rsidRPr="008736DB">
        <w:rPr>
          <w:rFonts w:ascii="Palatino Linotype" w:eastAsia="Palatino Linotype" w:hAnsi="Palatino Linotype" w:cs="Palatino Linotype"/>
          <w:color w:val="000000"/>
        </w:rPr>
        <w:t xml:space="preserve">resulta conveniente su trámite de forma unificada para mejor resolver y evitar la emisión de resoluciones contradictorias, por ello resultó procedente que este Órgano Garante </w:t>
      </w:r>
      <w:r w:rsidRPr="008736DB">
        <w:rPr>
          <w:rFonts w:ascii="Palatino Linotype" w:eastAsia="Palatino Linotype" w:hAnsi="Palatino Linotype" w:cs="Palatino Linotype"/>
        </w:rPr>
        <w:t>realizará</w:t>
      </w:r>
      <w:r w:rsidRPr="008736DB">
        <w:rPr>
          <w:rFonts w:ascii="Palatino Linotype" w:eastAsia="Palatino Linotype" w:hAnsi="Palatino Linotype" w:cs="Palatino Linotype"/>
          <w:color w:val="000000"/>
        </w:rPr>
        <w:t xml:space="preserve">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rsidR="0072148B" w:rsidRPr="008736DB" w:rsidRDefault="0072148B">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i/>
          <w:color w:val="000000"/>
          <w:u w:val="single"/>
        </w:rPr>
      </w:pPr>
    </w:p>
    <w:p w:rsidR="0072148B" w:rsidRPr="008736DB" w:rsidRDefault="00A077F4">
      <w:pPr>
        <w:numPr>
          <w:ilvl w:val="0"/>
          <w:numId w:val="6"/>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8736DB">
        <w:rPr>
          <w:rFonts w:ascii="Palatino Linotype" w:eastAsia="Palatino Linotype" w:hAnsi="Palatino Linotype" w:cs="Palatino Linotype"/>
          <w:color w:val="000000"/>
        </w:rPr>
        <w:t>El Recurrente</w:t>
      </w:r>
      <w:r w:rsidRPr="008736DB">
        <w:rPr>
          <w:rFonts w:ascii="Palatino Linotype" w:eastAsia="Palatino Linotype" w:hAnsi="Palatino Linotype" w:cs="Palatino Linotype"/>
          <w:b/>
          <w:color w:val="000000"/>
        </w:rPr>
        <w:t xml:space="preserve"> </w:t>
      </w:r>
      <w:r w:rsidRPr="008736DB">
        <w:rPr>
          <w:rFonts w:ascii="Palatino Linotype" w:eastAsia="Palatino Linotype" w:hAnsi="Palatino Linotype" w:cs="Palatino Linotype"/>
          <w:color w:val="000000"/>
        </w:rPr>
        <w:t>dejó de realizar manifestaciones que a su derecho conviniera y asistiera. Por su parte, el Sujeto Obligado,</w:t>
      </w:r>
      <w:r w:rsidRPr="008736DB">
        <w:rPr>
          <w:rFonts w:ascii="Palatino Linotype" w:eastAsia="Palatino Linotype" w:hAnsi="Palatino Linotype" w:cs="Palatino Linotype"/>
          <w:b/>
          <w:color w:val="000000"/>
        </w:rPr>
        <w:t xml:space="preserve"> </w:t>
      </w:r>
      <w:r w:rsidRPr="008736DB">
        <w:rPr>
          <w:rFonts w:ascii="Palatino Linotype" w:eastAsia="Palatino Linotype" w:hAnsi="Palatino Linotype" w:cs="Palatino Linotype"/>
          <w:color w:val="000000"/>
        </w:rPr>
        <w:t>el</w:t>
      </w:r>
      <w:r w:rsidRPr="008736DB">
        <w:rPr>
          <w:rFonts w:ascii="Palatino Linotype" w:eastAsia="Palatino Linotype" w:hAnsi="Palatino Linotype" w:cs="Palatino Linotype"/>
          <w:b/>
          <w:color w:val="000000"/>
        </w:rPr>
        <w:t xml:space="preserve"> once de marzo </w:t>
      </w:r>
      <w:r w:rsidRPr="008736DB">
        <w:rPr>
          <w:rFonts w:ascii="Palatino Linotype" w:eastAsia="Palatino Linotype" w:hAnsi="Palatino Linotype" w:cs="Palatino Linotype"/>
          <w:color w:val="000000"/>
        </w:rPr>
        <w:t xml:space="preserve">y </w:t>
      </w:r>
      <w:r w:rsidRPr="008736DB">
        <w:rPr>
          <w:rFonts w:ascii="Palatino Linotype" w:eastAsia="Palatino Linotype" w:hAnsi="Palatino Linotype" w:cs="Palatino Linotype"/>
          <w:b/>
          <w:color w:val="000000"/>
        </w:rPr>
        <w:t xml:space="preserve">diecisiete de febrero de dos mil </w:t>
      </w:r>
      <w:r w:rsidRPr="008736DB">
        <w:rPr>
          <w:rFonts w:ascii="Palatino Linotype" w:eastAsia="Palatino Linotype" w:hAnsi="Palatino Linotype" w:cs="Palatino Linotype"/>
          <w:b/>
          <w:color w:val="000000"/>
        </w:rPr>
        <w:lastRenderedPageBreak/>
        <w:t xml:space="preserve">veinticinco </w:t>
      </w:r>
      <w:r w:rsidRPr="008736DB">
        <w:rPr>
          <w:rFonts w:ascii="Palatino Linotype" w:eastAsia="Palatino Linotype" w:hAnsi="Palatino Linotype" w:cs="Palatino Linotype"/>
          <w:color w:val="000000"/>
        </w:rPr>
        <w:t xml:space="preserve">presentó informes justificados a través de archivos digitales, cuyo contenido </w:t>
      </w:r>
      <w:r w:rsidRPr="008736DB">
        <w:rPr>
          <w:rFonts w:ascii="Palatino Linotype" w:eastAsia="Palatino Linotype" w:hAnsi="Palatino Linotype" w:cs="Palatino Linotype"/>
          <w:color w:val="000000"/>
          <w:u w:val="single"/>
        </w:rPr>
        <w:t>esencial</w:t>
      </w:r>
      <w:r w:rsidRPr="008736DB">
        <w:rPr>
          <w:rFonts w:ascii="Palatino Linotype" w:eastAsia="Palatino Linotype" w:hAnsi="Palatino Linotype" w:cs="Palatino Linotype"/>
          <w:color w:val="000000"/>
        </w:rPr>
        <w:t xml:space="preserve"> es el siguiente: </w:t>
      </w:r>
    </w:p>
    <w:p w:rsidR="0072148B" w:rsidRPr="008736DB" w:rsidRDefault="00A077F4">
      <w:pPr>
        <w:pBdr>
          <w:top w:val="nil"/>
          <w:left w:val="nil"/>
          <w:bottom w:val="nil"/>
          <w:right w:val="nil"/>
          <w:between w:val="nil"/>
        </w:pBdr>
        <w:ind w:left="709" w:right="-79" w:firstLine="10"/>
        <w:jc w:val="both"/>
        <w:rPr>
          <w:rFonts w:ascii="Palatino Linotype" w:eastAsia="Palatino Linotype" w:hAnsi="Palatino Linotype" w:cs="Palatino Linotype"/>
          <w:b/>
          <w:color w:val="000000"/>
          <w:sz w:val="22"/>
          <w:szCs w:val="22"/>
        </w:rPr>
      </w:pPr>
      <w:r w:rsidRPr="008736DB">
        <w:rPr>
          <w:rFonts w:ascii="Palatino Linotype" w:eastAsia="Palatino Linotype" w:hAnsi="Palatino Linotype" w:cs="Palatino Linotype"/>
          <w:b/>
          <w:color w:val="000000"/>
          <w:sz w:val="22"/>
          <w:szCs w:val="22"/>
        </w:rPr>
        <w:t>00368/INFOEM/IP/RR/2025</w:t>
      </w:r>
    </w:p>
    <w:p w:rsidR="0072148B" w:rsidRPr="008736DB" w:rsidRDefault="00A077F4">
      <w:pPr>
        <w:pBdr>
          <w:top w:val="nil"/>
          <w:left w:val="nil"/>
          <w:bottom w:val="nil"/>
          <w:right w:val="nil"/>
          <w:between w:val="nil"/>
        </w:pBdr>
        <w:ind w:left="709" w:right="-79" w:firstLine="10"/>
        <w:jc w:val="both"/>
        <w:rPr>
          <w:rFonts w:ascii="Palatino Linotype" w:eastAsia="Palatino Linotype" w:hAnsi="Palatino Linotype" w:cs="Palatino Linotype"/>
          <w:b/>
          <w:i/>
          <w:color w:val="000000"/>
          <w:sz w:val="22"/>
          <w:szCs w:val="22"/>
        </w:rPr>
      </w:pPr>
      <w:r w:rsidRPr="008736DB">
        <w:rPr>
          <w:rFonts w:ascii="Palatino Linotype" w:eastAsia="Palatino Linotype" w:hAnsi="Palatino Linotype" w:cs="Palatino Linotype"/>
          <w:b/>
          <w:i/>
          <w:color w:val="000000"/>
          <w:sz w:val="22"/>
          <w:szCs w:val="22"/>
        </w:rPr>
        <w:t>Informes Justificados RR368 S 010.pdf</w:t>
      </w:r>
    </w:p>
    <w:p w:rsidR="0072148B" w:rsidRPr="008736DB" w:rsidRDefault="00A077F4">
      <w:pPr>
        <w:pBdr>
          <w:top w:val="nil"/>
          <w:left w:val="nil"/>
          <w:bottom w:val="nil"/>
          <w:right w:val="nil"/>
          <w:between w:val="nil"/>
        </w:pBdr>
        <w:ind w:left="709" w:right="-79" w:firstLine="10"/>
        <w:jc w:val="both"/>
        <w:rPr>
          <w:rFonts w:ascii="Palatino Linotype" w:eastAsia="Palatino Linotype" w:hAnsi="Palatino Linotype" w:cs="Palatino Linotype"/>
          <w:color w:val="000000"/>
          <w:sz w:val="22"/>
          <w:szCs w:val="22"/>
        </w:rPr>
      </w:pPr>
      <w:r w:rsidRPr="008736DB">
        <w:rPr>
          <w:rFonts w:ascii="Palatino Linotype" w:eastAsia="Palatino Linotype" w:hAnsi="Palatino Linotype" w:cs="Palatino Linotype"/>
          <w:color w:val="000000"/>
          <w:sz w:val="22"/>
          <w:szCs w:val="22"/>
        </w:rPr>
        <w:t>Oficio 200B10100/351/2025 de fecha 17 de febrero de 2025, firmado por el Titular de la Unidad de Información, Planeación, Programación y Evaluación, a través del cual se rinde informe justificado ratificando la respuesta primigenia.</w:t>
      </w:r>
    </w:p>
    <w:p w:rsidR="0072148B" w:rsidRPr="008736DB" w:rsidRDefault="0072148B">
      <w:pPr>
        <w:pBdr>
          <w:top w:val="nil"/>
          <w:left w:val="nil"/>
          <w:bottom w:val="nil"/>
          <w:right w:val="nil"/>
          <w:between w:val="nil"/>
        </w:pBdr>
        <w:ind w:left="426" w:right="-79"/>
        <w:jc w:val="both"/>
        <w:rPr>
          <w:rFonts w:ascii="Palatino Linotype" w:eastAsia="Palatino Linotype" w:hAnsi="Palatino Linotype" w:cs="Palatino Linotype"/>
          <w:b/>
          <w:color w:val="000000"/>
          <w:sz w:val="22"/>
          <w:szCs w:val="22"/>
        </w:rPr>
      </w:pPr>
    </w:p>
    <w:p w:rsidR="0072148B" w:rsidRPr="008736DB" w:rsidRDefault="00A077F4">
      <w:pPr>
        <w:pBdr>
          <w:top w:val="nil"/>
          <w:left w:val="nil"/>
          <w:bottom w:val="nil"/>
          <w:right w:val="nil"/>
          <w:between w:val="nil"/>
        </w:pBdr>
        <w:ind w:left="709" w:right="-79" w:firstLine="10"/>
        <w:jc w:val="both"/>
        <w:rPr>
          <w:rFonts w:ascii="Palatino Linotype" w:eastAsia="Palatino Linotype" w:hAnsi="Palatino Linotype" w:cs="Palatino Linotype"/>
          <w:b/>
          <w:color w:val="000000"/>
          <w:sz w:val="22"/>
          <w:szCs w:val="22"/>
        </w:rPr>
      </w:pPr>
      <w:r w:rsidRPr="008736DB">
        <w:rPr>
          <w:rFonts w:ascii="Palatino Linotype" w:eastAsia="Palatino Linotype" w:hAnsi="Palatino Linotype" w:cs="Palatino Linotype"/>
          <w:b/>
          <w:color w:val="000000"/>
          <w:sz w:val="22"/>
          <w:szCs w:val="22"/>
        </w:rPr>
        <w:t>00369/INFOEM/IP/RR/2025</w:t>
      </w:r>
    </w:p>
    <w:p w:rsidR="0072148B" w:rsidRPr="008736DB" w:rsidRDefault="00A077F4">
      <w:pPr>
        <w:pBdr>
          <w:top w:val="nil"/>
          <w:left w:val="nil"/>
          <w:bottom w:val="nil"/>
          <w:right w:val="nil"/>
          <w:between w:val="nil"/>
        </w:pBdr>
        <w:ind w:left="709" w:right="-79" w:firstLine="10"/>
        <w:jc w:val="both"/>
        <w:rPr>
          <w:rFonts w:ascii="Palatino Linotype" w:eastAsia="Palatino Linotype" w:hAnsi="Palatino Linotype" w:cs="Palatino Linotype"/>
          <w:b/>
          <w:i/>
          <w:color w:val="000000"/>
          <w:sz w:val="22"/>
          <w:szCs w:val="22"/>
        </w:rPr>
      </w:pPr>
      <w:r w:rsidRPr="008736DB">
        <w:rPr>
          <w:rFonts w:ascii="Palatino Linotype" w:eastAsia="Palatino Linotype" w:hAnsi="Palatino Linotype" w:cs="Palatino Linotype"/>
          <w:b/>
          <w:i/>
          <w:color w:val="000000"/>
          <w:sz w:val="22"/>
          <w:szCs w:val="22"/>
        </w:rPr>
        <w:t>Informes Justificados RR369 S 011.pdf</w:t>
      </w:r>
    </w:p>
    <w:p w:rsidR="0072148B" w:rsidRPr="008736DB" w:rsidRDefault="00A077F4">
      <w:pPr>
        <w:pBdr>
          <w:top w:val="nil"/>
          <w:left w:val="nil"/>
          <w:bottom w:val="nil"/>
          <w:right w:val="nil"/>
          <w:between w:val="nil"/>
        </w:pBdr>
        <w:ind w:left="709" w:right="-79" w:firstLine="10"/>
        <w:jc w:val="both"/>
        <w:rPr>
          <w:rFonts w:ascii="Palatino Linotype" w:eastAsia="Palatino Linotype" w:hAnsi="Palatino Linotype" w:cs="Palatino Linotype"/>
          <w:b/>
          <w:color w:val="000000"/>
        </w:rPr>
      </w:pPr>
      <w:r w:rsidRPr="008736DB">
        <w:rPr>
          <w:rFonts w:ascii="Palatino Linotype" w:eastAsia="Palatino Linotype" w:hAnsi="Palatino Linotype" w:cs="Palatino Linotype"/>
          <w:color w:val="000000"/>
          <w:sz w:val="22"/>
          <w:szCs w:val="22"/>
        </w:rPr>
        <w:t>Oficio 200B10100/352/2025 de fecha 17 de febrero de 2025, firmado por el Titular de la Unidad de Información, Planeación, Programación y Evaluación, a través del cual se rinde informe justificado, ratificando su respuesta inicial y refiriendo que el recurrente solicita información del año 2024 y se inconforma por información del año 2025.</w:t>
      </w:r>
    </w:p>
    <w:p w:rsidR="0072148B" w:rsidRPr="008736DB" w:rsidRDefault="0072148B">
      <w:pPr>
        <w:ind w:right="-787"/>
        <w:jc w:val="both"/>
        <w:rPr>
          <w:rFonts w:ascii="Palatino Linotype" w:eastAsia="Palatino Linotype" w:hAnsi="Palatino Linotype" w:cs="Palatino Linotype"/>
        </w:rPr>
      </w:pPr>
    </w:p>
    <w:p w:rsidR="0072148B" w:rsidRPr="008736DB" w:rsidRDefault="00A077F4">
      <w:pPr>
        <w:numPr>
          <w:ilvl w:val="0"/>
          <w:numId w:val="6"/>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8736DB">
        <w:rPr>
          <w:rFonts w:ascii="Palatino Linotype" w:eastAsia="Palatino Linotype" w:hAnsi="Palatino Linotype" w:cs="Palatino Linotype"/>
          <w:color w:val="000000"/>
        </w:rPr>
        <w:t>El</w:t>
      </w:r>
      <w:r w:rsidRPr="008736DB">
        <w:rPr>
          <w:rFonts w:ascii="Palatino Linotype" w:eastAsia="Palatino Linotype" w:hAnsi="Palatino Linotype" w:cs="Palatino Linotype"/>
          <w:b/>
          <w:color w:val="000000"/>
        </w:rPr>
        <w:t xml:space="preserve"> trece y veinticuatro de marzo de dos mil veinticinco</w:t>
      </w:r>
      <w:r w:rsidRPr="008736DB">
        <w:rPr>
          <w:rFonts w:ascii="Palatino Linotype" w:eastAsia="Palatino Linotype" w:hAnsi="Palatino Linotype" w:cs="Palatino Linotype"/>
          <w:color w:val="000000"/>
        </w:rPr>
        <w:t xml:space="preserve"> se acordó ampliar el término para resolver el presente asunto.</w:t>
      </w:r>
    </w:p>
    <w:p w:rsidR="0072148B" w:rsidRPr="008736DB" w:rsidRDefault="0072148B">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72148B" w:rsidRPr="008736DB" w:rsidRDefault="00A077F4">
      <w:pPr>
        <w:numPr>
          <w:ilvl w:val="0"/>
          <w:numId w:val="6"/>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bookmarkStart w:id="4" w:name="_heading=h.3znysh7" w:colFirst="0" w:colLast="0"/>
      <w:bookmarkEnd w:id="4"/>
      <w:r w:rsidRPr="008736DB">
        <w:rPr>
          <w:rFonts w:ascii="Palatino Linotype" w:eastAsia="Palatino Linotype" w:hAnsi="Palatino Linotype" w:cs="Palatino Linotype"/>
          <w:color w:val="000000"/>
        </w:rPr>
        <w:t xml:space="preserve">Seguidamente, en fecha </w:t>
      </w:r>
      <w:r w:rsidRPr="008736DB">
        <w:rPr>
          <w:rFonts w:ascii="Palatino Linotype" w:eastAsia="Palatino Linotype" w:hAnsi="Palatino Linotype" w:cs="Palatino Linotype"/>
          <w:b/>
          <w:color w:val="000000"/>
        </w:rPr>
        <w:t>veintiocho de marzo de dos mil veinticinco</w:t>
      </w:r>
      <w:r w:rsidRPr="008736DB">
        <w:rPr>
          <w:rFonts w:ascii="Palatino Linotype" w:eastAsia="Palatino Linotype" w:hAnsi="Palatino Linotype" w:cs="Palatino Linotype"/>
          <w:color w:val="000000"/>
        </w:rPr>
        <w:t xml:space="preserve">, la Comisionada Ponente dictó el </w:t>
      </w:r>
      <w:r w:rsidRPr="008736DB">
        <w:rPr>
          <w:rFonts w:ascii="Palatino Linotype" w:eastAsia="Palatino Linotype" w:hAnsi="Palatino Linotype" w:cs="Palatino Linotype"/>
          <w:b/>
          <w:color w:val="000000"/>
        </w:rPr>
        <w:t>cierre del periodo de instrucción</w:t>
      </w:r>
      <w:r w:rsidRPr="008736DB">
        <w:rPr>
          <w:rFonts w:ascii="Palatino Linotype" w:eastAsia="Palatino Linotype" w:hAnsi="Palatino Linotype" w:cs="Palatino Linotype"/>
          <w:color w:val="000000"/>
        </w:rPr>
        <w:t xml:space="preserve"> y, ordenó la resolución que conforme a Derecho proceda, de acuerdo a las siguientes:</w:t>
      </w:r>
    </w:p>
    <w:p w:rsidR="0072148B" w:rsidRPr="008736DB" w:rsidRDefault="0072148B">
      <w:pPr>
        <w:pBdr>
          <w:top w:val="nil"/>
          <w:left w:val="nil"/>
          <w:bottom w:val="nil"/>
          <w:right w:val="nil"/>
          <w:between w:val="nil"/>
        </w:pBdr>
        <w:ind w:left="720" w:right="-787"/>
        <w:rPr>
          <w:rFonts w:ascii="Palatino Linotype" w:eastAsia="Palatino Linotype" w:hAnsi="Palatino Linotype" w:cs="Palatino Linotype"/>
          <w:b/>
          <w:color w:val="000000"/>
        </w:rPr>
      </w:pPr>
    </w:p>
    <w:p w:rsidR="0072148B" w:rsidRPr="008736DB" w:rsidRDefault="00A077F4">
      <w:pPr>
        <w:pBdr>
          <w:top w:val="nil"/>
          <w:left w:val="nil"/>
          <w:bottom w:val="nil"/>
          <w:right w:val="nil"/>
          <w:between w:val="nil"/>
        </w:pBdr>
        <w:spacing w:line="360" w:lineRule="auto"/>
        <w:ind w:right="-787"/>
        <w:jc w:val="center"/>
        <w:rPr>
          <w:rFonts w:ascii="Palatino Linotype" w:eastAsia="Palatino Linotype" w:hAnsi="Palatino Linotype" w:cs="Palatino Linotype"/>
          <w:b/>
          <w:color w:val="000000"/>
        </w:rPr>
      </w:pPr>
      <w:r w:rsidRPr="008736DB">
        <w:rPr>
          <w:rFonts w:ascii="Palatino Linotype" w:eastAsia="Palatino Linotype" w:hAnsi="Palatino Linotype" w:cs="Palatino Linotype"/>
          <w:b/>
          <w:color w:val="000000"/>
        </w:rPr>
        <w:t>C O N S I D E R A C I O N E S</w:t>
      </w:r>
    </w:p>
    <w:p w:rsidR="0072148B" w:rsidRPr="008736DB" w:rsidRDefault="0072148B">
      <w:pPr>
        <w:pBdr>
          <w:top w:val="nil"/>
          <w:left w:val="nil"/>
          <w:bottom w:val="nil"/>
          <w:right w:val="nil"/>
          <w:between w:val="nil"/>
        </w:pBdr>
        <w:spacing w:line="360" w:lineRule="auto"/>
        <w:ind w:right="-787"/>
        <w:jc w:val="center"/>
        <w:rPr>
          <w:rFonts w:ascii="Palatino Linotype" w:eastAsia="Palatino Linotype" w:hAnsi="Palatino Linotype" w:cs="Palatino Linotype"/>
          <w:b/>
          <w:color w:val="000000"/>
        </w:rPr>
      </w:pPr>
    </w:p>
    <w:p w:rsidR="0072148B" w:rsidRPr="008736DB" w:rsidRDefault="00A077F4">
      <w:pPr>
        <w:pStyle w:val="Ttulo2"/>
        <w:spacing w:before="0" w:line="360" w:lineRule="auto"/>
        <w:ind w:right="-787"/>
        <w:rPr>
          <w:rFonts w:ascii="Palatino Linotype" w:eastAsia="Palatino Linotype" w:hAnsi="Palatino Linotype" w:cs="Palatino Linotype"/>
          <w:b/>
          <w:color w:val="000000"/>
          <w:sz w:val="24"/>
          <w:szCs w:val="24"/>
        </w:rPr>
      </w:pPr>
      <w:bookmarkStart w:id="5" w:name="_heading=h.2et92p0" w:colFirst="0" w:colLast="0"/>
      <w:bookmarkEnd w:id="5"/>
      <w:r w:rsidRPr="008736DB">
        <w:rPr>
          <w:rFonts w:ascii="Palatino Linotype" w:eastAsia="Palatino Linotype" w:hAnsi="Palatino Linotype" w:cs="Palatino Linotype"/>
          <w:b/>
          <w:color w:val="000000"/>
          <w:sz w:val="24"/>
          <w:szCs w:val="24"/>
        </w:rPr>
        <w:t>PRIMERA. Competencia</w:t>
      </w:r>
    </w:p>
    <w:p w:rsidR="0072148B" w:rsidRPr="008736DB" w:rsidRDefault="00A077F4">
      <w:pPr>
        <w:numPr>
          <w:ilvl w:val="0"/>
          <w:numId w:val="6"/>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8736DB">
        <w:rPr>
          <w:rFonts w:ascii="Palatino Linotype" w:eastAsia="Palatino Linotype" w:hAnsi="Palatino Linotype" w:cs="Palatino Linotype"/>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Pr="008736DB">
        <w:rPr>
          <w:rFonts w:ascii="Palatino Linotype" w:eastAsia="Palatino Linotype" w:hAnsi="Palatino Linotype" w:cs="Palatino Linotype"/>
          <w:color w:val="000000"/>
        </w:rPr>
        <w:lastRenderedPageBreak/>
        <w:t>párrafos trigésimo segundo, trigésimo tercero y trigésimo cuarto, fracciones I, II, III,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72148B" w:rsidRPr="008736DB" w:rsidRDefault="0072148B">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p>
    <w:p w:rsidR="0072148B" w:rsidRPr="008736DB" w:rsidRDefault="00A077F4">
      <w:pPr>
        <w:pStyle w:val="Ttulo2"/>
        <w:spacing w:before="0" w:line="360" w:lineRule="auto"/>
        <w:ind w:right="-787"/>
        <w:rPr>
          <w:rFonts w:ascii="Palatino Linotype" w:eastAsia="Palatino Linotype" w:hAnsi="Palatino Linotype" w:cs="Palatino Linotype"/>
          <w:b/>
          <w:color w:val="000000"/>
          <w:sz w:val="24"/>
          <w:szCs w:val="24"/>
        </w:rPr>
      </w:pPr>
      <w:bookmarkStart w:id="6" w:name="_heading=h.tyjcwt" w:colFirst="0" w:colLast="0"/>
      <w:bookmarkEnd w:id="6"/>
      <w:r w:rsidRPr="008736DB">
        <w:rPr>
          <w:rFonts w:ascii="Palatino Linotype" w:eastAsia="Palatino Linotype" w:hAnsi="Palatino Linotype" w:cs="Palatino Linotype"/>
          <w:b/>
          <w:color w:val="000000"/>
          <w:sz w:val="24"/>
          <w:szCs w:val="24"/>
        </w:rPr>
        <w:t>SEGUNDA. Procedencia.</w:t>
      </w: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 xml:space="preserve">Este Órgano Garante considera que el medio de impugnación reúne los requisitos de procedencia </w:t>
      </w:r>
      <w:r w:rsidRPr="008736DB">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72148B" w:rsidRPr="008736DB" w:rsidRDefault="0072148B">
      <w:pPr>
        <w:spacing w:line="360" w:lineRule="auto"/>
        <w:ind w:right="-787"/>
        <w:jc w:val="both"/>
        <w:rPr>
          <w:rFonts w:ascii="Palatino Linotype" w:eastAsia="Palatino Linotype" w:hAnsi="Palatino Linotype" w:cs="Palatino Linotype"/>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Por otro lado, el escrito contiene las formalidades previstas por el artículo 180, último párrafo, de la citada Ley de la materia, por lo que es procedente que este Instituto conozca y resuelva el presente recurso.</w:t>
      </w:r>
    </w:p>
    <w:p w:rsidR="0072148B" w:rsidRPr="008736DB" w:rsidRDefault="0072148B">
      <w:pPr>
        <w:pBdr>
          <w:top w:val="nil"/>
          <w:left w:val="nil"/>
          <w:bottom w:val="nil"/>
          <w:right w:val="nil"/>
          <w:between w:val="nil"/>
        </w:pBdr>
        <w:spacing w:line="360" w:lineRule="auto"/>
        <w:ind w:right="-787"/>
        <w:rPr>
          <w:rFonts w:ascii="Palatino Linotype" w:eastAsia="Palatino Linotype" w:hAnsi="Palatino Linotype" w:cs="Palatino Linotype"/>
          <w:color w:val="000000"/>
        </w:rPr>
      </w:pPr>
    </w:p>
    <w:p w:rsidR="0072148B" w:rsidRPr="008736DB" w:rsidRDefault="00A077F4">
      <w:pPr>
        <w:pStyle w:val="Ttulo1"/>
        <w:spacing w:before="0" w:line="360" w:lineRule="auto"/>
        <w:ind w:right="-787"/>
        <w:rPr>
          <w:rFonts w:ascii="Palatino Linotype" w:eastAsia="Palatino Linotype" w:hAnsi="Palatino Linotype" w:cs="Palatino Linotype"/>
          <w:b/>
          <w:color w:val="000000"/>
          <w:sz w:val="24"/>
          <w:szCs w:val="24"/>
        </w:rPr>
      </w:pPr>
      <w:bookmarkStart w:id="7" w:name="_heading=h.3dy6vkm" w:colFirst="0" w:colLast="0"/>
      <w:bookmarkEnd w:id="7"/>
      <w:r w:rsidRPr="008736DB">
        <w:rPr>
          <w:rFonts w:ascii="Palatino Linotype" w:eastAsia="Palatino Linotype" w:hAnsi="Palatino Linotype" w:cs="Palatino Linotype"/>
          <w:b/>
          <w:color w:val="000000"/>
          <w:sz w:val="24"/>
          <w:szCs w:val="24"/>
        </w:rPr>
        <w:t>TERCERA. Descripción de hechos y planteamiento de la controversia.</w:t>
      </w:r>
    </w:p>
    <w:p w:rsidR="0072148B" w:rsidRPr="008736DB" w:rsidRDefault="00A077F4">
      <w:pPr>
        <w:numPr>
          <w:ilvl w:val="0"/>
          <w:numId w:val="6"/>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8736DB">
        <w:rPr>
          <w:rFonts w:ascii="Palatino Linotype" w:eastAsia="Palatino Linotype" w:hAnsi="Palatino Linotype" w:cs="Palatino Linotype"/>
          <w:color w:val="000000"/>
        </w:rPr>
        <w:t>Se solicitó tener acceso, a la información que a continuación se simplifica:</w:t>
      </w:r>
    </w:p>
    <w:p w:rsidR="0072148B" w:rsidRPr="008736DB" w:rsidRDefault="00A077F4">
      <w:pPr>
        <w:pBdr>
          <w:top w:val="nil"/>
          <w:left w:val="nil"/>
          <w:bottom w:val="nil"/>
          <w:right w:val="nil"/>
          <w:between w:val="nil"/>
        </w:pBdr>
        <w:ind w:left="566" w:right="-220"/>
        <w:jc w:val="both"/>
        <w:rPr>
          <w:rFonts w:ascii="Palatino Linotype" w:eastAsia="Palatino Linotype" w:hAnsi="Palatino Linotype" w:cs="Palatino Linotype"/>
          <w:b/>
          <w:color w:val="000000"/>
          <w:sz w:val="22"/>
          <w:szCs w:val="22"/>
        </w:rPr>
      </w:pPr>
      <w:r w:rsidRPr="008736DB">
        <w:rPr>
          <w:rFonts w:ascii="Palatino Linotype" w:eastAsia="Palatino Linotype" w:hAnsi="Palatino Linotype" w:cs="Palatino Linotype"/>
          <w:b/>
          <w:color w:val="000000"/>
          <w:sz w:val="22"/>
          <w:szCs w:val="22"/>
        </w:rPr>
        <w:t xml:space="preserve">00010/DIFTOLUCA/IP/2025 </w:t>
      </w:r>
    </w:p>
    <w:p w:rsidR="0072148B" w:rsidRPr="008736DB" w:rsidRDefault="00A077F4">
      <w:pPr>
        <w:pBdr>
          <w:top w:val="nil"/>
          <w:left w:val="nil"/>
          <w:bottom w:val="nil"/>
          <w:right w:val="nil"/>
          <w:between w:val="nil"/>
        </w:pBdr>
        <w:ind w:left="566" w:right="-220"/>
        <w:jc w:val="both"/>
        <w:rPr>
          <w:rFonts w:ascii="Palatino Linotype" w:eastAsia="Palatino Linotype" w:hAnsi="Palatino Linotype" w:cs="Palatino Linotype"/>
          <w:i/>
          <w:color w:val="000000"/>
          <w:sz w:val="22"/>
          <w:szCs w:val="22"/>
        </w:rPr>
      </w:pPr>
      <w:r w:rsidRPr="008736DB">
        <w:rPr>
          <w:rFonts w:ascii="Palatino Linotype" w:eastAsia="Palatino Linotype" w:hAnsi="Palatino Linotype" w:cs="Palatino Linotype"/>
          <w:i/>
          <w:color w:val="000000"/>
          <w:sz w:val="22"/>
          <w:szCs w:val="22"/>
        </w:rPr>
        <w:t>Recibos de nómina de cada uno de los servidores públicos, de la primera quincena de enero de 2025</w:t>
      </w:r>
    </w:p>
    <w:p w:rsidR="0072148B" w:rsidRPr="008736DB" w:rsidRDefault="0072148B">
      <w:pPr>
        <w:pBdr>
          <w:top w:val="nil"/>
          <w:left w:val="nil"/>
          <w:bottom w:val="nil"/>
          <w:right w:val="nil"/>
          <w:between w:val="nil"/>
        </w:pBdr>
        <w:ind w:left="566" w:right="-220"/>
        <w:jc w:val="center"/>
        <w:rPr>
          <w:rFonts w:ascii="Palatino Linotype" w:eastAsia="Palatino Linotype" w:hAnsi="Palatino Linotype" w:cs="Palatino Linotype"/>
          <w:i/>
          <w:color w:val="000000"/>
          <w:sz w:val="22"/>
          <w:szCs w:val="22"/>
        </w:rPr>
      </w:pPr>
    </w:p>
    <w:p w:rsidR="0072148B" w:rsidRPr="008736DB" w:rsidRDefault="00A077F4">
      <w:pPr>
        <w:pBdr>
          <w:top w:val="nil"/>
          <w:left w:val="nil"/>
          <w:bottom w:val="nil"/>
          <w:right w:val="nil"/>
          <w:between w:val="nil"/>
        </w:pBdr>
        <w:ind w:left="566" w:right="-220"/>
        <w:jc w:val="both"/>
        <w:rPr>
          <w:rFonts w:ascii="Palatino Linotype" w:eastAsia="Palatino Linotype" w:hAnsi="Palatino Linotype" w:cs="Palatino Linotype"/>
          <w:b/>
          <w:color w:val="000000"/>
          <w:sz w:val="22"/>
          <w:szCs w:val="22"/>
        </w:rPr>
      </w:pPr>
      <w:r w:rsidRPr="008736DB">
        <w:rPr>
          <w:rFonts w:ascii="Palatino Linotype" w:eastAsia="Palatino Linotype" w:hAnsi="Palatino Linotype" w:cs="Palatino Linotype"/>
          <w:b/>
          <w:color w:val="000000"/>
          <w:sz w:val="22"/>
          <w:szCs w:val="22"/>
        </w:rPr>
        <w:lastRenderedPageBreak/>
        <w:t xml:space="preserve">00011/DIFTOLUCA/IP/2025 </w:t>
      </w:r>
    </w:p>
    <w:p w:rsidR="0072148B" w:rsidRPr="008736DB" w:rsidRDefault="00A077F4">
      <w:pPr>
        <w:pBdr>
          <w:top w:val="nil"/>
          <w:left w:val="nil"/>
          <w:bottom w:val="nil"/>
          <w:right w:val="nil"/>
          <w:between w:val="nil"/>
        </w:pBdr>
        <w:ind w:left="566" w:right="-220"/>
        <w:jc w:val="both"/>
        <w:rPr>
          <w:rFonts w:ascii="Palatino Linotype" w:eastAsia="Palatino Linotype" w:hAnsi="Palatino Linotype" w:cs="Palatino Linotype"/>
          <w:i/>
          <w:color w:val="000000"/>
          <w:sz w:val="22"/>
          <w:szCs w:val="22"/>
        </w:rPr>
      </w:pPr>
      <w:r w:rsidRPr="008736DB">
        <w:rPr>
          <w:rFonts w:ascii="Palatino Linotype" w:eastAsia="Palatino Linotype" w:hAnsi="Palatino Linotype" w:cs="Palatino Linotype"/>
          <w:i/>
          <w:color w:val="000000"/>
          <w:sz w:val="22"/>
          <w:szCs w:val="22"/>
        </w:rPr>
        <w:t>Recibos de nómina de cada uno de los servidores públicos, de la segunda quincena de enero de 2024</w:t>
      </w:r>
    </w:p>
    <w:p w:rsidR="0072148B" w:rsidRPr="008736DB" w:rsidRDefault="0072148B">
      <w:pPr>
        <w:spacing w:line="360" w:lineRule="auto"/>
        <w:ind w:right="-787"/>
        <w:jc w:val="both"/>
        <w:rPr>
          <w:rFonts w:ascii="Palatino Linotype" w:eastAsia="Palatino Linotype" w:hAnsi="Palatino Linotype" w:cs="Palatino Linotype"/>
          <w:b/>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color w:val="000000"/>
        </w:rPr>
      </w:pPr>
      <w:r w:rsidRPr="008736DB">
        <w:rPr>
          <w:rFonts w:ascii="Palatino Linotype" w:eastAsia="Palatino Linotype" w:hAnsi="Palatino Linotype" w:cs="Palatino Linotype"/>
        </w:rPr>
        <w:t>En respuesta, el Sujeto Obligado</w:t>
      </w:r>
      <w:r w:rsidRPr="008736DB">
        <w:rPr>
          <w:rFonts w:ascii="Palatino Linotype" w:eastAsia="Palatino Linotype" w:hAnsi="Palatino Linotype" w:cs="Palatino Linotype"/>
          <w:b/>
        </w:rPr>
        <w:t xml:space="preserve"> </w:t>
      </w:r>
      <w:r w:rsidRPr="008736DB">
        <w:rPr>
          <w:rFonts w:ascii="Palatino Linotype" w:eastAsia="Palatino Linotype" w:hAnsi="Palatino Linotype" w:cs="Palatino Linotype"/>
        </w:rPr>
        <w:t xml:space="preserve">remitió los archivos ya descritos en el anterior Párrafo 2, inconforme con las respuestas, se interpuso recurso de revisión argumentando sustancialmente que </w:t>
      </w:r>
      <w:r w:rsidRPr="008736DB">
        <w:rPr>
          <w:rFonts w:ascii="Palatino Linotype" w:eastAsia="Palatino Linotype" w:hAnsi="Palatino Linotype" w:cs="Palatino Linotype"/>
          <w:b/>
        </w:rPr>
        <w:t>la información entregada no corresponde a lo solicitado.</w:t>
      </w:r>
    </w:p>
    <w:p w:rsidR="0072148B" w:rsidRPr="008736DB" w:rsidRDefault="0072148B">
      <w:pPr>
        <w:spacing w:line="360" w:lineRule="auto"/>
        <w:ind w:right="-787"/>
        <w:jc w:val="both"/>
        <w:rPr>
          <w:rFonts w:ascii="Palatino Linotype" w:eastAsia="Palatino Linotype" w:hAnsi="Palatino Linotype" w:cs="Palatino Linotype"/>
          <w:i/>
          <w:color w:val="000000"/>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En dichas condiciones, la controversia a resolver en el presente proveído, corresponde a determinar si se actualiza la causal de procedencia prevista en el artículo 179, fracción VI,</w:t>
      </w:r>
      <w:r w:rsidRPr="008736DB">
        <w:rPr>
          <w:rFonts w:ascii="Palatino Linotype" w:eastAsia="Palatino Linotype" w:hAnsi="Palatino Linotype" w:cs="Palatino Linotype"/>
          <w:b/>
        </w:rPr>
        <w:t xml:space="preserve"> </w:t>
      </w:r>
      <w:r w:rsidRPr="008736DB">
        <w:rPr>
          <w:rFonts w:ascii="Palatino Linotype" w:eastAsia="Palatino Linotype" w:hAnsi="Palatino Linotype" w:cs="Palatino Linotype"/>
        </w:rPr>
        <w:t>de la Ley de Transparencia y Acceso a la Información Pública del Estado de</w:t>
      </w:r>
      <w:r w:rsidRPr="008736DB">
        <w:rPr>
          <w:rFonts w:ascii="Palatino Linotype" w:eastAsia="Palatino Linotype" w:hAnsi="Palatino Linotype" w:cs="Palatino Linotype"/>
          <w:b/>
        </w:rPr>
        <w:t xml:space="preserve"> </w:t>
      </w:r>
      <w:r w:rsidRPr="008736DB">
        <w:rPr>
          <w:rFonts w:ascii="Palatino Linotype" w:eastAsia="Palatino Linotype" w:hAnsi="Palatino Linotype" w:cs="Palatino Linotype"/>
        </w:rPr>
        <w:t>México</w:t>
      </w:r>
      <w:r w:rsidRPr="008736DB">
        <w:rPr>
          <w:rFonts w:ascii="Palatino Linotype" w:eastAsia="Palatino Linotype" w:hAnsi="Palatino Linotype" w:cs="Palatino Linotype"/>
          <w:b/>
        </w:rPr>
        <w:t xml:space="preserve"> </w:t>
      </w:r>
      <w:r w:rsidRPr="008736DB">
        <w:rPr>
          <w:rFonts w:ascii="Palatino Linotype" w:eastAsia="Palatino Linotype" w:hAnsi="Palatino Linotype" w:cs="Palatino Linotype"/>
        </w:rPr>
        <w:t>y</w:t>
      </w:r>
      <w:r w:rsidRPr="008736DB">
        <w:rPr>
          <w:rFonts w:ascii="Palatino Linotype" w:eastAsia="Palatino Linotype" w:hAnsi="Palatino Linotype" w:cs="Palatino Linotype"/>
          <w:b/>
        </w:rPr>
        <w:t xml:space="preserve"> </w:t>
      </w:r>
      <w:r w:rsidRPr="008736DB">
        <w:rPr>
          <w:rFonts w:ascii="Palatino Linotype" w:eastAsia="Palatino Linotype" w:hAnsi="Palatino Linotype" w:cs="Palatino Linotype"/>
        </w:rPr>
        <w:t xml:space="preserve">Municipios; </w:t>
      </w:r>
      <w:r w:rsidRPr="008736DB">
        <w:rPr>
          <w:rFonts w:ascii="Palatino Linotype" w:eastAsia="Palatino Linotype" w:hAnsi="Palatino Linotype" w:cs="Palatino Linotype"/>
          <w:color w:val="000000"/>
        </w:rPr>
        <w:t xml:space="preserve">fracción que determina la hipótesis relativa a la entrega de información que no corresponde a lo solicitado; </w:t>
      </w:r>
      <w:r w:rsidRPr="008736DB">
        <w:rPr>
          <w:rFonts w:ascii="Palatino Linotype" w:eastAsia="Palatino Linotype" w:hAnsi="Palatino Linotype" w:cs="Palatino Linotype"/>
        </w:rPr>
        <w:t>contexto del cual se dolió el Recurrente al momento de interponer su inconformidad.</w:t>
      </w:r>
      <w:r w:rsidRPr="008736DB">
        <w:rPr>
          <w:rFonts w:ascii="Palatino Linotype" w:eastAsia="Palatino Linotype" w:hAnsi="Palatino Linotype" w:cs="Palatino Linotype"/>
          <w:color w:val="000000"/>
        </w:rPr>
        <w:t xml:space="preserve"> De modo tal que el presente recurso de revisión se </w:t>
      </w:r>
      <w:r w:rsidRPr="008736DB">
        <w:rPr>
          <w:rFonts w:ascii="Palatino Linotype" w:eastAsia="Palatino Linotype" w:hAnsi="Palatino Linotype" w:cs="Palatino Linotype"/>
        </w:rPr>
        <w:t>abocará</w:t>
      </w:r>
      <w:r w:rsidRPr="008736DB">
        <w:rPr>
          <w:rFonts w:ascii="Palatino Linotype" w:eastAsia="Palatino Linotype" w:hAnsi="Palatino Linotype" w:cs="Palatino Linotype"/>
          <w:color w:val="000000"/>
        </w:rPr>
        <w:t xml:space="preserve"> en determinar si el Sujeto Obligado con su respuesta ciertamente actualiza la causal de procedencia</w:t>
      </w:r>
      <w:r w:rsidRPr="008736DB">
        <w:rPr>
          <w:rFonts w:ascii="Palatino Linotype" w:eastAsia="Palatino Linotype" w:hAnsi="Palatino Linotype" w:cs="Palatino Linotype"/>
          <w:b/>
          <w:color w:val="000000"/>
        </w:rPr>
        <w:t xml:space="preserve"> </w:t>
      </w:r>
      <w:r w:rsidRPr="008736DB">
        <w:rPr>
          <w:rFonts w:ascii="Palatino Linotype" w:eastAsia="Palatino Linotype" w:hAnsi="Palatino Linotype" w:cs="Palatino Linotype"/>
          <w:color w:val="000000"/>
        </w:rPr>
        <w:t xml:space="preserve">señalada. </w:t>
      </w:r>
    </w:p>
    <w:p w:rsidR="0072148B" w:rsidRPr="008736DB" w:rsidRDefault="0072148B">
      <w:pPr>
        <w:spacing w:line="360" w:lineRule="auto"/>
        <w:ind w:right="-787"/>
        <w:rPr>
          <w:rFonts w:ascii="Palatino Linotype" w:eastAsia="Palatino Linotype" w:hAnsi="Palatino Linotype" w:cs="Palatino Linotype"/>
        </w:rPr>
      </w:pPr>
    </w:p>
    <w:p w:rsidR="0072148B" w:rsidRPr="008736DB" w:rsidRDefault="00A077F4">
      <w:pPr>
        <w:pStyle w:val="Ttulo2"/>
        <w:spacing w:before="0" w:line="360" w:lineRule="auto"/>
        <w:ind w:right="-787"/>
        <w:rPr>
          <w:rFonts w:ascii="Palatino Linotype" w:eastAsia="Palatino Linotype" w:hAnsi="Palatino Linotype" w:cs="Palatino Linotype"/>
          <w:b/>
          <w:color w:val="000000"/>
          <w:sz w:val="24"/>
          <w:szCs w:val="24"/>
        </w:rPr>
      </w:pPr>
      <w:bookmarkStart w:id="8" w:name="_heading=h.1t3h5sf" w:colFirst="0" w:colLast="0"/>
      <w:bookmarkEnd w:id="8"/>
      <w:r w:rsidRPr="008736DB">
        <w:rPr>
          <w:rFonts w:ascii="Palatino Linotype" w:eastAsia="Palatino Linotype" w:hAnsi="Palatino Linotype" w:cs="Palatino Linotype"/>
          <w:b/>
          <w:color w:val="000000"/>
          <w:sz w:val="24"/>
          <w:szCs w:val="24"/>
        </w:rPr>
        <w:t>CUARTA. Estudio de la controversia.</w:t>
      </w: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72148B" w:rsidRPr="008736DB" w:rsidRDefault="0072148B">
      <w:pPr>
        <w:spacing w:line="360" w:lineRule="auto"/>
        <w:ind w:right="-787"/>
        <w:jc w:val="both"/>
        <w:rPr>
          <w:rFonts w:ascii="Palatino Linotype" w:eastAsia="Palatino Linotype" w:hAnsi="Palatino Linotype" w:cs="Palatino Linotype"/>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2148B" w:rsidRPr="008736DB" w:rsidRDefault="0072148B">
      <w:pPr>
        <w:pBdr>
          <w:top w:val="nil"/>
          <w:left w:val="nil"/>
          <w:bottom w:val="nil"/>
          <w:right w:val="nil"/>
          <w:between w:val="nil"/>
        </w:pBdr>
        <w:spacing w:line="360" w:lineRule="auto"/>
        <w:ind w:left="720" w:right="-787"/>
        <w:rPr>
          <w:rFonts w:ascii="Palatino Linotype" w:eastAsia="Palatino Linotype" w:hAnsi="Palatino Linotype" w:cs="Palatino Linotype"/>
          <w:color w:val="000000"/>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72148B" w:rsidRPr="008736DB" w:rsidRDefault="0072148B">
      <w:pPr>
        <w:pBdr>
          <w:top w:val="nil"/>
          <w:left w:val="nil"/>
          <w:bottom w:val="nil"/>
          <w:right w:val="nil"/>
          <w:between w:val="nil"/>
        </w:pBdr>
        <w:spacing w:line="360" w:lineRule="auto"/>
        <w:ind w:right="-787"/>
        <w:rPr>
          <w:rFonts w:ascii="Palatino Linotype" w:eastAsia="Palatino Linotype" w:hAnsi="Palatino Linotype" w:cs="Palatino Linotype"/>
          <w:color w:val="000000"/>
        </w:rPr>
      </w:pPr>
    </w:p>
    <w:p w:rsidR="0072148B" w:rsidRPr="008736DB" w:rsidRDefault="00A077F4">
      <w:pPr>
        <w:numPr>
          <w:ilvl w:val="0"/>
          <w:numId w:val="9"/>
        </w:numPr>
        <w:pBdr>
          <w:top w:val="nil"/>
          <w:left w:val="nil"/>
          <w:bottom w:val="nil"/>
          <w:right w:val="nil"/>
          <w:between w:val="nil"/>
        </w:pBdr>
        <w:spacing w:line="360" w:lineRule="auto"/>
        <w:ind w:right="-787"/>
        <w:rPr>
          <w:rFonts w:ascii="Palatino Linotype" w:eastAsia="Palatino Linotype" w:hAnsi="Palatino Linotype" w:cs="Palatino Linotype"/>
          <w:b/>
          <w:color w:val="000000"/>
        </w:rPr>
      </w:pPr>
      <w:r w:rsidRPr="008736DB">
        <w:rPr>
          <w:rFonts w:ascii="Palatino Linotype" w:eastAsia="Palatino Linotype" w:hAnsi="Palatino Linotype" w:cs="Palatino Linotype"/>
          <w:b/>
          <w:color w:val="000000"/>
        </w:rPr>
        <w:t>Del Sujeto Obligado.</w:t>
      </w:r>
    </w:p>
    <w:p w:rsidR="0072148B" w:rsidRPr="008736DB" w:rsidRDefault="00A077F4">
      <w:pPr>
        <w:numPr>
          <w:ilvl w:val="0"/>
          <w:numId w:val="6"/>
        </w:numPr>
        <w:spacing w:line="360" w:lineRule="auto"/>
        <w:ind w:left="0" w:right="-787" w:firstLine="0"/>
        <w:jc w:val="both"/>
      </w:pPr>
      <w:r w:rsidRPr="008736DB">
        <w:rPr>
          <w:rFonts w:ascii="Palatino Linotype" w:eastAsia="Palatino Linotype" w:hAnsi="Palatino Linotype" w:cs="Palatino Linotype"/>
        </w:rPr>
        <w:t>El ejercicio del gobierno municipal se deposita en un cuerpo colegiado denominado Ayuntamiento. La ejecución de las atribuciones corresponde al Presidente Municipal, quien dirige la Administración Pública Municipal, misma que será centralizada, descentralizada y autónoma, los organismos descentralizados son los siguientes, de conformidad con el artículo 90, fracción II, del Bando Municipal 2025:</w:t>
      </w:r>
    </w:p>
    <w:p w:rsidR="0072148B" w:rsidRPr="008736DB" w:rsidRDefault="00A077F4">
      <w:pPr>
        <w:ind w:left="1134" w:right="-220"/>
        <w:jc w:val="center"/>
        <w:rPr>
          <w:rFonts w:ascii="Palatino Linotype" w:eastAsia="Palatino Linotype" w:hAnsi="Palatino Linotype" w:cs="Palatino Linotype"/>
          <w:b/>
          <w:i/>
          <w:sz w:val="22"/>
          <w:szCs w:val="22"/>
        </w:rPr>
      </w:pPr>
      <w:r w:rsidRPr="008736DB">
        <w:rPr>
          <w:rFonts w:ascii="Palatino Linotype" w:eastAsia="Palatino Linotype" w:hAnsi="Palatino Linotype" w:cs="Palatino Linotype"/>
          <w:b/>
          <w:i/>
          <w:sz w:val="22"/>
          <w:szCs w:val="22"/>
        </w:rPr>
        <w:lastRenderedPageBreak/>
        <w:t>Bando Municipal 2025</w:t>
      </w:r>
    </w:p>
    <w:p w:rsidR="0072148B" w:rsidRPr="008736DB" w:rsidRDefault="0072148B">
      <w:pPr>
        <w:ind w:left="1134" w:right="-220"/>
        <w:jc w:val="center"/>
        <w:rPr>
          <w:rFonts w:ascii="Palatino Linotype" w:eastAsia="Palatino Linotype" w:hAnsi="Palatino Linotype" w:cs="Palatino Linotype"/>
          <w:b/>
          <w:i/>
          <w:sz w:val="22"/>
          <w:szCs w:val="22"/>
        </w:rPr>
      </w:pPr>
    </w:p>
    <w:p w:rsidR="0072148B" w:rsidRPr="008736DB" w:rsidRDefault="00A077F4">
      <w:pPr>
        <w:ind w:left="1134" w:right="-788"/>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b/>
          <w:i/>
          <w:sz w:val="22"/>
          <w:szCs w:val="22"/>
        </w:rPr>
        <w:t xml:space="preserve">Artículo 90. </w:t>
      </w:r>
      <w:r w:rsidRPr="008736DB">
        <w:rPr>
          <w:rFonts w:ascii="Palatino Linotype" w:eastAsia="Palatino Linotype" w:hAnsi="Palatino Linotype" w:cs="Palatino Linotype"/>
          <w:i/>
          <w:sz w:val="22"/>
          <w:szCs w:val="22"/>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72148B" w:rsidRPr="008736DB" w:rsidRDefault="00A077F4">
      <w:pPr>
        <w:ind w:left="1134" w:right="-788"/>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i/>
          <w:sz w:val="22"/>
          <w:szCs w:val="22"/>
        </w:rPr>
        <w:t>…</w:t>
      </w:r>
    </w:p>
    <w:p w:rsidR="0072148B" w:rsidRPr="008736DB" w:rsidRDefault="00A077F4">
      <w:pPr>
        <w:ind w:left="1134" w:right="-788"/>
        <w:jc w:val="both"/>
        <w:rPr>
          <w:rFonts w:ascii="Palatino Linotype" w:eastAsia="Palatino Linotype" w:hAnsi="Palatino Linotype" w:cs="Palatino Linotype"/>
          <w:b/>
          <w:i/>
          <w:sz w:val="22"/>
          <w:szCs w:val="22"/>
        </w:rPr>
      </w:pPr>
      <w:r w:rsidRPr="008736DB">
        <w:rPr>
          <w:rFonts w:ascii="Palatino Linotype" w:eastAsia="Palatino Linotype" w:hAnsi="Palatino Linotype" w:cs="Palatino Linotype"/>
          <w:b/>
          <w:i/>
          <w:sz w:val="22"/>
          <w:szCs w:val="22"/>
        </w:rPr>
        <w:t xml:space="preserve">II. ORGANISMOS DESCENTRALIZADOS: </w:t>
      </w:r>
    </w:p>
    <w:p w:rsidR="0072148B" w:rsidRPr="008736DB" w:rsidRDefault="00A077F4">
      <w:pPr>
        <w:ind w:left="1134" w:right="-788"/>
        <w:jc w:val="both"/>
        <w:rPr>
          <w:rFonts w:ascii="Palatino Linotype" w:eastAsia="Palatino Linotype" w:hAnsi="Palatino Linotype" w:cs="Palatino Linotype"/>
          <w:b/>
          <w:i/>
          <w:sz w:val="22"/>
          <w:szCs w:val="22"/>
        </w:rPr>
      </w:pPr>
      <w:r w:rsidRPr="008736DB">
        <w:rPr>
          <w:rFonts w:ascii="Palatino Linotype" w:eastAsia="Palatino Linotype" w:hAnsi="Palatino Linotype" w:cs="Palatino Linotype"/>
          <w:b/>
          <w:i/>
          <w:sz w:val="22"/>
          <w:szCs w:val="22"/>
        </w:rPr>
        <w:t xml:space="preserve">1. Sistema Municipal para el Desarrollo Integral de la Familia de Toluca; </w:t>
      </w:r>
    </w:p>
    <w:p w:rsidR="0072148B" w:rsidRPr="008736DB" w:rsidRDefault="00A077F4">
      <w:pPr>
        <w:ind w:left="1134" w:right="-788"/>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i/>
          <w:sz w:val="22"/>
          <w:szCs w:val="22"/>
        </w:rPr>
        <w:t xml:space="preserve">2. Instituto Municipal de Cultura Física y Deporte de Toluca; </w:t>
      </w:r>
    </w:p>
    <w:p w:rsidR="0072148B" w:rsidRPr="008736DB" w:rsidRDefault="00A077F4">
      <w:pPr>
        <w:ind w:left="1134" w:right="-788"/>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i/>
          <w:sz w:val="22"/>
          <w:szCs w:val="22"/>
        </w:rPr>
        <w:t xml:space="preserve">3. Instituto Municipal de la Mujer de Toluca; y </w:t>
      </w:r>
    </w:p>
    <w:p w:rsidR="0072148B" w:rsidRPr="008736DB" w:rsidRDefault="00A077F4">
      <w:pPr>
        <w:ind w:left="1134" w:right="-788"/>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i/>
          <w:sz w:val="22"/>
          <w:szCs w:val="22"/>
        </w:rPr>
        <w:t>4. Organismo Agua y Saneamiento de Toluca.</w:t>
      </w:r>
    </w:p>
    <w:p w:rsidR="0072148B" w:rsidRPr="008736DB" w:rsidRDefault="0072148B">
      <w:pPr>
        <w:ind w:left="1134" w:right="-788"/>
        <w:jc w:val="both"/>
        <w:rPr>
          <w:rFonts w:ascii="Palatino Linotype" w:eastAsia="Palatino Linotype" w:hAnsi="Palatino Linotype" w:cs="Palatino Linotype"/>
          <w:i/>
          <w:sz w:val="22"/>
          <w:szCs w:val="22"/>
        </w:rPr>
      </w:pPr>
    </w:p>
    <w:p w:rsidR="0072148B" w:rsidRPr="008736DB" w:rsidRDefault="0072148B">
      <w:pPr>
        <w:spacing w:line="360" w:lineRule="auto"/>
        <w:ind w:right="-787"/>
        <w:jc w:val="both"/>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De conformidad al Manual de Organización del Sistema Municipal para el Desarrollo Integral de la Familia de Toluca 2024, en su fracción IX, señala que dentro de su estructura orgánica cuenta con diversas unidades administrativas, entre ellas la Dirección de Administración y Tesorería, que a su vez cuenta con los Departamentos de Capital Humanos; Adquisiciones; Finanzas; y Servicios Generales, tal como se muestra en el siguiente organigrama:</w:t>
      </w:r>
    </w:p>
    <w:p w:rsidR="0072148B" w:rsidRPr="008736DB" w:rsidRDefault="00A077F4">
      <w:pPr>
        <w:spacing w:line="360" w:lineRule="auto"/>
        <w:ind w:right="-787"/>
        <w:jc w:val="both"/>
        <w:rPr>
          <w:rFonts w:ascii="Palatino Linotype" w:eastAsia="Palatino Linotype" w:hAnsi="Palatino Linotype" w:cs="Palatino Linotype"/>
        </w:rPr>
      </w:pPr>
      <w:r w:rsidRPr="008736DB">
        <w:rPr>
          <w:rFonts w:ascii="Palatino Linotype" w:eastAsia="Palatino Linotype" w:hAnsi="Palatino Linotype" w:cs="Palatino Linotype"/>
          <w:noProof/>
          <w:lang w:val="es-MX" w:eastAsia="es-MX"/>
        </w:rPr>
        <w:lastRenderedPageBreak/>
        <w:drawing>
          <wp:inline distT="0" distB="0" distL="0" distR="0">
            <wp:extent cx="5632254" cy="5118425"/>
            <wp:effectExtent l="0" t="0" r="0" b="0"/>
            <wp:docPr id="7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632254" cy="5118425"/>
                    </a:xfrm>
                    <a:prstGeom prst="rect">
                      <a:avLst/>
                    </a:prstGeom>
                    <a:ln/>
                  </pic:spPr>
                </pic:pic>
              </a:graphicData>
            </a:graphic>
          </wp:inline>
        </w:drawing>
      </w:r>
    </w:p>
    <w:p w:rsidR="0072148B" w:rsidRPr="008736DB" w:rsidRDefault="0072148B">
      <w:pPr>
        <w:spacing w:line="360" w:lineRule="auto"/>
        <w:ind w:right="-787"/>
        <w:jc w:val="both"/>
        <w:rPr>
          <w:rFonts w:ascii="Palatino Linotype" w:eastAsia="Palatino Linotype" w:hAnsi="Palatino Linotype" w:cs="Palatino Linotype"/>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 xml:space="preserve">La Dirección de Administración y Tesorería de conformidad con el citado Manual de Organización, tiene como objetivo el de administrar los recursos que conforman el patrimonio del Organismo, y dentro de sus funciones se encuentran las de administrar los recursos del Sistema Municipal DIF; analizar y proveer a las unidades administrativas de los recursos humanos, materiales y financieros necesarios para su buen funcionamiento; los correspondientes al pago de nómina; supervisar en conjunto con el Departamento de Capital </w:t>
      </w:r>
      <w:r w:rsidRPr="008736DB">
        <w:rPr>
          <w:rFonts w:ascii="Palatino Linotype" w:eastAsia="Palatino Linotype" w:hAnsi="Palatino Linotype" w:cs="Palatino Linotype"/>
        </w:rPr>
        <w:lastRenderedPageBreak/>
        <w:t>Humano los movimientos de personal como altas, bajas, modificaciones de percepciones, cambios de horarios y de adscripción, entre otras.</w:t>
      </w:r>
    </w:p>
    <w:p w:rsidR="0072148B" w:rsidRPr="008736DB" w:rsidRDefault="0072148B">
      <w:pPr>
        <w:spacing w:line="360" w:lineRule="auto"/>
        <w:ind w:right="-787"/>
        <w:jc w:val="both"/>
        <w:rPr>
          <w:rFonts w:ascii="Palatino Linotype" w:eastAsia="Palatino Linotype" w:hAnsi="Palatino Linotype" w:cs="Palatino Linotype"/>
        </w:rPr>
      </w:pPr>
    </w:p>
    <w:p w:rsidR="0072148B" w:rsidRPr="008736DB" w:rsidRDefault="00A077F4">
      <w:pPr>
        <w:numPr>
          <w:ilvl w:val="0"/>
          <w:numId w:val="6"/>
        </w:numPr>
        <w:spacing w:line="360" w:lineRule="auto"/>
        <w:ind w:left="0" w:right="-787" w:firstLine="0"/>
        <w:jc w:val="both"/>
      </w:pPr>
      <w:r w:rsidRPr="008736DB">
        <w:rPr>
          <w:rFonts w:ascii="Palatino Linotype" w:eastAsia="Palatino Linotype" w:hAnsi="Palatino Linotype" w:cs="Palatino Linotype"/>
        </w:rPr>
        <w:t xml:space="preserve">De lo expuesto es de precisar que las respuestas fueron emitidas por la unidad administrativa competente, a través del Director de Administración y Tesorería, por lo que podemos advertir que </w:t>
      </w:r>
      <w:r w:rsidRPr="008736DB">
        <w:rPr>
          <w:rFonts w:ascii="Palatino Linotype" w:eastAsia="Palatino Linotype" w:hAnsi="Palatino Linotype" w:cs="Palatino Linotype"/>
          <w:b/>
        </w:rPr>
        <w:t xml:space="preserve">EL SUJETO OBLIGADO </w:t>
      </w:r>
      <w:r w:rsidRPr="008736DB">
        <w:rPr>
          <w:rFonts w:ascii="Palatino Linotype" w:eastAsia="Palatino Linotype" w:hAnsi="Palatino Linotype" w:cs="Palatino Linotype"/>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72148B" w:rsidRPr="008736DB" w:rsidRDefault="00A077F4">
      <w:pPr>
        <w:ind w:left="708" w:right="62"/>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b/>
          <w:i/>
          <w:sz w:val="22"/>
          <w:szCs w:val="22"/>
        </w:rPr>
        <w:t>XXXIX.</w:t>
      </w:r>
      <w:r w:rsidRPr="008736DB">
        <w:rPr>
          <w:rFonts w:ascii="Palatino Linotype" w:eastAsia="Palatino Linotype" w:hAnsi="Palatino Linotype" w:cs="Palatino Linotype"/>
          <w:i/>
          <w:sz w:val="22"/>
          <w:szCs w:val="22"/>
        </w:rPr>
        <w:t xml:space="preserve"> </w:t>
      </w:r>
      <w:r w:rsidRPr="008736DB">
        <w:rPr>
          <w:rFonts w:ascii="Palatino Linotype" w:eastAsia="Palatino Linotype" w:hAnsi="Palatino Linotype" w:cs="Palatino Linotype"/>
          <w:b/>
          <w:i/>
          <w:sz w:val="22"/>
          <w:szCs w:val="22"/>
        </w:rPr>
        <w:t>Servidor público habilitado</w:t>
      </w:r>
      <w:r w:rsidRPr="008736DB">
        <w:rPr>
          <w:rFonts w:ascii="Palatino Linotype" w:eastAsia="Palatino Linotype" w:hAnsi="Palatino Linotype" w:cs="Palatino Linotype"/>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72148B" w:rsidRPr="008736DB" w:rsidRDefault="0072148B">
      <w:pPr>
        <w:spacing w:line="360" w:lineRule="auto"/>
        <w:ind w:left="708" w:right="62"/>
        <w:jc w:val="both"/>
        <w:rPr>
          <w:rFonts w:ascii="Palatino Linotype" w:eastAsia="Palatino Linotype" w:hAnsi="Palatino Linotype" w:cs="Palatino Linotype"/>
          <w:sz w:val="22"/>
          <w:szCs w:val="22"/>
        </w:rPr>
      </w:pPr>
    </w:p>
    <w:p w:rsidR="0072148B" w:rsidRPr="008736DB" w:rsidRDefault="00A077F4">
      <w:pPr>
        <w:numPr>
          <w:ilvl w:val="0"/>
          <w:numId w:val="6"/>
        </w:numPr>
        <w:spacing w:line="360" w:lineRule="auto"/>
        <w:ind w:left="0" w:right="-787" w:firstLine="0"/>
        <w:jc w:val="both"/>
      </w:pPr>
      <w:r w:rsidRPr="008736DB">
        <w:rPr>
          <w:rFonts w:ascii="Palatino Linotype" w:eastAsia="Palatino Linotype" w:hAnsi="Palatino Linotype" w:cs="Palatino Linotype"/>
        </w:rPr>
        <w:t>Así las cosas, se advierte que efectivamente la Unidad de Transparencia cumplió con lo establecido en el artículo 162 de la Ley de Transparencia y Acceso a la Información Pública del Estado de México y Municipios, el cual menciona lo siguiente:</w:t>
      </w:r>
    </w:p>
    <w:p w:rsidR="0072148B" w:rsidRPr="008736DB" w:rsidRDefault="00A077F4">
      <w:pPr>
        <w:ind w:left="425" w:right="-220"/>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i/>
          <w:sz w:val="22"/>
          <w:szCs w:val="22"/>
        </w:rPr>
        <w:t>“</w:t>
      </w:r>
      <w:r w:rsidRPr="008736DB">
        <w:rPr>
          <w:rFonts w:ascii="Palatino Linotype" w:eastAsia="Palatino Linotype" w:hAnsi="Palatino Linotype" w:cs="Palatino Linotype"/>
          <w:b/>
          <w:i/>
          <w:sz w:val="22"/>
          <w:szCs w:val="22"/>
        </w:rPr>
        <w:t>Artículo 162.</w:t>
      </w:r>
      <w:r w:rsidRPr="008736DB">
        <w:rPr>
          <w:rFonts w:ascii="Palatino Linotype" w:eastAsia="Palatino Linotype" w:hAnsi="Palatino Linotype" w:cs="Palatino Linotype"/>
          <w:i/>
          <w:sz w:val="22"/>
          <w:szCs w:val="22"/>
        </w:rPr>
        <w:t xml:space="preserve"> Las unidades de transparencia deberán garantizar que las solicitudes se turnen a </w:t>
      </w:r>
      <w:r w:rsidRPr="008736DB">
        <w:rPr>
          <w:rFonts w:ascii="Palatino Linotype" w:eastAsia="Palatino Linotype" w:hAnsi="Palatino Linotype" w:cs="Palatino Linotype"/>
          <w:b/>
          <w:i/>
          <w:sz w:val="22"/>
          <w:szCs w:val="22"/>
        </w:rPr>
        <w:t>todas las Áreas competentes</w:t>
      </w:r>
      <w:r w:rsidRPr="008736DB">
        <w:rPr>
          <w:rFonts w:ascii="Palatino Linotype" w:eastAsia="Palatino Linotype" w:hAnsi="Palatino Linotype" w:cs="Palatino Linotype"/>
          <w:i/>
          <w:sz w:val="22"/>
          <w:szCs w:val="22"/>
        </w:rPr>
        <w:t xml:space="preserve"> que cuenten con la información o deban tenerla de acuerdo a sus facultades, competencias y funciones, con el objeto de que realicen una búsqueda exhaustiva y razonable de la información solicitada.”</w:t>
      </w:r>
    </w:p>
    <w:p w:rsidR="0072148B" w:rsidRPr="008736DB" w:rsidRDefault="0072148B">
      <w:pPr>
        <w:spacing w:line="360" w:lineRule="auto"/>
        <w:ind w:right="-787"/>
        <w:jc w:val="both"/>
        <w:rPr>
          <w:rFonts w:ascii="Palatino Linotype" w:eastAsia="Palatino Linotype" w:hAnsi="Palatino Linotype" w:cs="Palatino Linotype"/>
          <w:color w:val="000000"/>
          <w:sz w:val="22"/>
          <w:szCs w:val="22"/>
        </w:rPr>
      </w:pPr>
    </w:p>
    <w:p w:rsidR="0072148B" w:rsidRPr="008736DB" w:rsidRDefault="00A077F4">
      <w:pPr>
        <w:numPr>
          <w:ilvl w:val="0"/>
          <w:numId w:val="6"/>
        </w:numPr>
        <w:spacing w:line="360" w:lineRule="auto"/>
        <w:ind w:left="0" w:right="-787" w:firstLine="0"/>
        <w:jc w:val="both"/>
        <w:rPr>
          <w:color w:val="000000"/>
        </w:rPr>
      </w:pPr>
      <w:r w:rsidRPr="008736DB">
        <w:rPr>
          <w:rFonts w:ascii="Palatino Linotype" w:eastAsia="Palatino Linotype" w:hAnsi="Palatino Linotype" w:cs="Palatino Linotype"/>
          <w:color w:val="000000"/>
        </w:rPr>
        <w:t xml:space="preserve">Es de subrayar que el derecho de acceso a la información pública, consiste en que la información solicitada conste en un soporte documental en cualquiera de sus formas, a saber: </w:t>
      </w:r>
      <w:r w:rsidRPr="008736DB">
        <w:rPr>
          <w:rFonts w:ascii="Palatino Linotype" w:eastAsia="Palatino Linotype" w:hAnsi="Palatino Linotype" w:cs="Palatino Linotype"/>
          <w:color w:val="000000"/>
        </w:rPr>
        <w:lastRenderedPageBreak/>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72148B" w:rsidRPr="008736DB" w:rsidRDefault="0072148B">
      <w:pPr>
        <w:spacing w:line="360" w:lineRule="auto"/>
        <w:ind w:right="-787"/>
        <w:jc w:val="both"/>
        <w:rPr>
          <w:color w:val="000000"/>
        </w:rPr>
      </w:pPr>
    </w:p>
    <w:p w:rsidR="0072148B" w:rsidRPr="008736DB" w:rsidRDefault="00A077F4">
      <w:pPr>
        <w:ind w:left="1134" w:right="-220"/>
        <w:jc w:val="both"/>
        <w:rPr>
          <w:rFonts w:ascii="Palatino Linotype" w:eastAsia="Palatino Linotype" w:hAnsi="Palatino Linotype" w:cs="Palatino Linotype"/>
          <w:i/>
          <w:color w:val="000000"/>
          <w:sz w:val="22"/>
          <w:szCs w:val="22"/>
        </w:rPr>
      </w:pPr>
      <w:r w:rsidRPr="008736DB">
        <w:rPr>
          <w:rFonts w:ascii="Palatino Linotype" w:eastAsia="Palatino Linotype" w:hAnsi="Palatino Linotype" w:cs="Palatino Linotype"/>
          <w:i/>
          <w:color w:val="000000"/>
          <w:sz w:val="22"/>
          <w:szCs w:val="22"/>
        </w:rPr>
        <w:t>“</w:t>
      </w:r>
      <w:r w:rsidRPr="008736DB">
        <w:rPr>
          <w:rFonts w:ascii="Palatino Linotype" w:eastAsia="Palatino Linotype" w:hAnsi="Palatino Linotype" w:cs="Palatino Linotype"/>
          <w:b/>
          <w:i/>
          <w:color w:val="000000"/>
          <w:sz w:val="22"/>
          <w:szCs w:val="22"/>
        </w:rPr>
        <w:t xml:space="preserve">Artículo 3. </w:t>
      </w:r>
      <w:r w:rsidRPr="008736DB">
        <w:rPr>
          <w:rFonts w:ascii="Palatino Linotype" w:eastAsia="Palatino Linotype" w:hAnsi="Palatino Linotype" w:cs="Palatino Linotype"/>
          <w:i/>
          <w:color w:val="000000"/>
          <w:sz w:val="22"/>
          <w:szCs w:val="22"/>
        </w:rPr>
        <w:t>Para los efectos de la presente Ley se entenderá por:</w:t>
      </w:r>
    </w:p>
    <w:p w:rsidR="0072148B" w:rsidRPr="008736DB" w:rsidRDefault="00A077F4">
      <w:pPr>
        <w:ind w:left="1134" w:right="-220"/>
        <w:jc w:val="both"/>
        <w:rPr>
          <w:rFonts w:ascii="Palatino Linotype" w:eastAsia="Palatino Linotype" w:hAnsi="Palatino Linotype" w:cs="Palatino Linotype"/>
          <w:i/>
          <w:color w:val="000000"/>
          <w:sz w:val="22"/>
          <w:szCs w:val="22"/>
        </w:rPr>
      </w:pPr>
      <w:r w:rsidRPr="008736DB">
        <w:rPr>
          <w:rFonts w:ascii="Palatino Linotype" w:eastAsia="Palatino Linotype" w:hAnsi="Palatino Linotype" w:cs="Palatino Linotype"/>
          <w:i/>
          <w:color w:val="000000"/>
          <w:sz w:val="22"/>
          <w:szCs w:val="22"/>
        </w:rPr>
        <w:t>(…)</w:t>
      </w:r>
    </w:p>
    <w:p w:rsidR="0072148B" w:rsidRPr="008736DB" w:rsidRDefault="00A077F4">
      <w:pPr>
        <w:ind w:left="1134" w:right="-220"/>
        <w:jc w:val="both"/>
        <w:rPr>
          <w:rFonts w:ascii="Palatino Linotype" w:eastAsia="Palatino Linotype" w:hAnsi="Palatino Linotype" w:cs="Palatino Linotype"/>
          <w:i/>
          <w:color w:val="000000"/>
          <w:sz w:val="22"/>
          <w:szCs w:val="22"/>
        </w:rPr>
      </w:pPr>
      <w:r w:rsidRPr="008736DB">
        <w:rPr>
          <w:rFonts w:ascii="Palatino Linotype" w:eastAsia="Palatino Linotype" w:hAnsi="Palatino Linotype" w:cs="Palatino Linotype"/>
          <w:b/>
          <w:i/>
          <w:color w:val="000000"/>
          <w:sz w:val="22"/>
          <w:szCs w:val="22"/>
        </w:rPr>
        <w:t>XI. Documento:</w:t>
      </w:r>
      <w:r w:rsidRPr="008736DB">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2148B" w:rsidRPr="008736DB" w:rsidRDefault="00A077F4">
      <w:pPr>
        <w:spacing w:line="360" w:lineRule="auto"/>
        <w:ind w:left="1134" w:right="-220"/>
        <w:jc w:val="both"/>
        <w:rPr>
          <w:rFonts w:ascii="Palatino Linotype" w:eastAsia="Palatino Linotype" w:hAnsi="Palatino Linotype" w:cs="Palatino Linotype"/>
          <w:i/>
          <w:color w:val="000000"/>
          <w:sz w:val="22"/>
          <w:szCs w:val="22"/>
        </w:rPr>
      </w:pPr>
      <w:r w:rsidRPr="008736DB">
        <w:rPr>
          <w:rFonts w:ascii="Palatino Linotype" w:eastAsia="Palatino Linotype" w:hAnsi="Palatino Linotype" w:cs="Palatino Linotype"/>
          <w:i/>
          <w:color w:val="000000"/>
          <w:sz w:val="22"/>
          <w:szCs w:val="22"/>
        </w:rPr>
        <w:t>(…)”</w:t>
      </w:r>
    </w:p>
    <w:p w:rsidR="0072148B" w:rsidRPr="008736DB" w:rsidRDefault="0072148B">
      <w:pPr>
        <w:ind w:right="-787"/>
        <w:jc w:val="both"/>
        <w:rPr>
          <w:rFonts w:ascii="Palatino Linotype" w:eastAsia="Palatino Linotype" w:hAnsi="Palatino Linotype" w:cs="Palatino Linotype"/>
        </w:rPr>
      </w:pPr>
    </w:p>
    <w:p w:rsidR="0072148B" w:rsidRPr="008736DB" w:rsidRDefault="00A077F4">
      <w:pPr>
        <w:numPr>
          <w:ilvl w:val="0"/>
          <w:numId w:val="6"/>
        </w:numPr>
        <w:spacing w:line="360" w:lineRule="auto"/>
        <w:ind w:left="0" w:right="-787" w:firstLine="0"/>
        <w:jc w:val="both"/>
        <w:rPr>
          <w:color w:val="000000"/>
        </w:rPr>
      </w:pPr>
      <w:r w:rsidRPr="008736DB">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72148B" w:rsidRPr="008736DB" w:rsidRDefault="00A077F4">
      <w:pPr>
        <w:ind w:left="850" w:right="-220"/>
        <w:jc w:val="both"/>
        <w:rPr>
          <w:rFonts w:ascii="Palatino Linotype" w:eastAsia="Palatino Linotype" w:hAnsi="Palatino Linotype" w:cs="Palatino Linotype"/>
          <w:b/>
          <w:i/>
          <w:sz w:val="22"/>
          <w:szCs w:val="22"/>
        </w:rPr>
      </w:pPr>
      <w:r w:rsidRPr="008736DB">
        <w:rPr>
          <w:rFonts w:ascii="Palatino Linotype" w:eastAsia="Palatino Linotype" w:hAnsi="Palatino Linotype" w:cs="Palatino Linotype"/>
          <w:b/>
          <w:sz w:val="22"/>
          <w:szCs w:val="22"/>
        </w:rPr>
        <w:t>“</w:t>
      </w:r>
      <w:r w:rsidRPr="008736DB">
        <w:rPr>
          <w:rFonts w:ascii="Palatino Linotype" w:eastAsia="Palatino Linotype" w:hAnsi="Palatino Linotype" w:cs="Palatino Linotype"/>
          <w:b/>
          <w:i/>
          <w:sz w:val="22"/>
          <w:szCs w:val="22"/>
        </w:rPr>
        <w:t>CRITERIO 0002-11</w:t>
      </w:r>
    </w:p>
    <w:p w:rsidR="0072148B" w:rsidRPr="008736DB" w:rsidRDefault="00A077F4">
      <w:pPr>
        <w:ind w:left="850" w:right="-220"/>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8736D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2148B" w:rsidRPr="008736DB" w:rsidRDefault="00A077F4">
      <w:pPr>
        <w:ind w:left="850" w:right="-220"/>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rsidR="0072148B" w:rsidRPr="008736DB" w:rsidRDefault="00A077F4">
      <w:pPr>
        <w:ind w:left="850" w:right="-220"/>
        <w:jc w:val="both"/>
        <w:rPr>
          <w:rFonts w:ascii="Palatino Linotype" w:eastAsia="Palatino Linotype" w:hAnsi="Palatino Linotype" w:cs="Palatino Linotype"/>
          <w:b/>
          <w:i/>
          <w:sz w:val="22"/>
          <w:szCs w:val="22"/>
        </w:rPr>
      </w:pPr>
      <w:r w:rsidRPr="008736DB">
        <w:rPr>
          <w:rFonts w:ascii="Palatino Linotype" w:eastAsia="Palatino Linotype" w:hAnsi="Palatino Linotype" w:cs="Palatino Linotype"/>
          <w:b/>
          <w:i/>
          <w:sz w:val="22"/>
          <w:szCs w:val="22"/>
        </w:rPr>
        <w:t xml:space="preserve">1) </w:t>
      </w:r>
      <w:r w:rsidRPr="008736DB">
        <w:rPr>
          <w:rFonts w:ascii="Palatino Linotype" w:eastAsia="Palatino Linotype" w:hAnsi="Palatino Linotype" w:cs="Palatino Linotype"/>
          <w:b/>
          <w:i/>
          <w:sz w:val="22"/>
          <w:szCs w:val="22"/>
          <w:u w:val="single"/>
        </w:rPr>
        <w:t>Que se trate de información registrada en cualquier soporte documental, que en ejercicio de las atribuciones conferidas, sea generada por los Sujetos Obligados;</w:t>
      </w:r>
    </w:p>
    <w:p w:rsidR="0072148B" w:rsidRPr="008736DB" w:rsidRDefault="00A077F4">
      <w:pPr>
        <w:ind w:left="850" w:right="-220"/>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72148B" w:rsidRPr="008736DB" w:rsidRDefault="00A077F4">
      <w:pPr>
        <w:ind w:left="850" w:right="-220"/>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rsidR="0072148B" w:rsidRPr="008736DB" w:rsidRDefault="00A077F4">
      <w:pPr>
        <w:tabs>
          <w:tab w:val="left" w:pos="851"/>
        </w:tabs>
        <w:spacing w:line="360" w:lineRule="auto"/>
        <w:ind w:left="850" w:right="-220"/>
        <w:rPr>
          <w:rFonts w:ascii="Palatino Linotype" w:eastAsia="Palatino Linotype" w:hAnsi="Palatino Linotype" w:cs="Palatino Linotype"/>
          <w:sz w:val="22"/>
          <w:szCs w:val="22"/>
        </w:rPr>
      </w:pPr>
      <w:r w:rsidRPr="008736DB">
        <w:rPr>
          <w:rFonts w:ascii="Palatino Linotype" w:eastAsia="Palatino Linotype" w:hAnsi="Palatino Linotype" w:cs="Palatino Linotype"/>
          <w:sz w:val="22"/>
          <w:szCs w:val="22"/>
        </w:rPr>
        <w:t>(Énfasis Añadido)</w:t>
      </w:r>
    </w:p>
    <w:p w:rsidR="0072148B" w:rsidRPr="008736DB" w:rsidRDefault="0072148B">
      <w:pPr>
        <w:pBdr>
          <w:top w:val="nil"/>
          <w:left w:val="nil"/>
          <w:bottom w:val="nil"/>
          <w:right w:val="nil"/>
          <w:between w:val="nil"/>
        </w:pBdr>
        <w:ind w:right="-787"/>
        <w:jc w:val="both"/>
        <w:rPr>
          <w:rFonts w:ascii="Palatino Linotype" w:eastAsia="Palatino Linotype" w:hAnsi="Palatino Linotype" w:cs="Palatino Linotype"/>
          <w:color w:val="000000"/>
        </w:rPr>
      </w:pPr>
    </w:p>
    <w:p w:rsidR="0072148B" w:rsidRPr="008736DB" w:rsidRDefault="00A077F4">
      <w:pPr>
        <w:numPr>
          <w:ilvl w:val="0"/>
          <w:numId w:val="6"/>
        </w:numPr>
        <w:spacing w:line="360" w:lineRule="auto"/>
        <w:ind w:left="0" w:right="-787" w:firstLine="0"/>
        <w:jc w:val="both"/>
        <w:rPr>
          <w:color w:val="000000"/>
        </w:rPr>
      </w:pPr>
      <w:r w:rsidRPr="008736DB">
        <w:rPr>
          <w:rFonts w:ascii="Palatino Linotype" w:eastAsia="Palatino Linotype" w:hAnsi="Palatino Linotype" w:cs="Palatino Linotype"/>
          <w:color w:val="000000"/>
        </w:rPr>
        <w:t>Por su parte los artículos 160 y 166, de la Ley local en la materia, que se reproduce de la siguiente forma:</w:t>
      </w:r>
    </w:p>
    <w:p w:rsidR="0072148B" w:rsidRPr="008736DB" w:rsidRDefault="00A077F4">
      <w:pPr>
        <w:ind w:left="566" w:right="-220"/>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i/>
          <w:sz w:val="22"/>
          <w:szCs w:val="22"/>
        </w:rPr>
        <w:t>“</w:t>
      </w:r>
      <w:r w:rsidRPr="008736DB">
        <w:rPr>
          <w:rFonts w:ascii="Palatino Linotype" w:eastAsia="Palatino Linotype" w:hAnsi="Palatino Linotype" w:cs="Palatino Linotype"/>
          <w:b/>
          <w:i/>
          <w:sz w:val="22"/>
          <w:szCs w:val="22"/>
        </w:rPr>
        <w:t>Artículo 160.</w:t>
      </w:r>
      <w:r w:rsidRPr="008736DB">
        <w:rPr>
          <w:rFonts w:ascii="Palatino Linotype" w:eastAsia="Palatino Linotype" w:hAnsi="Palatino Linotype" w:cs="Palatino Linotype"/>
          <w:i/>
          <w:sz w:val="22"/>
          <w:szCs w:val="22"/>
        </w:rPr>
        <w:t xml:space="preserve"> </w:t>
      </w:r>
      <w:r w:rsidRPr="008736DB">
        <w:rPr>
          <w:rFonts w:ascii="Palatino Linotype" w:eastAsia="Palatino Linotype" w:hAnsi="Palatino Linotype" w:cs="Palatino Linotype"/>
          <w:i/>
          <w:sz w:val="22"/>
          <w:szCs w:val="22"/>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8736DB">
        <w:rPr>
          <w:rFonts w:ascii="Palatino Linotype" w:eastAsia="Palatino Linotype" w:hAnsi="Palatino Linotype" w:cs="Palatino Linotype"/>
          <w:i/>
          <w:sz w:val="22"/>
          <w:szCs w:val="22"/>
        </w:rPr>
        <w:t>.</w:t>
      </w:r>
    </w:p>
    <w:p w:rsidR="0072148B" w:rsidRPr="008736DB" w:rsidRDefault="0072148B">
      <w:pPr>
        <w:ind w:left="566" w:right="-220"/>
        <w:jc w:val="both"/>
        <w:rPr>
          <w:rFonts w:ascii="Palatino Linotype" w:eastAsia="Palatino Linotype" w:hAnsi="Palatino Linotype" w:cs="Palatino Linotype"/>
          <w:i/>
          <w:sz w:val="22"/>
          <w:szCs w:val="22"/>
        </w:rPr>
      </w:pPr>
    </w:p>
    <w:p w:rsidR="0072148B" w:rsidRPr="008736DB" w:rsidRDefault="00A077F4">
      <w:pPr>
        <w:ind w:left="566" w:right="-220"/>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rsidR="0072148B" w:rsidRPr="008736DB" w:rsidRDefault="00A077F4">
      <w:pPr>
        <w:ind w:left="566" w:right="-220"/>
        <w:jc w:val="both"/>
        <w:rPr>
          <w:rFonts w:ascii="Palatino Linotype" w:eastAsia="Palatino Linotype" w:hAnsi="Palatino Linotype" w:cs="Palatino Linotype"/>
          <w:i/>
          <w:sz w:val="22"/>
          <w:szCs w:val="22"/>
          <w:u w:val="single"/>
        </w:rPr>
      </w:pPr>
      <w:r w:rsidRPr="008736DB">
        <w:rPr>
          <w:rFonts w:ascii="Palatino Linotype" w:eastAsia="Palatino Linotype" w:hAnsi="Palatino Linotype" w:cs="Palatino Linotype"/>
          <w:b/>
          <w:i/>
          <w:sz w:val="22"/>
          <w:szCs w:val="22"/>
        </w:rPr>
        <w:t>Artículo 166.</w:t>
      </w:r>
      <w:r w:rsidRPr="008736DB">
        <w:rPr>
          <w:rFonts w:ascii="Palatino Linotype" w:eastAsia="Palatino Linotype" w:hAnsi="Palatino Linotype" w:cs="Palatino Linotype"/>
          <w:i/>
          <w:sz w:val="22"/>
          <w:szCs w:val="22"/>
        </w:rPr>
        <w:t xml:space="preserve"> </w:t>
      </w:r>
      <w:r w:rsidRPr="008736DB">
        <w:rPr>
          <w:rFonts w:ascii="Palatino Linotype" w:eastAsia="Palatino Linotype" w:hAnsi="Palatino Linotype" w:cs="Palatino Linotype"/>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rsidR="0072148B" w:rsidRPr="008736DB" w:rsidRDefault="00A077F4">
      <w:pPr>
        <w:spacing w:line="360" w:lineRule="auto"/>
        <w:ind w:left="566" w:right="-220"/>
        <w:jc w:val="both"/>
        <w:rPr>
          <w:rFonts w:ascii="Palatino Linotype" w:eastAsia="Palatino Linotype" w:hAnsi="Palatino Linotype" w:cs="Palatino Linotype"/>
          <w:sz w:val="22"/>
          <w:szCs w:val="22"/>
        </w:rPr>
      </w:pPr>
      <w:r w:rsidRPr="008736DB">
        <w:rPr>
          <w:rFonts w:ascii="Palatino Linotype" w:eastAsia="Palatino Linotype" w:hAnsi="Palatino Linotype" w:cs="Palatino Linotype"/>
          <w:sz w:val="22"/>
          <w:szCs w:val="22"/>
        </w:rPr>
        <w:t>(Énfasis añadido)</w:t>
      </w:r>
    </w:p>
    <w:p w:rsidR="0072148B" w:rsidRPr="008736DB" w:rsidRDefault="0072148B">
      <w:pPr>
        <w:ind w:right="-787"/>
        <w:jc w:val="both"/>
        <w:rPr>
          <w:rFonts w:ascii="Palatino Linotype" w:eastAsia="Palatino Linotype" w:hAnsi="Palatino Linotype" w:cs="Palatino Linotype"/>
        </w:rPr>
      </w:pPr>
    </w:p>
    <w:p w:rsidR="0072148B" w:rsidRPr="008736DB" w:rsidRDefault="00A077F4">
      <w:pPr>
        <w:numPr>
          <w:ilvl w:val="0"/>
          <w:numId w:val="6"/>
        </w:numPr>
        <w:spacing w:line="360" w:lineRule="auto"/>
        <w:ind w:left="0" w:right="-787" w:firstLine="0"/>
        <w:jc w:val="both"/>
        <w:rPr>
          <w:color w:val="000000"/>
        </w:rPr>
      </w:pPr>
      <w:r w:rsidRPr="008736DB">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72148B" w:rsidRPr="008736DB" w:rsidRDefault="0072148B">
      <w:pPr>
        <w:spacing w:line="360" w:lineRule="auto"/>
        <w:ind w:right="-787"/>
        <w:jc w:val="both"/>
        <w:rPr>
          <w:rFonts w:ascii="Palatino Linotype" w:eastAsia="Palatino Linotype" w:hAnsi="Palatino Linotype" w:cs="Palatino Linotype"/>
          <w:color w:val="000000"/>
          <w:sz w:val="22"/>
          <w:szCs w:val="22"/>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color w:val="000000"/>
          <w:sz w:val="22"/>
          <w:szCs w:val="22"/>
        </w:rPr>
      </w:pPr>
      <w:r w:rsidRPr="008736DB">
        <w:rPr>
          <w:rFonts w:ascii="Palatino Linotype" w:eastAsia="Palatino Linotype" w:hAnsi="Palatino Linotype" w:cs="Palatino Linotype"/>
        </w:rPr>
        <w:t xml:space="preserve">Ahora bien, el Sujeto Obligado se pronunció señalando en ambas respuestas un link en el que manifestó encontrarse la información objeto de la solicitud publicada en la fracción VIII A, denominada “remuneraciones” del Sistema de Información Pública de Oficio Mexiquense </w:t>
      </w:r>
      <w:r w:rsidRPr="008736DB">
        <w:rPr>
          <w:rFonts w:ascii="Palatino Linotype" w:eastAsia="Palatino Linotype" w:hAnsi="Palatino Linotype" w:cs="Palatino Linotype"/>
        </w:rPr>
        <w:lastRenderedPageBreak/>
        <w:t>(IPOMEX), circunstancia de la cual se dolió el recurrente, por lo que se analizará para mayor claridad y simplificación en el siguiente cuadro la información solicitada, la respuesta proporcionada, y los motivos de inconformidad, ya que como se señaló en párrafos anteriores, en Informes Justificados el Sujeto Obligado ratifica la respuesta primigenia:</w:t>
      </w:r>
    </w:p>
    <w:tbl>
      <w:tblPr>
        <w:tblStyle w:val="a4"/>
        <w:tblW w:w="9919"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2405"/>
        <w:gridCol w:w="3261"/>
        <w:gridCol w:w="2287"/>
        <w:gridCol w:w="1966"/>
      </w:tblGrid>
      <w:tr w:rsidR="0072148B" w:rsidRPr="008736DB">
        <w:tc>
          <w:tcPr>
            <w:tcW w:w="2405" w:type="dxa"/>
            <w:shd w:val="clear" w:color="auto" w:fill="D9D9D9"/>
          </w:tcPr>
          <w:p w:rsidR="0072148B" w:rsidRPr="008736DB" w:rsidRDefault="00A077F4">
            <w:pPr>
              <w:pBdr>
                <w:top w:val="nil"/>
                <w:left w:val="nil"/>
                <w:bottom w:val="nil"/>
                <w:right w:val="nil"/>
                <w:between w:val="nil"/>
              </w:pBdr>
              <w:ind w:right="12"/>
              <w:jc w:val="center"/>
              <w:rPr>
                <w:rFonts w:ascii="Palatino Linotype" w:eastAsia="Palatino Linotype" w:hAnsi="Palatino Linotype" w:cs="Palatino Linotype"/>
                <w:b/>
                <w:color w:val="000000"/>
                <w:sz w:val="20"/>
                <w:szCs w:val="20"/>
              </w:rPr>
            </w:pPr>
            <w:r w:rsidRPr="008736DB">
              <w:rPr>
                <w:rFonts w:ascii="Palatino Linotype" w:eastAsia="Palatino Linotype" w:hAnsi="Palatino Linotype" w:cs="Palatino Linotype"/>
                <w:b/>
                <w:color w:val="000000"/>
                <w:sz w:val="20"/>
                <w:szCs w:val="20"/>
              </w:rPr>
              <w:t>Solicitud</w:t>
            </w:r>
          </w:p>
          <w:p w:rsidR="0072148B" w:rsidRPr="008736DB" w:rsidRDefault="0072148B">
            <w:pPr>
              <w:pBdr>
                <w:top w:val="nil"/>
                <w:left w:val="nil"/>
                <w:bottom w:val="nil"/>
                <w:right w:val="nil"/>
                <w:between w:val="nil"/>
              </w:pBdr>
              <w:ind w:right="12"/>
              <w:jc w:val="center"/>
              <w:rPr>
                <w:rFonts w:ascii="Palatino Linotype" w:eastAsia="Palatino Linotype" w:hAnsi="Palatino Linotype" w:cs="Palatino Linotype"/>
                <w:b/>
                <w:color w:val="000000"/>
                <w:sz w:val="20"/>
                <w:szCs w:val="20"/>
              </w:rPr>
            </w:pPr>
          </w:p>
          <w:p w:rsidR="0072148B" w:rsidRPr="008736DB" w:rsidRDefault="0072148B">
            <w:pPr>
              <w:pBdr>
                <w:top w:val="nil"/>
                <w:left w:val="nil"/>
                <w:bottom w:val="nil"/>
                <w:right w:val="nil"/>
                <w:between w:val="nil"/>
              </w:pBdr>
              <w:ind w:right="12"/>
              <w:jc w:val="center"/>
              <w:rPr>
                <w:rFonts w:ascii="Palatino Linotype" w:eastAsia="Palatino Linotype" w:hAnsi="Palatino Linotype" w:cs="Palatino Linotype"/>
                <w:color w:val="000000"/>
                <w:sz w:val="20"/>
                <w:szCs w:val="20"/>
              </w:rPr>
            </w:pPr>
          </w:p>
        </w:tc>
        <w:tc>
          <w:tcPr>
            <w:tcW w:w="3261" w:type="dxa"/>
            <w:shd w:val="clear" w:color="auto" w:fill="D9D9D9"/>
            <w:vAlign w:val="center"/>
          </w:tcPr>
          <w:p w:rsidR="0072148B" w:rsidRPr="008736DB" w:rsidRDefault="00A077F4">
            <w:pPr>
              <w:pBdr>
                <w:top w:val="nil"/>
                <w:left w:val="nil"/>
                <w:bottom w:val="nil"/>
                <w:right w:val="nil"/>
                <w:between w:val="nil"/>
              </w:pBdr>
              <w:ind w:right="12"/>
              <w:jc w:val="center"/>
              <w:rPr>
                <w:rFonts w:ascii="Palatino Linotype" w:eastAsia="Palatino Linotype" w:hAnsi="Palatino Linotype" w:cs="Palatino Linotype"/>
                <w:b/>
                <w:color w:val="000000"/>
                <w:sz w:val="20"/>
                <w:szCs w:val="20"/>
              </w:rPr>
            </w:pPr>
            <w:r w:rsidRPr="008736DB">
              <w:rPr>
                <w:rFonts w:ascii="Palatino Linotype" w:eastAsia="Palatino Linotype" w:hAnsi="Palatino Linotype" w:cs="Palatino Linotype"/>
                <w:b/>
                <w:color w:val="000000"/>
                <w:sz w:val="20"/>
                <w:szCs w:val="20"/>
              </w:rPr>
              <w:t>Respuesta</w:t>
            </w:r>
          </w:p>
          <w:p w:rsidR="0072148B" w:rsidRPr="008736DB" w:rsidRDefault="0072148B">
            <w:pPr>
              <w:pBdr>
                <w:top w:val="nil"/>
                <w:left w:val="nil"/>
                <w:bottom w:val="nil"/>
                <w:right w:val="nil"/>
                <w:between w:val="nil"/>
              </w:pBdr>
              <w:ind w:right="12"/>
              <w:jc w:val="center"/>
              <w:rPr>
                <w:rFonts w:ascii="Palatino Linotype" w:eastAsia="Palatino Linotype" w:hAnsi="Palatino Linotype" w:cs="Palatino Linotype"/>
                <w:i/>
                <w:color w:val="000000"/>
                <w:sz w:val="20"/>
                <w:szCs w:val="20"/>
              </w:rPr>
            </w:pPr>
          </w:p>
        </w:tc>
        <w:tc>
          <w:tcPr>
            <w:tcW w:w="2287" w:type="dxa"/>
            <w:shd w:val="clear" w:color="auto" w:fill="D9D9D9"/>
            <w:vAlign w:val="center"/>
          </w:tcPr>
          <w:p w:rsidR="0072148B" w:rsidRPr="008736DB" w:rsidRDefault="00A077F4">
            <w:pPr>
              <w:pBdr>
                <w:top w:val="nil"/>
                <w:left w:val="nil"/>
                <w:bottom w:val="nil"/>
                <w:right w:val="nil"/>
                <w:between w:val="nil"/>
              </w:pBdr>
              <w:ind w:right="12"/>
              <w:jc w:val="center"/>
              <w:rPr>
                <w:rFonts w:ascii="Palatino Linotype" w:eastAsia="Palatino Linotype" w:hAnsi="Palatino Linotype" w:cs="Palatino Linotype"/>
                <w:b/>
                <w:color w:val="000000"/>
                <w:sz w:val="20"/>
                <w:szCs w:val="20"/>
              </w:rPr>
            </w:pPr>
            <w:r w:rsidRPr="008736DB">
              <w:rPr>
                <w:rFonts w:ascii="Palatino Linotype" w:eastAsia="Palatino Linotype" w:hAnsi="Palatino Linotype" w:cs="Palatino Linotype"/>
                <w:b/>
                <w:color w:val="000000"/>
                <w:sz w:val="20"/>
                <w:szCs w:val="20"/>
              </w:rPr>
              <w:t>Acto impugnado</w:t>
            </w:r>
          </w:p>
          <w:p w:rsidR="0072148B" w:rsidRPr="008736DB" w:rsidRDefault="00A077F4">
            <w:pPr>
              <w:pBdr>
                <w:top w:val="nil"/>
                <w:left w:val="nil"/>
                <w:bottom w:val="nil"/>
                <w:right w:val="nil"/>
                <w:between w:val="nil"/>
              </w:pBdr>
              <w:ind w:right="12"/>
              <w:jc w:val="center"/>
              <w:rPr>
                <w:rFonts w:ascii="Palatino Linotype" w:eastAsia="Palatino Linotype" w:hAnsi="Palatino Linotype" w:cs="Palatino Linotype"/>
                <w:b/>
                <w:color w:val="000000"/>
                <w:sz w:val="20"/>
                <w:szCs w:val="20"/>
              </w:rPr>
            </w:pPr>
            <w:r w:rsidRPr="008736DB">
              <w:rPr>
                <w:rFonts w:ascii="Palatino Linotype" w:eastAsia="Palatino Linotype" w:hAnsi="Palatino Linotype" w:cs="Palatino Linotype"/>
                <w:b/>
                <w:color w:val="000000"/>
                <w:sz w:val="20"/>
                <w:szCs w:val="20"/>
              </w:rPr>
              <w:t>y</w:t>
            </w:r>
          </w:p>
          <w:p w:rsidR="0072148B" w:rsidRPr="008736DB" w:rsidRDefault="00A077F4">
            <w:pPr>
              <w:pBdr>
                <w:top w:val="nil"/>
                <w:left w:val="nil"/>
                <w:bottom w:val="nil"/>
                <w:right w:val="nil"/>
                <w:between w:val="nil"/>
              </w:pBdr>
              <w:ind w:right="12"/>
              <w:jc w:val="center"/>
              <w:rPr>
                <w:rFonts w:ascii="Palatino Linotype" w:eastAsia="Palatino Linotype" w:hAnsi="Palatino Linotype" w:cs="Palatino Linotype"/>
                <w:b/>
                <w:color w:val="000000"/>
                <w:sz w:val="20"/>
                <w:szCs w:val="20"/>
              </w:rPr>
            </w:pPr>
            <w:r w:rsidRPr="008736DB">
              <w:rPr>
                <w:rFonts w:ascii="Palatino Linotype" w:eastAsia="Palatino Linotype" w:hAnsi="Palatino Linotype" w:cs="Palatino Linotype"/>
                <w:b/>
                <w:color w:val="000000"/>
                <w:sz w:val="20"/>
                <w:szCs w:val="20"/>
              </w:rPr>
              <w:t>Razones o Motivos de inconformidad</w:t>
            </w:r>
          </w:p>
        </w:tc>
        <w:tc>
          <w:tcPr>
            <w:tcW w:w="1966" w:type="dxa"/>
            <w:shd w:val="clear" w:color="auto" w:fill="D9D9D9"/>
            <w:vAlign w:val="center"/>
          </w:tcPr>
          <w:p w:rsidR="0072148B" w:rsidRPr="008736DB" w:rsidRDefault="00A077F4">
            <w:pPr>
              <w:pBdr>
                <w:top w:val="nil"/>
                <w:left w:val="nil"/>
                <w:bottom w:val="nil"/>
                <w:right w:val="nil"/>
                <w:between w:val="nil"/>
              </w:pBdr>
              <w:ind w:right="12"/>
              <w:jc w:val="center"/>
              <w:rPr>
                <w:rFonts w:ascii="Palatino Linotype" w:eastAsia="Palatino Linotype" w:hAnsi="Palatino Linotype" w:cs="Palatino Linotype"/>
                <w:b/>
                <w:color w:val="000000"/>
                <w:sz w:val="20"/>
                <w:szCs w:val="20"/>
              </w:rPr>
            </w:pPr>
            <w:r w:rsidRPr="008736DB">
              <w:rPr>
                <w:rFonts w:ascii="Palatino Linotype" w:eastAsia="Palatino Linotype" w:hAnsi="Palatino Linotype" w:cs="Palatino Linotype"/>
                <w:b/>
                <w:color w:val="000000"/>
                <w:sz w:val="20"/>
                <w:szCs w:val="20"/>
              </w:rPr>
              <w:t>¿Colma?</w:t>
            </w:r>
          </w:p>
        </w:tc>
      </w:tr>
      <w:tr w:rsidR="0072148B" w:rsidRPr="008736DB">
        <w:tc>
          <w:tcPr>
            <w:tcW w:w="2405" w:type="dxa"/>
          </w:tcPr>
          <w:p w:rsidR="0072148B" w:rsidRPr="008736DB" w:rsidRDefault="00A077F4">
            <w:pPr>
              <w:pBdr>
                <w:top w:val="nil"/>
                <w:left w:val="nil"/>
                <w:bottom w:val="nil"/>
                <w:right w:val="nil"/>
                <w:between w:val="nil"/>
              </w:pBdr>
              <w:ind w:left="29" w:right="-220"/>
              <w:jc w:val="center"/>
              <w:rPr>
                <w:rFonts w:ascii="Palatino Linotype" w:eastAsia="Palatino Linotype" w:hAnsi="Palatino Linotype" w:cs="Palatino Linotype"/>
                <w:b/>
                <w:color w:val="000000"/>
                <w:sz w:val="20"/>
                <w:szCs w:val="20"/>
              </w:rPr>
            </w:pPr>
            <w:r w:rsidRPr="008736DB">
              <w:rPr>
                <w:rFonts w:ascii="Palatino Linotype" w:eastAsia="Palatino Linotype" w:hAnsi="Palatino Linotype" w:cs="Palatino Linotype"/>
                <w:b/>
                <w:color w:val="000000"/>
                <w:sz w:val="20"/>
                <w:szCs w:val="20"/>
              </w:rPr>
              <w:t>00010/DIFTOLUCA</w:t>
            </w:r>
          </w:p>
          <w:p w:rsidR="0072148B" w:rsidRPr="008736DB" w:rsidRDefault="00A077F4">
            <w:pPr>
              <w:pBdr>
                <w:top w:val="nil"/>
                <w:left w:val="nil"/>
                <w:bottom w:val="nil"/>
                <w:right w:val="nil"/>
                <w:between w:val="nil"/>
              </w:pBdr>
              <w:ind w:left="29" w:right="-220"/>
              <w:jc w:val="center"/>
              <w:rPr>
                <w:rFonts w:ascii="Palatino Linotype" w:eastAsia="Palatino Linotype" w:hAnsi="Palatino Linotype" w:cs="Palatino Linotype"/>
                <w:b/>
                <w:color w:val="000000"/>
                <w:sz w:val="20"/>
                <w:szCs w:val="20"/>
              </w:rPr>
            </w:pPr>
            <w:r w:rsidRPr="008736DB">
              <w:rPr>
                <w:rFonts w:ascii="Palatino Linotype" w:eastAsia="Palatino Linotype" w:hAnsi="Palatino Linotype" w:cs="Palatino Linotype"/>
                <w:b/>
                <w:color w:val="000000"/>
                <w:sz w:val="20"/>
                <w:szCs w:val="20"/>
              </w:rPr>
              <w:t>/IP/2025</w:t>
            </w:r>
          </w:p>
          <w:p w:rsidR="0072148B" w:rsidRPr="008736DB" w:rsidRDefault="00A077F4">
            <w:pPr>
              <w:pBdr>
                <w:top w:val="nil"/>
                <w:left w:val="nil"/>
                <w:bottom w:val="nil"/>
                <w:right w:val="nil"/>
                <w:between w:val="nil"/>
              </w:pBdr>
              <w:ind w:left="29" w:right="12"/>
              <w:jc w:val="center"/>
              <w:rPr>
                <w:rFonts w:ascii="Palatino Linotype" w:eastAsia="Palatino Linotype" w:hAnsi="Palatino Linotype" w:cs="Palatino Linotype"/>
                <w:color w:val="000000"/>
                <w:sz w:val="20"/>
                <w:szCs w:val="20"/>
              </w:rPr>
            </w:pPr>
            <w:r w:rsidRPr="008736DB">
              <w:rPr>
                <w:rFonts w:ascii="Palatino Linotype" w:eastAsia="Palatino Linotype" w:hAnsi="Palatino Linotype" w:cs="Palatino Linotype"/>
                <w:i/>
                <w:color w:val="000000"/>
                <w:sz w:val="20"/>
                <w:szCs w:val="20"/>
              </w:rPr>
              <w:t xml:space="preserve">recibos de nómina de los servidores públicos, de la </w:t>
            </w:r>
            <w:r w:rsidRPr="008736DB">
              <w:rPr>
                <w:rFonts w:ascii="Palatino Linotype" w:eastAsia="Palatino Linotype" w:hAnsi="Palatino Linotype" w:cs="Palatino Linotype"/>
                <w:b/>
                <w:i/>
                <w:color w:val="000000"/>
                <w:sz w:val="20"/>
                <w:szCs w:val="20"/>
              </w:rPr>
              <w:t>primera quincena de enero de 2025</w:t>
            </w:r>
          </w:p>
        </w:tc>
        <w:tc>
          <w:tcPr>
            <w:tcW w:w="3261" w:type="dxa"/>
          </w:tcPr>
          <w:p w:rsidR="0072148B" w:rsidRPr="008736DB" w:rsidRDefault="00A077F4">
            <w:pPr>
              <w:pBdr>
                <w:top w:val="nil"/>
                <w:left w:val="nil"/>
                <w:bottom w:val="nil"/>
                <w:right w:val="nil"/>
                <w:between w:val="nil"/>
              </w:pBdr>
              <w:ind w:left="-22" w:right="12"/>
              <w:jc w:val="both"/>
              <w:rPr>
                <w:rFonts w:ascii="Palatino Linotype" w:eastAsia="Palatino Linotype" w:hAnsi="Palatino Linotype" w:cs="Palatino Linotype"/>
                <w:color w:val="000000"/>
                <w:sz w:val="20"/>
                <w:szCs w:val="20"/>
              </w:rPr>
            </w:pPr>
            <w:r w:rsidRPr="008736DB">
              <w:rPr>
                <w:rFonts w:ascii="Palatino Linotype" w:eastAsia="Palatino Linotype" w:hAnsi="Palatino Linotype" w:cs="Palatino Linotype"/>
                <w:color w:val="000000"/>
                <w:sz w:val="20"/>
                <w:szCs w:val="20"/>
              </w:rPr>
              <w:t xml:space="preserve">Oficio 200B10901/071/2025 del Director de Administración y Tesorería. </w:t>
            </w:r>
          </w:p>
          <w:p w:rsidR="0072148B" w:rsidRPr="008736DB" w:rsidRDefault="0072148B">
            <w:pPr>
              <w:pBdr>
                <w:top w:val="nil"/>
                <w:left w:val="nil"/>
                <w:bottom w:val="nil"/>
                <w:right w:val="nil"/>
                <w:between w:val="nil"/>
              </w:pBdr>
              <w:ind w:left="-22" w:right="12"/>
              <w:jc w:val="both"/>
              <w:rPr>
                <w:rFonts w:ascii="Palatino Linotype" w:eastAsia="Palatino Linotype" w:hAnsi="Palatino Linotype" w:cs="Palatino Linotype"/>
                <w:color w:val="000000"/>
                <w:sz w:val="20"/>
                <w:szCs w:val="20"/>
              </w:rPr>
            </w:pPr>
          </w:p>
          <w:p w:rsidR="0072148B" w:rsidRPr="008736DB" w:rsidRDefault="00A077F4">
            <w:pPr>
              <w:pBdr>
                <w:top w:val="nil"/>
                <w:left w:val="nil"/>
                <w:bottom w:val="nil"/>
                <w:right w:val="nil"/>
                <w:between w:val="nil"/>
              </w:pBdr>
              <w:ind w:left="-22" w:right="12"/>
              <w:jc w:val="both"/>
              <w:rPr>
                <w:rFonts w:ascii="Palatino Linotype" w:eastAsia="Palatino Linotype" w:hAnsi="Palatino Linotype" w:cs="Palatino Linotype"/>
                <w:color w:val="0070C0"/>
                <w:sz w:val="20"/>
                <w:szCs w:val="20"/>
              </w:rPr>
            </w:pPr>
            <w:r w:rsidRPr="008736DB">
              <w:rPr>
                <w:rFonts w:ascii="Palatino Linotype" w:eastAsia="Palatino Linotype" w:hAnsi="Palatino Linotype" w:cs="Palatino Linotype"/>
                <w:color w:val="000000"/>
                <w:sz w:val="20"/>
                <w:szCs w:val="20"/>
              </w:rPr>
              <w:t xml:space="preserve">Remite el link </w:t>
            </w:r>
            <w:hyperlink r:id="rId9" w:anchor="/info-fraccion/11/340/28">
              <w:r w:rsidRPr="008736DB">
                <w:rPr>
                  <w:rFonts w:ascii="Palatino Linotype" w:eastAsia="Palatino Linotype" w:hAnsi="Palatino Linotype" w:cs="Palatino Linotype"/>
                  <w:color w:val="0070C0"/>
                  <w:sz w:val="20"/>
                  <w:szCs w:val="20"/>
                  <w:u w:val="single"/>
                </w:rPr>
                <w:t>https://infoem2.ipomex.org.mx/ipomex/#/info-fraccion/11/340/28</w:t>
              </w:r>
            </w:hyperlink>
            <w:r w:rsidRPr="008736DB">
              <w:rPr>
                <w:rFonts w:ascii="Palatino Linotype" w:eastAsia="Palatino Linotype" w:hAnsi="Palatino Linotype" w:cs="Palatino Linotype"/>
                <w:color w:val="0070C0"/>
                <w:sz w:val="20"/>
                <w:szCs w:val="20"/>
              </w:rPr>
              <w:t xml:space="preserve"> </w:t>
            </w:r>
          </w:p>
          <w:p w:rsidR="0072148B" w:rsidRPr="008736DB" w:rsidRDefault="00A077F4">
            <w:pPr>
              <w:pBdr>
                <w:top w:val="nil"/>
                <w:left w:val="nil"/>
                <w:bottom w:val="nil"/>
                <w:right w:val="nil"/>
                <w:between w:val="nil"/>
              </w:pBdr>
              <w:ind w:left="-22" w:right="12"/>
              <w:jc w:val="both"/>
              <w:rPr>
                <w:rFonts w:ascii="Palatino Linotype" w:eastAsia="Palatino Linotype" w:hAnsi="Palatino Linotype" w:cs="Palatino Linotype"/>
                <w:color w:val="000000"/>
                <w:sz w:val="20"/>
                <w:szCs w:val="20"/>
              </w:rPr>
            </w:pPr>
            <w:r w:rsidRPr="008736DB">
              <w:rPr>
                <w:rFonts w:ascii="Palatino Linotype" w:eastAsia="Palatino Linotype" w:hAnsi="Palatino Linotype" w:cs="Palatino Linotype"/>
                <w:sz w:val="20"/>
                <w:szCs w:val="20"/>
              </w:rPr>
              <w:t>En formato cerrado</w:t>
            </w:r>
          </w:p>
        </w:tc>
        <w:tc>
          <w:tcPr>
            <w:tcW w:w="2287" w:type="dxa"/>
          </w:tcPr>
          <w:p w:rsidR="0072148B" w:rsidRPr="008736DB" w:rsidRDefault="00A077F4">
            <w:pPr>
              <w:pBdr>
                <w:top w:val="nil"/>
                <w:left w:val="nil"/>
                <w:bottom w:val="nil"/>
                <w:right w:val="nil"/>
                <w:between w:val="nil"/>
              </w:pBdr>
              <w:ind w:right="12"/>
              <w:jc w:val="both"/>
              <w:rPr>
                <w:rFonts w:ascii="Palatino Linotype" w:eastAsia="Palatino Linotype" w:hAnsi="Palatino Linotype" w:cs="Palatino Linotype"/>
                <w:i/>
                <w:color w:val="000000"/>
                <w:sz w:val="20"/>
                <w:szCs w:val="20"/>
              </w:rPr>
            </w:pPr>
            <w:r w:rsidRPr="008736DB">
              <w:rPr>
                <w:rFonts w:ascii="Palatino Linotype" w:eastAsia="Palatino Linotype" w:hAnsi="Palatino Linotype" w:cs="Palatino Linotype"/>
                <w:i/>
                <w:color w:val="000000"/>
                <w:sz w:val="20"/>
                <w:szCs w:val="20"/>
              </w:rPr>
              <w:t>respuesta mediante oficio 200B10901/071/2025</w:t>
            </w:r>
          </w:p>
          <w:p w:rsidR="0072148B" w:rsidRPr="008736DB" w:rsidRDefault="0072148B">
            <w:pPr>
              <w:pBdr>
                <w:top w:val="nil"/>
                <w:left w:val="nil"/>
                <w:bottom w:val="nil"/>
                <w:right w:val="nil"/>
                <w:between w:val="nil"/>
              </w:pBdr>
              <w:ind w:right="12"/>
              <w:jc w:val="both"/>
              <w:rPr>
                <w:rFonts w:ascii="Palatino Linotype" w:eastAsia="Palatino Linotype" w:hAnsi="Palatino Linotype" w:cs="Palatino Linotype"/>
                <w:i/>
                <w:color w:val="000000"/>
                <w:sz w:val="20"/>
                <w:szCs w:val="20"/>
              </w:rPr>
            </w:pPr>
          </w:p>
          <w:p w:rsidR="0072148B" w:rsidRPr="008736DB" w:rsidRDefault="00A077F4">
            <w:pPr>
              <w:pBdr>
                <w:top w:val="nil"/>
                <w:left w:val="nil"/>
                <w:bottom w:val="nil"/>
                <w:right w:val="nil"/>
                <w:between w:val="nil"/>
              </w:pBdr>
              <w:ind w:right="12"/>
              <w:jc w:val="both"/>
              <w:rPr>
                <w:rFonts w:ascii="Palatino Linotype" w:eastAsia="Palatino Linotype" w:hAnsi="Palatino Linotype" w:cs="Palatino Linotype"/>
                <w:color w:val="000000"/>
                <w:sz w:val="20"/>
                <w:szCs w:val="20"/>
              </w:rPr>
            </w:pPr>
            <w:r w:rsidRPr="008736DB">
              <w:rPr>
                <w:rFonts w:ascii="Palatino Linotype" w:eastAsia="Palatino Linotype" w:hAnsi="Palatino Linotype" w:cs="Palatino Linotype"/>
                <w:i/>
                <w:color w:val="000000"/>
                <w:sz w:val="20"/>
                <w:szCs w:val="20"/>
              </w:rPr>
              <w:t>no entregan lo solicitado</w:t>
            </w:r>
          </w:p>
        </w:tc>
        <w:tc>
          <w:tcPr>
            <w:tcW w:w="1966" w:type="dxa"/>
          </w:tcPr>
          <w:p w:rsidR="0072148B" w:rsidRPr="008736DB" w:rsidRDefault="00A077F4">
            <w:pPr>
              <w:pBdr>
                <w:top w:val="nil"/>
                <w:left w:val="nil"/>
                <w:bottom w:val="nil"/>
                <w:right w:val="nil"/>
                <w:between w:val="nil"/>
              </w:pBdr>
              <w:ind w:right="12"/>
              <w:jc w:val="center"/>
              <w:rPr>
                <w:rFonts w:ascii="Palatino Linotype" w:eastAsia="Palatino Linotype" w:hAnsi="Palatino Linotype" w:cs="Palatino Linotype"/>
                <w:b/>
                <w:color w:val="000000"/>
                <w:sz w:val="20"/>
                <w:szCs w:val="20"/>
              </w:rPr>
            </w:pPr>
            <w:r w:rsidRPr="008736DB">
              <w:rPr>
                <w:rFonts w:ascii="Palatino Linotype" w:eastAsia="Palatino Linotype" w:hAnsi="Palatino Linotype" w:cs="Palatino Linotype"/>
                <w:b/>
                <w:color w:val="000000"/>
                <w:sz w:val="20"/>
                <w:szCs w:val="20"/>
              </w:rPr>
              <w:t>No</w:t>
            </w:r>
          </w:p>
        </w:tc>
      </w:tr>
      <w:tr w:rsidR="0072148B" w:rsidRPr="008736DB">
        <w:tc>
          <w:tcPr>
            <w:tcW w:w="2405" w:type="dxa"/>
          </w:tcPr>
          <w:p w:rsidR="0072148B" w:rsidRPr="008736DB" w:rsidRDefault="00A077F4">
            <w:pPr>
              <w:pBdr>
                <w:top w:val="nil"/>
                <w:left w:val="nil"/>
                <w:bottom w:val="nil"/>
                <w:right w:val="nil"/>
                <w:between w:val="nil"/>
              </w:pBdr>
              <w:ind w:right="12"/>
              <w:jc w:val="center"/>
              <w:rPr>
                <w:rFonts w:ascii="Palatino Linotype" w:eastAsia="Palatino Linotype" w:hAnsi="Palatino Linotype" w:cs="Palatino Linotype"/>
                <w:b/>
                <w:color w:val="000000"/>
                <w:sz w:val="20"/>
                <w:szCs w:val="20"/>
              </w:rPr>
            </w:pPr>
            <w:r w:rsidRPr="008736DB">
              <w:rPr>
                <w:rFonts w:ascii="Palatino Linotype" w:eastAsia="Palatino Linotype" w:hAnsi="Palatino Linotype" w:cs="Palatino Linotype"/>
                <w:b/>
                <w:color w:val="000000"/>
                <w:sz w:val="20"/>
                <w:szCs w:val="20"/>
              </w:rPr>
              <w:t>00011/DIFTOLUCA</w:t>
            </w:r>
          </w:p>
          <w:p w:rsidR="0072148B" w:rsidRPr="008736DB" w:rsidRDefault="00A077F4">
            <w:pPr>
              <w:pBdr>
                <w:top w:val="nil"/>
                <w:left w:val="nil"/>
                <w:bottom w:val="nil"/>
                <w:right w:val="nil"/>
                <w:between w:val="nil"/>
              </w:pBdr>
              <w:ind w:right="12"/>
              <w:jc w:val="center"/>
              <w:rPr>
                <w:rFonts w:ascii="Palatino Linotype" w:eastAsia="Palatino Linotype" w:hAnsi="Palatino Linotype" w:cs="Palatino Linotype"/>
                <w:b/>
                <w:color w:val="000000"/>
                <w:sz w:val="20"/>
                <w:szCs w:val="20"/>
              </w:rPr>
            </w:pPr>
            <w:r w:rsidRPr="008736DB">
              <w:rPr>
                <w:rFonts w:ascii="Palatino Linotype" w:eastAsia="Palatino Linotype" w:hAnsi="Palatino Linotype" w:cs="Palatino Linotype"/>
                <w:b/>
                <w:color w:val="000000"/>
                <w:sz w:val="20"/>
                <w:szCs w:val="20"/>
              </w:rPr>
              <w:t xml:space="preserve">/IP/2025 </w:t>
            </w:r>
          </w:p>
          <w:p w:rsidR="0072148B" w:rsidRPr="008736DB" w:rsidRDefault="00A077F4">
            <w:pPr>
              <w:pBdr>
                <w:top w:val="nil"/>
                <w:left w:val="nil"/>
                <w:bottom w:val="nil"/>
                <w:right w:val="nil"/>
                <w:between w:val="nil"/>
              </w:pBdr>
              <w:ind w:right="12"/>
              <w:jc w:val="center"/>
              <w:rPr>
                <w:rFonts w:ascii="Palatino Linotype" w:eastAsia="Palatino Linotype" w:hAnsi="Palatino Linotype" w:cs="Palatino Linotype"/>
                <w:color w:val="000000"/>
                <w:sz w:val="20"/>
                <w:szCs w:val="20"/>
              </w:rPr>
            </w:pPr>
            <w:r w:rsidRPr="008736DB">
              <w:rPr>
                <w:rFonts w:ascii="Palatino Linotype" w:eastAsia="Palatino Linotype" w:hAnsi="Palatino Linotype" w:cs="Palatino Linotype"/>
                <w:i/>
                <w:color w:val="000000"/>
                <w:sz w:val="20"/>
                <w:szCs w:val="20"/>
              </w:rPr>
              <w:t xml:space="preserve">recibos de nómina de los servidores públicos, de la </w:t>
            </w:r>
            <w:r w:rsidRPr="008736DB">
              <w:rPr>
                <w:rFonts w:ascii="Palatino Linotype" w:eastAsia="Palatino Linotype" w:hAnsi="Palatino Linotype" w:cs="Palatino Linotype"/>
                <w:b/>
                <w:i/>
                <w:color w:val="000000"/>
                <w:sz w:val="20"/>
                <w:szCs w:val="20"/>
              </w:rPr>
              <w:t>segunda quincena de enero de 2024</w:t>
            </w:r>
          </w:p>
        </w:tc>
        <w:tc>
          <w:tcPr>
            <w:tcW w:w="3261" w:type="dxa"/>
          </w:tcPr>
          <w:p w:rsidR="0072148B" w:rsidRPr="008736DB" w:rsidRDefault="00A077F4">
            <w:pPr>
              <w:pBdr>
                <w:top w:val="nil"/>
                <w:left w:val="nil"/>
                <w:bottom w:val="nil"/>
                <w:right w:val="nil"/>
                <w:between w:val="nil"/>
              </w:pBdr>
              <w:ind w:left="-22" w:right="12"/>
              <w:jc w:val="both"/>
              <w:rPr>
                <w:rFonts w:ascii="Palatino Linotype" w:eastAsia="Palatino Linotype" w:hAnsi="Palatino Linotype" w:cs="Palatino Linotype"/>
                <w:color w:val="000000"/>
                <w:sz w:val="20"/>
                <w:szCs w:val="20"/>
              </w:rPr>
            </w:pPr>
            <w:r w:rsidRPr="008736DB">
              <w:rPr>
                <w:rFonts w:ascii="Palatino Linotype" w:eastAsia="Palatino Linotype" w:hAnsi="Palatino Linotype" w:cs="Palatino Linotype"/>
                <w:color w:val="000000"/>
                <w:sz w:val="20"/>
                <w:szCs w:val="20"/>
              </w:rPr>
              <w:t xml:space="preserve">Oficio 200B10901/072/2025 del Director de Administración y Tesorería. </w:t>
            </w:r>
          </w:p>
          <w:p w:rsidR="0072148B" w:rsidRPr="008736DB" w:rsidRDefault="0072148B">
            <w:pPr>
              <w:pBdr>
                <w:top w:val="nil"/>
                <w:left w:val="nil"/>
                <w:bottom w:val="nil"/>
                <w:right w:val="nil"/>
                <w:between w:val="nil"/>
              </w:pBdr>
              <w:ind w:left="-22" w:right="12"/>
              <w:jc w:val="both"/>
              <w:rPr>
                <w:rFonts w:ascii="Palatino Linotype" w:eastAsia="Palatino Linotype" w:hAnsi="Palatino Linotype" w:cs="Palatino Linotype"/>
                <w:color w:val="000000"/>
                <w:sz w:val="20"/>
                <w:szCs w:val="20"/>
              </w:rPr>
            </w:pPr>
          </w:p>
          <w:p w:rsidR="0072148B" w:rsidRPr="008736DB" w:rsidRDefault="00A077F4">
            <w:pPr>
              <w:pBdr>
                <w:top w:val="nil"/>
                <w:left w:val="nil"/>
                <w:bottom w:val="nil"/>
                <w:right w:val="nil"/>
                <w:between w:val="nil"/>
              </w:pBdr>
              <w:ind w:left="-22" w:right="12"/>
              <w:jc w:val="both"/>
              <w:rPr>
                <w:rFonts w:ascii="Palatino Linotype" w:eastAsia="Palatino Linotype" w:hAnsi="Palatino Linotype" w:cs="Palatino Linotype"/>
                <w:color w:val="0070C0"/>
                <w:sz w:val="20"/>
                <w:szCs w:val="20"/>
                <w:u w:val="single"/>
              </w:rPr>
            </w:pPr>
            <w:r w:rsidRPr="008736DB">
              <w:rPr>
                <w:rFonts w:ascii="Palatino Linotype" w:eastAsia="Palatino Linotype" w:hAnsi="Palatino Linotype" w:cs="Palatino Linotype"/>
                <w:color w:val="000000"/>
                <w:sz w:val="20"/>
                <w:szCs w:val="20"/>
              </w:rPr>
              <w:t xml:space="preserve">Remite el link </w:t>
            </w:r>
            <w:hyperlink r:id="rId10" w:anchor="/info-fraccion/11/340/28">
              <w:r w:rsidRPr="008736DB">
                <w:rPr>
                  <w:rFonts w:ascii="Palatino Linotype" w:eastAsia="Palatino Linotype" w:hAnsi="Palatino Linotype" w:cs="Palatino Linotype"/>
                  <w:color w:val="0070C0"/>
                  <w:sz w:val="20"/>
                  <w:szCs w:val="20"/>
                  <w:u w:val="single"/>
                </w:rPr>
                <w:t>https://infoem2.ipomex.org.mx/ipomex/#/info-fraccion/11/340/28</w:t>
              </w:r>
            </w:hyperlink>
          </w:p>
          <w:p w:rsidR="0072148B" w:rsidRPr="008736DB" w:rsidRDefault="00A077F4">
            <w:pPr>
              <w:pBdr>
                <w:top w:val="nil"/>
                <w:left w:val="nil"/>
                <w:bottom w:val="nil"/>
                <w:right w:val="nil"/>
                <w:between w:val="nil"/>
              </w:pBdr>
              <w:ind w:left="-22" w:right="12"/>
              <w:jc w:val="both"/>
              <w:rPr>
                <w:rFonts w:ascii="Palatino Linotype" w:eastAsia="Palatino Linotype" w:hAnsi="Palatino Linotype" w:cs="Palatino Linotype"/>
                <w:color w:val="000000"/>
                <w:sz w:val="20"/>
                <w:szCs w:val="20"/>
              </w:rPr>
            </w:pPr>
            <w:r w:rsidRPr="008736DB">
              <w:rPr>
                <w:rFonts w:ascii="Palatino Linotype" w:eastAsia="Palatino Linotype" w:hAnsi="Palatino Linotype" w:cs="Palatino Linotype"/>
                <w:sz w:val="20"/>
                <w:szCs w:val="20"/>
              </w:rPr>
              <w:t>En formato cerrado</w:t>
            </w:r>
          </w:p>
        </w:tc>
        <w:tc>
          <w:tcPr>
            <w:tcW w:w="2287" w:type="dxa"/>
          </w:tcPr>
          <w:p w:rsidR="0072148B" w:rsidRPr="008736DB" w:rsidRDefault="00A077F4">
            <w:pPr>
              <w:pBdr>
                <w:top w:val="nil"/>
                <w:left w:val="nil"/>
                <w:bottom w:val="nil"/>
                <w:right w:val="nil"/>
                <w:between w:val="nil"/>
              </w:pBdr>
              <w:ind w:right="12"/>
              <w:jc w:val="both"/>
              <w:rPr>
                <w:rFonts w:ascii="Palatino Linotype" w:eastAsia="Palatino Linotype" w:hAnsi="Palatino Linotype" w:cs="Palatino Linotype"/>
                <w:i/>
                <w:color w:val="000000"/>
                <w:sz w:val="20"/>
                <w:szCs w:val="20"/>
              </w:rPr>
            </w:pPr>
            <w:r w:rsidRPr="008736DB">
              <w:rPr>
                <w:rFonts w:ascii="Palatino Linotype" w:eastAsia="Palatino Linotype" w:hAnsi="Palatino Linotype" w:cs="Palatino Linotype"/>
                <w:i/>
                <w:color w:val="000000"/>
                <w:sz w:val="20"/>
                <w:szCs w:val="20"/>
              </w:rPr>
              <w:t>respuesta mediante oficio 200B10901/071/2025</w:t>
            </w:r>
          </w:p>
          <w:p w:rsidR="0072148B" w:rsidRPr="008736DB" w:rsidRDefault="0072148B">
            <w:pPr>
              <w:pBdr>
                <w:top w:val="nil"/>
                <w:left w:val="nil"/>
                <w:bottom w:val="nil"/>
                <w:right w:val="nil"/>
                <w:between w:val="nil"/>
              </w:pBdr>
              <w:ind w:right="12"/>
              <w:jc w:val="both"/>
              <w:rPr>
                <w:rFonts w:ascii="Palatino Linotype" w:eastAsia="Palatino Linotype" w:hAnsi="Palatino Linotype" w:cs="Palatino Linotype"/>
                <w:i/>
                <w:color w:val="000000"/>
                <w:sz w:val="20"/>
                <w:szCs w:val="20"/>
              </w:rPr>
            </w:pPr>
          </w:p>
          <w:p w:rsidR="0072148B" w:rsidRPr="008736DB" w:rsidRDefault="00A077F4">
            <w:pPr>
              <w:pBdr>
                <w:top w:val="nil"/>
                <w:left w:val="nil"/>
                <w:bottom w:val="nil"/>
                <w:right w:val="nil"/>
                <w:between w:val="nil"/>
              </w:pBdr>
              <w:ind w:right="12"/>
              <w:jc w:val="both"/>
              <w:rPr>
                <w:rFonts w:ascii="Palatino Linotype" w:eastAsia="Palatino Linotype" w:hAnsi="Palatino Linotype" w:cs="Palatino Linotype"/>
                <w:color w:val="000000"/>
                <w:sz w:val="20"/>
                <w:szCs w:val="20"/>
              </w:rPr>
            </w:pPr>
            <w:r w:rsidRPr="008736DB">
              <w:rPr>
                <w:rFonts w:ascii="Palatino Linotype" w:eastAsia="Palatino Linotype" w:hAnsi="Palatino Linotype" w:cs="Palatino Linotype"/>
                <w:i/>
                <w:color w:val="000000"/>
                <w:sz w:val="20"/>
                <w:szCs w:val="20"/>
              </w:rPr>
              <w:t xml:space="preserve">no me entregan lo solicitado, eso corresponde al tercer trimestre del año 2024, yo pedí primera quincena de enero de 2025 y son los recibos de nómina o </w:t>
            </w:r>
            <w:proofErr w:type="spellStart"/>
            <w:r w:rsidRPr="008736DB">
              <w:rPr>
                <w:rFonts w:ascii="Palatino Linotype" w:eastAsia="Palatino Linotype" w:hAnsi="Palatino Linotype" w:cs="Palatino Linotype"/>
                <w:i/>
                <w:color w:val="000000"/>
                <w:sz w:val="20"/>
                <w:szCs w:val="20"/>
              </w:rPr>
              <w:t>cfdi</w:t>
            </w:r>
            <w:proofErr w:type="spellEnd"/>
          </w:p>
        </w:tc>
        <w:tc>
          <w:tcPr>
            <w:tcW w:w="1966" w:type="dxa"/>
          </w:tcPr>
          <w:p w:rsidR="0072148B" w:rsidRPr="008736DB" w:rsidRDefault="00A077F4">
            <w:pPr>
              <w:pBdr>
                <w:top w:val="nil"/>
                <w:left w:val="nil"/>
                <w:bottom w:val="nil"/>
                <w:right w:val="nil"/>
                <w:between w:val="nil"/>
              </w:pBdr>
              <w:ind w:right="12"/>
              <w:rPr>
                <w:rFonts w:ascii="Palatino Linotype" w:eastAsia="Palatino Linotype" w:hAnsi="Palatino Linotype" w:cs="Palatino Linotype"/>
                <w:b/>
                <w:color w:val="000000"/>
                <w:sz w:val="20"/>
                <w:szCs w:val="20"/>
              </w:rPr>
            </w:pPr>
            <w:r w:rsidRPr="008736DB">
              <w:rPr>
                <w:rFonts w:ascii="Palatino Linotype" w:eastAsia="Palatino Linotype" w:hAnsi="Palatino Linotype" w:cs="Palatino Linotype"/>
                <w:b/>
                <w:color w:val="000000"/>
                <w:sz w:val="20"/>
                <w:szCs w:val="20"/>
              </w:rPr>
              <w:t>La inconformidad no guarda relación con la solicitud de información.</w:t>
            </w:r>
          </w:p>
        </w:tc>
      </w:tr>
    </w:tbl>
    <w:p w:rsidR="0072148B" w:rsidRPr="008736DB" w:rsidRDefault="0072148B">
      <w:pPr>
        <w:spacing w:line="360" w:lineRule="auto"/>
        <w:ind w:right="-787"/>
        <w:jc w:val="both"/>
        <w:rPr>
          <w:rFonts w:ascii="Palatino Linotype" w:eastAsia="Palatino Linotype" w:hAnsi="Palatino Linotype" w:cs="Palatino Linotype"/>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 xml:space="preserve">Como se puede observar, en la solicitud de información, 00011/DIFTOLUCA/IP/2025 se requirieron </w:t>
      </w:r>
      <w:r w:rsidRPr="008736DB">
        <w:rPr>
          <w:rFonts w:ascii="Palatino Linotype" w:eastAsia="Palatino Linotype" w:hAnsi="Palatino Linotype" w:cs="Palatino Linotype"/>
          <w:b/>
          <w:u w:val="single"/>
        </w:rPr>
        <w:t>recibos de nómina de los servidores públicos, de la segunda quincena de enero de 2024</w:t>
      </w:r>
      <w:r w:rsidRPr="008736DB">
        <w:rPr>
          <w:rFonts w:ascii="Palatino Linotype" w:eastAsia="Palatino Linotype" w:hAnsi="Palatino Linotype" w:cs="Palatino Linotype"/>
          <w:b/>
        </w:rPr>
        <w:t xml:space="preserve">, </w:t>
      </w:r>
      <w:r w:rsidRPr="008736DB">
        <w:rPr>
          <w:rFonts w:ascii="Palatino Linotype" w:eastAsia="Palatino Linotype" w:hAnsi="Palatino Linotype" w:cs="Palatino Linotype"/>
        </w:rPr>
        <w:t xml:space="preserve"> el recurrente impugnó un oficio que no se entregó en respuesta a esta solicitud de información; adicionalmente se inconformó señalando que </w:t>
      </w:r>
      <w:r w:rsidRPr="008736DB">
        <w:rPr>
          <w:rFonts w:ascii="Palatino Linotype" w:eastAsia="Palatino Linotype" w:hAnsi="Palatino Linotype" w:cs="Palatino Linotype"/>
          <w:b/>
        </w:rPr>
        <w:t>“</w:t>
      </w:r>
      <w:r w:rsidRPr="008736DB">
        <w:rPr>
          <w:rFonts w:ascii="Palatino Linotype" w:eastAsia="Palatino Linotype" w:hAnsi="Palatino Linotype" w:cs="Palatino Linotype"/>
          <w:b/>
          <w:i/>
        </w:rPr>
        <w:t xml:space="preserve">la información entregada corresponde a al </w:t>
      </w:r>
      <w:r w:rsidRPr="008736DB">
        <w:rPr>
          <w:rFonts w:ascii="Palatino Linotype" w:eastAsia="Palatino Linotype" w:hAnsi="Palatino Linotype" w:cs="Palatino Linotype"/>
          <w:b/>
          <w:i/>
          <w:color w:val="000000"/>
        </w:rPr>
        <w:t>tercer trimestre del año 2024, yo pedí primera quincena de enero de 2025”</w:t>
      </w:r>
      <w:r w:rsidRPr="008736DB">
        <w:rPr>
          <w:rFonts w:ascii="Palatino Linotype" w:eastAsia="Palatino Linotype" w:hAnsi="Palatino Linotype" w:cs="Palatino Linotype"/>
        </w:rPr>
        <w:t>, circunstancia que a todas luces no guardan relación con la solicitud de información.</w:t>
      </w:r>
    </w:p>
    <w:p w:rsidR="0072148B" w:rsidRPr="008736DB" w:rsidRDefault="0072148B">
      <w:pPr>
        <w:spacing w:line="360" w:lineRule="auto"/>
        <w:jc w:val="both"/>
        <w:rPr>
          <w:rFonts w:ascii="Palatino Linotype" w:eastAsia="Palatino Linotype" w:hAnsi="Palatino Linotype" w:cs="Palatino Linotype"/>
          <w:i/>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color w:val="000000"/>
        </w:rPr>
        <w:lastRenderedPageBreak/>
        <w:t>Sirve de sustento la Jurisprudencia No. 29 visible a foja 19 del Apéndice al Semanario Judicial de la Federación 1917-1995, Torno VI, Materia Común, Primera Parte, Tesis de la Suprema Corte de Justicia, que contiene:</w:t>
      </w:r>
    </w:p>
    <w:p w:rsidR="0072148B" w:rsidRPr="008736DB" w:rsidRDefault="0072148B">
      <w:pPr>
        <w:pBdr>
          <w:top w:val="nil"/>
          <w:left w:val="nil"/>
          <w:bottom w:val="nil"/>
          <w:right w:val="nil"/>
          <w:between w:val="nil"/>
        </w:pBdr>
        <w:ind w:left="720"/>
        <w:rPr>
          <w:rFonts w:ascii="Palatino Linotype" w:eastAsia="Palatino Linotype" w:hAnsi="Palatino Linotype" w:cs="Palatino Linotype"/>
          <w:color w:val="000000"/>
        </w:rPr>
      </w:pPr>
    </w:p>
    <w:p w:rsidR="0072148B" w:rsidRPr="008736DB" w:rsidRDefault="00A077F4">
      <w:pPr>
        <w:shd w:val="clear" w:color="auto" w:fill="FFFFFF"/>
        <w:ind w:left="567" w:right="900"/>
        <w:jc w:val="both"/>
        <w:rPr>
          <w:rFonts w:ascii="Palatino Linotype" w:eastAsia="Palatino Linotype" w:hAnsi="Palatino Linotype" w:cs="Palatino Linotype"/>
          <w:i/>
          <w:color w:val="000000"/>
          <w:sz w:val="22"/>
          <w:szCs w:val="22"/>
        </w:rPr>
      </w:pPr>
      <w:r w:rsidRPr="008736DB">
        <w:rPr>
          <w:rFonts w:ascii="Palatino Linotype" w:eastAsia="Palatino Linotype" w:hAnsi="Palatino Linotype" w:cs="Palatino Linotype"/>
          <w:b/>
          <w:i/>
          <w:color w:val="000000"/>
          <w:sz w:val="22"/>
          <w:szCs w:val="22"/>
        </w:rPr>
        <w:t>AGRAVIOS EN LA REVISION. DEBEN ESTAR EN RELACION DIRECTA CON LOS FUNDAMENTOS Y CONSIDERACIONES DE LA SENTENCIA</w:t>
      </w:r>
      <w:r w:rsidRPr="008736DB">
        <w:rPr>
          <w:rFonts w:ascii="Palatino Linotype" w:eastAsia="Palatino Linotype" w:hAnsi="Palatino Linotype" w:cs="Palatino Linotype"/>
          <w:i/>
          <w:color w:val="000000"/>
          <w:sz w:val="22"/>
          <w:szCs w:val="22"/>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rsidR="0072148B" w:rsidRPr="008736DB" w:rsidRDefault="0072148B">
      <w:pPr>
        <w:shd w:val="clear" w:color="auto" w:fill="FFFFFF"/>
        <w:spacing w:line="360" w:lineRule="auto"/>
        <w:ind w:left="567" w:right="567"/>
        <w:jc w:val="both"/>
        <w:rPr>
          <w:rFonts w:ascii="Palatino Linotype" w:eastAsia="Palatino Linotype" w:hAnsi="Palatino Linotype" w:cs="Palatino Linotype"/>
          <w:i/>
          <w:color w:val="000000"/>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color w:val="000000"/>
        </w:rPr>
        <w:t xml:space="preserve">Una vez analizado que </w:t>
      </w:r>
      <w:r w:rsidRPr="008736DB">
        <w:rPr>
          <w:rFonts w:ascii="Palatino Linotype" w:eastAsia="Palatino Linotype" w:hAnsi="Palatino Linotype" w:cs="Palatino Linotype"/>
          <w:b/>
          <w:color w:val="000000"/>
        </w:rPr>
        <w:t xml:space="preserve">no existe relación del acto impugnado con la respuesta proporcionada y de </w:t>
      </w:r>
      <w:r w:rsidRPr="008736DB">
        <w:rPr>
          <w:rFonts w:ascii="Palatino Linotype" w:eastAsia="Palatino Linotype" w:hAnsi="Palatino Linotype" w:cs="Palatino Linotype"/>
          <w:b/>
        </w:rPr>
        <w:t>las razones y motivos de inconformidad con la solicitud inicial</w:t>
      </w:r>
      <w:r w:rsidRPr="008736DB">
        <w:rPr>
          <w:rFonts w:ascii="Palatino Linotype" w:eastAsia="Palatino Linotype" w:hAnsi="Palatino Linotype" w:cs="Palatino Linotype"/>
          <w:color w:val="000000"/>
        </w:rPr>
        <w:t xml:space="preserve">, se determina que el escrito </w:t>
      </w:r>
      <w:proofErr w:type="spellStart"/>
      <w:r w:rsidRPr="008736DB">
        <w:rPr>
          <w:rFonts w:ascii="Palatino Linotype" w:eastAsia="Palatino Linotype" w:hAnsi="Palatino Linotype" w:cs="Palatino Linotype"/>
          <w:color w:val="000000"/>
        </w:rPr>
        <w:t>recursal</w:t>
      </w:r>
      <w:proofErr w:type="spellEnd"/>
      <w:r w:rsidRPr="008736DB">
        <w:rPr>
          <w:rFonts w:ascii="Palatino Linotype" w:eastAsia="Palatino Linotype" w:hAnsi="Palatino Linotype" w:cs="Palatino Linotype"/>
          <w:color w:val="000000"/>
        </w:rPr>
        <w:t xml:space="preserve"> no actualizan ninguna causal de procedencia ya que no guarda relación con las constancias que obran en el expediente electrónico en que se actúa; es decir con la solicitud de información. </w:t>
      </w:r>
    </w:p>
    <w:p w:rsidR="0072148B" w:rsidRPr="008736DB" w:rsidRDefault="0072148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color w:val="000000"/>
        </w:rPr>
        <w:t>En consecuencia, l</w:t>
      </w:r>
      <w:r w:rsidRPr="008736DB">
        <w:rPr>
          <w:rFonts w:ascii="Palatino Linotype" w:eastAsia="Palatino Linotype" w:hAnsi="Palatino Linotype" w:cs="Palatino Linotype"/>
        </w:rPr>
        <w:t>a falta de actualización de causal de procedencia, trae consigo que el Recurso de Revisión sea desechado por improcedente, de acuerdo al artículo 191, fracción III, de la ley de transparencia local:</w:t>
      </w:r>
    </w:p>
    <w:p w:rsidR="0072148B" w:rsidRPr="008736DB" w:rsidRDefault="0072148B">
      <w:pPr>
        <w:pBdr>
          <w:top w:val="nil"/>
          <w:left w:val="nil"/>
          <w:bottom w:val="nil"/>
          <w:right w:val="nil"/>
          <w:between w:val="nil"/>
        </w:pBdr>
        <w:ind w:left="720"/>
        <w:rPr>
          <w:rFonts w:ascii="Palatino Linotype" w:eastAsia="Palatino Linotype" w:hAnsi="Palatino Linotype" w:cs="Palatino Linotype"/>
          <w:color w:val="000000"/>
        </w:rPr>
      </w:pPr>
    </w:p>
    <w:p w:rsidR="0072148B" w:rsidRPr="008736DB" w:rsidRDefault="00A077F4">
      <w:pPr>
        <w:pBdr>
          <w:top w:val="nil"/>
          <w:left w:val="nil"/>
          <w:bottom w:val="nil"/>
          <w:right w:val="nil"/>
          <w:between w:val="nil"/>
        </w:pBdr>
        <w:tabs>
          <w:tab w:val="left" w:pos="567"/>
        </w:tabs>
        <w:ind w:left="567" w:right="900"/>
        <w:jc w:val="both"/>
        <w:rPr>
          <w:rFonts w:ascii="Palatino Linotype" w:eastAsia="Palatino Linotype" w:hAnsi="Palatino Linotype" w:cs="Palatino Linotype"/>
          <w:i/>
          <w:color w:val="000000"/>
          <w:sz w:val="22"/>
          <w:szCs w:val="22"/>
        </w:rPr>
      </w:pPr>
      <w:r w:rsidRPr="008736DB">
        <w:rPr>
          <w:rFonts w:ascii="Palatino Linotype" w:eastAsia="Palatino Linotype" w:hAnsi="Palatino Linotype" w:cs="Palatino Linotype"/>
          <w:i/>
          <w:color w:val="000000"/>
          <w:sz w:val="22"/>
          <w:szCs w:val="22"/>
        </w:rPr>
        <w:t>Artículo 191. El recurso será desechado por improcedente cuando:</w:t>
      </w:r>
    </w:p>
    <w:p w:rsidR="0072148B" w:rsidRPr="008736DB" w:rsidRDefault="00A077F4">
      <w:pPr>
        <w:pBdr>
          <w:top w:val="nil"/>
          <w:left w:val="nil"/>
          <w:bottom w:val="nil"/>
          <w:right w:val="nil"/>
          <w:between w:val="nil"/>
        </w:pBdr>
        <w:tabs>
          <w:tab w:val="left" w:pos="567"/>
        </w:tabs>
        <w:ind w:left="567" w:right="900"/>
        <w:jc w:val="both"/>
        <w:rPr>
          <w:rFonts w:ascii="Palatino Linotype" w:eastAsia="Palatino Linotype" w:hAnsi="Palatino Linotype" w:cs="Palatino Linotype"/>
          <w:i/>
          <w:color w:val="000000"/>
          <w:sz w:val="22"/>
          <w:szCs w:val="22"/>
        </w:rPr>
      </w:pPr>
      <w:r w:rsidRPr="008736DB">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rsidR="0072148B" w:rsidRPr="008736DB" w:rsidRDefault="00A077F4">
      <w:pPr>
        <w:pBdr>
          <w:top w:val="nil"/>
          <w:left w:val="nil"/>
          <w:bottom w:val="nil"/>
          <w:right w:val="nil"/>
          <w:between w:val="nil"/>
        </w:pBdr>
        <w:tabs>
          <w:tab w:val="left" w:pos="567"/>
        </w:tabs>
        <w:ind w:left="567" w:right="900"/>
        <w:jc w:val="both"/>
        <w:rPr>
          <w:rFonts w:ascii="Palatino Linotype" w:eastAsia="Palatino Linotype" w:hAnsi="Palatino Linotype" w:cs="Palatino Linotype"/>
          <w:i/>
          <w:color w:val="000000"/>
          <w:sz w:val="22"/>
          <w:szCs w:val="22"/>
        </w:rPr>
      </w:pPr>
      <w:r w:rsidRPr="008736DB">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rsidR="0072148B" w:rsidRPr="008736DB" w:rsidRDefault="00A077F4">
      <w:pPr>
        <w:pBdr>
          <w:top w:val="nil"/>
          <w:left w:val="nil"/>
          <w:bottom w:val="nil"/>
          <w:right w:val="nil"/>
          <w:between w:val="nil"/>
        </w:pBdr>
        <w:tabs>
          <w:tab w:val="left" w:pos="567"/>
        </w:tabs>
        <w:ind w:left="567" w:right="900"/>
        <w:jc w:val="both"/>
        <w:rPr>
          <w:rFonts w:ascii="Palatino Linotype" w:eastAsia="Palatino Linotype" w:hAnsi="Palatino Linotype" w:cs="Palatino Linotype"/>
          <w:b/>
          <w:i/>
          <w:color w:val="000000"/>
          <w:sz w:val="22"/>
          <w:szCs w:val="22"/>
        </w:rPr>
      </w:pPr>
      <w:r w:rsidRPr="008736DB">
        <w:rPr>
          <w:rFonts w:ascii="Palatino Linotype" w:eastAsia="Palatino Linotype" w:hAnsi="Palatino Linotype" w:cs="Palatino Linotype"/>
          <w:b/>
          <w:i/>
          <w:color w:val="000000"/>
          <w:sz w:val="22"/>
          <w:szCs w:val="22"/>
        </w:rPr>
        <w:lastRenderedPageBreak/>
        <w:t xml:space="preserve">III. No actualice alguno de los supuestos previstos en la presente Ley; </w:t>
      </w:r>
    </w:p>
    <w:p w:rsidR="0072148B" w:rsidRPr="008736DB" w:rsidRDefault="00A077F4">
      <w:pPr>
        <w:pBdr>
          <w:top w:val="nil"/>
          <w:left w:val="nil"/>
          <w:bottom w:val="nil"/>
          <w:right w:val="nil"/>
          <w:between w:val="nil"/>
        </w:pBdr>
        <w:tabs>
          <w:tab w:val="left" w:pos="567"/>
        </w:tabs>
        <w:ind w:left="567" w:right="900"/>
        <w:jc w:val="both"/>
        <w:rPr>
          <w:rFonts w:ascii="Palatino Linotype" w:eastAsia="Palatino Linotype" w:hAnsi="Palatino Linotype" w:cs="Palatino Linotype"/>
          <w:i/>
          <w:color w:val="000000"/>
          <w:sz w:val="22"/>
          <w:szCs w:val="22"/>
        </w:rPr>
      </w:pPr>
      <w:r w:rsidRPr="008736DB">
        <w:rPr>
          <w:rFonts w:ascii="Palatino Linotype" w:eastAsia="Palatino Linotype" w:hAnsi="Palatino Linotype" w:cs="Palatino Linotype"/>
          <w:i/>
          <w:color w:val="000000"/>
          <w:sz w:val="22"/>
          <w:szCs w:val="22"/>
        </w:rPr>
        <w:t xml:space="preserve">IV. No se haya desahogado la prevención en los términos establecidos en la presente Ley; </w:t>
      </w:r>
    </w:p>
    <w:p w:rsidR="0072148B" w:rsidRPr="008736DB" w:rsidRDefault="00A077F4">
      <w:pPr>
        <w:pBdr>
          <w:top w:val="nil"/>
          <w:left w:val="nil"/>
          <w:bottom w:val="nil"/>
          <w:right w:val="nil"/>
          <w:between w:val="nil"/>
        </w:pBdr>
        <w:tabs>
          <w:tab w:val="left" w:pos="567"/>
        </w:tabs>
        <w:ind w:left="567" w:right="900"/>
        <w:jc w:val="both"/>
        <w:rPr>
          <w:rFonts w:ascii="Palatino Linotype" w:eastAsia="Palatino Linotype" w:hAnsi="Palatino Linotype" w:cs="Palatino Linotype"/>
          <w:i/>
          <w:color w:val="000000"/>
          <w:sz w:val="22"/>
          <w:szCs w:val="22"/>
        </w:rPr>
      </w:pPr>
      <w:r w:rsidRPr="008736DB">
        <w:rPr>
          <w:rFonts w:ascii="Palatino Linotype" w:eastAsia="Palatino Linotype" w:hAnsi="Palatino Linotype" w:cs="Palatino Linotype"/>
          <w:i/>
          <w:color w:val="000000"/>
          <w:sz w:val="22"/>
          <w:szCs w:val="22"/>
        </w:rPr>
        <w:t xml:space="preserve">V. Se impugne la veracidad de la información proporcionada; </w:t>
      </w:r>
    </w:p>
    <w:p w:rsidR="0072148B" w:rsidRPr="008736DB" w:rsidRDefault="00A077F4">
      <w:pPr>
        <w:pBdr>
          <w:top w:val="nil"/>
          <w:left w:val="nil"/>
          <w:bottom w:val="nil"/>
          <w:right w:val="nil"/>
          <w:between w:val="nil"/>
        </w:pBdr>
        <w:tabs>
          <w:tab w:val="left" w:pos="567"/>
        </w:tabs>
        <w:ind w:left="567" w:right="900"/>
        <w:jc w:val="both"/>
        <w:rPr>
          <w:rFonts w:ascii="Palatino Linotype" w:eastAsia="Palatino Linotype" w:hAnsi="Palatino Linotype" w:cs="Palatino Linotype"/>
          <w:i/>
          <w:color w:val="000000"/>
          <w:sz w:val="22"/>
          <w:szCs w:val="22"/>
        </w:rPr>
      </w:pPr>
      <w:r w:rsidRPr="008736DB">
        <w:rPr>
          <w:rFonts w:ascii="Palatino Linotype" w:eastAsia="Palatino Linotype" w:hAnsi="Palatino Linotype" w:cs="Palatino Linotype"/>
          <w:i/>
          <w:color w:val="000000"/>
          <w:sz w:val="22"/>
          <w:szCs w:val="22"/>
        </w:rPr>
        <w:t xml:space="preserve">VI. Se trate de una consulta, o trámite en específico; y </w:t>
      </w:r>
    </w:p>
    <w:p w:rsidR="0072148B" w:rsidRPr="008736DB" w:rsidRDefault="00A077F4">
      <w:pPr>
        <w:pBdr>
          <w:top w:val="nil"/>
          <w:left w:val="nil"/>
          <w:bottom w:val="nil"/>
          <w:right w:val="nil"/>
          <w:between w:val="nil"/>
        </w:pBdr>
        <w:tabs>
          <w:tab w:val="left" w:pos="567"/>
        </w:tabs>
        <w:ind w:left="567" w:right="900"/>
        <w:jc w:val="both"/>
        <w:rPr>
          <w:rFonts w:ascii="Palatino Linotype" w:eastAsia="Palatino Linotype" w:hAnsi="Palatino Linotype" w:cs="Palatino Linotype"/>
          <w:i/>
          <w:color w:val="000000"/>
          <w:sz w:val="22"/>
          <w:szCs w:val="22"/>
        </w:rPr>
      </w:pPr>
      <w:r w:rsidRPr="008736DB">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rsidR="0072148B" w:rsidRPr="008736DB" w:rsidRDefault="0072148B">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i/>
          <w:color w:val="000000"/>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 xml:space="preserve">Es así que, </w:t>
      </w:r>
      <w:r w:rsidRPr="008736DB">
        <w:rPr>
          <w:rFonts w:ascii="Palatino Linotype" w:eastAsia="Palatino Linotype" w:hAnsi="Palatino Linotype" w:cs="Palatino Linotype"/>
          <w:b/>
        </w:rPr>
        <w:t>el Recurso de Revisión 00369/INFOEM/IP/RR/2025 actualiza la causal de sobreseimiento</w:t>
      </w:r>
      <w:r w:rsidRPr="008736DB">
        <w:rPr>
          <w:rFonts w:ascii="Palatino Linotype" w:eastAsia="Palatino Linotype" w:hAnsi="Palatino Linotype" w:cs="Palatino Linotype"/>
        </w:rPr>
        <w:t xml:space="preserve"> establecida en la fracción IV, del artículo 192, en relación a la fracción III del artículo 191, ambos de la Ley de Transparencia y Acceso a la Información Pública del Estado de México y Municipios.</w:t>
      </w:r>
    </w:p>
    <w:p w:rsidR="0072148B" w:rsidRPr="008736DB" w:rsidRDefault="0072148B">
      <w:pPr>
        <w:spacing w:line="360" w:lineRule="auto"/>
        <w:ind w:right="-787"/>
        <w:jc w:val="both"/>
        <w:rPr>
          <w:rFonts w:ascii="Palatino Linotype" w:eastAsia="Palatino Linotype" w:hAnsi="Palatino Linotype" w:cs="Palatino Linotype"/>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En lo que respecta a la respuesta proporcionada por el Sujeto Obligado manifestando que la información objeto de la solicitud se encuentra publicada en la fracción VIII A, denominada “Remuneraciones” del Sistema de Información Pública de Oficio Mexiquense (IPOMEX, señaló un link en dato cerrado, tal como se muestra en la imagen siguiente:</w:t>
      </w:r>
    </w:p>
    <w:p w:rsidR="0072148B" w:rsidRPr="008736DB" w:rsidRDefault="00A077F4">
      <w:pPr>
        <w:spacing w:line="360" w:lineRule="auto"/>
        <w:ind w:right="-929"/>
        <w:jc w:val="center"/>
        <w:rPr>
          <w:rFonts w:ascii="Palatino Linotype" w:eastAsia="Palatino Linotype" w:hAnsi="Palatino Linotype" w:cs="Palatino Linotype"/>
        </w:rPr>
      </w:pPr>
      <w:r w:rsidRPr="008736DB">
        <w:rPr>
          <w:rFonts w:ascii="Palatino Linotype" w:eastAsia="Palatino Linotype" w:hAnsi="Palatino Linotype" w:cs="Palatino Linotype"/>
          <w:noProof/>
          <w:lang w:val="es-MX" w:eastAsia="es-MX"/>
        </w:rPr>
        <w:drawing>
          <wp:inline distT="0" distB="0" distL="0" distR="0">
            <wp:extent cx="4354363" cy="574498"/>
            <wp:effectExtent l="0" t="0" r="0" b="0"/>
            <wp:docPr id="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354363" cy="574498"/>
                    </a:xfrm>
                    <a:prstGeom prst="rect">
                      <a:avLst/>
                    </a:prstGeom>
                    <a:ln/>
                  </pic:spPr>
                </pic:pic>
              </a:graphicData>
            </a:graphic>
          </wp:inline>
        </w:drawing>
      </w: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b/>
          <w:color w:val="000000"/>
        </w:rPr>
      </w:pPr>
      <w:r w:rsidRPr="008736DB">
        <w:rPr>
          <w:rFonts w:ascii="Palatino Linotype" w:eastAsia="Palatino Linotype" w:hAnsi="Palatino Linotype" w:cs="Palatino Linotype"/>
          <w:b/>
          <w:color w:val="000000"/>
        </w:rPr>
        <w:t xml:space="preserve">EL SUJETO OBLIGADO,  </w:t>
      </w:r>
      <w:r w:rsidRPr="008736DB">
        <w:rPr>
          <w:rFonts w:ascii="Palatino Linotype" w:eastAsia="Palatino Linotype" w:hAnsi="Palatino Linotype" w:cs="Palatino Linotype"/>
          <w:color w:val="000000"/>
        </w:rPr>
        <w:t xml:space="preserve">proporcionó la liga para obtener la información relativa a las “Remuneraciones” de los servidores públicos que laboran en el Organismo, en </w:t>
      </w:r>
      <w:r w:rsidRPr="008736DB">
        <w:rPr>
          <w:rFonts w:ascii="Palatino Linotype" w:eastAsia="Palatino Linotype" w:hAnsi="Palatino Linotype" w:cs="Palatino Linotype"/>
          <w:b/>
          <w:color w:val="000000"/>
          <w:u w:val="single"/>
        </w:rPr>
        <w:t>formato cerrado</w:t>
      </w:r>
      <w:r w:rsidRPr="008736DB">
        <w:rPr>
          <w:rFonts w:ascii="Palatino Linotype" w:eastAsia="Palatino Linotype" w:hAnsi="Palatino Linotype" w:cs="Palatino Linotype"/>
          <w:color w:val="000000"/>
        </w:rPr>
        <w:t xml:space="preserve">; ya que si bien, el archivo permite copiar y pegar el link en el buscador, dicha función es no es posible de manera correcta, ya que al hacerlo, el link se copia de la siguiente manera </w:t>
      </w:r>
      <w:r w:rsidRPr="008736DB">
        <w:rPr>
          <w:rFonts w:ascii="Palatino Linotype" w:eastAsia="Palatino Linotype" w:hAnsi="Palatino Linotype" w:cs="Palatino Linotype"/>
          <w:b/>
        </w:rPr>
        <w:t xml:space="preserve">httos://infoem2.i oomex.oro.mx/i </w:t>
      </w:r>
      <w:proofErr w:type="spellStart"/>
      <w:r w:rsidRPr="008736DB">
        <w:rPr>
          <w:rFonts w:ascii="Palatino Linotype" w:eastAsia="Palatino Linotype" w:hAnsi="Palatino Linotype" w:cs="Palatino Linotype"/>
          <w:b/>
        </w:rPr>
        <w:t>po</w:t>
      </w:r>
      <w:proofErr w:type="spellEnd"/>
      <w:r w:rsidRPr="008736DB">
        <w:rPr>
          <w:rFonts w:ascii="Palatino Linotype" w:eastAsia="Palatino Linotype" w:hAnsi="Palatino Linotype" w:cs="Palatino Linotype"/>
          <w:b/>
        </w:rPr>
        <w:t xml:space="preserve"> </w:t>
      </w:r>
      <w:proofErr w:type="spellStart"/>
      <w:r w:rsidRPr="008736DB">
        <w:rPr>
          <w:rFonts w:ascii="Palatino Linotype" w:eastAsia="Palatino Linotype" w:hAnsi="Palatino Linotype" w:cs="Palatino Linotype"/>
          <w:b/>
        </w:rPr>
        <w:t>mex</w:t>
      </w:r>
      <w:proofErr w:type="spellEnd"/>
      <w:r w:rsidRPr="008736DB">
        <w:rPr>
          <w:rFonts w:ascii="Palatino Linotype" w:eastAsia="Palatino Linotype" w:hAnsi="Palatino Linotype" w:cs="Palatino Linotype"/>
          <w:b/>
        </w:rPr>
        <w:t xml:space="preserve">/#/i </w:t>
      </w:r>
      <w:proofErr w:type="spellStart"/>
      <w:r w:rsidRPr="008736DB">
        <w:rPr>
          <w:rFonts w:ascii="Palatino Linotype" w:eastAsia="Palatino Linotype" w:hAnsi="Palatino Linotype" w:cs="Palatino Linotype"/>
          <w:b/>
        </w:rPr>
        <w:t>nf</w:t>
      </w:r>
      <w:proofErr w:type="spellEnd"/>
      <w:r w:rsidRPr="008736DB">
        <w:rPr>
          <w:rFonts w:ascii="Palatino Linotype" w:eastAsia="Palatino Linotype" w:hAnsi="Palatino Linotype" w:cs="Palatino Linotype"/>
          <w:b/>
        </w:rPr>
        <w:t xml:space="preserve"> o-f </w:t>
      </w:r>
      <w:proofErr w:type="spellStart"/>
      <w:r w:rsidRPr="008736DB">
        <w:rPr>
          <w:rFonts w:ascii="Palatino Linotype" w:eastAsia="Palatino Linotype" w:hAnsi="Palatino Linotype" w:cs="Palatino Linotype"/>
          <w:b/>
        </w:rPr>
        <w:t>ra</w:t>
      </w:r>
      <w:proofErr w:type="spellEnd"/>
      <w:r w:rsidRPr="008736DB">
        <w:rPr>
          <w:rFonts w:ascii="Palatino Linotype" w:eastAsia="Palatino Linotype" w:hAnsi="Palatino Linotype" w:cs="Palatino Linotype"/>
          <w:b/>
        </w:rPr>
        <w:t xml:space="preserve"> cci o n I 11 I 34o I 2a</w:t>
      </w:r>
      <w:r w:rsidRPr="008736DB">
        <w:rPr>
          <w:rFonts w:ascii="Palatino Linotype" w:eastAsia="Palatino Linotype" w:hAnsi="Palatino Linotype" w:cs="Palatino Linotype"/>
        </w:rPr>
        <w:t xml:space="preserve"> </w:t>
      </w:r>
      <w:r w:rsidRPr="008736DB">
        <w:rPr>
          <w:rFonts w:ascii="Palatino Linotype" w:eastAsia="Palatino Linotype" w:hAnsi="Palatino Linotype" w:cs="Palatino Linotype"/>
          <w:color w:val="000000"/>
        </w:rPr>
        <w:t xml:space="preserve">, es decir, que implica que se digite dato por dato de cada uno de los caracteres, lo que facilita la existencia del error humano; por lo cual, en atención a los artículos 3° fracción VIII, XVI, 24, fracción V, </w:t>
      </w:r>
      <w:r w:rsidRPr="008736DB">
        <w:rPr>
          <w:rFonts w:ascii="Palatino Linotype" w:eastAsia="Palatino Linotype" w:hAnsi="Palatino Linotype" w:cs="Palatino Linotype"/>
          <w:color w:val="000000"/>
        </w:rPr>
        <w:lastRenderedPageBreak/>
        <w:t xml:space="preserve">41 y 160 de la Ley de Transparencia vigente en la Entidad, los Sujetos Obligados y este Organismo Garante, deben velar por la generación y entrega de la información a los Particulares </w:t>
      </w:r>
      <w:r w:rsidRPr="008736DB">
        <w:rPr>
          <w:rFonts w:ascii="Palatino Linotype" w:eastAsia="Palatino Linotype" w:hAnsi="Palatino Linotype" w:cs="Palatino Linotype"/>
          <w:b/>
          <w:color w:val="000000"/>
        </w:rPr>
        <w:t>en formatos abiertos, con los efectos de facilitar la reutilización de la información.</w:t>
      </w:r>
    </w:p>
    <w:p w:rsidR="0072148B" w:rsidRPr="008736DB" w:rsidRDefault="0072148B">
      <w:pPr>
        <w:spacing w:line="360" w:lineRule="auto"/>
        <w:ind w:right="-787"/>
        <w:jc w:val="both"/>
        <w:rPr>
          <w:rFonts w:ascii="Palatino Linotype" w:eastAsia="Palatino Linotype" w:hAnsi="Palatino Linotype" w:cs="Palatino Linotype"/>
          <w:b/>
          <w:color w:val="000000"/>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color w:val="000000"/>
        </w:rPr>
      </w:pPr>
      <w:r w:rsidRPr="008736DB">
        <w:rPr>
          <w:rFonts w:ascii="Palatino Linotype" w:eastAsia="Palatino Linotype" w:hAnsi="Palatino Linotype" w:cs="Palatino Linotype"/>
          <w:color w:val="000000"/>
        </w:rPr>
        <w:t xml:space="preserve">Lo anterior, en acatamiento a lo estipulado en el artículo 161, de la Ley de Transparencia y Acceso a la Información Pública del Estado de México y Municipios, mismo que señala que cuando la información requerida por el solicitante ya esté disponible al público en medios impresos, tales como libros, compendios, trípticos, registros públicos, en formatos electrónicos disponibles en Internet o en cualquier otro medio, </w:t>
      </w:r>
      <w:r w:rsidRPr="008736DB">
        <w:rPr>
          <w:rFonts w:ascii="Palatino Linotype" w:eastAsia="Palatino Linotype" w:hAnsi="Palatino Linotype" w:cs="Palatino Linotype"/>
          <w:b/>
          <w:color w:val="000000"/>
          <w:u w:val="single"/>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la búsqueda en toda la información que se encuentre disponible.</w:t>
      </w:r>
    </w:p>
    <w:p w:rsidR="0072148B" w:rsidRPr="008736DB" w:rsidRDefault="0072148B">
      <w:pPr>
        <w:spacing w:line="360" w:lineRule="auto"/>
        <w:ind w:right="-929"/>
        <w:jc w:val="both"/>
        <w:rPr>
          <w:rFonts w:ascii="Palatino Linotype" w:eastAsia="Palatino Linotype" w:hAnsi="Palatino Linotype" w:cs="Palatino Linotype"/>
          <w:color w:val="000000"/>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b/>
          <w:color w:val="000000"/>
        </w:rPr>
      </w:pPr>
      <w:r w:rsidRPr="008736DB">
        <w:rPr>
          <w:rFonts w:ascii="Palatino Linotype" w:eastAsia="Palatino Linotype" w:hAnsi="Palatino Linotype" w:cs="Palatino Linotype"/>
          <w:color w:val="000000"/>
        </w:rPr>
        <w:t xml:space="preserve">Ahora bien, al digitar manualmente en el buscador el link </w:t>
      </w:r>
      <w:hyperlink r:id="rId12" w:anchor="/info-fraccion/11/340/28">
        <w:r w:rsidRPr="008736DB">
          <w:rPr>
            <w:rFonts w:ascii="Palatino Linotype" w:eastAsia="Palatino Linotype" w:hAnsi="Palatino Linotype" w:cs="Palatino Linotype"/>
            <w:color w:val="0070C0"/>
            <w:u w:val="single"/>
          </w:rPr>
          <w:t>https://infoem2.ipomex.org.mx/ipomex/#/info-fraccion/11/340/28</w:t>
        </w:r>
      </w:hyperlink>
      <w:r w:rsidRPr="008736DB">
        <w:rPr>
          <w:rFonts w:ascii="Palatino Linotype" w:eastAsia="Palatino Linotype" w:hAnsi="Palatino Linotype" w:cs="Palatino Linotype"/>
          <w:color w:val="0070C0"/>
          <w:u w:val="single"/>
        </w:rPr>
        <w:t xml:space="preserve"> </w:t>
      </w:r>
      <w:r w:rsidRPr="008736DB">
        <w:rPr>
          <w:rFonts w:ascii="Palatino Linotype" w:eastAsia="Palatino Linotype" w:hAnsi="Palatino Linotype" w:cs="Palatino Linotype"/>
          <w:color w:val="000000"/>
        </w:rPr>
        <w:t>se despliega una ventana de la página Web de Información Pública de oficio mexiquense (IPOMEX), correspondiente al  Sistema Municipal para el Desarrollo Integral de la Familia de Toluca, Artículo 92  Fracción VIII A  Remuneraciones, tal como se muestra en la siguiente captura de pantalla:</w:t>
      </w:r>
    </w:p>
    <w:p w:rsidR="0072148B" w:rsidRPr="008736DB" w:rsidRDefault="00A077F4">
      <w:pPr>
        <w:spacing w:line="360" w:lineRule="auto"/>
        <w:ind w:right="-929"/>
        <w:jc w:val="center"/>
        <w:rPr>
          <w:rFonts w:ascii="Palatino Linotype" w:eastAsia="Palatino Linotype" w:hAnsi="Palatino Linotype" w:cs="Palatino Linotype"/>
          <w:color w:val="000000"/>
        </w:rPr>
      </w:pPr>
      <w:r w:rsidRPr="008736DB">
        <w:rPr>
          <w:rFonts w:ascii="Palatino Linotype" w:eastAsia="Palatino Linotype" w:hAnsi="Palatino Linotype" w:cs="Palatino Linotype"/>
          <w:noProof/>
          <w:color w:val="000000"/>
          <w:lang w:val="es-MX" w:eastAsia="es-MX"/>
        </w:rPr>
        <w:lastRenderedPageBreak/>
        <w:drawing>
          <wp:inline distT="0" distB="0" distL="0" distR="0">
            <wp:extent cx="3979796" cy="3359010"/>
            <wp:effectExtent l="0" t="0" r="0" b="0"/>
            <wp:docPr id="7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3979796" cy="3359010"/>
                    </a:xfrm>
                    <a:prstGeom prst="rect">
                      <a:avLst/>
                    </a:prstGeom>
                    <a:ln/>
                  </pic:spPr>
                </pic:pic>
              </a:graphicData>
            </a:graphic>
          </wp:inline>
        </w:drawing>
      </w: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Al seleccionar alguna de las unidades administrativas para corroborar la información, se aprecia la correspondiente a las remuneraciones de los servidores públicos, información que con la que no se puede tener por satisfecho el requerimiento del solicitante, al no corresponder a lo solicitado, que son los recibos de nómina.</w:t>
      </w:r>
    </w:p>
    <w:p w:rsidR="0072148B" w:rsidRPr="008736DB" w:rsidRDefault="0072148B">
      <w:pPr>
        <w:spacing w:line="360" w:lineRule="auto"/>
        <w:ind w:right="-787"/>
        <w:jc w:val="both"/>
        <w:rPr>
          <w:rFonts w:ascii="Palatino Linotype" w:eastAsia="Palatino Linotype" w:hAnsi="Palatino Linotype" w:cs="Palatino Linotype"/>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 xml:space="preserve">Ahora bien, relativo a los recibos de nómina, es necesario traer a contexto el artículo 804, fracción II, de la Ley Federal de Trabajo a la letra dice que: </w:t>
      </w:r>
    </w:p>
    <w:p w:rsidR="0072148B" w:rsidRPr="008736DB" w:rsidRDefault="0072148B">
      <w:pPr>
        <w:spacing w:line="360" w:lineRule="auto"/>
        <w:ind w:left="567" w:right="616"/>
        <w:jc w:val="both"/>
        <w:rPr>
          <w:rFonts w:ascii="Palatino Linotype" w:eastAsia="Palatino Linotype" w:hAnsi="Palatino Linotype" w:cs="Palatino Linotype"/>
        </w:rPr>
      </w:pPr>
    </w:p>
    <w:p w:rsidR="0072148B" w:rsidRPr="008736DB" w:rsidRDefault="00A077F4">
      <w:pPr>
        <w:pBdr>
          <w:top w:val="nil"/>
          <w:left w:val="nil"/>
          <w:bottom w:val="nil"/>
          <w:right w:val="nil"/>
          <w:between w:val="nil"/>
        </w:pBdr>
        <w:tabs>
          <w:tab w:val="right" w:pos="1701"/>
        </w:tabs>
        <w:ind w:left="1134" w:right="900"/>
        <w:jc w:val="both"/>
        <w:rPr>
          <w:rFonts w:ascii="Palatino Linotype" w:eastAsia="Palatino Linotype" w:hAnsi="Palatino Linotype" w:cs="Palatino Linotype"/>
          <w:i/>
          <w:color w:val="000000"/>
          <w:sz w:val="22"/>
          <w:szCs w:val="22"/>
        </w:rPr>
      </w:pPr>
      <w:r w:rsidRPr="008736DB">
        <w:rPr>
          <w:rFonts w:ascii="Palatino Linotype" w:eastAsia="Palatino Linotype" w:hAnsi="Palatino Linotype" w:cs="Palatino Linotype"/>
          <w:i/>
          <w:color w:val="000000"/>
          <w:sz w:val="22"/>
          <w:szCs w:val="22"/>
        </w:rPr>
        <w:t>“</w:t>
      </w:r>
      <w:r w:rsidRPr="008736DB">
        <w:rPr>
          <w:rFonts w:ascii="Palatino Linotype" w:eastAsia="Palatino Linotype" w:hAnsi="Palatino Linotype" w:cs="Palatino Linotype"/>
          <w:b/>
          <w:i/>
          <w:color w:val="000000"/>
          <w:sz w:val="22"/>
          <w:szCs w:val="22"/>
        </w:rPr>
        <w:t>Artículo 804.-</w:t>
      </w:r>
      <w:r w:rsidRPr="008736DB">
        <w:rPr>
          <w:rFonts w:ascii="Palatino Linotype" w:eastAsia="Palatino Linotype" w:hAnsi="Palatino Linotype" w:cs="Palatino Linotype"/>
          <w:i/>
          <w:color w:val="000000"/>
          <w:sz w:val="22"/>
          <w:szCs w:val="22"/>
        </w:rPr>
        <w:t xml:space="preserve"> El patrón tiene obligación de conservar y exhibir en juicio los documentos que a continuación se precisan:</w:t>
      </w:r>
    </w:p>
    <w:p w:rsidR="0072148B" w:rsidRPr="008736DB" w:rsidRDefault="0072148B">
      <w:pPr>
        <w:pBdr>
          <w:top w:val="nil"/>
          <w:left w:val="nil"/>
          <w:bottom w:val="nil"/>
          <w:right w:val="nil"/>
          <w:between w:val="nil"/>
        </w:pBdr>
        <w:tabs>
          <w:tab w:val="right" w:pos="1701"/>
        </w:tabs>
        <w:ind w:left="1134" w:right="900"/>
        <w:jc w:val="both"/>
        <w:rPr>
          <w:rFonts w:ascii="Palatino Linotype" w:eastAsia="Palatino Linotype" w:hAnsi="Palatino Linotype" w:cs="Palatino Linotype"/>
          <w:i/>
          <w:color w:val="000000"/>
          <w:sz w:val="10"/>
          <w:szCs w:val="10"/>
        </w:rPr>
      </w:pPr>
    </w:p>
    <w:p w:rsidR="0072148B" w:rsidRPr="008736DB" w:rsidRDefault="00A077F4">
      <w:pPr>
        <w:pBdr>
          <w:top w:val="nil"/>
          <w:left w:val="nil"/>
          <w:bottom w:val="nil"/>
          <w:right w:val="nil"/>
          <w:between w:val="nil"/>
        </w:pBdr>
        <w:tabs>
          <w:tab w:val="right" w:pos="1701"/>
        </w:tabs>
        <w:ind w:left="1134" w:right="900"/>
        <w:jc w:val="both"/>
        <w:rPr>
          <w:rFonts w:ascii="Palatino Linotype" w:eastAsia="Palatino Linotype" w:hAnsi="Palatino Linotype" w:cs="Palatino Linotype"/>
          <w:i/>
          <w:color w:val="000000"/>
          <w:sz w:val="22"/>
          <w:szCs w:val="22"/>
        </w:rPr>
      </w:pPr>
      <w:r w:rsidRPr="008736DB">
        <w:rPr>
          <w:rFonts w:ascii="Palatino Linotype" w:eastAsia="Palatino Linotype" w:hAnsi="Palatino Linotype" w:cs="Palatino Linotype"/>
          <w:b/>
          <w:i/>
          <w:color w:val="000000"/>
          <w:sz w:val="22"/>
          <w:szCs w:val="22"/>
        </w:rPr>
        <w:t>I.</w:t>
      </w:r>
      <w:r w:rsidRPr="008736DB">
        <w:rPr>
          <w:rFonts w:ascii="Palatino Linotype" w:eastAsia="Palatino Linotype" w:hAnsi="Palatino Linotype" w:cs="Palatino Linotype"/>
          <w:i/>
          <w:color w:val="000000"/>
          <w:sz w:val="22"/>
          <w:szCs w:val="22"/>
        </w:rPr>
        <w:t xml:space="preserve"> </w:t>
      </w:r>
      <w:r w:rsidRPr="008736DB">
        <w:rPr>
          <w:rFonts w:ascii="Palatino Linotype" w:eastAsia="Palatino Linotype" w:hAnsi="Palatino Linotype" w:cs="Palatino Linotype"/>
          <w:i/>
          <w:color w:val="000000"/>
          <w:sz w:val="22"/>
          <w:szCs w:val="22"/>
        </w:rPr>
        <w:tab/>
        <w:t>Contratos individuales de trabajo que se celebren, cuando no exista contrato colectivo o contrato Ley aplicable;</w:t>
      </w:r>
    </w:p>
    <w:p w:rsidR="0072148B" w:rsidRPr="008736DB" w:rsidRDefault="0072148B">
      <w:pPr>
        <w:pBdr>
          <w:top w:val="nil"/>
          <w:left w:val="nil"/>
          <w:bottom w:val="nil"/>
          <w:right w:val="nil"/>
          <w:between w:val="nil"/>
        </w:pBdr>
        <w:tabs>
          <w:tab w:val="right" w:pos="1701"/>
        </w:tabs>
        <w:ind w:left="1134" w:right="900"/>
        <w:jc w:val="both"/>
        <w:rPr>
          <w:rFonts w:ascii="Palatino Linotype" w:eastAsia="Palatino Linotype" w:hAnsi="Palatino Linotype" w:cs="Palatino Linotype"/>
          <w:i/>
          <w:color w:val="000000"/>
          <w:sz w:val="10"/>
          <w:szCs w:val="10"/>
        </w:rPr>
      </w:pPr>
    </w:p>
    <w:p w:rsidR="0072148B" w:rsidRPr="008736DB" w:rsidRDefault="00A077F4">
      <w:pPr>
        <w:pBdr>
          <w:top w:val="nil"/>
          <w:left w:val="nil"/>
          <w:bottom w:val="nil"/>
          <w:right w:val="nil"/>
          <w:between w:val="nil"/>
        </w:pBdr>
        <w:tabs>
          <w:tab w:val="right" w:pos="1701"/>
        </w:tabs>
        <w:ind w:left="1134" w:right="900"/>
        <w:jc w:val="both"/>
        <w:rPr>
          <w:rFonts w:ascii="Palatino Linotype" w:eastAsia="Palatino Linotype" w:hAnsi="Palatino Linotype" w:cs="Palatino Linotype"/>
          <w:i/>
          <w:color w:val="000000"/>
          <w:sz w:val="22"/>
          <w:szCs w:val="22"/>
        </w:rPr>
      </w:pPr>
      <w:r w:rsidRPr="008736DB">
        <w:rPr>
          <w:rFonts w:ascii="Palatino Linotype" w:eastAsia="Palatino Linotype" w:hAnsi="Palatino Linotype" w:cs="Palatino Linotype"/>
          <w:b/>
          <w:i/>
          <w:color w:val="000000"/>
          <w:sz w:val="22"/>
          <w:szCs w:val="22"/>
        </w:rPr>
        <w:t>II.</w:t>
      </w:r>
      <w:r w:rsidRPr="008736DB">
        <w:rPr>
          <w:rFonts w:ascii="Palatino Linotype" w:eastAsia="Palatino Linotype" w:hAnsi="Palatino Linotype" w:cs="Palatino Linotype"/>
          <w:i/>
          <w:color w:val="000000"/>
          <w:sz w:val="22"/>
          <w:szCs w:val="22"/>
        </w:rPr>
        <w:t xml:space="preserve"> </w:t>
      </w:r>
      <w:r w:rsidRPr="008736DB">
        <w:rPr>
          <w:rFonts w:ascii="Palatino Linotype" w:eastAsia="Palatino Linotype" w:hAnsi="Palatino Linotype" w:cs="Palatino Linotype"/>
          <w:i/>
          <w:color w:val="000000"/>
          <w:sz w:val="22"/>
          <w:szCs w:val="22"/>
        </w:rPr>
        <w:tab/>
        <w:t xml:space="preserve">Listas de raya o </w:t>
      </w:r>
      <w:r w:rsidRPr="008736DB">
        <w:rPr>
          <w:rFonts w:ascii="Palatino Linotype" w:eastAsia="Palatino Linotype" w:hAnsi="Palatino Linotype" w:cs="Palatino Linotype"/>
          <w:b/>
          <w:i/>
          <w:color w:val="000000"/>
          <w:sz w:val="22"/>
          <w:szCs w:val="22"/>
        </w:rPr>
        <w:t>nómina de personal</w:t>
      </w:r>
      <w:r w:rsidRPr="008736DB">
        <w:rPr>
          <w:rFonts w:ascii="Palatino Linotype" w:eastAsia="Palatino Linotype" w:hAnsi="Palatino Linotype" w:cs="Palatino Linotype"/>
          <w:i/>
          <w:color w:val="000000"/>
          <w:sz w:val="22"/>
          <w:szCs w:val="22"/>
        </w:rPr>
        <w:t>, cuando se lleven en el centro de trabajo; o recibos de pagos de salarios;</w:t>
      </w:r>
    </w:p>
    <w:p w:rsidR="0072148B" w:rsidRPr="008736DB" w:rsidRDefault="0072148B">
      <w:pPr>
        <w:pBdr>
          <w:top w:val="nil"/>
          <w:left w:val="nil"/>
          <w:bottom w:val="nil"/>
          <w:right w:val="nil"/>
          <w:between w:val="nil"/>
        </w:pBdr>
        <w:tabs>
          <w:tab w:val="right" w:pos="1701"/>
        </w:tabs>
        <w:ind w:left="1134" w:right="900"/>
        <w:jc w:val="both"/>
        <w:rPr>
          <w:rFonts w:ascii="Palatino Linotype" w:eastAsia="Palatino Linotype" w:hAnsi="Palatino Linotype" w:cs="Palatino Linotype"/>
          <w:i/>
          <w:color w:val="000000"/>
          <w:sz w:val="10"/>
          <w:szCs w:val="10"/>
        </w:rPr>
      </w:pPr>
    </w:p>
    <w:p w:rsidR="0072148B" w:rsidRPr="008736DB" w:rsidRDefault="00A077F4">
      <w:pPr>
        <w:pBdr>
          <w:top w:val="nil"/>
          <w:left w:val="nil"/>
          <w:bottom w:val="nil"/>
          <w:right w:val="nil"/>
          <w:between w:val="nil"/>
        </w:pBdr>
        <w:tabs>
          <w:tab w:val="right" w:pos="1701"/>
        </w:tabs>
        <w:ind w:left="1134" w:right="900"/>
        <w:jc w:val="both"/>
        <w:rPr>
          <w:rFonts w:ascii="Palatino Linotype" w:eastAsia="Palatino Linotype" w:hAnsi="Palatino Linotype" w:cs="Palatino Linotype"/>
          <w:i/>
          <w:color w:val="000000"/>
          <w:sz w:val="22"/>
          <w:szCs w:val="22"/>
        </w:rPr>
      </w:pPr>
      <w:r w:rsidRPr="008736DB">
        <w:rPr>
          <w:rFonts w:ascii="Palatino Linotype" w:eastAsia="Palatino Linotype" w:hAnsi="Palatino Linotype" w:cs="Palatino Linotype"/>
          <w:b/>
          <w:i/>
          <w:color w:val="000000"/>
          <w:sz w:val="22"/>
          <w:szCs w:val="22"/>
        </w:rPr>
        <w:lastRenderedPageBreak/>
        <w:t>III.</w:t>
      </w:r>
      <w:r w:rsidRPr="008736DB">
        <w:rPr>
          <w:rFonts w:ascii="Palatino Linotype" w:eastAsia="Palatino Linotype" w:hAnsi="Palatino Linotype" w:cs="Palatino Linotype"/>
          <w:i/>
          <w:color w:val="000000"/>
          <w:sz w:val="22"/>
          <w:szCs w:val="22"/>
        </w:rPr>
        <w:t xml:space="preserve"> </w:t>
      </w:r>
      <w:r w:rsidRPr="008736DB">
        <w:rPr>
          <w:rFonts w:ascii="Palatino Linotype" w:eastAsia="Palatino Linotype" w:hAnsi="Palatino Linotype" w:cs="Palatino Linotype"/>
          <w:i/>
          <w:color w:val="000000"/>
          <w:sz w:val="22"/>
          <w:szCs w:val="22"/>
        </w:rPr>
        <w:tab/>
        <w:t>Controles de asistencia, cuando se lleven en el centro de trabajo;</w:t>
      </w:r>
    </w:p>
    <w:p w:rsidR="0072148B" w:rsidRPr="008736DB" w:rsidRDefault="0072148B">
      <w:pPr>
        <w:pBdr>
          <w:top w:val="nil"/>
          <w:left w:val="nil"/>
          <w:bottom w:val="nil"/>
          <w:right w:val="nil"/>
          <w:between w:val="nil"/>
        </w:pBdr>
        <w:tabs>
          <w:tab w:val="right" w:pos="1701"/>
        </w:tabs>
        <w:ind w:left="1134" w:right="900"/>
        <w:jc w:val="both"/>
        <w:rPr>
          <w:rFonts w:ascii="Palatino Linotype" w:eastAsia="Palatino Linotype" w:hAnsi="Palatino Linotype" w:cs="Palatino Linotype"/>
          <w:i/>
          <w:color w:val="000000"/>
          <w:sz w:val="10"/>
          <w:szCs w:val="10"/>
        </w:rPr>
      </w:pPr>
    </w:p>
    <w:p w:rsidR="0072148B" w:rsidRPr="008736DB" w:rsidRDefault="00A077F4">
      <w:pPr>
        <w:pBdr>
          <w:top w:val="nil"/>
          <w:left w:val="nil"/>
          <w:bottom w:val="nil"/>
          <w:right w:val="nil"/>
          <w:between w:val="nil"/>
        </w:pBdr>
        <w:tabs>
          <w:tab w:val="right" w:pos="1701"/>
        </w:tabs>
        <w:ind w:left="1134" w:right="900"/>
        <w:jc w:val="both"/>
        <w:rPr>
          <w:rFonts w:ascii="Palatino Linotype" w:eastAsia="Palatino Linotype" w:hAnsi="Palatino Linotype" w:cs="Palatino Linotype"/>
          <w:i/>
          <w:color w:val="000000"/>
          <w:sz w:val="22"/>
          <w:szCs w:val="22"/>
        </w:rPr>
      </w:pPr>
      <w:r w:rsidRPr="008736DB">
        <w:rPr>
          <w:rFonts w:ascii="Palatino Linotype" w:eastAsia="Palatino Linotype" w:hAnsi="Palatino Linotype" w:cs="Palatino Linotype"/>
          <w:b/>
          <w:i/>
          <w:color w:val="000000"/>
          <w:sz w:val="22"/>
          <w:szCs w:val="22"/>
        </w:rPr>
        <w:t>IV.</w:t>
      </w:r>
      <w:r w:rsidRPr="008736DB">
        <w:rPr>
          <w:rFonts w:ascii="Palatino Linotype" w:eastAsia="Palatino Linotype" w:hAnsi="Palatino Linotype" w:cs="Palatino Linotype"/>
          <w:i/>
          <w:color w:val="000000"/>
          <w:sz w:val="22"/>
          <w:szCs w:val="22"/>
        </w:rPr>
        <w:t xml:space="preserve"> </w:t>
      </w:r>
      <w:r w:rsidRPr="008736DB">
        <w:rPr>
          <w:rFonts w:ascii="Palatino Linotype" w:eastAsia="Palatino Linotype" w:hAnsi="Palatino Linotype" w:cs="Palatino Linotype"/>
          <w:i/>
          <w:color w:val="000000"/>
          <w:sz w:val="22"/>
          <w:szCs w:val="22"/>
        </w:rPr>
        <w:tab/>
        <w:t>Comprobantes de pago de participación de utilidades, de vacaciones y de aguinaldos, así como las primas a que se refiere esta Ley, y pagos, aportaciones y cuotas de seguridad social; y</w:t>
      </w:r>
    </w:p>
    <w:p w:rsidR="0072148B" w:rsidRPr="008736DB" w:rsidRDefault="0072148B">
      <w:pPr>
        <w:pBdr>
          <w:top w:val="nil"/>
          <w:left w:val="nil"/>
          <w:bottom w:val="nil"/>
          <w:right w:val="nil"/>
          <w:between w:val="nil"/>
        </w:pBdr>
        <w:tabs>
          <w:tab w:val="right" w:pos="1701"/>
        </w:tabs>
        <w:ind w:left="1134" w:right="900"/>
        <w:jc w:val="both"/>
        <w:rPr>
          <w:rFonts w:ascii="Palatino Linotype" w:eastAsia="Palatino Linotype" w:hAnsi="Palatino Linotype" w:cs="Palatino Linotype"/>
          <w:i/>
          <w:color w:val="000000"/>
          <w:sz w:val="10"/>
          <w:szCs w:val="10"/>
        </w:rPr>
      </w:pPr>
    </w:p>
    <w:p w:rsidR="0072148B" w:rsidRPr="008736DB" w:rsidRDefault="00A077F4">
      <w:pPr>
        <w:pBdr>
          <w:top w:val="nil"/>
          <w:left w:val="nil"/>
          <w:bottom w:val="nil"/>
          <w:right w:val="nil"/>
          <w:between w:val="nil"/>
        </w:pBdr>
        <w:tabs>
          <w:tab w:val="right" w:pos="1701"/>
        </w:tabs>
        <w:ind w:left="1134" w:right="900"/>
        <w:jc w:val="both"/>
        <w:rPr>
          <w:rFonts w:ascii="Palatino Linotype" w:eastAsia="Palatino Linotype" w:hAnsi="Palatino Linotype" w:cs="Palatino Linotype"/>
          <w:i/>
          <w:color w:val="000000"/>
          <w:sz w:val="22"/>
          <w:szCs w:val="22"/>
        </w:rPr>
      </w:pPr>
      <w:r w:rsidRPr="008736DB">
        <w:rPr>
          <w:rFonts w:ascii="Palatino Linotype" w:eastAsia="Palatino Linotype" w:hAnsi="Palatino Linotype" w:cs="Palatino Linotype"/>
          <w:b/>
          <w:i/>
          <w:color w:val="000000"/>
          <w:sz w:val="22"/>
          <w:szCs w:val="22"/>
        </w:rPr>
        <w:t>V.</w:t>
      </w:r>
      <w:r w:rsidRPr="008736DB">
        <w:rPr>
          <w:rFonts w:ascii="Palatino Linotype" w:eastAsia="Palatino Linotype" w:hAnsi="Palatino Linotype" w:cs="Palatino Linotype"/>
          <w:i/>
          <w:color w:val="000000"/>
          <w:sz w:val="22"/>
          <w:szCs w:val="22"/>
        </w:rPr>
        <w:t xml:space="preserve"> </w:t>
      </w:r>
      <w:r w:rsidRPr="008736DB">
        <w:rPr>
          <w:rFonts w:ascii="Palatino Linotype" w:eastAsia="Palatino Linotype" w:hAnsi="Palatino Linotype" w:cs="Palatino Linotype"/>
          <w:i/>
          <w:color w:val="000000"/>
          <w:sz w:val="22"/>
          <w:szCs w:val="22"/>
        </w:rPr>
        <w:tab/>
        <w:t>Los demás que señalen las leyes.</w:t>
      </w:r>
    </w:p>
    <w:p w:rsidR="0072148B" w:rsidRPr="008736DB" w:rsidRDefault="00A077F4">
      <w:pPr>
        <w:pBdr>
          <w:top w:val="nil"/>
          <w:left w:val="nil"/>
          <w:bottom w:val="nil"/>
          <w:right w:val="nil"/>
          <w:between w:val="nil"/>
        </w:pBdr>
        <w:tabs>
          <w:tab w:val="right" w:pos="1701"/>
        </w:tabs>
        <w:ind w:left="1134" w:right="900"/>
        <w:jc w:val="both"/>
        <w:rPr>
          <w:rFonts w:ascii="Palatino Linotype" w:eastAsia="Palatino Linotype" w:hAnsi="Palatino Linotype" w:cs="Palatino Linotype"/>
          <w:i/>
          <w:color w:val="000000"/>
          <w:sz w:val="22"/>
          <w:szCs w:val="22"/>
        </w:rPr>
      </w:pPr>
      <w:r w:rsidRPr="008736DB">
        <w:rPr>
          <w:rFonts w:ascii="Palatino Linotype" w:eastAsia="Palatino Linotype" w:hAnsi="Palatino Linotype" w:cs="Palatino Linotype"/>
          <w:i/>
          <w:color w:val="000000"/>
          <w:sz w:val="22"/>
          <w:szCs w:val="22"/>
        </w:rPr>
        <w:t xml:space="preserve">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 </w:t>
      </w:r>
    </w:p>
    <w:p w:rsidR="0072148B" w:rsidRPr="008736DB" w:rsidRDefault="0072148B">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color w:val="000000"/>
        </w:rPr>
      </w:pPr>
      <w:r w:rsidRPr="008736DB">
        <w:rPr>
          <w:rFonts w:ascii="Palatino Linotype" w:eastAsia="Palatino Linotype" w:hAnsi="Palatino Linotype" w:cs="Palatino Linotype"/>
          <w:color w:val="000000"/>
        </w:rPr>
        <w:t xml:space="preserve">De lo establecido en el precepto legal anteriormente citado, se puede llegar a la conclusión de que la nómina consiste en registros conformados por el conjunto de trabajadores de los cuales se les remunerará por los servicios que éstos le prestan al patrón, en el cual se asientan las percepciones brutas, deducciones y el neto a recibir. </w:t>
      </w:r>
    </w:p>
    <w:p w:rsidR="0072148B" w:rsidRPr="008736DB" w:rsidRDefault="0072148B">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color w:val="000000"/>
        </w:rPr>
      </w:pPr>
      <w:r w:rsidRPr="008736DB">
        <w:rPr>
          <w:rFonts w:ascii="Palatino Linotype" w:eastAsia="Palatino Linotype" w:hAnsi="Palatino Linotype" w:cs="Palatino Linotype"/>
          <w:color w:val="000000"/>
        </w:rPr>
        <w:t xml:space="preserve">Concorde a ello, la Ley del Trabajo de los Servidores Públicos del Estado y Municipios, en sus artículos 45 y 50, señalan que: </w:t>
      </w:r>
    </w:p>
    <w:p w:rsidR="0072148B" w:rsidRPr="008736DB" w:rsidRDefault="0072148B">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72148B" w:rsidRPr="008736DB" w:rsidRDefault="00A077F4">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rPr>
      </w:pPr>
      <w:r w:rsidRPr="008736DB">
        <w:rPr>
          <w:rFonts w:ascii="Palatino Linotype" w:eastAsia="Palatino Linotype" w:hAnsi="Palatino Linotype" w:cs="Palatino Linotype"/>
          <w:i/>
          <w:color w:val="000000"/>
          <w:sz w:val="22"/>
          <w:szCs w:val="22"/>
        </w:rPr>
        <w:t>“</w:t>
      </w:r>
      <w:r w:rsidRPr="008736DB">
        <w:rPr>
          <w:rFonts w:ascii="Palatino Linotype" w:eastAsia="Palatino Linotype" w:hAnsi="Palatino Linotype" w:cs="Palatino Linotype"/>
          <w:b/>
          <w:i/>
          <w:color w:val="000000"/>
          <w:sz w:val="22"/>
          <w:szCs w:val="22"/>
        </w:rPr>
        <w:t>ARTÍCULO 45</w:t>
      </w:r>
      <w:r w:rsidRPr="008736DB">
        <w:rPr>
          <w:rFonts w:ascii="Palatino Linotype" w:eastAsia="Palatino Linotype" w:hAnsi="Palatino Linotype" w:cs="Palatino Linotype"/>
          <w:i/>
          <w:color w:val="000000"/>
          <w:sz w:val="22"/>
          <w:szCs w:val="22"/>
        </w:rPr>
        <w:t>.- Los servidores públicos prestarán sus servicios mediante nombramiento, contrato o formato único de Movimientos de Personal expedidos por quien estuviere facultado legalmente para extenderlo.</w:t>
      </w:r>
    </w:p>
    <w:p w:rsidR="0072148B" w:rsidRPr="008736DB" w:rsidRDefault="0072148B">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rPr>
      </w:pPr>
    </w:p>
    <w:p w:rsidR="0072148B" w:rsidRPr="008736DB" w:rsidRDefault="00A077F4">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rPr>
      </w:pPr>
      <w:r w:rsidRPr="008736DB">
        <w:rPr>
          <w:rFonts w:ascii="Palatino Linotype" w:eastAsia="Palatino Linotype" w:hAnsi="Palatino Linotype" w:cs="Palatino Linotype"/>
          <w:b/>
          <w:i/>
          <w:color w:val="000000"/>
          <w:sz w:val="22"/>
          <w:szCs w:val="22"/>
        </w:rPr>
        <w:t>ARTÍCULO 50</w:t>
      </w:r>
      <w:r w:rsidRPr="008736DB">
        <w:rPr>
          <w:rFonts w:ascii="Palatino Linotype" w:eastAsia="Palatino Linotype" w:hAnsi="Palatino Linotype" w:cs="Palatino Linotype"/>
          <w:i/>
          <w:color w:val="000000"/>
          <w:sz w:val="22"/>
          <w:szCs w:val="22"/>
        </w:rPr>
        <w:t>.- El nombramiento, contrato o formato único de Movimientos de Personal aceptado obliga al servidor público a cumplir con los deberes inherentes al puesto especificado en el mismo y a las consecuencias que sean conforme a la ley, al uso y a la buena fe.</w:t>
      </w:r>
    </w:p>
    <w:p w:rsidR="0072148B" w:rsidRPr="008736DB" w:rsidRDefault="0072148B">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rPr>
      </w:pPr>
    </w:p>
    <w:p w:rsidR="0072148B" w:rsidRPr="008736DB" w:rsidRDefault="00A077F4">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rPr>
      </w:pPr>
      <w:r w:rsidRPr="008736DB">
        <w:rPr>
          <w:rFonts w:ascii="Palatino Linotype" w:eastAsia="Palatino Linotype" w:hAnsi="Palatino Linotype" w:cs="Palatino Linotype"/>
          <w:b/>
          <w:i/>
          <w:color w:val="000000"/>
          <w:sz w:val="22"/>
          <w:szCs w:val="22"/>
        </w:rPr>
        <w:t>Iguales consecuencias se generarán para todos los servidores públicos, cuando la relación de trabajo se formalice mediante un contrato o por encontrarse en lista de raya</w:t>
      </w:r>
      <w:r w:rsidRPr="008736DB">
        <w:rPr>
          <w:rFonts w:ascii="Palatino Linotype" w:eastAsia="Palatino Linotype" w:hAnsi="Palatino Linotype" w:cs="Palatino Linotype"/>
          <w:i/>
          <w:color w:val="000000"/>
          <w:sz w:val="22"/>
          <w:szCs w:val="22"/>
        </w:rPr>
        <w:t>.</w:t>
      </w:r>
    </w:p>
    <w:p w:rsidR="0072148B" w:rsidRPr="008736DB" w:rsidRDefault="00A077F4">
      <w:pPr>
        <w:pBdr>
          <w:top w:val="nil"/>
          <w:left w:val="nil"/>
          <w:bottom w:val="nil"/>
          <w:right w:val="nil"/>
          <w:between w:val="nil"/>
        </w:pBdr>
        <w:spacing w:line="360" w:lineRule="auto"/>
        <w:ind w:left="567" w:right="616"/>
        <w:jc w:val="both"/>
        <w:rPr>
          <w:rFonts w:ascii="Palatino Linotype" w:eastAsia="Palatino Linotype" w:hAnsi="Palatino Linotype" w:cs="Palatino Linotype"/>
          <w:i/>
          <w:color w:val="000000"/>
        </w:rPr>
      </w:pPr>
      <w:r w:rsidRPr="008736DB">
        <w:rPr>
          <w:rFonts w:ascii="Palatino Linotype" w:eastAsia="Palatino Linotype" w:hAnsi="Palatino Linotype" w:cs="Palatino Linotype"/>
          <w:i/>
          <w:color w:val="000000"/>
        </w:rPr>
        <w:t xml:space="preserve"> </w:t>
      </w: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color w:val="000000"/>
        </w:rPr>
      </w:pPr>
      <w:r w:rsidRPr="008736DB">
        <w:rPr>
          <w:rFonts w:ascii="Palatino Linotype" w:eastAsia="Palatino Linotype" w:hAnsi="Palatino Linotype" w:cs="Palatino Linotype"/>
          <w:color w:val="000000"/>
        </w:rPr>
        <w:lastRenderedPageBreak/>
        <w:t>De lo anterior, se advierte que la relación de trabajo se formaliza mediante nombramiento o contrato.</w:t>
      </w:r>
    </w:p>
    <w:p w:rsidR="0072148B" w:rsidRPr="008736DB" w:rsidRDefault="0072148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color w:val="000000"/>
        </w:rPr>
      </w:pPr>
      <w:r w:rsidRPr="008736DB">
        <w:rPr>
          <w:rFonts w:ascii="Palatino Linotype" w:eastAsia="Palatino Linotype" w:hAnsi="Palatino Linotype" w:cs="Palatino Linotype"/>
          <w:color w:val="000000"/>
        </w:rPr>
        <w:t>Por su parte,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 la persona servidora pública por su trabajo.</w:t>
      </w:r>
    </w:p>
    <w:p w:rsidR="0072148B" w:rsidRPr="008736DB" w:rsidRDefault="0072148B">
      <w:pPr>
        <w:pBdr>
          <w:top w:val="nil"/>
          <w:left w:val="nil"/>
          <w:bottom w:val="nil"/>
          <w:right w:val="nil"/>
          <w:between w:val="nil"/>
        </w:pBdr>
        <w:rPr>
          <w:rFonts w:ascii="Palatino Linotype" w:eastAsia="Palatino Linotype" w:hAnsi="Palatino Linotype" w:cs="Palatino Linotype"/>
          <w:color w:val="000000"/>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color w:val="000000"/>
        </w:rPr>
      </w:pPr>
      <w:r w:rsidRPr="008736DB">
        <w:rPr>
          <w:rFonts w:ascii="Palatino Linotype" w:eastAsia="Palatino Linotype" w:hAnsi="Palatino Linotype" w:cs="Palatino Linotype"/>
          <w:color w:val="000000"/>
        </w:rPr>
        <w:t xml:space="preserve">De igual forma, la Ley del Trabajo de los Servidores Públicos del Estado y Municipios, en su artículo 220 K, establece los documentos que tiene la obligación de conservar el Sujeto Obligado, entre los que se encuentran los recibos de pagos: </w:t>
      </w:r>
    </w:p>
    <w:p w:rsidR="0072148B" w:rsidRPr="008736DB" w:rsidRDefault="0072148B">
      <w:pPr>
        <w:spacing w:line="360" w:lineRule="auto"/>
        <w:jc w:val="both"/>
        <w:rPr>
          <w:rFonts w:ascii="Palatino Linotype" w:eastAsia="Palatino Linotype" w:hAnsi="Palatino Linotype" w:cs="Palatino Linotype"/>
        </w:rPr>
      </w:pPr>
    </w:p>
    <w:p w:rsidR="0072148B" w:rsidRPr="008736DB" w:rsidRDefault="00A077F4">
      <w:pPr>
        <w:ind w:left="1134" w:right="902"/>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b/>
          <w:i/>
          <w:sz w:val="22"/>
          <w:szCs w:val="22"/>
        </w:rPr>
        <w:t>ARTÍCULO 220 K.-</w:t>
      </w:r>
      <w:r w:rsidRPr="008736DB">
        <w:rPr>
          <w:rFonts w:ascii="Palatino Linotype" w:eastAsia="Palatino Linotype" w:hAnsi="Palatino Linotype" w:cs="Palatino Linotype"/>
          <w:i/>
          <w:sz w:val="22"/>
          <w:szCs w:val="22"/>
        </w:rPr>
        <w:t xml:space="preserve"> </w:t>
      </w:r>
      <w:r w:rsidRPr="008736DB">
        <w:rPr>
          <w:rFonts w:ascii="Palatino Linotype" w:eastAsia="Palatino Linotype" w:hAnsi="Palatino Linotype" w:cs="Palatino Linotype"/>
          <w:b/>
          <w:i/>
          <w:sz w:val="22"/>
          <w:szCs w:val="22"/>
        </w:rPr>
        <w:t>La institución o dependencia pública tiene la obligación de conservar y exhibir</w:t>
      </w:r>
      <w:r w:rsidRPr="008736DB">
        <w:rPr>
          <w:rFonts w:ascii="Palatino Linotype" w:eastAsia="Palatino Linotype" w:hAnsi="Palatino Linotype" w:cs="Palatino Linotype"/>
          <w:i/>
          <w:sz w:val="22"/>
          <w:szCs w:val="22"/>
        </w:rPr>
        <w:t xml:space="preserve"> en el proceso los documentos que a continuación se precisan:</w:t>
      </w:r>
    </w:p>
    <w:p w:rsidR="0072148B" w:rsidRPr="008736DB" w:rsidRDefault="00A077F4">
      <w:pPr>
        <w:ind w:left="1134" w:right="902"/>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i/>
          <w:sz w:val="22"/>
          <w:szCs w:val="22"/>
        </w:rPr>
        <w:t>I. Contratos, Nombramientos o Formato Único de Movimientos de Personal, cuando no exista Convenio de condiciones generales de trabajo aplicable;</w:t>
      </w:r>
    </w:p>
    <w:p w:rsidR="0072148B" w:rsidRPr="008736DB" w:rsidRDefault="00A077F4">
      <w:pPr>
        <w:ind w:left="1134" w:right="902"/>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i/>
          <w:sz w:val="22"/>
          <w:szCs w:val="22"/>
        </w:rPr>
        <w:t xml:space="preserve">II. </w:t>
      </w:r>
      <w:r w:rsidRPr="008736DB">
        <w:rPr>
          <w:rFonts w:ascii="Palatino Linotype" w:eastAsia="Palatino Linotype" w:hAnsi="Palatino Linotype" w:cs="Palatino Linotype"/>
          <w:b/>
          <w:i/>
          <w:sz w:val="22"/>
          <w:szCs w:val="22"/>
        </w:rPr>
        <w:t>Recibos de pagos</w:t>
      </w:r>
      <w:r w:rsidRPr="008736DB">
        <w:rPr>
          <w:rFonts w:ascii="Palatino Linotype" w:eastAsia="Palatino Linotype" w:hAnsi="Palatino Linotype" w:cs="Palatino Linotype"/>
          <w:i/>
          <w:sz w:val="22"/>
          <w:szCs w:val="22"/>
        </w:rPr>
        <w:t xml:space="preserve"> de salarios o las constancias documentales del pago de salario cuando sea por depósito o mediante información electrónica;</w:t>
      </w:r>
    </w:p>
    <w:p w:rsidR="0072148B" w:rsidRPr="008736DB" w:rsidRDefault="00A077F4">
      <w:pPr>
        <w:ind w:left="1134" w:right="902"/>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i/>
          <w:sz w:val="22"/>
          <w:szCs w:val="22"/>
        </w:rPr>
        <w:t>III. Controles de asistencia o la información magnética o electrónica de asistencia de los servidores públicos;</w:t>
      </w:r>
    </w:p>
    <w:p w:rsidR="0072148B" w:rsidRPr="008736DB" w:rsidRDefault="00A077F4">
      <w:pPr>
        <w:ind w:left="1134" w:right="902"/>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i/>
          <w:sz w:val="22"/>
          <w:szCs w:val="22"/>
        </w:rPr>
        <w:t>IV. Recibos o las constancias de depósito o del medio de información magnética o electrónica que sean utilizadas para el pago de salarios, prima vacacional, aguinaldo y demás prestaciones establecidas en la presente ley; y</w:t>
      </w:r>
    </w:p>
    <w:p w:rsidR="0072148B" w:rsidRPr="008736DB" w:rsidRDefault="00A077F4">
      <w:pPr>
        <w:ind w:left="1134" w:right="902"/>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i/>
          <w:sz w:val="22"/>
          <w:szCs w:val="22"/>
        </w:rPr>
        <w:t>V. Los demás que señalen las leyes.</w:t>
      </w:r>
    </w:p>
    <w:p w:rsidR="0072148B" w:rsidRPr="008736DB" w:rsidRDefault="0072148B">
      <w:pPr>
        <w:ind w:left="1134" w:right="902"/>
        <w:jc w:val="both"/>
        <w:rPr>
          <w:rFonts w:ascii="Palatino Linotype" w:eastAsia="Palatino Linotype" w:hAnsi="Palatino Linotype" w:cs="Palatino Linotype"/>
          <w:i/>
          <w:sz w:val="22"/>
          <w:szCs w:val="22"/>
        </w:rPr>
      </w:pPr>
    </w:p>
    <w:p w:rsidR="0072148B" w:rsidRPr="008736DB" w:rsidRDefault="00A077F4">
      <w:pPr>
        <w:ind w:left="1134" w:right="902"/>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b/>
          <w:i/>
          <w:sz w:val="22"/>
          <w:szCs w:val="22"/>
        </w:rPr>
        <w:t>Los documentos señalados</w:t>
      </w:r>
      <w:r w:rsidRPr="008736DB">
        <w:rPr>
          <w:rFonts w:ascii="Palatino Linotype" w:eastAsia="Palatino Linotype" w:hAnsi="Palatino Linotype" w:cs="Palatino Linotype"/>
          <w:i/>
          <w:sz w:val="22"/>
          <w:szCs w:val="22"/>
        </w:rPr>
        <w:t xml:space="preserve"> en la fracción I de este artículo, </w:t>
      </w:r>
      <w:r w:rsidRPr="008736DB">
        <w:rPr>
          <w:rFonts w:ascii="Palatino Linotype" w:eastAsia="Palatino Linotype" w:hAnsi="Palatino Linotype" w:cs="Palatino Linotype"/>
          <w:b/>
          <w:i/>
          <w:sz w:val="22"/>
          <w:szCs w:val="22"/>
        </w:rPr>
        <w:t>deberán conservarse</w:t>
      </w:r>
      <w:r w:rsidRPr="008736DB">
        <w:rPr>
          <w:rFonts w:ascii="Palatino Linotype" w:eastAsia="Palatino Linotype" w:hAnsi="Palatino Linotype" w:cs="Palatino Linotype"/>
          <w:i/>
          <w:sz w:val="22"/>
          <w:szCs w:val="22"/>
        </w:rPr>
        <w:t xml:space="preserve"> mientras dure la relación laboral y hasta un año después; los señalados por las fracciones II, III, IV </w:t>
      </w:r>
      <w:r w:rsidRPr="008736DB">
        <w:rPr>
          <w:rFonts w:ascii="Palatino Linotype" w:eastAsia="Palatino Linotype" w:hAnsi="Palatino Linotype" w:cs="Palatino Linotype"/>
          <w:b/>
          <w:i/>
          <w:sz w:val="22"/>
          <w:szCs w:val="22"/>
        </w:rPr>
        <w:t>durante el último año y un año después de que se extinga la relación laboral</w:t>
      </w:r>
      <w:r w:rsidRPr="008736DB">
        <w:rPr>
          <w:rFonts w:ascii="Palatino Linotype" w:eastAsia="Palatino Linotype" w:hAnsi="Palatino Linotype" w:cs="Palatino Linotype"/>
          <w:i/>
          <w:sz w:val="22"/>
          <w:szCs w:val="22"/>
        </w:rPr>
        <w:t xml:space="preserve">, y los mencionados en la fracción V, </w:t>
      </w:r>
      <w:r w:rsidRPr="008736DB">
        <w:rPr>
          <w:rFonts w:ascii="Palatino Linotype" w:eastAsia="Palatino Linotype" w:hAnsi="Palatino Linotype" w:cs="Palatino Linotype"/>
          <w:i/>
          <w:sz w:val="22"/>
          <w:szCs w:val="22"/>
        </w:rPr>
        <w:lastRenderedPageBreak/>
        <w:t xml:space="preserve">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rsidR="0072148B" w:rsidRPr="008736DB" w:rsidRDefault="0072148B">
      <w:pPr>
        <w:spacing w:line="360" w:lineRule="auto"/>
        <w:jc w:val="both"/>
        <w:rPr>
          <w:rFonts w:ascii="Palatino Linotype" w:eastAsia="Palatino Linotype" w:hAnsi="Palatino Linotype" w:cs="Palatino Linotype"/>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b/>
          <w:color w:val="000000"/>
        </w:rPr>
      </w:pPr>
      <w:r w:rsidRPr="008736DB">
        <w:rPr>
          <w:rFonts w:ascii="Palatino Linotype" w:eastAsia="Palatino Linotype" w:hAnsi="Palatino Linotype" w:cs="Palatino Linotype"/>
          <w:color w:val="000000"/>
        </w:rPr>
        <w:t xml:space="preserve">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w:t>
      </w:r>
      <w:r w:rsidRPr="008736DB">
        <w:rPr>
          <w:rFonts w:ascii="Palatino Linotype" w:eastAsia="Palatino Linotype" w:hAnsi="Palatino Linotype" w:cs="Palatino Linotype"/>
          <w:b/>
          <w:color w:val="000000"/>
        </w:rPr>
        <w:t>a través de los sistemas de digitalización o de información magnética o electrónica.</w:t>
      </w:r>
    </w:p>
    <w:p w:rsidR="0072148B" w:rsidRPr="008736DB" w:rsidRDefault="0072148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b/>
          <w:color w:val="000000"/>
        </w:rPr>
      </w:pPr>
      <w:r w:rsidRPr="008736DB">
        <w:rPr>
          <w:rFonts w:ascii="Palatino Linotype" w:eastAsia="Palatino Linotype" w:hAnsi="Palatino Linotype" w:cs="Palatino Linotype"/>
          <w:color w:val="000000"/>
        </w:rPr>
        <w:t>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72148B" w:rsidRPr="008736DB" w:rsidRDefault="0072148B">
      <w:pPr>
        <w:spacing w:line="360" w:lineRule="auto"/>
        <w:jc w:val="both"/>
        <w:rPr>
          <w:rFonts w:ascii="Palatino Linotype" w:eastAsia="Palatino Linotype" w:hAnsi="Palatino Linotype" w:cs="Palatino Linotype"/>
        </w:rPr>
      </w:pPr>
    </w:p>
    <w:p w:rsidR="0072148B" w:rsidRPr="008736DB" w:rsidRDefault="00A077F4">
      <w:pPr>
        <w:ind w:left="1134" w:right="851"/>
        <w:jc w:val="both"/>
        <w:rPr>
          <w:rFonts w:ascii="Palatino Linotype" w:eastAsia="Palatino Linotype" w:hAnsi="Palatino Linotype" w:cs="Palatino Linotype"/>
          <w:i/>
          <w:sz w:val="22"/>
          <w:szCs w:val="22"/>
          <w:u w:val="single"/>
        </w:rPr>
      </w:pPr>
      <w:r w:rsidRPr="008736DB">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8736DB">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w:t>
      </w:r>
      <w:r w:rsidRPr="008736DB">
        <w:rPr>
          <w:rFonts w:ascii="Palatino Linotype" w:eastAsia="Palatino Linotype" w:hAnsi="Palatino Linotype" w:cs="Palatino Linotype"/>
          <w:i/>
          <w:sz w:val="22"/>
          <w:szCs w:val="22"/>
        </w:rPr>
        <w:lastRenderedPageBreak/>
        <w:t xml:space="preserve">cualquier persona física, jurídico colectiva o sindicato </w:t>
      </w:r>
      <w:r w:rsidRPr="008736DB">
        <w:rPr>
          <w:rFonts w:ascii="Palatino Linotype" w:eastAsia="Palatino Linotype" w:hAnsi="Palatino Linotype" w:cs="Palatino Linotype"/>
          <w:b/>
          <w:i/>
          <w:sz w:val="22"/>
          <w:szCs w:val="22"/>
          <w:u w:val="single"/>
        </w:rPr>
        <w:t>que reciba y ejerza recursos públicos</w:t>
      </w:r>
      <w:r w:rsidRPr="008736DB">
        <w:rPr>
          <w:rFonts w:ascii="Palatino Linotype" w:eastAsia="Palatino Linotype" w:hAnsi="Palatino Linotype" w:cs="Palatino Linotype"/>
          <w:i/>
          <w:sz w:val="22"/>
          <w:szCs w:val="22"/>
        </w:rPr>
        <w:t xml:space="preserve"> o realice actos de autoridad </w:t>
      </w:r>
      <w:r w:rsidRPr="008736DB">
        <w:rPr>
          <w:rFonts w:ascii="Palatino Linotype" w:eastAsia="Palatino Linotype" w:hAnsi="Palatino Linotype" w:cs="Palatino Linotype"/>
          <w:b/>
          <w:i/>
          <w:sz w:val="22"/>
          <w:szCs w:val="22"/>
          <w:u w:val="single"/>
        </w:rPr>
        <w:t>en el ámbito de competencia del Estado de México y sus municipios</w:t>
      </w:r>
      <w:r w:rsidRPr="008736DB">
        <w:rPr>
          <w:rFonts w:ascii="Palatino Linotype" w:eastAsia="Palatino Linotype" w:hAnsi="Palatino Linotype" w:cs="Palatino Linotype"/>
          <w:i/>
          <w:sz w:val="22"/>
          <w:szCs w:val="22"/>
          <w:u w:val="single"/>
        </w:rPr>
        <w:t>.</w:t>
      </w:r>
    </w:p>
    <w:p w:rsidR="0072148B" w:rsidRPr="008736DB" w:rsidRDefault="0072148B">
      <w:pPr>
        <w:ind w:left="1134" w:right="851"/>
        <w:jc w:val="both"/>
        <w:rPr>
          <w:rFonts w:ascii="Palatino Linotype" w:eastAsia="Palatino Linotype" w:hAnsi="Palatino Linotype" w:cs="Palatino Linotype"/>
          <w:i/>
          <w:sz w:val="22"/>
          <w:szCs w:val="22"/>
          <w:u w:val="single"/>
        </w:rPr>
      </w:pPr>
    </w:p>
    <w:p w:rsidR="0072148B" w:rsidRPr="008736DB" w:rsidRDefault="00A077F4">
      <w:pPr>
        <w:ind w:left="1134" w:right="851"/>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i/>
          <w:sz w:val="22"/>
          <w:szCs w:val="22"/>
        </w:rPr>
        <w:t>Artículo 23. Son sujetos obligados a transparentar y permitir el acceso a su información y proteger los datos personales que obren en su poder:</w:t>
      </w:r>
    </w:p>
    <w:p w:rsidR="0072148B" w:rsidRPr="008736DB" w:rsidRDefault="00A077F4">
      <w:pPr>
        <w:ind w:left="1134" w:right="851"/>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i/>
          <w:sz w:val="22"/>
          <w:szCs w:val="22"/>
        </w:rPr>
        <w:t>(…)</w:t>
      </w:r>
    </w:p>
    <w:p w:rsidR="0072148B" w:rsidRPr="008736DB" w:rsidRDefault="00A077F4">
      <w:pPr>
        <w:ind w:left="1134" w:right="851"/>
        <w:jc w:val="both"/>
        <w:rPr>
          <w:rFonts w:ascii="Palatino Linotype" w:eastAsia="Palatino Linotype" w:hAnsi="Palatino Linotype" w:cs="Palatino Linotype"/>
          <w:b/>
          <w:i/>
          <w:sz w:val="22"/>
          <w:szCs w:val="22"/>
          <w:u w:val="single"/>
        </w:rPr>
      </w:pPr>
      <w:r w:rsidRPr="008736DB">
        <w:rPr>
          <w:rFonts w:ascii="Palatino Linotype" w:eastAsia="Palatino Linotype" w:hAnsi="Palatino Linotype" w:cs="Palatino Linotype"/>
          <w:b/>
          <w:i/>
          <w:sz w:val="22"/>
          <w:szCs w:val="22"/>
          <w:u w:val="single"/>
        </w:rPr>
        <w:t>IV. Los ayuntamientos y las dependencias, organismos, órganos y entidades de la administración municipal;</w:t>
      </w:r>
    </w:p>
    <w:p w:rsidR="0072148B" w:rsidRPr="008736DB" w:rsidRDefault="00A077F4">
      <w:pPr>
        <w:ind w:left="1134" w:right="851"/>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i/>
          <w:sz w:val="22"/>
          <w:szCs w:val="22"/>
        </w:rPr>
        <w:t>(…)</w:t>
      </w:r>
    </w:p>
    <w:p w:rsidR="0072148B" w:rsidRPr="008736DB" w:rsidRDefault="00A077F4">
      <w:pPr>
        <w:ind w:left="1134" w:right="851"/>
        <w:jc w:val="both"/>
        <w:rPr>
          <w:rFonts w:ascii="Palatino Linotype" w:eastAsia="Palatino Linotype" w:hAnsi="Palatino Linotype" w:cs="Palatino Linotype"/>
          <w:b/>
          <w:i/>
          <w:sz w:val="22"/>
          <w:szCs w:val="22"/>
          <w:u w:val="single"/>
        </w:rPr>
      </w:pPr>
      <w:r w:rsidRPr="008736DB">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72148B" w:rsidRPr="008736DB" w:rsidRDefault="0072148B">
      <w:pPr>
        <w:ind w:left="1134" w:right="851"/>
        <w:jc w:val="both"/>
        <w:rPr>
          <w:rFonts w:ascii="Palatino Linotype" w:eastAsia="Palatino Linotype" w:hAnsi="Palatino Linotype" w:cs="Palatino Linotype"/>
          <w:b/>
          <w:i/>
          <w:sz w:val="22"/>
          <w:szCs w:val="22"/>
          <w:u w:val="single"/>
        </w:rPr>
      </w:pPr>
    </w:p>
    <w:p w:rsidR="0072148B" w:rsidRPr="008736DB" w:rsidRDefault="00A077F4">
      <w:pPr>
        <w:ind w:left="1134" w:right="851"/>
        <w:jc w:val="both"/>
        <w:rPr>
          <w:rFonts w:ascii="Palatino Linotype" w:eastAsia="Palatino Linotype" w:hAnsi="Palatino Linotype" w:cs="Palatino Linotype"/>
          <w:b/>
          <w:i/>
          <w:sz w:val="22"/>
          <w:szCs w:val="22"/>
        </w:rPr>
      </w:pPr>
      <w:r w:rsidRPr="008736DB">
        <w:rPr>
          <w:rFonts w:ascii="Palatino Linotype" w:eastAsia="Palatino Linotype" w:hAnsi="Palatino Linotype" w:cs="Palatino Linotype"/>
          <w:i/>
          <w:sz w:val="22"/>
          <w:szCs w:val="22"/>
        </w:rPr>
        <w:t>Los servidores públicos deberán transparentar sus acciones así como garantizar y respetar el derecho de acceso a la información pública.”</w:t>
      </w:r>
      <w:r w:rsidRPr="008736DB">
        <w:rPr>
          <w:rFonts w:ascii="Palatino Linotype" w:eastAsia="Palatino Linotype" w:hAnsi="Palatino Linotype" w:cs="Palatino Linotype"/>
          <w:b/>
          <w:i/>
          <w:sz w:val="22"/>
          <w:szCs w:val="22"/>
        </w:rPr>
        <w:t xml:space="preserve"> (Sic)</w:t>
      </w:r>
    </w:p>
    <w:p w:rsidR="0072148B" w:rsidRPr="008736DB" w:rsidRDefault="0072148B">
      <w:pPr>
        <w:spacing w:line="360" w:lineRule="auto"/>
        <w:jc w:val="both"/>
        <w:rPr>
          <w:rFonts w:ascii="Palatino Linotype" w:eastAsia="Palatino Linotype" w:hAnsi="Palatino Linotype" w:cs="Palatino Linotype"/>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color w:val="000000"/>
        </w:rPr>
      </w:pPr>
      <w:r w:rsidRPr="008736DB">
        <w:rPr>
          <w:rFonts w:ascii="Palatino Linotype" w:eastAsia="Palatino Linotype" w:hAnsi="Palatino Linotype" w:cs="Palatino Linotype"/>
          <w:color w:val="000000"/>
        </w:rPr>
        <w:t xml:space="preserve">Sirve de sustento por analogía, para justificar la publicidad sobre los datos relativos a los montos por concepto de pago de las remuneraciones, los criterios </w:t>
      </w:r>
      <w:r w:rsidRPr="008736DB">
        <w:rPr>
          <w:rFonts w:ascii="Palatino Linotype" w:eastAsia="Palatino Linotype" w:hAnsi="Palatino Linotype" w:cs="Palatino Linotype"/>
          <w:b/>
          <w:color w:val="000000"/>
        </w:rPr>
        <w:t>01/2003</w:t>
      </w:r>
      <w:r w:rsidRPr="008736DB">
        <w:rPr>
          <w:rFonts w:ascii="Palatino Linotype" w:eastAsia="Palatino Linotype" w:hAnsi="Palatino Linotype" w:cs="Palatino Linotype"/>
          <w:color w:val="000000"/>
        </w:rPr>
        <w:t xml:space="preserve"> y </w:t>
      </w:r>
      <w:r w:rsidRPr="008736DB">
        <w:rPr>
          <w:rFonts w:ascii="Palatino Linotype" w:eastAsia="Palatino Linotype" w:hAnsi="Palatino Linotype" w:cs="Palatino Linotype"/>
          <w:b/>
          <w:color w:val="000000"/>
        </w:rPr>
        <w:t>02/2003</w:t>
      </w:r>
      <w:r w:rsidRPr="008736DB">
        <w:rPr>
          <w:rFonts w:ascii="Palatino Linotype" w:eastAsia="Palatino Linotype" w:hAnsi="Palatino Linotype" w:cs="Palatino Linotype"/>
          <w:color w:val="000000"/>
        </w:rPr>
        <w:t xml:space="preserve"> emitidos por el Comité de Acceso a la Información Pública y Protección de Datos Personales de la Suprema Corte de Justicia de la Nación que a continuación se citan: </w:t>
      </w:r>
    </w:p>
    <w:p w:rsidR="0072148B" w:rsidRPr="008736DB" w:rsidRDefault="0072148B">
      <w:pPr>
        <w:spacing w:line="360" w:lineRule="auto"/>
        <w:jc w:val="both"/>
        <w:rPr>
          <w:rFonts w:ascii="Palatino Linotype" w:eastAsia="Palatino Linotype" w:hAnsi="Palatino Linotype" w:cs="Palatino Linotype"/>
        </w:rPr>
      </w:pPr>
    </w:p>
    <w:p w:rsidR="0072148B" w:rsidRPr="008736DB" w:rsidRDefault="00A077F4">
      <w:pPr>
        <w:spacing w:line="360" w:lineRule="auto"/>
        <w:ind w:left="1134" w:right="900"/>
        <w:rPr>
          <w:rFonts w:ascii="Palatino Linotype" w:eastAsia="Palatino Linotype" w:hAnsi="Palatino Linotype" w:cs="Palatino Linotype"/>
          <w:b/>
          <w:i/>
          <w:sz w:val="22"/>
          <w:szCs w:val="22"/>
        </w:rPr>
      </w:pPr>
      <w:r w:rsidRPr="008736DB">
        <w:rPr>
          <w:rFonts w:ascii="Palatino Linotype" w:eastAsia="Palatino Linotype" w:hAnsi="Palatino Linotype" w:cs="Palatino Linotype"/>
          <w:b/>
          <w:i/>
          <w:sz w:val="22"/>
          <w:szCs w:val="22"/>
        </w:rPr>
        <w:t>“Criterio 01/2003.</w:t>
      </w:r>
    </w:p>
    <w:p w:rsidR="0072148B" w:rsidRPr="008736DB" w:rsidRDefault="00A077F4">
      <w:pPr>
        <w:spacing w:line="360" w:lineRule="auto"/>
        <w:ind w:left="1134" w:right="900"/>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8736DB">
        <w:rPr>
          <w:rFonts w:ascii="Palatino Linotype" w:eastAsia="Palatino Linotype" w:hAnsi="Palatino Linotype" w:cs="Palatino Linotype"/>
          <w:i/>
          <w:sz w:val="22"/>
          <w:szCs w:val="22"/>
        </w:rPr>
        <w:t xml:space="preserve"> </w:t>
      </w:r>
    </w:p>
    <w:p w:rsidR="0072148B" w:rsidRPr="008736DB" w:rsidRDefault="00A077F4">
      <w:pPr>
        <w:spacing w:line="360" w:lineRule="auto"/>
        <w:ind w:left="1134" w:right="900"/>
        <w:jc w:val="both"/>
        <w:rPr>
          <w:rFonts w:ascii="Palatino Linotype" w:eastAsia="Palatino Linotype" w:hAnsi="Palatino Linotype" w:cs="Palatino Linotype"/>
          <w:i/>
          <w:sz w:val="22"/>
          <w:szCs w:val="22"/>
          <w:u w:val="single"/>
        </w:rPr>
      </w:pPr>
      <w:r w:rsidRPr="008736DB">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w:t>
      </w:r>
      <w:r w:rsidRPr="008736DB">
        <w:rPr>
          <w:rFonts w:ascii="Palatino Linotype" w:eastAsia="Palatino Linotype" w:hAnsi="Palatino Linotype" w:cs="Palatino Linotype"/>
          <w:i/>
          <w:sz w:val="22"/>
          <w:szCs w:val="22"/>
        </w:rPr>
        <w:lastRenderedPageBreak/>
        <w:t xml:space="preserve">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8736DB">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8736DB">
        <w:rPr>
          <w:rFonts w:ascii="Palatino Linotype" w:eastAsia="Palatino Linotype" w:hAnsi="Palatino Linotype" w:cs="Palatino Linotype"/>
          <w:i/>
          <w:sz w:val="22"/>
          <w:szCs w:val="22"/>
          <w:u w:val="single"/>
        </w:rPr>
        <w:t>…”</w:t>
      </w:r>
    </w:p>
    <w:p w:rsidR="0072148B" w:rsidRPr="008736DB" w:rsidRDefault="0072148B">
      <w:pPr>
        <w:spacing w:line="360" w:lineRule="auto"/>
        <w:ind w:left="1134" w:right="900"/>
        <w:jc w:val="both"/>
        <w:rPr>
          <w:rFonts w:ascii="Palatino Linotype" w:eastAsia="Palatino Linotype" w:hAnsi="Palatino Linotype" w:cs="Palatino Linotype"/>
          <w:i/>
          <w:sz w:val="22"/>
          <w:szCs w:val="22"/>
        </w:rPr>
      </w:pPr>
    </w:p>
    <w:p w:rsidR="0072148B" w:rsidRPr="008736DB" w:rsidRDefault="00A077F4">
      <w:pPr>
        <w:spacing w:line="360" w:lineRule="auto"/>
        <w:ind w:left="1134" w:right="900"/>
        <w:rPr>
          <w:rFonts w:ascii="Palatino Linotype" w:eastAsia="Palatino Linotype" w:hAnsi="Palatino Linotype" w:cs="Palatino Linotype"/>
          <w:b/>
          <w:i/>
          <w:sz w:val="22"/>
          <w:szCs w:val="22"/>
        </w:rPr>
      </w:pPr>
      <w:r w:rsidRPr="008736DB">
        <w:rPr>
          <w:rFonts w:ascii="Palatino Linotype" w:eastAsia="Palatino Linotype" w:hAnsi="Palatino Linotype" w:cs="Palatino Linotype"/>
          <w:b/>
          <w:i/>
          <w:sz w:val="22"/>
          <w:szCs w:val="22"/>
        </w:rPr>
        <w:t>“Criterio 02/2003.</w:t>
      </w:r>
    </w:p>
    <w:p w:rsidR="0072148B" w:rsidRPr="008736DB" w:rsidRDefault="00A077F4">
      <w:pPr>
        <w:spacing w:line="360" w:lineRule="auto"/>
        <w:ind w:left="1134" w:right="900"/>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8736DB">
        <w:rPr>
          <w:rFonts w:ascii="Palatino Linotype" w:eastAsia="Palatino Linotype" w:hAnsi="Palatino Linotype" w:cs="Palatino Linotype"/>
          <w:i/>
          <w:sz w:val="22"/>
          <w:szCs w:val="22"/>
        </w:rPr>
        <w:t xml:space="preserve"> </w:t>
      </w:r>
    </w:p>
    <w:p w:rsidR="0072148B" w:rsidRPr="008736DB" w:rsidRDefault="00A077F4">
      <w:pPr>
        <w:spacing w:line="360" w:lineRule="auto"/>
        <w:ind w:left="1134" w:right="900"/>
        <w:jc w:val="both"/>
        <w:rPr>
          <w:rFonts w:ascii="Palatino Linotype" w:eastAsia="Palatino Linotype" w:hAnsi="Palatino Linotype" w:cs="Palatino Linotype"/>
          <w:b/>
          <w:i/>
          <w:sz w:val="22"/>
          <w:szCs w:val="22"/>
        </w:rPr>
      </w:pPr>
      <w:r w:rsidRPr="008736DB">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8736DB">
        <w:rPr>
          <w:rFonts w:ascii="Palatino Linotype" w:eastAsia="Palatino Linotype" w:hAnsi="Palatino Linotype" w:cs="Palatino Linotype"/>
          <w:b/>
          <w:i/>
          <w:sz w:val="22"/>
          <w:szCs w:val="22"/>
          <w:u w:val="single"/>
        </w:rPr>
        <w:t xml:space="preserve">lo que deriva del hecho de que en términos de los previsto en el citado ordenamiento deben ponerse a disposición del público a través de medios remotos o locales de comunicación electrónica, tanto el directorio de servidores públicos </w:t>
      </w:r>
      <w:r w:rsidRPr="008736DB">
        <w:rPr>
          <w:rFonts w:ascii="Palatino Linotype" w:eastAsia="Palatino Linotype" w:hAnsi="Palatino Linotype" w:cs="Palatino Linotype"/>
          <w:b/>
          <w:i/>
          <w:sz w:val="22"/>
          <w:szCs w:val="22"/>
          <w:u w:val="single"/>
        </w:rPr>
        <w:lastRenderedPageBreak/>
        <w:t>como las remuneraciones mensuales por puesto incluso</w:t>
      </w:r>
      <w:r w:rsidRPr="008736DB">
        <w:rPr>
          <w:rFonts w:ascii="Palatino Linotype" w:eastAsia="Palatino Linotype" w:hAnsi="Palatino Linotype" w:cs="Palatino Linotype"/>
          <w:i/>
          <w:sz w:val="22"/>
          <w:szCs w:val="22"/>
        </w:rPr>
        <w:t xml:space="preserve"> el sistema de compensación…” </w:t>
      </w:r>
      <w:r w:rsidRPr="008736DB">
        <w:rPr>
          <w:rFonts w:ascii="Palatino Linotype" w:eastAsia="Palatino Linotype" w:hAnsi="Palatino Linotype" w:cs="Palatino Linotype"/>
          <w:b/>
          <w:i/>
          <w:sz w:val="22"/>
          <w:szCs w:val="22"/>
        </w:rPr>
        <w:t>(Sic)</w:t>
      </w:r>
    </w:p>
    <w:p w:rsidR="0072148B" w:rsidRPr="008736DB" w:rsidRDefault="0072148B">
      <w:pPr>
        <w:spacing w:line="360" w:lineRule="auto"/>
        <w:jc w:val="both"/>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color w:val="000000"/>
        </w:rPr>
      </w:pPr>
      <w:r w:rsidRPr="008736DB">
        <w:rPr>
          <w:rFonts w:ascii="Palatino Linotype" w:eastAsia="Palatino Linotype" w:hAnsi="Palatino Linotype" w:cs="Palatino Linotype"/>
          <w:color w:val="000000"/>
        </w:rPr>
        <w:t xml:space="preserve">Robustece lo anterior, el artículo 92, fracción VIII, de la Ley de Transparencia y Acceso a la Información Pública del Estado de México y Municipios, señala: </w:t>
      </w:r>
    </w:p>
    <w:p w:rsidR="0072148B" w:rsidRPr="008736DB" w:rsidRDefault="0072148B">
      <w:pPr>
        <w:spacing w:line="360" w:lineRule="auto"/>
        <w:ind w:right="49"/>
        <w:jc w:val="both"/>
        <w:rPr>
          <w:rFonts w:ascii="Palatino Linotype" w:eastAsia="Palatino Linotype" w:hAnsi="Palatino Linotype" w:cs="Palatino Linotype"/>
        </w:rPr>
      </w:pPr>
    </w:p>
    <w:p w:rsidR="0072148B" w:rsidRPr="008736DB" w:rsidRDefault="00A077F4">
      <w:pPr>
        <w:ind w:left="1134" w:right="902"/>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i/>
          <w:sz w:val="22"/>
          <w:szCs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72148B" w:rsidRPr="008736DB" w:rsidRDefault="00A077F4">
      <w:pPr>
        <w:ind w:left="1134" w:right="902"/>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i/>
          <w:sz w:val="22"/>
          <w:szCs w:val="22"/>
        </w:rPr>
        <w:t>(…)</w:t>
      </w:r>
    </w:p>
    <w:p w:rsidR="0072148B" w:rsidRPr="008736DB" w:rsidRDefault="00A077F4">
      <w:pPr>
        <w:ind w:left="1134" w:right="902"/>
        <w:jc w:val="both"/>
        <w:rPr>
          <w:rFonts w:ascii="Palatino Linotype" w:eastAsia="Palatino Linotype" w:hAnsi="Palatino Linotype" w:cs="Palatino Linotype"/>
          <w:b/>
          <w:i/>
          <w:sz w:val="22"/>
          <w:szCs w:val="22"/>
        </w:rPr>
      </w:pPr>
      <w:r w:rsidRPr="008736DB">
        <w:rPr>
          <w:rFonts w:ascii="Palatino Linotype" w:eastAsia="Palatino Linotype" w:hAnsi="Palatino Linotype" w:cs="Palatino Linotype"/>
          <w:i/>
          <w:sz w:val="22"/>
          <w:szCs w:val="22"/>
        </w:rPr>
        <w:t xml:space="preserve">VIII. La remuneración bruta y neta de todos los servidores públicos de base o de confianza, </w:t>
      </w:r>
      <w:r w:rsidRPr="008736DB">
        <w:rPr>
          <w:rFonts w:ascii="Palatino Linotype" w:eastAsia="Palatino Linotype" w:hAnsi="Palatino Linotype" w:cs="Palatino Linotype"/>
          <w:b/>
          <w:i/>
          <w:sz w:val="22"/>
          <w:szCs w:val="22"/>
        </w:rPr>
        <w:t>de todas las percepciones, incluyendo sueldos, prestaciones, gratificaciones, primas, comisiones, dietas, bonos, estímulos, ingresos y sistemas de compensación, señalando la periodicidad de dicha remuneración;”</w:t>
      </w:r>
    </w:p>
    <w:p w:rsidR="0072148B" w:rsidRPr="008736DB" w:rsidRDefault="0072148B">
      <w:pPr>
        <w:spacing w:line="360" w:lineRule="auto"/>
        <w:jc w:val="both"/>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color w:val="000000"/>
        </w:rPr>
      </w:pPr>
      <w:r w:rsidRPr="008736DB">
        <w:rPr>
          <w:rFonts w:ascii="Palatino Linotype" w:eastAsia="Palatino Linotype" w:hAnsi="Palatino Linotype" w:cs="Palatino Linotype"/>
          <w:color w:val="000000"/>
        </w:rPr>
        <w:t xml:space="preserve">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las remuneraciones que perciban los servidores públicos de acuerdo con lo establecido en el Código Financiero del Estado de México y Municipios. En consecuencia, se determina que la información relativa a las percepciones es información pública. </w:t>
      </w:r>
    </w:p>
    <w:p w:rsidR="0072148B" w:rsidRPr="008736DB" w:rsidRDefault="0072148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color w:val="000000"/>
        </w:rPr>
      </w:pPr>
      <w:r w:rsidRPr="008736DB">
        <w:rPr>
          <w:rFonts w:ascii="Palatino Linotype" w:eastAsia="Palatino Linotype" w:hAnsi="Palatino Linotype" w:cs="Palatino Linotype"/>
          <w:color w:val="000000"/>
        </w:rPr>
        <w:t xml:space="preserve">Por lo expuesto anteriormente, este Órgano Garante considera que </w:t>
      </w:r>
      <w:r w:rsidRPr="008736DB">
        <w:rPr>
          <w:rFonts w:ascii="Palatino Linotype" w:eastAsia="Palatino Linotype" w:hAnsi="Palatino Linotype" w:cs="Palatino Linotype"/>
          <w:b/>
          <w:color w:val="000000"/>
        </w:rPr>
        <w:t>es viable ordenar la entregar de los recibos de nómina</w:t>
      </w:r>
      <w:r w:rsidRPr="008736DB">
        <w:rPr>
          <w:rFonts w:ascii="Palatino Linotype" w:eastAsia="Palatino Linotype" w:hAnsi="Palatino Linotype" w:cs="Palatino Linotype"/>
          <w:color w:val="000000"/>
        </w:rPr>
        <w:t xml:space="preserve"> correspondientes a la </w:t>
      </w:r>
      <w:r w:rsidRPr="008736DB">
        <w:rPr>
          <w:rFonts w:ascii="Palatino Linotype" w:eastAsia="Palatino Linotype" w:hAnsi="Palatino Linotype" w:cs="Palatino Linotype"/>
          <w:b/>
          <w:i/>
          <w:color w:val="000000"/>
        </w:rPr>
        <w:t>primera quincena de enero de 2025</w:t>
      </w:r>
      <w:r w:rsidRPr="008736DB">
        <w:rPr>
          <w:rFonts w:ascii="Palatino Linotype" w:eastAsia="Palatino Linotype" w:hAnsi="Palatino Linotype" w:cs="Palatino Linotype"/>
          <w:color w:val="000000"/>
        </w:rPr>
        <w:t>, de todos los Servidores Públicos que integran el Sujeto Obligado.</w:t>
      </w:r>
    </w:p>
    <w:p w:rsidR="0072148B" w:rsidRPr="008736DB" w:rsidRDefault="0072148B">
      <w:pPr>
        <w:pBdr>
          <w:top w:val="nil"/>
          <w:left w:val="nil"/>
          <w:bottom w:val="nil"/>
          <w:right w:val="nil"/>
          <w:between w:val="nil"/>
        </w:pBdr>
        <w:spacing w:line="360" w:lineRule="auto"/>
        <w:ind w:right="567"/>
        <w:jc w:val="both"/>
        <w:rPr>
          <w:rFonts w:ascii="Palatino Linotype" w:eastAsia="Palatino Linotype" w:hAnsi="Palatino Linotype" w:cs="Palatino Linotype"/>
          <w:color w:val="000000"/>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color w:val="000000"/>
        </w:rPr>
      </w:pPr>
      <w:r w:rsidRPr="008736DB">
        <w:rPr>
          <w:rFonts w:ascii="Palatino Linotype" w:eastAsia="Palatino Linotype" w:hAnsi="Palatino Linotype" w:cs="Palatino Linotype"/>
          <w:color w:val="000000"/>
        </w:rPr>
        <w:t xml:space="preserve">Derivado de lo anterior, es indispensable destacar que la información que se está ordenando su entrega a </w:t>
      </w:r>
      <w:r w:rsidRPr="008736DB">
        <w:rPr>
          <w:rFonts w:ascii="Palatino Linotype" w:eastAsia="Palatino Linotype" w:hAnsi="Palatino Linotype" w:cs="Palatino Linotype"/>
          <w:b/>
          <w:color w:val="000000"/>
        </w:rPr>
        <w:t>EL RECURRENTE</w:t>
      </w:r>
      <w:r w:rsidRPr="008736DB">
        <w:rPr>
          <w:rFonts w:ascii="Palatino Linotype" w:eastAsia="Palatino Linotype" w:hAnsi="Palatino Linotype" w:cs="Palatino Linotype"/>
          <w:color w:val="000000"/>
        </w:rPr>
        <w:t>, deberá realizarse en versión pública, esto es, el</w:t>
      </w:r>
      <w:r w:rsidRPr="008736DB">
        <w:rPr>
          <w:rFonts w:ascii="Palatino Linotype" w:eastAsia="Palatino Linotype" w:hAnsi="Palatino Linotype" w:cs="Palatino Linotype"/>
          <w:b/>
          <w:color w:val="000000"/>
        </w:rPr>
        <w:t xml:space="preserve"> SUJETO OBLIGADO</w:t>
      </w:r>
      <w:r w:rsidRPr="008736DB">
        <w:rPr>
          <w:rFonts w:ascii="Palatino Linotype" w:eastAsia="Palatino Linotype" w:hAnsi="Palatino Linotype" w:cs="Palatino Linotype"/>
          <w:color w:val="000000"/>
        </w:rPr>
        <w:t xml:space="preserve"> omitirá, eliminará o suprimirá la información personal de los Servidores Públicos, como el Registro Federal de Contribuyentes, CURP, Clave de cualquier tipo de seguridad social, descuentos que se realicen por concepto de pensión alimenticia o deducciones estrictamente legales o personales, préstamos, número de cuenta o cualquier otro dato que ponga en riesgo la vida, la seguridad o la salud de dicha persona.</w:t>
      </w:r>
    </w:p>
    <w:p w:rsidR="0072148B" w:rsidRPr="008736DB" w:rsidRDefault="0072148B">
      <w:pPr>
        <w:spacing w:line="360" w:lineRule="auto"/>
        <w:ind w:right="-787"/>
        <w:jc w:val="both"/>
        <w:rPr>
          <w:rFonts w:ascii="Palatino Linotype" w:eastAsia="Palatino Linotype" w:hAnsi="Palatino Linotype" w:cs="Palatino Linotype"/>
          <w:color w:val="000000"/>
        </w:rPr>
      </w:pPr>
    </w:p>
    <w:p w:rsidR="0072148B" w:rsidRPr="008736DB" w:rsidRDefault="00A077F4">
      <w:pPr>
        <w:keepNext/>
        <w:keepLines/>
        <w:spacing w:after="160" w:line="360" w:lineRule="auto"/>
        <w:rPr>
          <w:rFonts w:ascii="Palatino Linotype" w:eastAsia="Palatino Linotype" w:hAnsi="Palatino Linotype" w:cs="Palatino Linotype"/>
          <w:b/>
          <w:color w:val="000000"/>
        </w:rPr>
      </w:pPr>
      <w:r w:rsidRPr="008736DB">
        <w:rPr>
          <w:rFonts w:ascii="Palatino Linotype" w:eastAsia="Palatino Linotype" w:hAnsi="Palatino Linotype" w:cs="Palatino Linotype"/>
          <w:b/>
          <w:color w:val="000000"/>
        </w:rPr>
        <w:t>QUINTO. De la versión pública.</w:t>
      </w:r>
    </w:p>
    <w:p w:rsidR="0072148B" w:rsidRPr="008736DB" w:rsidRDefault="00A077F4">
      <w:pPr>
        <w:keepNext/>
        <w:keepLines/>
        <w:numPr>
          <w:ilvl w:val="0"/>
          <w:numId w:val="7"/>
        </w:numPr>
        <w:tabs>
          <w:tab w:val="left" w:pos="284"/>
        </w:tabs>
        <w:spacing w:after="160" w:line="360" w:lineRule="auto"/>
        <w:rPr>
          <w:rFonts w:ascii="Palatino Linotype" w:eastAsia="Palatino Linotype" w:hAnsi="Palatino Linotype" w:cs="Palatino Linotype"/>
          <w:b/>
          <w:color w:val="000000"/>
        </w:rPr>
      </w:pPr>
      <w:r w:rsidRPr="008736DB">
        <w:rPr>
          <w:rFonts w:ascii="Palatino Linotype" w:eastAsia="Palatino Linotype" w:hAnsi="Palatino Linotype" w:cs="Palatino Linotype"/>
          <w:b/>
          <w:color w:val="000000"/>
        </w:rPr>
        <w:t xml:space="preserve">Nociones generales. </w:t>
      </w: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 xml:space="preserve">Debe destacarse, que debido a la información solicitada por el </w:t>
      </w:r>
      <w:r w:rsidRPr="008736DB">
        <w:rPr>
          <w:rFonts w:ascii="Palatino Linotype" w:eastAsia="Palatino Linotype" w:hAnsi="Palatino Linotype" w:cs="Palatino Linotype"/>
          <w:b/>
        </w:rPr>
        <w:t>RECURRENTE</w:t>
      </w:r>
      <w:r w:rsidRPr="008736DB">
        <w:rPr>
          <w:rFonts w:ascii="Palatino Linotype" w:eastAsia="Palatino Linotype" w:hAnsi="Palatino Linotype" w:cs="Palatino Linotype"/>
        </w:rPr>
        <w:t xml:space="preserve">, obran datos personales susceptibles de protegerse, así como información susceptible de clasificarse como confidencial,  por lo que, el </w:t>
      </w:r>
      <w:r w:rsidRPr="008736DB">
        <w:rPr>
          <w:rFonts w:ascii="Palatino Linotype" w:eastAsia="Palatino Linotype" w:hAnsi="Palatino Linotype" w:cs="Palatino Linotype"/>
          <w:b/>
        </w:rPr>
        <w:t xml:space="preserve">SUJETO OBLIGADO </w:t>
      </w:r>
      <w:r w:rsidRPr="008736DB">
        <w:rPr>
          <w:rFonts w:ascii="Palatino Linotype" w:eastAsia="Palatino Linotype" w:hAnsi="Palatino Linotype" w:cs="Palatino Linotype"/>
        </w:rPr>
        <w:t xml:space="preserve">deberá de hacer la adecuada versión pública, protegiendo los datos que no son susceptibles de ser proporcionados. </w:t>
      </w:r>
    </w:p>
    <w:p w:rsidR="0072148B" w:rsidRPr="008736DB" w:rsidRDefault="0072148B">
      <w:pPr>
        <w:tabs>
          <w:tab w:val="left" w:pos="0"/>
          <w:tab w:val="left" w:pos="284"/>
        </w:tabs>
        <w:spacing w:line="360" w:lineRule="auto"/>
        <w:ind w:right="49"/>
        <w:jc w:val="both"/>
        <w:rPr>
          <w:rFonts w:ascii="Palatino Linotype" w:eastAsia="Palatino Linotype" w:hAnsi="Palatino Linotype" w:cs="Palatino Linotype"/>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color w:val="000000"/>
        </w:rPr>
      </w:pPr>
      <w:r w:rsidRPr="008736DB">
        <w:rPr>
          <w:rFonts w:ascii="Palatino Linotype" w:eastAsia="Palatino Linotype" w:hAnsi="Palatino Linotype" w:cs="Palatino Linotype"/>
          <w:color w:val="000000"/>
        </w:rPr>
        <w:t>No pasa desapercibido para este Órgano Garante que los sujetos obligados</w:t>
      </w:r>
      <w:r w:rsidRPr="008736DB">
        <w:rPr>
          <w:rFonts w:ascii="Palatino Linotype" w:eastAsia="Palatino Linotype" w:hAnsi="Palatino Linotype" w:cs="Palatino Linotype"/>
          <w:b/>
          <w:color w:val="000000"/>
        </w:rPr>
        <w:t xml:space="preserve"> </w:t>
      </w:r>
      <w:r w:rsidRPr="008736DB">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72148B" w:rsidRPr="008736DB" w:rsidRDefault="0072148B">
      <w:pPr>
        <w:tabs>
          <w:tab w:val="left" w:pos="284"/>
        </w:tabs>
        <w:spacing w:after="160" w:line="360" w:lineRule="auto"/>
        <w:ind w:right="49"/>
        <w:jc w:val="both"/>
        <w:rPr>
          <w:rFonts w:ascii="Palatino Linotype" w:eastAsia="Palatino Linotype" w:hAnsi="Palatino Linotype" w:cs="Palatino Linotype"/>
          <w:color w:val="000000"/>
        </w:rPr>
      </w:pPr>
    </w:p>
    <w:tbl>
      <w:tblPr>
        <w:tblStyle w:val="a5"/>
        <w:tblW w:w="9209"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72148B" w:rsidRPr="008736DB">
        <w:tc>
          <w:tcPr>
            <w:tcW w:w="2689" w:type="dxa"/>
          </w:tcPr>
          <w:p w:rsidR="0072148B" w:rsidRPr="008736DB" w:rsidRDefault="00A077F4">
            <w:pPr>
              <w:tabs>
                <w:tab w:val="left" w:pos="284"/>
              </w:tabs>
              <w:spacing w:line="360" w:lineRule="auto"/>
              <w:rPr>
                <w:rFonts w:ascii="Palatino Linotype" w:eastAsia="Palatino Linotype" w:hAnsi="Palatino Linotype" w:cs="Palatino Linotype"/>
                <w:b/>
                <w:sz w:val="22"/>
                <w:szCs w:val="22"/>
              </w:rPr>
            </w:pPr>
            <w:r w:rsidRPr="008736DB">
              <w:rPr>
                <w:rFonts w:ascii="Palatino Linotype" w:eastAsia="Palatino Linotype" w:hAnsi="Palatino Linotype" w:cs="Palatino Linotype"/>
                <w:b/>
                <w:sz w:val="22"/>
                <w:szCs w:val="22"/>
              </w:rPr>
              <w:lastRenderedPageBreak/>
              <w:t>a) Requisitos previos.</w:t>
            </w:r>
          </w:p>
        </w:tc>
        <w:tc>
          <w:tcPr>
            <w:tcW w:w="6520" w:type="dxa"/>
          </w:tcPr>
          <w:p w:rsidR="0072148B" w:rsidRPr="008736DB" w:rsidRDefault="00A077F4">
            <w:pPr>
              <w:tabs>
                <w:tab w:val="left" w:pos="284"/>
              </w:tabs>
              <w:spacing w:line="360" w:lineRule="auto"/>
              <w:ind w:right="49"/>
              <w:jc w:val="both"/>
              <w:rPr>
                <w:rFonts w:ascii="Palatino Linotype" w:eastAsia="Palatino Linotype" w:hAnsi="Palatino Linotype" w:cs="Palatino Linotype"/>
                <w:b/>
                <w:color w:val="000000"/>
                <w:sz w:val="22"/>
                <w:szCs w:val="22"/>
              </w:rPr>
            </w:pPr>
            <w:r w:rsidRPr="008736DB">
              <w:rPr>
                <w:rFonts w:ascii="Palatino Linotype" w:eastAsia="Palatino Linotype" w:hAnsi="Palatino Linotype" w:cs="Palatino Linotype"/>
                <w:b/>
                <w:color w:val="000000"/>
                <w:sz w:val="22"/>
                <w:szCs w:val="22"/>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72148B" w:rsidRPr="008736DB" w:rsidRDefault="00A077F4">
            <w:pPr>
              <w:tabs>
                <w:tab w:val="left" w:pos="284"/>
              </w:tabs>
              <w:spacing w:line="360" w:lineRule="auto"/>
              <w:ind w:right="49"/>
              <w:jc w:val="both"/>
              <w:rPr>
                <w:rFonts w:ascii="Palatino Linotype" w:eastAsia="Palatino Linotype" w:hAnsi="Palatino Linotype" w:cs="Palatino Linotype"/>
                <w:b/>
                <w:color w:val="000000"/>
                <w:sz w:val="22"/>
                <w:szCs w:val="22"/>
              </w:rPr>
            </w:pPr>
            <w:r w:rsidRPr="008736DB">
              <w:rPr>
                <w:rFonts w:ascii="Palatino Linotype" w:eastAsia="Palatino Linotype" w:hAnsi="Palatino Linotype" w:cs="Palatino Linotype"/>
                <w:b/>
                <w:color w:val="000000"/>
                <w:sz w:val="22"/>
                <w:szCs w:val="22"/>
              </w:rPr>
              <w:t>Al hacerlo tienen que precisar de qué información se trata, señalando el supuesto de clasificación (confidencialidad o reserva).</w:t>
            </w:r>
          </w:p>
          <w:p w:rsidR="0072148B" w:rsidRPr="008736DB" w:rsidRDefault="00A077F4">
            <w:pPr>
              <w:tabs>
                <w:tab w:val="left" w:pos="284"/>
              </w:tabs>
              <w:spacing w:line="360" w:lineRule="auto"/>
              <w:ind w:right="49"/>
              <w:jc w:val="both"/>
              <w:rPr>
                <w:rFonts w:ascii="Palatino Linotype" w:eastAsia="Palatino Linotype" w:hAnsi="Palatino Linotype" w:cs="Palatino Linotype"/>
                <w:b/>
                <w:color w:val="000000"/>
                <w:sz w:val="22"/>
                <w:szCs w:val="22"/>
              </w:rPr>
            </w:pPr>
            <w:r w:rsidRPr="008736DB">
              <w:rPr>
                <w:rFonts w:ascii="Palatino Linotype" w:eastAsia="Palatino Linotype" w:hAnsi="Palatino Linotype" w:cs="Palatino Linotype"/>
                <w:b/>
                <w:color w:val="000000"/>
                <w:sz w:val="22"/>
                <w:szCs w:val="22"/>
              </w:rPr>
              <w:t>Además, se debe señalar el procedimiento, de los tres que establecen los artículos 132 y 106 de la Ley Estatal y General, respectivamente.</w:t>
            </w:r>
          </w:p>
          <w:p w:rsidR="0072148B" w:rsidRPr="008736DB" w:rsidRDefault="00A077F4">
            <w:pPr>
              <w:tabs>
                <w:tab w:val="left" w:pos="284"/>
              </w:tabs>
              <w:spacing w:line="360" w:lineRule="auto"/>
              <w:jc w:val="both"/>
              <w:rPr>
                <w:rFonts w:ascii="Palatino Linotype" w:eastAsia="Palatino Linotype" w:hAnsi="Palatino Linotype" w:cs="Palatino Linotype"/>
                <w:b/>
                <w:sz w:val="22"/>
                <w:szCs w:val="22"/>
              </w:rPr>
            </w:pPr>
            <w:r w:rsidRPr="008736DB">
              <w:rPr>
                <w:rFonts w:ascii="Palatino Linotype" w:eastAsia="Palatino Linotype" w:hAnsi="Palatino Linotype" w:cs="Palatino Linotype"/>
                <w:b/>
                <w:color w:val="000000"/>
                <w:sz w:val="22"/>
                <w:szCs w:val="22"/>
              </w:rPr>
              <w:t xml:space="preserve">El último de estos requisitos previos consiste en que no se pueden emitir acuerdos de carácter general ni particular, esto es, </w:t>
            </w:r>
            <w:r w:rsidRPr="008736DB">
              <w:rPr>
                <w:rFonts w:ascii="Palatino Linotype" w:eastAsia="Palatino Linotype" w:hAnsi="Palatino Linotype" w:cs="Palatino Linotype"/>
                <w:b/>
                <w:color w:val="000000"/>
                <w:sz w:val="22"/>
                <w:szCs w:val="22"/>
                <w:u w:val="single"/>
              </w:rPr>
              <w:t>no se puede hacer un acuerdo para clasificar de manera general todos los documentos de un expediente o área, sin</w:t>
            </w:r>
            <w:r w:rsidRPr="008736DB">
              <w:rPr>
                <w:rFonts w:ascii="Palatino Linotype" w:eastAsia="Palatino Linotype" w:hAnsi="Palatino Linotype" w:cs="Palatino Linotype"/>
                <w:b/>
                <w:color w:val="000000"/>
                <w:sz w:val="22"/>
                <w:szCs w:val="22"/>
              </w:rPr>
              <w:t xml:space="preserve"> individualizar su análisis y tampoco se puede hacer un acuerdo por cada dato que se vaya a clasificar dentro de un documento con diez datos, por ejemplo, susceptibles de ser clasificados.</w:t>
            </w:r>
          </w:p>
        </w:tc>
      </w:tr>
      <w:tr w:rsidR="0072148B" w:rsidRPr="008736DB">
        <w:tc>
          <w:tcPr>
            <w:tcW w:w="2689" w:type="dxa"/>
          </w:tcPr>
          <w:p w:rsidR="0072148B" w:rsidRPr="008736DB" w:rsidRDefault="00A077F4">
            <w:pPr>
              <w:tabs>
                <w:tab w:val="left" w:pos="284"/>
              </w:tabs>
              <w:spacing w:line="360" w:lineRule="auto"/>
              <w:rPr>
                <w:rFonts w:ascii="Palatino Linotype" w:eastAsia="Palatino Linotype" w:hAnsi="Palatino Linotype" w:cs="Palatino Linotype"/>
                <w:b/>
                <w:sz w:val="22"/>
                <w:szCs w:val="22"/>
              </w:rPr>
            </w:pPr>
            <w:r w:rsidRPr="008736DB">
              <w:rPr>
                <w:rFonts w:ascii="Palatino Linotype" w:eastAsia="Palatino Linotype" w:hAnsi="Palatino Linotype" w:cs="Palatino Linotype"/>
                <w:b/>
                <w:sz w:val="22"/>
                <w:szCs w:val="22"/>
              </w:rPr>
              <w:t>b) Supuestos de clasificación.</w:t>
            </w:r>
          </w:p>
        </w:tc>
        <w:tc>
          <w:tcPr>
            <w:tcW w:w="6520" w:type="dxa"/>
          </w:tcPr>
          <w:p w:rsidR="0072148B" w:rsidRPr="008736DB" w:rsidRDefault="00A077F4">
            <w:pPr>
              <w:tabs>
                <w:tab w:val="left" w:pos="284"/>
              </w:tabs>
              <w:spacing w:line="360" w:lineRule="auto"/>
              <w:ind w:right="49"/>
              <w:jc w:val="both"/>
              <w:rPr>
                <w:rFonts w:ascii="Palatino Linotype" w:eastAsia="Palatino Linotype" w:hAnsi="Palatino Linotype" w:cs="Palatino Linotype"/>
                <w:color w:val="000000"/>
                <w:sz w:val="22"/>
                <w:szCs w:val="22"/>
              </w:rPr>
            </w:pPr>
            <w:r w:rsidRPr="008736DB">
              <w:rPr>
                <w:rFonts w:ascii="Palatino Linotype" w:eastAsia="Palatino Linotype" w:hAnsi="Palatino Linotype" w:cs="Palatino Linotype"/>
                <w:color w:val="000000"/>
                <w:sz w:val="22"/>
                <w:szCs w:val="22"/>
              </w:rPr>
              <w:t>Las disposiciones constitucionales y legales en la materia establecen los dos supuestos generales para clasificar la información: por reserva y por confidencialidad.</w:t>
            </w:r>
          </w:p>
          <w:p w:rsidR="0072148B" w:rsidRPr="008736DB" w:rsidRDefault="00A077F4">
            <w:pPr>
              <w:tabs>
                <w:tab w:val="left" w:pos="284"/>
              </w:tabs>
              <w:spacing w:line="360" w:lineRule="auto"/>
              <w:ind w:right="49"/>
              <w:jc w:val="both"/>
              <w:rPr>
                <w:rFonts w:ascii="Palatino Linotype" w:eastAsia="Palatino Linotype" w:hAnsi="Palatino Linotype" w:cs="Palatino Linotype"/>
                <w:color w:val="000000"/>
                <w:sz w:val="22"/>
                <w:szCs w:val="22"/>
              </w:rPr>
            </w:pPr>
            <w:r w:rsidRPr="008736DB">
              <w:rPr>
                <w:rFonts w:ascii="Palatino Linotype" w:eastAsia="Palatino Linotype" w:hAnsi="Palatino Linotype" w:cs="Palatino Linotype"/>
                <w:color w:val="000000"/>
                <w:sz w:val="22"/>
                <w:szCs w:val="22"/>
              </w:rPr>
              <w:t xml:space="preserve">Los artículos 116 y 143 de la Ley Estatal y de la Ley General, vigente a la fecha de la solicitud de información, respectivamente, señalan los supuestos para que la información pueda ser clasificada como confidencial. Mientras que los </w:t>
            </w:r>
            <w:r w:rsidRPr="008736DB">
              <w:rPr>
                <w:rFonts w:ascii="Palatino Linotype" w:eastAsia="Palatino Linotype" w:hAnsi="Palatino Linotype" w:cs="Palatino Linotype"/>
                <w:color w:val="000000"/>
                <w:sz w:val="22"/>
                <w:szCs w:val="22"/>
              </w:rPr>
              <w:lastRenderedPageBreak/>
              <w:t>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72148B" w:rsidRPr="008736DB" w:rsidRDefault="00A077F4">
            <w:pPr>
              <w:tabs>
                <w:tab w:val="left" w:pos="284"/>
              </w:tabs>
              <w:spacing w:line="360" w:lineRule="auto"/>
              <w:jc w:val="both"/>
              <w:rPr>
                <w:rFonts w:ascii="Palatino Linotype" w:eastAsia="Palatino Linotype" w:hAnsi="Palatino Linotype" w:cs="Palatino Linotype"/>
                <w:sz w:val="22"/>
                <w:szCs w:val="22"/>
              </w:rPr>
            </w:pPr>
            <w:r w:rsidRPr="008736DB">
              <w:rPr>
                <w:rFonts w:ascii="Palatino Linotype" w:eastAsia="Palatino Linotype" w:hAnsi="Palatino Linotype" w:cs="Palatino Linotype"/>
                <w:color w:val="000000"/>
                <w:sz w:val="22"/>
                <w:szCs w:val="22"/>
              </w:rPr>
              <w:t xml:space="preserve">El </w:t>
            </w:r>
            <w:r w:rsidRPr="008736DB">
              <w:rPr>
                <w:rFonts w:ascii="Palatino Linotype" w:eastAsia="Palatino Linotype" w:hAnsi="Palatino Linotype" w:cs="Palatino Linotype"/>
                <w:b/>
                <w:color w:val="000000"/>
                <w:sz w:val="22"/>
                <w:szCs w:val="22"/>
              </w:rPr>
              <w:t>Sujeto Obligado</w:t>
            </w:r>
            <w:r w:rsidRPr="008736DB">
              <w:rPr>
                <w:rFonts w:ascii="Palatino Linotype" w:eastAsia="Palatino Linotype" w:hAnsi="Palatino Linotype" w:cs="Palatino Linotype"/>
                <w:color w:val="000000"/>
                <w:sz w:val="22"/>
                <w:szCs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2148B" w:rsidRPr="008736DB">
        <w:tc>
          <w:tcPr>
            <w:tcW w:w="2689" w:type="dxa"/>
          </w:tcPr>
          <w:p w:rsidR="0072148B" w:rsidRPr="008736DB" w:rsidRDefault="00A077F4">
            <w:pPr>
              <w:tabs>
                <w:tab w:val="left" w:pos="284"/>
              </w:tabs>
              <w:spacing w:line="360" w:lineRule="auto"/>
              <w:rPr>
                <w:rFonts w:ascii="Palatino Linotype" w:eastAsia="Palatino Linotype" w:hAnsi="Palatino Linotype" w:cs="Palatino Linotype"/>
                <w:b/>
                <w:sz w:val="22"/>
                <w:szCs w:val="22"/>
              </w:rPr>
            </w:pPr>
            <w:r w:rsidRPr="008736DB">
              <w:rPr>
                <w:rFonts w:ascii="Palatino Linotype" w:eastAsia="Palatino Linotype" w:hAnsi="Palatino Linotype" w:cs="Palatino Linotype"/>
                <w:b/>
                <w:sz w:val="22"/>
                <w:szCs w:val="22"/>
              </w:rPr>
              <w:lastRenderedPageBreak/>
              <w:t>c) Formalidades para emitir el acuerdo de clasificación.</w:t>
            </w:r>
          </w:p>
        </w:tc>
        <w:tc>
          <w:tcPr>
            <w:tcW w:w="6520" w:type="dxa"/>
          </w:tcPr>
          <w:p w:rsidR="0072148B" w:rsidRPr="008736DB" w:rsidRDefault="00A077F4">
            <w:pPr>
              <w:tabs>
                <w:tab w:val="left" w:pos="284"/>
              </w:tabs>
              <w:spacing w:line="360" w:lineRule="auto"/>
              <w:ind w:right="49"/>
              <w:jc w:val="both"/>
              <w:rPr>
                <w:rFonts w:ascii="Palatino Linotype" w:eastAsia="Palatino Linotype" w:hAnsi="Palatino Linotype" w:cs="Palatino Linotype"/>
                <w:color w:val="000000"/>
                <w:sz w:val="22"/>
                <w:szCs w:val="22"/>
              </w:rPr>
            </w:pPr>
            <w:r w:rsidRPr="008736DB">
              <w:rPr>
                <w:rFonts w:ascii="Palatino Linotype" w:eastAsia="Palatino Linotype" w:hAnsi="Palatino Linotype" w:cs="Palatino Linotype"/>
                <w:color w:val="000000"/>
                <w:sz w:val="22"/>
                <w:szCs w:val="22"/>
              </w:rPr>
              <w:t xml:space="preserve">El Comité de Transparencia, según lo dispuesto en los artículos cuenta con las facultades para aprobar, modificar o revocar la clasificación de la información que haya propuesto. </w:t>
            </w:r>
          </w:p>
          <w:p w:rsidR="0072148B" w:rsidRPr="008736DB" w:rsidRDefault="00A077F4">
            <w:pPr>
              <w:tabs>
                <w:tab w:val="left" w:pos="284"/>
              </w:tabs>
              <w:spacing w:line="360" w:lineRule="auto"/>
              <w:ind w:right="49"/>
              <w:jc w:val="both"/>
              <w:rPr>
                <w:rFonts w:ascii="Palatino Linotype" w:eastAsia="Palatino Linotype" w:hAnsi="Palatino Linotype" w:cs="Palatino Linotype"/>
                <w:color w:val="000000"/>
                <w:sz w:val="22"/>
                <w:szCs w:val="22"/>
              </w:rPr>
            </w:pPr>
            <w:r w:rsidRPr="008736DB">
              <w:rPr>
                <w:rFonts w:ascii="Palatino Linotype" w:eastAsia="Palatino Linotype" w:hAnsi="Palatino Linotype" w:cs="Palatino Linotype"/>
                <w:color w:val="000000"/>
                <w:sz w:val="22"/>
                <w:szCs w:val="22"/>
              </w:rPr>
              <w:t xml:space="preserve">Es necesario que </w:t>
            </w:r>
            <w:r w:rsidRPr="008736DB">
              <w:rPr>
                <w:rFonts w:ascii="Palatino Linotype" w:eastAsia="Palatino Linotype" w:hAnsi="Palatino Linotype" w:cs="Palatino Linotype"/>
                <w:b/>
                <w:color w:val="000000"/>
                <w:sz w:val="22"/>
                <w:szCs w:val="22"/>
                <w:u w:val="single"/>
              </w:rPr>
              <w:t>el acto reúna con los requisitos elementales</w:t>
            </w:r>
            <w:r w:rsidRPr="008736DB">
              <w:rPr>
                <w:rFonts w:ascii="Palatino Linotype" w:eastAsia="Palatino Linotype" w:hAnsi="Palatino Linotype" w:cs="Palatino Linotype"/>
                <w:color w:val="000000"/>
                <w:sz w:val="22"/>
                <w:szCs w:val="22"/>
              </w:rPr>
              <w:t>, entre ellos, que la autoridad que va a emitir el acto de autoridad sea la legalmente facultada para ello.</w:t>
            </w:r>
          </w:p>
          <w:p w:rsidR="0072148B" w:rsidRPr="008736DB" w:rsidRDefault="00A077F4">
            <w:pPr>
              <w:tabs>
                <w:tab w:val="left" w:pos="284"/>
              </w:tabs>
              <w:spacing w:line="360" w:lineRule="auto"/>
              <w:jc w:val="both"/>
              <w:rPr>
                <w:rFonts w:ascii="Palatino Linotype" w:eastAsia="Palatino Linotype" w:hAnsi="Palatino Linotype" w:cs="Palatino Linotype"/>
                <w:sz w:val="22"/>
                <w:szCs w:val="22"/>
              </w:rPr>
            </w:pPr>
            <w:r w:rsidRPr="008736DB">
              <w:rPr>
                <w:rFonts w:ascii="Palatino Linotype" w:eastAsia="Palatino Linotype" w:hAnsi="Palatino Linotype" w:cs="Palatino Linotype"/>
                <w:color w:val="000000"/>
                <w:sz w:val="22"/>
                <w:szCs w:val="22"/>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w:t>
            </w:r>
            <w:r w:rsidRPr="008736DB">
              <w:rPr>
                <w:rFonts w:ascii="Palatino Linotype" w:eastAsia="Palatino Linotype" w:hAnsi="Palatino Linotype" w:cs="Palatino Linotype"/>
                <w:color w:val="000000"/>
                <w:sz w:val="22"/>
                <w:szCs w:val="22"/>
              </w:rPr>
              <w:lastRenderedPageBreak/>
              <w:t>y que son sujetas a control, en primera instancia, por el Comité de Transparencia.</w:t>
            </w:r>
          </w:p>
        </w:tc>
      </w:tr>
      <w:tr w:rsidR="0072148B" w:rsidRPr="008736DB">
        <w:tc>
          <w:tcPr>
            <w:tcW w:w="2689" w:type="dxa"/>
          </w:tcPr>
          <w:p w:rsidR="0072148B" w:rsidRPr="008736DB" w:rsidRDefault="0072148B">
            <w:pPr>
              <w:tabs>
                <w:tab w:val="left" w:pos="284"/>
              </w:tabs>
              <w:spacing w:line="360" w:lineRule="auto"/>
              <w:rPr>
                <w:rFonts w:ascii="Palatino Linotype" w:eastAsia="Palatino Linotype" w:hAnsi="Palatino Linotype" w:cs="Palatino Linotype"/>
                <w:b/>
                <w:sz w:val="22"/>
                <w:szCs w:val="22"/>
              </w:rPr>
            </w:pPr>
          </w:p>
          <w:p w:rsidR="0072148B" w:rsidRPr="008736DB" w:rsidRDefault="00A077F4">
            <w:pPr>
              <w:tabs>
                <w:tab w:val="left" w:pos="284"/>
              </w:tabs>
              <w:spacing w:line="360" w:lineRule="auto"/>
              <w:jc w:val="both"/>
              <w:rPr>
                <w:rFonts w:ascii="Palatino Linotype" w:eastAsia="Palatino Linotype" w:hAnsi="Palatino Linotype" w:cs="Palatino Linotype"/>
                <w:b/>
                <w:sz w:val="22"/>
                <w:szCs w:val="22"/>
              </w:rPr>
            </w:pPr>
            <w:r w:rsidRPr="008736DB">
              <w:rPr>
                <w:rFonts w:ascii="Palatino Linotype" w:eastAsia="Palatino Linotype" w:hAnsi="Palatino Linotype" w:cs="Palatino Linotype"/>
                <w:b/>
                <w:color w:val="000000"/>
                <w:sz w:val="22"/>
                <w:szCs w:val="22"/>
              </w:rPr>
              <w:t xml:space="preserve">d) Requisitos de fondo del acuerdo de clasificación. </w:t>
            </w:r>
          </w:p>
        </w:tc>
        <w:tc>
          <w:tcPr>
            <w:tcW w:w="6520" w:type="dxa"/>
          </w:tcPr>
          <w:p w:rsidR="0072148B" w:rsidRPr="008736DB" w:rsidRDefault="00A077F4">
            <w:pPr>
              <w:tabs>
                <w:tab w:val="left" w:pos="284"/>
              </w:tabs>
              <w:spacing w:line="360" w:lineRule="auto"/>
              <w:ind w:right="49"/>
              <w:jc w:val="both"/>
              <w:rPr>
                <w:rFonts w:ascii="Palatino Linotype" w:eastAsia="Palatino Linotype" w:hAnsi="Palatino Linotype" w:cs="Palatino Linotype"/>
                <w:color w:val="000000"/>
                <w:sz w:val="22"/>
                <w:szCs w:val="22"/>
              </w:rPr>
            </w:pPr>
            <w:r w:rsidRPr="008736DB">
              <w:rPr>
                <w:rFonts w:ascii="Palatino Linotype" w:eastAsia="Palatino Linotype" w:hAnsi="Palatino Linotype" w:cs="Palatino Linotype"/>
                <w:color w:val="000000"/>
                <w:sz w:val="22"/>
                <w:szCs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736DB">
              <w:rPr>
                <w:rFonts w:ascii="Palatino Linotype" w:eastAsia="Palatino Linotype" w:hAnsi="Palatino Linotype" w:cs="Palatino Linotype"/>
                <w:b/>
                <w:color w:val="000000"/>
                <w:sz w:val="22"/>
                <w:szCs w:val="22"/>
              </w:rPr>
              <w:t>Sujetos Obligados</w:t>
            </w:r>
            <w:r w:rsidRPr="008736DB">
              <w:rPr>
                <w:rFonts w:ascii="Palatino Linotype" w:eastAsia="Palatino Linotype" w:hAnsi="Palatino Linotype" w:cs="Palatino Linotype"/>
                <w:color w:val="000000"/>
                <w:sz w:val="22"/>
                <w:szCs w:val="22"/>
              </w:rPr>
              <w:t xml:space="preserve">, por lo que deberán fundar y motivar debidamente la clasificación. </w:t>
            </w:r>
          </w:p>
          <w:p w:rsidR="0072148B" w:rsidRPr="008736DB" w:rsidRDefault="00A077F4">
            <w:pPr>
              <w:tabs>
                <w:tab w:val="left" w:pos="284"/>
              </w:tabs>
              <w:spacing w:line="360" w:lineRule="auto"/>
              <w:ind w:right="49"/>
              <w:jc w:val="both"/>
              <w:rPr>
                <w:rFonts w:ascii="Palatino Linotype" w:eastAsia="Palatino Linotype" w:hAnsi="Palatino Linotype" w:cs="Palatino Linotype"/>
                <w:color w:val="000000"/>
                <w:sz w:val="22"/>
                <w:szCs w:val="22"/>
              </w:rPr>
            </w:pPr>
            <w:r w:rsidRPr="008736DB">
              <w:rPr>
                <w:rFonts w:ascii="Palatino Linotype" w:eastAsia="Palatino Linotype" w:hAnsi="Palatino Linotype" w:cs="Palatino Linotype"/>
                <w:color w:val="000000"/>
                <w:sz w:val="22"/>
                <w:szCs w:val="22"/>
              </w:rPr>
              <w:t xml:space="preserve">De lo anterior, se desprende que para una correcta </w:t>
            </w:r>
            <w:r w:rsidRPr="008736DB">
              <w:rPr>
                <w:rFonts w:ascii="Palatino Linotype" w:eastAsia="Palatino Linotype" w:hAnsi="Palatino Linotype" w:cs="Palatino Linotype"/>
                <w:b/>
                <w:color w:val="000000"/>
                <w:sz w:val="22"/>
                <w:szCs w:val="22"/>
              </w:rPr>
              <w:t>clasificación total o parcial</w:t>
            </w:r>
            <w:r w:rsidRPr="008736DB">
              <w:rPr>
                <w:rFonts w:ascii="Palatino Linotype" w:eastAsia="Palatino Linotype" w:hAnsi="Palatino Linotype" w:cs="Palatino Linotype"/>
                <w:color w:val="000000"/>
                <w:sz w:val="22"/>
                <w:szCs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2148B" w:rsidRPr="008736DB" w:rsidRDefault="00A077F4">
            <w:pPr>
              <w:tabs>
                <w:tab w:val="left" w:pos="284"/>
              </w:tabs>
              <w:spacing w:line="360" w:lineRule="auto"/>
              <w:ind w:right="49"/>
              <w:jc w:val="both"/>
              <w:rPr>
                <w:rFonts w:ascii="Palatino Linotype" w:eastAsia="Palatino Linotype" w:hAnsi="Palatino Linotype" w:cs="Palatino Linotype"/>
                <w:color w:val="000000"/>
                <w:sz w:val="22"/>
                <w:szCs w:val="22"/>
              </w:rPr>
            </w:pPr>
            <w:r w:rsidRPr="008736DB">
              <w:rPr>
                <w:rFonts w:ascii="Palatino Linotype" w:eastAsia="Palatino Linotype" w:hAnsi="Palatino Linotype" w:cs="Palatino Linotype"/>
                <w:color w:val="000000"/>
                <w:sz w:val="22"/>
                <w:szCs w:val="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72148B" w:rsidRPr="008736DB" w:rsidRDefault="00A077F4">
            <w:pPr>
              <w:tabs>
                <w:tab w:val="left" w:pos="284"/>
              </w:tabs>
              <w:spacing w:line="360" w:lineRule="auto"/>
              <w:ind w:right="49"/>
              <w:jc w:val="both"/>
              <w:rPr>
                <w:rFonts w:ascii="Palatino Linotype" w:eastAsia="Palatino Linotype" w:hAnsi="Palatino Linotype" w:cs="Palatino Linotype"/>
                <w:color w:val="000000"/>
                <w:sz w:val="22"/>
                <w:szCs w:val="22"/>
              </w:rPr>
            </w:pPr>
            <w:r w:rsidRPr="008736DB">
              <w:rPr>
                <w:rFonts w:ascii="Palatino Linotype" w:eastAsia="Palatino Linotype" w:hAnsi="Palatino Linotype" w:cs="Palatino Linotype"/>
                <w:color w:val="000000"/>
                <w:sz w:val="22"/>
                <w:szCs w:val="22"/>
              </w:rPr>
              <w:t xml:space="preserve">En ese mismo sentido, el numeral trigésimo tercero fracción V de los Lineamientos Generales, precisa que para motivar la </w:t>
            </w:r>
            <w:r w:rsidRPr="008736DB">
              <w:rPr>
                <w:rFonts w:ascii="Palatino Linotype" w:eastAsia="Palatino Linotype" w:hAnsi="Palatino Linotype" w:cs="Palatino Linotype"/>
                <w:color w:val="000000"/>
                <w:sz w:val="22"/>
                <w:szCs w:val="22"/>
              </w:rPr>
              <w:lastRenderedPageBreak/>
              <w:t>clasificación se deben acreditar las circunstancias de tiempo, modo y lugar.</w:t>
            </w:r>
          </w:p>
          <w:p w:rsidR="0072148B" w:rsidRPr="008736DB" w:rsidRDefault="00A077F4">
            <w:pPr>
              <w:tabs>
                <w:tab w:val="left" w:pos="284"/>
              </w:tabs>
              <w:spacing w:line="360" w:lineRule="auto"/>
              <w:ind w:right="49"/>
              <w:jc w:val="both"/>
              <w:rPr>
                <w:rFonts w:ascii="Palatino Linotype" w:eastAsia="Palatino Linotype" w:hAnsi="Palatino Linotype" w:cs="Palatino Linotype"/>
                <w:color w:val="000000"/>
                <w:sz w:val="22"/>
                <w:szCs w:val="22"/>
              </w:rPr>
            </w:pPr>
            <w:r w:rsidRPr="008736DB">
              <w:rPr>
                <w:rFonts w:ascii="Palatino Linotype" w:eastAsia="Palatino Linotype" w:hAnsi="Palatino Linotype" w:cs="Palatino Linotype"/>
                <w:color w:val="000000"/>
                <w:sz w:val="22"/>
                <w:szCs w:val="22"/>
              </w:rPr>
              <w:t xml:space="preserve">Ahora bien, </w:t>
            </w:r>
            <w:r w:rsidRPr="008736DB">
              <w:rPr>
                <w:rFonts w:ascii="Palatino Linotype" w:eastAsia="Palatino Linotype" w:hAnsi="Palatino Linotype" w:cs="Palatino Linotype"/>
                <w:b/>
                <w:color w:val="000000"/>
                <w:sz w:val="22"/>
                <w:szCs w:val="22"/>
                <w:u w:val="single"/>
              </w:rPr>
              <w:t>para cada caso además de fundar y motivar</w:t>
            </w:r>
            <w:r w:rsidRPr="008736DB">
              <w:rPr>
                <w:rFonts w:ascii="Palatino Linotype" w:eastAsia="Palatino Linotype" w:hAnsi="Palatino Linotype" w:cs="Palatino Linotype"/>
                <w:color w:val="000000"/>
                <w:sz w:val="22"/>
                <w:szCs w:val="22"/>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2148B" w:rsidRPr="008736DB">
        <w:tc>
          <w:tcPr>
            <w:tcW w:w="2689" w:type="dxa"/>
          </w:tcPr>
          <w:p w:rsidR="0072148B" w:rsidRPr="008736DB" w:rsidRDefault="00A077F4">
            <w:pPr>
              <w:tabs>
                <w:tab w:val="left" w:pos="284"/>
              </w:tabs>
              <w:spacing w:line="360" w:lineRule="auto"/>
              <w:ind w:right="49"/>
              <w:jc w:val="both"/>
              <w:rPr>
                <w:rFonts w:ascii="Palatino Linotype" w:eastAsia="Palatino Linotype" w:hAnsi="Palatino Linotype" w:cs="Palatino Linotype"/>
                <w:b/>
                <w:sz w:val="22"/>
                <w:szCs w:val="22"/>
              </w:rPr>
            </w:pPr>
            <w:r w:rsidRPr="008736DB">
              <w:rPr>
                <w:rFonts w:ascii="Palatino Linotype" w:eastAsia="Palatino Linotype" w:hAnsi="Palatino Linotype" w:cs="Palatino Linotype"/>
                <w:b/>
                <w:sz w:val="22"/>
                <w:szCs w:val="22"/>
              </w:rPr>
              <w:lastRenderedPageBreak/>
              <w:t xml:space="preserve">e) Condiciones especiales de la clasificación de la información como confidencial. </w:t>
            </w:r>
          </w:p>
        </w:tc>
        <w:tc>
          <w:tcPr>
            <w:tcW w:w="6520" w:type="dxa"/>
          </w:tcPr>
          <w:p w:rsidR="0072148B" w:rsidRPr="008736DB" w:rsidRDefault="00A077F4">
            <w:pPr>
              <w:tabs>
                <w:tab w:val="left" w:pos="284"/>
              </w:tabs>
              <w:spacing w:line="360" w:lineRule="auto"/>
              <w:ind w:right="49"/>
              <w:jc w:val="both"/>
              <w:rPr>
                <w:rFonts w:ascii="Palatino Linotype" w:eastAsia="Palatino Linotype" w:hAnsi="Palatino Linotype" w:cs="Palatino Linotype"/>
                <w:color w:val="000000"/>
                <w:sz w:val="22"/>
                <w:szCs w:val="22"/>
              </w:rPr>
            </w:pPr>
            <w:r w:rsidRPr="008736DB">
              <w:rPr>
                <w:rFonts w:ascii="Palatino Linotype" w:eastAsia="Palatino Linotype" w:hAnsi="Palatino Linotype" w:cs="Palatino Linotype"/>
                <w:color w:val="000000"/>
                <w:sz w:val="22"/>
                <w:szCs w:val="22"/>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72148B" w:rsidRPr="008736DB" w:rsidRDefault="00A077F4">
            <w:pPr>
              <w:tabs>
                <w:tab w:val="left" w:pos="284"/>
              </w:tabs>
              <w:spacing w:line="360" w:lineRule="auto"/>
              <w:ind w:right="49"/>
              <w:jc w:val="both"/>
              <w:rPr>
                <w:rFonts w:ascii="Palatino Linotype" w:eastAsia="Palatino Linotype" w:hAnsi="Palatino Linotype" w:cs="Palatino Linotype"/>
                <w:color w:val="000000"/>
                <w:sz w:val="22"/>
                <w:szCs w:val="22"/>
              </w:rPr>
            </w:pPr>
            <w:r w:rsidRPr="008736DB">
              <w:rPr>
                <w:rFonts w:ascii="Palatino Linotype" w:eastAsia="Palatino Linotype" w:hAnsi="Palatino Linotype" w:cs="Palatino Linotype"/>
                <w:color w:val="000000"/>
                <w:sz w:val="22"/>
                <w:szCs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2148B" w:rsidRPr="008736DB" w:rsidRDefault="00A077F4">
            <w:pPr>
              <w:tabs>
                <w:tab w:val="left" w:pos="284"/>
              </w:tabs>
              <w:spacing w:line="360" w:lineRule="auto"/>
              <w:rPr>
                <w:rFonts w:ascii="Palatino Linotype" w:eastAsia="Palatino Linotype" w:hAnsi="Palatino Linotype" w:cs="Palatino Linotype"/>
                <w:sz w:val="22"/>
                <w:szCs w:val="22"/>
              </w:rPr>
            </w:pPr>
            <w:r w:rsidRPr="008736DB">
              <w:rPr>
                <w:rFonts w:ascii="Palatino Linotype" w:eastAsia="Palatino Linotype" w:hAnsi="Palatino Linotype" w:cs="Palatino Linotype"/>
                <w:color w:val="000000"/>
                <w:sz w:val="22"/>
                <w:szCs w:val="22"/>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72148B" w:rsidRPr="008736DB" w:rsidRDefault="0072148B">
      <w:pPr>
        <w:tabs>
          <w:tab w:val="left" w:pos="284"/>
        </w:tabs>
        <w:spacing w:line="360" w:lineRule="auto"/>
        <w:rPr>
          <w:rFonts w:ascii="Palatino Linotype" w:eastAsia="Palatino Linotype" w:hAnsi="Palatino Linotype" w:cs="Palatino Linotype"/>
          <w:color w:val="000000"/>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lastRenderedPageBreak/>
        <w:t>Se debe de puntualizar que los recibos de nómina y/o comprobantes de pago de cualquier índole, contienen datos personales de los servidores públicos o empleados,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social (ISSEMYM, u otros), y los descuentos y claves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rsidR="0072148B" w:rsidRPr="008736DB" w:rsidRDefault="0072148B">
      <w:pPr>
        <w:tabs>
          <w:tab w:val="left" w:pos="284"/>
        </w:tabs>
        <w:spacing w:line="360" w:lineRule="auto"/>
        <w:jc w:val="both"/>
        <w:rPr>
          <w:rFonts w:ascii="Palatino Linotype" w:eastAsia="Palatino Linotype" w:hAnsi="Palatino Linotype" w:cs="Palatino Linotype"/>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 xml:space="preserve">Por cuanto hace al </w:t>
      </w:r>
      <w:r w:rsidRPr="008736DB">
        <w:rPr>
          <w:rFonts w:ascii="Palatino Linotype" w:eastAsia="Palatino Linotype" w:hAnsi="Palatino Linotype" w:cs="Palatino Linotype"/>
          <w:b/>
        </w:rPr>
        <w:t>Registro Federal de Contribuyentes (RFC),</w:t>
      </w:r>
      <w:r w:rsidRPr="008736DB">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w:t>
      </w:r>
      <w:proofErr w:type="spellStart"/>
      <w:r w:rsidRPr="008736DB">
        <w:rPr>
          <w:rFonts w:ascii="Palatino Linotype" w:eastAsia="Palatino Linotype" w:hAnsi="Palatino Linotype" w:cs="Palatino Linotype"/>
        </w:rPr>
        <w:t>homoclave</w:t>
      </w:r>
      <w:proofErr w:type="spellEnd"/>
      <w:r w:rsidRPr="008736DB">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rsidR="0072148B" w:rsidRPr="008736DB" w:rsidRDefault="0072148B">
      <w:pPr>
        <w:tabs>
          <w:tab w:val="left" w:pos="284"/>
        </w:tabs>
        <w:spacing w:line="360" w:lineRule="auto"/>
        <w:jc w:val="both"/>
        <w:rPr>
          <w:rFonts w:ascii="Palatino Linotype" w:eastAsia="Palatino Linotype" w:hAnsi="Palatino Linotype" w:cs="Palatino Linotype"/>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72148B" w:rsidRPr="008736DB" w:rsidRDefault="0072148B">
      <w:pPr>
        <w:tabs>
          <w:tab w:val="left" w:pos="284"/>
        </w:tabs>
        <w:spacing w:line="360" w:lineRule="auto"/>
        <w:jc w:val="both"/>
        <w:rPr>
          <w:rFonts w:ascii="Palatino Linotype" w:eastAsia="Palatino Linotype" w:hAnsi="Palatino Linotype" w:cs="Palatino Linotype"/>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lastRenderedPageBreak/>
        <w:t>Lo anterior es compartido por el entonces Instituto Federal de Acceso a la Información Pública y Protección de Datos Personales (IFAI) a través del Criterio orientador 19/17, el cual es del tenor literal siguiente:</w:t>
      </w:r>
    </w:p>
    <w:p w:rsidR="0072148B" w:rsidRPr="008736DB" w:rsidRDefault="0072148B">
      <w:pPr>
        <w:pBdr>
          <w:top w:val="nil"/>
          <w:left w:val="nil"/>
          <w:bottom w:val="nil"/>
          <w:right w:val="nil"/>
          <w:between w:val="nil"/>
        </w:pBdr>
        <w:spacing w:line="360" w:lineRule="auto"/>
        <w:jc w:val="both"/>
        <w:rPr>
          <w:rFonts w:ascii="Palatino Linotype" w:eastAsia="Palatino Linotype" w:hAnsi="Palatino Linotype" w:cs="Palatino Linotype"/>
        </w:rPr>
      </w:pPr>
    </w:p>
    <w:p w:rsidR="0072148B" w:rsidRPr="008736DB" w:rsidRDefault="00A077F4">
      <w:pPr>
        <w:ind w:left="1134" w:right="900"/>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b/>
          <w:i/>
          <w:sz w:val="22"/>
          <w:szCs w:val="22"/>
        </w:rPr>
        <w:t>“Registro Federal de Contribuyentes (RFC) de personas físicas</w:t>
      </w:r>
      <w:r w:rsidRPr="008736DB">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rsidR="0072148B" w:rsidRPr="008736DB" w:rsidRDefault="0072148B">
      <w:pPr>
        <w:ind w:right="1106"/>
        <w:jc w:val="both"/>
        <w:rPr>
          <w:rFonts w:ascii="Palatino Linotype" w:eastAsia="Palatino Linotype" w:hAnsi="Palatino Linotype" w:cs="Palatino Linotype"/>
          <w:i/>
          <w:sz w:val="22"/>
          <w:szCs w:val="22"/>
        </w:rPr>
      </w:pPr>
    </w:p>
    <w:p w:rsidR="0072148B" w:rsidRPr="008736DB" w:rsidRDefault="0072148B">
      <w:pPr>
        <w:ind w:left="567" w:right="900"/>
        <w:jc w:val="both"/>
        <w:rPr>
          <w:rFonts w:ascii="Palatino Linotype" w:eastAsia="Palatino Linotype" w:hAnsi="Palatino Linotype" w:cs="Palatino Linotype"/>
          <w:i/>
          <w:sz w:val="22"/>
          <w:szCs w:val="22"/>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 xml:space="preserve">Así, el </w:t>
      </w:r>
      <w:r w:rsidRPr="008736DB">
        <w:rPr>
          <w:rFonts w:ascii="Palatino Linotype" w:eastAsia="Palatino Linotype" w:hAnsi="Palatino Linotype" w:cs="Palatino Linotype"/>
          <w:b/>
        </w:rPr>
        <w:t>Registro Federal de Contribuyentes, RFC</w:t>
      </w:r>
      <w:r w:rsidRPr="008736DB">
        <w:rPr>
          <w:rFonts w:ascii="Palatino Linotype" w:eastAsia="Palatino Linotype" w:hAnsi="Palatino Linotype" w:cs="Palatino Linotype"/>
        </w:rPr>
        <w:t xml:space="preserve">, se vincula al nombre de su titular y permite identificar la edad de la persona, su fecha de nacimiento, así como su </w:t>
      </w:r>
      <w:proofErr w:type="spellStart"/>
      <w:r w:rsidRPr="008736DB">
        <w:rPr>
          <w:rFonts w:ascii="Palatino Linotype" w:eastAsia="Palatino Linotype" w:hAnsi="Palatino Linotype" w:cs="Palatino Linotype"/>
        </w:rPr>
        <w:t>homoclave</w:t>
      </w:r>
      <w:proofErr w:type="spellEnd"/>
      <w:r w:rsidRPr="008736DB">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72148B" w:rsidRPr="008736DB" w:rsidRDefault="0072148B">
      <w:pPr>
        <w:tabs>
          <w:tab w:val="left" w:pos="284"/>
        </w:tabs>
        <w:spacing w:line="360" w:lineRule="auto"/>
        <w:jc w:val="both"/>
        <w:rPr>
          <w:rFonts w:ascii="Palatino Linotype" w:eastAsia="Palatino Linotype" w:hAnsi="Palatino Linotype" w:cs="Palatino Linotype"/>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 xml:space="preserve">De igual manera la </w:t>
      </w:r>
      <w:r w:rsidRPr="008736DB">
        <w:rPr>
          <w:rFonts w:ascii="Palatino Linotype" w:eastAsia="Palatino Linotype" w:hAnsi="Palatino Linotype" w:cs="Palatino Linotype"/>
          <w:b/>
        </w:rPr>
        <w:t>Clave Única de Registro de Población (CURP),</w:t>
      </w:r>
      <w:r w:rsidRPr="008736DB">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72148B" w:rsidRPr="008736DB" w:rsidRDefault="0072148B">
      <w:pPr>
        <w:tabs>
          <w:tab w:val="left" w:pos="284"/>
        </w:tabs>
        <w:spacing w:line="360" w:lineRule="auto"/>
        <w:jc w:val="both"/>
        <w:rPr>
          <w:rFonts w:ascii="Palatino Linotype" w:eastAsia="Palatino Linotype" w:hAnsi="Palatino Linotype" w:cs="Palatino Linotype"/>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 xml:space="preserve">Argumento que es compartido por el Instituto Nacional de Transparencia, Acceso a la Información y Protección de Datos Personales, INAI, conforme al criterio orientador 18/17, el cual refiere: </w:t>
      </w:r>
    </w:p>
    <w:p w:rsidR="0072148B" w:rsidRPr="008736DB" w:rsidRDefault="0072148B">
      <w:pPr>
        <w:pBdr>
          <w:top w:val="nil"/>
          <w:left w:val="nil"/>
          <w:bottom w:val="nil"/>
          <w:right w:val="nil"/>
          <w:between w:val="nil"/>
        </w:pBdr>
        <w:spacing w:line="360" w:lineRule="auto"/>
        <w:jc w:val="both"/>
        <w:rPr>
          <w:rFonts w:ascii="Palatino Linotype" w:eastAsia="Palatino Linotype" w:hAnsi="Palatino Linotype" w:cs="Palatino Linotype"/>
        </w:rPr>
      </w:pPr>
    </w:p>
    <w:p w:rsidR="0072148B" w:rsidRPr="008736DB" w:rsidRDefault="00A077F4">
      <w:pPr>
        <w:ind w:left="1134" w:right="900"/>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b/>
          <w:i/>
          <w:sz w:val="22"/>
          <w:szCs w:val="22"/>
        </w:rPr>
        <w:t xml:space="preserve">“Clave Única de Registro de Población (CURP). </w:t>
      </w:r>
      <w:r w:rsidRPr="008736DB">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72148B" w:rsidRPr="008736DB" w:rsidRDefault="0072148B">
      <w:pPr>
        <w:ind w:left="851" w:right="333"/>
        <w:jc w:val="both"/>
        <w:rPr>
          <w:rFonts w:ascii="Palatino Linotype" w:eastAsia="Palatino Linotype" w:hAnsi="Palatino Linotype" w:cs="Palatino Linotype"/>
          <w:i/>
        </w:rPr>
      </w:pPr>
    </w:p>
    <w:p w:rsidR="0072148B" w:rsidRPr="008736DB" w:rsidRDefault="0072148B">
      <w:pPr>
        <w:ind w:left="851" w:right="333"/>
        <w:jc w:val="both"/>
        <w:rPr>
          <w:rFonts w:ascii="Palatino Linotype" w:eastAsia="Palatino Linotype" w:hAnsi="Palatino Linotype" w:cs="Palatino Linotype"/>
          <w:i/>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 xml:space="preserve">Por cuanto hace a la </w:t>
      </w:r>
      <w:r w:rsidRPr="008736DB">
        <w:rPr>
          <w:rFonts w:ascii="Palatino Linotype" w:eastAsia="Palatino Linotype" w:hAnsi="Palatino Linotype" w:cs="Palatino Linotype"/>
          <w:b/>
        </w:rPr>
        <w:t>Clave de cualquier tipo de seguridad social (</w:t>
      </w:r>
      <w:proofErr w:type="spellStart"/>
      <w:r w:rsidRPr="008736DB">
        <w:rPr>
          <w:rFonts w:ascii="Palatino Linotype" w:eastAsia="Palatino Linotype" w:hAnsi="Palatino Linotype" w:cs="Palatino Linotype"/>
          <w:b/>
        </w:rPr>
        <w:t>ISSEMyM</w:t>
      </w:r>
      <w:proofErr w:type="spellEnd"/>
      <w:r w:rsidRPr="008736DB">
        <w:rPr>
          <w:rFonts w:ascii="Palatino Linotype" w:eastAsia="Palatino Linotype" w:hAnsi="Palatino Linotype" w:cs="Palatino Linotype"/>
          <w:b/>
        </w:rPr>
        <w:t>, u otros</w:t>
      </w:r>
      <w:r w:rsidRPr="008736DB">
        <w:rPr>
          <w:rFonts w:ascii="Palatino Linotype" w:eastAsia="Palatino Linotype" w:hAnsi="Palatino Linotype" w:cs="Palatino Linotype"/>
        </w:rPr>
        <w:t>),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72148B" w:rsidRPr="008736DB" w:rsidRDefault="0072148B">
      <w:pPr>
        <w:tabs>
          <w:tab w:val="left" w:pos="284"/>
        </w:tabs>
        <w:spacing w:line="360" w:lineRule="auto"/>
        <w:jc w:val="both"/>
        <w:rPr>
          <w:rFonts w:ascii="Palatino Linotype" w:eastAsia="Palatino Linotype" w:hAnsi="Palatino Linotype" w:cs="Palatino Linotype"/>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w:t>
      </w:r>
      <w:r w:rsidRPr="008736DB">
        <w:rPr>
          <w:rFonts w:ascii="Palatino Linotype" w:eastAsia="Palatino Linotype" w:hAnsi="Palatino Linotype" w:cs="Palatino Linotype"/>
        </w:rPr>
        <w:lastRenderedPageBreak/>
        <w:t>violentaba la protección de información confidencial, porque incide en la intimidad de un individuo identificado.</w:t>
      </w:r>
    </w:p>
    <w:p w:rsidR="0072148B" w:rsidRPr="008736DB" w:rsidRDefault="0072148B">
      <w:pPr>
        <w:tabs>
          <w:tab w:val="left" w:pos="284"/>
        </w:tabs>
        <w:spacing w:line="360" w:lineRule="auto"/>
        <w:jc w:val="both"/>
        <w:rPr>
          <w:rFonts w:ascii="Palatino Linotype" w:eastAsia="Palatino Linotype" w:hAnsi="Palatino Linotype" w:cs="Palatino Linotype"/>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72148B" w:rsidRPr="008736DB" w:rsidRDefault="0072148B">
      <w:pPr>
        <w:tabs>
          <w:tab w:val="left" w:pos="284"/>
        </w:tabs>
        <w:spacing w:line="360" w:lineRule="auto"/>
        <w:jc w:val="both"/>
        <w:rPr>
          <w:rFonts w:ascii="Palatino Linotype" w:eastAsia="Palatino Linotype" w:hAnsi="Palatino Linotype" w:cs="Palatino Linotype"/>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Sirven de sustento a lo anterior, las tesis jurisprudenciales P. LX/2000 y 2a. XLIII/2008 emitidas por el Peno y la Segunda Sala de la Suprema Corte de Justicia de la Nación, respectivamente, que son del tenor literal siguiente:</w:t>
      </w:r>
    </w:p>
    <w:p w:rsidR="0072148B" w:rsidRPr="008736DB" w:rsidRDefault="0072148B">
      <w:pPr>
        <w:pBdr>
          <w:top w:val="nil"/>
          <w:left w:val="nil"/>
          <w:bottom w:val="nil"/>
          <w:right w:val="nil"/>
          <w:between w:val="nil"/>
        </w:pBdr>
        <w:spacing w:line="360" w:lineRule="auto"/>
        <w:jc w:val="both"/>
        <w:rPr>
          <w:rFonts w:ascii="Palatino Linotype" w:eastAsia="Palatino Linotype" w:hAnsi="Palatino Linotype" w:cs="Palatino Linotype"/>
        </w:rPr>
      </w:pPr>
    </w:p>
    <w:p w:rsidR="0072148B" w:rsidRPr="008736DB" w:rsidRDefault="00A077F4">
      <w:pPr>
        <w:ind w:left="1134" w:right="900"/>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8736DB">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8736DB">
        <w:rPr>
          <w:rFonts w:ascii="Palatino Linotype" w:eastAsia="Palatino Linotype" w:hAnsi="Palatino Linotype" w:cs="Palatino Linotype"/>
          <w:b/>
          <w:i/>
          <w:sz w:val="22"/>
          <w:szCs w:val="22"/>
        </w:rPr>
        <w:t xml:space="preserve">restringen el acceso a la información en esta materia, en razón de que su conocimiento público puede generar daños a los intereses nacionales y, por el otro, sancionan </w:t>
      </w:r>
      <w:r w:rsidRPr="008736DB">
        <w:rPr>
          <w:rFonts w:ascii="Palatino Linotype" w:eastAsia="Palatino Linotype" w:hAnsi="Palatino Linotype" w:cs="Palatino Linotype"/>
          <w:b/>
          <w:i/>
          <w:sz w:val="22"/>
          <w:szCs w:val="22"/>
        </w:rPr>
        <w:lastRenderedPageBreak/>
        <w:t>la inobservancia de esa reserva</w:t>
      </w:r>
      <w:r w:rsidRPr="008736DB">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8736DB">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8736DB">
        <w:rPr>
          <w:rFonts w:ascii="Palatino Linotype" w:eastAsia="Palatino Linotype" w:hAnsi="Palatino Linotype" w:cs="Palatino Linotype"/>
          <w:i/>
          <w:sz w:val="22"/>
          <w:szCs w:val="22"/>
        </w:rPr>
        <w:t>.”</w:t>
      </w:r>
    </w:p>
    <w:p w:rsidR="0072148B" w:rsidRPr="008736DB" w:rsidRDefault="0072148B">
      <w:pPr>
        <w:ind w:left="1134" w:right="900"/>
        <w:jc w:val="both"/>
        <w:rPr>
          <w:rFonts w:ascii="Palatino Linotype" w:eastAsia="Palatino Linotype" w:hAnsi="Palatino Linotype" w:cs="Palatino Linotype"/>
          <w:i/>
          <w:sz w:val="22"/>
          <w:szCs w:val="22"/>
        </w:rPr>
      </w:pPr>
    </w:p>
    <w:p w:rsidR="0072148B" w:rsidRPr="008736DB" w:rsidRDefault="00A077F4">
      <w:pPr>
        <w:ind w:left="1134" w:right="900"/>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b/>
          <w:i/>
          <w:sz w:val="22"/>
          <w:szCs w:val="22"/>
        </w:rPr>
        <w:t xml:space="preserve">“TRANSPARENCIA Y ACCESO A LA INFORMACIÓN PÚBLICA GUBERNAMENTAL. EL ARTÍCULO 14, FRACCIÓN I, DE LA LEY FEDERAL RELATIVA, NO VIOLA LA GARANTÍA DE ACCESO A LA INFORMACIÓN. </w:t>
      </w:r>
      <w:r w:rsidRPr="008736DB">
        <w:rPr>
          <w:rFonts w:ascii="Palatino Linotype" w:eastAsia="Palatino Linotype" w:hAnsi="Palatino Linotype" w:cs="Palatino Linotype"/>
          <w:i/>
          <w:sz w:val="22"/>
          <w:szCs w:val="22"/>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8736DB">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8736DB">
        <w:rPr>
          <w:rFonts w:ascii="Palatino Linotype" w:eastAsia="Palatino Linotype" w:hAnsi="Palatino Linotype" w:cs="Palatino Linotype"/>
          <w:i/>
          <w:sz w:val="22"/>
          <w:szCs w:val="22"/>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72148B" w:rsidRPr="008736DB" w:rsidRDefault="0072148B">
      <w:pPr>
        <w:ind w:left="1134" w:right="-929"/>
        <w:jc w:val="both"/>
        <w:rPr>
          <w:rFonts w:ascii="Palatino Linotype" w:eastAsia="Palatino Linotype" w:hAnsi="Palatino Linotype" w:cs="Palatino Linotype"/>
          <w:i/>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También, el número de cuenta bancario, conforme al el Criterio orientador 10/17 emitido por el Pleno del Instituto Nacional de Transparencia, Acceso a la Información y Protección de Datos Personales se establece lo siguiente:</w:t>
      </w:r>
    </w:p>
    <w:p w:rsidR="0072148B" w:rsidRPr="008736DB" w:rsidRDefault="0072148B">
      <w:pPr>
        <w:pBdr>
          <w:top w:val="nil"/>
          <w:left w:val="nil"/>
          <w:bottom w:val="nil"/>
          <w:right w:val="nil"/>
          <w:between w:val="nil"/>
        </w:pBdr>
        <w:spacing w:line="360" w:lineRule="auto"/>
        <w:jc w:val="both"/>
        <w:rPr>
          <w:rFonts w:ascii="Palatino Linotype" w:eastAsia="Palatino Linotype" w:hAnsi="Palatino Linotype" w:cs="Palatino Linotype"/>
        </w:rPr>
      </w:pPr>
    </w:p>
    <w:p w:rsidR="0072148B" w:rsidRPr="008736DB" w:rsidRDefault="00A077F4">
      <w:pPr>
        <w:shd w:val="clear" w:color="auto" w:fill="FFFFFF"/>
        <w:ind w:left="1134" w:right="900"/>
        <w:jc w:val="both"/>
        <w:rPr>
          <w:rFonts w:ascii="Palatino Linotype" w:eastAsia="Palatino Linotype" w:hAnsi="Palatino Linotype" w:cs="Palatino Linotype"/>
          <w:sz w:val="22"/>
          <w:szCs w:val="22"/>
        </w:rPr>
      </w:pPr>
      <w:r w:rsidRPr="008736DB">
        <w:rPr>
          <w:rFonts w:ascii="Palatino Linotype" w:eastAsia="Palatino Linotype" w:hAnsi="Palatino Linotype" w:cs="Palatino Linotype"/>
          <w:sz w:val="22"/>
          <w:szCs w:val="22"/>
        </w:rPr>
        <w:t>“</w:t>
      </w:r>
      <w:r w:rsidRPr="008736DB">
        <w:rPr>
          <w:rFonts w:ascii="Palatino Linotype" w:eastAsia="Palatino Linotype" w:hAnsi="Palatino Linotype" w:cs="Palatino Linotype"/>
          <w:b/>
          <w:i/>
          <w:sz w:val="22"/>
          <w:szCs w:val="22"/>
        </w:rPr>
        <w:t>Cuentas bancarias y/o CLABE interbancaria de personas físicas y morales privadas.</w:t>
      </w:r>
      <w:r w:rsidRPr="008736DB">
        <w:rPr>
          <w:rFonts w:ascii="Palatino Linotype" w:eastAsia="Palatino Linotype" w:hAnsi="Palatino Linotype" w:cs="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8736DB">
        <w:rPr>
          <w:rFonts w:ascii="Palatino Linotype" w:eastAsia="Palatino Linotype" w:hAnsi="Palatino Linotype" w:cs="Palatino Linotype"/>
          <w:sz w:val="22"/>
          <w:szCs w:val="22"/>
        </w:rPr>
        <w:t>.”</w:t>
      </w:r>
    </w:p>
    <w:p w:rsidR="0072148B" w:rsidRPr="008736DB" w:rsidRDefault="0072148B">
      <w:pPr>
        <w:ind w:left="1134" w:right="-929"/>
        <w:jc w:val="both"/>
        <w:rPr>
          <w:rFonts w:ascii="Palatino Linotype" w:eastAsia="Palatino Linotype" w:hAnsi="Palatino Linotype" w:cs="Palatino Linotype"/>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o empleado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0072148B" w:rsidRPr="008736DB" w:rsidRDefault="0072148B">
      <w:pPr>
        <w:spacing w:line="360" w:lineRule="auto"/>
        <w:jc w:val="both"/>
        <w:rPr>
          <w:rFonts w:ascii="Palatino Linotype" w:eastAsia="Palatino Linotype" w:hAnsi="Palatino Linotype" w:cs="Palatino Linotype"/>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 xml:space="preserve">El </w:t>
      </w:r>
      <w:r w:rsidRPr="008736DB">
        <w:rPr>
          <w:rFonts w:ascii="Palatino Linotype" w:eastAsia="Palatino Linotype" w:hAnsi="Palatino Linotype" w:cs="Palatino Linotype"/>
          <w:b/>
        </w:rPr>
        <w:t>Código de barras bidimensional (QR</w:t>
      </w:r>
      <w:r w:rsidRPr="008736DB">
        <w:rPr>
          <w:rFonts w:ascii="Palatino Linotype" w:eastAsia="Palatino Linotype" w:hAnsi="Palatino Linotype" w:cs="Palatino Linotype"/>
        </w:rPr>
        <w:t xml:space="preserve">), resulta necesario señalar que los comprobantes fiscales digitales por Internet, deben de incluir un código bidimensional conforme al formato QR </w:t>
      </w:r>
      <w:proofErr w:type="spellStart"/>
      <w:r w:rsidRPr="008736DB">
        <w:rPr>
          <w:rFonts w:ascii="Palatino Linotype" w:eastAsia="Palatino Linotype" w:hAnsi="Palatino Linotype" w:cs="Palatino Linotype"/>
        </w:rPr>
        <w:t>Code</w:t>
      </w:r>
      <w:proofErr w:type="spellEnd"/>
      <w:r w:rsidRPr="008736DB">
        <w:rPr>
          <w:rFonts w:ascii="Palatino Linotype" w:eastAsia="Palatino Linotype" w:hAnsi="Palatino Linotype" w:cs="Palatino Linotype"/>
        </w:rPr>
        <w:t xml:space="preserve"> (Quick Response </w:t>
      </w:r>
      <w:proofErr w:type="spellStart"/>
      <w:r w:rsidRPr="008736DB">
        <w:rPr>
          <w:rFonts w:ascii="Palatino Linotype" w:eastAsia="Palatino Linotype" w:hAnsi="Palatino Linotype" w:cs="Palatino Linotype"/>
        </w:rPr>
        <w:t>Code</w:t>
      </w:r>
      <w:proofErr w:type="spellEnd"/>
      <w:r w:rsidRPr="008736DB">
        <w:rPr>
          <w:rFonts w:ascii="Palatino Linotype" w:eastAsia="Palatino Linotype" w:hAnsi="Palatino Linotype" w:cs="Palatino Linotype"/>
        </w:rPr>
        <w:t xml:space="preserve">), el cual contiene el Registro Federal de Contribuyentes del receptor, del emisor, o de ambos; lo anterior, conforme al Anexo 20 de la Resolución Miscelánea Fiscal para 2022, localizada en la página electrónica  </w:t>
      </w:r>
      <w:hyperlink r:id="rId14">
        <w:r w:rsidRPr="008736DB">
          <w:rPr>
            <w:rFonts w:ascii="Palatino Linotype" w:eastAsia="Palatino Linotype" w:hAnsi="Palatino Linotype" w:cs="Palatino Linotype"/>
            <w:color w:val="0563C1"/>
            <w:u w:val="single"/>
          </w:rPr>
          <w:t>http://omawww.sat.gob.mx/tramitesyservicios/paginas/documentos/anexo20_2022.pdf</w:t>
        </w:r>
      </w:hyperlink>
      <w:r w:rsidRPr="008736DB">
        <w:rPr>
          <w:rFonts w:ascii="Palatino Linotype" w:eastAsia="Palatino Linotype" w:hAnsi="Palatino Linotype" w:cs="Palatino Linotype"/>
        </w:rPr>
        <w:t xml:space="preserve"> . Incluso con la captura de dicho código, a través de la aplicación móvil del Servicio de </w:t>
      </w:r>
      <w:r w:rsidRPr="008736DB">
        <w:rPr>
          <w:rFonts w:ascii="Palatino Linotype" w:eastAsia="Palatino Linotype" w:hAnsi="Palatino Linotype" w:cs="Palatino Linotype"/>
        </w:rPr>
        <w:lastRenderedPageBreak/>
        <w:t>Administración Tributaria, permite el acceso al Registro Federal de Contribuyentes, como del Sujeto Obligado, como de la persona física o moral correspondiente.</w:t>
      </w:r>
    </w:p>
    <w:p w:rsidR="0072148B" w:rsidRPr="008736DB" w:rsidRDefault="0072148B">
      <w:pPr>
        <w:tabs>
          <w:tab w:val="left" w:pos="284"/>
        </w:tabs>
        <w:spacing w:line="360" w:lineRule="auto"/>
        <w:ind w:right="-1071"/>
        <w:jc w:val="both"/>
        <w:rPr>
          <w:rFonts w:ascii="Palatino Linotype" w:eastAsia="Palatino Linotype" w:hAnsi="Palatino Linotype" w:cs="Palatino Linotype"/>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rsidR="0072148B" w:rsidRPr="008736DB" w:rsidRDefault="0072148B">
      <w:pPr>
        <w:tabs>
          <w:tab w:val="left" w:pos="284"/>
        </w:tabs>
        <w:spacing w:line="360" w:lineRule="auto"/>
        <w:jc w:val="both"/>
        <w:rPr>
          <w:rFonts w:ascii="Palatino Linotype" w:eastAsia="Palatino Linotype" w:hAnsi="Palatino Linotype" w:cs="Palatino Linotype"/>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orientador número 15/10 emitido por el entonces Instituto Federal de Transparencia y Acceso a la Información (INAI), cuyo texto y sentido literal es el siguiente:</w:t>
      </w:r>
    </w:p>
    <w:p w:rsidR="0072148B" w:rsidRPr="008736DB" w:rsidRDefault="0072148B">
      <w:pPr>
        <w:pBdr>
          <w:top w:val="nil"/>
          <w:left w:val="nil"/>
          <w:bottom w:val="nil"/>
          <w:right w:val="nil"/>
          <w:between w:val="nil"/>
        </w:pBdr>
        <w:spacing w:line="360" w:lineRule="auto"/>
        <w:jc w:val="both"/>
        <w:rPr>
          <w:rFonts w:ascii="Palatino Linotype" w:eastAsia="Palatino Linotype" w:hAnsi="Palatino Linotype" w:cs="Palatino Linotype"/>
        </w:rPr>
      </w:pPr>
    </w:p>
    <w:p w:rsidR="0072148B" w:rsidRPr="008736DB" w:rsidRDefault="00A077F4">
      <w:pPr>
        <w:shd w:val="clear" w:color="auto" w:fill="FFFFFF"/>
        <w:tabs>
          <w:tab w:val="left" w:pos="7938"/>
        </w:tabs>
        <w:ind w:left="1134" w:right="541"/>
        <w:jc w:val="both"/>
        <w:rPr>
          <w:rFonts w:ascii="Palatino Linotype" w:eastAsia="Palatino Linotype" w:hAnsi="Palatino Linotype" w:cs="Palatino Linotype"/>
          <w:i/>
          <w:color w:val="222222"/>
          <w:sz w:val="22"/>
          <w:szCs w:val="22"/>
        </w:rPr>
      </w:pPr>
      <w:r w:rsidRPr="008736DB">
        <w:rPr>
          <w:rFonts w:ascii="Palatino Linotype" w:eastAsia="Palatino Linotype" w:hAnsi="Palatino Linotype" w:cs="Palatino Linotype"/>
          <w:b/>
          <w:i/>
          <w:color w:val="222222"/>
          <w:sz w:val="22"/>
          <w:szCs w:val="22"/>
        </w:rPr>
        <w:t>“El número de ficha de identificación única de los trabajadores es información de carácter confidencial.</w:t>
      </w:r>
      <w:r w:rsidRPr="008736DB">
        <w:rPr>
          <w:rFonts w:ascii="Palatino Linotype" w:eastAsia="Palatino Linotype" w:hAnsi="Palatino Linotype" w:cs="Palatino Linotype"/>
          <w:i/>
          <w:color w:val="222222"/>
          <w:sz w:val="22"/>
          <w:szCs w:val="22"/>
        </w:rPr>
        <w:t> </w:t>
      </w:r>
      <w:r w:rsidRPr="008736DB">
        <w:rPr>
          <w:rFonts w:ascii="Palatino Linotype" w:eastAsia="Palatino Linotype" w:hAnsi="Palatino Linotype" w:cs="Palatino Linotype"/>
          <w:i/>
          <w:color w:val="222222"/>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8736DB">
        <w:rPr>
          <w:rFonts w:ascii="Palatino Linotype" w:eastAsia="Palatino Linotype" w:hAnsi="Palatino Linotype" w:cs="Palatino Linotype"/>
          <w:i/>
          <w:color w:val="222222"/>
          <w:sz w:val="22"/>
          <w:szCs w:val="22"/>
        </w:rPr>
        <w:t>, </w:t>
      </w:r>
      <w:r w:rsidRPr="008736DB">
        <w:rPr>
          <w:rFonts w:ascii="Palatino Linotype" w:eastAsia="Palatino Linotype" w:hAnsi="Palatino Linotype" w:cs="Palatino Linotype"/>
          <w:i/>
          <w:color w:val="222222"/>
          <w:sz w:val="22"/>
          <w:szCs w:val="22"/>
          <w:u w:val="single"/>
        </w:rPr>
        <w:t>dicha información es susceptible de clasificarse con el carácter de confidencial</w:t>
      </w:r>
      <w:r w:rsidRPr="008736DB">
        <w:rPr>
          <w:rFonts w:ascii="Palatino Linotype" w:eastAsia="Palatino Linotype" w:hAnsi="Palatino Linotype" w:cs="Palatino Linotype"/>
          <w:i/>
          <w:color w:val="222222"/>
          <w:sz w:val="22"/>
          <w:szCs w:val="22"/>
        </w:rPr>
        <w:t>, en términos de lo establecido en el artículo 18, fracción II de la Ley Federal de Transparencia y Acceso a la Información Pública Gubernamental, en virtud de que a través de la misma es posible conocer información personal de su titular.”</w:t>
      </w:r>
    </w:p>
    <w:p w:rsidR="0072148B" w:rsidRPr="008736DB" w:rsidRDefault="0072148B">
      <w:pPr>
        <w:shd w:val="clear" w:color="auto" w:fill="FFFFFF"/>
        <w:ind w:right="541"/>
        <w:jc w:val="both"/>
        <w:rPr>
          <w:rFonts w:ascii="Palatino Linotype" w:eastAsia="Palatino Linotype" w:hAnsi="Palatino Linotype" w:cs="Palatino Linotype"/>
          <w:i/>
          <w:color w:val="222222"/>
          <w:sz w:val="22"/>
          <w:szCs w:val="22"/>
        </w:rPr>
      </w:pPr>
    </w:p>
    <w:p w:rsidR="0072148B" w:rsidRPr="008736DB" w:rsidRDefault="0072148B">
      <w:pPr>
        <w:shd w:val="clear" w:color="auto" w:fill="FFFFFF"/>
        <w:ind w:left="1134" w:right="1106"/>
        <w:jc w:val="both"/>
        <w:rPr>
          <w:rFonts w:ascii="Palatino Linotype" w:eastAsia="Palatino Linotype" w:hAnsi="Palatino Linotype" w:cs="Palatino Linotype"/>
          <w:i/>
          <w:color w:val="222222"/>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 xml:space="preserve">Ahora bien, también es necesario indicar que </w:t>
      </w:r>
      <w:r w:rsidRPr="008736DB">
        <w:rPr>
          <w:rFonts w:ascii="Palatino Linotype" w:eastAsia="Palatino Linotype" w:hAnsi="Palatino Linotype" w:cs="Palatino Linotype"/>
          <w:b/>
        </w:rPr>
        <w:t>hay información</w:t>
      </w:r>
      <w:r w:rsidRPr="008736DB">
        <w:rPr>
          <w:rFonts w:ascii="Palatino Linotype" w:eastAsia="Palatino Linotype" w:hAnsi="Palatino Linotype" w:cs="Palatino Linotype"/>
        </w:rPr>
        <w:t xml:space="preserve"> dentro de los recibos de nómina </w:t>
      </w:r>
      <w:r w:rsidRPr="008736DB">
        <w:rPr>
          <w:rFonts w:ascii="Palatino Linotype" w:eastAsia="Palatino Linotype" w:hAnsi="Palatino Linotype" w:cs="Palatino Linotype"/>
          <w:b/>
        </w:rPr>
        <w:t>que no contienen datos personales</w:t>
      </w:r>
      <w:r w:rsidRPr="008736DB">
        <w:rPr>
          <w:rFonts w:ascii="Palatino Linotype" w:eastAsia="Palatino Linotype" w:hAnsi="Palatino Linotype" w:cs="Palatino Linotype"/>
        </w:rPr>
        <w:t xml:space="preserve">, mismos que deberá tener en cuenta el </w:t>
      </w:r>
      <w:r w:rsidRPr="008736DB">
        <w:rPr>
          <w:rFonts w:ascii="Palatino Linotype" w:eastAsia="Palatino Linotype" w:hAnsi="Palatino Linotype" w:cs="Palatino Linotype"/>
          <w:b/>
        </w:rPr>
        <w:t xml:space="preserve">SUJETO </w:t>
      </w:r>
      <w:r w:rsidRPr="008736DB">
        <w:rPr>
          <w:rFonts w:ascii="Palatino Linotype" w:eastAsia="Palatino Linotype" w:hAnsi="Palatino Linotype" w:cs="Palatino Linotype"/>
          <w:b/>
        </w:rPr>
        <w:lastRenderedPageBreak/>
        <w:t xml:space="preserve">OBLIGADO </w:t>
      </w:r>
      <w:r w:rsidRPr="008736DB">
        <w:rPr>
          <w:rFonts w:ascii="Palatino Linotype" w:eastAsia="Palatino Linotype" w:hAnsi="Palatino Linotype" w:cs="Palatino Linotype"/>
        </w:rPr>
        <w:t>para el entrega de los recibos de nómina que se ordenan en el presenta recurso de revisión.</w:t>
      </w:r>
    </w:p>
    <w:p w:rsidR="0072148B" w:rsidRPr="008736DB" w:rsidRDefault="0072148B" w:rsidP="008016DD">
      <w:pPr>
        <w:tabs>
          <w:tab w:val="left" w:pos="284"/>
        </w:tabs>
        <w:jc w:val="both"/>
        <w:rPr>
          <w:rFonts w:ascii="Palatino Linotype" w:eastAsia="Palatino Linotype" w:hAnsi="Palatino Linotype" w:cs="Palatino Linotype"/>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 xml:space="preserve">Por cuanto hace </w:t>
      </w:r>
      <w:r w:rsidRPr="008736DB">
        <w:rPr>
          <w:rFonts w:ascii="Palatino Linotype" w:eastAsia="Palatino Linotype" w:hAnsi="Palatino Linotype" w:cs="Palatino Linotype"/>
          <w:b/>
        </w:rPr>
        <w:t>al Folio Fiscal</w:t>
      </w:r>
      <w:r w:rsidRPr="008736DB">
        <w:rPr>
          <w:rFonts w:ascii="Palatino Linotype" w:eastAsia="Palatino Linotype" w:hAnsi="Palatino Linotype" w:cs="Palatino Linotype"/>
        </w:rPr>
        <w:t xml:space="preserve">, cabe precisar que conforme a la Resolución Miscelánea Fiscal para </w:t>
      </w:r>
      <w:r w:rsidR="00077434" w:rsidRPr="008736DB">
        <w:rPr>
          <w:rFonts w:ascii="Palatino Linotype" w:eastAsia="Palatino Linotype" w:hAnsi="Palatino Linotype" w:cs="Palatino Linotype"/>
        </w:rPr>
        <w:t>2025</w:t>
      </w:r>
      <w:r w:rsidRPr="008736DB">
        <w:rPr>
          <w:rFonts w:ascii="Palatino Linotype" w:eastAsia="Palatino Linotype" w:hAnsi="Palatino Linotype" w:cs="Palatino Linotype"/>
        </w:rPr>
        <w:t xml:space="preserve">, el folio fiscal es un dato que deben </w:t>
      </w:r>
      <w:r w:rsidR="008016DD" w:rsidRPr="008736DB">
        <w:rPr>
          <w:rFonts w:ascii="Palatino Linotype" w:eastAsia="Palatino Linotype" w:hAnsi="Palatino Linotype" w:cs="Palatino Linotype"/>
        </w:rPr>
        <w:t xml:space="preserve">contener </w:t>
      </w:r>
      <w:r w:rsidRPr="008736DB">
        <w:rPr>
          <w:rFonts w:ascii="Palatino Linotype" w:eastAsia="Palatino Linotype" w:hAnsi="Palatino Linotype" w:cs="Palatino Linotype"/>
        </w:rPr>
        <w:t xml:space="preserve">los CDFI por concepto de nómina. Dicho dato es un identificador </w:t>
      </w:r>
      <w:r w:rsidRPr="008736DB">
        <w:rPr>
          <w:rFonts w:ascii="Palatino Linotype" w:eastAsia="Palatino Linotype" w:hAnsi="Palatino Linotype" w:cs="Palatino Linotype"/>
          <w:bCs/>
        </w:rPr>
        <w:t xml:space="preserve">individual </w:t>
      </w:r>
      <w:r w:rsidR="008016DD" w:rsidRPr="008736DB">
        <w:rPr>
          <w:rFonts w:ascii="Palatino Linotype" w:eastAsia="Palatino Linotype" w:hAnsi="Palatino Linotype" w:cs="Palatino Linotype"/>
          <w:bCs/>
        </w:rPr>
        <w:t>de</w:t>
      </w:r>
      <w:r w:rsidRPr="008736DB">
        <w:rPr>
          <w:rFonts w:ascii="Palatino Linotype" w:eastAsia="Palatino Linotype" w:hAnsi="Palatino Linotype" w:cs="Palatino Linotype"/>
          <w:bCs/>
        </w:rPr>
        <w:t xml:space="preserve"> cada factura o comprobante electrónico</w:t>
      </w:r>
      <w:r w:rsidRPr="008736DB">
        <w:rPr>
          <w:rFonts w:ascii="Palatino Linotype" w:eastAsia="Palatino Linotype" w:hAnsi="Palatino Linotype" w:cs="Palatino Linotype"/>
        </w:rPr>
        <w:t xml:space="preserve">. El objetivo del Folio es </w:t>
      </w:r>
      <w:r w:rsidRPr="008736DB">
        <w:rPr>
          <w:rFonts w:ascii="Palatino Linotype" w:eastAsia="Palatino Linotype" w:hAnsi="Palatino Linotype" w:cs="Palatino Linotype"/>
          <w:bCs/>
        </w:rPr>
        <w:t xml:space="preserve">prevenir los fraudes o falsificaciones, ya que contiene </w:t>
      </w:r>
      <w:r w:rsidRPr="008736DB">
        <w:rPr>
          <w:rFonts w:ascii="Palatino Linotype" w:eastAsia="Palatino Linotype" w:hAnsi="Palatino Linotype" w:cs="Palatino Linotype"/>
        </w:rPr>
        <w:t xml:space="preserve">códigos o claves únicas de cada comprobante fiscal, de tal manera que se puede comprobar si la factura fue certificada por el SAT. El Folio Fiscal </w:t>
      </w:r>
      <w:r w:rsidR="00434E54" w:rsidRPr="008736DB">
        <w:rPr>
          <w:rFonts w:ascii="Palatino Linotype" w:eastAsia="Palatino Linotype" w:hAnsi="Palatino Linotype" w:cs="Palatino Linotype"/>
        </w:rPr>
        <w:t>está</w:t>
      </w:r>
      <w:r w:rsidRPr="008736DB">
        <w:rPr>
          <w:rFonts w:ascii="Palatino Linotype" w:eastAsia="Palatino Linotype" w:hAnsi="Palatino Linotype" w:cs="Palatino Linotype"/>
        </w:rPr>
        <w:t xml:space="preserve"> compuesto por 32 dígitos hexadecimales, mostrados en 5 grupos separados por guiones.</w:t>
      </w:r>
    </w:p>
    <w:p w:rsidR="008016DD" w:rsidRPr="008736DB" w:rsidRDefault="008016DD" w:rsidP="008016DD">
      <w:pPr>
        <w:jc w:val="both"/>
        <w:rPr>
          <w:rFonts w:ascii="Palatino Linotype" w:eastAsia="Palatino Linotype" w:hAnsi="Palatino Linotype" w:cs="Palatino Linotype"/>
        </w:rPr>
      </w:pPr>
    </w:p>
    <w:p w:rsidR="0072148B" w:rsidRPr="008736DB" w:rsidRDefault="008016DD" w:rsidP="00932B26">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La Guía de llenado del comprobante del recibo de pago de nómina y su complemento Aplicable para la versión 4.0 del CFDI y el complemento de nómina versión 1.2. muestra la Representación gráfica del CFDI por concepto de nómina en donde se aprecia el Folio Fiscal:</w:t>
      </w:r>
    </w:p>
    <w:p w:rsidR="0072148B" w:rsidRPr="008736DB" w:rsidRDefault="008016DD" w:rsidP="008016DD">
      <w:pPr>
        <w:jc w:val="center"/>
        <w:rPr>
          <w:rFonts w:ascii="Palatino Linotype" w:eastAsia="Palatino Linotype" w:hAnsi="Palatino Linotype" w:cs="Palatino Linotype"/>
        </w:rPr>
      </w:pPr>
      <w:r w:rsidRPr="008736DB">
        <w:rPr>
          <w:rFonts w:ascii="Palatino Linotype" w:eastAsia="Palatino Linotype" w:hAnsi="Palatino Linotype" w:cs="Palatino Linotype"/>
          <w:noProof/>
          <w:lang w:val="es-MX" w:eastAsia="es-MX"/>
        </w:rPr>
        <w:drawing>
          <wp:inline distT="0" distB="0" distL="0" distR="0" wp14:anchorId="6798F894" wp14:editId="27193440">
            <wp:extent cx="4427205" cy="800462"/>
            <wp:effectExtent l="152400" t="152400" r="354965" b="3619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13132" cy="815998"/>
                    </a:xfrm>
                    <a:prstGeom prst="rect">
                      <a:avLst/>
                    </a:prstGeom>
                    <a:ln>
                      <a:noFill/>
                    </a:ln>
                    <a:effectLst>
                      <a:outerShdw blurRad="292100" dist="139700" dir="2700000" algn="tl" rotWithShape="0">
                        <a:srgbClr val="333333">
                          <a:alpha val="65000"/>
                        </a:srgbClr>
                      </a:outerShdw>
                    </a:effectLst>
                  </pic:spPr>
                </pic:pic>
              </a:graphicData>
            </a:graphic>
          </wp:inline>
        </w:drawing>
      </w:r>
    </w:p>
    <w:p w:rsidR="00434E54" w:rsidRPr="008736DB" w:rsidRDefault="00434E5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 xml:space="preserve">El Anexo 20 Guía de llenado de los comprobantes fiscales digitales por Internet, actualizado al 08 de marzo del 2023, señala </w:t>
      </w:r>
      <w:r w:rsidR="00A80919" w:rsidRPr="008736DB">
        <w:rPr>
          <w:rFonts w:ascii="Palatino Linotype" w:eastAsia="Palatino Linotype" w:hAnsi="Palatino Linotype" w:cs="Palatino Linotype"/>
        </w:rPr>
        <w:t>que se debe registrar el folio fiscal (UUID) de un comprobante fiscal relacionado con el presente comprobante. Ejemplo: UUID= 5FB2822E-396D-4725-8521-CDC4BDD20CCF</w:t>
      </w:r>
    </w:p>
    <w:p w:rsidR="00EE75AA" w:rsidRPr="008736DB" w:rsidRDefault="00EE75AA" w:rsidP="00EE75AA">
      <w:pPr>
        <w:spacing w:line="360" w:lineRule="auto"/>
        <w:ind w:right="-787"/>
        <w:jc w:val="both"/>
        <w:rPr>
          <w:rFonts w:ascii="Palatino Linotype" w:eastAsia="Palatino Linotype" w:hAnsi="Palatino Linotype" w:cs="Palatino Linotype"/>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lastRenderedPageBreak/>
        <w:t>En ese contexto, el folio fiscal, no contiene datos personales y tampoco se puede obtener información confidencial con el mismo, pues solamente es un identificador del emisor, del cual su transparencia ayuda a legitimar que el documento cumple con todos los requisitos establecidos en la normatividad aplicable, sin necesidad de algún dato personal, por lo que, no se actualiza la clasificación, en términos del artículo 143, fracción I de la Ley de la materia.</w:t>
      </w:r>
    </w:p>
    <w:p w:rsidR="0072148B" w:rsidRPr="008736DB" w:rsidRDefault="0072148B">
      <w:pPr>
        <w:spacing w:line="360" w:lineRule="auto"/>
        <w:ind w:right="-929"/>
        <w:jc w:val="both"/>
        <w:rPr>
          <w:rFonts w:ascii="Palatino Linotype" w:eastAsia="Palatino Linotype" w:hAnsi="Palatino Linotype" w:cs="Palatino Linotype"/>
          <w:b/>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En esa línea de estudio,</w:t>
      </w:r>
      <w:r w:rsidRPr="008736DB">
        <w:rPr>
          <w:rFonts w:ascii="Palatino Linotype" w:eastAsia="Palatino Linotype" w:hAnsi="Palatino Linotype" w:cs="Palatino Linotype"/>
          <w:b/>
        </w:rPr>
        <w:t xml:space="preserve"> las cadenas originales y sellos digitales</w:t>
      </w:r>
      <w:r w:rsidRPr="008736DB">
        <w:rPr>
          <w:rFonts w:ascii="Palatino Linotype" w:eastAsia="Palatino Linotype" w:hAnsi="Palatino Linotype" w:cs="Palatino Linotype"/>
        </w:rPr>
        <w:t>, tienen una secuencia de generación, determinados con base en el Anexo 20 de la Resolución Miscelánea Fiscal para 2022, que precisa los datos de los que se componen los elementos de seguridad y se puntualiza que dicha información está encriptada.</w:t>
      </w:r>
    </w:p>
    <w:p w:rsidR="0072148B" w:rsidRPr="008736DB" w:rsidRDefault="00A077F4">
      <w:pPr>
        <w:ind w:left="1134" w:right="-220"/>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i/>
          <w:sz w:val="22"/>
          <w:szCs w:val="22"/>
        </w:rPr>
        <w:t>“Elementos utilizados en la generación de Sellos Digitales:</w:t>
      </w:r>
    </w:p>
    <w:p w:rsidR="0072148B" w:rsidRPr="008736DB" w:rsidRDefault="00A077F4">
      <w:pPr>
        <w:ind w:left="1134" w:right="-220"/>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i/>
          <w:sz w:val="22"/>
          <w:szCs w:val="22"/>
        </w:rPr>
        <w:t>•</w:t>
      </w:r>
      <w:r w:rsidRPr="008736DB">
        <w:rPr>
          <w:rFonts w:ascii="Palatino Linotype" w:eastAsia="Palatino Linotype" w:hAnsi="Palatino Linotype" w:cs="Palatino Linotype"/>
          <w:i/>
          <w:sz w:val="22"/>
          <w:szCs w:val="22"/>
        </w:rPr>
        <w:tab/>
        <w:t>Cadena Original del elemento a sellar.</w:t>
      </w:r>
    </w:p>
    <w:p w:rsidR="0072148B" w:rsidRPr="008736DB" w:rsidRDefault="00A077F4">
      <w:pPr>
        <w:ind w:left="1134" w:right="-220"/>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i/>
          <w:sz w:val="22"/>
          <w:szCs w:val="22"/>
        </w:rPr>
        <w:t>•</w:t>
      </w:r>
      <w:r w:rsidRPr="008736DB">
        <w:rPr>
          <w:rFonts w:ascii="Palatino Linotype" w:eastAsia="Palatino Linotype" w:hAnsi="Palatino Linotype" w:cs="Palatino Linotype"/>
          <w:i/>
          <w:sz w:val="22"/>
          <w:szCs w:val="22"/>
        </w:rPr>
        <w:tab/>
        <w:t>Certificado de Sello Digital y su correspondiente clave privada.</w:t>
      </w:r>
    </w:p>
    <w:p w:rsidR="0072148B" w:rsidRPr="008736DB" w:rsidRDefault="00A077F4">
      <w:pPr>
        <w:ind w:left="1134" w:right="-220"/>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i/>
          <w:sz w:val="22"/>
          <w:szCs w:val="22"/>
        </w:rPr>
        <w:t>•</w:t>
      </w:r>
      <w:r w:rsidRPr="008736DB">
        <w:rPr>
          <w:rFonts w:ascii="Palatino Linotype" w:eastAsia="Palatino Linotype" w:hAnsi="Palatino Linotype" w:cs="Palatino Linotype"/>
          <w:i/>
          <w:sz w:val="22"/>
          <w:szCs w:val="22"/>
        </w:rPr>
        <w:tab/>
        <w:t>Algoritmos de criptografía de clave pública para firma electrónica avanzada.</w:t>
      </w:r>
    </w:p>
    <w:p w:rsidR="0072148B" w:rsidRPr="008736DB" w:rsidRDefault="00A077F4">
      <w:pPr>
        <w:ind w:left="1134" w:right="-220"/>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i/>
          <w:sz w:val="22"/>
          <w:szCs w:val="22"/>
        </w:rPr>
        <w:t>•</w:t>
      </w:r>
      <w:r w:rsidRPr="008736DB">
        <w:rPr>
          <w:rFonts w:ascii="Palatino Linotype" w:eastAsia="Palatino Linotype" w:hAnsi="Palatino Linotype" w:cs="Palatino Linotype"/>
          <w:i/>
          <w:sz w:val="22"/>
          <w:szCs w:val="22"/>
        </w:rPr>
        <w:tab/>
        <w:t>Especificaciones de conversión de la firma electrónica avanzada a Base 64.</w:t>
      </w:r>
    </w:p>
    <w:p w:rsidR="0072148B" w:rsidRPr="008736DB" w:rsidRDefault="00A077F4">
      <w:pPr>
        <w:ind w:left="1134" w:right="-220"/>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i/>
          <w:sz w:val="22"/>
          <w:szCs w:val="22"/>
        </w:rPr>
        <w:t>Para la generación de sellos digitales se utiliza criptografía de clave pública aplicada a una cadena original.</w:t>
      </w:r>
    </w:p>
    <w:p w:rsidR="0072148B" w:rsidRPr="008736DB" w:rsidRDefault="00A077F4">
      <w:pPr>
        <w:ind w:left="1134" w:right="-220"/>
        <w:jc w:val="both"/>
        <w:rPr>
          <w:rFonts w:ascii="Palatino Linotype" w:eastAsia="Palatino Linotype" w:hAnsi="Palatino Linotype" w:cs="Palatino Linotype"/>
          <w:b/>
          <w:i/>
          <w:sz w:val="22"/>
          <w:szCs w:val="22"/>
        </w:rPr>
      </w:pPr>
      <w:r w:rsidRPr="008736DB">
        <w:rPr>
          <w:rFonts w:ascii="Palatino Linotype" w:eastAsia="Palatino Linotype" w:hAnsi="Palatino Linotype" w:cs="Palatino Linotype"/>
          <w:b/>
          <w:i/>
          <w:sz w:val="22"/>
          <w:szCs w:val="22"/>
        </w:rPr>
        <w:t>Criptografía de la Clave Pública</w:t>
      </w:r>
    </w:p>
    <w:p w:rsidR="0072148B" w:rsidRPr="008736DB" w:rsidRDefault="00A077F4">
      <w:pPr>
        <w:ind w:left="1134" w:right="-220"/>
        <w:jc w:val="both"/>
        <w:rPr>
          <w:rFonts w:ascii="Palatino Linotype" w:eastAsia="Palatino Linotype" w:hAnsi="Palatino Linotype" w:cs="Palatino Linotype"/>
          <w:i/>
          <w:sz w:val="22"/>
          <w:szCs w:val="22"/>
        </w:rPr>
      </w:pPr>
      <w:r w:rsidRPr="008736DB">
        <w:rPr>
          <w:rFonts w:ascii="Palatino Linotype" w:eastAsia="Palatino Linotype" w:hAnsi="Palatino Linotype" w:cs="Palatino Linotype"/>
          <w:i/>
          <w:sz w:val="22"/>
          <w:szCs w:val="22"/>
        </w:rPr>
        <w:t xml:space="preserve">La criptografía de Clave Pública se basa en la generación de una pareja de números muy grandes relacionados entre sí, de tal manera que una operación de </w:t>
      </w:r>
      <w:proofErr w:type="spellStart"/>
      <w:r w:rsidRPr="008736DB">
        <w:rPr>
          <w:rFonts w:ascii="Palatino Linotype" w:eastAsia="Palatino Linotype" w:hAnsi="Palatino Linotype" w:cs="Palatino Linotype"/>
          <w:i/>
          <w:sz w:val="22"/>
          <w:szCs w:val="22"/>
        </w:rPr>
        <w:t>encripción</w:t>
      </w:r>
      <w:proofErr w:type="spellEnd"/>
      <w:r w:rsidRPr="008736DB">
        <w:rPr>
          <w:rFonts w:ascii="Palatino Linotype" w:eastAsia="Palatino Linotype" w:hAnsi="Palatino Linotype" w:cs="Palatino Linotype"/>
          <w:i/>
          <w:sz w:val="22"/>
          <w:szCs w:val="22"/>
        </w:rPr>
        <w:t xml:space="preserve"> sobre un mensaje tomando como clave de </w:t>
      </w:r>
      <w:proofErr w:type="spellStart"/>
      <w:r w:rsidRPr="008736DB">
        <w:rPr>
          <w:rFonts w:ascii="Palatino Linotype" w:eastAsia="Palatino Linotype" w:hAnsi="Palatino Linotype" w:cs="Palatino Linotype"/>
          <w:i/>
          <w:sz w:val="22"/>
          <w:szCs w:val="22"/>
        </w:rPr>
        <w:t>encripción</w:t>
      </w:r>
      <w:proofErr w:type="spellEnd"/>
      <w:r w:rsidRPr="008736DB">
        <w:rPr>
          <w:rFonts w:ascii="Palatino Linotype" w:eastAsia="Palatino Linotype" w:hAnsi="Palatino Linotype" w:cs="Palatino Linotype"/>
          <w:i/>
          <w:sz w:val="22"/>
          <w:szCs w:val="22"/>
        </w:rPr>
        <w:t xml:space="preserve"> a uno de los dos números, produce un mensaje alterado en su significado que sólo puede ser devuelto a su estado original mediante la operación de </w:t>
      </w:r>
      <w:proofErr w:type="spellStart"/>
      <w:r w:rsidRPr="008736DB">
        <w:rPr>
          <w:rFonts w:ascii="Palatino Linotype" w:eastAsia="Palatino Linotype" w:hAnsi="Palatino Linotype" w:cs="Palatino Linotype"/>
          <w:i/>
          <w:sz w:val="22"/>
          <w:szCs w:val="22"/>
        </w:rPr>
        <w:t>desencripción</w:t>
      </w:r>
      <w:proofErr w:type="spellEnd"/>
      <w:r w:rsidRPr="008736DB">
        <w:rPr>
          <w:rFonts w:ascii="Palatino Linotype" w:eastAsia="Palatino Linotype" w:hAnsi="Palatino Linotype" w:cs="Palatino Linotype"/>
          <w:i/>
          <w:sz w:val="22"/>
          <w:szCs w:val="22"/>
        </w:rPr>
        <w:t xml:space="preserve"> correspondiente tomando como clave de </w:t>
      </w:r>
      <w:proofErr w:type="spellStart"/>
      <w:r w:rsidRPr="008736DB">
        <w:rPr>
          <w:rFonts w:ascii="Palatino Linotype" w:eastAsia="Palatino Linotype" w:hAnsi="Palatino Linotype" w:cs="Palatino Linotype"/>
          <w:i/>
          <w:sz w:val="22"/>
          <w:szCs w:val="22"/>
        </w:rPr>
        <w:t>desencripción</w:t>
      </w:r>
      <w:proofErr w:type="spellEnd"/>
      <w:r w:rsidRPr="008736DB">
        <w:rPr>
          <w:rFonts w:ascii="Palatino Linotype" w:eastAsia="Palatino Linotype" w:hAnsi="Palatino Linotype" w:cs="Palatino Linotype"/>
          <w:i/>
          <w:sz w:val="22"/>
          <w:szCs w:val="22"/>
        </w:rPr>
        <w:t xml:space="preserve"> al otro número de la pareja.”</w:t>
      </w:r>
    </w:p>
    <w:p w:rsidR="0072148B" w:rsidRPr="008736DB" w:rsidRDefault="0072148B">
      <w:pPr>
        <w:ind w:left="1134" w:right="-1071"/>
        <w:jc w:val="both"/>
        <w:rPr>
          <w:rFonts w:ascii="Palatino Linotype" w:eastAsia="Palatino Linotype" w:hAnsi="Palatino Linotype" w:cs="Palatino Linotype"/>
          <w:i/>
        </w:rPr>
      </w:pPr>
    </w:p>
    <w:p w:rsidR="0072148B" w:rsidRPr="008736DB" w:rsidRDefault="0072148B">
      <w:pPr>
        <w:ind w:right="-1071"/>
        <w:jc w:val="both"/>
        <w:rPr>
          <w:rFonts w:ascii="Palatino Linotype" w:eastAsia="Palatino Linotype" w:hAnsi="Palatino Linotype" w:cs="Palatino Linotype"/>
          <w:i/>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 xml:space="preserve">Es decir, por sí solos </w:t>
      </w:r>
      <w:r w:rsidRPr="008736DB">
        <w:rPr>
          <w:rFonts w:ascii="Palatino Linotype" w:eastAsia="Palatino Linotype" w:hAnsi="Palatino Linotype" w:cs="Palatino Linotype"/>
          <w:b/>
        </w:rPr>
        <w:t>las cadenas originales y los sellos originales no contienen datos personales confidenciales</w:t>
      </w:r>
      <w:r w:rsidRPr="008736DB">
        <w:rPr>
          <w:rFonts w:ascii="Palatino Linotype" w:eastAsia="Palatino Linotype" w:hAnsi="Palatino Linotype" w:cs="Palatino Linotype"/>
        </w:rPr>
        <w:t xml:space="preserve">, por lo que se considera que no actualizan el supuesto de confidencialidad previsto en el artículo 143, fracción I, de la Ley de Transparencia y Acceso a la Información Pública del Estado de México y Municipios y, por el contrario, son información </w:t>
      </w:r>
      <w:r w:rsidRPr="008736DB">
        <w:rPr>
          <w:rFonts w:ascii="Palatino Linotype" w:eastAsia="Palatino Linotype" w:hAnsi="Palatino Linotype" w:cs="Palatino Linotype"/>
        </w:rPr>
        <w:lastRenderedPageBreak/>
        <w:t>que permite corroborar la legitimidad de la factura, de ser el caso, por lo que guardan el carácter de público.</w:t>
      </w:r>
    </w:p>
    <w:p w:rsidR="0072148B" w:rsidRPr="008736DB" w:rsidRDefault="0072148B">
      <w:pPr>
        <w:pBdr>
          <w:top w:val="nil"/>
          <w:left w:val="nil"/>
          <w:bottom w:val="nil"/>
          <w:right w:val="nil"/>
          <w:between w:val="nil"/>
        </w:pBdr>
        <w:spacing w:line="360" w:lineRule="auto"/>
        <w:ind w:right="-1071"/>
        <w:jc w:val="both"/>
        <w:rPr>
          <w:rFonts w:ascii="Palatino Linotype" w:eastAsia="Palatino Linotype" w:hAnsi="Palatino Linotype" w:cs="Palatino Linotype"/>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Cabe señalar que, en algunos casos, las cadenas originales y sellos digitales, se pueden conformar de datos confidenciales, tales como el Registro Federal de Contribuyentes o la Clave Única de Registro de Población o las deducciones personales; por lo que, en su caso actualizarán actualiza la clasificación, en términos del artículo 143, fracción I, de la Ley de la materia.</w:t>
      </w:r>
    </w:p>
    <w:p w:rsidR="0072148B" w:rsidRPr="008736DB" w:rsidRDefault="0072148B">
      <w:pPr>
        <w:spacing w:line="360" w:lineRule="auto"/>
        <w:ind w:right="-1071"/>
        <w:jc w:val="both"/>
        <w:rPr>
          <w:rFonts w:ascii="Palatino Linotype" w:eastAsia="Palatino Linotype" w:hAnsi="Palatino Linotype" w:cs="Palatino Linotype"/>
          <w:b/>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 xml:space="preserve">Por otra parte, por lo que hace al </w:t>
      </w:r>
      <w:r w:rsidRPr="008736DB">
        <w:rPr>
          <w:rFonts w:ascii="Palatino Linotype" w:eastAsia="Palatino Linotype" w:hAnsi="Palatino Linotype" w:cs="Palatino Linotype"/>
          <w:b/>
        </w:rPr>
        <w:t>número de serie de los certificados de Sello Digitales del emisor y del Servicio de Administración Tributaria</w:t>
      </w:r>
      <w:r w:rsidRPr="008736DB">
        <w:rPr>
          <w:rFonts w:ascii="Palatino Linotype" w:eastAsia="Palatino Linotype" w:hAnsi="Palatino Linotype" w:cs="Palatino Linotype"/>
        </w:rPr>
        <w:t xml:space="preserve">, el Anexo 20 de la Resolución Miscelánea Fiscal para 2022, precisa que es un atributo requerido para expresar el número de serie del certificado de sello digital que ampara al comprobante, de acuerdo con el acuse correspondiente a 20 posiciones otorgado por el sistema del SAT; dicha situación se robustece con el ejemplo localizado en el documento denominado “Cómo ubicar el Folio Fiscal en una factura”, emitido por el Instituto Nacional Electoral, en la página electrónica </w:t>
      </w:r>
      <w:hyperlink r:id="rId16">
        <w:r w:rsidRPr="008736DB">
          <w:rPr>
            <w:rFonts w:ascii="Palatino Linotype" w:eastAsia="Palatino Linotype" w:hAnsi="Palatino Linotype" w:cs="Palatino Linotype"/>
          </w:rPr>
          <w:t>https://portalanterior.ine.mx/archivos2/tutoriales/sistemas/ApoyoInstitucional/SIF/docs/candidatos/folioFiscalFactura.pdf</w:t>
        </w:r>
      </w:hyperlink>
      <w:r w:rsidRPr="008736DB">
        <w:rPr>
          <w:rFonts w:ascii="Palatino Linotype" w:eastAsia="Palatino Linotype" w:hAnsi="Palatino Linotype" w:cs="Palatino Linotype"/>
        </w:rPr>
        <w:t>), en la cual se advierte que únicamente se encuentra conformado por números, se muestra a continuación:</w:t>
      </w:r>
    </w:p>
    <w:p w:rsidR="0072148B" w:rsidRPr="008736DB" w:rsidRDefault="00A077F4">
      <w:pPr>
        <w:spacing w:line="360" w:lineRule="auto"/>
        <w:ind w:right="-1071"/>
        <w:jc w:val="center"/>
        <w:rPr>
          <w:rFonts w:ascii="Palatino Linotype" w:eastAsia="Palatino Linotype" w:hAnsi="Palatino Linotype" w:cs="Palatino Linotype"/>
        </w:rPr>
      </w:pPr>
      <w:r w:rsidRPr="008736DB">
        <w:rPr>
          <w:rFonts w:ascii="Palatino Linotype" w:eastAsia="Palatino Linotype" w:hAnsi="Palatino Linotype" w:cs="Palatino Linotype"/>
          <w:noProof/>
          <w:lang w:val="es-MX" w:eastAsia="es-MX"/>
        </w:rPr>
        <w:drawing>
          <wp:inline distT="0" distB="0" distL="0" distR="0">
            <wp:extent cx="5189855" cy="1009650"/>
            <wp:effectExtent l="0" t="0" r="0" b="0"/>
            <wp:docPr id="8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5189855" cy="1009650"/>
                    </a:xfrm>
                    <a:prstGeom prst="rect">
                      <a:avLst/>
                    </a:prstGeom>
                    <a:ln/>
                  </pic:spPr>
                </pic:pic>
              </a:graphicData>
            </a:graphic>
          </wp:inline>
        </w:drawing>
      </w:r>
      <w:r w:rsidRPr="008736DB">
        <w:rPr>
          <w:noProof/>
          <w:lang w:val="es-MX" w:eastAsia="es-MX"/>
        </w:rPr>
        <mc:AlternateContent>
          <mc:Choice Requires="wps">
            <w:drawing>
              <wp:anchor distT="0" distB="0" distL="114300" distR="114300" simplePos="0" relativeHeight="251658240" behindDoc="0" locked="0" layoutInCell="1" hidden="0" allowOverlap="1">
                <wp:simplePos x="0" y="0"/>
                <wp:positionH relativeFrom="column">
                  <wp:posOffset>596900</wp:posOffset>
                </wp:positionH>
                <wp:positionV relativeFrom="paragraph">
                  <wp:posOffset>762000</wp:posOffset>
                </wp:positionV>
                <wp:extent cx="3657600" cy="393649"/>
                <wp:effectExtent l="0" t="0" r="0" b="0"/>
                <wp:wrapNone/>
                <wp:docPr id="77" name="Rectángulo 77"/>
                <wp:cNvGraphicFramePr/>
                <a:graphic xmlns:a="http://schemas.openxmlformats.org/drawingml/2006/main">
                  <a:graphicData uri="http://schemas.microsoft.com/office/word/2010/wordprocessingShape">
                    <wps:wsp>
                      <wps:cNvSpPr/>
                      <wps:spPr>
                        <a:xfrm>
                          <a:off x="3545775" y="3611751"/>
                          <a:ext cx="3600450" cy="336499"/>
                        </a:xfrm>
                        <a:prstGeom prst="rect">
                          <a:avLst/>
                        </a:prstGeom>
                        <a:noFill/>
                        <a:ln w="28575" cap="flat" cmpd="sng">
                          <a:solidFill>
                            <a:srgbClr val="000000"/>
                          </a:solidFill>
                          <a:prstDash val="solid"/>
                          <a:miter lim="800000"/>
                          <a:headEnd type="none" w="sm" len="sm"/>
                          <a:tailEnd type="none" w="sm" len="sm"/>
                        </a:ln>
                      </wps:spPr>
                      <wps:txbx>
                        <w:txbxContent>
                          <w:p w:rsidR="00A077F4" w:rsidRDefault="00A077F4">
                            <w:pPr>
                              <w:textDirection w:val="btLr"/>
                            </w:pPr>
                          </w:p>
                        </w:txbxContent>
                      </wps:txbx>
                      <wps:bodyPr spcFirstLastPara="1" wrap="square" lIns="91425" tIns="91425" rIns="91425" bIns="91425" anchor="ctr" anchorCtr="0">
                        <a:noAutofit/>
                      </wps:bodyPr>
                    </wps:wsp>
                  </a:graphicData>
                </a:graphic>
              </wp:anchor>
            </w:drawing>
          </mc:Choice>
          <mc:Fallback>
            <w:pict>
              <v:rect id="Rectángulo 77" o:spid="_x0000_s1026" style="position:absolute;left:0;text-align:left;margin-left:47pt;margin-top:60pt;width:4in;height:3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" filled="f" strokeweight="2.25pt">
                <v:stroke startarrowwidth="narrow" startarrowlength="short" endarrowwidth="narrow" endarrowlength="short"/>
                <v:textbox inset="2.53958mm,2.53958mm,2.53958mm,2.53958mm">
                  <w:txbxContent>
                    <w:p w:rsidR="00A077F4" w:rsidRDefault="00A077F4">
                      <w:pPr>
                        <w:textDirection w:val="btLr"/>
                      </w:pPr>
                    </w:p>
                  </w:txbxContent>
                </v:textbox>
              </v:rect>
            </w:pict>
          </mc:Fallback>
        </mc:AlternateContent>
      </w:r>
    </w:p>
    <w:p w:rsidR="0072148B" w:rsidRPr="008736DB" w:rsidRDefault="0072148B">
      <w:pPr>
        <w:spacing w:line="360" w:lineRule="auto"/>
        <w:ind w:right="-1071"/>
        <w:jc w:val="center"/>
        <w:rPr>
          <w:rFonts w:ascii="Palatino Linotype" w:eastAsia="Palatino Linotype" w:hAnsi="Palatino Linotype" w:cs="Palatino Linotype"/>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lastRenderedPageBreak/>
        <w:t xml:space="preserve">Cómo se logra observar, </w:t>
      </w:r>
      <w:r w:rsidRPr="008736DB">
        <w:rPr>
          <w:rFonts w:ascii="Palatino Linotype" w:eastAsia="Palatino Linotype" w:hAnsi="Palatino Linotype" w:cs="Palatino Linotype"/>
          <w:b/>
        </w:rPr>
        <w:t>los números de serie del certificado de sello digital no contiene datos personales</w:t>
      </w:r>
      <w:r w:rsidRPr="008736DB">
        <w:rPr>
          <w:rFonts w:ascii="Palatino Linotype" w:eastAsia="Palatino Linotype" w:hAnsi="Palatino Linotype" w:cs="Palatino Linotype"/>
        </w:rPr>
        <w:t xml:space="preserve">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rsidR="0072148B" w:rsidRPr="008736DB" w:rsidRDefault="0072148B">
      <w:pPr>
        <w:pBdr>
          <w:top w:val="nil"/>
          <w:left w:val="nil"/>
          <w:bottom w:val="nil"/>
          <w:right w:val="nil"/>
          <w:between w:val="nil"/>
        </w:pBdr>
        <w:spacing w:line="360" w:lineRule="auto"/>
        <w:ind w:right="-1071"/>
        <w:jc w:val="both"/>
        <w:rPr>
          <w:rFonts w:ascii="Palatino Linotype" w:eastAsia="Palatino Linotype" w:hAnsi="Palatino Linotype" w:cs="Palatino Linotype"/>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 xml:space="preserve">Ahora bien, por lo que hace al </w:t>
      </w:r>
      <w:r w:rsidRPr="008736DB">
        <w:rPr>
          <w:rFonts w:ascii="Palatino Linotype" w:eastAsia="Palatino Linotype" w:hAnsi="Palatino Linotype" w:cs="Palatino Linotype"/>
          <w:b/>
        </w:rPr>
        <w:t>número de serie y folio interno</w:t>
      </w:r>
      <w:r w:rsidRPr="008736DB">
        <w:rPr>
          <w:rFonts w:ascii="Palatino Linotype" w:eastAsia="Palatino Linotype" w:hAnsi="Palatino Linotype" w:cs="Palatino Linotype"/>
        </w:rPr>
        <w:t>, la Guía de llenado del CFDI global versión 4.0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rsidR="0072148B" w:rsidRPr="008736DB" w:rsidRDefault="0072148B">
      <w:pPr>
        <w:spacing w:line="360" w:lineRule="auto"/>
        <w:ind w:right="-1071"/>
        <w:jc w:val="both"/>
        <w:rPr>
          <w:rFonts w:ascii="Palatino Linotype" w:eastAsia="Palatino Linotype" w:hAnsi="Palatino Linotype" w:cs="Palatino Linotype"/>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 xml:space="preserve">Además, por lo que hace a la </w:t>
      </w:r>
      <w:r w:rsidRPr="008736DB">
        <w:rPr>
          <w:rFonts w:ascii="Palatino Linotype" w:eastAsia="Palatino Linotype" w:hAnsi="Palatino Linotype" w:cs="Palatino Linotype"/>
          <w:b/>
        </w:rPr>
        <w:t>fecha y hora de emisión y certificación</w:t>
      </w:r>
      <w:r w:rsidRPr="008736DB">
        <w:rPr>
          <w:rFonts w:ascii="Palatino Linotype" w:eastAsia="Palatino Linotype" w:hAnsi="Palatino Linotype" w:cs="Palatino Linotype"/>
        </w:rPr>
        <w:t xml:space="preserve">, la Guía de llenado del CFDI global versión 4.0 del CFDI, previamente referida, establece que los datos mencionados corresponden a la fecha y hora de emisión y certificación del comprobante fiscal, los cuales se expresan de la siguiente manera: </w:t>
      </w:r>
      <w:proofErr w:type="spellStart"/>
      <w:r w:rsidRPr="008736DB">
        <w:rPr>
          <w:rFonts w:ascii="Palatino Linotype" w:eastAsia="Palatino Linotype" w:hAnsi="Palatino Linotype" w:cs="Palatino Linotype"/>
        </w:rPr>
        <w:t>AAAA-MM-DDThh:mm:ss</w:t>
      </w:r>
      <w:proofErr w:type="spellEnd"/>
      <w:r w:rsidRPr="008736DB">
        <w:rPr>
          <w:rFonts w:ascii="Palatino Linotype" w:eastAsia="Palatino Linotype" w:hAnsi="Palatino Linotype" w:cs="Palatino Linotype"/>
        </w:rPr>
        <w:t>.</w:t>
      </w:r>
    </w:p>
    <w:p w:rsidR="0072148B" w:rsidRPr="008736DB" w:rsidRDefault="0072148B">
      <w:pPr>
        <w:spacing w:line="360" w:lineRule="auto"/>
        <w:ind w:right="-1071"/>
        <w:jc w:val="both"/>
        <w:rPr>
          <w:rFonts w:ascii="Palatino Linotype" w:eastAsia="Palatino Linotype" w:hAnsi="Palatino Linotype" w:cs="Palatino Linotype"/>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 xml:space="preserve">Conforme a lo anterior, se logra observar que la fecha y hora de emisión, no contienen información que, dé acceso a datos personales, ni contiene datos confidenciales, por lo que, se considera que no actualiza la causal de clasificación establecida en el artículo 143, fracción I, </w:t>
      </w:r>
      <w:r w:rsidRPr="008736DB">
        <w:rPr>
          <w:rFonts w:ascii="Palatino Linotype" w:eastAsia="Palatino Linotype" w:hAnsi="Palatino Linotype" w:cs="Palatino Linotype"/>
        </w:rPr>
        <w:lastRenderedPageBreak/>
        <w:t>de la Ley de Transparencia y Acceso a la Información Pública del Estado de México y Municipios.</w:t>
      </w:r>
    </w:p>
    <w:p w:rsidR="0072148B" w:rsidRPr="008736DB" w:rsidRDefault="0072148B">
      <w:pPr>
        <w:spacing w:line="360" w:lineRule="auto"/>
        <w:ind w:right="-1071"/>
        <w:jc w:val="both"/>
        <w:rPr>
          <w:rFonts w:ascii="Palatino Linotype" w:eastAsia="Palatino Linotype" w:hAnsi="Palatino Linotype" w:cs="Palatino Linotype"/>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Conforme a lo anterior, se logra observar que el lugar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72148B" w:rsidRPr="008736DB" w:rsidRDefault="0072148B">
      <w:pPr>
        <w:spacing w:line="360" w:lineRule="auto"/>
        <w:ind w:right="49"/>
        <w:jc w:val="both"/>
        <w:rPr>
          <w:rFonts w:ascii="Palatino Linotype" w:eastAsia="Palatino Linotype" w:hAnsi="Palatino Linotype" w:cs="Palatino Linotype"/>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t xml:space="preserve">En ese sentido, el </w:t>
      </w:r>
      <w:r w:rsidRPr="008736DB">
        <w:rPr>
          <w:rFonts w:ascii="Palatino Linotype" w:eastAsia="Palatino Linotype" w:hAnsi="Palatino Linotype" w:cs="Palatino Linotype"/>
          <w:b/>
        </w:rPr>
        <w:t>SUJETO OBLIGADO</w:t>
      </w:r>
      <w:r w:rsidRPr="008736DB">
        <w:rPr>
          <w:rFonts w:ascii="Palatino Linotype" w:eastAsia="Palatino Linotype" w:hAnsi="Palatino Linotype" w:cs="Palatino Linotype"/>
        </w:rPr>
        <w:t xml:space="preserve"> deberá de emitir el Acuerdo del Comité de Transparencia, mediante el cual de manera fundada y motivada establezca las razones por las cuales se clasifican como confidenciales los datos expuestos con anterioridad.</w:t>
      </w:r>
    </w:p>
    <w:p w:rsidR="0072148B" w:rsidRPr="008736DB" w:rsidRDefault="0072148B">
      <w:pPr>
        <w:tabs>
          <w:tab w:val="left" w:pos="284"/>
        </w:tabs>
        <w:spacing w:line="360" w:lineRule="auto"/>
        <w:jc w:val="both"/>
        <w:rPr>
          <w:rFonts w:ascii="Palatino Linotype" w:eastAsia="Palatino Linotype" w:hAnsi="Palatino Linotype" w:cs="Palatino Linotype"/>
          <w:color w:val="000000"/>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color w:val="000000"/>
        </w:rPr>
      </w:pPr>
      <w:r w:rsidRPr="008736DB">
        <w:rPr>
          <w:rFonts w:ascii="Palatino Linotype" w:eastAsia="Palatino Linotype" w:hAnsi="Palatino Linotype" w:cs="Palatino Linotype"/>
        </w:rPr>
        <w:t xml:space="preserve">Derivado de lo establecido en párrafos anteriores, si el </w:t>
      </w:r>
      <w:r w:rsidRPr="008736DB">
        <w:rPr>
          <w:rFonts w:ascii="Palatino Linotype" w:eastAsia="Palatino Linotype" w:hAnsi="Palatino Linotype" w:cs="Palatino Linotype"/>
          <w:b/>
        </w:rPr>
        <w:t>SUJETO OBLIGADO</w:t>
      </w:r>
      <w:r w:rsidRPr="008736DB">
        <w:rPr>
          <w:rFonts w:ascii="Palatino Linotype" w:eastAsia="Palatino Linotype" w:hAnsi="Palatino Linotype" w:cs="Palatino Linotype"/>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72148B" w:rsidRPr="008736DB" w:rsidRDefault="0072148B">
      <w:pPr>
        <w:spacing w:line="360" w:lineRule="auto"/>
        <w:jc w:val="both"/>
        <w:rPr>
          <w:color w:val="000000"/>
        </w:rPr>
      </w:pPr>
    </w:p>
    <w:p w:rsidR="0072148B" w:rsidRPr="008736DB" w:rsidRDefault="00A077F4">
      <w:pPr>
        <w:numPr>
          <w:ilvl w:val="0"/>
          <w:numId w:val="6"/>
        </w:numPr>
        <w:spacing w:line="360" w:lineRule="auto"/>
        <w:ind w:left="0" w:right="-787" w:firstLine="0"/>
        <w:jc w:val="both"/>
        <w:rPr>
          <w:color w:val="000000"/>
        </w:rPr>
      </w:pPr>
      <w:r w:rsidRPr="008736DB">
        <w:rPr>
          <w:rFonts w:ascii="Palatino Linotype" w:eastAsia="Palatino Linotype" w:hAnsi="Palatino Linotype" w:cs="Palatino Linotype"/>
        </w:rPr>
        <w:t>Por lo anteriormente expuesto, este Órgano Garante considera fundadas las razones o motivos de inconformidad que plantea el</w:t>
      </w:r>
      <w:r w:rsidRPr="008736DB">
        <w:rPr>
          <w:rFonts w:ascii="Palatino Linotype" w:eastAsia="Palatino Linotype" w:hAnsi="Palatino Linotype" w:cs="Palatino Linotype"/>
          <w:b/>
        </w:rPr>
        <w:t xml:space="preserve"> RECURRENTE </w:t>
      </w:r>
      <w:r w:rsidRPr="008736DB">
        <w:rPr>
          <w:rFonts w:ascii="Palatino Linotype" w:eastAsia="Palatino Linotype" w:hAnsi="Palatino Linotype" w:cs="Palatino Linotype"/>
        </w:rPr>
        <w:t xml:space="preserve">en el Recurso de Revisión </w:t>
      </w:r>
      <w:r w:rsidRPr="008736DB">
        <w:rPr>
          <w:rFonts w:ascii="Palatino Linotype" w:eastAsia="Palatino Linotype" w:hAnsi="Palatino Linotype" w:cs="Palatino Linotype"/>
          <w:b/>
        </w:rPr>
        <w:t>00368/INFOEM/IP/RR/2025</w:t>
      </w:r>
      <w:r w:rsidRPr="008736DB">
        <w:rPr>
          <w:rFonts w:ascii="Palatino Linotype" w:eastAsia="Palatino Linotype" w:hAnsi="Palatino Linotype" w:cs="Palatino Linotype"/>
        </w:rPr>
        <w:t xml:space="preserve">, determinando </w:t>
      </w:r>
      <w:r w:rsidRPr="008736DB">
        <w:rPr>
          <w:rFonts w:ascii="Palatino Linotype" w:eastAsia="Palatino Linotype" w:hAnsi="Palatino Linotype" w:cs="Palatino Linotype"/>
          <w:b/>
          <w:smallCaps/>
        </w:rPr>
        <w:t>REVOCAR</w:t>
      </w:r>
      <w:r w:rsidRPr="008736DB">
        <w:rPr>
          <w:rFonts w:ascii="Palatino Linotype" w:eastAsia="Palatino Linotype" w:hAnsi="Palatino Linotype" w:cs="Palatino Linotype"/>
          <w:b/>
        </w:rPr>
        <w:t xml:space="preserve"> </w:t>
      </w:r>
      <w:r w:rsidRPr="008736DB">
        <w:rPr>
          <w:rFonts w:ascii="Palatino Linotype" w:eastAsia="Palatino Linotype" w:hAnsi="Palatino Linotype" w:cs="Palatino Linotype"/>
        </w:rPr>
        <w:t xml:space="preserve">la respuesta del </w:t>
      </w:r>
      <w:r w:rsidRPr="008736DB">
        <w:rPr>
          <w:rFonts w:ascii="Palatino Linotype" w:eastAsia="Palatino Linotype" w:hAnsi="Palatino Linotype" w:cs="Palatino Linotype"/>
          <w:b/>
        </w:rPr>
        <w:t>SUJETO OBLIGADO</w:t>
      </w:r>
      <w:r w:rsidRPr="008736DB">
        <w:rPr>
          <w:rFonts w:ascii="Palatino Linotype" w:eastAsia="Palatino Linotype" w:hAnsi="Palatino Linotype" w:cs="Palatino Linotype"/>
        </w:rPr>
        <w:t>.</w:t>
      </w:r>
    </w:p>
    <w:p w:rsidR="0072148B" w:rsidRPr="008736DB" w:rsidRDefault="0072148B">
      <w:pPr>
        <w:spacing w:line="360" w:lineRule="auto"/>
        <w:jc w:val="both"/>
        <w:rPr>
          <w:color w:val="000000"/>
        </w:rPr>
      </w:pPr>
    </w:p>
    <w:p w:rsidR="0072148B" w:rsidRPr="008736DB" w:rsidRDefault="00A077F4">
      <w:pPr>
        <w:numPr>
          <w:ilvl w:val="0"/>
          <w:numId w:val="6"/>
        </w:numPr>
        <w:spacing w:line="360" w:lineRule="auto"/>
        <w:ind w:left="0" w:right="-787" w:firstLine="0"/>
        <w:jc w:val="both"/>
        <w:rPr>
          <w:rFonts w:ascii="Palatino Linotype" w:eastAsia="Palatino Linotype" w:hAnsi="Palatino Linotype" w:cs="Palatino Linotype"/>
        </w:rPr>
      </w:pPr>
      <w:r w:rsidRPr="008736DB">
        <w:rPr>
          <w:rFonts w:ascii="Palatino Linotype" w:eastAsia="Palatino Linotype" w:hAnsi="Palatino Linotype" w:cs="Palatino Linotype"/>
        </w:rPr>
        <w:lastRenderedPageBreak/>
        <w:t>Con fundamento en lo prescrito en los artículos 5, párrafos trigésimo, trigésimo primero y trigésimo segundo de la Constitución Política del Estado Libre y Soberano de México; 2, fracción II; 29, 36 fracciones I y II; 176, 178, 179, 181 y 185 de la Ley de Transparencia y Acceso a la Información Pública del Estado de México y Municipios, este Pleno:</w:t>
      </w:r>
    </w:p>
    <w:p w:rsidR="0072148B" w:rsidRPr="008736DB" w:rsidRDefault="0072148B">
      <w:pPr>
        <w:ind w:right="278"/>
        <w:rPr>
          <w:rFonts w:ascii="Palatino Linotype" w:eastAsia="Palatino Linotype" w:hAnsi="Palatino Linotype" w:cs="Palatino Linotype"/>
        </w:rPr>
      </w:pPr>
    </w:p>
    <w:p w:rsidR="0072148B" w:rsidRPr="008736DB" w:rsidRDefault="00A077F4">
      <w:pPr>
        <w:spacing w:line="360" w:lineRule="auto"/>
        <w:ind w:right="276"/>
        <w:jc w:val="center"/>
        <w:rPr>
          <w:rFonts w:ascii="Palatino Linotype" w:eastAsia="Palatino Linotype" w:hAnsi="Palatino Linotype" w:cs="Palatino Linotype"/>
          <w:b/>
        </w:rPr>
      </w:pPr>
      <w:r w:rsidRPr="008736DB">
        <w:rPr>
          <w:rFonts w:ascii="Palatino Linotype" w:eastAsia="Palatino Linotype" w:hAnsi="Palatino Linotype" w:cs="Palatino Linotype"/>
          <w:b/>
        </w:rPr>
        <w:t>R E S U E L V E</w:t>
      </w:r>
    </w:p>
    <w:p w:rsidR="0072148B" w:rsidRPr="008736DB" w:rsidRDefault="0072148B">
      <w:pPr>
        <w:spacing w:line="360" w:lineRule="auto"/>
        <w:ind w:right="-787"/>
        <w:jc w:val="center"/>
        <w:rPr>
          <w:rFonts w:ascii="Palatino Linotype" w:eastAsia="Palatino Linotype" w:hAnsi="Palatino Linotype" w:cs="Palatino Linotype"/>
          <w:b/>
        </w:rPr>
      </w:pPr>
    </w:p>
    <w:p w:rsidR="0072148B" w:rsidRPr="008736DB" w:rsidRDefault="00A077F4">
      <w:pPr>
        <w:spacing w:line="360" w:lineRule="auto"/>
        <w:ind w:right="-787"/>
        <w:jc w:val="both"/>
        <w:rPr>
          <w:rFonts w:ascii="Palatino Linotype" w:eastAsia="Palatino Linotype" w:hAnsi="Palatino Linotype" w:cs="Palatino Linotype"/>
        </w:rPr>
      </w:pPr>
      <w:r w:rsidRPr="008736DB">
        <w:rPr>
          <w:rFonts w:ascii="Palatino Linotype" w:eastAsia="Palatino Linotype" w:hAnsi="Palatino Linotype" w:cs="Palatino Linotype"/>
          <w:b/>
        </w:rPr>
        <w:t xml:space="preserve">PRIMERO. </w:t>
      </w:r>
      <w:r w:rsidRPr="008736DB">
        <w:rPr>
          <w:rFonts w:ascii="Palatino Linotype" w:eastAsia="Palatino Linotype" w:hAnsi="Palatino Linotype" w:cs="Palatino Linotype"/>
        </w:rPr>
        <w:t>Resultan fundadas las</w:t>
      </w:r>
      <w:r w:rsidRPr="008736DB">
        <w:rPr>
          <w:rFonts w:ascii="Palatino Linotype" w:eastAsia="Palatino Linotype" w:hAnsi="Palatino Linotype" w:cs="Palatino Linotype"/>
          <w:b/>
        </w:rPr>
        <w:t xml:space="preserve"> </w:t>
      </w:r>
      <w:r w:rsidRPr="008736DB">
        <w:rPr>
          <w:rFonts w:ascii="Palatino Linotype" w:eastAsia="Palatino Linotype" w:hAnsi="Palatino Linotype" w:cs="Palatino Linotype"/>
        </w:rPr>
        <w:t>razones o motivos de inconformidad hechos valer en el Recurso de Revisión</w:t>
      </w:r>
      <w:r w:rsidRPr="008736DB">
        <w:rPr>
          <w:rFonts w:ascii="Palatino Linotype" w:eastAsia="Palatino Linotype" w:hAnsi="Palatino Linotype" w:cs="Palatino Linotype"/>
          <w:b/>
        </w:rPr>
        <w:t xml:space="preserve"> 00368/INFOEM/IP/RR/2025 </w:t>
      </w:r>
      <w:r w:rsidRPr="008736DB">
        <w:rPr>
          <w:rFonts w:ascii="Palatino Linotype" w:eastAsia="Palatino Linotype" w:hAnsi="Palatino Linotype" w:cs="Palatino Linotype"/>
        </w:rPr>
        <w:t xml:space="preserve">en términos de los </w:t>
      </w:r>
      <w:r w:rsidRPr="008736DB">
        <w:rPr>
          <w:rFonts w:ascii="Palatino Linotype" w:eastAsia="Palatino Linotype" w:hAnsi="Palatino Linotype" w:cs="Palatino Linotype"/>
          <w:b/>
        </w:rPr>
        <w:t xml:space="preserve">Considerandos CUARTO Y QUINTO </w:t>
      </w:r>
      <w:r w:rsidRPr="008736DB">
        <w:rPr>
          <w:rFonts w:ascii="Palatino Linotype" w:eastAsia="Palatino Linotype" w:hAnsi="Palatino Linotype" w:cs="Palatino Linotype"/>
        </w:rPr>
        <w:t>de la presente resolución.</w:t>
      </w:r>
    </w:p>
    <w:p w:rsidR="0072148B" w:rsidRPr="008736DB" w:rsidRDefault="0072148B">
      <w:pPr>
        <w:spacing w:line="360" w:lineRule="auto"/>
        <w:ind w:right="-787"/>
        <w:jc w:val="both"/>
        <w:rPr>
          <w:rFonts w:ascii="Palatino Linotype" w:eastAsia="Palatino Linotype" w:hAnsi="Palatino Linotype" w:cs="Palatino Linotype"/>
          <w:b/>
        </w:rPr>
      </w:pPr>
    </w:p>
    <w:p w:rsidR="0072148B" w:rsidRPr="008736DB" w:rsidRDefault="00A077F4">
      <w:pPr>
        <w:spacing w:line="360" w:lineRule="auto"/>
        <w:ind w:right="-787"/>
        <w:jc w:val="both"/>
        <w:rPr>
          <w:rFonts w:ascii="Palatino Linotype" w:eastAsia="Palatino Linotype" w:hAnsi="Palatino Linotype" w:cs="Palatino Linotype"/>
        </w:rPr>
      </w:pPr>
      <w:bookmarkStart w:id="9" w:name="_heading=h.17dp8vu" w:colFirst="0" w:colLast="0"/>
      <w:bookmarkEnd w:id="9"/>
      <w:r w:rsidRPr="008736DB">
        <w:rPr>
          <w:rFonts w:ascii="Palatino Linotype" w:eastAsia="Palatino Linotype" w:hAnsi="Palatino Linotype" w:cs="Palatino Linotype"/>
          <w:b/>
        </w:rPr>
        <w:t>SEGUNDO.</w:t>
      </w:r>
      <w:r w:rsidRPr="008736DB">
        <w:rPr>
          <w:rFonts w:ascii="Palatino Linotype" w:eastAsia="Palatino Linotype" w:hAnsi="Palatino Linotype" w:cs="Palatino Linotype"/>
          <w:color w:val="2F5496"/>
        </w:rPr>
        <w:t xml:space="preserve"> </w:t>
      </w:r>
      <w:r w:rsidRPr="008736DB">
        <w:rPr>
          <w:rFonts w:ascii="Palatino Linotype" w:eastAsia="Palatino Linotype" w:hAnsi="Palatino Linotype" w:cs="Palatino Linotype"/>
          <w:color w:val="000000"/>
        </w:rPr>
        <w:t xml:space="preserve">Se </w:t>
      </w:r>
      <w:r w:rsidRPr="008736DB">
        <w:rPr>
          <w:rFonts w:ascii="Palatino Linotype" w:eastAsia="Palatino Linotype" w:hAnsi="Palatino Linotype" w:cs="Palatino Linotype"/>
          <w:b/>
          <w:color w:val="000000"/>
        </w:rPr>
        <w:t xml:space="preserve">REVOCA </w:t>
      </w:r>
      <w:r w:rsidRPr="008736DB">
        <w:rPr>
          <w:rFonts w:ascii="Palatino Linotype" w:eastAsia="Palatino Linotype" w:hAnsi="Palatino Linotype" w:cs="Palatino Linotype"/>
          <w:color w:val="000000"/>
        </w:rPr>
        <w:t xml:space="preserve">la respuesta emitida por el </w:t>
      </w:r>
      <w:r w:rsidRPr="008736DB">
        <w:rPr>
          <w:rFonts w:ascii="Palatino Linotype" w:eastAsia="Palatino Linotype" w:hAnsi="Palatino Linotype" w:cs="Palatino Linotype"/>
          <w:b/>
        </w:rPr>
        <w:t xml:space="preserve">Sistema Municipal Para el Desarrollo Integral de la Familia de Toluca </w:t>
      </w:r>
      <w:r w:rsidRPr="008736DB">
        <w:rPr>
          <w:rFonts w:ascii="Palatino Linotype" w:eastAsia="Palatino Linotype" w:hAnsi="Palatino Linotype" w:cs="Palatino Linotype"/>
          <w:color w:val="000000"/>
        </w:rPr>
        <w:t xml:space="preserve">y se </w:t>
      </w:r>
      <w:r w:rsidRPr="008736DB">
        <w:rPr>
          <w:rFonts w:ascii="Palatino Linotype" w:eastAsia="Palatino Linotype" w:hAnsi="Palatino Linotype" w:cs="Palatino Linotype"/>
          <w:b/>
          <w:color w:val="000000"/>
        </w:rPr>
        <w:t>ORDENA</w:t>
      </w:r>
      <w:r w:rsidRPr="008736DB">
        <w:rPr>
          <w:rFonts w:ascii="Palatino Linotype" w:eastAsia="Palatino Linotype" w:hAnsi="Palatino Linotype" w:cs="Palatino Linotype"/>
          <w:color w:val="000000"/>
        </w:rPr>
        <w:t xml:space="preserve"> entregar, vía Sistema de Acceso a la Información Mexiquense </w:t>
      </w:r>
      <w:r w:rsidRPr="008736DB">
        <w:rPr>
          <w:rFonts w:ascii="Palatino Linotype" w:eastAsia="Palatino Linotype" w:hAnsi="Palatino Linotype" w:cs="Palatino Linotype"/>
          <w:b/>
          <w:color w:val="000000"/>
        </w:rPr>
        <w:t>(SAIMEX)</w:t>
      </w:r>
      <w:r w:rsidRPr="008736DB">
        <w:rPr>
          <w:rFonts w:ascii="Palatino Linotype" w:eastAsia="Palatino Linotype" w:hAnsi="Palatino Linotype" w:cs="Palatino Linotype"/>
        </w:rPr>
        <w:t>, la siguiente información, en versión pública:</w:t>
      </w:r>
    </w:p>
    <w:p w:rsidR="0072148B" w:rsidRPr="008736DB" w:rsidRDefault="0072148B">
      <w:pPr>
        <w:spacing w:line="360" w:lineRule="auto"/>
        <w:ind w:right="-787"/>
        <w:jc w:val="both"/>
        <w:rPr>
          <w:rFonts w:ascii="Palatino Linotype" w:eastAsia="Palatino Linotype" w:hAnsi="Palatino Linotype" w:cs="Palatino Linotype"/>
        </w:rPr>
      </w:pPr>
    </w:p>
    <w:p w:rsidR="0072148B" w:rsidRPr="008736DB" w:rsidRDefault="00A077F4">
      <w:pPr>
        <w:numPr>
          <w:ilvl w:val="0"/>
          <w:numId w:val="8"/>
        </w:num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r w:rsidRPr="008736DB">
        <w:rPr>
          <w:rFonts w:ascii="Palatino Linotype" w:eastAsia="Palatino Linotype" w:hAnsi="Palatino Linotype" w:cs="Palatino Linotype"/>
          <w:b/>
          <w:color w:val="000000"/>
        </w:rPr>
        <w:t>Recibos de nómina de la primera quincena de enero de dos mil veinticinco, de los todos los servidores públicos que integran el Sujeto Obligado.</w:t>
      </w:r>
    </w:p>
    <w:p w:rsidR="0072148B" w:rsidRPr="008736DB" w:rsidRDefault="0072148B">
      <w:pPr>
        <w:pBdr>
          <w:top w:val="nil"/>
          <w:left w:val="nil"/>
          <w:bottom w:val="nil"/>
          <w:right w:val="nil"/>
          <w:between w:val="nil"/>
        </w:pBdr>
        <w:spacing w:line="360" w:lineRule="auto"/>
        <w:ind w:left="720" w:right="-787"/>
        <w:jc w:val="both"/>
        <w:rPr>
          <w:rFonts w:ascii="Palatino Linotype" w:eastAsia="Palatino Linotype" w:hAnsi="Palatino Linotype" w:cs="Palatino Linotype"/>
          <w:b/>
          <w:color w:val="000000"/>
        </w:rPr>
      </w:pPr>
    </w:p>
    <w:p w:rsidR="0072148B" w:rsidRPr="008736DB" w:rsidRDefault="00A077F4">
      <w:pPr>
        <w:spacing w:line="360" w:lineRule="auto"/>
        <w:ind w:right="-787"/>
        <w:jc w:val="both"/>
        <w:rPr>
          <w:rFonts w:ascii="Palatino Linotype" w:eastAsia="Palatino Linotype" w:hAnsi="Palatino Linotype" w:cs="Palatino Linotype"/>
          <w:b/>
        </w:rPr>
      </w:pPr>
      <w:bookmarkStart w:id="10" w:name="_heading=h.4d34og8" w:colFirst="0" w:colLast="0"/>
      <w:bookmarkEnd w:id="10"/>
      <w:r w:rsidRPr="008736DB">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8736DB">
        <w:rPr>
          <w:rFonts w:ascii="Palatino Linotype" w:eastAsia="Palatino Linotype" w:hAnsi="Palatino Linotype" w:cs="Palatino Linotype"/>
          <w:b/>
        </w:rPr>
        <w:t>RECURRENTE.</w:t>
      </w:r>
    </w:p>
    <w:p w:rsidR="0072148B" w:rsidRPr="008736DB" w:rsidRDefault="0072148B">
      <w:pPr>
        <w:spacing w:line="360" w:lineRule="auto"/>
        <w:ind w:right="-787"/>
        <w:jc w:val="both"/>
        <w:rPr>
          <w:rFonts w:ascii="Palatino Linotype" w:eastAsia="Palatino Linotype" w:hAnsi="Palatino Linotype" w:cs="Palatino Linotype"/>
          <w:b/>
        </w:rPr>
      </w:pPr>
    </w:p>
    <w:p w:rsidR="0072148B" w:rsidRPr="008736DB" w:rsidRDefault="00A077F4">
      <w:pPr>
        <w:spacing w:line="360" w:lineRule="auto"/>
        <w:ind w:right="-787"/>
        <w:jc w:val="both"/>
        <w:rPr>
          <w:rFonts w:ascii="Palatino Linotype" w:eastAsia="Palatino Linotype" w:hAnsi="Palatino Linotype" w:cs="Palatino Linotype"/>
        </w:rPr>
      </w:pPr>
      <w:r w:rsidRPr="008736DB">
        <w:rPr>
          <w:rFonts w:ascii="Palatino Linotype" w:eastAsia="Palatino Linotype" w:hAnsi="Palatino Linotype" w:cs="Palatino Linotype"/>
          <w:b/>
        </w:rPr>
        <w:t>TERCERO</w:t>
      </w:r>
      <w:r w:rsidRPr="008736DB">
        <w:rPr>
          <w:rFonts w:ascii="Palatino Linotype" w:eastAsia="Palatino Linotype" w:hAnsi="Palatino Linotype" w:cs="Palatino Linotype"/>
        </w:rPr>
        <w:t>. Se</w:t>
      </w:r>
      <w:r w:rsidRPr="008736DB">
        <w:rPr>
          <w:rFonts w:ascii="Palatino Linotype" w:eastAsia="Palatino Linotype" w:hAnsi="Palatino Linotype" w:cs="Palatino Linotype"/>
          <w:b/>
        </w:rPr>
        <w:t xml:space="preserve"> SOBRESEE </w:t>
      </w:r>
      <w:r w:rsidRPr="008736DB">
        <w:rPr>
          <w:rFonts w:ascii="Palatino Linotype" w:eastAsia="Palatino Linotype" w:hAnsi="Palatino Linotype" w:cs="Palatino Linotype"/>
        </w:rPr>
        <w:t xml:space="preserve">el Recurso de Revisión número </w:t>
      </w:r>
      <w:r w:rsidRPr="008736DB">
        <w:rPr>
          <w:rFonts w:ascii="Palatino Linotype" w:eastAsia="Palatino Linotype" w:hAnsi="Palatino Linotype" w:cs="Palatino Linotype"/>
          <w:b/>
          <w:color w:val="000000"/>
        </w:rPr>
        <w:t>00369/INFOEM/IP/RR/2025</w:t>
      </w:r>
      <w:r w:rsidRPr="008736DB">
        <w:rPr>
          <w:rFonts w:ascii="Palatino Linotype" w:eastAsia="Palatino Linotype" w:hAnsi="Palatino Linotype" w:cs="Palatino Linotype"/>
          <w:b/>
        </w:rPr>
        <w:t xml:space="preserve">, </w:t>
      </w:r>
      <w:r w:rsidRPr="008736DB">
        <w:rPr>
          <w:rFonts w:ascii="Palatino Linotype" w:eastAsia="Palatino Linotype" w:hAnsi="Palatino Linotype" w:cs="Palatino Linotype"/>
        </w:rPr>
        <w:t xml:space="preserve">porque una vez admitido se actualizó la causal de improcedencia prevista en artículo 192, fracción IV, en relación con la fracción III, del artículo 191, de la Ley de Transparencia vigente en la entidad, quedando sin materia en términos del </w:t>
      </w:r>
      <w:r w:rsidRPr="008736DB">
        <w:rPr>
          <w:rFonts w:ascii="Palatino Linotype" w:eastAsia="Palatino Linotype" w:hAnsi="Palatino Linotype" w:cs="Palatino Linotype"/>
          <w:b/>
        </w:rPr>
        <w:t>Considerando CUARTO</w:t>
      </w:r>
      <w:r w:rsidRPr="008736DB">
        <w:rPr>
          <w:rFonts w:ascii="Palatino Linotype" w:eastAsia="Palatino Linotype" w:hAnsi="Palatino Linotype" w:cs="Palatino Linotype"/>
        </w:rPr>
        <w:t xml:space="preserve"> de la presente Resolución.</w:t>
      </w:r>
    </w:p>
    <w:p w:rsidR="0072148B" w:rsidRPr="008736DB" w:rsidRDefault="0072148B">
      <w:pPr>
        <w:spacing w:line="360" w:lineRule="auto"/>
        <w:ind w:right="-787"/>
        <w:jc w:val="both"/>
        <w:rPr>
          <w:rFonts w:ascii="Palatino Linotype" w:eastAsia="Palatino Linotype" w:hAnsi="Palatino Linotype" w:cs="Palatino Linotype"/>
        </w:rPr>
      </w:pPr>
    </w:p>
    <w:p w:rsidR="0072148B" w:rsidRPr="008736DB" w:rsidRDefault="00A077F4">
      <w:pPr>
        <w:tabs>
          <w:tab w:val="left" w:pos="8080"/>
        </w:tabs>
        <w:spacing w:line="360" w:lineRule="auto"/>
        <w:ind w:right="-787"/>
        <w:jc w:val="both"/>
        <w:rPr>
          <w:rFonts w:ascii="Palatino Linotype" w:eastAsia="Palatino Linotype" w:hAnsi="Palatino Linotype" w:cs="Palatino Linotype"/>
        </w:rPr>
      </w:pPr>
      <w:r w:rsidRPr="008736DB">
        <w:rPr>
          <w:rFonts w:ascii="Palatino Linotype" w:eastAsia="Palatino Linotype" w:hAnsi="Palatino Linotype" w:cs="Palatino Linotype"/>
          <w:b/>
        </w:rPr>
        <w:t xml:space="preserve">CUARTO. </w:t>
      </w:r>
      <w:r w:rsidRPr="008736DB">
        <w:rPr>
          <w:rFonts w:ascii="Palatino Linotype" w:eastAsia="Palatino Linotype" w:hAnsi="Palatino Linotype" w:cs="Palatino Linotype"/>
          <w:b/>
          <w:color w:val="000000"/>
        </w:rPr>
        <w:t>Notifíquese</w:t>
      </w:r>
      <w:r w:rsidRPr="008736DB">
        <w:rPr>
          <w:rFonts w:ascii="Palatino Linotype" w:eastAsia="Palatino Linotype" w:hAnsi="Palatino Linotype" w:cs="Palatino Linotype"/>
          <w:color w:val="000000"/>
        </w:rPr>
        <w:t xml:space="preserve"> al </w:t>
      </w:r>
      <w:r w:rsidRPr="008736DB">
        <w:rPr>
          <w:rFonts w:ascii="Palatino Linotype" w:eastAsia="Palatino Linotype" w:hAnsi="Palatino Linotype" w:cs="Palatino Linotype"/>
          <w:color w:val="222222"/>
        </w:rPr>
        <w:t xml:space="preserve">Titular de la Unidad de Transparencia del </w:t>
      </w:r>
      <w:r w:rsidRPr="008736DB">
        <w:rPr>
          <w:rFonts w:ascii="Palatino Linotype" w:eastAsia="Palatino Linotype" w:hAnsi="Palatino Linotype" w:cs="Palatino Linotype"/>
          <w:b/>
          <w:color w:val="222222"/>
        </w:rPr>
        <w:t>SUJETO OBLIGADO</w:t>
      </w:r>
      <w:r w:rsidRPr="008736DB">
        <w:rPr>
          <w:rFonts w:ascii="Palatino Linotype" w:eastAsia="Palatino Linotype" w:hAnsi="Palatino Linotype" w:cs="Palatino Linotype"/>
          <w:color w:val="222222"/>
        </w:rPr>
        <w:t xml:space="preserve">, vía SAIMEX, la presente resolución, para que conforme al artículo 186 último párrafo, 189 segundo párrafo y 194 de la Ley de Transparencia y Acceso a la Información Pública del Estado de México y Municipios </w:t>
      </w:r>
      <w:r w:rsidRPr="008736DB">
        <w:rPr>
          <w:rFonts w:ascii="Palatino Linotype" w:eastAsia="Palatino Linotype" w:hAnsi="Palatino Linotype" w:cs="Palatino Linotype"/>
          <w:b/>
          <w:color w:val="222222"/>
        </w:rPr>
        <w:t>de cumplimiento a lo ordenado dentro del plazo de diez días hábiles,</w:t>
      </w:r>
      <w:r w:rsidRPr="008736DB">
        <w:rPr>
          <w:rFonts w:ascii="Palatino Linotype" w:eastAsia="Palatino Linotype" w:hAnsi="Palatino Linotype" w:cs="Palatino Linotype"/>
          <w:color w:val="222222"/>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8736DB">
        <w:rPr>
          <w:rFonts w:ascii="Palatino Linotype" w:eastAsia="Palatino Linotype" w:hAnsi="Palatino Linotype" w:cs="Palatino Linotype"/>
        </w:rPr>
        <w:t>.</w:t>
      </w:r>
    </w:p>
    <w:p w:rsidR="0072148B" w:rsidRPr="008736DB" w:rsidRDefault="0072148B">
      <w:pPr>
        <w:tabs>
          <w:tab w:val="left" w:pos="8080"/>
        </w:tabs>
        <w:spacing w:line="360" w:lineRule="auto"/>
        <w:ind w:right="-787"/>
        <w:jc w:val="both"/>
        <w:rPr>
          <w:rFonts w:ascii="Palatino Linotype" w:eastAsia="Palatino Linotype" w:hAnsi="Palatino Linotype" w:cs="Palatino Linotype"/>
        </w:rPr>
      </w:pPr>
    </w:p>
    <w:p w:rsidR="0072148B" w:rsidRPr="008736DB" w:rsidRDefault="00A077F4">
      <w:pPr>
        <w:spacing w:line="360" w:lineRule="auto"/>
        <w:ind w:right="-787"/>
        <w:jc w:val="both"/>
        <w:rPr>
          <w:rFonts w:ascii="Palatino Linotype" w:eastAsia="Palatino Linotype" w:hAnsi="Palatino Linotype" w:cs="Palatino Linotype"/>
        </w:rPr>
      </w:pPr>
      <w:r w:rsidRPr="008736DB">
        <w:rPr>
          <w:rFonts w:ascii="Palatino Linotype" w:eastAsia="Palatino Linotype" w:hAnsi="Palatino Linotype" w:cs="Palatino Linotype"/>
          <w:b/>
        </w:rPr>
        <w:t xml:space="preserve">QUINTO. </w:t>
      </w:r>
      <w:r w:rsidRPr="008736DB">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8736DB">
        <w:rPr>
          <w:rFonts w:ascii="Palatino Linotype" w:eastAsia="Palatino Linotype" w:hAnsi="Palatino Linotype" w:cs="Palatino Linotype"/>
          <w:b/>
        </w:rPr>
        <w:t>SUJETO OBLIGADO</w:t>
      </w:r>
      <w:r w:rsidRPr="008736DB">
        <w:rPr>
          <w:rFonts w:ascii="Palatino Linotype" w:eastAsia="Palatino Linotype" w:hAnsi="Palatino Linotype" w:cs="Palatino Linotype"/>
        </w:rPr>
        <w:t xml:space="preserve"> de manera fundada y motivada, podrá solicitar una ampliación de plazo para el cumplimiento de la presente resolución.</w:t>
      </w:r>
    </w:p>
    <w:p w:rsidR="0072148B" w:rsidRPr="008736DB" w:rsidRDefault="0072148B">
      <w:pPr>
        <w:shd w:val="clear" w:color="auto" w:fill="FFFFFF"/>
        <w:spacing w:line="360" w:lineRule="auto"/>
        <w:ind w:right="-787"/>
        <w:jc w:val="both"/>
        <w:rPr>
          <w:rFonts w:ascii="Palatino Linotype" w:eastAsia="Palatino Linotype" w:hAnsi="Palatino Linotype" w:cs="Palatino Linotype"/>
          <w:b/>
        </w:rPr>
      </w:pPr>
    </w:p>
    <w:p w:rsidR="0072148B" w:rsidRPr="008736DB" w:rsidRDefault="00A077F4">
      <w:pPr>
        <w:shd w:val="clear" w:color="auto" w:fill="FFFFFF"/>
        <w:spacing w:line="360" w:lineRule="auto"/>
        <w:ind w:right="-787"/>
        <w:jc w:val="both"/>
        <w:rPr>
          <w:rFonts w:ascii="Palatino Linotype" w:eastAsia="Palatino Linotype" w:hAnsi="Palatino Linotype" w:cs="Palatino Linotype"/>
        </w:rPr>
      </w:pPr>
      <w:r w:rsidRPr="008736DB">
        <w:rPr>
          <w:rFonts w:ascii="Palatino Linotype" w:eastAsia="Palatino Linotype" w:hAnsi="Palatino Linotype" w:cs="Palatino Linotype"/>
          <w:b/>
        </w:rPr>
        <w:t xml:space="preserve">SEXTO. </w:t>
      </w:r>
      <w:r w:rsidRPr="008736DB">
        <w:rPr>
          <w:rFonts w:ascii="Palatino Linotype" w:eastAsia="Palatino Linotype" w:hAnsi="Palatino Linotype" w:cs="Palatino Linotype"/>
        </w:rPr>
        <w:t xml:space="preserve">Notifíquese al </w:t>
      </w:r>
      <w:r w:rsidRPr="008736DB">
        <w:rPr>
          <w:rFonts w:ascii="Palatino Linotype" w:eastAsia="Palatino Linotype" w:hAnsi="Palatino Linotype" w:cs="Palatino Linotype"/>
          <w:b/>
        </w:rPr>
        <w:t xml:space="preserve">RECURRENTE </w:t>
      </w:r>
      <w:r w:rsidRPr="008736DB">
        <w:rPr>
          <w:rFonts w:ascii="Palatino Linotype" w:eastAsia="Palatino Linotype" w:hAnsi="Palatino Linotype" w:cs="Palatino Linotype"/>
        </w:rPr>
        <w:t>la presente resolución vía Sistema de Acceso a Información Mexiquense (SAIMEX)</w:t>
      </w:r>
      <w:r w:rsidRPr="008736DB">
        <w:rPr>
          <w:rFonts w:ascii="Palatino Linotype" w:eastAsia="Palatino Linotype" w:hAnsi="Palatino Linotype" w:cs="Palatino Linotype"/>
          <w:b/>
        </w:rPr>
        <w:t xml:space="preserve"> </w:t>
      </w:r>
      <w:r w:rsidRPr="008736DB">
        <w:rPr>
          <w:rFonts w:ascii="Palatino Linotype" w:eastAsia="Palatino Linotype" w:hAnsi="Palatino Linotype" w:cs="Palatino Linotype"/>
        </w:rPr>
        <w:t>y se hace de su conocimiento</w:t>
      </w:r>
      <w:r w:rsidRPr="008736DB">
        <w:rPr>
          <w:rFonts w:ascii="Palatino Linotype" w:eastAsia="Palatino Linotype" w:hAnsi="Palatino Linotype" w:cs="Palatino Linotype"/>
          <w:b/>
        </w:rPr>
        <w:t xml:space="preserve"> </w:t>
      </w:r>
      <w:r w:rsidRPr="008736DB">
        <w:rPr>
          <w:rFonts w:ascii="Palatino Linotype" w:eastAsia="Palatino Linotype" w:hAnsi="Palatino Linotype" w:cs="Palatino Linotype"/>
        </w:rPr>
        <w:t xml:space="preserve">que, de conformidad con lo </w:t>
      </w:r>
      <w:r w:rsidRPr="008736DB">
        <w:rPr>
          <w:rFonts w:ascii="Palatino Linotype" w:eastAsia="Palatino Linotype" w:hAnsi="Palatino Linotype" w:cs="Palatino Linotype"/>
        </w:rPr>
        <w:lastRenderedPageBreak/>
        <w:t>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2F21E3" w:rsidRPr="008736DB" w:rsidRDefault="002F21E3">
      <w:pPr>
        <w:shd w:val="clear" w:color="auto" w:fill="FFFFFF"/>
        <w:spacing w:line="360" w:lineRule="auto"/>
        <w:ind w:right="-787"/>
        <w:jc w:val="both"/>
        <w:rPr>
          <w:rFonts w:ascii="Palatino Linotype" w:eastAsia="Palatino Linotype" w:hAnsi="Palatino Linotype" w:cs="Palatino Linotype"/>
        </w:rPr>
      </w:pPr>
    </w:p>
    <w:p w:rsidR="002F21E3" w:rsidRDefault="002F21E3" w:rsidP="002F21E3">
      <w:pPr>
        <w:spacing w:before="240" w:after="240" w:line="360" w:lineRule="auto"/>
        <w:ind w:right="-716" w:firstLine="1"/>
        <w:jc w:val="both"/>
        <w:rPr>
          <w:rFonts w:ascii="Palatino Linotype" w:hAnsi="Palatino Linotype"/>
        </w:rPr>
      </w:pPr>
      <w:r w:rsidRPr="008736D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DOS (02) DE ABRIL DE DOS MIL VEINTICINCO, ANTE EL SECRETARIO TÉCNICO DEL PLENO ALEXIS</w:t>
      </w:r>
    </w:p>
    <w:p w:rsidR="0072148B" w:rsidRDefault="0072148B" w:rsidP="002F21E3">
      <w:pPr>
        <w:spacing w:line="360" w:lineRule="auto"/>
        <w:ind w:right="-716"/>
        <w:jc w:val="both"/>
        <w:rPr>
          <w:rFonts w:ascii="Palatino Linotype" w:eastAsia="Palatino Linotype" w:hAnsi="Palatino Linotype" w:cs="Palatino Linotype"/>
        </w:rPr>
      </w:pPr>
    </w:p>
    <w:p w:rsidR="0072148B" w:rsidRDefault="0072148B" w:rsidP="002F21E3">
      <w:pPr>
        <w:spacing w:line="360" w:lineRule="auto"/>
        <w:ind w:right="-716"/>
        <w:jc w:val="both"/>
        <w:rPr>
          <w:rFonts w:ascii="Palatino Linotype" w:eastAsia="Palatino Linotype" w:hAnsi="Palatino Linotype" w:cs="Palatino Linotype"/>
        </w:rPr>
      </w:pPr>
    </w:p>
    <w:p w:rsidR="0072148B" w:rsidRDefault="0072148B" w:rsidP="002F21E3">
      <w:pPr>
        <w:spacing w:line="360" w:lineRule="auto"/>
        <w:ind w:right="-716"/>
        <w:jc w:val="both"/>
        <w:rPr>
          <w:rFonts w:ascii="Palatino Linotype" w:eastAsia="Palatino Linotype" w:hAnsi="Palatino Linotype" w:cs="Palatino Linotype"/>
        </w:rPr>
      </w:pPr>
    </w:p>
    <w:p w:rsidR="0072148B" w:rsidRDefault="0072148B" w:rsidP="002F21E3">
      <w:pPr>
        <w:spacing w:line="360" w:lineRule="auto"/>
        <w:ind w:right="-716"/>
        <w:rPr>
          <w:rFonts w:ascii="Palatino Linotype" w:eastAsia="Palatino Linotype" w:hAnsi="Palatino Linotype" w:cs="Palatino Linotype"/>
        </w:rPr>
      </w:pPr>
    </w:p>
    <w:p w:rsidR="0072148B" w:rsidRDefault="0072148B">
      <w:pPr>
        <w:spacing w:line="360" w:lineRule="auto"/>
        <w:ind w:right="-787"/>
        <w:rPr>
          <w:rFonts w:ascii="Palatino Linotype" w:eastAsia="Palatino Linotype" w:hAnsi="Palatino Linotype" w:cs="Palatino Linotype"/>
        </w:rPr>
      </w:pPr>
    </w:p>
    <w:p w:rsidR="0072148B" w:rsidRDefault="0072148B">
      <w:pPr>
        <w:spacing w:line="360" w:lineRule="auto"/>
        <w:ind w:right="-787"/>
        <w:rPr>
          <w:rFonts w:ascii="Palatino Linotype" w:eastAsia="Palatino Linotype" w:hAnsi="Palatino Linotype" w:cs="Palatino Linotype"/>
        </w:rPr>
      </w:pPr>
    </w:p>
    <w:p w:rsidR="0072148B" w:rsidRDefault="0072148B">
      <w:pPr>
        <w:spacing w:line="360" w:lineRule="auto"/>
        <w:ind w:right="-787"/>
        <w:rPr>
          <w:rFonts w:ascii="Palatino Linotype" w:eastAsia="Palatino Linotype" w:hAnsi="Palatino Linotype" w:cs="Palatino Linotype"/>
        </w:rPr>
      </w:pPr>
    </w:p>
    <w:p w:rsidR="0072148B" w:rsidRDefault="0072148B">
      <w:pPr>
        <w:spacing w:line="360" w:lineRule="auto"/>
        <w:ind w:right="-787"/>
        <w:rPr>
          <w:rFonts w:ascii="Palatino Linotype" w:eastAsia="Palatino Linotype" w:hAnsi="Palatino Linotype" w:cs="Palatino Linotype"/>
        </w:rPr>
      </w:pPr>
    </w:p>
    <w:p w:rsidR="0072148B" w:rsidRDefault="0072148B">
      <w:pPr>
        <w:spacing w:line="360" w:lineRule="auto"/>
        <w:ind w:right="-787"/>
        <w:rPr>
          <w:rFonts w:ascii="Palatino Linotype" w:eastAsia="Palatino Linotype" w:hAnsi="Palatino Linotype" w:cs="Palatino Linotype"/>
        </w:rPr>
      </w:pPr>
    </w:p>
    <w:p w:rsidR="0072148B" w:rsidRDefault="0072148B">
      <w:pPr>
        <w:spacing w:line="360" w:lineRule="auto"/>
        <w:ind w:right="-787"/>
        <w:rPr>
          <w:rFonts w:ascii="Palatino Linotype" w:eastAsia="Palatino Linotype" w:hAnsi="Palatino Linotype" w:cs="Palatino Linotype"/>
        </w:rPr>
      </w:pPr>
    </w:p>
    <w:p w:rsidR="0072148B" w:rsidRDefault="00A077F4">
      <w:pPr>
        <w:tabs>
          <w:tab w:val="left" w:pos="3374"/>
        </w:tabs>
        <w:spacing w:line="360" w:lineRule="auto"/>
        <w:ind w:right="-787"/>
        <w:rPr>
          <w:rFonts w:ascii="Palatino Linotype" w:eastAsia="Palatino Linotype" w:hAnsi="Palatino Linotype" w:cs="Palatino Linotype"/>
        </w:rPr>
      </w:pPr>
      <w:bookmarkStart w:id="11" w:name="_heading=h.lnxbz9" w:colFirst="0" w:colLast="0"/>
      <w:bookmarkEnd w:id="11"/>
      <w:r>
        <w:rPr>
          <w:rFonts w:ascii="Palatino Linotype" w:eastAsia="Palatino Linotype" w:hAnsi="Palatino Linotype" w:cs="Palatino Linotype"/>
        </w:rPr>
        <w:tab/>
      </w:r>
    </w:p>
    <w:p w:rsidR="008736DB" w:rsidRDefault="008736DB">
      <w:pPr>
        <w:tabs>
          <w:tab w:val="left" w:pos="3374"/>
        </w:tabs>
        <w:spacing w:line="360" w:lineRule="auto"/>
        <w:ind w:right="-787"/>
        <w:rPr>
          <w:rFonts w:ascii="Palatino Linotype" w:eastAsia="Palatino Linotype" w:hAnsi="Palatino Linotype" w:cs="Palatino Linotype"/>
        </w:rPr>
      </w:pPr>
    </w:p>
    <w:sectPr w:rsidR="008736DB">
      <w:headerReference w:type="even" r:id="rId18"/>
      <w:headerReference w:type="default" r:id="rId19"/>
      <w:footerReference w:type="default" r:id="rId20"/>
      <w:headerReference w:type="first" r:id="rId21"/>
      <w:footerReference w:type="first" r:id="rId22"/>
      <w:pgSz w:w="12240" w:h="15840"/>
      <w:pgMar w:top="2268" w:right="1474"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0D4" w:rsidRDefault="00F600D4">
      <w:r>
        <w:separator/>
      </w:r>
    </w:p>
  </w:endnote>
  <w:endnote w:type="continuationSeparator" w:id="0">
    <w:p w:rsidR="00F600D4" w:rsidRDefault="00F6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7F4" w:rsidRDefault="00A077F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57461">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57461">
      <w:rPr>
        <w:rFonts w:ascii="Palatino Linotype" w:eastAsia="Palatino Linotype" w:hAnsi="Palatino Linotype" w:cs="Palatino Linotype"/>
        <w:noProof/>
        <w:color w:val="000000"/>
        <w:sz w:val="20"/>
        <w:szCs w:val="20"/>
      </w:rPr>
      <w:t>45</w:t>
    </w:r>
    <w:r>
      <w:rPr>
        <w:rFonts w:ascii="Palatino Linotype" w:eastAsia="Palatino Linotype" w:hAnsi="Palatino Linotype" w:cs="Palatino Linotype"/>
        <w:color w:val="000000"/>
        <w:sz w:val="20"/>
        <w:szCs w:val="20"/>
      </w:rPr>
      <w:fldChar w:fldCharType="end"/>
    </w:r>
  </w:p>
  <w:p w:rsidR="00A077F4" w:rsidRDefault="00A077F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7F4" w:rsidRDefault="00A077F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5746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57461">
      <w:rPr>
        <w:rFonts w:ascii="Palatino Linotype" w:eastAsia="Palatino Linotype" w:hAnsi="Palatino Linotype" w:cs="Palatino Linotype"/>
        <w:noProof/>
        <w:color w:val="000000"/>
        <w:sz w:val="20"/>
        <w:szCs w:val="20"/>
      </w:rPr>
      <w:t>45</w:t>
    </w:r>
    <w:r>
      <w:rPr>
        <w:rFonts w:ascii="Palatino Linotype" w:eastAsia="Palatino Linotype" w:hAnsi="Palatino Linotype" w:cs="Palatino Linotype"/>
        <w:color w:val="000000"/>
        <w:sz w:val="20"/>
        <w:szCs w:val="20"/>
      </w:rPr>
      <w:fldChar w:fldCharType="end"/>
    </w:r>
  </w:p>
  <w:p w:rsidR="00A077F4" w:rsidRDefault="00A077F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0D4" w:rsidRDefault="00F600D4">
      <w:r>
        <w:separator/>
      </w:r>
    </w:p>
  </w:footnote>
  <w:footnote w:type="continuationSeparator" w:id="0">
    <w:p w:rsidR="00F600D4" w:rsidRDefault="00F600D4">
      <w:r>
        <w:continuationSeparator/>
      </w:r>
    </w:p>
  </w:footnote>
  <w:footnote w:id="1">
    <w:p w:rsidR="00A077F4" w:rsidRDefault="00A077F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7F4" w:rsidRDefault="00F600D4">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7F4" w:rsidRDefault="00A077F4">
    <w:pPr>
      <w:widowControl w:val="0"/>
      <w:pBdr>
        <w:top w:val="nil"/>
        <w:left w:val="nil"/>
        <w:bottom w:val="nil"/>
        <w:right w:val="nil"/>
        <w:between w:val="nil"/>
      </w:pBdr>
      <w:spacing w:line="276" w:lineRule="auto"/>
      <w:rPr>
        <w:color w:val="000000"/>
      </w:rPr>
    </w:pPr>
  </w:p>
  <w:tbl>
    <w:tblPr>
      <w:tblStyle w:val="a6"/>
      <w:tblW w:w="6761" w:type="dxa"/>
      <w:tblInd w:w="3261" w:type="dxa"/>
      <w:tblLayout w:type="fixed"/>
      <w:tblLook w:val="0400" w:firstRow="0" w:lastRow="0" w:firstColumn="0" w:lastColumn="0" w:noHBand="0" w:noVBand="1"/>
    </w:tblPr>
    <w:tblGrid>
      <w:gridCol w:w="2509"/>
      <w:gridCol w:w="4252"/>
    </w:tblGrid>
    <w:tr w:rsidR="00A077F4">
      <w:trPr>
        <w:trHeight w:val="227"/>
      </w:trPr>
      <w:tc>
        <w:tcPr>
          <w:tcW w:w="2509" w:type="dxa"/>
        </w:tcPr>
        <w:p w:rsidR="00A077F4" w:rsidRDefault="00A077F4">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252" w:type="dxa"/>
        </w:tcPr>
        <w:p w:rsidR="00A077F4" w:rsidRDefault="00A077F4">
          <w:pPr>
            <w:pBdr>
              <w:top w:val="nil"/>
              <w:left w:val="nil"/>
              <w:bottom w:val="nil"/>
              <w:right w:val="nil"/>
              <w:between w:val="nil"/>
            </w:pBdr>
            <w:tabs>
              <w:tab w:val="right" w:pos="8838"/>
            </w:tabs>
            <w:ind w:right="-1285"/>
            <w:rPr>
              <w:rFonts w:ascii="Palatino Linotype" w:eastAsia="Palatino Linotype" w:hAnsi="Palatino Linotype" w:cs="Palatino Linotype"/>
              <w:color w:val="000000"/>
              <w:sz w:val="22"/>
              <w:szCs w:val="22"/>
              <w:highlight w:val="green"/>
            </w:rPr>
          </w:pPr>
          <w:r>
            <w:rPr>
              <w:rFonts w:ascii="Palatino Linotype" w:eastAsia="Palatino Linotype" w:hAnsi="Palatino Linotype" w:cs="Palatino Linotype"/>
              <w:color w:val="000000"/>
              <w:sz w:val="22"/>
              <w:szCs w:val="22"/>
            </w:rPr>
            <w:t xml:space="preserve">00368/INFOEM/IP/RR/2025 y </w:t>
          </w:r>
          <w:r>
            <w:rPr>
              <w:rFonts w:ascii="Palatino Linotype" w:eastAsia="Palatino Linotype" w:hAnsi="Palatino Linotype" w:cs="Palatino Linotype"/>
              <w:sz w:val="22"/>
              <w:szCs w:val="22"/>
            </w:rPr>
            <w:t>A</w:t>
          </w:r>
          <w:r>
            <w:rPr>
              <w:rFonts w:ascii="Palatino Linotype" w:eastAsia="Palatino Linotype" w:hAnsi="Palatino Linotype" w:cs="Palatino Linotype"/>
              <w:color w:val="000000"/>
              <w:sz w:val="22"/>
              <w:szCs w:val="22"/>
            </w:rPr>
            <w:t>cumulado</w:t>
          </w:r>
        </w:p>
      </w:tc>
    </w:tr>
    <w:tr w:rsidR="00A077F4">
      <w:trPr>
        <w:trHeight w:val="342"/>
      </w:trPr>
      <w:tc>
        <w:tcPr>
          <w:tcW w:w="2509" w:type="dxa"/>
        </w:tcPr>
        <w:p w:rsidR="00A077F4" w:rsidRDefault="00A077F4">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52" w:type="dxa"/>
        </w:tcPr>
        <w:p w:rsidR="00A077F4" w:rsidRDefault="00A077F4">
          <w:pPr>
            <w:pBdr>
              <w:top w:val="nil"/>
              <w:left w:val="nil"/>
              <w:bottom w:val="nil"/>
              <w:right w:val="nil"/>
              <w:between w:val="nil"/>
            </w:pBdr>
            <w:tabs>
              <w:tab w:val="right" w:pos="8838"/>
            </w:tabs>
            <w:jc w:val="both"/>
            <w:rPr>
              <w:rFonts w:ascii="Palatino Linotype" w:eastAsia="Palatino Linotype" w:hAnsi="Palatino Linotype" w:cs="Palatino Linotype"/>
              <w:color w:val="000000"/>
              <w:sz w:val="22"/>
              <w:szCs w:val="22"/>
              <w:highlight w:val="green"/>
            </w:rPr>
          </w:pPr>
          <w:r>
            <w:rPr>
              <w:rFonts w:ascii="Palatino Linotype" w:eastAsia="Palatino Linotype" w:hAnsi="Palatino Linotype" w:cs="Palatino Linotype"/>
              <w:color w:val="000000"/>
              <w:sz w:val="22"/>
              <w:szCs w:val="22"/>
            </w:rPr>
            <w:t>Sistema Municipal Para el Desarrollo Integral de la Familia de Toluca</w:t>
          </w:r>
        </w:p>
      </w:tc>
    </w:tr>
    <w:tr w:rsidR="00A077F4">
      <w:trPr>
        <w:trHeight w:val="342"/>
      </w:trPr>
      <w:tc>
        <w:tcPr>
          <w:tcW w:w="2509" w:type="dxa"/>
        </w:tcPr>
        <w:p w:rsidR="00A077F4" w:rsidRDefault="00A077F4">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252" w:type="dxa"/>
        </w:tcPr>
        <w:p w:rsidR="00A077F4" w:rsidRDefault="00A077F4">
          <w:pPr>
            <w:pBdr>
              <w:top w:val="nil"/>
              <w:left w:val="nil"/>
              <w:bottom w:val="nil"/>
              <w:right w:val="nil"/>
              <w:between w:val="nil"/>
            </w:pBdr>
            <w:tabs>
              <w:tab w:val="right" w:pos="8838"/>
            </w:tabs>
            <w:ind w:right="-1285"/>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María del Rosario Mejía Ayala</w:t>
          </w:r>
        </w:p>
      </w:tc>
    </w:tr>
  </w:tbl>
  <w:p w:rsidR="00A077F4" w:rsidRDefault="00F600D4">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7F4" w:rsidRDefault="00A077F4">
    <w:pPr>
      <w:widowControl w:val="0"/>
      <w:pBdr>
        <w:top w:val="nil"/>
        <w:left w:val="nil"/>
        <w:bottom w:val="nil"/>
        <w:right w:val="nil"/>
        <w:between w:val="nil"/>
      </w:pBdr>
      <w:spacing w:line="276" w:lineRule="auto"/>
      <w:rPr>
        <w:color w:val="000000"/>
        <w:sz w:val="14"/>
        <w:szCs w:val="14"/>
      </w:rPr>
    </w:pPr>
  </w:p>
  <w:tbl>
    <w:tblPr>
      <w:tblStyle w:val="a7"/>
      <w:tblW w:w="6761" w:type="dxa"/>
      <w:tblInd w:w="3261" w:type="dxa"/>
      <w:tblLayout w:type="fixed"/>
      <w:tblLook w:val="0400" w:firstRow="0" w:lastRow="0" w:firstColumn="0" w:lastColumn="0" w:noHBand="0" w:noVBand="1"/>
    </w:tblPr>
    <w:tblGrid>
      <w:gridCol w:w="2509"/>
      <w:gridCol w:w="4252"/>
    </w:tblGrid>
    <w:tr w:rsidR="00A077F4">
      <w:trPr>
        <w:trHeight w:val="227"/>
      </w:trPr>
      <w:tc>
        <w:tcPr>
          <w:tcW w:w="2509" w:type="dxa"/>
        </w:tcPr>
        <w:p w:rsidR="00A077F4" w:rsidRDefault="00A077F4">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252" w:type="dxa"/>
        </w:tcPr>
        <w:p w:rsidR="00A077F4" w:rsidRDefault="00A077F4">
          <w:pPr>
            <w:pBdr>
              <w:top w:val="nil"/>
              <w:left w:val="nil"/>
              <w:bottom w:val="nil"/>
              <w:right w:val="nil"/>
              <w:between w:val="nil"/>
            </w:pBdr>
            <w:tabs>
              <w:tab w:val="right" w:pos="8838"/>
            </w:tabs>
            <w:ind w:right="-1285"/>
            <w:rPr>
              <w:rFonts w:ascii="Palatino Linotype" w:eastAsia="Palatino Linotype" w:hAnsi="Palatino Linotype" w:cs="Palatino Linotype"/>
              <w:color w:val="000000"/>
              <w:sz w:val="22"/>
              <w:szCs w:val="22"/>
              <w:highlight w:val="green"/>
            </w:rPr>
          </w:pPr>
          <w:r>
            <w:rPr>
              <w:rFonts w:ascii="Palatino Linotype" w:eastAsia="Palatino Linotype" w:hAnsi="Palatino Linotype" w:cs="Palatino Linotype"/>
              <w:color w:val="000000"/>
              <w:sz w:val="22"/>
              <w:szCs w:val="22"/>
            </w:rPr>
            <w:t xml:space="preserve">00368/INFOEM/IP/RR/2025 y </w:t>
          </w:r>
          <w:r>
            <w:rPr>
              <w:rFonts w:ascii="Palatino Linotype" w:eastAsia="Palatino Linotype" w:hAnsi="Palatino Linotype" w:cs="Palatino Linotype"/>
              <w:sz w:val="22"/>
              <w:szCs w:val="22"/>
            </w:rPr>
            <w:t>A</w:t>
          </w:r>
          <w:r>
            <w:rPr>
              <w:rFonts w:ascii="Palatino Linotype" w:eastAsia="Palatino Linotype" w:hAnsi="Palatino Linotype" w:cs="Palatino Linotype"/>
              <w:color w:val="000000"/>
              <w:sz w:val="22"/>
              <w:szCs w:val="22"/>
            </w:rPr>
            <w:t>cumulado</w:t>
          </w:r>
        </w:p>
      </w:tc>
    </w:tr>
    <w:tr w:rsidR="00A077F4">
      <w:trPr>
        <w:trHeight w:val="242"/>
      </w:trPr>
      <w:tc>
        <w:tcPr>
          <w:tcW w:w="2509" w:type="dxa"/>
        </w:tcPr>
        <w:p w:rsidR="00A077F4" w:rsidRDefault="00A077F4">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252" w:type="dxa"/>
        </w:tcPr>
        <w:p w:rsidR="00A077F4" w:rsidRDefault="00B57461">
          <w:pPr>
            <w:pBdr>
              <w:top w:val="nil"/>
              <w:left w:val="nil"/>
              <w:bottom w:val="nil"/>
              <w:right w:val="nil"/>
              <w:between w:val="nil"/>
            </w:pBdr>
            <w:tabs>
              <w:tab w:val="right" w:pos="8838"/>
              <w:tab w:val="left" w:pos="521"/>
            </w:tabs>
            <w:rPr>
              <w:rFonts w:ascii="Palatino Linotype" w:eastAsia="Palatino Linotype" w:hAnsi="Palatino Linotype" w:cs="Palatino Linotype"/>
              <w:color w:val="000000"/>
              <w:sz w:val="22"/>
              <w:szCs w:val="22"/>
              <w:highlight w:val="green"/>
            </w:rPr>
          </w:pPr>
          <w:r>
            <w:rPr>
              <w:rFonts w:ascii="Palatino Linotype" w:eastAsia="Palatino Linotype" w:hAnsi="Palatino Linotype" w:cs="Palatino Linotype"/>
              <w:color w:val="000000"/>
              <w:sz w:val="22"/>
              <w:szCs w:val="22"/>
            </w:rPr>
            <w:t>XXXX</w:t>
          </w:r>
        </w:p>
      </w:tc>
    </w:tr>
    <w:tr w:rsidR="00A077F4">
      <w:trPr>
        <w:trHeight w:val="342"/>
      </w:trPr>
      <w:tc>
        <w:tcPr>
          <w:tcW w:w="2509" w:type="dxa"/>
        </w:tcPr>
        <w:p w:rsidR="00A077F4" w:rsidRDefault="00A077F4">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52" w:type="dxa"/>
        </w:tcPr>
        <w:p w:rsidR="00A077F4" w:rsidRDefault="00A077F4">
          <w:pPr>
            <w:pBdr>
              <w:top w:val="nil"/>
              <w:left w:val="nil"/>
              <w:bottom w:val="nil"/>
              <w:right w:val="nil"/>
              <w:between w:val="nil"/>
            </w:pBdr>
            <w:tabs>
              <w:tab w:val="right" w:pos="8838"/>
            </w:tabs>
            <w:jc w:val="both"/>
            <w:rPr>
              <w:rFonts w:ascii="Palatino Linotype" w:eastAsia="Palatino Linotype" w:hAnsi="Palatino Linotype" w:cs="Palatino Linotype"/>
              <w:color w:val="000000"/>
              <w:sz w:val="22"/>
              <w:szCs w:val="22"/>
              <w:highlight w:val="green"/>
            </w:rPr>
          </w:pPr>
          <w:r>
            <w:rPr>
              <w:rFonts w:ascii="Palatino Linotype" w:eastAsia="Palatino Linotype" w:hAnsi="Palatino Linotype" w:cs="Palatino Linotype"/>
              <w:color w:val="000000"/>
              <w:sz w:val="22"/>
              <w:szCs w:val="22"/>
            </w:rPr>
            <w:t>Sistema Municipal Para el Desarrollo Integral de la Familia de Toluca</w:t>
          </w:r>
        </w:p>
      </w:tc>
    </w:tr>
    <w:tr w:rsidR="00A077F4">
      <w:trPr>
        <w:trHeight w:val="342"/>
      </w:trPr>
      <w:tc>
        <w:tcPr>
          <w:tcW w:w="2509" w:type="dxa"/>
        </w:tcPr>
        <w:p w:rsidR="00A077F4" w:rsidRDefault="00A077F4">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252" w:type="dxa"/>
        </w:tcPr>
        <w:p w:rsidR="00A077F4" w:rsidRDefault="00A077F4">
          <w:pPr>
            <w:pBdr>
              <w:top w:val="nil"/>
              <w:left w:val="nil"/>
              <w:bottom w:val="nil"/>
              <w:right w:val="nil"/>
              <w:between w:val="nil"/>
            </w:pBdr>
            <w:tabs>
              <w:tab w:val="right" w:pos="8838"/>
            </w:tabs>
            <w:ind w:right="-1285"/>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María del Rosario Mejía Ayala</w:t>
          </w:r>
        </w:p>
      </w:tc>
    </w:tr>
  </w:tbl>
  <w:p w:rsidR="00A077F4" w:rsidRDefault="00F600D4">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A66B34"/>
    <w:multiLevelType w:val="multilevel"/>
    <w:tmpl w:val="104EEF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 w15:restartNumberingAfterBreak="0">
    <w:nsid w:val="4DE33D0A"/>
    <w:multiLevelType w:val="multilevel"/>
    <w:tmpl w:val="F7A6506E"/>
    <w:lvl w:ilvl="0">
      <w:start w:val="1"/>
      <w:numFmt w:val="bullet"/>
      <w:lvlText w:val="−"/>
      <w:lvlJc w:val="left"/>
      <w:pPr>
        <w:ind w:left="2007" w:hanging="360"/>
      </w:pPr>
      <w:rPr>
        <w:rFonts w:ascii="Noto Sans Symbols" w:eastAsia="Noto Sans Symbols" w:hAnsi="Noto Sans Symbols" w:cs="Noto Sans Symbols"/>
      </w:rPr>
    </w:lvl>
    <w:lvl w:ilvl="1">
      <w:start w:val="1"/>
      <w:numFmt w:val="bullet"/>
      <w:lvlText w:val="o"/>
      <w:lvlJc w:val="left"/>
      <w:pPr>
        <w:ind w:left="2727" w:hanging="360"/>
      </w:pPr>
      <w:rPr>
        <w:rFonts w:ascii="Courier New" w:eastAsia="Courier New" w:hAnsi="Courier New" w:cs="Courier New"/>
      </w:rPr>
    </w:lvl>
    <w:lvl w:ilvl="2">
      <w:start w:val="1"/>
      <w:numFmt w:val="bullet"/>
      <w:lvlText w:val="▪"/>
      <w:lvlJc w:val="left"/>
      <w:pPr>
        <w:ind w:left="3447" w:hanging="360"/>
      </w:pPr>
      <w:rPr>
        <w:rFonts w:ascii="Noto Sans Symbols" w:eastAsia="Noto Sans Symbols" w:hAnsi="Noto Sans Symbols" w:cs="Noto Sans Symbols"/>
      </w:rPr>
    </w:lvl>
    <w:lvl w:ilvl="3">
      <w:start w:val="1"/>
      <w:numFmt w:val="bullet"/>
      <w:lvlText w:val="●"/>
      <w:lvlJc w:val="left"/>
      <w:pPr>
        <w:ind w:left="4167" w:hanging="360"/>
      </w:pPr>
      <w:rPr>
        <w:rFonts w:ascii="Noto Sans Symbols" w:eastAsia="Noto Sans Symbols" w:hAnsi="Noto Sans Symbols" w:cs="Noto Sans Symbols"/>
      </w:rPr>
    </w:lvl>
    <w:lvl w:ilvl="4">
      <w:start w:val="1"/>
      <w:numFmt w:val="bullet"/>
      <w:lvlText w:val="o"/>
      <w:lvlJc w:val="left"/>
      <w:pPr>
        <w:ind w:left="4887" w:hanging="360"/>
      </w:pPr>
      <w:rPr>
        <w:rFonts w:ascii="Courier New" w:eastAsia="Courier New" w:hAnsi="Courier New" w:cs="Courier New"/>
      </w:rPr>
    </w:lvl>
    <w:lvl w:ilvl="5">
      <w:start w:val="1"/>
      <w:numFmt w:val="bullet"/>
      <w:lvlText w:val="▪"/>
      <w:lvlJc w:val="left"/>
      <w:pPr>
        <w:ind w:left="5607" w:hanging="360"/>
      </w:pPr>
      <w:rPr>
        <w:rFonts w:ascii="Noto Sans Symbols" w:eastAsia="Noto Sans Symbols" w:hAnsi="Noto Sans Symbols" w:cs="Noto Sans Symbols"/>
      </w:rPr>
    </w:lvl>
    <w:lvl w:ilvl="6">
      <w:start w:val="1"/>
      <w:numFmt w:val="bullet"/>
      <w:lvlText w:val="●"/>
      <w:lvlJc w:val="left"/>
      <w:pPr>
        <w:ind w:left="6327" w:hanging="360"/>
      </w:pPr>
      <w:rPr>
        <w:rFonts w:ascii="Noto Sans Symbols" w:eastAsia="Noto Sans Symbols" w:hAnsi="Noto Sans Symbols" w:cs="Noto Sans Symbols"/>
      </w:rPr>
    </w:lvl>
    <w:lvl w:ilvl="7">
      <w:start w:val="1"/>
      <w:numFmt w:val="bullet"/>
      <w:lvlText w:val="o"/>
      <w:lvlJc w:val="left"/>
      <w:pPr>
        <w:ind w:left="7047" w:hanging="360"/>
      </w:pPr>
      <w:rPr>
        <w:rFonts w:ascii="Courier New" w:eastAsia="Courier New" w:hAnsi="Courier New" w:cs="Courier New"/>
      </w:rPr>
    </w:lvl>
    <w:lvl w:ilvl="8">
      <w:start w:val="1"/>
      <w:numFmt w:val="bullet"/>
      <w:lvlText w:val="▪"/>
      <w:lvlJc w:val="left"/>
      <w:pPr>
        <w:ind w:left="7767" w:hanging="360"/>
      </w:pPr>
      <w:rPr>
        <w:rFonts w:ascii="Noto Sans Symbols" w:eastAsia="Noto Sans Symbols" w:hAnsi="Noto Sans Symbols" w:cs="Noto Sans Symbols"/>
      </w:rPr>
    </w:lvl>
  </w:abstractNum>
  <w:abstractNum w:abstractNumId="4"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5"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6C9005E"/>
    <w:multiLevelType w:val="multilevel"/>
    <w:tmpl w:val="AED2424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15:restartNumberingAfterBreak="0">
    <w:nsid w:val="743C6992"/>
    <w:multiLevelType w:val="multilevel"/>
    <w:tmpl w:val="9728552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8" w15:restartNumberingAfterBreak="0">
    <w:nsid w:val="76DF1A95"/>
    <w:multiLevelType w:val="multilevel"/>
    <w:tmpl w:val="F9E68DD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7C435A25"/>
    <w:multiLevelType w:val="multilevel"/>
    <w:tmpl w:val="ED40723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8"/>
  </w:num>
  <w:num w:numId="3">
    <w:abstractNumId w:val="3"/>
  </w:num>
  <w:num w:numId="4">
    <w:abstractNumId w:val="7"/>
  </w:num>
  <w:num w:numId="5">
    <w:abstractNumId w:val="6"/>
  </w:num>
  <w:num w:numId="6">
    <w:abstractNumId w:val="9"/>
  </w:num>
  <w:num w:numId="7">
    <w:abstractNumId w:val="0"/>
  </w:num>
  <w:num w:numId="8">
    <w:abstractNumId w:val="1"/>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77434"/>
    <w:rsid w:val="00081259"/>
    <w:rsid w:val="000F6F52"/>
    <w:rsid w:val="002F21E3"/>
    <w:rsid w:val="00434E54"/>
    <w:rsid w:val="0072148B"/>
    <w:rsid w:val="008016DD"/>
    <w:rsid w:val="008736DB"/>
    <w:rsid w:val="008A2D0D"/>
    <w:rsid w:val="00932B26"/>
    <w:rsid w:val="009F74E4"/>
    <w:rsid w:val="00A077F4"/>
    <w:rsid w:val="00A80919"/>
    <w:rsid w:val="00B57461"/>
    <w:rsid w:val="00D31EFC"/>
    <w:rsid w:val="00EE75AA"/>
    <w:rsid w:val="00F600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5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10"/>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nfoem2.ipomex.org.mx/ipomex/"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portalanterior.ine.mx/archivos2/tutoriales/sistemas/ApoyoInstitucional/SIF/docs/candidatos/folioFiscalFactura.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infoem2.ipomex.org.mx/ipome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nfoem2.ipomex.org.mx/ipomex/" TargetMode="External"/><Relationship Id="rId14" Type="http://schemas.openxmlformats.org/officeDocument/2006/relationships/hyperlink" Target="http://omawww.sat.gob.mx/tramitesyservicios/paginas/documentos/anexo20_2022.pdf"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45</Pages>
  <Words>11148</Words>
  <Characters>61320</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10</cp:revision>
  <cp:lastPrinted>2025-04-03T18:01:00Z</cp:lastPrinted>
  <dcterms:created xsi:type="dcterms:W3CDTF">2025-03-31T17:48:00Z</dcterms:created>
  <dcterms:modified xsi:type="dcterms:W3CDTF">2025-04-03T20:15:00Z</dcterms:modified>
</cp:coreProperties>
</file>