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0C3F0A43" w:rsidR="004C465F" w:rsidRPr="00664A72" w:rsidRDefault="00EC7CBF" w:rsidP="00877B34">
      <w:pPr>
        <w:tabs>
          <w:tab w:val="left" w:pos="8931"/>
        </w:tabs>
        <w:spacing w:after="0" w:line="360" w:lineRule="auto"/>
        <w:rPr>
          <w:color w:val="FF0000"/>
        </w:rPr>
      </w:pPr>
      <w:bookmarkStart w:id="0" w:name="_GoBack"/>
      <w:bookmarkEnd w:id="0"/>
      <w:r w:rsidRPr="00664A72">
        <w:rPr>
          <w:color w:val="FF0000"/>
        </w:rPr>
        <w:t xml:space="preserve"> </w:t>
      </w: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509AC670" w:rsidR="00C4052B" w:rsidRPr="00664A72" w:rsidRDefault="00C4052B" w:rsidP="00877B34">
          <w:pPr>
            <w:pStyle w:val="TtulodeTDC"/>
            <w:spacing w:before="0" w:line="360" w:lineRule="auto"/>
            <w:jc w:val="center"/>
            <w:rPr>
              <w:rFonts w:ascii="Palatino Linotype" w:hAnsi="Palatino Linotype"/>
              <w:color w:val="auto"/>
              <w:sz w:val="22"/>
              <w:szCs w:val="22"/>
            </w:rPr>
          </w:pPr>
          <w:r w:rsidRPr="00664A72">
            <w:rPr>
              <w:rFonts w:ascii="Palatino Linotype" w:hAnsi="Palatino Linotype"/>
              <w:color w:val="auto"/>
              <w:sz w:val="22"/>
              <w:szCs w:val="22"/>
              <w:lang w:val="es-ES"/>
            </w:rPr>
            <w:t xml:space="preserve">RESOLUCIÓN DEL RECURSO DE REVISIÓN </w:t>
          </w:r>
          <w:r w:rsidR="006C1E67" w:rsidRPr="00664A72">
            <w:rPr>
              <w:rFonts w:ascii="Palatino Linotype" w:hAnsi="Palatino Linotype"/>
              <w:color w:val="auto"/>
              <w:sz w:val="22"/>
              <w:szCs w:val="22"/>
            </w:rPr>
            <w:t>0</w:t>
          </w:r>
          <w:r w:rsidR="00664A72" w:rsidRPr="00664A72">
            <w:rPr>
              <w:rFonts w:ascii="Palatino Linotype" w:hAnsi="Palatino Linotype"/>
              <w:color w:val="auto"/>
              <w:sz w:val="22"/>
              <w:szCs w:val="22"/>
            </w:rPr>
            <w:t>8186</w:t>
          </w:r>
          <w:r w:rsidR="000D392E" w:rsidRPr="00664A72">
            <w:rPr>
              <w:rFonts w:ascii="Palatino Linotype" w:hAnsi="Palatino Linotype"/>
              <w:color w:val="auto"/>
              <w:sz w:val="22"/>
              <w:szCs w:val="22"/>
            </w:rPr>
            <w:t>/INFOEM/IP/RR/2025</w:t>
          </w:r>
        </w:p>
        <w:p w14:paraId="73933EFA" w14:textId="77777777" w:rsidR="00C4052B" w:rsidRPr="00664A72" w:rsidRDefault="00C4052B" w:rsidP="00877B34">
          <w:pPr>
            <w:spacing w:after="0" w:line="360" w:lineRule="auto"/>
            <w:rPr>
              <w:color w:val="FF0000"/>
            </w:rPr>
          </w:pPr>
        </w:p>
        <w:p w14:paraId="5ACCBF95" w14:textId="5E3FBA75" w:rsidR="0037484A" w:rsidRDefault="00C4052B">
          <w:pPr>
            <w:pStyle w:val="TDC1"/>
            <w:tabs>
              <w:tab w:val="right" w:leader="dot" w:pos="8921"/>
            </w:tabs>
            <w:rPr>
              <w:rFonts w:asciiTheme="minorHAnsi" w:eastAsiaTheme="minorEastAsia" w:hAnsiTheme="minorHAnsi" w:cstheme="minorBidi"/>
              <w:noProof/>
              <w:color w:val="auto"/>
            </w:rPr>
          </w:pPr>
          <w:r w:rsidRPr="00664A72">
            <w:rPr>
              <w:color w:val="FF0000"/>
            </w:rPr>
            <w:fldChar w:fldCharType="begin"/>
          </w:r>
          <w:r w:rsidRPr="00664A72">
            <w:rPr>
              <w:color w:val="FF0000"/>
            </w:rPr>
            <w:instrText xml:space="preserve"> TOC \o "1-3" \h \z \u </w:instrText>
          </w:r>
          <w:r w:rsidRPr="00664A72">
            <w:rPr>
              <w:color w:val="FF0000"/>
            </w:rPr>
            <w:fldChar w:fldCharType="separate"/>
          </w:r>
          <w:hyperlink w:anchor="_Toc213332282" w:history="1">
            <w:r w:rsidR="0037484A" w:rsidRPr="005C6E7C">
              <w:rPr>
                <w:rStyle w:val="Hipervnculo"/>
                <w:noProof/>
              </w:rPr>
              <w:t>A N T E C E D E N T E S</w:t>
            </w:r>
            <w:r w:rsidR="0037484A">
              <w:rPr>
                <w:noProof/>
                <w:webHidden/>
              </w:rPr>
              <w:tab/>
            </w:r>
            <w:r w:rsidR="0037484A">
              <w:rPr>
                <w:noProof/>
                <w:webHidden/>
              </w:rPr>
              <w:fldChar w:fldCharType="begin"/>
            </w:r>
            <w:r w:rsidR="0037484A">
              <w:rPr>
                <w:noProof/>
                <w:webHidden/>
              </w:rPr>
              <w:instrText xml:space="preserve"> PAGEREF _Toc213332282 \h </w:instrText>
            </w:r>
            <w:r w:rsidR="0037484A">
              <w:rPr>
                <w:noProof/>
                <w:webHidden/>
              </w:rPr>
            </w:r>
            <w:r w:rsidR="0037484A">
              <w:rPr>
                <w:noProof/>
                <w:webHidden/>
              </w:rPr>
              <w:fldChar w:fldCharType="separate"/>
            </w:r>
            <w:r w:rsidR="00D25A01">
              <w:rPr>
                <w:noProof/>
                <w:webHidden/>
              </w:rPr>
              <w:t>2</w:t>
            </w:r>
            <w:r w:rsidR="0037484A">
              <w:rPr>
                <w:noProof/>
                <w:webHidden/>
              </w:rPr>
              <w:fldChar w:fldCharType="end"/>
            </w:r>
          </w:hyperlink>
        </w:p>
        <w:p w14:paraId="7BDEAA5E" w14:textId="7AD69867" w:rsidR="0037484A" w:rsidRDefault="00B73D51">
          <w:pPr>
            <w:pStyle w:val="TDC2"/>
            <w:tabs>
              <w:tab w:val="right" w:leader="dot" w:pos="8921"/>
            </w:tabs>
            <w:rPr>
              <w:rFonts w:asciiTheme="minorHAnsi" w:eastAsiaTheme="minorEastAsia" w:hAnsiTheme="minorHAnsi" w:cstheme="minorBidi"/>
              <w:noProof/>
              <w:color w:val="auto"/>
            </w:rPr>
          </w:pPr>
          <w:hyperlink w:anchor="_Toc213332283" w:history="1">
            <w:r w:rsidR="0037484A" w:rsidRPr="005C6E7C">
              <w:rPr>
                <w:rStyle w:val="Hipervnculo"/>
                <w:noProof/>
                <w:lang w:eastAsia="es-ES"/>
              </w:rPr>
              <w:t>I. Presentación de la solicitud de información</w:t>
            </w:r>
            <w:r w:rsidR="0037484A">
              <w:rPr>
                <w:noProof/>
                <w:webHidden/>
              </w:rPr>
              <w:tab/>
            </w:r>
            <w:r w:rsidR="0037484A">
              <w:rPr>
                <w:noProof/>
                <w:webHidden/>
              </w:rPr>
              <w:fldChar w:fldCharType="begin"/>
            </w:r>
            <w:r w:rsidR="0037484A">
              <w:rPr>
                <w:noProof/>
                <w:webHidden/>
              </w:rPr>
              <w:instrText xml:space="preserve"> PAGEREF _Toc213332283 \h </w:instrText>
            </w:r>
            <w:r w:rsidR="0037484A">
              <w:rPr>
                <w:noProof/>
                <w:webHidden/>
              </w:rPr>
            </w:r>
            <w:r w:rsidR="0037484A">
              <w:rPr>
                <w:noProof/>
                <w:webHidden/>
              </w:rPr>
              <w:fldChar w:fldCharType="separate"/>
            </w:r>
            <w:r w:rsidR="00D25A01">
              <w:rPr>
                <w:noProof/>
                <w:webHidden/>
              </w:rPr>
              <w:t>2</w:t>
            </w:r>
            <w:r w:rsidR="0037484A">
              <w:rPr>
                <w:noProof/>
                <w:webHidden/>
              </w:rPr>
              <w:fldChar w:fldCharType="end"/>
            </w:r>
          </w:hyperlink>
        </w:p>
        <w:p w14:paraId="283ABFED" w14:textId="74FEB810" w:rsidR="0037484A" w:rsidRDefault="00B73D51">
          <w:pPr>
            <w:pStyle w:val="TDC2"/>
            <w:tabs>
              <w:tab w:val="right" w:leader="dot" w:pos="8921"/>
            </w:tabs>
            <w:rPr>
              <w:rFonts w:asciiTheme="minorHAnsi" w:eastAsiaTheme="minorEastAsia" w:hAnsiTheme="minorHAnsi" w:cstheme="minorBidi"/>
              <w:noProof/>
              <w:color w:val="auto"/>
            </w:rPr>
          </w:pPr>
          <w:hyperlink w:anchor="_Toc213332284" w:history="1">
            <w:r w:rsidR="0037484A" w:rsidRPr="005C6E7C">
              <w:rPr>
                <w:rStyle w:val="Hipervnculo"/>
                <w:rFonts w:cs="Tahoma"/>
                <w:noProof/>
              </w:rPr>
              <w:t>II.</w:t>
            </w:r>
            <w:r w:rsidR="0037484A" w:rsidRPr="005C6E7C">
              <w:rPr>
                <w:rStyle w:val="Hipervnculo"/>
                <w:noProof/>
              </w:rPr>
              <w:t xml:space="preserve"> Respuesta del Sujeto Obligado</w:t>
            </w:r>
            <w:r w:rsidR="0037484A">
              <w:rPr>
                <w:noProof/>
                <w:webHidden/>
              </w:rPr>
              <w:tab/>
            </w:r>
            <w:r w:rsidR="0037484A">
              <w:rPr>
                <w:noProof/>
                <w:webHidden/>
              </w:rPr>
              <w:fldChar w:fldCharType="begin"/>
            </w:r>
            <w:r w:rsidR="0037484A">
              <w:rPr>
                <w:noProof/>
                <w:webHidden/>
              </w:rPr>
              <w:instrText xml:space="preserve"> PAGEREF _Toc213332284 \h </w:instrText>
            </w:r>
            <w:r w:rsidR="0037484A">
              <w:rPr>
                <w:noProof/>
                <w:webHidden/>
              </w:rPr>
            </w:r>
            <w:r w:rsidR="0037484A">
              <w:rPr>
                <w:noProof/>
                <w:webHidden/>
              </w:rPr>
              <w:fldChar w:fldCharType="separate"/>
            </w:r>
            <w:r w:rsidR="00D25A01">
              <w:rPr>
                <w:noProof/>
                <w:webHidden/>
              </w:rPr>
              <w:t>2</w:t>
            </w:r>
            <w:r w:rsidR="0037484A">
              <w:rPr>
                <w:noProof/>
                <w:webHidden/>
              </w:rPr>
              <w:fldChar w:fldCharType="end"/>
            </w:r>
          </w:hyperlink>
        </w:p>
        <w:p w14:paraId="70E1B09A" w14:textId="66C03DE4" w:rsidR="0037484A" w:rsidRDefault="00B73D51">
          <w:pPr>
            <w:pStyle w:val="TDC2"/>
            <w:tabs>
              <w:tab w:val="right" w:leader="dot" w:pos="8921"/>
            </w:tabs>
            <w:rPr>
              <w:rFonts w:asciiTheme="minorHAnsi" w:eastAsiaTheme="minorEastAsia" w:hAnsiTheme="minorHAnsi" w:cstheme="minorBidi"/>
              <w:noProof/>
              <w:color w:val="auto"/>
            </w:rPr>
          </w:pPr>
          <w:hyperlink w:anchor="_Toc213332285" w:history="1">
            <w:r w:rsidR="0037484A" w:rsidRPr="005C6E7C">
              <w:rPr>
                <w:rStyle w:val="Hipervnculo"/>
                <w:noProof/>
              </w:rPr>
              <w:t>III. Interposición del Recurso de Revisión</w:t>
            </w:r>
            <w:r w:rsidR="0037484A">
              <w:rPr>
                <w:noProof/>
                <w:webHidden/>
              </w:rPr>
              <w:tab/>
            </w:r>
            <w:r w:rsidR="0037484A">
              <w:rPr>
                <w:noProof/>
                <w:webHidden/>
              </w:rPr>
              <w:fldChar w:fldCharType="begin"/>
            </w:r>
            <w:r w:rsidR="0037484A">
              <w:rPr>
                <w:noProof/>
                <w:webHidden/>
              </w:rPr>
              <w:instrText xml:space="preserve"> PAGEREF _Toc213332285 \h </w:instrText>
            </w:r>
            <w:r w:rsidR="0037484A">
              <w:rPr>
                <w:noProof/>
                <w:webHidden/>
              </w:rPr>
            </w:r>
            <w:r w:rsidR="0037484A">
              <w:rPr>
                <w:noProof/>
                <w:webHidden/>
              </w:rPr>
              <w:fldChar w:fldCharType="separate"/>
            </w:r>
            <w:r w:rsidR="00D25A01">
              <w:rPr>
                <w:noProof/>
                <w:webHidden/>
              </w:rPr>
              <w:t>5</w:t>
            </w:r>
            <w:r w:rsidR="0037484A">
              <w:rPr>
                <w:noProof/>
                <w:webHidden/>
              </w:rPr>
              <w:fldChar w:fldCharType="end"/>
            </w:r>
          </w:hyperlink>
        </w:p>
        <w:p w14:paraId="1D40E50E" w14:textId="152D2F61" w:rsidR="0037484A" w:rsidRDefault="00B73D51">
          <w:pPr>
            <w:pStyle w:val="TDC2"/>
            <w:tabs>
              <w:tab w:val="right" w:leader="dot" w:pos="8921"/>
            </w:tabs>
            <w:rPr>
              <w:rFonts w:asciiTheme="minorHAnsi" w:eastAsiaTheme="minorEastAsia" w:hAnsiTheme="minorHAnsi" w:cstheme="minorBidi"/>
              <w:noProof/>
              <w:color w:val="auto"/>
            </w:rPr>
          </w:pPr>
          <w:hyperlink w:anchor="_Toc213332286" w:history="1">
            <w:r w:rsidR="0037484A" w:rsidRPr="005C6E7C">
              <w:rPr>
                <w:rStyle w:val="Hipervnculo"/>
                <w:noProof/>
              </w:rPr>
              <w:t>IV. Trámite del Recurso de Revisión ante este Instituto</w:t>
            </w:r>
            <w:r w:rsidR="0037484A">
              <w:rPr>
                <w:noProof/>
                <w:webHidden/>
              </w:rPr>
              <w:tab/>
            </w:r>
            <w:r w:rsidR="0037484A">
              <w:rPr>
                <w:noProof/>
                <w:webHidden/>
              </w:rPr>
              <w:fldChar w:fldCharType="begin"/>
            </w:r>
            <w:r w:rsidR="0037484A">
              <w:rPr>
                <w:noProof/>
                <w:webHidden/>
              </w:rPr>
              <w:instrText xml:space="preserve"> PAGEREF _Toc213332286 \h </w:instrText>
            </w:r>
            <w:r w:rsidR="0037484A">
              <w:rPr>
                <w:noProof/>
                <w:webHidden/>
              </w:rPr>
            </w:r>
            <w:r w:rsidR="0037484A">
              <w:rPr>
                <w:noProof/>
                <w:webHidden/>
              </w:rPr>
              <w:fldChar w:fldCharType="separate"/>
            </w:r>
            <w:r w:rsidR="00D25A01">
              <w:rPr>
                <w:noProof/>
                <w:webHidden/>
              </w:rPr>
              <w:t>6</w:t>
            </w:r>
            <w:r w:rsidR="0037484A">
              <w:rPr>
                <w:noProof/>
                <w:webHidden/>
              </w:rPr>
              <w:fldChar w:fldCharType="end"/>
            </w:r>
          </w:hyperlink>
        </w:p>
        <w:p w14:paraId="5DA00D25" w14:textId="0D63E2AC" w:rsidR="0037484A" w:rsidRDefault="00B73D51">
          <w:pPr>
            <w:pStyle w:val="TDC1"/>
            <w:tabs>
              <w:tab w:val="right" w:leader="dot" w:pos="8921"/>
            </w:tabs>
            <w:rPr>
              <w:rFonts w:asciiTheme="minorHAnsi" w:eastAsiaTheme="minorEastAsia" w:hAnsiTheme="minorHAnsi" w:cstheme="minorBidi"/>
              <w:noProof/>
              <w:color w:val="auto"/>
            </w:rPr>
          </w:pPr>
          <w:hyperlink w:anchor="_Toc213332287" w:history="1">
            <w:r w:rsidR="0037484A" w:rsidRPr="005C6E7C">
              <w:rPr>
                <w:rStyle w:val="Hipervnculo"/>
                <w:noProof/>
              </w:rPr>
              <w:t>C O N S I D E R A N D O S</w:t>
            </w:r>
            <w:r w:rsidR="0037484A">
              <w:rPr>
                <w:noProof/>
                <w:webHidden/>
              </w:rPr>
              <w:tab/>
            </w:r>
            <w:r w:rsidR="0037484A">
              <w:rPr>
                <w:noProof/>
                <w:webHidden/>
              </w:rPr>
              <w:fldChar w:fldCharType="begin"/>
            </w:r>
            <w:r w:rsidR="0037484A">
              <w:rPr>
                <w:noProof/>
                <w:webHidden/>
              </w:rPr>
              <w:instrText xml:space="preserve"> PAGEREF _Toc213332287 \h </w:instrText>
            </w:r>
            <w:r w:rsidR="0037484A">
              <w:rPr>
                <w:noProof/>
                <w:webHidden/>
              </w:rPr>
            </w:r>
            <w:r w:rsidR="0037484A">
              <w:rPr>
                <w:noProof/>
                <w:webHidden/>
              </w:rPr>
              <w:fldChar w:fldCharType="separate"/>
            </w:r>
            <w:r w:rsidR="00D25A01">
              <w:rPr>
                <w:noProof/>
                <w:webHidden/>
              </w:rPr>
              <w:t>8</w:t>
            </w:r>
            <w:r w:rsidR="0037484A">
              <w:rPr>
                <w:noProof/>
                <w:webHidden/>
              </w:rPr>
              <w:fldChar w:fldCharType="end"/>
            </w:r>
          </w:hyperlink>
        </w:p>
        <w:p w14:paraId="60253415" w14:textId="0D28E464" w:rsidR="0037484A" w:rsidRDefault="00B73D51">
          <w:pPr>
            <w:pStyle w:val="TDC2"/>
            <w:tabs>
              <w:tab w:val="right" w:leader="dot" w:pos="8921"/>
            </w:tabs>
            <w:rPr>
              <w:rFonts w:asciiTheme="minorHAnsi" w:eastAsiaTheme="minorEastAsia" w:hAnsiTheme="minorHAnsi" w:cstheme="minorBidi"/>
              <w:noProof/>
              <w:color w:val="auto"/>
            </w:rPr>
          </w:pPr>
          <w:hyperlink w:anchor="_Toc213332288" w:history="1">
            <w:r w:rsidR="0037484A" w:rsidRPr="005C6E7C">
              <w:rPr>
                <w:rStyle w:val="Hipervnculo"/>
                <w:noProof/>
              </w:rPr>
              <w:t>PRIMERO. Competencia</w:t>
            </w:r>
            <w:r w:rsidR="0037484A">
              <w:rPr>
                <w:noProof/>
                <w:webHidden/>
              </w:rPr>
              <w:tab/>
            </w:r>
            <w:r w:rsidR="0037484A">
              <w:rPr>
                <w:noProof/>
                <w:webHidden/>
              </w:rPr>
              <w:fldChar w:fldCharType="begin"/>
            </w:r>
            <w:r w:rsidR="0037484A">
              <w:rPr>
                <w:noProof/>
                <w:webHidden/>
              </w:rPr>
              <w:instrText xml:space="preserve"> PAGEREF _Toc213332288 \h </w:instrText>
            </w:r>
            <w:r w:rsidR="0037484A">
              <w:rPr>
                <w:noProof/>
                <w:webHidden/>
              </w:rPr>
            </w:r>
            <w:r w:rsidR="0037484A">
              <w:rPr>
                <w:noProof/>
                <w:webHidden/>
              </w:rPr>
              <w:fldChar w:fldCharType="separate"/>
            </w:r>
            <w:r w:rsidR="00D25A01">
              <w:rPr>
                <w:noProof/>
                <w:webHidden/>
              </w:rPr>
              <w:t>8</w:t>
            </w:r>
            <w:r w:rsidR="0037484A">
              <w:rPr>
                <w:noProof/>
                <w:webHidden/>
              </w:rPr>
              <w:fldChar w:fldCharType="end"/>
            </w:r>
          </w:hyperlink>
        </w:p>
        <w:p w14:paraId="0E4BFC33" w14:textId="3019793A" w:rsidR="0037484A" w:rsidRDefault="00B73D51">
          <w:pPr>
            <w:pStyle w:val="TDC2"/>
            <w:tabs>
              <w:tab w:val="right" w:leader="dot" w:pos="8921"/>
            </w:tabs>
            <w:rPr>
              <w:rFonts w:asciiTheme="minorHAnsi" w:eastAsiaTheme="minorEastAsia" w:hAnsiTheme="minorHAnsi" w:cstheme="minorBidi"/>
              <w:noProof/>
              <w:color w:val="auto"/>
            </w:rPr>
          </w:pPr>
          <w:hyperlink w:anchor="_Toc213332289" w:history="1">
            <w:r w:rsidR="0037484A" w:rsidRPr="005C6E7C">
              <w:rPr>
                <w:rStyle w:val="Hipervnculo"/>
                <w:noProof/>
              </w:rPr>
              <w:t>SEGUNDO. Causales de improcedencia y sobreseimiento</w:t>
            </w:r>
            <w:r w:rsidR="0037484A">
              <w:rPr>
                <w:noProof/>
                <w:webHidden/>
              </w:rPr>
              <w:tab/>
            </w:r>
            <w:r w:rsidR="0037484A">
              <w:rPr>
                <w:noProof/>
                <w:webHidden/>
              </w:rPr>
              <w:fldChar w:fldCharType="begin"/>
            </w:r>
            <w:r w:rsidR="0037484A">
              <w:rPr>
                <w:noProof/>
                <w:webHidden/>
              </w:rPr>
              <w:instrText xml:space="preserve"> PAGEREF _Toc213332289 \h </w:instrText>
            </w:r>
            <w:r w:rsidR="0037484A">
              <w:rPr>
                <w:noProof/>
                <w:webHidden/>
              </w:rPr>
            </w:r>
            <w:r w:rsidR="0037484A">
              <w:rPr>
                <w:noProof/>
                <w:webHidden/>
              </w:rPr>
              <w:fldChar w:fldCharType="separate"/>
            </w:r>
            <w:r w:rsidR="00D25A01">
              <w:rPr>
                <w:noProof/>
                <w:webHidden/>
              </w:rPr>
              <w:t>9</w:t>
            </w:r>
            <w:r w:rsidR="0037484A">
              <w:rPr>
                <w:noProof/>
                <w:webHidden/>
              </w:rPr>
              <w:fldChar w:fldCharType="end"/>
            </w:r>
          </w:hyperlink>
        </w:p>
        <w:p w14:paraId="1416D997" w14:textId="7C24B2B6" w:rsidR="0037484A" w:rsidRDefault="00B73D51">
          <w:pPr>
            <w:pStyle w:val="TDC2"/>
            <w:tabs>
              <w:tab w:val="right" w:leader="dot" w:pos="8921"/>
            </w:tabs>
            <w:rPr>
              <w:rFonts w:asciiTheme="minorHAnsi" w:eastAsiaTheme="minorEastAsia" w:hAnsiTheme="minorHAnsi" w:cstheme="minorBidi"/>
              <w:noProof/>
              <w:color w:val="auto"/>
            </w:rPr>
          </w:pPr>
          <w:hyperlink w:anchor="_Toc213332290" w:history="1">
            <w:r w:rsidR="0037484A" w:rsidRPr="005C6E7C">
              <w:rPr>
                <w:rStyle w:val="Hipervnculo"/>
                <w:noProof/>
              </w:rPr>
              <w:t>TERCERO. Determinación de la Controversia</w:t>
            </w:r>
            <w:r w:rsidR="0037484A">
              <w:rPr>
                <w:noProof/>
                <w:webHidden/>
              </w:rPr>
              <w:tab/>
            </w:r>
            <w:r w:rsidR="0037484A">
              <w:rPr>
                <w:noProof/>
                <w:webHidden/>
              </w:rPr>
              <w:fldChar w:fldCharType="begin"/>
            </w:r>
            <w:r w:rsidR="0037484A">
              <w:rPr>
                <w:noProof/>
                <w:webHidden/>
              </w:rPr>
              <w:instrText xml:space="preserve"> PAGEREF _Toc213332290 \h </w:instrText>
            </w:r>
            <w:r w:rsidR="0037484A">
              <w:rPr>
                <w:noProof/>
                <w:webHidden/>
              </w:rPr>
            </w:r>
            <w:r w:rsidR="0037484A">
              <w:rPr>
                <w:noProof/>
                <w:webHidden/>
              </w:rPr>
              <w:fldChar w:fldCharType="separate"/>
            </w:r>
            <w:r w:rsidR="00D25A01">
              <w:rPr>
                <w:noProof/>
                <w:webHidden/>
              </w:rPr>
              <w:t>11</w:t>
            </w:r>
            <w:r w:rsidR="0037484A">
              <w:rPr>
                <w:noProof/>
                <w:webHidden/>
              </w:rPr>
              <w:fldChar w:fldCharType="end"/>
            </w:r>
          </w:hyperlink>
        </w:p>
        <w:p w14:paraId="4BA63E03" w14:textId="51EDC4CF" w:rsidR="0037484A" w:rsidRDefault="00B73D51">
          <w:pPr>
            <w:pStyle w:val="TDC2"/>
            <w:tabs>
              <w:tab w:val="right" w:leader="dot" w:pos="8921"/>
            </w:tabs>
            <w:rPr>
              <w:rFonts w:asciiTheme="minorHAnsi" w:eastAsiaTheme="minorEastAsia" w:hAnsiTheme="minorHAnsi" w:cstheme="minorBidi"/>
              <w:noProof/>
              <w:color w:val="auto"/>
            </w:rPr>
          </w:pPr>
          <w:hyperlink w:anchor="_Toc213332291" w:history="1">
            <w:r w:rsidR="0037484A" w:rsidRPr="005C6E7C">
              <w:rPr>
                <w:rStyle w:val="Hipervnculo"/>
                <w:noProof/>
              </w:rPr>
              <w:t>CUARTO. Marco normativo aplicable en materia de transparencia y acceso a la información pública</w:t>
            </w:r>
            <w:r w:rsidR="0037484A">
              <w:rPr>
                <w:noProof/>
                <w:webHidden/>
              </w:rPr>
              <w:tab/>
            </w:r>
            <w:r w:rsidR="0037484A">
              <w:rPr>
                <w:noProof/>
                <w:webHidden/>
              </w:rPr>
              <w:fldChar w:fldCharType="begin"/>
            </w:r>
            <w:r w:rsidR="0037484A">
              <w:rPr>
                <w:noProof/>
                <w:webHidden/>
              </w:rPr>
              <w:instrText xml:space="preserve"> PAGEREF _Toc213332291 \h </w:instrText>
            </w:r>
            <w:r w:rsidR="0037484A">
              <w:rPr>
                <w:noProof/>
                <w:webHidden/>
              </w:rPr>
            </w:r>
            <w:r w:rsidR="0037484A">
              <w:rPr>
                <w:noProof/>
                <w:webHidden/>
              </w:rPr>
              <w:fldChar w:fldCharType="separate"/>
            </w:r>
            <w:r w:rsidR="00D25A01">
              <w:rPr>
                <w:noProof/>
                <w:webHidden/>
              </w:rPr>
              <w:t>12</w:t>
            </w:r>
            <w:r w:rsidR="0037484A">
              <w:rPr>
                <w:noProof/>
                <w:webHidden/>
              </w:rPr>
              <w:fldChar w:fldCharType="end"/>
            </w:r>
          </w:hyperlink>
        </w:p>
        <w:p w14:paraId="43A5CFDB" w14:textId="19D6B1A4" w:rsidR="0037484A" w:rsidRDefault="00B73D51">
          <w:pPr>
            <w:pStyle w:val="TDC2"/>
            <w:tabs>
              <w:tab w:val="right" w:leader="dot" w:pos="8921"/>
            </w:tabs>
            <w:rPr>
              <w:rFonts w:asciiTheme="minorHAnsi" w:eastAsiaTheme="minorEastAsia" w:hAnsiTheme="minorHAnsi" w:cstheme="minorBidi"/>
              <w:noProof/>
              <w:color w:val="auto"/>
            </w:rPr>
          </w:pPr>
          <w:hyperlink w:anchor="_Toc213332292" w:history="1">
            <w:r w:rsidR="0037484A" w:rsidRPr="005C6E7C">
              <w:rPr>
                <w:rStyle w:val="Hipervnculo"/>
                <w:noProof/>
              </w:rPr>
              <w:t>QUINTO. Estudio de Fondo</w:t>
            </w:r>
            <w:r w:rsidR="0037484A">
              <w:rPr>
                <w:noProof/>
                <w:webHidden/>
              </w:rPr>
              <w:tab/>
            </w:r>
            <w:r w:rsidR="0037484A">
              <w:rPr>
                <w:noProof/>
                <w:webHidden/>
              </w:rPr>
              <w:fldChar w:fldCharType="begin"/>
            </w:r>
            <w:r w:rsidR="0037484A">
              <w:rPr>
                <w:noProof/>
                <w:webHidden/>
              </w:rPr>
              <w:instrText xml:space="preserve"> PAGEREF _Toc213332292 \h </w:instrText>
            </w:r>
            <w:r w:rsidR="0037484A">
              <w:rPr>
                <w:noProof/>
                <w:webHidden/>
              </w:rPr>
            </w:r>
            <w:r w:rsidR="0037484A">
              <w:rPr>
                <w:noProof/>
                <w:webHidden/>
              </w:rPr>
              <w:fldChar w:fldCharType="separate"/>
            </w:r>
            <w:r w:rsidR="00D25A01">
              <w:rPr>
                <w:noProof/>
                <w:webHidden/>
              </w:rPr>
              <w:t>13</w:t>
            </w:r>
            <w:r w:rsidR="0037484A">
              <w:rPr>
                <w:noProof/>
                <w:webHidden/>
              </w:rPr>
              <w:fldChar w:fldCharType="end"/>
            </w:r>
          </w:hyperlink>
        </w:p>
        <w:p w14:paraId="4B23EB6F" w14:textId="58A1176C" w:rsidR="0037484A" w:rsidRDefault="00B73D51">
          <w:pPr>
            <w:pStyle w:val="TDC2"/>
            <w:tabs>
              <w:tab w:val="right" w:leader="dot" w:pos="8921"/>
            </w:tabs>
            <w:rPr>
              <w:rFonts w:asciiTheme="minorHAnsi" w:eastAsiaTheme="minorEastAsia" w:hAnsiTheme="minorHAnsi" w:cstheme="minorBidi"/>
              <w:noProof/>
              <w:color w:val="auto"/>
            </w:rPr>
          </w:pPr>
          <w:hyperlink w:anchor="_Toc213332293" w:history="1">
            <w:r w:rsidR="0037484A" w:rsidRPr="005C6E7C">
              <w:rPr>
                <w:rStyle w:val="Hipervnculo"/>
                <w:noProof/>
              </w:rPr>
              <w:t>SEXTO. Decisión</w:t>
            </w:r>
            <w:r w:rsidR="0037484A">
              <w:rPr>
                <w:noProof/>
                <w:webHidden/>
              </w:rPr>
              <w:tab/>
            </w:r>
            <w:r w:rsidR="0037484A">
              <w:rPr>
                <w:noProof/>
                <w:webHidden/>
              </w:rPr>
              <w:fldChar w:fldCharType="begin"/>
            </w:r>
            <w:r w:rsidR="0037484A">
              <w:rPr>
                <w:noProof/>
                <w:webHidden/>
              </w:rPr>
              <w:instrText xml:space="preserve"> PAGEREF _Toc213332293 \h </w:instrText>
            </w:r>
            <w:r w:rsidR="0037484A">
              <w:rPr>
                <w:noProof/>
                <w:webHidden/>
              </w:rPr>
            </w:r>
            <w:r w:rsidR="0037484A">
              <w:rPr>
                <w:noProof/>
                <w:webHidden/>
              </w:rPr>
              <w:fldChar w:fldCharType="separate"/>
            </w:r>
            <w:r w:rsidR="00D25A01">
              <w:rPr>
                <w:noProof/>
                <w:webHidden/>
              </w:rPr>
              <w:t>41</w:t>
            </w:r>
            <w:r w:rsidR="0037484A">
              <w:rPr>
                <w:noProof/>
                <w:webHidden/>
              </w:rPr>
              <w:fldChar w:fldCharType="end"/>
            </w:r>
          </w:hyperlink>
        </w:p>
        <w:p w14:paraId="3C0BEA39" w14:textId="72791249" w:rsidR="0037484A" w:rsidRDefault="00B73D51">
          <w:pPr>
            <w:pStyle w:val="TDC1"/>
            <w:tabs>
              <w:tab w:val="right" w:leader="dot" w:pos="8921"/>
            </w:tabs>
            <w:rPr>
              <w:rFonts w:asciiTheme="minorHAnsi" w:eastAsiaTheme="minorEastAsia" w:hAnsiTheme="minorHAnsi" w:cstheme="minorBidi"/>
              <w:noProof/>
              <w:color w:val="auto"/>
            </w:rPr>
          </w:pPr>
          <w:hyperlink w:anchor="_Toc213332294" w:history="1">
            <w:r w:rsidR="0037484A" w:rsidRPr="005C6E7C">
              <w:rPr>
                <w:rStyle w:val="Hipervnculo"/>
                <w:noProof/>
              </w:rPr>
              <w:t>R E S U E L V E</w:t>
            </w:r>
            <w:r w:rsidR="0037484A">
              <w:rPr>
                <w:noProof/>
                <w:webHidden/>
              </w:rPr>
              <w:tab/>
            </w:r>
            <w:r w:rsidR="0037484A">
              <w:rPr>
                <w:noProof/>
                <w:webHidden/>
              </w:rPr>
              <w:fldChar w:fldCharType="begin"/>
            </w:r>
            <w:r w:rsidR="0037484A">
              <w:rPr>
                <w:noProof/>
                <w:webHidden/>
              </w:rPr>
              <w:instrText xml:space="preserve"> PAGEREF _Toc213332294 \h </w:instrText>
            </w:r>
            <w:r w:rsidR="0037484A">
              <w:rPr>
                <w:noProof/>
                <w:webHidden/>
              </w:rPr>
            </w:r>
            <w:r w:rsidR="0037484A">
              <w:rPr>
                <w:noProof/>
                <w:webHidden/>
              </w:rPr>
              <w:fldChar w:fldCharType="separate"/>
            </w:r>
            <w:r w:rsidR="00D25A01">
              <w:rPr>
                <w:noProof/>
                <w:webHidden/>
              </w:rPr>
              <w:t>42</w:t>
            </w:r>
            <w:r w:rsidR="0037484A">
              <w:rPr>
                <w:noProof/>
                <w:webHidden/>
              </w:rPr>
              <w:fldChar w:fldCharType="end"/>
            </w:r>
          </w:hyperlink>
        </w:p>
        <w:p w14:paraId="5B9D6C11" w14:textId="751607A0" w:rsidR="00C4052B" w:rsidRPr="00664A72" w:rsidRDefault="00C4052B" w:rsidP="00877B34">
          <w:pPr>
            <w:spacing w:after="0" w:line="360" w:lineRule="auto"/>
            <w:rPr>
              <w:color w:val="FF0000"/>
            </w:rPr>
          </w:pPr>
          <w:r w:rsidRPr="00664A72">
            <w:rPr>
              <w:b/>
              <w:bCs/>
              <w:color w:val="FF0000"/>
              <w:lang w:val="es-ES"/>
            </w:rPr>
            <w:fldChar w:fldCharType="end"/>
          </w:r>
        </w:p>
      </w:sdtContent>
    </w:sdt>
    <w:p w14:paraId="57481942" w14:textId="77777777" w:rsidR="00C4052B" w:rsidRPr="00664A72" w:rsidRDefault="00C4052B" w:rsidP="00877B34">
      <w:pPr>
        <w:tabs>
          <w:tab w:val="left" w:pos="8931"/>
        </w:tabs>
        <w:spacing w:after="0" w:line="360" w:lineRule="auto"/>
        <w:rPr>
          <w:color w:val="FF0000"/>
        </w:rPr>
      </w:pPr>
    </w:p>
    <w:p w14:paraId="411B5995" w14:textId="77777777" w:rsidR="00C4052B" w:rsidRPr="00664A72" w:rsidRDefault="00C4052B" w:rsidP="00877B34">
      <w:pPr>
        <w:tabs>
          <w:tab w:val="left" w:pos="8931"/>
        </w:tabs>
        <w:spacing w:after="0" w:line="360" w:lineRule="auto"/>
        <w:rPr>
          <w:color w:val="FF0000"/>
        </w:rPr>
      </w:pPr>
    </w:p>
    <w:p w14:paraId="6784625D" w14:textId="77777777" w:rsidR="00C4052B" w:rsidRPr="00664A72" w:rsidRDefault="00C4052B" w:rsidP="00877B34">
      <w:pPr>
        <w:tabs>
          <w:tab w:val="left" w:pos="8931"/>
        </w:tabs>
        <w:spacing w:after="0" w:line="360" w:lineRule="auto"/>
        <w:rPr>
          <w:color w:val="FF0000"/>
        </w:rPr>
      </w:pPr>
    </w:p>
    <w:p w14:paraId="140888DD" w14:textId="77777777" w:rsidR="00C4052B" w:rsidRPr="00664A72" w:rsidRDefault="00C4052B" w:rsidP="00877B34">
      <w:pPr>
        <w:tabs>
          <w:tab w:val="left" w:pos="8931"/>
        </w:tabs>
        <w:spacing w:after="0" w:line="360" w:lineRule="auto"/>
        <w:rPr>
          <w:color w:val="FF0000"/>
        </w:rPr>
      </w:pPr>
    </w:p>
    <w:p w14:paraId="46268890" w14:textId="77777777" w:rsidR="00C4052B" w:rsidRPr="00664A72" w:rsidRDefault="00C4052B" w:rsidP="00877B34">
      <w:pPr>
        <w:tabs>
          <w:tab w:val="left" w:pos="8931"/>
        </w:tabs>
        <w:spacing w:after="0" w:line="360" w:lineRule="auto"/>
        <w:rPr>
          <w:color w:val="FF0000"/>
        </w:rPr>
      </w:pPr>
    </w:p>
    <w:p w14:paraId="147CC638" w14:textId="77777777" w:rsidR="00C4052B" w:rsidRPr="00664A72" w:rsidRDefault="00C4052B" w:rsidP="00877B34">
      <w:pPr>
        <w:tabs>
          <w:tab w:val="left" w:pos="8931"/>
        </w:tabs>
        <w:spacing w:after="0" w:line="360" w:lineRule="auto"/>
        <w:rPr>
          <w:color w:val="FF0000"/>
        </w:rPr>
      </w:pPr>
    </w:p>
    <w:p w14:paraId="01BB5716" w14:textId="77777777" w:rsidR="00C4052B" w:rsidRPr="00664A72" w:rsidRDefault="00C4052B" w:rsidP="00877B34">
      <w:pPr>
        <w:tabs>
          <w:tab w:val="left" w:pos="8931"/>
        </w:tabs>
        <w:spacing w:after="0" w:line="360" w:lineRule="auto"/>
        <w:rPr>
          <w:color w:val="FF0000"/>
        </w:rPr>
      </w:pPr>
    </w:p>
    <w:p w14:paraId="62C1CEC9" w14:textId="77777777" w:rsidR="00C4052B" w:rsidRPr="00664A72" w:rsidRDefault="00C4052B" w:rsidP="00877B34">
      <w:pPr>
        <w:tabs>
          <w:tab w:val="left" w:pos="8931"/>
        </w:tabs>
        <w:spacing w:after="0" w:line="360" w:lineRule="auto"/>
        <w:rPr>
          <w:color w:val="FF0000"/>
        </w:rPr>
      </w:pPr>
    </w:p>
    <w:p w14:paraId="7F38981D" w14:textId="77777777" w:rsidR="00A55E82" w:rsidRPr="00664A72" w:rsidRDefault="00A55E82" w:rsidP="00877B34">
      <w:pPr>
        <w:tabs>
          <w:tab w:val="left" w:pos="8931"/>
        </w:tabs>
        <w:spacing w:after="0" w:line="360" w:lineRule="auto"/>
        <w:rPr>
          <w:color w:val="FF0000"/>
        </w:rPr>
      </w:pPr>
    </w:p>
    <w:p w14:paraId="6E6C2561" w14:textId="77777777" w:rsidR="00D61CB8" w:rsidRPr="00664A72" w:rsidRDefault="00D61CB8" w:rsidP="00877B34">
      <w:pPr>
        <w:tabs>
          <w:tab w:val="left" w:pos="8931"/>
        </w:tabs>
        <w:spacing w:after="0" w:line="360" w:lineRule="auto"/>
        <w:rPr>
          <w:color w:val="FF0000"/>
        </w:rPr>
      </w:pPr>
    </w:p>
    <w:p w14:paraId="3FB7EB5E" w14:textId="496BE541" w:rsidR="005C690F" w:rsidRPr="00664A72" w:rsidRDefault="007D6307" w:rsidP="00877B34">
      <w:pPr>
        <w:tabs>
          <w:tab w:val="left" w:pos="8931"/>
        </w:tabs>
        <w:spacing w:after="0" w:line="360" w:lineRule="auto"/>
        <w:rPr>
          <w:color w:val="auto"/>
        </w:rPr>
      </w:pPr>
      <w:r w:rsidRPr="00664A72">
        <w:rPr>
          <w:color w:val="auto"/>
        </w:rPr>
        <w:lastRenderedPageBreak/>
        <w:t xml:space="preserve">Resolución del Pleno del Instituto de Transparencia, Acceso a la Información Pública y Protección de Datos Personales del Estado de México y Municipios, con domicilio en Metepec, Estado de México, </w:t>
      </w:r>
      <w:r w:rsidR="00BC4A68" w:rsidRPr="00664A72">
        <w:rPr>
          <w:color w:val="auto"/>
        </w:rPr>
        <w:t xml:space="preserve">de fecha </w:t>
      </w:r>
      <w:r w:rsidR="00E67577">
        <w:rPr>
          <w:color w:val="auto"/>
        </w:rPr>
        <w:t>cinco de noviembre de dos mil veinticinco.</w:t>
      </w:r>
      <w:r w:rsidRPr="00664A72">
        <w:rPr>
          <w:color w:val="auto"/>
        </w:rPr>
        <w:t xml:space="preserve"> </w:t>
      </w:r>
    </w:p>
    <w:p w14:paraId="0DCD3B82" w14:textId="77777777" w:rsidR="005C690F" w:rsidRPr="00664A72" w:rsidRDefault="005C690F" w:rsidP="00877B34">
      <w:pPr>
        <w:spacing w:after="0" w:line="360" w:lineRule="auto"/>
        <w:rPr>
          <w:b/>
          <w:color w:val="FF0000"/>
        </w:rPr>
      </w:pPr>
    </w:p>
    <w:p w14:paraId="1570B336" w14:textId="393B5573" w:rsidR="005C690F" w:rsidRPr="00664A72" w:rsidRDefault="007D6307" w:rsidP="00877B34">
      <w:pPr>
        <w:spacing w:after="0" w:line="360" w:lineRule="auto"/>
        <w:rPr>
          <w:color w:val="auto"/>
        </w:rPr>
      </w:pPr>
      <w:r w:rsidRPr="00664A72">
        <w:rPr>
          <w:b/>
          <w:color w:val="auto"/>
        </w:rPr>
        <w:t xml:space="preserve">VISTO </w:t>
      </w:r>
      <w:r w:rsidRPr="00664A72">
        <w:rPr>
          <w:color w:val="auto"/>
        </w:rPr>
        <w:t xml:space="preserve">el expediente electrónico conformado con motivo del Recurso de Revisión </w:t>
      </w:r>
      <w:r w:rsidR="00EE1006" w:rsidRPr="00EA6DE5">
        <w:rPr>
          <w:b/>
          <w:color w:val="auto"/>
        </w:rPr>
        <w:t>0</w:t>
      </w:r>
      <w:r w:rsidR="00304EA3" w:rsidRPr="00EA6DE5">
        <w:rPr>
          <w:b/>
          <w:color w:val="auto"/>
        </w:rPr>
        <w:t>8</w:t>
      </w:r>
      <w:r w:rsidR="00664A72" w:rsidRPr="00EA6DE5">
        <w:rPr>
          <w:b/>
          <w:color w:val="auto"/>
        </w:rPr>
        <w:t>186</w:t>
      </w:r>
      <w:r w:rsidR="000D392E" w:rsidRPr="00EA6DE5">
        <w:rPr>
          <w:b/>
          <w:color w:val="auto"/>
        </w:rPr>
        <w:t>/INFOEM/IP/RR/2025</w:t>
      </w:r>
      <w:r w:rsidRPr="00664A72">
        <w:rPr>
          <w:bCs/>
          <w:color w:val="auto"/>
        </w:rPr>
        <w:t xml:space="preserve">, interpuesto </w:t>
      </w:r>
      <w:r w:rsidR="008415EA" w:rsidRPr="00664A72">
        <w:rPr>
          <w:bCs/>
          <w:color w:val="auto"/>
        </w:rPr>
        <w:t>por</w:t>
      </w:r>
      <w:r w:rsidR="00EE1006" w:rsidRPr="00664A72">
        <w:rPr>
          <w:bCs/>
          <w:color w:val="auto"/>
        </w:rPr>
        <w:t xml:space="preserve"> </w:t>
      </w:r>
      <w:r w:rsidR="00D906B2" w:rsidRPr="00664A72">
        <w:rPr>
          <w:bCs/>
          <w:color w:val="auto"/>
        </w:rPr>
        <w:t>la persona</w:t>
      </w:r>
      <w:r w:rsidRPr="00664A72">
        <w:rPr>
          <w:bCs/>
          <w:color w:val="auto"/>
        </w:rPr>
        <w:t xml:space="preserve"> Recurrente o Particular, en contra de la respuesta del Sujeto Obligado</w:t>
      </w:r>
      <w:r w:rsidR="00705FBB" w:rsidRPr="00664A72">
        <w:rPr>
          <w:bCs/>
          <w:color w:val="auto"/>
        </w:rPr>
        <w:t xml:space="preserve">, </w:t>
      </w:r>
      <w:r w:rsidR="008246F7" w:rsidRPr="00EA6DE5">
        <w:rPr>
          <w:b/>
          <w:bCs/>
          <w:color w:val="auto"/>
        </w:rPr>
        <w:t>Ayuntamiento d</w:t>
      </w:r>
      <w:r w:rsidR="00EC7CBF" w:rsidRPr="00EA6DE5">
        <w:rPr>
          <w:b/>
          <w:bCs/>
          <w:color w:val="auto"/>
        </w:rPr>
        <w:t>e</w:t>
      </w:r>
      <w:r w:rsidR="00664A72" w:rsidRPr="00EA6DE5">
        <w:rPr>
          <w:b/>
          <w:bCs/>
          <w:color w:val="auto"/>
        </w:rPr>
        <w:t xml:space="preserve"> Atlacomulco</w:t>
      </w:r>
      <w:r w:rsidR="00EF0C39" w:rsidRPr="00664A72">
        <w:rPr>
          <w:bCs/>
          <w:color w:val="auto"/>
        </w:rPr>
        <w:t>,</w:t>
      </w:r>
      <w:r w:rsidRPr="00664A72">
        <w:rPr>
          <w:bCs/>
          <w:color w:val="auto"/>
        </w:rPr>
        <w:t xml:space="preserve"> </w:t>
      </w:r>
      <w:r w:rsidRPr="00664A72">
        <w:rPr>
          <w:color w:val="auto"/>
        </w:rPr>
        <w:t xml:space="preserve">a la solicitud de acceso a la información </w:t>
      </w:r>
      <w:r w:rsidR="00BC4A68" w:rsidRPr="00664A72">
        <w:rPr>
          <w:color w:val="auto"/>
        </w:rPr>
        <w:t xml:space="preserve">pública </w:t>
      </w:r>
      <w:r w:rsidR="00664A72" w:rsidRPr="00664A72">
        <w:rPr>
          <w:color w:val="auto"/>
        </w:rPr>
        <w:t>00364/ATLACOM/IP/2025</w:t>
      </w:r>
      <w:r w:rsidRPr="00664A72">
        <w:rPr>
          <w:color w:val="auto"/>
        </w:rPr>
        <w:t>, se emite la presente Resolución, con base en los Antecedentes y Considerandos que se exponen a continuación:</w:t>
      </w:r>
    </w:p>
    <w:p w14:paraId="1F97CEF3" w14:textId="77777777" w:rsidR="005C690F" w:rsidRPr="00664A72" w:rsidRDefault="005C690F" w:rsidP="00877B34">
      <w:pPr>
        <w:spacing w:after="0" w:line="360" w:lineRule="auto"/>
        <w:rPr>
          <w:b/>
          <w:color w:val="auto"/>
        </w:rPr>
      </w:pPr>
    </w:p>
    <w:p w14:paraId="1DEAF9D3" w14:textId="24D35555" w:rsidR="005C690F" w:rsidRPr="00664A72" w:rsidRDefault="00CD6238" w:rsidP="00877B34">
      <w:pPr>
        <w:pStyle w:val="Ttulo1"/>
        <w:spacing w:before="0" w:after="0" w:line="360" w:lineRule="auto"/>
        <w:jc w:val="center"/>
        <w:rPr>
          <w:color w:val="auto"/>
          <w:sz w:val="22"/>
          <w:szCs w:val="22"/>
        </w:rPr>
      </w:pPr>
      <w:bookmarkStart w:id="1" w:name="_Toc213332282"/>
      <w:r w:rsidRPr="00664A72">
        <w:rPr>
          <w:color w:val="auto"/>
          <w:sz w:val="22"/>
          <w:szCs w:val="22"/>
        </w:rPr>
        <w:t>A N T E C E D E N T E S</w:t>
      </w:r>
      <w:bookmarkEnd w:id="1"/>
    </w:p>
    <w:p w14:paraId="5A7EDA4F" w14:textId="77777777" w:rsidR="005C690F" w:rsidRPr="00664A72" w:rsidRDefault="005C690F" w:rsidP="00877B34">
      <w:pPr>
        <w:spacing w:after="0" w:line="360" w:lineRule="auto"/>
        <w:jc w:val="center"/>
        <w:rPr>
          <w:b/>
          <w:color w:val="auto"/>
        </w:rPr>
      </w:pPr>
    </w:p>
    <w:p w14:paraId="4930DAB9" w14:textId="701611A7" w:rsidR="00E22EA8" w:rsidRPr="00664A72" w:rsidRDefault="009215C2" w:rsidP="00877B34">
      <w:pPr>
        <w:pStyle w:val="Ttulo2"/>
        <w:spacing w:before="0" w:after="0" w:line="360" w:lineRule="auto"/>
        <w:rPr>
          <w:color w:val="auto"/>
          <w:sz w:val="22"/>
          <w:szCs w:val="22"/>
          <w:lang w:eastAsia="es-ES"/>
        </w:rPr>
      </w:pPr>
      <w:bookmarkStart w:id="2" w:name="_Toc213332283"/>
      <w:r w:rsidRPr="00664A72">
        <w:rPr>
          <w:color w:val="auto"/>
          <w:sz w:val="22"/>
          <w:szCs w:val="22"/>
          <w:lang w:eastAsia="es-ES"/>
        </w:rPr>
        <w:t xml:space="preserve">I. </w:t>
      </w:r>
      <w:r w:rsidR="00E22EA8" w:rsidRPr="00664A72">
        <w:rPr>
          <w:color w:val="auto"/>
          <w:sz w:val="22"/>
          <w:szCs w:val="22"/>
          <w:lang w:eastAsia="es-ES"/>
        </w:rPr>
        <w:t>Presentación de la solicitud de información</w:t>
      </w:r>
      <w:bookmarkEnd w:id="2"/>
    </w:p>
    <w:p w14:paraId="63A20E25" w14:textId="77777777" w:rsidR="009215C2" w:rsidRPr="00664A72" w:rsidRDefault="009215C2" w:rsidP="00877B34">
      <w:pPr>
        <w:tabs>
          <w:tab w:val="left" w:pos="567"/>
        </w:tabs>
        <w:spacing w:after="0" w:line="360" w:lineRule="auto"/>
        <w:rPr>
          <w:rFonts w:eastAsia="Times New Roman" w:cs="Tahoma"/>
          <w:color w:val="auto"/>
          <w:lang w:eastAsia="es-ES"/>
        </w:rPr>
      </w:pPr>
    </w:p>
    <w:p w14:paraId="301B8A4E" w14:textId="346B122A" w:rsidR="00E22EA8" w:rsidRPr="00664A72" w:rsidRDefault="00D906B2" w:rsidP="00877B34">
      <w:pPr>
        <w:spacing w:after="0" w:line="360" w:lineRule="auto"/>
        <w:rPr>
          <w:rFonts w:eastAsia="Times New Roman" w:cs="Tahoma"/>
          <w:color w:val="auto"/>
          <w:lang w:eastAsia="es-ES"/>
        </w:rPr>
      </w:pPr>
      <w:r w:rsidRPr="00664A72">
        <w:rPr>
          <w:rFonts w:eastAsia="Times New Roman" w:cs="Tahoma"/>
          <w:color w:val="auto"/>
          <w:lang w:eastAsia="es-ES"/>
        </w:rPr>
        <w:t>El</w:t>
      </w:r>
      <w:r w:rsidR="00D52EC1" w:rsidRPr="00664A72">
        <w:rPr>
          <w:rFonts w:eastAsia="Times New Roman" w:cs="Tahoma"/>
          <w:color w:val="auto"/>
          <w:lang w:eastAsia="es-ES"/>
        </w:rPr>
        <w:t xml:space="preserve"> </w:t>
      </w:r>
      <w:r w:rsidR="00664A72" w:rsidRPr="00664A72">
        <w:rPr>
          <w:rFonts w:eastAsia="Times New Roman" w:cs="Tahoma"/>
          <w:color w:val="auto"/>
          <w:lang w:eastAsia="es-ES"/>
        </w:rPr>
        <w:t xml:space="preserve">treinta de mayo </w:t>
      </w:r>
      <w:r w:rsidR="008E0DC4" w:rsidRPr="00664A72">
        <w:rPr>
          <w:rFonts w:eastAsia="Times New Roman" w:cs="Tahoma"/>
          <w:color w:val="auto"/>
          <w:lang w:eastAsia="es-ES"/>
        </w:rPr>
        <w:t>de dos mil veinticinco</w:t>
      </w:r>
      <w:r w:rsidR="00BF362A" w:rsidRPr="00664A72">
        <w:rPr>
          <w:rFonts w:eastAsia="Times New Roman" w:cs="Tahoma"/>
          <w:color w:val="auto"/>
          <w:lang w:eastAsia="es-ES"/>
        </w:rPr>
        <w:t xml:space="preserve">, </w:t>
      </w:r>
      <w:r w:rsidR="00E22EA8" w:rsidRPr="00664A72">
        <w:rPr>
          <w:rFonts w:eastAsia="Times New Roman" w:cs="Tahoma"/>
          <w:color w:val="auto"/>
          <w:lang w:eastAsia="es-ES"/>
        </w:rPr>
        <w:t>el Particular presentó una solicitud de acceso a la información pública, a través del Sistema de Acceso a la Información Mexiquense (SAIMEX), ante</w:t>
      </w:r>
      <w:r w:rsidR="000B3C56" w:rsidRPr="00664A72">
        <w:rPr>
          <w:rFonts w:eastAsia="Times New Roman" w:cs="Tahoma"/>
          <w:color w:val="auto"/>
          <w:lang w:eastAsia="es-ES"/>
        </w:rPr>
        <w:t xml:space="preserve"> </w:t>
      </w:r>
      <w:r w:rsidR="00DC175C" w:rsidRPr="00664A72">
        <w:rPr>
          <w:rFonts w:eastAsia="Times New Roman" w:cs="Tahoma"/>
          <w:color w:val="auto"/>
          <w:lang w:eastAsia="es-ES"/>
        </w:rPr>
        <w:t>el</w:t>
      </w:r>
      <w:r w:rsidR="008246F7" w:rsidRPr="00664A72">
        <w:rPr>
          <w:color w:val="auto"/>
        </w:rPr>
        <w:t xml:space="preserve"> Ayuntamiento de</w:t>
      </w:r>
      <w:r w:rsidR="00664A72" w:rsidRPr="00664A72">
        <w:rPr>
          <w:color w:val="auto"/>
        </w:rPr>
        <w:t xml:space="preserve"> Atlacomulco</w:t>
      </w:r>
      <w:r w:rsidR="008E0DC4" w:rsidRPr="00664A72">
        <w:rPr>
          <w:rFonts w:eastAsia="Calibri" w:cs="Times New Roman"/>
          <w:color w:val="auto"/>
        </w:rPr>
        <w:t>,</w:t>
      </w:r>
      <w:r w:rsidR="00DC175C" w:rsidRPr="00664A72">
        <w:rPr>
          <w:rFonts w:eastAsia="Calibri" w:cs="Tahoma"/>
          <w:color w:val="auto"/>
        </w:rPr>
        <w:t xml:space="preserve"> </w:t>
      </w:r>
      <w:r w:rsidR="00E22EA8" w:rsidRPr="00664A72">
        <w:rPr>
          <w:rFonts w:eastAsia="Calibri" w:cs="Tahoma"/>
          <w:color w:val="auto"/>
        </w:rPr>
        <w:t xml:space="preserve">en los siguientes términos: </w:t>
      </w:r>
    </w:p>
    <w:p w14:paraId="2B959865" w14:textId="77777777" w:rsidR="00E22EA8" w:rsidRPr="00664A72" w:rsidRDefault="00E22EA8" w:rsidP="00877B34">
      <w:pPr>
        <w:spacing w:after="0" w:line="360" w:lineRule="auto"/>
        <w:rPr>
          <w:rFonts w:eastAsia="Calibri" w:cs="Tahoma"/>
          <w:color w:val="FF0000"/>
        </w:rPr>
      </w:pPr>
    </w:p>
    <w:p w14:paraId="3FBC9D66" w14:textId="0F26255C" w:rsidR="00A41789" w:rsidRPr="00664A72" w:rsidRDefault="00125F26" w:rsidP="00877B34">
      <w:pPr>
        <w:tabs>
          <w:tab w:val="left" w:pos="4667"/>
        </w:tabs>
        <w:spacing w:after="0" w:line="360" w:lineRule="auto"/>
        <w:ind w:left="567" w:right="567"/>
        <w:rPr>
          <w:rFonts w:eastAsia="Times New Roman" w:cs="Tahoma"/>
          <w:b/>
          <w:i/>
          <w:iCs/>
          <w:color w:val="auto"/>
          <w:sz w:val="20"/>
          <w:szCs w:val="20"/>
          <w:lang w:eastAsia="es-ES"/>
        </w:rPr>
      </w:pPr>
      <w:r w:rsidRPr="00664A72">
        <w:rPr>
          <w:rFonts w:eastAsia="Times New Roman" w:cs="Tahoma"/>
          <w:b/>
          <w:i/>
          <w:iCs/>
          <w:color w:val="auto"/>
          <w:sz w:val="20"/>
          <w:szCs w:val="20"/>
          <w:lang w:eastAsia="es-ES"/>
        </w:rPr>
        <w:t>“</w:t>
      </w:r>
      <w:r w:rsidR="00E22EA8" w:rsidRPr="00664A72">
        <w:rPr>
          <w:rFonts w:eastAsia="Times New Roman" w:cs="Tahoma"/>
          <w:b/>
          <w:i/>
          <w:iCs/>
          <w:color w:val="auto"/>
          <w:sz w:val="20"/>
          <w:szCs w:val="20"/>
          <w:lang w:eastAsia="es-ES"/>
        </w:rPr>
        <w:t>DESCRIPCIÓN CLARA Y PRECI</w:t>
      </w:r>
      <w:r w:rsidR="0084143D" w:rsidRPr="00664A72">
        <w:rPr>
          <w:rFonts w:eastAsia="Times New Roman" w:cs="Tahoma"/>
          <w:b/>
          <w:i/>
          <w:iCs/>
          <w:color w:val="auto"/>
          <w:sz w:val="20"/>
          <w:szCs w:val="20"/>
          <w:lang w:eastAsia="es-ES"/>
        </w:rPr>
        <w:t xml:space="preserve">SA DE LA </w:t>
      </w:r>
      <w:r w:rsidR="00A41789" w:rsidRPr="00664A72">
        <w:rPr>
          <w:rFonts w:eastAsia="Times New Roman" w:cs="Tahoma"/>
          <w:b/>
          <w:i/>
          <w:iCs/>
          <w:color w:val="auto"/>
          <w:sz w:val="20"/>
          <w:szCs w:val="20"/>
          <w:lang w:eastAsia="es-ES"/>
        </w:rPr>
        <w:t>INFORMACIÓN SOLICITADA</w:t>
      </w:r>
    </w:p>
    <w:p w14:paraId="2C6BC213" w14:textId="4F261BBE" w:rsidR="00E22EA8" w:rsidRPr="00664A72" w:rsidRDefault="00664A72" w:rsidP="00877B34">
      <w:pPr>
        <w:spacing w:after="0" w:line="360" w:lineRule="auto"/>
        <w:ind w:left="567" w:right="567"/>
        <w:rPr>
          <w:rFonts w:eastAsia="Times New Roman" w:cs="Arial"/>
          <w:bCs/>
          <w:i/>
          <w:iCs/>
          <w:color w:val="auto"/>
          <w:sz w:val="20"/>
          <w:lang w:eastAsia="es-ES"/>
        </w:rPr>
      </w:pPr>
      <w:r w:rsidRPr="00664A72">
        <w:rPr>
          <w:rFonts w:eastAsia="Times New Roman" w:cs="Arial"/>
          <w:bCs/>
          <w:i/>
          <w:iCs/>
          <w:color w:val="auto"/>
          <w:sz w:val="20"/>
          <w:lang w:eastAsia="es-ES"/>
        </w:rPr>
        <w:t>Requisiciones y compras de todas las areas enero, febrero, marzo y abril 2025</w:t>
      </w:r>
      <w:r w:rsidR="009215C2" w:rsidRPr="00664A72">
        <w:rPr>
          <w:rFonts w:eastAsia="Times New Roman" w:cs="Arial"/>
          <w:bCs/>
          <w:i/>
          <w:iCs/>
          <w:color w:val="auto"/>
          <w:sz w:val="20"/>
          <w:lang w:eastAsia="es-ES"/>
        </w:rPr>
        <w:t>”</w:t>
      </w:r>
    </w:p>
    <w:p w14:paraId="64AF510B" w14:textId="77777777" w:rsidR="005C2324" w:rsidRPr="00664A72" w:rsidRDefault="005C2324" w:rsidP="00877B34">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664A72" w:rsidRDefault="00125F26" w:rsidP="00877B34">
      <w:pPr>
        <w:tabs>
          <w:tab w:val="left" w:pos="4667"/>
        </w:tabs>
        <w:spacing w:after="0" w:line="360" w:lineRule="auto"/>
        <w:ind w:left="567" w:right="567"/>
        <w:rPr>
          <w:rFonts w:eastAsia="Times New Roman" w:cs="Tahoma"/>
          <w:b/>
          <w:bCs/>
          <w:i/>
          <w:iCs/>
          <w:color w:val="auto"/>
          <w:sz w:val="20"/>
          <w:lang w:eastAsia="es-ES"/>
        </w:rPr>
      </w:pPr>
      <w:r w:rsidRPr="00664A72">
        <w:rPr>
          <w:rFonts w:eastAsia="Times New Roman" w:cs="Tahoma"/>
          <w:b/>
          <w:bCs/>
          <w:i/>
          <w:iCs/>
          <w:color w:val="auto"/>
          <w:sz w:val="20"/>
          <w:lang w:eastAsia="es-ES"/>
        </w:rPr>
        <w:t>“</w:t>
      </w:r>
      <w:r w:rsidR="00E22EA8" w:rsidRPr="00664A72">
        <w:rPr>
          <w:rFonts w:eastAsia="Times New Roman" w:cs="Tahoma"/>
          <w:b/>
          <w:bCs/>
          <w:i/>
          <w:iCs/>
          <w:color w:val="auto"/>
          <w:sz w:val="20"/>
          <w:lang w:eastAsia="es-ES"/>
        </w:rPr>
        <w:t>MODALIDAD DE ENTREGA</w:t>
      </w:r>
    </w:p>
    <w:p w14:paraId="3CA8F82F" w14:textId="1B5A8200" w:rsidR="00EB386A" w:rsidRPr="00664A72" w:rsidRDefault="00BB6693" w:rsidP="00877B34">
      <w:pPr>
        <w:spacing w:after="0" w:line="360" w:lineRule="auto"/>
        <w:ind w:left="567" w:right="567"/>
        <w:rPr>
          <w:rFonts w:eastAsia="Times New Roman" w:cs="Arial"/>
          <w:bCs/>
          <w:i/>
          <w:iCs/>
          <w:color w:val="auto"/>
          <w:sz w:val="20"/>
          <w:lang w:eastAsia="es-ES"/>
        </w:rPr>
      </w:pPr>
      <w:r w:rsidRPr="00664A72">
        <w:rPr>
          <w:rFonts w:eastAsia="Times New Roman" w:cs="Arial"/>
          <w:bCs/>
          <w:i/>
          <w:iCs/>
          <w:color w:val="auto"/>
          <w:sz w:val="20"/>
          <w:lang w:eastAsia="es-ES"/>
        </w:rPr>
        <w:t>A través del SAIMEX</w:t>
      </w:r>
      <w:r w:rsidR="00E22EA8" w:rsidRPr="00664A72">
        <w:rPr>
          <w:rFonts w:eastAsia="Times New Roman" w:cs="Arial"/>
          <w:bCs/>
          <w:i/>
          <w:iCs/>
          <w:color w:val="auto"/>
          <w:sz w:val="20"/>
          <w:lang w:eastAsia="es-ES"/>
        </w:rPr>
        <w:t>”</w:t>
      </w:r>
    </w:p>
    <w:p w14:paraId="7D2A95DA" w14:textId="77777777" w:rsidR="002207FA" w:rsidRPr="00664A72" w:rsidRDefault="002207FA" w:rsidP="00877B34">
      <w:pPr>
        <w:spacing w:after="0" w:line="360" w:lineRule="auto"/>
        <w:ind w:left="567" w:right="567"/>
        <w:rPr>
          <w:rFonts w:eastAsia="Times New Roman" w:cs="Arial"/>
          <w:bCs/>
          <w:i/>
          <w:iCs/>
          <w:color w:val="FF0000"/>
          <w:sz w:val="20"/>
          <w:lang w:eastAsia="es-ES"/>
        </w:rPr>
      </w:pPr>
    </w:p>
    <w:p w14:paraId="0A604AAC" w14:textId="5EBA114E" w:rsidR="00E22EA8" w:rsidRPr="00664A72" w:rsidRDefault="000B3C56" w:rsidP="00877B34">
      <w:pPr>
        <w:pStyle w:val="Ttulo2"/>
        <w:spacing w:before="0" w:after="0" w:line="360" w:lineRule="auto"/>
        <w:rPr>
          <w:color w:val="auto"/>
          <w:sz w:val="22"/>
          <w:szCs w:val="22"/>
        </w:rPr>
      </w:pPr>
      <w:bookmarkStart w:id="3" w:name="_Toc213332284"/>
      <w:r w:rsidRPr="00664A72">
        <w:rPr>
          <w:rFonts w:cs="Tahoma"/>
          <w:color w:val="auto"/>
          <w:sz w:val="22"/>
          <w:szCs w:val="22"/>
        </w:rPr>
        <w:t>I</w:t>
      </w:r>
      <w:r w:rsidR="002207FA" w:rsidRPr="00664A72">
        <w:rPr>
          <w:rFonts w:cs="Tahoma"/>
          <w:color w:val="auto"/>
          <w:sz w:val="22"/>
          <w:szCs w:val="22"/>
        </w:rPr>
        <w:t>I</w:t>
      </w:r>
      <w:r w:rsidR="00E22EA8" w:rsidRPr="00664A72">
        <w:rPr>
          <w:rFonts w:cs="Tahoma"/>
          <w:color w:val="auto"/>
          <w:sz w:val="22"/>
          <w:szCs w:val="22"/>
        </w:rPr>
        <w:t>.</w:t>
      </w:r>
      <w:r w:rsidR="00E22EA8" w:rsidRPr="00664A72">
        <w:rPr>
          <w:color w:val="auto"/>
          <w:sz w:val="22"/>
          <w:szCs w:val="22"/>
        </w:rPr>
        <w:t xml:space="preserve"> Respuesta del Sujeto Obligado</w:t>
      </w:r>
      <w:bookmarkEnd w:id="3"/>
    </w:p>
    <w:p w14:paraId="10CE94A9" w14:textId="77777777" w:rsidR="00C06004" w:rsidRPr="00664A72" w:rsidRDefault="00C06004" w:rsidP="00877B34">
      <w:pPr>
        <w:autoSpaceDE w:val="0"/>
        <w:autoSpaceDN w:val="0"/>
        <w:adjustRightInd w:val="0"/>
        <w:spacing w:after="0" w:line="360" w:lineRule="auto"/>
        <w:rPr>
          <w:b/>
          <w:bCs/>
          <w:color w:val="FF0000"/>
        </w:rPr>
      </w:pPr>
    </w:p>
    <w:p w14:paraId="252736ED" w14:textId="74641447" w:rsidR="00304EA3" w:rsidRPr="00664A72" w:rsidRDefault="00EB386A" w:rsidP="00877B34">
      <w:pPr>
        <w:spacing w:after="0" w:line="360" w:lineRule="auto"/>
        <w:rPr>
          <w:color w:val="auto"/>
        </w:rPr>
      </w:pPr>
      <w:r w:rsidRPr="00664A72">
        <w:rPr>
          <w:color w:val="auto"/>
        </w:rPr>
        <w:t>El</w:t>
      </w:r>
      <w:r w:rsidR="00BC4A68" w:rsidRPr="00664A72">
        <w:rPr>
          <w:color w:val="auto"/>
        </w:rPr>
        <w:t xml:space="preserve"> </w:t>
      </w:r>
      <w:r w:rsidR="00664A72" w:rsidRPr="00664A72">
        <w:rPr>
          <w:color w:val="auto"/>
        </w:rPr>
        <w:t xml:space="preserve">primero </w:t>
      </w:r>
      <w:r w:rsidR="00304EA3" w:rsidRPr="00664A72">
        <w:rPr>
          <w:color w:val="auto"/>
        </w:rPr>
        <w:t xml:space="preserve">de julio de </w:t>
      </w:r>
      <w:r w:rsidR="00CD4DE8" w:rsidRPr="00664A72">
        <w:rPr>
          <w:color w:val="auto"/>
        </w:rPr>
        <w:t>dos mil veinticinco</w:t>
      </w:r>
      <w:r w:rsidR="00E22EA8" w:rsidRPr="00664A72">
        <w:rPr>
          <w:color w:val="auto"/>
        </w:rPr>
        <w:t xml:space="preserve">, el Sujeto Obligado notificó, a través del Sistema de Acceso a la Información Mexiquense (SAIMEX), la respuesta a la solicitud de acceso a la información pública, </w:t>
      </w:r>
      <w:r w:rsidR="00EC7CBF" w:rsidRPr="00664A72">
        <w:rPr>
          <w:color w:val="auto"/>
        </w:rPr>
        <w:t xml:space="preserve">a través </w:t>
      </w:r>
      <w:r w:rsidR="00304EA3" w:rsidRPr="00664A72">
        <w:rPr>
          <w:color w:val="auto"/>
        </w:rPr>
        <w:t>de la digitalización de los siguientes documentos:</w:t>
      </w:r>
    </w:p>
    <w:p w14:paraId="26AD0B74" w14:textId="77777777" w:rsidR="0081681D" w:rsidRPr="00664A72" w:rsidRDefault="0081681D" w:rsidP="00877B34">
      <w:pPr>
        <w:spacing w:after="0" w:line="360" w:lineRule="auto"/>
        <w:rPr>
          <w:color w:val="FF0000"/>
        </w:rPr>
      </w:pPr>
    </w:p>
    <w:p w14:paraId="257F83A6" w14:textId="23DDDB1F" w:rsidR="001C50E8" w:rsidRDefault="00BC4A68" w:rsidP="00877B34">
      <w:pPr>
        <w:spacing w:after="0" w:line="360" w:lineRule="auto"/>
        <w:rPr>
          <w:color w:val="auto"/>
        </w:rPr>
      </w:pPr>
      <w:bookmarkStart w:id="4" w:name="_Hlk207795405"/>
      <w:bookmarkStart w:id="5" w:name="_Hlk212465225"/>
      <w:r w:rsidRPr="00FF5473">
        <w:rPr>
          <w:color w:val="auto"/>
        </w:rPr>
        <w:t xml:space="preserve">i. </w:t>
      </w:r>
      <w:r w:rsidR="00FF5473" w:rsidRPr="00FF5473">
        <w:rPr>
          <w:color w:val="auto"/>
        </w:rPr>
        <w:t xml:space="preserve">Oficio TMA/STE/784/06/2025 del dieciocho de junio de dos mil veinticinco, </w:t>
      </w:r>
      <w:r w:rsidR="00FF5473">
        <w:rPr>
          <w:color w:val="auto"/>
        </w:rPr>
        <w:t>suscrito por el Tesorero Municipal, dirigido a la Titular de la Unidad de Transparencia, por medio del cual se menciona lo siguiente:</w:t>
      </w:r>
    </w:p>
    <w:p w14:paraId="55D35BC0" w14:textId="77777777" w:rsidR="00FF5473" w:rsidRDefault="00FF5473" w:rsidP="00877B34">
      <w:pPr>
        <w:spacing w:after="0" w:line="360" w:lineRule="auto"/>
        <w:ind w:left="567" w:right="567"/>
        <w:rPr>
          <w:rFonts w:eastAsia="Times New Roman" w:cs="Arial"/>
          <w:bCs/>
          <w:i/>
          <w:iCs/>
          <w:color w:val="auto"/>
          <w:sz w:val="20"/>
          <w:lang w:eastAsia="es-ES"/>
        </w:rPr>
      </w:pPr>
    </w:p>
    <w:p w14:paraId="61DB107A" w14:textId="5007E6F4" w:rsidR="00FF5473" w:rsidRDefault="00FF5473" w:rsidP="00877B34">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FF5473">
        <w:rPr>
          <w:rFonts w:eastAsia="Times New Roman" w:cs="Arial"/>
          <w:bCs/>
          <w:i/>
          <w:iCs/>
          <w:color w:val="auto"/>
          <w:sz w:val="20"/>
          <w:lang w:eastAsia="es-ES"/>
        </w:rPr>
        <w:t xml:space="preserve">En virtud de lo anterior esta Tesorería Municipal informa que se ha solicitado el cambio de modalidad de entrega de información a consulta directa, toda vez que la información solicitada tal y como obra en los archivos de esta unidad administrativa tiene un peso </w:t>
      </w:r>
      <w:r w:rsidRPr="00FF5473">
        <w:rPr>
          <w:rFonts w:eastAsia="Times New Roman" w:cs="Arial"/>
          <w:b/>
          <w:i/>
          <w:iCs/>
          <w:color w:val="auto"/>
          <w:sz w:val="20"/>
          <w:lang w:eastAsia="es-ES"/>
        </w:rPr>
        <w:t>de 1.42 GB (1,529,623,867 bytes)</w:t>
      </w:r>
      <w:r w:rsidRPr="00FF5473">
        <w:rPr>
          <w:rFonts w:eastAsia="Times New Roman" w:cs="Arial"/>
          <w:bCs/>
          <w:i/>
          <w:iCs/>
          <w:color w:val="auto"/>
          <w:sz w:val="20"/>
          <w:lang w:eastAsia="es-ES"/>
        </w:rPr>
        <w:t>, por tal motivo, se pone a disposición del ciudadano la información para ofrecerle al particular las diversas modalidades de entrega correspondiente mediante la Unidad de Transparencia, ya que en dicho archivo debido a la información solicitada, se tiene que realizar la investigación, procesamiento e integración y no se cuenta con la capacidad humana y tecnológica para ser proporcionada a esa magnitud, mediante la plataforma.</w:t>
      </w:r>
    </w:p>
    <w:p w14:paraId="15212BC2" w14:textId="77777777" w:rsidR="00FF5473" w:rsidRDefault="00FF5473" w:rsidP="00877B34">
      <w:pPr>
        <w:spacing w:after="0" w:line="360" w:lineRule="auto"/>
        <w:ind w:left="567" w:right="567"/>
        <w:rPr>
          <w:rFonts w:eastAsia="Times New Roman" w:cs="Arial"/>
          <w:bCs/>
          <w:i/>
          <w:iCs/>
          <w:color w:val="auto"/>
          <w:sz w:val="20"/>
          <w:lang w:eastAsia="es-ES"/>
        </w:rPr>
      </w:pPr>
    </w:p>
    <w:p w14:paraId="55FB2F96" w14:textId="03B62C1C" w:rsidR="00FF5473" w:rsidRDefault="00FF5473" w:rsidP="00877B34">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p>
    <w:p w14:paraId="2EC2CF5E" w14:textId="40A900A9" w:rsidR="00FF5473" w:rsidRDefault="00FF5473" w:rsidP="00877B34">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p>
    <w:p w14:paraId="2AC0BA93" w14:textId="4CCB2B76" w:rsidR="00FF5473" w:rsidRDefault="00FF5473" w:rsidP="00877B34">
      <w:pPr>
        <w:spacing w:after="0" w:line="360" w:lineRule="auto"/>
        <w:ind w:left="567" w:right="567"/>
        <w:rPr>
          <w:rFonts w:eastAsia="Times New Roman" w:cs="Arial"/>
          <w:bCs/>
          <w:i/>
          <w:iCs/>
          <w:color w:val="auto"/>
          <w:sz w:val="20"/>
          <w:lang w:eastAsia="es-ES"/>
        </w:rPr>
      </w:pPr>
      <w:r w:rsidRPr="00FF5473">
        <w:rPr>
          <w:rFonts w:eastAsia="Times New Roman" w:cs="Arial"/>
          <w:bCs/>
          <w:i/>
          <w:iCs/>
          <w:color w:val="auto"/>
          <w:sz w:val="20"/>
          <w:lang w:eastAsia="es-ES"/>
        </w:rPr>
        <w:t>Se informa que el cambio de modalidad para consulta directa de la información solicitada, fue aprobada en la Quinta Sesión Ordinaria del Comité de Transparencia llevada a cabo el día 27 de mayo de 2025, en el acuerdo número ACT/ATLACOMULCO/EXT/COMT/23/ACU-CUARTO/2025, por lo que se propone la calendarización para la consulta directa en un horario de 12:00 a 14:00 hrs. a partir del 24 de junio conforme al período de sesenta días hábiles con el objetivo de garantizar su Derecho de Acceso a la Información al solicitante, adjuntando la calendarización al presente y designando a la C. Sandra Martínez Monroy, servidora pública adscrita a la Tesorería Municipal para su atención.</w:t>
      </w:r>
    </w:p>
    <w:p w14:paraId="1CDA2CD2" w14:textId="77777777" w:rsidR="00FF5473" w:rsidRDefault="00FF5473" w:rsidP="00877B34">
      <w:pPr>
        <w:spacing w:after="0" w:line="360" w:lineRule="auto"/>
        <w:ind w:left="567" w:right="567"/>
        <w:rPr>
          <w:rFonts w:eastAsia="Times New Roman" w:cs="Arial"/>
          <w:bCs/>
          <w:i/>
          <w:iCs/>
          <w:color w:val="auto"/>
          <w:sz w:val="20"/>
          <w:lang w:eastAsia="es-ES"/>
        </w:rPr>
      </w:pPr>
    </w:p>
    <w:p w14:paraId="2B1F1142" w14:textId="72378130" w:rsidR="000E45E6" w:rsidRPr="00FF5473" w:rsidRDefault="00FF5473" w:rsidP="00877B34">
      <w:pPr>
        <w:spacing w:after="0" w:line="360" w:lineRule="auto"/>
        <w:ind w:left="567" w:right="567"/>
        <w:rPr>
          <w:rFonts w:eastAsia="Times New Roman" w:cs="Arial"/>
          <w:bCs/>
          <w:i/>
          <w:iCs/>
          <w:color w:val="auto"/>
          <w:sz w:val="20"/>
          <w:lang w:eastAsia="es-ES"/>
        </w:rPr>
      </w:pPr>
      <w:r w:rsidRPr="00FF5473">
        <w:rPr>
          <w:rFonts w:eastAsia="Times New Roman" w:cs="Arial"/>
          <w:bCs/>
          <w:i/>
          <w:iCs/>
          <w:color w:val="auto"/>
          <w:sz w:val="20"/>
          <w:lang w:eastAsia="es-ES"/>
        </w:rPr>
        <w:t>Asimismo se propone el día 1 de julio de 2025 en un horario de 12:00 a 14:00 hrs. a fin de proporcionar una primera entrega de la información previa elección de modalidad del solicitante</w:t>
      </w:r>
      <w:r w:rsidR="000E45E6">
        <w:rPr>
          <w:rFonts w:eastAsia="Times New Roman" w:cs="Arial"/>
          <w:bCs/>
          <w:i/>
          <w:iCs/>
          <w:color w:val="auto"/>
          <w:sz w:val="20"/>
          <w:lang w:eastAsia="es-ES"/>
        </w:rPr>
        <w:t>…” (Sic)</w:t>
      </w:r>
    </w:p>
    <w:p w14:paraId="51AE3537" w14:textId="77777777" w:rsidR="00185556" w:rsidRPr="00664A72" w:rsidRDefault="00185556" w:rsidP="00877B34">
      <w:pPr>
        <w:spacing w:after="0" w:line="360" w:lineRule="auto"/>
        <w:rPr>
          <w:color w:val="FF0000"/>
        </w:rPr>
      </w:pPr>
    </w:p>
    <w:p w14:paraId="4C599BF5" w14:textId="7C119A5B" w:rsidR="00197472" w:rsidRDefault="001C50E8" w:rsidP="00877B34">
      <w:pPr>
        <w:spacing w:after="0" w:line="360" w:lineRule="auto"/>
        <w:rPr>
          <w:color w:val="auto"/>
        </w:rPr>
      </w:pPr>
      <w:r w:rsidRPr="000E45E6">
        <w:rPr>
          <w:color w:val="auto"/>
        </w:rPr>
        <w:t xml:space="preserve">ii. </w:t>
      </w:r>
      <w:bookmarkStart w:id="6" w:name="_Hlk210245867"/>
      <w:bookmarkEnd w:id="4"/>
      <w:r w:rsidR="000E45E6" w:rsidRPr="000E45E6">
        <w:rPr>
          <w:color w:val="auto"/>
        </w:rPr>
        <w:t>Calendario de disponibilidad para consultar la información a través de consulta directa.</w:t>
      </w:r>
    </w:p>
    <w:p w14:paraId="09F20B07" w14:textId="77777777" w:rsidR="004D3CB3" w:rsidRPr="000E45E6" w:rsidRDefault="004D3CB3" w:rsidP="00877B34">
      <w:pPr>
        <w:spacing w:after="0" w:line="360" w:lineRule="auto"/>
        <w:rPr>
          <w:color w:val="auto"/>
        </w:rPr>
      </w:pPr>
    </w:p>
    <w:bookmarkEnd w:id="6"/>
    <w:p w14:paraId="28030D1B" w14:textId="3DED28A2" w:rsidR="00871490" w:rsidRDefault="004D3CB3" w:rsidP="00877B34">
      <w:pPr>
        <w:spacing w:after="0" w:line="360" w:lineRule="auto"/>
        <w:rPr>
          <w:color w:val="auto"/>
        </w:rPr>
      </w:pPr>
      <w:r w:rsidRPr="004D3CB3">
        <w:rPr>
          <w:color w:val="auto"/>
        </w:rPr>
        <w:t>iii. Documento que consta de cuatrocientas veintidós páginas donde constan las requisiciones.</w:t>
      </w:r>
    </w:p>
    <w:bookmarkEnd w:id="5"/>
    <w:p w14:paraId="2BE5EA8E" w14:textId="77777777" w:rsidR="004D3CB3" w:rsidRDefault="004D3CB3" w:rsidP="00877B34">
      <w:pPr>
        <w:spacing w:after="0" w:line="360" w:lineRule="auto"/>
        <w:rPr>
          <w:color w:val="auto"/>
        </w:rPr>
      </w:pPr>
    </w:p>
    <w:p w14:paraId="19813D55" w14:textId="7CC4B8A9" w:rsidR="004D3CB3" w:rsidRDefault="00052462" w:rsidP="00877B34">
      <w:pPr>
        <w:spacing w:after="0" w:line="360" w:lineRule="auto"/>
      </w:pPr>
      <w:r>
        <w:rPr>
          <w:color w:val="auto"/>
        </w:rPr>
        <w:t xml:space="preserve">iv. Oficio </w:t>
      </w:r>
      <w:r>
        <w:t>MA/DA/ADQ. /032606/2025 del treinta de junio de dos mil veinticinco, suscrito por la Directora de Administración, dirigido al Titular de la Unidad de Transparencia, por medio del cual se menciona lo siguiente:</w:t>
      </w:r>
    </w:p>
    <w:p w14:paraId="60095473" w14:textId="77777777" w:rsidR="000D79ED" w:rsidRDefault="000D79ED" w:rsidP="00877B34">
      <w:pPr>
        <w:spacing w:after="0" w:line="360" w:lineRule="auto"/>
      </w:pPr>
    </w:p>
    <w:p w14:paraId="20C2D45F" w14:textId="09D4C094" w:rsidR="00052462" w:rsidRPr="00052462" w:rsidRDefault="00052462" w:rsidP="00877B34">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052462">
        <w:rPr>
          <w:rFonts w:eastAsia="Times New Roman" w:cs="Arial"/>
          <w:bCs/>
          <w:i/>
          <w:iCs/>
          <w:color w:val="auto"/>
          <w:sz w:val="20"/>
          <w:lang w:eastAsia="es-ES"/>
        </w:rPr>
        <w:t>Atendiendo su solicitud, de conformidad con el articulo 12 y 24 último párrafo de la Ley de Transparencia y Acceso a la Información Pública del Estado de México y Municipios, una vez realizada la búsqueda exhaustiva y razonable en los archivos físicos y electrónicos y en lo que corresponde al Departamento de Recursos Materiales y Adquisiciones, se anexan copias de las requisiciones de la fecha solicitada</w:t>
      </w:r>
      <w:r>
        <w:rPr>
          <w:rFonts w:eastAsia="Times New Roman" w:cs="Arial"/>
          <w:bCs/>
          <w:i/>
          <w:iCs/>
          <w:color w:val="auto"/>
          <w:sz w:val="20"/>
          <w:lang w:eastAsia="es-ES"/>
        </w:rPr>
        <w:t xml:space="preserve">…” </w:t>
      </w:r>
    </w:p>
    <w:p w14:paraId="31000AEB" w14:textId="77777777" w:rsidR="00052462" w:rsidRDefault="00052462" w:rsidP="00877B34">
      <w:pPr>
        <w:spacing w:after="0" w:line="360" w:lineRule="auto"/>
        <w:rPr>
          <w:color w:val="auto"/>
        </w:rPr>
      </w:pPr>
    </w:p>
    <w:p w14:paraId="2F684862" w14:textId="6EA00FBD" w:rsidR="00052462" w:rsidRDefault="009F10E5" w:rsidP="00877B34">
      <w:pPr>
        <w:spacing w:after="0" w:line="360" w:lineRule="auto"/>
        <w:rPr>
          <w:color w:val="auto"/>
        </w:rPr>
      </w:pPr>
      <w:r>
        <w:rPr>
          <w:color w:val="auto"/>
        </w:rPr>
        <w:t>v. Escrito del primero de julio de dos mil veinticinco, suscrito por la Titular de la Unidad de Transparencia, dirigido al Solicitante por medio del cual</w:t>
      </w:r>
      <w:r w:rsidR="00A34B62">
        <w:rPr>
          <w:color w:val="auto"/>
        </w:rPr>
        <w:t>, se menciona lo siguiente:</w:t>
      </w:r>
    </w:p>
    <w:p w14:paraId="174FABC9" w14:textId="77777777" w:rsidR="00E4603F" w:rsidRDefault="00E4603F" w:rsidP="00877B34">
      <w:pPr>
        <w:spacing w:after="0" w:line="360" w:lineRule="auto"/>
        <w:rPr>
          <w:color w:val="auto"/>
        </w:rPr>
      </w:pPr>
    </w:p>
    <w:p w14:paraId="507DBF3D" w14:textId="6C5D3AE1" w:rsidR="00A34B62" w:rsidRDefault="00E4603F" w:rsidP="00877B34">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E4603F">
        <w:rPr>
          <w:rFonts w:eastAsia="Times New Roman" w:cs="Arial"/>
          <w:b/>
          <w:i/>
          <w:iCs/>
          <w:color w:val="auto"/>
          <w:sz w:val="20"/>
          <w:lang w:eastAsia="es-ES"/>
        </w:rPr>
        <w:t xml:space="preserve">PRIMERO: </w:t>
      </w:r>
      <w:r w:rsidRPr="00E4603F">
        <w:rPr>
          <w:rFonts w:eastAsia="Times New Roman" w:cs="Arial"/>
          <w:bCs/>
          <w:i/>
          <w:iCs/>
          <w:color w:val="auto"/>
          <w:sz w:val="20"/>
          <w:lang w:eastAsia="es-ES"/>
        </w:rPr>
        <w:t>A efecto de garantizar su Derecho de Acceso a la Información Pública se hace de su conocimiento lo siguiente:</w:t>
      </w:r>
    </w:p>
    <w:p w14:paraId="3C94F29F" w14:textId="77777777" w:rsidR="00BC0E7B" w:rsidRDefault="00BC0E7B" w:rsidP="00877B34">
      <w:pPr>
        <w:spacing w:after="0" w:line="360" w:lineRule="auto"/>
        <w:ind w:left="567" w:right="567"/>
        <w:rPr>
          <w:rFonts w:eastAsia="Times New Roman" w:cs="Arial"/>
          <w:bCs/>
          <w:i/>
          <w:iCs/>
          <w:color w:val="auto"/>
          <w:sz w:val="20"/>
          <w:lang w:eastAsia="es-ES"/>
        </w:rPr>
      </w:pPr>
    </w:p>
    <w:p w14:paraId="07789464" w14:textId="49BC8BA6" w:rsidR="00E4603F" w:rsidRDefault="00BC0E7B" w:rsidP="00877B34">
      <w:pPr>
        <w:spacing w:after="0" w:line="360" w:lineRule="auto"/>
        <w:ind w:left="567" w:right="567"/>
        <w:rPr>
          <w:rFonts w:eastAsia="Times New Roman" w:cs="Arial"/>
          <w:bCs/>
          <w:i/>
          <w:iCs/>
          <w:color w:val="auto"/>
          <w:sz w:val="20"/>
          <w:lang w:eastAsia="es-ES"/>
        </w:rPr>
      </w:pPr>
      <w:r w:rsidRPr="00BC0E7B">
        <w:rPr>
          <w:rFonts w:eastAsia="Times New Roman" w:cs="Arial"/>
          <w:bCs/>
          <w:i/>
          <w:iCs/>
          <w:color w:val="auto"/>
          <w:sz w:val="20"/>
          <w:lang w:eastAsia="es-ES"/>
        </w:rPr>
        <w:t>1.- De la información, se informa que la misma alcanza los 1.42 GB, por lo no puede ser proporcionada vía plataforma SAIMEX por la magnitud, toda vez que se rebasan las capacidades técnicas, administrativas, humanas y tecnológicas para hacer la entrega de la información; es así que en aras de garantizar su Derecho de Acceso a la Información Pública, la Tesorería Municipal solicitó al Comité de Transparencia el Cambio de Modalidad a Consulta Directa, fundado y motivado, mismo que fue confirmada en la Vigésima Tercera Sesión Extraordinaria del Comité de Transparencia mediante acuerdo ACT/ATLACOMULCO/EXT/CT/23a/ACU-CUARTO/2025, de conformidad con los artículos 158 y 164 de la Ley de Transparencia y Acceso a la Información Pública del Estado de México y Municipios que a la letra citan:</w:t>
      </w:r>
    </w:p>
    <w:p w14:paraId="00CEC8F4" w14:textId="53F0F6FF" w:rsidR="00BC0E7B" w:rsidRDefault="00BC0E7B" w:rsidP="00877B34">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p>
    <w:p w14:paraId="3F64053C" w14:textId="25175DCD" w:rsidR="00BC0E7B" w:rsidRDefault="00BC0E7B" w:rsidP="00877B34">
      <w:pPr>
        <w:spacing w:after="0" w:line="360" w:lineRule="auto"/>
        <w:ind w:left="567" w:right="567"/>
        <w:rPr>
          <w:rFonts w:eastAsia="Times New Roman" w:cs="Arial"/>
          <w:bCs/>
          <w:i/>
          <w:iCs/>
          <w:color w:val="auto"/>
          <w:sz w:val="20"/>
          <w:lang w:eastAsia="es-ES"/>
        </w:rPr>
      </w:pPr>
      <w:r w:rsidRPr="00BC0E7B">
        <w:rPr>
          <w:rFonts w:eastAsia="Times New Roman" w:cs="Arial"/>
          <w:bCs/>
          <w:i/>
          <w:iCs/>
          <w:color w:val="auto"/>
          <w:sz w:val="20"/>
          <w:lang w:eastAsia="es-ES"/>
        </w:rPr>
        <w:t xml:space="preserve">Además, se realizaron las gestiones pertinentes a la Dirección General de Informática del Instituto de Transparencia, Acceso a la Información Pública y Protección de Datos Personales del Estado de México y Municipios para hacer el registro de Incidencia correspondiente, por lo que se notificó a esta Unidad de Transparencia el oficio </w:t>
      </w:r>
      <w:r w:rsidRPr="00BC0E7B">
        <w:rPr>
          <w:rFonts w:eastAsia="Times New Roman" w:cs="Arial"/>
          <w:b/>
          <w:i/>
          <w:iCs/>
          <w:color w:val="auto"/>
          <w:sz w:val="20"/>
          <w:lang w:eastAsia="es-ES"/>
        </w:rPr>
        <w:t>No. INFOEM/DGI/530/2025</w:t>
      </w:r>
      <w:r w:rsidRPr="00BC0E7B">
        <w:rPr>
          <w:rFonts w:eastAsia="Times New Roman" w:cs="Arial"/>
          <w:bCs/>
          <w:i/>
          <w:iCs/>
          <w:color w:val="auto"/>
          <w:sz w:val="20"/>
          <w:lang w:eastAsia="es-ES"/>
        </w:rPr>
        <w:t>, signado por el Directo</w:t>
      </w:r>
      <w:r>
        <w:rPr>
          <w:rFonts w:eastAsia="Times New Roman" w:cs="Arial"/>
          <w:bCs/>
          <w:i/>
          <w:iCs/>
          <w:color w:val="auto"/>
          <w:sz w:val="20"/>
          <w:lang w:eastAsia="es-ES"/>
        </w:rPr>
        <w:t xml:space="preserve">r </w:t>
      </w:r>
      <w:r w:rsidRPr="00BC0E7B">
        <w:rPr>
          <w:rFonts w:eastAsia="Times New Roman" w:cs="Arial"/>
          <w:bCs/>
          <w:i/>
          <w:iCs/>
          <w:color w:val="auto"/>
          <w:sz w:val="20"/>
          <w:lang w:eastAsia="es-ES"/>
        </w:rPr>
        <w:t>General de Informática del INFOEM, Nelson Correa Peralta, a través del cual comunica que la Incidencia Técnica quedó registrada en la Bitácora de Incidencias</w:t>
      </w:r>
      <w:r>
        <w:rPr>
          <w:rFonts w:eastAsia="Times New Roman" w:cs="Arial"/>
          <w:bCs/>
          <w:i/>
          <w:iCs/>
          <w:color w:val="auto"/>
          <w:sz w:val="20"/>
          <w:lang w:eastAsia="es-ES"/>
        </w:rPr>
        <w:t>…” (Sic)</w:t>
      </w:r>
    </w:p>
    <w:p w14:paraId="22FF4184" w14:textId="77777777" w:rsidR="00BC0E7B" w:rsidRPr="00E4603F" w:rsidRDefault="00BC0E7B" w:rsidP="00877B34">
      <w:pPr>
        <w:spacing w:after="0" w:line="360" w:lineRule="auto"/>
        <w:ind w:right="567"/>
        <w:rPr>
          <w:rFonts w:eastAsia="Times New Roman" w:cs="Arial"/>
          <w:bCs/>
          <w:i/>
          <w:iCs/>
          <w:color w:val="auto"/>
          <w:sz w:val="20"/>
          <w:lang w:eastAsia="es-ES"/>
        </w:rPr>
      </w:pPr>
    </w:p>
    <w:p w14:paraId="7E7FBB31" w14:textId="68020061" w:rsidR="00E22EA8" w:rsidRPr="00DA72A0" w:rsidRDefault="002207FA" w:rsidP="00877B34">
      <w:pPr>
        <w:pStyle w:val="Ttulo2"/>
        <w:spacing w:before="0" w:after="0" w:line="360" w:lineRule="auto"/>
        <w:rPr>
          <w:color w:val="auto"/>
          <w:sz w:val="22"/>
          <w:szCs w:val="22"/>
        </w:rPr>
      </w:pPr>
      <w:bookmarkStart w:id="7" w:name="_Toc213332285"/>
      <w:r w:rsidRPr="00DA72A0">
        <w:rPr>
          <w:color w:val="auto"/>
          <w:sz w:val="22"/>
          <w:szCs w:val="22"/>
        </w:rPr>
        <w:t>III</w:t>
      </w:r>
      <w:r w:rsidR="00E22EA8" w:rsidRPr="00DA72A0">
        <w:rPr>
          <w:color w:val="auto"/>
          <w:sz w:val="22"/>
          <w:szCs w:val="22"/>
        </w:rPr>
        <w:t>. Interposición del Recurso de Revisión</w:t>
      </w:r>
      <w:bookmarkEnd w:id="7"/>
    </w:p>
    <w:p w14:paraId="053D45CF" w14:textId="77777777" w:rsidR="00E22EA8" w:rsidRPr="00664A72" w:rsidRDefault="00E22EA8" w:rsidP="00877B34">
      <w:pPr>
        <w:spacing w:after="0" w:line="360" w:lineRule="auto"/>
        <w:rPr>
          <w:b/>
          <w:color w:val="FF0000"/>
        </w:rPr>
      </w:pPr>
    </w:p>
    <w:p w14:paraId="355C8CC6" w14:textId="72B8DC96" w:rsidR="009C5A71" w:rsidRPr="00DA72A0" w:rsidRDefault="00083169" w:rsidP="00877B34">
      <w:pPr>
        <w:spacing w:after="0" w:line="360" w:lineRule="auto"/>
        <w:rPr>
          <w:bCs/>
          <w:color w:val="auto"/>
        </w:rPr>
      </w:pPr>
      <w:r w:rsidRPr="00DA72A0">
        <w:rPr>
          <w:bCs/>
          <w:color w:val="auto"/>
        </w:rPr>
        <w:t>El</w:t>
      </w:r>
      <w:r w:rsidR="008E5E71" w:rsidRPr="00DA72A0">
        <w:rPr>
          <w:bCs/>
          <w:color w:val="auto"/>
        </w:rPr>
        <w:t xml:space="preserve"> </w:t>
      </w:r>
      <w:r w:rsidR="00DA72A0" w:rsidRPr="00DA72A0">
        <w:rPr>
          <w:color w:val="auto"/>
        </w:rPr>
        <w:t xml:space="preserve">tres </w:t>
      </w:r>
      <w:r w:rsidR="0032674C" w:rsidRPr="00DA72A0">
        <w:rPr>
          <w:color w:val="auto"/>
        </w:rPr>
        <w:t xml:space="preserve">de julio </w:t>
      </w:r>
      <w:r w:rsidR="008E5E71" w:rsidRPr="00DA72A0">
        <w:rPr>
          <w:color w:val="auto"/>
        </w:rPr>
        <w:t>de dos mil veinticinco</w:t>
      </w:r>
      <w:r w:rsidR="00E22EA8" w:rsidRPr="00DA72A0">
        <w:rPr>
          <w:bCs/>
          <w:color w:val="auto"/>
        </w:rPr>
        <w:t xml:space="preserve">, se recibió en este Instituto, a través del </w:t>
      </w:r>
      <w:r w:rsidR="00E22EA8" w:rsidRPr="00DA72A0">
        <w:rPr>
          <w:bCs/>
          <w:color w:val="auto"/>
          <w:lang w:val="es-ES"/>
        </w:rPr>
        <w:t>Sistema de Acceso a la Información Mexiquense (SAIMEX)</w:t>
      </w:r>
      <w:r w:rsidR="00E22EA8" w:rsidRPr="00DA72A0">
        <w:rPr>
          <w:bCs/>
          <w:color w:val="auto"/>
        </w:rPr>
        <w:t xml:space="preserve">, </w:t>
      </w:r>
      <w:r w:rsidR="009019A8" w:rsidRPr="00DA72A0">
        <w:rPr>
          <w:bCs/>
          <w:color w:val="auto"/>
        </w:rPr>
        <w:t xml:space="preserve">el </w:t>
      </w:r>
      <w:r w:rsidR="00E22EA8" w:rsidRPr="00DA72A0">
        <w:rPr>
          <w:bCs/>
          <w:color w:val="auto"/>
        </w:rPr>
        <w:t>Recurso de Revisión interpuesto por la p</w:t>
      </w:r>
      <w:r w:rsidRPr="00DA72A0">
        <w:rPr>
          <w:bCs/>
          <w:color w:val="auto"/>
        </w:rPr>
        <w:t>ersona</w:t>
      </w:r>
      <w:r w:rsidR="00E22EA8" w:rsidRPr="00DA72A0">
        <w:rPr>
          <w:bCs/>
          <w:color w:val="auto"/>
        </w:rPr>
        <w:t xml:space="preserve"> Recurrente, en contra de la respuesta por el Sujeto Obligado, a la solicitud de información</w:t>
      </w:r>
      <w:r w:rsidR="00F43789" w:rsidRPr="00DA72A0">
        <w:rPr>
          <w:rFonts w:eastAsia="Calibri" w:cs="Times New Roman"/>
          <w:color w:val="auto"/>
        </w:rPr>
        <w:t xml:space="preserve">, </w:t>
      </w:r>
      <w:r w:rsidR="00E22EA8" w:rsidRPr="00DA72A0">
        <w:rPr>
          <w:bCs/>
          <w:color w:val="auto"/>
        </w:rPr>
        <w:t>en los siguientes términos:</w:t>
      </w:r>
    </w:p>
    <w:p w14:paraId="499DDBDB" w14:textId="77777777" w:rsidR="008E5E71" w:rsidRPr="00DA72A0" w:rsidRDefault="008E5E71" w:rsidP="00877B34">
      <w:pPr>
        <w:spacing w:after="0" w:line="360" w:lineRule="auto"/>
        <w:ind w:left="567" w:right="567"/>
        <w:rPr>
          <w:b/>
          <w:bCs/>
          <w:i/>
          <w:color w:val="auto"/>
          <w:sz w:val="20"/>
          <w:szCs w:val="20"/>
        </w:rPr>
      </w:pPr>
    </w:p>
    <w:p w14:paraId="1B2CCD45" w14:textId="1F34B3A9" w:rsidR="00E22EA8" w:rsidRPr="00DA72A0" w:rsidRDefault="00E12804" w:rsidP="00877B34">
      <w:pPr>
        <w:spacing w:after="0" w:line="360" w:lineRule="auto"/>
        <w:ind w:left="567" w:right="567"/>
        <w:rPr>
          <w:bCs/>
          <w:i/>
          <w:color w:val="auto"/>
          <w:sz w:val="20"/>
          <w:szCs w:val="20"/>
        </w:rPr>
      </w:pPr>
      <w:r w:rsidRPr="00DA72A0">
        <w:rPr>
          <w:b/>
          <w:bCs/>
          <w:i/>
          <w:color w:val="auto"/>
          <w:sz w:val="20"/>
          <w:szCs w:val="20"/>
        </w:rPr>
        <w:t>‘’</w:t>
      </w:r>
      <w:r w:rsidR="00E22EA8" w:rsidRPr="00DA72A0">
        <w:rPr>
          <w:b/>
          <w:bCs/>
          <w:i/>
          <w:color w:val="auto"/>
          <w:sz w:val="20"/>
          <w:szCs w:val="20"/>
        </w:rPr>
        <w:t>ACTO IMPUGNADO</w:t>
      </w:r>
    </w:p>
    <w:p w14:paraId="20CB87D1" w14:textId="53484103" w:rsidR="00E22EA8" w:rsidRPr="00DA72A0" w:rsidRDefault="00DA72A0" w:rsidP="00877B34">
      <w:pPr>
        <w:spacing w:after="0" w:line="360" w:lineRule="auto"/>
        <w:ind w:left="567" w:right="567"/>
        <w:rPr>
          <w:i/>
          <w:iCs/>
          <w:color w:val="auto"/>
          <w:sz w:val="20"/>
          <w:szCs w:val="20"/>
        </w:rPr>
      </w:pPr>
      <w:r w:rsidRPr="00DA72A0">
        <w:rPr>
          <w:i/>
          <w:iCs/>
          <w:color w:val="auto"/>
          <w:sz w:val="20"/>
          <w:szCs w:val="20"/>
        </w:rPr>
        <w:t>Información incompleta e ilegible no se ve</w:t>
      </w:r>
      <w:r w:rsidR="00E22EA8" w:rsidRPr="00DA72A0">
        <w:rPr>
          <w:i/>
          <w:iCs/>
          <w:color w:val="auto"/>
          <w:sz w:val="20"/>
          <w:szCs w:val="20"/>
        </w:rPr>
        <w:t>”</w:t>
      </w:r>
      <w:r w:rsidR="002D6CA6" w:rsidRPr="00DA72A0">
        <w:rPr>
          <w:i/>
          <w:iCs/>
          <w:color w:val="auto"/>
          <w:sz w:val="20"/>
          <w:szCs w:val="20"/>
        </w:rPr>
        <w:t xml:space="preserve"> (Sic.)</w:t>
      </w:r>
    </w:p>
    <w:p w14:paraId="3B2615CC" w14:textId="77777777" w:rsidR="00E22EA8" w:rsidRPr="00664A72" w:rsidRDefault="00E22EA8" w:rsidP="00877B34">
      <w:pPr>
        <w:spacing w:after="0" w:line="360" w:lineRule="auto"/>
        <w:ind w:left="567" w:right="567"/>
        <w:rPr>
          <w:i/>
          <w:color w:val="FF0000"/>
          <w:sz w:val="20"/>
          <w:szCs w:val="20"/>
        </w:rPr>
      </w:pPr>
    </w:p>
    <w:p w14:paraId="3F1F07C7" w14:textId="49F2AE96" w:rsidR="00E22EA8" w:rsidRPr="00DA72A0" w:rsidRDefault="00E12804" w:rsidP="00877B34">
      <w:pPr>
        <w:spacing w:after="0" w:line="360" w:lineRule="auto"/>
        <w:ind w:left="567" w:right="567"/>
        <w:rPr>
          <w:b/>
          <w:i/>
          <w:color w:val="auto"/>
          <w:sz w:val="20"/>
          <w:szCs w:val="20"/>
        </w:rPr>
      </w:pPr>
      <w:r w:rsidRPr="00DA72A0">
        <w:rPr>
          <w:b/>
          <w:i/>
          <w:color w:val="auto"/>
          <w:sz w:val="20"/>
          <w:szCs w:val="20"/>
        </w:rPr>
        <w:t>‘’</w:t>
      </w:r>
      <w:r w:rsidR="00E22EA8" w:rsidRPr="00DA72A0">
        <w:rPr>
          <w:b/>
          <w:i/>
          <w:color w:val="auto"/>
          <w:sz w:val="20"/>
          <w:szCs w:val="20"/>
        </w:rPr>
        <w:t>RAZONES O MOTIVOS DE LA INCONFORMIDAD</w:t>
      </w:r>
    </w:p>
    <w:p w14:paraId="4CCC5C3C" w14:textId="3556463D" w:rsidR="0032674C" w:rsidRPr="00DA72A0" w:rsidRDefault="00DA72A0" w:rsidP="00877B34">
      <w:pPr>
        <w:spacing w:after="0" w:line="360" w:lineRule="auto"/>
        <w:ind w:left="567" w:right="567"/>
        <w:rPr>
          <w:i/>
          <w:iCs/>
          <w:color w:val="auto"/>
          <w:sz w:val="20"/>
          <w:szCs w:val="20"/>
        </w:rPr>
      </w:pPr>
      <w:r w:rsidRPr="00DA72A0">
        <w:rPr>
          <w:i/>
          <w:iCs/>
          <w:color w:val="auto"/>
          <w:sz w:val="20"/>
          <w:szCs w:val="20"/>
        </w:rPr>
        <w:t>Incompleta e ilegible</w:t>
      </w:r>
      <w:r w:rsidR="0032674C" w:rsidRPr="00DA72A0">
        <w:rPr>
          <w:i/>
          <w:iCs/>
          <w:color w:val="auto"/>
          <w:sz w:val="20"/>
          <w:szCs w:val="20"/>
        </w:rPr>
        <w:t>” (Sic.)</w:t>
      </w:r>
    </w:p>
    <w:p w14:paraId="333C81B3" w14:textId="77777777" w:rsidR="003E4CFD" w:rsidRPr="00664A72" w:rsidRDefault="003E4CFD" w:rsidP="00877B34">
      <w:pPr>
        <w:spacing w:after="0" w:line="360" w:lineRule="auto"/>
        <w:ind w:right="567"/>
        <w:rPr>
          <w:iCs/>
          <w:color w:val="FF0000"/>
        </w:rPr>
      </w:pPr>
    </w:p>
    <w:p w14:paraId="009DB65C" w14:textId="2D236FF1" w:rsidR="00E22EA8" w:rsidRPr="00DA72A0" w:rsidRDefault="002207FA" w:rsidP="00877B34">
      <w:pPr>
        <w:pStyle w:val="Ttulo2"/>
        <w:spacing w:before="0" w:after="0" w:line="360" w:lineRule="auto"/>
        <w:rPr>
          <w:color w:val="auto"/>
          <w:sz w:val="22"/>
          <w:szCs w:val="22"/>
        </w:rPr>
      </w:pPr>
      <w:bookmarkStart w:id="8" w:name="_Toc213332286"/>
      <w:r w:rsidRPr="00DA72A0">
        <w:rPr>
          <w:color w:val="auto"/>
          <w:sz w:val="22"/>
          <w:szCs w:val="22"/>
        </w:rPr>
        <w:t>I</w:t>
      </w:r>
      <w:r w:rsidR="00E22EA8" w:rsidRPr="00DA72A0">
        <w:rPr>
          <w:color w:val="auto"/>
          <w:sz w:val="22"/>
          <w:szCs w:val="22"/>
        </w:rPr>
        <w:t>V. Trámite del Recurso de Revisión ante este Instituto</w:t>
      </w:r>
      <w:bookmarkEnd w:id="8"/>
    </w:p>
    <w:p w14:paraId="5C9B63F8" w14:textId="77777777" w:rsidR="009B2DAB" w:rsidRPr="00DA72A0" w:rsidRDefault="009B2DAB" w:rsidP="00877B34">
      <w:pPr>
        <w:spacing w:after="0" w:line="360" w:lineRule="auto"/>
        <w:rPr>
          <w:b/>
          <w:bCs/>
          <w:color w:val="auto"/>
        </w:rPr>
      </w:pPr>
    </w:p>
    <w:p w14:paraId="173768ED" w14:textId="6A081625" w:rsidR="00E22EA8" w:rsidRPr="00DA72A0" w:rsidRDefault="00E22EA8" w:rsidP="00877B34">
      <w:pPr>
        <w:spacing w:after="0" w:line="360" w:lineRule="auto"/>
        <w:rPr>
          <w:bCs/>
          <w:color w:val="auto"/>
        </w:rPr>
      </w:pPr>
      <w:r w:rsidRPr="00DA72A0">
        <w:rPr>
          <w:b/>
          <w:bCs/>
          <w:color w:val="auto"/>
        </w:rPr>
        <w:t>a) Turno del Medio de Impugnación.</w:t>
      </w:r>
      <w:r w:rsidR="000A706F" w:rsidRPr="00DA72A0">
        <w:rPr>
          <w:bCs/>
          <w:color w:val="auto"/>
        </w:rPr>
        <w:t xml:space="preserve"> </w:t>
      </w:r>
      <w:r w:rsidR="003C5F59" w:rsidRPr="00DA72A0">
        <w:rPr>
          <w:bCs/>
          <w:color w:val="auto"/>
        </w:rPr>
        <w:t xml:space="preserve">El </w:t>
      </w:r>
      <w:r w:rsidR="00DA72A0" w:rsidRPr="00DA72A0">
        <w:rPr>
          <w:bCs/>
          <w:color w:val="auto"/>
        </w:rPr>
        <w:t xml:space="preserve">tres </w:t>
      </w:r>
      <w:r w:rsidR="0032674C" w:rsidRPr="00DA72A0">
        <w:rPr>
          <w:bCs/>
          <w:color w:val="auto"/>
        </w:rPr>
        <w:t xml:space="preserve">de julio </w:t>
      </w:r>
      <w:r w:rsidR="00E64E18" w:rsidRPr="00DA72A0">
        <w:rPr>
          <w:color w:val="auto"/>
        </w:rPr>
        <w:t>de dos mil veinticinco</w:t>
      </w:r>
      <w:r w:rsidRPr="00DA72A0">
        <w:rPr>
          <w:bCs/>
          <w:color w:val="auto"/>
        </w:rPr>
        <w:t xml:space="preserve">, el </w:t>
      </w:r>
      <w:r w:rsidRPr="00DA72A0">
        <w:rPr>
          <w:color w:val="auto"/>
          <w:lang w:val="es-ES"/>
        </w:rPr>
        <w:t>Sistema de Acceso a la Información Mexiquense (SAIMEX),</w:t>
      </w:r>
      <w:r w:rsidRPr="00DA72A0">
        <w:rPr>
          <w:bCs/>
          <w:color w:val="auto"/>
        </w:rPr>
        <w:t xml:space="preserve"> asignó el número de expediente </w:t>
      </w:r>
      <w:r w:rsidR="002D6CA6" w:rsidRPr="00DA72A0">
        <w:rPr>
          <w:b/>
          <w:bCs/>
          <w:color w:val="auto"/>
        </w:rPr>
        <w:t>0</w:t>
      </w:r>
      <w:r w:rsidR="0032674C" w:rsidRPr="00DA72A0">
        <w:rPr>
          <w:b/>
          <w:bCs/>
          <w:color w:val="auto"/>
        </w:rPr>
        <w:t>8</w:t>
      </w:r>
      <w:r w:rsidR="00DA72A0" w:rsidRPr="00DA72A0">
        <w:rPr>
          <w:b/>
          <w:bCs/>
          <w:color w:val="auto"/>
        </w:rPr>
        <w:t>186</w:t>
      </w:r>
      <w:r w:rsidR="000D392E" w:rsidRPr="00DA72A0">
        <w:rPr>
          <w:b/>
          <w:bCs/>
          <w:color w:val="auto"/>
        </w:rPr>
        <w:t>/INFOEM/IP/RR/2025</w:t>
      </w:r>
      <w:r w:rsidRPr="00DA72A0">
        <w:rPr>
          <w:bCs/>
          <w:color w:val="auto"/>
        </w:rPr>
        <w:t xml:space="preserve">, al medio de impugnación que nos ocupa, con base en el sistema aprobado por el Pleno de este </w:t>
      </w:r>
      <w:r w:rsidR="00B65BCA" w:rsidRPr="00DA72A0">
        <w:rPr>
          <w:bCs/>
          <w:color w:val="auto"/>
        </w:rPr>
        <w:t>Organismo</w:t>
      </w:r>
      <w:r w:rsidRPr="00DA72A0">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664A72" w:rsidRDefault="005914EE" w:rsidP="00877B34">
      <w:pPr>
        <w:spacing w:after="0" w:line="360" w:lineRule="auto"/>
        <w:rPr>
          <w:b/>
          <w:bCs/>
          <w:color w:val="FF0000"/>
        </w:rPr>
      </w:pPr>
    </w:p>
    <w:p w14:paraId="61891480" w14:textId="3D18A88C" w:rsidR="00E22EA8" w:rsidRPr="00DA72A0" w:rsidRDefault="00E22EA8" w:rsidP="00877B34">
      <w:pPr>
        <w:spacing w:after="0" w:line="360" w:lineRule="auto"/>
        <w:rPr>
          <w:color w:val="auto"/>
        </w:rPr>
      </w:pPr>
      <w:r w:rsidRPr="00DA72A0">
        <w:rPr>
          <w:b/>
          <w:bCs/>
          <w:color w:val="auto"/>
        </w:rPr>
        <w:t>b) Admisión del Recurso de Revisión</w:t>
      </w:r>
      <w:r w:rsidRPr="00DA72A0">
        <w:rPr>
          <w:b/>
          <w:bCs/>
          <w:color w:val="auto"/>
          <w:lang w:val="es-ES_tradnl"/>
        </w:rPr>
        <w:t xml:space="preserve">. </w:t>
      </w:r>
      <w:r w:rsidR="003C5F59" w:rsidRPr="00DA72A0">
        <w:rPr>
          <w:color w:val="auto"/>
        </w:rPr>
        <w:t xml:space="preserve">El </w:t>
      </w:r>
      <w:r w:rsidR="00DA72A0" w:rsidRPr="00DA72A0">
        <w:rPr>
          <w:color w:val="auto"/>
        </w:rPr>
        <w:t xml:space="preserve">ocho de julio </w:t>
      </w:r>
      <w:r w:rsidR="00E64E18" w:rsidRPr="00DA72A0">
        <w:rPr>
          <w:color w:val="auto"/>
        </w:rPr>
        <w:t>de dos mil veinticinco</w:t>
      </w:r>
      <w:r w:rsidRPr="00DA72A0">
        <w:rPr>
          <w:bCs/>
          <w:color w:val="auto"/>
          <w:lang w:val="es-ES_tradnl"/>
        </w:rPr>
        <w:t xml:space="preserve">, se acordó la admisión del Recurso de Revisión interpuesto por </w:t>
      </w:r>
      <w:r w:rsidR="00261B92" w:rsidRPr="00DA72A0">
        <w:rPr>
          <w:bCs/>
          <w:color w:val="auto"/>
          <w:lang w:val="es-ES_tradnl"/>
        </w:rPr>
        <w:t>la persona</w:t>
      </w:r>
      <w:r w:rsidRPr="00DA72A0">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A72A0">
        <w:rPr>
          <w:bCs/>
          <w:color w:val="auto"/>
          <w:lang w:val="es-ES_tradnl"/>
        </w:rPr>
        <w:t>el</w:t>
      </w:r>
      <w:r w:rsidR="00BF381B" w:rsidRPr="00DA72A0">
        <w:rPr>
          <w:bCs/>
          <w:color w:val="auto"/>
          <w:lang w:val="es-ES_tradnl"/>
        </w:rPr>
        <w:t xml:space="preserve"> mismo día</w:t>
      </w:r>
      <w:r w:rsidRPr="00DA72A0">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664A72" w:rsidRDefault="00E22EA8" w:rsidP="00877B34">
      <w:pPr>
        <w:spacing w:after="0" w:line="360" w:lineRule="auto"/>
        <w:rPr>
          <w:rFonts w:cs="Tahoma"/>
          <w:color w:val="FF0000"/>
          <w:lang w:val="es-ES_tradnl"/>
        </w:rPr>
      </w:pPr>
    </w:p>
    <w:p w14:paraId="08941E26" w14:textId="14F2801D" w:rsidR="00DA72A0" w:rsidRDefault="00DA72A0" w:rsidP="00877B34">
      <w:pPr>
        <w:spacing w:after="0" w:line="360" w:lineRule="auto"/>
        <w:rPr>
          <w:color w:val="auto"/>
        </w:rPr>
      </w:pPr>
      <w:bookmarkStart w:id="9" w:name="_Hlk182976945"/>
      <w:r w:rsidRPr="00DA72A0">
        <w:rPr>
          <w:b/>
          <w:color w:val="auto"/>
        </w:rPr>
        <w:t xml:space="preserve">c) Informe Justificado. </w:t>
      </w:r>
      <w:r w:rsidRPr="00DA72A0">
        <w:rPr>
          <w:color w:val="auto"/>
        </w:rPr>
        <w:t xml:space="preserve">El </w:t>
      </w:r>
      <w:r>
        <w:rPr>
          <w:color w:val="auto"/>
        </w:rPr>
        <w:t xml:space="preserve">diecisiete de julio </w:t>
      </w:r>
      <w:r w:rsidRPr="00DA72A0">
        <w:rPr>
          <w:color w:val="auto"/>
        </w:rPr>
        <w:t xml:space="preserve">de dos mil veinticinco, se recibió, a través del Sistema de Acceso a la Información Mexiquense (SAIMEX), el Informe Justificado del Sujeto Obligado, a través de </w:t>
      </w:r>
      <w:r>
        <w:rPr>
          <w:color w:val="auto"/>
        </w:rPr>
        <w:t>la digitalización de los siguientes documentos:</w:t>
      </w:r>
    </w:p>
    <w:p w14:paraId="760C3CCE" w14:textId="77777777" w:rsidR="00DA72A0" w:rsidRDefault="00DA72A0" w:rsidP="00877B34">
      <w:pPr>
        <w:spacing w:after="0" w:line="360" w:lineRule="auto"/>
        <w:rPr>
          <w:color w:val="auto"/>
        </w:rPr>
      </w:pPr>
    </w:p>
    <w:p w14:paraId="790F44F1" w14:textId="414CA3E5" w:rsidR="00F91C5D" w:rsidRDefault="00F91C5D" w:rsidP="00877B34">
      <w:pPr>
        <w:spacing w:after="0" w:line="360" w:lineRule="auto"/>
        <w:rPr>
          <w:color w:val="auto"/>
        </w:rPr>
      </w:pPr>
      <w:r>
        <w:rPr>
          <w:color w:val="auto"/>
        </w:rPr>
        <w:t xml:space="preserve">i. </w:t>
      </w:r>
      <w:r w:rsidRPr="004D3CB3">
        <w:rPr>
          <w:color w:val="auto"/>
        </w:rPr>
        <w:t xml:space="preserve">Documento que consta de cuatrocientas </w:t>
      </w:r>
      <w:r>
        <w:rPr>
          <w:color w:val="auto"/>
        </w:rPr>
        <w:t xml:space="preserve">dieciocho </w:t>
      </w:r>
      <w:r w:rsidRPr="004D3CB3">
        <w:rPr>
          <w:color w:val="auto"/>
        </w:rPr>
        <w:t xml:space="preserve">páginas </w:t>
      </w:r>
      <w:r w:rsidR="000D79ED">
        <w:rPr>
          <w:color w:val="auto"/>
        </w:rPr>
        <w:t>que contienen</w:t>
      </w:r>
      <w:r w:rsidRPr="004D3CB3">
        <w:rPr>
          <w:color w:val="auto"/>
        </w:rPr>
        <w:t xml:space="preserve"> las requisiciones.</w:t>
      </w:r>
    </w:p>
    <w:p w14:paraId="5EFA343C" w14:textId="59D4DD24" w:rsidR="00F91C5D" w:rsidRPr="00DA72A0" w:rsidRDefault="00F91C5D" w:rsidP="00877B34">
      <w:pPr>
        <w:spacing w:after="0" w:line="360" w:lineRule="auto"/>
        <w:rPr>
          <w:color w:val="auto"/>
        </w:rPr>
      </w:pPr>
    </w:p>
    <w:p w14:paraId="7A9B5E88" w14:textId="176097A1" w:rsidR="00B33C68" w:rsidRDefault="002155E0" w:rsidP="00877B34">
      <w:pPr>
        <w:spacing w:after="0" w:line="360" w:lineRule="auto"/>
        <w:rPr>
          <w:color w:val="auto"/>
        </w:rPr>
      </w:pPr>
      <w:r w:rsidRPr="002155E0">
        <w:rPr>
          <w:color w:val="auto"/>
        </w:rPr>
        <w:t xml:space="preserve">ii. Escrito </w:t>
      </w:r>
      <w:r>
        <w:rPr>
          <w:color w:val="auto"/>
        </w:rPr>
        <w:t>suscrito por la Titular de la Unidad de Transparencia, dirigido al Comisionado Ponente por medio del cual ratifico su respuesta.</w:t>
      </w:r>
    </w:p>
    <w:p w14:paraId="0C02BD6F" w14:textId="6740E64B" w:rsidR="00FC3E11" w:rsidRDefault="00FC3E11" w:rsidP="00877B34">
      <w:pPr>
        <w:spacing w:after="0" w:line="360" w:lineRule="auto"/>
      </w:pPr>
      <w:r>
        <w:rPr>
          <w:color w:val="auto"/>
        </w:rPr>
        <w:t xml:space="preserve">iii. Oficio </w:t>
      </w:r>
      <w:r>
        <w:t>PM/UT/RR/0329/2025 del ocho de julio de dos mil veinticinco, suscrito por la Titular de la Unidad de Transparencia, dirigido al Tesorero Municipal, por medio del cual solicito rindiera su informe justificado.</w:t>
      </w:r>
    </w:p>
    <w:p w14:paraId="768D0FE1" w14:textId="77777777" w:rsidR="003716BD" w:rsidRDefault="003716BD" w:rsidP="00877B34">
      <w:pPr>
        <w:spacing w:after="0" w:line="360" w:lineRule="auto"/>
      </w:pPr>
    </w:p>
    <w:p w14:paraId="5241673A" w14:textId="72D68B94" w:rsidR="003716BD" w:rsidRDefault="000E2759" w:rsidP="00877B34">
      <w:pPr>
        <w:spacing w:after="0" w:line="360" w:lineRule="auto"/>
      </w:pPr>
      <w:r>
        <w:t xml:space="preserve">iv. Oficio TMA/STE/896/07/2025 del quince de julio de dos mil veinticinco, suscrito por el Tesorero Municipal, dirigido a la Titular de la Unidad de Transparencia, por medio del </w:t>
      </w:r>
      <w:r w:rsidR="008C7DF5">
        <w:t>cual ratifico</w:t>
      </w:r>
      <w:r>
        <w:t xml:space="preserve"> su respuesta.</w:t>
      </w:r>
    </w:p>
    <w:p w14:paraId="27C42051" w14:textId="77777777" w:rsidR="007E2F77" w:rsidRDefault="007E2F77" w:rsidP="00877B34">
      <w:pPr>
        <w:spacing w:after="0" w:line="360" w:lineRule="auto"/>
      </w:pPr>
    </w:p>
    <w:p w14:paraId="0B286478" w14:textId="6AB3E6A6" w:rsidR="007E2F77" w:rsidRDefault="007E2F77" w:rsidP="00877B34">
      <w:pPr>
        <w:spacing w:after="0" w:line="360" w:lineRule="auto"/>
      </w:pPr>
      <w:r>
        <w:t>v. Oficio PM/UT/RR/0329-2/2025 del ocho de julio de dos mil veinticinco, suscrito por la Titular de la Unidad de Transparencia, dirigido al Director de Administración del Ayuntamiento de Atlacomulco, por medio del cual solicito rindiera su informe justificado.</w:t>
      </w:r>
    </w:p>
    <w:p w14:paraId="47AF143A" w14:textId="77777777" w:rsidR="007E2F77" w:rsidRDefault="007E2F77" w:rsidP="00877B34">
      <w:pPr>
        <w:spacing w:after="0" w:line="360" w:lineRule="auto"/>
      </w:pPr>
    </w:p>
    <w:p w14:paraId="1CECF8F9" w14:textId="3AA32FE1" w:rsidR="007E2F77" w:rsidRDefault="00D043BA" w:rsidP="00877B34">
      <w:pPr>
        <w:spacing w:after="0" w:line="360" w:lineRule="auto"/>
      </w:pPr>
      <w:r>
        <w:t xml:space="preserve">vi. Oficio MA/DA/ADQ./0352/07/2025 del diecisiete de julio de dos mil veinticinco, suscrito por el Director de Administración, dirigido a la Titular de la Unidad de Transparencia </w:t>
      </w:r>
      <w:r w:rsidR="00034C64">
        <w:t>por medio del cual ratifico su respuesta.</w:t>
      </w:r>
    </w:p>
    <w:p w14:paraId="7A773E33" w14:textId="77777777" w:rsidR="008C7DF5" w:rsidRPr="002155E0" w:rsidRDefault="008C7DF5" w:rsidP="00877B34">
      <w:pPr>
        <w:spacing w:after="0" w:line="360" w:lineRule="auto"/>
        <w:rPr>
          <w:color w:val="auto"/>
        </w:rPr>
      </w:pPr>
    </w:p>
    <w:p w14:paraId="3C0E5EC8" w14:textId="73B1BF53" w:rsidR="00B37A6D" w:rsidRDefault="00B33C68" w:rsidP="00877B34">
      <w:pPr>
        <w:spacing w:after="0" w:line="360" w:lineRule="auto"/>
        <w:rPr>
          <w:bCs/>
          <w:color w:val="auto"/>
        </w:rPr>
      </w:pPr>
      <w:r w:rsidRPr="005D5CE3">
        <w:rPr>
          <w:b/>
          <w:color w:val="auto"/>
        </w:rPr>
        <w:t xml:space="preserve">d) Ampliación de plazo para resolver. </w:t>
      </w:r>
      <w:r w:rsidRPr="005D5CE3">
        <w:rPr>
          <w:bCs/>
          <w:color w:val="auto"/>
        </w:rPr>
        <w:t>El veintinueve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30632D93" w14:textId="77777777" w:rsidR="005D5CE3" w:rsidRDefault="005D5CE3" w:rsidP="00877B34">
      <w:pPr>
        <w:spacing w:after="0" w:line="360" w:lineRule="auto"/>
        <w:rPr>
          <w:bCs/>
          <w:color w:val="auto"/>
        </w:rPr>
      </w:pPr>
    </w:p>
    <w:p w14:paraId="6D6A4C41" w14:textId="73CE7FA8" w:rsidR="005D5CE3" w:rsidRPr="005D5CE3" w:rsidRDefault="005D5CE3" w:rsidP="00877B34">
      <w:pPr>
        <w:spacing w:after="0" w:line="360" w:lineRule="auto"/>
        <w:rPr>
          <w:b/>
          <w:color w:val="auto"/>
        </w:rPr>
      </w:pPr>
      <w:r w:rsidRPr="005D5CE3">
        <w:rPr>
          <w:b/>
          <w:color w:val="auto"/>
        </w:rPr>
        <w:t>e) Vista al Informe Justificado.</w:t>
      </w:r>
      <w:r w:rsidRPr="005D5CE3">
        <w:rPr>
          <w:bCs/>
          <w:color w:val="auto"/>
        </w:rPr>
        <w:t xml:space="preserve"> El </w:t>
      </w:r>
      <w:r>
        <w:rPr>
          <w:bCs/>
          <w:color w:val="auto"/>
        </w:rPr>
        <w:t xml:space="preserve">veintisiete </w:t>
      </w:r>
      <w:r w:rsidRPr="005D5CE3">
        <w:rPr>
          <w:bCs/>
          <w:color w:val="auto"/>
        </w:rPr>
        <w:t xml:space="preserve"> de septiembre de dos mil veinticinco, se notificó</w:t>
      </w:r>
      <w:r>
        <w:rPr>
          <w:bCs/>
          <w:color w:val="auto"/>
        </w:rPr>
        <w:t xml:space="preserve"> </w:t>
      </w:r>
      <w:r w:rsidRPr="005D5CE3">
        <w:rPr>
          <w:bCs/>
          <w:color w:val="auto"/>
        </w:rPr>
        <w:t>a través del Sistema de Acceso a la Información Mexiquense (SAIMEX), el acuerdo</w:t>
      </w:r>
      <w:r>
        <w:rPr>
          <w:bCs/>
          <w:color w:val="auto"/>
        </w:rPr>
        <w:t xml:space="preserve"> </w:t>
      </w:r>
      <w:r w:rsidRPr="005D5CE3">
        <w:rPr>
          <w:bCs/>
          <w:color w:val="auto"/>
        </w:rPr>
        <w:t>mediante el cual se puso a la vista del Particular el Informe Justificado del Recurso de</w:t>
      </w:r>
      <w:r>
        <w:rPr>
          <w:bCs/>
          <w:color w:val="auto"/>
        </w:rPr>
        <w:t xml:space="preserve"> </w:t>
      </w:r>
      <w:r w:rsidRPr="005D5CE3">
        <w:rPr>
          <w:bCs/>
          <w:color w:val="auto"/>
        </w:rPr>
        <w:t>Revisión, proveído por el cual se le otorgó un término de tres días hábiles contados a</w:t>
      </w:r>
      <w:r>
        <w:rPr>
          <w:bCs/>
          <w:color w:val="auto"/>
        </w:rPr>
        <w:t xml:space="preserve"> </w:t>
      </w:r>
      <w:r w:rsidRPr="005D5CE3">
        <w:rPr>
          <w:bCs/>
          <w:color w:val="auto"/>
        </w:rPr>
        <w:t>partir del día siguiente a la notificación, a fin de emitir las manifestaciones que conforme a</w:t>
      </w:r>
      <w:r>
        <w:rPr>
          <w:bCs/>
          <w:color w:val="auto"/>
        </w:rPr>
        <w:t xml:space="preserve"> </w:t>
      </w:r>
      <w:r w:rsidRPr="005D5CE3">
        <w:rPr>
          <w:bCs/>
          <w:color w:val="auto"/>
        </w:rPr>
        <w:t xml:space="preserve">sus intereses convinieran. </w:t>
      </w:r>
      <w:r w:rsidRPr="005D5CE3">
        <w:rPr>
          <w:b/>
          <w:color w:val="auto"/>
        </w:rPr>
        <w:t>Cabe señalar que el Particular fue omiso en realizar manifestación alguna.</w:t>
      </w:r>
    </w:p>
    <w:p w14:paraId="020AE015" w14:textId="77777777" w:rsidR="00B33C68" w:rsidRPr="00664A72" w:rsidRDefault="00B33C68" w:rsidP="00877B34">
      <w:pPr>
        <w:spacing w:after="0" w:line="360" w:lineRule="auto"/>
        <w:contextualSpacing/>
        <w:rPr>
          <w:rFonts w:eastAsia="Batang" w:cs="Tahoma"/>
          <w:b/>
          <w:color w:val="FF0000"/>
        </w:rPr>
      </w:pPr>
    </w:p>
    <w:p w14:paraId="1220E37C" w14:textId="384A4254" w:rsidR="003C5FE0" w:rsidRPr="00AE0BFF" w:rsidRDefault="005D5CE3" w:rsidP="00877B34">
      <w:pPr>
        <w:spacing w:after="0" w:line="360" w:lineRule="auto"/>
        <w:contextualSpacing/>
        <w:rPr>
          <w:color w:val="auto"/>
        </w:rPr>
      </w:pPr>
      <w:r w:rsidRPr="00AE0BFF">
        <w:rPr>
          <w:rFonts w:eastAsia="Batang" w:cs="Tahoma"/>
          <w:b/>
          <w:color w:val="auto"/>
        </w:rPr>
        <w:t>f</w:t>
      </w:r>
      <w:r w:rsidR="003C5FE0" w:rsidRPr="00AE0BFF">
        <w:rPr>
          <w:rFonts w:eastAsia="Batang" w:cs="Tahoma"/>
          <w:b/>
          <w:color w:val="auto"/>
        </w:rPr>
        <w:t xml:space="preserve">) </w:t>
      </w:r>
      <w:r w:rsidR="00002B20" w:rsidRPr="00AE0BFF">
        <w:rPr>
          <w:rFonts w:eastAsia="Times New Roman" w:cs="Tahoma"/>
          <w:b/>
          <w:color w:val="auto"/>
          <w:szCs w:val="24"/>
          <w:lang w:eastAsia="es-ES"/>
        </w:rPr>
        <w:t>Cierre de instrucción.</w:t>
      </w:r>
      <w:r w:rsidR="00C06C06" w:rsidRPr="00AE0BFF">
        <w:rPr>
          <w:rFonts w:eastAsia="Times New Roman" w:cs="Tahoma"/>
          <w:color w:val="auto"/>
          <w:szCs w:val="24"/>
          <w:lang w:eastAsia="es-ES"/>
        </w:rPr>
        <w:t xml:space="preserve"> El </w:t>
      </w:r>
      <w:r w:rsidR="002E75B4">
        <w:rPr>
          <w:rFonts w:eastAsia="Times New Roman" w:cs="Tahoma"/>
          <w:color w:val="auto"/>
          <w:szCs w:val="24"/>
          <w:lang w:eastAsia="es-ES"/>
        </w:rPr>
        <w:t>cinco</w:t>
      </w:r>
      <w:r w:rsidR="00AE0BFF" w:rsidRPr="00AE0BFF">
        <w:rPr>
          <w:rFonts w:eastAsia="Times New Roman" w:cs="Tahoma"/>
          <w:color w:val="auto"/>
          <w:szCs w:val="24"/>
          <w:lang w:eastAsia="es-ES"/>
        </w:rPr>
        <w:t xml:space="preserve"> de noviembre </w:t>
      </w:r>
      <w:r w:rsidR="00002B20" w:rsidRPr="00AE0BFF">
        <w:rPr>
          <w:rFonts w:eastAsia="Times New Roman" w:cs="Tahoma"/>
          <w:color w:val="auto"/>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E0BFF">
        <w:rPr>
          <w:color w:val="auto"/>
          <w:lang w:val="es-ES"/>
        </w:rPr>
        <w:t>acto que fue notificado a las partes, mediante el Sistema de Acceso a la Información Mexiquense (SAIMEX), el mismo día.</w:t>
      </w:r>
    </w:p>
    <w:bookmarkEnd w:id="9"/>
    <w:p w14:paraId="08D98E1D" w14:textId="77777777" w:rsidR="000410E6" w:rsidRPr="00664A72" w:rsidRDefault="000410E6" w:rsidP="00877B34">
      <w:pPr>
        <w:spacing w:after="0" w:line="360" w:lineRule="auto"/>
        <w:rPr>
          <w:b/>
          <w:bCs/>
          <w:color w:val="FF0000"/>
          <w:lang w:val="es-ES"/>
        </w:rPr>
      </w:pPr>
    </w:p>
    <w:p w14:paraId="1D2DAFCD" w14:textId="77777777" w:rsidR="000410E6" w:rsidRPr="00AE0BFF" w:rsidRDefault="000410E6" w:rsidP="00877B34">
      <w:pPr>
        <w:spacing w:after="0" w:line="360" w:lineRule="auto"/>
        <w:rPr>
          <w:color w:val="auto"/>
        </w:rPr>
      </w:pPr>
      <w:r w:rsidRPr="00AE0BFF">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E0BFF" w:rsidRDefault="00674DAF" w:rsidP="00877B34">
      <w:pPr>
        <w:spacing w:after="0" w:line="360" w:lineRule="auto"/>
        <w:rPr>
          <w:color w:val="auto"/>
        </w:rPr>
      </w:pPr>
    </w:p>
    <w:p w14:paraId="250F6589" w14:textId="3F880C72" w:rsidR="005C690F" w:rsidRPr="00AE0BFF" w:rsidRDefault="00CD6238" w:rsidP="00877B34">
      <w:pPr>
        <w:pStyle w:val="Ttulo1"/>
        <w:spacing w:before="0" w:after="0" w:line="360" w:lineRule="auto"/>
        <w:jc w:val="center"/>
        <w:rPr>
          <w:color w:val="auto"/>
          <w:sz w:val="22"/>
          <w:szCs w:val="22"/>
        </w:rPr>
      </w:pPr>
      <w:bookmarkStart w:id="10" w:name="_Toc213332287"/>
      <w:r w:rsidRPr="00AE0BFF">
        <w:rPr>
          <w:color w:val="auto"/>
          <w:sz w:val="22"/>
          <w:szCs w:val="22"/>
        </w:rPr>
        <w:t>C O N S I D E R A N D O S</w:t>
      </w:r>
      <w:bookmarkEnd w:id="10"/>
    </w:p>
    <w:p w14:paraId="5AB6ED71" w14:textId="77777777" w:rsidR="005C690F" w:rsidRPr="00AE0BFF" w:rsidRDefault="005C690F" w:rsidP="00877B34">
      <w:pPr>
        <w:spacing w:after="0" w:line="360" w:lineRule="auto"/>
        <w:jc w:val="center"/>
        <w:rPr>
          <w:b/>
          <w:color w:val="auto"/>
        </w:rPr>
      </w:pPr>
    </w:p>
    <w:p w14:paraId="36BFFC7E" w14:textId="2F0F17EA" w:rsidR="005C690F" w:rsidRPr="00AE0BFF" w:rsidRDefault="007D6307" w:rsidP="00877B34">
      <w:pPr>
        <w:pStyle w:val="Ttulo2"/>
        <w:spacing w:before="0" w:after="0" w:line="360" w:lineRule="auto"/>
        <w:rPr>
          <w:color w:val="auto"/>
          <w:sz w:val="22"/>
          <w:szCs w:val="22"/>
        </w:rPr>
      </w:pPr>
      <w:bookmarkStart w:id="11" w:name="_Toc213332288"/>
      <w:r w:rsidRPr="00AE0BFF">
        <w:rPr>
          <w:color w:val="auto"/>
          <w:sz w:val="22"/>
          <w:szCs w:val="22"/>
        </w:rPr>
        <w:t xml:space="preserve">PRIMERO. </w:t>
      </w:r>
      <w:r w:rsidR="00CD6238" w:rsidRPr="00AE0BFF">
        <w:rPr>
          <w:color w:val="auto"/>
          <w:sz w:val="22"/>
          <w:szCs w:val="22"/>
        </w:rPr>
        <w:t>Competencia</w:t>
      </w:r>
      <w:bookmarkEnd w:id="11"/>
    </w:p>
    <w:p w14:paraId="34E42005" w14:textId="77777777" w:rsidR="0084143D" w:rsidRPr="00AE0BFF" w:rsidRDefault="0084143D" w:rsidP="00877B34">
      <w:pPr>
        <w:spacing w:after="0" w:line="360" w:lineRule="auto"/>
        <w:contextualSpacing/>
        <w:rPr>
          <w:rFonts w:eastAsia="Times New Roman" w:cs="Tahoma"/>
          <w:bCs/>
          <w:color w:val="auto"/>
          <w:lang w:eastAsia="es-ES"/>
        </w:rPr>
      </w:pPr>
      <w:bookmarkStart w:id="12" w:name="_heading=h.30j0zll" w:colFirst="0" w:colLast="0"/>
      <w:bookmarkEnd w:id="12"/>
    </w:p>
    <w:p w14:paraId="631AB898" w14:textId="77777777" w:rsidR="00F050C3" w:rsidRPr="00F050C3" w:rsidRDefault="00F050C3" w:rsidP="00F050C3">
      <w:pPr>
        <w:spacing w:after="0" w:line="360" w:lineRule="auto"/>
        <w:rPr>
          <w:color w:val="000000"/>
        </w:rPr>
      </w:pPr>
      <w:r w:rsidRPr="00F050C3">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AE0BFF" w:rsidRDefault="005C690F" w:rsidP="00877B34">
      <w:pPr>
        <w:spacing w:after="0" w:line="360" w:lineRule="auto"/>
        <w:rPr>
          <w:b/>
          <w:color w:val="auto"/>
        </w:rPr>
      </w:pPr>
    </w:p>
    <w:p w14:paraId="46691DD5" w14:textId="4C1C70AD" w:rsidR="005C690F" w:rsidRPr="00AE0BFF" w:rsidRDefault="007D6307" w:rsidP="00877B34">
      <w:pPr>
        <w:pStyle w:val="Ttulo2"/>
        <w:spacing w:before="0" w:after="0" w:line="360" w:lineRule="auto"/>
        <w:rPr>
          <w:color w:val="auto"/>
          <w:sz w:val="22"/>
          <w:szCs w:val="22"/>
        </w:rPr>
      </w:pPr>
      <w:bookmarkStart w:id="13" w:name="_Toc213332289"/>
      <w:r w:rsidRPr="00AE0BFF">
        <w:rPr>
          <w:color w:val="auto"/>
          <w:sz w:val="22"/>
          <w:szCs w:val="22"/>
        </w:rPr>
        <w:t>SEGUNDO. Causales de</w:t>
      </w:r>
      <w:r w:rsidR="00CD6238" w:rsidRPr="00AE0BFF">
        <w:rPr>
          <w:color w:val="auto"/>
          <w:sz w:val="22"/>
          <w:szCs w:val="22"/>
        </w:rPr>
        <w:t xml:space="preserve"> improcedencia y sobreseimiento</w:t>
      </w:r>
      <w:bookmarkEnd w:id="13"/>
    </w:p>
    <w:p w14:paraId="49AA4CDE" w14:textId="77777777" w:rsidR="005C690F" w:rsidRPr="00AE0BFF" w:rsidRDefault="005C690F" w:rsidP="00877B34">
      <w:pPr>
        <w:spacing w:after="0" w:line="360" w:lineRule="auto"/>
        <w:rPr>
          <w:color w:val="auto"/>
        </w:rPr>
      </w:pPr>
    </w:p>
    <w:p w14:paraId="2553CE58" w14:textId="77777777" w:rsidR="005C690F" w:rsidRPr="00AE0BFF" w:rsidRDefault="007D6307" w:rsidP="00877B34">
      <w:pPr>
        <w:spacing w:after="0" w:line="360" w:lineRule="auto"/>
        <w:rPr>
          <w:color w:val="auto"/>
        </w:rPr>
      </w:pPr>
      <w:r w:rsidRPr="00AE0BFF">
        <w:rPr>
          <w:color w:val="auto"/>
        </w:rPr>
        <w:t xml:space="preserve">De las constancias que forma parte del Recurso de Revisión que se analiza, se advierte que previo al estudio del fondo de la </w:t>
      </w:r>
      <w:r w:rsidRPr="00AE0BFF">
        <w:rPr>
          <w:i/>
          <w:color w:val="auto"/>
        </w:rPr>
        <w:t>litis</w:t>
      </w:r>
      <w:r w:rsidRPr="00AE0BFF">
        <w:rPr>
          <w:color w:val="auto"/>
        </w:rPr>
        <w:t>, es necesario estudiar las causales de improcedencia y sobreseimiento que se adviertan, para determinar lo que en Derecho proceda.</w:t>
      </w:r>
    </w:p>
    <w:p w14:paraId="35A30074" w14:textId="77777777" w:rsidR="009B2DAB" w:rsidRPr="00AE0BFF" w:rsidRDefault="009B2DAB" w:rsidP="00877B34">
      <w:pPr>
        <w:spacing w:after="0" w:line="360" w:lineRule="auto"/>
        <w:rPr>
          <w:color w:val="auto"/>
        </w:rPr>
      </w:pPr>
    </w:p>
    <w:p w14:paraId="3066DF0C" w14:textId="77777777" w:rsidR="005C690F" w:rsidRPr="00AE0BFF" w:rsidRDefault="007D6307" w:rsidP="00877B34">
      <w:pPr>
        <w:spacing w:after="0" w:line="360" w:lineRule="auto"/>
        <w:rPr>
          <w:b/>
          <w:color w:val="auto"/>
        </w:rPr>
      </w:pPr>
      <w:r w:rsidRPr="00AE0BFF">
        <w:rPr>
          <w:b/>
          <w:color w:val="auto"/>
        </w:rPr>
        <w:t>Causales de improcedencia</w:t>
      </w:r>
    </w:p>
    <w:p w14:paraId="706394D4" w14:textId="77777777" w:rsidR="00304DE6" w:rsidRPr="00AE0BFF" w:rsidRDefault="00304DE6" w:rsidP="00877B34">
      <w:pPr>
        <w:spacing w:after="0" w:line="360" w:lineRule="auto"/>
        <w:rPr>
          <w:b/>
          <w:color w:val="auto"/>
        </w:rPr>
      </w:pPr>
    </w:p>
    <w:p w14:paraId="6C56CA88" w14:textId="77777777" w:rsidR="005C690F" w:rsidRPr="00AE0BFF" w:rsidRDefault="007D6307" w:rsidP="00877B34">
      <w:pPr>
        <w:spacing w:after="0" w:line="360" w:lineRule="auto"/>
        <w:rPr>
          <w:color w:val="auto"/>
        </w:rPr>
      </w:pPr>
      <w:r w:rsidRPr="00AE0BFF">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E0BFF" w:rsidRDefault="005C690F" w:rsidP="00877B34">
      <w:pPr>
        <w:spacing w:after="0" w:line="360" w:lineRule="auto"/>
        <w:rPr>
          <w:color w:val="auto"/>
        </w:rPr>
      </w:pPr>
    </w:p>
    <w:p w14:paraId="22563DDB" w14:textId="33D3D011" w:rsidR="008D3B3F" w:rsidRPr="00AE0BFF" w:rsidRDefault="007D6307" w:rsidP="00877B34">
      <w:pPr>
        <w:spacing w:after="0" w:line="360" w:lineRule="auto"/>
        <w:rPr>
          <w:color w:val="auto"/>
        </w:rPr>
      </w:pPr>
      <w:r w:rsidRPr="00AE0BFF">
        <w:rPr>
          <w:color w:val="auto"/>
        </w:rPr>
        <w:t>En el presente caso, </w:t>
      </w:r>
      <w:r w:rsidRPr="00AE0BFF">
        <w:rPr>
          <w:b/>
          <w:color w:val="auto"/>
        </w:rPr>
        <w:t>no se actualiza ninguna de las causales de improcedencia</w:t>
      </w:r>
      <w:r w:rsidRPr="00AE0BFF">
        <w:rPr>
          <w:color w:val="auto"/>
        </w:rPr>
        <w:t> establecidas en el ordenamiento jurídico previamente señalado, toda vez que: este Instituto no tiene conocimiento de que se encuentre en trámite algún medio de defensa presentado por la</w:t>
      </w:r>
      <w:r w:rsidR="00261B92" w:rsidRPr="00AE0BFF">
        <w:rPr>
          <w:color w:val="auto"/>
        </w:rPr>
        <w:t xml:space="preserve"> persona</w:t>
      </w:r>
      <w:r w:rsidRPr="00AE0BFF">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664A72" w:rsidRDefault="00874D8A" w:rsidP="00877B34">
      <w:pPr>
        <w:spacing w:after="0" w:line="360" w:lineRule="auto"/>
        <w:rPr>
          <w:color w:val="FF0000"/>
        </w:rPr>
      </w:pPr>
    </w:p>
    <w:p w14:paraId="4EF8595B" w14:textId="77777777" w:rsidR="00624F33" w:rsidRDefault="00624F33" w:rsidP="00877B34">
      <w:pPr>
        <w:spacing w:after="0" w:line="360" w:lineRule="auto"/>
        <w:rPr>
          <w:color w:val="auto"/>
        </w:rPr>
      </w:pPr>
      <w:r w:rsidRPr="00DB0054">
        <w:rPr>
          <w:color w:val="auto"/>
        </w:rPr>
        <w:t>Por lo cual, se actualiza la causal de procedencia del Recurso de Revisión señalada en el artículo 179, fracción VIII, de la Ley en cita, pues la persona Recurrente se inconformó de la notificación, entrega o puesta a disposición de información en una modalidad distinta a la solicitada.</w:t>
      </w:r>
    </w:p>
    <w:p w14:paraId="600D8067" w14:textId="77777777" w:rsidR="00624F33" w:rsidRPr="00DB0054" w:rsidRDefault="00624F33" w:rsidP="00877B34">
      <w:pPr>
        <w:spacing w:after="0" w:line="360" w:lineRule="auto"/>
        <w:rPr>
          <w:color w:val="auto"/>
        </w:rPr>
      </w:pPr>
    </w:p>
    <w:p w14:paraId="2888CB61" w14:textId="77777777" w:rsidR="00624F33" w:rsidRPr="00624F33" w:rsidRDefault="00624F33" w:rsidP="00877B34">
      <w:pPr>
        <w:spacing w:after="0" w:line="360" w:lineRule="auto"/>
        <w:rPr>
          <w:color w:val="auto"/>
        </w:rPr>
      </w:pPr>
      <w:r w:rsidRPr="00624F33">
        <w:rPr>
          <w:b/>
          <w:color w:val="auto"/>
        </w:rPr>
        <w:t>Causales de sobreseimiento</w:t>
      </w:r>
    </w:p>
    <w:p w14:paraId="22EF217B" w14:textId="77777777" w:rsidR="00624F33" w:rsidRPr="00624F33" w:rsidRDefault="00624F33" w:rsidP="00877B34">
      <w:pPr>
        <w:spacing w:after="0" w:line="360" w:lineRule="auto"/>
        <w:rPr>
          <w:color w:val="auto"/>
        </w:rPr>
      </w:pPr>
    </w:p>
    <w:p w14:paraId="4AE42BF9" w14:textId="77777777" w:rsidR="00624F33" w:rsidRPr="00624F33" w:rsidRDefault="00624F33" w:rsidP="00877B34">
      <w:pPr>
        <w:spacing w:after="0" w:line="360" w:lineRule="auto"/>
        <w:rPr>
          <w:color w:val="auto"/>
        </w:rPr>
      </w:pPr>
      <w:r w:rsidRPr="00624F33">
        <w:rPr>
          <w:color w:val="auto"/>
        </w:rPr>
        <w:t>Por ser de previo y especial pronunciamiento, este Instituto analiza si se actualiza alguna causal de sobreseimiento.</w:t>
      </w:r>
    </w:p>
    <w:p w14:paraId="2E77C374" w14:textId="77777777" w:rsidR="00624F33" w:rsidRPr="00624F33" w:rsidRDefault="00624F33" w:rsidP="00877B34">
      <w:pPr>
        <w:spacing w:after="0" w:line="360" w:lineRule="auto"/>
        <w:rPr>
          <w:color w:val="auto"/>
        </w:rPr>
      </w:pPr>
    </w:p>
    <w:p w14:paraId="4392045E" w14:textId="77777777" w:rsidR="00624F33" w:rsidRPr="00624F33" w:rsidRDefault="00624F33" w:rsidP="00877B34">
      <w:pPr>
        <w:spacing w:after="0" w:line="360" w:lineRule="auto"/>
        <w:rPr>
          <w:color w:val="auto"/>
        </w:rPr>
      </w:pPr>
      <w:r w:rsidRPr="00624F33">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3BE7213" w14:textId="77777777" w:rsidR="00624F33" w:rsidRPr="00624F33" w:rsidRDefault="00624F33" w:rsidP="00877B34">
      <w:pPr>
        <w:spacing w:after="0" w:line="360" w:lineRule="auto"/>
        <w:rPr>
          <w:color w:val="auto"/>
        </w:rPr>
      </w:pPr>
    </w:p>
    <w:p w14:paraId="4C2B1A45" w14:textId="77777777" w:rsidR="00624F33" w:rsidRPr="00624F33" w:rsidRDefault="00624F33" w:rsidP="00877B34">
      <w:pPr>
        <w:spacing w:after="0" w:line="360" w:lineRule="auto"/>
        <w:rPr>
          <w:color w:val="auto"/>
        </w:rPr>
      </w:pPr>
      <w:r w:rsidRPr="00624F33">
        <w:rPr>
          <w:color w:val="auto"/>
        </w:rPr>
        <w:t xml:space="preserve">Por tales motivos, se considera procedente entrar al fondo del presente asunto. </w:t>
      </w:r>
    </w:p>
    <w:p w14:paraId="2C9B9AF7" w14:textId="77777777" w:rsidR="00624F33" w:rsidRPr="00624F33" w:rsidRDefault="00624F33" w:rsidP="00877B34">
      <w:pPr>
        <w:spacing w:after="0" w:line="360" w:lineRule="auto"/>
        <w:rPr>
          <w:b/>
          <w:color w:val="auto"/>
        </w:rPr>
      </w:pPr>
    </w:p>
    <w:p w14:paraId="6894BDA9" w14:textId="77777777" w:rsidR="00624F33" w:rsidRPr="00624F33" w:rsidRDefault="00624F33" w:rsidP="00877B34">
      <w:pPr>
        <w:pStyle w:val="Ttulo2"/>
        <w:spacing w:before="0" w:after="0" w:line="360" w:lineRule="auto"/>
        <w:rPr>
          <w:color w:val="auto"/>
          <w:sz w:val="22"/>
          <w:szCs w:val="22"/>
        </w:rPr>
      </w:pPr>
      <w:bookmarkStart w:id="14" w:name="_Toc190262566"/>
      <w:bookmarkStart w:id="15" w:name="_Toc213332290"/>
      <w:r w:rsidRPr="00624F33">
        <w:rPr>
          <w:color w:val="auto"/>
          <w:sz w:val="22"/>
          <w:szCs w:val="22"/>
        </w:rPr>
        <w:t>TERCERO. Determinación de la Controversia</w:t>
      </w:r>
      <w:bookmarkEnd w:id="14"/>
      <w:bookmarkEnd w:id="15"/>
    </w:p>
    <w:p w14:paraId="2D3CE49F" w14:textId="77777777" w:rsidR="00624F33" w:rsidRPr="00624F33" w:rsidRDefault="00624F33" w:rsidP="00877B34">
      <w:pPr>
        <w:spacing w:after="0" w:line="360" w:lineRule="auto"/>
        <w:rPr>
          <w:b/>
          <w:color w:val="FF0000"/>
        </w:rPr>
      </w:pPr>
    </w:p>
    <w:p w14:paraId="2BA05DEA" w14:textId="53448998" w:rsidR="00624F33" w:rsidRPr="00624F33" w:rsidRDefault="00624F33" w:rsidP="00877B34">
      <w:pPr>
        <w:spacing w:after="0" w:line="360" w:lineRule="auto"/>
        <w:rPr>
          <w:rFonts w:cs="Tahoma"/>
          <w:color w:val="auto"/>
        </w:rPr>
      </w:pPr>
      <w:r w:rsidRPr="00624F33">
        <w:rPr>
          <w:rFonts w:cs="Tahoma"/>
          <w:color w:val="auto"/>
        </w:rPr>
        <w:t xml:space="preserve">Con el objetivo de ilustrar la controversia planteada, resulta conveniente precisar, que una vez realizado el estudio de las constancias que integran el expediente en el que se actúa, se desprende que el Particular requirió </w:t>
      </w:r>
      <w:r>
        <w:rPr>
          <w:rFonts w:cs="Tahoma"/>
          <w:color w:val="auto"/>
        </w:rPr>
        <w:t>las requisiciones y compras de todas las áreas de los meses de enero, febrero, marzo y abril de dos mil veinticinco.</w:t>
      </w:r>
    </w:p>
    <w:p w14:paraId="7C5678FD" w14:textId="77777777" w:rsidR="00624F33" w:rsidRPr="00624F33" w:rsidRDefault="00624F33" w:rsidP="00877B34">
      <w:pPr>
        <w:spacing w:after="0" w:line="360" w:lineRule="auto"/>
        <w:rPr>
          <w:rFonts w:cs="Tahoma"/>
          <w:color w:val="FF0000"/>
        </w:rPr>
      </w:pPr>
    </w:p>
    <w:p w14:paraId="1C6C71B5" w14:textId="4C06E93C" w:rsidR="00624F33" w:rsidRPr="008C3E6D" w:rsidRDefault="00624F33" w:rsidP="00877B34">
      <w:pPr>
        <w:spacing w:after="0" w:line="360" w:lineRule="auto"/>
        <w:rPr>
          <w:color w:val="auto"/>
        </w:rPr>
      </w:pPr>
      <w:bookmarkStart w:id="16" w:name="_Hlk212483459"/>
      <w:r w:rsidRPr="004D3C26">
        <w:rPr>
          <w:color w:val="auto"/>
        </w:rPr>
        <w:t xml:space="preserve">En respuesta, el Sujeto Obligado, a través </w:t>
      </w:r>
      <w:r w:rsidR="004D3C26" w:rsidRPr="004D3C26">
        <w:rPr>
          <w:color w:val="auto"/>
        </w:rPr>
        <w:t xml:space="preserve">la Tesorería Municipal </w:t>
      </w:r>
      <w:r w:rsidR="004D3C26">
        <w:rPr>
          <w:color w:val="auto"/>
        </w:rPr>
        <w:t xml:space="preserve">menciono que la información solicitada se ponía a disposición en consulta directa, ya que la misma tiene un peso de 1.42 GB </w:t>
      </w:r>
      <w:r w:rsidR="004D3C26" w:rsidRPr="002D5543">
        <w:rPr>
          <w:color w:val="auto"/>
        </w:rPr>
        <w:t>(1,529,623,867 bytes)</w:t>
      </w:r>
      <w:r w:rsidR="004D3C26">
        <w:rPr>
          <w:color w:val="auto"/>
        </w:rPr>
        <w:t xml:space="preserve">, </w:t>
      </w:r>
      <w:r w:rsidR="004D3C26" w:rsidRPr="008C3E6D">
        <w:rPr>
          <w:color w:val="auto"/>
        </w:rPr>
        <w:t xml:space="preserve">además que el </w:t>
      </w:r>
      <w:r w:rsidRPr="008C3E6D">
        <w:rPr>
          <w:color w:val="auto"/>
        </w:rPr>
        <w:t>procesamiento de documentos, cuya entrega o reproducción sobrepasa las capacidades técnicas, administrativas y humanas de</w:t>
      </w:r>
      <w:r w:rsidR="004D3C26" w:rsidRPr="008C3E6D">
        <w:rPr>
          <w:color w:val="auto"/>
        </w:rPr>
        <w:t xml:space="preserve"> del Ayuntamiento</w:t>
      </w:r>
      <w:bookmarkEnd w:id="16"/>
      <w:r w:rsidR="004D3C26" w:rsidRPr="008C3E6D">
        <w:rPr>
          <w:color w:val="auto"/>
        </w:rPr>
        <w:t xml:space="preserve">, así mismo, la Dirección de Administración remitió </w:t>
      </w:r>
      <w:r w:rsidR="008C3E6D" w:rsidRPr="008C3E6D">
        <w:rPr>
          <w:color w:val="auto"/>
        </w:rPr>
        <w:t>un documento donde constan cuatrocientas veintidós páginas con requisiciones</w:t>
      </w:r>
      <w:r w:rsidRPr="008C3E6D">
        <w:rPr>
          <w:rFonts w:cs="Tahoma"/>
          <w:color w:val="auto"/>
        </w:rPr>
        <w:t>;</w:t>
      </w:r>
      <w:r w:rsidRPr="008C3E6D">
        <w:rPr>
          <w:color w:val="auto"/>
        </w:rPr>
        <w:t xml:space="preserve"> </w:t>
      </w:r>
      <w:r w:rsidRPr="008C3E6D">
        <w:rPr>
          <w:rFonts w:cs="Tahoma"/>
          <w:color w:val="auto"/>
          <w:lang w:val="es-ES"/>
        </w:rPr>
        <w:t xml:space="preserve">ante dicha circunstancia, el Particular se inconformó de la puesta a disposición la información a consulta directa, lo cual </w:t>
      </w:r>
      <w:r w:rsidRPr="008C3E6D">
        <w:rPr>
          <w:rFonts w:eastAsia="Calibri" w:cs="Tahoma"/>
          <w:color w:val="auto"/>
        </w:rPr>
        <w:t>actualiza la causal de procedencia prevista en la fracción VIII, del artículo 179 de la Ley de Transparencia y Acceso a la Información Pública del Estado de México y Municipios</w:t>
      </w:r>
      <w:r w:rsidR="00C642BC">
        <w:rPr>
          <w:color w:val="auto"/>
        </w:rPr>
        <w:t xml:space="preserve">; </w:t>
      </w:r>
      <w:r w:rsidR="00C642BC" w:rsidRPr="00C642BC">
        <w:rPr>
          <w:color w:val="auto"/>
        </w:rPr>
        <w:t>dicha situación, al aplicar la</w:t>
      </w:r>
      <w:r w:rsidR="00C642BC">
        <w:rPr>
          <w:color w:val="auto"/>
        </w:rPr>
        <w:t xml:space="preserve"> </w:t>
      </w:r>
      <w:r w:rsidR="00C642BC" w:rsidRPr="00C642BC">
        <w:rPr>
          <w:color w:val="auto"/>
        </w:rPr>
        <w:t>suplencia de la queja a favor de la Solicitante, en términos de los diversos 13 y, penúltimo</w:t>
      </w:r>
      <w:r w:rsidR="00C642BC">
        <w:rPr>
          <w:color w:val="auto"/>
        </w:rPr>
        <w:t xml:space="preserve"> </w:t>
      </w:r>
      <w:r w:rsidR="00C642BC" w:rsidRPr="00C642BC">
        <w:rPr>
          <w:color w:val="auto"/>
        </w:rPr>
        <w:t>párrafo, del 181 del ordenamiento señalado</w:t>
      </w:r>
      <w:r w:rsidR="00C642BC">
        <w:rPr>
          <w:color w:val="auto"/>
        </w:rPr>
        <w:t xml:space="preserve">. </w:t>
      </w:r>
      <w:r w:rsidR="00557949">
        <w:rPr>
          <w:color w:val="auto"/>
        </w:rPr>
        <w:t xml:space="preserve"> </w:t>
      </w:r>
      <w:r w:rsidRPr="008C3E6D">
        <w:rPr>
          <w:rFonts w:eastAsia="Calibri" w:cs="Tahoma"/>
          <w:color w:val="auto"/>
        </w:rPr>
        <w:t xml:space="preserve">Así, las cosas, una vez admitido y notificado el Recurso de Revisión a las partes, </w:t>
      </w:r>
      <w:r w:rsidR="008C3E6D">
        <w:rPr>
          <w:rFonts w:eastAsia="Calibri" w:cs="Tahoma"/>
          <w:color w:val="auto"/>
        </w:rPr>
        <w:t xml:space="preserve">el Sujeto Obligado ratifico su respuesta inicial y adjunto un </w:t>
      </w:r>
      <w:r w:rsidR="008C3E6D" w:rsidRPr="008C3E6D">
        <w:rPr>
          <w:color w:val="auto"/>
        </w:rPr>
        <w:t>documento donde constan cuatrocientas</w:t>
      </w:r>
      <w:r w:rsidR="008C3E6D">
        <w:rPr>
          <w:color w:val="auto"/>
        </w:rPr>
        <w:t xml:space="preserve"> dieciocho páginas con </w:t>
      </w:r>
      <w:r w:rsidR="00C642BC">
        <w:rPr>
          <w:color w:val="auto"/>
        </w:rPr>
        <w:t>requisiciones</w:t>
      </w:r>
      <w:r w:rsidR="008C3E6D">
        <w:rPr>
          <w:color w:val="auto"/>
        </w:rPr>
        <w:t>.</w:t>
      </w:r>
    </w:p>
    <w:p w14:paraId="0752E088" w14:textId="77777777" w:rsidR="00624F33" w:rsidRPr="00624F33" w:rsidRDefault="00624F33" w:rsidP="00877B34">
      <w:pPr>
        <w:spacing w:after="0" w:line="360" w:lineRule="auto"/>
        <w:rPr>
          <w:color w:val="FF0000"/>
        </w:rPr>
      </w:pPr>
    </w:p>
    <w:p w14:paraId="117C8897" w14:textId="77777777" w:rsidR="00624F33" w:rsidRPr="00C642BC" w:rsidRDefault="00624F33" w:rsidP="00877B34">
      <w:pPr>
        <w:tabs>
          <w:tab w:val="left" w:pos="4962"/>
        </w:tabs>
        <w:spacing w:after="0" w:line="360" w:lineRule="auto"/>
        <w:rPr>
          <w:rFonts w:eastAsia="Calibri" w:cs="Tahoma"/>
          <w:bCs/>
          <w:color w:val="auto"/>
        </w:rPr>
      </w:pPr>
      <w:r w:rsidRPr="00C642BC">
        <w:rPr>
          <w:rFonts w:eastAsia="Calibri" w:cs="Tahoma"/>
          <w:iCs/>
          <w:color w:val="auto"/>
          <w:lang w:val="es-ES" w:eastAsia="es-ES_tradnl"/>
        </w:rPr>
        <w:t xml:space="preserve">Lo anterior, se desprende de las documentales que obran en el expediente de referencia, materia de la presente resolución, consistente en: la solicitud de acceso a la información </w:t>
      </w:r>
      <w:r w:rsidRPr="00C642BC">
        <w:rPr>
          <w:rFonts w:eastAsia="Calibri" w:cs="Tahoma"/>
          <w:iCs/>
          <w:color w:val="auto"/>
          <w:lang w:eastAsia="es-ES_tradnl"/>
        </w:rPr>
        <w:t xml:space="preserve">y el escrito recursal; </w:t>
      </w:r>
      <w:r w:rsidRPr="00C642BC">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190D1C2" w14:textId="77777777" w:rsidR="00624F33" w:rsidRPr="00624F33" w:rsidRDefault="00624F33" w:rsidP="00877B34">
      <w:pPr>
        <w:spacing w:after="0" w:line="360" w:lineRule="auto"/>
        <w:rPr>
          <w:b/>
          <w:color w:val="FF0000"/>
        </w:rPr>
      </w:pPr>
    </w:p>
    <w:p w14:paraId="5BCBF590" w14:textId="77777777" w:rsidR="00624F33" w:rsidRPr="00A8501D" w:rsidRDefault="00624F33" w:rsidP="00877B34">
      <w:pPr>
        <w:pStyle w:val="Ttulo2"/>
        <w:spacing w:before="0" w:after="0" w:line="360" w:lineRule="auto"/>
        <w:rPr>
          <w:color w:val="auto"/>
          <w:sz w:val="22"/>
          <w:szCs w:val="22"/>
        </w:rPr>
      </w:pPr>
      <w:bookmarkStart w:id="17" w:name="_Toc190262567"/>
      <w:bookmarkStart w:id="18" w:name="_Toc213332291"/>
      <w:r w:rsidRPr="00A8501D">
        <w:rPr>
          <w:color w:val="auto"/>
          <w:sz w:val="22"/>
          <w:szCs w:val="22"/>
        </w:rPr>
        <w:t>CUARTO. Marco normativo aplicable en materia de transparencia y acceso a la información pública</w:t>
      </w:r>
      <w:bookmarkEnd w:id="17"/>
      <w:bookmarkEnd w:id="18"/>
    </w:p>
    <w:p w14:paraId="3A987958" w14:textId="77777777" w:rsidR="00624F33" w:rsidRPr="00A8501D" w:rsidRDefault="00624F33" w:rsidP="00877B34">
      <w:pPr>
        <w:spacing w:after="0" w:line="360" w:lineRule="auto"/>
        <w:rPr>
          <w:color w:val="auto"/>
        </w:rPr>
      </w:pPr>
    </w:p>
    <w:p w14:paraId="0673EB41" w14:textId="77777777" w:rsidR="00624F33" w:rsidRPr="00A8501D" w:rsidRDefault="00624F33" w:rsidP="00877B34">
      <w:pPr>
        <w:spacing w:after="0" w:line="360" w:lineRule="auto"/>
        <w:rPr>
          <w:color w:val="auto"/>
        </w:rPr>
      </w:pPr>
      <w:r w:rsidRPr="00A8501D">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814DEA0" w14:textId="77777777" w:rsidR="00624F33" w:rsidRPr="00A8501D" w:rsidRDefault="00624F33" w:rsidP="00877B34">
      <w:pPr>
        <w:spacing w:after="0" w:line="360" w:lineRule="auto"/>
        <w:rPr>
          <w:color w:val="auto"/>
        </w:rPr>
      </w:pPr>
    </w:p>
    <w:p w14:paraId="43AD7AF0" w14:textId="77777777" w:rsidR="00624F33" w:rsidRPr="00A8501D" w:rsidRDefault="00624F33" w:rsidP="00877B34">
      <w:pPr>
        <w:spacing w:after="0" w:line="360" w:lineRule="auto"/>
        <w:rPr>
          <w:color w:val="auto"/>
        </w:rPr>
      </w:pPr>
      <w:r w:rsidRPr="00A8501D">
        <w:rPr>
          <w:color w:val="auto"/>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15228B8" w14:textId="77777777" w:rsidR="00624F33" w:rsidRPr="00A8501D" w:rsidRDefault="00624F33" w:rsidP="00877B34">
      <w:pPr>
        <w:spacing w:after="0" w:line="360" w:lineRule="auto"/>
        <w:rPr>
          <w:color w:val="auto"/>
        </w:rPr>
      </w:pPr>
    </w:p>
    <w:p w14:paraId="77F10B62" w14:textId="77777777" w:rsidR="00624F33" w:rsidRPr="00A8501D" w:rsidRDefault="00624F33" w:rsidP="00877B34">
      <w:pPr>
        <w:spacing w:after="0" w:line="360" w:lineRule="auto"/>
        <w:rPr>
          <w:color w:val="auto"/>
        </w:rPr>
      </w:pPr>
      <w:r w:rsidRPr="00A8501D">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4EA835" w14:textId="77777777" w:rsidR="00624F33" w:rsidRPr="00A8501D" w:rsidRDefault="00624F33" w:rsidP="00877B34">
      <w:pPr>
        <w:spacing w:after="0" w:line="360" w:lineRule="auto"/>
        <w:rPr>
          <w:color w:val="auto"/>
        </w:rPr>
      </w:pPr>
    </w:p>
    <w:p w14:paraId="6597F1F6" w14:textId="77777777" w:rsidR="00624F33" w:rsidRPr="00A8501D" w:rsidRDefault="00624F33" w:rsidP="00877B34">
      <w:pPr>
        <w:spacing w:after="0" w:line="360" w:lineRule="auto"/>
        <w:rPr>
          <w:color w:val="auto"/>
        </w:rPr>
      </w:pPr>
      <w:r w:rsidRPr="00A8501D">
        <w:rPr>
          <w:color w:val="auto"/>
        </w:rPr>
        <w:t>Por su parte, la Ley de Transparencia y Acceso a la Información Pública del Estado de México y Municipios (Reglamentaria del artículo 5° de la Constitución Local), establece lo siguiente:</w:t>
      </w:r>
    </w:p>
    <w:p w14:paraId="112A5C30" w14:textId="77777777" w:rsidR="00624F33" w:rsidRPr="00A8501D" w:rsidRDefault="00624F33" w:rsidP="00877B34">
      <w:pPr>
        <w:spacing w:after="0" w:line="360" w:lineRule="auto"/>
        <w:rPr>
          <w:color w:val="auto"/>
        </w:rPr>
      </w:pPr>
    </w:p>
    <w:p w14:paraId="211F4D8B" w14:textId="77777777" w:rsidR="00624F33" w:rsidRPr="00A8501D" w:rsidRDefault="00624F33" w:rsidP="00877B34">
      <w:pPr>
        <w:spacing w:after="0" w:line="360" w:lineRule="auto"/>
        <w:rPr>
          <w:color w:val="auto"/>
        </w:rPr>
      </w:pPr>
      <w:r w:rsidRPr="00A8501D">
        <w:rPr>
          <w:color w:val="auto"/>
        </w:rPr>
        <w:t>El artículo 12, que, quienes generen, recopilen, administren, manejen, procesen, archiven o conserven información pública serán responsables de la misma.</w:t>
      </w:r>
    </w:p>
    <w:p w14:paraId="48EE9880" w14:textId="77777777" w:rsidR="00624F33" w:rsidRPr="00A8501D" w:rsidRDefault="00624F33" w:rsidP="00877B34">
      <w:pPr>
        <w:spacing w:after="0" w:line="360" w:lineRule="auto"/>
        <w:rPr>
          <w:color w:val="auto"/>
        </w:rPr>
      </w:pPr>
    </w:p>
    <w:p w14:paraId="045D3986" w14:textId="77777777" w:rsidR="00624F33" w:rsidRPr="00A8501D" w:rsidRDefault="00624F33" w:rsidP="00877B34">
      <w:pPr>
        <w:widowControl w:val="0"/>
        <w:spacing w:after="0" w:line="360" w:lineRule="auto"/>
        <w:rPr>
          <w:color w:val="auto"/>
        </w:rPr>
      </w:pPr>
      <w:r w:rsidRPr="00A8501D">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C6DA822" w14:textId="77777777" w:rsidR="00624F33" w:rsidRPr="00A8501D" w:rsidRDefault="00624F33" w:rsidP="00877B34">
      <w:pPr>
        <w:spacing w:after="0" w:line="360" w:lineRule="auto"/>
        <w:rPr>
          <w:color w:val="auto"/>
        </w:rPr>
      </w:pPr>
      <w:r w:rsidRPr="00A8501D">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D7F2D9" w14:textId="77777777" w:rsidR="00624F33" w:rsidRPr="00A8501D" w:rsidRDefault="00624F33" w:rsidP="00877B34">
      <w:pPr>
        <w:spacing w:after="0" w:line="360" w:lineRule="auto"/>
        <w:rPr>
          <w:color w:val="auto"/>
        </w:rPr>
      </w:pPr>
    </w:p>
    <w:p w14:paraId="388C4826" w14:textId="77777777" w:rsidR="00624F33" w:rsidRPr="00A8501D" w:rsidRDefault="00624F33" w:rsidP="00877B34">
      <w:pPr>
        <w:pStyle w:val="Ttulo2"/>
        <w:spacing w:before="0" w:after="0" w:line="360" w:lineRule="auto"/>
        <w:rPr>
          <w:color w:val="auto"/>
          <w:sz w:val="22"/>
          <w:szCs w:val="22"/>
        </w:rPr>
      </w:pPr>
      <w:bookmarkStart w:id="19" w:name="_Toc190262568"/>
      <w:bookmarkStart w:id="20" w:name="_Toc213332292"/>
      <w:r w:rsidRPr="00A8501D">
        <w:rPr>
          <w:color w:val="auto"/>
          <w:sz w:val="22"/>
          <w:szCs w:val="22"/>
        </w:rPr>
        <w:t>QUINTO. Estudio de Fondo</w:t>
      </w:r>
      <w:bookmarkEnd w:id="19"/>
      <w:bookmarkEnd w:id="20"/>
    </w:p>
    <w:p w14:paraId="78B8A10F" w14:textId="77777777" w:rsidR="00624F33" w:rsidRPr="00624F33" w:rsidRDefault="00624F33" w:rsidP="00877B34">
      <w:pPr>
        <w:spacing w:after="0" w:line="360" w:lineRule="auto"/>
        <w:rPr>
          <w:b/>
          <w:color w:val="FF0000"/>
        </w:rPr>
      </w:pPr>
    </w:p>
    <w:p w14:paraId="5E07B2AF" w14:textId="77777777" w:rsidR="00624F33" w:rsidRPr="00A8501D" w:rsidRDefault="00624F33" w:rsidP="00877B34">
      <w:pPr>
        <w:spacing w:after="0" w:line="360" w:lineRule="auto"/>
        <w:rPr>
          <w:rFonts w:eastAsia="Times New Roman" w:cs="Tahoma"/>
          <w:bCs/>
          <w:iCs/>
          <w:color w:val="auto"/>
          <w:lang w:eastAsia="es-ES"/>
        </w:rPr>
      </w:pPr>
      <w:r w:rsidRPr="00A8501D">
        <w:rPr>
          <w:color w:val="auto"/>
        </w:rPr>
        <w:t xml:space="preserve">Expuestas las posturas de las partes, se procede al análisis de los agravios hechos valer por la persona Recurrente, </w:t>
      </w:r>
      <w:r w:rsidRPr="00A8501D">
        <w:rPr>
          <w:rFonts w:eastAsia="Times New Roman" w:cs="Tahoma"/>
          <w:bCs/>
          <w:iCs/>
          <w:color w:val="auto"/>
          <w:lang w:eastAsia="es-ES"/>
        </w:rPr>
        <w:t>por lo que, en principio es necesario contextualizar la solicitud de información.</w:t>
      </w:r>
    </w:p>
    <w:p w14:paraId="3DED82B9" w14:textId="77777777" w:rsidR="00A8501D" w:rsidRDefault="00A8501D" w:rsidP="00877B34">
      <w:pPr>
        <w:spacing w:after="0" w:line="360" w:lineRule="auto"/>
        <w:rPr>
          <w:rFonts w:eastAsia="Times New Roman" w:cs="Tahoma"/>
          <w:bCs/>
          <w:iCs/>
          <w:color w:val="FF0000"/>
          <w:lang w:eastAsia="es-ES"/>
        </w:rPr>
      </w:pPr>
    </w:p>
    <w:p w14:paraId="3A880E4F" w14:textId="7BFC24D6" w:rsidR="00F50782" w:rsidRDefault="00F50782" w:rsidP="00877B34">
      <w:pPr>
        <w:spacing w:after="0" w:line="360" w:lineRule="auto"/>
      </w:pPr>
      <w:r>
        <w:t xml:space="preserve">Sobre el tema, es necesario referir que, en relación a la contratación pública, López Olvera, Miguel Alejandro Cancino Gómez, Rodolfo. (2020). “La Contratación Pública y el Sistema Nacional Anticorrupción”. (p. 4) establece que </w:t>
      </w:r>
      <w:r w:rsidRPr="00F50782">
        <w:rPr>
          <w:b/>
          <w:bCs/>
        </w:rPr>
        <w:t>la contratación pública</w:t>
      </w:r>
      <w: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53A8DF5B" w14:textId="77777777" w:rsidR="00F50782" w:rsidRDefault="00F50782" w:rsidP="00877B34">
      <w:pPr>
        <w:spacing w:after="0" w:line="360" w:lineRule="auto"/>
      </w:pPr>
    </w:p>
    <w:p w14:paraId="1F0BD0C1" w14:textId="17982692" w:rsidR="00F50782" w:rsidRDefault="00164F64" w:rsidP="00877B34">
      <w:pPr>
        <w:spacing w:after="0" w:line="360" w:lineRule="auto"/>
        <w:rPr>
          <w:b/>
          <w:bCs/>
        </w:rPr>
      </w:pPr>
      <w: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w:t>
      </w:r>
      <w:r w:rsidRPr="00B95E93">
        <w:rPr>
          <w:b/>
          <w:bCs/>
        </w:rPr>
        <w:t xml:space="preserve">adquisición </w:t>
      </w:r>
      <w:r>
        <w:t xml:space="preserve">(bienes muebles e inmuebles), arrendamiento (bienes muebles e inmuebles), y la </w:t>
      </w:r>
      <w:r w:rsidRPr="00164F64">
        <w:rPr>
          <w:b/>
          <w:bCs/>
        </w:rPr>
        <w:t>contratación de servicios de cualquier naturaleza.</w:t>
      </w:r>
    </w:p>
    <w:p w14:paraId="6AB50D5E" w14:textId="77777777" w:rsidR="00B95E93" w:rsidRPr="00164F64" w:rsidRDefault="00B95E93" w:rsidP="00877B34">
      <w:pPr>
        <w:spacing w:after="0" w:line="360" w:lineRule="auto"/>
        <w:rPr>
          <w:rFonts w:eastAsia="Times New Roman" w:cs="Tahoma"/>
          <w:b/>
          <w:bCs/>
          <w:iCs/>
          <w:color w:val="FF0000"/>
          <w:lang w:eastAsia="es-ES"/>
        </w:rPr>
      </w:pPr>
    </w:p>
    <w:p w14:paraId="76DB285F" w14:textId="1F9839A7" w:rsidR="00F50782" w:rsidRDefault="00B95E93" w:rsidP="00877B34">
      <w:pPr>
        <w:spacing w:after="0" w:line="360" w:lineRule="auto"/>
      </w:pPr>
      <w:r>
        <w:t xml:space="preserve">En ese contexto, conforme a los artículos 26 y 27 de dicho ordenamiento jurídico, las </w:t>
      </w:r>
      <w:r w:rsidRPr="00B95E93">
        <w:rPr>
          <w:b/>
          <w:bCs/>
        </w:rPr>
        <w:t>adquisiciones,</w:t>
      </w:r>
      <w:r>
        <w:t xml:space="preserve"> arrendamientos y servicios, se adjudicarán a través de procedimientos de licitación pública, invitación restringida y adjudicación directa.</w:t>
      </w:r>
    </w:p>
    <w:p w14:paraId="4B5E14B2" w14:textId="77777777" w:rsidR="00B95E93" w:rsidRDefault="00B95E93" w:rsidP="00877B34">
      <w:pPr>
        <w:spacing w:after="0" w:line="360" w:lineRule="auto"/>
      </w:pPr>
    </w:p>
    <w:p w14:paraId="653DBA4F" w14:textId="0C848C86" w:rsidR="00B95E93" w:rsidRDefault="00F27A7C" w:rsidP="00877B34">
      <w:pPr>
        <w:spacing w:after="0" w:line="360" w:lineRule="auto"/>
      </w:pPr>
      <w:r>
        <w:t xml:space="preserve">En ese orden de ideas, conforme al artículo 65 de la Ley de Contratación Pública del Estado de México y Municipios, la adjudicación de un </w:t>
      </w:r>
      <w:r w:rsidRPr="00F27A7C">
        <w:rPr>
          <w:b/>
          <w:bCs/>
        </w:rPr>
        <w:t>procedimiento de adquisición</w:t>
      </w:r>
      <w:r>
        <w:t xml:space="preserve">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797DA8A7" w14:textId="77777777" w:rsidR="00F27A7C" w:rsidRDefault="00F27A7C" w:rsidP="00877B34">
      <w:pPr>
        <w:spacing w:after="0" w:line="360" w:lineRule="auto"/>
      </w:pPr>
    </w:p>
    <w:p w14:paraId="6EAF7810" w14:textId="77777777" w:rsidR="000D79ED" w:rsidRDefault="000D79ED" w:rsidP="00877B34">
      <w:pPr>
        <w:spacing w:after="0" w:line="360" w:lineRule="auto"/>
        <w:rPr>
          <w:rFonts w:eastAsia="Times New Roman" w:cs="Tahoma"/>
          <w:bCs/>
          <w:iCs/>
          <w:lang w:eastAsia="es-ES"/>
        </w:rPr>
      </w:pPr>
      <w:r>
        <w:rPr>
          <w:rFonts w:eastAsia="Times New Roman" w:cs="Tahoma"/>
          <w:bCs/>
          <w:iCs/>
          <w:lang w:eastAsia="es-ES"/>
        </w:rPr>
        <w:t>En ese orden de ideas, conforme al artículo 14 del Reglamento de la Ley de Contratación Pública del Estado de México y Municipios, todo procedimiento de adjudicación, deberá iniciar con la solicitud de adquisición de bienes y contratación de servicios realizadas por las dependencias.</w:t>
      </w:r>
    </w:p>
    <w:p w14:paraId="679F9228" w14:textId="77777777" w:rsidR="000D79ED" w:rsidRDefault="000D79ED" w:rsidP="00877B34">
      <w:pPr>
        <w:spacing w:after="0" w:line="360" w:lineRule="auto"/>
      </w:pPr>
    </w:p>
    <w:p w14:paraId="0367EF8F" w14:textId="77777777" w:rsidR="000D79ED" w:rsidRDefault="000D79ED" w:rsidP="00877B34">
      <w:pPr>
        <w:spacing w:after="0" w:line="360" w:lineRule="auto"/>
        <w:rPr>
          <w:rFonts w:eastAsia="Times New Roman" w:cs="Tahoma"/>
          <w:bCs/>
          <w:iCs/>
          <w:lang w:eastAsia="es-ES"/>
        </w:rPr>
      </w:pPr>
      <w:r>
        <w:rPr>
          <w:rFonts w:eastAsia="Times New Roman" w:cs="Tahoma"/>
          <w:bCs/>
          <w:iCs/>
          <w:lang w:eastAsia="es-ES"/>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3D4B0E14" w14:textId="77777777" w:rsidR="000D79ED" w:rsidRDefault="000D79ED" w:rsidP="00877B34">
      <w:pPr>
        <w:spacing w:after="0" w:line="360" w:lineRule="auto"/>
      </w:pPr>
    </w:p>
    <w:p w14:paraId="3A5821FA" w14:textId="7464DE4C" w:rsidR="003B7434" w:rsidRDefault="003B7434" w:rsidP="00877B34">
      <w:pPr>
        <w:spacing w:after="0" w:line="360" w:lineRule="auto"/>
      </w:pPr>
      <w:r w:rsidRPr="00E16578">
        <w:rPr>
          <w:rFonts w:cs="Tahoma"/>
          <w:color w:val="auto"/>
        </w:rPr>
        <w:t xml:space="preserve">Al respecto, el </w:t>
      </w:r>
      <w:r w:rsidR="00E16578">
        <w:rPr>
          <w:rFonts w:cs="Tahoma"/>
          <w:color w:val="auto"/>
        </w:rPr>
        <w:t xml:space="preserve"> Bando Municipal de Atlacomulco dos mil veinticinco, en su artículo 78 establece que </w:t>
      </w:r>
      <w:r w:rsidR="00E16578">
        <w:t xml:space="preserve">la Dirección de Administración, es la dependencia encargada de prestar el apoyo administrativo que requiera la administración pública municipal; vigilar el cumplimiento de las disposiciones legales que rijan las relaciones entre el Gobierno Municipal y los servidores públicos; así como </w:t>
      </w:r>
      <w:r w:rsidR="00E16578" w:rsidRPr="00E16578">
        <w:rPr>
          <w:b/>
          <w:bCs/>
        </w:rPr>
        <w:t>dotar de todos los elementos materiales y humanos que requieran las dependencias de la administración pública para el adecuado funcionamiento.</w:t>
      </w:r>
      <w:r w:rsidR="00E16578">
        <w:t xml:space="preserve"> Las atribuciones de la Dirección, se encuentran establecidas en el Reglamento Interno de la Administración Pública de Atlacomulco, México.</w:t>
      </w:r>
    </w:p>
    <w:p w14:paraId="45D71E60" w14:textId="77777777" w:rsidR="00776E49" w:rsidRDefault="00776E49" w:rsidP="00877B34">
      <w:pPr>
        <w:spacing w:after="0" w:line="360" w:lineRule="auto"/>
      </w:pPr>
    </w:p>
    <w:p w14:paraId="07F8F88B" w14:textId="4D74947F" w:rsidR="00776E49" w:rsidRDefault="00776E49" w:rsidP="00877B34">
      <w:pPr>
        <w:spacing w:after="0" w:line="360" w:lineRule="auto"/>
      </w:pPr>
      <w:r>
        <w:t xml:space="preserve">En esa misma consecución de ideas, el Manual de  Organización de la Dirección de Administración  de la administración dos mil veintidós, dos mil veinticuatro, aún aplicable el cual establece que dicha dirección cuenta con un auxiliar de compras y suministro, el cual se encarga entre otras cosas </w:t>
      </w:r>
      <w:r w:rsidRPr="00776E49">
        <w:rPr>
          <w:b/>
          <w:bCs/>
        </w:rPr>
        <w:t>de recibir las requisiciones que le sean asignadas por la o el titular del Departamento de Recursos Materiales y Adquisiciones para el suministro de algún bien o contratación de servicio</w:t>
      </w:r>
      <w:r>
        <w:rPr>
          <w:b/>
          <w:bCs/>
        </w:rPr>
        <w:t xml:space="preserve">, </w:t>
      </w:r>
      <w:r>
        <w:t>llevar el control de las requisiciones autorizadas, rechazadas, pendientes y canceladas</w:t>
      </w:r>
      <w:r w:rsidR="0052480D">
        <w:t>.</w:t>
      </w:r>
    </w:p>
    <w:p w14:paraId="03306952" w14:textId="77777777" w:rsidR="000D79ED" w:rsidRDefault="000D79ED" w:rsidP="00877B34">
      <w:pPr>
        <w:spacing w:after="0" w:line="360" w:lineRule="auto"/>
      </w:pPr>
    </w:p>
    <w:p w14:paraId="7DDF862A" w14:textId="6A936362" w:rsidR="0052480D" w:rsidRDefault="0052480D" w:rsidP="00877B34">
      <w:pPr>
        <w:spacing w:after="0" w:line="360" w:lineRule="auto"/>
      </w:pPr>
      <w:r>
        <w:t xml:space="preserve">En ese sentido, el Manual de Organización en comento también señala que la Jefa o Jefe del Departamento de Recursos Materiales y Adquisiciones se encarga </w:t>
      </w:r>
      <w:r w:rsidRPr="0052480D">
        <w:rPr>
          <w:b/>
          <w:bCs/>
        </w:rPr>
        <w:t>de autorizar por escrito las requisiciones para la adquisición de los bienes</w:t>
      </w:r>
      <w:r>
        <w:t xml:space="preserve"> y/o contratación de los servicios, respecto a los bienes solicitados por las diferentes áreas de la administración municipal, con base a los acuerdos generados por el Comité de Adquisiciones, Arrendamientos y Servicios.</w:t>
      </w:r>
    </w:p>
    <w:p w14:paraId="01D63E82" w14:textId="77777777" w:rsidR="00257FE7" w:rsidRPr="00776E49" w:rsidRDefault="00257FE7" w:rsidP="00877B34">
      <w:pPr>
        <w:spacing w:after="0" w:line="360" w:lineRule="auto"/>
        <w:rPr>
          <w:rFonts w:cs="Tahoma"/>
          <w:b/>
          <w:bCs/>
          <w:color w:val="auto"/>
        </w:rPr>
      </w:pPr>
    </w:p>
    <w:p w14:paraId="54162E2B" w14:textId="4CC79040" w:rsidR="00373AA8" w:rsidRPr="00E04D7C" w:rsidRDefault="00624F33" w:rsidP="00877B34">
      <w:pPr>
        <w:spacing w:after="0" w:line="360" w:lineRule="auto"/>
        <w:rPr>
          <w:rFonts w:cs="Tahoma"/>
          <w:color w:val="auto"/>
        </w:rPr>
      </w:pPr>
      <w:r w:rsidRPr="00257FE7">
        <w:rPr>
          <w:rFonts w:eastAsia="Calibri" w:cs="Tahoma"/>
          <w:bCs/>
          <w:color w:val="auto"/>
        </w:rPr>
        <w:t xml:space="preserve">Conforme a lo anterior, se logra vislumbrar que la pretensión del ahora Recurrente es </w:t>
      </w:r>
      <w:r w:rsidR="00373AA8" w:rsidRPr="00257FE7">
        <w:rPr>
          <w:rFonts w:eastAsia="Calibri" w:cs="Tahoma"/>
          <w:bCs/>
          <w:color w:val="auto"/>
        </w:rPr>
        <w:t xml:space="preserve">obtener </w:t>
      </w:r>
      <w:r w:rsidR="00373AA8" w:rsidRPr="00257FE7">
        <w:rPr>
          <w:rFonts w:cs="Tahoma"/>
          <w:color w:val="auto"/>
        </w:rPr>
        <w:t xml:space="preserve">requirió las requisiciones y </w:t>
      </w:r>
      <w:r w:rsidR="00E04D7C">
        <w:rPr>
          <w:rFonts w:cs="Tahoma"/>
          <w:color w:val="auto"/>
        </w:rPr>
        <w:t xml:space="preserve">el documento que de cuenta del pago de las compras </w:t>
      </w:r>
      <w:r w:rsidR="00373AA8" w:rsidRPr="00257FE7">
        <w:rPr>
          <w:rFonts w:cs="Tahoma"/>
          <w:color w:val="auto"/>
        </w:rPr>
        <w:t xml:space="preserve">de todas las áreas </w:t>
      </w:r>
      <w:r w:rsidR="00E04D7C">
        <w:rPr>
          <w:rFonts w:cs="Tahoma"/>
          <w:color w:val="auto"/>
        </w:rPr>
        <w:t xml:space="preserve">del Ayuntamiento de Atlacomulco </w:t>
      </w:r>
      <w:r w:rsidR="00373AA8" w:rsidRPr="00257FE7">
        <w:rPr>
          <w:rFonts w:cs="Tahoma"/>
          <w:color w:val="auto"/>
        </w:rPr>
        <w:t>de los meses de enero, febrero, marzo y abril de dos mil veinticinco.</w:t>
      </w:r>
    </w:p>
    <w:p w14:paraId="7BCB102D" w14:textId="77777777" w:rsidR="00624F33" w:rsidRPr="00624F33" w:rsidRDefault="00624F33" w:rsidP="00877B34">
      <w:pPr>
        <w:spacing w:after="0" w:line="360" w:lineRule="auto"/>
        <w:ind w:right="-93"/>
        <w:rPr>
          <w:rFonts w:eastAsia="Times New Roman" w:cs="Tahoma"/>
          <w:color w:val="FF0000"/>
          <w:lang w:val="es-ES" w:eastAsia="es-ES"/>
        </w:rPr>
      </w:pPr>
    </w:p>
    <w:p w14:paraId="3838808A" w14:textId="29A797E2" w:rsidR="00624F33" w:rsidRPr="000740DA" w:rsidRDefault="00624F33" w:rsidP="00877B34">
      <w:pPr>
        <w:spacing w:after="0" w:line="360" w:lineRule="auto"/>
        <w:rPr>
          <w:color w:val="auto"/>
        </w:rPr>
      </w:pPr>
      <w:r w:rsidRPr="000740DA">
        <w:rPr>
          <w:color w:val="auto"/>
        </w:rPr>
        <w:t xml:space="preserve">Ahora bien, de las constancias que obran en el expediente electrónico, se advierte que el Sujeto Obligado, turnó la solicitud de información a la </w:t>
      </w:r>
      <w:r w:rsidR="000740DA" w:rsidRPr="000740DA">
        <w:rPr>
          <w:color w:val="auto"/>
        </w:rPr>
        <w:t xml:space="preserve"> Tesorería Municipal y Dirección General de Administración</w:t>
      </w:r>
      <w:r w:rsidRPr="000740DA">
        <w:rPr>
          <w:color w:val="auto"/>
        </w:rPr>
        <w:t xml:space="preserve">; por lo que, es oportuno hacer referencia al </w:t>
      </w:r>
      <w:r w:rsidRPr="000740DA">
        <w:rPr>
          <w:b/>
          <w:color w:val="auto"/>
        </w:rPr>
        <w:t>procedimiento de búsqueda que deben de seguir los Sujetos Obligados para localizar la información</w:t>
      </w:r>
      <w:r w:rsidRPr="000740DA">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AA80113" w14:textId="77777777" w:rsidR="00624F33" w:rsidRPr="00624F33" w:rsidRDefault="00624F33" w:rsidP="00877B34">
      <w:pPr>
        <w:spacing w:after="0" w:line="360" w:lineRule="auto"/>
        <w:ind w:left="720"/>
        <w:rPr>
          <w:color w:val="FF0000"/>
        </w:rPr>
      </w:pPr>
    </w:p>
    <w:p w14:paraId="4A3E3907" w14:textId="13214D79" w:rsidR="00624F33" w:rsidRPr="000740DA" w:rsidRDefault="00624F33" w:rsidP="00877B34">
      <w:pPr>
        <w:spacing w:after="0" w:line="360" w:lineRule="auto"/>
        <w:rPr>
          <w:color w:val="auto"/>
        </w:rPr>
      </w:pPr>
      <w:r w:rsidRPr="000740DA">
        <w:rPr>
          <w:color w:val="auto"/>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a</w:t>
      </w:r>
      <w:r w:rsidR="000740DA">
        <w:rPr>
          <w:color w:val="auto"/>
        </w:rPr>
        <w:t xml:space="preserve"> las</w:t>
      </w:r>
      <w:r w:rsidRPr="000740DA">
        <w:rPr>
          <w:color w:val="auto"/>
        </w:rPr>
        <w:t xml:space="preserve"> área</w:t>
      </w:r>
      <w:r w:rsidR="000740DA">
        <w:rPr>
          <w:color w:val="auto"/>
        </w:rPr>
        <w:t>s</w:t>
      </w:r>
      <w:r w:rsidRPr="000740DA">
        <w:rPr>
          <w:color w:val="auto"/>
        </w:rPr>
        <w:t xml:space="preserve"> competente</w:t>
      </w:r>
      <w:r w:rsidR="000740DA">
        <w:rPr>
          <w:color w:val="auto"/>
        </w:rPr>
        <w:t>s</w:t>
      </w:r>
      <w:r w:rsidRPr="000740DA">
        <w:rPr>
          <w:color w:val="auto"/>
        </w:rPr>
        <w:t xml:space="preserve"> para conocer de lo peticionado.</w:t>
      </w:r>
    </w:p>
    <w:p w14:paraId="501E9670" w14:textId="77777777" w:rsidR="00624F33" w:rsidRPr="00624F33" w:rsidRDefault="00624F33" w:rsidP="00877B34">
      <w:pPr>
        <w:spacing w:after="0" w:line="360" w:lineRule="auto"/>
        <w:rPr>
          <w:color w:val="FF0000"/>
        </w:rPr>
      </w:pPr>
    </w:p>
    <w:p w14:paraId="681A7CCA" w14:textId="4480E231" w:rsidR="00B26DFF" w:rsidRDefault="00624F33" w:rsidP="00877B34">
      <w:pPr>
        <w:spacing w:after="0" w:line="360" w:lineRule="auto"/>
        <w:contextualSpacing/>
        <w:rPr>
          <w:color w:val="auto"/>
        </w:rPr>
      </w:pPr>
      <w:r w:rsidRPr="00086951">
        <w:rPr>
          <w:color w:val="auto"/>
        </w:rPr>
        <w:t xml:space="preserve">Ahora bien, </w:t>
      </w:r>
      <w:r w:rsidR="000D79ED">
        <w:rPr>
          <w:color w:val="auto"/>
        </w:rPr>
        <w:t xml:space="preserve">tanto </w:t>
      </w:r>
      <w:r w:rsidRPr="00086951">
        <w:rPr>
          <w:color w:val="auto"/>
        </w:rPr>
        <w:t>en respuesta</w:t>
      </w:r>
      <w:r w:rsidR="000D79ED">
        <w:rPr>
          <w:color w:val="auto"/>
        </w:rPr>
        <w:t>,</w:t>
      </w:r>
      <w:r w:rsidR="00B26DFF" w:rsidRPr="00086951">
        <w:rPr>
          <w:color w:val="auto"/>
        </w:rPr>
        <w:t xml:space="preserve"> como en informe justificado</w:t>
      </w:r>
      <w:r w:rsidRPr="00086951">
        <w:rPr>
          <w:color w:val="auto"/>
        </w:rPr>
        <w:t>, la</w:t>
      </w:r>
      <w:r w:rsidR="00B26DFF" w:rsidRPr="00086951">
        <w:rPr>
          <w:color w:val="auto"/>
        </w:rPr>
        <w:t xml:space="preserve"> Dirección de Administración remitió </w:t>
      </w:r>
      <w:r w:rsidR="00086951" w:rsidRPr="00086951">
        <w:rPr>
          <w:color w:val="auto"/>
        </w:rPr>
        <w:t>cuatrocientas veintidós requisiciones</w:t>
      </w:r>
      <w:r w:rsidR="00AE2827">
        <w:rPr>
          <w:color w:val="auto"/>
        </w:rPr>
        <w:t>, las cuales después de haberlas realizado se encuentran incompletas pues no se cuentan con requisiciones de todas las áreas ni de toda la temporalidad solicitada</w:t>
      </w:r>
      <w:r w:rsidR="000D79ED">
        <w:rPr>
          <w:color w:val="auto"/>
        </w:rPr>
        <w:t>, pues los números de folio se encuentran salteados</w:t>
      </w:r>
      <w:r w:rsidR="00AE2827">
        <w:rPr>
          <w:color w:val="auto"/>
        </w:rPr>
        <w:t xml:space="preserve">, además de que algunas son parcialmente </w:t>
      </w:r>
      <w:r w:rsidR="000D79ED">
        <w:rPr>
          <w:color w:val="auto"/>
        </w:rPr>
        <w:t>i</w:t>
      </w:r>
      <w:r w:rsidR="00AE2827">
        <w:rPr>
          <w:color w:val="auto"/>
        </w:rPr>
        <w:t>legibles, tal como se desprende de la siguiente captura de pantalla:</w:t>
      </w:r>
    </w:p>
    <w:p w14:paraId="72419CB9" w14:textId="67A35647" w:rsidR="00AE2827" w:rsidRPr="00AE2827" w:rsidRDefault="00AE2827" w:rsidP="00877B34">
      <w:pPr>
        <w:spacing w:after="0" w:line="360" w:lineRule="auto"/>
        <w:contextualSpacing/>
        <w:jc w:val="center"/>
        <w:rPr>
          <w:color w:val="auto"/>
        </w:rPr>
      </w:pPr>
    </w:p>
    <w:p w14:paraId="2FB0CFDF" w14:textId="662967B3" w:rsidR="00B26DFF" w:rsidRDefault="00D439EF" w:rsidP="00877B34">
      <w:pPr>
        <w:spacing w:after="0" w:line="360" w:lineRule="auto"/>
        <w:contextualSpacing/>
        <w:jc w:val="center"/>
        <w:rPr>
          <w:color w:val="FF0000"/>
        </w:rPr>
      </w:pPr>
      <w:r>
        <w:rPr>
          <w:noProof/>
          <w:color w:val="FF0000"/>
        </w:rPr>
        <w:drawing>
          <wp:inline distT="0" distB="0" distL="0" distR="0" wp14:anchorId="5BF2BEBC" wp14:editId="1FF070F0">
            <wp:extent cx="5297805" cy="1999615"/>
            <wp:effectExtent l="0" t="0" r="0" b="635"/>
            <wp:docPr id="1346752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7805" cy="1999615"/>
                    </a:xfrm>
                    <a:prstGeom prst="rect">
                      <a:avLst/>
                    </a:prstGeom>
                    <a:noFill/>
                  </pic:spPr>
                </pic:pic>
              </a:graphicData>
            </a:graphic>
          </wp:inline>
        </w:drawing>
      </w:r>
    </w:p>
    <w:p w14:paraId="13CD5434" w14:textId="12DA2BC3" w:rsidR="00D439EF" w:rsidRDefault="00D439EF" w:rsidP="00877B34">
      <w:pPr>
        <w:spacing w:after="0" w:line="360" w:lineRule="auto"/>
        <w:contextualSpacing/>
        <w:jc w:val="center"/>
        <w:rPr>
          <w:color w:val="FF0000"/>
        </w:rPr>
      </w:pPr>
      <w:r>
        <w:rPr>
          <w:noProof/>
          <w:color w:val="FF0000"/>
        </w:rPr>
        <w:drawing>
          <wp:inline distT="0" distB="0" distL="0" distR="0" wp14:anchorId="3A21D176" wp14:editId="29ED6220">
            <wp:extent cx="5261610" cy="1548765"/>
            <wp:effectExtent l="0" t="0" r="0" b="0"/>
            <wp:docPr id="1948690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1610" cy="1548765"/>
                    </a:xfrm>
                    <a:prstGeom prst="rect">
                      <a:avLst/>
                    </a:prstGeom>
                    <a:noFill/>
                  </pic:spPr>
                </pic:pic>
              </a:graphicData>
            </a:graphic>
          </wp:inline>
        </w:drawing>
      </w:r>
    </w:p>
    <w:p w14:paraId="416F7DC3" w14:textId="77777777" w:rsidR="00B26DFF" w:rsidRDefault="00B26DFF" w:rsidP="00877B34">
      <w:pPr>
        <w:spacing w:after="0" w:line="360" w:lineRule="auto"/>
        <w:contextualSpacing/>
        <w:rPr>
          <w:color w:val="FF0000"/>
        </w:rPr>
      </w:pPr>
    </w:p>
    <w:p w14:paraId="267D7311" w14:textId="37E1C776" w:rsidR="00D439EF" w:rsidRDefault="00D439EF" w:rsidP="00877B34">
      <w:pPr>
        <w:spacing w:after="0" w:line="360" w:lineRule="auto"/>
        <w:contextualSpacing/>
        <w:rPr>
          <w:color w:val="auto"/>
        </w:rPr>
      </w:pPr>
      <w:r w:rsidRPr="00C50E76">
        <w:rPr>
          <w:color w:val="auto"/>
        </w:rPr>
        <w:t>Por lo que, para atender el requerimiento informativo</w:t>
      </w:r>
      <w:r w:rsidR="00C50E76" w:rsidRPr="00C50E76">
        <w:rPr>
          <w:color w:val="auto"/>
        </w:rPr>
        <w:t xml:space="preserve"> atender el requerimiento informativo el Sujeto Obligado deberá realizar una búsqueda exhaustiva y razonable en la Dirección </w:t>
      </w:r>
      <w:r w:rsidR="000F13F1">
        <w:rPr>
          <w:color w:val="auto"/>
        </w:rPr>
        <w:t>Administración, a efecto de que proporcione las requisiciones faltantes, así como las entregadas en respuesta de manera correcta.</w:t>
      </w:r>
    </w:p>
    <w:p w14:paraId="07DBCA34" w14:textId="77777777" w:rsidR="000F13F1" w:rsidRDefault="000F13F1" w:rsidP="00877B34">
      <w:pPr>
        <w:spacing w:after="0" w:line="360" w:lineRule="auto"/>
        <w:contextualSpacing/>
        <w:rPr>
          <w:color w:val="auto"/>
        </w:rPr>
      </w:pPr>
    </w:p>
    <w:p w14:paraId="5B498535" w14:textId="77777777" w:rsidR="000F13F1" w:rsidRDefault="000F13F1" w:rsidP="00877B34">
      <w:pPr>
        <w:spacing w:after="0" w:line="360" w:lineRule="auto"/>
        <w:contextualSpacing/>
        <w:rPr>
          <w:color w:val="auto"/>
        </w:rPr>
      </w:pPr>
      <w:r w:rsidRPr="000F13F1">
        <w:rPr>
          <w:color w:val="auto"/>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2F13C71" w14:textId="77777777" w:rsidR="000F13F1" w:rsidRPr="000F13F1" w:rsidRDefault="000F13F1" w:rsidP="00877B34">
      <w:pPr>
        <w:spacing w:after="0" w:line="360" w:lineRule="auto"/>
        <w:contextualSpacing/>
        <w:rPr>
          <w:color w:val="auto"/>
        </w:rPr>
      </w:pPr>
    </w:p>
    <w:p w14:paraId="2E881C3F" w14:textId="77777777" w:rsidR="000F13F1" w:rsidRPr="000F13F1" w:rsidRDefault="000F13F1" w:rsidP="00877B34">
      <w:pPr>
        <w:spacing w:after="0" w:line="360" w:lineRule="auto"/>
        <w:contextualSpacing/>
        <w:rPr>
          <w:color w:val="auto"/>
        </w:rPr>
      </w:pPr>
      <w:r w:rsidRPr="000F13F1">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0F13F1">
        <w:rPr>
          <w:i/>
          <w:iCs/>
          <w:color w:val="auto"/>
        </w:rPr>
        <w:t>ad hoc</w:t>
      </w:r>
      <w:r w:rsidRPr="000F13F1">
        <w:rPr>
          <w:color w:val="auto"/>
        </w:rPr>
        <w:t>; lo cual, toma sustento en el artículo 160 de la Ley de Transparencia y Acceso a la Información Pública del Estado de México y Municipios, el cual refiere que los sujetos obligados deberán entregar la información que obre en sus archivos.</w:t>
      </w:r>
    </w:p>
    <w:p w14:paraId="36B05622" w14:textId="77777777" w:rsidR="000F13F1" w:rsidRPr="000F13F1" w:rsidRDefault="000F13F1" w:rsidP="00877B34">
      <w:pPr>
        <w:spacing w:after="0" w:line="360" w:lineRule="auto"/>
        <w:contextualSpacing/>
        <w:rPr>
          <w:color w:val="auto"/>
        </w:rPr>
      </w:pPr>
    </w:p>
    <w:p w14:paraId="25E52780" w14:textId="1A5C38DE" w:rsidR="000F13F1" w:rsidRDefault="000F13F1" w:rsidP="00877B34">
      <w:pPr>
        <w:spacing w:after="0" w:line="360" w:lineRule="auto"/>
        <w:contextualSpacing/>
        <w:rPr>
          <w:color w:val="auto"/>
        </w:rPr>
      </w:pPr>
      <w:r w:rsidRPr="000F13F1">
        <w:rPr>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Pr>
          <w:color w:val="auto"/>
        </w:rPr>
        <w:t>por lo que el Sujeto Obligado deberá de proporcionar las requisiciones solicitadas.</w:t>
      </w:r>
    </w:p>
    <w:p w14:paraId="4C188913" w14:textId="77777777" w:rsidR="000F13F1" w:rsidRDefault="000F13F1" w:rsidP="00877B34">
      <w:pPr>
        <w:spacing w:after="0" w:line="360" w:lineRule="auto"/>
        <w:contextualSpacing/>
        <w:rPr>
          <w:color w:val="auto"/>
        </w:rPr>
      </w:pPr>
    </w:p>
    <w:p w14:paraId="407E18CF" w14:textId="76B9E05D" w:rsidR="00624F33" w:rsidRPr="00E04D7C" w:rsidRDefault="00E04D7C" w:rsidP="00877B34">
      <w:pPr>
        <w:spacing w:after="0" w:line="360" w:lineRule="auto"/>
        <w:contextualSpacing/>
        <w:rPr>
          <w:color w:val="auto"/>
        </w:rPr>
      </w:pPr>
      <w:r>
        <w:rPr>
          <w:color w:val="auto"/>
        </w:rPr>
        <w:t xml:space="preserve">Ahora bien, por otra parte, el </w:t>
      </w:r>
      <w:r w:rsidRPr="00E04D7C">
        <w:rPr>
          <w:color w:val="auto"/>
        </w:rPr>
        <w:t>Sujeto Obligado, a través la Tesorería Municipal mencion</w:t>
      </w:r>
      <w:r w:rsidR="000D79ED">
        <w:rPr>
          <w:color w:val="auto"/>
        </w:rPr>
        <w:t>ó</w:t>
      </w:r>
      <w:r w:rsidRPr="00E04D7C">
        <w:rPr>
          <w:color w:val="auto"/>
        </w:rPr>
        <w:t xml:space="preserve"> que la información solicitada se ponía a disposición en consulta directa, ya que la misma tiene un peso de 1.42 GB (1,529,623,867 bytes), además que el procesamiento de documentos, cuya entrega o reproducción sobrepasa las capacidades técnicas, administrativas y humanas de del Ayuntamiento</w:t>
      </w:r>
      <w:r w:rsidR="00624F33" w:rsidRPr="00E04D7C">
        <w:rPr>
          <w:color w:val="auto"/>
        </w:rPr>
        <w:t xml:space="preserve">; </w:t>
      </w:r>
      <w:r w:rsidR="00624F33" w:rsidRPr="00E04D7C">
        <w:rPr>
          <w:rFonts w:cs="Tahoma"/>
          <w:iCs/>
          <w:color w:val="auto"/>
          <w:szCs w:val="24"/>
          <w:lang w:val="es-ES_tradnl"/>
        </w:rPr>
        <w:t>por lo que, se procede analizar si procede el cambio de modalidad. A</w:t>
      </w:r>
      <w:r w:rsidR="00624F33" w:rsidRPr="00E04D7C">
        <w:rPr>
          <w:rFonts w:cs="Tahoma"/>
          <w:color w:val="auto"/>
          <w:lang w:val="es-ES"/>
        </w:rPr>
        <w:t>l respecto, cabe recordar que se requirió la información, a través del Sistema de Acceso a Información Mexiquense (SAIMEX).</w:t>
      </w:r>
    </w:p>
    <w:p w14:paraId="408A9A09" w14:textId="77777777" w:rsidR="00624F33" w:rsidRPr="00624F33" w:rsidRDefault="00624F33" w:rsidP="00877B34">
      <w:pPr>
        <w:spacing w:after="0" w:line="360" w:lineRule="auto"/>
        <w:contextualSpacing/>
        <w:rPr>
          <w:rFonts w:cs="Tahoma"/>
          <w:color w:val="FF0000"/>
          <w:lang w:val="es-ES"/>
        </w:rPr>
      </w:pPr>
    </w:p>
    <w:p w14:paraId="20442722" w14:textId="77777777" w:rsidR="00624F33" w:rsidRPr="00E04D7C" w:rsidRDefault="00624F33" w:rsidP="00877B34">
      <w:pPr>
        <w:spacing w:after="0" w:line="360" w:lineRule="auto"/>
        <w:rPr>
          <w:color w:val="auto"/>
        </w:rPr>
      </w:pPr>
      <w:r w:rsidRPr="00E04D7C">
        <w:rPr>
          <w:color w:val="auto"/>
        </w:rPr>
        <w:t xml:space="preserve">En ese sentido, el artículo 155, fracción V, de la Ley de Transparencia y Acceso a la Información Pública del Estado de México y Municipios, precisa que para presentar una solicitud, el particular podrá señalar </w:t>
      </w:r>
      <w:r w:rsidRPr="00E04D7C">
        <w:rPr>
          <w:b/>
          <w:color w:val="auto"/>
        </w:rPr>
        <w:t>la modalidad en la que prefiere se otorgue el acceso a la información</w:t>
      </w:r>
      <w:r w:rsidRPr="00E04D7C">
        <w:rPr>
          <w:color w:val="auto"/>
        </w:rPr>
        <w:t>, la cual podrá ser verbal, siempre y cuando sea para fines de orientación, mediante consulta directa, mediante la expedición de copias simples o certificadas o la reproducción en cualquier otro medio, incluidos los electrónicos.</w:t>
      </w:r>
    </w:p>
    <w:p w14:paraId="719E1159" w14:textId="77777777" w:rsidR="00624F33" w:rsidRPr="00E04D7C" w:rsidRDefault="00624F33" w:rsidP="00877B34">
      <w:pPr>
        <w:spacing w:after="0" w:line="360" w:lineRule="auto"/>
        <w:rPr>
          <w:color w:val="auto"/>
        </w:rPr>
      </w:pPr>
    </w:p>
    <w:p w14:paraId="580C86E8" w14:textId="77777777" w:rsidR="00624F33" w:rsidRPr="00E04D7C" w:rsidRDefault="00624F33" w:rsidP="00877B34">
      <w:pPr>
        <w:spacing w:after="0" w:line="360" w:lineRule="auto"/>
        <w:rPr>
          <w:b/>
          <w:color w:val="auto"/>
        </w:rPr>
      </w:pPr>
      <w:r w:rsidRPr="00E04D7C">
        <w:rPr>
          <w:color w:val="auto"/>
        </w:rPr>
        <w:t xml:space="preserve">El artículo 158, dispone que, de manera excepcional, cuando de manera fundada y motivada lo determine el Sujeto Obligado, </w:t>
      </w:r>
      <w:r w:rsidRPr="00E04D7C">
        <w:rPr>
          <w:b/>
          <w:color w:val="auto"/>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3A04A9E" w14:textId="77777777" w:rsidR="00624F33" w:rsidRPr="00E04D7C" w:rsidRDefault="00624F33" w:rsidP="00877B34">
      <w:pPr>
        <w:spacing w:after="0" w:line="360" w:lineRule="auto"/>
        <w:rPr>
          <w:b/>
          <w:color w:val="auto"/>
        </w:rPr>
      </w:pPr>
    </w:p>
    <w:p w14:paraId="675B9585" w14:textId="77777777" w:rsidR="00624F33" w:rsidRPr="00E04D7C" w:rsidRDefault="00624F33" w:rsidP="00877B34">
      <w:pPr>
        <w:spacing w:after="0" w:line="360" w:lineRule="auto"/>
        <w:rPr>
          <w:color w:val="auto"/>
        </w:rPr>
      </w:pPr>
      <w:r w:rsidRPr="00E04D7C">
        <w:rPr>
          <w:color w:val="auto"/>
        </w:rPr>
        <w:t xml:space="preserve">En ese orden de ideas, el artículo 164 de dicho ordenamiento jurídico, prevé que el acceso se dará en la modalidad de entrega y, en su caso, de envío elegidos por al solicitante. </w:t>
      </w:r>
      <w:r w:rsidRPr="00E04D7C">
        <w:rPr>
          <w:b/>
          <w:color w:val="auto"/>
        </w:rPr>
        <w:t>Cuando la información no pueda entregarse o enviarse en la modalidad elegida, el sujeto obligado deberá ofrecer otra u otras modalidades de entrega.</w:t>
      </w:r>
      <w:r w:rsidRPr="00E04D7C">
        <w:rPr>
          <w:color w:val="auto"/>
        </w:rPr>
        <w:t xml:space="preserve"> En cualquier caso, </w:t>
      </w:r>
      <w:r w:rsidRPr="00E04D7C">
        <w:rPr>
          <w:b/>
          <w:color w:val="auto"/>
        </w:rPr>
        <w:t>se deberá fundar y motivar</w:t>
      </w:r>
      <w:r w:rsidRPr="00E04D7C">
        <w:rPr>
          <w:color w:val="auto"/>
        </w:rPr>
        <w:t xml:space="preserve"> la necesidad de ofrecer otras modalidades.</w:t>
      </w:r>
    </w:p>
    <w:p w14:paraId="3F83EE8D" w14:textId="77777777" w:rsidR="00624F33" w:rsidRPr="00E04D7C" w:rsidRDefault="00624F33" w:rsidP="00877B34">
      <w:pPr>
        <w:spacing w:after="0" w:line="360" w:lineRule="auto"/>
        <w:rPr>
          <w:color w:val="auto"/>
        </w:rPr>
      </w:pPr>
    </w:p>
    <w:p w14:paraId="43636BE4" w14:textId="77777777" w:rsidR="00624F33" w:rsidRPr="00E04D7C" w:rsidRDefault="00624F33" w:rsidP="00877B34">
      <w:pPr>
        <w:spacing w:after="0" w:line="360" w:lineRule="auto"/>
        <w:contextualSpacing/>
        <w:rPr>
          <w:rFonts w:cs="Tahoma"/>
          <w:b/>
          <w:bCs/>
          <w:iCs/>
          <w:color w:val="auto"/>
        </w:rPr>
      </w:pPr>
      <w:r w:rsidRPr="00E04D7C">
        <w:rPr>
          <w:rFonts w:cs="Tahoma"/>
          <w:bCs/>
          <w:iCs/>
          <w:color w:val="auto"/>
        </w:rPr>
        <w:t xml:space="preserve">En tales consideraciones, la entrega de la información deberá hacerse, </w:t>
      </w:r>
      <w:r w:rsidRPr="00E04D7C">
        <w:rPr>
          <w:rFonts w:cs="Tahoma"/>
          <w:b/>
          <w:bCs/>
          <w:iCs/>
          <w:color w:val="auto"/>
        </w:rPr>
        <w:t>en la medida de lo posible, en la forma solicitada por el interesado, salvo que exista un impedimento justificado para atenderla</w:t>
      </w:r>
      <w:r w:rsidRPr="00E04D7C">
        <w:rPr>
          <w:rFonts w:cs="Tahoma"/>
          <w:bCs/>
          <w:iCs/>
          <w:color w:val="auto"/>
        </w:rPr>
        <w:t xml:space="preserve">, en cuyo caso, deberán exponerse las razones por las cuales no era posible utilizar el medio de reproducción solicitado; en ese sentido, la entrega de la información en una modalidad distinta a la elegida por el particular </w:t>
      </w:r>
      <w:r w:rsidRPr="00E04D7C">
        <w:rPr>
          <w:rFonts w:cs="Tahoma"/>
          <w:b/>
          <w:bCs/>
          <w:iCs/>
          <w:color w:val="auto"/>
        </w:rPr>
        <w:t xml:space="preserve">sólo procede, en caso de que se acredite la imposibilidad de atenderla. </w:t>
      </w:r>
    </w:p>
    <w:p w14:paraId="582EED68" w14:textId="77777777" w:rsidR="00624F33" w:rsidRPr="00E04D7C" w:rsidRDefault="00624F33" w:rsidP="00877B34">
      <w:pPr>
        <w:spacing w:after="0" w:line="360" w:lineRule="auto"/>
        <w:contextualSpacing/>
        <w:rPr>
          <w:rFonts w:eastAsia="Calibri" w:cs="Tahoma"/>
          <w:bCs/>
          <w:color w:val="auto"/>
        </w:rPr>
      </w:pPr>
    </w:p>
    <w:p w14:paraId="1B5697FC" w14:textId="77777777" w:rsidR="00624F33" w:rsidRPr="00E04D7C" w:rsidRDefault="00624F33" w:rsidP="00877B34">
      <w:pPr>
        <w:spacing w:after="0" w:line="360" w:lineRule="auto"/>
        <w:contextualSpacing/>
        <w:rPr>
          <w:rFonts w:eastAsia="Calibri" w:cs="Tahoma"/>
          <w:b/>
          <w:color w:val="auto"/>
        </w:rPr>
      </w:pPr>
      <w:bookmarkStart w:id="21" w:name="_Hlk144892817"/>
      <w:r w:rsidRPr="00E04D7C">
        <w:rPr>
          <w:rFonts w:eastAsia="Calibri" w:cs="Tahoma"/>
          <w:bCs/>
          <w:color w:val="auto"/>
          <w:lang w:val="es-ES"/>
        </w:rPr>
        <w:t xml:space="preserve">Así, cuando se justifique el impedimento, </w:t>
      </w:r>
      <w:r w:rsidRPr="00E04D7C">
        <w:rPr>
          <w:rFonts w:eastAsia="Calibri" w:cs="Tahoma"/>
          <w:b/>
          <w:bCs/>
          <w:color w:val="auto"/>
          <w:lang w:val="es-ES"/>
        </w:rPr>
        <w:t>los Sujetos Obligados deberán ofrecer al particular otras modalidades de entrega que permita la información</w:t>
      </w:r>
      <w:r w:rsidRPr="00E04D7C">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qu</w:t>
      </w:r>
      <w:r w:rsidRPr="00E04D7C">
        <w:rPr>
          <w:rFonts w:eastAsia="Calibri" w:cs="Tahoma"/>
          <w:bCs/>
          <w:color w:val="auto"/>
        </w:rPr>
        <w:t xml:space="preserve">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E04D7C">
        <w:rPr>
          <w:rFonts w:eastAsia="Calibri" w:cs="Tahoma"/>
          <w:b/>
          <w:color w:val="auto"/>
        </w:rPr>
        <w:t>información en todas las modalidades que lo permitan, procurando reducir los costos de entrega.</w:t>
      </w:r>
    </w:p>
    <w:bookmarkEnd w:id="21"/>
    <w:p w14:paraId="641152EB" w14:textId="77777777" w:rsidR="00624F33" w:rsidRPr="00E04D7C" w:rsidRDefault="00624F33" w:rsidP="00877B34">
      <w:pPr>
        <w:spacing w:after="0" w:line="360" w:lineRule="auto"/>
        <w:contextualSpacing/>
        <w:rPr>
          <w:rFonts w:eastAsia="Times New Roman" w:cs="Tahoma"/>
          <w:color w:val="auto"/>
          <w:lang w:eastAsia="es-ES"/>
        </w:rPr>
      </w:pPr>
    </w:p>
    <w:p w14:paraId="07A7004E" w14:textId="77777777" w:rsidR="00624F33" w:rsidRPr="00E04D7C" w:rsidRDefault="00624F33" w:rsidP="00877B34">
      <w:pPr>
        <w:widowControl w:val="0"/>
        <w:spacing w:after="0" w:line="360" w:lineRule="auto"/>
        <w:contextualSpacing/>
        <w:rPr>
          <w:rFonts w:eastAsia="Calibri" w:cs="Tahoma"/>
          <w:bCs/>
          <w:color w:val="auto"/>
        </w:rPr>
      </w:pPr>
      <w:r w:rsidRPr="00E04D7C">
        <w:rPr>
          <w:rFonts w:eastAsia="Calibri" w:cs="Tahoma"/>
          <w:bCs/>
          <w:color w:val="auto"/>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CC35846" w14:textId="77777777" w:rsidR="00624F33" w:rsidRPr="00E04D7C" w:rsidRDefault="00624F33" w:rsidP="00877B34">
      <w:pPr>
        <w:widowControl w:val="0"/>
        <w:spacing w:after="0" w:line="360" w:lineRule="auto"/>
        <w:contextualSpacing/>
        <w:rPr>
          <w:rFonts w:eastAsia="Calibri" w:cs="Tahoma"/>
          <w:bCs/>
          <w:color w:val="auto"/>
        </w:rPr>
      </w:pPr>
    </w:p>
    <w:p w14:paraId="5D1E4826" w14:textId="77777777" w:rsidR="00624F33" w:rsidRPr="00E04D7C" w:rsidRDefault="00624F33" w:rsidP="00877B34">
      <w:pPr>
        <w:numPr>
          <w:ilvl w:val="0"/>
          <w:numId w:val="14"/>
        </w:numPr>
        <w:spacing w:after="0" w:line="360" w:lineRule="auto"/>
        <w:contextualSpacing/>
        <w:rPr>
          <w:rFonts w:eastAsia="Calibri" w:cs="Tahoma"/>
          <w:bCs/>
          <w:color w:val="auto"/>
        </w:rPr>
      </w:pPr>
      <w:r w:rsidRPr="00E04D7C">
        <w:rPr>
          <w:rFonts w:eastAsia="Calibri" w:cs="Tahoma"/>
          <w:bCs/>
          <w:color w:val="auto"/>
        </w:rPr>
        <w:t>Las razones por las cuales la información implicaba un análisis, estudio o procesamiento de datos;</w:t>
      </w:r>
    </w:p>
    <w:p w14:paraId="6DC2C806" w14:textId="77777777" w:rsidR="00624F33" w:rsidRPr="00E04D7C" w:rsidRDefault="00624F33" w:rsidP="00877B34">
      <w:pPr>
        <w:spacing w:after="0" w:line="360" w:lineRule="auto"/>
        <w:ind w:left="720"/>
        <w:contextualSpacing/>
        <w:rPr>
          <w:rFonts w:eastAsia="Calibri" w:cs="Tahoma"/>
          <w:bCs/>
          <w:color w:val="auto"/>
        </w:rPr>
      </w:pPr>
    </w:p>
    <w:p w14:paraId="64806F6F" w14:textId="77777777" w:rsidR="00624F33" w:rsidRPr="00E04D7C" w:rsidRDefault="00624F33" w:rsidP="00877B34">
      <w:pPr>
        <w:numPr>
          <w:ilvl w:val="0"/>
          <w:numId w:val="14"/>
        </w:numPr>
        <w:spacing w:after="0" w:line="360" w:lineRule="auto"/>
        <w:contextualSpacing/>
        <w:rPr>
          <w:rFonts w:eastAsia="Calibri" w:cs="Tahoma"/>
          <w:bCs/>
          <w:color w:val="auto"/>
        </w:rPr>
      </w:pPr>
      <w:r w:rsidRPr="00E04D7C">
        <w:rPr>
          <w:rFonts w:cs="Tahoma"/>
          <w:iCs/>
          <w:color w:val="auto"/>
        </w:rPr>
        <w:t>Por qué motivo el tiempo, que se le otorga al Sujeto Obligado para dar respuesta, en la modalidad elegida a la solicitud de información, no le es suficiente</w:t>
      </w:r>
      <w:r w:rsidRPr="00E04D7C">
        <w:rPr>
          <w:rFonts w:eastAsia="Calibri" w:cs="Tahoma"/>
          <w:bCs/>
          <w:color w:val="auto"/>
        </w:rPr>
        <w:t>, y</w:t>
      </w:r>
    </w:p>
    <w:p w14:paraId="2E3FECD6" w14:textId="77777777" w:rsidR="00624F33" w:rsidRPr="00E04D7C" w:rsidRDefault="00624F33" w:rsidP="00877B34">
      <w:pPr>
        <w:pStyle w:val="Prrafodelista"/>
        <w:spacing w:line="360" w:lineRule="auto"/>
        <w:rPr>
          <w:rFonts w:eastAsia="Calibri" w:cs="Tahoma"/>
          <w:bCs/>
          <w:color w:val="auto"/>
        </w:rPr>
      </w:pPr>
    </w:p>
    <w:p w14:paraId="656D9CB7" w14:textId="77777777" w:rsidR="00624F33" w:rsidRPr="00E04D7C" w:rsidRDefault="00624F33" w:rsidP="00877B34">
      <w:pPr>
        <w:numPr>
          <w:ilvl w:val="0"/>
          <w:numId w:val="14"/>
        </w:numPr>
        <w:spacing w:after="0" w:line="360" w:lineRule="auto"/>
        <w:contextualSpacing/>
        <w:rPr>
          <w:rFonts w:eastAsia="Calibri" w:cs="Tahoma"/>
          <w:bCs/>
          <w:color w:val="auto"/>
        </w:rPr>
      </w:pPr>
      <w:r w:rsidRPr="00E04D7C">
        <w:rPr>
          <w:rFonts w:eastAsia="Calibri" w:cs="Tahoma"/>
          <w:bCs/>
          <w:color w:val="auto"/>
        </w:rPr>
        <w:t>La cantidad de recursos humanos y materiales con los que cuenta el Sujeto Obligado son insuficientes.</w:t>
      </w:r>
    </w:p>
    <w:p w14:paraId="3922038E" w14:textId="77777777" w:rsidR="00624F33" w:rsidRPr="00E04D7C" w:rsidRDefault="00624F33" w:rsidP="00877B34">
      <w:pPr>
        <w:spacing w:after="0" w:line="360" w:lineRule="auto"/>
        <w:ind w:right="-28"/>
        <w:rPr>
          <w:color w:val="auto"/>
        </w:rPr>
      </w:pPr>
    </w:p>
    <w:p w14:paraId="68EF27B7" w14:textId="77777777" w:rsidR="00624F33" w:rsidRPr="00E04D7C" w:rsidRDefault="00624F33" w:rsidP="00877B34">
      <w:pPr>
        <w:spacing w:after="0" w:line="360" w:lineRule="auto"/>
        <w:ind w:right="-28"/>
        <w:rPr>
          <w:color w:val="auto"/>
        </w:rPr>
      </w:pPr>
      <w:r w:rsidRPr="00E04D7C">
        <w:rPr>
          <w:color w:val="auto"/>
        </w:rPr>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39D37C1C" w14:textId="77777777" w:rsidR="00624F33" w:rsidRPr="00E04D7C" w:rsidRDefault="00624F33" w:rsidP="00877B34">
      <w:pPr>
        <w:spacing w:after="0" w:line="360" w:lineRule="auto"/>
        <w:ind w:right="-28"/>
        <w:rPr>
          <w:color w:val="auto"/>
        </w:rPr>
      </w:pPr>
    </w:p>
    <w:p w14:paraId="014D15D8" w14:textId="77777777" w:rsidR="00624F33" w:rsidRPr="00E04D7C" w:rsidRDefault="00624F33" w:rsidP="00877B34">
      <w:pPr>
        <w:autoSpaceDE w:val="0"/>
        <w:autoSpaceDN w:val="0"/>
        <w:adjustRightInd w:val="0"/>
        <w:spacing w:after="0" w:line="360" w:lineRule="auto"/>
        <w:rPr>
          <w:rFonts w:eastAsia="Calibri" w:cs="Tahoma"/>
          <w:color w:val="auto"/>
          <w:szCs w:val="24"/>
        </w:rPr>
      </w:pPr>
      <w:r w:rsidRPr="00E04D7C">
        <w:rPr>
          <w:rFonts w:eastAsia="Calibri" w:cs="Tahoma"/>
          <w:bCs/>
          <w:iCs/>
          <w:color w:val="auto"/>
        </w:rPr>
        <w:t xml:space="preserve">Sobre dicha circunstancia, </w:t>
      </w:r>
      <w:r w:rsidRPr="00E04D7C">
        <w:rPr>
          <w:rFonts w:cs="Tahoma"/>
          <w:color w:val="auto"/>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E04D7C">
        <w:rPr>
          <w:rFonts w:cs="Tahoma"/>
          <w:b/>
          <w:bCs/>
          <w:color w:val="auto"/>
          <w:szCs w:val="24"/>
        </w:rPr>
        <w:t>quinientos megabytes</w:t>
      </w:r>
      <w:r w:rsidRPr="00E04D7C">
        <w:rPr>
          <w:rFonts w:cs="Tahoma"/>
          <w:color w:val="auto"/>
          <w:szCs w:val="24"/>
        </w:rPr>
        <w:t xml:space="preserve"> o su equivalente a </w:t>
      </w:r>
      <w:r w:rsidRPr="00E04D7C">
        <w:rPr>
          <w:rFonts w:cs="Tahoma"/>
          <w:b/>
          <w:bCs/>
          <w:color w:val="auto"/>
          <w:szCs w:val="24"/>
        </w:rPr>
        <w:t>ocho mil fojas</w:t>
      </w:r>
      <w:r w:rsidRPr="00E04D7C">
        <w:rPr>
          <w:rFonts w:cs="Tahoma"/>
          <w:color w:val="auto"/>
          <w:szCs w:val="24"/>
        </w:rPr>
        <w:t>.</w:t>
      </w:r>
    </w:p>
    <w:p w14:paraId="054BA084" w14:textId="77777777" w:rsidR="00624F33" w:rsidRPr="00624F33" w:rsidRDefault="00624F33" w:rsidP="00877B34">
      <w:pPr>
        <w:spacing w:after="0" w:line="360" w:lineRule="auto"/>
        <w:ind w:right="-28"/>
        <w:rPr>
          <w:color w:val="FF0000"/>
        </w:rPr>
      </w:pPr>
    </w:p>
    <w:p w14:paraId="5504B2EC" w14:textId="497EA1A4" w:rsidR="00E04D7C" w:rsidRDefault="00624F33" w:rsidP="00877B34">
      <w:pPr>
        <w:spacing w:after="0" w:line="360" w:lineRule="auto"/>
        <w:ind w:right="-28"/>
        <w:contextualSpacing/>
        <w:rPr>
          <w:color w:val="auto"/>
        </w:rPr>
      </w:pPr>
      <w:r w:rsidRPr="00E04D7C">
        <w:rPr>
          <w:rFonts w:eastAsia="Calibri" w:cs="Tahoma"/>
          <w:bCs/>
          <w:color w:val="auto"/>
          <w:lang w:val="es-ES"/>
        </w:rPr>
        <w:t xml:space="preserve">Sobre esta situación, es necesario precisar que </w:t>
      </w:r>
      <w:r w:rsidRPr="00E04D7C">
        <w:rPr>
          <w:color w:val="auto"/>
        </w:rPr>
        <w:t xml:space="preserve">el Sujeto Obligado mencionó que, debido al procesamiento de documentos, cuya entrega o reproducción sobrepasa las capacidades técnicas, administrativas y humanas de los sujetos obligados, se ponen a disposición </w:t>
      </w:r>
      <w:r w:rsidR="00E04D7C">
        <w:rPr>
          <w:color w:val="auto"/>
        </w:rPr>
        <w:t xml:space="preserve">los documentos que dan cuenta de lo solicitado, además de señalar que la información requerida tiene un peso </w:t>
      </w:r>
      <w:r w:rsidR="00E04D7C" w:rsidRPr="00E04D7C">
        <w:rPr>
          <w:color w:val="auto"/>
        </w:rPr>
        <w:t>1.42 GB (1,529,623,867 bytes)</w:t>
      </w:r>
      <w:r w:rsidR="00E04D7C">
        <w:rPr>
          <w:color w:val="auto"/>
        </w:rPr>
        <w:t>.</w:t>
      </w:r>
    </w:p>
    <w:p w14:paraId="29C257E3" w14:textId="77777777" w:rsidR="00E04D7C" w:rsidRDefault="00E04D7C" w:rsidP="00877B34">
      <w:pPr>
        <w:spacing w:after="0" w:line="360" w:lineRule="auto"/>
        <w:ind w:right="-28"/>
        <w:contextualSpacing/>
        <w:rPr>
          <w:color w:val="auto"/>
        </w:rPr>
      </w:pPr>
    </w:p>
    <w:p w14:paraId="26450147" w14:textId="597B9CA3" w:rsidR="00624F33" w:rsidRDefault="00447E54" w:rsidP="00877B34">
      <w:pPr>
        <w:spacing w:after="0" w:line="360" w:lineRule="auto"/>
        <w:ind w:right="-28"/>
        <w:contextualSpacing/>
        <w:rPr>
          <w:rFonts w:cs="Tahoma"/>
          <w:color w:val="auto"/>
        </w:rPr>
      </w:pPr>
      <w:r w:rsidRPr="00447E54">
        <w:rPr>
          <w:color w:val="auto"/>
        </w:rPr>
        <w:t>Ahora bien, del análisis de la respuesta anterior se logra advertir que la misma no puede ser validada</w:t>
      </w:r>
      <w:r>
        <w:rPr>
          <w:color w:val="auto"/>
        </w:rPr>
        <w:t xml:space="preserve"> ya que si bien la Tesorería Municipal señal</w:t>
      </w:r>
      <w:r w:rsidR="000D79ED">
        <w:rPr>
          <w:color w:val="auto"/>
        </w:rPr>
        <w:t>ó</w:t>
      </w:r>
      <w:r>
        <w:rPr>
          <w:color w:val="auto"/>
        </w:rPr>
        <w:t xml:space="preserve"> que  el peso de la información supera la capacidad del SAIMEX, lo cierto es que dicha respuesta resulta incongruente ya que el Sujeto Obligado proporcion</w:t>
      </w:r>
      <w:r w:rsidR="000D79ED">
        <w:rPr>
          <w:color w:val="auto"/>
        </w:rPr>
        <w:t>ó</w:t>
      </w:r>
      <w:r>
        <w:rPr>
          <w:color w:val="auto"/>
        </w:rPr>
        <w:t xml:space="preserve"> parte de las requisiciones estas no superan las ocho mil</w:t>
      </w:r>
      <w:r w:rsidR="000D79ED">
        <w:rPr>
          <w:color w:val="auto"/>
        </w:rPr>
        <w:t xml:space="preserve"> hojas</w:t>
      </w:r>
      <w:r>
        <w:rPr>
          <w:color w:val="auto"/>
        </w:rPr>
        <w:t xml:space="preserve">,  y por otra parte falto el pronunciamientos de la Dirección de Administración sobre el  </w:t>
      </w:r>
      <w:r>
        <w:rPr>
          <w:rFonts w:cs="Tahoma"/>
          <w:color w:val="auto"/>
        </w:rPr>
        <w:t xml:space="preserve">documento que </w:t>
      </w:r>
      <w:r w:rsidR="000D79ED">
        <w:rPr>
          <w:rFonts w:cs="Tahoma"/>
          <w:color w:val="auto"/>
        </w:rPr>
        <w:t>acredite las</w:t>
      </w:r>
      <w:r>
        <w:rPr>
          <w:rFonts w:cs="Tahoma"/>
          <w:color w:val="auto"/>
        </w:rPr>
        <w:t xml:space="preserve"> compras </w:t>
      </w:r>
      <w:r w:rsidR="000D79ED">
        <w:rPr>
          <w:rFonts w:cs="Tahoma"/>
          <w:color w:val="auto"/>
        </w:rPr>
        <w:t>realizadas, que de manera enunciativa, más no limitativa, pudieran ser los contratos celebrados o las facturas recibidas.</w:t>
      </w:r>
    </w:p>
    <w:p w14:paraId="2BEFCEEC" w14:textId="77777777" w:rsidR="00447E54" w:rsidRDefault="00447E54" w:rsidP="00877B34">
      <w:pPr>
        <w:spacing w:after="0" w:line="360" w:lineRule="auto"/>
        <w:ind w:right="-28"/>
        <w:contextualSpacing/>
        <w:rPr>
          <w:rFonts w:cs="Tahoma"/>
          <w:color w:val="auto"/>
        </w:rPr>
      </w:pPr>
    </w:p>
    <w:p w14:paraId="0B208707" w14:textId="5B046988" w:rsidR="00447E54" w:rsidRPr="00447E54" w:rsidRDefault="00447E54" w:rsidP="00877B34">
      <w:pPr>
        <w:spacing w:after="0" w:line="360" w:lineRule="auto"/>
        <w:ind w:right="-28"/>
        <w:contextualSpacing/>
        <w:rPr>
          <w:color w:val="auto"/>
        </w:rPr>
      </w:pPr>
      <w:r>
        <w:rPr>
          <w:rFonts w:cs="Tahoma"/>
          <w:color w:val="auto"/>
        </w:rPr>
        <w:t xml:space="preserve">Además de recordar que, </w:t>
      </w:r>
      <w:r w:rsidR="000D79ED">
        <w:rPr>
          <w:rFonts w:eastAsia="Times New Roman" w:cs="Tahoma"/>
          <w:bCs/>
          <w:iCs/>
          <w:lang w:eastAsia="es-ES"/>
        </w:rPr>
        <w:t>el artículo 92, fracción XXIX, de la Ley de Transparencia y Acceso a la Información Pública del Estado de México y Municipios</w:t>
      </w:r>
      <w:r w:rsidR="00624F33" w:rsidRPr="00447E54">
        <w:rPr>
          <w:color w:val="auto"/>
        </w:rPr>
        <w:t xml:space="preserve">, precisa que es </w:t>
      </w:r>
      <w:r w:rsidR="00624F33" w:rsidRPr="00447E54">
        <w:rPr>
          <w:b/>
          <w:color w:val="auto"/>
          <w:u w:val="single"/>
        </w:rPr>
        <w:t>información pública de oficio</w:t>
      </w:r>
      <w:r w:rsidR="00624F33" w:rsidRPr="00447E54">
        <w:rPr>
          <w:b/>
          <w:color w:val="auto"/>
        </w:rPr>
        <w:t xml:space="preserve"> de los Ayuntamiento, </w:t>
      </w:r>
      <w:r>
        <w:rPr>
          <w:color w:val="auto"/>
        </w:rPr>
        <w:t xml:space="preserve">los </w:t>
      </w:r>
      <w:r w:rsidRPr="00447E54">
        <w:rPr>
          <w:color w:val="auto"/>
        </w:rPr>
        <w:t>procedimientos de adjudicación directa, licitación pública e invitación restringida</w:t>
      </w:r>
      <w:r>
        <w:rPr>
          <w:color w:val="auto"/>
        </w:rPr>
        <w:t>, en los cuales constan documentos como los contratos de las diferentes adquisiciones realizadas por el Ayuntamiento</w:t>
      </w:r>
      <w:r w:rsidR="000D79ED">
        <w:rPr>
          <w:color w:val="auto"/>
        </w:rPr>
        <w:t xml:space="preserve"> y demás documentos que conforman el expediente de compras.</w:t>
      </w:r>
    </w:p>
    <w:p w14:paraId="0D746AA1" w14:textId="77777777" w:rsidR="00624F33" w:rsidRPr="00624F33" w:rsidRDefault="00624F33" w:rsidP="00877B34">
      <w:pPr>
        <w:tabs>
          <w:tab w:val="left" w:pos="4962"/>
        </w:tabs>
        <w:spacing w:after="0" w:line="360" w:lineRule="auto"/>
        <w:rPr>
          <w:b/>
          <w:color w:val="FF0000"/>
        </w:rPr>
      </w:pPr>
    </w:p>
    <w:p w14:paraId="462B5B6F" w14:textId="339F0DC7" w:rsidR="00624F33" w:rsidRPr="00624F33" w:rsidRDefault="00624F33" w:rsidP="00877B34">
      <w:pPr>
        <w:spacing w:after="0" w:line="360" w:lineRule="auto"/>
        <w:rPr>
          <w:b/>
          <w:color w:val="FF0000"/>
        </w:rPr>
      </w:pPr>
      <w:r w:rsidRPr="002926CE">
        <w:rPr>
          <w:color w:val="auto"/>
        </w:rPr>
        <w:t xml:space="preserve">Así, se logra vislumbrar que, es obligación de los Sujetos Obligados poner a disposición del Público de manera permanente y actualizada a través de la Plataforma de Información Pública de Oficio Mexiquense, la información sobre </w:t>
      </w:r>
      <w:r w:rsidRPr="002926CE">
        <w:rPr>
          <w:bCs/>
          <w:color w:val="auto"/>
        </w:rPr>
        <w:t>las</w:t>
      </w:r>
      <w:r w:rsidR="002926CE" w:rsidRPr="002926CE">
        <w:rPr>
          <w:bCs/>
          <w:color w:val="auto"/>
        </w:rPr>
        <w:t xml:space="preserve"> copras y/o adquisiciones realizadas</w:t>
      </w:r>
      <w:r w:rsidR="00F622BB">
        <w:rPr>
          <w:bCs/>
          <w:color w:val="auto"/>
        </w:rPr>
        <w:t>; lo cual toma relevancia</w:t>
      </w:r>
      <w:r w:rsidRPr="002926CE">
        <w:rPr>
          <w:bCs/>
          <w:color w:val="auto"/>
        </w:rPr>
        <w:t>, con el Portal</w:t>
      </w:r>
      <w:r w:rsidRPr="002926CE">
        <w:rPr>
          <w:color w:val="auto"/>
        </w:rPr>
        <w:t xml:space="preserve"> de Información Pública de Oficio Mexiquense 4.0, en donde se logró vislumbrar que el Ayuntamiento ha publicado divers</w:t>
      </w:r>
      <w:r w:rsidR="002926CE" w:rsidRPr="002926CE">
        <w:rPr>
          <w:color w:val="auto"/>
        </w:rPr>
        <w:t>o</w:t>
      </w:r>
      <w:r w:rsidRPr="002926CE">
        <w:rPr>
          <w:color w:val="auto"/>
        </w:rPr>
        <w:t xml:space="preserve">s </w:t>
      </w:r>
      <w:r w:rsidR="002926CE" w:rsidRPr="002926CE">
        <w:rPr>
          <w:color w:val="auto"/>
        </w:rPr>
        <w:t>contratos de las compras realizadas durante el ejercicio fiscal dos mil veinticinco.</w:t>
      </w:r>
    </w:p>
    <w:p w14:paraId="085F8CF7" w14:textId="77777777" w:rsidR="00624F33" w:rsidRPr="00624F33" w:rsidRDefault="00624F33" w:rsidP="00877B34">
      <w:pPr>
        <w:tabs>
          <w:tab w:val="left" w:pos="5040"/>
        </w:tabs>
        <w:spacing w:after="0" w:line="360" w:lineRule="auto"/>
        <w:rPr>
          <w:color w:val="FF0000"/>
        </w:rPr>
      </w:pPr>
    </w:p>
    <w:p w14:paraId="54AF98D3" w14:textId="77777777" w:rsidR="00624F33" w:rsidRPr="00316990" w:rsidRDefault="00624F33" w:rsidP="00877B34">
      <w:pPr>
        <w:spacing w:after="0" w:line="360" w:lineRule="auto"/>
        <w:rPr>
          <w:b/>
          <w:bCs/>
          <w:color w:val="auto"/>
        </w:rPr>
      </w:pPr>
      <w:r w:rsidRPr="00316990">
        <w:rPr>
          <w:color w:val="auto"/>
        </w:rPr>
        <w:t xml:space="preserve">Conforme a lo anterior, se logra vislumbrar que el Sujeto Obligado no proporcionó ningún elemento que acreditara el cambio de modalidad, aunado a que la información se trata de una obligación específica de transparencia, lo cual da como resultado que el agravio sea </w:t>
      </w:r>
      <w:r w:rsidRPr="00316990">
        <w:rPr>
          <w:b/>
          <w:bCs/>
          <w:color w:val="auto"/>
        </w:rPr>
        <w:t>FUNDADO.</w:t>
      </w:r>
    </w:p>
    <w:p w14:paraId="6F86C039" w14:textId="77777777" w:rsidR="00624F33" w:rsidRPr="00624F33" w:rsidRDefault="00624F33" w:rsidP="00877B34">
      <w:pPr>
        <w:spacing w:after="0" w:line="360" w:lineRule="auto"/>
        <w:rPr>
          <w:b/>
          <w:bCs/>
          <w:color w:val="FF0000"/>
        </w:rPr>
      </w:pPr>
    </w:p>
    <w:p w14:paraId="7247AC8D" w14:textId="3A2BBC28" w:rsidR="00F622BB" w:rsidRDefault="00624F33" w:rsidP="00877B34">
      <w:pPr>
        <w:widowControl w:val="0"/>
        <w:autoSpaceDE w:val="0"/>
        <w:autoSpaceDN w:val="0"/>
        <w:adjustRightInd w:val="0"/>
        <w:spacing w:after="0" w:line="360" w:lineRule="auto"/>
        <w:contextualSpacing/>
        <w:rPr>
          <w:color w:val="auto"/>
        </w:rPr>
      </w:pPr>
      <w:r w:rsidRPr="00316990">
        <w:rPr>
          <w:color w:val="auto"/>
        </w:rPr>
        <w:t xml:space="preserve">Ahora bien, </w:t>
      </w:r>
      <w:r w:rsidR="00F622BB">
        <w:rPr>
          <w:color w:val="auto"/>
        </w:rPr>
        <w:t>de la revisión del IPOMEX y derivado que el Sujeto Obligado si debió realizar compras, pues desde respuestra entregó diversas requisiciones, se consdiera que para dar cumplimiento a los artículo 12 y 160, de la Ley de Transparencia y Acceso a la Información Pública, deberá proporcionar los documentos que den cuenta de las compras realizadas por el Ayuntamiento, del primero de enero al treinta de abril de dos mil veinticinco, que de manera enunciativa, más no limitativa, pudiera ser el contrato celebrado o la factura emitida.</w:t>
      </w:r>
    </w:p>
    <w:p w14:paraId="006EA78E" w14:textId="77777777" w:rsidR="00F622BB" w:rsidRDefault="00F622BB" w:rsidP="00877B34">
      <w:pPr>
        <w:widowControl w:val="0"/>
        <w:autoSpaceDE w:val="0"/>
        <w:autoSpaceDN w:val="0"/>
        <w:adjustRightInd w:val="0"/>
        <w:spacing w:after="0" w:line="360" w:lineRule="auto"/>
        <w:contextualSpacing/>
        <w:rPr>
          <w:color w:val="auto"/>
        </w:rPr>
      </w:pPr>
    </w:p>
    <w:p w14:paraId="7F5423F4" w14:textId="77777777" w:rsidR="00C47A8C" w:rsidRPr="0058732A" w:rsidRDefault="00C47A8C" w:rsidP="00877B34">
      <w:pPr>
        <w:spacing w:after="0" w:line="360" w:lineRule="auto"/>
        <w:ind w:right="-28"/>
        <w:rPr>
          <w:color w:val="000000"/>
        </w:rPr>
      </w:pPr>
      <w:r w:rsidRPr="0058732A">
        <w:rPr>
          <w:color w:val="000000"/>
        </w:rPr>
        <w:t xml:space="preserve">Finalmente, no pasa desapercibido para este Instituto que los documentos, que den cuenta de lo solicitado, pudieran contener los siguientes datos: </w:t>
      </w:r>
    </w:p>
    <w:p w14:paraId="59F4381C" w14:textId="77777777" w:rsidR="00C47A8C" w:rsidRPr="0058732A" w:rsidRDefault="00C47A8C" w:rsidP="00877B34">
      <w:pPr>
        <w:spacing w:after="0" w:line="360" w:lineRule="auto"/>
        <w:rPr>
          <w:color w:val="000000"/>
        </w:rPr>
      </w:pPr>
    </w:p>
    <w:p w14:paraId="09196D4E" w14:textId="77777777" w:rsidR="00C47A8C" w:rsidRPr="0058732A" w:rsidRDefault="00C47A8C" w:rsidP="00877B34">
      <w:pPr>
        <w:numPr>
          <w:ilvl w:val="0"/>
          <w:numId w:val="20"/>
        </w:numPr>
        <w:spacing w:after="0" w:line="360" w:lineRule="auto"/>
        <w:ind w:left="993" w:hanging="426"/>
        <w:jc w:val="left"/>
        <w:rPr>
          <w:color w:val="000000"/>
        </w:rPr>
      </w:pPr>
      <w:r w:rsidRPr="0058732A">
        <w:rPr>
          <w:color w:val="000000"/>
        </w:rPr>
        <w:t>Nombre del proveedor o contratista</w:t>
      </w:r>
    </w:p>
    <w:p w14:paraId="2F8308BA" w14:textId="77777777" w:rsidR="00C47A8C" w:rsidRPr="0058732A" w:rsidRDefault="00C47A8C" w:rsidP="00877B34">
      <w:pPr>
        <w:numPr>
          <w:ilvl w:val="0"/>
          <w:numId w:val="20"/>
        </w:numPr>
        <w:spacing w:after="0" w:line="360" w:lineRule="auto"/>
        <w:ind w:left="993" w:hanging="426"/>
        <w:jc w:val="left"/>
        <w:rPr>
          <w:color w:val="000000"/>
        </w:rPr>
      </w:pPr>
      <w:r w:rsidRPr="0058732A">
        <w:rPr>
          <w:color w:val="000000"/>
        </w:rPr>
        <w:t>Registro Federal de Contribuyentes (RFC) de proveedores o contratista;</w:t>
      </w:r>
    </w:p>
    <w:p w14:paraId="50F294AC" w14:textId="77777777" w:rsidR="00C47A8C" w:rsidRPr="0058732A" w:rsidRDefault="00C47A8C" w:rsidP="00877B34">
      <w:pPr>
        <w:numPr>
          <w:ilvl w:val="0"/>
          <w:numId w:val="20"/>
        </w:numPr>
        <w:spacing w:after="0" w:line="360" w:lineRule="auto"/>
        <w:ind w:left="993" w:hanging="426"/>
        <w:jc w:val="left"/>
        <w:rPr>
          <w:color w:val="000000"/>
        </w:rPr>
      </w:pPr>
      <w:r w:rsidRPr="0058732A">
        <w:rPr>
          <w:color w:val="000000"/>
        </w:rPr>
        <w:t>Código Bidimensional o QR;</w:t>
      </w:r>
    </w:p>
    <w:p w14:paraId="053E60CE" w14:textId="77777777" w:rsidR="00C47A8C" w:rsidRPr="0058732A" w:rsidRDefault="00C47A8C" w:rsidP="00877B34">
      <w:pPr>
        <w:numPr>
          <w:ilvl w:val="0"/>
          <w:numId w:val="20"/>
        </w:numPr>
        <w:spacing w:after="0" w:line="360" w:lineRule="auto"/>
        <w:ind w:left="993" w:hanging="426"/>
        <w:jc w:val="left"/>
        <w:rPr>
          <w:color w:val="000000"/>
        </w:rPr>
      </w:pPr>
      <w:r w:rsidRPr="0058732A">
        <w:rPr>
          <w:color w:val="000000"/>
        </w:rPr>
        <w:t>Domicilio Fiscal del proveedor;</w:t>
      </w:r>
    </w:p>
    <w:p w14:paraId="45147BE7" w14:textId="77777777" w:rsidR="00C47A8C" w:rsidRPr="0058732A" w:rsidRDefault="00C47A8C" w:rsidP="00877B34">
      <w:pPr>
        <w:numPr>
          <w:ilvl w:val="0"/>
          <w:numId w:val="20"/>
        </w:numPr>
        <w:spacing w:after="0" w:line="360" w:lineRule="auto"/>
        <w:ind w:left="993" w:hanging="426"/>
        <w:jc w:val="left"/>
        <w:rPr>
          <w:color w:val="000000"/>
        </w:rPr>
      </w:pPr>
      <w:r w:rsidRPr="0058732A">
        <w:rPr>
          <w:color w:val="000000"/>
        </w:rPr>
        <w:t>Cuenta o CLABE interbancaria, y</w:t>
      </w:r>
    </w:p>
    <w:p w14:paraId="3DE2282E" w14:textId="77777777" w:rsidR="00C47A8C" w:rsidRPr="0058732A" w:rsidRDefault="00C47A8C" w:rsidP="00877B34">
      <w:pPr>
        <w:numPr>
          <w:ilvl w:val="0"/>
          <w:numId w:val="20"/>
        </w:numPr>
        <w:spacing w:after="0" w:line="360" w:lineRule="auto"/>
        <w:ind w:left="993" w:hanging="426"/>
        <w:jc w:val="left"/>
        <w:rPr>
          <w:color w:val="000000"/>
        </w:rPr>
      </w:pPr>
      <w:r w:rsidRPr="0058732A">
        <w:rPr>
          <w:color w:val="000000"/>
        </w:rPr>
        <w:t>Nombre de institución financiera.</w:t>
      </w:r>
    </w:p>
    <w:p w14:paraId="282C4FB1" w14:textId="77777777" w:rsidR="00C47A8C" w:rsidRPr="0058732A" w:rsidRDefault="00C47A8C" w:rsidP="00877B34">
      <w:pPr>
        <w:spacing w:after="0" w:line="360" w:lineRule="auto"/>
        <w:rPr>
          <w:color w:val="FF0000"/>
        </w:rPr>
      </w:pPr>
    </w:p>
    <w:p w14:paraId="46FA111E" w14:textId="77777777" w:rsidR="00C47A8C" w:rsidRPr="0058732A" w:rsidRDefault="00C47A8C" w:rsidP="00877B34">
      <w:pPr>
        <w:spacing w:after="0" w:line="360" w:lineRule="auto"/>
        <w:ind w:right="-28"/>
        <w:rPr>
          <w:color w:val="000000"/>
        </w:rPr>
      </w:pPr>
      <w:r w:rsidRPr="0058732A">
        <w:rPr>
          <w:color w:val="000000"/>
        </w:rPr>
        <w:t>De lo anterior, resulta procedente analizar si dichos datos son públicos o privados; para lo cual, el artículo 143, fracción I, de la Ley previamente citada, establece que la información privada y los datos personales, concernientes a una persona física o jurídica colectiva identificada o identificable son confidenciales.</w:t>
      </w:r>
    </w:p>
    <w:p w14:paraId="026F813F" w14:textId="77777777" w:rsidR="00C47A8C" w:rsidRPr="0058732A" w:rsidRDefault="00C47A8C" w:rsidP="00877B34">
      <w:pPr>
        <w:spacing w:after="0" w:line="360" w:lineRule="auto"/>
        <w:rPr>
          <w:color w:val="000000"/>
        </w:rPr>
      </w:pPr>
    </w:p>
    <w:p w14:paraId="0ABDFD18" w14:textId="77777777" w:rsidR="00C47A8C" w:rsidRPr="0058732A" w:rsidRDefault="00C47A8C" w:rsidP="00877B34">
      <w:pPr>
        <w:spacing w:after="0" w:line="360" w:lineRule="auto"/>
        <w:rPr>
          <w:color w:val="000000"/>
        </w:rPr>
      </w:pPr>
      <w:r w:rsidRPr="0058732A">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5A345D5" w14:textId="77777777" w:rsidR="00C47A8C" w:rsidRPr="0058732A" w:rsidRDefault="00C47A8C" w:rsidP="00877B34">
      <w:pPr>
        <w:spacing w:after="0" w:line="360" w:lineRule="auto"/>
        <w:rPr>
          <w:color w:val="000000"/>
        </w:rPr>
      </w:pPr>
    </w:p>
    <w:p w14:paraId="53BACB1E" w14:textId="77777777" w:rsidR="00C47A8C" w:rsidRPr="0058732A" w:rsidRDefault="00C47A8C" w:rsidP="00877B34">
      <w:pPr>
        <w:spacing w:after="0" w:line="360" w:lineRule="auto"/>
        <w:rPr>
          <w:color w:val="000000"/>
        </w:rPr>
      </w:pPr>
      <w:r w:rsidRPr="0058732A">
        <w:rPr>
          <w:color w:val="000000"/>
        </w:rPr>
        <w:t>En términos de lo expuesto, la documentación y aquellos datos que se consideren confidenciales, serán una limitante del derecho de acceso a la información, siempre y cuando:</w:t>
      </w:r>
    </w:p>
    <w:p w14:paraId="400F2B25" w14:textId="77777777" w:rsidR="00C47A8C" w:rsidRPr="0058732A" w:rsidRDefault="00C47A8C" w:rsidP="00877B34">
      <w:pPr>
        <w:spacing w:after="0" w:line="360" w:lineRule="auto"/>
        <w:rPr>
          <w:color w:val="000000"/>
        </w:rPr>
      </w:pPr>
    </w:p>
    <w:p w14:paraId="20F6FDD7" w14:textId="77777777" w:rsidR="00C47A8C" w:rsidRPr="0058732A" w:rsidRDefault="00C47A8C" w:rsidP="00877B34">
      <w:pPr>
        <w:numPr>
          <w:ilvl w:val="0"/>
          <w:numId w:val="21"/>
        </w:numPr>
        <w:pBdr>
          <w:top w:val="nil"/>
          <w:left w:val="nil"/>
          <w:bottom w:val="nil"/>
          <w:right w:val="nil"/>
          <w:between w:val="nil"/>
        </w:pBdr>
        <w:spacing w:after="0" w:line="360" w:lineRule="auto"/>
        <w:rPr>
          <w:color w:val="000000"/>
        </w:rPr>
      </w:pPr>
      <w:r w:rsidRPr="0058732A">
        <w:rPr>
          <w:color w:val="000000"/>
        </w:rPr>
        <w:t xml:space="preserve">Se trate de datos personales o información privada; esto es, información concerniente a una persona física o jurídico colectiva y que esta sea identificada o identificable. </w:t>
      </w:r>
    </w:p>
    <w:p w14:paraId="3E74DAF3" w14:textId="77777777" w:rsidR="00C47A8C" w:rsidRPr="0058732A" w:rsidRDefault="00C47A8C" w:rsidP="00877B34">
      <w:pPr>
        <w:numPr>
          <w:ilvl w:val="0"/>
          <w:numId w:val="21"/>
        </w:numPr>
        <w:pBdr>
          <w:top w:val="nil"/>
          <w:left w:val="nil"/>
          <w:bottom w:val="nil"/>
          <w:right w:val="nil"/>
          <w:between w:val="nil"/>
        </w:pBdr>
        <w:spacing w:after="0" w:line="360" w:lineRule="auto"/>
        <w:jc w:val="left"/>
        <w:rPr>
          <w:color w:val="000000"/>
        </w:rPr>
      </w:pPr>
      <w:r w:rsidRPr="0058732A">
        <w:rPr>
          <w:color w:val="000000"/>
        </w:rPr>
        <w:t xml:space="preserve">Para la difusión de los datos, se requiera el consentimiento del titular. </w:t>
      </w:r>
    </w:p>
    <w:p w14:paraId="24007ECF" w14:textId="77777777" w:rsidR="00C47A8C" w:rsidRPr="0058732A" w:rsidRDefault="00C47A8C" w:rsidP="00877B34">
      <w:pPr>
        <w:spacing w:after="0" w:line="360" w:lineRule="auto"/>
        <w:rPr>
          <w:color w:val="000000"/>
        </w:rPr>
      </w:pPr>
    </w:p>
    <w:p w14:paraId="420D9F92" w14:textId="77777777" w:rsidR="00C47A8C" w:rsidRPr="0058732A" w:rsidRDefault="00C47A8C" w:rsidP="00877B34">
      <w:pPr>
        <w:spacing w:after="0" w:line="360" w:lineRule="auto"/>
        <w:rPr>
          <w:color w:val="000000"/>
        </w:rPr>
      </w:pPr>
      <w:r w:rsidRPr="0058732A">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FAF6BBF" w14:textId="77777777" w:rsidR="00C47A8C" w:rsidRPr="0058732A" w:rsidRDefault="00C47A8C" w:rsidP="00877B34">
      <w:pPr>
        <w:spacing w:after="0" w:line="360" w:lineRule="auto"/>
        <w:rPr>
          <w:color w:val="000000"/>
        </w:rPr>
      </w:pPr>
    </w:p>
    <w:p w14:paraId="27C551B5" w14:textId="77777777" w:rsidR="00C47A8C" w:rsidRPr="0058732A" w:rsidRDefault="00C47A8C" w:rsidP="00877B34">
      <w:pPr>
        <w:spacing w:after="0" w:line="360" w:lineRule="auto"/>
        <w:rPr>
          <w:color w:val="000000"/>
        </w:rPr>
      </w:pPr>
      <w:r w:rsidRPr="0058732A">
        <w:rPr>
          <w:color w:val="000000"/>
        </w:rPr>
        <w:t>Además, en el artículo 5° de dicho ordenamiento jurídico, establece que es la Ley aplicable para todo tratamiento de datos personales.</w:t>
      </w:r>
    </w:p>
    <w:p w14:paraId="57DC65FE" w14:textId="77777777" w:rsidR="00C47A8C" w:rsidRPr="0058732A" w:rsidRDefault="00C47A8C" w:rsidP="00877B34">
      <w:pPr>
        <w:spacing w:after="0" w:line="360" w:lineRule="auto"/>
        <w:rPr>
          <w:color w:val="000000"/>
        </w:rPr>
      </w:pPr>
    </w:p>
    <w:p w14:paraId="3D41A7ED" w14:textId="77777777" w:rsidR="00C47A8C" w:rsidRPr="0058732A" w:rsidRDefault="00C47A8C" w:rsidP="00877B34">
      <w:pPr>
        <w:spacing w:after="0" w:line="360" w:lineRule="auto"/>
        <w:rPr>
          <w:color w:val="000000"/>
        </w:rPr>
      </w:pPr>
      <w:r w:rsidRPr="0058732A">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AD40318" w14:textId="77777777" w:rsidR="00C47A8C" w:rsidRPr="0058732A" w:rsidRDefault="00C47A8C" w:rsidP="00877B34">
      <w:pPr>
        <w:spacing w:after="0" w:line="360" w:lineRule="auto"/>
        <w:rPr>
          <w:color w:val="000000"/>
        </w:rPr>
      </w:pPr>
    </w:p>
    <w:p w14:paraId="52877AF2" w14:textId="77777777" w:rsidR="00C47A8C" w:rsidRPr="0058732A" w:rsidRDefault="00C47A8C" w:rsidP="00877B34">
      <w:pPr>
        <w:spacing w:after="0" w:line="360" w:lineRule="auto"/>
        <w:rPr>
          <w:color w:val="000000"/>
        </w:rPr>
      </w:pPr>
      <w:r w:rsidRPr="0058732A">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2847DD7" w14:textId="77777777" w:rsidR="00C47A8C" w:rsidRPr="0058732A" w:rsidRDefault="00C47A8C" w:rsidP="00877B34">
      <w:pPr>
        <w:spacing w:after="0" w:line="360" w:lineRule="auto"/>
        <w:rPr>
          <w:b/>
          <w:color w:val="000000"/>
        </w:rPr>
      </w:pPr>
    </w:p>
    <w:p w14:paraId="1FDC7879" w14:textId="77777777" w:rsidR="00C47A8C" w:rsidRPr="0058732A" w:rsidRDefault="00C47A8C" w:rsidP="00877B34">
      <w:pPr>
        <w:numPr>
          <w:ilvl w:val="0"/>
          <w:numId w:val="18"/>
        </w:numPr>
        <w:spacing w:after="0" w:line="360" w:lineRule="auto"/>
        <w:jc w:val="left"/>
        <w:rPr>
          <w:b/>
          <w:color w:val="000000"/>
        </w:rPr>
      </w:pPr>
      <w:r w:rsidRPr="0058732A">
        <w:rPr>
          <w:b/>
          <w:color w:val="000000"/>
        </w:rPr>
        <w:t>Nombre de personas físicas proveedores.</w:t>
      </w:r>
    </w:p>
    <w:p w14:paraId="68068BDA" w14:textId="77777777" w:rsidR="00C47A8C" w:rsidRPr="0058732A" w:rsidRDefault="00C47A8C" w:rsidP="00877B34">
      <w:pPr>
        <w:spacing w:after="0" w:line="360" w:lineRule="auto"/>
        <w:rPr>
          <w:b/>
          <w:color w:val="000000"/>
        </w:rPr>
      </w:pPr>
    </w:p>
    <w:p w14:paraId="5E30187D" w14:textId="77777777" w:rsidR="00C47A8C" w:rsidRPr="0058732A" w:rsidRDefault="00C47A8C" w:rsidP="00877B34">
      <w:pPr>
        <w:spacing w:after="0" w:line="360" w:lineRule="auto"/>
        <w:ind w:right="-93"/>
        <w:rPr>
          <w:color w:val="000000"/>
        </w:rPr>
      </w:pPr>
      <w:r w:rsidRPr="0058732A">
        <w:rPr>
          <w:color w:val="000000"/>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8732A">
        <w:rPr>
          <w:i/>
          <w:color w:val="000000"/>
        </w:rPr>
        <w:t>per se</w:t>
      </w:r>
      <w:r w:rsidRPr="0058732A">
        <w:rPr>
          <w:color w:val="000000"/>
        </w:rPr>
        <w:t xml:space="preserve"> es un elemento que hace a una persona física identificada o identificable.</w:t>
      </w:r>
    </w:p>
    <w:p w14:paraId="76285BA2" w14:textId="77777777" w:rsidR="00C47A8C" w:rsidRPr="0058732A" w:rsidRDefault="00C47A8C" w:rsidP="00877B34">
      <w:pPr>
        <w:spacing w:after="0" w:line="360" w:lineRule="auto"/>
        <w:ind w:right="-93"/>
        <w:rPr>
          <w:color w:val="000000"/>
        </w:rPr>
      </w:pPr>
    </w:p>
    <w:p w14:paraId="05504918" w14:textId="77777777" w:rsidR="00C47A8C" w:rsidRPr="0058732A" w:rsidRDefault="00C47A8C" w:rsidP="00877B34">
      <w:pPr>
        <w:spacing w:after="0" w:line="360" w:lineRule="auto"/>
        <w:ind w:right="-93"/>
        <w:rPr>
          <w:color w:val="000000"/>
        </w:rPr>
      </w:pPr>
      <w:r w:rsidRPr="0058732A">
        <w:rPr>
          <w:color w:val="000000"/>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58732A">
        <w:rPr>
          <w:b/>
          <w:color w:val="000000"/>
        </w:rPr>
        <w:t>los nombres de aquellos que reciben recursos públicos (proveedores),</w:t>
      </w:r>
      <w:r w:rsidRPr="0058732A">
        <w:rPr>
          <w:color w:val="000000"/>
        </w:rPr>
        <w:t xml:space="preserve"> ya que la difusión de dicho dato constituye una obligación de transparencia por parte de los sujetos obligados.</w:t>
      </w:r>
    </w:p>
    <w:p w14:paraId="7410DF21" w14:textId="77777777" w:rsidR="00C47A8C" w:rsidRPr="0058732A" w:rsidRDefault="00C47A8C" w:rsidP="00877B34">
      <w:pPr>
        <w:spacing w:after="0" w:line="360" w:lineRule="auto"/>
        <w:ind w:right="-93"/>
        <w:rPr>
          <w:color w:val="000000"/>
        </w:rPr>
      </w:pPr>
    </w:p>
    <w:p w14:paraId="464CE4C8" w14:textId="77777777" w:rsidR="00C47A8C" w:rsidRPr="0058732A" w:rsidRDefault="00C47A8C" w:rsidP="00877B34">
      <w:pPr>
        <w:spacing w:after="0" w:line="360" w:lineRule="auto"/>
        <w:ind w:right="-93"/>
        <w:rPr>
          <w:b/>
          <w:color w:val="000000"/>
        </w:rPr>
      </w:pPr>
      <w:r w:rsidRPr="0058732A">
        <w:rPr>
          <w:color w:val="000000"/>
        </w:rPr>
        <w:t xml:space="preserve">Toma sustento con el artículo 92, fracciones XXXI, de la Ley de la materia, el cual establece que los sujetos obligados tienen la obligación de poner a disposición del público y mantener actualizada de acuerdo con sus facultades, atribuciones, funciones u objeto social, según corresponda el </w:t>
      </w:r>
      <w:r w:rsidRPr="0058732A">
        <w:rPr>
          <w:b/>
          <w:color w:val="000000"/>
        </w:rPr>
        <w:t>Padrón de proveedores y contratistas.</w:t>
      </w:r>
    </w:p>
    <w:p w14:paraId="0EF1A6CC" w14:textId="77777777" w:rsidR="00C47A8C" w:rsidRPr="0058732A" w:rsidRDefault="00C47A8C" w:rsidP="00877B34">
      <w:pPr>
        <w:spacing w:after="0" w:line="360" w:lineRule="auto"/>
        <w:ind w:right="-93"/>
        <w:rPr>
          <w:b/>
          <w:color w:val="000000"/>
        </w:rPr>
      </w:pPr>
    </w:p>
    <w:p w14:paraId="6798A74A" w14:textId="77777777" w:rsidR="00C47A8C" w:rsidRPr="0058732A" w:rsidRDefault="00C47A8C" w:rsidP="00877B34">
      <w:pPr>
        <w:spacing w:after="0" w:line="360" w:lineRule="auto"/>
        <w:ind w:right="-93"/>
        <w:rPr>
          <w:color w:val="000000"/>
        </w:rPr>
      </w:pPr>
      <w:r w:rsidRPr="0058732A">
        <w:rPr>
          <w:color w:val="000000"/>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6656B126" w14:textId="77777777" w:rsidR="00C47A8C" w:rsidRPr="0058732A" w:rsidRDefault="00C47A8C" w:rsidP="00877B34">
      <w:pPr>
        <w:spacing w:after="0" w:line="360" w:lineRule="auto"/>
        <w:ind w:right="-93"/>
        <w:rPr>
          <w:color w:val="000000"/>
        </w:rPr>
      </w:pPr>
    </w:p>
    <w:p w14:paraId="26D6F4E5" w14:textId="77777777" w:rsidR="00C47A8C" w:rsidRPr="0058732A" w:rsidRDefault="00C47A8C" w:rsidP="00877B34">
      <w:pPr>
        <w:spacing w:after="0" w:line="360" w:lineRule="auto"/>
        <w:ind w:right="-93"/>
        <w:rPr>
          <w:b/>
          <w:color w:val="000000"/>
        </w:rPr>
      </w:pPr>
      <w:r w:rsidRPr="0058732A">
        <w:rPr>
          <w:rFonts w:ascii="Times New Roman" w:eastAsia="Times New Roman" w:hAnsi="Times New Roman" w:cs="Times New Roman"/>
          <w:noProof/>
          <w:color w:val="000000"/>
          <w:sz w:val="20"/>
          <w:szCs w:val="20"/>
        </w:rPr>
        <w:drawing>
          <wp:inline distT="0" distB="0" distL="0" distR="0" wp14:anchorId="16E1E3FC" wp14:editId="72F3EF85">
            <wp:extent cx="5743575" cy="752475"/>
            <wp:effectExtent l="0" t="0" r="0" b="0"/>
            <wp:docPr id="21440784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84505"/>
                    <a:stretch>
                      <a:fillRect/>
                    </a:stretch>
                  </pic:blipFill>
                  <pic:spPr>
                    <a:xfrm>
                      <a:off x="0" y="0"/>
                      <a:ext cx="5743575" cy="752475"/>
                    </a:xfrm>
                    <a:prstGeom prst="rect">
                      <a:avLst/>
                    </a:prstGeom>
                    <a:ln/>
                  </pic:spPr>
                </pic:pic>
              </a:graphicData>
            </a:graphic>
          </wp:inline>
        </w:drawing>
      </w:r>
    </w:p>
    <w:p w14:paraId="1F7DB2DC" w14:textId="77777777" w:rsidR="00C47A8C" w:rsidRPr="0058732A" w:rsidRDefault="00C47A8C" w:rsidP="00877B34">
      <w:pPr>
        <w:spacing w:after="0" w:line="360" w:lineRule="auto"/>
        <w:ind w:right="-93"/>
        <w:rPr>
          <w:b/>
          <w:color w:val="000000"/>
        </w:rPr>
      </w:pPr>
      <w:r w:rsidRPr="0058732A">
        <w:rPr>
          <w:rFonts w:ascii="Times New Roman" w:eastAsia="Times New Roman" w:hAnsi="Times New Roman" w:cs="Times New Roman"/>
          <w:noProof/>
          <w:color w:val="000000"/>
          <w:sz w:val="20"/>
          <w:szCs w:val="20"/>
        </w:rPr>
        <w:drawing>
          <wp:inline distT="0" distB="0" distL="0" distR="0" wp14:anchorId="1338AB45" wp14:editId="000F2367">
            <wp:extent cx="5743575" cy="495300"/>
            <wp:effectExtent l="0" t="0" r="0" b="0"/>
            <wp:docPr id="21440784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89838" b="-38"/>
                    <a:stretch>
                      <a:fillRect/>
                    </a:stretch>
                  </pic:blipFill>
                  <pic:spPr>
                    <a:xfrm>
                      <a:off x="0" y="0"/>
                      <a:ext cx="5743575" cy="495300"/>
                    </a:xfrm>
                    <a:prstGeom prst="rect">
                      <a:avLst/>
                    </a:prstGeom>
                    <a:ln/>
                  </pic:spPr>
                </pic:pic>
              </a:graphicData>
            </a:graphic>
          </wp:inline>
        </w:drawing>
      </w:r>
    </w:p>
    <w:p w14:paraId="34436835" w14:textId="77777777" w:rsidR="00C47A8C" w:rsidRPr="0058732A" w:rsidRDefault="00C47A8C" w:rsidP="00877B34">
      <w:pPr>
        <w:spacing w:after="0" w:line="360" w:lineRule="auto"/>
        <w:ind w:right="-93"/>
        <w:rPr>
          <w:b/>
          <w:color w:val="000000"/>
        </w:rPr>
      </w:pPr>
    </w:p>
    <w:p w14:paraId="19017B45" w14:textId="77777777" w:rsidR="00C47A8C" w:rsidRPr="0058732A" w:rsidRDefault="00C47A8C" w:rsidP="00877B34">
      <w:pPr>
        <w:spacing w:after="0" w:line="360" w:lineRule="auto"/>
        <w:ind w:right="-93"/>
        <w:rPr>
          <w:b/>
          <w:color w:val="000000"/>
        </w:rPr>
      </w:pPr>
      <w:r w:rsidRPr="0058732A">
        <w:rPr>
          <w:color w:val="000000"/>
        </w:rPr>
        <w:t xml:space="preserve">Por lo tanto, la Ley de Transparencia y Acceso a la Información Pública del Estado de México y Municipios, considera que </w:t>
      </w:r>
      <w:r w:rsidRPr="0058732A">
        <w:rPr>
          <w:b/>
          <w:color w:val="000000"/>
        </w:rPr>
        <w:t xml:space="preserve">los datos de aquellas personas que recibieron recursos públicos, por regla general, </w:t>
      </w:r>
      <w:r w:rsidRPr="0058732A">
        <w:rPr>
          <w:color w:val="000000"/>
        </w:rPr>
        <w:t xml:space="preserve">son de naturaleza pública, ya que su publicidad orienta a cumplir los objetivos que persigue la Ley; toda vez, </w:t>
      </w:r>
      <w:r w:rsidRPr="0058732A">
        <w:rPr>
          <w:b/>
          <w:color w:val="000000"/>
        </w:rPr>
        <w:t>que ayuda a transparentar a quienes se les han otorgado recursos públicos, así como, porque razones se les otorgaron dichos montos.</w:t>
      </w:r>
    </w:p>
    <w:p w14:paraId="68E2BA84" w14:textId="77777777" w:rsidR="00C47A8C" w:rsidRPr="0058732A" w:rsidRDefault="00C47A8C" w:rsidP="00877B34">
      <w:pPr>
        <w:spacing w:after="0" w:line="360" w:lineRule="auto"/>
        <w:rPr>
          <w:b/>
          <w:color w:val="000000"/>
        </w:rPr>
      </w:pPr>
    </w:p>
    <w:p w14:paraId="5D1A397C" w14:textId="77777777" w:rsidR="00C47A8C" w:rsidRPr="0058732A" w:rsidRDefault="00C47A8C" w:rsidP="00877B34">
      <w:pPr>
        <w:spacing w:after="0" w:line="360" w:lineRule="auto"/>
        <w:rPr>
          <w:color w:val="000000"/>
        </w:rPr>
      </w:pPr>
      <w:r w:rsidRPr="0058732A">
        <w:rPr>
          <w:color w:val="000000"/>
        </w:rPr>
        <w:t>Por lo que, se considera que no procede la clasificación del nombre de los proveedores, en términos del artículo 143, fracción I de la Ley de Transparencia y Acceso a la Información Pública del Estado de México y Municipios.</w:t>
      </w:r>
    </w:p>
    <w:p w14:paraId="521C3A97" w14:textId="77777777" w:rsidR="00C47A8C" w:rsidRPr="0058732A" w:rsidRDefault="00C47A8C" w:rsidP="00877B34">
      <w:pPr>
        <w:spacing w:after="0" w:line="360" w:lineRule="auto"/>
        <w:rPr>
          <w:b/>
          <w:color w:val="000000"/>
        </w:rPr>
      </w:pPr>
    </w:p>
    <w:p w14:paraId="200085F4" w14:textId="77777777" w:rsidR="00C47A8C" w:rsidRPr="0058732A" w:rsidRDefault="00C47A8C" w:rsidP="00877B34">
      <w:pPr>
        <w:numPr>
          <w:ilvl w:val="0"/>
          <w:numId w:val="18"/>
        </w:numPr>
        <w:spacing w:after="0" w:line="360" w:lineRule="auto"/>
        <w:jc w:val="left"/>
        <w:rPr>
          <w:b/>
          <w:color w:val="000000"/>
        </w:rPr>
      </w:pPr>
      <w:r w:rsidRPr="0058732A">
        <w:rPr>
          <w:b/>
          <w:color w:val="000000"/>
        </w:rPr>
        <w:t>Denominación o razón Social de proveedores personas morales.</w:t>
      </w:r>
    </w:p>
    <w:p w14:paraId="4F1FA5FA" w14:textId="77777777" w:rsidR="00C47A8C" w:rsidRPr="0058732A" w:rsidRDefault="00C47A8C" w:rsidP="00877B34">
      <w:pPr>
        <w:spacing w:after="0" w:line="360" w:lineRule="auto"/>
        <w:rPr>
          <w:b/>
          <w:color w:val="000000"/>
        </w:rPr>
      </w:pPr>
    </w:p>
    <w:p w14:paraId="0C2F347A" w14:textId="77777777" w:rsidR="00C47A8C" w:rsidRPr="0058732A" w:rsidRDefault="00C47A8C" w:rsidP="00877B34">
      <w:pPr>
        <w:spacing w:after="0" w:line="360" w:lineRule="auto"/>
        <w:rPr>
          <w:color w:val="000000"/>
        </w:rPr>
      </w:pPr>
      <w:r w:rsidRPr="0058732A">
        <w:rPr>
          <w:color w:val="000000"/>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09FCD8D5" w14:textId="77777777" w:rsidR="00C47A8C" w:rsidRPr="0058732A" w:rsidRDefault="00C47A8C" w:rsidP="00877B34">
      <w:pPr>
        <w:spacing w:after="0" w:line="360" w:lineRule="auto"/>
        <w:rPr>
          <w:color w:val="000000"/>
        </w:rPr>
      </w:pPr>
    </w:p>
    <w:p w14:paraId="441712CF" w14:textId="77777777" w:rsidR="00C47A8C" w:rsidRPr="0058732A" w:rsidRDefault="00C47A8C" w:rsidP="00877B34">
      <w:pPr>
        <w:spacing w:after="0" w:line="360" w:lineRule="auto"/>
        <w:ind w:left="567" w:right="567"/>
        <w:rPr>
          <w:i/>
          <w:color w:val="000000"/>
          <w:sz w:val="20"/>
          <w:szCs w:val="20"/>
        </w:rPr>
      </w:pPr>
      <w:r w:rsidRPr="0058732A">
        <w:rPr>
          <w:b/>
          <w:i/>
          <w:color w:val="000000"/>
          <w:sz w:val="20"/>
          <w:szCs w:val="20"/>
        </w:rPr>
        <w:t xml:space="preserve">“Razón social y RFC de personas morales. </w:t>
      </w:r>
      <w:r w:rsidRPr="0058732A">
        <w:rPr>
          <w:i/>
          <w:color w:val="000000"/>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44396837" w14:textId="77777777" w:rsidR="00C47A8C" w:rsidRPr="0058732A" w:rsidRDefault="00C47A8C" w:rsidP="00877B34">
      <w:pPr>
        <w:spacing w:after="0" w:line="360" w:lineRule="auto"/>
        <w:rPr>
          <w:b/>
          <w:color w:val="000000"/>
        </w:rPr>
      </w:pPr>
    </w:p>
    <w:p w14:paraId="695FD7BA" w14:textId="77777777" w:rsidR="00C47A8C" w:rsidRPr="0058732A" w:rsidRDefault="00C47A8C" w:rsidP="00877B34">
      <w:pPr>
        <w:spacing w:after="0" w:line="360" w:lineRule="auto"/>
        <w:rPr>
          <w:color w:val="000000"/>
        </w:rPr>
      </w:pPr>
      <w:r w:rsidRPr="0058732A">
        <w:rPr>
          <w:color w:val="000000"/>
        </w:rPr>
        <w:t>Lo anterior, se robustece con el hecho de que el Ente Recurrido tiene como obligación común de transparencia, poner a disposición del público el padrón de proveedores y contratistas, que como se advirtió en párrafos anteriores debe incluir la denominación o razón social del proveedor o contratista,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1CE3DAEE" w14:textId="77777777" w:rsidR="00C47A8C" w:rsidRPr="0058732A" w:rsidRDefault="00C47A8C" w:rsidP="00877B34">
      <w:pPr>
        <w:spacing w:after="0" w:line="360" w:lineRule="auto"/>
        <w:rPr>
          <w:color w:val="000000"/>
        </w:rPr>
      </w:pPr>
    </w:p>
    <w:p w14:paraId="6C52A690" w14:textId="77777777" w:rsidR="00C47A8C" w:rsidRPr="0058732A" w:rsidRDefault="00C47A8C" w:rsidP="00877B34">
      <w:pPr>
        <w:spacing w:after="0" w:line="360" w:lineRule="auto"/>
        <w:rPr>
          <w:color w:val="000000"/>
        </w:rPr>
      </w:pPr>
      <w:r w:rsidRPr="0058732A">
        <w:rPr>
          <w:color w:val="000000"/>
        </w:rPr>
        <w:t>Por lo tanto, no procede la clasificación de la denominación o razón social de los proveedores personas morales, en términos del artículo 143, fracción I de la Ley de Transparencia y Acceso a la Información Pública del Estado de México y Municipios.</w:t>
      </w:r>
    </w:p>
    <w:p w14:paraId="39CCD4CE" w14:textId="77777777" w:rsidR="00C47A8C" w:rsidRPr="0058732A" w:rsidRDefault="00C47A8C" w:rsidP="00877B34">
      <w:pPr>
        <w:spacing w:after="0" w:line="360" w:lineRule="auto"/>
        <w:rPr>
          <w:b/>
          <w:color w:val="000000"/>
        </w:rPr>
      </w:pPr>
    </w:p>
    <w:p w14:paraId="020CAB4C" w14:textId="77777777" w:rsidR="00C47A8C" w:rsidRPr="0058732A" w:rsidRDefault="00C47A8C" w:rsidP="00877B34">
      <w:pPr>
        <w:numPr>
          <w:ilvl w:val="0"/>
          <w:numId w:val="22"/>
        </w:numPr>
        <w:pBdr>
          <w:top w:val="nil"/>
          <w:left w:val="nil"/>
          <w:bottom w:val="nil"/>
          <w:right w:val="nil"/>
          <w:between w:val="nil"/>
        </w:pBdr>
        <w:spacing w:after="0" w:line="360" w:lineRule="auto"/>
        <w:jc w:val="left"/>
        <w:rPr>
          <w:b/>
          <w:color w:val="000000"/>
        </w:rPr>
      </w:pPr>
      <w:r w:rsidRPr="0058732A">
        <w:rPr>
          <w:b/>
          <w:color w:val="000000"/>
        </w:rPr>
        <w:t>Registro Federal de Contribuyentes del proveedor o contratista</w:t>
      </w:r>
    </w:p>
    <w:p w14:paraId="3B142886" w14:textId="77777777" w:rsidR="00C47A8C" w:rsidRPr="0058732A" w:rsidRDefault="00C47A8C" w:rsidP="00877B34">
      <w:pPr>
        <w:spacing w:after="0" w:line="360" w:lineRule="auto"/>
        <w:rPr>
          <w:color w:val="000000"/>
        </w:rPr>
      </w:pPr>
    </w:p>
    <w:p w14:paraId="0F637314" w14:textId="77777777" w:rsidR="00C47A8C" w:rsidRPr="0058732A" w:rsidRDefault="00C47A8C" w:rsidP="00877B34">
      <w:pPr>
        <w:spacing w:after="0" w:line="360" w:lineRule="auto"/>
        <w:rPr>
          <w:b/>
          <w:color w:val="000000"/>
        </w:rPr>
      </w:pPr>
      <w:r w:rsidRPr="0058732A">
        <w:rPr>
          <w:b/>
          <w:color w:val="000000"/>
        </w:rPr>
        <w:t>Persona física</w:t>
      </w:r>
    </w:p>
    <w:p w14:paraId="75427AF0" w14:textId="77777777" w:rsidR="00C47A8C" w:rsidRPr="0058732A" w:rsidRDefault="00C47A8C" w:rsidP="00877B34">
      <w:pPr>
        <w:spacing w:after="0" w:line="360" w:lineRule="auto"/>
        <w:rPr>
          <w:color w:val="000000"/>
        </w:rPr>
      </w:pPr>
    </w:p>
    <w:p w14:paraId="12733DA1" w14:textId="77777777" w:rsidR="00C47A8C" w:rsidRPr="0058732A" w:rsidRDefault="00C47A8C" w:rsidP="00877B34">
      <w:pPr>
        <w:spacing w:after="0" w:line="360" w:lineRule="auto"/>
        <w:rPr>
          <w:color w:val="000000"/>
        </w:rPr>
      </w:pPr>
      <w:r w:rsidRPr="0058732A">
        <w:rPr>
          <w:color w:val="000000"/>
        </w:rPr>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6A10074D" w14:textId="77777777" w:rsidR="00C47A8C" w:rsidRPr="0058732A" w:rsidRDefault="00C47A8C" w:rsidP="00877B34">
      <w:pPr>
        <w:spacing w:after="0" w:line="360" w:lineRule="auto"/>
        <w:rPr>
          <w:color w:val="000000"/>
        </w:rPr>
      </w:pPr>
    </w:p>
    <w:p w14:paraId="03F50F8F" w14:textId="77777777" w:rsidR="00C47A8C" w:rsidRPr="0058732A" w:rsidRDefault="00C47A8C" w:rsidP="00877B34">
      <w:pPr>
        <w:spacing w:after="0" w:line="360" w:lineRule="auto"/>
        <w:rPr>
          <w:color w:val="000000"/>
        </w:rPr>
      </w:pPr>
      <w:r w:rsidRPr="0058732A">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6B629AB7" w14:textId="77777777" w:rsidR="00C47A8C" w:rsidRPr="0058732A" w:rsidRDefault="00C47A8C" w:rsidP="00877B34">
      <w:pPr>
        <w:spacing w:after="0" w:line="360" w:lineRule="auto"/>
        <w:rPr>
          <w:color w:val="000000"/>
        </w:rPr>
      </w:pPr>
    </w:p>
    <w:p w14:paraId="40D66068" w14:textId="77777777" w:rsidR="00C47A8C" w:rsidRPr="0058732A" w:rsidRDefault="00C47A8C" w:rsidP="00877B34">
      <w:pPr>
        <w:spacing w:after="0" w:line="360" w:lineRule="auto"/>
        <w:rPr>
          <w:color w:val="000000"/>
        </w:rPr>
      </w:pPr>
      <w:r w:rsidRPr="0058732A">
        <w:rPr>
          <w:color w:val="000000"/>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7B3D4E45" w14:textId="77777777" w:rsidR="00C47A8C" w:rsidRPr="0058732A" w:rsidRDefault="00C47A8C" w:rsidP="00877B34">
      <w:pPr>
        <w:spacing w:after="0" w:line="360" w:lineRule="auto"/>
        <w:rPr>
          <w:color w:val="000000"/>
        </w:rPr>
      </w:pPr>
    </w:p>
    <w:p w14:paraId="79F09AC2" w14:textId="77777777" w:rsidR="00C47A8C" w:rsidRPr="0058732A" w:rsidRDefault="00C47A8C" w:rsidP="00877B34">
      <w:pPr>
        <w:tabs>
          <w:tab w:val="center" w:pos="4522"/>
        </w:tabs>
        <w:spacing w:after="0" w:line="360" w:lineRule="auto"/>
        <w:rPr>
          <w:color w:val="000000"/>
        </w:rPr>
      </w:pPr>
      <w:r w:rsidRPr="0058732A">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1E6E01AF" w14:textId="77777777" w:rsidR="00C47A8C" w:rsidRPr="0058732A" w:rsidRDefault="00C47A8C" w:rsidP="00877B34">
      <w:pPr>
        <w:tabs>
          <w:tab w:val="center" w:pos="4522"/>
        </w:tabs>
        <w:spacing w:after="0" w:line="360" w:lineRule="auto"/>
        <w:rPr>
          <w:color w:val="000000"/>
        </w:rPr>
      </w:pPr>
    </w:p>
    <w:p w14:paraId="7D435E21" w14:textId="77777777" w:rsidR="00C47A8C" w:rsidRPr="0058732A" w:rsidRDefault="00C47A8C" w:rsidP="00877B34">
      <w:pPr>
        <w:tabs>
          <w:tab w:val="center" w:pos="4522"/>
        </w:tabs>
        <w:spacing w:after="0" w:line="360" w:lineRule="auto"/>
        <w:ind w:left="567" w:right="567"/>
        <w:rPr>
          <w:i/>
          <w:color w:val="000000"/>
          <w:sz w:val="20"/>
          <w:szCs w:val="20"/>
        </w:rPr>
      </w:pPr>
      <w:r w:rsidRPr="0058732A">
        <w:rPr>
          <w:b/>
          <w:i/>
          <w:color w:val="000000"/>
          <w:sz w:val="20"/>
          <w:szCs w:val="20"/>
        </w:rPr>
        <w:t xml:space="preserve">“Registro Federal de Contribuyentes (RFC) de personas físicas proveedores o contratistas. </w:t>
      </w:r>
      <w:r w:rsidRPr="0058732A">
        <w:rPr>
          <w:i/>
          <w:color w:val="000000"/>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1C7F03BD" w14:textId="77777777" w:rsidR="00C47A8C" w:rsidRPr="0058732A" w:rsidRDefault="00C47A8C" w:rsidP="00877B34">
      <w:pPr>
        <w:tabs>
          <w:tab w:val="center" w:pos="4522"/>
        </w:tabs>
        <w:spacing w:after="0" w:line="360" w:lineRule="auto"/>
        <w:rPr>
          <w:color w:val="000000"/>
        </w:rPr>
      </w:pPr>
    </w:p>
    <w:p w14:paraId="4FBF24C7" w14:textId="77777777" w:rsidR="00C47A8C" w:rsidRPr="0058732A" w:rsidRDefault="00C47A8C" w:rsidP="00877B34">
      <w:pPr>
        <w:tabs>
          <w:tab w:val="center" w:pos="4522"/>
        </w:tabs>
        <w:spacing w:after="0" w:line="360" w:lineRule="auto"/>
        <w:rPr>
          <w:b/>
          <w:color w:val="000000"/>
          <w:u w:val="single"/>
        </w:rPr>
      </w:pPr>
      <w:r w:rsidRPr="0058732A">
        <w:rPr>
          <w:color w:val="000000"/>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72F2CC31" w14:textId="77777777" w:rsidR="00C47A8C" w:rsidRPr="0058732A" w:rsidRDefault="00C47A8C" w:rsidP="00877B34">
      <w:pPr>
        <w:tabs>
          <w:tab w:val="center" w:pos="4522"/>
        </w:tabs>
        <w:spacing w:after="0" w:line="360" w:lineRule="auto"/>
        <w:rPr>
          <w:b/>
          <w:color w:val="000000"/>
        </w:rPr>
      </w:pPr>
    </w:p>
    <w:p w14:paraId="67907533" w14:textId="77777777" w:rsidR="00C47A8C" w:rsidRPr="0058732A" w:rsidRDefault="00C47A8C" w:rsidP="00877B34">
      <w:pPr>
        <w:tabs>
          <w:tab w:val="center" w:pos="4522"/>
        </w:tabs>
        <w:spacing w:after="0" w:line="360" w:lineRule="auto"/>
        <w:rPr>
          <w:b/>
          <w:color w:val="000000"/>
        </w:rPr>
      </w:pPr>
      <w:r w:rsidRPr="0058732A">
        <w:rPr>
          <w:b/>
          <w:color w:val="000000"/>
        </w:rPr>
        <w:t>Persona Moral</w:t>
      </w:r>
    </w:p>
    <w:p w14:paraId="2BED1A0B" w14:textId="77777777" w:rsidR="00C47A8C" w:rsidRPr="0058732A" w:rsidRDefault="00C47A8C" w:rsidP="00877B34">
      <w:pPr>
        <w:tabs>
          <w:tab w:val="center" w:pos="4522"/>
        </w:tabs>
        <w:spacing w:after="0" w:line="360" w:lineRule="auto"/>
        <w:rPr>
          <w:color w:val="000000"/>
        </w:rPr>
      </w:pPr>
    </w:p>
    <w:p w14:paraId="420CDCC8" w14:textId="77777777" w:rsidR="00C47A8C" w:rsidRPr="0058732A" w:rsidRDefault="00C47A8C" w:rsidP="00877B34">
      <w:pPr>
        <w:tabs>
          <w:tab w:val="center" w:pos="4522"/>
        </w:tabs>
        <w:spacing w:after="0" w:line="360" w:lineRule="auto"/>
        <w:rPr>
          <w:color w:val="000000"/>
        </w:rPr>
      </w:pPr>
      <w:r w:rsidRPr="0058732A">
        <w:rPr>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027EB4C2" w14:textId="77777777" w:rsidR="00C47A8C" w:rsidRPr="0058732A" w:rsidRDefault="00C47A8C" w:rsidP="00877B34">
      <w:pPr>
        <w:tabs>
          <w:tab w:val="center" w:pos="4522"/>
        </w:tabs>
        <w:spacing w:after="0" w:line="360" w:lineRule="auto"/>
        <w:rPr>
          <w:color w:val="000000"/>
        </w:rPr>
      </w:pPr>
    </w:p>
    <w:p w14:paraId="51E9309F" w14:textId="77777777" w:rsidR="00C47A8C" w:rsidRPr="0058732A" w:rsidRDefault="00C47A8C" w:rsidP="00877B34">
      <w:pPr>
        <w:tabs>
          <w:tab w:val="center" w:pos="4522"/>
        </w:tabs>
        <w:spacing w:after="0" w:line="360" w:lineRule="auto"/>
        <w:rPr>
          <w:color w:val="000000"/>
        </w:rPr>
      </w:pPr>
      <w:r w:rsidRPr="0058732A">
        <w:rPr>
          <w:color w:val="000000"/>
        </w:rPr>
        <w:t>Por ende, la información correspondiente al Registro Federal de Contribuyentes de una persona moral da cuenta del cumplimiento o no en sus obligaciones fiscales; por tanto, no se actualiza su clasificación como confidencial.</w:t>
      </w:r>
    </w:p>
    <w:p w14:paraId="79FB1BCD" w14:textId="77777777" w:rsidR="00C47A8C" w:rsidRPr="0058732A" w:rsidRDefault="00C47A8C" w:rsidP="00877B34">
      <w:pPr>
        <w:tabs>
          <w:tab w:val="center" w:pos="4522"/>
        </w:tabs>
        <w:spacing w:after="0" w:line="360" w:lineRule="auto"/>
        <w:rPr>
          <w:color w:val="000000"/>
        </w:rPr>
      </w:pPr>
    </w:p>
    <w:p w14:paraId="316688BA" w14:textId="77777777" w:rsidR="00C47A8C" w:rsidRPr="0058732A" w:rsidRDefault="00C47A8C" w:rsidP="00877B34">
      <w:pPr>
        <w:tabs>
          <w:tab w:val="center" w:pos="4522"/>
        </w:tabs>
        <w:spacing w:after="0" w:line="360" w:lineRule="auto"/>
        <w:rPr>
          <w:color w:val="000000"/>
        </w:rPr>
      </w:pPr>
      <w:r w:rsidRPr="0058732A">
        <w:rPr>
          <w:color w:val="000000"/>
        </w:rPr>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459807C9" w14:textId="77777777" w:rsidR="00C47A8C" w:rsidRPr="0058732A" w:rsidRDefault="00C47A8C" w:rsidP="00877B34">
      <w:pPr>
        <w:tabs>
          <w:tab w:val="center" w:pos="4522"/>
        </w:tabs>
        <w:spacing w:after="0" w:line="360" w:lineRule="auto"/>
        <w:rPr>
          <w:color w:val="000000"/>
        </w:rPr>
      </w:pPr>
      <w:r w:rsidRPr="0058732A">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746F770B" w14:textId="77777777" w:rsidR="00C47A8C" w:rsidRPr="0058732A" w:rsidRDefault="00C47A8C" w:rsidP="00877B34">
      <w:pPr>
        <w:spacing w:after="0" w:line="360" w:lineRule="auto"/>
        <w:jc w:val="left"/>
        <w:rPr>
          <w:b/>
          <w:color w:val="000000"/>
        </w:rPr>
      </w:pPr>
    </w:p>
    <w:p w14:paraId="7336D6B5" w14:textId="77777777" w:rsidR="00C47A8C" w:rsidRPr="0058732A" w:rsidRDefault="00C47A8C" w:rsidP="00877B34">
      <w:pPr>
        <w:numPr>
          <w:ilvl w:val="0"/>
          <w:numId w:val="22"/>
        </w:numPr>
        <w:pBdr>
          <w:top w:val="nil"/>
          <w:left w:val="nil"/>
          <w:bottom w:val="nil"/>
          <w:right w:val="nil"/>
          <w:between w:val="nil"/>
        </w:pBdr>
        <w:spacing w:after="0" w:line="360" w:lineRule="auto"/>
        <w:jc w:val="left"/>
        <w:rPr>
          <w:b/>
          <w:color w:val="000000"/>
        </w:rPr>
      </w:pPr>
      <w:r w:rsidRPr="0058732A">
        <w:rPr>
          <w:b/>
          <w:color w:val="000000"/>
        </w:rPr>
        <w:t>Código Bidimensional o QR</w:t>
      </w:r>
    </w:p>
    <w:p w14:paraId="19D7C562" w14:textId="77777777" w:rsidR="00C47A8C" w:rsidRPr="0058732A" w:rsidRDefault="00C47A8C" w:rsidP="00877B34">
      <w:pPr>
        <w:spacing w:after="0" w:line="360" w:lineRule="auto"/>
        <w:jc w:val="left"/>
        <w:rPr>
          <w:b/>
          <w:color w:val="000000"/>
        </w:rPr>
      </w:pPr>
    </w:p>
    <w:p w14:paraId="05BBFC2C" w14:textId="77777777" w:rsidR="00C47A8C" w:rsidRPr="0058732A" w:rsidRDefault="00C47A8C" w:rsidP="00877B34">
      <w:pPr>
        <w:spacing w:after="0" w:line="360" w:lineRule="auto"/>
        <w:rPr>
          <w:color w:val="000000"/>
        </w:rPr>
      </w:pPr>
      <w:r w:rsidRPr="0058732A">
        <w:rPr>
          <w:color w:val="000000"/>
        </w:rPr>
        <w:t>En principio, resulta necesario señalar que los comprobantes fiscales digitales por Internet,</w:t>
      </w:r>
    </w:p>
    <w:p w14:paraId="17C5E6F9" w14:textId="77777777" w:rsidR="00C47A8C" w:rsidRPr="0058732A" w:rsidRDefault="00C47A8C" w:rsidP="00877B34">
      <w:pPr>
        <w:spacing w:after="0" w:line="360" w:lineRule="auto"/>
        <w:rPr>
          <w:color w:val="000000"/>
        </w:rPr>
      </w:pPr>
      <w:r w:rsidRPr="0058732A">
        <w:rPr>
          <w:color w:val="000000"/>
        </w:rPr>
        <w:t>deben de incluir un código bidimensional conforme al formato QR Code (Quick Response</w:t>
      </w:r>
    </w:p>
    <w:p w14:paraId="1E3AA0C5" w14:textId="77777777" w:rsidR="00C47A8C" w:rsidRPr="0058732A" w:rsidRDefault="00C47A8C" w:rsidP="00877B34">
      <w:pPr>
        <w:spacing w:after="0" w:line="360" w:lineRule="auto"/>
        <w:rPr>
          <w:color w:val="000000"/>
        </w:rPr>
      </w:pPr>
      <w:r w:rsidRPr="0058732A">
        <w:rPr>
          <w:color w:val="000000"/>
        </w:rPr>
        <w:t>Code),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del proveedor, persona física o moral. 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4A3675E4" w14:textId="77777777" w:rsidR="00C47A8C" w:rsidRPr="0058732A" w:rsidRDefault="00C47A8C" w:rsidP="00877B34">
      <w:pPr>
        <w:spacing w:after="0" w:line="360" w:lineRule="auto"/>
        <w:jc w:val="left"/>
        <w:rPr>
          <w:b/>
          <w:color w:val="000000"/>
        </w:rPr>
      </w:pPr>
    </w:p>
    <w:p w14:paraId="26557AE1" w14:textId="77777777" w:rsidR="00C47A8C" w:rsidRPr="0058732A" w:rsidRDefault="00C47A8C" w:rsidP="00877B34">
      <w:pPr>
        <w:numPr>
          <w:ilvl w:val="0"/>
          <w:numId w:val="22"/>
        </w:numPr>
        <w:pBdr>
          <w:top w:val="nil"/>
          <w:left w:val="nil"/>
          <w:bottom w:val="nil"/>
          <w:right w:val="nil"/>
          <w:between w:val="nil"/>
        </w:pBdr>
        <w:spacing w:after="0" w:line="360" w:lineRule="auto"/>
        <w:jc w:val="left"/>
        <w:rPr>
          <w:b/>
          <w:color w:val="000000"/>
        </w:rPr>
      </w:pPr>
      <w:r w:rsidRPr="0058732A">
        <w:rPr>
          <w:b/>
          <w:color w:val="000000"/>
        </w:rPr>
        <w:t>Domicilio Fiscal o legal para recibir y oír notificaciones (proveedor o contratista persona física o moral).</w:t>
      </w:r>
    </w:p>
    <w:p w14:paraId="3857D56B" w14:textId="77777777" w:rsidR="00C47A8C" w:rsidRPr="0058732A" w:rsidRDefault="00C47A8C" w:rsidP="00877B34">
      <w:pPr>
        <w:tabs>
          <w:tab w:val="center" w:pos="4522"/>
        </w:tabs>
        <w:spacing w:after="0" w:line="360" w:lineRule="auto"/>
        <w:rPr>
          <w:color w:val="000000"/>
        </w:rPr>
      </w:pPr>
    </w:p>
    <w:p w14:paraId="1CA32EE2" w14:textId="77777777" w:rsidR="00C47A8C" w:rsidRPr="0058732A" w:rsidRDefault="00C47A8C" w:rsidP="00877B34">
      <w:pPr>
        <w:tabs>
          <w:tab w:val="center" w:pos="4522"/>
        </w:tabs>
        <w:spacing w:after="0" w:line="360" w:lineRule="auto"/>
        <w:rPr>
          <w:color w:val="000000"/>
        </w:rPr>
      </w:pPr>
      <w:r w:rsidRPr="0058732A">
        <w:rPr>
          <w:color w:val="000000"/>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3B4A52BE" w14:textId="77777777" w:rsidR="00C47A8C" w:rsidRPr="0058732A" w:rsidRDefault="00C47A8C" w:rsidP="00877B34">
      <w:pPr>
        <w:tabs>
          <w:tab w:val="center" w:pos="4522"/>
        </w:tabs>
        <w:spacing w:after="0" w:line="360" w:lineRule="auto"/>
        <w:rPr>
          <w:color w:val="000000"/>
        </w:rPr>
      </w:pPr>
    </w:p>
    <w:p w14:paraId="2D55172B" w14:textId="77777777" w:rsidR="00C47A8C" w:rsidRPr="0058732A" w:rsidRDefault="00C47A8C" w:rsidP="00877B34">
      <w:pPr>
        <w:tabs>
          <w:tab w:val="center" w:pos="4522"/>
        </w:tabs>
        <w:spacing w:after="0" w:line="360" w:lineRule="auto"/>
        <w:rPr>
          <w:color w:val="000000"/>
        </w:rPr>
      </w:pPr>
      <w:r w:rsidRPr="0058732A">
        <w:rPr>
          <w:color w:val="000000"/>
        </w:rPr>
        <w:t>De la misma manera, lo establece los diversos 29 y 33 del Código Civil Federal, al precisar que el domicilio de personas físicas</w:t>
      </w:r>
      <w:r w:rsidRPr="0058732A">
        <w:rPr>
          <w:b/>
          <w:color w:val="000000"/>
        </w:rPr>
        <w:t xml:space="preserve">, es el lugar donde residen habitualmente, el lugar del centro principal de sus negocios, donde residan o el lugar donde se encuentren; </w:t>
      </w:r>
      <w:r w:rsidRPr="0058732A">
        <w:rPr>
          <w:color w:val="000000"/>
        </w:rPr>
        <w:t>mientras que, de las personas morales, aquel donde se halle su administración.</w:t>
      </w:r>
    </w:p>
    <w:p w14:paraId="3466A5C9" w14:textId="77777777" w:rsidR="00C47A8C" w:rsidRPr="0058732A" w:rsidRDefault="00C47A8C" w:rsidP="00877B34">
      <w:pPr>
        <w:tabs>
          <w:tab w:val="center" w:pos="4522"/>
        </w:tabs>
        <w:spacing w:after="0" w:line="360" w:lineRule="auto"/>
        <w:rPr>
          <w:b/>
          <w:color w:val="000000"/>
        </w:rPr>
      </w:pPr>
    </w:p>
    <w:p w14:paraId="60F2EFB4" w14:textId="77777777" w:rsidR="00C47A8C" w:rsidRPr="0058732A" w:rsidRDefault="00C47A8C" w:rsidP="00877B34">
      <w:pPr>
        <w:tabs>
          <w:tab w:val="center" w:pos="4522"/>
        </w:tabs>
        <w:spacing w:after="0" w:line="360" w:lineRule="auto"/>
        <w:rPr>
          <w:color w:val="000000"/>
        </w:rPr>
      </w:pPr>
      <w:r w:rsidRPr="0058732A">
        <w:rPr>
          <w:color w:val="000000"/>
        </w:rPr>
        <w:t>Además, respecto al domicilio fiscal, resulta necesario traer el artículo 10 del Código Fiscal de la Federación, que establece que, tratándose de personas físicas, corresponderá dicho dato:</w:t>
      </w:r>
    </w:p>
    <w:p w14:paraId="62E2A481" w14:textId="77777777" w:rsidR="00C47A8C" w:rsidRPr="0058732A" w:rsidRDefault="00C47A8C" w:rsidP="00877B34">
      <w:pPr>
        <w:tabs>
          <w:tab w:val="center" w:pos="4522"/>
        </w:tabs>
        <w:spacing w:after="0" w:line="360" w:lineRule="auto"/>
        <w:rPr>
          <w:color w:val="000000"/>
        </w:rPr>
      </w:pPr>
    </w:p>
    <w:p w14:paraId="2BCDDA15" w14:textId="77777777" w:rsidR="00C47A8C" w:rsidRPr="0058732A" w:rsidRDefault="00C47A8C" w:rsidP="00877B34">
      <w:pPr>
        <w:numPr>
          <w:ilvl w:val="0"/>
          <w:numId w:val="23"/>
        </w:numPr>
        <w:pBdr>
          <w:top w:val="nil"/>
          <w:left w:val="nil"/>
          <w:bottom w:val="nil"/>
          <w:right w:val="nil"/>
          <w:between w:val="nil"/>
        </w:pBdr>
        <w:tabs>
          <w:tab w:val="center" w:pos="4522"/>
        </w:tabs>
        <w:spacing w:after="0" w:line="360" w:lineRule="auto"/>
        <w:jc w:val="left"/>
        <w:rPr>
          <w:color w:val="000000"/>
        </w:rPr>
      </w:pPr>
      <w:r w:rsidRPr="0058732A">
        <w:rPr>
          <w:color w:val="000000"/>
        </w:rPr>
        <w:t>El lugar donde realizan actividades empresariales, el local, en que se encuentre el principal asiente de sus negocios, y</w:t>
      </w:r>
    </w:p>
    <w:p w14:paraId="13341CB7" w14:textId="77777777" w:rsidR="00C47A8C" w:rsidRPr="0058732A" w:rsidRDefault="00C47A8C" w:rsidP="00877B34">
      <w:pPr>
        <w:tabs>
          <w:tab w:val="center" w:pos="4522"/>
        </w:tabs>
        <w:spacing w:after="0" w:line="360" w:lineRule="auto"/>
        <w:rPr>
          <w:color w:val="000000"/>
        </w:rPr>
      </w:pPr>
    </w:p>
    <w:p w14:paraId="513E5E17" w14:textId="77777777" w:rsidR="00C47A8C" w:rsidRPr="0058732A" w:rsidRDefault="00C47A8C" w:rsidP="00877B34">
      <w:pPr>
        <w:numPr>
          <w:ilvl w:val="0"/>
          <w:numId w:val="23"/>
        </w:numPr>
        <w:pBdr>
          <w:top w:val="nil"/>
          <w:left w:val="nil"/>
          <w:bottom w:val="nil"/>
          <w:right w:val="nil"/>
          <w:between w:val="nil"/>
        </w:pBdr>
        <w:tabs>
          <w:tab w:val="center" w:pos="4522"/>
        </w:tabs>
        <w:spacing w:after="0" w:line="360" w:lineRule="auto"/>
        <w:jc w:val="left"/>
        <w:rPr>
          <w:color w:val="000000"/>
        </w:rPr>
      </w:pPr>
      <w:r w:rsidRPr="0058732A">
        <w:rPr>
          <w:color w:val="000000"/>
        </w:rPr>
        <w:t>La casa habitación, cuando no cuenta con un local o lugar donde realice las acciones previamente señaladas.</w:t>
      </w:r>
    </w:p>
    <w:p w14:paraId="60AC6861" w14:textId="77777777" w:rsidR="00C47A8C" w:rsidRPr="0058732A" w:rsidRDefault="00C47A8C" w:rsidP="00877B34">
      <w:pPr>
        <w:tabs>
          <w:tab w:val="center" w:pos="4522"/>
        </w:tabs>
        <w:spacing w:after="0" w:line="360" w:lineRule="auto"/>
        <w:rPr>
          <w:color w:val="000000"/>
        </w:rPr>
      </w:pPr>
    </w:p>
    <w:p w14:paraId="512D2AC7" w14:textId="77777777" w:rsidR="00C47A8C" w:rsidRPr="0058732A" w:rsidRDefault="00C47A8C" w:rsidP="00877B34">
      <w:pPr>
        <w:tabs>
          <w:tab w:val="center" w:pos="4522"/>
        </w:tabs>
        <w:spacing w:after="0" w:line="360" w:lineRule="auto"/>
        <w:rPr>
          <w:color w:val="000000"/>
        </w:rPr>
      </w:pPr>
      <w:r w:rsidRPr="0058732A">
        <w:rPr>
          <w:color w:val="000000"/>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4CCEF074" w14:textId="77777777" w:rsidR="00C47A8C" w:rsidRPr="0058732A" w:rsidRDefault="00C47A8C" w:rsidP="00877B34">
      <w:pPr>
        <w:tabs>
          <w:tab w:val="center" w:pos="4522"/>
        </w:tabs>
        <w:spacing w:after="0" w:line="360" w:lineRule="auto"/>
        <w:rPr>
          <w:color w:val="000000"/>
        </w:rPr>
      </w:pPr>
    </w:p>
    <w:p w14:paraId="39EB7C04" w14:textId="77777777" w:rsidR="00C47A8C" w:rsidRPr="0058732A" w:rsidRDefault="00C47A8C" w:rsidP="00877B34">
      <w:pPr>
        <w:tabs>
          <w:tab w:val="center" w:pos="4522"/>
        </w:tabs>
        <w:spacing w:after="0" w:line="360" w:lineRule="auto"/>
        <w:rPr>
          <w:color w:val="000000"/>
        </w:rPr>
      </w:pPr>
      <w:r w:rsidRPr="0058732A">
        <w:rPr>
          <w:color w:val="000000"/>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1A01722F" w14:textId="77777777" w:rsidR="00C47A8C" w:rsidRPr="0058732A" w:rsidRDefault="00C47A8C" w:rsidP="00877B34">
      <w:pPr>
        <w:tabs>
          <w:tab w:val="center" w:pos="4522"/>
        </w:tabs>
        <w:spacing w:after="0" w:line="360" w:lineRule="auto"/>
        <w:rPr>
          <w:color w:val="000000"/>
        </w:rPr>
      </w:pPr>
    </w:p>
    <w:p w14:paraId="4486288D" w14:textId="77777777" w:rsidR="00C47A8C" w:rsidRPr="0058732A" w:rsidRDefault="00C47A8C" w:rsidP="00877B34">
      <w:pPr>
        <w:tabs>
          <w:tab w:val="center" w:pos="4522"/>
        </w:tabs>
        <w:spacing w:after="0" w:line="360" w:lineRule="auto"/>
        <w:rPr>
          <w:color w:val="000000"/>
        </w:rPr>
      </w:pPr>
      <w:r w:rsidRPr="0058732A">
        <w:rPr>
          <w:color w:val="000000"/>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69CE7AE4" w14:textId="77777777" w:rsidR="00C47A8C" w:rsidRPr="0058732A" w:rsidRDefault="00C47A8C" w:rsidP="00877B34">
      <w:pPr>
        <w:tabs>
          <w:tab w:val="center" w:pos="4522"/>
        </w:tabs>
        <w:spacing w:after="0" w:line="360" w:lineRule="auto"/>
        <w:rPr>
          <w:color w:val="000000"/>
        </w:rPr>
      </w:pPr>
    </w:p>
    <w:p w14:paraId="314D7C95" w14:textId="77777777" w:rsidR="00C47A8C" w:rsidRPr="0058732A" w:rsidRDefault="00C47A8C" w:rsidP="00877B34">
      <w:pPr>
        <w:tabs>
          <w:tab w:val="center" w:pos="4522"/>
        </w:tabs>
        <w:spacing w:after="0" w:line="360" w:lineRule="auto"/>
        <w:rPr>
          <w:color w:val="000000"/>
        </w:rPr>
      </w:pPr>
      <w:r w:rsidRPr="0058732A">
        <w:rPr>
          <w:color w:val="000000"/>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04B12E5C" w14:textId="77777777" w:rsidR="00C47A8C" w:rsidRPr="0058732A" w:rsidRDefault="00C47A8C" w:rsidP="00877B34">
      <w:pPr>
        <w:tabs>
          <w:tab w:val="center" w:pos="4522"/>
        </w:tabs>
        <w:spacing w:after="0" w:line="360" w:lineRule="auto"/>
        <w:rPr>
          <w:color w:val="000000"/>
        </w:rPr>
      </w:pPr>
    </w:p>
    <w:p w14:paraId="1C4C24D0" w14:textId="77777777" w:rsidR="00C47A8C" w:rsidRPr="0058732A" w:rsidRDefault="00C47A8C" w:rsidP="00877B34">
      <w:pPr>
        <w:numPr>
          <w:ilvl w:val="0"/>
          <w:numId w:val="19"/>
        </w:numPr>
        <w:pBdr>
          <w:top w:val="nil"/>
          <w:left w:val="nil"/>
          <w:bottom w:val="nil"/>
          <w:right w:val="nil"/>
          <w:between w:val="nil"/>
        </w:pBdr>
        <w:tabs>
          <w:tab w:val="center" w:pos="4522"/>
        </w:tabs>
        <w:spacing w:after="0" w:line="360" w:lineRule="auto"/>
        <w:jc w:val="left"/>
        <w:rPr>
          <w:b/>
          <w:color w:val="000000"/>
        </w:rPr>
      </w:pPr>
      <w:r w:rsidRPr="0058732A">
        <w:rPr>
          <w:b/>
          <w:color w:val="000000"/>
        </w:rPr>
        <w:t>Cuenta bancaria y CLABE interbancaria del proveedor</w:t>
      </w:r>
    </w:p>
    <w:p w14:paraId="302D0B8B" w14:textId="77777777" w:rsidR="00C47A8C" w:rsidRPr="0058732A" w:rsidRDefault="00C47A8C" w:rsidP="00877B34">
      <w:pPr>
        <w:tabs>
          <w:tab w:val="center" w:pos="4522"/>
        </w:tabs>
        <w:spacing w:after="0" w:line="360" w:lineRule="auto"/>
        <w:rPr>
          <w:b/>
          <w:color w:val="000000"/>
        </w:rPr>
      </w:pPr>
    </w:p>
    <w:p w14:paraId="4B208E04" w14:textId="77777777" w:rsidR="00C47A8C" w:rsidRPr="0058732A" w:rsidRDefault="00C47A8C" w:rsidP="00877B34">
      <w:pPr>
        <w:tabs>
          <w:tab w:val="center" w:pos="4522"/>
        </w:tabs>
        <w:spacing w:after="0" w:line="360" w:lineRule="auto"/>
        <w:rPr>
          <w:color w:val="000000"/>
        </w:rPr>
      </w:pPr>
      <w:r w:rsidRPr="0058732A">
        <w:rPr>
          <w:color w:val="000000"/>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de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3AF503F9" w14:textId="77777777" w:rsidR="00C47A8C" w:rsidRPr="0058732A" w:rsidRDefault="00C47A8C" w:rsidP="00877B34">
      <w:pPr>
        <w:tabs>
          <w:tab w:val="center" w:pos="4522"/>
        </w:tabs>
        <w:spacing w:after="0" w:line="360" w:lineRule="auto"/>
        <w:rPr>
          <w:color w:val="000000"/>
        </w:rPr>
      </w:pPr>
      <w:r w:rsidRPr="0058732A">
        <w:rPr>
          <w:color w:val="000000"/>
        </w:rPr>
        <w:t> </w:t>
      </w:r>
    </w:p>
    <w:p w14:paraId="64A63D19" w14:textId="77777777" w:rsidR="00C47A8C" w:rsidRPr="0058732A" w:rsidRDefault="00C47A8C" w:rsidP="00877B34">
      <w:pPr>
        <w:tabs>
          <w:tab w:val="center" w:pos="4522"/>
        </w:tabs>
        <w:spacing w:after="0" w:line="360" w:lineRule="auto"/>
        <w:rPr>
          <w:color w:val="000000"/>
        </w:rPr>
      </w:pPr>
      <w:r w:rsidRPr="0058732A">
        <w:rPr>
          <w:color w:val="000000"/>
        </w:rPr>
        <w:t>A mayor abundamiento, resulta necesario traer a colación el Criterio Orientador, de la Segunda Época, con número de registro SO/010/2017, emitido por el entonces Instituto Nacional de Transparencia, Acceso a la Información y Protección de Datos Personales, mismo que establece lo siguiente:</w:t>
      </w:r>
    </w:p>
    <w:p w14:paraId="5882D986" w14:textId="77777777" w:rsidR="00C47A8C" w:rsidRPr="0058732A" w:rsidRDefault="00C47A8C" w:rsidP="00877B34">
      <w:pPr>
        <w:tabs>
          <w:tab w:val="center" w:pos="4522"/>
        </w:tabs>
        <w:spacing w:after="0" w:line="360" w:lineRule="auto"/>
        <w:rPr>
          <w:color w:val="000000"/>
        </w:rPr>
      </w:pPr>
    </w:p>
    <w:p w14:paraId="2EDFC3AC" w14:textId="77777777" w:rsidR="00C47A8C" w:rsidRPr="0058732A" w:rsidRDefault="00C47A8C" w:rsidP="00877B34">
      <w:pPr>
        <w:tabs>
          <w:tab w:val="center" w:pos="4522"/>
        </w:tabs>
        <w:spacing w:after="0" w:line="360" w:lineRule="auto"/>
        <w:rPr>
          <w:color w:val="000000"/>
        </w:rPr>
      </w:pPr>
      <w:r w:rsidRPr="0058732A">
        <w:rPr>
          <w:color w:val="000000"/>
        </w:rPr>
        <w:t> </w:t>
      </w:r>
    </w:p>
    <w:p w14:paraId="596256BA" w14:textId="77777777" w:rsidR="00C47A8C" w:rsidRPr="0058732A" w:rsidRDefault="00C47A8C" w:rsidP="00877B34">
      <w:pPr>
        <w:tabs>
          <w:tab w:val="center" w:pos="4522"/>
        </w:tabs>
        <w:spacing w:after="0" w:line="360" w:lineRule="auto"/>
        <w:ind w:left="567" w:right="567"/>
        <w:rPr>
          <w:i/>
          <w:color w:val="000000"/>
          <w:sz w:val="20"/>
          <w:szCs w:val="20"/>
        </w:rPr>
      </w:pPr>
      <w:r w:rsidRPr="0058732A">
        <w:rPr>
          <w:i/>
          <w:color w:val="000000"/>
          <w:sz w:val="20"/>
          <w:szCs w:val="20"/>
        </w:rPr>
        <w:t>“</w:t>
      </w:r>
      <w:r w:rsidRPr="0058732A">
        <w:rPr>
          <w:b/>
          <w:i/>
          <w:color w:val="000000"/>
          <w:sz w:val="20"/>
          <w:szCs w:val="20"/>
        </w:rPr>
        <w:t>Cuentas bancarias y/o CLABE interbancaria de personas físicas y morales privadas.</w:t>
      </w:r>
      <w:r w:rsidRPr="0058732A">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CA61515" w14:textId="77777777" w:rsidR="00C47A8C" w:rsidRPr="0058732A" w:rsidRDefault="00C47A8C" w:rsidP="00877B34">
      <w:pPr>
        <w:tabs>
          <w:tab w:val="center" w:pos="4522"/>
        </w:tabs>
        <w:spacing w:after="0" w:line="360" w:lineRule="auto"/>
        <w:rPr>
          <w:color w:val="000000"/>
        </w:rPr>
      </w:pPr>
      <w:r w:rsidRPr="0058732A">
        <w:rPr>
          <w:color w:val="000000"/>
        </w:rPr>
        <w:t> </w:t>
      </w:r>
    </w:p>
    <w:p w14:paraId="7A83959A" w14:textId="77777777" w:rsidR="00C47A8C" w:rsidRPr="0058732A" w:rsidRDefault="00C47A8C" w:rsidP="00877B34">
      <w:pPr>
        <w:tabs>
          <w:tab w:val="center" w:pos="4522"/>
        </w:tabs>
        <w:spacing w:after="0" w:line="360" w:lineRule="auto"/>
        <w:rPr>
          <w:color w:val="000000"/>
        </w:rPr>
      </w:pPr>
      <w:r w:rsidRPr="0058732A">
        <w:rPr>
          <w:color w:val="000000"/>
        </w:rPr>
        <w:t xml:space="preserve">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proveedor y procede su eliminación de conformidad con el artículo 143, fracción I, de la Ley de Transparencia y Acceso a la Información Pública del Estado de México y Municipios.  </w:t>
      </w:r>
    </w:p>
    <w:p w14:paraId="250F2005" w14:textId="77777777" w:rsidR="00C47A8C" w:rsidRPr="0058732A" w:rsidRDefault="00C47A8C" w:rsidP="00877B34">
      <w:pPr>
        <w:tabs>
          <w:tab w:val="center" w:pos="4522"/>
        </w:tabs>
        <w:spacing w:after="0" w:line="360" w:lineRule="auto"/>
        <w:rPr>
          <w:color w:val="000000"/>
        </w:rPr>
      </w:pPr>
    </w:p>
    <w:p w14:paraId="504C2905" w14:textId="77777777" w:rsidR="00C47A8C" w:rsidRPr="0058732A" w:rsidRDefault="00C47A8C" w:rsidP="00877B34">
      <w:pPr>
        <w:numPr>
          <w:ilvl w:val="0"/>
          <w:numId w:val="19"/>
        </w:numPr>
        <w:pBdr>
          <w:top w:val="nil"/>
          <w:left w:val="nil"/>
          <w:bottom w:val="nil"/>
          <w:right w:val="nil"/>
          <w:between w:val="nil"/>
        </w:pBdr>
        <w:tabs>
          <w:tab w:val="center" w:pos="4522"/>
        </w:tabs>
        <w:spacing w:after="0" w:line="360" w:lineRule="auto"/>
        <w:jc w:val="left"/>
        <w:rPr>
          <w:b/>
          <w:color w:val="000000"/>
        </w:rPr>
      </w:pPr>
      <w:r w:rsidRPr="0058732A">
        <w:rPr>
          <w:b/>
          <w:color w:val="000000"/>
        </w:rPr>
        <w:t>Nombre de institución bancaria</w:t>
      </w:r>
    </w:p>
    <w:p w14:paraId="14CE906B" w14:textId="77777777" w:rsidR="00C47A8C" w:rsidRPr="0058732A" w:rsidRDefault="00C47A8C" w:rsidP="00877B34">
      <w:pPr>
        <w:tabs>
          <w:tab w:val="center" w:pos="4522"/>
        </w:tabs>
        <w:spacing w:after="0" w:line="360" w:lineRule="auto"/>
        <w:rPr>
          <w:color w:val="000000"/>
        </w:rPr>
      </w:pPr>
    </w:p>
    <w:p w14:paraId="5387060D" w14:textId="77777777" w:rsidR="00C47A8C" w:rsidRPr="0058732A" w:rsidRDefault="00C47A8C" w:rsidP="00877B34">
      <w:pPr>
        <w:tabs>
          <w:tab w:val="center" w:pos="4522"/>
        </w:tabs>
        <w:spacing w:after="0" w:line="360" w:lineRule="auto"/>
        <w:rPr>
          <w:color w:val="000000"/>
        </w:rPr>
      </w:pPr>
      <w:r w:rsidRPr="0058732A">
        <w:rPr>
          <w:color w:val="000000"/>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7E000EDD" w14:textId="77777777" w:rsidR="00C47A8C" w:rsidRPr="0058732A" w:rsidRDefault="00C47A8C" w:rsidP="00877B34">
      <w:pPr>
        <w:tabs>
          <w:tab w:val="center" w:pos="4522"/>
        </w:tabs>
        <w:spacing w:after="0" w:line="360" w:lineRule="auto"/>
        <w:rPr>
          <w:color w:val="000000"/>
        </w:rPr>
      </w:pPr>
    </w:p>
    <w:p w14:paraId="634734EF" w14:textId="77777777" w:rsidR="00C47A8C" w:rsidRPr="0058732A" w:rsidRDefault="00C47A8C" w:rsidP="00877B34">
      <w:pPr>
        <w:tabs>
          <w:tab w:val="center" w:pos="4522"/>
        </w:tabs>
        <w:spacing w:after="0" w:line="360" w:lineRule="auto"/>
        <w:rPr>
          <w:color w:val="000000"/>
        </w:rPr>
      </w:pPr>
      <w:r w:rsidRPr="0058732A">
        <w:rPr>
          <w:color w:val="000000"/>
        </w:rPr>
        <w:t xml:space="preserve">En ese orden de ideas, en el portal de la Comisión Nacional para la Protección y Defensa de los Usuarios de Servicios Financieros (consultadas el dieciocho de enero de dos mil veintitrés), en </w:t>
      </w:r>
      <w:hyperlink r:id="rId12">
        <w:r w:rsidRPr="0058732A">
          <w:rPr>
            <w:color w:val="0000FF"/>
            <w:u w:val="single"/>
          </w:rPr>
          <w:t>https://www.condusef.gob.mx/Revista/index.php/usuario-inteligente/condusef-responde/777-la-condusef-te-puede-ayudar</w:t>
        </w:r>
      </w:hyperlink>
      <w:r w:rsidRPr="0058732A">
        <w:rPr>
          <w:color w:val="000000"/>
        </w:rPr>
        <w:t>), se establece que los bancos son instituciones financieras; conforme a lo anterior, se puede advertir que las instituciones bancarias, son personas morales.</w:t>
      </w:r>
    </w:p>
    <w:p w14:paraId="3DC6B062" w14:textId="77777777" w:rsidR="00C47A8C" w:rsidRPr="0058732A" w:rsidRDefault="00C47A8C" w:rsidP="00877B34">
      <w:pPr>
        <w:tabs>
          <w:tab w:val="center" w:pos="4522"/>
        </w:tabs>
        <w:spacing w:after="0" w:line="360" w:lineRule="auto"/>
        <w:rPr>
          <w:color w:val="000000"/>
        </w:rPr>
      </w:pPr>
    </w:p>
    <w:p w14:paraId="0A69673D" w14:textId="77777777" w:rsidR="00C47A8C" w:rsidRPr="0058732A" w:rsidRDefault="00C47A8C" w:rsidP="00877B34">
      <w:pPr>
        <w:tabs>
          <w:tab w:val="center" w:pos="4522"/>
        </w:tabs>
        <w:spacing w:after="0" w:line="360" w:lineRule="auto"/>
        <w:rPr>
          <w:color w:val="000000"/>
        </w:rPr>
      </w:pPr>
      <w:r w:rsidRPr="0058732A">
        <w:rPr>
          <w:color w:val="000000"/>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08AA3527" w14:textId="77777777" w:rsidR="00C47A8C" w:rsidRPr="0058732A" w:rsidRDefault="00C47A8C" w:rsidP="00877B34">
      <w:pPr>
        <w:tabs>
          <w:tab w:val="center" w:pos="4522"/>
        </w:tabs>
        <w:spacing w:after="0" w:line="360" w:lineRule="auto"/>
        <w:rPr>
          <w:color w:val="000000"/>
        </w:rPr>
      </w:pPr>
    </w:p>
    <w:p w14:paraId="04C5D02B" w14:textId="77777777" w:rsidR="00C47A8C" w:rsidRPr="0058732A" w:rsidRDefault="00C47A8C" w:rsidP="00877B34">
      <w:pPr>
        <w:tabs>
          <w:tab w:val="center" w:pos="4522"/>
        </w:tabs>
        <w:spacing w:after="0" w:line="360" w:lineRule="auto"/>
        <w:rPr>
          <w:color w:val="000000"/>
        </w:rPr>
      </w:pPr>
      <w:r w:rsidRPr="0058732A">
        <w:rPr>
          <w:color w:val="000000"/>
        </w:rPr>
        <w:t xml:space="preserve">Lo anterior, se robustece con el hecho de que existe el Sistema de Registro de Prestadores de Servicios Financieros (consultadas el dieciocho de enero de dos mil veintitrés), a las trece horas, en la liga </w:t>
      </w:r>
      <w:hyperlink r:id="rId13">
        <w:r w:rsidRPr="0058732A">
          <w:rPr>
            <w:color w:val="0000FF"/>
            <w:u w:val="single"/>
          </w:rPr>
          <w:t>https://webapps.condusef.gob.mx/SIPRES/jsp/pub/index.jsp</w:t>
        </w:r>
      </w:hyperlink>
      <w:r w:rsidRPr="0058732A">
        <w:rPr>
          <w:color w:val="000000"/>
        </w:rPr>
        <w:t xml:space="preserve">), que es un registro de </w:t>
      </w:r>
      <w:r w:rsidRPr="0058732A">
        <w:rPr>
          <w:b/>
          <w:color w:val="000000"/>
        </w:rPr>
        <w:t xml:space="preserve">carácter público, </w:t>
      </w:r>
      <w:r w:rsidRPr="0058732A">
        <w:rPr>
          <w:color w:val="000000"/>
        </w:rPr>
        <w:t>cuyo objetivo principal, consiste en proporcionar información corporativa y general de las instituciones financieras</w:t>
      </w:r>
      <w:r w:rsidRPr="0058732A">
        <w:rPr>
          <w:b/>
          <w:color w:val="000000"/>
        </w:rPr>
        <w:t xml:space="preserve">; además, que permite conocer al público general, información de dichos entes, </w:t>
      </w:r>
      <w:r w:rsidRPr="0058732A">
        <w:rPr>
          <w:color w:val="000000"/>
        </w:rPr>
        <w:t xml:space="preserve">se muestra un ejemplo a continuación: </w:t>
      </w:r>
    </w:p>
    <w:p w14:paraId="33CFC189" w14:textId="77777777" w:rsidR="00C47A8C" w:rsidRPr="0058732A" w:rsidRDefault="00C47A8C" w:rsidP="00877B34">
      <w:pPr>
        <w:tabs>
          <w:tab w:val="center" w:pos="4522"/>
        </w:tabs>
        <w:spacing w:after="0" w:line="360" w:lineRule="auto"/>
        <w:rPr>
          <w:color w:val="000000"/>
        </w:rPr>
      </w:pPr>
    </w:p>
    <w:p w14:paraId="44407C49" w14:textId="77777777" w:rsidR="00C47A8C" w:rsidRPr="0058732A" w:rsidRDefault="00C47A8C" w:rsidP="00877B34">
      <w:pPr>
        <w:tabs>
          <w:tab w:val="center" w:pos="4522"/>
        </w:tabs>
        <w:spacing w:after="0" w:line="360" w:lineRule="auto"/>
        <w:jc w:val="center"/>
        <w:rPr>
          <w:color w:val="000000"/>
        </w:rPr>
      </w:pPr>
      <w:r w:rsidRPr="0058732A">
        <w:rPr>
          <w:noProof/>
          <w:color w:val="000000"/>
        </w:rPr>
        <w:drawing>
          <wp:inline distT="0" distB="0" distL="0" distR="0" wp14:anchorId="5FCDD5C5" wp14:editId="768EDEF9">
            <wp:extent cx="4777740" cy="2476500"/>
            <wp:effectExtent l="0" t="0" r="0" b="0"/>
            <wp:docPr id="2144078435" name="image3.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Escala de tiempo&#10;&#10;Descripción generada automáticamente"/>
                    <pic:cNvPicPr preferRelativeResize="0"/>
                  </pic:nvPicPr>
                  <pic:blipFill>
                    <a:blip r:embed="rId14"/>
                    <a:srcRect t="2" b="378"/>
                    <a:stretch>
                      <a:fillRect/>
                    </a:stretch>
                  </pic:blipFill>
                  <pic:spPr>
                    <a:xfrm>
                      <a:off x="0" y="0"/>
                      <a:ext cx="4777740" cy="2476500"/>
                    </a:xfrm>
                    <a:prstGeom prst="rect">
                      <a:avLst/>
                    </a:prstGeom>
                    <a:ln/>
                  </pic:spPr>
                </pic:pic>
              </a:graphicData>
            </a:graphic>
          </wp:inline>
        </w:drawing>
      </w:r>
    </w:p>
    <w:p w14:paraId="78ECDC5A" w14:textId="77777777" w:rsidR="00C47A8C" w:rsidRPr="0058732A" w:rsidRDefault="00C47A8C" w:rsidP="00877B34">
      <w:pPr>
        <w:tabs>
          <w:tab w:val="center" w:pos="4522"/>
        </w:tabs>
        <w:spacing w:after="0" w:line="360" w:lineRule="auto"/>
        <w:rPr>
          <w:color w:val="000000"/>
        </w:rPr>
      </w:pPr>
    </w:p>
    <w:p w14:paraId="31CE4EC0" w14:textId="77777777" w:rsidR="00C47A8C" w:rsidRPr="0058732A" w:rsidRDefault="00C47A8C" w:rsidP="00877B34">
      <w:pPr>
        <w:tabs>
          <w:tab w:val="center" w:pos="4522"/>
        </w:tabs>
        <w:spacing w:after="0" w:line="360" w:lineRule="auto"/>
        <w:rPr>
          <w:color w:val="000000"/>
        </w:rPr>
      </w:pPr>
      <w:r w:rsidRPr="0058732A">
        <w:rPr>
          <w:color w:val="000000"/>
        </w:rPr>
        <w:t>Conforme a lo anterior, se logra vislumbrar que el nombre de las instituciones bancarias en primera instancia es de naturaleza pública; sin embargo, en el presente caso, se relacionada con el hecho de que corresponde al banco en el cual un proveedor o contratista decidió recibir el pago de sus servicios; es decir, daría cuenta de la decisión voluntaria de recibir el pago de sus servicios en una determinada institución; lo cual se relaciona con la cuenta y clave interbancaria, mismos que son confidenciales.</w:t>
      </w:r>
    </w:p>
    <w:p w14:paraId="52AFDE5C" w14:textId="77777777" w:rsidR="00C47A8C" w:rsidRPr="0058732A" w:rsidRDefault="00C47A8C" w:rsidP="00877B34">
      <w:pPr>
        <w:tabs>
          <w:tab w:val="center" w:pos="4522"/>
        </w:tabs>
        <w:spacing w:after="0" w:line="360" w:lineRule="auto"/>
        <w:rPr>
          <w:color w:val="000000"/>
        </w:rPr>
      </w:pPr>
    </w:p>
    <w:p w14:paraId="3FF25B9E" w14:textId="77777777" w:rsidR="00C47A8C" w:rsidRPr="0058732A" w:rsidRDefault="00C47A8C" w:rsidP="00877B34">
      <w:pPr>
        <w:tabs>
          <w:tab w:val="center" w:pos="4522"/>
        </w:tabs>
        <w:spacing w:after="0" w:line="360" w:lineRule="auto"/>
        <w:rPr>
          <w:color w:val="000000"/>
        </w:rPr>
      </w:pPr>
      <w:r w:rsidRPr="0058732A">
        <w:rPr>
          <w:color w:val="000000"/>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4FB1A154" w14:textId="77777777" w:rsidR="00C47A8C" w:rsidRDefault="00C47A8C" w:rsidP="00877B34">
      <w:pPr>
        <w:tabs>
          <w:tab w:val="center" w:pos="4522"/>
        </w:tabs>
        <w:spacing w:after="0" w:line="360" w:lineRule="auto"/>
        <w:rPr>
          <w:color w:val="000000"/>
        </w:rPr>
      </w:pPr>
    </w:p>
    <w:p w14:paraId="53F54B5C" w14:textId="3748277C" w:rsidR="00C47A8C" w:rsidRPr="00C47A8C" w:rsidRDefault="00C47A8C" w:rsidP="00877B34">
      <w:pPr>
        <w:spacing w:after="0" w:line="360" w:lineRule="auto"/>
        <w:ind w:right="-28"/>
        <w:contextualSpacing/>
        <w:rPr>
          <w:rFonts w:eastAsia="Calibri" w:cs="Tahoma"/>
          <w:color w:val="000000"/>
          <w:lang w:eastAsia="en-US"/>
        </w:rPr>
      </w:pPr>
      <w:r w:rsidRPr="00C47A8C">
        <w:rPr>
          <w:rFonts w:eastAsia="Times New Roman" w:cs="Tahoma"/>
          <w:bCs/>
          <w:iCs/>
          <w:lang w:eastAsia="es-ES"/>
        </w:rPr>
        <w:t>Asimismo, no pasa desapercibido que la información que d</w:t>
      </w:r>
      <w:r>
        <w:rPr>
          <w:rFonts w:eastAsia="Times New Roman" w:cs="Tahoma"/>
          <w:bCs/>
          <w:iCs/>
          <w:lang w:eastAsia="es-ES"/>
        </w:rPr>
        <w:t>e</w:t>
      </w:r>
      <w:r w:rsidRPr="00C47A8C">
        <w:rPr>
          <w:rFonts w:eastAsia="Times New Roman" w:cs="Tahoma"/>
          <w:bCs/>
          <w:iCs/>
          <w:lang w:eastAsia="es-ES"/>
        </w:rPr>
        <w:t xml:space="preserve"> cuenta </w:t>
      </w:r>
      <w:r>
        <w:rPr>
          <w:rFonts w:eastAsia="Times New Roman" w:cs="Tahoma"/>
          <w:bCs/>
          <w:iCs/>
          <w:lang w:eastAsia="es-ES"/>
        </w:rPr>
        <w:t>de las compras</w:t>
      </w:r>
      <w:r w:rsidRPr="00C47A8C">
        <w:rPr>
          <w:rFonts w:eastAsia="Times New Roman" w:cs="Tahoma"/>
          <w:bCs/>
          <w:iCs/>
          <w:lang w:eastAsia="es-ES"/>
        </w:rPr>
        <w:t xml:space="preserve">, podrían contener datos sobre las características técnicas </w:t>
      </w:r>
      <w:r w:rsidRPr="00C47A8C">
        <w:rPr>
          <w:rFonts w:eastAsia="Calibri" w:cs="Tahoma"/>
          <w:color w:val="000000"/>
          <w:lang w:eastAsia="en-US"/>
        </w:rPr>
        <w:t>y especiales que tien</w:t>
      </w:r>
      <w:r>
        <w:rPr>
          <w:rFonts w:eastAsia="Calibri" w:cs="Tahoma"/>
          <w:color w:val="000000"/>
          <w:lang w:eastAsia="en-US"/>
        </w:rPr>
        <w:t>e el equipo, armamento</w:t>
      </w:r>
      <w:r w:rsidR="00877B34">
        <w:rPr>
          <w:rFonts w:eastAsia="Calibri" w:cs="Tahoma"/>
          <w:color w:val="000000"/>
          <w:lang w:eastAsia="en-US"/>
        </w:rPr>
        <w:t>, vehículos, entre otros en materia de seguridad pública</w:t>
      </w:r>
      <w:r w:rsidRPr="00C47A8C">
        <w:rPr>
          <w:rFonts w:eastAsia="Calibri" w:cs="Tahoma"/>
          <w:color w:val="000000"/>
          <w:lang w:eastAsia="en-US"/>
        </w:rPr>
        <w:t>, por lo que, es necesario analizar si dicha información actualiza alguna causal de clasificación; sobre el tema, el 140, fracción I, de la Ley de Transparencia y Acceso a la Información Pública del Estado de México y Municipios, (homólogo del artículo 113, fracción I de la Ley General de Transparencia y Acceso a la Información Pública), prevé lo siguiente:</w:t>
      </w:r>
    </w:p>
    <w:p w14:paraId="0458F4D9" w14:textId="77777777" w:rsidR="00C47A8C" w:rsidRPr="00C47A8C" w:rsidRDefault="00C47A8C" w:rsidP="00877B34">
      <w:pPr>
        <w:spacing w:after="0" w:line="360" w:lineRule="auto"/>
        <w:rPr>
          <w:rFonts w:eastAsia="Times New Roman" w:cs="Tahoma"/>
          <w:bCs/>
          <w:iCs/>
          <w:lang w:eastAsia="es-ES"/>
        </w:rPr>
      </w:pPr>
    </w:p>
    <w:p w14:paraId="63B5D5F0"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val="es-ES" w:eastAsia="en-US"/>
        </w:rPr>
        <w:t>“</w:t>
      </w:r>
      <w:r w:rsidRPr="00C47A8C">
        <w:rPr>
          <w:rFonts w:eastAsia="Calibri" w:cs="Tahoma"/>
          <w:b/>
          <w:bCs/>
          <w:i/>
          <w:iCs/>
          <w:color w:val="000000"/>
          <w:sz w:val="20"/>
          <w:szCs w:val="20"/>
          <w:lang w:val="es-ES" w:eastAsia="en-US"/>
        </w:rPr>
        <w:t>Artículo 140.</w:t>
      </w:r>
      <w:r w:rsidRPr="00C47A8C">
        <w:rPr>
          <w:rFonts w:eastAsia="Calibri" w:cs="Tahoma"/>
          <w:i/>
          <w:iCs/>
          <w:color w:val="000000"/>
          <w:sz w:val="20"/>
          <w:szCs w:val="20"/>
          <w:lang w:val="es-ES" w:eastAsia="en-US"/>
        </w:rPr>
        <w:t> El acceso a la información pública será restringido excepcionalmente, cuando por razones de interés público, ésta sea clasificada como reservada, conforme a los criterios siguientes:</w:t>
      </w:r>
    </w:p>
    <w:p w14:paraId="51DD3F5D"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val="es-ES" w:eastAsia="en-US"/>
        </w:rPr>
        <w:t> </w:t>
      </w:r>
    </w:p>
    <w:p w14:paraId="2FD4B132"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I. Comprometa la seguridad pública y cuente con un propósito genuino y un efecto demostrable;</w:t>
      </w:r>
    </w:p>
    <w:p w14:paraId="0D9E9FE9"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val="es-ES" w:eastAsia="en-US"/>
        </w:rPr>
        <w:t>…”</w:t>
      </w:r>
    </w:p>
    <w:p w14:paraId="196971D5"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val="es-ES" w:eastAsia="en-US"/>
        </w:rPr>
        <w:t> </w:t>
      </w:r>
    </w:p>
    <w:p w14:paraId="7D40B717"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De dicho precepto normativo se desprende que podrá clasificarse como información reservada aquella cuya publicación comprometa la seguridad pública y cuente con un propósito genuino y un efecto demostrable. Por su parte, los Lineamientos Generales, disponen:</w:t>
      </w:r>
    </w:p>
    <w:p w14:paraId="36BCEED5"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w:t>
      </w:r>
    </w:p>
    <w:p w14:paraId="0923366D"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b/>
          <w:bCs/>
          <w:i/>
          <w:iCs/>
          <w:color w:val="000000"/>
          <w:sz w:val="20"/>
          <w:szCs w:val="20"/>
          <w:lang w:eastAsia="en-US"/>
        </w:rPr>
        <w:t>“Décimo octavo. </w:t>
      </w:r>
      <w:r w:rsidRPr="00C47A8C">
        <w:rPr>
          <w:rFonts w:eastAsia="Calibri" w:cs="Tahoma"/>
          <w:i/>
          <w:iCs/>
          <w:color w:val="000000"/>
          <w:sz w:val="20"/>
          <w:szCs w:val="20"/>
          <w:lang w:eastAsia="en-US"/>
        </w:rPr>
        <w:t>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26EBAD4B"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 </w:t>
      </w:r>
    </w:p>
    <w:p w14:paraId="3A63EAD7"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263516B8"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 </w:t>
      </w:r>
    </w:p>
    <w:p w14:paraId="5DB557CD"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F62DD7"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w:t>
      </w:r>
    </w:p>
    <w:p w14:paraId="4F4946D4"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492F15EC"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w:t>
      </w:r>
    </w:p>
    <w:p w14:paraId="2E68CF95"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05F06099"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w:t>
      </w:r>
    </w:p>
    <w:p w14:paraId="71B67C69"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En ese orden de ideas, el artículo 81 de la Ley de Seguridad del Estado de México, que establece lo siguiente:</w:t>
      </w:r>
    </w:p>
    <w:p w14:paraId="00CFB625"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w:t>
      </w:r>
    </w:p>
    <w:p w14:paraId="3B8B4F6E"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b/>
          <w:bCs/>
          <w:i/>
          <w:iCs/>
          <w:color w:val="000000"/>
          <w:sz w:val="20"/>
          <w:szCs w:val="20"/>
          <w:lang w:eastAsia="en-US"/>
        </w:rPr>
        <w:t>“Artículo 81.- </w:t>
      </w:r>
      <w:r w:rsidRPr="00C47A8C">
        <w:rPr>
          <w:rFonts w:eastAsia="Calibri" w:cs="Tahoma"/>
          <w:i/>
          <w:iCs/>
          <w:color w:val="000000"/>
          <w:sz w:val="20"/>
          <w:szCs w:val="20"/>
          <w:lang w:eastAsia="en-US"/>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6A730C52"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 </w:t>
      </w:r>
    </w:p>
    <w:p w14:paraId="5AAC9787"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14:paraId="2A3E0BE8"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 </w:t>
      </w:r>
    </w:p>
    <w:p w14:paraId="295B9268"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II. Aquella cuya revelación pueda ser utilizada para actualizar o potenciar una amenaza a la seguridad pública o a las instituciones del Estado de México;</w:t>
      </w:r>
    </w:p>
    <w:p w14:paraId="390C726E"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 </w:t>
      </w:r>
    </w:p>
    <w:p w14:paraId="2D8EA6DA"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III. La relativa a los servidores públicos integrantes de las instituciones de seguridad pública, cuya revelación pueda poner en riesgo su vida e integridad física con motivo de sus funciones;</w:t>
      </w:r>
    </w:p>
    <w:p w14:paraId="54A3B836"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 </w:t>
      </w:r>
    </w:p>
    <w:p w14:paraId="27DEC03E"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IV. La que sea producto de una intervención de comunicaciones privadas autorizadas conforme a la Constitución Federal y las disposiciones legales correspondientes; y</w:t>
      </w:r>
    </w:p>
    <w:p w14:paraId="2781CF16"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 </w:t>
      </w:r>
    </w:p>
    <w:p w14:paraId="39F23A30" w14:textId="77777777" w:rsidR="00C47A8C" w:rsidRPr="00C47A8C" w:rsidRDefault="00C47A8C" w:rsidP="00877B34">
      <w:pPr>
        <w:spacing w:after="0" w:line="360" w:lineRule="auto"/>
        <w:ind w:left="567" w:right="567"/>
        <w:contextualSpacing/>
        <w:rPr>
          <w:rFonts w:eastAsia="Calibri" w:cs="Tahoma"/>
          <w:color w:val="000000"/>
          <w:sz w:val="20"/>
          <w:szCs w:val="20"/>
          <w:lang w:eastAsia="en-US"/>
        </w:rPr>
      </w:pPr>
      <w:r w:rsidRPr="00C47A8C">
        <w:rPr>
          <w:rFonts w:eastAsia="Calibri" w:cs="Tahoma"/>
          <w:i/>
          <w:iCs/>
          <w:color w:val="000000"/>
          <w:sz w:val="20"/>
          <w:szCs w:val="20"/>
          <w:lang w:eastAsia="en-US"/>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1CAF09F3"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w:t>
      </w:r>
    </w:p>
    <w:p w14:paraId="021D5FD6"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71471AD" w14:textId="7A670945"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Al respecto, </w:t>
      </w:r>
      <w:r w:rsidRPr="00C47A8C">
        <w:rPr>
          <w:rFonts w:eastAsia="Calibri" w:cs="Tahoma"/>
          <w:color w:val="000000"/>
          <w:lang w:val="es-ES" w:eastAsia="en-US"/>
        </w:rPr>
        <w:t>este Instituto advierte que proporcionar las características o especificaciones de</w:t>
      </w:r>
      <w:r w:rsidR="00877B34">
        <w:rPr>
          <w:rFonts w:eastAsia="Calibri" w:cs="Tahoma"/>
          <w:color w:val="000000"/>
          <w:lang w:val="es-ES" w:eastAsia="en-US"/>
        </w:rPr>
        <w:t xml:space="preserve"> los bienes adquiridos utilizados para mantener la seguridad pública</w:t>
      </w:r>
      <w:r w:rsidRPr="00C47A8C">
        <w:rPr>
          <w:rFonts w:eastAsia="Calibri" w:cs="Tahoma"/>
          <w:color w:val="000000"/>
          <w:lang w:val="es-ES" w:eastAsia="en-US"/>
        </w:rPr>
        <w:t xml:space="preserve">, revelaría la nuevo equipamiento, tecnología y componentes, con los que cuenta el área de seguridad, para el combate a la delincuencia en el Municipio, pues al proporcionar información sobre, </w:t>
      </w:r>
      <w:r w:rsidRPr="00C47A8C">
        <w:rPr>
          <w:rFonts w:eastAsia="Calibri" w:cs="Tahoma"/>
          <w:b/>
          <w:bCs/>
          <w:color w:val="000000"/>
          <w:lang w:val="es-ES" w:eastAsia="en-US"/>
        </w:rPr>
        <w:t>la tecnología, armamento y blindaje con los que cuenta los vehículos,</w:t>
      </w:r>
      <w:r w:rsidRPr="00C47A8C">
        <w:rPr>
          <w:rFonts w:eastAsia="Calibri" w:cs="Tahoma"/>
          <w:color w:val="000000"/>
          <w:lang w:val="es-ES" w:eastAsia="en-US"/>
        </w:rPr>
        <w:t> se estaría dando cuenta de las características del equipo y armamento especial, con el que cuentan el personal, y que es utilizado para mantener la seguridad dentro del territorio del Municipio.</w:t>
      </w:r>
    </w:p>
    <w:p w14:paraId="4659D077"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val="es-ES" w:eastAsia="en-US"/>
        </w:rPr>
        <w:t> </w:t>
      </w:r>
    </w:p>
    <w:p w14:paraId="7E9F3E2B" w14:textId="4EC180E5"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val="es-ES" w:eastAsia="en-US"/>
        </w:rPr>
        <w:t xml:space="preserve">Inclusive, dar a conocer las especificaciones y características especiales de los automotores, podría ocasionar que los entes delincuenciales busquen allegarse de instrumentos para disminuir o destruir estos, con el fin de aumentar la inseguridad de Acambay, pues podría ser utilizada dicha información para buscar las debilidades de </w:t>
      </w:r>
      <w:r w:rsidR="00877B34" w:rsidRPr="00C47A8C">
        <w:rPr>
          <w:rFonts w:eastAsia="Calibri" w:cs="Tahoma"/>
          <w:color w:val="000000"/>
          <w:lang w:val="es-ES" w:eastAsia="en-US"/>
        </w:rPr>
        <w:t>estas</w:t>
      </w:r>
      <w:r w:rsidRPr="00C47A8C">
        <w:rPr>
          <w:rFonts w:eastAsia="Calibri" w:cs="Tahoma"/>
          <w:color w:val="000000"/>
          <w:lang w:val="es-ES" w:eastAsia="en-US"/>
        </w:rPr>
        <w:t xml:space="preserve"> y poderse aprovechar de dichas situaciones para realizar diversos delitos, lo cual va en detrimento de la paz y orden social.</w:t>
      </w:r>
    </w:p>
    <w:p w14:paraId="3E20E8C3"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w:t>
      </w:r>
    </w:p>
    <w:p w14:paraId="0F8E6552" w14:textId="552FC9C2"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Conforme a lo anterior, se puede colegir que proporcionar las características especiales de los uniformes</w:t>
      </w:r>
      <w:r w:rsidR="00877B34">
        <w:rPr>
          <w:rFonts w:eastAsia="Calibri" w:cs="Tahoma"/>
          <w:color w:val="000000"/>
          <w:lang w:eastAsia="en-US"/>
        </w:rPr>
        <w:t>, equipamiento, armamento o vehículos</w:t>
      </w:r>
      <w:r w:rsidRPr="00C47A8C">
        <w:rPr>
          <w:rFonts w:eastAsia="Calibri" w:cs="Tahoma"/>
          <w:color w:val="000000"/>
          <w:lang w:eastAsia="en-US"/>
        </w:rPr>
        <w:t>, como su blindaje y tecnología,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C47A8C">
        <w:rPr>
          <w:rFonts w:eastAsia="Calibri" w:cs="Tahoma"/>
          <w:b/>
          <w:bCs/>
          <w:color w:val="000000"/>
          <w:lang w:eastAsia="en-US"/>
        </w:rPr>
        <w:t>que da cuenta de las tecnologías, componentes y sistemas del equipo y armamento utilizado por los elementos de la Comisaría de Seguridad Pública Municipal </w:t>
      </w:r>
      <w:r w:rsidRPr="00C47A8C">
        <w:rPr>
          <w:rFonts w:eastAsia="Calibri" w:cs="Tahoma"/>
          <w:color w:val="000000"/>
          <w:lang w:eastAsia="en-US"/>
        </w:rPr>
        <w:t>y por lo tanto, acredita la causal de clasificación prevista en el artículo 140, fracción I de la Ley de Transparencia y Acceso a la Información Pública del Estado de México</w:t>
      </w:r>
      <w:r w:rsidRPr="00C47A8C">
        <w:rPr>
          <w:rFonts w:eastAsia="Calibri" w:cs="Tahoma"/>
          <w:b/>
          <w:bCs/>
          <w:color w:val="000000"/>
          <w:lang w:eastAsia="en-US"/>
        </w:rPr>
        <w:t>.</w:t>
      </w:r>
    </w:p>
    <w:p w14:paraId="64D1C484"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w:t>
      </w:r>
    </w:p>
    <w:p w14:paraId="5E6CF1F7"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48B6DCB" w14:textId="77777777" w:rsidR="00C47A8C" w:rsidRPr="00C47A8C" w:rsidRDefault="00C47A8C" w:rsidP="00877B34">
      <w:pPr>
        <w:spacing w:after="0" w:line="360" w:lineRule="auto"/>
        <w:ind w:right="-28"/>
        <w:contextualSpacing/>
        <w:rPr>
          <w:rFonts w:eastAsia="Calibri" w:cs="Tahoma"/>
          <w:color w:val="000000"/>
          <w:lang w:eastAsia="en-US"/>
        </w:rPr>
      </w:pPr>
    </w:p>
    <w:p w14:paraId="43FFCF26" w14:textId="77777777" w:rsidR="00C47A8C" w:rsidRPr="00C47A8C" w:rsidRDefault="00C47A8C" w:rsidP="00877B34">
      <w:pPr>
        <w:numPr>
          <w:ilvl w:val="0"/>
          <w:numId w:val="24"/>
        </w:numPr>
        <w:spacing w:after="0" w:line="360" w:lineRule="auto"/>
        <w:ind w:left="709" w:right="-28" w:hanging="207"/>
        <w:contextualSpacing/>
        <w:jc w:val="left"/>
        <w:rPr>
          <w:rFonts w:eastAsia="Calibri" w:cs="Tahoma"/>
          <w:color w:val="000000"/>
          <w:lang w:eastAsia="en-US"/>
        </w:rPr>
      </w:pPr>
      <w:r w:rsidRPr="00C47A8C">
        <w:rPr>
          <w:rFonts w:eastAsia="Calibri" w:cs="Tahoma"/>
          <w:color w:val="000000"/>
          <w:lang w:eastAsia="en-US"/>
        </w:rPr>
        <w:t>La divulgación de la información representa un riesgo real, demostrable e identificable de perjuicio significativo al interés público o a la seguridad nacional.</w:t>
      </w:r>
    </w:p>
    <w:p w14:paraId="47BACCCE" w14:textId="77777777" w:rsidR="00C47A8C" w:rsidRPr="00C47A8C" w:rsidRDefault="00C47A8C" w:rsidP="00877B34">
      <w:pPr>
        <w:spacing w:after="0" w:line="360" w:lineRule="auto"/>
        <w:ind w:left="709" w:right="-28" w:hanging="207"/>
        <w:contextualSpacing/>
        <w:rPr>
          <w:rFonts w:eastAsia="Calibri" w:cs="Tahoma"/>
          <w:color w:val="000000"/>
          <w:lang w:eastAsia="en-US"/>
        </w:rPr>
      </w:pPr>
    </w:p>
    <w:p w14:paraId="644FD92B" w14:textId="77777777" w:rsidR="00C47A8C" w:rsidRPr="00C47A8C" w:rsidRDefault="00C47A8C" w:rsidP="00877B34">
      <w:pPr>
        <w:numPr>
          <w:ilvl w:val="0"/>
          <w:numId w:val="24"/>
        </w:numPr>
        <w:spacing w:after="0" w:line="360" w:lineRule="auto"/>
        <w:ind w:left="709" w:right="-28" w:hanging="207"/>
        <w:contextualSpacing/>
        <w:jc w:val="left"/>
        <w:rPr>
          <w:rFonts w:eastAsia="Calibri" w:cs="Tahoma"/>
          <w:color w:val="000000"/>
          <w:lang w:eastAsia="en-US"/>
        </w:rPr>
      </w:pPr>
      <w:r w:rsidRPr="00C47A8C">
        <w:rPr>
          <w:rFonts w:eastAsia="Calibri" w:cs="Tahoma"/>
          <w:color w:val="000000"/>
          <w:lang w:eastAsia="en-US"/>
        </w:rPr>
        <w:t>El riesgo de perjuicio supera el interés público general de que se difunda.</w:t>
      </w:r>
    </w:p>
    <w:p w14:paraId="664B3AC2" w14:textId="77777777" w:rsidR="00C47A8C" w:rsidRPr="00C47A8C" w:rsidRDefault="00C47A8C" w:rsidP="00877B34">
      <w:pPr>
        <w:spacing w:after="0" w:line="360" w:lineRule="auto"/>
        <w:ind w:left="709" w:right="-28" w:hanging="207"/>
        <w:contextualSpacing/>
        <w:rPr>
          <w:rFonts w:eastAsia="Calibri" w:cs="Tahoma"/>
          <w:color w:val="000000"/>
          <w:lang w:eastAsia="en-US"/>
        </w:rPr>
      </w:pPr>
    </w:p>
    <w:p w14:paraId="6F1A1325" w14:textId="77777777" w:rsidR="00C47A8C" w:rsidRPr="00C47A8C" w:rsidRDefault="00C47A8C" w:rsidP="00877B34">
      <w:pPr>
        <w:numPr>
          <w:ilvl w:val="0"/>
          <w:numId w:val="24"/>
        </w:numPr>
        <w:spacing w:after="0" w:line="360" w:lineRule="auto"/>
        <w:ind w:left="709" w:right="-28" w:hanging="207"/>
        <w:contextualSpacing/>
        <w:jc w:val="left"/>
        <w:rPr>
          <w:rFonts w:eastAsia="Calibri" w:cs="Tahoma"/>
          <w:color w:val="000000"/>
          <w:lang w:eastAsia="en-US"/>
        </w:rPr>
      </w:pPr>
      <w:r w:rsidRPr="00C47A8C">
        <w:rPr>
          <w:rFonts w:eastAsia="Calibri" w:cs="Tahoma"/>
          <w:color w:val="000000"/>
          <w:lang w:eastAsia="en-US"/>
        </w:rPr>
        <w:t>Que la limitación se adecua al principio de proporcionalidad y representa el medio menos restrictivo disponible para evitar el perjuicio.</w:t>
      </w:r>
    </w:p>
    <w:p w14:paraId="565D5725" w14:textId="77777777" w:rsidR="00C47A8C" w:rsidRPr="00C47A8C"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 </w:t>
      </w:r>
    </w:p>
    <w:p w14:paraId="55E50513" w14:textId="77777777" w:rsidR="00C47A8C" w:rsidRPr="008401F3" w:rsidRDefault="00C47A8C" w:rsidP="00877B34">
      <w:pPr>
        <w:spacing w:after="0" w:line="360" w:lineRule="auto"/>
        <w:ind w:right="-28"/>
        <w:contextualSpacing/>
        <w:rPr>
          <w:rFonts w:eastAsia="Calibri" w:cs="Tahoma"/>
          <w:color w:val="000000"/>
          <w:lang w:eastAsia="en-US"/>
        </w:rPr>
      </w:pPr>
      <w:r w:rsidRPr="00C47A8C">
        <w:rPr>
          <w:rFonts w:eastAsia="Calibri" w:cs="Tahoma"/>
          <w:color w:val="000000"/>
          <w:lang w:eastAsia="en-US"/>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las características técnicas y especiales de los uniformes, de manera fundada y motivada, mediante la respectiva prueba de daño.</w:t>
      </w:r>
    </w:p>
    <w:p w14:paraId="6C440EB2" w14:textId="77777777" w:rsidR="00C47A8C" w:rsidRDefault="00C47A8C" w:rsidP="00877B34">
      <w:pPr>
        <w:tabs>
          <w:tab w:val="center" w:pos="4522"/>
        </w:tabs>
        <w:spacing w:after="0" w:line="360" w:lineRule="auto"/>
        <w:rPr>
          <w:color w:val="000000"/>
        </w:rPr>
      </w:pPr>
    </w:p>
    <w:p w14:paraId="6C86E0B0" w14:textId="1EC80A75" w:rsidR="00C47A8C" w:rsidRPr="0058732A" w:rsidRDefault="00877B34" w:rsidP="00877B34">
      <w:pPr>
        <w:spacing w:after="0" w:line="360" w:lineRule="auto"/>
        <w:rPr>
          <w:color w:val="000000"/>
        </w:rPr>
      </w:pPr>
      <w:r>
        <w:rPr>
          <w:color w:val="000000"/>
        </w:rPr>
        <w:t>De tal circunstancia</w:t>
      </w:r>
      <w:r w:rsidR="00C47A8C" w:rsidRPr="0058732A">
        <w:rPr>
          <w:color w:val="000000"/>
        </w:rPr>
        <w:t>,</w:t>
      </w:r>
      <w:r>
        <w:rPr>
          <w:color w:val="000000"/>
        </w:rPr>
        <w:t xml:space="preserve"> el Sujeto Obligado</w:t>
      </w:r>
      <w:r w:rsidR="00C47A8C" w:rsidRPr="0058732A">
        <w:rPr>
          <w:color w:val="000000"/>
        </w:rPr>
        <w:t xml:space="preserve">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D66C397" w14:textId="77777777" w:rsidR="00C47A8C" w:rsidRPr="0058732A" w:rsidRDefault="00C47A8C" w:rsidP="00877B34">
      <w:pPr>
        <w:spacing w:after="0" w:line="360" w:lineRule="auto"/>
        <w:rPr>
          <w:color w:val="000000"/>
        </w:rPr>
      </w:pPr>
    </w:p>
    <w:p w14:paraId="3A6A30E0" w14:textId="77777777" w:rsidR="00C47A8C" w:rsidRPr="0058732A" w:rsidRDefault="00C47A8C" w:rsidP="00877B34">
      <w:pPr>
        <w:spacing w:after="0" w:line="360" w:lineRule="auto"/>
        <w:rPr>
          <w:color w:val="000000"/>
        </w:rPr>
      </w:pPr>
      <w:r w:rsidRPr="0058732A">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EB1E96B" w14:textId="77777777" w:rsidR="00C47A8C" w:rsidRDefault="00C47A8C" w:rsidP="00877B34">
      <w:pPr>
        <w:widowControl w:val="0"/>
        <w:autoSpaceDE w:val="0"/>
        <w:autoSpaceDN w:val="0"/>
        <w:adjustRightInd w:val="0"/>
        <w:spacing w:after="0" w:line="360" w:lineRule="auto"/>
        <w:contextualSpacing/>
        <w:rPr>
          <w:color w:val="auto"/>
        </w:rPr>
      </w:pPr>
    </w:p>
    <w:p w14:paraId="25774922" w14:textId="77777777" w:rsidR="00624F33" w:rsidRPr="004D1132" w:rsidRDefault="00624F33" w:rsidP="00877B34">
      <w:pPr>
        <w:pStyle w:val="Ttulo2"/>
        <w:spacing w:before="0" w:after="0" w:line="360" w:lineRule="auto"/>
        <w:rPr>
          <w:color w:val="auto"/>
          <w:sz w:val="22"/>
          <w:szCs w:val="22"/>
        </w:rPr>
      </w:pPr>
      <w:bookmarkStart w:id="22" w:name="_Toc190262569"/>
      <w:bookmarkStart w:id="23" w:name="_Toc213332293"/>
      <w:r w:rsidRPr="004D1132">
        <w:rPr>
          <w:color w:val="auto"/>
          <w:sz w:val="22"/>
          <w:szCs w:val="22"/>
        </w:rPr>
        <w:t>SEXTO. Decisión</w:t>
      </w:r>
      <w:bookmarkEnd w:id="22"/>
      <w:bookmarkEnd w:id="23"/>
    </w:p>
    <w:p w14:paraId="6C3D69A0" w14:textId="77777777" w:rsidR="00624F33" w:rsidRPr="004D1132" w:rsidRDefault="00624F33" w:rsidP="00877B34">
      <w:pPr>
        <w:spacing w:after="0" w:line="360" w:lineRule="auto"/>
        <w:contextualSpacing/>
        <w:rPr>
          <w:rFonts w:eastAsia="Calibri" w:cs="Tahoma"/>
          <w:b/>
          <w:color w:val="auto"/>
        </w:rPr>
      </w:pPr>
    </w:p>
    <w:p w14:paraId="0B0A1BE2" w14:textId="7AA8EB43" w:rsidR="00624F33" w:rsidRPr="004D1132" w:rsidRDefault="00624F33" w:rsidP="00877B34">
      <w:pPr>
        <w:spacing w:after="0" w:line="360" w:lineRule="auto"/>
        <w:rPr>
          <w:color w:val="auto"/>
        </w:rPr>
      </w:pPr>
      <w:r w:rsidRPr="004D1132">
        <w:rPr>
          <w:color w:val="auto"/>
        </w:rPr>
        <w:t xml:space="preserve">De acuerdo con lo expuesto y, con fundamento en el artículo 186, fracción III, de la Ley de Transparencia y Acceso a la Información Pública del Estado de México y Municipios, este Instituto considera procedente </w:t>
      </w:r>
      <w:r w:rsidR="004D1132">
        <w:rPr>
          <w:b/>
          <w:color w:val="auto"/>
        </w:rPr>
        <w:t>MODIFICA</w:t>
      </w:r>
      <w:r w:rsidRPr="004D1132">
        <w:rPr>
          <w:b/>
          <w:color w:val="auto"/>
        </w:rPr>
        <w:t xml:space="preserve">R </w:t>
      </w:r>
      <w:r w:rsidRPr="004D1132">
        <w:rPr>
          <w:color w:val="auto"/>
        </w:rPr>
        <w:t xml:space="preserve">la respuesta del Ayuntamiento de </w:t>
      </w:r>
      <w:r w:rsidR="004D1132">
        <w:rPr>
          <w:color w:val="auto"/>
        </w:rPr>
        <w:t>Atlacomulco</w:t>
      </w:r>
      <w:r w:rsidRPr="004D1132">
        <w:rPr>
          <w:b/>
          <w:color w:val="auto"/>
        </w:rPr>
        <w:t xml:space="preserve">, </w:t>
      </w:r>
      <w:r w:rsidRPr="004D1132">
        <w:rPr>
          <w:color w:val="auto"/>
        </w:rPr>
        <w:t>a efecto de que previa búsqueda exhaustiva y razonable entregue, en su caso en versión pública, la información</w:t>
      </w:r>
      <w:r w:rsidR="004D1132">
        <w:rPr>
          <w:color w:val="auto"/>
        </w:rPr>
        <w:t xml:space="preserve"> faltante</w:t>
      </w:r>
      <w:r w:rsidRPr="004D1132">
        <w:rPr>
          <w:color w:val="auto"/>
        </w:rPr>
        <w:t>.</w:t>
      </w:r>
    </w:p>
    <w:p w14:paraId="1DDC7137" w14:textId="77777777" w:rsidR="00624F33" w:rsidRPr="00624F33" w:rsidRDefault="00624F33" w:rsidP="00877B34">
      <w:pPr>
        <w:spacing w:after="0" w:line="360" w:lineRule="auto"/>
        <w:rPr>
          <w:color w:val="FF0000"/>
        </w:rPr>
      </w:pPr>
    </w:p>
    <w:p w14:paraId="2CF002BB" w14:textId="77777777" w:rsidR="00624F33" w:rsidRPr="00786AE6" w:rsidRDefault="00624F33" w:rsidP="00877B34">
      <w:pPr>
        <w:spacing w:after="0" w:line="360" w:lineRule="auto"/>
        <w:contextualSpacing/>
        <w:rPr>
          <w:rFonts w:eastAsia="Calibri" w:cs="Tahoma"/>
          <w:b/>
          <w:bCs/>
          <w:color w:val="auto"/>
        </w:rPr>
      </w:pPr>
      <w:r w:rsidRPr="00786AE6">
        <w:rPr>
          <w:rFonts w:eastAsia="Calibri" w:cs="Tahoma"/>
          <w:b/>
          <w:bCs/>
          <w:color w:val="auto"/>
        </w:rPr>
        <w:t>Términos de la Resolución para conocimiento del Particular</w:t>
      </w:r>
    </w:p>
    <w:p w14:paraId="0EA578CF" w14:textId="77777777" w:rsidR="00624F33" w:rsidRPr="00786AE6" w:rsidRDefault="00624F33" w:rsidP="00877B34">
      <w:pPr>
        <w:spacing w:after="0" w:line="360" w:lineRule="auto"/>
        <w:contextualSpacing/>
        <w:rPr>
          <w:rFonts w:eastAsia="Calibri" w:cs="Tahoma"/>
          <w:b/>
          <w:bCs/>
          <w:color w:val="auto"/>
        </w:rPr>
      </w:pPr>
    </w:p>
    <w:p w14:paraId="7D184B80" w14:textId="77777777" w:rsidR="00624F33" w:rsidRDefault="00624F33" w:rsidP="00877B34">
      <w:pPr>
        <w:spacing w:after="0" w:line="360" w:lineRule="auto"/>
        <w:rPr>
          <w:color w:val="auto"/>
        </w:rPr>
      </w:pPr>
      <w:r w:rsidRPr="00786AE6">
        <w:rPr>
          <w:color w:val="auto"/>
        </w:rPr>
        <w:t>Se le hace del conocimiento a la persona Recurrente que, en el presente asunto, se le da la razón, pues el Sujeto Obligado, no acreditó el cambio de modalidad, por lo que, deberá hacer la entrega de la información solicitada. Finalmente, la labor del Instituto, es apoyar a la población a acceder a la información pública y garantizar la protección de sus datos personales.</w:t>
      </w:r>
    </w:p>
    <w:p w14:paraId="04646634" w14:textId="77777777" w:rsidR="00786AE6" w:rsidRPr="00786AE6" w:rsidRDefault="00786AE6" w:rsidP="00877B34">
      <w:pPr>
        <w:spacing w:after="0" w:line="360" w:lineRule="auto"/>
        <w:rPr>
          <w:color w:val="auto"/>
        </w:rPr>
      </w:pPr>
    </w:p>
    <w:p w14:paraId="28157772" w14:textId="77777777" w:rsidR="00624F33" w:rsidRPr="00786AE6" w:rsidRDefault="00624F33" w:rsidP="00877B34">
      <w:pPr>
        <w:spacing w:after="0" w:line="360" w:lineRule="auto"/>
        <w:contextualSpacing/>
        <w:rPr>
          <w:rFonts w:eastAsia="Calibri"/>
          <w:color w:val="auto"/>
        </w:rPr>
      </w:pPr>
      <w:r w:rsidRPr="00786AE6">
        <w:rPr>
          <w:rFonts w:eastAsia="Calibri"/>
          <w:color w:val="auto"/>
        </w:rPr>
        <w:t>Por lo expuesto y fundado, este Pleno:</w:t>
      </w:r>
    </w:p>
    <w:p w14:paraId="5A941353" w14:textId="77777777" w:rsidR="00624F33" w:rsidRPr="00786AE6" w:rsidRDefault="00624F33" w:rsidP="00877B34">
      <w:pPr>
        <w:spacing w:after="0" w:line="360" w:lineRule="auto"/>
        <w:contextualSpacing/>
        <w:rPr>
          <w:rFonts w:eastAsia="Calibri"/>
          <w:color w:val="auto"/>
        </w:rPr>
      </w:pPr>
    </w:p>
    <w:p w14:paraId="7DB638DB" w14:textId="77777777" w:rsidR="00624F33" w:rsidRPr="00786AE6" w:rsidRDefault="00624F33" w:rsidP="00877B34">
      <w:pPr>
        <w:pStyle w:val="Ttulo1"/>
        <w:spacing w:before="0" w:after="0" w:line="360" w:lineRule="auto"/>
        <w:jc w:val="center"/>
        <w:rPr>
          <w:color w:val="auto"/>
          <w:sz w:val="22"/>
          <w:szCs w:val="22"/>
        </w:rPr>
      </w:pPr>
      <w:bookmarkStart w:id="24" w:name="_Toc190262570"/>
      <w:bookmarkStart w:id="25" w:name="_Toc213332294"/>
      <w:r w:rsidRPr="00786AE6">
        <w:rPr>
          <w:color w:val="auto"/>
          <w:sz w:val="22"/>
          <w:szCs w:val="22"/>
        </w:rPr>
        <w:t>R E S U E L V E</w:t>
      </w:r>
      <w:bookmarkEnd w:id="24"/>
      <w:bookmarkEnd w:id="25"/>
    </w:p>
    <w:p w14:paraId="52B0245E" w14:textId="77777777" w:rsidR="00624F33" w:rsidRPr="00786AE6" w:rsidRDefault="00624F33" w:rsidP="00877B34">
      <w:pPr>
        <w:spacing w:after="0" w:line="360" w:lineRule="auto"/>
        <w:contextualSpacing/>
        <w:jc w:val="center"/>
        <w:rPr>
          <w:rFonts w:eastAsia="Calibri"/>
          <w:b/>
          <w:bCs/>
          <w:color w:val="auto"/>
        </w:rPr>
      </w:pPr>
    </w:p>
    <w:p w14:paraId="4A6FF8E6" w14:textId="016F6E97" w:rsidR="00624F33" w:rsidRPr="00786AE6" w:rsidRDefault="00624F33" w:rsidP="00877B34">
      <w:pPr>
        <w:spacing w:after="0" w:line="360" w:lineRule="auto"/>
        <w:contextualSpacing/>
        <w:rPr>
          <w:color w:val="auto"/>
        </w:rPr>
      </w:pPr>
      <w:r w:rsidRPr="00786AE6">
        <w:rPr>
          <w:rFonts w:cs="Tahoma"/>
          <w:b/>
          <w:bCs/>
          <w:color w:val="auto"/>
        </w:rPr>
        <w:t xml:space="preserve">PRIMERO. </w:t>
      </w:r>
      <w:r w:rsidRPr="00786AE6">
        <w:rPr>
          <w:rFonts w:cs="Tahoma"/>
          <w:bCs/>
          <w:color w:val="auto"/>
        </w:rPr>
        <w:t xml:space="preserve">Se </w:t>
      </w:r>
      <w:r w:rsidR="00786AE6">
        <w:rPr>
          <w:rFonts w:cs="Tahoma"/>
          <w:b/>
          <w:bCs/>
          <w:color w:val="auto"/>
        </w:rPr>
        <w:t>MODIFICA</w:t>
      </w:r>
      <w:r w:rsidRPr="00786AE6">
        <w:rPr>
          <w:rFonts w:cs="Tahoma"/>
          <w:b/>
          <w:bCs/>
          <w:color w:val="auto"/>
        </w:rPr>
        <w:t xml:space="preserve"> </w:t>
      </w:r>
      <w:r w:rsidRPr="00786AE6">
        <w:rPr>
          <w:rFonts w:cs="Tahoma"/>
          <w:bCs/>
          <w:color w:val="auto"/>
        </w:rPr>
        <w:t xml:space="preserve">la respuesta entregada por el Ayuntamiento de </w:t>
      </w:r>
      <w:r w:rsidR="00786AE6" w:rsidRPr="00786AE6">
        <w:rPr>
          <w:rFonts w:cs="Tahoma"/>
          <w:bCs/>
          <w:color w:val="auto"/>
        </w:rPr>
        <w:t>Atlacomulco</w:t>
      </w:r>
      <w:r w:rsidRPr="00786AE6">
        <w:rPr>
          <w:rFonts w:cs="Tahoma"/>
          <w:bCs/>
          <w:color w:val="auto"/>
        </w:rPr>
        <w:t xml:space="preserve">, a la solicitud de </w:t>
      </w:r>
      <w:r w:rsidRPr="00786AE6">
        <w:rPr>
          <w:bCs/>
          <w:color w:val="auto"/>
        </w:rPr>
        <w:t xml:space="preserve">información </w:t>
      </w:r>
      <w:r w:rsidR="00786AE6" w:rsidRPr="00786AE6">
        <w:rPr>
          <w:bCs/>
          <w:color w:val="auto"/>
        </w:rPr>
        <w:t>00364/ATLACOM/IP/2025</w:t>
      </w:r>
      <w:r w:rsidRPr="00786AE6">
        <w:rPr>
          <w:bCs/>
          <w:color w:val="auto"/>
        </w:rPr>
        <w:t xml:space="preserve">, por resultar </w:t>
      </w:r>
      <w:r w:rsidRPr="00786AE6">
        <w:rPr>
          <w:b/>
          <w:bCs/>
          <w:color w:val="auto"/>
        </w:rPr>
        <w:t>FUNDADAS</w:t>
      </w:r>
      <w:r w:rsidRPr="00786AE6">
        <w:rPr>
          <w:rFonts w:cs="Tahoma"/>
          <w:b/>
          <w:bCs/>
          <w:color w:val="auto"/>
        </w:rPr>
        <w:t xml:space="preserve"> </w:t>
      </w:r>
      <w:r w:rsidRPr="00786AE6">
        <w:rPr>
          <w:rFonts w:eastAsia="Calibri" w:cs="Tahoma"/>
          <w:bCs/>
          <w:color w:val="auto"/>
        </w:rPr>
        <w:t>las razones o motivos de inconformidad hechos valer por el Recurrente</w:t>
      </w:r>
      <w:r w:rsidRPr="00786AE6">
        <w:rPr>
          <w:rFonts w:cs="Tahoma"/>
          <w:bCs/>
          <w:color w:val="auto"/>
        </w:rPr>
        <w:t xml:space="preserve">, </w:t>
      </w:r>
      <w:r w:rsidRPr="00786AE6">
        <w:rPr>
          <w:rFonts w:eastAsia="Calibri" w:cs="Tahoma"/>
          <w:bCs/>
          <w:color w:val="auto"/>
        </w:rPr>
        <w:t>en términos de los considerandos QUINTO y SEXTO de la presente Resolución.</w:t>
      </w:r>
    </w:p>
    <w:p w14:paraId="44AC65B9" w14:textId="77777777" w:rsidR="00624F33" w:rsidRPr="00624F33" w:rsidRDefault="00624F33" w:rsidP="00877B34">
      <w:pPr>
        <w:spacing w:after="0" w:line="360" w:lineRule="auto"/>
        <w:contextualSpacing/>
        <w:rPr>
          <w:rFonts w:eastAsia="Times New Roman" w:cs="Tahoma"/>
          <w:bCs/>
          <w:color w:val="FF0000"/>
          <w:lang w:eastAsia="es-ES"/>
        </w:rPr>
      </w:pPr>
    </w:p>
    <w:p w14:paraId="24C73FB4" w14:textId="77777777" w:rsidR="00624F33" w:rsidRPr="00786AE6" w:rsidRDefault="00624F33" w:rsidP="00877B34">
      <w:pPr>
        <w:spacing w:after="0" w:line="360" w:lineRule="auto"/>
        <w:rPr>
          <w:color w:val="auto"/>
        </w:rPr>
      </w:pPr>
      <w:r w:rsidRPr="00786AE6">
        <w:rPr>
          <w:rFonts w:cs="Tahoma"/>
          <w:b/>
          <w:bCs/>
          <w:color w:val="auto"/>
        </w:rPr>
        <w:t xml:space="preserve">SEGUNDO. </w:t>
      </w:r>
      <w:r w:rsidRPr="00786AE6">
        <w:rPr>
          <w:color w:val="auto"/>
        </w:rPr>
        <w:t xml:space="preserve">Se </w:t>
      </w:r>
      <w:r w:rsidRPr="00786AE6">
        <w:rPr>
          <w:b/>
          <w:color w:val="auto"/>
        </w:rPr>
        <w:t>ORDENA</w:t>
      </w:r>
      <w:r w:rsidRPr="00786AE6">
        <w:rPr>
          <w:color w:val="auto"/>
        </w:rPr>
        <w:t xml:space="preserve"> al Ente Recurrido</w:t>
      </w:r>
      <w:r w:rsidRPr="00786AE6">
        <w:rPr>
          <w:b/>
          <w:color w:val="auto"/>
        </w:rPr>
        <w:t xml:space="preserve">, </w:t>
      </w:r>
      <w:r w:rsidRPr="00786AE6">
        <w:rPr>
          <w:color w:val="auto"/>
        </w:rPr>
        <w:t>a efecto de que previa búsqueda exhaustiva y razonable, en los archivos de las unidades administrativas competentes, entregue a través del Sistema de Acceso a la Información Mexiquense (SAIMEX), en su caso, en versión pública, lo siguiente:</w:t>
      </w:r>
    </w:p>
    <w:p w14:paraId="0AE39989" w14:textId="77777777" w:rsidR="00624F33" w:rsidRPr="00624F33" w:rsidRDefault="00624F33" w:rsidP="00877B34">
      <w:pPr>
        <w:spacing w:after="0" w:line="360" w:lineRule="auto"/>
        <w:rPr>
          <w:color w:val="FF0000"/>
        </w:rPr>
      </w:pPr>
    </w:p>
    <w:p w14:paraId="5A116492" w14:textId="19E81DA2" w:rsidR="00F622BB" w:rsidRDefault="00786AE6" w:rsidP="00877B34">
      <w:pPr>
        <w:pStyle w:val="Prrafodelista"/>
        <w:numPr>
          <w:ilvl w:val="0"/>
          <w:numId w:val="17"/>
        </w:numPr>
        <w:spacing w:line="360" w:lineRule="auto"/>
        <w:rPr>
          <w:color w:val="auto"/>
        </w:rPr>
      </w:pPr>
      <w:r w:rsidRPr="00786AE6">
        <w:rPr>
          <w:color w:val="auto"/>
        </w:rPr>
        <w:t xml:space="preserve">Las requisiciones </w:t>
      </w:r>
      <w:r>
        <w:rPr>
          <w:color w:val="auto"/>
        </w:rPr>
        <w:t>faltantes</w:t>
      </w:r>
      <w:r w:rsidR="00F622BB">
        <w:rPr>
          <w:color w:val="auto"/>
        </w:rPr>
        <w:t xml:space="preserve"> emitidas del primero de enero al treinta de abril de dos mil veinticinco, así como, las entregadas en respuesta ilegibles, en un formato comprensible.</w:t>
      </w:r>
    </w:p>
    <w:p w14:paraId="4A67ADF3" w14:textId="77777777" w:rsidR="00F622BB" w:rsidRDefault="00F622BB" w:rsidP="00877B34">
      <w:pPr>
        <w:pStyle w:val="Prrafodelista"/>
        <w:spacing w:line="360" w:lineRule="auto"/>
        <w:rPr>
          <w:color w:val="auto"/>
        </w:rPr>
      </w:pPr>
    </w:p>
    <w:p w14:paraId="067DE13F" w14:textId="789A940A" w:rsidR="00786AE6" w:rsidRPr="00786AE6" w:rsidRDefault="00F622BB" w:rsidP="00877B34">
      <w:pPr>
        <w:pStyle w:val="Prrafodelista"/>
        <w:numPr>
          <w:ilvl w:val="0"/>
          <w:numId w:val="17"/>
        </w:numPr>
        <w:spacing w:line="360" w:lineRule="auto"/>
        <w:rPr>
          <w:color w:val="auto"/>
        </w:rPr>
      </w:pPr>
      <w:r>
        <w:rPr>
          <w:color w:val="auto"/>
        </w:rPr>
        <w:t>Los documentos</w:t>
      </w:r>
      <w:r w:rsidR="00786AE6">
        <w:rPr>
          <w:color w:val="auto"/>
        </w:rPr>
        <w:t xml:space="preserve"> donde conste</w:t>
      </w:r>
      <w:r>
        <w:rPr>
          <w:color w:val="auto"/>
        </w:rPr>
        <w:t>n</w:t>
      </w:r>
      <w:r w:rsidR="00786AE6">
        <w:rPr>
          <w:color w:val="auto"/>
        </w:rPr>
        <w:t xml:space="preserve"> las </w:t>
      </w:r>
      <w:r w:rsidR="00786AE6">
        <w:rPr>
          <w:rFonts w:cs="Tahoma"/>
          <w:color w:val="auto"/>
        </w:rPr>
        <w:t xml:space="preserve">compras realizadas </w:t>
      </w:r>
      <w:r>
        <w:rPr>
          <w:rFonts w:cs="Tahoma"/>
          <w:color w:val="auto"/>
        </w:rPr>
        <w:t>del primero de enero al treinta de abril de dos mil veinticinco.</w:t>
      </w:r>
    </w:p>
    <w:p w14:paraId="7E744B11" w14:textId="77777777" w:rsidR="00F622BB" w:rsidRDefault="00F622BB" w:rsidP="00877B34">
      <w:pPr>
        <w:spacing w:after="0" w:line="360" w:lineRule="auto"/>
        <w:rPr>
          <w:color w:val="auto"/>
        </w:rPr>
      </w:pPr>
    </w:p>
    <w:p w14:paraId="7A72E517" w14:textId="377E2C3F" w:rsidR="00624F33" w:rsidRDefault="00624F33" w:rsidP="00877B34">
      <w:pPr>
        <w:spacing w:after="0" w:line="360" w:lineRule="auto"/>
        <w:rPr>
          <w:rFonts w:cs="Tahoma"/>
          <w:bCs/>
          <w:iCs/>
          <w:color w:val="auto"/>
          <w:lang w:eastAsia="es-ES"/>
        </w:rPr>
      </w:pPr>
      <w:r w:rsidRPr="00786AE6">
        <w:rPr>
          <w:color w:val="auto"/>
        </w:rPr>
        <w:t xml:space="preserve">Además, de ser necesario, </w:t>
      </w:r>
      <w:r w:rsidRPr="00786AE6">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52F08C5" w14:textId="77777777" w:rsidR="00786AE6" w:rsidRDefault="00786AE6" w:rsidP="00877B34">
      <w:pPr>
        <w:spacing w:after="0" w:line="360" w:lineRule="auto"/>
        <w:rPr>
          <w:rFonts w:cs="Tahoma"/>
          <w:bCs/>
          <w:iCs/>
          <w:color w:val="auto"/>
          <w:lang w:eastAsia="es-ES"/>
        </w:rPr>
      </w:pPr>
    </w:p>
    <w:p w14:paraId="321AE476" w14:textId="77777777" w:rsidR="00624F33" w:rsidRPr="000B456E" w:rsidRDefault="00624F33" w:rsidP="00877B34">
      <w:pPr>
        <w:spacing w:after="0" w:line="360" w:lineRule="auto"/>
        <w:ind w:right="-28"/>
        <w:contextualSpacing/>
        <w:rPr>
          <w:rFonts w:cs="Tahoma"/>
          <w:b/>
          <w:iCs/>
          <w:color w:val="auto"/>
        </w:rPr>
      </w:pPr>
      <w:r w:rsidRPr="000B456E">
        <w:rPr>
          <w:rFonts w:eastAsia="Calibri" w:cs="Tahoma"/>
          <w:b/>
          <w:bCs/>
          <w:color w:val="auto"/>
        </w:rPr>
        <w:t xml:space="preserve">TERCERO. </w:t>
      </w:r>
      <w:r w:rsidRPr="000B456E">
        <w:rPr>
          <w:rFonts w:cs="Tahoma"/>
          <w:b/>
          <w:bCs/>
          <w:iCs/>
          <w:color w:val="auto"/>
        </w:rPr>
        <w:t xml:space="preserve">NOTIFÍQUESE POR SAIMEX </w:t>
      </w:r>
      <w:r w:rsidRPr="000B456E">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CBB48DA" w14:textId="77777777" w:rsidR="00624F33" w:rsidRPr="000B456E" w:rsidRDefault="00624F33" w:rsidP="00877B34">
      <w:pPr>
        <w:spacing w:after="0" w:line="360" w:lineRule="auto"/>
        <w:ind w:right="-28"/>
        <w:contextualSpacing/>
        <w:rPr>
          <w:rFonts w:eastAsia="Calibri" w:cs="Tahoma"/>
          <w:color w:val="auto"/>
          <w:lang w:val="es-ES"/>
        </w:rPr>
      </w:pPr>
    </w:p>
    <w:p w14:paraId="47E69FB2" w14:textId="77777777" w:rsidR="00624F33" w:rsidRPr="000B456E" w:rsidRDefault="00624F33" w:rsidP="00877B34">
      <w:pPr>
        <w:spacing w:after="0" w:line="360" w:lineRule="auto"/>
        <w:contextualSpacing/>
        <w:rPr>
          <w:rFonts w:eastAsia="Calibri" w:cs="Tahoma"/>
          <w:iCs/>
          <w:color w:val="auto"/>
        </w:rPr>
      </w:pPr>
      <w:r w:rsidRPr="000B456E">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75895AF5" w14:textId="77777777" w:rsidR="00624F33" w:rsidRPr="000B456E" w:rsidRDefault="00624F33" w:rsidP="00877B34">
      <w:pPr>
        <w:spacing w:after="0" w:line="360" w:lineRule="auto"/>
        <w:contextualSpacing/>
        <w:rPr>
          <w:rFonts w:eastAsia="Calibri" w:cs="Tahoma"/>
          <w:color w:val="auto"/>
          <w:lang w:val="es-ES"/>
        </w:rPr>
      </w:pPr>
    </w:p>
    <w:p w14:paraId="31736D67" w14:textId="77777777" w:rsidR="00624F33" w:rsidRPr="000B456E" w:rsidRDefault="00624F33" w:rsidP="00877B34">
      <w:pPr>
        <w:spacing w:after="0" w:line="360" w:lineRule="auto"/>
        <w:contextualSpacing/>
        <w:rPr>
          <w:rFonts w:eastAsia="Times New Roman" w:cs="Tahoma"/>
          <w:color w:val="auto"/>
          <w:lang w:eastAsia="es-ES"/>
        </w:rPr>
      </w:pPr>
      <w:r w:rsidRPr="000B456E">
        <w:rPr>
          <w:rFonts w:eastAsia="Calibri" w:cs="Tahoma"/>
          <w:b/>
          <w:color w:val="auto"/>
        </w:rPr>
        <w:t>CUARTO</w:t>
      </w:r>
      <w:r w:rsidRPr="000B456E">
        <w:rPr>
          <w:rFonts w:eastAsia="Calibri" w:cs="Tahoma"/>
          <w:b/>
          <w:bCs/>
          <w:color w:val="auto"/>
        </w:rPr>
        <w:t xml:space="preserve">. </w:t>
      </w:r>
      <w:r w:rsidRPr="000B456E">
        <w:rPr>
          <w:rFonts w:cs="Tahoma"/>
          <w:b/>
          <w:color w:val="auto"/>
        </w:rPr>
        <w:t>NOTIFÍQUESE POR SAIMEX</w:t>
      </w:r>
      <w:r w:rsidRPr="000B456E">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38E0C2" w14:textId="77777777" w:rsidR="00624F33" w:rsidRPr="000B456E" w:rsidRDefault="00624F33" w:rsidP="00877B34">
      <w:pPr>
        <w:spacing w:after="0" w:line="360" w:lineRule="auto"/>
        <w:contextualSpacing/>
        <w:rPr>
          <w:rFonts w:cs="Arial"/>
          <w:b/>
          <w:bCs/>
          <w:color w:val="auto"/>
        </w:rPr>
      </w:pPr>
    </w:p>
    <w:p w14:paraId="0513523D" w14:textId="251B098B" w:rsidR="00624F33" w:rsidRPr="000B456E" w:rsidRDefault="00624F33" w:rsidP="00877B34">
      <w:pPr>
        <w:spacing w:after="0" w:line="360" w:lineRule="auto"/>
        <w:contextualSpacing/>
        <w:rPr>
          <w:rFonts w:cs="Tahoma"/>
          <w:b/>
          <w:bCs/>
          <w:color w:val="auto"/>
        </w:rPr>
      </w:pPr>
      <w:r w:rsidRPr="000B456E">
        <w:rPr>
          <w:rFonts w:eastAsia="Calibri" w:cs="Tahoma"/>
          <w:bCs/>
          <w:color w:val="auto"/>
        </w:rPr>
        <w:t>ASÍ LO RESUELVE, POR </w:t>
      </w:r>
      <w:r w:rsidRPr="000B456E">
        <w:rPr>
          <w:rFonts w:eastAsia="Calibri" w:cs="Tahoma"/>
          <w:b/>
          <w:bCs/>
          <w:color w:val="auto"/>
        </w:rPr>
        <w:t>UNANIMIDAD</w:t>
      </w:r>
      <w:r w:rsidRPr="000B456E">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37484A">
        <w:rPr>
          <w:rFonts w:eastAsia="Calibri" w:cs="Tahoma"/>
          <w:bCs/>
          <w:color w:val="auto"/>
        </w:rPr>
        <w:t xml:space="preserve"> (AUSENCIA JUSTIFICADA)</w:t>
      </w:r>
      <w:r w:rsidRPr="000B456E">
        <w:rPr>
          <w:rFonts w:eastAsia="Calibri" w:cs="Tahoma"/>
          <w:bCs/>
          <w:color w:val="auto"/>
        </w:rPr>
        <w:t xml:space="preserve">, SHARON CRISTINA MORALES MARTÍNEZ, LUIS GUSTAVO PARRA NORIEGA Y GUADALUPE RAMÍREZ PEÑA, EN LA </w:t>
      </w:r>
      <w:r w:rsidR="000B456E">
        <w:rPr>
          <w:rFonts w:eastAsia="Calibri" w:cs="Tahoma"/>
          <w:bCs/>
          <w:color w:val="auto"/>
        </w:rPr>
        <w:t xml:space="preserve">TRIGÉSIMA NOVENA </w:t>
      </w:r>
      <w:r w:rsidRPr="000B456E">
        <w:rPr>
          <w:rFonts w:eastAsia="Calibri" w:cs="Tahoma"/>
          <w:bCs/>
          <w:color w:val="auto"/>
        </w:rPr>
        <w:t xml:space="preserve">SEXTA SESIÓN ORDINARIA, CELEBRADA EL </w:t>
      </w:r>
      <w:r w:rsidR="00C52226">
        <w:rPr>
          <w:rFonts w:eastAsia="Calibri" w:cs="Tahoma"/>
          <w:bCs/>
          <w:color w:val="auto"/>
        </w:rPr>
        <w:t xml:space="preserve">CINCO DE NOVIEMBRE </w:t>
      </w:r>
      <w:r w:rsidRPr="000B456E">
        <w:rPr>
          <w:rFonts w:eastAsia="Calibri" w:cs="Tahoma"/>
          <w:bCs/>
          <w:color w:val="auto"/>
        </w:rPr>
        <w:t>DE DOS MIL VEINTICINCO, ANTE EL SECRETARIO TÉCNICO DEL PLENO, ALEXIS TAPIA RAMÍREZ.</w:t>
      </w:r>
    </w:p>
    <w:p w14:paraId="42841E23" w14:textId="77777777" w:rsidR="00A27828" w:rsidRDefault="00A27828" w:rsidP="00877B34">
      <w:pPr>
        <w:spacing w:after="0" w:line="360" w:lineRule="auto"/>
        <w:rPr>
          <w:color w:val="auto"/>
        </w:rPr>
      </w:pPr>
    </w:p>
    <w:p w14:paraId="0E266D1D" w14:textId="77777777" w:rsidR="00C52226" w:rsidRDefault="00C52226" w:rsidP="00877B34">
      <w:pPr>
        <w:spacing w:after="0" w:line="360" w:lineRule="auto"/>
        <w:rPr>
          <w:color w:val="auto"/>
        </w:rPr>
      </w:pPr>
    </w:p>
    <w:p w14:paraId="449B91FC" w14:textId="77777777" w:rsidR="00C52226" w:rsidRDefault="00C52226" w:rsidP="00877B34">
      <w:pPr>
        <w:spacing w:after="0" w:line="360" w:lineRule="auto"/>
        <w:rPr>
          <w:color w:val="auto"/>
        </w:rPr>
      </w:pPr>
    </w:p>
    <w:p w14:paraId="64EDA16E" w14:textId="77777777" w:rsidR="00C52226" w:rsidRDefault="00C52226" w:rsidP="00877B34">
      <w:pPr>
        <w:spacing w:after="0" w:line="360" w:lineRule="auto"/>
        <w:rPr>
          <w:color w:val="auto"/>
        </w:rPr>
      </w:pPr>
    </w:p>
    <w:p w14:paraId="2137623A" w14:textId="77777777" w:rsidR="00C52226" w:rsidRDefault="00C52226" w:rsidP="00877B34">
      <w:pPr>
        <w:spacing w:after="0" w:line="360" w:lineRule="auto"/>
        <w:rPr>
          <w:color w:val="auto"/>
        </w:rPr>
      </w:pPr>
    </w:p>
    <w:p w14:paraId="37976FDF" w14:textId="77777777" w:rsidR="00C52226" w:rsidRDefault="00C52226" w:rsidP="00877B34">
      <w:pPr>
        <w:spacing w:after="0" w:line="360" w:lineRule="auto"/>
        <w:rPr>
          <w:color w:val="auto"/>
        </w:rPr>
      </w:pPr>
    </w:p>
    <w:p w14:paraId="1E128AAE" w14:textId="77777777" w:rsidR="00C52226" w:rsidRDefault="00C52226" w:rsidP="00877B34">
      <w:pPr>
        <w:spacing w:after="0" w:line="360" w:lineRule="auto"/>
        <w:rPr>
          <w:color w:val="auto"/>
        </w:rPr>
      </w:pPr>
    </w:p>
    <w:p w14:paraId="7C3F7789" w14:textId="77777777" w:rsidR="00C52226" w:rsidRDefault="00C52226" w:rsidP="00877B34">
      <w:pPr>
        <w:spacing w:after="0" w:line="360" w:lineRule="auto"/>
        <w:rPr>
          <w:color w:val="auto"/>
        </w:rPr>
      </w:pPr>
    </w:p>
    <w:p w14:paraId="23A64A5C" w14:textId="77777777" w:rsidR="00C52226" w:rsidRDefault="00C52226" w:rsidP="00877B34">
      <w:pPr>
        <w:spacing w:after="0" w:line="360" w:lineRule="auto"/>
        <w:rPr>
          <w:color w:val="auto"/>
        </w:rPr>
      </w:pPr>
    </w:p>
    <w:p w14:paraId="5C653856" w14:textId="77777777" w:rsidR="00C52226" w:rsidRDefault="00C52226" w:rsidP="00877B34">
      <w:pPr>
        <w:spacing w:after="0" w:line="360" w:lineRule="auto"/>
        <w:rPr>
          <w:color w:val="auto"/>
        </w:rPr>
      </w:pPr>
    </w:p>
    <w:p w14:paraId="532339FB" w14:textId="77777777" w:rsidR="00C52226" w:rsidRDefault="00C52226" w:rsidP="00877B34">
      <w:pPr>
        <w:spacing w:after="0" w:line="360" w:lineRule="auto"/>
        <w:rPr>
          <w:color w:val="auto"/>
        </w:rPr>
      </w:pPr>
    </w:p>
    <w:p w14:paraId="4AFFFA60" w14:textId="77777777" w:rsidR="00C52226" w:rsidRDefault="00C52226" w:rsidP="00877B34">
      <w:pPr>
        <w:spacing w:after="0" w:line="360" w:lineRule="auto"/>
        <w:rPr>
          <w:color w:val="auto"/>
        </w:rPr>
      </w:pPr>
    </w:p>
    <w:p w14:paraId="62827FA9" w14:textId="77777777" w:rsidR="00C52226" w:rsidRDefault="00C52226" w:rsidP="00877B34">
      <w:pPr>
        <w:spacing w:after="0" w:line="360" w:lineRule="auto"/>
        <w:rPr>
          <w:color w:val="auto"/>
        </w:rPr>
      </w:pPr>
    </w:p>
    <w:p w14:paraId="17029B22" w14:textId="77777777" w:rsidR="00C52226" w:rsidRDefault="00C52226" w:rsidP="00877B34">
      <w:pPr>
        <w:spacing w:after="0" w:line="360" w:lineRule="auto"/>
        <w:rPr>
          <w:color w:val="auto"/>
        </w:rPr>
      </w:pPr>
    </w:p>
    <w:p w14:paraId="13DF535B" w14:textId="77777777" w:rsidR="002E75B4" w:rsidRDefault="002E75B4" w:rsidP="00877B34">
      <w:pPr>
        <w:spacing w:after="0" w:line="360" w:lineRule="auto"/>
        <w:rPr>
          <w:color w:val="auto"/>
        </w:rPr>
      </w:pPr>
    </w:p>
    <w:p w14:paraId="798D7E6E" w14:textId="77777777" w:rsidR="002E75B4" w:rsidRDefault="002E75B4" w:rsidP="00877B34">
      <w:pPr>
        <w:spacing w:after="0" w:line="360" w:lineRule="auto"/>
        <w:rPr>
          <w:color w:val="auto"/>
        </w:rPr>
      </w:pPr>
    </w:p>
    <w:p w14:paraId="443840E4" w14:textId="77777777" w:rsidR="002E75B4" w:rsidRDefault="002E75B4" w:rsidP="00877B34">
      <w:pPr>
        <w:spacing w:after="0" w:line="360" w:lineRule="auto"/>
        <w:rPr>
          <w:color w:val="auto"/>
        </w:rPr>
      </w:pPr>
    </w:p>
    <w:p w14:paraId="3D1E3947" w14:textId="77777777" w:rsidR="002E75B4" w:rsidRDefault="002E75B4" w:rsidP="00877B34">
      <w:pPr>
        <w:spacing w:after="0" w:line="360" w:lineRule="auto"/>
        <w:rPr>
          <w:color w:val="auto"/>
        </w:rPr>
      </w:pPr>
    </w:p>
    <w:p w14:paraId="361DB5C0" w14:textId="77777777" w:rsidR="00C52226" w:rsidRPr="000B456E" w:rsidRDefault="00C52226" w:rsidP="00877B34">
      <w:pPr>
        <w:spacing w:after="0" w:line="360" w:lineRule="auto"/>
        <w:rPr>
          <w:color w:val="auto"/>
        </w:rPr>
      </w:pPr>
    </w:p>
    <w:sectPr w:rsidR="00C52226" w:rsidRPr="000B456E"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D313B" w14:textId="77777777" w:rsidR="00B73D51" w:rsidRDefault="00B73D51">
      <w:pPr>
        <w:spacing w:after="0" w:line="240" w:lineRule="auto"/>
      </w:pPr>
      <w:r>
        <w:separator/>
      </w:r>
    </w:p>
  </w:endnote>
  <w:endnote w:type="continuationSeparator" w:id="0">
    <w:p w14:paraId="67C81A29" w14:textId="77777777" w:rsidR="00B73D51" w:rsidRDefault="00B7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4D157C48" w:rsidR="00424519" w:rsidRDefault="0042451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25A01">
      <w:rPr>
        <w:b/>
        <w:noProof/>
        <w:color w:val="000000"/>
        <w:sz w:val="24"/>
        <w:szCs w:val="24"/>
      </w:rPr>
      <w:t>45</w:t>
    </w:r>
    <w:r>
      <w:rPr>
        <w:b/>
        <w:color w:val="000000"/>
        <w:sz w:val="24"/>
        <w:szCs w:val="24"/>
      </w:rPr>
      <w:fldChar w:fldCharType="end"/>
    </w:r>
  </w:p>
  <w:p w14:paraId="7EB9860B" w14:textId="77777777" w:rsidR="00424519" w:rsidRDefault="0042451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24519" w:rsidRDefault="0042451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06480">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06480">
      <w:rPr>
        <w:b/>
        <w:noProof/>
        <w:color w:val="000000"/>
        <w:sz w:val="24"/>
        <w:szCs w:val="24"/>
      </w:rPr>
      <w:t>45</w:t>
    </w:r>
    <w:r>
      <w:rPr>
        <w:b/>
        <w:color w:val="000000"/>
        <w:sz w:val="24"/>
        <w:szCs w:val="24"/>
      </w:rPr>
      <w:fldChar w:fldCharType="end"/>
    </w:r>
  </w:p>
  <w:p w14:paraId="0D7FA8D9" w14:textId="77777777" w:rsidR="00424519" w:rsidRDefault="0042451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24519" w:rsidRDefault="0042451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73D5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73D51">
      <w:rPr>
        <w:b/>
        <w:noProof/>
        <w:color w:val="000000"/>
        <w:sz w:val="24"/>
        <w:szCs w:val="24"/>
      </w:rPr>
      <w:t>1</w:t>
    </w:r>
    <w:r>
      <w:rPr>
        <w:b/>
        <w:color w:val="000000"/>
        <w:sz w:val="24"/>
        <w:szCs w:val="24"/>
      </w:rPr>
      <w:fldChar w:fldCharType="end"/>
    </w:r>
  </w:p>
  <w:p w14:paraId="6796AF5F" w14:textId="77777777" w:rsidR="00424519" w:rsidRDefault="0042451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71F88" w14:textId="77777777" w:rsidR="00B73D51" w:rsidRDefault="00B73D51">
      <w:pPr>
        <w:spacing w:after="0" w:line="240" w:lineRule="auto"/>
      </w:pPr>
      <w:r>
        <w:separator/>
      </w:r>
    </w:p>
  </w:footnote>
  <w:footnote w:type="continuationSeparator" w:id="0">
    <w:p w14:paraId="43C19781" w14:textId="77777777" w:rsidR="00B73D51" w:rsidRDefault="00B73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24519" w:rsidRDefault="0042451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24519" w14:paraId="10C29E94" w14:textId="77777777">
      <w:trPr>
        <w:trHeight w:val="132"/>
      </w:trPr>
      <w:tc>
        <w:tcPr>
          <w:tcW w:w="2691" w:type="dxa"/>
        </w:tcPr>
        <w:p w14:paraId="7D85A4B8" w14:textId="77777777" w:rsidR="00424519" w:rsidRDefault="00424519">
          <w:pPr>
            <w:tabs>
              <w:tab w:val="right" w:pos="8838"/>
            </w:tabs>
            <w:ind w:right="-105"/>
            <w:rPr>
              <w:b/>
            </w:rPr>
          </w:pPr>
          <w:r>
            <w:rPr>
              <w:b/>
            </w:rPr>
            <w:t>Recurso de Revisión:</w:t>
          </w:r>
        </w:p>
      </w:tc>
      <w:tc>
        <w:tcPr>
          <w:tcW w:w="3405" w:type="dxa"/>
        </w:tcPr>
        <w:p w14:paraId="0B0D1A9D" w14:textId="77777777" w:rsidR="00424519" w:rsidRDefault="00424519">
          <w:pPr>
            <w:tabs>
              <w:tab w:val="right" w:pos="8838"/>
            </w:tabs>
            <w:ind w:left="-28" w:right="-32"/>
          </w:pPr>
          <w:r>
            <w:t>03846/INFOEM/IP/RR/2020</w:t>
          </w:r>
        </w:p>
      </w:tc>
    </w:tr>
    <w:tr w:rsidR="00424519" w14:paraId="2F47AC72" w14:textId="77777777">
      <w:trPr>
        <w:trHeight w:val="261"/>
      </w:trPr>
      <w:tc>
        <w:tcPr>
          <w:tcW w:w="2691" w:type="dxa"/>
        </w:tcPr>
        <w:p w14:paraId="154A4752" w14:textId="77777777" w:rsidR="00424519" w:rsidRDefault="00424519">
          <w:pPr>
            <w:tabs>
              <w:tab w:val="right" w:pos="8838"/>
            </w:tabs>
            <w:ind w:right="-105"/>
            <w:rPr>
              <w:b/>
            </w:rPr>
          </w:pPr>
          <w:r>
            <w:rPr>
              <w:b/>
            </w:rPr>
            <w:t>Sujeto Obligado:</w:t>
          </w:r>
        </w:p>
      </w:tc>
      <w:tc>
        <w:tcPr>
          <w:tcW w:w="3405" w:type="dxa"/>
        </w:tcPr>
        <w:p w14:paraId="5D9EC711" w14:textId="77777777" w:rsidR="00424519" w:rsidRDefault="00424519">
          <w:pPr>
            <w:tabs>
              <w:tab w:val="right" w:pos="8838"/>
            </w:tabs>
            <w:ind w:right="-32"/>
          </w:pPr>
          <w:r>
            <w:t>Ayuntamiento de Temascalcingo</w:t>
          </w:r>
        </w:p>
      </w:tc>
    </w:tr>
    <w:tr w:rsidR="00424519" w14:paraId="11FBB450" w14:textId="77777777">
      <w:trPr>
        <w:trHeight w:val="261"/>
      </w:trPr>
      <w:tc>
        <w:tcPr>
          <w:tcW w:w="2691" w:type="dxa"/>
        </w:tcPr>
        <w:p w14:paraId="6BAF6003" w14:textId="77777777" w:rsidR="00424519" w:rsidRDefault="00424519">
          <w:pPr>
            <w:tabs>
              <w:tab w:val="right" w:pos="8838"/>
            </w:tabs>
            <w:ind w:right="-105"/>
            <w:rPr>
              <w:b/>
            </w:rPr>
          </w:pPr>
          <w:r>
            <w:rPr>
              <w:b/>
            </w:rPr>
            <w:t>Comisionado Ponente:</w:t>
          </w:r>
        </w:p>
      </w:tc>
      <w:tc>
        <w:tcPr>
          <w:tcW w:w="3405" w:type="dxa"/>
        </w:tcPr>
        <w:p w14:paraId="420341AF" w14:textId="77777777" w:rsidR="00424519" w:rsidRDefault="00424519">
          <w:pPr>
            <w:tabs>
              <w:tab w:val="right" w:pos="8838"/>
            </w:tabs>
            <w:ind w:right="-32"/>
            <w:rPr>
              <w:b/>
            </w:rPr>
          </w:pPr>
          <w:r>
            <w:t>Luis Gustavo Parra Noriega</w:t>
          </w:r>
        </w:p>
      </w:tc>
    </w:tr>
  </w:tbl>
  <w:p w14:paraId="00411D75" w14:textId="77777777" w:rsidR="00424519" w:rsidRDefault="00B73D51">
    <w:pPr>
      <w:pBdr>
        <w:top w:val="nil"/>
        <w:left w:val="nil"/>
        <w:bottom w:val="nil"/>
        <w:right w:val="nil"/>
        <w:between w:val="nil"/>
      </w:pBdr>
      <w:tabs>
        <w:tab w:val="center" w:pos="4419"/>
        <w:tab w:val="right" w:pos="8838"/>
      </w:tabs>
      <w:spacing w:after="0" w:line="240" w:lineRule="auto"/>
      <w:rPr>
        <w:color w:val="000000"/>
      </w:rPr>
    </w:pPr>
    <w:r>
      <w:rPr>
        <w:color w:val="000000"/>
      </w:rPr>
      <w:pict w14:anchorId="4C486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24519" w:rsidRDefault="00B73D51">
    <w:pPr>
      <w:widowControl w:val="0"/>
      <w:pBdr>
        <w:top w:val="nil"/>
        <w:left w:val="nil"/>
        <w:bottom w:val="nil"/>
        <w:right w:val="nil"/>
        <w:between w:val="nil"/>
      </w:pBdr>
      <w:spacing w:after="0" w:line="276" w:lineRule="auto"/>
      <w:jc w:val="left"/>
    </w:pPr>
    <w:r>
      <w:rPr>
        <w:color w:val="000000"/>
      </w:rPr>
      <w:pict w14:anchorId="79C8C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24519" w14:paraId="40D5D5A3" w14:textId="77777777" w:rsidTr="00EC7CBF">
      <w:trPr>
        <w:trHeight w:val="138"/>
      </w:trPr>
      <w:tc>
        <w:tcPr>
          <w:tcW w:w="2693" w:type="dxa"/>
          <w:vAlign w:val="center"/>
        </w:tcPr>
        <w:p w14:paraId="43377EBE" w14:textId="77777777" w:rsidR="00424519" w:rsidRDefault="00424519" w:rsidP="008C266D">
          <w:pPr>
            <w:tabs>
              <w:tab w:val="right" w:pos="8838"/>
            </w:tabs>
            <w:ind w:left="-108" w:right="-105"/>
            <w:jc w:val="left"/>
            <w:rPr>
              <w:b/>
            </w:rPr>
          </w:pPr>
        </w:p>
        <w:p w14:paraId="1DB5C8D0" w14:textId="7E98B3D2" w:rsidR="00424519" w:rsidRDefault="00424519" w:rsidP="008C266D">
          <w:pPr>
            <w:tabs>
              <w:tab w:val="right" w:pos="8838"/>
            </w:tabs>
            <w:ind w:left="-108" w:right="-105"/>
            <w:jc w:val="left"/>
            <w:rPr>
              <w:b/>
            </w:rPr>
          </w:pPr>
          <w:r>
            <w:rPr>
              <w:b/>
            </w:rPr>
            <w:t>Recurso de Revisión:</w:t>
          </w:r>
        </w:p>
      </w:tc>
      <w:tc>
        <w:tcPr>
          <w:tcW w:w="3969" w:type="dxa"/>
        </w:tcPr>
        <w:p w14:paraId="5BCC69C4" w14:textId="77777777" w:rsidR="00424519" w:rsidRPr="00EF0C39" w:rsidRDefault="00424519" w:rsidP="008C266D">
          <w:pPr>
            <w:tabs>
              <w:tab w:val="right" w:pos="8838"/>
            </w:tabs>
            <w:ind w:right="57"/>
          </w:pPr>
        </w:p>
        <w:p w14:paraId="61E59D71" w14:textId="25AC0836" w:rsidR="00424519" w:rsidRPr="00EF0C39" w:rsidRDefault="00664A72" w:rsidP="008C266D">
          <w:pPr>
            <w:tabs>
              <w:tab w:val="right" w:pos="8838"/>
            </w:tabs>
            <w:ind w:right="57"/>
          </w:pPr>
          <w:r w:rsidRPr="00664A72">
            <w:t>08186/INFOEM/IP/RR/2025</w:t>
          </w:r>
        </w:p>
      </w:tc>
    </w:tr>
    <w:tr w:rsidR="00424519" w14:paraId="7A281F30" w14:textId="77777777" w:rsidTr="00EC7CBF">
      <w:trPr>
        <w:trHeight w:val="273"/>
      </w:trPr>
      <w:tc>
        <w:tcPr>
          <w:tcW w:w="2693" w:type="dxa"/>
        </w:tcPr>
        <w:p w14:paraId="6671A308" w14:textId="77777777" w:rsidR="00424519" w:rsidRDefault="00424519" w:rsidP="008C266D">
          <w:pPr>
            <w:tabs>
              <w:tab w:val="right" w:pos="8838"/>
            </w:tabs>
            <w:ind w:left="-108" w:right="-105"/>
            <w:rPr>
              <w:b/>
            </w:rPr>
          </w:pPr>
          <w:r>
            <w:rPr>
              <w:b/>
            </w:rPr>
            <w:t>Sujeto Obligado:</w:t>
          </w:r>
        </w:p>
      </w:tc>
      <w:tc>
        <w:tcPr>
          <w:tcW w:w="3969" w:type="dxa"/>
        </w:tcPr>
        <w:p w14:paraId="30885B6D" w14:textId="6743E0B6" w:rsidR="00424519" w:rsidRPr="00EF0C39" w:rsidRDefault="00664A72" w:rsidP="007B4717">
          <w:pPr>
            <w:tabs>
              <w:tab w:val="right" w:pos="8838"/>
            </w:tabs>
            <w:ind w:right="180"/>
          </w:pPr>
          <w:r w:rsidRPr="00664A72">
            <w:t>Ayuntamiento de Atlacomulco</w:t>
          </w:r>
        </w:p>
      </w:tc>
    </w:tr>
    <w:tr w:rsidR="00424519" w14:paraId="00C22F2F" w14:textId="77777777" w:rsidTr="00EC7CBF">
      <w:trPr>
        <w:trHeight w:val="273"/>
      </w:trPr>
      <w:tc>
        <w:tcPr>
          <w:tcW w:w="2693" w:type="dxa"/>
        </w:tcPr>
        <w:p w14:paraId="70417649" w14:textId="77777777" w:rsidR="00424519" w:rsidRDefault="00424519" w:rsidP="008C266D">
          <w:pPr>
            <w:tabs>
              <w:tab w:val="right" w:pos="8838"/>
            </w:tabs>
            <w:ind w:left="-108" w:right="-105"/>
            <w:rPr>
              <w:b/>
            </w:rPr>
          </w:pPr>
          <w:r>
            <w:rPr>
              <w:b/>
            </w:rPr>
            <w:t>Comisionado Ponente:</w:t>
          </w:r>
        </w:p>
      </w:tc>
      <w:tc>
        <w:tcPr>
          <w:tcW w:w="3969" w:type="dxa"/>
        </w:tcPr>
        <w:p w14:paraId="5E6EB38B" w14:textId="77777777" w:rsidR="00424519" w:rsidRPr="00EF0C39" w:rsidRDefault="00424519" w:rsidP="008C266D">
          <w:pPr>
            <w:tabs>
              <w:tab w:val="right" w:pos="8838"/>
            </w:tabs>
            <w:ind w:right="-170"/>
          </w:pPr>
          <w:r w:rsidRPr="00EF0C39">
            <w:t>Luis Gustavo Parra Noriega</w:t>
          </w:r>
        </w:p>
        <w:p w14:paraId="1A63C67B" w14:textId="77777777" w:rsidR="00424519" w:rsidRPr="00EF0C39" w:rsidRDefault="00424519" w:rsidP="008C266D">
          <w:pPr>
            <w:tabs>
              <w:tab w:val="right" w:pos="8838"/>
            </w:tabs>
            <w:ind w:right="-170"/>
            <w:rPr>
              <w:b/>
            </w:rPr>
          </w:pPr>
        </w:p>
      </w:tc>
    </w:tr>
  </w:tbl>
  <w:p w14:paraId="3498D107" w14:textId="7E17876C" w:rsidR="00424519" w:rsidRDefault="0042451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24519" w:rsidRDefault="00424519">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24519" w14:paraId="6B3232BD" w14:textId="77777777" w:rsidTr="00EC7CBF">
      <w:trPr>
        <w:trHeight w:val="132"/>
      </w:trPr>
      <w:tc>
        <w:tcPr>
          <w:tcW w:w="2551" w:type="dxa"/>
        </w:tcPr>
        <w:p w14:paraId="38F16E2F" w14:textId="77777777" w:rsidR="00424519" w:rsidRDefault="00424519">
          <w:pPr>
            <w:tabs>
              <w:tab w:val="right" w:pos="8838"/>
            </w:tabs>
            <w:ind w:right="-105"/>
            <w:rPr>
              <w:b/>
            </w:rPr>
          </w:pPr>
          <w:r>
            <w:rPr>
              <w:b/>
            </w:rPr>
            <w:t>Recurso de Revisión:</w:t>
          </w:r>
        </w:p>
      </w:tc>
      <w:tc>
        <w:tcPr>
          <w:tcW w:w="4253" w:type="dxa"/>
        </w:tcPr>
        <w:p w14:paraId="211CDC0A" w14:textId="32D0C76D" w:rsidR="00424519" w:rsidRPr="00026C6B" w:rsidRDefault="00664A72" w:rsidP="00026C6B">
          <w:r w:rsidRPr="00664A72">
            <w:t>08186/INFOEM/IP/RR/2025</w:t>
          </w:r>
        </w:p>
      </w:tc>
    </w:tr>
    <w:tr w:rsidR="00424519" w14:paraId="6AA3CC58" w14:textId="77777777" w:rsidTr="00EC7CBF">
      <w:trPr>
        <w:trHeight w:val="132"/>
      </w:trPr>
      <w:tc>
        <w:tcPr>
          <w:tcW w:w="2551" w:type="dxa"/>
        </w:tcPr>
        <w:p w14:paraId="7FD164F5" w14:textId="77777777" w:rsidR="00424519" w:rsidRDefault="00424519">
          <w:pPr>
            <w:tabs>
              <w:tab w:val="left" w:pos="1875"/>
            </w:tabs>
            <w:ind w:right="-105"/>
            <w:rPr>
              <w:b/>
            </w:rPr>
          </w:pPr>
          <w:r>
            <w:rPr>
              <w:b/>
            </w:rPr>
            <w:t>Recurrente:</w:t>
          </w:r>
          <w:r>
            <w:rPr>
              <w:b/>
            </w:rPr>
            <w:tab/>
          </w:r>
        </w:p>
      </w:tc>
      <w:tc>
        <w:tcPr>
          <w:tcW w:w="4253" w:type="dxa"/>
        </w:tcPr>
        <w:p w14:paraId="1F1B0537" w14:textId="690DE894" w:rsidR="00424519" w:rsidRPr="00EF0C39" w:rsidRDefault="00424519" w:rsidP="00304EA3"/>
      </w:tc>
    </w:tr>
    <w:tr w:rsidR="00424519" w14:paraId="5113CAA6" w14:textId="77777777" w:rsidTr="00EC7CBF">
      <w:trPr>
        <w:trHeight w:val="261"/>
      </w:trPr>
      <w:tc>
        <w:tcPr>
          <w:tcW w:w="2551" w:type="dxa"/>
        </w:tcPr>
        <w:p w14:paraId="28E3431B" w14:textId="30EC7C18" w:rsidR="00424519" w:rsidRDefault="00424519">
          <w:pPr>
            <w:tabs>
              <w:tab w:val="right" w:pos="8838"/>
            </w:tabs>
            <w:ind w:right="-105"/>
            <w:rPr>
              <w:b/>
            </w:rPr>
          </w:pPr>
          <w:r>
            <w:rPr>
              <w:b/>
            </w:rPr>
            <w:t>Sujeto Obligado:</w:t>
          </w:r>
        </w:p>
      </w:tc>
      <w:tc>
        <w:tcPr>
          <w:tcW w:w="4253" w:type="dxa"/>
        </w:tcPr>
        <w:p w14:paraId="3192354E" w14:textId="61C02741" w:rsidR="00424519" w:rsidRPr="00026C6B" w:rsidRDefault="00664A72" w:rsidP="00026C6B">
          <w:r w:rsidRPr="00664A72">
            <w:t>Ayuntamiento de Atlacomulco</w:t>
          </w:r>
        </w:p>
      </w:tc>
    </w:tr>
    <w:tr w:rsidR="00424519" w14:paraId="5D4C2A35" w14:textId="77777777" w:rsidTr="00EC7CBF">
      <w:trPr>
        <w:trHeight w:val="261"/>
      </w:trPr>
      <w:tc>
        <w:tcPr>
          <w:tcW w:w="2551" w:type="dxa"/>
        </w:tcPr>
        <w:p w14:paraId="7F522FEC" w14:textId="77777777" w:rsidR="00424519" w:rsidRDefault="00424519">
          <w:pPr>
            <w:tabs>
              <w:tab w:val="right" w:pos="8838"/>
            </w:tabs>
            <w:ind w:right="-105"/>
            <w:rPr>
              <w:b/>
            </w:rPr>
          </w:pPr>
          <w:r>
            <w:rPr>
              <w:b/>
            </w:rPr>
            <w:t>Comisionado Ponente:</w:t>
          </w:r>
        </w:p>
      </w:tc>
      <w:tc>
        <w:tcPr>
          <w:tcW w:w="4253" w:type="dxa"/>
        </w:tcPr>
        <w:p w14:paraId="0F0566F9" w14:textId="77777777" w:rsidR="00424519" w:rsidRPr="00EF0C39" w:rsidRDefault="00424519" w:rsidP="00C46A25">
          <w:pPr>
            <w:tabs>
              <w:tab w:val="right" w:pos="8838"/>
            </w:tabs>
            <w:ind w:right="-32"/>
            <w:rPr>
              <w:b/>
            </w:rPr>
          </w:pPr>
          <w:r w:rsidRPr="00EF0C39">
            <w:t>Luis Gustavo Parra Noriega</w:t>
          </w:r>
        </w:p>
      </w:tc>
    </w:tr>
  </w:tbl>
  <w:p w14:paraId="4DFC2598" w14:textId="77777777" w:rsidR="00424519" w:rsidRDefault="00B73D5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DD75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4522"/>
    <w:multiLevelType w:val="multilevel"/>
    <w:tmpl w:val="B5561CC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3B3AB1"/>
    <w:multiLevelType w:val="hybridMultilevel"/>
    <w:tmpl w:val="AAC85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22D4"/>
    <w:multiLevelType w:val="multilevel"/>
    <w:tmpl w:val="99D4CFE2"/>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2A07BB"/>
    <w:multiLevelType w:val="multilevel"/>
    <w:tmpl w:val="6292D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F6612E"/>
    <w:multiLevelType w:val="multilevel"/>
    <w:tmpl w:val="BCCC6BAC"/>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32EDE"/>
    <w:multiLevelType w:val="multilevel"/>
    <w:tmpl w:val="8D928DE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83F5D69"/>
    <w:multiLevelType w:val="hybridMultilevel"/>
    <w:tmpl w:val="3254258A"/>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BA5C36"/>
    <w:multiLevelType w:val="hybridMultilevel"/>
    <w:tmpl w:val="8C983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536795"/>
    <w:multiLevelType w:val="multilevel"/>
    <w:tmpl w:val="0E286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B1A20"/>
    <w:multiLevelType w:val="hybridMultilevel"/>
    <w:tmpl w:val="23D047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4436C"/>
    <w:multiLevelType w:val="hybridMultilevel"/>
    <w:tmpl w:val="983A6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3E7851"/>
    <w:multiLevelType w:val="hybridMultilevel"/>
    <w:tmpl w:val="446EA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EB7884"/>
    <w:multiLevelType w:val="multilevel"/>
    <w:tmpl w:val="74044A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997EDD"/>
    <w:multiLevelType w:val="multilevel"/>
    <w:tmpl w:val="69568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204B42"/>
    <w:multiLevelType w:val="multilevel"/>
    <w:tmpl w:val="E94CCAD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C6F4A"/>
    <w:multiLevelType w:val="multilevel"/>
    <w:tmpl w:val="6C50B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73733"/>
    <w:multiLevelType w:val="hybridMultilevel"/>
    <w:tmpl w:val="CFD23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4A3414"/>
    <w:multiLevelType w:val="hybridMultilevel"/>
    <w:tmpl w:val="9A2C2E1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8428F5"/>
    <w:multiLevelType w:val="multilevel"/>
    <w:tmpl w:val="17FC9C18"/>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6958BF"/>
    <w:multiLevelType w:val="multilevel"/>
    <w:tmpl w:val="BDC0073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69B8010A"/>
    <w:multiLevelType w:val="multilevel"/>
    <w:tmpl w:val="2AAA3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6CC2F50"/>
    <w:multiLevelType w:val="hybridMultilevel"/>
    <w:tmpl w:val="7D70B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16"/>
  </w:num>
  <w:num w:numId="8">
    <w:abstractNumId w:val="14"/>
  </w:num>
  <w:num w:numId="9">
    <w:abstractNumId w:val="19"/>
  </w:num>
  <w:num w:numId="10">
    <w:abstractNumId w:val="4"/>
  </w:num>
  <w:num w:numId="11">
    <w:abstractNumId w:val="11"/>
  </w:num>
  <w:num w:numId="12">
    <w:abstractNumId w:val="17"/>
  </w:num>
  <w:num w:numId="13">
    <w:abstractNumId w:val="1"/>
  </w:num>
  <w:num w:numId="14">
    <w:abstractNumId w:val="23"/>
  </w:num>
  <w:num w:numId="15">
    <w:abstractNumId w:val="9"/>
  </w:num>
  <w:num w:numId="16">
    <w:abstractNumId w:val="7"/>
  </w:num>
  <w:num w:numId="17">
    <w:abstractNumId w:val="18"/>
  </w:num>
  <w:num w:numId="18">
    <w:abstractNumId w:val="0"/>
  </w:num>
  <w:num w:numId="19">
    <w:abstractNumId w:val="3"/>
  </w:num>
  <w:num w:numId="20">
    <w:abstractNumId w:val="5"/>
  </w:num>
  <w:num w:numId="21">
    <w:abstractNumId w:val="13"/>
  </w:num>
  <w:num w:numId="22">
    <w:abstractNumId w:val="8"/>
  </w:num>
  <w:num w:numId="23">
    <w:abstractNumId w:val="2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3A17"/>
    <w:rsid w:val="00014169"/>
    <w:rsid w:val="00014EE2"/>
    <w:rsid w:val="00016290"/>
    <w:rsid w:val="000201B0"/>
    <w:rsid w:val="00021BE0"/>
    <w:rsid w:val="00023BBD"/>
    <w:rsid w:val="000255D3"/>
    <w:rsid w:val="0002588C"/>
    <w:rsid w:val="00026B5A"/>
    <w:rsid w:val="00026C6B"/>
    <w:rsid w:val="0003084A"/>
    <w:rsid w:val="000315C2"/>
    <w:rsid w:val="000316C2"/>
    <w:rsid w:val="00033026"/>
    <w:rsid w:val="0003318A"/>
    <w:rsid w:val="00033683"/>
    <w:rsid w:val="00033AF2"/>
    <w:rsid w:val="00033F2C"/>
    <w:rsid w:val="00034C64"/>
    <w:rsid w:val="0003740E"/>
    <w:rsid w:val="0003782D"/>
    <w:rsid w:val="000410E6"/>
    <w:rsid w:val="0004134C"/>
    <w:rsid w:val="000426D2"/>
    <w:rsid w:val="00050E2E"/>
    <w:rsid w:val="00052462"/>
    <w:rsid w:val="00055A68"/>
    <w:rsid w:val="0005769F"/>
    <w:rsid w:val="00057905"/>
    <w:rsid w:val="000602BA"/>
    <w:rsid w:val="00061123"/>
    <w:rsid w:val="00062B06"/>
    <w:rsid w:val="000709AA"/>
    <w:rsid w:val="00072D35"/>
    <w:rsid w:val="000735F0"/>
    <w:rsid w:val="00073949"/>
    <w:rsid w:val="000740DA"/>
    <w:rsid w:val="00075996"/>
    <w:rsid w:val="00075A71"/>
    <w:rsid w:val="00075CAF"/>
    <w:rsid w:val="00080524"/>
    <w:rsid w:val="00081D01"/>
    <w:rsid w:val="0008295C"/>
    <w:rsid w:val="00082B5B"/>
    <w:rsid w:val="00083169"/>
    <w:rsid w:val="00085D44"/>
    <w:rsid w:val="000866B0"/>
    <w:rsid w:val="00086951"/>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56E"/>
    <w:rsid w:val="000B49C4"/>
    <w:rsid w:val="000B5621"/>
    <w:rsid w:val="000B73E7"/>
    <w:rsid w:val="000C0C98"/>
    <w:rsid w:val="000C0CBE"/>
    <w:rsid w:val="000C10A2"/>
    <w:rsid w:val="000C4A35"/>
    <w:rsid w:val="000C567D"/>
    <w:rsid w:val="000C5E24"/>
    <w:rsid w:val="000C7D5D"/>
    <w:rsid w:val="000D04D2"/>
    <w:rsid w:val="000D0539"/>
    <w:rsid w:val="000D1C1A"/>
    <w:rsid w:val="000D1EFD"/>
    <w:rsid w:val="000D257F"/>
    <w:rsid w:val="000D392E"/>
    <w:rsid w:val="000D3AD3"/>
    <w:rsid w:val="000D46ED"/>
    <w:rsid w:val="000D6774"/>
    <w:rsid w:val="000D7457"/>
    <w:rsid w:val="000D79ED"/>
    <w:rsid w:val="000E1C4F"/>
    <w:rsid w:val="000E2759"/>
    <w:rsid w:val="000E2EA0"/>
    <w:rsid w:val="000E3169"/>
    <w:rsid w:val="000E45E6"/>
    <w:rsid w:val="000F13F1"/>
    <w:rsid w:val="000F3B49"/>
    <w:rsid w:val="000F4583"/>
    <w:rsid w:val="000F4AC1"/>
    <w:rsid w:val="000F562C"/>
    <w:rsid w:val="000F6219"/>
    <w:rsid w:val="000F6E36"/>
    <w:rsid w:val="001055EA"/>
    <w:rsid w:val="001061B1"/>
    <w:rsid w:val="00106235"/>
    <w:rsid w:val="001065C6"/>
    <w:rsid w:val="0011010D"/>
    <w:rsid w:val="001135C1"/>
    <w:rsid w:val="00115019"/>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6274"/>
    <w:rsid w:val="001479C0"/>
    <w:rsid w:val="00147F25"/>
    <w:rsid w:val="001502AB"/>
    <w:rsid w:val="001507E8"/>
    <w:rsid w:val="00153139"/>
    <w:rsid w:val="001548D6"/>
    <w:rsid w:val="001558BD"/>
    <w:rsid w:val="00155BD1"/>
    <w:rsid w:val="001566D4"/>
    <w:rsid w:val="001578F5"/>
    <w:rsid w:val="001613F0"/>
    <w:rsid w:val="0016373E"/>
    <w:rsid w:val="00163D9F"/>
    <w:rsid w:val="00164F64"/>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556"/>
    <w:rsid w:val="00185925"/>
    <w:rsid w:val="00192C48"/>
    <w:rsid w:val="00193177"/>
    <w:rsid w:val="00193CE3"/>
    <w:rsid w:val="00195EC3"/>
    <w:rsid w:val="00197472"/>
    <w:rsid w:val="0019787E"/>
    <w:rsid w:val="001A0321"/>
    <w:rsid w:val="001A2062"/>
    <w:rsid w:val="001A3C87"/>
    <w:rsid w:val="001A4408"/>
    <w:rsid w:val="001A44D1"/>
    <w:rsid w:val="001A5A72"/>
    <w:rsid w:val="001A5B6F"/>
    <w:rsid w:val="001A6C0E"/>
    <w:rsid w:val="001A7F04"/>
    <w:rsid w:val="001B2090"/>
    <w:rsid w:val="001B34AA"/>
    <w:rsid w:val="001B4144"/>
    <w:rsid w:val="001B7EFB"/>
    <w:rsid w:val="001C46E6"/>
    <w:rsid w:val="001C50E8"/>
    <w:rsid w:val="001C638A"/>
    <w:rsid w:val="001C6B7A"/>
    <w:rsid w:val="001D1635"/>
    <w:rsid w:val="001D24CD"/>
    <w:rsid w:val="001D3FB9"/>
    <w:rsid w:val="001D4F21"/>
    <w:rsid w:val="001D5DBE"/>
    <w:rsid w:val="001D7D0E"/>
    <w:rsid w:val="001D7D5C"/>
    <w:rsid w:val="001D7F0C"/>
    <w:rsid w:val="001E4284"/>
    <w:rsid w:val="001E4ECA"/>
    <w:rsid w:val="001E6077"/>
    <w:rsid w:val="001F285F"/>
    <w:rsid w:val="001F5043"/>
    <w:rsid w:val="001F6FD5"/>
    <w:rsid w:val="00200E63"/>
    <w:rsid w:val="00201132"/>
    <w:rsid w:val="002019AA"/>
    <w:rsid w:val="002025F4"/>
    <w:rsid w:val="00203520"/>
    <w:rsid w:val="00203F8C"/>
    <w:rsid w:val="00204DE3"/>
    <w:rsid w:val="0020727C"/>
    <w:rsid w:val="002075C1"/>
    <w:rsid w:val="00211CD8"/>
    <w:rsid w:val="002155E0"/>
    <w:rsid w:val="002207FA"/>
    <w:rsid w:val="002212EA"/>
    <w:rsid w:val="002217AE"/>
    <w:rsid w:val="00223487"/>
    <w:rsid w:val="002238B8"/>
    <w:rsid w:val="00227456"/>
    <w:rsid w:val="00230985"/>
    <w:rsid w:val="00230B8F"/>
    <w:rsid w:val="00237F2C"/>
    <w:rsid w:val="00243764"/>
    <w:rsid w:val="002475DE"/>
    <w:rsid w:val="00251665"/>
    <w:rsid w:val="00252910"/>
    <w:rsid w:val="002529AD"/>
    <w:rsid w:val="00252A2A"/>
    <w:rsid w:val="00253448"/>
    <w:rsid w:val="00253A9C"/>
    <w:rsid w:val="0025520C"/>
    <w:rsid w:val="00257C2B"/>
    <w:rsid w:val="00257FE7"/>
    <w:rsid w:val="0026163E"/>
    <w:rsid w:val="00261B92"/>
    <w:rsid w:val="00261CB4"/>
    <w:rsid w:val="00261DF6"/>
    <w:rsid w:val="0026345D"/>
    <w:rsid w:val="00266E26"/>
    <w:rsid w:val="00267457"/>
    <w:rsid w:val="00271E85"/>
    <w:rsid w:val="00272B77"/>
    <w:rsid w:val="00273A4E"/>
    <w:rsid w:val="00274745"/>
    <w:rsid w:val="00274EC1"/>
    <w:rsid w:val="002779C0"/>
    <w:rsid w:val="00280625"/>
    <w:rsid w:val="00280CF8"/>
    <w:rsid w:val="00282176"/>
    <w:rsid w:val="002822A3"/>
    <w:rsid w:val="0028277C"/>
    <w:rsid w:val="00287374"/>
    <w:rsid w:val="0029130B"/>
    <w:rsid w:val="00291318"/>
    <w:rsid w:val="0029236B"/>
    <w:rsid w:val="002926CE"/>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516D"/>
    <w:rsid w:val="002C7C43"/>
    <w:rsid w:val="002D2107"/>
    <w:rsid w:val="002D2619"/>
    <w:rsid w:val="002D2A77"/>
    <w:rsid w:val="002D500E"/>
    <w:rsid w:val="002D6CA6"/>
    <w:rsid w:val="002E2627"/>
    <w:rsid w:val="002E2D9D"/>
    <w:rsid w:val="002E34B7"/>
    <w:rsid w:val="002E5C60"/>
    <w:rsid w:val="002E6125"/>
    <w:rsid w:val="002E75B4"/>
    <w:rsid w:val="002F0510"/>
    <w:rsid w:val="002F0526"/>
    <w:rsid w:val="002F08A1"/>
    <w:rsid w:val="002F12B4"/>
    <w:rsid w:val="002F389A"/>
    <w:rsid w:val="002F44A5"/>
    <w:rsid w:val="002F5845"/>
    <w:rsid w:val="002F5AA8"/>
    <w:rsid w:val="002F5CFB"/>
    <w:rsid w:val="002F72B7"/>
    <w:rsid w:val="0030116A"/>
    <w:rsid w:val="0030116D"/>
    <w:rsid w:val="00302BCB"/>
    <w:rsid w:val="003037BC"/>
    <w:rsid w:val="00303A1B"/>
    <w:rsid w:val="00303BA0"/>
    <w:rsid w:val="00304DE6"/>
    <w:rsid w:val="00304EA3"/>
    <w:rsid w:val="00310366"/>
    <w:rsid w:val="00310A3F"/>
    <w:rsid w:val="00311CAF"/>
    <w:rsid w:val="0031200F"/>
    <w:rsid w:val="00312093"/>
    <w:rsid w:val="00312E3C"/>
    <w:rsid w:val="00312EFE"/>
    <w:rsid w:val="003131F2"/>
    <w:rsid w:val="00313684"/>
    <w:rsid w:val="00313C61"/>
    <w:rsid w:val="00314919"/>
    <w:rsid w:val="003155C2"/>
    <w:rsid w:val="00316458"/>
    <w:rsid w:val="00316990"/>
    <w:rsid w:val="00320D4E"/>
    <w:rsid w:val="0032276A"/>
    <w:rsid w:val="0032438A"/>
    <w:rsid w:val="00325B13"/>
    <w:rsid w:val="00325D1E"/>
    <w:rsid w:val="0032674C"/>
    <w:rsid w:val="00330566"/>
    <w:rsid w:val="00330942"/>
    <w:rsid w:val="00331187"/>
    <w:rsid w:val="00333468"/>
    <w:rsid w:val="00333808"/>
    <w:rsid w:val="0033681E"/>
    <w:rsid w:val="00336E20"/>
    <w:rsid w:val="00341669"/>
    <w:rsid w:val="00342069"/>
    <w:rsid w:val="00342465"/>
    <w:rsid w:val="00345E3B"/>
    <w:rsid w:val="00353296"/>
    <w:rsid w:val="0035368D"/>
    <w:rsid w:val="00354255"/>
    <w:rsid w:val="00354FD0"/>
    <w:rsid w:val="00355D05"/>
    <w:rsid w:val="00356E1B"/>
    <w:rsid w:val="003602C9"/>
    <w:rsid w:val="0036042F"/>
    <w:rsid w:val="003657F4"/>
    <w:rsid w:val="003663BF"/>
    <w:rsid w:val="00366BB8"/>
    <w:rsid w:val="003716BD"/>
    <w:rsid w:val="00373AA8"/>
    <w:rsid w:val="0037484A"/>
    <w:rsid w:val="0037614C"/>
    <w:rsid w:val="00376AEF"/>
    <w:rsid w:val="00381132"/>
    <w:rsid w:val="003814AE"/>
    <w:rsid w:val="0038398F"/>
    <w:rsid w:val="00384E34"/>
    <w:rsid w:val="00384E94"/>
    <w:rsid w:val="00385DD2"/>
    <w:rsid w:val="003860AA"/>
    <w:rsid w:val="003876F1"/>
    <w:rsid w:val="00390A24"/>
    <w:rsid w:val="00391317"/>
    <w:rsid w:val="00392678"/>
    <w:rsid w:val="003949BA"/>
    <w:rsid w:val="0039615C"/>
    <w:rsid w:val="00396FA8"/>
    <w:rsid w:val="00397991"/>
    <w:rsid w:val="003A103F"/>
    <w:rsid w:val="003A2B31"/>
    <w:rsid w:val="003A47C4"/>
    <w:rsid w:val="003A4BB8"/>
    <w:rsid w:val="003A4CF8"/>
    <w:rsid w:val="003A4EEC"/>
    <w:rsid w:val="003B3C6F"/>
    <w:rsid w:val="003B5A66"/>
    <w:rsid w:val="003B6E04"/>
    <w:rsid w:val="003B6F0C"/>
    <w:rsid w:val="003B7434"/>
    <w:rsid w:val="003C13CD"/>
    <w:rsid w:val="003C28F2"/>
    <w:rsid w:val="003C328B"/>
    <w:rsid w:val="003C331A"/>
    <w:rsid w:val="003C5F59"/>
    <w:rsid w:val="003C5FE0"/>
    <w:rsid w:val="003C7338"/>
    <w:rsid w:val="003D0D51"/>
    <w:rsid w:val="003D1DC8"/>
    <w:rsid w:val="003D25DC"/>
    <w:rsid w:val="003D35DB"/>
    <w:rsid w:val="003D5A31"/>
    <w:rsid w:val="003D5D06"/>
    <w:rsid w:val="003D6C3F"/>
    <w:rsid w:val="003E00B8"/>
    <w:rsid w:val="003E1523"/>
    <w:rsid w:val="003E1C9F"/>
    <w:rsid w:val="003E20C8"/>
    <w:rsid w:val="003E33FE"/>
    <w:rsid w:val="003E4B9F"/>
    <w:rsid w:val="003E4CFD"/>
    <w:rsid w:val="003E540A"/>
    <w:rsid w:val="003E6941"/>
    <w:rsid w:val="003E70B1"/>
    <w:rsid w:val="003F0A87"/>
    <w:rsid w:val="003F1D74"/>
    <w:rsid w:val="003F2BF4"/>
    <w:rsid w:val="003F2C8E"/>
    <w:rsid w:val="003F4C6D"/>
    <w:rsid w:val="003F5F91"/>
    <w:rsid w:val="003F6C55"/>
    <w:rsid w:val="0040398B"/>
    <w:rsid w:val="0040440B"/>
    <w:rsid w:val="004068E7"/>
    <w:rsid w:val="004076BD"/>
    <w:rsid w:val="0041096D"/>
    <w:rsid w:val="00413093"/>
    <w:rsid w:val="00416B2F"/>
    <w:rsid w:val="00417AAE"/>
    <w:rsid w:val="00417C0D"/>
    <w:rsid w:val="00417F3A"/>
    <w:rsid w:val="00420209"/>
    <w:rsid w:val="00421292"/>
    <w:rsid w:val="004214D5"/>
    <w:rsid w:val="00422311"/>
    <w:rsid w:val="00424519"/>
    <w:rsid w:val="00427764"/>
    <w:rsid w:val="0043065C"/>
    <w:rsid w:val="004306AC"/>
    <w:rsid w:val="00430DD8"/>
    <w:rsid w:val="004326F9"/>
    <w:rsid w:val="00433B2E"/>
    <w:rsid w:val="00434B43"/>
    <w:rsid w:val="004352C6"/>
    <w:rsid w:val="00436F80"/>
    <w:rsid w:val="0044017B"/>
    <w:rsid w:val="004415DA"/>
    <w:rsid w:val="00442432"/>
    <w:rsid w:val="0044320C"/>
    <w:rsid w:val="0044451C"/>
    <w:rsid w:val="00445A40"/>
    <w:rsid w:val="00446CA3"/>
    <w:rsid w:val="004475C6"/>
    <w:rsid w:val="004479B9"/>
    <w:rsid w:val="00447E54"/>
    <w:rsid w:val="0045046D"/>
    <w:rsid w:val="00455EA5"/>
    <w:rsid w:val="00456B23"/>
    <w:rsid w:val="00461DF2"/>
    <w:rsid w:val="00462ED0"/>
    <w:rsid w:val="00463218"/>
    <w:rsid w:val="004649E0"/>
    <w:rsid w:val="0046597D"/>
    <w:rsid w:val="00467659"/>
    <w:rsid w:val="00471E99"/>
    <w:rsid w:val="004721AA"/>
    <w:rsid w:val="0047240A"/>
    <w:rsid w:val="0047290D"/>
    <w:rsid w:val="00473151"/>
    <w:rsid w:val="00473542"/>
    <w:rsid w:val="00474793"/>
    <w:rsid w:val="00475E62"/>
    <w:rsid w:val="004778EF"/>
    <w:rsid w:val="00481F23"/>
    <w:rsid w:val="00483320"/>
    <w:rsid w:val="00484E27"/>
    <w:rsid w:val="00487556"/>
    <w:rsid w:val="00492333"/>
    <w:rsid w:val="004955CE"/>
    <w:rsid w:val="0049696B"/>
    <w:rsid w:val="0049788F"/>
    <w:rsid w:val="004A10B0"/>
    <w:rsid w:val="004A10E6"/>
    <w:rsid w:val="004A33BC"/>
    <w:rsid w:val="004B0C65"/>
    <w:rsid w:val="004B27E7"/>
    <w:rsid w:val="004B33EF"/>
    <w:rsid w:val="004B58D3"/>
    <w:rsid w:val="004B7343"/>
    <w:rsid w:val="004B73FB"/>
    <w:rsid w:val="004C01F5"/>
    <w:rsid w:val="004C21E6"/>
    <w:rsid w:val="004C465F"/>
    <w:rsid w:val="004C56AA"/>
    <w:rsid w:val="004C6321"/>
    <w:rsid w:val="004D1132"/>
    <w:rsid w:val="004D1D8F"/>
    <w:rsid w:val="004D243B"/>
    <w:rsid w:val="004D2918"/>
    <w:rsid w:val="004D3C26"/>
    <w:rsid w:val="004D3CB3"/>
    <w:rsid w:val="004D63D9"/>
    <w:rsid w:val="004E0AD6"/>
    <w:rsid w:val="004E14DD"/>
    <w:rsid w:val="004E22FF"/>
    <w:rsid w:val="004E3063"/>
    <w:rsid w:val="004E47CC"/>
    <w:rsid w:val="004E6E1A"/>
    <w:rsid w:val="004F0490"/>
    <w:rsid w:val="004F2DE2"/>
    <w:rsid w:val="004F56D3"/>
    <w:rsid w:val="004F59FB"/>
    <w:rsid w:val="004F6C17"/>
    <w:rsid w:val="004F76F4"/>
    <w:rsid w:val="004F7F19"/>
    <w:rsid w:val="00500B4F"/>
    <w:rsid w:val="00501817"/>
    <w:rsid w:val="005018D0"/>
    <w:rsid w:val="00501B98"/>
    <w:rsid w:val="005050BD"/>
    <w:rsid w:val="00506126"/>
    <w:rsid w:val="005072F4"/>
    <w:rsid w:val="0051107B"/>
    <w:rsid w:val="00511E76"/>
    <w:rsid w:val="00512046"/>
    <w:rsid w:val="00512879"/>
    <w:rsid w:val="0051325C"/>
    <w:rsid w:val="0051497B"/>
    <w:rsid w:val="00515399"/>
    <w:rsid w:val="00521F1D"/>
    <w:rsid w:val="00521F47"/>
    <w:rsid w:val="0052275E"/>
    <w:rsid w:val="00522A47"/>
    <w:rsid w:val="00523008"/>
    <w:rsid w:val="00524283"/>
    <w:rsid w:val="0052480D"/>
    <w:rsid w:val="00525A14"/>
    <w:rsid w:val="00526EC4"/>
    <w:rsid w:val="0052714E"/>
    <w:rsid w:val="00527563"/>
    <w:rsid w:val="005302BB"/>
    <w:rsid w:val="00530B10"/>
    <w:rsid w:val="00531758"/>
    <w:rsid w:val="0053198B"/>
    <w:rsid w:val="00531A8A"/>
    <w:rsid w:val="00532FFA"/>
    <w:rsid w:val="00535A8D"/>
    <w:rsid w:val="00536382"/>
    <w:rsid w:val="00536941"/>
    <w:rsid w:val="00537C32"/>
    <w:rsid w:val="00545D04"/>
    <w:rsid w:val="005501BA"/>
    <w:rsid w:val="00550C0B"/>
    <w:rsid w:val="005520E3"/>
    <w:rsid w:val="00552C67"/>
    <w:rsid w:val="005569DD"/>
    <w:rsid w:val="00556A90"/>
    <w:rsid w:val="00557949"/>
    <w:rsid w:val="00562D89"/>
    <w:rsid w:val="0056443F"/>
    <w:rsid w:val="00565861"/>
    <w:rsid w:val="00565AB2"/>
    <w:rsid w:val="005673D1"/>
    <w:rsid w:val="00572946"/>
    <w:rsid w:val="005732F8"/>
    <w:rsid w:val="00580345"/>
    <w:rsid w:val="005816DE"/>
    <w:rsid w:val="00582FC0"/>
    <w:rsid w:val="00584920"/>
    <w:rsid w:val="00585C29"/>
    <w:rsid w:val="005867A9"/>
    <w:rsid w:val="0058767A"/>
    <w:rsid w:val="00590FB7"/>
    <w:rsid w:val="005914EE"/>
    <w:rsid w:val="00595FCC"/>
    <w:rsid w:val="005A0A77"/>
    <w:rsid w:val="005A39F4"/>
    <w:rsid w:val="005A79D9"/>
    <w:rsid w:val="005A7C36"/>
    <w:rsid w:val="005B0203"/>
    <w:rsid w:val="005B21C9"/>
    <w:rsid w:val="005B6BFA"/>
    <w:rsid w:val="005C03D2"/>
    <w:rsid w:val="005C20B7"/>
    <w:rsid w:val="005C2324"/>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5CE3"/>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1303E"/>
    <w:rsid w:val="006206A1"/>
    <w:rsid w:val="006207EF"/>
    <w:rsid w:val="00621F2D"/>
    <w:rsid w:val="00622401"/>
    <w:rsid w:val="00622CFB"/>
    <w:rsid w:val="006241B8"/>
    <w:rsid w:val="006242F2"/>
    <w:rsid w:val="00624436"/>
    <w:rsid w:val="00624488"/>
    <w:rsid w:val="006245B4"/>
    <w:rsid w:val="00624F33"/>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18FB"/>
    <w:rsid w:val="00654DE3"/>
    <w:rsid w:val="00655068"/>
    <w:rsid w:val="00655B7F"/>
    <w:rsid w:val="006573B9"/>
    <w:rsid w:val="00660AAD"/>
    <w:rsid w:val="00661603"/>
    <w:rsid w:val="0066178F"/>
    <w:rsid w:val="00661B94"/>
    <w:rsid w:val="00662C70"/>
    <w:rsid w:val="00662D89"/>
    <w:rsid w:val="00664A72"/>
    <w:rsid w:val="0066640F"/>
    <w:rsid w:val="006664D4"/>
    <w:rsid w:val="00667F81"/>
    <w:rsid w:val="00670EAA"/>
    <w:rsid w:val="006715A0"/>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14B4"/>
    <w:rsid w:val="00692763"/>
    <w:rsid w:val="00692CEE"/>
    <w:rsid w:val="00694971"/>
    <w:rsid w:val="0069657C"/>
    <w:rsid w:val="006A0CDD"/>
    <w:rsid w:val="006A0CDF"/>
    <w:rsid w:val="006A2E7B"/>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2A1"/>
    <w:rsid w:val="006D16BD"/>
    <w:rsid w:val="006D1CE7"/>
    <w:rsid w:val="006D2366"/>
    <w:rsid w:val="006D2960"/>
    <w:rsid w:val="006D2DF0"/>
    <w:rsid w:val="006D49E4"/>
    <w:rsid w:val="006D65A5"/>
    <w:rsid w:val="006D6790"/>
    <w:rsid w:val="006D7FDA"/>
    <w:rsid w:val="006E04E3"/>
    <w:rsid w:val="006E33C5"/>
    <w:rsid w:val="006E669C"/>
    <w:rsid w:val="006E6D77"/>
    <w:rsid w:val="006E722A"/>
    <w:rsid w:val="006E72D4"/>
    <w:rsid w:val="006E7B27"/>
    <w:rsid w:val="006E7C4E"/>
    <w:rsid w:val="006E7CFC"/>
    <w:rsid w:val="006F008A"/>
    <w:rsid w:val="006F134A"/>
    <w:rsid w:val="006F1838"/>
    <w:rsid w:val="006F272D"/>
    <w:rsid w:val="006F4CC9"/>
    <w:rsid w:val="006F60D5"/>
    <w:rsid w:val="006F79F1"/>
    <w:rsid w:val="006F7CBF"/>
    <w:rsid w:val="007001B2"/>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B03"/>
    <w:rsid w:val="00741DC7"/>
    <w:rsid w:val="007428C7"/>
    <w:rsid w:val="00743915"/>
    <w:rsid w:val="00743B45"/>
    <w:rsid w:val="0074523A"/>
    <w:rsid w:val="00747CDF"/>
    <w:rsid w:val="00751A94"/>
    <w:rsid w:val="0075222F"/>
    <w:rsid w:val="00754B31"/>
    <w:rsid w:val="0076190F"/>
    <w:rsid w:val="00762A7C"/>
    <w:rsid w:val="00763A64"/>
    <w:rsid w:val="00764BBE"/>
    <w:rsid w:val="0076657F"/>
    <w:rsid w:val="007709FF"/>
    <w:rsid w:val="00770BF5"/>
    <w:rsid w:val="00770DC0"/>
    <w:rsid w:val="00770E69"/>
    <w:rsid w:val="00771614"/>
    <w:rsid w:val="007723F6"/>
    <w:rsid w:val="00774229"/>
    <w:rsid w:val="00775391"/>
    <w:rsid w:val="00776E49"/>
    <w:rsid w:val="0077760E"/>
    <w:rsid w:val="007808E0"/>
    <w:rsid w:val="00781F61"/>
    <w:rsid w:val="007823A6"/>
    <w:rsid w:val="00782D16"/>
    <w:rsid w:val="00783335"/>
    <w:rsid w:val="00784CEA"/>
    <w:rsid w:val="00786AE6"/>
    <w:rsid w:val="00791BB4"/>
    <w:rsid w:val="00792220"/>
    <w:rsid w:val="00792309"/>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2E74"/>
    <w:rsid w:val="007C636E"/>
    <w:rsid w:val="007C76F2"/>
    <w:rsid w:val="007C7BAF"/>
    <w:rsid w:val="007C7F8F"/>
    <w:rsid w:val="007D04B8"/>
    <w:rsid w:val="007D086D"/>
    <w:rsid w:val="007D354B"/>
    <w:rsid w:val="007D6307"/>
    <w:rsid w:val="007E0603"/>
    <w:rsid w:val="007E172B"/>
    <w:rsid w:val="007E1EF5"/>
    <w:rsid w:val="007E25E4"/>
    <w:rsid w:val="007E2B2B"/>
    <w:rsid w:val="007E2F77"/>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0F9F"/>
    <w:rsid w:val="008234EA"/>
    <w:rsid w:val="008246F7"/>
    <w:rsid w:val="0082579F"/>
    <w:rsid w:val="00826071"/>
    <w:rsid w:val="00826E84"/>
    <w:rsid w:val="00830986"/>
    <w:rsid w:val="00832312"/>
    <w:rsid w:val="00836749"/>
    <w:rsid w:val="0084143D"/>
    <w:rsid w:val="008415EA"/>
    <w:rsid w:val="008416D9"/>
    <w:rsid w:val="008441D0"/>
    <w:rsid w:val="008473B9"/>
    <w:rsid w:val="008506E0"/>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1490"/>
    <w:rsid w:val="0087213E"/>
    <w:rsid w:val="00874D8A"/>
    <w:rsid w:val="008758D4"/>
    <w:rsid w:val="00877B34"/>
    <w:rsid w:val="00877B42"/>
    <w:rsid w:val="00877D7C"/>
    <w:rsid w:val="00881288"/>
    <w:rsid w:val="0088400C"/>
    <w:rsid w:val="00884148"/>
    <w:rsid w:val="00884812"/>
    <w:rsid w:val="00884B61"/>
    <w:rsid w:val="008870EB"/>
    <w:rsid w:val="00887B25"/>
    <w:rsid w:val="008932E1"/>
    <w:rsid w:val="00894181"/>
    <w:rsid w:val="00894FC3"/>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37E8"/>
    <w:rsid w:val="008C3E6D"/>
    <w:rsid w:val="008C40B1"/>
    <w:rsid w:val="008C7DF5"/>
    <w:rsid w:val="008D28E1"/>
    <w:rsid w:val="008D37E8"/>
    <w:rsid w:val="008D3B3F"/>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8A7"/>
    <w:rsid w:val="00905638"/>
    <w:rsid w:val="00910872"/>
    <w:rsid w:val="00913279"/>
    <w:rsid w:val="00913AC7"/>
    <w:rsid w:val="00914EE3"/>
    <w:rsid w:val="00915E1E"/>
    <w:rsid w:val="00916347"/>
    <w:rsid w:val="00916C99"/>
    <w:rsid w:val="009215C2"/>
    <w:rsid w:val="009222D3"/>
    <w:rsid w:val="00922F61"/>
    <w:rsid w:val="00922F8C"/>
    <w:rsid w:val="00926758"/>
    <w:rsid w:val="00927131"/>
    <w:rsid w:val="009319F4"/>
    <w:rsid w:val="00933E27"/>
    <w:rsid w:val="00934D26"/>
    <w:rsid w:val="00937325"/>
    <w:rsid w:val="00937C87"/>
    <w:rsid w:val="00940831"/>
    <w:rsid w:val="00940E97"/>
    <w:rsid w:val="00943435"/>
    <w:rsid w:val="009451B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BF0"/>
    <w:rsid w:val="009707FD"/>
    <w:rsid w:val="00972243"/>
    <w:rsid w:val="009739BA"/>
    <w:rsid w:val="00975175"/>
    <w:rsid w:val="0097583D"/>
    <w:rsid w:val="00977989"/>
    <w:rsid w:val="00983208"/>
    <w:rsid w:val="00983A37"/>
    <w:rsid w:val="00983F77"/>
    <w:rsid w:val="00986D91"/>
    <w:rsid w:val="00991A05"/>
    <w:rsid w:val="00992901"/>
    <w:rsid w:val="009948FA"/>
    <w:rsid w:val="00996BDA"/>
    <w:rsid w:val="0099716B"/>
    <w:rsid w:val="009973CB"/>
    <w:rsid w:val="009A08E5"/>
    <w:rsid w:val="009A3E08"/>
    <w:rsid w:val="009A481F"/>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F10E5"/>
    <w:rsid w:val="009F2202"/>
    <w:rsid w:val="009F3790"/>
    <w:rsid w:val="009F39DF"/>
    <w:rsid w:val="009F41CC"/>
    <w:rsid w:val="009F6813"/>
    <w:rsid w:val="00A03F8F"/>
    <w:rsid w:val="00A042BC"/>
    <w:rsid w:val="00A045F2"/>
    <w:rsid w:val="00A071E9"/>
    <w:rsid w:val="00A1369B"/>
    <w:rsid w:val="00A15402"/>
    <w:rsid w:val="00A16D8E"/>
    <w:rsid w:val="00A171B9"/>
    <w:rsid w:val="00A20875"/>
    <w:rsid w:val="00A244C7"/>
    <w:rsid w:val="00A26E75"/>
    <w:rsid w:val="00A27828"/>
    <w:rsid w:val="00A33F9B"/>
    <w:rsid w:val="00A3414C"/>
    <w:rsid w:val="00A34702"/>
    <w:rsid w:val="00A34B6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7749F"/>
    <w:rsid w:val="00A805B7"/>
    <w:rsid w:val="00A8342D"/>
    <w:rsid w:val="00A84E9B"/>
    <w:rsid w:val="00A8501D"/>
    <w:rsid w:val="00A85D07"/>
    <w:rsid w:val="00A915DD"/>
    <w:rsid w:val="00A9286C"/>
    <w:rsid w:val="00A94490"/>
    <w:rsid w:val="00A95E07"/>
    <w:rsid w:val="00A96A4E"/>
    <w:rsid w:val="00AA21E0"/>
    <w:rsid w:val="00AA345B"/>
    <w:rsid w:val="00AA3CD8"/>
    <w:rsid w:val="00AA473B"/>
    <w:rsid w:val="00AA556D"/>
    <w:rsid w:val="00AA6ACB"/>
    <w:rsid w:val="00AA6BA1"/>
    <w:rsid w:val="00AB0BA1"/>
    <w:rsid w:val="00AB1C9F"/>
    <w:rsid w:val="00AB328F"/>
    <w:rsid w:val="00AB4AC2"/>
    <w:rsid w:val="00AB4F34"/>
    <w:rsid w:val="00AB51A8"/>
    <w:rsid w:val="00AC0AD2"/>
    <w:rsid w:val="00AC0AE0"/>
    <w:rsid w:val="00AC2FBA"/>
    <w:rsid w:val="00AC45E1"/>
    <w:rsid w:val="00AC4EC9"/>
    <w:rsid w:val="00AC5582"/>
    <w:rsid w:val="00AC5D01"/>
    <w:rsid w:val="00AC6CE3"/>
    <w:rsid w:val="00AC70CA"/>
    <w:rsid w:val="00AC7111"/>
    <w:rsid w:val="00AD3E0D"/>
    <w:rsid w:val="00AD468B"/>
    <w:rsid w:val="00AD4F7B"/>
    <w:rsid w:val="00AD7046"/>
    <w:rsid w:val="00AD7954"/>
    <w:rsid w:val="00AE0BFF"/>
    <w:rsid w:val="00AE23FB"/>
    <w:rsid w:val="00AE256C"/>
    <w:rsid w:val="00AE2827"/>
    <w:rsid w:val="00AE3658"/>
    <w:rsid w:val="00AE48F5"/>
    <w:rsid w:val="00AE5058"/>
    <w:rsid w:val="00AE6691"/>
    <w:rsid w:val="00AF0243"/>
    <w:rsid w:val="00AF276F"/>
    <w:rsid w:val="00AF4BF2"/>
    <w:rsid w:val="00AF4DA4"/>
    <w:rsid w:val="00AF592A"/>
    <w:rsid w:val="00AF7546"/>
    <w:rsid w:val="00B00C4E"/>
    <w:rsid w:val="00B020A8"/>
    <w:rsid w:val="00B02499"/>
    <w:rsid w:val="00B02796"/>
    <w:rsid w:val="00B02A3F"/>
    <w:rsid w:val="00B02FD2"/>
    <w:rsid w:val="00B03235"/>
    <w:rsid w:val="00B03A57"/>
    <w:rsid w:val="00B04A35"/>
    <w:rsid w:val="00B04BE1"/>
    <w:rsid w:val="00B050D9"/>
    <w:rsid w:val="00B123FB"/>
    <w:rsid w:val="00B1247F"/>
    <w:rsid w:val="00B153FA"/>
    <w:rsid w:val="00B179C3"/>
    <w:rsid w:val="00B17B55"/>
    <w:rsid w:val="00B22A17"/>
    <w:rsid w:val="00B22B9F"/>
    <w:rsid w:val="00B22F78"/>
    <w:rsid w:val="00B26DFF"/>
    <w:rsid w:val="00B27131"/>
    <w:rsid w:val="00B27951"/>
    <w:rsid w:val="00B31892"/>
    <w:rsid w:val="00B32689"/>
    <w:rsid w:val="00B331EC"/>
    <w:rsid w:val="00B33C68"/>
    <w:rsid w:val="00B34B05"/>
    <w:rsid w:val="00B35F83"/>
    <w:rsid w:val="00B36A30"/>
    <w:rsid w:val="00B37A6D"/>
    <w:rsid w:val="00B42F31"/>
    <w:rsid w:val="00B43C12"/>
    <w:rsid w:val="00B43D92"/>
    <w:rsid w:val="00B504E3"/>
    <w:rsid w:val="00B51050"/>
    <w:rsid w:val="00B52CAD"/>
    <w:rsid w:val="00B53D99"/>
    <w:rsid w:val="00B53EAF"/>
    <w:rsid w:val="00B554D6"/>
    <w:rsid w:val="00B55CD3"/>
    <w:rsid w:val="00B6454E"/>
    <w:rsid w:val="00B648B0"/>
    <w:rsid w:val="00B65BCA"/>
    <w:rsid w:val="00B6639B"/>
    <w:rsid w:val="00B66F84"/>
    <w:rsid w:val="00B675A3"/>
    <w:rsid w:val="00B67947"/>
    <w:rsid w:val="00B73D51"/>
    <w:rsid w:val="00B74F6C"/>
    <w:rsid w:val="00B7570D"/>
    <w:rsid w:val="00B75C77"/>
    <w:rsid w:val="00B80E36"/>
    <w:rsid w:val="00B845EC"/>
    <w:rsid w:val="00B84F6E"/>
    <w:rsid w:val="00B85F60"/>
    <w:rsid w:val="00B901B7"/>
    <w:rsid w:val="00B90713"/>
    <w:rsid w:val="00B92069"/>
    <w:rsid w:val="00B9500B"/>
    <w:rsid w:val="00B95E93"/>
    <w:rsid w:val="00B970C0"/>
    <w:rsid w:val="00BA15A8"/>
    <w:rsid w:val="00BA1D80"/>
    <w:rsid w:val="00BA4E6F"/>
    <w:rsid w:val="00BA56A8"/>
    <w:rsid w:val="00BA6C50"/>
    <w:rsid w:val="00BA784F"/>
    <w:rsid w:val="00BA7A1E"/>
    <w:rsid w:val="00BB05C0"/>
    <w:rsid w:val="00BB0C45"/>
    <w:rsid w:val="00BB3BD9"/>
    <w:rsid w:val="00BB3F28"/>
    <w:rsid w:val="00BB4FD9"/>
    <w:rsid w:val="00BB5711"/>
    <w:rsid w:val="00BB5722"/>
    <w:rsid w:val="00BB6693"/>
    <w:rsid w:val="00BB6BB6"/>
    <w:rsid w:val="00BB6CD0"/>
    <w:rsid w:val="00BC02E9"/>
    <w:rsid w:val="00BC038B"/>
    <w:rsid w:val="00BC0864"/>
    <w:rsid w:val="00BC0E7B"/>
    <w:rsid w:val="00BC17E4"/>
    <w:rsid w:val="00BC3EC5"/>
    <w:rsid w:val="00BC43BF"/>
    <w:rsid w:val="00BC46B6"/>
    <w:rsid w:val="00BC4A68"/>
    <w:rsid w:val="00BC5511"/>
    <w:rsid w:val="00BC5546"/>
    <w:rsid w:val="00BC75AB"/>
    <w:rsid w:val="00BC7F67"/>
    <w:rsid w:val="00BD2771"/>
    <w:rsid w:val="00BD35AA"/>
    <w:rsid w:val="00BD3C78"/>
    <w:rsid w:val="00BD6505"/>
    <w:rsid w:val="00BE288A"/>
    <w:rsid w:val="00BE5634"/>
    <w:rsid w:val="00BE57BB"/>
    <w:rsid w:val="00BE7092"/>
    <w:rsid w:val="00BE7118"/>
    <w:rsid w:val="00BF0C25"/>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A8C"/>
    <w:rsid w:val="00C47E88"/>
    <w:rsid w:val="00C500A8"/>
    <w:rsid w:val="00C50E76"/>
    <w:rsid w:val="00C51B7F"/>
    <w:rsid w:val="00C52226"/>
    <w:rsid w:val="00C529B0"/>
    <w:rsid w:val="00C52E9B"/>
    <w:rsid w:val="00C53D9F"/>
    <w:rsid w:val="00C540CA"/>
    <w:rsid w:val="00C556AB"/>
    <w:rsid w:val="00C5665E"/>
    <w:rsid w:val="00C56B62"/>
    <w:rsid w:val="00C57D4C"/>
    <w:rsid w:val="00C60D14"/>
    <w:rsid w:val="00C6194C"/>
    <w:rsid w:val="00C642BC"/>
    <w:rsid w:val="00C64E46"/>
    <w:rsid w:val="00C650CF"/>
    <w:rsid w:val="00C65690"/>
    <w:rsid w:val="00C66F2D"/>
    <w:rsid w:val="00C672CD"/>
    <w:rsid w:val="00C6740C"/>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5C38"/>
    <w:rsid w:val="00CC1C87"/>
    <w:rsid w:val="00CC1F8C"/>
    <w:rsid w:val="00CC26CE"/>
    <w:rsid w:val="00CC29B3"/>
    <w:rsid w:val="00CC2EA8"/>
    <w:rsid w:val="00CC5500"/>
    <w:rsid w:val="00CC6E48"/>
    <w:rsid w:val="00CD2B96"/>
    <w:rsid w:val="00CD4DE8"/>
    <w:rsid w:val="00CD5841"/>
    <w:rsid w:val="00CD5A8F"/>
    <w:rsid w:val="00CD611D"/>
    <w:rsid w:val="00CD6238"/>
    <w:rsid w:val="00CD6617"/>
    <w:rsid w:val="00CD6876"/>
    <w:rsid w:val="00CD6D28"/>
    <w:rsid w:val="00CE08F0"/>
    <w:rsid w:val="00CE0F1F"/>
    <w:rsid w:val="00CE2494"/>
    <w:rsid w:val="00CE2973"/>
    <w:rsid w:val="00CE3BC3"/>
    <w:rsid w:val="00CE4073"/>
    <w:rsid w:val="00CE719D"/>
    <w:rsid w:val="00CE724E"/>
    <w:rsid w:val="00CE7322"/>
    <w:rsid w:val="00CE7470"/>
    <w:rsid w:val="00CE7DD9"/>
    <w:rsid w:val="00CE7F68"/>
    <w:rsid w:val="00CF1FC5"/>
    <w:rsid w:val="00CF23A0"/>
    <w:rsid w:val="00CF4EFF"/>
    <w:rsid w:val="00CF55B7"/>
    <w:rsid w:val="00CF6B54"/>
    <w:rsid w:val="00CF723E"/>
    <w:rsid w:val="00CF74E9"/>
    <w:rsid w:val="00CF7AA5"/>
    <w:rsid w:val="00D02831"/>
    <w:rsid w:val="00D03CED"/>
    <w:rsid w:val="00D043BA"/>
    <w:rsid w:val="00D04C47"/>
    <w:rsid w:val="00D069F8"/>
    <w:rsid w:val="00D07E4B"/>
    <w:rsid w:val="00D1305D"/>
    <w:rsid w:val="00D1318A"/>
    <w:rsid w:val="00D13CEA"/>
    <w:rsid w:val="00D13F20"/>
    <w:rsid w:val="00D144B1"/>
    <w:rsid w:val="00D15014"/>
    <w:rsid w:val="00D15AA1"/>
    <w:rsid w:val="00D164BC"/>
    <w:rsid w:val="00D169C7"/>
    <w:rsid w:val="00D203E4"/>
    <w:rsid w:val="00D23481"/>
    <w:rsid w:val="00D25A01"/>
    <w:rsid w:val="00D25C63"/>
    <w:rsid w:val="00D279F0"/>
    <w:rsid w:val="00D3496C"/>
    <w:rsid w:val="00D36A13"/>
    <w:rsid w:val="00D36A9F"/>
    <w:rsid w:val="00D42E23"/>
    <w:rsid w:val="00D439EF"/>
    <w:rsid w:val="00D43A3A"/>
    <w:rsid w:val="00D466A8"/>
    <w:rsid w:val="00D46E14"/>
    <w:rsid w:val="00D474D0"/>
    <w:rsid w:val="00D51004"/>
    <w:rsid w:val="00D5128D"/>
    <w:rsid w:val="00D52E5B"/>
    <w:rsid w:val="00D52EC1"/>
    <w:rsid w:val="00D5407D"/>
    <w:rsid w:val="00D55A56"/>
    <w:rsid w:val="00D579E6"/>
    <w:rsid w:val="00D61CB8"/>
    <w:rsid w:val="00D61FF9"/>
    <w:rsid w:val="00D62480"/>
    <w:rsid w:val="00D629E3"/>
    <w:rsid w:val="00D64273"/>
    <w:rsid w:val="00D64C4F"/>
    <w:rsid w:val="00D66DDB"/>
    <w:rsid w:val="00D70766"/>
    <w:rsid w:val="00D708AE"/>
    <w:rsid w:val="00D72175"/>
    <w:rsid w:val="00D7252C"/>
    <w:rsid w:val="00D7768F"/>
    <w:rsid w:val="00D82691"/>
    <w:rsid w:val="00D837B0"/>
    <w:rsid w:val="00D839F9"/>
    <w:rsid w:val="00D83FBA"/>
    <w:rsid w:val="00D86931"/>
    <w:rsid w:val="00D906B2"/>
    <w:rsid w:val="00D91F3E"/>
    <w:rsid w:val="00D92325"/>
    <w:rsid w:val="00D936CD"/>
    <w:rsid w:val="00D95A1B"/>
    <w:rsid w:val="00D96BA3"/>
    <w:rsid w:val="00D976F2"/>
    <w:rsid w:val="00DA1EA0"/>
    <w:rsid w:val="00DA2E83"/>
    <w:rsid w:val="00DA3868"/>
    <w:rsid w:val="00DA3A68"/>
    <w:rsid w:val="00DA4E7C"/>
    <w:rsid w:val="00DA72A0"/>
    <w:rsid w:val="00DB14C8"/>
    <w:rsid w:val="00DB271D"/>
    <w:rsid w:val="00DB277C"/>
    <w:rsid w:val="00DB3FB8"/>
    <w:rsid w:val="00DB5A7F"/>
    <w:rsid w:val="00DB7DC5"/>
    <w:rsid w:val="00DC084C"/>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41C5"/>
    <w:rsid w:val="00DE5989"/>
    <w:rsid w:val="00DF43D9"/>
    <w:rsid w:val="00DF59CE"/>
    <w:rsid w:val="00DF7F84"/>
    <w:rsid w:val="00E00BC4"/>
    <w:rsid w:val="00E022A1"/>
    <w:rsid w:val="00E0245B"/>
    <w:rsid w:val="00E02A52"/>
    <w:rsid w:val="00E0447A"/>
    <w:rsid w:val="00E04D7C"/>
    <w:rsid w:val="00E052B8"/>
    <w:rsid w:val="00E06480"/>
    <w:rsid w:val="00E10780"/>
    <w:rsid w:val="00E11168"/>
    <w:rsid w:val="00E12804"/>
    <w:rsid w:val="00E134FA"/>
    <w:rsid w:val="00E13643"/>
    <w:rsid w:val="00E16578"/>
    <w:rsid w:val="00E16729"/>
    <w:rsid w:val="00E21EC5"/>
    <w:rsid w:val="00E22006"/>
    <w:rsid w:val="00E22EA8"/>
    <w:rsid w:val="00E23058"/>
    <w:rsid w:val="00E25D40"/>
    <w:rsid w:val="00E275EC"/>
    <w:rsid w:val="00E319EF"/>
    <w:rsid w:val="00E31CB8"/>
    <w:rsid w:val="00E329AE"/>
    <w:rsid w:val="00E332FF"/>
    <w:rsid w:val="00E354BF"/>
    <w:rsid w:val="00E35B2A"/>
    <w:rsid w:val="00E361ED"/>
    <w:rsid w:val="00E368CF"/>
    <w:rsid w:val="00E40395"/>
    <w:rsid w:val="00E40CA6"/>
    <w:rsid w:val="00E41747"/>
    <w:rsid w:val="00E44D06"/>
    <w:rsid w:val="00E4603F"/>
    <w:rsid w:val="00E46240"/>
    <w:rsid w:val="00E52B0F"/>
    <w:rsid w:val="00E54144"/>
    <w:rsid w:val="00E547F7"/>
    <w:rsid w:val="00E5737C"/>
    <w:rsid w:val="00E57404"/>
    <w:rsid w:val="00E57797"/>
    <w:rsid w:val="00E57A6E"/>
    <w:rsid w:val="00E619C3"/>
    <w:rsid w:val="00E63938"/>
    <w:rsid w:val="00E64BEF"/>
    <w:rsid w:val="00E64E18"/>
    <w:rsid w:val="00E66BEB"/>
    <w:rsid w:val="00E67577"/>
    <w:rsid w:val="00E71771"/>
    <w:rsid w:val="00E71F80"/>
    <w:rsid w:val="00E73985"/>
    <w:rsid w:val="00E7452D"/>
    <w:rsid w:val="00E74CB0"/>
    <w:rsid w:val="00E81B7C"/>
    <w:rsid w:val="00E85AC5"/>
    <w:rsid w:val="00E864E9"/>
    <w:rsid w:val="00E865E5"/>
    <w:rsid w:val="00E909E3"/>
    <w:rsid w:val="00E91D41"/>
    <w:rsid w:val="00E9742F"/>
    <w:rsid w:val="00EA372C"/>
    <w:rsid w:val="00EA6DE5"/>
    <w:rsid w:val="00EB020F"/>
    <w:rsid w:val="00EB2119"/>
    <w:rsid w:val="00EB33A4"/>
    <w:rsid w:val="00EB386A"/>
    <w:rsid w:val="00EB38A7"/>
    <w:rsid w:val="00EB3E63"/>
    <w:rsid w:val="00EB6216"/>
    <w:rsid w:val="00EB67C3"/>
    <w:rsid w:val="00EB6CF0"/>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D79C7"/>
    <w:rsid w:val="00EE1006"/>
    <w:rsid w:val="00EE1B70"/>
    <w:rsid w:val="00EE3EC4"/>
    <w:rsid w:val="00EE53C1"/>
    <w:rsid w:val="00EF0C39"/>
    <w:rsid w:val="00EF36E1"/>
    <w:rsid w:val="00EF6C8B"/>
    <w:rsid w:val="00F01C8E"/>
    <w:rsid w:val="00F028A5"/>
    <w:rsid w:val="00F02ACE"/>
    <w:rsid w:val="00F03463"/>
    <w:rsid w:val="00F03E2D"/>
    <w:rsid w:val="00F05082"/>
    <w:rsid w:val="00F050C3"/>
    <w:rsid w:val="00F06AF6"/>
    <w:rsid w:val="00F104DF"/>
    <w:rsid w:val="00F12914"/>
    <w:rsid w:val="00F13825"/>
    <w:rsid w:val="00F1561E"/>
    <w:rsid w:val="00F15B25"/>
    <w:rsid w:val="00F16F36"/>
    <w:rsid w:val="00F20567"/>
    <w:rsid w:val="00F216D8"/>
    <w:rsid w:val="00F21BA6"/>
    <w:rsid w:val="00F2274B"/>
    <w:rsid w:val="00F25709"/>
    <w:rsid w:val="00F26C65"/>
    <w:rsid w:val="00F27A7C"/>
    <w:rsid w:val="00F27E23"/>
    <w:rsid w:val="00F316B5"/>
    <w:rsid w:val="00F35031"/>
    <w:rsid w:val="00F378E3"/>
    <w:rsid w:val="00F41B36"/>
    <w:rsid w:val="00F42088"/>
    <w:rsid w:val="00F43789"/>
    <w:rsid w:val="00F47855"/>
    <w:rsid w:val="00F50072"/>
    <w:rsid w:val="00F50782"/>
    <w:rsid w:val="00F507C6"/>
    <w:rsid w:val="00F51CCB"/>
    <w:rsid w:val="00F51D19"/>
    <w:rsid w:val="00F530A8"/>
    <w:rsid w:val="00F550A0"/>
    <w:rsid w:val="00F56036"/>
    <w:rsid w:val="00F56168"/>
    <w:rsid w:val="00F6097F"/>
    <w:rsid w:val="00F60B33"/>
    <w:rsid w:val="00F62018"/>
    <w:rsid w:val="00F622BB"/>
    <w:rsid w:val="00F62E83"/>
    <w:rsid w:val="00F65096"/>
    <w:rsid w:val="00F65D8D"/>
    <w:rsid w:val="00F66940"/>
    <w:rsid w:val="00F70847"/>
    <w:rsid w:val="00F70A24"/>
    <w:rsid w:val="00F71565"/>
    <w:rsid w:val="00F7237E"/>
    <w:rsid w:val="00F73D29"/>
    <w:rsid w:val="00F75050"/>
    <w:rsid w:val="00F7642B"/>
    <w:rsid w:val="00F80790"/>
    <w:rsid w:val="00F8238D"/>
    <w:rsid w:val="00F8257C"/>
    <w:rsid w:val="00F839AE"/>
    <w:rsid w:val="00F8788F"/>
    <w:rsid w:val="00F87926"/>
    <w:rsid w:val="00F87B58"/>
    <w:rsid w:val="00F908B7"/>
    <w:rsid w:val="00F91851"/>
    <w:rsid w:val="00F91C5D"/>
    <w:rsid w:val="00F933B4"/>
    <w:rsid w:val="00F936DE"/>
    <w:rsid w:val="00F93F64"/>
    <w:rsid w:val="00F955F5"/>
    <w:rsid w:val="00FA03D1"/>
    <w:rsid w:val="00FA1A41"/>
    <w:rsid w:val="00FA2ED3"/>
    <w:rsid w:val="00FA3A0C"/>
    <w:rsid w:val="00FA3EA6"/>
    <w:rsid w:val="00FA6B8E"/>
    <w:rsid w:val="00FA7206"/>
    <w:rsid w:val="00FB0D59"/>
    <w:rsid w:val="00FB1BAA"/>
    <w:rsid w:val="00FB1BCD"/>
    <w:rsid w:val="00FB1D33"/>
    <w:rsid w:val="00FB7C3A"/>
    <w:rsid w:val="00FC01D5"/>
    <w:rsid w:val="00FC2034"/>
    <w:rsid w:val="00FC213A"/>
    <w:rsid w:val="00FC387F"/>
    <w:rsid w:val="00FC3E11"/>
    <w:rsid w:val="00FC48F9"/>
    <w:rsid w:val="00FC6F1F"/>
    <w:rsid w:val="00FD34DC"/>
    <w:rsid w:val="00FD3D7D"/>
    <w:rsid w:val="00FD5141"/>
    <w:rsid w:val="00FD5AEA"/>
    <w:rsid w:val="00FD5CCF"/>
    <w:rsid w:val="00FD667D"/>
    <w:rsid w:val="00FE58DC"/>
    <w:rsid w:val="00FE609B"/>
    <w:rsid w:val="00FE62B8"/>
    <w:rsid w:val="00FE7308"/>
    <w:rsid w:val="00FE7D39"/>
    <w:rsid w:val="00FF3136"/>
    <w:rsid w:val="00FF5473"/>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Lista2">
    <w:name w:val="List 2"/>
    <w:basedOn w:val="Normal"/>
    <w:uiPriority w:val="99"/>
    <w:unhideWhenUsed/>
    <w:rsid w:val="008506E0"/>
    <w:pPr>
      <w:ind w:left="566" w:hanging="283"/>
      <w:contextualSpacing/>
    </w:pPr>
  </w:style>
  <w:style w:type="paragraph" w:styleId="Lista3">
    <w:name w:val="List 3"/>
    <w:basedOn w:val="Normal"/>
    <w:uiPriority w:val="99"/>
    <w:unhideWhenUsed/>
    <w:rsid w:val="008506E0"/>
    <w:pPr>
      <w:ind w:left="849" w:hanging="283"/>
      <w:contextualSpacing/>
    </w:pPr>
  </w:style>
  <w:style w:type="paragraph" w:styleId="Continuarlista">
    <w:name w:val="List Continue"/>
    <w:basedOn w:val="Normal"/>
    <w:uiPriority w:val="99"/>
    <w:unhideWhenUsed/>
    <w:rsid w:val="008506E0"/>
    <w:pPr>
      <w:spacing w:after="120"/>
      <w:ind w:left="283"/>
      <w:contextualSpacing/>
    </w:pPr>
  </w:style>
  <w:style w:type="paragraph" w:styleId="Textoindependiente">
    <w:name w:val="Body Text"/>
    <w:basedOn w:val="Normal"/>
    <w:link w:val="TextoindependienteCar"/>
    <w:uiPriority w:val="99"/>
    <w:unhideWhenUsed/>
    <w:rsid w:val="008506E0"/>
    <w:pPr>
      <w:spacing w:after="120"/>
    </w:pPr>
  </w:style>
  <w:style w:type="character" w:customStyle="1" w:styleId="TextoindependienteCar">
    <w:name w:val="Texto independiente Car"/>
    <w:basedOn w:val="Fuentedeprrafopredeter"/>
    <w:link w:val="Textoindependiente"/>
    <w:uiPriority w:val="99"/>
    <w:rsid w:val="008506E0"/>
    <w:rPr>
      <w:color w:val="000000" w:themeColor="text1"/>
      <w:lang w:eastAsia="es-MX"/>
    </w:rPr>
  </w:style>
  <w:style w:type="paragraph" w:styleId="Sangradetextonormal">
    <w:name w:val="Body Text Indent"/>
    <w:basedOn w:val="Normal"/>
    <w:link w:val="SangradetextonormalCar"/>
    <w:uiPriority w:val="99"/>
    <w:semiHidden/>
    <w:unhideWhenUsed/>
    <w:rsid w:val="008506E0"/>
    <w:pPr>
      <w:spacing w:after="120"/>
      <w:ind w:left="283"/>
    </w:pPr>
  </w:style>
  <w:style w:type="character" w:customStyle="1" w:styleId="SangradetextonormalCar">
    <w:name w:val="Sangría de texto normal Car"/>
    <w:basedOn w:val="Fuentedeprrafopredeter"/>
    <w:link w:val="Sangradetextonormal"/>
    <w:uiPriority w:val="99"/>
    <w:semiHidden/>
    <w:rsid w:val="008506E0"/>
    <w:rPr>
      <w:color w:val="000000" w:themeColor="text1"/>
      <w:lang w:eastAsia="es-MX"/>
    </w:rPr>
  </w:style>
  <w:style w:type="paragraph" w:styleId="Textoindependienteprimerasangra2">
    <w:name w:val="Body Text First Indent 2"/>
    <w:basedOn w:val="Sangradetextonormal"/>
    <w:link w:val="Textoindependienteprimerasangra2Car"/>
    <w:uiPriority w:val="99"/>
    <w:unhideWhenUsed/>
    <w:rsid w:val="008506E0"/>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506E0"/>
    <w:rPr>
      <w:color w:val="000000" w:themeColor="text1"/>
      <w:lang w:eastAsia="es-MX"/>
    </w:rPr>
  </w:style>
  <w:style w:type="character" w:customStyle="1" w:styleId="Mencinsinresolver8">
    <w:name w:val="Mención sin resolver8"/>
    <w:basedOn w:val="Fuentedeprrafopredeter"/>
    <w:uiPriority w:val="99"/>
    <w:semiHidden/>
    <w:unhideWhenUsed/>
    <w:rsid w:val="004E6E1A"/>
    <w:rPr>
      <w:color w:val="605E5C"/>
      <w:shd w:val="clear" w:color="auto" w:fill="E1DFDD"/>
    </w:rPr>
  </w:style>
  <w:style w:type="character" w:customStyle="1" w:styleId="il">
    <w:name w:val="il"/>
    <w:basedOn w:val="Fuentedeprrafopredeter"/>
    <w:rsid w:val="00BC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28927611">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12874642">
      <w:bodyDiv w:val="1"/>
      <w:marLeft w:val="0"/>
      <w:marRight w:val="0"/>
      <w:marTop w:val="0"/>
      <w:marBottom w:val="0"/>
      <w:divBdr>
        <w:top w:val="none" w:sz="0" w:space="0" w:color="auto"/>
        <w:left w:val="none" w:sz="0" w:space="0" w:color="auto"/>
        <w:bottom w:val="none" w:sz="0" w:space="0" w:color="auto"/>
        <w:right w:val="none" w:sz="0" w:space="0" w:color="auto"/>
      </w:divBdr>
    </w:div>
    <w:div w:id="102459509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1778765">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894093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apps.condusef.gob.mx/SIPRES/jsp/pub/index.js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dusef.gob.mx/Revista/index.php/usuario-inteligente/condusef-responde/777-la-condusef-te-puede-ayud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6ACD5-A36D-49C8-8FBE-A166F211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11069</Words>
  <Characters>60883</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2025-11-07T06:13:00Z</cp:lastPrinted>
  <dcterms:created xsi:type="dcterms:W3CDTF">2025-12-08T23:33:00Z</dcterms:created>
  <dcterms:modified xsi:type="dcterms:W3CDTF">2025-12-08T23:33:00Z</dcterms:modified>
</cp:coreProperties>
</file>