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538B2" w14:textId="77777777" w:rsidR="0083137F" w:rsidRPr="00455724" w:rsidRDefault="009C2C7A" w:rsidP="00544AE6">
      <w:pPr>
        <w:tabs>
          <w:tab w:val="left" w:pos="3465"/>
        </w:tabs>
        <w:spacing w:line="360" w:lineRule="auto"/>
        <w:ind w:right="-7"/>
        <w:jc w:val="both"/>
        <w:rPr>
          <w:rFonts w:ascii="Palatino Linotype" w:eastAsia="Palatino Linotype" w:hAnsi="Palatino Linotype" w:cs="Palatino Linotype"/>
          <w:b/>
          <w:color w:val="000000" w:themeColor="text1"/>
        </w:rPr>
      </w:pPr>
      <w:bookmarkStart w:id="0" w:name="_GoBack"/>
      <w:bookmarkEnd w:id="0"/>
      <w:r w:rsidRPr="0045572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55724">
        <w:rPr>
          <w:rFonts w:ascii="Palatino Linotype" w:eastAsia="Palatino Linotype" w:hAnsi="Palatino Linotype" w:cs="Palatino Linotype"/>
          <w:b/>
          <w:color w:val="000000" w:themeColor="text1"/>
        </w:rPr>
        <w:t>de fecha veinte (20) de agosto de dos mil veinticinco.</w:t>
      </w:r>
    </w:p>
    <w:p w14:paraId="691CCBD8" w14:textId="77777777" w:rsidR="0083137F" w:rsidRPr="00455724" w:rsidRDefault="0083137F" w:rsidP="00544AE6">
      <w:pPr>
        <w:tabs>
          <w:tab w:val="left" w:pos="3465"/>
        </w:tabs>
        <w:spacing w:line="360" w:lineRule="auto"/>
        <w:ind w:right="-7"/>
        <w:jc w:val="both"/>
        <w:rPr>
          <w:rFonts w:ascii="Palatino Linotype" w:eastAsia="Palatino Linotype" w:hAnsi="Palatino Linotype" w:cs="Palatino Linotype"/>
          <w:color w:val="000000" w:themeColor="text1"/>
        </w:rPr>
      </w:pPr>
    </w:p>
    <w:p w14:paraId="10C50CBE" w14:textId="4D73795C" w:rsidR="0083137F" w:rsidRPr="00455724" w:rsidRDefault="009C2C7A" w:rsidP="00544AE6">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b/>
          <w:color w:val="000000" w:themeColor="text1"/>
        </w:rPr>
        <w:t xml:space="preserve">VISTAS </w:t>
      </w:r>
      <w:r w:rsidRPr="00455724">
        <w:rPr>
          <w:rFonts w:ascii="Palatino Linotype" w:eastAsia="Palatino Linotype" w:hAnsi="Palatino Linotype" w:cs="Palatino Linotype"/>
          <w:color w:val="000000" w:themeColor="text1"/>
        </w:rPr>
        <w:t xml:space="preserve">las constancias para resolver los Recursos de Revisión </w:t>
      </w:r>
      <w:r w:rsidRPr="00455724">
        <w:rPr>
          <w:rFonts w:ascii="Palatino Linotype" w:eastAsia="Palatino Linotype" w:hAnsi="Palatino Linotype" w:cs="Palatino Linotype"/>
          <w:b/>
          <w:color w:val="000000" w:themeColor="text1"/>
        </w:rPr>
        <w:t>07408/INFOEM/IP/RR/2025 y 07409/INFOEM/IP/RR/2025</w:t>
      </w:r>
      <w:r w:rsidRPr="00455724">
        <w:rPr>
          <w:rFonts w:ascii="Palatino Linotype" w:eastAsia="Palatino Linotype" w:hAnsi="Palatino Linotype" w:cs="Palatino Linotype"/>
          <w:color w:val="000000" w:themeColor="text1"/>
        </w:rPr>
        <w:t xml:space="preserve">, promovidos por una persona que no registró nombre, en lo sucesivo </w:t>
      </w:r>
      <w:r w:rsidRPr="00455724">
        <w:rPr>
          <w:rFonts w:ascii="Palatino Linotype" w:eastAsia="Palatino Linotype" w:hAnsi="Palatino Linotype" w:cs="Palatino Linotype"/>
          <w:b/>
          <w:color w:val="000000" w:themeColor="text1"/>
        </w:rPr>
        <w:t>EL RECURRENTE</w:t>
      </w:r>
      <w:r w:rsidRPr="00455724">
        <w:rPr>
          <w:rFonts w:ascii="Palatino Linotype" w:eastAsia="Palatino Linotype" w:hAnsi="Palatino Linotype" w:cs="Palatino Linotype"/>
          <w:color w:val="000000" w:themeColor="text1"/>
        </w:rPr>
        <w:t xml:space="preserve">, en contra de las respuestas otorgadas a las solicitudes de información </w:t>
      </w:r>
      <w:r w:rsidRPr="00455724">
        <w:rPr>
          <w:rFonts w:ascii="Palatino Linotype" w:eastAsia="Palatino Linotype" w:hAnsi="Palatino Linotype" w:cs="Palatino Linotype"/>
          <w:b/>
          <w:color w:val="000000" w:themeColor="text1"/>
        </w:rPr>
        <w:t>00076/DIFCOCOTITLAN/IP/2025 y 00073/DIFCOCOTITLAN/IP/2025</w:t>
      </w:r>
      <w:r w:rsidRPr="00455724">
        <w:rPr>
          <w:rFonts w:ascii="Palatino Linotype" w:eastAsia="Palatino Linotype" w:hAnsi="Palatino Linotype" w:cs="Palatino Linotype"/>
          <w:color w:val="000000" w:themeColor="text1"/>
        </w:rPr>
        <w:t xml:space="preserve">, por parte del </w:t>
      </w:r>
      <w:r w:rsidRPr="00455724">
        <w:rPr>
          <w:rFonts w:ascii="Palatino Linotype" w:eastAsia="Palatino Linotype" w:hAnsi="Palatino Linotype" w:cs="Palatino Linotype"/>
          <w:b/>
          <w:color w:val="000000" w:themeColor="text1"/>
        </w:rPr>
        <w:t xml:space="preserve">Sistema Municipal para el Desarrollo Integral de la Familia de Cocotitlán, </w:t>
      </w:r>
      <w:r w:rsidRPr="00455724">
        <w:rPr>
          <w:rFonts w:ascii="Palatino Linotype" w:eastAsia="Palatino Linotype" w:hAnsi="Palatino Linotype" w:cs="Palatino Linotype"/>
          <w:color w:val="000000" w:themeColor="text1"/>
        </w:rPr>
        <w:t xml:space="preserve">en adelante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se emite la presente resolución con base en los siguientes:</w:t>
      </w:r>
    </w:p>
    <w:p w14:paraId="72867E62"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2CAB59A2" w14:textId="77777777" w:rsidR="0083137F" w:rsidRPr="00455724" w:rsidRDefault="009C2C7A" w:rsidP="00544AE6">
      <w:pPr>
        <w:pStyle w:val="Ttulo1"/>
        <w:spacing w:before="0" w:line="360" w:lineRule="auto"/>
        <w:ind w:right="-7"/>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55724">
        <w:rPr>
          <w:rFonts w:ascii="Palatino Linotype" w:eastAsia="Palatino Linotype" w:hAnsi="Palatino Linotype" w:cs="Palatino Linotype"/>
          <w:b/>
          <w:color w:val="000000" w:themeColor="text1"/>
          <w:sz w:val="24"/>
          <w:szCs w:val="24"/>
        </w:rPr>
        <w:t>A N T E C E D E N T E S</w:t>
      </w:r>
    </w:p>
    <w:p w14:paraId="449A6236" w14:textId="77777777" w:rsidR="0083137F" w:rsidRPr="00455724" w:rsidRDefault="0083137F" w:rsidP="00544AE6">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u w:val="single"/>
        </w:rPr>
      </w:pPr>
    </w:p>
    <w:p w14:paraId="71B67A98" w14:textId="77777777" w:rsidR="0083137F" w:rsidRPr="00455724" w:rsidRDefault="009C2C7A" w:rsidP="00544AE6">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El </w:t>
      </w:r>
      <w:r w:rsidRPr="00455724">
        <w:rPr>
          <w:rFonts w:ascii="Palatino Linotype" w:eastAsia="Palatino Linotype" w:hAnsi="Palatino Linotype" w:cs="Palatino Linotype"/>
          <w:b/>
          <w:color w:val="000000" w:themeColor="text1"/>
        </w:rPr>
        <w:t>once y cuatro de junio de dos mil veinticinco</w:t>
      </w:r>
      <w:r w:rsidRPr="00455724">
        <w:rPr>
          <w:rFonts w:ascii="Palatino Linotype" w:eastAsia="Palatino Linotype" w:hAnsi="Palatino Linotype" w:cs="Palatino Linotype"/>
          <w:color w:val="000000" w:themeColor="text1"/>
        </w:rPr>
        <w:t>,</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 xml:space="preserve">se presentaron ante el Sujeto Obligado vía Sistema de Acceso a la Información Mexiquense, en adelante SAIMEX, las siguientes </w:t>
      </w:r>
      <w:r w:rsidRPr="00455724">
        <w:rPr>
          <w:rFonts w:ascii="Palatino Linotype" w:eastAsia="Palatino Linotype" w:hAnsi="Palatino Linotype" w:cs="Palatino Linotype"/>
          <w:b/>
          <w:color w:val="000000" w:themeColor="text1"/>
        </w:rPr>
        <w:t>solicitudes de información</w:t>
      </w:r>
      <w:r w:rsidRPr="00455724">
        <w:rPr>
          <w:rFonts w:ascii="Palatino Linotype" w:eastAsia="Palatino Linotype" w:hAnsi="Palatino Linotype" w:cs="Palatino Linotype"/>
          <w:color w:val="000000" w:themeColor="text1"/>
        </w:rPr>
        <w:t xml:space="preserve"> pública:</w:t>
      </w:r>
    </w:p>
    <w:p w14:paraId="008A1647" w14:textId="77777777" w:rsidR="0083137F" w:rsidRPr="00455724" w:rsidRDefault="0083137F" w:rsidP="00544AE6">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14:paraId="4C855B6A"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00076/DIFCOCOTITLAN/IP/2025</w:t>
      </w:r>
    </w:p>
    <w:p w14:paraId="3310BF23"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“Requiero que se me adjunten copias simples de las certificaciones del personal del dif, que están obligados a presentar según la ley orgánica municipal y anexar también la de la titular de transparencia de la nueva administración.” (Sic)</w:t>
      </w:r>
    </w:p>
    <w:p w14:paraId="2481678D"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14:paraId="136E4ACA"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color w:val="000000" w:themeColor="text1"/>
        </w:rPr>
        <w:t>00073/DIFCOCOTITLAN/IP/2025</w:t>
      </w:r>
      <w:r w:rsidRPr="00455724">
        <w:rPr>
          <w:rFonts w:ascii="Palatino Linotype" w:eastAsia="Palatino Linotype" w:hAnsi="Palatino Linotype" w:cs="Palatino Linotype"/>
          <w:i/>
          <w:color w:val="000000" w:themeColor="text1"/>
        </w:rPr>
        <w:t xml:space="preserve"> </w:t>
      </w:r>
    </w:p>
    <w:p w14:paraId="0937F490"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“favor de remitirme la constancia certificada de competencia laboral del tesorero honorífico, unidad de transparencia y del contralor honorífico de esta nueva administración del dif.” (Sic)</w:t>
      </w:r>
    </w:p>
    <w:p w14:paraId="42ADEF3C"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14:paraId="25BFB01C"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45D3D772" w14:textId="77777777" w:rsidR="0083137F" w:rsidRPr="00455724" w:rsidRDefault="009C2C7A" w:rsidP="00544AE6">
      <w:pPr>
        <w:numPr>
          <w:ilvl w:val="0"/>
          <w:numId w:val="1"/>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 xml:space="preserve">Se eligió como modalidad de entrega de la información: A través del </w:t>
      </w:r>
      <w:r w:rsidRPr="00455724">
        <w:rPr>
          <w:rFonts w:ascii="Palatino Linotype" w:eastAsia="Palatino Linotype" w:hAnsi="Palatino Linotype" w:cs="Palatino Linotype"/>
          <w:b/>
          <w:color w:val="000000" w:themeColor="text1"/>
        </w:rPr>
        <w:t>SAIMEX.</w:t>
      </w:r>
    </w:p>
    <w:p w14:paraId="6AFD0FDF" w14:textId="77777777" w:rsidR="0083137F" w:rsidRPr="00455724" w:rsidRDefault="0083137F" w:rsidP="00544AE6">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14:paraId="0956C797" w14:textId="77777777" w:rsidR="0083137F" w:rsidRPr="00455724" w:rsidRDefault="009C2C7A" w:rsidP="00544AE6">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El</w:t>
      </w:r>
      <w:r w:rsidRPr="00455724">
        <w:rPr>
          <w:rFonts w:ascii="Palatino Linotype" w:eastAsia="Palatino Linotype" w:hAnsi="Palatino Linotype" w:cs="Palatino Linotype"/>
          <w:b/>
          <w:color w:val="000000" w:themeColor="text1"/>
        </w:rPr>
        <w:t xml:space="preserve"> dieciocho de junio de dos mil veinticinco</w:t>
      </w:r>
      <w:r w:rsidRPr="00455724">
        <w:rPr>
          <w:rFonts w:ascii="Palatino Linotype" w:eastAsia="Palatino Linotype" w:hAnsi="Palatino Linotype" w:cs="Palatino Linotype"/>
          <w:color w:val="000000" w:themeColor="text1"/>
        </w:rPr>
        <w:t>, el Sujeto Obligado</w:t>
      </w:r>
      <w:r w:rsidRPr="00455724">
        <w:rPr>
          <w:rFonts w:ascii="Palatino Linotype" w:eastAsia="Palatino Linotype" w:hAnsi="Palatino Linotype" w:cs="Palatino Linotype"/>
          <w:b/>
          <w:color w:val="000000" w:themeColor="text1"/>
        </w:rPr>
        <w:t>,</w:t>
      </w:r>
      <w:r w:rsidRPr="00455724">
        <w:rPr>
          <w:rFonts w:ascii="Palatino Linotype" w:eastAsia="Palatino Linotype" w:hAnsi="Palatino Linotype" w:cs="Palatino Linotype"/>
          <w:color w:val="000000" w:themeColor="text1"/>
        </w:rPr>
        <w:t xml:space="preserve"> dio </w:t>
      </w:r>
      <w:r w:rsidRPr="00455724">
        <w:rPr>
          <w:rFonts w:ascii="Palatino Linotype" w:eastAsia="Palatino Linotype" w:hAnsi="Palatino Linotype" w:cs="Palatino Linotype"/>
          <w:b/>
          <w:color w:val="000000" w:themeColor="text1"/>
        </w:rPr>
        <w:t>respuesta</w:t>
      </w:r>
      <w:r w:rsidRPr="00455724">
        <w:rPr>
          <w:rFonts w:ascii="Palatino Linotype" w:eastAsia="Palatino Linotype" w:hAnsi="Palatino Linotype" w:cs="Palatino Linotype"/>
          <w:color w:val="000000" w:themeColor="text1"/>
        </w:rPr>
        <w:t xml:space="preserve"> a través de los siguientes archivos electrónicos</w:t>
      </w:r>
      <w:r w:rsidRPr="00455724">
        <w:rPr>
          <w:rFonts w:ascii="Palatino Linotype" w:eastAsia="Palatino Linotype" w:hAnsi="Palatino Linotype" w:cs="Palatino Linotype"/>
          <w:b/>
          <w:i/>
          <w:color w:val="000000" w:themeColor="text1"/>
        </w:rPr>
        <w:t>:</w:t>
      </w:r>
    </w:p>
    <w:p w14:paraId="141295F3" w14:textId="77777777" w:rsidR="0083137F" w:rsidRPr="00455724" w:rsidRDefault="009C2C7A" w:rsidP="00E60A95">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Folio de la solicitud: 00076/DIFCOCOTITLAN/IP/2025</w:t>
      </w:r>
    </w:p>
    <w:p w14:paraId="280F5755" w14:textId="77777777" w:rsidR="0083137F" w:rsidRPr="00455724" w:rsidRDefault="009C2C7A" w:rsidP="00544AE6">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b/>
          <w:i/>
          <w:color w:val="000000" w:themeColor="text1"/>
        </w:rPr>
        <w:t>76-25.pdf</w:t>
      </w:r>
    </w:p>
    <w:p w14:paraId="6F96195D" w14:textId="77777777" w:rsidR="0083137F" w:rsidRPr="00455724" w:rsidRDefault="009C2C7A" w:rsidP="00544AE6">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Oficio de fecha 19 de junio de 2025, firmado por la Titular de la Unidad de Transparencia refiriendo lo siguiente:</w:t>
      </w:r>
    </w:p>
    <w:p w14:paraId="6C57FB8B" w14:textId="77777777" w:rsidR="0083137F" w:rsidRPr="00455724" w:rsidRDefault="0083137F" w:rsidP="00544AE6">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p>
    <w:p w14:paraId="0659FFF5" w14:textId="77777777" w:rsidR="0083137F" w:rsidRPr="00455724" w:rsidRDefault="009C2C7A" w:rsidP="00544AE6">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color w:val="000000" w:themeColor="text1"/>
        </w:rPr>
        <w:t xml:space="preserve">“Referente a la Certificación del Servidor Público que ocupa el Cargo de </w:t>
      </w:r>
      <w:r w:rsidRPr="00455724">
        <w:rPr>
          <w:rFonts w:ascii="Palatino Linotype" w:eastAsia="Palatino Linotype" w:hAnsi="Palatino Linotype" w:cs="Palatino Linotype"/>
          <w:b/>
          <w:color w:val="000000" w:themeColor="text1"/>
        </w:rPr>
        <w:t>Tesorero</w:t>
      </w:r>
      <w:r w:rsidRPr="00455724">
        <w:rPr>
          <w:rFonts w:ascii="Palatino Linotype" w:eastAsia="Palatino Linotype" w:hAnsi="Palatino Linotype" w:cs="Palatino Linotype"/>
          <w:color w:val="000000" w:themeColor="text1"/>
        </w:rPr>
        <w:t xml:space="preserve">, se le menciona que de acuerdo al artículo 15 Ter de la Ley que crea los Organismos Descentralizados denominados Sistemas Municipal para el Desarrollo Integral de la Familia, el Servidor Público cuenta con 6 meses posteriores a su contratación para realizar la Certificación, mencionándole que aún </w:t>
      </w:r>
      <w:r w:rsidRPr="00455724">
        <w:rPr>
          <w:rFonts w:ascii="Palatino Linotype" w:eastAsia="Palatino Linotype" w:hAnsi="Palatino Linotype" w:cs="Palatino Linotype"/>
          <w:b/>
          <w:color w:val="000000" w:themeColor="text1"/>
        </w:rPr>
        <w:t xml:space="preserve">no cuenta con un respaldo de que se haya inscrito al mismo. </w:t>
      </w:r>
    </w:p>
    <w:p w14:paraId="45BD023E" w14:textId="77777777" w:rsidR="0083137F" w:rsidRPr="00455724" w:rsidRDefault="0083137F" w:rsidP="00544AE6">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p>
    <w:p w14:paraId="7F0BCCC0" w14:textId="71E3F43E" w:rsidR="0083137F" w:rsidRPr="00455724" w:rsidRDefault="009C2C7A" w:rsidP="00544AE6">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color w:val="000000" w:themeColor="text1"/>
        </w:rPr>
        <w:t xml:space="preserve">La Certificación del Servidor Público que ocupa el Cargo de la </w:t>
      </w:r>
      <w:r w:rsidRPr="00455724">
        <w:rPr>
          <w:rFonts w:ascii="Palatino Linotype" w:eastAsia="Palatino Linotype" w:hAnsi="Palatino Linotype" w:cs="Palatino Linotype"/>
          <w:b/>
          <w:color w:val="000000" w:themeColor="text1"/>
        </w:rPr>
        <w:t>Unidad de Transparencia</w:t>
      </w:r>
      <w:r w:rsidRPr="00455724">
        <w:rPr>
          <w:rFonts w:ascii="Palatino Linotype" w:eastAsia="Palatino Linotype" w:hAnsi="Palatino Linotype" w:cs="Palatino Linotype"/>
          <w:color w:val="000000" w:themeColor="text1"/>
        </w:rPr>
        <w:t xml:space="preserve">, se menciona que de acuerdo a la Ley de Transparencia y Acceso a la Información del Estado de México y sus Municipios, el Servidor Público cuenta con 6 meses posteriores más el tiempo que conlleva el proceso de Certificación a su contratación para realizar las actividades concernientes a lo establecido por la Ley, mencionándole que </w:t>
      </w:r>
      <w:r w:rsidRPr="00455724">
        <w:rPr>
          <w:rFonts w:ascii="Palatino Linotype" w:eastAsia="Palatino Linotype" w:hAnsi="Palatino Linotype" w:cs="Palatino Linotype"/>
          <w:b/>
          <w:color w:val="000000" w:themeColor="text1"/>
        </w:rPr>
        <w:t>solo cuenta con asistencias virtuales sin respaldo de capacitaciones constantes para su capacitación y acceso a</w:t>
      </w:r>
      <w:r w:rsidR="00544AE6" w:rsidRPr="00455724">
        <w:rPr>
          <w:rFonts w:ascii="Palatino Linotype" w:eastAsia="Palatino Linotype" w:hAnsi="Palatino Linotype" w:cs="Palatino Linotype"/>
          <w:b/>
          <w:color w:val="000000" w:themeColor="text1"/>
        </w:rPr>
        <w:t xml:space="preserve"> la Certificac</w:t>
      </w:r>
      <w:r w:rsidRPr="00455724">
        <w:rPr>
          <w:rFonts w:ascii="Palatino Linotype" w:eastAsia="Palatino Linotype" w:hAnsi="Palatino Linotype" w:cs="Palatino Linotype"/>
          <w:b/>
          <w:color w:val="000000" w:themeColor="text1"/>
        </w:rPr>
        <w:t xml:space="preserve">ión. </w:t>
      </w:r>
    </w:p>
    <w:p w14:paraId="02BAE5DA" w14:textId="77777777" w:rsidR="0083137F" w:rsidRPr="00455724" w:rsidRDefault="0083137F" w:rsidP="00544AE6">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p>
    <w:p w14:paraId="571098A9" w14:textId="77777777" w:rsidR="0083137F" w:rsidRPr="00455724" w:rsidRDefault="009C2C7A" w:rsidP="00544AE6">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color w:val="000000" w:themeColor="text1"/>
        </w:rPr>
        <w:t xml:space="preserve">El Instituto Hacendario del Estado de México es responsable de Certificación al </w:t>
      </w:r>
      <w:r w:rsidRPr="00455724">
        <w:rPr>
          <w:rFonts w:ascii="Palatino Linotype" w:eastAsia="Palatino Linotype" w:hAnsi="Palatino Linotype" w:cs="Palatino Linotype"/>
          <w:b/>
          <w:color w:val="000000" w:themeColor="text1"/>
        </w:rPr>
        <w:t>Titular del Órgano Interno de Control</w:t>
      </w:r>
      <w:r w:rsidRPr="00455724">
        <w:rPr>
          <w:rFonts w:ascii="Palatino Linotype" w:eastAsia="Palatino Linotype" w:hAnsi="Palatino Linotype" w:cs="Palatino Linotype"/>
          <w:color w:val="000000" w:themeColor="text1"/>
        </w:rPr>
        <w:t xml:space="preserve"> posterior a sus seis meses de labores dentro del Organismo, así se le hace mención al solicitante que, en cuanto a su petición, no se encuentra en tiempo ya que está corriendo el plazo para su acreditación; lo anterior con fundamento en la Ley que Crea los Organismos Descentralizados, Denominados Sistemas Municipales para el Desarrollo Integral de la Familia del Estado de México y su Municipios y así mismo reiterándole al solicitante que esta autoridad </w:t>
      </w:r>
      <w:r w:rsidRPr="00455724">
        <w:rPr>
          <w:rFonts w:ascii="Palatino Linotype" w:eastAsia="Palatino Linotype" w:hAnsi="Palatino Linotype" w:cs="Palatino Linotype"/>
          <w:b/>
          <w:color w:val="000000" w:themeColor="text1"/>
        </w:rPr>
        <w:t>aún no cuenta con un respaldo de que se encuentra en proceso de Certificación</w:t>
      </w:r>
      <w:r w:rsidRPr="00455724">
        <w:rPr>
          <w:rFonts w:ascii="Palatino Linotype" w:eastAsia="Palatino Linotype" w:hAnsi="Palatino Linotype" w:cs="Palatino Linotype"/>
          <w:color w:val="000000" w:themeColor="text1"/>
        </w:rPr>
        <w:t xml:space="preserve"> </w:t>
      </w:r>
      <w:r w:rsidRPr="00455724">
        <w:rPr>
          <w:rFonts w:ascii="Palatino Linotype" w:eastAsia="Palatino Linotype" w:hAnsi="Palatino Linotype" w:cs="Palatino Linotype"/>
          <w:b/>
          <w:color w:val="000000" w:themeColor="text1"/>
        </w:rPr>
        <w:t>ya que las autoridades correspondientes y Sancionadoras no requieren un respaldo, únicamente de la Certificación total.”</w:t>
      </w:r>
    </w:p>
    <w:p w14:paraId="32BD7BA4" w14:textId="77777777" w:rsidR="0083137F" w:rsidRPr="00455724" w:rsidRDefault="0083137F" w:rsidP="00544AE6">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p>
    <w:p w14:paraId="2A3D10CE" w14:textId="77777777" w:rsidR="0083137F" w:rsidRPr="00455724" w:rsidRDefault="009C2C7A" w:rsidP="00E60A95">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lastRenderedPageBreak/>
        <w:t>Folio de la solicitud: 00073/DIFCOCOTITLAN/IP/2025</w:t>
      </w:r>
    </w:p>
    <w:p w14:paraId="03BA7A98" w14:textId="77777777" w:rsidR="0083137F" w:rsidRPr="00455724" w:rsidRDefault="009C2C7A" w:rsidP="00544AE6">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b/>
          <w:i/>
          <w:color w:val="000000" w:themeColor="text1"/>
        </w:rPr>
        <w:t>73-25.pdf</w:t>
      </w:r>
    </w:p>
    <w:p w14:paraId="23FDBED6" w14:textId="77777777" w:rsidR="0083137F" w:rsidRPr="00455724" w:rsidRDefault="009C2C7A" w:rsidP="00544AE6">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Oficio de fecha 10 de junio de 2025 firmado por la Titular de la Unidad de Transparencia, en los mismos términos que el escrito con antelación.</w:t>
      </w:r>
    </w:p>
    <w:p w14:paraId="588ED243" w14:textId="77777777" w:rsidR="0083137F" w:rsidRPr="00455724" w:rsidRDefault="0083137F" w:rsidP="00544AE6">
      <w:pPr>
        <w:pBdr>
          <w:top w:val="nil"/>
          <w:left w:val="nil"/>
          <w:bottom w:val="nil"/>
          <w:right w:val="nil"/>
          <w:between w:val="nil"/>
        </w:pBdr>
        <w:tabs>
          <w:tab w:val="left" w:pos="0"/>
        </w:tabs>
        <w:ind w:right="-7"/>
        <w:jc w:val="both"/>
        <w:rPr>
          <w:rFonts w:ascii="Palatino Linotype" w:eastAsia="Palatino Linotype" w:hAnsi="Palatino Linotype" w:cs="Palatino Linotype"/>
          <w:i/>
          <w:color w:val="000000" w:themeColor="text1"/>
        </w:rPr>
      </w:pPr>
    </w:p>
    <w:p w14:paraId="7A2528DB" w14:textId="77777777" w:rsidR="0083137F" w:rsidRPr="00455724" w:rsidRDefault="009C2C7A" w:rsidP="00544AE6">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El</w:t>
      </w:r>
      <w:r w:rsidRPr="00455724">
        <w:rPr>
          <w:rFonts w:ascii="Palatino Linotype" w:eastAsia="Palatino Linotype" w:hAnsi="Palatino Linotype" w:cs="Palatino Linotype"/>
          <w:b/>
          <w:color w:val="000000" w:themeColor="text1"/>
        </w:rPr>
        <w:t xml:space="preserve"> dieciocho de junio de dos mil veinticinco</w:t>
      </w:r>
      <w:r w:rsidRPr="00455724">
        <w:rPr>
          <w:rFonts w:ascii="Palatino Linotype" w:eastAsia="Palatino Linotype" w:hAnsi="Palatino Linotype" w:cs="Palatino Linotype"/>
          <w:color w:val="000000" w:themeColor="text1"/>
        </w:rPr>
        <w:t xml:space="preserve">, el particular interpuso los Recursos de Revisión a los que se les asignaron los folios </w:t>
      </w:r>
      <w:r w:rsidRPr="00455724">
        <w:rPr>
          <w:rFonts w:ascii="Palatino Linotype" w:eastAsia="Palatino Linotype" w:hAnsi="Palatino Linotype" w:cs="Palatino Linotype"/>
          <w:b/>
          <w:color w:val="000000" w:themeColor="text1"/>
        </w:rPr>
        <w:t xml:space="preserve">07408/INFOEM/IP/RR/2025 y 07409/INFOEM/IP/RR/2025, </w:t>
      </w:r>
      <w:r w:rsidRPr="00455724">
        <w:rPr>
          <w:rFonts w:ascii="Palatino Linotype" w:eastAsia="Palatino Linotype" w:hAnsi="Palatino Linotype" w:cs="Palatino Linotype"/>
          <w:color w:val="000000" w:themeColor="text1"/>
        </w:rPr>
        <w:t>en contra de las respuestas emitidas por el sujeto obligado, realizando las siguientes manifestaciones como acto impugnado y razones o motivos de inconformidad:</w:t>
      </w:r>
    </w:p>
    <w:p w14:paraId="74E866D3" w14:textId="77777777" w:rsidR="0083137F" w:rsidRPr="00455724" w:rsidRDefault="009C2C7A" w:rsidP="00E60A95">
      <w:pPr>
        <w:pBdr>
          <w:top w:val="nil"/>
          <w:left w:val="nil"/>
          <w:bottom w:val="nil"/>
          <w:right w:val="nil"/>
          <w:between w:val="nil"/>
        </w:pBdr>
        <w:ind w:right="-7"/>
        <w:jc w:val="both"/>
        <w:rPr>
          <w:rFonts w:ascii="Palatino Linotype" w:eastAsia="Palatino Linotype" w:hAnsi="Palatino Linotype" w:cs="Palatino Linotype"/>
          <w:b/>
          <w:color w:val="000000" w:themeColor="text1"/>
        </w:rPr>
      </w:pPr>
      <w:bookmarkStart w:id="2" w:name="_heading=h.30j0zll" w:colFirst="0" w:colLast="0"/>
      <w:bookmarkEnd w:id="2"/>
      <w:r w:rsidRPr="00455724">
        <w:rPr>
          <w:rFonts w:ascii="Palatino Linotype" w:eastAsia="Palatino Linotype" w:hAnsi="Palatino Linotype" w:cs="Palatino Linotype"/>
          <w:b/>
          <w:color w:val="000000" w:themeColor="text1"/>
        </w:rPr>
        <w:t xml:space="preserve">07408/INFOEM/IP/RR/2025 </w:t>
      </w:r>
    </w:p>
    <w:p w14:paraId="12BDB40D" w14:textId="77777777" w:rsidR="0083137F" w:rsidRPr="00E60A95" w:rsidRDefault="009C2C7A" w:rsidP="00E60A95">
      <w:pPr>
        <w:pStyle w:val="Prrafodelista"/>
        <w:numPr>
          <w:ilvl w:val="0"/>
          <w:numId w:val="11"/>
        </w:num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E60A95">
        <w:rPr>
          <w:rFonts w:ascii="Palatino Linotype" w:eastAsia="Palatino Linotype" w:hAnsi="Palatino Linotype" w:cs="Palatino Linotype"/>
          <w:b/>
          <w:color w:val="000000" w:themeColor="text1"/>
        </w:rPr>
        <w:t>Acto impugnado:</w:t>
      </w:r>
    </w:p>
    <w:p w14:paraId="12B112E5" w14:textId="77777777" w:rsidR="0083137F" w:rsidRPr="00455724" w:rsidRDefault="009C2C7A" w:rsidP="00E60A95">
      <w:pPr>
        <w:pBdr>
          <w:top w:val="nil"/>
          <w:left w:val="nil"/>
          <w:bottom w:val="nil"/>
          <w:right w:val="nil"/>
          <w:between w:val="nil"/>
        </w:pBdr>
        <w:ind w:left="709"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“no se entregó el soporte documental de lo solicitado” (Sic)</w:t>
      </w:r>
    </w:p>
    <w:p w14:paraId="2E2E8933"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14:paraId="4A52313C" w14:textId="77777777" w:rsidR="0083137F" w:rsidRPr="00E60A95" w:rsidRDefault="009C2C7A" w:rsidP="00E60A95">
      <w:pPr>
        <w:pStyle w:val="Prrafodelista"/>
        <w:numPr>
          <w:ilvl w:val="0"/>
          <w:numId w:val="11"/>
        </w:num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E60A95">
        <w:rPr>
          <w:rFonts w:ascii="Palatino Linotype" w:eastAsia="Palatino Linotype" w:hAnsi="Palatino Linotype" w:cs="Palatino Linotype"/>
          <w:b/>
          <w:color w:val="000000" w:themeColor="text1"/>
        </w:rPr>
        <w:t>Razones o Motivos de inconformidad:</w:t>
      </w:r>
    </w:p>
    <w:p w14:paraId="4E379E1E"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“el sujeto obligado no entrego la información que se le solicito, dado que algunos servidores públicos ya se le venció los 6 meses que, marca la lay orgánica municipal para presentar sus constancias de competencia laboral.” (Sic)</w:t>
      </w:r>
    </w:p>
    <w:p w14:paraId="46B9BE23"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14:paraId="5EC02B5D" w14:textId="77777777" w:rsidR="0083137F" w:rsidRPr="00455724" w:rsidRDefault="009C2C7A" w:rsidP="00E60A95">
      <w:p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07409/INFOEM/IP/RR/2025</w:t>
      </w:r>
    </w:p>
    <w:p w14:paraId="0D4C8925" w14:textId="77777777" w:rsidR="0083137F" w:rsidRPr="00E60A95" w:rsidRDefault="009C2C7A" w:rsidP="00E60A95">
      <w:pPr>
        <w:pStyle w:val="Prrafodelista"/>
        <w:numPr>
          <w:ilvl w:val="0"/>
          <w:numId w:val="11"/>
        </w:num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E60A95">
        <w:rPr>
          <w:rFonts w:ascii="Palatino Linotype" w:eastAsia="Palatino Linotype" w:hAnsi="Palatino Linotype" w:cs="Palatino Linotype"/>
          <w:b/>
          <w:color w:val="000000" w:themeColor="text1"/>
        </w:rPr>
        <w:t>Acto impugnado:</w:t>
      </w:r>
    </w:p>
    <w:p w14:paraId="4C361BAB" w14:textId="77777777" w:rsidR="0083137F" w:rsidRPr="00455724" w:rsidRDefault="009C2C7A" w:rsidP="00E60A95">
      <w:pPr>
        <w:pBdr>
          <w:top w:val="nil"/>
          <w:left w:val="nil"/>
          <w:bottom w:val="nil"/>
          <w:right w:val="nil"/>
          <w:between w:val="nil"/>
        </w:pBdr>
        <w:ind w:left="426"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“no se me entrego información que le solicité.” (Sic)</w:t>
      </w:r>
    </w:p>
    <w:p w14:paraId="52D0570C"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14:paraId="1DA83EBA" w14:textId="77777777" w:rsidR="0083137F" w:rsidRPr="00E60A95" w:rsidRDefault="009C2C7A" w:rsidP="00E60A95">
      <w:pPr>
        <w:pStyle w:val="Prrafodelista"/>
        <w:numPr>
          <w:ilvl w:val="0"/>
          <w:numId w:val="11"/>
        </w:num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E60A95">
        <w:rPr>
          <w:rFonts w:ascii="Palatino Linotype" w:eastAsia="Palatino Linotype" w:hAnsi="Palatino Linotype" w:cs="Palatino Linotype"/>
          <w:b/>
          <w:color w:val="000000" w:themeColor="text1"/>
        </w:rPr>
        <w:t xml:space="preserve">Razones o Motivos de inconformidad: </w:t>
      </w:r>
    </w:p>
    <w:p w14:paraId="5A7B3777" w14:textId="77777777" w:rsidR="0083137F" w:rsidRPr="00455724" w:rsidRDefault="009C2C7A" w:rsidP="00E60A95">
      <w:pPr>
        <w:pBdr>
          <w:top w:val="nil"/>
          <w:left w:val="nil"/>
          <w:bottom w:val="nil"/>
          <w:right w:val="nil"/>
          <w:between w:val="nil"/>
        </w:pBdr>
        <w:ind w:left="426"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“no se remiten las constancias que se les solicitó.” (Sic)</w:t>
      </w:r>
    </w:p>
    <w:p w14:paraId="440BBE86" w14:textId="77777777" w:rsidR="0083137F" w:rsidRPr="00455724" w:rsidRDefault="0083137F" w:rsidP="00544AE6">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i/>
          <w:color w:val="000000" w:themeColor="text1"/>
          <w:u w:val="single"/>
        </w:rPr>
      </w:pPr>
    </w:p>
    <w:p w14:paraId="119902E8" w14:textId="77777777" w:rsidR="0083137F" w:rsidRPr="00455724" w:rsidRDefault="009C2C7A" w:rsidP="00544AE6">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Los Comisionados de origen, con fundamento en lo dispuesto por el artículo 185, fracción II, de la ley de la materia, a través de los </w:t>
      </w:r>
      <w:r w:rsidRPr="00455724">
        <w:rPr>
          <w:rFonts w:ascii="Palatino Linotype" w:eastAsia="Palatino Linotype" w:hAnsi="Palatino Linotype" w:cs="Palatino Linotype"/>
          <w:b/>
          <w:color w:val="000000" w:themeColor="text1"/>
        </w:rPr>
        <w:t xml:space="preserve">acuerdos de admisión </w:t>
      </w:r>
      <w:r w:rsidRPr="00455724">
        <w:rPr>
          <w:rFonts w:ascii="Palatino Linotype" w:eastAsia="Palatino Linotype" w:hAnsi="Palatino Linotype" w:cs="Palatino Linotype"/>
          <w:color w:val="000000" w:themeColor="text1"/>
        </w:rPr>
        <w:t xml:space="preserve">de fechas </w:t>
      </w:r>
      <w:r w:rsidRPr="00455724">
        <w:rPr>
          <w:rFonts w:ascii="Palatino Linotype" w:eastAsia="Palatino Linotype" w:hAnsi="Palatino Linotype" w:cs="Palatino Linotype"/>
          <w:b/>
          <w:color w:val="000000" w:themeColor="text1"/>
        </w:rPr>
        <w:t xml:space="preserve">diecinueve y veintitrés de junio de dos mil veinticinco, </w:t>
      </w:r>
      <w:r w:rsidRPr="00455724">
        <w:rPr>
          <w:rFonts w:ascii="Palatino Linotype" w:eastAsia="Palatino Linotype" w:hAnsi="Palatino Linotype" w:cs="Palatino Linotype"/>
          <w:color w:val="000000" w:themeColor="text1"/>
        </w:rPr>
        <w:t xml:space="preserve">pusieron a disposición de las partes los expedientes electrónicos vía SAIMEX a efecto de que en un plazo máximo de siete días manifestara lo que a su derecho conviniera, ofreciera pruebas y alegatos según corresponda </w:t>
      </w:r>
      <w:r w:rsidRPr="00455724">
        <w:rPr>
          <w:rFonts w:ascii="Palatino Linotype" w:eastAsia="Palatino Linotype" w:hAnsi="Palatino Linotype" w:cs="Palatino Linotype"/>
          <w:color w:val="000000" w:themeColor="text1"/>
        </w:rPr>
        <w:lastRenderedPageBreak/>
        <w:t xml:space="preserve">al caso concreto, de esta forma para que el </w:t>
      </w:r>
      <w:r w:rsidRPr="00455724">
        <w:rPr>
          <w:rFonts w:ascii="Palatino Linotype" w:eastAsia="Palatino Linotype" w:hAnsi="Palatino Linotype" w:cs="Palatino Linotype"/>
          <w:b/>
          <w:color w:val="000000" w:themeColor="text1"/>
        </w:rPr>
        <w:t xml:space="preserve">SUJETO OBLIGADO </w:t>
      </w:r>
      <w:r w:rsidRPr="00455724">
        <w:rPr>
          <w:rFonts w:ascii="Palatino Linotype" w:eastAsia="Palatino Linotype" w:hAnsi="Palatino Linotype" w:cs="Palatino Linotype"/>
          <w:color w:val="000000" w:themeColor="text1"/>
        </w:rPr>
        <w:t>presentara el Informes Justificados procedentes.</w:t>
      </w:r>
    </w:p>
    <w:p w14:paraId="36114B29" w14:textId="77777777" w:rsidR="0083137F" w:rsidRPr="00455724" w:rsidRDefault="0083137F" w:rsidP="00544AE6">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14:paraId="507D254E" w14:textId="77777777" w:rsidR="0083137F" w:rsidRPr="00455724" w:rsidRDefault="009C2C7A" w:rsidP="00544AE6">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El Recurrente dejó de realizar manifestaciones que a su derecho conviniera y asistiera. Por su parte, el Sujeto Obligado,</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no rindió informes justificados, tal como se muestra en las siguientes capturas de pantalla:</w:t>
      </w:r>
    </w:p>
    <w:p w14:paraId="6C0D1120" w14:textId="77777777" w:rsidR="0083137F" w:rsidRPr="00455724" w:rsidRDefault="009C2C7A" w:rsidP="00544AE6">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noProof/>
          <w:color w:val="000000" w:themeColor="text1"/>
          <w:lang w:val="es-MX"/>
        </w:rPr>
        <w:drawing>
          <wp:inline distT="0" distB="0" distL="0" distR="0" wp14:anchorId="46E252B0" wp14:editId="738B002D">
            <wp:extent cx="5287053" cy="1282541"/>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287053" cy="1282541"/>
                    </a:xfrm>
                    <a:prstGeom prst="rect">
                      <a:avLst/>
                    </a:prstGeom>
                    <a:ln/>
                  </pic:spPr>
                </pic:pic>
              </a:graphicData>
            </a:graphic>
          </wp:inline>
        </w:drawing>
      </w:r>
    </w:p>
    <w:p w14:paraId="4C56F920" w14:textId="77777777" w:rsidR="0083137F" w:rsidRPr="00455724" w:rsidRDefault="009C2C7A" w:rsidP="00544AE6">
      <w:pPr>
        <w:pBdr>
          <w:top w:val="nil"/>
          <w:left w:val="nil"/>
          <w:bottom w:val="nil"/>
          <w:right w:val="nil"/>
          <w:between w:val="nil"/>
        </w:pBdr>
        <w:ind w:right="-7"/>
        <w:jc w:val="center"/>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noProof/>
          <w:color w:val="000000" w:themeColor="text1"/>
          <w:lang w:val="es-MX"/>
        </w:rPr>
        <w:drawing>
          <wp:inline distT="0" distB="0" distL="0" distR="0" wp14:anchorId="3692C12C" wp14:editId="37099485">
            <wp:extent cx="5271411" cy="1302588"/>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71411" cy="1302588"/>
                    </a:xfrm>
                    <a:prstGeom prst="rect">
                      <a:avLst/>
                    </a:prstGeom>
                    <a:ln/>
                  </pic:spPr>
                </pic:pic>
              </a:graphicData>
            </a:graphic>
          </wp:inline>
        </w:drawing>
      </w:r>
    </w:p>
    <w:p w14:paraId="3FA02E3F" w14:textId="77777777" w:rsidR="0083137F" w:rsidRDefault="0083137F" w:rsidP="00544AE6">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7157BF6A" w14:textId="77777777" w:rsidR="00E60A95" w:rsidRPr="00455724" w:rsidRDefault="00E60A95" w:rsidP="00544AE6">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7F1AF6C2" w14:textId="77777777" w:rsidR="0083137F" w:rsidRPr="00455724" w:rsidRDefault="009C2C7A" w:rsidP="00544AE6">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Posteriormente el Pleno de este Órgano Autónomo, en fecha</w:t>
      </w:r>
      <w:r w:rsidRPr="00455724">
        <w:rPr>
          <w:rFonts w:ascii="Palatino Linotype" w:eastAsia="Palatino Linotype" w:hAnsi="Palatino Linotype" w:cs="Palatino Linotype"/>
          <w:b/>
          <w:color w:val="000000" w:themeColor="text1"/>
        </w:rPr>
        <w:t xml:space="preserve"> veinticuatro de junio de dos mil veinticinco</w:t>
      </w:r>
      <w:r w:rsidRPr="00455724">
        <w:rPr>
          <w:rFonts w:ascii="Palatino Linotype" w:eastAsia="Palatino Linotype" w:hAnsi="Palatino Linotype" w:cs="Palatino Linotype"/>
          <w:color w:val="000000" w:themeColor="text1"/>
        </w:rPr>
        <w:t xml:space="preserve">; </w:t>
      </w:r>
      <w:r w:rsidRPr="00455724">
        <w:rPr>
          <w:rFonts w:ascii="Palatino Linotype" w:eastAsia="Palatino Linotype" w:hAnsi="Palatino Linotype" w:cs="Palatino Linotype"/>
          <w:b/>
          <w:color w:val="000000" w:themeColor="text1"/>
        </w:rPr>
        <w:t>ordenó la acumulación</w:t>
      </w:r>
      <w:r w:rsidRPr="00455724">
        <w:rPr>
          <w:rFonts w:ascii="Palatino Linotype" w:eastAsia="Palatino Linotype" w:hAnsi="Palatino Linotype" w:cs="Palatino Linotype"/>
          <w:color w:val="000000" w:themeColor="text1"/>
        </w:rPr>
        <w:t xml:space="preserve"> de los recursos de revisión de mérito, a efecto de que la Ponencia de la </w:t>
      </w:r>
      <w:r w:rsidRPr="00455724">
        <w:rPr>
          <w:rFonts w:ascii="Palatino Linotype" w:eastAsia="Palatino Linotype" w:hAnsi="Palatino Linotype" w:cs="Palatino Linotype"/>
          <w:b/>
          <w:color w:val="000000" w:themeColor="text1"/>
        </w:rPr>
        <w:t xml:space="preserve">Comisionada María del Rosario Mejía Ayala </w:t>
      </w:r>
      <w:r w:rsidRPr="00455724">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455724">
        <w:rPr>
          <w:rFonts w:ascii="Palatino Linotype" w:eastAsia="Palatino Linotype" w:hAnsi="Palatino Linotype" w:cs="Palatino Linotype"/>
          <w:i/>
          <w:color w:val="000000" w:themeColor="text1"/>
          <w:vertAlign w:val="superscript"/>
        </w:rPr>
        <w:footnoteReference w:id="1"/>
      </w:r>
      <w:r w:rsidRPr="00455724">
        <w:rPr>
          <w:rFonts w:ascii="Palatino Linotype" w:eastAsia="Palatino Linotype" w:hAnsi="Palatino Linotype" w:cs="Palatino Linotype"/>
          <w:color w:val="000000" w:themeColor="text1"/>
        </w:rPr>
        <w:t>, que señala:</w:t>
      </w:r>
    </w:p>
    <w:p w14:paraId="48796271"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lastRenderedPageBreak/>
        <w:t>“ONCE.</w:t>
      </w:r>
      <w:r w:rsidRPr="00455724">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73C26D87"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r w:rsidRPr="00455724">
        <w:rPr>
          <w:rFonts w:ascii="Palatino Linotype" w:eastAsia="Palatino Linotype" w:hAnsi="Palatino Linotype" w:cs="Palatino Linotype"/>
          <w:i/>
          <w:color w:val="000000" w:themeColor="text1"/>
        </w:rPr>
        <w:tab/>
      </w:r>
    </w:p>
    <w:p w14:paraId="04F0C424"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b) Las partes o los actos impugnados sean iguales</w:t>
      </w:r>
    </w:p>
    <w:p w14:paraId="23A1425E"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c) Cuando se trate del mismo solicitante, el mismo SUJETO OBLIGADO, aunque se trate de solicitudes diversas;</w:t>
      </w:r>
    </w:p>
    <w:p w14:paraId="7C7BC6D8"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p>
    <w:p w14:paraId="33883D3D"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(Énfasis añadido)</w:t>
      </w:r>
    </w:p>
    <w:p w14:paraId="0CA20EE0"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40216651" w14:textId="77777777" w:rsidR="0083137F" w:rsidRPr="00455724" w:rsidRDefault="009C2C7A" w:rsidP="00544AE6">
      <w:pPr>
        <w:numPr>
          <w:ilvl w:val="0"/>
          <w:numId w:val="2"/>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Es así que,</w:t>
      </w:r>
      <w:r w:rsidRPr="00455724">
        <w:rPr>
          <w:rFonts w:ascii="Palatino Linotype" w:eastAsia="Palatino Linotype" w:hAnsi="Palatino Linotype" w:cs="Palatino Linotype"/>
          <w:i/>
          <w:color w:val="000000" w:themeColor="text1"/>
        </w:rPr>
        <w:t xml:space="preserve"> </w:t>
      </w:r>
      <w:r w:rsidRPr="00455724">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5C5EFB14" w14:textId="77777777" w:rsidR="0083137F" w:rsidRPr="00455724" w:rsidRDefault="0083137F" w:rsidP="00544AE6">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14:paraId="42D31D4F" w14:textId="77777777" w:rsidR="0083137F" w:rsidRPr="00455724" w:rsidRDefault="009C2C7A" w:rsidP="00544AE6">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3" w:name="_heading=h.3znysh7" w:colFirst="0" w:colLast="0"/>
      <w:bookmarkEnd w:id="3"/>
      <w:r w:rsidRPr="00455724">
        <w:rPr>
          <w:rFonts w:ascii="Palatino Linotype" w:eastAsia="Palatino Linotype" w:hAnsi="Palatino Linotype" w:cs="Palatino Linotype"/>
          <w:color w:val="000000" w:themeColor="text1"/>
        </w:rPr>
        <w:t xml:space="preserve">En fecha </w:t>
      </w:r>
      <w:r w:rsidRPr="00455724">
        <w:rPr>
          <w:rFonts w:ascii="Palatino Linotype" w:eastAsia="Palatino Linotype" w:hAnsi="Palatino Linotype" w:cs="Palatino Linotype"/>
          <w:b/>
          <w:color w:val="000000" w:themeColor="text1"/>
        </w:rPr>
        <w:t xml:space="preserve">trece de agosto de agosto de dos mil veinticinco, </w:t>
      </w:r>
      <w:r w:rsidRPr="00455724">
        <w:rPr>
          <w:rFonts w:ascii="Palatino Linotype" w:eastAsia="Palatino Linotype" w:hAnsi="Palatino Linotype" w:cs="Palatino Linotype"/>
          <w:color w:val="000000" w:themeColor="text1"/>
        </w:rPr>
        <w:t>se acordó ampliar el plazo para resolver los presentes medios de impugnación.</w:t>
      </w:r>
    </w:p>
    <w:p w14:paraId="381840E2" w14:textId="77777777" w:rsidR="0083137F" w:rsidRPr="00455724" w:rsidRDefault="0083137F" w:rsidP="00544AE6">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157DE822" w14:textId="054ED5D4" w:rsidR="0083137F" w:rsidRPr="00455724" w:rsidRDefault="009C2C7A" w:rsidP="00544AE6">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color w:val="000000" w:themeColor="text1"/>
        </w:rPr>
        <w:t xml:space="preserve">Seguidamente, en fecha </w:t>
      </w:r>
      <w:r w:rsidRPr="00455724">
        <w:rPr>
          <w:rFonts w:ascii="Palatino Linotype" w:eastAsia="Palatino Linotype" w:hAnsi="Palatino Linotype" w:cs="Palatino Linotype"/>
          <w:b/>
          <w:color w:val="000000" w:themeColor="text1"/>
        </w:rPr>
        <w:t>trece de agosto de agosto de dos mil veinticinco</w:t>
      </w:r>
      <w:r w:rsidRPr="00455724">
        <w:rPr>
          <w:rFonts w:ascii="Palatino Linotype" w:eastAsia="Palatino Linotype" w:hAnsi="Palatino Linotype" w:cs="Palatino Linotype"/>
          <w:color w:val="000000" w:themeColor="text1"/>
        </w:rPr>
        <w:t xml:space="preserve">, la Comisionada Ponente dictó el </w:t>
      </w:r>
      <w:r w:rsidRPr="00455724">
        <w:rPr>
          <w:rFonts w:ascii="Palatino Linotype" w:eastAsia="Palatino Linotype" w:hAnsi="Palatino Linotype" w:cs="Palatino Linotype"/>
          <w:b/>
          <w:color w:val="000000" w:themeColor="text1"/>
        </w:rPr>
        <w:t>cierre del periodo de instrucción</w:t>
      </w:r>
      <w:r w:rsidRPr="00455724">
        <w:rPr>
          <w:rFonts w:ascii="Palatino Linotype" w:eastAsia="Palatino Linotype" w:hAnsi="Palatino Linotype" w:cs="Palatino Linotype"/>
          <w:color w:val="000000" w:themeColor="text1"/>
        </w:rPr>
        <w:t xml:space="preserve"> y, orden</w:t>
      </w:r>
      <w:r w:rsidR="00E60A95">
        <w:rPr>
          <w:rFonts w:ascii="Palatino Linotype" w:eastAsia="Palatino Linotype" w:hAnsi="Palatino Linotype" w:cs="Palatino Linotype"/>
          <w:color w:val="000000" w:themeColor="text1"/>
        </w:rPr>
        <w:t>ó la resolución que conforme a d</w:t>
      </w:r>
      <w:r w:rsidRPr="00455724">
        <w:rPr>
          <w:rFonts w:ascii="Palatino Linotype" w:eastAsia="Palatino Linotype" w:hAnsi="Palatino Linotype" w:cs="Palatino Linotype"/>
          <w:color w:val="000000" w:themeColor="text1"/>
        </w:rPr>
        <w:t>erecho proceda:</w:t>
      </w:r>
    </w:p>
    <w:p w14:paraId="1A3F2583" w14:textId="77777777" w:rsidR="0083137F" w:rsidRPr="00455724" w:rsidRDefault="0083137F" w:rsidP="00544AE6">
      <w:pPr>
        <w:pBdr>
          <w:top w:val="nil"/>
          <w:left w:val="nil"/>
          <w:bottom w:val="nil"/>
          <w:right w:val="nil"/>
          <w:between w:val="nil"/>
        </w:pBdr>
        <w:ind w:right="-7"/>
        <w:rPr>
          <w:rFonts w:ascii="Palatino Linotype" w:eastAsia="Palatino Linotype" w:hAnsi="Palatino Linotype" w:cs="Palatino Linotype"/>
          <w:b/>
          <w:color w:val="000000" w:themeColor="text1"/>
        </w:rPr>
      </w:pPr>
    </w:p>
    <w:p w14:paraId="038EDF2C" w14:textId="77777777" w:rsidR="0083137F" w:rsidRPr="00455724" w:rsidRDefault="009C2C7A" w:rsidP="00544AE6">
      <w:pPr>
        <w:keepNext/>
        <w:keepLines/>
        <w:spacing w:line="360" w:lineRule="auto"/>
        <w:ind w:right="-7"/>
        <w:jc w:val="center"/>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 xml:space="preserve">C O N S I D E R A N D O </w:t>
      </w:r>
    </w:p>
    <w:p w14:paraId="1B144087" w14:textId="77777777" w:rsidR="0083137F" w:rsidRPr="00455724" w:rsidRDefault="0083137F" w:rsidP="00544AE6">
      <w:pPr>
        <w:spacing w:line="360" w:lineRule="auto"/>
        <w:ind w:right="-7"/>
        <w:rPr>
          <w:rFonts w:ascii="Palatino Linotype" w:eastAsia="Palatino Linotype" w:hAnsi="Palatino Linotype" w:cs="Palatino Linotype"/>
          <w:color w:val="000000" w:themeColor="text1"/>
        </w:rPr>
      </w:pPr>
    </w:p>
    <w:p w14:paraId="72FC2E97" w14:textId="77777777" w:rsidR="0083137F" w:rsidRPr="00455724" w:rsidRDefault="009C2C7A" w:rsidP="00544AE6">
      <w:pPr>
        <w:keepNext/>
        <w:keepLines/>
        <w:spacing w:line="360" w:lineRule="auto"/>
        <w:ind w:right="-7"/>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PRIMERO. De la competencia</w:t>
      </w:r>
    </w:p>
    <w:p w14:paraId="4F9455DC" w14:textId="77777777" w:rsidR="0083137F" w:rsidRPr="00455724" w:rsidRDefault="009C2C7A" w:rsidP="00544AE6">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w:t>
      </w:r>
      <w:r w:rsidRPr="00455724">
        <w:rPr>
          <w:rFonts w:ascii="Palatino Linotype" w:eastAsia="Palatino Linotype" w:hAnsi="Palatino Linotype" w:cs="Palatino Linotype"/>
          <w:color w:val="000000" w:themeColor="text1"/>
        </w:rPr>
        <w:lastRenderedPageBreak/>
        <w:t>de revisión interpuesto por el Recurrente conforme a lo dispuesto en los artículos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8AEAE45" w14:textId="77777777" w:rsidR="0083137F" w:rsidRPr="00455724" w:rsidRDefault="0083137F" w:rsidP="00544AE6">
      <w:pPr>
        <w:tabs>
          <w:tab w:val="left" w:pos="426"/>
        </w:tabs>
        <w:spacing w:line="360" w:lineRule="auto"/>
        <w:ind w:right="-7"/>
        <w:jc w:val="both"/>
        <w:rPr>
          <w:rFonts w:ascii="Palatino Linotype" w:eastAsia="Palatino Linotype" w:hAnsi="Palatino Linotype" w:cs="Palatino Linotype"/>
          <w:color w:val="000000" w:themeColor="text1"/>
        </w:rPr>
      </w:pPr>
    </w:p>
    <w:p w14:paraId="30603C46" w14:textId="77777777" w:rsidR="0083137F" w:rsidRPr="00455724" w:rsidRDefault="009C2C7A" w:rsidP="00544AE6">
      <w:pPr>
        <w:keepNext/>
        <w:keepLines/>
        <w:spacing w:line="360" w:lineRule="auto"/>
        <w:ind w:right="-7"/>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SEGUNDO. De la oportunidad y procedencia.</w:t>
      </w:r>
    </w:p>
    <w:p w14:paraId="76F50D89" w14:textId="77777777" w:rsidR="0083137F" w:rsidRPr="00455724" w:rsidRDefault="009C2C7A" w:rsidP="00544AE6">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Los medios de impugnación fueron presentados a través del </w:t>
      </w:r>
      <w:r w:rsidRPr="00455724">
        <w:rPr>
          <w:rFonts w:ascii="Palatino Linotype" w:eastAsia="Palatino Linotype" w:hAnsi="Palatino Linotype" w:cs="Palatino Linotype"/>
          <w:b/>
          <w:color w:val="000000" w:themeColor="text1"/>
        </w:rPr>
        <w:t>SAIMEX,</w:t>
      </w:r>
      <w:r w:rsidRPr="0045572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entregó respuestas el </w:t>
      </w:r>
      <w:r w:rsidRPr="00455724">
        <w:rPr>
          <w:rFonts w:ascii="Palatino Linotype" w:eastAsia="Palatino Linotype" w:hAnsi="Palatino Linotype" w:cs="Palatino Linotype"/>
          <w:b/>
          <w:color w:val="000000" w:themeColor="text1"/>
        </w:rPr>
        <w:t>dieciocho de junio de dos mil veinticinco</w:t>
      </w:r>
      <w:r w:rsidRPr="00455724">
        <w:rPr>
          <w:rFonts w:ascii="Palatino Linotype" w:eastAsia="Palatino Linotype" w:hAnsi="Palatino Linotype" w:cs="Palatino Linotype"/>
          <w:color w:val="000000" w:themeColor="text1"/>
        </w:rPr>
        <w:t xml:space="preserve">, de tal forma que el plazo para interponer los recursos transcurrió del </w:t>
      </w:r>
      <w:r w:rsidRPr="00455724">
        <w:rPr>
          <w:rFonts w:ascii="Palatino Linotype" w:eastAsia="Palatino Linotype" w:hAnsi="Palatino Linotype" w:cs="Palatino Linotype"/>
          <w:b/>
          <w:color w:val="000000" w:themeColor="text1"/>
        </w:rPr>
        <w:t xml:space="preserve">diecinueve de junio al nueve de julio de dos mil veinticinco, </w:t>
      </w:r>
      <w:r w:rsidRPr="00455724">
        <w:rPr>
          <w:rFonts w:ascii="Palatino Linotype" w:eastAsia="Palatino Linotype" w:hAnsi="Palatino Linotype" w:cs="Palatino Linotype"/>
          <w:color w:val="000000" w:themeColor="text1"/>
        </w:rPr>
        <w:t xml:space="preserve">en consecuencia, si el </w:t>
      </w:r>
      <w:r w:rsidRPr="00455724">
        <w:rPr>
          <w:rFonts w:ascii="Palatino Linotype" w:eastAsia="Palatino Linotype" w:hAnsi="Palatino Linotype" w:cs="Palatino Linotype"/>
          <w:b/>
          <w:color w:val="000000" w:themeColor="text1"/>
        </w:rPr>
        <w:t>PARTICULAR</w:t>
      </w:r>
      <w:r w:rsidRPr="00455724">
        <w:rPr>
          <w:rFonts w:ascii="Palatino Linotype" w:eastAsia="Palatino Linotype" w:hAnsi="Palatino Linotype" w:cs="Palatino Linotype"/>
          <w:color w:val="000000" w:themeColor="text1"/>
        </w:rPr>
        <w:t xml:space="preserve"> presentó su inconformidad el </w:t>
      </w:r>
      <w:r w:rsidRPr="00455724">
        <w:rPr>
          <w:rFonts w:ascii="Palatino Linotype" w:eastAsia="Palatino Linotype" w:hAnsi="Palatino Linotype" w:cs="Palatino Linotype"/>
          <w:b/>
          <w:color w:val="000000" w:themeColor="text1"/>
        </w:rPr>
        <w:t>dieciocho de junio de dos mil veinticinco</w:t>
      </w:r>
      <w:r w:rsidRPr="00455724">
        <w:rPr>
          <w:rFonts w:ascii="Palatino Linotype" w:eastAsia="Palatino Linotype" w:hAnsi="Palatino Linotype" w:cs="Palatino Linotype"/>
          <w:color w:val="000000" w:themeColor="text1"/>
        </w:rPr>
        <w:t xml:space="preserve">, este  se encuentra dentro de los márgenes temporales previstos en el artículo 178 de la </w:t>
      </w:r>
      <w:r w:rsidRPr="0045572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55724">
        <w:rPr>
          <w:rFonts w:ascii="Palatino Linotype" w:eastAsia="Palatino Linotype" w:hAnsi="Palatino Linotype" w:cs="Palatino Linotype"/>
          <w:color w:val="000000" w:themeColor="text1"/>
        </w:rPr>
        <w:t>vigente.</w:t>
      </w:r>
    </w:p>
    <w:p w14:paraId="3215453E"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bookmarkStart w:id="4" w:name="_heading=h.2et92p0" w:colFirst="0" w:colLast="0"/>
      <w:bookmarkEnd w:id="4"/>
    </w:p>
    <w:p w14:paraId="750E3AC1" w14:textId="77777777" w:rsidR="0083137F" w:rsidRPr="00455724" w:rsidRDefault="009C2C7A" w:rsidP="00544AE6">
      <w:pPr>
        <w:pStyle w:val="Ttulo2"/>
        <w:ind w:right="-7"/>
        <w:rPr>
          <w:rFonts w:ascii="Palatino Linotype" w:eastAsia="Palatino Linotype" w:hAnsi="Palatino Linotype" w:cs="Palatino Linotype"/>
          <w:b/>
          <w:i/>
          <w:color w:val="000000" w:themeColor="text1"/>
          <w:sz w:val="24"/>
          <w:szCs w:val="24"/>
        </w:rPr>
      </w:pPr>
      <w:r w:rsidRPr="00455724">
        <w:rPr>
          <w:rFonts w:ascii="Palatino Linotype" w:eastAsia="Palatino Linotype" w:hAnsi="Palatino Linotype" w:cs="Palatino Linotype"/>
          <w:b/>
          <w:color w:val="000000" w:themeColor="text1"/>
          <w:sz w:val="24"/>
          <w:szCs w:val="24"/>
        </w:rPr>
        <w:t xml:space="preserve">TERCERO. Del planteamiento de la </w:t>
      </w:r>
      <w:r w:rsidRPr="00455724">
        <w:rPr>
          <w:rFonts w:ascii="Palatino Linotype" w:eastAsia="Palatino Linotype" w:hAnsi="Palatino Linotype" w:cs="Palatino Linotype"/>
          <w:b/>
          <w:i/>
          <w:color w:val="000000" w:themeColor="text1"/>
          <w:sz w:val="24"/>
          <w:szCs w:val="24"/>
        </w:rPr>
        <w:t>Litis.</w:t>
      </w:r>
    </w:p>
    <w:p w14:paraId="3DF0F925"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Se solicitó tener acceso, a la información que a continuación se simplifica:</w:t>
      </w:r>
    </w:p>
    <w:p w14:paraId="6092E42B" w14:textId="77777777" w:rsidR="0083137F" w:rsidRPr="00455724" w:rsidRDefault="009C2C7A" w:rsidP="00544AE6">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 De la actual administración, las certificaciones de competencia laboral del personal del DIF, que están obligados a presentar según la Ley Orgánica Municipal, incluyendo las de los titulares de la Unidad de Transparencia, Tesorero honorífico y Contralor honorífico.</w:t>
      </w:r>
    </w:p>
    <w:p w14:paraId="7E483CC1"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344FB0F9"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En respuesta, el Sujeto Obligado</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remitió los archivos ya descritos en el anterior párrafo 2, inconforme con la respuesta, se interpuso recurso de revisión argumentando sustancialmente la falta de entrega del soporte documental solicitado.</w:t>
      </w:r>
    </w:p>
    <w:p w14:paraId="704519D8"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25FD680F"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455724">
        <w:rPr>
          <w:rFonts w:ascii="Palatino Linotype" w:eastAsia="Palatino Linotype" w:hAnsi="Palatino Linotype" w:cs="Palatino Linotype"/>
          <w:b/>
          <w:color w:val="000000" w:themeColor="text1"/>
        </w:rPr>
        <w:t>artículo 179, fracción I, de la Ley de Transparencia y Acceso a la Información Pública del Estado de México y Municipios</w:t>
      </w:r>
      <w:r w:rsidRPr="00455724">
        <w:rPr>
          <w:rFonts w:ascii="Palatino Linotype" w:eastAsia="Palatino Linotype" w:hAnsi="Palatino Linotype" w:cs="Palatino Linotype"/>
          <w:color w:val="000000" w:themeColor="text1"/>
        </w:rPr>
        <w:t xml:space="preserve">; fracción que determina la hipótesis relativa a </w:t>
      </w:r>
      <w:r w:rsidRPr="00455724">
        <w:rPr>
          <w:rFonts w:ascii="Palatino Linotype" w:eastAsia="Palatino Linotype" w:hAnsi="Palatino Linotype" w:cs="Palatino Linotype"/>
          <w:b/>
          <w:color w:val="000000" w:themeColor="text1"/>
        </w:rPr>
        <w:t>la negativa a la información solicitada</w:t>
      </w:r>
      <w:r w:rsidRPr="00455724">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señalada.</w:t>
      </w:r>
    </w:p>
    <w:p w14:paraId="058DD335" w14:textId="77777777" w:rsidR="0083137F" w:rsidRPr="00455724" w:rsidRDefault="0083137F" w:rsidP="00544AE6">
      <w:pPr>
        <w:spacing w:line="360" w:lineRule="auto"/>
        <w:ind w:right="-7"/>
        <w:rPr>
          <w:rFonts w:ascii="Palatino Linotype" w:eastAsia="Palatino Linotype" w:hAnsi="Palatino Linotype" w:cs="Palatino Linotype"/>
          <w:color w:val="000000" w:themeColor="text1"/>
        </w:rPr>
      </w:pPr>
    </w:p>
    <w:p w14:paraId="2CEC3DDF" w14:textId="77777777" w:rsidR="0083137F" w:rsidRPr="00455724" w:rsidRDefault="009C2C7A" w:rsidP="00544AE6">
      <w:pPr>
        <w:pStyle w:val="Ttulo2"/>
        <w:ind w:right="-7"/>
        <w:rPr>
          <w:rFonts w:ascii="Palatino Linotype" w:eastAsia="Palatino Linotype" w:hAnsi="Palatino Linotype" w:cs="Palatino Linotype"/>
          <w:b/>
          <w:color w:val="000000" w:themeColor="text1"/>
          <w:sz w:val="24"/>
          <w:szCs w:val="24"/>
        </w:rPr>
      </w:pPr>
      <w:bookmarkStart w:id="5" w:name="_heading=h.1t3h5sf" w:colFirst="0" w:colLast="0"/>
      <w:bookmarkEnd w:id="5"/>
      <w:r w:rsidRPr="00455724">
        <w:rPr>
          <w:rFonts w:ascii="Palatino Linotype" w:eastAsia="Palatino Linotype" w:hAnsi="Palatino Linotype" w:cs="Palatino Linotype"/>
          <w:b/>
          <w:color w:val="000000" w:themeColor="text1"/>
          <w:sz w:val="24"/>
          <w:szCs w:val="24"/>
        </w:rPr>
        <w:t>CUARTO. Del estudio y resolución del asunto.</w:t>
      </w:r>
    </w:p>
    <w:p w14:paraId="7E0E4E87"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5E78BEE"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1EEFD8BE"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w:t>
      </w:r>
      <w:r w:rsidRPr="00455724">
        <w:rPr>
          <w:rFonts w:ascii="Palatino Linotype" w:eastAsia="Palatino Linotype" w:hAnsi="Palatino Linotype" w:cs="Palatino Linotype"/>
          <w:color w:val="000000" w:themeColor="text1"/>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725ABC19" w14:textId="77777777" w:rsidR="0083137F" w:rsidRPr="00455724" w:rsidRDefault="0083137F" w:rsidP="00544AE6">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14:paraId="1DEF0B70"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76968101" w14:textId="77777777" w:rsidR="0083137F" w:rsidRPr="00455724" w:rsidRDefault="0083137F" w:rsidP="00544AE6">
      <w:pPr>
        <w:ind w:right="-7"/>
        <w:jc w:val="both"/>
        <w:rPr>
          <w:rFonts w:ascii="Palatino Linotype" w:eastAsia="Palatino Linotype" w:hAnsi="Palatino Linotype" w:cs="Palatino Linotype"/>
          <w:color w:val="000000" w:themeColor="text1"/>
        </w:rPr>
      </w:pPr>
    </w:p>
    <w:p w14:paraId="06E001D9" w14:textId="77777777" w:rsidR="0083137F" w:rsidRPr="00455724" w:rsidRDefault="009C2C7A" w:rsidP="00544AE6">
      <w:pPr>
        <w:numPr>
          <w:ilvl w:val="0"/>
          <w:numId w:val="4"/>
        </w:numPr>
        <w:pBdr>
          <w:top w:val="nil"/>
          <w:left w:val="nil"/>
          <w:bottom w:val="nil"/>
          <w:right w:val="nil"/>
          <w:between w:val="nil"/>
        </w:pBdr>
        <w:spacing w:line="360" w:lineRule="auto"/>
        <w:ind w:left="0" w:right="-7" w:firstLine="0"/>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Del Sujeto Obligado.</w:t>
      </w:r>
    </w:p>
    <w:p w14:paraId="5AB38652"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entre los organismos descentralizados se encuentra el Sistema Municipal DIF en Cocotitlán,  de conformidad con el artículo 44, fracción I, del Bando Municipal 2025:</w:t>
      </w:r>
    </w:p>
    <w:p w14:paraId="3434E33D" w14:textId="77777777" w:rsidR="0083137F" w:rsidRPr="00455724" w:rsidRDefault="009C2C7A" w:rsidP="00544AE6">
      <w:pPr>
        <w:ind w:right="-7"/>
        <w:jc w:val="center"/>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b/>
          <w:i/>
          <w:color w:val="000000" w:themeColor="text1"/>
        </w:rPr>
        <w:t>Bando Municipal 2025</w:t>
      </w:r>
    </w:p>
    <w:p w14:paraId="6BFE60C4" w14:textId="77777777" w:rsidR="0083137F" w:rsidRPr="00455724" w:rsidRDefault="0083137F" w:rsidP="00544AE6">
      <w:pPr>
        <w:ind w:right="-7"/>
        <w:jc w:val="center"/>
        <w:rPr>
          <w:rFonts w:ascii="Palatino Linotype" w:eastAsia="Palatino Linotype" w:hAnsi="Palatino Linotype" w:cs="Palatino Linotype"/>
          <w:b/>
          <w:i/>
          <w:color w:val="000000" w:themeColor="text1"/>
        </w:rPr>
      </w:pPr>
    </w:p>
    <w:p w14:paraId="18D33598"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 xml:space="preserve">Artículo 44. Son organismos descentralizados </w:t>
      </w:r>
      <w:r w:rsidRPr="00455724">
        <w:rPr>
          <w:rFonts w:ascii="Palatino Linotype" w:eastAsia="Palatino Linotype" w:hAnsi="Palatino Linotype" w:cs="Palatino Linotype"/>
          <w:i/>
          <w:color w:val="000000" w:themeColor="text1"/>
        </w:rPr>
        <w:t xml:space="preserve">de la Administración Pública Municipal: </w:t>
      </w:r>
    </w:p>
    <w:p w14:paraId="79BBBB64" w14:textId="77777777" w:rsidR="0083137F" w:rsidRPr="00455724" w:rsidRDefault="0083137F" w:rsidP="00544AE6">
      <w:pPr>
        <w:ind w:right="-7"/>
        <w:jc w:val="both"/>
        <w:rPr>
          <w:rFonts w:ascii="Palatino Linotype" w:eastAsia="Palatino Linotype" w:hAnsi="Palatino Linotype" w:cs="Palatino Linotype"/>
          <w:b/>
          <w:i/>
          <w:color w:val="000000" w:themeColor="text1"/>
        </w:rPr>
      </w:pPr>
    </w:p>
    <w:p w14:paraId="3210EDDB" w14:textId="77777777" w:rsidR="0083137F" w:rsidRPr="00455724" w:rsidRDefault="009C2C7A" w:rsidP="00544AE6">
      <w:pPr>
        <w:ind w:right="-7"/>
        <w:jc w:val="both"/>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b/>
          <w:i/>
          <w:color w:val="000000" w:themeColor="text1"/>
        </w:rPr>
        <w:t xml:space="preserve">I. El Sistema Municipal DIF en Cocotitlán. </w:t>
      </w:r>
    </w:p>
    <w:p w14:paraId="4E81AE38"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lastRenderedPageBreak/>
        <w:t>II. El Instituto Municipal de Cultura Física y Deporte de Cocotitlán</w:t>
      </w:r>
    </w:p>
    <w:p w14:paraId="60057501"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4C669F53"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color w:val="000000" w:themeColor="text1"/>
        </w:rPr>
        <w:t xml:space="preserve">El </w:t>
      </w:r>
      <w:r w:rsidRPr="00455724">
        <w:rPr>
          <w:rFonts w:ascii="Palatino Linotype" w:eastAsia="Palatino Linotype" w:hAnsi="Palatino Linotype" w:cs="Palatino Linotype"/>
          <w:b/>
          <w:color w:val="000000" w:themeColor="text1"/>
        </w:rPr>
        <w:t>Sistema Municipal para el desarrollo Integral de la Familia de Cocotitlán</w:t>
      </w:r>
      <w:r w:rsidRPr="00455724">
        <w:rPr>
          <w:rFonts w:ascii="Palatino Linotype" w:eastAsia="Palatino Linotype" w:hAnsi="Palatino Linotype" w:cs="Palatino Linotype"/>
          <w:color w:val="000000" w:themeColor="text1"/>
        </w:rPr>
        <w:t>, se auxiliará para la dirección, control, planeación, transparencia y difusión de las siguientes unidades administrativas, de conformidad con el artículo 297 y 298, del Bando Municipal.</w:t>
      </w:r>
    </w:p>
    <w:p w14:paraId="1411AAC0"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 xml:space="preserve">Artículo 297. </w:t>
      </w:r>
      <w:r w:rsidRPr="00455724">
        <w:rPr>
          <w:rFonts w:ascii="Palatino Linotype" w:eastAsia="Palatino Linotype" w:hAnsi="Palatino Linotype" w:cs="Palatino Linotype"/>
          <w:i/>
          <w:color w:val="000000" w:themeColor="text1"/>
        </w:rPr>
        <w:t xml:space="preserve">El Sistema Municipal para el Desarrollo Integral de la Familia de Cocotitlán, se auxiliará para la dirección, control, planeación, transparencia y difusión de las siguientes unidades administrativas: </w:t>
      </w:r>
    </w:p>
    <w:p w14:paraId="04D05322"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4711E87D"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 Dirección General; </w:t>
      </w:r>
    </w:p>
    <w:p w14:paraId="1510D28A"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II. Unidad de Información, Planeación, Programación y Evaluación; </w:t>
      </w:r>
    </w:p>
    <w:p w14:paraId="4169A46A"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III. Transparencia; y </w:t>
      </w:r>
    </w:p>
    <w:p w14:paraId="0CD55DC3" w14:textId="77777777" w:rsidR="0083137F" w:rsidRPr="00455724" w:rsidRDefault="009C2C7A" w:rsidP="00544AE6">
      <w:pPr>
        <w:ind w:right="-7"/>
        <w:jc w:val="both"/>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i/>
          <w:color w:val="000000" w:themeColor="text1"/>
        </w:rPr>
        <w:t>IV. Comunicación social</w:t>
      </w:r>
    </w:p>
    <w:p w14:paraId="707AC0DA" w14:textId="77777777" w:rsidR="0083137F" w:rsidRPr="00455724" w:rsidRDefault="0083137F" w:rsidP="00544AE6">
      <w:pPr>
        <w:ind w:right="-7"/>
        <w:jc w:val="both"/>
        <w:rPr>
          <w:rFonts w:ascii="Palatino Linotype" w:eastAsia="Palatino Linotype" w:hAnsi="Palatino Linotype" w:cs="Palatino Linotype"/>
          <w:b/>
          <w:i/>
          <w:color w:val="000000" w:themeColor="text1"/>
        </w:rPr>
      </w:pPr>
    </w:p>
    <w:p w14:paraId="3045622F"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Artículo 298</w:t>
      </w:r>
      <w:r w:rsidRPr="00455724">
        <w:rPr>
          <w:rFonts w:ascii="Palatino Linotype" w:eastAsia="Palatino Linotype" w:hAnsi="Palatino Linotype" w:cs="Palatino Linotype"/>
          <w:i/>
          <w:color w:val="000000" w:themeColor="text1"/>
        </w:rPr>
        <w:t xml:space="preserve">. Para la operación de los asuntos del Sistema Municipal para el Desarrollo Integral de la Familia de Cocotitlán, la Dirección General se auxiliará de las siguientes unidades administrativas: </w:t>
      </w:r>
    </w:p>
    <w:p w14:paraId="70D469A2"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1FE54D69"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 Procuraduría de Protección de Niñas, Niños y Adolescentes; </w:t>
      </w:r>
    </w:p>
    <w:p w14:paraId="3AD77BCD"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II. Coordinación de Trabajo Social; </w:t>
      </w:r>
    </w:p>
    <w:p w14:paraId="77B54C53"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III. Coordinación de Psicología; </w:t>
      </w:r>
    </w:p>
    <w:p w14:paraId="013DF8BA"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IV. Coordinación Medica; </w:t>
      </w:r>
    </w:p>
    <w:p w14:paraId="417BB2B0"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V. Coordinación de Alimentación; </w:t>
      </w:r>
    </w:p>
    <w:p w14:paraId="4182EFD7"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VI. Coordinación de Igualdad de Género; </w:t>
      </w:r>
    </w:p>
    <w:p w14:paraId="5737F19B"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VII. Coordinación de Atención al Adulto Mayor; y </w:t>
      </w:r>
    </w:p>
    <w:p w14:paraId="183CB3BC"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IX. Coordinación de la Unidad Básica de Rehabilitación e Integración Social.</w:t>
      </w:r>
    </w:p>
    <w:p w14:paraId="6BC7E067"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6DF8B697"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En este mismo sentido, la Ley que crea los Organismos Públicos Descentralizados de Asistencia Social, de Carácter Municipal, Denominados "Sistemas Municipales para el Desarrollo Integral de la Familia, refiere centro de las atribuciones de los servidores públicos que integral el Sujeto Obligado las siguientes:</w:t>
      </w:r>
    </w:p>
    <w:p w14:paraId="023DAC2F"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Artículo 11</w:t>
      </w:r>
      <w:r w:rsidRPr="00455724">
        <w:rPr>
          <w:rFonts w:ascii="Palatino Linotype" w:eastAsia="Palatino Linotype" w:hAnsi="Palatino Linotype" w:cs="Palatino Linotype"/>
          <w:i/>
          <w:color w:val="000000" w:themeColor="text1"/>
        </w:rPr>
        <w:t xml:space="preserve">.- Serán Órganos Superiores de los Organismos: </w:t>
      </w:r>
    </w:p>
    <w:p w14:paraId="130327D2"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I. La Junta de Gobierno;</w:t>
      </w:r>
    </w:p>
    <w:p w14:paraId="7B1B653A"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lastRenderedPageBreak/>
        <w:t xml:space="preserve"> II. La Presidencia; y </w:t>
      </w:r>
    </w:p>
    <w:p w14:paraId="65074CEB"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III. La Dirección.</w:t>
      </w:r>
    </w:p>
    <w:p w14:paraId="641EAE1B"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p>
    <w:p w14:paraId="080A40BE"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0C6260F7"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Artículo 13 Bis-E.-</w:t>
      </w:r>
      <w:r w:rsidRPr="00455724">
        <w:rPr>
          <w:rFonts w:ascii="Palatino Linotype" w:eastAsia="Palatino Linotype" w:hAnsi="Palatino Linotype" w:cs="Palatino Linotype"/>
          <w:i/>
          <w:color w:val="000000" w:themeColor="text1"/>
        </w:rPr>
        <w:t xml:space="preserve"> La </w:t>
      </w:r>
      <w:r w:rsidRPr="00455724">
        <w:rPr>
          <w:rFonts w:ascii="Palatino Linotype" w:eastAsia="Palatino Linotype" w:hAnsi="Palatino Linotype" w:cs="Palatino Linotype"/>
          <w:b/>
          <w:i/>
          <w:color w:val="000000" w:themeColor="text1"/>
        </w:rPr>
        <w:t>Presidencia</w:t>
      </w:r>
      <w:r w:rsidRPr="00455724">
        <w:rPr>
          <w:rFonts w:ascii="Palatino Linotype" w:eastAsia="Palatino Linotype" w:hAnsi="Palatino Linotype" w:cs="Palatino Linotype"/>
          <w:i/>
          <w:color w:val="000000" w:themeColor="text1"/>
        </w:rPr>
        <w:t xml:space="preserve"> tendrá las atribuciones y obligaciones siguientes:</w:t>
      </w:r>
    </w:p>
    <w:p w14:paraId="352E9017"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p>
    <w:p w14:paraId="565A8A36"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IX. Proponer a la Junta de Gobierno los nombramientos y remociones del personal del Organismo;</w:t>
      </w:r>
    </w:p>
    <w:p w14:paraId="6A751ADF"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p>
    <w:p w14:paraId="2994D460"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XII. Conducir las relaciones laborales del Organismo de acuerdo con las disposiciones legales aplicables;</w:t>
      </w:r>
    </w:p>
    <w:p w14:paraId="4DA427EA"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p>
    <w:p w14:paraId="2D9C08F6"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56108DBF"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Artículo 14</w:t>
      </w:r>
      <w:r w:rsidRPr="00455724">
        <w:rPr>
          <w:rFonts w:ascii="Palatino Linotype" w:eastAsia="Palatino Linotype" w:hAnsi="Palatino Linotype" w:cs="Palatino Linotype"/>
          <w:i/>
          <w:color w:val="000000" w:themeColor="text1"/>
        </w:rPr>
        <w:t xml:space="preserve">.- La </w:t>
      </w:r>
      <w:r w:rsidRPr="00455724">
        <w:rPr>
          <w:rFonts w:ascii="Palatino Linotype" w:eastAsia="Palatino Linotype" w:hAnsi="Palatino Linotype" w:cs="Palatino Linotype"/>
          <w:b/>
          <w:i/>
          <w:color w:val="000000" w:themeColor="text1"/>
        </w:rPr>
        <w:t>Dirección</w:t>
      </w:r>
      <w:r w:rsidRPr="00455724">
        <w:rPr>
          <w:rFonts w:ascii="Palatino Linotype" w:eastAsia="Palatino Linotype" w:hAnsi="Palatino Linotype" w:cs="Palatino Linotype"/>
          <w:i/>
          <w:color w:val="000000" w:themeColor="text1"/>
        </w:rPr>
        <w:t xml:space="preserve"> tendrá las atribuciones y obligaciones siguientes:</w:t>
      </w:r>
    </w:p>
    <w:p w14:paraId="541AC40F"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p>
    <w:p w14:paraId="21E04DF7"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IV. En coordinación con el Tesorero ejecutar y controlar el presupuesto del Sistema Municipal, en los términos aprobados; y</w:t>
      </w:r>
    </w:p>
    <w:p w14:paraId="351BC064"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p>
    <w:p w14:paraId="04B096FF"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059D5FE0"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Artículo 15.- El Tesorero</w:t>
      </w:r>
      <w:r w:rsidRPr="00455724">
        <w:rPr>
          <w:rFonts w:ascii="Palatino Linotype" w:eastAsia="Palatino Linotype" w:hAnsi="Palatino Linotype" w:cs="Palatino Linotype"/>
          <w:i/>
          <w:color w:val="000000" w:themeColor="text1"/>
        </w:rPr>
        <w:t xml:space="preserve">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 </w:t>
      </w:r>
    </w:p>
    <w:p w14:paraId="0173C070"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50AA34AB"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I. Administrar los recursos que conforman el patrimonio del organismo de conformidad con lo establecido en las disposiciones legales aplicables;</w:t>
      </w:r>
    </w:p>
    <w:p w14:paraId="2CB375DD"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p>
    <w:p w14:paraId="7BBD7A3F"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2F07B05C"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En razón de lo anterior, </w:t>
      </w:r>
      <w:r w:rsidRPr="00455724">
        <w:rPr>
          <w:rFonts w:ascii="Palatino Linotype" w:eastAsia="Palatino Linotype" w:hAnsi="Palatino Linotype" w:cs="Palatino Linotype"/>
          <w:b/>
          <w:color w:val="000000" w:themeColor="text1"/>
        </w:rPr>
        <w:t>la Presidencia, la Dirección y la Tesorería</w:t>
      </w:r>
      <w:r w:rsidRPr="00455724">
        <w:rPr>
          <w:rFonts w:ascii="Palatino Linotype" w:eastAsia="Palatino Linotype" w:hAnsi="Palatino Linotype" w:cs="Palatino Linotype"/>
          <w:color w:val="000000" w:themeColor="text1"/>
        </w:rPr>
        <w:t xml:space="preserve">, son unidades administrativas encargadas de las relaciones laborales con los servidores públicos que integran el Sujeto Obligado, la ejecución y control de presupuesto y la administración de los recursos, por lo que se consideran </w:t>
      </w:r>
      <w:r w:rsidRPr="00455724">
        <w:rPr>
          <w:rFonts w:ascii="Palatino Linotype" w:eastAsia="Palatino Linotype" w:hAnsi="Palatino Linotype" w:cs="Palatino Linotype"/>
          <w:b/>
          <w:color w:val="000000" w:themeColor="text1"/>
        </w:rPr>
        <w:t>áreas competentes para conocer de la información requerida.</w:t>
      </w:r>
    </w:p>
    <w:p w14:paraId="55057B6F"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4E5D2C23"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 xml:space="preserve">De lo expuesto es de precisar que las </w:t>
      </w:r>
      <w:r w:rsidRPr="00455724">
        <w:rPr>
          <w:rFonts w:ascii="Palatino Linotype" w:eastAsia="Palatino Linotype" w:hAnsi="Palatino Linotype" w:cs="Palatino Linotype"/>
          <w:b/>
          <w:color w:val="000000" w:themeColor="text1"/>
        </w:rPr>
        <w:t>respuestas fueron emitidas por la Titular de la Unidad de Transparencia</w:t>
      </w:r>
      <w:r w:rsidRPr="00455724">
        <w:rPr>
          <w:rFonts w:ascii="Palatino Linotype" w:eastAsia="Palatino Linotype" w:hAnsi="Palatino Linotype" w:cs="Palatino Linotype"/>
          <w:color w:val="000000" w:themeColor="text1"/>
        </w:rPr>
        <w:t xml:space="preserve">, no obstante del análisis de la normatividad referida, de manera enunciativa mas no limitativa </w:t>
      </w:r>
      <w:r w:rsidRPr="00455724">
        <w:rPr>
          <w:rFonts w:ascii="Palatino Linotype" w:eastAsia="Palatino Linotype" w:hAnsi="Palatino Linotype" w:cs="Palatino Linotype"/>
          <w:b/>
          <w:color w:val="000000" w:themeColor="text1"/>
        </w:rPr>
        <w:t>la Presidencia, la Dirección y la Tesorería</w:t>
      </w:r>
      <w:r w:rsidRPr="00455724">
        <w:rPr>
          <w:rFonts w:ascii="Palatino Linotype" w:eastAsia="Palatino Linotype" w:hAnsi="Palatino Linotype" w:cs="Palatino Linotype"/>
          <w:color w:val="000000" w:themeColor="text1"/>
        </w:rPr>
        <w:t xml:space="preserve">, son áreas en las que pudiera obrar la información, por lo que podemos advertir que </w:t>
      </w:r>
      <w:r w:rsidRPr="00455724">
        <w:rPr>
          <w:rFonts w:ascii="Palatino Linotype" w:eastAsia="Palatino Linotype" w:hAnsi="Palatino Linotype" w:cs="Palatino Linotype"/>
          <w:b/>
          <w:color w:val="000000" w:themeColor="text1"/>
        </w:rPr>
        <w:t xml:space="preserve">EL SUJETO OBLIGADO no </w:t>
      </w:r>
      <w:r w:rsidRPr="00455724">
        <w:rPr>
          <w:rFonts w:ascii="Palatino Linotype" w:eastAsia="Palatino Linotype" w:hAnsi="Palatino Linotype" w:cs="Palatino Linotype"/>
          <w:color w:val="000000" w:themeColor="text1"/>
        </w:rPr>
        <w:t xml:space="preserve">siguió el procedimiento inmerso en la normatividad aplicable, ya que </w:t>
      </w:r>
      <w:r w:rsidRPr="00455724">
        <w:rPr>
          <w:rFonts w:ascii="Palatino Linotype" w:eastAsia="Palatino Linotype" w:hAnsi="Palatino Linotype" w:cs="Palatino Linotype"/>
          <w:b/>
          <w:color w:val="000000" w:themeColor="text1"/>
        </w:rPr>
        <w:t>no turnó</w:t>
      </w:r>
      <w:r w:rsidRPr="00455724">
        <w:rPr>
          <w:rFonts w:ascii="Palatino Linotype" w:eastAsia="Palatino Linotype" w:hAnsi="Palatino Linotype" w:cs="Palatino Linotype"/>
          <w:color w:val="000000" w:themeColor="text1"/>
        </w:rPr>
        <w:t xml:space="preserve"> los requerimientos de información a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14:paraId="45C2D36E"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XXXIX.</w:t>
      </w:r>
      <w:r w:rsidRPr="00455724">
        <w:rPr>
          <w:rFonts w:ascii="Palatino Linotype" w:eastAsia="Palatino Linotype" w:hAnsi="Palatino Linotype" w:cs="Palatino Linotype"/>
          <w:i/>
          <w:color w:val="000000" w:themeColor="text1"/>
        </w:rPr>
        <w:t xml:space="preserve"> </w:t>
      </w:r>
      <w:r w:rsidRPr="00455724">
        <w:rPr>
          <w:rFonts w:ascii="Palatino Linotype" w:eastAsia="Palatino Linotype" w:hAnsi="Palatino Linotype" w:cs="Palatino Linotype"/>
          <w:b/>
          <w:i/>
          <w:color w:val="000000" w:themeColor="text1"/>
        </w:rPr>
        <w:t>Servidor público habilitado</w:t>
      </w:r>
      <w:r w:rsidRPr="00455724">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E35F60E" w14:textId="77777777" w:rsidR="0083137F" w:rsidRPr="00455724" w:rsidRDefault="0083137F" w:rsidP="00544AE6">
      <w:pPr>
        <w:ind w:right="-7"/>
        <w:jc w:val="both"/>
        <w:rPr>
          <w:rFonts w:ascii="Palatino Linotype" w:eastAsia="Palatino Linotype" w:hAnsi="Palatino Linotype" w:cs="Palatino Linotype"/>
          <w:color w:val="000000" w:themeColor="text1"/>
        </w:rPr>
      </w:pPr>
    </w:p>
    <w:p w14:paraId="572D61C8"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Así las cosas, se advierte que la Unidad de Transparencia </w:t>
      </w:r>
      <w:r w:rsidRPr="00455724">
        <w:rPr>
          <w:rFonts w:ascii="Palatino Linotype" w:eastAsia="Palatino Linotype" w:hAnsi="Palatino Linotype" w:cs="Palatino Linotype"/>
          <w:b/>
          <w:color w:val="000000" w:themeColor="text1"/>
        </w:rPr>
        <w:t>no cumplió</w:t>
      </w:r>
      <w:r w:rsidRPr="00455724">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14:paraId="2ADE215B"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r w:rsidRPr="00455724">
        <w:rPr>
          <w:rFonts w:ascii="Palatino Linotype" w:eastAsia="Palatino Linotype" w:hAnsi="Palatino Linotype" w:cs="Palatino Linotype"/>
          <w:b/>
          <w:i/>
          <w:color w:val="000000" w:themeColor="text1"/>
        </w:rPr>
        <w:t>Artículo 162.</w:t>
      </w:r>
      <w:r w:rsidRPr="00455724">
        <w:rPr>
          <w:rFonts w:ascii="Palatino Linotype" w:eastAsia="Palatino Linotype" w:hAnsi="Palatino Linotype" w:cs="Palatino Linotype"/>
          <w:i/>
          <w:color w:val="000000" w:themeColor="text1"/>
        </w:rPr>
        <w:t xml:space="preserve"> Las unidades de transparencia deberán garantizar que las solicitudes se turnen a </w:t>
      </w:r>
      <w:r w:rsidRPr="00455724">
        <w:rPr>
          <w:rFonts w:ascii="Palatino Linotype" w:eastAsia="Palatino Linotype" w:hAnsi="Palatino Linotype" w:cs="Palatino Linotype"/>
          <w:b/>
          <w:i/>
          <w:color w:val="000000" w:themeColor="text1"/>
        </w:rPr>
        <w:t>todas las Áreas competentes</w:t>
      </w:r>
      <w:r w:rsidRPr="00455724">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455724">
        <w:rPr>
          <w:rFonts w:ascii="Palatino Linotype" w:eastAsia="Palatino Linotype" w:hAnsi="Palatino Linotype" w:cs="Palatino Linotype"/>
          <w:b/>
          <w:i/>
          <w:color w:val="000000" w:themeColor="text1"/>
        </w:rPr>
        <w:t>con el objeto de que realicen una búsqueda exhaustiva y razonable de la información solicitada</w:t>
      </w:r>
      <w:r w:rsidRPr="00455724">
        <w:rPr>
          <w:rFonts w:ascii="Palatino Linotype" w:eastAsia="Palatino Linotype" w:hAnsi="Palatino Linotype" w:cs="Palatino Linotype"/>
          <w:i/>
          <w:color w:val="000000" w:themeColor="text1"/>
        </w:rPr>
        <w:t>.”</w:t>
      </w:r>
    </w:p>
    <w:p w14:paraId="26B275DB" w14:textId="77777777" w:rsidR="0083137F" w:rsidRPr="00455724" w:rsidRDefault="0083137F" w:rsidP="00544AE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7601C37"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color w:val="000000" w:themeColor="text1"/>
        </w:rPr>
        <w:t xml:space="preserve">El buscar exhaustivamente en sus archivos, es identificar la unidad(s) administrativa(s) que resguardan el documento al que una persona pretende acceder, es practicar una adecuada gestión documental que nos permite localizar el documento, como </w:t>
      </w:r>
      <w:r w:rsidRPr="00455724">
        <w:rPr>
          <w:rFonts w:ascii="Palatino Linotype" w:eastAsia="Palatino Linotype" w:hAnsi="Palatino Linotype" w:cs="Palatino Linotype"/>
          <w:color w:val="000000" w:themeColor="text1"/>
        </w:rPr>
        <w:lastRenderedPageBreak/>
        <w:t>bien señala el artículo 159, de la Ley de Transparencia;  por lo que, se puede apreciar que probablemente se cuente con la información solicitada.</w:t>
      </w:r>
    </w:p>
    <w:p w14:paraId="2D2732AA" w14:textId="77777777" w:rsidR="0083137F" w:rsidRPr="00455724" w:rsidRDefault="0083137F" w:rsidP="00544AE6">
      <w:pPr>
        <w:pBdr>
          <w:top w:val="nil"/>
          <w:left w:val="nil"/>
          <w:bottom w:val="nil"/>
          <w:right w:val="nil"/>
          <w:between w:val="nil"/>
        </w:pBdr>
        <w:ind w:right="-7"/>
        <w:rPr>
          <w:rFonts w:ascii="Palatino Linotype" w:eastAsia="Palatino Linotype" w:hAnsi="Palatino Linotype" w:cs="Palatino Linotype"/>
          <w:b/>
          <w:color w:val="000000" w:themeColor="text1"/>
        </w:rPr>
      </w:pPr>
    </w:p>
    <w:p w14:paraId="53CF5E93"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Por lo anterior, de la respuesta emitida a la solicitud de información, no se tiene la certeza de que efectivamente se haya llevado a cabo la búsqueda de lo requerido de manera razonable, en el soporte documental, electrónico, digital o cualquier otro que se albergan en los archivos de cada área que conforman al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solicitado, para poder confirmar que la respuesta es correcta.</w:t>
      </w:r>
    </w:p>
    <w:p w14:paraId="556C1DCB"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2FBFE045"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7C61CD8"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r w:rsidRPr="00455724">
        <w:rPr>
          <w:rFonts w:ascii="Palatino Linotype" w:eastAsia="Palatino Linotype" w:hAnsi="Palatino Linotype" w:cs="Palatino Linotype"/>
          <w:b/>
          <w:i/>
          <w:color w:val="000000" w:themeColor="text1"/>
        </w:rPr>
        <w:t xml:space="preserve">Artículo 3. </w:t>
      </w:r>
      <w:r w:rsidRPr="00455724">
        <w:rPr>
          <w:rFonts w:ascii="Palatino Linotype" w:eastAsia="Palatino Linotype" w:hAnsi="Palatino Linotype" w:cs="Palatino Linotype"/>
          <w:i/>
          <w:color w:val="000000" w:themeColor="text1"/>
        </w:rPr>
        <w:t>Para los efectos de la presente Ley se entenderá por:</w:t>
      </w:r>
    </w:p>
    <w:p w14:paraId="764D6474"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p>
    <w:p w14:paraId="1213BC1E"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XI. Documento:</w:t>
      </w:r>
      <w:r w:rsidRPr="0045572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w:t>
      </w:r>
      <w:r w:rsidRPr="00455724">
        <w:rPr>
          <w:rFonts w:ascii="Palatino Linotype" w:eastAsia="Palatino Linotype" w:hAnsi="Palatino Linotype" w:cs="Palatino Linotype"/>
          <w:i/>
          <w:color w:val="000000" w:themeColor="text1"/>
        </w:rPr>
        <w:lastRenderedPageBreak/>
        <w:t>fecha de elaboración. Los documentos podrán estar en cualquier medio, sea escrito, impreso, sonoro, visual, electrónico, informático u holográfico;</w:t>
      </w:r>
    </w:p>
    <w:p w14:paraId="1A2475AF" w14:textId="77777777" w:rsidR="0083137F" w:rsidRPr="00455724" w:rsidRDefault="009C2C7A" w:rsidP="00544AE6">
      <w:pPr>
        <w:spacing w:line="360" w:lineRule="auto"/>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p>
    <w:p w14:paraId="03C3898D" w14:textId="77777777" w:rsidR="0083137F" w:rsidRPr="00455724" w:rsidRDefault="0083137F" w:rsidP="00544AE6">
      <w:pPr>
        <w:ind w:right="-7"/>
        <w:jc w:val="both"/>
        <w:rPr>
          <w:rFonts w:ascii="Palatino Linotype" w:eastAsia="Palatino Linotype" w:hAnsi="Palatino Linotype" w:cs="Palatino Linotype"/>
          <w:color w:val="000000" w:themeColor="text1"/>
        </w:rPr>
      </w:pPr>
    </w:p>
    <w:p w14:paraId="7F80AAEE"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2168445" w14:textId="77777777" w:rsidR="0083137F" w:rsidRPr="00455724" w:rsidRDefault="009C2C7A" w:rsidP="00544AE6">
      <w:pPr>
        <w:ind w:right="-7"/>
        <w:jc w:val="both"/>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b/>
          <w:color w:val="000000" w:themeColor="text1"/>
        </w:rPr>
        <w:t>“</w:t>
      </w:r>
      <w:r w:rsidRPr="00455724">
        <w:rPr>
          <w:rFonts w:ascii="Palatino Linotype" w:eastAsia="Palatino Linotype" w:hAnsi="Palatino Linotype" w:cs="Palatino Linotype"/>
          <w:b/>
          <w:i/>
          <w:color w:val="000000" w:themeColor="text1"/>
        </w:rPr>
        <w:t>CRITERIO 0002-11</w:t>
      </w:r>
    </w:p>
    <w:p w14:paraId="54DD22BB"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45572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28A4DB4"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4ED3D033" w14:textId="77777777" w:rsidR="0083137F" w:rsidRPr="00455724" w:rsidRDefault="009C2C7A" w:rsidP="00544AE6">
      <w:pPr>
        <w:ind w:right="-7"/>
        <w:jc w:val="both"/>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b/>
          <w:i/>
          <w:color w:val="000000" w:themeColor="text1"/>
        </w:rPr>
        <w:t xml:space="preserve">1) </w:t>
      </w:r>
      <w:r w:rsidRPr="00455724">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14:paraId="2EE71E41"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73806266"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1F4BEB80" w14:textId="77777777" w:rsidR="0083137F" w:rsidRPr="00455724" w:rsidRDefault="009C2C7A" w:rsidP="00544AE6">
      <w:pPr>
        <w:tabs>
          <w:tab w:val="left" w:pos="851"/>
        </w:tabs>
        <w:spacing w:line="360" w:lineRule="auto"/>
        <w:ind w:right="-7"/>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(Énfasis Añadido)</w:t>
      </w:r>
    </w:p>
    <w:p w14:paraId="3E965E7F"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29B4158A"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Por su parte los artículos 160 y 166, de la Ley local en la materia, que se reproduce de la siguiente forma:</w:t>
      </w:r>
    </w:p>
    <w:p w14:paraId="7CAB1C15"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w:t>
      </w:r>
      <w:r w:rsidRPr="00455724">
        <w:rPr>
          <w:rFonts w:ascii="Palatino Linotype" w:eastAsia="Palatino Linotype" w:hAnsi="Palatino Linotype" w:cs="Palatino Linotype"/>
          <w:b/>
          <w:i/>
          <w:color w:val="000000" w:themeColor="text1"/>
        </w:rPr>
        <w:t>Artículo 160.</w:t>
      </w:r>
      <w:r w:rsidRPr="00455724">
        <w:rPr>
          <w:rFonts w:ascii="Palatino Linotype" w:eastAsia="Palatino Linotype" w:hAnsi="Palatino Linotype" w:cs="Palatino Linotype"/>
          <w:i/>
          <w:color w:val="000000" w:themeColor="text1"/>
        </w:rPr>
        <w:t xml:space="preserve"> </w:t>
      </w:r>
      <w:r w:rsidRPr="00455724">
        <w:rPr>
          <w:rFonts w:ascii="Palatino Linotype" w:eastAsia="Palatino Linotype" w:hAnsi="Palatino Linotype" w:cs="Palatino Linotype"/>
          <w:i/>
          <w:color w:val="000000" w:themeColor="text1"/>
          <w:u w:val="single"/>
        </w:rPr>
        <w:t xml:space="preserve">Los sujetos obligados deberán otorgar acceso a los documentos que se encuentren en sus archivos o que estén obligados a documentar de acuerdo con sus facultades, competencias o </w:t>
      </w:r>
      <w:r w:rsidRPr="00455724">
        <w:rPr>
          <w:rFonts w:ascii="Palatino Linotype" w:eastAsia="Palatino Linotype" w:hAnsi="Palatino Linotype" w:cs="Palatino Linotype"/>
          <w:i/>
          <w:color w:val="000000" w:themeColor="text1"/>
          <w:u w:val="single"/>
        </w:rPr>
        <w:lastRenderedPageBreak/>
        <w:t>funciones en el formato que el solicitante manifieste, de entre aquellos formatos existentes, conforme a las características físicas de la información o del lugar donde se encuentre así lo permita</w:t>
      </w:r>
      <w:r w:rsidRPr="00455724">
        <w:rPr>
          <w:rFonts w:ascii="Palatino Linotype" w:eastAsia="Palatino Linotype" w:hAnsi="Palatino Linotype" w:cs="Palatino Linotype"/>
          <w:i/>
          <w:color w:val="000000" w:themeColor="text1"/>
        </w:rPr>
        <w:t>.</w:t>
      </w:r>
    </w:p>
    <w:p w14:paraId="4B61405F"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6CEF6855"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14:paraId="37826D54" w14:textId="77777777" w:rsidR="0083137F" w:rsidRPr="00455724" w:rsidRDefault="009C2C7A" w:rsidP="00544AE6">
      <w:pPr>
        <w:ind w:right="-7"/>
        <w:jc w:val="both"/>
        <w:rPr>
          <w:rFonts w:ascii="Palatino Linotype" w:eastAsia="Palatino Linotype" w:hAnsi="Palatino Linotype" w:cs="Palatino Linotype"/>
          <w:i/>
          <w:color w:val="000000" w:themeColor="text1"/>
          <w:u w:val="single"/>
        </w:rPr>
      </w:pPr>
      <w:r w:rsidRPr="00455724">
        <w:rPr>
          <w:rFonts w:ascii="Palatino Linotype" w:eastAsia="Palatino Linotype" w:hAnsi="Palatino Linotype" w:cs="Palatino Linotype"/>
          <w:b/>
          <w:i/>
          <w:color w:val="000000" w:themeColor="text1"/>
        </w:rPr>
        <w:t>Artículo 166.</w:t>
      </w:r>
      <w:r w:rsidRPr="00455724">
        <w:rPr>
          <w:rFonts w:ascii="Palatino Linotype" w:eastAsia="Palatino Linotype" w:hAnsi="Palatino Linotype" w:cs="Palatino Linotype"/>
          <w:i/>
          <w:color w:val="000000" w:themeColor="text1"/>
        </w:rPr>
        <w:t xml:space="preserve"> </w:t>
      </w:r>
      <w:r w:rsidRPr="00455724">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21A91173" w14:textId="77777777" w:rsidR="0083137F" w:rsidRPr="00455724" w:rsidRDefault="009C2C7A" w:rsidP="00544AE6">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(Énfasis añadido)</w:t>
      </w:r>
    </w:p>
    <w:p w14:paraId="6E0F2BC3" w14:textId="77777777" w:rsidR="0083137F" w:rsidRPr="00455724" w:rsidRDefault="0083137F" w:rsidP="00544AE6">
      <w:pPr>
        <w:ind w:right="-7"/>
        <w:jc w:val="both"/>
        <w:rPr>
          <w:rFonts w:ascii="Palatino Linotype" w:eastAsia="Palatino Linotype" w:hAnsi="Palatino Linotype" w:cs="Palatino Linotype"/>
          <w:color w:val="000000" w:themeColor="text1"/>
        </w:rPr>
      </w:pPr>
    </w:p>
    <w:p w14:paraId="570EC083"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6BFC5859" w14:textId="77777777" w:rsidR="00D20296" w:rsidRPr="00455724" w:rsidRDefault="00D20296" w:rsidP="00544AE6">
      <w:pPr>
        <w:spacing w:line="360" w:lineRule="auto"/>
        <w:ind w:right="-7"/>
        <w:jc w:val="both"/>
        <w:rPr>
          <w:rFonts w:ascii="Palatino Linotype" w:eastAsia="Palatino Linotype" w:hAnsi="Palatino Linotype" w:cs="Palatino Linotype"/>
          <w:color w:val="000000" w:themeColor="text1"/>
        </w:rPr>
      </w:pPr>
    </w:p>
    <w:p w14:paraId="4AD64AB6" w14:textId="77777777" w:rsidR="00C130B6" w:rsidRPr="00455724" w:rsidRDefault="00D20296"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lang w:val="es-MX"/>
        </w:rPr>
      </w:pPr>
      <w:r w:rsidRPr="00455724">
        <w:rPr>
          <w:rFonts w:ascii="Palatino Linotype" w:eastAsia="Palatino Linotype" w:hAnsi="Palatino Linotype" w:cs="Palatino Linotype"/>
          <w:color w:val="000000" w:themeColor="text1"/>
        </w:rPr>
        <w:t xml:space="preserve">Es importante señalar que en la solicitud </w:t>
      </w:r>
      <w:r w:rsidRPr="00455724">
        <w:rPr>
          <w:rFonts w:ascii="Palatino Linotype" w:eastAsia="Palatino Linotype" w:hAnsi="Palatino Linotype" w:cs="Palatino Linotype"/>
          <w:b/>
          <w:color w:val="000000" w:themeColor="text1"/>
        </w:rPr>
        <w:t>00073/DIFCOCOTITLAN/IP/2025</w:t>
      </w:r>
      <w:r w:rsidRPr="00455724">
        <w:rPr>
          <w:rFonts w:ascii="Palatino Linotype" w:eastAsia="Palatino Linotype" w:hAnsi="Palatino Linotype" w:cs="Palatino Linotype"/>
          <w:i/>
          <w:color w:val="000000" w:themeColor="text1"/>
        </w:rPr>
        <w:t xml:space="preserve"> </w:t>
      </w:r>
      <w:r w:rsidRPr="00455724">
        <w:rPr>
          <w:rFonts w:ascii="Palatino Linotype" w:eastAsia="Palatino Linotype" w:hAnsi="Palatino Linotype" w:cs="Palatino Linotype"/>
          <w:color w:val="000000" w:themeColor="text1"/>
        </w:rPr>
        <w:t xml:space="preserve">se redactó el requerimiento de información de la manera siguiente; </w:t>
      </w:r>
      <w:r w:rsidRPr="00455724">
        <w:rPr>
          <w:rFonts w:ascii="Palatino Linotype" w:eastAsia="Palatino Linotype" w:hAnsi="Palatino Linotype" w:cs="Palatino Linotype"/>
          <w:i/>
          <w:color w:val="000000" w:themeColor="text1"/>
        </w:rPr>
        <w:t xml:space="preserve">“favor de remitirme la </w:t>
      </w:r>
      <w:r w:rsidRPr="00455724">
        <w:rPr>
          <w:rFonts w:ascii="Palatino Linotype" w:eastAsia="Palatino Linotype" w:hAnsi="Palatino Linotype" w:cs="Palatino Linotype"/>
          <w:b/>
          <w:i/>
          <w:color w:val="000000" w:themeColor="text1"/>
        </w:rPr>
        <w:t>constancia certificada de competencia laboral</w:t>
      </w:r>
      <w:r w:rsidRPr="00455724">
        <w:rPr>
          <w:rFonts w:ascii="Palatino Linotype" w:eastAsia="Palatino Linotype" w:hAnsi="Palatino Linotype" w:cs="Palatino Linotype"/>
          <w:i/>
          <w:color w:val="000000" w:themeColor="text1"/>
        </w:rPr>
        <w:t xml:space="preserve"> del tesorero honorífico, unidad de transparencia y del contralor honorífico de esta nueva administración del dif.” (Sic)</w:t>
      </w:r>
      <w:r w:rsidRPr="00455724">
        <w:rPr>
          <w:rFonts w:ascii="Palatino Linotype" w:eastAsia="Palatino Linotype" w:hAnsi="Palatino Linotype" w:cs="Palatino Linotype"/>
          <w:color w:val="000000" w:themeColor="text1"/>
        </w:rPr>
        <w:t xml:space="preserve">, en razón de ello, este Organismo ha considerado que de la interpretación de la misma, el particular </w:t>
      </w:r>
      <w:r w:rsidRPr="00455724">
        <w:rPr>
          <w:rFonts w:ascii="Palatino Linotype" w:eastAsia="Palatino Linotype" w:hAnsi="Palatino Linotype" w:cs="Palatino Linotype"/>
          <w:color w:val="000000" w:themeColor="text1"/>
          <w:lang w:val="es-MX"/>
        </w:rPr>
        <w:t xml:space="preserve">se refiere a obtener  la </w:t>
      </w:r>
      <w:r w:rsidRPr="00455724">
        <w:rPr>
          <w:rFonts w:ascii="Palatino Linotype" w:eastAsia="Palatino Linotype" w:hAnsi="Palatino Linotype" w:cs="Palatino Linotype"/>
          <w:b/>
          <w:color w:val="000000" w:themeColor="text1"/>
          <w:lang w:val="es-MX"/>
        </w:rPr>
        <w:t>certificación de competencia laboral</w:t>
      </w:r>
      <w:r w:rsidRPr="00455724">
        <w:rPr>
          <w:rFonts w:ascii="Palatino Linotype" w:eastAsia="Palatino Linotype" w:hAnsi="Palatino Linotype" w:cs="Palatino Linotype"/>
          <w:color w:val="000000" w:themeColor="text1"/>
          <w:lang w:val="es-MX"/>
        </w:rPr>
        <w:t>, y no una copia certificada de las competencias laborales, máxime que se eligió como modalidad de entrega de la información a través del SAIMEX. </w:t>
      </w:r>
    </w:p>
    <w:p w14:paraId="19FD160A" w14:textId="77777777" w:rsidR="00C130B6" w:rsidRPr="00455724" w:rsidRDefault="00C130B6" w:rsidP="00544AE6">
      <w:pPr>
        <w:spacing w:line="360" w:lineRule="auto"/>
        <w:ind w:right="-7"/>
        <w:jc w:val="both"/>
        <w:rPr>
          <w:rFonts w:ascii="Palatino Linotype" w:eastAsia="Palatino Linotype" w:hAnsi="Palatino Linotype" w:cs="Palatino Linotype"/>
          <w:color w:val="000000" w:themeColor="text1"/>
          <w:lang w:val="es-MX"/>
        </w:rPr>
      </w:pPr>
    </w:p>
    <w:p w14:paraId="1D434305" w14:textId="77777777" w:rsidR="00D20296" w:rsidRPr="00455724" w:rsidRDefault="00C130B6"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lang w:val="es-MX"/>
        </w:rPr>
      </w:pPr>
      <w:r w:rsidRPr="00455724">
        <w:rPr>
          <w:rFonts w:ascii="Palatino Linotype" w:eastAsia="Palatino Linotype" w:hAnsi="Palatino Linotype" w:cs="Palatino Linotype"/>
          <w:color w:val="000000" w:themeColor="text1"/>
          <w:lang w:val="es-MX"/>
        </w:rPr>
        <w:t xml:space="preserve">Adicionalmente </w:t>
      </w:r>
      <w:r w:rsidRPr="00455724">
        <w:rPr>
          <w:rFonts w:ascii="Palatino Linotype" w:eastAsia="Palatino Linotype" w:hAnsi="Palatino Linotype" w:cs="Palatino Linotype"/>
          <w:color w:val="000000" w:themeColor="text1"/>
        </w:rPr>
        <w:t xml:space="preserve">se estima que los Recurrentes al no ser expertos en la materia, la expresión referida puede no ser clara, por lo que este Instituto insiste que la información a la que se refiere el solicitante es relativa a la </w:t>
      </w:r>
      <w:r w:rsidRPr="00455724">
        <w:rPr>
          <w:rFonts w:ascii="Palatino Linotype" w:eastAsia="Palatino Linotype" w:hAnsi="Palatino Linotype" w:cs="Palatino Linotype"/>
          <w:b/>
          <w:color w:val="000000" w:themeColor="text1"/>
          <w:lang w:val="es-MX"/>
        </w:rPr>
        <w:t>certificación de competencia laboral</w:t>
      </w:r>
      <w:r w:rsidRPr="00455724">
        <w:rPr>
          <w:rFonts w:ascii="Palatino Linotype" w:eastAsia="Palatino Linotype" w:hAnsi="Palatino Linotype" w:cs="Palatino Linotype"/>
          <w:color w:val="000000" w:themeColor="text1"/>
          <w:lang w:val="es-MX"/>
        </w:rPr>
        <w:t xml:space="preserve"> y la entrega </w:t>
      </w:r>
      <w:r w:rsidRPr="00455724">
        <w:rPr>
          <w:rFonts w:ascii="Palatino Linotype" w:eastAsia="Palatino Linotype" w:hAnsi="Palatino Linotype" w:cs="Palatino Linotype"/>
          <w:color w:val="000000" w:themeColor="text1"/>
          <w:lang w:val="es-MX"/>
        </w:rPr>
        <w:lastRenderedPageBreak/>
        <w:t xml:space="preserve">de tal documento deberá hacerse en la modalidad seleccionada por el particular, es decir, a través del SAIMEX </w:t>
      </w:r>
    </w:p>
    <w:p w14:paraId="386ED1F0"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0E78A3BB" w14:textId="77777777" w:rsidR="0083137F" w:rsidRPr="00455724" w:rsidRDefault="00E3322B"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En esta línea, e</w:t>
      </w:r>
      <w:r w:rsidR="009C2C7A" w:rsidRPr="00455724">
        <w:rPr>
          <w:rFonts w:ascii="Palatino Linotype" w:eastAsia="Palatino Linotype" w:hAnsi="Palatino Linotype" w:cs="Palatino Linotype"/>
          <w:color w:val="000000" w:themeColor="text1"/>
        </w:rPr>
        <w:t xml:space="preserve">s de recordar que el particular solicitó tener acceso a la siguiente información: </w:t>
      </w:r>
      <w:r w:rsidR="009C2C7A" w:rsidRPr="00455724">
        <w:rPr>
          <w:rFonts w:ascii="Palatino Linotype" w:eastAsia="Palatino Linotype" w:hAnsi="Palatino Linotype" w:cs="Palatino Linotype"/>
          <w:i/>
          <w:color w:val="000000" w:themeColor="text1"/>
          <w:u w:val="single"/>
        </w:rPr>
        <w:t>De la actual administración, las certificaciones de competencia laboral del personal del DIF, que están obligados a presentar según la Ley Orgánica Municipal, incluyendo las de los titulares de la Unidad de Transparencia, Tesorero honorífico y Contralor honorífico</w:t>
      </w:r>
      <w:r w:rsidR="009C2C7A" w:rsidRPr="00455724">
        <w:rPr>
          <w:rFonts w:ascii="Palatino Linotype" w:eastAsia="Palatino Linotype" w:hAnsi="Palatino Linotype" w:cs="Palatino Linotype"/>
          <w:color w:val="000000" w:themeColor="text1"/>
        </w:rPr>
        <w:t xml:space="preserve">, en respuesta el Sujeto Obligado señaló en relación al Tesorero, la Unidad de Transparencia y el Titular del Órgano Interno de Control, que la temporalidad marcada en la Legislación para obtener la Certificación de Competencia Laboral es de 6 meses posteriores a su contratación, por lo que aún no se cuenta no cuenta con un respaldo de que dichos servidores públicos se hayan inscrito a las certificaciones correspondientes y en el caso de la Titular de la Unidad de Transparencia cuenta con asistencias virtuales sin respaldo de capacitaciones constantes para su capacitación y acceso a la Certificación; respuesta de la cual se dolió el solicitante argumentando que no se entregó la información solicitada. Posteriormente el Sujeto Obligado y el recurrente fueron omisos en rendir manifestaciones que a su derecho conviniera y asistiera.  </w:t>
      </w:r>
    </w:p>
    <w:p w14:paraId="452DF19C"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0E9ABBC0"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Ahora bien, para determinar si con la respuesta emitida por el Sujeto Obligado se atendió el requerimiento de información planteado por el solicitante se analizará la naturaleza de la misma, por lo que se citará lo establecido por la Ley que crea los Organismos Públicos Descentralizados de Asistencia Social, de carácter municipal, denominados "Sistemas Municipales para el Desarrollo Integral de la Familia:</w:t>
      </w:r>
    </w:p>
    <w:p w14:paraId="61217290"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5B34F8E5" w14:textId="77777777" w:rsidR="0083137F" w:rsidRPr="00455724" w:rsidRDefault="009C2C7A" w:rsidP="00544AE6">
      <w:pPr>
        <w:ind w:right="-7"/>
        <w:jc w:val="both"/>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b/>
          <w:i/>
          <w:color w:val="000000" w:themeColor="text1"/>
        </w:rPr>
        <w:lastRenderedPageBreak/>
        <w:t xml:space="preserve">Artículo 15 Ter.- Para ocupar el cargo de </w:t>
      </w:r>
      <w:r w:rsidRPr="00455724">
        <w:rPr>
          <w:rFonts w:ascii="Palatino Linotype" w:eastAsia="Palatino Linotype" w:hAnsi="Palatino Linotype" w:cs="Palatino Linotype"/>
          <w:b/>
          <w:i/>
          <w:color w:val="000000" w:themeColor="text1"/>
          <w:u w:val="single"/>
        </w:rPr>
        <w:t>Tesorero</w:t>
      </w:r>
      <w:r w:rsidRPr="00455724">
        <w:rPr>
          <w:rFonts w:ascii="Palatino Linotype" w:eastAsia="Palatino Linotype" w:hAnsi="Palatino Linotype" w:cs="Palatino Linotype"/>
          <w:b/>
          <w:i/>
          <w:color w:val="000000" w:themeColor="text1"/>
        </w:rPr>
        <w:t xml:space="preserve"> del organismo, o equivalentes, se deberán satisfacer los siguientes requisitos:</w:t>
      </w:r>
    </w:p>
    <w:p w14:paraId="1A3D4954" w14:textId="77777777" w:rsidR="0083137F" w:rsidRPr="00455724" w:rsidRDefault="0083137F" w:rsidP="00544AE6">
      <w:pPr>
        <w:ind w:right="-7"/>
        <w:jc w:val="both"/>
        <w:rPr>
          <w:rFonts w:ascii="Palatino Linotype" w:eastAsia="Palatino Linotype" w:hAnsi="Palatino Linotype" w:cs="Palatino Linotype"/>
          <w:b/>
          <w:i/>
          <w:color w:val="000000" w:themeColor="text1"/>
        </w:rPr>
      </w:pPr>
    </w:p>
    <w:p w14:paraId="3C32D0B7"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IV. Acreditar ante el Titular del organismo o ante el Consejo Directivo, cuando sea el caso, el tener los conocimientos suficientes para poder desempeñar el cargo, </w:t>
      </w:r>
      <w:r w:rsidRPr="00455724">
        <w:rPr>
          <w:rFonts w:ascii="Palatino Linotype" w:eastAsia="Palatino Linotype" w:hAnsi="Palatino Linotype" w:cs="Palatino Linotype"/>
          <w:b/>
          <w:i/>
          <w:color w:val="000000" w:themeColor="text1"/>
        </w:rPr>
        <w:t>contar con</w:t>
      </w:r>
      <w:r w:rsidRPr="00455724">
        <w:rPr>
          <w:rFonts w:ascii="Palatino Linotype" w:eastAsia="Palatino Linotype" w:hAnsi="Palatino Linotype" w:cs="Palatino Linotype"/>
          <w:i/>
          <w:color w:val="000000" w:themeColor="text1"/>
        </w:rPr>
        <w:t xml:space="preserve"> título profesional en las áreas económicas o contable-administrativas con experiencia mínima de un año en la materia y con la </w:t>
      </w:r>
      <w:r w:rsidRPr="00455724">
        <w:rPr>
          <w:rFonts w:ascii="Palatino Linotype" w:eastAsia="Palatino Linotype" w:hAnsi="Palatino Linotype" w:cs="Palatino Linotype"/>
          <w:b/>
          <w:i/>
          <w:color w:val="000000" w:themeColor="text1"/>
        </w:rPr>
        <w:t>certificación de competencia laboral</w:t>
      </w:r>
      <w:r w:rsidRPr="00455724">
        <w:rPr>
          <w:rFonts w:ascii="Palatino Linotype" w:eastAsia="Palatino Linotype" w:hAnsi="Palatino Linotype" w:cs="Palatino Linotype"/>
          <w:i/>
          <w:color w:val="000000" w:themeColor="text1"/>
        </w:rPr>
        <w:t xml:space="preserve"> específica, correspondiente al puesto, </w:t>
      </w:r>
      <w:r w:rsidRPr="00455724">
        <w:rPr>
          <w:rFonts w:ascii="Palatino Linotype" w:eastAsia="Palatino Linotype" w:hAnsi="Palatino Linotype" w:cs="Palatino Linotype"/>
          <w:b/>
          <w:i/>
          <w:color w:val="000000" w:themeColor="text1"/>
        </w:rPr>
        <w:t>expedida por el Instituto Hacendario del Estado de México</w:t>
      </w:r>
      <w:r w:rsidRPr="00455724">
        <w:rPr>
          <w:rFonts w:ascii="Palatino Linotype" w:eastAsia="Palatino Linotype" w:hAnsi="Palatino Linotype" w:cs="Palatino Linotype"/>
          <w:i/>
          <w:color w:val="000000" w:themeColor="text1"/>
        </w:rPr>
        <w:t xml:space="preserve"> o cualquier autoridad competente. </w:t>
      </w:r>
    </w:p>
    <w:p w14:paraId="047DD4FA"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6A601BC9" w14:textId="77777777" w:rsidR="0083137F" w:rsidRPr="00455724" w:rsidRDefault="009C2C7A" w:rsidP="00544AE6">
      <w:pPr>
        <w:ind w:right="-7"/>
        <w:jc w:val="both"/>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i/>
          <w:color w:val="000000" w:themeColor="text1"/>
        </w:rPr>
        <w:t xml:space="preserve">El requisito de la certificación de competencia laboral, </w:t>
      </w:r>
      <w:r w:rsidRPr="00455724">
        <w:rPr>
          <w:rFonts w:ascii="Palatino Linotype" w:eastAsia="Palatino Linotype" w:hAnsi="Palatino Linotype" w:cs="Palatino Linotype"/>
          <w:b/>
          <w:i/>
          <w:color w:val="000000" w:themeColor="text1"/>
        </w:rPr>
        <w:t>deberá acreditarse dentro de los seis meses siguientes a la fecha en que inicie funciones.</w:t>
      </w:r>
    </w:p>
    <w:p w14:paraId="0416EB3B" w14:textId="77777777" w:rsidR="0083137F" w:rsidRPr="00455724" w:rsidRDefault="0083137F" w:rsidP="00544AE6">
      <w:pPr>
        <w:ind w:right="-7"/>
        <w:jc w:val="both"/>
        <w:rPr>
          <w:rFonts w:ascii="Palatino Linotype" w:eastAsia="Palatino Linotype" w:hAnsi="Palatino Linotype" w:cs="Palatino Linotype"/>
          <w:b/>
          <w:i/>
          <w:color w:val="000000" w:themeColor="text1"/>
        </w:rPr>
      </w:pPr>
    </w:p>
    <w:p w14:paraId="7E4AD78C" w14:textId="77777777" w:rsidR="0083137F" w:rsidRPr="00455724" w:rsidRDefault="0083137F" w:rsidP="00544AE6">
      <w:pPr>
        <w:ind w:right="-7"/>
        <w:jc w:val="both"/>
        <w:rPr>
          <w:rFonts w:ascii="Palatino Linotype" w:eastAsia="Palatino Linotype" w:hAnsi="Palatino Linotype" w:cs="Palatino Linotype"/>
          <w:b/>
          <w:i/>
          <w:color w:val="000000" w:themeColor="text1"/>
        </w:rPr>
      </w:pPr>
    </w:p>
    <w:p w14:paraId="183C2101" w14:textId="77777777" w:rsidR="0083137F" w:rsidRPr="00455724" w:rsidRDefault="009C2C7A" w:rsidP="00544AE6">
      <w:pPr>
        <w:ind w:right="-7"/>
        <w:jc w:val="both"/>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b/>
          <w:i/>
          <w:color w:val="000000" w:themeColor="text1"/>
        </w:rPr>
        <w:t xml:space="preserve">Artículo 20 bis. </w:t>
      </w:r>
      <w:r w:rsidRPr="00455724">
        <w:rPr>
          <w:rFonts w:ascii="Palatino Linotype" w:eastAsia="Palatino Linotype" w:hAnsi="Palatino Linotype" w:cs="Palatino Linotype"/>
          <w:i/>
          <w:color w:val="000000" w:themeColor="text1"/>
        </w:rPr>
        <w:t xml:space="preserve">Los sistemas municipales contarán con una </w:t>
      </w:r>
      <w:r w:rsidRPr="00455724">
        <w:rPr>
          <w:rFonts w:ascii="Palatino Linotype" w:eastAsia="Palatino Linotype" w:hAnsi="Palatino Linotype" w:cs="Palatino Linotype"/>
          <w:b/>
          <w:i/>
          <w:color w:val="000000" w:themeColor="text1"/>
        </w:rPr>
        <w:t>Procuraduría de Protección de Niñas, Niños y Adolescentes</w:t>
      </w:r>
      <w:r w:rsidRPr="00455724">
        <w:rPr>
          <w:rFonts w:ascii="Palatino Linotype" w:eastAsia="Palatino Linotype" w:hAnsi="Palatino Linotype" w:cs="Palatino Linotype"/>
          <w:i/>
          <w:color w:val="000000" w:themeColor="text1"/>
        </w:rPr>
        <w:t>, cuyo objeto es la protección integral y restitución de los derechos de las niñas, niños y adolescentes, a través de la determinación y coordinación en la ejecución y seguimiento de las medidas de protección</w:t>
      </w:r>
    </w:p>
    <w:p w14:paraId="55CAE2AD" w14:textId="77777777" w:rsidR="0083137F" w:rsidRPr="00455724" w:rsidRDefault="0083137F" w:rsidP="00544AE6">
      <w:pPr>
        <w:ind w:right="-7"/>
        <w:jc w:val="both"/>
        <w:rPr>
          <w:rFonts w:ascii="Palatino Linotype" w:eastAsia="Palatino Linotype" w:hAnsi="Palatino Linotype" w:cs="Palatino Linotype"/>
          <w:b/>
          <w:i/>
          <w:color w:val="000000" w:themeColor="text1"/>
        </w:rPr>
      </w:pPr>
    </w:p>
    <w:p w14:paraId="6366F358"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 xml:space="preserve">Artículo 20 Ter. La persona titular de la </w:t>
      </w:r>
      <w:r w:rsidRPr="00455724">
        <w:rPr>
          <w:rFonts w:ascii="Palatino Linotype" w:eastAsia="Palatino Linotype" w:hAnsi="Palatino Linotype" w:cs="Palatino Linotype"/>
          <w:b/>
          <w:i/>
          <w:color w:val="000000" w:themeColor="text1"/>
          <w:u w:val="single"/>
        </w:rPr>
        <w:t>Procuraduría de Protección</w:t>
      </w:r>
      <w:r w:rsidRPr="00455724">
        <w:rPr>
          <w:rFonts w:ascii="Palatino Linotype" w:eastAsia="Palatino Linotype" w:hAnsi="Palatino Linotype" w:cs="Palatino Linotype"/>
          <w:b/>
          <w:i/>
          <w:color w:val="000000" w:themeColor="text1"/>
        </w:rPr>
        <w:t xml:space="preserve"> Municipal deberá contar con</w:t>
      </w:r>
      <w:r w:rsidRPr="00455724">
        <w:rPr>
          <w:rFonts w:ascii="Palatino Linotype" w:eastAsia="Palatino Linotype" w:hAnsi="Palatino Linotype" w:cs="Palatino Linotype"/>
          <w:i/>
          <w:color w:val="000000" w:themeColor="text1"/>
        </w:rPr>
        <w:t xml:space="preserve"> los requisitos establecidos en la Ley de los Derechos de las Niñas, Niños y Adolescentes y con calificación aprobatoria de la evaluación teórico práctica del curso especializado impartido por el Sistema para el Desarrollo Integral de la Familia del Estado de México, así como la </w:t>
      </w:r>
      <w:r w:rsidRPr="00455724">
        <w:rPr>
          <w:rFonts w:ascii="Palatino Linotype" w:eastAsia="Palatino Linotype" w:hAnsi="Palatino Linotype" w:cs="Palatino Linotype"/>
          <w:b/>
          <w:i/>
          <w:color w:val="000000" w:themeColor="text1"/>
        </w:rPr>
        <w:t>certificación de competencia laboral sobre Gestión para la Promoción y Protección de los Derechos de Niñas, Niños y Adolescentes, emitida por el Instituto Hacendario del Estado de México</w:t>
      </w:r>
      <w:r w:rsidRPr="00455724">
        <w:rPr>
          <w:rFonts w:ascii="Palatino Linotype" w:eastAsia="Palatino Linotype" w:hAnsi="Palatino Linotype" w:cs="Palatino Linotype"/>
          <w:i/>
          <w:color w:val="000000" w:themeColor="text1"/>
        </w:rPr>
        <w:t>; y será nombrado por la Junta de Gobierno a propuesta de quien presida el Sistema Municipal para el Desarrollo Integral de la Familia.</w:t>
      </w:r>
    </w:p>
    <w:p w14:paraId="7F925167" w14:textId="77777777" w:rsidR="0083137F" w:rsidRDefault="0083137F" w:rsidP="00544AE6">
      <w:pPr>
        <w:ind w:right="-7"/>
        <w:jc w:val="both"/>
        <w:rPr>
          <w:rFonts w:ascii="Palatino Linotype" w:eastAsia="Palatino Linotype" w:hAnsi="Palatino Linotype" w:cs="Palatino Linotype"/>
          <w:b/>
          <w:i/>
          <w:color w:val="000000" w:themeColor="text1"/>
        </w:rPr>
      </w:pPr>
    </w:p>
    <w:p w14:paraId="3C6DC710" w14:textId="77777777" w:rsidR="00E60A95" w:rsidRPr="00455724" w:rsidRDefault="00E60A95" w:rsidP="00544AE6">
      <w:pPr>
        <w:ind w:right="-7"/>
        <w:jc w:val="both"/>
        <w:rPr>
          <w:rFonts w:ascii="Palatino Linotype" w:eastAsia="Palatino Linotype" w:hAnsi="Palatino Linotype" w:cs="Palatino Linotype"/>
          <w:b/>
          <w:i/>
          <w:color w:val="000000" w:themeColor="text1"/>
        </w:rPr>
      </w:pPr>
    </w:p>
    <w:p w14:paraId="2B49E5D7"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De la normatividad referida, es de notar que existe obligación normativa para que los Titulares de la </w:t>
      </w:r>
      <w:r w:rsidRPr="00455724">
        <w:rPr>
          <w:rFonts w:ascii="Palatino Linotype" w:eastAsia="Palatino Linotype" w:hAnsi="Palatino Linotype" w:cs="Palatino Linotype"/>
          <w:b/>
          <w:color w:val="000000" w:themeColor="text1"/>
        </w:rPr>
        <w:t>Tesorería</w:t>
      </w:r>
      <w:r w:rsidRPr="00455724">
        <w:rPr>
          <w:rFonts w:ascii="Palatino Linotype" w:eastAsia="Palatino Linotype" w:hAnsi="Palatino Linotype" w:cs="Palatino Linotype"/>
          <w:color w:val="000000" w:themeColor="text1"/>
        </w:rPr>
        <w:t xml:space="preserve"> y la </w:t>
      </w:r>
      <w:r w:rsidRPr="00455724">
        <w:rPr>
          <w:rFonts w:ascii="Palatino Linotype" w:eastAsia="Palatino Linotype" w:hAnsi="Palatino Linotype" w:cs="Palatino Linotype"/>
          <w:b/>
          <w:color w:val="000000" w:themeColor="text1"/>
        </w:rPr>
        <w:t>Procuraduría de Protección de Niñas, Niños y Adolescentes</w:t>
      </w:r>
      <w:r w:rsidRPr="00455724">
        <w:rPr>
          <w:rFonts w:ascii="Palatino Linotype" w:eastAsia="Palatino Linotype" w:hAnsi="Palatino Linotype" w:cs="Palatino Linotype"/>
          <w:color w:val="000000" w:themeColor="text1"/>
        </w:rPr>
        <w:t xml:space="preserve">, </w:t>
      </w:r>
      <w:r w:rsidRPr="00455724">
        <w:rPr>
          <w:rFonts w:ascii="Palatino Linotype" w:eastAsia="Palatino Linotype" w:hAnsi="Palatino Linotype" w:cs="Palatino Linotype"/>
          <w:b/>
          <w:color w:val="000000" w:themeColor="text1"/>
        </w:rPr>
        <w:t>cuenten con certificado de competencia laboral</w:t>
      </w:r>
      <w:r w:rsidRPr="00455724">
        <w:rPr>
          <w:rFonts w:ascii="Palatino Linotype" w:eastAsia="Palatino Linotype" w:hAnsi="Palatino Linotype" w:cs="Palatino Linotype"/>
          <w:color w:val="000000" w:themeColor="text1"/>
        </w:rPr>
        <w:t xml:space="preserve"> misma que deberá acreditarse dentro de los seis meses siguientes a la fecha en que inicie funciones.</w:t>
      </w:r>
    </w:p>
    <w:p w14:paraId="4D0321AD"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0C2FC903"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color w:val="000000" w:themeColor="text1"/>
        </w:rPr>
        <w:lastRenderedPageBreak/>
        <w:t xml:space="preserve">En la misma línea, la Ley Orgánica Municipal del Estado de México, establece respecto de las certificaciones de competencia laboral, de interés para el estudio de la información requerida, lo siguiente: </w:t>
      </w:r>
    </w:p>
    <w:p w14:paraId="203F1F6E" w14:textId="77777777" w:rsidR="0083137F" w:rsidRPr="00455724" w:rsidRDefault="009C2C7A" w:rsidP="00544AE6">
      <w:pPr>
        <w:ind w:right="-7"/>
        <w:jc w:val="center"/>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b/>
          <w:i/>
          <w:color w:val="000000" w:themeColor="text1"/>
        </w:rPr>
        <w:t>Ley Orgánica Municipal del Estado de México</w:t>
      </w:r>
    </w:p>
    <w:p w14:paraId="30A5804D" w14:textId="77777777" w:rsidR="0083137F" w:rsidRPr="00455724" w:rsidRDefault="0083137F" w:rsidP="00544AE6">
      <w:pPr>
        <w:ind w:right="-7"/>
        <w:jc w:val="center"/>
        <w:rPr>
          <w:rFonts w:ascii="Palatino Linotype" w:eastAsia="Palatino Linotype" w:hAnsi="Palatino Linotype" w:cs="Palatino Linotype"/>
          <w:b/>
          <w:i/>
          <w:color w:val="000000" w:themeColor="text1"/>
        </w:rPr>
      </w:pPr>
    </w:p>
    <w:p w14:paraId="5837CC6F"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Artículo 96.- Para ser tesorero municipal se requiere</w:t>
      </w:r>
      <w:r w:rsidRPr="00455724">
        <w:rPr>
          <w:rFonts w:ascii="Palatino Linotype" w:eastAsia="Palatino Linotype" w:hAnsi="Palatino Linotype" w:cs="Palatino Linotype"/>
          <w:i/>
          <w:color w:val="000000" w:themeColor="text1"/>
        </w:rPr>
        <w:t xml:space="preserve">, además de los requisitos del artículos 32 de esta Ley: </w:t>
      </w:r>
    </w:p>
    <w:p w14:paraId="6FAA9C95"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7F45ED4C"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 Tener los conocimientos suficientes para poder desempeñar el cargo, a juicio del Ayuntamiento; </w:t>
      </w:r>
      <w:r w:rsidRPr="00455724">
        <w:rPr>
          <w:rFonts w:ascii="Palatino Linotype" w:eastAsia="Palatino Linotype" w:hAnsi="Palatino Linotype" w:cs="Palatino Linotype"/>
          <w:b/>
          <w:i/>
          <w:color w:val="000000" w:themeColor="text1"/>
        </w:rPr>
        <w:t>contar con</w:t>
      </w:r>
      <w:r w:rsidRPr="00455724">
        <w:rPr>
          <w:rFonts w:ascii="Palatino Linotype" w:eastAsia="Palatino Linotype" w:hAnsi="Palatino Linotype" w:cs="Palatino Linotype"/>
          <w:i/>
          <w:color w:val="000000" w:themeColor="text1"/>
        </w:rPr>
        <w:t xml:space="preserve"> título profesional en las áreas jurídicas, económicas o contables administrativas, con experiencia mínima de un año, con anterioridad a la fecha de su designación, y con </w:t>
      </w:r>
      <w:r w:rsidRPr="00455724">
        <w:rPr>
          <w:rFonts w:ascii="Palatino Linotype" w:eastAsia="Palatino Linotype" w:hAnsi="Palatino Linotype" w:cs="Palatino Linotype"/>
          <w:b/>
          <w:i/>
          <w:color w:val="000000" w:themeColor="text1"/>
        </w:rPr>
        <w:t>certificación de competencia laboral en funciones expedida por el Instituto Hacendario del Estado de México o por alguna institución con reconocimiento de validez oficial</w:t>
      </w:r>
      <w:r w:rsidRPr="00455724">
        <w:rPr>
          <w:rFonts w:ascii="Palatino Linotype" w:eastAsia="Palatino Linotype" w:hAnsi="Palatino Linotype" w:cs="Palatino Linotype"/>
          <w:i/>
          <w:color w:val="000000" w:themeColor="text1"/>
        </w:rPr>
        <w:t xml:space="preserve">, que asegure los conocimientos y habilidades para desempeñar el cargo, de conformidad con los aspectos técnicos y operativos aplicables al Estado de México; </w:t>
      </w:r>
    </w:p>
    <w:p w14:paraId="38AD6F7A"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709A6054"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El requisito de la certificación de competencia laboral, deberá acreditarse dentro de los seis meses siguientes a la fecha en que inicie funciones.</w:t>
      </w:r>
    </w:p>
    <w:p w14:paraId="6D6E5B84"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3DB9D176"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1CA5751C"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 xml:space="preserve">Artículo 113.- Para ser </w:t>
      </w:r>
      <w:r w:rsidRPr="00455724">
        <w:rPr>
          <w:rFonts w:ascii="Palatino Linotype" w:eastAsia="Palatino Linotype" w:hAnsi="Palatino Linotype" w:cs="Palatino Linotype"/>
          <w:b/>
          <w:i/>
          <w:color w:val="000000" w:themeColor="text1"/>
          <w:u w:val="single"/>
        </w:rPr>
        <w:t>contralor</w:t>
      </w:r>
      <w:r w:rsidRPr="00455724">
        <w:rPr>
          <w:rFonts w:ascii="Palatino Linotype" w:eastAsia="Palatino Linotype" w:hAnsi="Palatino Linotype" w:cs="Palatino Linotype"/>
          <w:b/>
          <w:i/>
          <w:color w:val="000000" w:themeColor="text1"/>
        </w:rPr>
        <w:t xml:space="preserve"> se requiere cumplir con los requisitos que se exigen para ser tesorero municipal</w:t>
      </w:r>
      <w:r w:rsidRPr="00455724">
        <w:rPr>
          <w:rFonts w:ascii="Palatino Linotype" w:eastAsia="Palatino Linotype" w:hAnsi="Palatino Linotype" w:cs="Palatino Linotype"/>
          <w:i/>
          <w:color w:val="000000" w:themeColor="text1"/>
        </w:rPr>
        <w:t>, a excepción de la caución correspondiente.</w:t>
      </w:r>
    </w:p>
    <w:p w14:paraId="128A7377" w14:textId="77777777" w:rsidR="0083137F" w:rsidRPr="00455724" w:rsidRDefault="0083137F" w:rsidP="00544AE6">
      <w:pPr>
        <w:tabs>
          <w:tab w:val="left" w:pos="284"/>
        </w:tabs>
        <w:spacing w:line="360" w:lineRule="auto"/>
        <w:ind w:right="-7"/>
        <w:jc w:val="both"/>
        <w:rPr>
          <w:rFonts w:ascii="Palatino Linotype" w:eastAsia="Palatino Linotype" w:hAnsi="Palatino Linotype" w:cs="Palatino Linotype"/>
          <w:color w:val="000000" w:themeColor="text1"/>
        </w:rPr>
      </w:pPr>
    </w:p>
    <w:p w14:paraId="647C49DC"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De la normatividad citada, es de referir que existe obligación normativa para que el </w:t>
      </w:r>
      <w:r w:rsidRPr="00455724">
        <w:rPr>
          <w:rFonts w:ascii="Palatino Linotype" w:eastAsia="Palatino Linotype" w:hAnsi="Palatino Linotype" w:cs="Palatino Linotype"/>
          <w:b/>
          <w:color w:val="000000" w:themeColor="text1"/>
        </w:rPr>
        <w:t>Tesorero</w:t>
      </w:r>
      <w:r w:rsidRPr="00455724">
        <w:rPr>
          <w:rFonts w:ascii="Palatino Linotype" w:eastAsia="Palatino Linotype" w:hAnsi="Palatino Linotype" w:cs="Palatino Linotype"/>
          <w:color w:val="000000" w:themeColor="text1"/>
        </w:rPr>
        <w:t xml:space="preserve"> y el </w:t>
      </w:r>
      <w:r w:rsidRPr="00455724">
        <w:rPr>
          <w:rFonts w:ascii="Palatino Linotype" w:eastAsia="Palatino Linotype" w:hAnsi="Palatino Linotype" w:cs="Palatino Linotype"/>
          <w:b/>
          <w:color w:val="000000" w:themeColor="text1"/>
        </w:rPr>
        <w:t>Contralor</w:t>
      </w:r>
      <w:r w:rsidRPr="00455724">
        <w:rPr>
          <w:rFonts w:ascii="Palatino Linotype" w:eastAsia="Palatino Linotype" w:hAnsi="Palatino Linotype" w:cs="Palatino Linotype"/>
          <w:color w:val="000000" w:themeColor="text1"/>
        </w:rPr>
        <w:t xml:space="preserve"> y, </w:t>
      </w:r>
      <w:r w:rsidRPr="00455724">
        <w:rPr>
          <w:rFonts w:ascii="Palatino Linotype" w:eastAsia="Palatino Linotype" w:hAnsi="Palatino Linotype" w:cs="Palatino Linotype"/>
          <w:b/>
          <w:color w:val="000000" w:themeColor="text1"/>
        </w:rPr>
        <w:t>cuenten con certificado de competencia laboral</w:t>
      </w:r>
      <w:r w:rsidRPr="00455724">
        <w:rPr>
          <w:rFonts w:ascii="Palatino Linotype" w:eastAsia="Palatino Linotype" w:hAnsi="Palatino Linotype" w:cs="Palatino Linotype"/>
          <w:color w:val="000000" w:themeColor="text1"/>
        </w:rPr>
        <w:t xml:space="preserve"> misma que deberá acreditarse dentro de los seis meses siguientes a la fecha en que inicie funciones.</w:t>
      </w:r>
    </w:p>
    <w:p w14:paraId="0F2A6E84"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69DE7F83"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En lo que respecta a la Unidad de Transparencia es de precisar lo establecido en la Ley de Transparencia y Acceso a la Información del Estado de México y Municipios:</w:t>
      </w:r>
    </w:p>
    <w:p w14:paraId="17CEC253"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720195AF" w14:textId="77777777" w:rsidR="0083137F" w:rsidRPr="00455724" w:rsidRDefault="009C2C7A" w:rsidP="00544AE6">
      <w:pPr>
        <w:ind w:right="-7"/>
        <w:jc w:val="center"/>
        <w:rPr>
          <w:rFonts w:ascii="Palatino Linotype" w:eastAsia="Palatino Linotype" w:hAnsi="Palatino Linotype" w:cs="Palatino Linotype"/>
          <w:b/>
          <w:i/>
          <w:color w:val="000000" w:themeColor="text1"/>
        </w:rPr>
      </w:pPr>
      <w:r w:rsidRPr="00455724">
        <w:rPr>
          <w:rFonts w:ascii="Palatino Linotype" w:eastAsia="Palatino Linotype" w:hAnsi="Palatino Linotype" w:cs="Palatino Linotype"/>
          <w:b/>
          <w:i/>
          <w:color w:val="000000" w:themeColor="text1"/>
        </w:rPr>
        <w:lastRenderedPageBreak/>
        <w:t>Ley de Transparencia y Acceso a la Información Pública del Estado de México y Municipios.</w:t>
      </w:r>
    </w:p>
    <w:p w14:paraId="41D848DE" w14:textId="77777777" w:rsidR="0083137F" w:rsidRPr="00455724" w:rsidRDefault="0083137F" w:rsidP="00544AE6">
      <w:pPr>
        <w:ind w:right="-7"/>
        <w:jc w:val="both"/>
        <w:rPr>
          <w:rFonts w:ascii="Palatino Linotype" w:eastAsia="Palatino Linotype" w:hAnsi="Palatino Linotype" w:cs="Palatino Linotype"/>
          <w:b/>
          <w:i/>
          <w:color w:val="000000" w:themeColor="text1"/>
        </w:rPr>
      </w:pPr>
    </w:p>
    <w:p w14:paraId="217054E0"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Artículo 57. El </w:t>
      </w:r>
      <w:r w:rsidRPr="00455724">
        <w:rPr>
          <w:rFonts w:ascii="Palatino Linotype" w:eastAsia="Palatino Linotype" w:hAnsi="Palatino Linotype" w:cs="Palatino Linotype"/>
          <w:b/>
          <w:i/>
          <w:color w:val="000000" w:themeColor="text1"/>
        </w:rPr>
        <w:t xml:space="preserve">responsable de la Unidad de Transparencia </w:t>
      </w:r>
      <w:r w:rsidRPr="00455724">
        <w:rPr>
          <w:rFonts w:ascii="Palatino Linotype" w:eastAsia="Palatino Linotype" w:hAnsi="Palatino Linotype" w:cs="Palatino Linotype"/>
          <w:i/>
          <w:color w:val="000000" w:themeColor="text1"/>
        </w:rPr>
        <w:t xml:space="preserve">deberá  tener el perfil adecuado para el cumplimiento de las obligaciones que  se derivan de la presente Ley. Para ser nombrado titular de la Unidad  de Transparencia, </w:t>
      </w:r>
      <w:r w:rsidRPr="00455724">
        <w:rPr>
          <w:rFonts w:ascii="Palatino Linotype" w:eastAsia="Palatino Linotype" w:hAnsi="Palatino Linotype" w:cs="Palatino Linotype"/>
          <w:b/>
          <w:i/>
          <w:color w:val="000000" w:themeColor="text1"/>
        </w:rPr>
        <w:t>deberá cumplir, por lo menos, con los siguientes  requisitos</w:t>
      </w:r>
      <w:r w:rsidRPr="00455724">
        <w:rPr>
          <w:rFonts w:ascii="Palatino Linotype" w:eastAsia="Palatino Linotype" w:hAnsi="Palatino Linotype" w:cs="Palatino Linotype"/>
          <w:i/>
          <w:color w:val="000000" w:themeColor="text1"/>
        </w:rPr>
        <w:t xml:space="preserve">: </w:t>
      </w:r>
    </w:p>
    <w:p w14:paraId="6D74E240"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38189907"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 Contar con conocimiento o, </w:t>
      </w:r>
      <w:r w:rsidRPr="00455724">
        <w:rPr>
          <w:rFonts w:ascii="Palatino Linotype" w:eastAsia="Palatino Linotype" w:hAnsi="Palatino Linotype" w:cs="Palatino Linotype"/>
          <w:b/>
          <w:i/>
          <w:color w:val="000000" w:themeColor="text1"/>
        </w:rPr>
        <w:t xml:space="preserve">tratándose de </w:t>
      </w:r>
      <w:r w:rsidRPr="00455724">
        <w:rPr>
          <w:rFonts w:ascii="Palatino Linotype" w:eastAsia="Palatino Linotype" w:hAnsi="Palatino Linotype" w:cs="Palatino Linotype"/>
          <w:i/>
          <w:color w:val="000000" w:themeColor="text1"/>
        </w:rPr>
        <w:t xml:space="preserve">las entidades  gubernamentales estatales y </w:t>
      </w:r>
      <w:r w:rsidRPr="00455724">
        <w:rPr>
          <w:rFonts w:ascii="Palatino Linotype" w:eastAsia="Palatino Linotype" w:hAnsi="Palatino Linotype" w:cs="Palatino Linotype"/>
          <w:b/>
          <w:i/>
          <w:color w:val="000000" w:themeColor="text1"/>
        </w:rPr>
        <w:t>los municipios</w:t>
      </w:r>
      <w:r w:rsidRPr="00455724">
        <w:rPr>
          <w:rFonts w:ascii="Palatino Linotype" w:eastAsia="Palatino Linotype" w:hAnsi="Palatino Linotype" w:cs="Palatino Linotype"/>
          <w:i/>
          <w:color w:val="000000" w:themeColor="text1"/>
        </w:rPr>
        <w:t xml:space="preserve"> </w:t>
      </w:r>
      <w:r w:rsidRPr="00455724">
        <w:rPr>
          <w:rFonts w:ascii="Palatino Linotype" w:eastAsia="Palatino Linotype" w:hAnsi="Palatino Linotype" w:cs="Palatino Linotype"/>
          <w:b/>
          <w:i/>
          <w:color w:val="000000" w:themeColor="text1"/>
        </w:rPr>
        <w:t>certificación en materia  de acceso a la información, transparencia y protección de datos  personales, que para tal efecto emita el Instituto</w:t>
      </w:r>
      <w:r w:rsidRPr="00455724">
        <w:rPr>
          <w:rFonts w:ascii="Palatino Linotype" w:eastAsia="Palatino Linotype" w:hAnsi="Palatino Linotype" w:cs="Palatino Linotype"/>
          <w:i/>
          <w:color w:val="000000" w:themeColor="text1"/>
        </w:rPr>
        <w:t xml:space="preserve">; </w:t>
      </w:r>
    </w:p>
    <w:p w14:paraId="22B36B0D" w14:textId="77777777" w:rsidR="0083137F" w:rsidRPr="00455724" w:rsidRDefault="0083137F" w:rsidP="00544AE6">
      <w:pPr>
        <w:ind w:right="-7"/>
        <w:jc w:val="both"/>
        <w:rPr>
          <w:rFonts w:ascii="Palatino Linotype" w:eastAsia="Palatino Linotype" w:hAnsi="Palatino Linotype" w:cs="Palatino Linotype"/>
          <w:b/>
          <w:i/>
          <w:color w:val="000000" w:themeColor="text1"/>
        </w:rPr>
      </w:pPr>
    </w:p>
    <w:p w14:paraId="581E8C77"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 xml:space="preserve">II. Experiencia en materia de acceso a la información y protección de  datos personales; y </w:t>
      </w:r>
    </w:p>
    <w:p w14:paraId="26FF9AA8"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36DCE850"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i/>
          <w:color w:val="000000" w:themeColor="text1"/>
        </w:rPr>
        <w:t>III. Habilidades de organización y comunicación, así como visión y liderazgo.</w:t>
      </w:r>
    </w:p>
    <w:p w14:paraId="53C91144" w14:textId="77777777" w:rsidR="0083137F" w:rsidRDefault="0083137F" w:rsidP="00544AE6">
      <w:pPr>
        <w:ind w:right="-7"/>
        <w:jc w:val="both"/>
        <w:rPr>
          <w:rFonts w:ascii="Palatino Linotype" w:eastAsia="Palatino Linotype" w:hAnsi="Palatino Linotype" w:cs="Palatino Linotype"/>
          <w:i/>
          <w:color w:val="000000" w:themeColor="text1"/>
        </w:rPr>
      </w:pPr>
    </w:p>
    <w:p w14:paraId="5A7A7F40" w14:textId="77777777" w:rsidR="00E60A95" w:rsidRPr="00455724" w:rsidRDefault="00E60A95" w:rsidP="00544AE6">
      <w:pPr>
        <w:ind w:right="-7"/>
        <w:jc w:val="both"/>
        <w:rPr>
          <w:rFonts w:ascii="Palatino Linotype" w:eastAsia="Palatino Linotype" w:hAnsi="Palatino Linotype" w:cs="Palatino Linotype"/>
          <w:i/>
          <w:color w:val="000000" w:themeColor="text1"/>
        </w:rPr>
      </w:pPr>
    </w:p>
    <w:p w14:paraId="63A82D20"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De la legislación citada, existe obligación normativa para que el </w:t>
      </w:r>
      <w:r w:rsidRPr="00455724">
        <w:rPr>
          <w:rFonts w:ascii="Palatino Linotype" w:eastAsia="Palatino Linotype" w:hAnsi="Palatino Linotype" w:cs="Palatino Linotype"/>
          <w:b/>
          <w:color w:val="000000" w:themeColor="text1"/>
        </w:rPr>
        <w:t>Titular de la Unidad de Transparencia</w:t>
      </w:r>
      <w:r w:rsidRPr="00455724">
        <w:rPr>
          <w:rFonts w:ascii="Palatino Linotype" w:eastAsia="Palatino Linotype" w:hAnsi="Palatino Linotype" w:cs="Palatino Linotype"/>
          <w:color w:val="000000" w:themeColor="text1"/>
        </w:rPr>
        <w:t xml:space="preserve">, </w:t>
      </w:r>
      <w:r w:rsidRPr="00455724">
        <w:rPr>
          <w:rFonts w:ascii="Palatino Linotype" w:eastAsia="Palatino Linotype" w:hAnsi="Palatino Linotype" w:cs="Palatino Linotype"/>
          <w:b/>
          <w:color w:val="000000" w:themeColor="text1"/>
        </w:rPr>
        <w:t>cuente con certificado de competencia laboral</w:t>
      </w:r>
      <w:r w:rsidRPr="00455724">
        <w:rPr>
          <w:rFonts w:ascii="Palatino Linotype" w:eastAsia="Palatino Linotype" w:hAnsi="Palatino Linotype" w:cs="Palatino Linotype"/>
          <w:color w:val="000000" w:themeColor="text1"/>
        </w:rPr>
        <w:t>.</w:t>
      </w:r>
    </w:p>
    <w:p w14:paraId="45D81325" w14:textId="77777777" w:rsidR="0083137F" w:rsidRPr="00455724" w:rsidRDefault="0083137F" w:rsidP="00544AE6">
      <w:pPr>
        <w:spacing w:line="360" w:lineRule="auto"/>
        <w:ind w:right="-7"/>
        <w:jc w:val="both"/>
        <w:rPr>
          <w:rFonts w:ascii="Palatino Linotype" w:eastAsia="Palatino Linotype" w:hAnsi="Palatino Linotype" w:cs="Palatino Linotype"/>
          <w:b/>
          <w:color w:val="000000" w:themeColor="text1"/>
        </w:rPr>
      </w:pPr>
    </w:p>
    <w:p w14:paraId="0D634936"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Ahora bien, tal requisito </w:t>
      </w:r>
      <w:r w:rsidRPr="00455724">
        <w:rPr>
          <w:rFonts w:ascii="Palatino Linotype" w:eastAsia="Palatino Linotype" w:hAnsi="Palatino Linotype" w:cs="Palatino Linotype"/>
          <w:i/>
          <w:color w:val="000000" w:themeColor="text1"/>
        </w:rPr>
        <w:t xml:space="preserve">deberá acreditarse dentro de los </w:t>
      </w:r>
      <w:r w:rsidRPr="00455724">
        <w:rPr>
          <w:rFonts w:ascii="Palatino Linotype" w:eastAsia="Palatino Linotype" w:hAnsi="Palatino Linotype" w:cs="Palatino Linotype"/>
          <w:i/>
          <w:color w:val="000000" w:themeColor="text1"/>
          <w:u w:val="single"/>
        </w:rPr>
        <w:t>seis meses</w:t>
      </w:r>
      <w:r w:rsidRPr="00455724">
        <w:rPr>
          <w:rFonts w:ascii="Palatino Linotype" w:eastAsia="Palatino Linotype" w:hAnsi="Palatino Linotype" w:cs="Palatino Linotype"/>
          <w:i/>
          <w:color w:val="000000" w:themeColor="text1"/>
        </w:rPr>
        <w:t xml:space="preserve"> </w:t>
      </w:r>
      <w:r w:rsidRPr="00455724">
        <w:rPr>
          <w:rFonts w:ascii="Palatino Linotype" w:eastAsia="Palatino Linotype" w:hAnsi="Palatino Linotype" w:cs="Palatino Linotype"/>
          <w:i/>
          <w:color w:val="000000" w:themeColor="text1"/>
          <w:u w:val="single"/>
        </w:rPr>
        <w:t>siguientes</w:t>
      </w:r>
      <w:r w:rsidRPr="00455724">
        <w:rPr>
          <w:rFonts w:ascii="Palatino Linotype" w:eastAsia="Palatino Linotype" w:hAnsi="Palatino Linotype" w:cs="Palatino Linotype"/>
          <w:i/>
          <w:color w:val="000000" w:themeColor="text1"/>
        </w:rPr>
        <w:t xml:space="preserve"> a la fecha en que inicien sus funciones</w:t>
      </w:r>
      <w:r w:rsidRPr="00455724">
        <w:rPr>
          <w:rFonts w:ascii="Palatino Linotype" w:eastAsia="Palatino Linotype" w:hAnsi="Palatino Linotype" w:cs="Palatino Linotype"/>
          <w:color w:val="000000" w:themeColor="text1"/>
        </w:rPr>
        <w:t xml:space="preserve">; sin embargo, al no existir pronunciamiento por la unidad administrativa competente, este Instituto realizó la investigación pertinente, localizando en la Gaceta Municipal, año 1, número 002, de fecha 10 de enero de 2025, consultable en el siguiente link </w:t>
      </w:r>
      <w:hyperlink r:id="rId10">
        <w:r w:rsidRPr="00455724">
          <w:rPr>
            <w:rFonts w:ascii="Palatino Linotype" w:eastAsia="Palatino Linotype" w:hAnsi="Palatino Linotype" w:cs="Palatino Linotype"/>
            <w:color w:val="000000" w:themeColor="text1"/>
            <w:u w:val="single"/>
          </w:rPr>
          <w:t>https://www.cocotitlan.gob.mx/images/gacetas/gm-002.pdf</w:t>
        </w:r>
      </w:hyperlink>
      <w:r w:rsidRPr="00455724">
        <w:rPr>
          <w:rFonts w:ascii="Palatino Linotype" w:eastAsia="Palatino Linotype" w:hAnsi="Palatino Linotype" w:cs="Palatino Linotype"/>
          <w:color w:val="000000" w:themeColor="text1"/>
        </w:rPr>
        <w:t xml:space="preserve">  el acuerdo de cabildo en el que se aprobó la designación de la Tesorera Municipal como </w:t>
      </w:r>
      <w:r w:rsidRPr="00455724">
        <w:rPr>
          <w:rFonts w:ascii="Palatino Linotype" w:eastAsia="Palatino Linotype" w:hAnsi="Palatino Linotype" w:cs="Palatino Linotype"/>
          <w:b/>
          <w:color w:val="000000" w:themeColor="text1"/>
        </w:rPr>
        <w:t>Tesorera Honorífica</w:t>
      </w:r>
      <w:r w:rsidRPr="00455724">
        <w:rPr>
          <w:rFonts w:ascii="Palatino Linotype" w:eastAsia="Palatino Linotype" w:hAnsi="Palatino Linotype" w:cs="Palatino Linotype"/>
          <w:color w:val="000000" w:themeColor="text1"/>
        </w:rPr>
        <w:t xml:space="preserve"> </w:t>
      </w:r>
      <w:r w:rsidRPr="00455724">
        <w:rPr>
          <w:rFonts w:ascii="Palatino Linotype" w:eastAsia="Palatino Linotype" w:hAnsi="Palatino Linotype" w:cs="Palatino Linotype"/>
          <w:b/>
          <w:color w:val="000000" w:themeColor="text1"/>
        </w:rPr>
        <w:t>del Sistema DIF municipal</w:t>
      </w:r>
      <w:r w:rsidRPr="00455724">
        <w:rPr>
          <w:rFonts w:ascii="Palatino Linotype" w:eastAsia="Palatino Linotype" w:hAnsi="Palatino Linotype" w:cs="Palatino Linotype"/>
          <w:color w:val="000000" w:themeColor="text1"/>
        </w:rPr>
        <w:t xml:space="preserve"> y a la Encargada del Despacho de la Contraloría Municipal, como </w:t>
      </w:r>
      <w:r w:rsidRPr="00455724">
        <w:rPr>
          <w:rFonts w:ascii="Palatino Linotype" w:eastAsia="Palatino Linotype" w:hAnsi="Palatino Linotype" w:cs="Palatino Linotype"/>
          <w:b/>
          <w:color w:val="000000" w:themeColor="text1"/>
        </w:rPr>
        <w:t>Encargada del Despacho Honorífica de la Contraloría del Sistema DIF municipal</w:t>
      </w:r>
      <w:r w:rsidRPr="00455724">
        <w:rPr>
          <w:rFonts w:ascii="Palatino Linotype" w:eastAsia="Palatino Linotype" w:hAnsi="Palatino Linotype" w:cs="Palatino Linotype"/>
          <w:color w:val="000000" w:themeColor="text1"/>
        </w:rPr>
        <w:t>, tal como se ilustra con la imagen siguiente:</w:t>
      </w:r>
    </w:p>
    <w:p w14:paraId="34FC5D22"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508DA3E3" w14:textId="77777777" w:rsidR="0083137F" w:rsidRDefault="009C2C7A" w:rsidP="00544AE6">
      <w:pPr>
        <w:spacing w:line="360" w:lineRule="auto"/>
        <w:ind w:right="-7"/>
        <w:jc w:val="center"/>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noProof/>
          <w:color w:val="000000" w:themeColor="text1"/>
          <w:lang w:val="es-MX"/>
        </w:rPr>
        <w:lastRenderedPageBreak/>
        <w:drawing>
          <wp:inline distT="0" distB="0" distL="0" distR="0" wp14:anchorId="05937C80" wp14:editId="061BE73C">
            <wp:extent cx="3591422" cy="4137366"/>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591422" cy="4137366"/>
                    </a:xfrm>
                    <a:prstGeom prst="rect">
                      <a:avLst/>
                    </a:prstGeom>
                    <a:ln/>
                  </pic:spPr>
                </pic:pic>
              </a:graphicData>
            </a:graphic>
          </wp:inline>
        </w:drawing>
      </w:r>
    </w:p>
    <w:p w14:paraId="2870B1FD" w14:textId="77777777" w:rsidR="00E60A95" w:rsidRPr="00455724" w:rsidRDefault="00E60A95" w:rsidP="00544AE6">
      <w:pPr>
        <w:spacing w:line="360" w:lineRule="auto"/>
        <w:ind w:right="-7"/>
        <w:jc w:val="center"/>
        <w:rPr>
          <w:rFonts w:ascii="Palatino Linotype" w:eastAsia="Palatino Linotype" w:hAnsi="Palatino Linotype" w:cs="Palatino Linotype"/>
          <w:color w:val="000000" w:themeColor="text1"/>
        </w:rPr>
      </w:pPr>
    </w:p>
    <w:p w14:paraId="64D520B1"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Por lo que, de la fecha de designación, 10 de enero de 2025, a la fecha de la solicitud de información 11 de junio de 2025, han transcurrido 5 meses con un día, y los 6 meses que marca la normatividad aplicable se vencen el 10 de julio de 2025, por lo que los servidores públicos referidos </w:t>
      </w:r>
      <w:r w:rsidRPr="00455724">
        <w:rPr>
          <w:rFonts w:ascii="Palatino Linotype" w:eastAsia="Palatino Linotype" w:hAnsi="Palatino Linotype" w:cs="Palatino Linotype"/>
          <w:b/>
          <w:color w:val="000000" w:themeColor="text1"/>
        </w:rPr>
        <w:t xml:space="preserve">aún se encuentran dentro de la temporalidad para acreditar la certificación de competencia laboral; </w:t>
      </w:r>
      <w:r w:rsidRPr="00455724">
        <w:rPr>
          <w:rFonts w:ascii="Palatino Linotype" w:eastAsia="Palatino Linotype" w:hAnsi="Palatino Linotype" w:cs="Palatino Linotype"/>
          <w:color w:val="000000" w:themeColor="text1"/>
        </w:rPr>
        <w:t xml:space="preserve">no obstante, a falta de pronunciamiento de la unidad administrativa competente, no se tiene la certeza que se haya realizado una búsqueda exhaustiva en las áreas en las que pudiera obrar la información, razón por la que </w:t>
      </w:r>
      <w:r w:rsidRPr="00455724">
        <w:rPr>
          <w:rFonts w:ascii="Palatino Linotype" w:eastAsia="Palatino Linotype" w:hAnsi="Palatino Linotype" w:cs="Palatino Linotype"/>
          <w:b/>
          <w:color w:val="000000" w:themeColor="text1"/>
        </w:rPr>
        <w:t>es dable es ordenar la entrega de los certificados de competencia laboral</w:t>
      </w:r>
      <w:r w:rsidRPr="00455724">
        <w:rPr>
          <w:rFonts w:ascii="Palatino Linotype" w:eastAsia="Palatino Linotype" w:hAnsi="Palatino Linotype" w:cs="Palatino Linotype"/>
          <w:color w:val="000000" w:themeColor="text1"/>
        </w:rPr>
        <w:t>.</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 xml:space="preserve">Sin embargo, para el caso que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luego de la búsqueda exhaustiva y razonable no cuente con la información que se ordena, por encontrarse aún dentro de la temporalidad establecida en la ley, bastará que </w:t>
      </w:r>
      <w:r w:rsidRPr="00455724">
        <w:rPr>
          <w:rFonts w:ascii="Palatino Linotype" w:eastAsia="Palatino Linotype" w:hAnsi="Palatino Linotype" w:cs="Palatino Linotype"/>
          <w:color w:val="000000" w:themeColor="text1"/>
        </w:rPr>
        <w:lastRenderedPageBreak/>
        <w:t xml:space="preserve">lo haga del conocimiento del </w:t>
      </w:r>
      <w:r w:rsidRPr="00455724">
        <w:rPr>
          <w:rFonts w:ascii="Palatino Linotype" w:eastAsia="Palatino Linotype" w:hAnsi="Palatino Linotype" w:cs="Palatino Linotype"/>
          <w:b/>
          <w:color w:val="000000" w:themeColor="text1"/>
        </w:rPr>
        <w:t>RECURRENTE</w:t>
      </w:r>
      <w:r w:rsidRPr="00455724">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14:paraId="5F540F59"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36DDBC7F"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En lo que respecta a la </w:t>
      </w:r>
      <w:r w:rsidRPr="00455724">
        <w:rPr>
          <w:rFonts w:ascii="Palatino Linotype" w:eastAsia="Palatino Linotype" w:hAnsi="Palatino Linotype" w:cs="Palatino Linotype"/>
          <w:b/>
          <w:color w:val="000000" w:themeColor="text1"/>
        </w:rPr>
        <w:t xml:space="preserve">Titular de la Unidad de Transparencia, </w:t>
      </w:r>
      <w:r w:rsidRPr="00455724">
        <w:rPr>
          <w:rFonts w:ascii="Palatino Linotype" w:eastAsia="Palatino Linotype" w:hAnsi="Palatino Linotype" w:cs="Palatino Linotype"/>
          <w:color w:val="000000" w:themeColor="text1"/>
        </w:rPr>
        <w:t xml:space="preserve">refirió que solo cuenta con asistencias virtuales sin respaldo de capacitaciones constantes para su capacitación y acceso a la Certificación, por lo que esta Ponencia procedió a investigar la expedición de la convocatoria correspondiente, advirtiendo que el 14 de marzo de 2025, se publicó en el Periódico Oficial Gaceta del Gobierno del Estado de México, el ACUERDO MEDIANTE EL CUAL SE APRUEBA LA CONVOCATORIA AL </w:t>
      </w:r>
      <w:r w:rsidRPr="00455724">
        <w:rPr>
          <w:rFonts w:ascii="Palatino Linotype" w:eastAsia="Palatino Linotype" w:hAnsi="Palatino Linotype" w:cs="Palatino Linotype"/>
          <w:b/>
          <w:color w:val="000000" w:themeColor="text1"/>
        </w:rPr>
        <w:t>PRIMER PROCESO</w:t>
      </w:r>
      <w:r w:rsidRPr="00455724">
        <w:rPr>
          <w:rFonts w:ascii="Palatino Linotype" w:eastAsia="Palatino Linotype" w:hAnsi="Palatino Linotype" w:cs="Palatino Linotype"/>
          <w:color w:val="000000" w:themeColor="text1"/>
        </w:rPr>
        <w:t xml:space="preserve"> DE EVALUACIÓN </w:t>
      </w:r>
      <w:r w:rsidRPr="00455724">
        <w:rPr>
          <w:rFonts w:ascii="Palatino Linotype" w:eastAsia="Palatino Linotype" w:hAnsi="Palatino Linotype" w:cs="Palatino Linotype"/>
          <w:b/>
          <w:color w:val="000000" w:themeColor="text1"/>
        </w:rPr>
        <w:t xml:space="preserve">PARA OBTENER LA CERTIFICACIÓN EN EL ESTÁNDAR DE COMPETENCIA LABORAL EC 1057 “GARANTIZAR EL DERECHO DE ACCESO A LA INFORMACIÓN PÚBLICA” 2025, </w:t>
      </w:r>
      <w:r w:rsidRPr="00455724">
        <w:rPr>
          <w:rFonts w:ascii="Palatino Linotype" w:eastAsia="Palatino Linotype" w:hAnsi="Palatino Linotype" w:cs="Palatino Linotype"/>
          <w:color w:val="000000" w:themeColor="text1"/>
        </w:rPr>
        <w:t>dicha convocatoria establece como fecha de registro el periodo comprendido del 17 al 21 de marzo de 2025, tal como se muestra en la siguiente imagen:</w:t>
      </w:r>
    </w:p>
    <w:p w14:paraId="739534F1"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3E1CF577" w14:textId="77777777" w:rsidR="0083137F" w:rsidRPr="00455724" w:rsidRDefault="009C2C7A" w:rsidP="00544AE6">
      <w:pPr>
        <w:spacing w:line="360" w:lineRule="auto"/>
        <w:ind w:right="-7"/>
        <w:jc w:val="center"/>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noProof/>
          <w:color w:val="000000" w:themeColor="text1"/>
          <w:lang w:val="es-MX"/>
        </w:rPr>
        <w:drawing>
          <wp:inline distT="0" distB="0" distL="0" distR="0" wp14:anchorId="7782AD21" wp14:editId="6B38BE00">
            <wp:extent cx="3373643" cy="1557868"/>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373643" cy="1557868"/>
                    </a:xfrm>
                    <a:prstGeom prst="rect">
                      <a:avLst/>
                    </a:prstGeom>
                    <a:ln/>
                  </pic:spPr>
                </pic:pic>
              </a:graphicData>
            </a:graphic>
          </wp:inline>
        </w:drawing>
      </w:r>
    </w:p>
    <w:p w14:paraId="7801B011" w14:textId="77777777" w:rsidR="0083137F" w:rsidRDefault="009C2C7A" w:rsidP="00544AE6">
      <w:pPr>
        <w:spacing w:line="360" w:lineRule="auto"/>
        <w:ind w:right="-7"/>
        <w:jc w:val="center"/>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noProof/>
          <w:color w:val="000000" w:themeColor="text1"/>
          <w:lang w:val="es-MX"/>
        </w:rPr>
        <w:drawing>
          <wp:inline distT="0" distB="0" distL="0" distR="0" wp14:anchorId="7ADDFF4E" wp14:editId="31985689">
            <wp:extent cx="5113450" cy="508807"/>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113450" cy="508807"/>
                    </a:xfrm>
                    <a:prstGeom prst="rect">
                      <a:avLst/>
                    </a:prstGeom>
                    <a:ln/>
                  </pic:spPr>
                </pic:pic>
              </a:graphicData>
            </a:graphic>
          </wp:inline>
        </w:drawing>
      </w:r>
    </w:p>
    <w:p w14:paraId="0668F46E" w14:textId="77777777" w:rsidR="00E60A95" w:rsidRPr="00455724" w:rsidRDefault="00E60A95" w:rsidP="00544AE6">
      <w:pPr>
        <w:spacing w:line="360" w:lineRule="auto"/>
        <w:ind w:right="-7"/>
        <w:jc w:val="center"/>
        <w:rPr>
          <w:rFonts w:ascii="Palatino Linotype" w:eastAsia="Palatino Linotype" w:hAnsi="Palatino Linotype" w:cs="Palatino Linotype"/>
          <w:color w:val="000000" w:themeColor="text1"/>
        </w:rPr>
      </w:pPr>
    </w:p>
    <w:p w14:paraId="73CC7435"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 xml:space="preserve">El 27 de junio de 2025, se publicó en el Periódico Oficial Gaceta del Gobierno del Estado de México, el ACUERDO MEDIANTE EL CUAL SE APRUEBA LA CONVOCATORIA AL </w:t>
      </w:r>
      <w:r w:rsidRPr="00455724">
        <w:rPr>
          <w:rFonts w:ascii="Palatino Linotype" w:eastAsia="Palatino Linotype" w:hAnsi="Palatino Linotype" w:cs="Palatino Linotype"/>
          <w:b/>
          <w:color w:val="000000" w:themeColor="text1"/>
        </w:rPr>
        <w:t>SEGUNDO PROCESO DE EVALUACIÓN</w:t>
      </w:r>
      <w:r w:rsidRPr="00455724">
        <w:rPr>
          <w:rFonts w:ascii="Palatino Linotype" w:eastAsia="Palatino Linotype" w:hAnsi="Palatino Linotype" w:cs="Palatino Linotype"/>
          <w:color w:val="000000" w:themeColor="text1"/>
        </w:rPr>
        <w:t xml:space="preserve"> PARA OBTENER LA </w:t>
      </w:r>
      <w:r w:rsidRPr="00455724">
        <w:rPr>
          <w:rFonts w:ascii="Palatino Linotype" w:eastAsia="Palatino Linotype" w:hAnsi="Palatino Linotype" w:cs="Palatino Linotype"/>
          <w:b/>
          <w:color w:val="000000" w:themeColor="text1"/>
        </w:rPr>
        <w:t>CERTIFICACIÓN</w:t>
      </w:r>
      <w:r w:rsidRPr="00455724">
        <w:rPr>
          <w:rFonts w:ascii="Palatino Linotype" w:eastAsia="Palatino Linotype" w:hAnsi="Palatino Linotype" w:cs="Palatino Linotype"/>
          <w:color w:val="000000" w:themeColor="text1"/>
        </w:rPr>
        <w:t xml:space="preserve"> EN EL ESTÁNDAR DE COMPETENCIA LABORAL EC 1057 “GARANTIZAR EL DERECHO DE ACCESO A LA INFORMACIÓN PÚBLICA” </w:t>
      </w:r>
      <w:r w:rsidRPr="00455724">
        <w:rPr>
          <w:rFonts w:ascii="Palatino Linotype" w:eastAsia="Palatino Linotype" w:hAnsi="Palatino Linotype" w:cs="Palatino Linotype"/>
          <w:b/>
          <w:color w:val="000000" w:themeColor="text1"/>
        </w:rPr>
        <w:t>2025</w:t>
      </w:r>
      <w:r w:rsidRPr="00455724">
        <w:rPr>
          <w:rFonts w:ascii="Palatino Linotype" w:eastAsia="Palatino Linotype" w:hAnsi="Palatino Linotype" w:cs="Palatino Linotype"/>
          <w:color w:val="000000" w:themeColor="text1"/>
        </w:rPr>
        <w:t>.</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dicha convocatoria establece como fecha de registro el periodo comprendido del 30 de junio al 04 de julio de 2025, tal como se muestra en la siguiente imagen:</w:t>
      </w:r>
    </w:p>
    <w:p w14:paraId="05931529"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769F7BC4" w14:textId="77777777" w:rsidR="0083137F" w:rsidRDefault="009C2C7A" w:rsidP="00544AE6">
      <w:pPr>
        <w:spacing w:line="360" w:lineRule="auto"/>
        <w:ind w:right="-7"/>
        <w:jc w:val="center"/>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noProof/>
          <w:color w:val="000000" w:themeColor="text1"/>
          <w:lang w:val="es-MX"/>
        </w:rPr>
        <w:drawing>
          <wp:inline distT="0" distB="0" distL="0" distR="0" wp14:anchorId="3C3CA1B5" wp14:editId="7D1471B8">
            <wp:extent cx="4604441" cy="1330792"/>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604441" cy="1330792"/>
                    </a:xfrm>
                    <a:prstGeom prst="rect">
                      <a:avLst/>
                    </a:prstGeom>
                    <a:ln/>
                  </pic:spPr>
                </pic:pic>
              </a:graphicData>
            </a:graphic>
          </wp:inline>
        </w:drawing>
      </w:r>
    </w:p>
    <w:p w14:paraId="0375D850" w14:textId="77777777" w:rsidR="00E60A95" w:rsidRPr="00455724" w:rsidRDefault="00E60A95" w:rsidP="00544AE6">
      <w:pPr>
        <w:spacing w:line="360" w:lineRule="auto"/>
        <w:ind w:right="-7"/>
        <w:jc w:val="center"/>
        <w:rPr>
          <w:rFonts w:ascii="Palatino Linotype" w:eastAsia="Palatino Linotype" w:hAnsi="Palatino Linotype" w:cs="Palatino Linotype"/>
          <w:color w:val="000000" w:themeColor="text1"/>
        </w:rPr>
      </w:pPr>
    </w:p>
    <w:p w14:paraId="5F5BFF0B"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En este sentido, al no tener certeza de la fecha de ingreso de la Titular de la Unidad de Transparencia, para determinar si aún se encuentra dentro del plazo de 6 meses para acreditar la certificación de competencia laboral, deberá ordenarse la entrega de la inform</w:t>
      </w:r>
      <w:r w:rsidR="00EC4987" w:rsidRPr="00455724">
        <w:rPr>
          <w:rFonts w:ascii="Palatino Linotype" w:eastAsia="Palatino Linotype" w:hAnsi="Palatino Linotype" w:cs="Palatino Linotype"/>
          <w:color w:val="000000" w:themeColor="text1"/>
        </w:rPr>
        <w:t>ación requerida, máxime que el</w:t>
      </w:r>
      <w:r w:rsidRPr="00455724">
        <w:rPr>
          <w:rFonts w:ascii="Palatino Linotype" w:eastAsia="Palatino Linotype" w:hAnsi="Palatino Linotype" w:cs="Palatino Linotype"/>
          <w:color w:val="000000" w:themeColor="text1"/>
        </w:rPr>
        <w:t xml:space="preserve"> 14 de marzo de 2025, se publicó en el Periódico Oficial Gaceta del Gobierno del Estado de México, el acuerdo mediante el cual se aprueba la convocatoria al </w:t>
      </w:r>
      <w:r w:rsidRPr="00455724">
        <w:rPr>
          <w:rFonts w:ascii="Palatino Linotype" w:eastAsia="Palatino Linotype" w:hAnsi="Palatino Linotype" w:cs="Palatino Linotype"/>
          <w:b/>
          <w:color w:val="000000" w:themeColor="text1"/>
        </w:rPr>
        <w:t>primer proceso</w:t>
      </w:r>
      <w:r w:rsidRPr="00455724">
        <w:rPr>
          <w:rFonts w:ascii="Palatino Linotype" w:eastAsia="Palatino Linotype" w:hAnsi="Palatino Linotype" w:cs="Palatino Linotype"/>
          <w:color w:val="000000" w:themeColor="text1"/>
        </w:rPr>
        <w:t xml:space="preserve"> de evaluación </w:t>
      </w:r>
      <w:r w:rsidRPr="00455724">
        <w:rPr>
          <w:rFonts w:ascii="Palatino Linotype" w:eastAsia="Palatino Linotype" w:hAnsi="Palatino Linotype" w:cs="Palatino Linotype"/>
          <w:b/>
          <w:color w:val="000000" w:themeColor="text1"/>
        </w:rPr>
        <w:t xml:space="preserve">para obtener la certificación en el estándar de competencia laboral EC 1057 “garantizar el derecho de acceso a la información pública” 2025, </w:t>
      </w:r>
      <w:r w:rsidRPr="00455724">
        <w:rPr>
          <w:rFonts w:ascii="Palatino Linotype" w:eastAsia="Palatino Linotype" w:hAnsi="Palatino Linotype" w:cs="Palatino Linotype"/>
          <w:color w:val="000000" w:themeColor="text1"/>
        </w:rPr>
        <w:t xml:space="preserve">y el servidor público no refirió encontrarse en proceso de certificación o en espera de la apertura de la próximo proceso de certificación, en este sentido y la falta de elementos en la respuesta proporcionada, que den certeza de contar o no con la información, </w:t>
      </w:r>
      <w:r w:rsidRPr="00455724">
        <w:rPr>
          <w:rFonts w:ascii="Palatino Linotype" w:eastAsia="Palatino Linotype" w:hAnsi="Palatino Linotype" w:cs="Palatino Linotype"/>
          <w:b/>
          <w:color w:val="000000" w:themeColor="text1"/>
        </w:rPr>
        <w:t>es dable es ordenar la entrega del certificado de competencia laboral</w:t>
      </w:r>
      <w:r w:rsidRPr="00455724">
        <w:rPr>
          <w:rFonts w:ascii="Palatino Linotype" w:eastAsia="Palatino Linotype" w:hAnsi="Palatino Linotype" w:cs="Palatino Linotype"/>
          <w:color w:val="000000" w:themeColor="text1"/>
        </w:rPr>
        <w:t>.</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 xml:space="preserve">Sin embargo, para el caso que el </w:t>
      </w:r>
      <w:r w:rsidRPr="00455724">
        <w:rPr>
          <w:rFonts w:ascii="Palatino Linotype" w:eastAsia="Palatino Linotype" w:hAnsi="Palatino Linotype" w:cs="Palatino Linotype"/>
          <w:b/>
          <w:color w:val="000000" w:themeColor="text1"/>
        </w:rPr>
        <w:lastRenderedPageBreak/>
        <w:t>SUJETO OBLIGADO</w:t>
      </w:r>
      <w:r w:rsidRPr="00455724">
        <w:rPr>
          <w:rFonts w:ascii="Palatino Linotype" w:eastAsia="Palatino Linotype" w:hAnsi="Palatino Linotype" w:cs="Palatino Linotype"/>
          <w:color w:val="000000" w:themeColor="text1"/>
        </w:rPr>
        <w:t xml:space="preserve">, luego de la búsqueda exhaustiva y razonable no cuente con la información que se ordena, por encontrarse aún dentro de la temporalidad establecida en la ley, bastará que lo haga del conocimiento del </w:t>
      </w:r>
      <w:r w:rsidRPr="00455724">
        <w:rPr>
          <w:rFonts w:ascii="Palatino Linotype" w:eastAsia="Palatino Linotype" w:hAnsi="Palatino Linotype" w:cs="Palatino Linotype"/>
          <w:b/>
          <w:color w:val="000000" w:themeColor="text1"/>
        </w:rPr>
        <w:t>RECURRENTE</w:t>
      </w:r>
      <w:r w:rsidRPr="00455724">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14:paraId="6754381D"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24F998B0"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En este orden de ideas, como ya quedó establecido en párrafos anteriores, otro de los Titulares que está obligado a contar con Certificado de competencia laboral es Titular de la </w:t>
      </w:r>
      <w:r w:rsidRPr="00455724">
        <w:rPr>
          <w:rFonts w:ascii="Palatino Linotype" w:eastAsia="Palatino Linotype" w:hAnsi="Palatino Linotype" w:cs="Palatino Linotype"/>
          <w:b/>
          <w:color w:val="000000" w:themeColor="text1"/>
        </w:rPr>
        <w:t>Procuraduría de Protección de Niñas, Niños y Adolescentes</w:t>
      </w:r>
      <w:r w:rsidRPr="00455724">
        <w:rPr>
          <w:rFonts w:ascii="Palatino Linotype" w:eastAsia="Palatino Linotype" w:hAnsi="Palatino Linotype" w:cs="Palatino Linotype"/>
          <w:color w:val="000000" w:themeColor="text1"/>
        </w:rPr>
        <w:t xml:space="preserve">; sin embargo el Sujeto Obligado omitió pronunciarse al respecto, por lo que </w:t>
      </w:r>
      <w:r w:rsidRPr="00455724">
        <w:rPr>
          <w:rFonts w:ascii="Palatino Linotype" w:eastAsia="Palatino Linotype" w:hAnsi="Palatino Linotype" w:cs="Palatino Linotype"/>
          <w:b/>
          <w:color w:val="000000" w:themeColor="text1"/>
        </w:rPr>
        <w:t>es dable es ordenar la entrega del certificado de competencia laboral</w:t>
      </w:r>
      <w:r w:rsidRPr="00455724">
        <w:rPr>
          <w:rFonts w:ascii="Palatino Linotype" w:eastAsia="Palatino Linotype" w:hAnsi="Palatino Linotype" w:cs="Palatino Linotype"/>
          <w:color w:val="000000" w:themeColor="text1"/>
        </w:rPr>
        <w:t>.</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 xml:space="preserve">Sin embargo, para el caso que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luego de la búsqueda exhaustiva y razonable no cuente con la información que se ordena, por encontrarse aún dentro de la temporalidad establecida en la ley, bastará que lo haga del conocimiento del </w:t>
      </w:r>
      <w:r w:rsidRPr="00455724">
        <w:rPr>
          <w:rFonts w:ascii="Palatino Linotype" w:eastAsia="Palatino Linotype" w:hAnsi="Palatino Linotype" w:cs="Palatino Linotype"/>
          <w:b/>
          <w:color w:val="000000" w:themeColor="text1"/>
        </w:rPr>
        <w:t>RECURRENTE</w:t>
      </w:r>
      <w:r w:rsidRPr="00455724">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14:paraId="16635DD9"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7D14135D"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Bajo ese contexto, se considera que de manera enunciativa más no limitativa, el Sujeto Obligado deberá hacer una </w:t>
      </w:r>
      <w:r w:rsidRPr="00455724">
        <w:rPr>
          <w:rFonts w:ascii="Palatino Linotype" w:eastAsia="Palatino Linotype" w:hAnsi="Palatino Linotype" w:cs="Palatino Linotype"/>
          <w:b/>
          <w:color w:val="000000" w:themeColor="text1"/>
        </w:rPr>
        <w:t>búsqueda exhaustiva</w:t>
      </w:r>
      <w:r w:rsidRPr="00455724">
        <w:rPr>
          <w:rFonts w:ascii="Palatino Linotype" w:eastAsia="Palatino Linotype" w:hAnsi="Palatino Linotype" w:cs="Palatino Linotype"/>
          <w:color w:val="000000" w:themeColor="text1"/>
        </w:rPr>
        <w:t xml:space="preserve"> de la información por los servidores públicos habilitados competentes</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pues de la falta de pronunciamiento de los mismos, no da certeza al particular de que se realizó una correcta búsqueda de la información requerida.</w:t>
      </w:r>
    </w:p>
    <w:p w14:paraId="0637C635"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24BB96A1"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Resultando aplicable el Criterio orientador 02/17 emitido por el Pleno del Instituto Nacional de Transparencia y Acceso a la Información y Protección de Datos Personales, de título y texto siguientes:</w:t>
      </w:r>
    </w:p>
    <w:p w14:paraId="2F415304" w14:textId="77777777" w:rsidR="0083137F" w:rsidRPr="00455724" w:rsidRDefault="009C2C7A"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455724">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55724">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455724">
        <w:rPr>
          <w:rFonts w:ascii="Palatino Linotype" w:eastAsia="Palatino Linotype" w:hAnsi="Palatino Linotype" w:cs="Palatino Linotype"/>
          <w:i/>
          <w:color w:val="000000" w:themeColor="text1"/>
        </w:rPr>
        <w:t xml:space="preserve">; mientras que </w:t>
      </w:r>
      <w:r w:rsidRPr="00455724">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455724">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81A7BCB"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2B0C158E" w14:textId="77777777" w:rsidR="0083137F" w:rsidRPr="00455724" w:rsidRDefault="0083137F" w:rsidP="00544AE6">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09A3B757"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color w:val="000000" w:themeColor="text1"/>
        </w:rPr>
        <w:t xml:space="preserve">Por lo anterior, este Organismo, con la finalidad de garantizar el derecho humano de acceso a la información de la parte </w:t>
      </w:r>
      <w:r w:rsidRPr="00455724">
        <w:rPr>
          <w:rFonts w:ascii="Palatino Linotype" w:eastAsia="Palatino Linotype" w:hAnsi="Palatino Linotype" w:cs="Palatino Linotype"/>
          <w:b/>
          <w:color w:val="000000" w:themeColor="text1"/>
        </w:rPr>
        <w:t>Recurrente,</w:t>
      </w:r>
      <w:r w:rsidRPr="00455724">
        <w:rPr>
          <w:rFonts w:ascii="Palatino Linotype" w:eastAsia="Palatino Linotype" w:hAnsi="Palatino Linotype" w:cs="Palatino Linotype"/>
          <w:color w:val="000000" w:themeColor="text1"/>
        </w:rPr>
        <w:t xml:space="preserve"> y a fin de reparar el agravio causado ante la omisión en que incurriera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w:t>
      </w:r>
      <w:r w:rsidRPr="00455724">
        <w:rPr>
          <w:rFonts w:ascii="Palatino Linotype" w:eastAsia="Palatino Linotype" w:hAnsi="Palatino Linotype" w:cs="Palatino Linotype"/>
          <w:b/>
          <w:color w:val="000000" w:themeColor="text1"/>
        </w:rPr>
        <w:t xml:space="preserve">se estima procedente ordenar que, previa búsqueda exhaustiva y razonable, en las unidades administrativas competentes, de ser el caso en versión pública, se haga entrega de la información que es de interés para el particular. </w:t>
      </w:r>
    </w:p>
    <w:p w14:paraId="68BD3468" w14:textId="77777777" w:rsidR="0083137F" w:rsidRPr="00455724" w:rsidRDefault="0083137F" w:rsidP="00544AE6">
      <w:pPr>
        <w:spacing w:line="360" w:lineRule="auto"/>
        <w:ind w:right="-7"/>
        <w:jc w:val="both"/>
        <w:rPr>
          <w:rFonts w:ascii="Palatino Linotype" w:eastAsia="Palatino Linotype" w:hAnsi="Palatino Linotype" w:cs="Palatino Linotype"/>
          <w:b/>
          <w:color w:val="000000" w:themeColor="text1"/>
        </w:rPr>
      </w:pPr>
    </w:p>
    <w:p w14:paraId="3D9075A3"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Derivado de lo anterior, </w:t>
      </w:r>
      <w:r w:rsidRPr="00455724">
        <w:rPr>
          <w:rFonts w:ascii="Palatino Linotype" w:eastAsia="Palatino Linotype" w:hAnsi="Palatino Linotype" w:cs="Palatino Linotype"/>
          <w:b/>
          <w:color w:val="000000" w:themeColor="text1"/>
        </w:rPr>
        <w:t>para el caso de no contar la con la información, y habiendo fenecido el plazo de los seis meses siguientes a la fecha en inició funciones, para acreditar contar con la certificación de competencia laboral</w:t>
      </w:r>
      <w:r w:rsidRPr="00455724">
        <w:rPr>
          <w:rFonts w:ascii="Palatino Linotype" w:eastAsia="Palatino Linotype" w:hAnsi="Palatino Linotype" w:cs="Palatino Linotype"/>
          <w:color w:val="000000" w:themeColor="text1"/>
        </w:rPr>
        <w:t>, de manera funda y motiva se le informará a la parte recurrente las razones por la cuales no se cuenta con la información, lo anterior en términos de lo establecido por el artículo 19, de la Ley de Transparencia Local:</w:t>
      </w:r>
    </w:p>
    <w:p w14:paraId="69FDD1B8" w14:textId="77777777" w:rsidR="0083137F" w:rsidRPr="00455724" w:rsidRDefault="0083137F" w:rsidP="00544AE6">
      <w:pPr>
        <w:pBdr>
          <w:top w:val="nil"/>
          <w:left w:val="nil"/>
          <w:bottom w:val="nil"/>
          <w:right w:val="nil"/>
          <w:between w:val="nil"/>
        </w:pBdr>
        <w:ind w:right="-7"/>
        <w:rPr>
          <w:rFonts w:ascii="Palatino Linotype" w:eastAsia="Palatino Linotype" w:hAnsi="Palatino Linotype" w:cs="Palatino Linotype"/>
          <w:color w:val="000000" w:themeColor="text1"/>
        </w:rPr>
      </w:pPr>
    </w:p>
    <w:p w14:paraId="49636213"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lastRenderedPageBreak/>
        <w:t>Artículo 19.</w:t>
      </w:r>
      <w:r w:rsidRPr="00455724">
        <w:rPr>
          <w:rFonts w:ascii="Palatino Linotype" w:eastAsia="Palatino Linotype" w:hAnsi="Palatino Linotype" w:cs="Palatino Linotype"/>
          <w:i/>
          <w:color w:val="000000" w:themeColor="text1"/>
        </w:rPr>
        <w:t xml:space="preserve"> </w:t>
      </w:r>
      <w:r w:rsidRPr="00455724">
        <w:rPr>
          <w:rFonts w:ascii="Palatino Linotype" w:eastAsia="Palatino Linotype" w:hAnsi="Palatino Linotype" w:cs="Palatino Linotype"/>
          <w:b/>
          <w:i/>
          <w:color w:val="000000" w:themeColor="text1"/>
        </w:rPr>
        <w:t>Se presume que la información debe existir si se refiere a las facultades, competencias y funciones que los ordenamientos jurídicos aplicables otorgan a los sujetos obligados.</w:t>
      </w:r>
      <w:r w:rsidRPr="00455724">
        <w:rPr>
          <w:rFonts w:ascii="Palatino Linotype" w:eastAsia="Palatino Linotype" w:hAnsi="Palatino Linotype" w:cs="Palatino Linotype"/>
          <w:i/>
          <w:color w:val="000000" w:themeColor="text1"/>
        </w:rPr>
        <w:t xml:space="preserve"> </w:t>
      </w:r>
    </w:p>
    <w:p w14:paraId="04B651C4"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616B7E07"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En los casos en que ciertas facultades, competencias o funciones no se hayan ejercido, se debe motivar la respuesta en función de las causas que motiven tal</w:t>
      </w:r>
      <w:r w:rsidRPr="00455724">
        <w:rPr>
          <w:rFonts w:ascii="Palatino Linotype" w:eastAsia="Palatino Linotype" w:hAnsi="Palatino Linotype" w:cs="Palatino Linotype"/>
          <w:i/>
          <w:color w:val="000000" w:themeColor="text1"/>
        </w:rPr>
        <w:t xml:space="preserve"> </w:t>
      </w:r>
      <w:r w:rsidRPr="00455724">
        <w:rPr>
          <w:rFonts w:ascii="Palatino Linotype" w:eastAsia="Palatino Linotype" w:hAnsi="Palatino Linotype" w:cs="Palatino Linotype"/>
          <w:b/>
          <w:i/>
          <w:color w:val="000000" w:themeColor="text1"/>
        </w:rPr>
        <w:t>circunstancia</w:t>
      </w:r>
      <w:r w:rsidRPr="00455724">
        <w:rPr>
          <w:rFonts w:ascii="Palatino Linotype" w:eastAsia="Palatino Linotype" w:hAnsi="Palatino Linotype" w:cs="Palatino Linotype"/>
          <w:i/>
          <w:color w:val="000000" w:themeColor="text1"/>
        </w:rPr>
        <w:t xml:space="preserve">. </w:t>
      </w:r>
    </w:p>
    <w:p w14:paraId="73CECABA" w14:textId="77777777" w:rsidR="0083137F" w:rsidRPr="00455724" w:rsidRDefault="0083137F" w:rsidP="00544AE6">
      <w:pPr>
        <w:ind w:right="-7"/>
        <w:jc w:val="both"/>
        <w:rPr>
          <w:rFonts w:ascii="Palatino Linotype" w:eastAsia="Palatino Linotype" w:hAnsi="Palatino Linotype" w:cs="Palatino Linotype"/>
          <w:i/>
          <w:color w:val="000000" w:themeColor="text1"/>
        </w:rPr>
      </w:pPr>
    </w:p>
    <w:p w14:paraId="5F4428E5" w14:textId="77777777" w:rsidR="0083137F" w:rsidRPr="00455724" w:rsidRDefault="009C2C7A" w:rsidP="00544AE6">
      <w:pPr>
        <w:ind w:right="-7"/>
        <w:jc w:val="both"/>
        <w:rPr>
          <w:rFonts w:ascii="Palatino Linotype" w:eastAsia="Palatino Linotype" w:hAnsi="Palatino Linotype" w:cs="Palatino Linotype"/>
          <w:i/>
          <w:color w:val="000000" w:themeColor="text1"/>
        </w:rPr>
      </w:pPr>
      <w:r w:rsidRPr="00455724">
        <w:rPr>
          <w:rFonts w:ascii="Palatino Linotype" w:eastAsia="Palatino Linotype" w:hAnsi="Palatino Linotype" w:cs="Palatino Linotype"/>
          <w:b/>
          <w:i/>
          <w:color w:val="000000" w:themeColor="text1"/>
        </w:rPr>
        <w:t>Si el sujeto obligado, en el ejercicio de sus atribuciones, debía generar, poseer o administrar la información, pero ésta no se encuentra, el Comité de transparencia deberá emitir un acuerdo de inexistencia</w:t>
      </w:r>
      <w:r w:rsidRPr="00455724">
        <w:rPr>
          <w:rFonts w:ascii="Palatino Linotype" w:eastAsia="Palatino Linotype" w:hAnsi="Palatino Linotype" w:cs="Palatino Linotype"/>
          <w:i/>
          <w:color w:val="000000" w:themeColor="text1"/>
        </w:rPr>
        <w:t>, debidamente fundado y motivado, en el que detalle las razones del por qué no obra en sus archivos.</w:t>
      </w:r>
    </w:p>
    <w:p w14:paraId="54E1C59D" w14:textId="77777777" w:rsidR="0083137F" w:rsidRPr="00455724" w:rsidRDefault="0083137F" w:rsidP="00544AE6">
      <w:pPr>
        <w:spacing w:line="360" w:lineRule="auto"/>
        <w:ind w:right="-7"/>
        <w:jc w:val="both"/>
        <w:rPr>
          <w:rFonts w:ascii="Palatino Linotype" w:eastAsia="Palatino Linotype" w:hAnsi="Palatino Linotype" w:cs="Palatino Linotype"/>
          <w:i/>
          <w:color w:val="000000" w:themeColor="text1"/>
        </w:rPr>
      </w:pPr>
    </w:p>
    <w:p w14:paraId="7466EB81"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En otras palabras, hablar de información inexistente implica la alta responsabilidad de explicar a la ciudadanía por qué un ente público que tiene la facultad y el deber de generar, poseer o administrar su información pública no la tiene.</w:t>
      </w:r>
    </w:p>
    <w:p w14:paraId="2B659B0B"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73F9AD1D"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Ante a lo anterior, el</w:t>
      </w:r>
      <w:r w:rsidRPr="00455724">
        <w:rPr>
          <w:rFonts w:ascii="Palatino Linotype" w:eastAsia="Palatino Linotype" w:hAnsi="Palatino Linotype" w:cs="Palatino Linotype"/>
          <w:b/>
          <w:color w:val="000000" w:themeColor="text1"/>
        </w:rPr>
        <w:t xml:space="preserve"> SUJETO OBLIGADO </w:t>
      </w:r>
      <w:r w:rsidRPr="00455724">
        <w:rPr>
          <w:rFonts w:ascii="Palatino Linotype" w:eastAsia="Palatino Linotype" w:hAnsi="Palatino Linotype" w:cs="Palatino Linotype"/>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455724">
        <w:rPr>
          <w:rFonts w:ascii="Palatino Linotype" w:eastAsia="Palatino Linotype" w:hAnsi="Palatino Linotype" w:cs="Palatino Linotype"/>
          <w:b/>
          <w:color w:val="000000" w:themeColor="text1"/>
        </w:rPr>
        <w:t>RECURRENTE</w:t>
      </w:r>
      <w:r w:rsidRPr="00455724">
        <w:rPr>
          <w:rFonts w:ascii="Palatino Linotype" w:eastAsia="Palatino Linotype" w:hAnsi="Palatino Linotype" w:cs="Palatino Linotype"/>
          <w:color w:val="000000" w:themeColor="text1"/>
        </w:rPr>
        <w:t>, en los siguientes términos:</w:t>
      </w:r>
    </w:p>
    <w:p w14:paraId="7A8FCE18" w14:textId="77777777" w:rsidR="0083137F" w:rsidRPr="00455724" w:rsidRDefault="009C2C7A" w:rsidP="00544AE6">
      <w:pPr>
        <w:numPr>
          <w:ilvl w:val="1"/>
          <w:numId w:val="7"/>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Deberá emitir el Acuerdo de Inexistencia respectivo, en el entendido, que el acto de autoridad debe estar debidamente fundado y razonado.</w:t>
      </w:r>
    </w:p>
    <w:p w14:paraId="79E27A88" w14:textId="77777777" w:rsidR="0083137F" w:rsidRPr="00455724" w:rsidRDefault="009C2C7A" w:rsidP="00544AE6">
      <w:pPr>
        <w:numPr>
          <w:ilvl w:val="1"/>
          <w:numId w:val="7"/>
        </w:numPr>
        <w:pBdr>
          <w:top w:val="nil"/>
          <w:left w:val="nil"/>
          <w:bottom w:val="nil"/>
          <w:right w:val="nil"/>
          <w:between w:val="nil"/>
        </w:pBdr>
        <w:tabs>
          <w:tab w:val="left" w:pos="426"/>
        </w:tabs>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Señalará el lugar y fecha de la resolución, el nombre de la solicitante, la información solicitada, el fundamento y motivo por el cual se determina que la información solicitada no obra en sus archivos, los nombres y firmas autógrafas de los integrantes del Comité de Información.</w:t>
      </w:r>
    </w:p>
    <w:p w14:paraId="0083B184" w14:textId="77777777" w:rsidR="0083137F" w:rsidRPr="00455724" w:rsidRDefault="0083137F" w:rsidP="00544AE6">
      <w:pPr>
        <w:pBdr>
          <w:top w:val="nil"/>
          <w:left w:val="nil"/>
          <w:bottom w:val="nil"/>
          <w:right w:val="nil"/>
          <w:between w:val="nil"/>
        </w:pBdr>
        <w:tabs>
          <w:tab w:val="left" w:pos="426"/>
          <w:tab w:val="left" w:pos="567"/>
        </w:tabs>
        <w:spacing w:line="360" w:lineRule="auto"/>
        <w:ind w:right="-7"/>
        <w:jc w:val="both"/>
        <w:rPr>
          <w:rFonts w:ascii="Palatino Linotype" w:eastAsia="Palatino Linotype" w:hAnsi="Palatino Linotype" w:cs="Palatino Linotype"/>
          <w:color w:val="000000" w:themeColor="text1"/>
        </w:rPr>
      </w:pPr>
    </w:p>
    <w:p w14:paraId="573DBD0A"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 xml:space="preserve">Toda vez que es necesaria la emisión del </w:t>
      </w:r>
      <w:r w:rsidRPr="00455724">
        <w:rPr>
          <w:rFonts w:ascii="Palatino Linotype" w:eastAsia="Palatino Linotype" w:hAnsi="Palatino Linotype" w:cs="Palatino Linotype"/>
          <w:b/>
          <w:color w:val="000000" w:themeColor="text1"/>
        </w:rPr>
        <w:t>acuerdo de inexistencia</w:t>
      </w:r>
      <w:r w:rsidRPr="00455724">
        <w:rPr>
          <w:rFonts w:ascii="Palatino Linotype" w:eastAsia="Palatino Linotype" w:hAnsi="Palatino Linotype" w:cs="Palatino Linotype"/>
          <w:color w:val="000000" w:themeColor="text1"/>
        </w:rPr>
        <w:t xml:space="preserve"> en aquellos casos en que el </w:t>
      </w:r>
      <w:r w:rsidRPr="00455724">
        <w:rPr>
          <w:rFonts w:ascii="Palatino Linotype" w:eastAsia="Palatino Linotype" w:hAnsi="Palatino Linotype" w:cs="Palatino Linotype"/>
          <w:b/>
          <w:color w:val="000000" w:themeColor="text1"/>
        </w:rPr>
        <w:t xml:space="preserve">SUJETO OBLIGADO </w:t>
      </w:r>
      <w:r w:rsidRPr="00455724">
        <w:rPr>
          <w:rFonts w:ascii="Palatino Linotype" w:eastAsia="Palatino Linotype" w:hAnsi="Palatino Linotype" w:cs="Palatino Linotype"/>
          <w:color w:val="000000" w:themeColor="text1"/>
        </w:rPr>
        <w:t>debió generar, administrar o poseer</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la información solicitada, empero previa búsqueda exhaustiva y minuciosa de la misma, no localiza la información requerida.</w:t>
      </w:r>
    </w:p>
    <w:p w14:paraId="768A094A" w14:textId="77777777" w:rsidR="0083137F" w:rsidRPr="00455724" w:rsidRDefault="0083137F" w:rsidP="00544AE6">
      <w:pPr>
        <w:pBdr>
          <w:top w:val="nil"/>
          <w:left w:val="nil"/>
          <w:bottom w:val="nil"/>
          <w:right w:val="nil"/>
          <w:between w:val="nil"/>
        </w:pBdr>
        <w:tabs>
          <w:tab w:val="left" w:pos="426"/>
          <w:tab w:val="left" w:pos="567"/>
        </w:tabs>
        <w:spacing w:line="360" w:lineRule="auto"/>
        <w:ind w:right="-7"/>
        <w:jc w:val="both"/>
        <w:rPr>
          <w:rFonts w:ascii="Palatino Linotype" w:eastAsia="Palatino Linotype" w:hAnsi="Palatino Linotype" w:cs="Palatino Linotype"/>
          <w:color w:val="000000" w:themeColor="text1"/>
        </w:rPr>
      </w:pPr>
    </w:p>
    <w:p w14:paraId="28934D53"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color w:val="000000" w:themeColor="text1"/>
        </w:rPr>
        <w:t xml:space="preserve">En ese caso, su Comité de Transparencia tiene el deber de emitir un </w:t>
      </w:r>
      <w:r w:rsidRPr="00455724">
        <w:rPr>
          <w:rFonts w:ascii="Palatino Linotype" w:eastAsia="Palatino Linotype" w:hAnsi="Palatino Linotype" w:cs="Palatino Linotype"/>
          <w:b/>
          <w:color w:val="000000" w:themeColor="text1"/>
        </w:rPr>
        <w:t>Acuerdo de Inexistencia</w:t>
      </w:r>
      <w:r w:rsidRPr="00455724">
        <w:rPr>
          <w:rFonts w:ascii="Palatino Linotype" w:eastAsia="Palatino Linotype" w:hAnsi="Palatino Linotype" w:cs="Palatino Linotype"/>
          <w:color w:val="000000" w:themeColor="text1"/>
        </w:rPr>
        <w:t xml:space="preserve">, el cual -se insiste-, se dicta en aquellos supuestos en los que si bien la información solicitada la genera, posee o administra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 Criterios y fundamentos que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deberá considerar para la emisión del </w:t>
      </w:r>
      <w:r w:rsidRPr="00455724">
        <w:rPr>
          <w:rFonts w:ascii="Palatino Linotype" w:eastAsia="Palatino Linotype" w:hAnsi="Palatino Linotype" w:cs="Palatino Linotype"/>
          <w:b/>
          <w:color w:val="000000" w:themeColor="text1"/>
        </w:rPr>
        <w:t>Acuerdo por el cual se declare la inexistencia de la información peticionada.</w:t>
      </w:r>
    </w:p>
    <w:p w14:paraId="360A434B" w14:textId="77777777" w:rsidR="0083137F" w:rsidRPr="00455724" w:rsidRDefault="0083137F" w:rsidP="00544AE6">
      <w:pPr>
        <w:spacing w:line="360" w:lineRule="auto"/>
        <w:ind w:right="-7"/>
        <w:jc w:val="both"/>
        <w:rPr>
          <w:rFonts w:ascii="Palatino Linotype" w:eastAsia="Palatino Linotype" w:hAnsi="Palatino Linotype" w:cs="Palatino Linotype"/>
          <w:b/>
          <w:color w:val="000000" w:themeColor="text1"/>
        </w:rPr>
      </w:pPr>
    </w:p>
    <w:p w14:paraId="42C45B6E"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Bajo ese contexto, este Órgano Garante considera </w:t>
      </w:r>
      <w:r w:rsidRPr="00455724">
        <w:rPr>
          <w:rFonts w:ascii="Palatino Linotype" w:eastAsia="Palatino Linotype" w:hAnsi="Palatino Linotype" w:cs="Palatino Linotype"/>
          <w:b/>
          <w:color w:val="000000" w:themeColor="text1"/>
        </w:rPr>
        <w:t>PARCIALMENTE</w:t>
      </w:r>
      <w:r w:rsidRPr="00455724">
        <w:rPr>
          <w:rFonts w:ascii="Palatino Linotype" w:eastAsia="Palatino Linotype" w:hAnsi="Palatino Linotype" w:cs="Palatino Linotype"/>
          <w:color w:val="000000" w:themeColor="text1"/>
        </w:rPr>
        <w:t xml:space="preserve"> </w:t>
      </w:r>
      <w:r w:rsidRPr="00455724">
        <w:rPr>
          <w:rFonts w:ascii="Palatino Linotype" w:eastAsia="Palatino Linotype" w:hAnsi="Palatino Linotype" w:cs="Palatino Linotype"/>
          <w:b/>
          <w:color w:val="000000" w:themeColor="text1"/>
        </w:rPr>
        <w:t>FUNDADAS</w:t>
      </w:r>
      <w:r w:rsidRPr="00455724">
        <w:rPr>
          <w:rFonts w:ascii="Palatino Linotype" w:eastAsia="Palatino Linotype" w:hAnsi="Palatino Linotype" w:cs="Palatino Linotype"/>
          <w:color w:val="000000" w:themeColor="text1"/>
        </w:rPr>
        <w:t xml:space="preserve"> las razones o motivos de inconformidad que plantea el</w:t>
      </w:r>
      <w:r w:rsidRPr="00455724">
        <w:rPr>
          <w:rFonts w:ascii="Palatino Linotype" w:eastAsia="Palatino Linotype" w:hAnsi="Palatino Linotype" w:cs="Palatino Linotype"/>
          <w:b/>
          <w:color w:val="000000" w:themeColor="text1"/>
        </w:rPr>
        <w:t xml:space="preserve"> RECURRENTE </w:t>
      </w:r>
      <w:r w:rsidRPr="00455724">
        <w:rPr>
          <w:rFonts w:ascii="Palatino Linotype" w:eastAsia="Palatino Linotype" w:hAnsi="Palatino Linotype" w:cs="Palatino Linotype"/>
          <w:color w:val="000000" w:themeColor="text1"/>
        </w:rPr>
        <w:t xml:space="preserve">en los Recursos de Revisión </w:t>
      </w:r>
      <w:r w:rsidRPr="00455724">
        <w:rPr>
          <w:rFonts w:ascii="Palatino Linotype" w:eastAsia="Palatino Linotype" w:hAnsi="Palatino Linotype" w:cs="Palatino Linotype"/>
          <w:b/>
          <w:color w:val="000000" w:themeColor="text1"/>
        </w:rPr>
        <w:t>07408/INFOEM/IP/RR/2025 y 07409/INFOEM/IP/RR/2025</w:t>
      </w:r>
      <w:r w:rsidRPr="00455724">
        <w:rPr>
          <w:rFonts w:ascii="Palatino Linotype" w:eastAsia="Palatino Linotype" w:hAnsi="Palatino Linotype" w:cs="Palatino Linotype"/>
          <w:color w:val="000000" w:themeColor="text1"/>
        </w:rPr>
        <w:t xml:space="preserve">, determinando </w:t>
      </w:r>
      <w:r w:rsidRPr="00455724">
        <w:rPr>
          <w:rFonts w:ascii="Palatino Linotype" w:eastAsia="Palatino Linotype" w:hAnsi="Palatino Linotype" w:cs="Palatino Linotype"/>
          <w:b/>
          <w:color w:val="000000" w:themeColor="text1"/>
        </w:rPr>
        <w:t xml:space="preserve">MODIFICAR </w:t>
      </w:r>
      <w:r w:rsidRPr="00455724">
        <w:rPr>
          <w:rFonts w:ascii="Palatino Linotype" w:eastAsia="Palatino Linotype" w:hAnsi="Palatino Linotype" w:cs="Palatino Linotype"/>
          <w:color w:val="000000" w:themeColor="text1"/>
        </w:rPr>
        <w:t xml:space="preserve">las respuestas y </w:t>
      </w:r>
      <w:r w:rsidRPr="00455724">
        <w:rPr>
          <w:rFonts w:ascii="Palatino Linotype" w:eastAsia="Palatino Linotype" w:hAnsi="Palatino Linotype" w:cs="Palatino Linotype"/>
          <w:b/>
          <w:color w:val="000000" w:themeColor="text1"/>
        </w:rPr>
        <w:t xml:space="preserve">ORDENAR </w:t>
      </w:r>
      <w:r w:rsidRPr="00455724">
        <w:rPr>
          <w:rFonts w:ascii="Palatino Linotype" w:eastAsia="Palatino Linotype" w:hAnsi="Palatino Linotype" w:cs="Palatino Linotype"/>
          <w:color w:val="000000" w:themeColor="text1"/>
        </w:rPr>
        <w:t>la entrega, vía Sistema de Acceso a la Información Mexiquense, previa búsqueda exhaustiva y razonable, de ser el caso en versión pública,</w:t>
      </w:r>
      <w:r w:rsidRPr="00455724">
        <w:rPr>
          <w:rFonts w:ascii="Palatino Linotype" w:eastAsia="Palatino Linotype" w:hAnsi="Palatino Linotype" w:cs="Palatino Linotype"/>
          <w:b/>
          <w:color w:val="000000" w:themeColor="text1"/>
        </w:rPr>
        <w:t xml:space="preserve"> los certificados de competencia laboral de los Titulares de la Tesorería Honorífica, la Contraloría Honorífica, la Unida de Transparencia y la Procuraduría de Protección de Niñas, Niños y Adolescentes, de la actual administración, al 11 de junio de 2025.</w:t>
      </w:r>
    </w:p>
    <w:p w14:paraId="01F453DF"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15423B60" w14:textId="77777777" w:rsidR="0083137F" w:rsidRPr="00455724" w:rsidRDefault="009C2C7A" w:rsidP="00544AE6">
      <w:pPr>
        <w:keepNext/>
        <w:keepLines/>
        <w:spacing w:after="160" w:line="360" w:lineRule="auto"/>
        <w:ind w:right="-7"/>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lastRenderedPageBreak/>
        <w:t>QUINTO. De la versión pública.</w:t>
      </w:r>
    </w:p>
    <w:p w14:paraId="28EC8F8C" w14:textId="77777777" w:rsidR="0083137F" w:rsidRPr="00455724" w:rsidRDefault="009C2C7A" w:rsidP="00544AE6">
      <w:pPr>
        <w:keepNext/>
        <w:keepLines/>
        <w:numPr>
          <w:ilvl w:val="0"/>
          <w:numId w:val="3"/>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 xml:space="preserve">Nociones generales. </w:t>
      </w:r>
    </w:p>
    <w:p w14:paraId="164BA4C9"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Debido a la información solicitada por el </w:t>
      </w:r>
      <w:r w:rsidRPr="00455724">
        <w:rPr>
          <w:rFonts w:ascii="Palatino Linotype" w:eastAsia="Palatino Linotype" w:hAnsi="Palatino Linotype" w:cs="Palatino Linotype"/>
          <w:b/>
          <w:color w:val="000000" w:themeColor="text1"/>
        </w:rPr>
        <w:t>RECURRENTE</w:t>
      </w:r>
      <w:r w:rsidRPr="00455724">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455724">
        <w:rPr>
          <w:rFonts w:ascii="Palatino Linotype" w:eastAsia="Palatino Linotype" w:hAnsi="Palatino Linotype" w:cs="Palatino Linotype"/>
          <w:b/>
          <w:color w:val="000000" w:themeColor="text1"/>
        </w:rPr>
        <w:t xml:space="preserve">SUJETO OBLIGADO </w:t>
      </w:r>
      <w:r w:rsidRPr="00455724">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6EFD6BF6" w14:textId="77777777" w:rsidR="0083137F" w:rsidRPr="00455724" w:rsidRDefault="0083137F" w:rsidP="00544AE6">
      <w:pPr>
        <w:tabs>
          <w:tab w:val="left" w:pos="0"/>
          <w:tab w:val="left" w:pos="284"/>
        </w:tabs>
        <w:spacing w:line="360" w:lineRule="auto"/>
        <w:ind w:right="-7"/>
        <w:jc w:val="both"/>
        <w:rPr>
          <w:rFonts w:ascii="Palatino Linotype" w:eastAsia="Palatino Linotype" w:hAnsi="Palatino Linotype" w:cs="Palatino Linotype"/>
          <w:color w:val="000000" w:themeColor="text1"/>
        </w:rPr>
      </w:pPr>
    </w:p>
    <w:p w14:paraId="0B23BE5F"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No pasa desapercibido para este Órgano Garante que los sujetos obligados</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54AFBAE" w14:textId="77777777" w:rsidR="0083137F" w:rsidRPr="00455724" w:rsidRDefault="0083137F" w:rsidP="00544AE6">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Style w:val="a8"/>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544AE6" w:rsidRPr="00455724" w14:paraId="646B2C35" w14:textId="77777777" w:rsidTr="00E60A95">
        <w:tc>
          <w:tcPr>
            <w:tcW w:w="2689" w:type="dxa"/>
          </w:tcPr>
          <w:p w14:paraId="58A632C1" w14:textId="77777777" w:rsidR="0083137F" w:rsidRPr="00455724" w:rsidRDefault="009C2C7A" w:rsidP="00E60A95">
            <w:pPr>
              <w:spacing w:line="360" w:lineRule="auto"/>
              <w:ind w:right="-7"/>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a) Requisitos previos.</w:t>
            </w:r>
          </w:p>
        </w:tc>
        <w:tc>
          <w:tcPr>
            <w:tcW w:w="7087" w:type="dxa"/>
          </w:tcPr>
          <w:p w14:paraId="7AF5E95B" w14:textId="77777777" w:rsidR="0083137F" w:rsidRPr="00455724" w:rsidRDefault="009C2C7A" w:rsidP="00E60A95">
            <w:pPr>
              <w:spacing w:line="360" w:lineRule="auto"/>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470640B1" w14:textId="77777777" w:rsidR="0083137F" w:rsidRPr="00455724" w:rsidRDefault="009C2C7A" w:rsidP="00E60A95">
            <w:pPr>
              <w:spacing w:line="360" w:lineRule="auto"/>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55ECB139" w14:textId="77777777" w:rsidR="0083137F" w:rsidRPr="00455724" w:rsidRDefault="009C2C7A" w:rsidP="00E60A95">
            <w:pPr>
              <w:spacing w:line="360" w:lineRule="auto"/>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14:paraId="7457B943" w14:textId="77777777" w:rsidR="0083137F" w:rsidRPr="00455724" w:rsidRDefault="009C2C7A" w:rsidP="00E60A95">
            <w:pPr>
              <w:spacing w:line="360" w:lineRule="auto"/>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455724">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455724">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544AE6" w:rsidRPr="00455724" w14:paraId="225B4633" w14:textId="77777777" w:rsidTr="00E60A95">
        <w:tc>
          <w:tcPr>
            <w:tcW w:w="2689" w:type="dxa"/>
          </w:tcPr>
          <w:p w14:paraId="7E8BEA9B" w14:textId="77777777" w:rsidR="0083137F" w:rsidRPr="00455724" w:rsidRDefault="009C2C7A" w:rsidP="00E60A95">
            <w:pPr>
              <w:spacing w:line="360" w:lineRule="auto"/>
              <w:ind w:right="-7"/>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lastRenderedPageBreak/>
              <w:t>b) Supuestos de clasificación.</w:t>
            </w:r>
          </w:p>
        </w:tc>
        <w:tc>
          <w:tcPr>
            <w:tcW w:w="7087" w:type="dxa"/>
          </w:tcPr>
          <w:p w14:paraId="58B43817"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4D8A6E5"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6875F2E"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 xml:space="preserve">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44AE6" w:rsidRPr="00455724" w14:paraId="139564BE" w14:textId="77777777" w:rsidTr="00E60A95">
        <w:tc>
          <w:tcPr>
            <w:tcW w:w="2689" w:type="dxa"/>
          </w:tcPr>
          <w:p w14:paraId="22A0C7E1" w14:textId="77777777" w:rsidR="0083137F" w:rsidRPr="00455724" w:rsidRDefault="009C2C7A" w:rsidP="00E60A95">
            <w:pPr>
              <w:spacing w:line="360" w:lineRule="auto"/>
              <w:ind w:right="-7"/>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14:paraId="0D20C2CE"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3CDE17ED"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Es necesario que </w:t>
            </w:r>
            <w:r w:rsidRPr="00455724">
              <w:rPr>
                <w:rFonts w:ascii="Palatino Linotype" w:eastAsia="Palatino Linotype" w:hAnsi="Palatino Linotype" w:cs="Palatino Linotype"/>
                <w:b/>
                <w:color w:val="000000" w:themeColor="text1"/>
                <w:u w:val="single"/>
              </w:rPr>
              <w:t>el acto reúna con los requisitos elementales</w:t>
            </w:r>
            <w:r w:rsidRPr="00455724">
              <w:rPr>
                <w:rFonts w:ascii="Palatino Linotype" w:eastAsia="Palatino Linotype" w:hAnsi="Palatino Linotype" w:cs="Palatino Linotype"/>
                <w:color w:val="000000" w:themeColor="text1"/>
              </w:rPr>
              <w:t>, entre ellos, que la autoridad que va a emitir el acto de autoridad sea la legalmente facultada para ello.</w:t>
            </w:r>
          </w:p>
          <w:p w14:paraId="2F48B6B1"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44AE6" w:rsidRPr="00455724" w14:paraId="54FD2B9A" w14:textId="77777777" w:rsidTr="00E60A95">
        <w:tc>
          <w:tcPr>
            <w:tcW w:w="2689" w:type="dxa"/>
          </w:tcPr>
          <w:p w14:paraId="65468897" w14:textId="77777777" w:rsidR="0083137F" w:rsidRPr="00455724" w:rsidRDefault="0083137F" w:rsidP="00E60A95">
            <w:pPr>
              <w:spacing w:line="360" w:lineRule="auto"/>
              <w:ind w:right="-7"/>
              <w:rPr>
                <w:rFonts w:ascii="Palatino Linotype" w:eastAsia="Palatino Linotype" w:hAnsi="Palatino Linotype" w:cs="Palatino Linotype"/>
                <w:b/>
                <w:color w:val="000000" w:themeColor="text1"/>
              </w:rPr>
            </w:pPr>
          </w:p>
          <w:p w14:paraId="5DF2F234" w14:textId="77777777" w:rsidR="0083137F" w:rsidRPr="00455724" w:rsidRDefault="009C2C7A" w:rsidP="00E60A95">
            <w:pPr>
              <w:spacing w:line="360" w:lineRule="auto"/>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lastRenderedPageBreak/>
              <w:t xml:space="preserve">d) Requisitos de fondo del acuerdo de clasificación. </w:t>
            </w:r>
          </w:p>
        </w:tc>
        <w:tc>
          <w:tcPr>
            <w:tcW w:w="7087" w:type="dxa"/>
          </w:tcPr>
          <w:p w14:paraId="4C429D91"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otro. </w:t>
            </w:r>
            <w:r w:rsidRPr="00455724">
              <w:rPr>
                <w:rFonts w:ascii="Palatino Linotype" w:eastAsia="Palatino Linotype" w:hAnsi="Palatino Linotype" w:cs="Palatino Linotype"/>
                <w:color w:val="000000" w:themeColor="text1"/>
              </w:rPr>
              <w:lastRenderedPageBreak/>
              <w:t xml:space="preserve">Ahora, en esta parte del procedimiento, que se desahoga en sede del Comité de Transparencia, la ley señala que la carga de la prueba, para justificar las restricciones, corresponde a los </w:t>
            </w:r>
            <w:r w:rsidRPr="00455724">
              <w:rPr>
                <w:rFonts w:ascii="Palatino Linotype" w:eastAsia="Palatino Linotype" w:hAnsi="Palatino Linotype" w:cs="Palatino Linotype"/>
                <w:b/>
                <w:color w:val="000000" w:themeColor="text1"/>
              </w:rPr>
              <w:t>Sujetos Obligados</w:t>
            </w:r>
            <w:r w:rsidRPr="00455724">
              <w:rPr>
                <w:rFonts w:ascii="Palatino Linotype" w:eastAsia="Palatino Linotype" w:hAnsi="Palatino Linotype" w:cs="Palatino Linotype"/>
                <w:color w:val="000000" w:themeColor="text1"/>
              </w:rPr>
              <w:t xml:space="preserve">, por lo que deberán fundar y motivar debidamente la clasificación. </w:t>
            </w:r>
          </w:p>
          <w:p w14:paraId="32A39400"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De lo anterior, se desprende que para una correcta </w:t>
            </w:r>
            <w:r w:rsidRPr="00455724">
              <w:rPr>
                <w:rFonts w:ascii="Palatino Linotype" w:eastAsia="Palatino Linotype" w:hAnsi="Palatino Linotype" w:cs="Palatino Linotype"/>
                <w:b/>
                <w:color w:val="000000" w:themeColor="text1"/>
              </w:rPr>
              <w:t>clasificación total o parcial</w:t>
            </w:r>
            <w:r w:rsidRPr="0045572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71930D"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232566"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075EA56E"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 xml:space="preserve">Ahora bien, </w:t>
            </w:r>
            <w:r w:rsidRPr="00455724">
              <w:rPr>
                <w:rFonts w:ascii="Palatino Linotype" w:eastAsia="Palatino Linotype" w:hAnsi="Palatino Linotype" w:cs="Palatino Linotype"/>
                <w:b/>
                <w:color w:val="000000" w:themeColor="text1"/>
                <w:u w:val="single"/>
              </w:rPr>
              <w:t>para cada caso además de fundar y motivar</w:t>
            </w:r>
            <w:r w:rsidRPr="00455724">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3137F" w:rsidRPr="00455724" w14:paraId="0F2A2DC1" w14:textId="77777777" w:rsidTr="00E60A95">
        <w:tc>
          <w:tcPr>
            <w:tcW w:w="2689" w:type="dxa"/>
          </w:tcPr>
          <w:p w14:paraId="0F7E8718" w14:textId="77777777" w:rsidR="0083137F" w:rsidRPr="00455724" w:rsidRDefault="009C2C7A" w:rsidP="00E60A95">
            <w:pPr>
              <w:spacing w:line="360" w:lineRule="auto"/>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14:paraId="04115686"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28310C00" w14:textId="77777777" w:rsidR="0083137F" w:rsidRPr="00455724" w:rsidRDefault="009C2C7A" w:rsidP="00E60A95">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CA6341D" w14:textId="77777777" w:rsidR="0083137F" w:rsidRPr="00455724" w:rsidRDefault="009C2C7A" w:rsidP="00E60A95">
            <w:pPr>
              <w:spacing w:line="360" w:lineRule="auto"/>
              <w:ind w:right="-7"/>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02A0A45" w14:textId="77777777" w:rsidR="0083137F" w:rsidRPr="00455724" w:rsidRDefault="0083137F" w:rsidP="00544AE6">
      <w:pPr>
        <w:tabs>
          <w:tab w:val="left" w:pos="284"/>
        </w:tabs>
        <w:spacing w:line="360" w:lineRule="auto"/>
        <w:ind w:right="-7"/>
        <w:rPr>
          <w:rFonts w:ascii="Palatino Linotype" w:eastAsia="Palatino Linotype" w:hAnsi="Palatino Linotype" w:cs="Palatino Linotype"/>
          <w:color w:val="000000" w:themeColor="text1"/>
        </w:rPr>
      </w:pPr>
    </w:p>
    <w:p w14:paraId="47D8EC02" w14:textId="77777777" w:rsidR="0083137F" w:rsidRPr="00455724" w:rsidRDefault="0083137F" w:rsidP="00544AE6">
      <w:pPr>
        <w:ind w:right="-7"/>
        <w:rPr>
          <w:rFonts w:ascii="Palatino Linotype" w:eastAsia="Palatino Linotype" w:hAnsi="Palatino Linotype" w:cs="Palatino Linotype"/>
          <w:color w:val="000000" w:themeColor="text1"/>
        </w:rPr>
      </w:pPr>
    </w:p>
    <w:p w14:paraId="67E2D4A0"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 xml:space="preserve">En ese sentido,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403FE68" w14:textId="77777777" w:rsidR="0083137F" w:rsidRPr="00455724" w:rsidRDefault="0083137F" w:rsidP="00544AE6">
      <w:pPr>
        <w:tabs>
          <w:tab w:val="left" w:pos="284"/>
        </w:tabs>
        <w:spacing w:line="360" w:lineRule="auto"/>
        <w:ind w:right="-7"/>
        <w:jc w:val="both"/>
        <w:rPr>
          <w:rFonts w:ascii="Palatino Linotype" w:eastAsia="Palatino Linotype" w:hAnsi="Palatino Linotype" w:cs="Palatino Linotype"/>
          <w:color w:val="000000" w:themeColor="text1"/>
        </w:rPr>
      </w:pPr>
    </w:p>
    <w:p w14:paraId="28438E0F" w14:textId="77777777" w:rsidR="0083137F" w:rsidRPr="00455724"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 xml:space="preserve">Derivado de lo establecido en párrafos anteriores, si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14:paraId="42ADAAB8"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1B7B2372" w14:textId="665DCF8F" w:rsidR="0083137F" w:rsidRDefault="009C2C7A" w:rsidP="00544AE6">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t>Por lo expuesto, y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r w:rsidR="00E60A95">
        <w:rPr>
          <w:rFonts w:ascii="Palatino Linotype" w:eastAsia="Palatino Linotype" w:hAnsi="Palatino Linotype" w:cs="Palatino Linotype"/>
          <w:color w:val="000000" w:themeColor="text1"/>
        </w:rPr>
        <w:t xml:space="preserve"> -------------------------------------------------------------------------------------------</w:t>
      </w:r>
    </w:p>
    <w:p w14:paraId="24241532" w14:textId="77777777" w:rsidR="00E60A95" w:rsidRDefault="00E60A95" w:rsidP="00E60A95">
      <w:pPr>
        <w:pStyle w:val="Prrafodelista"/>
        <w:rPr>
          <w:rFonts w:ascii="Palatino Linotype" w:eastAsia="Palatino Linotype" w:hAnsi="Palatino Linotype" w:cs="Palatino Linotype"/>
          <w:color w:val="000000" w:themeColor="text1"/>
        </w:rPr>
      </w:pPr>
    </w:p>
    <w:p w14:paraId="37F098D6" w14:textId="77777777" w:rsidR="00E60A95" w:rsidRDefault="00E60A95" w:rsidP="00E60A95">
      <w:pPr>
        <w:spacing w:line="360" w:lineRule="auto"/>
        <w:ind w:right="-7"/>
        <w:jc w:val="both"/>
        <w:rPr>
          <w:rFonts w:ascii="Palatino Linotype" w:eastAsia="Palatino Linotype" w:hAnsi="Palatino Linotype" w:cs="Palatino Linotype"/>
          <w:color w:val="000000" w:themeColor="text1"/>
        </w:rPr>
      </w:pPr>
    </w:p>
    <w:p w14:paraId="174DF5A2" w14:textId="77777777" w:rsidR="00E60A95" w:rsidRDefault="00E60A95" w:rsidP="00E60A95">
      <w:pPr>
        <w:spacing w:line="360" w:lineRule="auto"/>
        <w:ind w:right="-7"/>
        <w:jc w:val="both"/>
        <w:rPr>
          <w:rFonts w:ascii="Palatino Linotype" w:eastAsia="Palatino Linotype" w:hAnsi="Palatino Linotype" w:cs="Palatino Linotype"/>
          <w:color w:val="000000" w:themeColor="text1"/>
        </w:rPr>
      </w:pPr>
    </w:p>
    <w:p w14:paraId="24D512DB" w14:textId="77777777" w:rsidR="00E60A95" w:rsidRPr="00455724" w:rsidRDefault="00E60A95" w:rsidP="00E60A95">
      <w:pPr>
        <w:spacing w:line="360" w:lineRule="auto"/>
        <w:ind w:right="-7"/>
        <w:jc w:val="both"/>
        <w:rPr>
          <w:rFonts w:ascii="Palatino Linotype" w:eastAsia="Palatino Linotype" w:hAnsi="Palatino Linotype" w:cs="Palatino Linotype"/>
          <w:color w:val="000000" w:themeColor="text1"/>
        </w:rPr>
      </w:pPr>
    </w:p>
    <w:p w14:paraId="5E0B94A5" w14:textId="77777777" w:rsidR="0083137F" w:rsidRPr="00455724" w:rsidRDefault="0083137F" w:rsidP="00544AE6">
      <w:pPr>
        <w:ind w:right="-7"/>
        <w:rPr>
          <w:rFonts w:ascii="Palatino Linotype" w:eastAsia="Palatino Linotype" w:hAnsi="Palatino Linotype" w:cs="Palatino Linotype"/>
          <w:color w:val="000000" w:themeColor="text1"/>
        </w:rPr>
      </w:pPr>
    </w:p>
    <w:p w14:paraId="7D525BAC" w14:textId="77777777" w:rsidR="0083137F" w:rsidRPr="00455724" w:rsidRDefault="009C2C7A" w:rsidP="00544AE6">
      <w:pPr>
        <w:spacing w:line="360" w:lineRule="auto"/>
        <w:ind w:right="-7"/>
        <w:jc w:val="center"/>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lastRenderedPageBreak/>
        <w:t>R E S U E L V E</w:t>
      </w:r>
    </w:p>
    <w:p w14:paraId="5B93DE9A" w14:textId="77777777" w:rsidR="0083137F" w:rsidRPr="00455724" w:rsidRDefault="0083137F" w:rsidP="00544AE6">
      <w:pPr>
        <w:spacing w:line="360" w:lineRule="auto"/>
        <w:ind w:right="-7"/>
        <w:jc w:val="center"/>
        <w:rPr>
          <w:rFonts w:ascii="Palatino Linotype" w:eastAsia="Palatino Linotype" w:hAnsi="Palatino Linotype" w:cs="Palatino Linotype"/>
          <w:b/>
          <w:color w:val="000000" w:themeColor="text1"/>
        </w:rPr>
      </w:pPr>
    </w:p>
    <w:p w14:paraId="52CFA35E" w14:textId="77777777" w:rsidR="0083137F" w:rsidRPr="00455724" w:rsidRDefault="009C2C7A" w:rsidP="00544AE6">
      <w:pPr>
        <w:spacing w:line="360" w:lineRule="auto"/>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PRIMERO</w:t>
      </w:r>
      <w:r w:rsidRPr="00455724">
        <w:rPr>
          <w:rFonts w:ascii="Palatino Linotype" w:eastAsia="Palatino Linotype" w:hAnsi="Palatino Linotype" w:cs="Palatino Linotype"/>
          <w:color w:val="000000" w:themeColor="text1"/>
        </w:rPr>
        <w:t xml:space="preserve">. Resultan </w:t>
      </w:r>
      <w:r w:rsidRPr="00455724">
        <w:rPr>
          <w:rFonts w:ascii="Palatino Linotype" w:eastAsia="Palatino Linotype" w:hAnsi="Palatino Linotype" w:cs="Palatino Linotype"/>
          <w:b/>
          <w:color w:val="000000" w:themeColor="text1"/>
        </w:rPr>
        <w:t>PARCIALMENTE</w:t>
      </w:r>
      <w:r w:rsidRPr="00455724">
        <w:rPr>
          <w:rFonts w:ascii="Palatino Linotype" w:eastAsia="Palatino Linotype" w:hAnsi="Palatino Linotype" w:cs="Palatino Linotype"/>
          <w:color w:val="000000" w:themeColor="text1"/>
        </w:rPr>
        <w:t xml:space="preserve"> </w:t>
      </w:r>
      <w:r w:rsidRPr="00455724">
        <w:rPr>
          <w:rFonts w:ascii="Palatino Linotype" w:eastAsia="Palatino Linotype" w:hAnsi="Palatino Linotype" w:cs="Palatino Linotype"/>
          <w:b/>
          <w:color w:val="000000" w:themeColor="text1"/>
        </w:rPr>
        <w:t>FUNDADAS</w:t>
      </w:r>
      <w:r w:rsidRPr="00455724">
        <w:rPr>
          <w:rFonts w:ascii="Palatino Linotype" w:eastAsia="Palatino Linotype" w:hAnsi="Palatino Linotype" w:cs="Palatino Linotype"/>
          <w:color w:val="000000" w:themeColor="text1"/>
        </w:rPr>
        <w:t xml:space="preserve"> las razones o motivos de inconformidad hechos valer en los Recursos de Revisión </w:t>
      </w:r>
      <w:r w:rsidRPr="00455724">
        <w:rPr>
          <w:rFonts w:ascii="Palatino Linotype" w:eastAsia="Palatino Linotype" w:hAnsi="Palatino Linotype" w:cs="Palatino Linotype"/>
          <w:b/>
          <w:color w:val="000000" w:themeColor="text1"/>
        </w:rPr>
        <w:t>07408/INFOEM/IP/RR/2025 y 07409/INFOEM/IP/RR/2025</w:t>
      </w:r>
      <w:r w:rsidRPr="00455724">
        <w:rPr>
          <w:rFonts w:ascii="Palatino Linotype" w:eastAsia="Palatino Linotype" w:hAnsi="Palatino Linotype" w:cs="Palatino Linotype"/>
          <w:color w:val="000000" w:themeColor="text1"/>
        </w:rPr>
        <w:t>,</w:t>
      </w:r>
      <w:r w:rsidRPr="00455724">
        <w:rPr>
          <w:rFonts w:ascii="Palatino Linotype" w:eastAsia="Palatino Linotype" w:hAnsi="Palatino Linotype" w:cs="Palatino Linotype"/>
          <w:b/>
          <w:color w:val="000000" w:themeColor="text1"/>
        </w:rPr>
        <w:t xml:space="preserve"> </w:t>
      </w:r>
      <w:r w:rsidRPr="00455724">
        <w:rPr>
          <w:rFonts w:ascii="Palatino Linotype" w:eastAsia="Palatino Linotype" w:hAnsi="Palatino Linotype" w:cs="Palatino Linotype"/>
          <w:color w:val="000000" w:themeColor="text1"/>
        </w:rPr>
        <w:t xml:space="preserve">en términos del </w:t>
      </w:r>
      <w:r w:rsidRPr="00455724">
        <w:rPr>
          <w:rFonts w:ascii="Palatino Linotype" w:eastAsia="Palatino Linotype" w:hAnsi="Palatino Linotype" w:cs="Palatino Linotype"/>
          <w:b/>
          <w:color w:val="000000" w:themeColor="text1"/>
        </w:rPr>
        <w:t xml:space="preserve">Considerando CUARTO </w:t>
      </w:r>
      <w:r w:rsidRPr="00455724">
        <w:rPr>
          <w:rFonts w:ascii="Palatino Linotype" w:eastAsia="Palatino Linotype" w:hAnsi="Palatino Linotype" w:cs="Palatino Linotype"/>
          <w:color w:val="000000" w:themeColor="text1"/>
        </w:rPr>
        <w:t>de la presente resolución</w:t>
      </w:r>
      <w:r w:rsidRPr="00455724">
        <w:rPr>
          <w:rFonts w:ascii="Palatino Linotype" w:eastAsia="Palatino Linotype" w:hAnsi="Palatino Linotype" w:cs="Palatino Linotype"/>
          <w:b/>
          <w:color w:val="000000" w:themeColor="text1"/>
        </w:rPr>
        <w:t>.</w:t>
      </w:r>
    </w:p>
    <w:p w14:paraId="02BB3CCC" w14:textId="77777777" w:rsidR="0083137F" w:rsidRPr="00455724" w:rsidRDefault="0083137F" w:rsidP="00544AE6">
      <w:pPr>
        <w:spacing w:line="360" w:lineRule="auto"/>
        <w:ind w:right="-7"/>
        <w:jc w:val="both"/>
        <w:rPr>
          <w:rFonts w:ascii="Palatino Linotype" w:eastAsia="Palatino Linotype" w:hAnsi="Palatino Linotype" w:cs="Palatino Linotype"/>
          <w:b/>
          <w:color w:val="000000" w:themeColor="text1"/>
        </w:rPr>
      </w:pPr>
    </w:p>
    <w:p w14:paraId="641803F2" w14:textId="77777777" w:rsidR="0083137F" w:rsidRPr="00455724" w:rsidRDefault="009C2C7A" w:rsidP="00544AE6">
      <w:pPr>
        <w:spacing w:line="360" w:lineRule="auto"/>
        <w:ind w:right="-7"/>
        <w:jc w:val="both"/>
        <w:rPr>
          <w:rFonts w:ascii="Palatino Linotype" w:eastAsia="Palatino Linotype" w:hAnsi="Palatino Linotype" w:cs="Palatino Linotype"/>
          <w:b/>
          <w:color w:val="000000" w:themeColor="text1"/>
        </w:rPr>
      </w:pPr>
      <w:bookmarkStart w:id="6" w:name="_heading=h.1ksv4uv" w:colFirst="0" w:colLast="0"/>
      <w:bookmarkEnd w:id="6"/>
      <w:r w:rsidRPr="00455724">
        <w:rPr>
          <w:rFonts w:ascii="Palatino Linotype" w:eastAsia="Palatino Linotype" w:hAnsi="Palatino Linotype" w:cs="Palatino Linotype"/>
          <w:b/>
          <w:color w:val="000000" w:themeColor="text1"/>
        </w:rPr>
        <w:t>SEGUNDO.</w:t>
      </w:r>
      <w:r w:rsidRPr="00455724">
        <w:rPr>
          <w:rFonts w:ascii="Palatino Linotype" w:eastAsia="Palatino Linotype" w:hAnsi="Palatino Linotype" w:cs="Palatino Linotype"/>
          <w:color w:val="000000" w:themeColor="text1"/>
        </w:rPr>
        <w:t xml:space="preserve"> Se </w:t>
      </w:r>
      <w:r w:rsidRPr="00455724">
        <w:rPr>
          <w:rFonts w:ascii="Palatino Linotype" w:eastAsia="Palatino Linotype" w:hAnsi="Palatino Linotype" w:cs="Palatino Linotype"/>
          <w:b/>
          <w:color w:val="000000" w:themeColor="text1"/>
        </w:rPr>
        <w:t xml:space="preserve">MODIFICAN </w:t>
      </w:r>
      <w:r w:rsidRPr="00455724">
        <w:rPr>
          <w:rFonts w:ascii="Palatino Linotype" w:eastAsia="Palatino Linotype" w:hAnsi="Palatino Linotype" w:cs="Palatino Linotype"/>
          <w:color w:val="000000" w:themeColor="text1"/>
        </w:rPr>
        <w:t xml:space="preserve">las respuestas emitida por el </w:t>
      </w:r>
      <w:r w:rsidRPr="00455724">
        <w:rPr>
          <w:rFonts w:ascii="Palatino Linotype" w:eastAsia="Palatino Linotype" w:hAnsi="Palatino Linotype" w:cs="Palatino Linotype"/>
          <w:b/>
          <w:color w:val="000000" w:themeColor="text1"/>
        </w:rPr>
        <w:t xml:space="preserve">Sistema Municipal para el Desarrollo Integral de la Familia de Cocotitlán </w:t>
      </w:r>
      <w:r w:rsidRPr="00455724">
        <w:rPr>
          <w:rFonts w:ascii="Palatino Linotype" w:eastAsia="Palatino Linotype" w:hAnsi="Palatino Linotype" w:cs="Palatino Linotype"/>
          <w:color w:val="000000" w:themeColor="text1"/>
        </w:rPr>
        <w:t xml:space="preserve">y se </w:t>
      </w:r>
      <w:r w:rsidRPr="00455724">
        <w:rPr>
          <w:rFonts w:ascii="Palatino Linotype" w:eastAsia="Palatino Linotype" w:hAnsi="Palatino Linotype" w:cs="Palatino Linotype"/>
          <w:b/>
          <w:color w:val="000000" w:themeColor="text1"/>
        </w:rPr>
        <w:t>ORDENA</w:t>
      </w:r>
      <w:r w:rsidRPr="00455724">
        <w:rPr>
          <w:rFonts w:ascii="Palatino Linotype" w:eastAsia="Palatino Linotype" w:hAnsi="Palatino Linotype" w:cs="Palatino Linotype"/>
          <w:color w:val="000000" w:themeColor="text1"/>
        </w:rPr>
        <w:t xml:space="preserve"> entregar, vía Sistema de Acceso a la Información Mexiquense </w:t>
      </w:r>
      <w:r w:rsidRPr="00455724">
        <w:rPr>
          <w:rFonts w:ascii="Palatino Linotype" w:eastAsia="Palatino Linotype" w:hAnsi="Palatino Linotype" w:cs="Palatino Linotype"/>
          <w:b/>
          <w:color w:val="000000" w:themeColor="text1"/>
        </w:rPr>
        <w:t>(SAIMEX)</w:t>
      </w:r>
      <w:r w:rsidRPr="00455724">
        <w:rPr>
          <w:rFonts w:ascii="Palatino Linotype" w:eastAsia="Palatino Linotype" w:hAnsi="Palatino Linotype" w:cs="Palatino Linotype"/>
          <w:color w:val="000000" w:themeColor="text1"/>
        </w:rPr>
        <w:t>, previa búsqueda exhaustiva y razonable, de ser procedente en versión pública, la siguiente información:</w:t>
      </w:r>
    </w:p>
    <w:p w14:paraId="085C50B5"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5890E88C" w14:textId="77777777" w:rsidR="0083137F" w:rsidRPr="00455724" w:rsidRDefault="009C2C7A" w:rsidP="00544AE6">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b/>
          <w:color w:val="000000" w:themeColor="text1"/>
        </w:rPr>
        <w:t>Los certificados de competencia laboral de los Titulares de la Tesorería Honorífica, la Contraloría Honorífica, la Unidad de Transparencia y la Procuraduría de Protección de Niñas, Niños y Adolescentes, de la actual administración, al 11 de junio de 2025.</w:t>
      </w:r>
    </w:p>
    <w:p w14:paraId="4A3636EC" w14:textId="77777777" w:rsidR="0083137F" w:rsidRPr="00455724" w:rsidRDefault="0083137F" w:rsidP="00544AE6">
      <w:pPr>
        <w:spacing w:line="360" w:lineRule="auto"/>
        <w:ind w:right="-7"/>
        <w:jc w:val="both"/>
        <w:rPr>
          <w:rFonts w:ascii="Palatino Linotype" w:eastAsia="Palatino Linotype" w:hAnsi="Palatino Linotype" w:cs="Palatino Linotype"/>
          <w:b/>
          <w:color w:val="000000" w:themeColor="text1"/>
        </w:rPr>
      </w:pPr>
    </w:p>
    <w:p w14:paraId="1CE5E370" w14:textId="77777777" w:rsidR="0083137F" w:rsidRPr="00455724" w:rsidRDefault="009C2C7A" w:rsidP="00544AE6">
      <w:pPr>
        <w:pBdr>
          <w:top w:val="nil"/>
          <w:left w:val="nil"/>
          <w:bottom w:val="nil"/>
          <w:right w:val="nil"/>
          <w:between w:val="nil"/>
        </w:pBdr>
        <w:tabs>
          <w:tab w:val="left" w:pos="8080"/>
        </w:tabs>
        <w:spacing w:line="360" w:lineRule="auto"/>
        <w:ind w:right="-7"/>
        <w:jc w:val="both"/>
        <w:rPr>
          <w:rFonts w:ascii="Palatino Linotype" w:eastAsia="Palatino Linotype" w:hAnsi="Palatino Linotype" w:cs="Palatino Linotype"/>
          <w:b/>
          <w:color w:val="000000" w:themeColor="text1"/>
        </w:rPr>
      </w:pPr>
      <w:r w:rsidRPr="00455724">
        <w:rPr>
          <w:rFonts w:ascii="Palatino Linotype" w:eastAsia="Palatino Linotype" w:hAnsi="Palatino Linotype" w:cs="Palatino Linotype"/>
          <w:color w:val="000000" w:themeColor="text1"/>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55724">
        <w:rPr>
          <w:rFonts w:ascii="Palatino Linotype" w:eastAsia="Palatino Linotype" w:hAnsi="Palatino Linotype" w:cs="Palatino Linotype"/>
          <w:b/>
          <w:color w:val="000000" w:themeColor="text1"/>
        </w:rPr>
        <w:t>RECURRENTE.</w:t>
      </w:r>
    </w:p>
    <w:p w14:paraId="3A530226" w14:textId="77777777" w:rsidR="0083137F" w:rsidRPr="00455724" w:rsidRDefault="0083137F" w:rsidP="00544AE6">
      <w:pPr>
        <w:pBdr>
          <w:top w:val="nil"/>
          <w:left w:val="nil"/>
          <w:bottom w:val="nil"/>
          <w:right w:val="nil"/>
          <w:between w:val="nil"/>
        </w:pBdr>
        <w:tabs>
          <w:tab w:val="left" w:pos="8080"/>
        </w:tabs>
        <w:spacing w:line="360" w:lineRule="auto"/>
        <w:ind w:right="-7"/>
        <w:jc w:val="both"/>
        <w:rPr>
          <w:rFonts w:ascii="Palatino Linotype" w:eastAsia="Palatino Linotype" w:hAnsi="Palatino Linotype" w:cs="Palatino Linotype"/>
          <w:b/>
          <w:color w:val="000000" w:themeColor="text1"/>
        </w:rPr>
      </w:pPr>
    </w:p>
    <w:p w14:paraId="1D864A11" w14:textId="77777777" w:rsidR="0083137F" w:rsidRPr="00455724" w:rsidRDefault="009C2C7A" w:rsidP="00544AE6">
      <w:pPr>
        <w:tabs>
          <w:tab w:val="left" w:pos="8080"/>
        </w:tabs>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color w:val="000000" w:themeColor="text1"/>
        </w:rPr>
        <w:lastRenderedPageBreak/>
        <w:t xml:space="preserve">Para el caso que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luego de la búsqueda exhaustiva y razonable no cuente con la información que se ordena su entrega, por encontrarse aún dentro de la temporalidad establecida en la ley, bastará que lo haga del conocimiento del </w:t>
      </w:r>
      <w:r w:rsidRPr="00455724">
        <w:rPr>
          <w:rFonts w:ascii="Palatino Linotype" w:eastAsia="Palatino Linotype" w:hAnsi="Palatino Linotype" w:cs="Palatino Linotype"/>
          <w:b/>
          <w:color w:val="000000" w:themeColor="text1"/>
        </w:rPr>
        <w:t>RECURRENTE</w:t>
      </w:r>
      <w:r w:rsidRPr="00455724">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14:paraId="43D434FC" w14:textId="77777777" w:rsidR="0083137F" w:rsidRPr="00455724" w:rsidRDefault="0083137F" w:rsidP="00544AE6">
      <w:pPr>
        <w:tabs>
          <w:tab w:val="left" w:pos="8080"/>
        </w:tabs>
        <w:spacing w:line="360" w:lineRule="auto"/>
        <w:ind w:right="-7"/>
        <w:jc w:val="both"/>
        <w:rPr>
          <w:rFonts w:ascii="Palatino Linotype" w:eastAsia="Palatino Linotype" w:hAnsi="Palatino Linotype" w:cs="Palatino Linotype"/>
          <w:color w:val="000000" w:themeColor="text1"/>
        </w:rPr>
      </w:pPr>
    </w:p>
    <w:p w14:paraId="3F0173F9" w14:textId="77777777" w:rsidR="0083137F" w:rsidRPr="00455724" w:rsidRDefault="009C2C7A" w:rsidP="00544AE6">
      <w:pPr>
        <w:tabs>
          <w:tab w:val="left" w:pos="8080"/>
        </w:tabs>
        <w:spacing w:line="360" w:lineRule="auto"/>
        <w:ind w:right="-7"/>
        <w:jc w:val="both"/>
        <w:rPr>
          <w:rFonts w:ascii="Palatino Linotype" w:eastAsia="Palatino Linotype" w:hAnsi="Palatino Linotype" w:cs="Palatino Linotype"/>
          <w:color w:val="000000" w:themeColor="text1"/>
        </w:rPr>
      </w:pPr>
      <w:bookmarkStart w:id="7" w:name="_heading=h.anag5l1ko6oo" w:colFirst="0" w:colLast="0"/>
      <w:bookmarkEnd w:id="7"/>
      <w:r w:rsidRPr="00455724">
        <w:rPr>
          <w:rFonts w:ascii="Palatino Linotype" w:eastAsia="Palatino Linotype" w:hAnsi="Palatino Linotype" w:cs="Palatino Linotype"/>
          <w:color w:val="000000" w:themeColor="text1"/>
        </w:rPr>
        <w:t xml:space="preserve">Para el caso de que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luego la búsqueda exhaustiva y razonable no localice la información que se ordena, respecto de los Titulares de la Unidad de Transparencia y la Procuraduría de Protección de Niñas, Niños y Adolescentes, y haya fenecido el plazo de seis meses siguientes a la fecha en que inició sus funciones, deberá de emitir el Acuerdo de Inexistencia en términos de los artículos 49, fracciones II y XIII, 169 y 170 de la Ley de Transparencia y Acceso a la Información Pública del Estado de México y Municipios que al respecto emita su Comité de Transparencia.</w:t>
      </w:r>
    </w:p>
    <w:p w14:paraId="35CAFBC9" w14:textId="77777777" w:rsidR="0083137F" w:rsidRPr="00455724" w:rsidRDefault="0083137F" w:rsidP="00544AE6">
      <w:pPr>
        <w:spacing w:line="360" w:lineRule="auto"/>
        <w:ind w:right="-7"/>
        <w:jc w:val="both"/>
        <w:rPr>
          <w:rFonts w:ascii="Palatino Linotype" w:eastAsia="Palatino Linotype" w:hAnsi="Palatino Linotype" w:cs="Palatino Linotype"/>
          <w:b/>
          <w:color w:val="000000" w:themeColor="text1"/>
        </w:rPr>
      </w:pPr>
    </w:p>
    <w:p w14:paraId="472A302D" w14:textId="77777777" w:rsidR="0083137F" w:rsidRPr="00455724" w:rsidRDefault="009C2C7A" w:rsidP="00544AE6">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b/>
          <w:color w:val="000000" w:themeColor="text1"/>
        </w:rPr>
        <w:t>TERCERO. NOTIFÍQUESE</w:t>
      </w:r>
      <w:r w:rsidRPr="00455724">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55724">
        <w:rPr>
          <w:rFonts w:ascii="Palatino Linotype" w:eastAsia="Palatino Linotype" w:hAnsi="Palatino Linotype" w:cs="Palatino Linotype"/>
          <w:b/>
          <w:color w:val="000000" w:themeColor="text1"/>
        </w:rPr>
        <w:t xml:space="preserve">dé cumplimiento a lo ordenado dentro del plazo </w:t>
      </w:r>
      <w:r w:rsidRPr="00455724">
        <w:rPr>
          <w:rFonts w:ascii="Palatino Linotype" w:eastAsia="Palatino Linotype" w:hAnsi="Palatino Linotype" w:cs="Palatino Linotype"/>
          <w:color w:val="000000" w:themeColor="text1"/>
        </w:rPr>
        <w:t>de</w:t>
      </w:r>
      <w:r w:rsidRPr="00455724">
        <w:rPr>
          <w:rFonts w:ascii="Palatino Linotype" w:eastAsia="Palatino Linotype" w:hAnsi="Palatino Linotype" w:cs="Palatino Linotype"/>
          <w:b/>
          <w:color w:val="000000" w:themeColor="text1"/>
        </w:rPr>
        <w:t xml:space="preserve"> diez días hábiles, </w:t>
      </w:r>
      <w:r w:rsidRPr="00455724">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072E79" w14:textId="77777777" w:rsidR="0083137F" w:rsidRPr="00455724" w:rsidRDefault="009C2C7A" w:rsidP="00544AE6">
      <w:pPr>
        <w:spacing w:line="360" w:lineRule="auto"/>
        <w:ind w:right="-7"/>
        <w:jc w:val="both"/>
        <w:rPr>
          <w:rFonts w:ascii="Palatino Linotype" w:eastAsia="Palatino Linotype" w:hAnsi="Palatino Linotype" w:cs="Palatino Linotype"/>
          <w:color w:val="000000" w:themeColor="text1"/>
        </w:rPr>
      </w:pPr>
      <w:bookmarkStart w:id="8" w:name="_heading=h.3rdcrjn" w:colFirst="0" w:colLast="0"/>
      <w:bookmarkEnd w:id="8"/>
      <w:r w:rsidRPr="00455724">
        <w:rPr>
          <w:rFonts w:ascii="Palatino Linotype" w:eastAsia="Palatino Linotype" w:hAnsi="Palatino Linotype" w:cs="Palatino Linotype"/>
          <w:b/>
          <w:color w:val="000000" w:themeColor="text1"/>
        </w:rPr>
        <w:lastRenderedPageBreak/>
        <w:t xml:space="preserve">CUARTO. </w:t>
      </w:r>
      <w:r w:rsidRPr="0045572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55724">
        <w:rPr>
          <w:rFonts w:ascii="Palatino Linotype" w:eastAsia="Palatino Linotype" w:hAnsi="Palatino Linotype" w:cs="Palatino Linotype"/>
          <w:b/>
          <w:color w:val="000000" w:themeColor="text1"/>
        </w:rPr>
        <w:t>SUJETO OBLIGADO</w:t>
      </w:r>
      <w:r w:rsidRPr="0045572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18EA968" w14:textId="77777777" w:rsidR="0083137F" w:rsidRPr="00455724" w:rsidRDefault="0083137F" w:rsidP="00544AE6">
      <w:pPr>
        <w:spacing w:line="360" w:lineRule="auto"/>
        <w:ind w:right="-7"/>
        <w:jc w:val="both"/>
        <w:rPr>
          <w:rFonts w:ascii="Palatino Linotype" w:eastAsia="Palatino Linotype" w:hAnsi="Palatino Linotype" w:cs="Palatino Linotype"/>
          <w:color w:val="000000" w:themeColor="text1"/>
        </w:rPr>
      </w:pPr>
    </w:p>
    <w:p w14:paraId="1905BF45" w14:textId="5AB41C6A" w:rsidR="0083137F" w:rsidRPr="00455724" w:rsidRDefault="009C2C7A" w:rsidP="00544AE6">
      <w:pPr>
        <w:spacing w:line="360" w:lineRule="auto"/>
        <w:ind w:right="-7"/>
        <w:jc w:val="both"/>
        <w:rPr>
          <w:rFonts w:ascii="Palatino Linotype" w:eastAsia="Palatino Linotype" w:hAnsi="Palatino Linotype" w:cs="Palatino Linotype"/>
          <w:color w:val="000000" w:themeColor="text1"/>
        </w:rPr>
      </w:pPr>
      <w:r w:rsidRPr="00455724">
        <w:rPr>
          <w:rFonts w:ascii="Palatino Linotype" w:eastAsia="Palatino Linotype" w:hAnsi="Palatino Linotype" w:cs="Palatino Linotype"/>
          <w:b/>
          <w:color w:val="000000" w:themeColor="text1"/>
        </w:rPr>
        <w:t>QUINTO. NOTIFÍQUESE</w:t>
      </w:r>
      <w:r w:rsidRPr="00455724">
        <w:rPr>
          <w:rFonts w:ascii="Palatino Linotype" w:eastAsia="Palatino Linotype" w:hAnsi="Palatino Linotype" w:cs="Palatino Linotype"/>
          <w:color w:val="000000" w:themeColor="text1"/>
        </w:rPr>
        <w:t xml:space="preserve"> la presente resolución a la parte </w:t>
      </w:r>
      <w:r w:rsidRPr="00455724">
        <w:rPr>
          <w:rFonts w:ascii="Palatino Linotype" w:eastAsia="Palatino Linotype" w:hAnsi="Palatino Linotype" w:cs="Palatino Linotype"/>
          <w:b/>
          <w:color w:val="000000" w:themeColor="text1"/>
        </w:rPr>
        <w:t>Recurrente</w:t>
      </w:r>
      <w:r w:rsidRPr="00455724">
        <w:rPr>
          <w:rFonts w:ascii="Palatino Linotype" w:eastAsia="Palatino Linotype" w:hAnsi="Palatino Linotype" w:cs="Palatino Linotype"/>
          <w:color w:val="000000" w:themeColor="text1"/>
        </w:rPr>
        <w:t xml:space="preserve"> a través del Sistema de Acceso a la Información Mexiquense </w:t>
      </w:r>
      <w:r w:rsidRPr="00455724">
        <w:rPr>
          <w:rFonts w:ascii="Palatino Linotype" w:eastAsia="Palatino Linotype" w:hAnsi="Palatino Linotype" w:cs="Palatino Linotype"/>
          <w:b/>
          <w:color w:val="000000" w:themeColor="text1"/>
        </w:rPr>
        <w:t>(SAIMEX)</w:t>
      </w:r>
      <w:r w:rsidR="00544AE6" w:rsidRPr="00455724">
        <w:rPr>
          <w:rFonts w:ascii="Palatino Linotype" w:eastAsia="Palatino Linotype" w:hAnsi="Palatino Linotype" w:cs="Palatino Linotype"/>
          <w:color w:val="000000" w:themeColor="text1"/>
        </w:rPr>
        <w:t>.</w:t>
      </w:r>
    </w:p>
    <w:p w14:paraId="4AB305A5" w14:textId="77777777" w:rsidR="00544AE6" w:rsidRPr="00455724" w:rsidRDefault="00544AE6" w:rsidP="00544AE6">
      <w:pPr>
        <w:spacing w:line="360" w:lineRule="auto"/>
        <w:ind w:right="-7"/>
        <w:jc w:val="both"/>
        <w:rPr>
          <w:rFonts w:ascii="Palatino Linotype" w:eastAsia="Palatino Linotype" w:hAnsi="Palatino Linotype" w:cs="Palatino Linotype"/>
          <w:color w:val="000000" w:themeColor="text1"/>
        </w:rPr>
      </w:pPr>
    </w:p>
    <w:p w14:paraId="481ACC9F" w14:textId="77777777" w:rsidR="00544AE6" w:rsidRPr="00455724" w:rsidRDefault="00544AE6" w:rsidP="00544AE6">
      <w:pPr>
        <w:tabs>
          <w:tab w:val="left" w:pos="8080"/>
        </w:tabs>
        <w:spacing w:line="360" w:lineRule="auto"/>
        <w:jc w:val="both"/>
        <w:rPr>
          <w:rFonts w:ascii="Palatino Linotype" w:hAnsi="Palatino Linotype"/>
          <w:lang w:val="es-ES"/>
        </w:rPr>
      </w:pPr>
      <w:r w:rsidRPr="00455724">
        <w:rPr>
          <w:rFonts w:ascii="Palatino Linotype" w:hAnsi="Palatino Linotype"/>
          <w:b/>
          <w:lang w:eastAsia="en-US"/>
        </w:rPr>
        <w:t xml:space="preserve">SEXTO. </w:t>
      </w:r>
      <w:r w:rsidRPr="00455724">
        <w:rPr>
          <w:rFonts w:ascii="Palatino Linotype" w:hAnsi="Palatino Linotype"/>
          <w:lang w:eastAsia="en-US"/>
        </w:rPr>
        <w:t>Se hace del conocimiento del</w:t>
      </w:r>
      <w:r w:rsidRPr="00455724">
        <w:rPr>
          <w:rFonts w:ascii="Palatino Linotype" w:hAnsi="Palatino Linotype"/>
          <w:b/>
          <w:lang w:eastAsia="en-US"/>
        </w:rPr>
        <w:t xml:space="preserve"> RECURRENTE </w:t>
      </w:r>
      <w:r w:rsidRPr="00455724">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0EC5D70" w14:textId="77777777" w:rsidR="00544AE6" w:rsidRPr="00455724" w:rsidRDefault="00544AE6" w:rsidP="00544AE6">
      <w:pPr>
        <w:spacing w:line="360" w:lineRule="auto"/>
        <w:ind w:right="-7"/>
        <w:jc w:val="both"/>
        <w:rPr>
          <w:rFonts w:ascii="Palatino Linotype" w:eastAsia="Palatino Linotype" w:hAnsi="Palatino Linotype" w:cs="Palatino Linotype"/>
          <w:color w:val="000000" w:themeColor="text1"/>
        </w:rPr>
      </w:pPr>
    </w:p>
    <w:p w14:paraId="5CE4F3B8" w14:textId="56BAFDF6" w:rsidR="00222357" w:rsidRPr="009B0452" w:rsidRDefault="00455724" w:rsidP="00222357">
      <w:pPr>
        <w:spacing w:line="360" w:lineRule="auto"/>
        <w:ind w:right="49"/>
        <w:jc w:val="both"/>
        <w:rPr>
          <w:rFonts w:ascii="Palatino Linotype" w:eastAsia="Palatino Linotype" w:hAnsi="Palatino Linotype" w:cs="Palatino Linotype"/>
        </w:rPr>
      </w:pPr>
      <w:r w:rsidRPr="0045572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222357" w:rsidRPr="00455724">
        <w:rPr>
          <w:rFonts w:ascii="Palatino Linotype" w:eastAsia="Palatino Linotype" w:hAnsi="Palatino Linotype" w:cs="Palatino Linotype"/>
        </w:rPr>
        <w:t>.</w:t>
      </w:r>
    </w:p>
    <w:p w14:paraId="687E50EA"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50F31958"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192013DF"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7EA70FC0"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6A142C5D"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22F6D01E"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719ACAB0"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5A5EC031"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7FFFF42F"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1947ADDB"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6DE56AEB"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1543BAB3"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625E2C48" w14:textId="77777777" w:rsidR="0083137F" w:rsidRPr="00544AE6" w:rsidRDefault="0083137F" w:rsidP="00544AE6">
      <w:pPr>
        <w:spacing w:line="360" w:lineRule="auto"/>
        <w:ind w:right="-7"/>
        <w:jc w:val="both"/>
        <w:rPr>
          <w:rFonts w:ascii="Palatino Linotype" w:eastAsia="Palatino Linotype" w:hAnsi="Palatino Linotype" w:cs="Palatino Linotype"/>
          <w:color w:val="000000" w:themeColor="text1"/>
        </w:rPr>
      </w:pPr>
    </w:p>
    <w:p w14:paraId="51D5BC64" w14:textId="77777777" w:rsidR="0083137F" w:rsidRPr="00544AE6" w:rsidRDefault="0083137F" w:rsidP="00544AE6">
      <w:pPr>
        <w:spacing w:line="360" w:lineRule="auto"/>
        <w:ind w:right="-7"/>
        <w:rPr>
          <w:rFonts w:ascii="Palatino Linotype" w:eastAsia="Palatino Linotype" w:hAnsi="Palatino Linotype" w:cs="Palatino Linotype"/>
          <w:color w:val="000000" w:themeColor="text1"/>
        </w:rPr>
      </w:pPr>
    </w:p>
    <w:p w14:paraId="0FA93A4C" w14:textId="77777777" w:rsidR="0083137F" w:rsidRPr="00544AE6" w:rsidRDefault="0083137F" w:rsidP="00544AE6">
      <w:pPr>
        <w:spacing w:line="360" w:lineRule="auto"/>
        <w:ind w:right="-7"/>
        <w:rPr>
          <w:rFonts w:ascii="Palatino Linotype" w:eastAsia="Palatino Linotype" w:hAnsi="Palatino Linotype" w:cs="Palatino Linotype"/>
          <w:color w:val="000000" w:themeColor="text1"/>
        </w:rPr>
      </w:pPr>
    </w:p>
    <w:p w14:paraId="6A2E33A6" w14:textId="77777777" w:rsidR="0083137F" w:rsidRPr="00544AE6" w:rsidRDefault="0083137F" w:rsidP="00544AE6">
      <w:pPr>
        <w:spacing w:line="360" w:lineRule="auto"/>
        <w:ind w:right="-7"/>
        <w:rPr>
          <w:rFonts w:ascii="Palatino Linotype" w:eastAsia="Palatino Linotype" w:hAnsi="Palatino Linotype" w:cs="Palatino Linotype"/>
          <w:color w:val="000000" w:themeColor="text1"/>
        </w:rPr>
      </w:pPr>
    </w:p>
    <w:p w14:paraId="0980506F" w14:textId="77777777" w:rsidR="0083137F" w:rsidRPr="00544AE6" w:rsidRDefault="0083137F" w:rsidP="00544AE6">
      <w:pPr>
        <w:tabs>
          <w:tab w:val="left" w:pos="3374"/>
        </w:tabs>
        <w:spacing w:line="360" w:lineRule="auto"/>
        <w:ind w:right="-7"/>
        <w:rPr>
          <w:rFonts w:ascii="Palatino Linotype" w:eastAsia="Palatino Linotype" w:hAnsi="Palatino Linotype" w:cs="Palatino Linotype"/>
          <w:color w:val="000000" w:themeColor="text1"/>
        </w:rPr>
      </w:pPr>
      <w:bookmarkStart w:id="9" w:name="_heading=h.lnxbz9" w:colFirst="0" w:colLast="0"/>
      <w:bookmarkEnd w:id="9"/>
    </w:p>
    <w:p w14:paraId="1A9A5FBC" w14:textId="77777777" w:rsidR="0083137F" w:rsidRPr="00544AE6" w:rsidRDefault="0083137F" w:rsidP="00544AE6">
      <w:pPr>
        <w:tabs>
          <w:tab w:val="left" w:pos="3374"/>
        </w:tabs>
        <w:spacing w:line="360" w:lineRule="auto"/>
        <w:ind w:right="-7"/>
        <w:rPr>
          <w:rFonts w:ascii="Palatino Linotype" w:eastAsia="Palatino Linotype" w:hAnsi="Palatino Linotype" w:cs="Palatino Linotype"/>
          <w:color w:val="000000" w:themeColor="text1"/>
        </w:rPr>
      </w:pPr>
    </w:p>
    <w:p w14:paraId="2F57659F" w14:textId="77777777" w:rsidR="0083137F" w:rsidRPr="00544AE6" w:rsidRDefault="0083137F" w:rsidP="00544AE6">
      <w:pPr>
        <w:tabs>
          <w:tab w:val="left" w:pos="3374"/>
        </w:tabs>
        <w:spacing w:line="360" w:lineRule="auto"/>
        <w:ind w:right="-7"/>
        <w:rPr>
          <w:rFonts w:ascii="Palatino Linotype" w:eastAsia="Palatino Linotype" w:hAnsi="Palatino Linotype" w:cs="Palatino Linotype"/>
          <w:color w:val="000000" w:themeColor="text1"/>
        </w:rPr>
      </w:pPr>
    </w:p>
    <w:sectPr w:rsidR="0083137F" w:rsidRPr="00544AE6" w:rsidSect="00E60A95">
      <w:headerReference w:type="even" r:id="rId15"/>
      <w:headerReference w:type="default" r:id="rId16"/>
      <w:footerReference w:type="default" r:id="rId17"/>
      <w:headerReference w:type="first" r:id="rId18"/>
      <w:footerReference w:type="first" r:id="rId19"/>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1601C" w14:textId="77777777" w:rsidR="009F4AEA" w:rsidRDefault="009F4AEA">
      <w:r>
        <w:separator/>
      </w:r>
    </w:p>
  </w:endnote>
  <w:endnote w:type="continuationSeparator" w:id="0">
    <w:p w14:paraId="078DB974" w14:textId="77777777" w:rsidR="009F4AEA" w:rsidRDefault="009F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3A68" w14:textId="77777777" w:rsidR="0083137F" w:rsidRDefault="009C2C7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60A9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60A95">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14:paraId="08318512" w14:textId="77777777" w:rsidR="0083137F" w:rsidRDefault="0083137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9935C" w14:textId="77777777" w:rsidR="0083137F" w:rsidRDefault="009C2C7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60A9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60A95">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14:paraId="6CC6E851" w14:textId="77777777" w:rsidR="0083137F" w:rsidRDefault="0083137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1D127" w14:textId="77777777" w:rsidR="009F4AEA" w:rsidRDefault="009F4AEA">
      <w:r>
        <w:separator/>
      </w:r>
    </w:p>
  </w:footnote>
  <w:footnote w:type="continuationSeparator" w:id="0">
    <w:p w14:paraId="1A8BB9F9" w14:textId="77777777" w:rsidR="009F4AEA" w:rsidRDefault="009F4AEA">
      <w:r>
        <w:continuationSeparator/>
      </w:r>
    </w:p>
  </w:footnote>
  <w:footnote w:id="1">
    <w:p w14:paraId="77514A2F" w14:textId="77777777" w:rsidR="0083137F" w:rsidRDefault="009C2C7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D8394" w14:textId="77777777" w:rsidR="0083137F" w:rsidRDefault="009F4AEA">
    <w:pPr>
      <w:pBdr>
        <w:top w:val="nil"/>
        <w:left w:val="nil"/>
        <w:bottom w:val="nil"/>
        <w:right w:val="nil"/>
        <w:between w:val="nil"/>
      </w:pBdr>
      <w:tabs>
        <w:tab w:val="center" w:pos="4419"/>
        <w:tab w:val="right" w:pos="8838"/>
      </w:tabs>
      <w:rPr>
        <w:color w:val="000000"/>
      </w:rPr>
    </w:pPr>
    <w:r>
      <w:rPr>
        <w:color w:val="000000"/>
      </w:rPr>
      <w:pict w14:anchorId="3946B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1765" w:type="dxa"/>
      <w:tblInd w:w="2835" w:type="dxa"/>
      <w:tblLayout w:type="fixed"/>
      <w:tblLook w:val="0400" w:firstRow="0" w:lastRow="0" w:firstColumn="0" w:lastColumn="0" w:noHBand="0" w:noVBand="1"/>
    </w:tblPr>
    <w:tblGrid>
      <w:gridCol w:w="2694"/>
      <w:gridCol w:w="4819"/>
      <w:gridCol w:w="4252"/>
    </w:tblGrid>
    <w:tr w:rsidR="00544AE6" w14:paraId="3648F7E1" w14:textId="05669433" w:rsidTr="00544AE6">
      <w:trPr>
        <w:trHeight w:val="227"/>
      </w:trPr>
      <w:tc>
        <w:tcPr>
          <w:tcW w:w="2694" w:type="dxa"/>
        </w:tcPr>
        <w:p w14:paraId="2DE1B46C" w14:textId="7990C9EC" w:rsidR="00544AE6" w:rsidRPr="00544AE6" w:rsidRDefault="00544AE6" w:rsidP="00544AE6">
          <w:pPr>
            <w:jc w:val="right"/>
            <w:rPr>
              <w:rFonts w:ascii="Palatino Linotype" w:eastAsia="Palatino Linotype" w:hAnsi="Palatino Linotype" w:cs="Palatino Linotype"/>
              <w:b/>
              <w:color w:val="000000" w:themeColor="text1"/>
            </w:rPr>
          </w:pPr>
          <w:r w:rsidRPr="00544AE6">
            <w:rPr>
              <w:rFonts w:ascii="Palatino Linotype" w:eastAsia="Palatino Linotype" w:hAnsi="Palatino Linotype" w:cs="Palatino Linotype"/>
              <w:b/>
              <w:color w:val="000000" w:themeColor="text1"/>
            </w:rPr>
            <w:t>Recurso de Revisión:</w:t>
          </w:r>
        </w:p>
      </w:tc>
      <w:tc>
        <w:tcPr>
          <w:tcW w:w="4819" w:type="dxa"/>
        </w:tcPr>
        <w:p w14:paraId="46D3614F" w14:textId="45BA7911" w:rsidR="00544AE6" w:rsidRPr="00544AE6" w:rsidRDefault="00544AE6" w:rsidP="00E60A95">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544AE6">
            <w:rPr>
              <w:rFonts w:ascii="Palatino Linotype" w:eastAsia="Palatino Linotype" w:hAnsi="Palatino Linotype" w:cs="Palatino Linotype"/>
              <w:color w:val="000000" w:themeColor="text1"/>
            </w:rPr>
            <w:t>07408/INFOEM/IP/RR/2025 y Acumulado</w:t>
          </w:r>
        </w:p>
      </w:tc>
      <w:tc>
        <w:tcPr>
          <w:tcW w:w="4252" w:type="dxa"/>
        </w:tcPr>
        <w:p w14:paraId="4B50261E" w14:textId="77777777" w:rsidR="00544AE6" w:rsidRPr="00544AE6" w:rsidRDefault="00544AE6" w:rsidP="00544AE6">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p>
      </w:tc>
    </w:tr>
    <w:tr w:rsidR="00544AE6" w14:paraId="670EEB46" w14:textId="5CD33293" w:rsidTr="00544AE6">
      <w:trPr>
        <w:trHeight w:val="342"/>
      </w:trPr>
      <w:tc>
        <w:tcPr>
          <w:tcW w:w="2694" w:type="dxa"/>
        </w:tcPr>
        <w:p w14:paraId="285A46F6" w14:textId="77777777" w:rsidR="00544AE6" w:rsidRPr="00544AE6" w:rsidRDefault="00544AE6" w:rsidP="00544AE6">
          <w:pPr>
            <w:jc w:val="right"/>
            <w:rPr>
              <w:rFonts w:ascii="Palatino Linotype" w:eastAsia="Palatino Linotype" w:hAnsi="Palatino Linotype" w:cs="Palatino Linotype"/>
              <w:b/>
              <w:color w:val="000000" w:themeColor="text1"/>
            </w:rPr>
          </w:pPr>
          <w:r w:rsidRPr="00544AE6">
            <w:rPr>
              <w:rFonts w:ascii="Palatino Linotype" w:eastAsia="Palatino Linotype" w:hAnsi="Palatino Linotype" w:cs="Palatino Linotype"/>
              <w:b/>
              <w:color w:val="000000" w:themeColor="text1"/>
            </w:rPr>
            <w:t>Sujeto Obligado:</w:t>
          </w:r>
        </w:p>
      </w:tc>
      <w:tc>
        <w:tcPr>
          <w:tcW w:w="4819" w:type="dxa"/>
        </w:tcPr>
        <w:p w14:paraId="2A610523" w14:textId="77777777" w:rsidR="00544AE6" w:rsidRPr="00544AE6" w:rsidRDefault="00544AE6" w:rsidP="00E60A95">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544AE6">
            <w:rPr>
              <w:rFonts w:ascii="Palatino Linotype" w:eastAsia="Palatino Linotype" w:hAnsi="Palatino Linotype" w:cs="Palatino Linotype"/>
              <w:color w:val="000000" w:themeColor="text1"/>
            </w:rPr>
            <w:t>Sistema Municipal para el Desarrollo Integral de la Familia de Cocotitlán</w:t>
          </w:r>
        </w:p>
      </w:tc>
      <w:tc>
        <w:tcPr>
          <w:tcW w:w="4252" w:type="dxa"/>
        </w:tcPr>
        <w:p w14:paraId="2D481DE6" w14:textId="77777777" w:rsidR="00544AE6" w:rsidRPr="00544AE6" w:rsidRDefault="00544AE6" w:rsidP="00544AE6">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rPr>
          </w:pPr>
        </w:p>
      </w:tc>
    </w:tr>
    <w:tr w:rsidR="00544AE6" w14:paraId="73D3F009" w14:textId="42AFDAFE" w:rsidTr="00544AE6">
      <w:trPr>
        <w:trHeight w:val="342"/>
      </w:trPr>
      <w:tc>
        <w:tcPr>
          <w:tcW w:w="2694" w:type="dxa"/>
        </w:tcPr>
        <w:p w14:paraId="4264DB49" w14:textId="77777777" w:rsidR="00544AE6" w:rsidRPr="00544AE6" w:rsidRDefault="00544AE6" w:rsidP="00544AE6">
          <w:pPr>
            <w:jc w:val="right"/>
            <w:rPr>
              <w:rFonts w:ascii="Palatino Linotype" w:eastAsia="Palatino Linotype" w:hAnsi="Palatino Linotype" w:cs="Palatino Linotype"/>
              <w:b/>
              <w:color w:val="000000" w:themeColor="text1"/>
            </w:rPr>
          </w:pPr>
          <w:r w:rsidRPr="00544AE6">
            <w:rPr>
              <w:rFonts w:ascii="Palatino Linotype" w:eastAsia="Palatino Linotype" w:hAnsi="Palatino Linotype" w:cs="Palatino Linotype"/>
              <w:b/>
              <w:color w:val="000000" w:themeColor="text1"/>
            </w:rPr>
            <w:t>Comisionada Ponente:</w:t>
          </w:r>
        </w:p>
      </w:tc>
      <w:tc>
        <w:tcPr>
          <w:tcW w:w="4819" w:type="dxa"/>
        </w:tcPr>
        <w:p w14:paraId="323D46DA" w14:textId="77777777" w:rsidR="00544AE6" w:rsidRPr="00544AE6" w:rsidRDefault="00544AE6" w:rsidP="00E60A95">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544AE6">
            <w:rPr>
              <w:rFonts w:ascii="Palatino Linotype" w:eastAsia="Palatino Linotype" w:hAnsi="Palatino Linotype" w:cs="Palatino Linotype"/>
              <w:color w:val="000000" w:themeColor="text1"/>
            </w:rPr>
            <w:t>María del Rosario Mejía Ayala</w:t>
          </w:r>
        </w:p>
      </w:tc>
      <w:tc>
        <w:tcPr>
          <w:tcW w:w="4252" w:type="dxa"/>
        </w:tcPr>
        <w:p w14:paraId="6F712553" w14:textId="77777777" w:rsidR="00544AE6" w:rsidRPr="00544AE6" w:rsidRDefault="00544AE6" w:rsidP="00544AE6">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p>
      </w:tc>
    </w:tr>
  </w:tbl>
  <w:p w14:paraId="24AC771E" w14:textId="429F664F" w:rsidR="0083137F" w:rsidRDefault="00E60A9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697DF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5.15pt;margin-top:-115.75pt;width:609.4pt;height:793.75pt;z-index:-251659776;mso-position-horizontal-relative:margin;mso-position-vertical-relative:margin">
          <v:imagedata r:id="rId1" o:title="image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654" w:type="dxa"/>
      <w:tblInd w:w="2552" w:type="dxa"/>
      <w:tblLayout w:type="fixed"/>
      <w:tblLook w:val="0400" w:firstRow="0" w:lastRow="0" w:firstColumn="0" w:lastColumn="0" w:noHBand="0" w:noVBand="1"/>
    </w:tblPr>
    <w:tblGrid>
      <w:gridCol w:w="2693"/>
      <w:gridCol w:w="4961"/>
    </w:tblGrid>
    <w:tr w:rsidR="0083137F" w14:paraId="381D08AA" w14:textId="77777777" w:rsidTr="00544AE6">
      <w:trPr>
        <w:trHeight w:val="227"/>
      </w:trPr>
      <w:tc>
        <w:tcPr>
          <w:tcW w:w="2693" w:type="dxa"/>
        </w:tcPr>
        <w:p w14:paraId="0E2C651C" w14:textId="2B2C5486" w:rsidR="0083137F" w:rsidRPr="00544AE6" w:rsidRDefault="009C2C7A" w:rsidP="00544AE6">
          <w:pPr>
            <w:jc w:val="right"/>
            <w:rPr>
              <w:rFonts w:ascii="Palatino Linotype" w:eastAsia="Palatino Linotype" w:hAnsi="Palatino Linotype" w:cs="Palatino Linotype"/>
              <w:b/>
            </w:rPr>
          </w:pPr>
          <w:r w:rsidRPr="00544AE6">
            <w:rPr>
              <w:rFonts w:ascii="Palatino Linotype" w:eastAsia="Palatino Linotype" w:hAnsi="Palatino Linotype" w:cs="Palatino Linotype"/>
              <w:b/>
            </w:rPr>
            <w:t>Recurso de Revisión:</w:t>
          </w:r>
        </w:p>
      </w:tc>
      <w:tc>
        <w:tcPr>
          <w:tcW w:w="4961" w:type="dxa"/>
        </w:tcPr>
        <w:p w14:paraId="582FAD6D" w14:textId="2AC6962A" w:rsidR="0083137F" w:rsidRPr="00544AE6" w:rsidRDefault="009C2C7A" w:rsidP="00E60A95">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544AE6">
            <w:rPr>
              <w:rFonts w:ascii="Palatino Linotype" w:eastAsia="Palatino Linotype" w:hAnsi="Palatino Linotype" w:cs="Palatino Linotype"/>
              <w:color w:val="000000"/>
            </w:rPr>
            <w:t xml:space="preserve">07408/INFOEM/IP/RR/2025 y </w:t>
          </w:r>
          <w:r w:rsidRPr="00544AE6">
            <w:rPr>
              <w:rFonts w:ascii="Palatino Linotype" w:eastAsia="Palatino Linotype" w:hAnsi="Palatino Linotype" w:cs="Palatino Linotype"/>
            </w:rPr>
            <w:t>A</w:t>
          </w:r>
          <w:r w:rsidR="00544AE6">
            <w:rPr>
              <w:rFonts w:ascii="Palatino Linotype" w:eastAsia="Palatino Linotype" w:hAnsi="Palatino Linotype" w:cs="Palatino Linotype"/>
              <w:color w:val="000000"/>
            </w:rPr>
            <w:t>cumulado</w:t>
          </w:r>
        </w:p>
      </w:tc>
    </w:tr>
    <w:tr w:rsidR="0083137F" w14:paraId="5B8AD665" w14:textId="77777777" w:rsidTr="00544AE6">
      <w:trPr>
        <w:trHeight w:val="242"/>
      </w:trPr>
      <w:tc>
        <w:tcPr>
          <w:tcW w:w="2693" w:type="dxa"/>
        </w:tcPr>
        <w:p w14:paraId="4CE221F9" w14:textId="77777777" w:rsidR="0083137F" w:rsidRPr="00544AE6" w:rsidRDefault="009C2C7A" w:rsidP="00544AE6">
          <w:pPr>
            <w:jc w:val="right"/>
            <w:rPr>
              <w:rFonts w:ascii="Palatino Linotype" w:eastAsia="Palatino Linotype" w:hAnsi="Palatino Linotype" w:cs="Palatino Linotype"/>
              <w:b/>
            </w:rPr>
          </w:pPr>
          <w:r w:rsidRPr="00544AE6">
            <w:rPr>
              <w:rFonts w:ascii="Palatino Linotype" w:eastAsia="Palatino Linotype" w:hAnsi="Palatino Linotype" w:cs="Palatino Linotype"/>
              <w:b/>
            </w:rPr>
            <w:t>Recurrente:</w:t>
          </w:r>
        </w:p>
      </w:tc>
      <w:tc>
        <w:tcPr>
          <w:tcW w:w="4961" w:type="dxa"/>
        </w:tcPr>
        <w:p w14:paraId="1A3E1A7C" w14:textId="77777777" w:rsidR="0083137F" w:rsidRPr="00544AE6" w:rsidRDefault="0083137F" w:rsidP="00E60A95">
          <w:pPr>
            <w:pBdr>
              <w:top w:val="nil"/>
              <w:left w:val="nil"/>
              <w:bottom w:val="nil"/>
              <w:right w:val="nil"/>
              <w:between w:val="nil"/>
            </w:pBdr>
            <w:tabs>
              <w:tab w:val="right" w:pos="8838"/>
              <w:tab w:val="left" w:pos="521"/>
            </w:tabs>
            <w:ind w:right="71"/>
            <w:rPr>
              <w:rFonts w:ascii="Palatino Linotype" w:eastAsia="Palatino Linotype" w:hAnsi="Palatino Linotype" w:cs="Palatino Linotype"/>
              <w:color w:val="000000"/>
              <w:highlight w:val="green"/>
            </w:rPr>
          </w:pPr>
        </w:p>
      </w:tc>
    </w:tr>
    <w:tr w:rsidR="0083137F" w14:paraId="50F21BB8" w14:textId="77777777" w:rsidTr="00544AE6">
      <w:trPr>
        <w:trHeight w:val="342"/>
      </w:trPr>
      <w:tc>
        <w:tcPr>
          <w:tcW w:w="2693" w:type="dxa"/>
        </w:tcPr>
        <w:p w14:paraId="784FC83D" w14:textId="77777777" w:rsidR="0083137F" w:rsidRPr="00544AE6" w:rsidRDefault="009C2C7A" w:rsidP="00544AE6">
          <w:pPr>
            <w:jc w:val="right"/>
            <w:rPr>
              <w:rFonts w:ascii="Palatino Linotype" w:eastAsia="Palatino Linotype" w:hAnsi="Palatino Linotype" w:cs="Palatino Linotype"/>
              <w:b/>
            </w:rPr>
          </w:pPr>
          <w:r w:rsidRPr="00544AE6">
            <w:rPr>
              <w:rFonts w:ascii="Palatino Linotype" w:eastAsia="Palatino Linotype" w:hAnsi="Palatino Linotype" w:cs="Palatino Linotype"/>
              <w:b/>
            </w:rPr>
            <w:t>Sujeto Obligado:</w:t>
          </w:r>
        </w:p>
      </w:tc>
      <w:tc>
        <w:tcPr>
          <w:tcW w:w="4961" w:type="dxa"/>
        </w:tcPr>
        <w:p w14:paraId="27C1CD6A" w14:textId="77777777" w:rsidR="0083137F" w:rsidRPr="00544AE6" w:rsidRDefault="009C2C7A" w:rsidP="00E60A95">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544AE6">
            <w:rPr>
              <w:rFonts w:ascii="Palatino Linotype" w:eastAsia="Palatino Linotype" w:hAnsi="Palatino Linotype" w:cs="Palatino Linotype"/>
              <w:color w:val="000000"/>
            </w:rPr>
            <w:t>Sistema Municipal para el Desarrollo Integral de la Familia de Cocotitlán</w:t>
          </w:r>
        </w:p>
      </w:tc>
    </w:tr>
    <w:tr w:rsidR="0083137F" w14:paraId="60FDA911" w14:textId="77777777" w:rsidTr="00544AE6">
      <w:trPr>
        <w:trHeight w:val="342"/>
      </w:trPr>
      <w:tc>
        <w:tcPr>
          <w:tcW w:w="2693" w:type="dxa"/>
        </w:tcPr>
        <w:p w14:paraId="731E553B" w14:textId="77777777" w:rsidR="0083137F" w:rsidRPr="00544AE6" w:rsidRDefault="009C2C7A" w:rsidP="00544AE6">
          <w:pPr>
            <w:jc w:val="right"/>
            <w:rPr>
              <w:rFonts w:ascii="Palatino Linotype" w:eastAsia="Palatino Linotype" w:hAnsi="Palatino Linotype" w:cs="Palatino Linotype"/>
              <w:b/>
            </w:rPr>
          </w:pPr>
          <w:r w:rsidRPr="00544AE6">
            <w:rPr>
              <w:rFonts w:ascii="Palatino Linotype" w:eastAsia="Palatino Linotype" w:hAnsi="Palatino Linotype" w:cs="Palatino Linotype"/>
              <w:b/>
            </w:rPr>
            <w:t>Comisionada Ponente:</w:t>
          </w:r>
        </w:p>
      </w:tc>
      <w:tc>
        <w:tcPr>
          <w:tcW w:w="4961" w:type="dxa"/>
        </w:tcPr>
        <w:p w14:paraId="6DB8AE25" w14:textId="77777777" w:rsidR="0083137F" w:rsidRPr="00544AE6" w:rsidRDefault="009C2C7A" w:rsidP="00E60A95">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544AE6">
            <w:rPr>
              <w:rFonts w:ascii="Palatino Linotype" w:eastAsia="Palatino Linotype" w:hAnsi="Palatino Linotype" w:cs="Palatino Linotype"/>
              <w:color w:val="000000"/>
            </w:rPr>
            <w:t>María del Rosario Mejía Ayala</w:t>
          </w:r>
        </w:p>
      </w:tc>
    </w:tr>
  </w:tbl>
  <w:p w14:paraId="7E4BD31B" w14:textId="5EB36D92" w:rsidR="0083137F" w:rsidRDefault="00E60A95">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200B9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8.45pt;margin-top:-133.3pt;width:609.4pt;height:793.75pt;z-index:-251658752;mso-position-horizontal-relative:margin;mso-position-vertical-relative:margin">
          <v:imagedata r:id="rId1" o:title="image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6C2F"/>
    <w:multiLevelType w:val="hybridMultilevel"/>
    <w:tmpl w:val="BDB2E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02284E"/>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7C5FC2"/>
    <w:multiLevelType w:val="multilevel"/>
    <w:tmpl w:val="AB8ED58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406FC6"/>
    <w:multiLevelType w:val="multilevel"/>
    <w:tmpl w:val="BC522C6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1A1A7E14"/>
    <w:multiLevelType w:val="multilevel"/>
    <w:tmpl w:val="251282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27E2B"/>
    <w:multiLevelType w:val="multilevel"/>
    <w:tmpl w:val="172EB6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6" w15:restartNumberingAfterBreak="0">
    <w:nsid w:val="22850DF2"/>
    <w:multiLevelType w:val="multilevel"/>
    <w:tmpl w:val="6CAA43E6"/>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BD39B2"/>
    <w:multiLevelType w:val="multilevel"/>
    <w:tmpl w:val="1E1C578A"/>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452107"/>
    <w:multiLevelType w:val="multilevel"/>
    <w:tmpl w:val="798ED286"/>
    <w:lvl w:ilvl="0">
      <w:start w:val="1"/>
      <w:numFmt w:val="decimal"/>
      <w:pStyle w:val="Listaconvietas2"/>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ED93A9B"/>
    <w:multiLevelType w:val="multilevel"/>
    <w:tmpl w:val="21484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6D7EE0"/>
    <w:multiLevelType w:val="multilevel"/>
    <w:tmpl w:val="710A2568"/>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3"/>
  </w:num>
  <w:num w:numId="2">
    <w:abstractNumId w:val="6"/>
  </w:num>
  <w:num w:numId="3">
    <w:abstractNumId w:val="4"/>
  </w:num>
  <w:num w:numId="4">
    <w:abstractNumId w:val="5"/>
  </w:num>
  <w:num w:numId="5">
    <w:abstractNumId w:val="8"/>
  </w:num>
  <w:num w:numId="6">
    <w:abstractNumId w:val="10"/>
  </w:num>
  <w:num w:numId="7">
    <w:abstractNumId w:val="7"/>
  </w:num>
  <w:num w:numId="8">
    <w:abstractNumId w:val="9"/>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7F"/>
    <w:rsid w:val="001F6686"/>
    <w:rsid w:val="00222357"/>
    <w:rsid w:val="00243CE8"/>
    <w:rsid w:val="00455724"/>
    <w:rsid w:val="004A7FD8"/>
    <w:rsid w:val="00544AE6"/>
    <w:rsid w:val="00783D8E"/>
    <w:rsid w:val="0083137F"/>
    <w:rsid w:val="008A6037"/>
    <w:rsid w:val="009C2C7A"/>
    <w:rsid w:val="009F4AEA"/>
    <w:rsid w:val="00C130B6"/>
    <w:rsid w:val="00D20296"/>
    <w:rsid w:val="00E2599C"/>
    <w:rsid w:val="00E3322B"/>
    <w:rsid w:val="00E60A95"/>
    <w:rsid w:val="00EC4987"/>
    <w:rsid w:val="00EE39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A5F8F4"/>
  <w15:docId w15:val="{D03C2E26-3E3E-41BC-B066-3DB84A85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9"/>
      </w:numPr>
      <w:contextualSpacing/>
    </w:pPr>
    <w:rPr>
      <w:rFonts w:ascii="Times New Roman" w:eastAsia="Times New Roman" w:hAnsi="Times New Roman" w:cs="Times New Roman"/>
      <w:lang w:val="es-MX"/>
    </w:rPr>
  </w:style>
  <w:style w:type="character" w:customStyle="1" w:styleId="PuestoCar">
    <w:name w:val="Puesto Car"/>
    <w:aliases w:val="Cita textual Car"/>
    <w:basedOn w:val="Fuentedeprrafopredeter"/>
    <w:uiPriority w:val="10"/>
    <w:rsid w:val="007726BE"/>
    <w:rPr>
      <w:rFonts w:eastAsiaTheme="minorEastAsia"/>
      <w:b/>
      <w:sz w:val="72"/>
      <w:szCs w:val="72"/>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82926">
      <w:bodyDiv w:val="1"/>
      <w:marLeft w:val="0"/>
      <w:marRight w:val="0"/>
      <w:marTop w:val="0"/>
      <w:marBottom w:val="0"/>
      <w:divBdr>
        <w:top w:val="none" w:sz="0" w:space="0" w:color="auto"/>
        <w:left w:val="none" w:sz="0" w:space="0" w:color="auto"/>
        <w:bottom w:val="none" w:sz="0" w:space="0" w:color="auto"/>
        <w:right w:val="none" w:sz="0" w:space="0" w:color="auto"/>
      </w:divBdr>
    </w:div>
    <w:div w:id="735126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cotitlan.gob.mx/images/gacetas/gm-00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fOh5HPvK8x60KFGaxPN2uDwSQ==">CgMxLjAyCGguZ2pkZ3hzMgloLjMwajB6bGwyCWguM3pueXNoNzIJaC4yZXQ5MnAwMgloLjF0M2g1c2YyCWguMWtzdjR1djIOaC5hbmFnNWwxa282b28yCWguM3JkY3JqbjIIaC5sbnhiejk4AHIhMTJyTGE1TDRaYlowTWFTRm9FaHg5cF96dHg0NEdyNmx0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8420</Words>
  <Characters>46313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6</cp:revision>
  <cp:lastPrinted>2025-08-22T17:10:00Z</cp:lastPrinted>
  <dcterms:created xsi:type="dcterms:W3CDTF">2025-08-18T20:46:00Z</dcterms:created>
  <dcterms:modified xsi:type="dcterms:W3CDTF">2025-08-27T18:22:00Z</dcterms:modified>
</cp:coreProperties>
</file>