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bookmarkStart w:colFirst="0" w:colLast="0" w:name="_heading=h.vg24vi9bdldv"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catorce de mayo de dos mil veinticinco.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Vistos</w:t>
      </w:r>
      <w:r w:rsidDel="00000000" w:rsidR="00000000" w:rsidRPr="00000000">
        <w:rPr>
          <w:rFonts w:ascii="Palatino Linotype" w:cs="Palatino Linotype" w:eastAsia="Palatino Linotype" w:hAnsi="Palatino Linotype"/>
          <w:sz w:val="22"/>
          <w:szCs w:val="22"/>
          <w:rtl w:val="0"/>
        </w:rPr>
        <w:t xml:space="preserve"> los expedientes formados con motivo de los recursos de revisión </w:t>
      </w:r>
      <w:r w:rsidDel="00000000" w:rsidR="00000000" w:rsidRPr="00000000">
        <w:rPr>
          <w:rFonts w:ascii="Palatino Linotype" w:cs="Palatino Linotype" w:eastAsia="Palatino Linotype" w:hAnsi="Palatino Linotype"/>
          <w:b w:val="1"/>
          <w:sz w:val="22"/>
          <w:szCs w:val="22"/>
          <w:rtl w:val="0"/>
        </w:rPr>
        <w:t xml:space="preserve">02759/INFOEM/IP/RR/2025 y 03566/INFOEM/IP/RR/2025 acumulados, </w:t>
      </w:r>
      <w:r w:rsidDel="00000000" w:rsidR="00000000" w:rsidRPr="00000000">
        <w:rPr>
          <w:rFonts w:ascii="Palatino Linotype" w:cs="Palatino Linotype" w:eastAsia="Palatino Linotype" w:hAnsi="Palatino Linotype"/>
          <w:sz w:val="22"/>
          <w:szCs w:val="22"/>
          <w:rtl w:val="0"/>
        </w:rPr>
        <w:t xml:space="preserve">interpuestos por</w:t>
      </w:r>
      <w:r w:rsidDel="00000000" w:rsidR="00000000" w:rsidRPr="00000000">
        <w:rPr>
          <w:rFonts w:ascii="Palatino Linotype" w:cs="Palatino Linotype" w:eastAsia="Palatino Linotype" w:hAnsi="Palatino Linotype"/>
          <w:b w:val="1"/>
          <w:sz w:val="22"/>
          <w:szCs w:val="22"/>
          <w:rtl w:val="0"/>
        </w:rPr>
        <w:t xml:space="preserve"> una persona que no proporcionó nombre o seudónimo, </w:t>
      </w:r>
      <w:r w:rsidDel="00000000" w:rsidR="00000000" w:rsidRPr="00000000">
        <w:rPr>
          <w:rFonts w:ascii="Palatino Linotype" w:cs="Palatino Linotype" w:eastAsia="Palatino Linotype" w:hAnsi="Palatino Linotype"/>
          <w:sz w:val="22"/>
          <w:szCs w:val="22"/>
          <w:rtl w:val="0"/>
        </w:rPr>
        <w:t xml:space="preserve">quien en lo sucesivo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será identificado como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las respuestas en las solicitudes de información con número de folio </w:t>
      </w:r>
      <w:r w:rsidDel="00000000" w:rsidR="00000000" w:rsidRPr="00000000">
        <w:rPr>
          <w:rFonts w:ascii="Palatino Linotype" w:cs="Palatino Linotype" w:eastAsia="Palatino Linotype" w:hAnsi="Palatino Linotype"/>
          <w:b w:val="1"/>
          <w:sz w:val="22"/>
          <w:szCs w:val="22"/>
          <w:rtl w:val="0"/>
        </w:rPr>
        <w:t xml:space="preserve">00073/TEOLOYU/IP/2025 y 00154/TEOLOYU/IP/2025, </w:t>
      </w:r>
      <w:r w:rsidDel="00000000" w:rsidR="00000000" w:rsidRPr="00000000">
        <w:rPr>
          <w:rFonts w:ascii="Palatino Linotype" w:cs="Palatino Linotype" w:eastAsia="Palatino Linotype" w:hAnsi="Palatino Linotype"/>
          <w:sz w:val="22"/>
          <w:szCs w:val="22"/>
          <w:rtl w:val="0"/>
        </w:rPr>
        <w:t xml:space="preserve">por parte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Ayuntamiento de Teoloyucan,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sz w:val="22"/>
          <w:szCs w:val="22"/>
          <w:rtl w:val="0"/>
        </w:rPr>
        <w:t xml:space="preserve">1. Solicitudes de acceso a la información.</w:t>
      </w:r>
      <w:r w:rsidDel="00000000" w:rsidR="00000000" w:rsidRPr="00000000">
        <w:rPr>
          <w:rFonts w:ascii="Palatino Linotype" w:cs="Palatino Linotype" w:eastAsia="Palatino Linotype" w:hAnsi="Palatino Linotype"/>
          <w:sz w:val="22"/>
          <w:szCs w:val="22"/>
          <w:rtl w:val="0"/>
        </w:rPr>
        <w:t xml:space="preserve"> En fechas </w:t>
      </w:r>
      <w:r w:rsidDel="00000000" w:rsidR="00000000" w:rsidRPr="00000000">
        <w:rPr>
          <w:rFonts w:ascii="Palatino Linotype" w:cs="Palatino Linotype" w:eastAsia="Palatino Linotype" w:hAnsi="Palatino Linotype"/>
          <w:b w:val="1"/>
          <w:sz w:val="22"/>
          <w:szCs w:val="22"/>
          <w:rtl w:val="0"/>
        </w:rPr>
        <w:t xml:space="preserve">veintisiete de enero y diez de marzo de dos mil veinticinco,</w:t>
      </w:r>
      <w:r w:rsidDel="00000000" w:rsidR="00000000" w:rsidRPr="00000000">
        <w:rPr>
          <w:rFonts w:ascii="Palatino Linotype" w:cs="Palatino Linotype" w:eastAsia="Palatino Linotype" w:hAnsi="Palatino Linotype"/>
          <w:sz w:val="22"/>
          <w:szCs w:val="22"/>
          <w:rtl w:val="0"/>
        </w:rPr>
        <w:t xml:space="preserve"> la parte</w:t>
      </w:r>
      <w:r w:rsidDel="00000000" w:rsidR="00000000" w:rsidRPr="00000000">
        <w:rPr>
          <w:rFonts w:ascii="Palatino Linotype" w:cs="Palatino Linotype" w:eastAsia="Palatino Linotype" w:hAnsi="Palatino Linotype"/>
          <w:b w:val="1"/>
          <w:sz w:val="22"/>
          <w:szCs w:val="22"/>
          <w:rtl w:val="0"/>
        </w:rPr>
        <w:t xml:space="preserve"> Recurrente </w:t>
      </w:r>
      <w:r w:rsidDel="00000000" w:rsidR="00000000" w:rsidRPr="00000000">
        <w:rPr>
          <w:rFonts w:ascii="Palatino Linotype" w:cs="Palatino Linotype" w:eastAsia="Palatino Linotype" w:hAnsi="Palatino Linotype"/>
          <w:sz w:val="22"/>
          <w:szCs w:val="22"/>
          <w:rtl w:val="0"/>
        </w:rPr>
        <w:t xml:space="preserve">formuló las solicitudes de acceso a información pública a través del Sistema de Acceso a la Información Mexiquense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las que requirió lo siguiente:</w:t>
      </w:r>
    </w:p>
    <w:tbl>
      <w:tblPr>
        <w:tblStyle w:val="Table1"/>
        <w:tblW w:w="89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3"/>
        <w:gridCol w:w="5098"/>
        <w:tblGridChange w:id="0">
          <w:tblGrid>
            <w:gridCol w:w="3823"/>
            <w:gridCol w:w="5098"/>
          </w:tblGrid>
        </w:tblGridChange>
      </w:tblGrid>
      <w:tr>
        <w:trPr>
          <w:cantSplit w:val="0"/>
          <w:trHeight w:val="465" w:hRule="atLeast"/>
          <w:tblHeader w:val="0"/>
        </w:trPr>
        <w:tc>
          <w:tcPr>
            <w:shd w:fill="dbeef3" w:val="clear"/>
          </w:tcPr>
          <w:p w:rsidR="00000000" w:rsidDel="00000000" w:rsidP="00000000" w:rsidRDefault="00000000" w:rsidRPr="00000000" w14:paraId="00000005">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Número de solicitud y recurso de revisión</w:t>
            </w:r>
          </w:p>
        </w:tc>
        <w:tc>
          <w:tcPr>
            <w:shd w:fill="dbeef3" w:val="clear"/>
          </w:tcPr>
          <w:p w:rsidR="00000000" w:rsidDel="00000000" w:rsidP="00000000" w:rsidRDefault="00000000" w:rsidRPr="00000000" w14:paraId="00000006">
            <w:pPr>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Información requerida</w:t>
            </w:r>
          </w:p>
        </w:tc>
      </w:tr>
      <w:tr>
        <w:trPr>
          <w:cantSplit w:val="0"/>
          <w:tblHeader w:val="0"/>
        </w:trPr>
        <w:tc>
          <w:tcPr/>
          <w:p w:rsidR="00000000" w:rsidDel="00000000" w:rsidP="00000000" w:rsidRDefault="00000000" w:rsidRPr="00000000" w14:paraId="00000007">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00073/TEOLOYU/IP/2025, </w:t>
            </w:r>
            <w:r w:rsidDel="00000000" w:rsidR="00000000" w:rsidRPr="00000000">
              <w:rPr>
                <w:rFonts w:ascii="Palatino Linotype" w:cs="Palatino Linotype" w:eastAsia="Palatino Linotype" w:hAnsi="Palatino Linotype"/>
                <w:rtl w:val="0"/>
              </w:rPr>
              <w:t xml:space="preserve">correspondiente al Recurso de Revisión</w:t>
            </w:r>
            <w:r w:rsidDel="00000000" w:rsidR="00000000" w:rsidRPr="00000000">
              <w:rPr>
                <w:rFonts w:ascii="Palatino Linotype" w:cs="Palatino Linotype" w:eastAsia="Palatino Linotype" w:hAnsi="Palatino Linotype"/>
                <w:b w:val="1"/>
                <w:rtl w:val="0"/>
              </w:rPr>
              <w:t xml:space="preserve"> 02759/INFOEM/IP/RR/2025</w:t>
            </w:r>
          </w:p>
        </w:tc>
        <w:tc>
          <w:tcPr/>
          <w:p w:rsidR="00000000" w:rsidDel="00000000" w:rsidP="00000000" w:rsidRDefault="00000000" w:rsidRPr="00000000" w14:paraId="00000008">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“Solicito, </w:t>
            </w:r>
            <w:r w:rsidDel="00000000" w:rsidR="00000000" w:rsidRPr="00000000">
              <w:rPr>
                <w:rFonts w:ascii="Palatino Linotype" w:cs="Palatino Linotype" w:eastAsia="Palatino Linotype" w:hAnsi="Palatino Linotype"/>
                <w:b w:val="1"/>
                <w:i w:val="1"/>
                <w:rtl w:val="0"/>
              </w:rPr>
              <w:t xml:space="preserve">las autorizaciones, licencias o permisos emitidos para la poda, derribo, trasplante</w:t>
            </w:r>
            <w:r w:rsidDel="00000000" w:rsidR="00000000" w:rsidRPr="00000000">
              <w:rPr>
                <w:rFonts w:ascii="Palatino Linotype" w:cs="Palatino Linotype" w:eastAsia="Palatino Linotype" w:hAnsi="Palatino Linotype"/>
                <w:i w:val="1"/>
                <w:rtl w:val="0"/>
              </w:rPr>
              <w:t xml:space="preserve"> y/o sustitución de árboles que hayan expedido </w:t>
            </w:r>
            <w:r w:rsidDel="00000000" w:rsidR="00000000" w:rsidRPr="00000000">
              <w:rPr>
                <w:rFonts w:ascii="Palatino Linotype" w:cs="Palatino Linotype" w:eastAsia="Palatino Linotype" w:hAnsi="Palatino Linotype"/>
                <w:b w:val="1"/>
                <w:i w:val="1"/>
                <w:rtl w:val="0"/>
              </w:rPr>
              <w:t xml:space="preserve">durante 2024 y lo que va del año 2025</w:t>
            </w:r>
            <w:r w:rsidDel="00000000" w:rsidR="00000000" w:rsidRPr="00000000">
              <w:rPr>
                <w:rFonts w:ascii="Palatino Linotype" w:cs="Palatino Linotype" w:eastAsia="Palatino Linotype" w:hAnsi="Palatino Linotype"/>
                <w:i w:val="1"/>
                <w:rtl w:val="0"/>
              </w:rPr>
              <w:t xml:space="preserve">.” (Sic) </w:t>
            </w:r>
          </w:p>
        </w:tc>
      </w:tr>
      <w:tr>
        <w:trPr>
          <w:cantSplit w:val="0"/>
          <w:tblHeader w:val="0"/>
        </w:trPr>
        <w:tc>
          <w:tcPr/>
          <w:p w:rsidR="00000000" w:rsidDel="00000000" w:rsidP="00000000" w:rsidRDefault="00000000" w:rsidRPr="00000000" w14:paraId="00000009">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00154/TEOLOYU/IP/2025, </w:t>
            </w:r>
            <w:r w:rsidDel="00000000" w:rsidR="00000000" w:rsidRPr="00000000">
              <w:rPr>
                <w:rFonts w:ascii="Palatino Linotype" w:cs="Palatino Linotype" w:eastAsia="Palatino Linotype" w:hAnsi="Palatino Linotype"/>
                <w:rtl w:val="0"/>
              </w:rPr>
              <w:t xml:space="preserve">correspondiente al Recurso de Revisión</w:t>
            </w:r>
            <w:r w:rsidDel="00000000" w:rsidR="00000000" w:rsidRPr="00000000">
              <w:rPr>
                <w:rFonts w:ascii="Palatino Linotype" w:cs="Palatino Linotype" w:eastAsia="Palatino Linotype" w:hAnsi="Palatino Linotype"/>
                <w:b w:val="1"/>
                <w:rtl w:val="0"/>
              </w:rPr>
              <w:t xml:space="preserve"> 03566/INFOEM/IP/RR/2025</w:t>
            </w:r>
          </w:p>
        </w:tc>
        <w:tc>
          <w:tcPr/>
          <w:p w:rsidR="00000000" w:rsidDel="00000000" w:rsidP="00000000" w:rsidRDefault="00000000" w:rsidRPr="00000000" w14:paraId="0000000A">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“Solicito los </w:t>
            </w:r>
            <w:r w:rsidDel="00000000" w:rsidR="00000000" w:rsidRPr="00000000">
              <w:rPr>
                <w:rFonts w:ascii="Palatino Linotype" w:cs="Palatino Linotype" w:eastAsia="Palatino Linotype" w:hAnsi="Palatino Linotype"/>
                <w:b w:val="1"/>
                <w:i w:val="1"/>
                <w:rtl w:val="0"/>
              </w:rPr>
              <w:t xml:space="preserve">permisos de poda y derribo</w:t>
            </w:r>
            <w:r w:rsidDel="00000000" w:rsidR="00000000" w:rsidRPr="00000000">
              <w:rPr>
                <w:rFonts w:ascii="Palatino Linotype" w:cs="Palatino Linotype" w:eastAsia="Palatino Linotype" w:hAnsi="Palatino Linotype"/>
                <w:i w:val="1"/>
                <w:rtl w:val="0"/>
              </w:rPr>
              <w:t xml:space="preserve"> de árboles de los años </w:t>
            </w:r>
            <w:r w:rsidDel="00000000" w:rsidR="00000000" w:rsidRPr="00000000">
              <w:rPr>
                <w:rFonts w:ascii="Palatino Linotype" w:cs="Palatino Linotype" w:eastAsia="Palatino Linotype" w:hAnsi="Palatino Linotype"/>
                <w:b w:val="1"/>
                <w:i w:val="1"/>
                <w:rtl w:val="0"/>
              </w:rPr>
              <w:t xml:space="preserve">2022, 2023, 2024 y lo que va del 2025</w:t>
            </w:r>
            <w:r w:rsidDel="00000000" w:rsidR="00000000" w:rsidRPr="00000000">
              <w:rPr>
                <w:rFonts w:ascii="Palatino Linotype" w:cs="Palatino Linotype" w:eastAsia="Palatino Linotype" w:hAnsi="Palatino Linotype"/>
                <w:i w:val="1"/>
                <w:rtl w:val="0"/>
              </w:rPr>
              <w:t xml:space="preserve">.” (Sic)</w:t>
            </w:r>
          </w:p>
        </w:tc>
      </w:tr>
    </w:tbl>
    <w:p w:rsidR="00000000" w:rsidDel="00000000" w:rsidP="00000000" w:rsidRDefault="00000000" w:rsidRPr="00000000" w14:paraId="0000000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tl w:val="0"/>
        </w:rPr>
      </w:r>
    </w:p>
    <w:p w:rsidR="00000000" w:rsidDel="00000000" w:rsidP="00000000" w:rsidRDefault="00000000" w:rsidRPr="00000000" w14:paraId="0000000C">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2. Respuestas. </w:t>
      </w:r>
      <w:r w:rsidDel="00000000" w:rsidR="00000000" w:rsidRPr="00000000">
        <w:rPr>
          <w:rFonts w:ascii="Palatino Linotype" w:cs="Palatino Linotype" w:eastAsia="Palatino Linotype" w:hAnsi="Palatino Linotype"/>
          <w:sz w:val="22"/>
          <w:szCs w:val="22"/>
          <w:rtl w:val="0"/>
        </w:rPr>
        <w:t xml:space="preserve">En fechas </w:t>
      </w:r>
      <w:r w:rsidDel="00000000" w:rsidR="00000000" w:rsidRPr="00000000">
        <w:rPr>
          <w:rFonts w:ascii="Palatino Linotype" w:cs="Palatino Linotype" w:eastAsia="Palatino Linotype" w:hAnsi="Palatino Linotype"/>
          <w:b w:val="1"/>
          <w:sz w:val="22"/>
          <w:szCs w:val="22"/>
          <w:rtl w:val="0"/>
        </w:rPr>
        <w:t xml:space="preserve">veintisiete de febrero y</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veintiuno de marzo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notificó a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ambos expedientes, las respuestas a sus solicitudes de información, en los términos siguientes: </w:t>
      </w:r>
      <w:r w:rsidDel="00000000" w:rsidR="00000000" w:rsidRPr="00000000">
        <w:rPr>
          <w:rtl w:val="0"/>
        </w:rPr>
      </w:r>
    </w:p>
    <w:tbl>
      <w:tblPr>
        <w:tblStyle w:val="Table2"/>
        <w:tblW w:w="89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5949"/>
        <w:tblGridChange w:id="0">
          <w:tblGrid>
            <w:gridCol w:w="2972"/>
            <w:gridCol w:w="5949"/>
          </w:tblGrid>
        </w:tblGridChange>
      </w:tblGrid>
      <w:tr>
        <w:trPr>
          <w:cantSplit w:val="0"/>
          <w:tblHeader w:val="0"/>
        </w:trPr>
        <w:tc>
          <w:tcPr>
            <w:shd w:fill="dbeef3" w:val="clear"/>
          </w:tcPr>
          <w:p w:rsidR="00000000" w:rsidDel="00000000" w:rsidP="00000000" w:rsidRDefault="00000000" w:rsidRPr="00000000" w14:paraId="0000000D">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Número de recurso de revisión</w:t>
            </w:r>
          </w:p>
        </w:tc>
        <w:tc>
          <w:tcPr>
            <w:shd w:fill="dbeef3" w:val="clear"/>
          </w:tcPr>
          <w:p w:rsidR="00000000" w:rsidDel="00000000" w:rsidP="00000000" w:rsidRDefault="00000000" w:rsidRPr="00000000" w14:paraId="0000000E">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Descripción de las respuestas</w:t>
            </w:r>
          </w:p>
        </w:tc>
      </w:tr>
      <w:tr>
        <w:trPr>
          <w:cantSplit w:val="0"/>
          <w:tblHeader w:val="0"/>
        </w:trPr>
        <w:tc>
          <w:tcPr/>
          <w:p w:rsidR="00000000" w:rsidDel="00000000" w:rsidP="00000000" w:rsidRDefault="00000000" w:rsidRPr="00000000" w14:paraId="0000000F">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00073/TEOLOYU/IP/2025, </w:t>
            </w:r>
            <w:r w:rsidDel="00000000" w:rsidR="00000000" w:rsidRPr="00000000">
              <w:rPr>
                <w:rFonts w:ascii="Palatino Linotype" w:cs="Palatino Linotype" w:eastAsia="Palatino Linotype" w:hAnsi="Palatino Linotype"/>
                <w:rtl w:val="0"/>
              </w:rPr>
              <w:t xml:space="preserve">correspondiente al Recurso de Revisión</w:t>
            </w:r>
            <w:r w:rsidDel="00000000" w:rsidR="00000000" w:rsidRPr="00000000">
              <w:rPr>
                <w:rFonts w:ascii="Palatino Linotype" w:cs="Palatino Linotype" w:eastAsia="Palatino Linotype" w:hAnsi="Palatino Linotype"/>
                <w:b w:val="1"/>
                <w:rtl w:val="0"/>
              </w:rPr>
              <w:t xml:space="preserve"> 02759/INFOEM/IP/RR/2025</w:t>
            </w:r>
          </w:p>
        </w:tc>
        <w:tc>
          <w:tcPr/>
          <w:p w:rsidR="00000000" w:rsidDel="00000000" w:rsidP="00000000" w:rsidRDefault="00000000" w:rsidRPr="00000000" w14:paraId="00000010">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1">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remite información del área generadora de información</w:t>
            </w:r>
          </w:p>
          <w:p w:rsidR="00000000" w:rsidDel="00000000" w:rsidP="00000000" w:rsidRDefault="00000000" w:rsidRPr="00000000" w14:paraId="00000012">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13">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Lic. Ana Beatriz Romero Oceguera”</w:t>
            </w:r>
          </w:p>
          <w:p w:rsidR="00000000" w:rsidDel="00000000" w:rsidP="00000000" w:rsidRDefault="00000000" w:rsidRPr="00000000" w14:paraId="00000014">
            <w:pPr>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5">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Archivo adjunto: </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ind w:left="169" w:hanging="36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Acta 12.pdf: </w:t>
            </w:r>
            <w:r w:rsidDel="00000000" w:rsidR="00000000" w:rsidRPr="00000000">
              <w:rPr>
                <w:rFonts w:ascii="Palatino Linotype" w:cs="Palatino Linotype" w:eastAsia="Palatino Linotype" w:hAnsi="Palatino Linotype"/>
                <w:sz w:val="24"/>
                <w:szCs w:val="24"/>
                <w:rtl w:val="0"/>
              </w:rPr>
              <w:t xml:space="preserve">Acta de la Décima Segunda Sesión Extraordinaria de fecha veinticinco de febrero de dos mil veinticinco, en la que mediante Acuerdo 01 CT/UTAIP/ASE-12/2025 se aprobó la clasificación como confidencial de la información relativa para dar respuesta a la solicitud de información 00055/TEOLOYU/IP/2025 que presenta la Síndico Municipal, y a la solicitud de información </w:t>
            </w:r>
            <w:r w:rsidDel="00000000" w:rsidR="00000000" w:rsidRPr="00000000">
              <w:rPr>
                <w:rFonts w:ascii="Palatino Linotype" w:cs="Palatino Linotype" w:eastAsia="Palatino Linotype" w:hAnsi="Palatino Linotype"/>
                <w:b w:val="1"/>
                <w:sz w:val="24"/>
                <w:szCs w:val="24"/>
                <w:rtl w:val="0"/>
              </w:rPr>
              <w:t xml:space="preserve">00073/TEOLOYU/IP/2025 </w:t>
            </w:r>
            <w:r w:rsidDel="00000000" w:rsidR="00000000" w:rsidRPr="00000000">
              <w:rPr>
                <w:rFonts w:ascii="Palatino Linotype" w:cs="Palatino Linotype" w:eastAsia="Palatino Linotype" w:hAnsi="Palatino Linotype"/>
                <w:sz w:val="24"/>
                <w:szCs w:val="24"/>
                <w:rtl w:val="0"/>
              </w:rPr>
              <w:t xml:space="preserve">que presenta el servidor público habilitado de Medio Ambiente. </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169"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ind w:left="27"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i w:val="1"/>
                <w:sz w:val="24"/>
                <w:szCs w:val="24"/>
                <w:rtl w:val="0"/>
              </w:rPr>
              <w:t xml:space="preserve">respuesta sol. 73.pdf</w:t>
            </w:r>
            <w:r w:rsidDel="00000000" w:rsidR="00000000" w:rsidRPr="00000000">
              <w:rPr>
                <w:rFonts w:ascii="Palatino Linotype" w:cs="Palatino Linotype" w:eastAsia="Palatino Linotype" w:hAnsi="Palatino Linotype"/>
                <w:i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Oficio número DMA/SDRR/095/2025 de fecha veinticuatro de febrero de dos mil veinticinco, signado por la Directora de Medio Ambiente, mediante el cual informó que del 01 de enero al 24 de febrero de </w:t>
            </w:r>
            <w:r w:rsidDel="00000000" w:rsidR="00000000" w:rsidRPr="00000000">
              <w:rPr>
                <w:rFonts w:ascii="Palatino Linotype" w:cs="Palatino Linotype" w:eastAsia="Palatino Linotype" w:hAnsi="Palatino Linotype"/>
                <w:b w:val="1"/>
                <w:sz w:val="24"/>
                <w:szCs w:val="24"/>
                <w:rtl w:val="0"/>
              </w:rPr>
              <w:t xml:space="preserve">2025</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 se ha emitido permiso</w:t>
            </w:r>
            <w:r w:rsidDel="00000000" w:rsidR="00000000" w:rsidRPr="00000000">
              <w:rPr>
                <w:rFonts w:ascii="Palatino Linotype" w:cs="Palatino Linotype" w:eastAsia="Palatino Linotype" w:hAnsi="Palatino Linotype"/>
                <w:sz w:val="24"/>
                <w:szCs w:val="24"/>
                <w:rtl w:val="0"/>
              </w:rPr>
              <w:t xml:space="preserve"> alguno para poda, derribo, trasplante y/o sustitución de árboles, por esta dirección. </w:t>
            </w:r>
          </w:p>
          <w:p w:rsidR="00000000" w:rsidDel="00000000" w:rsidP="00000000" w:rsidRDefault="00000000" w:rsidRPr="00000000" w14:paraId="00000019">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27"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Durante el año </w:t>
            </w:r>
            <w:r w:rsidDel="00000000" w:rsidR="00000000" w:rsidRPr="00000000">
              <w:rPr>
                <w:rFonts w:ascii="Palatino Linotype" w:cs="Palatino Linotype" w:eastAsia="Palatino Linotype" w:hAnsi="Palatino Linotype"/>
                <w:b w:val="1"/>
                <w:sz w:val="24"/>
                <w:szCs w:val="24"/>
                <w:rtl w:val="0"/>
              </w:rPr>
              <w:t xml:space="preserve">2024,</w:t>
            </w:r>
            <w:r w:rsidDel="00000000" w:rsidR="00000000" w:rsidRPr="00000000">
              <w:rPr>
                <w:rFonts w:ascii="Palatino Linotype" w:cs="Palatino Linotype" w:eastAsia="Palatino Linotype" w:hAnsi="Palatino Linotype"/>
                <w:sz w:val="24"/>
                <w:szCs w:val="24"/>
                <w:rtl w:val="0"/>
              </w:rPr>
              <w:t xml:space="preserve"> se </w:t>
            </w:r>
            <w:r w:rsidDel="00000000" w:rsidR="00000000" w:rsidRPr="00000000">
              <w:rPr>
                <w:rFonts w:ascii="Palatino Linotype" w:cs="Palatino Linotype" w:eastAsia="Palatino Linotype" w:hAnsi="Palatino Linotype"/>
                <w:b w:val="1"/>
                <w:sz w:val="24"/>
                <w:szCs w:val="24"/>
                <w:rtl w:val="0"/>
              </w:rPr>
              <w:t xml:space="preserve">emitieron 56 permisos</w:t>
            </w:r>
            <w:r w:rsidDel="00000000" w:rsidR="00000000" w:rsidRPr="00000000">
              <w:rPr>
                <w:rFonts w:ascii="Palatino Linotype" w:cs="Palatino Linotype" w:eastAsia="Palatino Linotype" w:hAnsi="Palatino Linotype"/>
                <w:sz w:val="24"/>
                <w:szCs w:val="24"/>
                <w:rtl w:val="0"/>
              </w:rPr>
              <w:t xml:space="preserve"> de poda, derribo, trasplante y/o sustitución de árboles. </w:t>
            </w:r>
          </w:p>
          <w:p w:rsidR="00000000" w:rsidDel="00000000" w:rsidP="00000000" w:rsidRDefault="00000000" w:rsidRPr="00000000" w14:paraId="0000001B">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Adjuntando a su respuesta 56 permisos para realizar trabajos de derribo, en versión pública, de los que se advierte que algunos se encuentran incompletos, ya que únicamente se encuentran la primera hoja del permiso. </w:t>
            </w:r>
          </w:p>
        </w:tc>
      </w:tr>
      <w:tr>
        <w:trPr>
          <w:cantSplit w:val="0"/>
          <w:tblHeader w:val="0"/>
        </w:trPr>
        <w:tc>
          <w:tcPr/>
          <w:p w:rsidR="00000000" w:rsidDel="00000000" w:rsidP="00000000" w:rsidRDefault="00000000" w:rsidRPr="00000000" w14:paraId="0000001D">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00154/TEOLOYU/IP/2025, </w:t>
            </w:r>
            <w:r w:rsidDel="00000000" w:rsidR="00000000" w:rsidRPr="00000000">
              <w:rPr>
                <w:rFonts w:ascii="Palatino Linotype" w:cs="Palatino Linotype" w:eastAsia="Palatino Linotype" w:hAnsi="Palatino Linotype"/>
                <w:rtl w:val="0"/>
              </w:rPr>
              <w:t xml:space="preserve">correspondiente al Recurso de Revisión</w:t>
            </w:r>
            <w:r w:rsidDel="00000000" w:rsidR="00000000" w:rsidRPr="00000000">
              <w:rPr>
                <w:rFonts w:ascii="Palatino Linotype" w:cs="Palatino Linotype" w:eastAsia="Palatino Linotype" w:hAnsi="Palatino Linotype"/>
                <w:b w:val="1"/>
                <w:rtl w:val="0"/>
              </w:rPr>
              <w:t xml:space="preserve"> 03566/INFOEM/IP/RR/2025</w:t>
            </w:r>
          </w:p>
        </w:tc>
        <w:tc>
          <w:tcPr/>
          <w:p w:rsidR="00000000" w:rsidDel="00000000" w:rsidP="00000000" w:rsidRDefault="00000000" w:rsidRPr="00000000" w14:paraId="0000001E">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F">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REMITE RESPUESTA DEL ÁREA GENERADORA DE LA INFORMACIÓN</w:t>
            </w:r>
          </w:p>
          <w:p w:rsidR="00000000" w:rsidDel="00000000" w:rsidP="00000000" w:rsidRDefault="00000000" w:rsidRPr="00000000" w14:paraId="00000020">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21">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Lic. Ana Beatriz Romero Oceguera”</w:t>
            </w:r>
          </w:p>
          <w:p w:rsidR="00000000" w:rsidDel="00000000" w:rsidP="00000000" w:rsidRDefault="00000000" w:rsidRPr="00000000" w14:paraId="00000022">
            <w:pPr>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3">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Archivo adjunto: </w:t>
            </w:r>
          </w:p>
          <w:p w:rsidR="00000000" w:rsidDel="00000000" w:rsidP="00000000" w:rsidRDefault="00000000" w:rsidRPr="00000000" w14:paraId="00000024">
            <w:pPr>
              <w:numPr>
                <w:ilvl w:val="0"/>
                <w:numId w:val="3"/>
              </w:numPr>
              <w:pBdr>
                <w:top w:space="0" w:sz="0" w:val="nil"/>
                <w:left w:space="0" w:sz="0" w:val="nil"/>
                <w:bottom w:space="0" w:sz="0" w:val="nil"/>
                <w:right w:space="0" w:sz="0" w:val="nil"/>
                <w:between w:space="0" w:sz="0" w:val="nil"/>
              </w:pBdr>
              <w:ind w:left="27"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i w:val="1"/>
                <w:sz w:val="24"/>
                <w:szCs w:val="24"/>
                <w:rtl w:val="0"/>
              </w:rPr>
              <w:t xml:space="preserve">respuesta sol. 154.pdf: </w:t>
            </w:r>
            <w:r w:rsidDel="00000000" w:rsidR="00000000" w:rsidRPr="00000000">
              <w:rPr>
                <w:rFonts w:ascii="Palatino Linotype" w:cs="Palatino Linotype" w:eastAsia="Palatino Linotype" w:hAnsi="Palatino Linotype"/>
                <w:sz w:val="24"/>
                <w:szCs w:val="24"/>
                <w:rtl w:val="0"/>
              </w:rPr>
              <w:t xml:space="preserve">Oficio número DMA/SDRR/140/2025 de fecha veinte de marzo de dos mil veinticinco, signado por la Directora de Medio Ambiente, mediante el cual informó: </w:t>
            </w:r>
          </w:p>
          <w:p w:rsidR="00000000" w:rsidDel="00000000" w:rsidP="00000000" w:rsidRDefault="00000000" w:rsidRPr="00000000" w14:paraId="00000025">
            <w:pPr>
              <w:pBdr>
                <w:top w:space="0" w:sz="0" w:val="nil"/>
                <w:left w:space="0" w:sz="0" w:val="nil"/>
                <w:bottom w:space="0" w:sz="0" w:val="nil"/>
                <w:right w:space="0" w:sz="0" w:val="nil"/>
                <w:between w:space="0" w:sz="0" w:val="nil"/>
              </w:pBdr>
              <w:ind w:left="27"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Durante el año 2022, </w:t>
            </w:r>
            <w:r w:rsidDel="00000000" w:rsidR="00000000" w:rsidRPr="00000000">
              <w:rPr>
                <w:rFonts w:ascii="Palatino Linotype" w:cs="Palatino Linotype" w:eastAsia="Palatino Linotype" w:hAnsi="Palatino Linotype"/>
                <w:b w:val="1"/>
                <w:sz w:val="24"/>
                <w:szCs w:val="24"/>
                <w:rtl w:val="0"/>
              </w:rPr>
              <w:t xml:space="preserve">se emitieron 53 permisos </w:t>
            </w:r>
            <w:r w:rsidDel="00000000" w:rsidR="00000000" w:rsidRPr="00000000">
              <w:rPr>
                <w:rFonts w:ascii="Palatino Linotype" w:cs="Palatino Linotype" w:eastAsia="Palatino Linotype" w:hAnsi="Palatino Linotype"/>
                <w:sz w:val="24"/>
                <w:szCs w:val="24"/>
                <w:rtl w:val="0"/>
              </w:rPr>
              <w:t xml:space="preserve">de poda y derribo de árboles.</w:t>
            </w:r>
          </w:p>
          <w:p w:rsidR="00000000" w:rsidDel="00000000" w:rsidP="00000000" w:rsidRDefault="00000000" w:rsidRPr="00000000" w14:paraId="00000026">
            <w:pPr>
              <w:pBdr>
                <w:top w:space="0" w:sz="0" w:val="nil"/>
                <w:left w:space="0" w:sz="0" w:val="nil"/>
                <w:bottom w:space="0" w:sz="0" w:val="nil"/>
                <w:right w:space="0" w:sz="0" w:val="nil"/>
                <w:between w:space="0" w:sz="0" w:val="nil"/>
              </w:pBdr>
              <w:ind w:left="27"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Durante el año 2023, </w:t>
            </w:r>
            <w:r w:rsidDel="00000000" w:rsidR="00000000" w:rsidRPr="00000000">
              <w:rPr>
                <w:rFonts w:ascii="Palatino Linotype" w:cs="Palatino Linotype" w:eastAsia="Palatino Linotype" w:hAnsi="Palatino Linotype"/>
                <w:b w:val="1"/>
                <w:sz w:val="24"/>
                <w:szCs w:val="24"/>
                <w:rtl w:val="0"/>
              </w:rPr>
              <w:t xml:space="preserve">se emitieron 58 permisos </w:t>
            </w:r>
            <w:r w:rsidDel="00000000" w:rsidR="00000000" w:rsidRPr="00000000">
              <w:rPr>
                <w:rFonts w:ascii="Palatino Linotype" w:cs="Palatino Linotype" w:eastAsia="Palatino Linotype" w:hAnsi="Palatino Linotype"/>
                <w:sz w:val="24"/>
                <w:szCs w:val="24"/>
                <w:rtl w:val="0"/>
              </w:rPr>
              <w:t xml:space="preserve">de poda y derribo de árboles.</w:t>
            </w:r>
          </w:p>
          <w:p w:rsidR="00000000" w:rsidDel="00000000" w:rsidP="00000000" w:rsidRDefault="00000000" w:rsidRPr="00000000" w14:paraId="00000027">
            <w:pPr>
              <w:pBdr>
                <w:top w:space="0" w:sz="0" w:val="nil"/>
                <w:left w:space="0" w:sz="0" w:val="nil"/>
                <w:bottom w:space="0" w:sz="0" w:val="nil"/>
                <w:right w:space="0" w:sz="0" w:val="nil"/>
                <w:between w:space="0" w:sz="0" w:val="nil"/>
              </w:pBdr>
              <w:ind w:left="27"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Durante el año 2024, </w:t>
            </w:r>
            <w:r w:rsidDel="00000000" w:rsidR="00000000" w:rsidRPr="00000000">
              <w:rPr>
                <w:rFonts w:ascii="Palatino Linotype" w:cs="Palatino Linotype" w:eastAsia="Palatino Linotype" w:hAnsi="Palatino Linotype"/>
                <w:b w:val="1"/>
                <w:sz w:val="24"/>
                <w:szCs w:val="24"/>
                <w:rtl w:val="0"/>
              </w:rPr>
              <w:t xml:space="preserve">se emitieron 56 permisos </w:t>
            </w:r>
            <w:r w:rsidDel="00000000" w:rsidR="00000000" w:rsidRPr="00000000">
              <w:rPr>
                <w:rFonts w:ascii="Palatino Linotype" w:cs="Palatino Linotype" w:eastAsia="Palatino Linotype" w:hAnsi="Palatino Linotype"/>
                <w:sz w:val="24"/>
                <w:szCs w:val="24"/>
                <w:rtl w:val="0"/>
              </w:rPr>
              <w:t xml:space="preserve">de poda y derribo de árboles.</w:t>
            </w:r>
          </w:p>
          <w:p w:rsidR="00000000" w:rsidDel="00000000" w:rsidP="00000000" w:rsidRDefault="00000000" w:rsidRPr="00000000" w14:paraId="00000028">
            <w:pPr>
              <w:pBdr>
                <w:top w:space="0" w:sz="0" w:val="nil"/>
                <w:left w:space="0" w:sz="0" w:val="nil"/>
                <w:bottom w:space="0" w:sz="0" w:val="nil"/>
                <w:right w:space="0" w:sz="0" w:val="nil"/>
                <w:between w:space="0" w:sz="0" w:val="nil"/>
              </w:pBdr>
              <w:ind w:left="27"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Del 01 de enero al 21 de marzo del año 2025, </w:t>
            </w:r>
            <w:r w:rsidDel="00000000" w:rsidR="00000000" w:rsidRPr="00000000">
              <w:rPr>
                <w:rFonts w:ascii="Palatino Linotype" w:cs="Palatino Linotype" w:eastAsia="Palatino Linotype" w:hAnsi="Palatino Linotype"/>
                <w:b w:val="1"/>
                <w:sz w:val="24"/>
                <w:szCs w:val="24"/>
                <w:rtl w:val="0"/>
              </w:rPr>
              <w:t xml:space="preserve">se emitieron 03 permisos </w:t>
            </w:r>
            <w:r w:rsidDel="00000000" w:rsidR="00000000" w:rsidRPr="00000000">
              <w:rPr>
                <w:rFonts w:ascii="Palatino Linotype" w:cs="Palatino Linotype" w:eastAsia="Palatino Linotype" w:hAnsi="Palatino Linotype"/>
                <w:sz w:val="24"/>
                <w:szCs w:val="24"/>
                <w:rtl w:val="0"/>
              </w:rPr>
              <w:t xml:space="preserve">de poda y derribo de árboles.</w:t>
            </w:r>
          </w:p>
          <w:p w:rsidR="00000000" w:rsidDel="00000000" w:rsidP="00000000" w:rsidRDefault="00000000" w:rsidRPr="00000000" w14:paraId="00000029">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Adjuntando a su respuesta 170 permisos para realizar trabajos de poda/ derribo/ trasplante, en versión pública. </w:t>
            </w:r>
            <w:r w:rsidDel="00000000" w:rsidR="00000000" w:rsidRPr="00000000">
              <w:rPr>
                <w:rtl w:val="0"/>
              </w:rPr>
            </w:r>
          </w:p>
        </w:tc>
      </w:tr>
    </w:tbl>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 los recursos de revisión.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once y veintisiete de marzo de dos mil veinticinco,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 </w:t>
      </w:r>
      <w:r w:rsidDel="00000000" w:rsidR="00000000" w:rsidRPr="00000000">
        <w:rPr>
          <w:rFonts w:ascii="Palatino Linotype" w:cs="Palatino Linotype" w:eastAsia="Palatino Linotype" w:hAnsi="Palatino Linotype"/>
          <w:sz w:val="22"/>
          <w:szCs w:val="22"/>
          <w:rtl w:val="0"/>
        </w:rPr>
        <w:t xml:space="preserve">inconforme con las respuestas, interpuso los recursos de revisión que nos ocupan, expresando en ambos casos, lo siguiente: </w:t>
      </w:r>
    </w:p>
    <w:tbl>
      <w:tblPr>
        <w:tblStyle w:val="Table3"/>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4"/>
        <w:gridCol w:w="2943"/>
        <w:gridCol w:w="3180"/>
        <w:tblGridChange w:id="0">
          <w:tblGrid>
            <w:gridCol w:w="2944"/>
            <w:gridCol w:w="2943"/>
            <w:gridCol w:w="3180"/>
          </w:tblGrid>
        </w:tblGridChange>
      </w:tblGrid>
      <w:tr>
        <w:trPr>
          <w:cantSplit w:val="0"/>
          <w:tblHeader w:val="0"/>
        </w:trPr>
        <w:tc>
          <w:tcPr>
            <w:shd w:fill="dbeef3" w:val="clear"/>
          </w:tcPr>
          <w:p w:rsidR="00000000" w:rsidDel="00000000" w:rsidP="00000000" w:rsidRDefault="00000000" w:rsidRPr="00000000" w14:paraId="0000002B">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dbeef3" w:val="clear"/>
          </w:tcPr>
          <w:p w:rsidR="00000000" w:rsidDel="00000000" w:rsidP="00000000" w:rsidRDefault="00000000" w:rsidRPr="00000000" w14:paraId="0000002C">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w:t>
            </w:r>
          </w:p>
        </w:tc>
        <w:tc>
          <w:tcPr>
            <w:shd w:fill="dbeef3" w:val="clear"/>
          </w:tcPr>
          <w:p w:rsidR="00000000" w:rsidDel="00000000" w:rsidP="00000000" w:rsidRDefault="00000000" w:rsidRPr="00000000" w14:paraId="0000002D">
            <w:pPr>
              <w:spacing w:after="240" w:before="240" w:line="276"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Razones o Motivos de Inconformidad</w:t>
            </w:r>
          </w:p>
        </w:tc>
      </w:tr>
      <w:tr>
        <w:trPr>
          <w:cantSplit w:val="0"/>
          <w:tblHeader w:val="0"/>
        </w:trPr>
        <w:tc>
          <w:tcPr/>
          <w:p w:rsidR="00000000" w:rsidDel="00000000" w:rsidP="00000000" w:rsidRDefault="00000000" w:rsidRPr="00000000" w14:paraId="0000002E">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02759/INFOEM/IP/RR/2025</w:t>
            </w:r>
          </w:p>
        </w:tc>
        <w:tc>
          <w:tcPr/>
          <w:p w:rsidR="00000000" w:rsidDel="00000000" w:rsidP="00000000" w:rsidRDefault="00000000" w:rsidRPr="00000000" w14:paraId="0000002F">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RESPUESTA</w:t>
            </w:r>
          </w:p>
        </w:tc>
        <w:tc>
          <w:tcPr/>
          <w:p w:rsidR="00000000" w:rsidDel="00000000" w:rsidP="00000000" w:rsidRDefault="00000000" w:rsidRPr="00000000" w14:paraId="00000030">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ME ENTREGARON LOS PERMISOS SIN EMBARGO </w:t>
            </w:r>
            <w:r w:rsidDel="00000000" w:rsidR="00000000" w:rsidRPr="00000000">
              <w:rPr>
                <w:rFonts w:ascii="Palatino Linotype" w:cs="Palatino Linotype" w:eastAsia="Palatino Linotype" w:hAnsi="Palatino Linotype"/>
                <w:b w:val="1"/>
                <w:i w:val="1"/>
                <w:rtl w:val="0"/>
              </w:rPr>
              <w:t xml:space="preserve">LOS DOCUMENTOS ESTAN INCOMPLETOS FALTAN HOJAS</w:t>
            </w:r>
            <w:r w:rsidDel="00000000" w:rsidR="00000000" w:rsidRPr="00000000">
              <w:rPr>
                <w:rtl w:val="0"/>
              </w:rPr>
            </w:r>
          </w:p>
        </w:tc>
      </w:tr>
      <w:tr>
        <w:trPr>
          <w:cantSplit w:val="0"/>
          <w:tblHeader w:val="0"/>
        </w:trPr>
        <w:tc>
          <w:tcPr/>
          <w:p w:rsidR="00000000" w:rsidDel="00000000" w:rsidP="00000000" w:rsidRDefault="00000000" w:rsidRPr="00000000" w14:paraId="00000031">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03566/INFOEM/IP/RR/2025 </w:t>
            </w:r>
          </w:p>
        </w:tc>
        <w:tc>
          <w:tcPr/>
          <w:p w:rsidR="00000000" w:rsidDel="00000000" w:rsidP="00000000" w:rsidRDefault="00000000" w:rsidRPr="00000000" w14:paraId="00000032">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Interpongo el presente recurso de revisión porque aunque me entregaron información se encuentra </w:t>
            </w:r>
            <w:r w:rsidDel="00000000" w:rsidR="00000000" w:rsidRPr="00000000">
              <w:rPr>
                <w:rFonts w:ascii="Palatino Linotype" w:cs="Palatino Linotype" w:eastAsia="Palatino Linotype" w:hAnsi="Palatino Linotype"/>
                <w:b w:val="1"/>
                <w:i w:val="1"/>
                <w:rtl w:val="0"/>
              </w:rPr>
              <w:t xml:space="preserve">incompleta de acuerdo a lo que informa en su oficio</w:t>
            </w:r>
            <w:r w:rsidDel="00000000" w:rsidR="00000000" w:rsidRPr="00000000">
              <w:rPr>
                <w:rtl w:val="0"/>
              </w:rPr>
            </w:r>
          </w:p>
        </w:tc>
        <w:tc>
          <w:tcPr/>
          <w:p w:rsidR="00000000" w:rsidDel="00000000" w:rsidP="00000000" w:rsidRDefault="00000000" w:rsidRPr="00000000" w14:paraId="00000033">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Serían tan amables de hacerme conocer </w:t>
            </w:r>
            <w:r w:rsidDel="00000000" w:rsidR="00000000" w:rsidRPr="00000000">
              <w:rPr>
                <w:rFonts w:ascii="Palatino Linotype" w:cs="Palatino Linotype" w:eastAsia="Palatino Linotype" w:hAnsi="Palatino Linotype"/>
                <w:b w:val="1"/>
                <w:i w:val="1"/>
                <w:rtl w:val="0"/>
              </w:rPr>
              <w:t xml:space="preserve">los permisos del año 2025</w:t>
            </w:r>
            <w:r w:rsidDel="00000000" w:rsidR="00000000" w:rsidRPr="00000000">
              <w:rPr>
                <w:rFonts w:ascii="Palatino Linotype" w:cs="Palatino Linotype" w:eastAsia="Palatino Linotype" w:hAnsi="Palatino Linotype"/>
                <w:i w:val="1"/>
                <w:rtl w:val="0"/>
              </w:rPr>
              <w:t xml:space="preserve"> que fueron </w:t>
            </w:r>
            <w:r w:rsidDel="00000000" w:rsidR="00000000" w:rsidRPr="00000000">
              <w:rPr>
                <w:rFonts w:ascii="Palatino Linotype" w:cs="Palatino Linotype" w:eastAsia="Palatino Linotype" w:hAnsi="Palatino Linotype"/>
                <w:b w:val="1"/>
                <w:i w:val="1"/>
                <w:rtl w:val="0"/>
              </w:rPr>
              <w:t xml:space="preserve">los únicos faltantes</w:t>
            </w:r>
            <w:r w:rsidDel="00000000" w:rsidR="00000000" w:rsidRPr="00000000">
              <w:rPr>
                <w:rFonts w:ascii="Palatino Linotype" w:cs="Palatino Linotype" w:eastAsia="Palatino Linotype" w:hAnsi="Palatino Linotype"/>
                <w:i w:val="1"/>
                <w:rtl w:val="0"/>
              </w:rPr>
              <w:t xml:space="preserve">. Gracias</w:t>
            </w:r>
          </w:p>
        </w:tc>
      </w:tr>
    </w:tbl>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Turnos.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Transparencia y Acceso a la Información Pública, los recursos de revisión fueron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turnados de la siguiente manera a efecto de presentar al Pleno los proyectos de resolución correspondientes: </w:t>
      </w:r>
    </w:p>
    <w:tbl>
      <w:tblPr>
        <w:tblStyle w:val="Table4"/>
        <w:tblW w:w="89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0"/>
        <w:gridCol w:w="4461"/>
        <w:tblGridChange w:id="0">
          <w:tblGrid>
            <w:gridCol w:w="4460"/>
            <w:gridCol w:w="4461"/>
          </w:tblGrid>
        </w:tblGridChange>
      </w:tblGrid>
      <w:tr>
        <w:trPr>
          <w:cantSplit w:val="0"/>
          <w:tblHeader w:val="0"/>
        </w:trPr>
        <w:tc>
          <w:tcPr>
            <w:shd w:fill="dbeef3" w:val="clear"/>
          </w:tcPr>
          <w:p w:rsidR="00000000" w:rsidDel="00000000" w:rsidP="00000000" w:rsidRDefault="00000000" w:rsidRPr="00000000" w14:paraId="00000035">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dbeef3" w:val="clear"/>
          </w:tcPr>
          <w:p w:rsidR="00000000" w:rsidDel="00000000" w:rsidP="00000000" w:rsidRDefault="00000000" w:rsidRPr="00000000" w14:paraId="00000036">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w:t>
            </w:r>
          </w:p>
        </w:tc>
      </w:tr>
      <w:tr>
        <w:trPr>
          <w:cantSplit w:val="0"/>
          <w:tblHeader w:val="0"/>
        </w:trPr>
        <w:tc>
          <w:tcPr/>
          <w:p w:rsidR="00000000" w:rsidDel="00000000" w:rsidP="00000000" w:rsidRDefault="00000000" w:rsidRPr="00000000" w14:paraId="00000037">
            <w:pPr>
              <w:spacing w:after="240" w:before="240" w:line="276"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02759/INFOEM/IP/RR/2025 </w:t>
            </w:r>
          </w:p>
        </w:tc>
        <w:tc>
          <w:tcPr/>
          <w:p w:rsidR="00000000" w:rsidDel="00000000" w:rsidP="00000000" w:rsidRDefault="00000000" w:rsidRPr="00000000" w14:paraId="00000038">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Guadalupe Ramírez Peña</w:t>
            </w:r>
          </w:p>
        </w:tc>
      </w:tr>
      <w:tr>
        <w:trPr>
          <w:cantSplit w:val="0"/>
          <w:tblHeader w:val="0"/>
        </w:trPr>
        <w:tc>
          <w:tcPr/>
          <w:p w:rsidR="00000000" w:rsidDel="00000000" w:rsidP="00000000" w:rsidRDefault="00000000" w:rsidRPr="00000000" w14:paraId="00000039">
            <w:pPr>
              <w:spacing w:after="240" w:before="240" w:line="276"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03566/INFOEM/IP/RR/2025 </w:t>
            </w:r>
          </w:p>
        </w:tc>
        <w:tc>
          <w:tcPr/>
          <w:p w:rsidR="00000000" w:rsidDel="00000000" w:rsidP="00000000" w:rsidRDefault="00000000" w:rsidRPr="00000000" w14:paraId="0000003A">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Comisionado Luis Gustavo Parra Noriega. </w:t>
            </w:r>
          </w:p>
        </w:tc>
      </w:tr>
    </w:tbl>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i w:val="1"/>
          <w:sz w:val="22"/>
          <w:szCs w:val="22"/>
        </w:rPr>
      </w:pPr>
      <w:bookmarkStart w:colFirst="0" w:colLast="0" w:name="_heading=h.2et92p0" w:id="2"/>
      <w:bookmarkEnd w:id="2"/>
      <w:r w:rsidDel="00000000" w:rsidR="00000000" w:rsidRPr="00000000">
        <w:rPr>
          <w:rFonts w:ascii="Palatino Linotype" w:cs="Palatino Linotype" w:eastAsia="Palatino Linotype" w:hAnsi="Palatino Linotype"/>
          <w:b w:val="1"/>
          <w:sz w:val="22"/>
          <w:szCs w:val="22"/>
          <w:rtl w:val="0"/>
        </w:rPr>
        <w:t xml:space="preserve">5. Admisiones. </w:t>
      </w:r>
      <w:r w:rsidDel="00000000" w:rsidR="00000000" w:rsidRPr="00000000">
        <w:rPr>
          <w:rFonts w:ascii="Palatino Linotype" w:cs="Palatino Linotype" w:eastAsia="Palatino Linotype" w:hAnsi="Palatino Linotype"/>
          <w:sz w:val="22"/>
          <w:szCs w:val="22"/>
          <w:rtl w:val="0"/>
        </w:rPr>
        <w:t xml:space="preserve">Los días </w:t>
      </w:r>
      <w:r w:rsidDel="00000000" w:rsidR="00000000" w:rsidRPr="00000000">
        <w:rPr>
          <w:rFonts w:ascii="Palatino Linotype" w:cs="Palatino Linotype" w:eastAsia="Palatino Linotype" w:hAnsi="Palatino Linotype"/>
          <w:b w:val="1"/>
          <w:sz w:val="22"/>
          <w:szCs w:val="22"/>
          <w:rtl w:val="0"/>
        </w:rPr>
        <w:t xml:space="preserve">catorce de marzo y uno de abril de dos mil veinticinco,</w:t>
      </w:r>
      <w:r w:rsidDel="00000000" w:rsidR="00000000" w:rsidRPr="00000000">
        <w:rPr>
          <w:rFonts w:ascii="Palatino Linotype" w:cs="Palatino Linotype" w:eastAsia="Palatino Linotype" w:hAnsi="Palatino Linotype"/>
          <w:sz w:val="22"/>
          <w:szCs w:val="22"/>
          <w:rtl w:val="0"/>
        </w:rPr>
        <w:t xml:space="preserve"> en términos de lo dispuesto en el artículo 185 fracciones I, II y IV de la Ley de Transparencia y Acceso a la Información Pública del Estado de México y Municipios, se admitieron a trámite los recursos de revisión.</w:t>
      </w:r>
      <w:r w:rsidDel="00000000" w:rsidR="00000000" w:rsidRPr="00000000">
        <w:rPr>
          <w:rtl w:val="0"/>
        </w:rPr>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6. Acumulación. </w:t>
      </w:r>
      <w:r w:rsidDel="00000000" w:rsidR="00000000" w:rsidRPr="00000000">
        <w:rPr>
          <w:rFonts w:ascii="Palatino Linotype" w:cs="Palatino Linotype" w:eastAsia="Palatino Linotype" w:hAnsi="Palatino Linotype"/>
          <w:sz w:val="22"/>
          <w:szCs w:val="22"/>
          <w:rtl w:val="0"/>
        </w:rPr>
        <w:t xml:space="preserve">En la </w:t>
      </w:r>
      <w:r w:rsidDel="00000000" w:rsidR="00000000" w:rsidRPr="00000000">
        <w:rPr>
          <w:rFonts w:ascii="Palatino Linotype" w:cs="Palatino Linotype" w:eastAsia="Palatino Linotype" w:hAnsi="Palatino Linotype"/>
          <w:b w:val="1"/>
          <w:sz w:val="22"/>
          <w:szCs w:val="22"/>
          <w:rtl w:val="0"/>
        </w:rPr>
        <w:t xml:space="preserve">Décima Tercera Sesión Ordinaria</w:t>
      </w:r>
      <w:r w:rsidDel="00000000" w:rsidR="00000000" w:rsidRPr="00000000">
        <w:rPr>
          <w:rFonts w:ascii="Palatino Linotype" w:cs="Palatino Linotype" w:eastAsia="Palatino Linotype" w:hAnsi="Palatino Linotype"/>
          <w:sz w:val="22"/>
          <w:szCs w:val="22"/>
          <w:rtl w:val="0"/>
        </w:rPr>
        <w:t xml:space="preserve"> celebrada el </w:t>
      </w:r>
      <w:r w:rsidDel="00000000" w:rsidR="00000000" w:rsidRPr="00000000">
        <w:rPr>
          <w:rFonts w:ascii="Palatino Linotype" w:cs="Palatino Linotype" w:eastAsia="Palatino Linotype" w:hAnsi="Palatino Linotype"/>
          <w:b w:val="1"/>
          <w:sz w:val="22"/>
          <w:szCs w:val="22"/>
          <w:rtl w:val="0"/>
        </w:rPr>
        <w:t xml:space="preserve">nueve de abril de dos mil veinticinco</w:t>
      </w:r>
      <w:r w:rsidDel="00000000" w:rsidR="00000000" w:rsidRPr="00000000">
        <w:rPr>
          <w:rFonts w:ascii="Palatino Linotype" w:cs="Palatino Linotype" w:eastAsia="Palatino Linotype" w:hAnsi="Palatino Linotype"/>
          <w:sz w:val="22"/>
          <w:szCs w:val="22"/>
          <w:rtl w:val="0"/>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Del="00000000" w:rsidR="00000000" w:rsidRPr="00000000">
        <w:rPr>
          <w:rFonts w:ascii="Palatino Linotype" w:cs="Palatino Linotype" w:eastAsia="Palatino Linotype" w:hAnsi="Palatino Linotype"/>
          <w:b w:val="1"/>
          <w:sz w:val="22"/>
          <w:szCs w:val="22"/>
          <w:rtl w:val="0"/>
        </w:rPr>
        <w:t xml:space="preserve">Comisionada</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que mediante acuerdo se notificó a las partes vía SAIMEX el </w:t>
      </w:r>
      <w:r w:rsidDel="00000000" w:rsidR="00000000" w:rsidRPr="00000000">
        <w:rPr>
          <w:rFonts w:ascii="Palatino Linotype" w:cs="Palatino Linotype" w:eastAsia="Palatino Linotype" w:hAnsi="Palatino Linotype"/>
          <w:b w:val="1"/>
          <w:sz w:val="22"/>
          <w:szCs w:val="22"/>
          <w:rtl w:val="0"/>
        </w:rPr>
        <w:t xml:space="preserve">veintinueve de abril de dos mil veinticinco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Manifestaciones. </w:t>
      </w:r>
      <w:r w:rsidDel="00000000" w:rsidR="00000000" w:rsidRPr="00000000">
        <w:rPr>
          <w:rFonts w:ascii="Palatino Linotype" w:cs="Palatino Linotype" w:eastAsia="Palatino Linotype" w:hAnsi="Palatino Linotype"/>
          <w:sz w:val="22"/>
          <w:szCs w:val="22"/>
          <w:rtl w:val="0"/>
        </w:rPr>
        <w:t xml:space="preserve">De las constancias que obran en los expedientes electrónicos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se desprende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fechas </w:t>
      </w:r>
      <w:r w:rsidDel="00000000" w:rsidR="00000000" w:rsidRPr="00000000">
        <w:rPr>
          <w:rFonts w:ascii="Palatino Linotype" w:cs="Palatino Linotype" w:eastAsia="Palatino Linotype" w:hAnsi="Palatino Linotype"/>
          <w:b w:val="1"/>
          <w:sz w:val="22"/>
          <w:szCs w:val="22"/>
          <w:rtl w:val="0"/>
        </w:rPr>
        <w:t xml:space="preserve">once, trece y catorce de marzo de dos mil veinticinco</w:t>
      </w:r>
      <w:r w:rsidDel="00000000" w:rsidR="00000000" w:rsidRPr="00000000">
        <w:rPr>
          <w:rFonts w:ascii="Palatino Linotype" w:cs="Palatino Linotype" w:eastAsia="Palatino Linotype" w:hAnsi="Palatino Linotype"/>
          <w:sz w:val="22"/>
          <w:szCs w:val="22"/>
          <w:rtl w:val="0"/>
        </w:rPr>
        <w:t xml:space="preserve">, rindió sus informes justificados, a través de los siguientes archivos electrónicos, cuyo contenido es el siguiente: </w:t>
      </w:r>
    </w:p>
    <w:tbl>
      <w:tblPr>
        <w:tblStyle w:val="Table5"/>
        <w:tblW w:w="89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5949"/>
        <w:tblGridChange w:id="0">
          <w:tblGrid>
            <w:gridCol w:w="2972"/>
            <w:gridCol w:w="5949"/>
          </w:tblGrid>
        </w:tblGridChange>
      </w:tblGrid>
      <w:tr>
        <w:trPr>
          <w:cantSplit w:val="0"/>
          <w:tblHeader w:val="0"/>
        </w:trPr>
        <w:tc>
          <w:tcPr>
            <w:shd w:fill="dbeef3" w:val="clear"/>
          </w:tcPr>
          <w:p w:rsidR="00000000" w:rsidDel="00000000" w:rsidP="00000000" w:rsidRDefault="00000000" w:rsidRPr="00000000" w14:paraId="0000003E">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Número de recurso de revisión</w:t>
            </w:r>
          </w:p>
        </w:tc>
        <w:tc>
          <w:tcPr>
            <w:shd w:fill="dbeef3" w:val="clear"/>
          </w:tcPr>
          <w:p w:rsidR="00000000" w:rsidDel="00000000" w:rsidP="00000000" w:rsidRDefault="00000000" w:rsidRPr="00000000" w14:paraId="0000003F">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Descripción del Informe Justificado</w:t>
            </w:r>
          </w:p>
        </w:tc>
      </w:tr>
      <w:tr>
        <w:trPr>
          <w:cantSplit w:val="0"/>
          <w:tblHeader w:val="0"/>
        </w:trPr>
        <w:tc>
          <w:tcPr/>
          <w:p w:rsidR="00000000" w:rsidDel="00000000" w:rsidP="00000000" w:rsidRDefault="00000000" w:rsidRPr="00000000" w14:paraId="00000040">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00073/TEOLOYU/IP/2025, </w:t>
            </w:r>
            <w:r w:rsidDel="00000000" w:rsidR="00000000" w:rsidRPr="00000000">
              <w:rPr>
                <w:rFonts w:ascii="Palatino Linotype" w:cs="Palatino Linotype" w:eastAsia="Palatino Linotype" w:hAnsi="Palatino Linotype"/>
                <w:rtl w:val="0"/>
              </w:rPr>
              <w:t xml:space="preserve">correspondiente al Recurso de Revisión</w:t>
            </w:r>
            <w:r w:rsidDel="00000000" w:rsidR="00000000" w:rsidRPr="00000000">
              <w:rPr>
                <w:rFonts w:ascii="Palatino Linotype" w:cs="Palatino Linotype" w:eastAsia="Palatino Linotype" w:hAnsi="Palatino Linotype"/>
                <w:b w:val="1"/>
                <w:rtl w:val="0"/>
              </w:rPr>
              <w:t xml:space="preserve"> 02759/INFOEM/IP/RR/2025</w:t>
            </w:r>
          </w:p>
        </w:tc>
        <w:tc>
          <w:tcPr/>
          <w:p w:rsidR="00000000" w:rsidDel="00000000" w:rsidP="00000000" w:rsidRDefault="00000000" w:rsidRPr="00000000" w14:paraId="00000041">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manifestaciones 02759, sol 73 medio ambiente.pdf: </w:t>
            </w:r>
            <w:r w:rsidDel="00000000" w:rsidR="00000000" w:rsidRPr="00000000">
              <w:rPr>
                <w:rFonts w:ascii="Palatino Linotype" w:cs="Palatino Linotype" w:eastAsia="Palatino Linotype" w:hAnsi="Palatino Linotype"/>
                <w:rtl w:val="0"/>
              </w:rPr>
              <w:t xml:space="preserve">documento consistente en 166 fojas, mismas que contiene los Permisos remitidos en respuesta completos. </w:t>
            </w:r>
          </w:p>
        </w:tc>
      </w:tr>
      <w:tr>
        <w:trPr>
          <w:cantSplit w:val="0"/>
          <w:tblHeader w:val="0"/>
        </w:trPr>
        <w:tc>
          <w:tcPr/>
          <w:p w:rsidR="00000000" w:rsidDel="00000000" w:rsidP="00000000" w:rsidRDefault="00000000" w:rsidRPr="00000000" w14:paraId="00000042">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00154/TEOLOYU/IP/2025, </w:t>
            </w:r>
            <w:r w:rsidDel="00000000" w:rsidR="00000000" w:rsidRPr="00000000">
              <w:rPr>
                <w:rFonts w:ascii="Palatino Linotype" w:cs="Palatino Linotype" w:eastAsia="Palatino Linotype" w:hAnsi="Palatino Linotype"/>
                <w:rtl w:val="0"/>
              </w:rPr>
              <w:t xml:space="preserve">correspondiente al Recurso de Revisión</w:t>
            </w:r>
            <w:r w:rsidDel="00000000" w:rsidR="00000000" w:rsidRPr="00000000">
              <w:rPr>
                <w:rFonts w:ascii="Palatino Linotype" w:cs="Palatino Linotype" w:eastAsia="Palatino Linotype" w:hAnsi="Palatino Linotype"/>
                <w:b w:val="1"/>
                <w:rtl w:val="0"/>
              </w:rPr>
              <w:t xml:space="preserve"> 03566/INFOEM/IP/RR/2025</w:t>
            </w:r>
          </w:p>
        </w:tc>
        <w:tc>
          <w:tcPr/>
          <w:p w:rsidR="00000000" w:rsidDel="00000000" w:rsidP="00000000" w:rsidRDefault="00000000" w:rsidRPr="00000000" w14:paraId="00000043">
            <w:pPr>
              <w:spacing w:after="240" w:befor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manifestaciones rr. 03566.pdf: </w:t>
            </w:r>
            <w:r w:rsidDel="00000000" w:rsidR="00000000" w:rsidRPr="00000000">
              <w:rPr>
                <w:rFonts w:ascii="Palatino Linotype" w:cs="Palatino Linotype" w:eastAsia="Palatino Linotype" w:hAnsi="Palatino Linotype"/>
                <w:rtl w:val="0"/>
              </w:rPr>
              <w:t xml:space="preserve">Oficio número DMA/SDRR/185/2025 de fecha siete de abril de dos mil veinticinco, signado por la Directora de Medio Ambiente, mediante el cual informó la entrega de los permiso del año 2025 a la fecha de la solicitud. </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ind w:left="27"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i w:val="1"/>
                <w:sz w:val="24"/>
                <w:szCs w:val="24"/>
                <w:rtl w:val="0"/>
              </w:rPr>
              <w:t xml:space="preserve">respuesta sol. 154.pdf</w:t>
            </w:r>
            <w:r w:rsidDel="00000000" w:rsidR="00000000" w:rsidRPr="00000000">
              <w:rPr>
                <w:rFonts w:ascii="Palatino Linotype" w:cs="Palatino Linotype" w:eastAsia="Palatino Linotype" w:hAnsi="Palatino Linotype"/>
                <w:sz w:val="24"/>
                <w:szCs w:val="24"/>
                <w:rtl w:val="0"/>
              </w:rPr>
              <w:t xml:space="preserve">: Oficio número DMA/SDRR/140/2025 de fecha veinte de marzo de dos mil veinticinco, signado por la Directora de Medio Ambiente, mediante el cual informó: </w:t>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27"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Durante el año 2022, </w:t>
            </w:r>
            <w:r w:rsidDel="00000000" w:rsidR="00000000" w:rsidRPr="00000000">
              <w:rPr>
                <w:rFonts w:ascii="Palatino Linotype" w:cs="Palatino Linotype" w:eastAsia="Palatino Linotype" w:hAnsi="Palatino Linotype"/>
                <w:b w:val="1"/>
                <w:sz w:val="24"/>
                <w:szCs w:val="24"/>
                <w:rtl w:val="0"/>
              </w:rPr>
              <w:t xml:space="preserve">se emitieron 53 permisos </w:t>
            </w:r>
            <w:r w:rsidDel="00000000" w:rsidR="00000000" w:rsidRPr="00000000">
              <w:rPr>
                <w:rFonts w:ascii="Palatino Linotype" w:cs="Palatino Linotype" w:eastAsia="Palatino Linotype" w:hAnsi="Palatino Linotype"/>
                <w:sz w:val="24"/>
                <w:szCs w:val="24"/>
                <w:rtl w:val="0"/>
              </w:rPr>
              <w:t xml:space="preserve">de poda y derribo de árboles.</w:t>
            </w:r>
          </w:p>
          <w:p w:rsidR="00000000" w:rsidDel="00000000" w:rsidP="00000000" w:rsidRDefault="00000000" w:rsidRPr="00000000" w14:paraId="00000046">
            <w:pPr>
              <w:pBdr>
                <w:top w:space="0" w:sz="0" w:val="nil"/>
                <w:left w:space="0" w:sz="0" w:val="nil"/>
                <w:bottom w:space="0" w:sz="0" w:val="nil"/>
                <w:right w:space="0" w:sz="0" w:val="nil"/>
                <w:between w:space="0" w:sz="0" w:val="nil"/>
              </w:pBdr>
              <w:ind w:left="27"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Durante el año 2023, </w:t>
            </w:r>
            <w:r w:rsidDel="00000000" w:rsidR="00000000" w:rsidRPr="00000000">
              <w:rPr>
                <w:rFonts w:ascii="Palatino Linotype" w:cs="Palatino Linotype" w:eastAsia="Palatino Linotype" w:hAnsi="Palatino Linotype"/>
                <w:b w:val="1"/>
                <w:sz w:val="24"/>
                <w:szCs w:val="24"/>
                <w:rtl w:val="0"/>
              </w:rPr>
              <w:t xml:space="preserve">se emitieron 58 permisos </w:t>
            </w:r>
            <w:r w:rsidDel="00000000" w:rsidR="00000000" w:rsidRPr="00000000">
              <w:rPr>
                <w:rFonts w:ascii="Palatino Linotype" w:cs="Palatino Linotype" w:eastAsia="Palatino Linotype" w:hAnsi="Palatino Linotype"/>
                <w:sz w:val="24"/>
                <w:szCs w:val="24"/>
                <w:rtl w:val="0"/>
              </w:rPr>
              <w:t xml:space="preserve">de poda y derribo de árboles.</w:t>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27"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Durante el año 2024, </w:t>
            </w:r>
            <w:r w:rsidDel="00000000" w:rsidR="00000000" w:rsidRPr="00000000">
              <w:rPr>
                <w:rFonts w:ascii="Palatino Linotype" w:cs="Palatino Linotype" w:eastAsia="Palatino Linotype" w:hAnsi="Palatino Linotype"/>
                <w:b w:val="1"/>
                <w:sz w:val="24"/>
                <w:szCs w:val="24"/>
                <w:rtl w:val="0"/>
              </w:rPr>
              <w:t xml:space="preserve">se emitieron 56 permisos </w:t>
            </w:r>
            <w:r w:rsidDel="00000000" w:rsidR="00000000" w:rsidRPr="00000000">
              <w:rPr>
                <w:rFonts w:ascii="Palatino Linotype" w:cs="Palatino Linotype" w:eastAsia="Palatino Linotype" w:hAnsi="Palatino Linotype"/>
                <w:sz w:val="24"/>
                <w:szCs w:val="24"/>
                <w:rtl w:val="0"/>
              </w:rPr>
              <w:t xml:space="preserve">de poda y derribo de árboles.</w:t>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27"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Del 01 de enero al 21 de marzo del año 2025, </w:t>
            </w:r>
            <w:r w:rsidDel="00000000" w:rsidR="00000000" w:rsidRPr="00000000">
              <w:rPr>
                <w:rFonts w:ascii="Palatino Linotype" w:cs="Palatino Linotype" w:eastAsia="Palatino Linotype" w:hAnsi="Palatino Linotype"/>
                <w:b w:val="1"/>
                <w:sz w:val="24"/>
                <w:szCs w:val="24"/>
                <w:rtl w:val="0"/>
              </w:rPr>
              <w:t xml:space="preserve">se emitieron 03 permisos </w:t>
            </w:r>
            <w:r w:rsidDel="00000000" w:rsidR="00000000" w:rsidRPr="00000000">
              <w:rPr>
                <w:rFonts w:ascii="Palatino Linotype" w:cs="Palatino Linotype" w:eastAsia="Palatino Linotype" w:hAnsi="Palatino Linotype"/>
                <w:sz w:val="24"/>
                <w:szCs w:val="24"/>
                <w:rtl w:val="0"/>
              </w:rPr>
              <w:t xml:space="preserve">de poda y derribo de árboles.</w:t>
            </w:r>
          </w:p>
          <w:p w:rsidR="00000000" w:rsidDel="00000000" w:rsidP="00000000" w:rsidRDefault="00000000" w:rsidRPr="00000000" w14:paraId="00000049">
            <w:pPr>
              <w:spacing w:after="240" w:befor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Adjuntando a su respuesta 170 permisos para realizar trabajos de poda/ derribo/ trasplante, en versión pública. </w:t>
            </w:r>
          </w:p>
        </w:tc>
      </w:tr>
    </w:tbl>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sz w:val="22"/>
          <w:szCs w:val="22"/>
          <w:rtl w:val="0"/>
        </w:rPr>
        <w:t xml:space="preserve">De dichos archivos, únicamente se hizo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el archivo “</w:t>
      </w:r>
      <w:r w:rsidDel="00000000" w:rsidR="00000000" w:rsidRPr="00000000">
        <w:rPr>
          <w:rFonts w:ascii="Palatino Linotype" w:cs="Palatino Linotype" w:eastAsia="Palatino Linotype" w:hAnsi="Palatino Linotype"/>
          <w:b w:val="1"/>
          <w:i w:val="1"/>
          <w:sz w:val="22"/>
          <w:szCs w:val="22"/>
          <w:rtl w:val="0"/>
        </w:rPr>
        <w:t xml:space="preserve">manifestaciones rr. 03566.pdf</w:t>
      </w:r>
      <w:r w:rsidDel="00000000" w:rsidR="00000000" w:rsidRPr="00000000">
        <w:rPr>
          <w:rFonts w:ascii="Palatino Linotype" w:cs="Palatino Linotype" w:eastAsia="Palatino Linotype" w:hAnsi="Palatino Linotype"/>
          <w:sz w:val="22"/>
          <w:szCs w:val="22"/>
          <w:rtl w:val="0"/>
        </w:rPr>
        <w:t xml:space="preserve"> “ en fecha </w:t>
      </w:r>
      <w:r w:rsidDel="00000000" w:rsidR="00000000" w:rsidRPr="00000000">
        <w:rPr>
          <w:rFonts w:ascii="Palatino Linotype" w:cs="Palatino Linotype" w:eastAsia="Palatino Linotype" w:hAnsi="Palatino Linotype"/>
          <w:b w:val="1"/>
          <w:sz w:val="22"/>
          <w:szCs w:val="22"/>
          <w:rtl w:val="0"/>
        </w:rPr>
        <w:t xml:space="preserve">treinta de abril de dos mil veinticinco</w:t>
      </w:r>
      <w:r w:rsidDel="00000000" w:rsidR="00000000" w:rsidRPr="00000000">
        <w:rPr>
          <w:rFonts w:ascii="Palatino Linotype" w:cs="Palatino Linotype" w:eastAsia="Palatino Linotype" w:hAnsi="Palatino Linotype"/>
          <w:sz w:val="22"/>
          <w:szCs w:val="22"/>
          <w:rtl w:val="0"/>
        </w:rPr>
        <w:t xml:space="preserve">, a efecto de que manifestara lo que a su derecho resultara conveniente; no obstante, fue omisa en ejercer dicha prerrogativa. </w:t>
      </w:r>
      <w:r w:rsidDel="00000000" w:rsidR="00000000" w:rsidRPr="00000000">
        <w:rPr>
          <w:rtl w:val="0"/>
        </w:rPr>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Cierres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 los expedientes, en fechas </w:t>
      </w:r>
      <w:r w:rsidDel="00000000" w:rsidR="00000000" w:rsidRPr="00000000">
        <w:rPr>
          <w:rFonts w:ascii="Palatino Linotype" w:cs="Palatino Linotype" w:eastAsia="Palatino Linotype" w:hAnsi="Palatino Linotype"/>
          <w:b w:val="1"/>
          <w:sz w:val="22"/>
          <w:szCs w:val="22"/>
          <w:rtl w:val="0"/>
        </w:rPr>
        <w:t xml:space="preserve">ocho y quince de mayo de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los cierres de instrucción de fecha ocho de mayo de dos mil veinticinco, en términos de la fracción VI del artículo 185 de la Ley de Transparencia y Acceso a la Información Pública del Estado de México y Municipios.</w:t>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fueron debidamente sustanciados los expedientes electrónicos y no existen diligencias pendientes de desahogo, se emite la Resolución que conforme a Derecho proceda, de acuerdo con los siguientes: </w:t>
      </w:r>
    </w:p>
    <w:p w:rsidR="00000000" w:rsidDel="00000000" w:rsidP="00000000" w:rsidRDefault="00000000" w:rsidRPr="00000000" w14:paraId="0000004D">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los presentes recursos de revisión interpuestos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sz w:val="22"/>
          <w:szCs w:val="22"/>
          <w:rtl w:val="0"/>
        </w:rPr>
        <w:t xml:space="preserve">Segundo. Oportunidad y Procedibilidad de los Recursos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Los recursos de revisión fueron interpuestos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respondió a las solicitudes de información que aperturaron los recursos de revisión, los días </w:t>
      </w:r>
      <w:r w:rsidDel="00000000" w:rsidR="00000000" w:rsidRPr="00000000">
        <w:rPr>
          <w:rFonts w:ascii="Palatino Linotype" w:cs="Palatino Linotype" w:eastAsia="Palatino Linotype" w:hAnsi="Palatino Linotype"/>
          <w:b w:val="1"/>
          <w:sz w:val="22"/>
          <w:szCs w:val="22"/>
          <w:rtl w:val="0"/>
        </w:rPr>
        <w:t xml:space="preserve">veintisiete de febrero y veintiuno de marzo de dos mil veinticinco</w:t>
      </w:r>
      <w:r w:rsidDel="00000000" w:rsidR="00000000" w:rsidRPr="00000000">
        <w:rPr>
          <w:rFonts w:ascii="Palatino Linotype" w:cs="Palatino Linotype" w:eastAsia="Palatino Linotype" w:hAnsi="Palatino Linotype"/>
          <w:sz w:val="22"/>
          <w:szCs w:val="22"/>
          <w:rtl w:val="0"/>
        </w:rPr>
        <w:t xml:space="preserve">, por su parte, los recursos de revisión se interpusieron los días </w:t>
      </w:r>
      <w:r w:rsidDel="00000000" w:rsidR="00000000" w:rsidRPr="00000000">
        <w:rPr>
          <w:rFonts w:ascii="Palatino Linotype" w:cs="Palatino Linotype" w:eastAsia="Palatino Linotype" w:hAnsi="Palatino Linotype"/>
          <w:b w:val="1"/>
          <w:sz w:val="22"/>
          <w:szCs w:val="22"/>
          <w:rtl w:val="0"/>
        </w:rPr>
        <w:t xml:space="preserve">once y veintisiete de marzo de dos mil veinticuatro</w:t>
      </w:r>
      <w:r w:rsidDel="00000000" w:rsidR="00000000" w:rsidRPr="00000000">
        <w:rPr>
          <w:rFonts w:ascii="Palatino Linotype" w:cs="Palatino Linotype" w:eastAsia="Palatino Linotype" w:hAnsi="Palatino Linotype"/>
          <w:sz w:val="22"/>
          <w:szCs w:val="22"/>
          <w:rtl w:val="0"/>
        </w:rPr>
        <w:t xml:space="preserve">, esto es en el </w:t>
      </w:r>
      <w:r w:rsidDel="00000000" w:rsidR="00000000" w:rsidRPr="00000000">
        <w:rPr>
          <w:rFonts w:ascii="Palatino Linotype" w:cs="Palatino Linotype" w:eastAsia="Palatino Linotype" w:hAnsi="Palatino Linotype"/>
          <w:b w:val="1"/>
          <w:sz w:val="22"/>
          <w:szCs w:val="22"/>
          <w:rtl w:val="0"/>
        </w:rPr>
        <w:t xml:space="preserve">cuarto y</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séptimo día hábil</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después de conocerse las respuestas.</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al considerar las fechas en que se formularon las solicitudes y las fechas en que respondieron a estas; así como la fecha en que se interpusieron los recursos de revisión, se concluye que los presentes recursos de revisión se encuentran dentro de los márgenes temporales previstos las disposiciones legales referidas.</w:t>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 los recursos, según lo manifestado por la parte recurrente en sus motivos de inconformidad, de acuerdo al artículo 179, fracción V del ordenamiento legal citado, que a la letra dice: </w:t>
      </w:r>
    </w:p>
    <w:p w:rsidR="00000000" w:rsidDel="00000000" w:rsidP="00000000" w:rsidRDefault="00000000" w:rsidRPr="00000000" w14:paraId="00000054">
      <w:pPr>
        <w:tabs>
          <w:tab w:val="left" w:leader="none" w:pos="7088"/>
        </w:tabs>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1276"/>
          <w:tab w:val="left" w:leader="none" w:pos="7088"/>
        </w:tabs>
        <w:spacing w:after="240" w:before="240"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V. La entrega de información incompleta;</w:t>
        <w:br w:type="textWrapping"/>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los expedientes electrónicos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las respuestas e informes justificados por el Sujeto Obligado son adecuadas y suficientes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  </w:t>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58">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59">
      <w:pPr>
        <w:tabs>
          <w:tab w:val="left" w:leader="none" w:pos="709"/>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5A">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5B">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C">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5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E">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5F">
      <w:pPr>
        <w:tabs>
          <w:tab w:val="left" w:leader="none" w:pos="311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60">
      <w:pPr>
        <w:tabs>
          <w:tab w:val="left" w:leader="none" w:pos="311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información que se refiere a la vida privada y los datos personales será protegida en los términos y con las excepciones que fijen las leyes. Para tal efecto, los sujetos obligados contarán con las facultades suficientes para su atención.</w:t>
      </w:r>
    </w:p>
    <w:p w:rsidR="00000000" w:rsidDel="00000000" w:rsidP="00000000" w:rsidRDefault="00000000" w:rsidRPr="00000000" w14:paraId="00000061">
      <w:pPr>
        <w:tabs>
          <w:tab w:val="left" w:leader="none" w:pos="311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rsidR="00000000" w:rsidDel="00000000" w:rsidP="00000000" w:rsidRDefault="00000000" w:rsidRPr="00000000" w14:paraId="00000062">
      <w:pPr>
        <w:tabs>
          <w:tab w:val="left" w:leader="none" w:pos="311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63">
      <w:pPr>
        <w:tabs>
          <w:tab w:val="left" w:leader="none" w:pos="311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Se establecerán mecanismos de acceso a la información pública y procedimientos de revisión expeditos que se sustanciarán ante las instancias competentes en los términos que fija esta Constitución y las leyes.</w:t>
      </w:r>
    </w:p>
    <w:p w:rsidR="00000000" w:rsidDel="00000000" w:rsidP="00000000" w:rsidRDefault="00000000" w:rsidRPr="00000000" w14:paraId="00000064">
      <w:pPr>
        <w:tabs>
          <w:tab w:val="left" w:leader="none" w:pos="311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65">
      <w:pPr>
        <w:tabs>
          <w:tab w:val="left" w:leader="none" w:pos="311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66">
      <w:pPr>
        <w:tabs>
          <w:tab w:val="left" w:leader="none" w:pos="311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La inobservancia a las disposiciones en materia de acceso a la información pública será sancionada en los términos que dispongan las leyes. [...]”</w:t>
      </w:r>
    </w:p>
    <w:p w:rsidR="00000000" w:rsidDel="00000000" w:rsidP="00000000" w:rsidRDefault="00000000" w:rsidRPr="00000000" w14:paraId="00000067">
      <w:pPr>
        <w:tabs>
          <w:tab w:val="left" w:leader="none" w:pos="3119"/>
        </w:tabs>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8">
      <w:pPr>
        <w:tabs>
          <w:tab w:val="left" w:leader="none" w:pos="709"/>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cumplir con dichos dispositivos legales.</w:t>
      </w:r>
    </w:p>
    <w:p w:rsidR="00000000" w:rsidDel="00000000" w:rsidP="00000000" w:rsidRDefault="00000000" w:rsidRPr="00000000" w14:paraId="0000006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6A">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B">
      <w:pPr>
        <w:spacing w:after="240" w:before="240"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C">
      <w:pPr>
        <w:spacing w:after="240" w:before="240" w:lineRule="auto"/>
        <w:ind w:left="567"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6E">
      <w:pP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F">
      <w:pP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sz w:val="22"/>
          <w:szCs w:val="22"/>
          <w:rtl w:val="0"/>
        </w:rPr>
        <w:t xml:space="preserve">ad hoc</w:t>
      </w:r>
      <w:r w:rsidDel="00000000" w:rsidR="00000000" w:rsidRPr="00000000">
        <w:rPr>
          <w:rFonts w:ascii="Palatino Linotype" w:cs="Palatino Linotype" w:eastAsia="Palatino Linotype" w:hAnsi="Palatino Linotype"/>
          <w:sz w:val="22"/>
          <w:szCs w:val="22"/>
          <w:rtl w:val="0"/>
        </w:rPr>
        <w:t xml:space="preserve">, para satisfacer el derecho de acceso a la información pública, como así lo establece el criterio orientador 03/17 emitido por el entonces Instituto Nacional de Transparencia, Acceso a la Información Pública y Protección de Datos Personales, los cuales señalan lo siguiente:</w:t>
      </w:r>
    </w:p>
    <w:p w:rsidR="00000000" w:rsidDel="00000000" w:rsidP="00000000" w:rsidRDefault="00000000" w:rsidRPr="00000000" w14:paraId="00000071">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03/17</w:t>
      </w:r>
    </w:p>
    <w:p w:rsidR="00000000" w:rsidDel="00000000" w:rsidP="00000000" w:rsidRDefault="00000000" w:rsidRPr="00000000" w14:paraId="00000072">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p>
    <w:p w:rsidR="00000000" w:rsidDel="00000000" w:rsidP="00000000" w:rsidRDefault="00000000" w:rsidRPr="00000000" w14:paraId="0000007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7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conviene mencionar que la Ley de Transparencia vigente en el Estado de México refiere: </w:t>
      </w:r>
    </w:p>
    <w:p w:rsidR="00000000" w:rsidDel="00000000" w:rsidP="00000000" w:rsidRDefault="00000000" w:rsidRPr="00000000" w14:paraId="00000075">
      <w:pP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sz w:val="22"/>
          <w:szCs w:val="22"/>
          <w:rtl w:val="0"/>
        </w:rPr>
        <w:t xml:space="preserve"> y reutilización de la información que generen.</w:t>
      </w:r>
    </w:p>
    <w:p w:rsidR="00000000" w:rsidDel="00000000" w:rsidP="00000000" w:rsidRDefault="00000000" w:rsidRPr="00000000" w14:paraId="00000076">
      <w:pP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 </w:t>
      </w:r>
      <w:r w:rsidDel="00000000" w:rsidR="00000000" w:rsidRPr="00000000">
        <w:rPr>
          <w:rFonts w:ascii="Palatino Linotype" w:cs="Palatino Linotype" w:eastAsia="Palatino Linotype" w:hAnsi="Palatino Linotype"/>
          <w:b w:val="1"/>
          <w:i w:val="1"/>
          <w:sz w:val="22"/>
          <w:szCs w:val="22"/>
          <w:u w:val="single"/>
          <w:rtl w:val="0"/>
        </w:rPr>
        <w:t xml:space="preserve">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7">
      <w:pP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78">
      <w:pP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79">
      <w:pP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7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Del="00000000" w:rsidR="00000000" w:rsidRPr="00000000">
        <w:rPr>
          <w:rFonts w:ascii="Palatino Linotype" w:cs="Palatino Linotype" w:eastAsia="Palatino Linotype" w:hAnsi="Palatino Linotype"/>
          <w:b w:val="1"/>
          <w:sz w:val="22"/>
          <w:szCs w:val="22"/>
          <w:rtl w:val="0"/>
        </w:rPr>
        <w:t xml:space="preserve">cualquier otro registro que documente el ejercicio de las facultades, funciones, obligaciones y competencias de los Sujetos Obligados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los que, podrán estar en cualquier medio</w:t>
      </w:r>
      <w:r w:rsidDel="00000000" w:rsidR="00000000" w:rsidRPr="00000000">
        <w:rPr>
          <w:rFonts w:ascii="Palatino Linotype" w:cs="Palatino Linotype" w:eastAsia="Palatino Linotype" w:hAnsi="Palatino Linotype"/>
          <w:sz w:val="22"/>
          <w:szCs w:val="22"/>
          <w:rtl w:val="0"/>
        </w:rPr>
        <w:t xml:space="preserve">, sea escrito, impreso, sonoro, visual, </w:t>
      </w:r>
      <w:r w:rsidDel="00000000" w:rsidR="00000000" w:rsidRPr="00000000">
        <w:rPr>
          <w:rFonts w:ascii="Palatino Linotype" w:cs="Palatino Linotype" w:eastAsia="Palatino Linotype" w:hAnsi="Palatino Linotype"/>
          <w:b w:val="1"/>
          <w:sz w:val="22"/>
          <w:szCs w:val="22"/>
          <w:rtl w:val="0"/>
        </w:rPr>
        <w:t xml:space="preserve">electrónico</w:t>
      </w:r>
      <w:r w:rsidDel="00000000" w:rsidR="00000000" w:rsidRPr="00000000">
        <w:rPr>
          <w:rFonts w:ascii="Palatino Linotype" w:cs="Palatino Linotype" w:eastAsia="Palatino Linotype" w:hAnsi="Palatino Linotype"/>
          <w:sz w:val="22"/>
          <w:szCs w:val="22"/>
          <w:rtl w:val="0"/>
        </w:rPr>
        <w:t xml:space="preserve">, informático u holográfico, esto es, </w:t>
      </w:r>
      <w:r w:rsidDel="00000000" w:rsidR="00000000" w:rsidRPr="00000000">
        <w:rPr>
          <w:rFonts w:ascii="Palatino Linotype" w:cs="Palatino Linotype" w:eastAsia="Palatino Linotype" w:hAnsi="Palatino Linotype"/>
          <w:b w:val="1"/>
          <w:sz w:val="22"/>
          <w:szCs w:val="22"/>
          <w:rtl w:val="0"/>
        </w:rPr>
        <w:t xml:space="preserve">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como pudiera tratarse de aquella relacionada con las obligaciones de transparencia señaladas en los artículos 92 y 97, fracción I de la Ley de la Materia.</w:t>
      </w:r>
    </w:p>
    <w:p w:rsidR="00000000" w:rsidDel="00000000" w:rsidP="00000000" w:rsidRDefault="00000000" w:rsidRPr="00000000" w14:paraId="0000007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iniciar el presente análisis, es de vital importancia tener en cuenta que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requirió lo siguiente:</w:t>
      </w:r>
    </w:p>
    <w:p w:rsidR="00000000" w:rsidDel="00000000" w:rsidP="00000000" w:rsidRDefault="00000000" w:rsidRPr="00000000" w14:paraId="0000007E">
      <w:pPr>
        <w:spacing w:line="360" w:lineRule="auto"/>
        <w:jc w:val="both"/>
        <w:rPr>
          <w:rFonts w:ascii="Palatino Linotype" w:cs="Palatino Linotype" w:eastAsia="Palatino Linotype" w:hAnsi="Palatino Linotype"/>
          <w:sz w:val="22"/>
          <w:szCs w:val="22"/>
        </w:rPr>
      </w:pPr>
      <w:bookmarkStart w:colFirst="0" w:colLast="0" w:name="_heading=h.fn3ct8r6mry4" w:id="4"/>
      <w:bookmarkEnd w:id="4"/>
      <w:r w:rsidDel="00000000" w:rsidR="00000000" w:rsidRPr="00000000">
        <w:rPr>
          <w:rtl w:val="0"/>
        </w:rPr>
      </w:r>
    </w:p>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Autorizaciones, licencias o permisos emitidos para la poda, derribo, trasplante y/o sustitución de árboles expedidos durante 2024 y lo que va del 2025. </w:t>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Permisos de poda y derribo de árboles de los años 2022, 2023, 2024 y lo que va del 2025.</w:t>
      </w:r>
    </w:p>
    <w:p w:rsidR="00000000" w:rsidDel="00000000" w:rsidP="00000000" w:rsidRDefault="00000000" w:rsidRPr="00000000" w14:paraId="0000008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a las solicitudes de información,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la Dirección Medio Ambiente informó: </w:t>
      </w:r>
    </w:p>
    <w:p w:rsidR="00000000" w:rsidDel="00000000" w:rsidP="00000000" w:rsidRDefault="00000000" w:rsidRPr="00000000" w14:paraId="0000008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4">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Durante el año </w:t>
      </w:r>
      <w:r w:rsidDel="00000000" w:rsidR="00000000" w:rsidRPr="00000000">
        <w:rPr>
          <w:rFonts w:ascii="Palatino Linotype" w:cs="Palatino Linotype" w:eastAsia="Palatino Linotype" w:hAnsi="Palatino Linotype"/>
          <w:b w:val="1"/>
          <w:sz w:val="22"/>
          <w:szCs w:val="22"/>
          <w:rtl w:val="0"/>
        </w:rPr>
        <w:t xml:space="preserve">2022</w:t>
      </w:r>
      <w:r w:rsidDel="00000000" w:rsidR="00000000" w:rsidRPr="00000000">
        <w:rPr>
          <w:rFonts w:ascii="Palatino Linotype" w:cs="Palatino Linotype" w:eastAsia="Palatino Linotype" w:hAnsi="Palatino Linotype"/>
          <w:sz w:val="22"/>
          <w:szCs w:val="22"/>
          <w:rtl w:val="0"/>
        </w:rPr>
        <w:t xml:space="preserve">, se emitieron </w:t>
      </w:r>
      <w:r w:rsidDel="00000000" w:rsidR="00000000" w:rsidRPr="00000000">
        <w:rPr>
          <w:rFonts w:ascii="Palatino Linotype" w:cs="Palatino Linotype" w:eastAsia="Palatino Linotype" w:hAnsi="Palatino Linotype"/>
          <w:b w:val="1"/>
          <w:sz w:val="22"/>
          <w:szCs w:val="22"/>
          <w:rtl w:val="0"/>
        </w:rPr>
        <w:t xml:space="preserve">53</w:t>
      </w:r>
      <w:r w:rsidDel="00000000" w:rsidR="00000000" w:rsidRPr="00000000">
        <w:rPr>
          <w:rFonts w:ascii="Palatino Linotype" w:cs="Palatino Linotype" w:eastAsia="Palatino Linotype" w:hAnsi="Palatino Linotype"/>
          <w:sz w:val="22"/>
          <w:szCs w:val="22"/>
          <w:rtl w:val="0"/>
        </w:rPr>
        <w:t xml:space="preserve"> permisos de poda y derribo de árboles.</w:t>
      </w:r>
    </w:p>
    <w:p w:rsidR="00000000" w:rsidDel="00000000" w:rsidP="00000000" w:rsidRDefault="00000000" w:rsidRPr="00000000" w14:paraId="00000085">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Durante el año </w:t>
      </w:r>
      <w:r w:rsidDel="00000000" w:rsidR="00000000" w:rsidRPr="00000000">
        <w:rPr>
          <w:rFonts w:ascii="Palatino Linotype" w:cs="Palatino Linotype" w:eastAsia="Palatino Linotype" w:hAnsi="Palatino Linotype"/>
          <w:b w:val="1"/>
          <w:sz w:val="22"/>
          <w:szCs w:val="22"/>
          <w:rtl w:val="0"/>
        </w:rPr>
        <w:t xml:space="preserve">2023</w:t>
      </w:r>
      <w:r w:rsidDel="00000000" w:rsidR="00000000" w:rsidRPr="00000000">
        <w:rPr>
          <w:rFonts w:ascii="Palatino Linotype" w:cs="Palatino Linotype" w:eastAsia="Palatino Linotype" w:hAnsi="Palatino Linotype"/>
          <w:sz w:val="22"/>
          <w:szCs w:val="22"/>
          <w:rtl w:val="0"/>
        </w:rPr>
        <w:t xml:space="preserve">, se emitieron </w:t>
      </w:r>
      <w:r w:rsidDel="00000000" w:rsidR="00000000" w:rsidRPr="00000000">
        <w:rPr>
          <w:rFonts w:ascii="Palatino Linotype" w:cs="Palatino Linotype" w:eastAsia="Palatino Linotype" w:hAnsi="Palatino Linotype"/>
          <w:b w:val="1"/>
          <w:sz w:val="22"/>
          <w:szCs w:val="22"/>
          <w:rtl w:val="0"/>
        </w:rPr>
        <w:t xml:space="preserve">58</w:t>
      </w:r>
      <w:r w:rsidDel="00000000" w:rsidR="00000000" w:rsidRPr="00000000">
        <w:rPr>
          <w:rFonts w:ascii="Palatino Linotype" w:cs="Palatino Linotype" w:eastAsia="Palatino Linotype" w:hAnsi="Palatino Linotype"/>
          <w:sz w:val="22"/>
          <w:szCs w:val="22"/>
          <w:rtl w:val="0"/>
        </w:rPr>
        <w:t xml:space="preserve"> permisos de poda y derribo de árboles.</w:t>
      </w:r>
    </w:p>
    <w:p w:rsidR="00000000" w:rsidDel="00000000" w:rsidP="00000000" w:rsidRDefault="00000000" w:rsidRPr="00000000" w14:paraId="00000086">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Durante el año </w:t>
      </w:r>
      <w:r w:rsidDel="00000000" w:rsidR="00000000" w:rsidRPr="00000000">
        <w:rPr>
          <w:rFonts w:ascii="Palatino Linotype" w:cs="Palatino Linotype" w:eastAsia="Palatino Linotype" w:hAnsi="Palatino Linotype"/>
          <w:b w:val="1"/>
          <w:sz w:val="22"/>
          <w:szCs w:val="22"/>
          <w:rtl w:val="0"/>
        </w:rPr>
        <w:t xml:space="preserve">2024</w:t>
      </w:r>
      <w:r w:rsidDel="00000000" w:rsidR="00000000" w:rsidRPr="00000000">
        <w:rPr>
          <w:rFonts w:ascii="Palatino Linotype" w:cs="Palatino Linotype" w:eastAsia="Palatino Linotype" w:hAnsi="Palatino Linotype"/>
          <w:sz w:val="22"/>
          <w:szCs w:val="22"/>
          <w:rtl w:val="0"/>
        </w:rPr>
        <w:t xml:space="preserve">, se emitieron </w:t>
      </w:r>
      <w:r w:rsidDel="00000000" w:rsidR="00000000" w:rsidRPr="00000000">
        <w:rPr>
          <w:rFonts w:ascii="Palatino Linotype" w:cs="Palatino Linotype" w:eastAsia="Palatino Linotype" w:hAnsi="Palatino Linotype"/>
          <w:b w:val="1"/>
          <w:sz w:val="22"/>
          <w:szCs w:val="22"/>
          <w:rtl w:val="0"/>
        </w:rPr>
        <w:t xml:space="preserve">56 </w:t>
      </w:r>
      <w:r w:rsidDel="00000000" w:rsidR="00000000" w:rsidRPr="00000000">
        <w:rPr>
          <w:rFonts w:ascii="Palatino Linotype" w:cs="Palatino Linotype" w:eastAsia="Palatino Linotype" w:hAnsi="Palatino Linotype"/>
          <w:sz w:val="22"/>
          <w:szCs w:val="22"/>
          <w:rtl w:val="0"/>
        </w:rPr>
        <w:t xml:space="preserve">permisos de poda y derribo de árboles.</w:t>
      </w:r>
    </w:p>
    <w:p w:rsidR="00000000" w:rsidDel="00000000" w:rsidP="00000000" w:rsidRDefault="00000000" w:rsidRPr="00000000" w14:paraId="00000087">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01 de enero al 21 de marzo del año </w:t>
      </w:r>
      <w:r w:rsidDel="00000000" w:rsidR="00000000" w:rsidRPr="00000000">
        <w:rPr>
          <w:rFonts w:ascii="Palatino Linotype" w:cs="Palatino Linotype" w:eastAsia="Palatino Linotype" w:hAnsi="Palatino Linotype"/>
          <w:b w:val="1"/>
          <w:sz w:val="22"/>
          <w:szCs w:val="22"/>
          <w:rtl w:val="0"/>
        </w:rPr>
        <w:t xml:space="preserve">2025</w:t>
      </w:r>
      <w:r w:rsidDel="00000000" w:rsidR="00000000" w:rsidRPr="00000000">
        <w:rPr>
          <w:rFonts w:ascii="Palatino Linotype" w:cs="Palatino Linotype" w:eastAsia="Palatino Linotype" w:hAnsi="Palatino Linotype"/>
          <w:sz w:val="22"/>
          <w:szCs w:val="22"/>
          <w:rtl w:val="0"/>
        </w:rPr>
        <w:t xml:space="preserve">, se emitieron </w:t>
      </w:r>
      <w:r w:rsidDel="00000000" w:rsidR="00000000" w:rsidRPr="00000000">
        <w:rPr>
          <w:rFonts w:ascii="Palatino Linotype" w:cs="Palatino Linotype" w:eastAsia="Palatino Linotype" w:hAnsi="Palatino Linotype"/>
          <w:b w:val="1"/>
          <w:sz w:val="22"/>
          <w:szCs w:val="22"/>
          <w:rtl w:val="0"/>
        </w:rPr>
        <w:t xml:space="preserve">03</w:t>
      </w:r>
      <w:r w:rsidDel="00000000" w:rsidR="00000000" w:rsidRPr="00000000">
        <w:rPr>
          <w:rFonts w:ascii="Palatino Linotype" w:cs="Palatino Linotype" w:eastAsia="Palatino Linotype" w:hAnsi="Palatino Linotype"/>
          <w:sz w:val="22"/>
          <w:szCs w:val="22"/>
          <w:rtl w:val="0"/>
        </w:rPr>
        <w:t xml:space="preserve"> permisos de poda y derribo de árboles.</w:t>
      </w:r>
    </w:p>
    <w:p w:rsidR="00000000" w:rsidDel="00000000" w:rsidP="00000000" w:rsidRDefault="00000000" w:rsidRPr="00000000" w14:paraId="0000008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conocidas las respuestas,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los recursos de revisión que en este acto se resuelven, inconformándose primeramente para el recurso </w:t>
      </w:r>
      <w:r w:rsidDel="00000000" w:rsidR="00000000" w:rsidRPr="00000000">
        <w:rPr>
          <w:rFonts w:ascii="Palatino Linotype" w:cs="Palatino Linotype" w:eastAsia="Palatino Linotype" w:hAnsi="Palatino Linotype"/>
          <w:b w:val="1"/>
          <w:sz w:val="22"/>
          <w:szCs w:val="22"/>
          <w:rtl w:val="0"/>
        </w:rPr>
        <w:t xml:space="preserve">02759/INFOEM/IP/RR/2025</w:t>
      </w:r>
      <w:r w:rsidDel="00000000" w:rsidR="00000000" w:rsidRPr="00000000">
        <w:rPr>
          <w:rFonts w:ascii="Palatino Linotype" w:cs="Palatino Linotype" w:eastAsia="Palatino Linotype" w:hAnsi="Palatino Linotype"/>
          <w:sz w:val="22"/>
          <w:szCs w:val="22"/>
          <w:rtl w:val="0"/>
        </w:rPr>
        <w:t xml:space="preserve"> por que los documentos se encuentran incompletos, es decir, faltan hojas; y para el recurso </w:t>
      </w:r>
      <w:r w:rsidDel="00000000" w:rsidR="00000000" w:rsidRPr="00000000">
        <w:rPr>
          <w:rFonts w:ascii="Palatino Linotype" w:cs="Palatino Linotype" w:eastAsia="Palatino Linotype" w:hAnsi="Palatino Linotype"/>
          <w:b w:val="1"/>
          <w:sz w:val="22"/>
          <w:szCs w:val="22"/>
          <w:rtl w:val="0"/>
        </w:rPr>
        <w:t xml:space="preserve">03566/INFOEM/IP/RR/2025</w:t>
      </w:r>
      <w:r w:rsidDel="00000000" w:rsidR="00000000" w:rsidRPr="00000000">
        <w:rPr>
          <w:rFonts w:ascii="Palatino Linotype" w:cs="Palatino Linotype" w:eastAsia="Palatino Linotype" w:hAnsi="Palatino Linotype"/>
          <w:sz w:val="22"/>
          <w:szCs w:val="22"/>
          <w:rtl w:val="0"/>
        </w:rPr>
        <w:t xml:space="preserve"> por la falta de entrega de los permisos correspondientes al año 2025. </w:t>
      </w:r>
    </w:p>
    <w:p w:rsidR="00000000" w:rsidDel="00000000" w:rsidP="00000000" w:rsidRDefault="00000000" w:rsidRPr="00000000" w14:paraId="0000008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Posteriormente se decretó la admisión de los medios de impugnación que nos ocupan y se integraron los respectivos expedientes, teniendo así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sus informes justificados, hizo entrega de los permisos completos que informó en sus respuestas.</w:t>
      </w:r>
    </w:p>
    <w:p w:rsidR="00000000" w:rsidDel="00000000" w:rsidP="00000000" w:rsidRDefault="00000000" w:rsidRPr="00000000" w14:paraId="0000008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no pasa inadvertido para este Organismo Garante que, los motivos de inconformidad aducidos en los recursos de revisión, no versan sobre la totalidad de la información proporcionada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pues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inconformó de manera expresa </w:t>
      </w:r>
      <w:r w:rsidDel="00000000" w:rsidR="00000000" w:rsidRPr="00000000">
        <w:rPr>
          <w:rFonts w:ascii="Palatino Linotype" w:cs="Palatino Linotype" w:eastAsia="Palatino Linotype" w:hAnsi="Palatino Linotype"/>
          <w:b w:val="1"/>
          <w:sz w:val="22"/>
          <w:szCs w:val="22"/>
          <w:u w:val="single"/>
          <w:rtl w:val="0"/>
        </w:rPr>
        <w:t xml:space="preserve">por la entrega de información incompleta correspondiente a los años dos mil veinticuatro y dos mil veinticinco</w:t>
      </w:r>
      <w:r w:rsidDel="00000000" w:rsidR="00000000" w:rsidRPr="00000000">
        <w:rPr>
          <w:rFonts w:ascii="Palatino Linotype" w:cs="Palatino Linotype" w:eastAsia="Palatino Linotype" w:hAnsi="Palatino Linotype"/>
          <w:sz w:val="22"/>
          <w:szCs w:val="22"/>
          <w:rtl w:val="0"/>
        </w:rPr>
        <w:t xml:space="preserve">, no así respecto a la información remitida de los años 2022 y 2023; por lo que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rsidR="00000000" w:rsidDel="00000000" w:rsidP="00000000" w:rsidRDefault="00000000" w:rsidRPr="00000000" w14:paraId="0000008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así, debido a que cuando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impugna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este no expresa Razón o Motivo de Inconformidad en contra de todos los rubros solicitados, dichos rubros deben declararse atendidos, pues se entiende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9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92">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se insiste, ante la falta de impugnación eficaz, la respuesta entregada debe declararse consentida por persona solicitante.</w:t>
      </w:r>
    </w:p>
    <w:p w:rsidR="00000000" w:rsidDel="00000000" w:rsidP="00000000" w:rsidRDefault="00000000" w:rsidRPr="00000000" w14:paraId="0000009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se sustenta con lo plasmado en el criterio orientador 01/20 emitido por el entonces Instituto Nacional de Transparencia, Acceso a la Información, y Protección de Datos Personales, que lleva por rubro y texto los siguientes: </w:t>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Actos consentidos tácitamente. Improcedencia de su análisis. </w:t>
      </w:r>
      <w:r w:rsidDel="00000000" w:rsidR="00000000" w:rsidRPr="00000000">
        <w:rPr>
          <w:rFonts w:ascii="Palatino Linotype" w:cs="Palatino Linotype" w:eastAsia="Palatino Linotype" w:hAnsi="Palatino Linotype"/>
          <w:i w:val="1"/>
          <w:sz w:val="22"/>
          <w:szCs w:val="22"/>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9A">
      <w:pPr>
        <w:spacing w:line="360" w:lineRule="auto"/>
        <w:ind w:left="851" w:right="900" w:firstLine="0"/>
        <w:jc w:val="both"/>
        <w:rPr>
          <w:rFonts w:ascii="Palatino Linotype" w:cs="Palatino Linotype" w:eastAsia="Palatino Linotype" w:hAnsi="Palatino Linotype"/>
          <w:b w:val="1"/>
          <w:i w:val="1"/>
          <w:smallCaps w:val="1"/>
          <w:sz w:val="22"/>
          <w:szCs w:val="22"/>
        </w:rPr>
      </w:pPr>
      <w:r w:rsidDel="00000000" w:rsidR="00000000" w:rsidRPr="00000000">
        <w:rPr>
          <w:rtl w:val="0"/>
        </w:rPr>
      </w:r>
    </w:p>
    <w:p w:rsidR="00000000" w:rsidDel="00000000" w:rsidP="00000000" w:rsidRDefault="00000000" w:rsidRPr="00000000" w14:paraId="0000009B">
      <w:pPr>
        <w:tabs>
          <w:tab w:val="left" w:leader="none" w:pos="851"/>
          <w:tab w:val="left" w:leader="none" w:pos="1276"/>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mallCaps w:val="1"/>
          <w:sz w:val="22"/>
          <w:szCs w:val="22"/>
          <w:rtl w:val="0"/>
        </w:rPr>
        <w:t xml:space="preserve">“</w:t>
      </w: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la información de la que resulta procedente pronunciarse es respecto a los permisos para poda y derribo de los años dos mil veinticuatro y dos mil veinticinco y no por la totalidad de la misma. </w:t>
      </w:r>
    </w:p>
    <w:p w:rsidR="00000000" w:rsidDel="00000000" w:rsidP="00000000" w:rsidRDefault="00000000" w:rsidRPr="00000000" w14:paraId="0000009E">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consiguiente, se procede al análisis de los requerimientos planteados por la persona solicitante y las respuestas proporcionadas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rsidR="00000000" w:rsidDel="00000000" w:rsidP="00000000" w:rsidRDefault="00000000" w:rsidRPr="00000000" w14:paraId="0000009F">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Expuesto lo anterior, resulta importante iniciar este análisis mencionando que la unidad administrativa que se pronunció es la Dirección de Medio Ambiente, la cual de conformidad con el artículo 124 del Bando Municipal tendrá las siguientes funciones: </w:t>
      </w:r>
    </w:p>
    <w:p w:rsidR="00000000" w:rsidDel="00000000" w:rsidP="00000000" w:rsidRDefault="00000000" w:rsidRPr="00000000" w14:paraId="000000A0">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124. En materia de protección ecológica</w:t>
      </w:r>
      <w:r w:rsidDel="00000000" w:rsidR="00000000" w:rsidRPr="00000000">
        <w:rPr>
          <w:rFonts w:ascii="Palatino Linotype" w:cs="Palatino Linotype" w:eastAsia="Palatino Linotype" w:hAnsi="Palatino Linotype"/>
          <w:i w:val="1"/>
          <w:sz w:val="22"/>
          <w:szCs w:val="22"/>
          <w:rtl w:val="0"/>
        </w:rPr>
        <w:t xml:space="preserve"> y mejoramiento del medio ambiente, el Ayuntamiento, por conducto de la dependencia competente, </w:t>
      </w:r>
      <w:r w:rsidDel="00000000" w:rsidR="00000000" w:rsidRPr="00000000">
        <w:rPr>
          <w:rFonts w:ascii="Palatino Linotype" w:cs="Palatino Linotype" w:eastAsia="Palatino Linotype" w:hAnsi="Palatino Linotype"/>
          <w:b w:val="1"/>
          <w:i w:val="1"/>
          <w:sz w:val="22"/>
          <w:szCs w:val="22"/>
          <w:rtl w:val="0"/>
        </w:rPr>
        <w:t xml:space="preserve">tendrá las siguientes atribuciones:</w:t>
      </w:r>
    </w:p>
    <w:p w:rsidR="00000000" w:rsidDel="00000000" w:rsidP="00000000" w:rsidRDefault="00000000" w:rsidRPr="00000000" w14:paraId="000000A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Ejecutar la política en materia de conservación ecológica, biodiversidad y protección al medio ambiente para el desarrollo sostenible.</w:t>
      </w:r>
    </w:p>
    <w:p w:rsidR="00000000" w:rsidDel="00000000" w:rsidP="00000000" w:rsidRDefault="00000000" w:rsidRPr="00000000" w14:paraId="000000A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Aplicar y vigilar el cumplimiento de las disposiciones legales en materia de equilibrio ecológico y de protección al ambiente.</w:t>
      </w:r>
    </w:p>
    <w:p w:rsidR="00000000" w:rsidDel="00000000" w:rsidP="00000000" w:rsidRDefault="00000000" w:rsidRPr="00000000" w14:paraId="000000A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Proponer convenios para la protección al ambiente, en términos de las disposiciones jurídicas aplicables.</w:t>
      </w:r>
    </w:p>
    <w:p w:rsidR="00000000" w:rsidDel="00000000" w:rsidP="00000000" w:rsidRDefault="00000000" w:rsidRPr="00000000" w14:paraId="000000A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Proponer y ejecutar lineamientos destinados a preservar y restaurar el equilibrio ecológico y proteger el ambiente.</w:t>
      </w:r>
    </w:p>
    <w:p w:rsidR="00000000" w:rsidDel="00000000" w:rsidP="00000000" w:rsidRDefault="00000000" w:rsidRPr="00000000" w14:paraId="000000A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Proponer y aplicar medidas, criterios y disposiciones legales para la prevención y control de residuos y emisiones generadas por fuentes contaminantes. </w:t>
      </w:r>
    </w:p>
    <w:p w:rsidR="00000000" w:rsidDel="00000000" w:rsidP="00000000" w:rsidRDefault="00000000" w:rsidRPr="00000000" w14:paraId="000000A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Preservar, rescatar, restaurar e impulsar la creación de áreas verdes municipales.</w:t>
      </w:r>
    </w:p>
    <w:p w:rsidR="00000000" w:rsidDel="00000000" w:rsidP="00000000" w:rsidRDefault="00000000" w:rsidRPr="00000000" w14:paraId="000000A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Dar mantenimiento a las áreas verdes y macizos arbóreos municipales.</w:t>
      </w:r>
    </w:p>
    <w:p w:rsidR="00000000" w:rsidDel="00000000" w:rsidP="00000000" w:rsidRDefault="00000000" w:rsidRPr="00000000" w14:paraId="000000A8">
      <w:pPr>
        <w:ind w:left="851" w:right="616"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VIII. Autorizar la poda o derribo de individuos arbóreos en el municipio conforme las normas técnicas estatales NTEA-018-SeMAGEMRS-2017 y NTEA-019- SeMAGEM-RS-2017.</w:t>
      </w:r>
      <w:r w:rsidDel="00000000" w:rsidR="00000000" w:rsidRPr="00000000">
        <w:rPr>
          <w:rtl w:val="0"/>
        </w:rPr>
      </w:r>
    </w:p>
    <w:p w:rsidR="00000000" w:rsidDel="00000000" w:rsidP="00000000" w:rsidRDefault="00000000" w:rsidRPr="00000000" w14:paraId="000000A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Promover y fomentar la educación ambiental, así como la participación ciudadana en actividades enfocadas en la protección al ambiente.</w:t>
      </w:r>
    </w:p>
    <w:p w:rsidR="00000000" w:rsidDel="00000000" w:rsidP="00000000" w:rsidRDefault="00000000" w:rsidRPr="00000000" w14:paraId="000000A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AC">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se advierte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turnó la solicitud de información a la unidad administrativa competente, por lo que,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0AE">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F">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0B0">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sujetos obligados otorgarán acceso a los documentos que se encuentren en sus archivos o que estén obligados a documentar de acuerdo con sus facultades, competencias o funciones, en el formato en que el solicitante manifieste, de entre aquellos formatos existentes.</w:t>
      </w:r>
    </w:p>
    <w:p w:rsidR="00000000" w:rsidDel="00000000" w:rsidP="00000000" w:rsidRDefault="00000000" w:rsidRPr="00000000" w14:paraId="000000B1">
      <w:pPr>
        <w:tabs>
          <w:tab w:val="left" w:leader="none" w:pos="4962"/>
        </w:tabs>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circunstancia, se logra colegir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cumplió con el procedimiento de búsqueda establecido en el artículo 162 de la Ley de Transparencia y Acceso a la Información Pública del Estado de México y Municipios, toda vez que turnó la solicitud a la Dirección de Medio Ambiente, unidad administrativa encargada de autorizar la poda o derribo de individuos arbóreos en el municipio. </w:t>
      </w:r>
    </w:p>
    <w:p w:rsidR="00000000" w:rsidDel="00000000" w:rsidP="00000000" w:rsidRDefault="00000000" w:rsidRPr="00000000" w14:paraId="000000B3">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Determinado lo anterior, resulta pertinente analizar lo concerniente al permiso, el cual se vislumbra en el contenido de la Norma Técnica Estatal Ambiental NTEA-018-SeMAGEM-DS-2017, que establece las especificaciones técnicas y criterios que deberán cumplir las autoridades de carácter público, personas físicas, jurídicas colectivas, privadas y en general todos aquellos que realicen labores de poda, derribo, trasplante y sustitución de árboles en zonas urbanas del Estado de México, para efecto de dilucidar lo concerniente al procedimiento, dictamen y autorización que deberán generarse al momento de practicar el derribo de árboles, por lo cual se inserta la siguiente cita: </w:t>
      </w:r>
    </w:p>
    <w:p w:rsidR="00000000" w:rsidDel="00000000" w:rsidP="00000000" w:rsidRDefault="00000000" w:rsidRPr="00000000" w14:paraId="000000B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CONTROL, REGISTRO OFICIAL Y TRÁMITE PARA REALIZAR LABORES DE PODA, DERRIBO, TRASPLANTE Y SUSTITUCIÓN DE ÁRBOLES</w:t>
      </w:r>
    </w:p>
    <w:p w:rsidR="00000000" w:rsidDel="00000000" w:rsidP="00000000" w:rsidRDefault="00000000" w:rsidRPr="00000000" w14:paraId="000000B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6">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5.5 Para realizar labores de poda, derribo, trasplante y sustitución de árboles en zonas urbanas del Estado de México, deberá existir una causa plenamente identificada y soportada con un dictamen elaborado por personal técnico y </w:t>
      </w:r>
      <w:r w:rsidDel="00000000" w:rsidR="00000000" w:rsidRPr="00000000">
        <w:rPr>
          <w:rFonts w:ascii="Palatino Linotype" w:cs="Palatino Linotype" w:eastAsia="Palatino Linotype" w:hAnsi="Palatino Linotype"/>
          <w:b w:val="1"/>
          <w:i w:val="1"/>
          <w:sz w:val="22"/>
          <w:szCs w:val="22"/>
          <w:u w:val="single"/>
          <w:rtl w:val="0"/>
        </w:rPr>
        <w:t xml:space="preserve">contar con la autorización tramitada ante el Ayuntamiento correspondiente. </w:t>
      </w:r>
    </w:p>
    <w:p w:rsidR="00000000" w:rsidDel="00000000" w:rsidP="00000000" w:rsidRDefault="00000000" w:rsidRPr="00000000" w14:paraId="000000B7">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5.6 </w:t>
      </w:r>
      <w:r w:rsidDel="00000000" w:rsidR="00000000" w:rsidRPr="00000000">
        <w:rPr>
          <w:rFonts w:ascii="Palatino Linotype" w:cs="Palatino Linotype" w:eastAsia="Palatino Linotype" w:hAnsi="Palatino Linotype"/>
          <w:b w:val="1"/>
          <w:i w:val="1"/>
          <w:sz w:val="22"/>
          <w:szCs w:val="22"/>
          <w:u w:val="single"/>
          <w:rtl w:val="0"/>
        </w:rPr>
        <w:t xml:space="preserve">El personal que realice los trabajos y transporte de los productos resultantes de la poda y derribo de árboles deberán traer copia de la autorización de la actividad realizada</w:t>
      </w:r>
      <w:r w:rsidDel="00000000" w:rsidR="00000000" w:rsidRPr="00000000">
        <w:rPr>
          <w:rFonts w:ascii="Palatino Linotype" w:cs="Palatino Linotype" w:eastAsia="Palatino Linotype" w:hAnsi="Palatino Linotype"/>
          <w:b w:val="1"/>
          <w:i w:val="1"/>
          <w:sz w:val="22"/>
          <w:szCs w:val="22"/>
          <w:rtl w:val="0"/>
        </w:rPr>
        <w:t xml:space="preserve">, para garantizar que el material proviene de la ejecución de los trabajos de poda, derribo, trasplante y sustitución de arbolado urbano.</w:t>
      </w:r>
    </w:p>
    <w:p w:rsidR="00000000" w:rsidDel="00000000" w:rsidP="00000000" w:rsidRDefault="00000000" w:rsidRPr="00000000" w14:paraId="000000B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PROCEDIMIENTO PARA LA PODA, DERRIBO, TRASPLANTE Y SUSTITUCIÓN DE ÁRBOLES </w:t>
      </w:r>
    </w:p>
    <w:p w:rsidR="00000000" w:rsidDel="00000000" w:rsidP="00000000" w:rsidRDefault="00000000" w:rsidRPr="00000000" w14:paraId="000000B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A">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6.4 El personal que ejecute los trabajos deberá contar en todo momento con todo su equipo de protección</w:t>
      </w:r>
      <w:r w:rsidDel="00000000" w:rsidR="00000000" w:rsidRPr="00000000">
        <w:rPr>
          <w:rFonts w:ascii="Palatino Linotype" w:cs="Palatino Linotype" w:eastAsia="Palatino Linotype" w:hAnsi="Palatino Linotype"/>
          <w:b w:val="1"/>
          <w:i w:val="1"/>
          <w:sz w:val="22"/>
          <w:szCs w:val="22"/>
          <w:u w:val="single"/>
          <w:rtl w:val="0"/>
        </w:rPr>
        <w:t xml:space="preserve">, así como con el documento de autorización emitido por la autoridad correspondiente. </w:t>
      </w:r>
    </w:p>
    <w:p w:rsidR="00000000" w:rsidDel="00000000" w:rsidP="00000000" w:rsidRDefault="00000000" w:rsidRPr="00000000" w14:paraId="000000B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6.5 Cuando el personal técnico, con motivo de una autorización para labores de poda, derribo o trasplante, verifique que existen afectaciones o destrucción parcial del arbolado urbano, tales como anillado, cinchamiento, descortezado, vertimiento de sustancias tóxicas, ahogamiento por tierra, escombro, concreto o asfalto, desmoche, corte de raíz fuera de lo establecido por esta Norma Técnica Estatal Ambiental, daño mecánico, poda injustificada de más del 25% u otros daños que atenten con la supervivencia de los mismos, se deberá dar parte a la autoridad correspondiente, para que ésta realice el procedimiento administrativo de mérito y aplique al responsable la sanción con base en lo establecido por el Código para la Biodiversidad del Estado de México y demás ordenamientos legales aplicables. </w:t>
      </w:r>
    </w:p>
    <w:p w:rsidR="00000000" w:rsidDel="00000000" w:rsidP="00000000" w:rsidRDefault="00000000" w:rsidRPr="00000000" w14:paraId="000000B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 DERRIBO DE ÁRBOLES </w:t>
      </w:r>
    </w:p>
    <w:p w:rsidR="00000000" w:rsidDel="00000000" w:rsidP="00000000" w:rsidRDefault="00000000" w:rsidRPr="00000000" w14:paraId="000000B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árboles presentan una declinación en su proceso natural de desarrollo, situación que los hace más susceptibles a problemas por plagas, enfermedades, fenómenos meteorológicos. También son objeto de vandalismo, daños por acciones viales y las relacionadas con modificaciones a la infraestructura urbana. Todos estos tienen como consecuencia su debilitamiento y en algunos casos el riesgo inminente de desgajamientos o caída total que puede afectar a las personas, bienes muebles e inmuebles, motivo por el cual se requiere llevar a cabo su derribo. </w:t>
      </w:r>
    </w:p>
    <w:p w:rsidR="00000000" w:rsidDel="00000000" w:rsidP="00000000" w:rsidRDefault="00000000" w:rsidRPr="00000000" w14:paraId="000000B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8.1 CRITERIOS QUE NO JUSTIFICAN EL DERRIBO DE UN ÁRBOL </w:t>
      </w:r>
    </w:p>
    <w:p w:rsidR="00000000" w:rsidDel="00000000" w:rsidP="00000000" w:rsidRDefault="00000000" w:rsidRPr="00000000" w14:paraId="000000C0">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La decisión de derribar un árbol deberá estar sustentado en el dictamen elaborado por el personal técnico de la autoridad correspondiente. </w:t>
      </w:r>
    </w:p>
    <w:p w:rsidR="00000000" w:rsidDel="00000000" w:rsidP="00000000" w:rsidRDefault="00000000" w:rsidRPr="00000000" w14:paraId="000000C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Sin embargo, a continuación se expone los criterios que no justifican el derribo de un árbol: </w:t>
      </w:r>
    </w:p>
    <w:p w:rsidR="00000000" w:rsidDel="00000000" w:rsidP="00000000" w:rsidRDefault="00000000" w:rsidRPr="00000000" w14:paraId="000000C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impedir o disminuir la visibilidad de establecimientos comerciales, de anuncios publicitarios, de monumentos y de edificios públicos o privados. </w:t>
      </w:r>
    </w:p>
    <w:p w:rsidR="00000000" w:rsidDel="00000000" w:rsidP="00000000" w:rsidRDefault="00000000" w:rsidRPr="00000000" w14:paraId="000000C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realizar proyectos de remodelación en áreas verdes de carácter público, si el arbolado se encuentra en óptimas condiciones y no significa riesgo alguno la población o infraestructura y servicios privados o públicos. </w:t>
      </w:r>
    </w:p>
    <w:p w:rsidR="00000000" w:rsidDel="00000000" w:rsidP="00000000" w:rsidRDefault="00000000" w:rsidRPr="00000000" w14:paraId="000000C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la sustitución de especies, si el árbol que se pretende derribar se encuentra en óptimas condiciones y no significa riesgo alguno a la población o infraestructura y servicios privados o públicos. </w:t>
      </w:r>
    </w:p>
    <w:p w:rsidR="00000000" w:rsidDel="00000000" w:rsidP="00000000" w:rsidRDefault="00000000" w:rsidRPr="00000000" w14:paraId="000000C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las características del arbolado (principalmente de especies caducifolias) que generan hojarasca (concepción arbitraria y negativa del árbol). </w:t>
      </w:r>
    </w:p>
    <w:p w:rsidR="00000000" w:rsidDel="00000000" w:rsidP="00000000" w:rsidRDefault="00000000" w:rsidRPr="00000000" w14:paraId="000000C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voluntad propia del agente derribador, si el árbol se encuentra en óptimo estado y no representa riesgo alguno para la población o para los bienes públicos o privados. </w:t>
      </w:r>
    </w:p>
    <w:p w:rsidR="00000000" w:rsidDel="00000000" w:rsidP="00000000" w:rsidRDefault="00000000" w:rsidRPr="00000000" w14:paraId="000000C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evitar la generación de desechos de alimentación y defecación de aves anidadas. </w:t>
      </w:r>
    </w:p>
    <w:p w:rsidR="00000000" w:rsidDel="00000000" w:rsidP="00000000" w:rsidRDefault="00000000" w:rsidRPr="00000000" w14:paraId="000000C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tratarse de árboles que por una o varias características de tipo biológico, paisajístico, histórico, cultural o social, o que por su especie, tamaño, edad o belleza pudieran ser considerados como árboles notables, singulares o monumentales. </w:t>
      </w:r>
    </w:p>
    <w:p w:rsidR="00000000" w:rsidDel="00000000" w:rsidP="00000000" w:rsidRDefault="00000000" w:rsidRPr="00000000" w14:paraId="000000C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la generación natural de polen y que sin el debido soporte científico se compruebe que incide en la salud de los habitantes.</w:t>
      </w:r>
    </w:p>
    <w:p w:rsidR="00000000" w:rsidDel="00000000" w:rsidP="00000000" w:rsidRDefault="00000000" w:rsidRPr="00000000" w14:paraId="000000C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8.4 CRITERIOS QUE JUSTIFICAN EL DERRIBO DE ÁRBOLES </w:t>
      </w:r>
    </w:p>
    <w:p w:rsidR="00000000" w:rsidDel="00000000" w:rsidP="00000000" w:rsidRDefault="00000000" w:rsidRPr="00000000" w14:paraId="000000CB">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Son razones que justifican el derribo de un árbol las siguientes: </w:t>
      </w:r>
    </w:p>
    <w:p w:rsidR="00000000" w:rsidDel="00000000" w:rsidP="00000000" w:rsidRDefault="00000000" w:rsidRPr="00000000" w14:paraId="000000C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Árboles que hayan concluido su período de vida </w:t>
      </w:r>
    </w:p>
    <w:p w:rsidR="00000000" w:rsidDel="00000000" w:rsidP="00000000" w:rsidRDefault="00000000" w:rsidRPr="00000000" w14:paraId="000000C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Árboles suprimidos Árboles con muerte descendente </w:t>
      </w:r>
    </w:p>
    <w:p w:rsidR="00000000" w:rsidDel="00000000" w:rsidP="00000000" w:rsidRDefault="00000000" w:rsidRPr="00000000" w14:paraId="000000C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Árboles de riesgo </w:t>
      </w:r>
    </w:p>
    <w:p w:rsidR="00000000" w:rsidDel="00000000" w:rsidP="00000000" w:rsidRDefault="00000000" w:rsidRPr="00000000" w14:paraId="000000C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Árboles con problemas de plagas o enfermedades difíciles de controlar y con riesgo inminente de dispersión a otros árboles sanos </w:t>
      </w:r>
    </w:p>
    <w:p w:rsidR="00000000" w:rsidDel="00000000" w:rsidP="00000000" w:rsidRDefault="00000000" w:rsidRPr="00000000" w14:paraId="000000D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Árboles que afecten severamente al patrimonio urbanístico o arquitectónico, mobiliario y equipamiento urbano e inmuebles </w:t>
      </w:r>
    </w:p>
    <w:p w:rsidR="00000000" w:rsidDel="00000000" w:rsidP="00000000" w:rsidRDefault="00000000" w:rsidRPr="00000000" w14:paraId="000000D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Árboles que por obra pública o privada, no exista alternativa de integrarlo al proyecto </w:t>
      </w:r>
    </w:p>
    <w:p w:rsidR="00000000" w:rsidDel="00000000" w:rsidP="00000000" w:rsidRDefault="00000000" w:rsidRPr="00000000" w14:paraId="000000D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caso del último punto se requerirá la autorización en materia de impacto ambiental por la Secretaría o autoridad correspondiente derivado de lo cual se establecerán con base en el dictamen del personal técnico las medidas de compensación ambiental”</w:t>
      </w:r>
    </w:p>
    <w:p w:rsidR="00000000" w:rsidDel="00000000" w:rsidP="00000000" w:rsidRDefault="00000000" w:rsidRPr="00000000" w14:paraId="000000D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(Énfasis añadido)</w:t>
      </w:r>
    </w:p>
    <w:p w:rsidR="00000000" w:rsidDel="00000000" w:rsidP="00000000" w:rsidRDefault="00000000" w:rsidRPr="00000000" w14:paraId="000000D4">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suerte que con lo referido anteriormente, se vislumbra que en efecto, para llevar a cabo los trabajos de derribo de árboles, es indispensable contar con dos elementos a saber: una causa plenamente identificada y soportada con un dictamen elaborado por personal técnico y contar con la autorización tramitada ante el Ayuntamiento correspondiente, por lo que, se determina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atribuciones para generar poseer y/o administrar la información solicitada, tan es así que desde respuesta asumió contar con la información, pues hizo entrega de los permisos otorgados para realizar trabajos de Poda y derribo de árboles. </w:t>
      </w:r>
    </w:p>
    <w:p w:rsidR="00000000" w:rsidDel="00000000" w:rsidP="00000000" w:rsidRDefault="00000000" w:rsidRPr="00000000" w14:paraId="000000D5">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Expuesto lo anterior, se procede al análisis pormenorizado de las respuestas que emitió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con la finalidad de determinar si con la entrega de esta, se colmó el derecho de acceso a la información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ordenar su entrega. </w:t>
      </w:r>
    </w:p>
    <w:p w:rsidR="00000000" w:rsidDel="00000000" w:rsidP="00000000" w:rsidRDefault="00000000" w:rsidRPr="00000000" w14:paraId="000000D6">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tbl>
      <w:tblPr>
        <w:tblStyle w:val="Table6"/>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2126"/>
        <w:gridCol w:w="1418"/>
        <w:gridCol w:w="1417"/>
        <w:gridCol w:w="2454"/>
        <w:tblGridChange w:id="0">
          <w:tblGrid>
            <w:gridCol w:w="1413"/>
            <w:gridCol w:w="2126"/>
            <w:gridCol w:w="1418"/>
            <w:gridCol w:w="1417"/>
            <w:gridCol w:w="2454"/>
          </w:tblGrid>
        </w:tblGridChange>
      </w:tblGrid>
      <w:tr>
        <w:trPr>
          <w:cantSplit w:val="0"/>
          <w:tblHeader w:val="0"/>
        </w:trPr>
        <w:tc>
          <w:tcPr>
            <w:shd w:fill="dbeef3" w:val="clear"/>
          </w:tcPr>
          <w:p w:rsidR="00000000" w:rsidDel="00000000" w:rsidP="00000000" w:rsidRDefault="00000000" w:rsidRPr="00000000" w14:paraId="000000D7">
            <w:pPr>
              <w:ind w:right="51"/>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w:t>
            </w:r>
          </w:p>
        </w:tc>
        <w:tc>
          <w:tcPr>
            <w:shd w:fill="dbeef3" w:val="clear"/>
          </w:tcPr>
          <w:p w:rsidR="00000000" w:rsidDel="00000000" w:rsidP="00000000" w:rsidRDefault="00000000" w:rsidRPr="00000000" w14:paraId="000000D8">
            <w:pPr>
              <w:ind w:right="51"/>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c>
          <w:tcPr>
            <w:shd w:fill="dbeef3" w:val="clear"/>
          </w:tcPr>
          <w:p w:rsidR="00000000" w:rsidDel="00000000" w:rsidP="00000000" w:rsidRDefault="00000000" w:rsidRPr="00000000" w14:paraId="000000D9">
            <w:pPr>
              <w:ind w:right="51"/>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Inconformidad</w:t>
            </w:r>
          </w:p>
        </w:tc>
        <w:tc>
          <w:tcPr>
            <w:shd w:fill="dbeef3" w:val="clear"/>
          </w:tcPr>
          <w:p w:rsidR="00000000" w:rsidDel="00000000" w:rsidP="00000000" w:rsidRDefault="00000000" w:rsidRPr="00000000" w14:paraId="000000DA">
            <w:pPr>
              <w:ind w:right="51"/>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Informe Justificado </w:t>
            </w:r>
          </w:p>
        </w:tc>
        <w:tc>
          <w:tcPr>
            <w:shd w:fill="dbeef3" w:val="clear"/>
          </w:tcPr>
          <w:p w:rsidR="00000000" w:rsidDel="00000000" w:rsidP="00000000" w:rsidRDefault="00000000" w:rsidRPr="00000000" w14:paraId="000000DB">
            <w:pPr>
              <w:ind w:right="51"/>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Colmó</w:t>
            </w:r>
          </w:p>
        </w:tc>
      </w:tr>
      <w:tr>
        <w:trPr>
          <w:cantSplit w:val="0"/>
          <w:trHeight w:val="693" w:hRule="atLeast"/>
          <w:tblHeader w:val="0"/>
        </w:trPr>
        <w:tc>
          <w:tcPr/>
          <w:p w:rsidR="00000000" w:rsidDel="00000000" w:rsidP="00000000" w:rsidRDefault="00000000" w:rsidRPr="00000000" w14:paraId="000000DC">
            <w:pPr>
              <w:ind w:right="51"/>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02759/2025</w:t>
            </w:r>
          </w:p>
          <w:p w:rsidR="00000000" w:rsidDel="00000000" w:rsidP="00000000" w:rsidRDefault="00000000" w:rsidRPr="00000000" w14:paraId="000000DD">
            <w:pPr>
              <w:ind w:right="51"/>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DE">
            <w:pPr>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Autorizaciones, licencias o permisos emitidos para la poda, derribo, trasplante y/o sustitución de árboles expedidos durante 2024 y lo que va del 2025</w:t>
            </w:r>
          </w:p>
        </w:tc>
        <w:tc>
          <w:tcPr/>
          <w:p w:rsidR="00000000" w:rsidDel="00000000" w:rsidP="00000000" w:rsidRDefault="00000000" w:rsidRPr="00000000" w14:paraId="000000DF">
            <w:pPr>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Directora de Medio Ambiente, informó que del 01de enero al 24 de febrero de 2025, no se ha emitido permiso alguno. </w:t>
            </w:r>
          </w:p>
          <w:p w:rsidR="00000000" w:rsidDel="00000000" w:rsidP="00000000" w:rsidRDefault="00000000" w:rsidRPr="00000000" w14:paraId="000000E0">
            <w:pPr>
              <w:ind w:right="51"/>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1">
            <w:pPr>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Durante el año 2024, se emitieron 56 permisos de poda, derribo, trasplante y/o sustitución de árboles, los cuales remitió en versión pública, advirtiendo que algunos se encuentran incompletos, ya que únicamente se encuentran la primera hoja del permiso.</w:t>
            </w:r>
          </w:p>
          <w:p w:rsidR="00000000" w:rsidDel="00000000" w:rsidP="00000000" w:rsidRDefault="00000000" w:rsidRPr="00000000" w14:paraId="000000E2">
            <w:pPr>
              <w:ind w:right="51"/>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3">
            <w:pPr>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Acta Décima Segunda Sesión Extraordinaria de fecha veinticinco de febrero de dos mil veinticinco, en la que mediante Acuerdo 01 CT/UTAIP/ASE-12/2025 se aprobó la clasificación como confidencial de la información relativa para dar respuesta a la solicitud de información 00055/TEOLOYU/IP/2025 que presenta la Síndico Municipal, y a la solicitud de información 00073/TEOLOYU/IP/2025 que presenta el servidor público habilitado de Medio Ambiente</w:t>
            </w:r>
          </w:p>
        </w:tc>
        <w:tc>
          <w:tcPr/>
          <w:p w:rsidR="00000000" w:rsidDel="00000000" w:rsidP="00000000" w:rsidRDefault="00000000" w:rsidRPr="00000000" w14:paraId="000000E4">
            <w:pPr>
              <w:ind w:right="51"/>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ME ENTREGARON LOS PERMISOS</w:t>
            </w:r>
            <w:r w:rsidDel="00000000" w:rsidR="00000000" w:rsidRPr="00000000">
              <w:rPr>
                <w:rFonts w:ascii="Palatino Linotype" w:cs="Palatino Linotype" w:eastAsia="Palatino Linotype" w:hAnsi="Palatino Linotype"/>
                <w:i w:val="1"/>
                <w:sz w:val="20"/>
                <w:szCs w:val="20"/>
                <w:rtl w:val="0"/>
              </w:rPr>
              <w:t xml:space="preserve"> SIN EMBARGO LOS DOCUMENTOS ESTAN INCOMPLETOS </w:t>
            </w:r>
            <w:r w:rsidDel="00000000" w:rsidR="00000000" w:rsidRPr="00000000">
              <w:rPr>
                <w:rFonts w:ascii="Palatino Linotype" w:cs="Palatino Linotype" w:eastAsia="Palatino Linotype" w:hAnsi="Palatino Linotype"/>
                <w:b w:val="1"/>
                <w:i w:val="1"/>
                <w:sz w:val="20"/>
                <w:szCs w:val="20"/>
                <w:u w:val="single"/>
                <w:rtl w:val="0"/>
              </w:rPr>
              <w:t xml:space="preserve">FALTAN HOJAS</w:t>
            </w:r>
            <w:r w:rsidDel="00000000" w:rsidR="00000000" w:rsidRPr="00000000">
              <w:rPr>
                <w:rtl w:val="0"/>
              </w:rPr>
            </w:r>
          </w:p>
        </w:tc>
        <w:tc>
          <w:tcPr/>
          <w:p w:rsidR="00000000" w:rsidDel="00000000" w:rsidP="00000000" w:rsidRDefault="00000000" w:rsidRPr="00000000" w14:paraId="000000E5">
            <w:pPr>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Hizo entrega de los permisos remitidos en respuesta completos y en versión pública; no obstante, no se pusieron a la vista de la parte Recurrente por dejar visible el nombre de un representante legal de una persona física y/o moral. </w:t>
            </w:r>
          </w:p>
        </w:tc>
        <w:tc>
          <w:tcPr/>
          <w:p w:rsidR="00000000" w:rsidDel="00000000" w:rsidP="00000000" w:rsidRDefault="00000000" w:rsidRPr="00000000" w14:paraId="000000E6">
            <w:pPr>
              <w:ind w:right="51"/>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Parcialmente</w:t>
            </w:r>
          </w:p>
          <w:p w:rsidR="00000000" w:rsidDel="00000000" w:rsidP="00000000" w:rsidRDefault="00000000" w:rsidRPr="00000000" w14:paraId="000000E7">
            <w:pPr>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informe justificado hace entrega de los 56 permisos completos, sin embargo, se dejó a la vista información que es considerada como confidencial, por lo que no se hizo del conocimiento de la parte </w:t>
            </w:r>
            <w:r w:rsidDel="00000000" w:rsidR="00000000" w:rsidRPr="00000000">
              <w:rPr>
                <w:rFonts w:ascii="Palatino Linotype" w:cs="Palatino Linotype" w:eastAsia="Palatino Linotype" w:hAnsi="Palatino Linotype"/>
                <w:b w:val="1"/>
                <w:sz w:val="20"/>
                <w:szCs w:val="20"/>
                <w:rtl w:val="0"/>
              </w:rPr>
              <w:t xml:space="preserve">Recurrente</w:t>
            </w:r>
            <w:r w:rsidDel="00000000" w:rsidR="00000000" w:rsidRPr="00000000">
              <w:rPr>
                <w:rFonts w:ascii="Palatino Linotype" w:cs="Palatino Linotype" w:eastAsia="Palatino Linotype" w:hAnsi="Palatino Linotype"/>
                <w:sz w:val="20"/>
                <w:szCs w:val="20"/>
                <w:rtl w:val="0"/>
              </w:rPr>
              <w:t xml:space="preserve">.</w:t>
            </w:r>
          </w:p>
          <w:p w:rsidR="00000000" w:rsidDel="00000000" w:rsidP="00000000" w:rsidRDefault="00000000" w:rsidRPr="00000000" w14:paraId="000000E8">
            <w:pPr>
              <w:ind w:right="51"/>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9">
            <w:pPr>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Aunado a que remite el acta en que se aprobó la versión pública de la información para dar atención al asunto en comento, sin embargo, de la lectura a esta no se advierte que guarde relación con lo solicitado. </w:t>
            </w:r>
          </w:p>
        </w:tc>
      </w:tr>
      <w:tr>
        <w:trPr>
          <w:cantSplit w:val="0"/>
          <w:trHeight w:val="1008" w:hRule="atLeast"/>
          <w:tblHeader w:val="0"/>
        </w:trPr>
        <w:tc>
          <w:tcPr/>
          <w:p w:rsidR="00000000" w:rsidDel="00000000" w:rsidP="00000000" w:rsidRDefault="00000000" w:rsidRPr="00000000" w14:paraId="000000EA">
            <w:pPr>
              <w:ind w:right="51"/>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03566/ 2025</w:t>
            </w:r>
          </w:p>
          <w:p w:rsidR="00000000" w:rsidDel="00000000" w:rsidP="00000000" w:rsidRDefault="00000000" w:rsidRPr="00000000" w14:paraId="000000EB">
            <w:pPr>
              <w:ind w:right="51"/>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EC">
            <w:pPr>
              <w:ind w:right="51"/>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Permisos de poda y derribo de árboles de los años 2022, 2023, 2024 y lo que va del 2025</w:t>
            </w:r>
          </w:p>
          <w:p w:rsidR="00000000" w:rsidDel="00000000" w:rsidP="00000000" w:rsidRDefault="00000000" w:rsidRPr="00000000" w14:paraId="000000ED">
            <w:pPr>
              <w:ind w:right="51"/>
              <w:jc w:val="both"/>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EE">
            <w:pPr>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Directora de Medio Ambiente, informó: </w:t>
            </w:r>
          </w:p>
          <w:p w:rsidR="00000000" w:rsidDel="00000000" w:rsidP="00000000" w:rsidRDefault="00000000" w:rsidRPr="00000000" w14:paraId="000000EF">
            <w:pPr>
              <w:ind w:right="51"/>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0">
            <w:pPr>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2022</w:t>
            </w:r>
            <w:r w:rsidDel="00000000" w:rsidR="00000000" w:rsidRPr="00000000">
              <w:rPr>
                <w:rFonts w:ascii="Palatino Linotype" w:cs="Palatino Linotype" w:eastAsia="Palatino Linotype" w:hAnsi="Palatino Linotype"/>
                <w:sz w:val="20"/>
                <w:szCs w:val="20"/>
                <w:rtl w:val="0"/>
              </w:rPr>
              <w:t xml:space="preserve"> - se emitieron 53 permisos </w:t>
            </w:r>
          </w:p>
          <w:p w:rsidR="00000000" w:rsidDel="00000000" w:rsidP="00000000" w:rsidRDefault="00000000" w:rsidRPr="00000000" w14:paraId="000000F1">
            <w:pPr>
              <w:ind w:right="51"/>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2">
            <w:pPr>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2023</w:t>
            </w:r>
            <w:r w:rsidDel="00000000" w:rsidR="00000000" w:rsidRPr="00000000">
              <w:rPr>
                <w:rFonts w:ascii="Palatino Linotype" w:cs="Palatino Linotype" w:eastAsia="Palatino Linotype" w:hAnsi="Palatino Linotype"/>
                <w:sz w:val="20"/>
                <w:szCs w:val="20"/>
                <w:rtl w:val="0"/>
              </w:rPr>
              <w:t xml:space="preserve"> - se emitieron 58 permisos </w:t>
            </w:r>
          </w:p>
          <w:p w:rsidR="00000000" w:rsidDel="00000000" w:rsidP="00000000" w:rsidRDefault="00000000" w:rsidRPr="00000000" w14:paraId="000000F3">
            <w:pPr>
              <w:ind w:right="51"/>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4">
            <w:pPr>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2024</w:t>
            </w:r>
            <w:r w:rsidDel="00000000" w:rsidR="00000000" w:rsidRPr="00000000">
              <w:rPr>
                <w:rFonts w:ascii="Palatino Linotype" w:cs="Palatino Linotype" w:eastAsia="Palatino Linotype" w:hAnsi="Palatino Linotype"/>
                <w:sz w:val="20"/>
                <w:szCs w:val="20"/>
                <w:rtl w:val="0"/>
              </w:rPr>
              <w:t xml:space="preserve"> - se emitieron 56 permisos. </w:t>
            </w:r>
          </w:p>
          <w:p w:rsidR="00000000" w:rsidDel="00000000" w:rsidP="00000000" w:rsidRDefault="00000000" w:rsidRPr="00000000" w14:paraId="000000F5">
            <w:pPr>
              <w:ind w:right="51"/>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6">
            <w:pPr>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Del 01 de enero al 21 de marzo del año </w:t>
            </w:r>
            <w:r w:rsidDel="00000000" w:rsidR="00000000" w:rsidRPr="00000000">
              <w:rPr>
                <w:rFonts w:ascii="Palatino Linotype" w:cs="Palatino Linotype" w:eastAsia="Palatino Linotype" w:hAnsi="Palatino Linotype"/>
                <w:b w:val="1"/>
                <w:sz w:val="20"/>
                <w:szCs w:val="20"/>
                <w:rtl w:val="0"/>
              </w:rPr>
              <w:t xml:space="preserve">2025</w:t>
            </w:r>
            <w:r w:rsidDel="00000000" w:rsidR="00000000" w:rsidRPr="00000000">
              <w:rPr>
                <w:rFonts w:ascii="Palatino Linotype" w:cs="Palatino Linotype" w:eastAsia="Palatino Linotype" w:hAnsi="Palatino Linotype"/>
                <w:sz w:val="20"/>
                <w:szCs w:val="20"/>
                <w:rtl w:val="0"/>
              </w:rPr>
              <w:t xml:space="preserve">, se emitieron 03 permisos </w:t>
            </w:r>
          </w:p>
          <w:p w:rsidR="00000000" w:rsidDel="00000000" w:rsidP="00000000" w:rsidRDefault="00000000" w:rsidRPr="00000000" w14:paraId="000000F7">
            <w:pPr>
              <w:ind w:right="51"/>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8">
            <w:pPr>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Adjuntando a su respuesta 170 permisos para realizar trabajos de poda/ derribo/ trasplante, en versión pública.</w:t>
            </w:r>
          </w:p>
        </w:tc>
        <w:tc>
          <w:tcPr/>
          <w:p w:rsidR="00000000" w:rsidDel="00000000" w:rsidP="00000000" w:rsidRDefault="00000000" w:rsidRPr="00000000" w14:paraId="000000F9">
            <w:pPr>
              <w:ind w:right="51"/>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Serían tan amables de hacerme conocer </w:t>
            </w:r>
            <w:r w:rsidDel="00000000" w:rsidR="00000000" w:rsidRPr="00000000">
              <w:rPr>
                <w:rFonts w:ascii="Palatino Linotype" w:cs="Palatino Linotype" w:eastAsia="Palatino Linotype" w:hAnsi="Palatino Linotype"/>
                <w:b w:val="1"/>
                <w:i w:val="1"/>
                <w:sz w:val="20"/>
                <w:szCs w:val="20"/>
                <w:rtl w:val="0"/>
              </w:rPr>
              <w:t xml:space="preserve">los permisos del año 2025 que fueron </w:t>
            </w:r>
            <w:r w:rsidDel="00000000" w:rsidR="00000000" w:rsidRPr="00000000">
              <w:rPr>
                <w:rFonts w:ascii="Palatino Linotype" w:cs="Palatino Linotype" w:eastAsia="Palatino Linotype" w:hAnsi="Palatino Linotype"/>
                <w:b w:val="1"/>
                <w:i w:val="1"/>
                <w:sz w:val="20"/>
                <w:szCs w:val="20"/>
                <w:u w:val="single"/>
                <w:rtl w:val="0"/>
              </w:rPr>
              <w:t xml:space="preserve">los únicos faltantes</w:t>
            </w:r>
            <w:r w:rsidDel="00000000" w:rsidR="00000000" w:rsidRPr="00000000">
              <w:rPr>
                <w:rFonts w:ascii="Palatino Linotype" w:cs="Palatino Linotype" w:eastAsia="Palatino Linotype" w:hAnsi="Palatino Linotype"/>
                <w:i w:val="1"/>
                <w:sz w:val="20"/>
                <w:szCs w:val="20"/>
                <w:u w:val="single"/>
                <w:rtl w:val="0"/>
              </w:rPr>
              <w:t xml:space="preserve">.</w:t>
            </w:r>
            <w:r w:rsidDel="00000000" w:rsidR="00000000" w:rsidRPr="00000000">
              <w:rPr>
                <w:rFonts w:ascii="Palatino Linotype" w:cs="Palatino Linotype" w:eastAsia="Palatino Linotype" w:hAnsi="Palatino Linotype"/>
                <w:i w:val="1"/>
                <w:sz w:val="20"/>
                <w:szCs w:val="20"/>
                <w:rtl w:val="0"/>
              </w:rPr>
              <w:t xml:space="preserve"> Gracias</w:t>
            </w:r>
          </w:p>
        </w:tc>
        <w:tc>
          <w:tcPr/>
          <w:p w:rsidR="00000000" w:rsidDel="00000000" w:rsidP="00000000" w:rsidRDefault="00000000" w:rsidRPr="00000000" w14:paraId="000000FA">
            <w:pPr>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Directora de Medio Ambiente informó la entrega de los permisos del año 2025 a la fecha de la solicitud. </w:t>
            </w:r>
          </w:p>
          <w:p w:rsidR="00000000" w:rsidDel="00000000" w:rsidP="00000000" w:rsidRDefault="00000000" w:rsidRPr="00000000" w14:paraId="000000FB">
            <w:pPr>
              <w:ind w:right="51"/>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C">
            <w:pPr>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Adjunto el archivo que se entrego en respuesta en versión pública; sin embargo no se hizo del conocimiento de la parte Recurrente por dejar visible el nombre de un particular.  </w:t>
            </w:r>
          </w:p>
        </w:tc>
        <w:tc>
          <w:tcPr/>
          <w:p w:rsidR="00000000" w:rsidDel="00000000" w:rsidP="00000000" w:rsidRDefault="00000000" w:rsidRPr="00000000" w14:paraId="000000FD">
            <w:pPr>
              <w:ind w:right="51"/>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Parcialmente</w:t>
            </w:r>
          </w:p>
          <w:p w:rsidR="00000000" w:rsidDel="00000000" w:rsidP="00000000" w:rsidRDefault="00000000" w:rsidRPr="00000000" w14:paraId="000000FE">
            <w:pPr>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Este Instituto advierte que el Sujeto Obligado desde su respuesta hizo entrega de los tres permisos que refirió en correcta versión pública; no obstante, fue omiso en hacer entrega del acuerdo del comité de transparencia en el que se aprobara la versión pública. </w:t>
            </w:r>
          </w:p>
          <w:p w:rsidR="00000000" w:rsidDel="00000000" w:rsidP="00000000" w:rsidRDefault="00000000" w:rsidRPr="00000000" w14:paraId="000000FF">
            <w:pPr>
              <w:ind w:right="51"/>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0">
            <w:pPr>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Asimismo, este Organismo Garante advierte que de la revisión a los números consecutivos de los permisos otorgados para el año dos mil veinticinco, hacen falta los Permisos con número, del 02 al 09, toda vez que únicamente hizo entrega de dos permisos identificados con el número 001 de fechas cuatro y ocho de marzo, y el permiso número 10 de fecha ocho de marzo; por lo que no se tiene certeza de que estos sean los únicos generados a la fecha de la solicitud. </w:t>
            </w:r>
          </w:p>
          <w:p w:rsidR="00000000" w:rsidDel="00000000" w:rsidP="00000000" w:rsidRDefault="00000000" w:rsidRPr="00000000" w14:paraId="00000101">
            <w:pPr>
              <w:ind w:right="51"/>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2">
            <w:pPr>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Aunado a ello fue omiso en hacer entrega del acta por medio de la cual el comité de transparencia aprobara la clasificación de la información. </w:t>
            </w:r>
          </w:p>
        </w:tc>
      </w:tr>
    </w:tbl>
    <w:p w:rsidR="00000000" w:rsidDel="00000000" w:rsidP="00000000" w:rsidRDefault="00000000" w:rsidRPr="00000000" w14:paraId="00000103">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4">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cuadro de análisis, se obtienen las siguientes consideraciones: </w:t>
      </w:r>
    </w:p>
    <w:p w:rsidR="00000000" w:rsidDel="00000000" w:rsidP="00000000" w:rsidRDefault="00000000" w:rsidRPr="00000000" w14:paraId="00000105">
      <w:pPr>
        <w:numPr>
          <w:ilvl w:val="0"/>
          <w:numId w:val="7"/>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Que para el ejercicio dos mil veinticuatro, si bien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respuesta hace entrega de los 56 permisos otorgados para poda, derribo y/o trasplante que refirió la Dirección de Medio Ambiente, lo cierto es que estos se encuentran incompletos, lo anterior se advierte a manera de ejemplo en la página dos y tres, tal y como se advierte a continuación: </w:t>
      </w:r>
    </w:p>
    <w:p w:rsidR="00000000" w:rsidDel="00000000" w:rsidP="00000000" w:rsidRDefault="00000000" w:rsidRPr="00000000" w14:paraId="00000106">
      <w:pPr>
        <w:spacing w:line="360" w:lineRule="auto"/>
        <w:ind w:right="51"/>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572234" cy="3619864"/>
            <wp:effectExtent b="0" l="0" r="0" t="0"/>
            <wp:docPr id="38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572234" cy="3619864"/>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line="360" w:lineRule="auto"/>
        <w:ind w:left="720" w:right="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si bien en Informe Justificado se hicieron entrega de estos de forma completa, lo cierto es que no fueron hechos del conocimiento del particular por dejar visible datos que son susceptibles de ser clasificados como confidenciales; por lo que resulta procedente ordenar su entrega en correcta versión pública. </w:t>
      </w:r>
    </w:p>
    <w:p w:rsidR="00000000" w:rsidDel="00000000" w:rsidP="00000000" w:rsidRDefault="00000000" w:rsidRPr="00000000" w14:paraId="00000109">
      <w:pPr>
        <w:numPr>
          <w:ilvl w:val="0"/>
          <w:numId w:val="7"/>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Que para el ejercicio dos mil veinticinco, si bien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respuesta hace entrega de la versión pública de los 3 permisos otorgados para poda, derribo y/o trasplante que refirió la Dirección de Medio Ambiente, lo cierto es que, fue omiso en hacer entrega del acta del Comité de Transparencia que funde y motive la versión pública, por lo que resulta procedente ordenar la entrega del Acuerdo emitido por el Comité de Transparencia que sustente la versión pública. </w:t>
      </w:r>
    </w:p>
    <w:p w:rsidR="00000000" w:rsidDel="00000000" w:rsidP="00000000" w:rsidRDefault="00000000" w:rsidRPr="00000000" w14:paraId="0000010A">
      <w:pPr>
        <w:numPr>
          <w:ilvl w:val="0"/>
          <w:numId w:val="7"/>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Que de la revisión a los números consecutivos de los permisos otorgados para el año dos mil veinticinco, hacen falta los Permisos otorgados con número, del 02 al 09, toda vez que únicamente hizo entrega de dos permisos identificados con el número 001 de fechas cuatro y ocho de marzo, y el permiso número 10 de fecha ocho de marzo; por lo que no se tiene certeza de que estos sean los únicos generados a la fecha de la solicitud, de modo que resulta procedente ordenar la entrega, previa búsqueda exhaustiva y razonable, de los permisos faltantes, con la salvedad que para el caso de que estos no correspondan a la materia o bien no se hubiesen emitido para otorgar derribos y/o podas, se haga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para tener por colmado su derecho de acceso a la información, en términos de lo dispuesto por el artículo 19, párrafo segundo de la Ley de Transparencia y Acceso a la Información Pública del Estado de México y Municipios.</w:t>
      </w:r>
    </w:p>
    <w:p w:rsidR="00000000" w:rsidDel="00000000" w:rsidP="00000000" w:rsidRDefault="00000000" w:rsidRPr="00000000" w14:paraId="0000010B">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base en lo anterior, se concluye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colmó parcialmente las solicitudes de mérito, pues si bien hizo entrega de la información en respuesta, esta se encontraba incompleta, lo cual quiso subsanar en informe justificado; sin embargo, dejó visible información que es susceptible de ser clasificada como confidencial, motivo por el cual no se hizo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Ahora bien, esta Instituto considera necesario analizar la procedencia de clasificación de dichos datos: </w:t>
      </w:r>
    </w:p>
    <w:p w:rsidR="00000000" w:rsidDel="00000000" w:rsidP="00000000" w:rsidRDefault="00000000" w:rsidRPr="00000000" w14:paraId="0000010D">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E">
      <w:pPr>
        <w:numPr>
          <w:ilvl w:val="0"/>
          <w:numId w:val="6"/>
        </w:numPr>
        <w:pBdr>
          <w:top w:space="0" w:sz="0" w:val="nil"/>
          <w:left w:space="0" w:sz="0" w:val="nil"/>
          <w:bottom w:space="0" w:sz="0" w:val="nil"/>
          <w:right w:space="0" w:sz="0" w:val="nil"/>
          <w:between w:space="0" w:sz="0" w:val="nil"/>
        </w:pBdr>
        <w:spacing w:line="360" w:lineRule="auto"/>
        <w:ind w:left="720" w:right="-15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Nombre de personas físicas en calidad de solicitantes:</w:t>
      </w:r>
    </w:p>
    <w:p w:rsidR="00000000" w:rsidDel="00000000" w:rsidP="00000000" w:rsidRDefault="00000000" w:rsidRPr="00000000" w14:paraId="0000010F">
      <w:pP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 por lo que se actualiza la clasificación, de conformidad con la fracción I, del artículo 143 de la Ley de Transparencia y Acceso a la Información Pública del Estado de México y Municipios. </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1">
      <w:pPr>
        <w:numPr>
          <w:ilvl w:val="0"/>
          <w:numId w:val="6"/>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Nombre de los representantes legales de los solicitantes. </w:t>
      </w:r>
    </w:p>
    <w:p w:rsidR="00000000" w:rsidDel="00000000" w:rsidP="00000000" w:rsidRDefault="00000000" w:rsidRPr="00000000" w14:paraId="00000112">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resulta necesario señalar que un representante legal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 quien actúa en nombre de otra persona y que es reconocido por la ley. Por lo que, el nombre de un representante legal de una persona física (solicitante) no puede ser público, al tratarse de una tercera persona que no guarda alguna relación con el Sujeto Obligado, ni recibe recursos públicos, pues únicamente actúa en favor de los intereses de su cliente; por lo que, se considera que su nombre es susceptible de ser clasificado en términos del artículo 143, fracción I, de la Ley de Transparencia y Acceso a la Información Pública del Estado de México y Municipios.</w:t>
      </w:r>
    </w:p>
    <w:p w:rsidR="00000000" w:rsidDel="00000000" w:rsidP="00000000" w:rsidRDefault="00000000" w:rsidRPr="00000000" w14:paraId="00000113">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todo lo anterior, se concluye que los agravios hechos valer por el Particular son </w:t>
      </w:r>
      <w:r w:rsidDel="00000000" w:rsidR="00000000" w:rsidRPr="00000000">
        <w:rPr>
          <w:rFonts w:ascii="Palatino Linotype" w:cs="Palatino Linotype" w:eastAsia="Palatino Linotype" w:hAnsi="Palatino Linotype"/>
          <w:b w:val="1"/>
          <w:sz w:val="22"/>
          <w:szCs w:val="22"/>
          <w:rtl w:val="0"/>
        </w:rPr>
        <w:t xml:space="preserve">fundados </w:t>
      </w:r>
      <w:r w:rsidDel="00000000" w:rsidR="00000000" w:rsidRPr="00000000">
        <w:rPr>
          <w:rFonts w:ascii="Palatino Linotype" w:cs="Palatino Linotype" w:eastAsia="Palatino Linotype" w:hAnsi="Palatino Linotype"/>
          <w:sz w:val="22"/>
          <w:szCs w:val="22"/>
          <w:rtl w:val="0"/>
        </w:rPr>
        <w:t xml:space="preserve">y, por ende, este Organismo Garante determina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las respuestas del Sujeto Obligado y </w:t>
      </w:r>
      <w:r w:rsidDel="00000000" w:rsidR="00000000" w:rsidRPr="00000000">
        <w:rPr>
          <w:rFonts w:ascii="Palatino Linotype" w:cs="Palatino Linotype" w:eastAsia="Palatino Linotype" w:hAnsi="Palatino Linotype"/>
          <w:b w:val="1"/>
          <w:sz w:val="22"/>
          <w:szCs w:val="22"/>
          <w:rtl w:val="0"/>
        </w:rPr>
        <w:t xml:space="preserve">ordenar </w:t>
      </w:r>
      <w:r w:rsidDel="00000000" w:rsidR="00000000" w:rsidRPr="00000000">
        <w:rPr>
          <w:rFonts w:ascii="Palatino Linotype" w:cs="Palatino Linotype" w:eastAsia="Palatino Linotype" w:hAnsi="Palatino Linotype"/>
          <w:sz w:val="22"/>
          <w:szCs w:val="22"/>
          <w:rtl w:val="0"/>
        </w:rPr>
        <w:t xml:space="preserve">previa búsqueda exhaustiva y razonable respecto a los folios faltantes de los permisos del año dos mil veinticinco, vía Sistema de Acceso a la Información Mexiquense, los permisos para realizar trabajos de derribos y podas del ejercicio fiscal dos mil veinticuatro, remitos en Informe Justificado y en correcta versión pública; así como, los permisos para realizar trabajos de derribos y podas del primero de enero al diez de marzo de dos mil </w:t>
      </w:r>
      <w:r w:rsidDel="00000000" w:rsidR="00000000" w:rsidRPr="00000000">
        <w:rPr>
          <w:rFonts w:ascii="Palatino Linotype" w:cs="Palatino Linotype" w:eastAsia="Palatino Linotype" w:hAnsi="Palatino Linotype"/>
          <w:b w:val="1"/>
          <w:sz w:val="22"/>
          <w:szCs w:val="22"/>
          <w:rtl w:val="0"/>
        </w:rPr>
        <w:t xml:space="preserve">veinticinco faltantes,</w:t>
      </w:r>
      <w:r w:rsidDel="00000000" w:rsidR="00000000" w:rsidRPr="00000000">
        <w:rPr>
          <w:rFonts w:ascii="Palatino Linotype" w:cs="Palatino Linotype" w:eastAsia="Palatino Linotype" w:hAnsi="Palatino Linotype"/>
          <w:sz w:val="22"/>
          <w:szCs w:val="22"/>
          <w:rtl w:val="0"/>
        </w:rPr>
        <w:t xml:space="preserve"> en versión pública. </w:t>
      </w:r>
    </w:p>
    <w:p w:rsidR="00000000" w:rsidDel="00000000" w:rsidP="00000000" w:rsidRDefault="00000000" w:rsidRPr="00000000" w14:paraId="00000115">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360" w:lineRule="auto"/>
        <w:ind w:right="-9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no pasa desapercibido para este Instituto que de los permisos remitidos en el archivo denominado </w:t>
      </w:r>
      <w:r w:rsidDel="00000000" w:rsidR="00000000" w:rsidRPr="00000000">
        <w:rPr>
          <w:rFonts w:ascii="Palatino Linotype" w:cs="Palatino Linotype" w:eastAsia="Palatino Linotype" w:hAnsi="Palatino Linotype"/>
          <w:i w:val="1"/>
          <w:sz w:val="22"/>
          <w:szCs w:val="22"/>
          <w:rtl w:val="0"/>
        </w:rPr>
        <w:t xml:space="preserve">“respuesta sol. 154.pdf”, </w:t>
      </w:r>
      <w:r w:rsidDel="00000000" w:rsidR="00000000" w:rsidRPr="00000000">
        <w:rPr>
          <w:rFonts w:ascii="Palatino Linotype" w:cs="Palatino Linotype" w:eastAsia="Palatino Linotype" w:hAnsi="Palatino Linotype"/>
          <w:sz w:val="22"/>
          <w:szCs w:val="22"/>
          <w:rtl w:val="0"/>
        </w:rPr>
        <w:t xml:space="preserve">remitido 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dejó a la vista diversos datos susceptibles lo son nombres de particulares, información que es clasificada en términos del artículo 143 fracción I de la Ley de Transparencia, Acceso a la Información Pública y Protección de Datos Personales del Estado de México y Municipios; por lo que resulta procedente dar vista </w:t>
      </w:r>
      <w:r w:rsidDel="00000000" w:rsidR="00000000" w:rsidRPr="00000000">
        <w:rPr>
          <w:rFonts w:ascii="Palatino Linotype" w:cs="Palatino Linotype" w:eastAsia="Palatino Linotype" w:hAnsi="Palatino Linotype"/>
          <w:b w:val="1"/>
          <w:sz w:val="22"/>
          <w:szCs w:val="22"/>
          <w:rtl w:val="0"/>
        </w:rPr>
        <w:t xml:space="preserve">al Titular de la Dirección General de Protección de Datos Personales</w:t>
      </w:r>
      <w:r w:rsidDel="00000000" w:rsidR="00000000" w:rsidRPr="00000000">
        <w:rPr>
          <w:rFonts w:ascii="Palatino Linotype" w:cs="Palatino Linotype" w:eastAsia="Palatino Linotype" w:hAnsi="Palatino Linotype"/>
          <w:sz w:val="22"/>
          <w:szCs w:val="22"/>
          <w:rtl w:val="0"/>
        </w:rPr>
        <w:t xml:space="preserve"> de este Organismo,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determine lo conducente.</w:t>
      </w:r>
    </w:p>
    <w:p w:rsidR="00000000" w:rsidDel="00000000" w:rsidP="00000000" w:rsidRDefault="00000000" w:rsidRPr="00000000" w14:paraId="00000117">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Para la entrega de la información que se determina ordenar, el Sujeto Obligado deberá realizar un análisis con la finalidad de advertir si esta contiene datos que deben ser clasificados en los términos que la misma Ley en la materia señala.</w:t>
      </w:r>
    </w:p>
    <w:p w:rsidR="00000000" w:rsidDel="00000000" w:rsidP="00000000" w:rsidRDefault="00000000" w:rsidRPr="00000000" w14:paraId="0000011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11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al </w:t>
      </w:r>
      <w:r w:rsidDel="00000000" w:rsidR="00000000" w:rsidRPr="00000000">
        <w:rPr>
          <w:rFonts w:ascii="Palatino Linotype" w:cs="Palatino Linotype" w:eastAsia="Palatino Linotype" w:hAnsi="Palatino Linotype"/>
          <w:b w:val="1"/>
          <w:sz w:val="22"/>
          <w:szCs w:val="22"/>
          <w:u w:val="single"/>
          <w:rtl w:val="0"/>
        </w:rPr>
        <w:t xml:space="preserve">domicilio o dirección en el que se ubica el árbol, propiedad del interesado, </w:t>
      </w:r>
      <w:r w:rsidDel="00000000" w:rsidR="00000000" w:rsidRPr="00000000">
        <w:rPr>
          <w:rFonts w:ascii="Palatino Linotype" w:cs="Palatino Linotype" w:eastAsia="Palatino Linotype" w:hAnsi="Palatino Linotype"/>
          <w:sz w:val="22"/>
          <w:szCs w:val="22"/>
          <w:rtl w:val="0"/>
        </w:rPr>
        <w:t xml:space="preserve">dicho dato corresponde al domicilio de una propiedad del interesado al que se le autorizó el permiso para realizar trabajos de poda/derribo/trasplante; y, por tanto, el domicilio de referencia tiene carácter de particular.</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E">
      <w:pP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w:t>
      </w:r>
      <w:r w:rsidDel="00000000" w:rsidR="00000000" w:rsidRPr="00000000">
        <w:rPr>
          <w:rFonts w:ascii="Palatino Linotype" w:cs="Palatino Linotype" w:eastAsia="Palatino Linotype" w:hAnsi="Palatino Linotype"/>
          <w:b w:val="1"/>
          <w:sz w:val="22"/>
          <w:szCs w:val="22"/>
          <w:u w:val="single"/>
          <w:rtl w:val="0"/>
        </w:rPr>
        <w:t xml:space="preserve">para habitar</w:t>
      </w:r>
      <w:r w:rsidDel="00000000" w:rsidR="00000000" w:rsidRPr="00000000">
        <w:rPr>
          <w:rFonts w:ascii="Palatino Linotype" w:cs="Palatino Linotype" w:eastAsia="Palatino Linotype" w:hAnsi="Palatino Linotype"/>
          <w:sz w:val="22"/>
          <w:szCs w:val="22"/>
          <w:rtl w:val="0"/>
        </w:rPr>
        <w:t xml:space="preserve">, establecer su centro de trabajo o negocios.</w:t>
      </w:r>
    </w:p>
    <w:p w:rsidR="00000000" w:rsidDel="00000000" w:rsidP="00000000" w:rsidRDefault="00000000" w:rsidRPr="00000000" w14:paraId="0000011F">
      <w:pP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0">
      <w:pP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misma manera, lo establece el artículo 29 del Código Civil Federal, al precisar que el domicilio de personas físicas, es el lugar donde residen habitualmente, el lugar del centro principal de sus negocios, donde residan o el lugar donde se encuentren. </w:t>
      </w:r>
    </w:p>
    <w:p w:rsidR="00000000" w:rsidDel="00000000" w:rsidP="00000000" w:rsidRDefault="00000000" w:rsidRPr="00000000" w14:paraId="00000121">
      <w:pP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2">
      <w:pP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la dirección o domicilio es el lugar en donde reside habitualmente una persona física, por lo que, permite hacerlo identificable y ubicable, </w:t>
      </w:r>
      <w:r w:rsidDel="00000000" w:rsidR="00000000" w:rsidRPr="00000000">
        <w:rPr>
          <w:rFonts w:ascii="Palatino Linotype" w:cs="Palatino Linotype" w:eastAsia="Palatino Linotype" w:hAnsi="Palatino Linotype"/>
          <w:b w:val="1"/>
          <w:sz w:val="22"/>
          <w:szCs w:val="22"/>
          <w:rtl w:val="0"/>
        </w:rPr>
        <w:t xml:space="preserve">propiciando que pueda ser molestado en su casa o negocio</w:t>
      </w:r>
      <w:r w:rsidDel="00000000" w:rsidR="00000000" w:rsidRPr="00000000">
        <w:rPr>
          <w:rFonts w:ascii="Palatino Linotype" w:cs="Palatino Linotype" w:eastAsia="Palatino Linotype" w:hAnsi="Palatino Linotype"/>
          <w:sz w:val="22"/>
          <w:szCs w:val="22"/>
          <w:rtl w:val="0"/>
        </w:rPr>
        <w:t xml:space="preserve">,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 </w:t>
      </w:r>
    </w:p>
    <w:p w:rsidR="00000000" w:rsidDel="00000000" w:rsidP="00000000" w:rsidRDefault="00000000" w:rsidRPr="00000000" w14:paraId="00000123">
      <w:pP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4">
      <w:pP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las f</w:t>
      </w:r>
      <w:r w:rsidDel="00000000" w:rsidR="00000000" w:rsidRPr="00000000">
        <w:rPr>
          <w:rFonts w:ascii="Palatino Linotype" w:cs="Palatino Linotype" w:eastAsia="Palatino Linotype" w:hAnsi="Palatino Linotype"/>
          <w:b w:val="1"/>
          <w:sz w:val="22"/>
          <w:szCs w:val="22"/>
          <w:rtl w:val="0"/>
        </w:rPr>
        <w:t xml:space="preserve">irmas del solicitante y/o representante legal</w:t>
      </w:r>
      <w:r w:rsidDel="00000000" w:rsidR="00000000" w:rsidRPr="00000000">
        <w:rPr>
          <w:rFonts w:ascii="Palatino Linotype" w:cs="Palatino Linotype" w:eastAsia="Palatino Linotype" w:hAnsi="Palatino Linotype"/>
          <w:sz w:val="22"/>
          <w:szCs w:val="22"/>
          <w:rtl w:val="0"/>
        </w:rPr>
        <w:t xml:space="preserve">, toda vez que la firma es considerada un dato personal, al tratarse de información gráfica a través de la cual su titular exterioriza su voluntad en actos públicos y privados; en el presente caso, dicho dato, es del titular de quien acuso de recibido el permiso de la poda, derribo y/o trasplante.</w:t>
      </w:r>
    </w:p>
    <w:p w:rsidR="00000000" w:rsidDel="00000000" w:rsidP="00000000" w:rsidRDefault="00000000" w:rsidRPr="00000000" w14:paraId="00000125">
      <w:pPr>
        <w:spacing w:line="360" w:lineRule="auto"/>
        <w:ind w:right="-7"/>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26">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debe tener presente que la firma y rúbrica son definidas por la Real Academia de la Lengua Española, como el </w:t>
      </w:r>
      <w:r w:rsidDel="00000000" w:rsidR="00000000" w:rsidRPr="00000000">
        <w:rPr>
          <w:rFonts w:ascii="Palatino Linotype" w:cs="Palatino Linotype" w:eastAsia="Palatino Linotype" w:hAnsi="Palatino Linotype"/>
          <w:i w:val="1"/>
          <w:sz w:val="22"/>
          <w:szCs w:val="22"/>
          <w:rtl w:val="0"/>
        </w:rPr>
        <w:t xml:space="preserve">“Rasgo o conjunto de rasgos, realizados siempre de la misma manera, que identifican a una persona y sustituyen a su nombre y apellidos para aprobar o dar autenticidad a un documento”.</w:t>
      </w:r>
      <w:r w:rsidDel="00000000" w:rsidR="00000000" w:rsidRPr="00000000">
        <w:rPr>
          <w:rtl w:val="0"/>
        </w:rPr>
      </w:r>
    </w:p>
    <w:p w:rsidR="00000000" w:rsidDel="00000000" w:rsidP="00000000" w:rsidRDefault="00000000" w:rsidRPr="00000000" w14:paraId="00000127">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8">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se advierte que la firma son rasgos gráficos que pueden identificar o hacer identificable a una persona, por lo tanto, se consideran por regla general como datos personales confidenciales que deben protegerse en los documentos que los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ya que en mayor o menor medida inciden en la vida privada de una persona.</w:t>
      </w:r>
    </w:p>
    <w:p w:rsidR="00000000" w:rsidDel="00000000" w:rsidP="00000000" w:rsidRDefault="00000000" w:rsidRPr="00000000" w14:paraId="00000129">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A">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Y, si bien es cierto que en términos del artículo 92, fracción XXXII de la Ley de Transparencia y Acceso a la Información Pública del Estado de México y Municipios, en el caso de las concesiones, contratos, convenios, permisos, licencias o autorizaciones otorgados, los Sujetos Obligados deben difundir información de los titulares de estos, tal como su nombre o razón social, la finalidad de dicha obligación radica en involucrar de mejor y mayor manera a los gobernados en temas como el aprovechamiento de bienes, servicios y recursos públicos, permitiendo que la corrupción y las malas prácticas dentro de los diversos órdenes de gobierno sean erradicadas del sector público pudiendo los usuarios del derecho a saber acceder directamente a la fuente jurídica que sustenta el ejercicio de la función y la aplicación del gasto público, así como conocer obligaciones, condiciones y montos y personalidad jurídica de concesionarios, celebrantes y permisionarios  y todo detalle de convencionalidades que suscriban las entidades públicas.</w:t>
      </w:r>
    </w:p>
    <w:p w:rsidR="00000000" w:rsidDel="00000000" w:rsidP="00000000" w:rsidRDefault="00000000" w:rsidRPr="00000000" w14:paraId="0000012B">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C">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mismo criterio </w:t>
      </w:r>
      <w:r w:rsidDel="00000000" w:rsidR="00000000" w:rsidRPr="00000000">
        <w:rPr>
          <w:rFonts w:ascii="Palatino Linotype" w:cs="Palatino Linotype" w:eastAsia="Palatino Linotype" w:hAnsi="Palatino Linotype"/>
          <w:b w:val="1"/>
          <w:sz w:val="22"/>
          <w:szCs w:val="22"/>
          <w:rtl w:val="0"/>
        </w:rPr>
        <w:t xml:space="preserve">no es aplicable para la firma de los titulares o sus representantes que se plasma para el único efecto de acusar de recibido</w:t>
      </w:r>
      <w:r w:rsidDel="00000000" w:rsidR="00000000" w:rsidRPr="00000000">
        <w:rPr>
          <w:rFonts w:ascii="Palatino Linotype" w:cs="Palatino Linotype" w:eastAsia="Palatino Linotype" w:hAnsi="Palatino Linotype"/>
          <w:sz w:val="22"/>
          <w:szCs w:val="22"/>
          <w:rtl w:val="0"/>
        </w:rPr>
        <w:t xml:space="preserve">, pues, al tratarse de un acto de autoridad unilateral, es la misma autoridad quien determina la procedencia o improcedencia de la licencia, permiso o autorización, en función del cumplimiento de los requisitos por parte de los interesados; por lo que la firma o rúbrica de los titulares o sus representantes, no es un elemento de validez que forme parte de dichos documentos, sino que </w:t>
      </w:r>
      <w:r w:rsidDel="00000000" w:rsidR="00000000" w:rsidRPr="00000000">
        <w:rPr>
          <w:rFonts w:ascii="Palatino Linotype" w:cs="Palatino Linotype" w:eastAsia="Palatino Linotype" w:hAnsi="Palatino Linotype"/>
          <w:b w:val="1"/>
          <w:sz w:val="22"/>
          <w:szCs w:val="22"/>
          <w:rtl w:val="0"/>
        </w:rPr>
        <w:t xml:space="preserve">su finalidad consiste en la comprobación de que el trámite fue recibido por el interesado, como acontece en el presente caso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2D">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E">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Atento a lo anterior, dado que la firma de los titulares o sus representantes en los permisos o autorizaciones, se plasma con el único fin de justificar la recepción de dichos documentos, no así de emitir un acto de autoridad, es que se considera que dicho dato es susceptible de ser clasificado en términos del artículo 143, fracción I, de la Ley de Transparencia y Acceso a la Información Pública del Estado de México y Municipios.</w:t>
      </w:r>
    </w:p>
    <w:p w:rsidR="00000000" w:rsidDel="00000000" w:rsidP="00000000" w:rsidRDefault="00000000" w:rsidRPr="00000000" w14:paraId="0000012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0">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31">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3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3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Información clasificada: Aquella considerada por la presente Ley como reservada o confidencial;</w:t>
      </w:r>
    </w:p>
    <w:p w:rsidR="00000000" w:rsidDel="00000000" w:rsidP="00000000" w:rsidRDefault="00000000" w:rsidRPr="00000000" w14:paraId="0000013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3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3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3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3B">
      <w:pPr>
        <w:tabs>
          <w:tab w:val="left" w:leader="none" w:pos="1134"/>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reciba una solicitud de acceso a la información;</w:t>
      </w:r>
    </w:p>
    <w:p w:rsidR="00000000" w:rsidDel="00000000" w:rsidP="00000000" w:rsidRDefault="00000000" w:rsidRPr="00000000" w14:paraId="0000013C">
      <w:pPr>
        <w:tabs>
          <w:tab w:val="left" w:leader="none" w:pos="1134"/>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 determine mediante resolución de autoridad competente; o</w:t>
      </w:r>
    </w:p>
    <w:p w:rsidR="00000000" w:rsidDel="00000000" w:rsidP="00000000" w:rsidRDefault="00000000" w:rsidRPr="00000000" w14:paraId="0000013D">
      <w:pPr>
        <w:tabs>
          <w:tab w:val="left" w:leader="none" w:pos="1134"/>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13E">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F">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40">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4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4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4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4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45">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47">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14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4B">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14C">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14D">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 </w:t>
      </w:r>
    </w:p>
    <w:p w:rsidR="00000000" w:rsidDel="00000000" w:rsidP="00000000" w:rsidRDefault="00000000" w:rsidRPr="00000000" w14:paraId="0000014E">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 </w:t>
      </w:r>
    </w:p>
    <w:p w:rsidR="00000000" w:rsidDel="00000000" w:rsidP="00000000" w:rsidRDefault="00000000" w:rsidRPr="00000000" w14:paraId="0000014F">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 </w:t>
      </w:r>
    </w:p>
    <w:p w:rsidR="00000000" w:rsidDel="00000000" w:rsidP="00000000" w:rsidRDefault="00000000" w:rsidRPr="00000000" w14:paraId="00000150">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151">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52">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153">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w:t>
      </w:r>
    </w:p>
    <w:p w:rsidR="00000000" w:rsidDel="00000000" w:rsidP="00000000" w:rsidRDefault="00000000" w:rsidRPr="00000000" w14:paraId="00000154">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 </w:t>
      </w:r>
    </w:p>
    <w:p w:rsidR="00000000" w:rsidDel="00000000" w:rsidP="00000000" w:rsidRDefault="00000000" w:rsidRPr="00000000" w14:paraId="00000155">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p>
    <w:p w:rsidR="00000000" w:rsidDel="00000000" w:rsidP="00000000" w:rsidRDefault="00000000" w:rsidRPr="00000000" w14:paraId="00000156">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57">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5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5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5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5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5C">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5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5E">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16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w:t>
      </w:r>
      <w:r w:rsidDel="00000000" w:rsidR="00000000" w:rsidRPr="00000000">
        <w:rPr>
          <w:rFonts w:ascii="Palatino Linotype" w:cs="Palatino Linotype" w:eastAsia="Palatino Linotype" w:hAnsi="Palatino Linotype"/>
          <w:i w:val="1"/>
          <w:sz w:val="22"/>
          <w:szCs w:val="22"/>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6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w:t>
      </w:r>
      <w:r w:rsidDel="00000000" w:rsidR="00000000" w:rsidRPr="00000000">
        <w:rPr>
          <w:rFonts w:ascii="Palatino Linotype" w:cs="Palatino Linotype" w:eastAsia="Palatino Linotype" w:hAnsi="Palatino Linotype"/>
          <w:i w:val="1"/>
          <w:sz w:val="22"/>
          <w:szCs w:val="22"/>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6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6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6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6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6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6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6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6A">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6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6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séptimo, trigésimo octavo y trigésimo noveno de la Constitución Política del Estado Libre y Soberano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16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F">
      <w:pPr>
        <w:ind w:left="-142" w:right="49"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170">
      <w:pPr>
        <w:ind w:left="-142" w:right="49"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7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Resultan </w:t>
      </w:r>
      <w:r w:rsidDel="00000000" w:rsidR="00000000" w:rsidRPr="00000000">
        <w:rPr>
          <w:rFonts w:ascii="Palatino Linotype" w:cs="Palatino Linotype" w:eastAsia="Palatino Linotype" w:hAnsi="Palatino Linotype"/>
          <w:b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los recursos de revisión </w:t>
      </w:r>
      <w:r w:rsidDel="00000000" w:rsidR="00000000" w:rsidRPr="00000000">
        <w:rPr>
          <w:rFonts w:ascii="Palatino Linotype" w:cs="Palatino Linotype" w:eastAsia="Palatino Linotype" w:hAnsi="Palatino Linotype"/>
          <w:b w:val="1"/>
          <w:sz w:val="22"/>
          <w:szCs w:val="22"/>
          <w:rtl w:val="0"/>
        </w:rPr>
        <w:t xml:space="preserve">02759/INFOEM/IP/RR/2025 y 03566/INFOEM/IP/RR/2025</w:t>
      </w:r>
      <w:r w:rsidDel="00000000" w:rsidR="00000000" w:rsidRPr="00000000">
        <w:rPr>
          <w:rFonts w:ascii="Palatino Linotype" w:cs="Palatino Linotype" w:eastAsia="Palatino Linotype" w:hAnsi="Palatino Linotype"/>
          <w:sz w:val="22"/>
          <w:szCs w:val="22"/>
          <w:rtl w:val="0"/>
        </w:rPr>
        <w:t xml:space="preserve">, por lo que, en términos del Considerando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Modifican</w:t>
      </w:r>
      <w:r w:rsidDel="00000000" w:rsidR="00000000" w:rsidRPr="00000000">
        <w:rPr>
          <w:rFonts w:ascii="Palatino Linotype" w:cs="Palatino Linotype" w:eastAsia="Palatino Linotype" w:hAnsi="Palatino Linotype"/>
          <w:sz w:val="22"/>
          <w:szCs w:val="22"/>
          <w:rtl w:val="0"/>
        </w:rPr>
        <w:t xml:space="preserve"> las respuestas emitidas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7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ordena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 los Considerandos Cuarto y Quinto de esta resolución, haga entrega 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previa búsqueda exhaustiva y razonable, de lo siguiente: </w:t>
      </w:r>
    </w:p>
    <w:p w:rsidR="00000000" w:rsidDel="00000000" w:rsidP="00000000" w:rsidRDefault="00000000" w:rsidRPr="00000000" w14:paraId="0000017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5">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permisos para realizar trabajos de derribos y podas otorgados en el ejercicio fiscal dos mil veinticuatro, remitos en Informe Justificado y en versión pública correcta. </w:t>
      </w:r>
    </w:p>
    <w:p w:rsidR="00000000" w:rsidDel="00000000" w:rsidP="00000000" w:rsidRDefault="00000000" w:rsidRPr="00000000" w14:paraId="00000176">
      <w:pPr>
        <w:widowControl w:val="0"/>
        <w:numPr>
          <w:ilvl w:val="0"/>
          <w:numId w:val="5"/>
        </w:numPr>
        <w:pBdr>
          <w:top w:space="0" w:sz="0" w:val="nil"/>
          <w:left w:space="0" w:sz="0" w:val="nil"/>
          <w:bottom w:space="0" w:sz="0" w:val="nil"/>
          <w:right w:space="0" w:sz="0" w:val="nil"/>
          <w:between w:space="0" w:sz="0" w:val="nil"/>
        </w:pBdr>
        <w:spacing w:after="28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permisos para realizar trabajos de derribos y podas otorgados del primero de enero al diez de marzo de dos mil veinticinco faltantes, en versión pública. </w:t>
      </w:r>
    </w:p>
    <w:p w:rsidR="00000000" w:rsidDel="00000000" w:rsidP="00000000" w:rsidRDefault="00000000" w:rsidRPr="00000000" w14:paraId="00000177">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así como de los permisos del dos mil veinticinco remitidos en respuesta. </w:t>
      </w:r>
    </w:p>
    <w:p w:rsidR="00000000" w:rsidDel="00000000" w:rsidP="00000000" w:rsidRDefault="00000000" w:rsidRPr="00000000" w14:paraId="00000178">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caso de no contar con la evidencia documental ordenada en el numeral 2), por corresponder a otra materia o bien por no haberse emitido para el otorgamiento de derribos y podas,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w:t>
      </w:r>
    </w:p>
    <w:p w:rsidR="00000000" w:rsidDel="00000000" w:rsidP="00000000" w:rsidRDefault="00000000" w:rsidRPr="00000000" w14:paraId="0000017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7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Notifíquese 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a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180">
      <w:pPr>
        <w:widowControl w:val="0"/>
        <w:tabs>
          <w:tab w:val="left" w:leader="none" w:pos="1701"/>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SEXTO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Gírese oficio </w:t>
      </w:r>
      <w:r w:rsidDel="00000000" w:rsidR="00000000" w:rsidRPr="00000000">
        <w:rPr>
          <w:rFonts w:ascii="Palatino Linotype" w:cs="Palatino Linotype" w:eastAsia="Palatino Linotype" w:hAnsi="Palatino Linotype"/>
          <w:sz w:val="22"/>
          <w:szCs w:val="22"/>
          <w:rtl w:val="0"/>
        </w:rPr>
        <w:t xml:space="preserve">a la </w:t>
      </w:r>
      <w:r w:rsidDel="00000000" w:rsidR="00000000" w:rsidRPr="00000000">
        <w:rPr>
          <w:rFonts w:ascii="Palatino Linotype" w:cs="Palatino Linotype" w:eastAsia="Palatino Linotype" w:hAnsi="Palatino Linotype"/>
          <w:b w:val="1"/>
          <w:sz w:val="22"/>
          <w:szCs w:val="22"/>
          <w:rtl w:val="0"/>
        </w:rPr>
        <w:t xml:space="preserve">Dirección General de Protección de Datos Personales</w:t>
      </w:r>
      <w:r w:rsidDel="00000000" w:rsidR="00000000" w:rsidRPr="00000000">
        <w:rPr>
          <w:rFonts w:ascii="Palatino Linotype" w:cs="Palatino Linotype" w:eastAsia="Palatino Linotype" w:hAnsi="Palatino Linotype"/>
          <w:sz w:val="22"/>
          <w:szCs w:val="22"/>
          <w:rtl w:val="0"/>
        </w:rPr>
        <w:t xml:space="preserve"> en atención al artículo 82, fracción XXVII de la Ley de Protección de Datos Personales del Estado de México y Municipios, a fin de que determine lo conducente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la presente resolución.</w:t>
      </w:r>
    </w:p>
    <w:p w:rsidR="00000000" w:rsidDel="00000000" w:rsidP="00000000" w:rsidRDefault="00000000" w:rsidRPr="00000000" w14:paraId="00000181">
      <w:pPr>
        <w:spacing w:after="240" w:before="240" w:line="360" w:lineRule="auto"/>
        <w:jc w:val="both"/>
        <w:rPr>
          <w:rFonts w:ascii="Palatino Linotype" w:cs="Palatino Linotype" w:eastAsia="Palatino Linotype" w:hAnsi="Palatino Linotype"/>
          <w:sz w:val="22"/>
          <w:szCs w:val="22"/>
        </w:rPr>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701" w:top="621" w:left="1701" w:right="1701" w:header="618"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CATORCE DE MAYO DE DOS MIL VEINTICINCO, ANTE EL SECRETARIO TÉCNICO DEL PLENO, ALEXIS TAPIA RAMÍREZ.</w:t>
      </w:r>
    </w:p>
    <w:p w:rsidR="00000000" w:rsidDel="00000000" w:rsidP="00000000" w:rsidRDefault="00000000" w:rsidRPr="00000000" w14:paraId="00000182">
      <w:pPr>
        <w:spacing w:after="240" w:before="24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3">
      <w:pPr>
        <w:spacing w:after="240" w:before="240" w:lineRule="auto"/>
        <w:jc w:val="both"/>
        <w:rPr>
          <w:rFonts w:ascii="Palatino Linotype" w:cs="Palatino Linotype" w:eastAsia="Palatino Linotype" w:hAnsi="Palatino Linotype"/>
          <w:sz w:val="22"/>
          <w:szCs w:val="22"/>
        </w:rPr>
      </w:pPr>
      <w:bookmarkStart w:colFirst="0" w:colLast="0" w:name="_heading=h.1fob9te" w:id="5"/>
      <w:bookmarkEnd w:id="5"/>
      <w:r w:rsidDel="00000000" w:rsidR="00000000" w:rsidRPr="00000000">
        <w:rPr>
          <w:rtl w:val="0"/>
        </w:rPr>
      </w:r>
    </w:p>
    <w:p w:rsidR="00000000" w:rsidDel="00000000" w:rsidP="00000000" w:rsidRDefault="00000000" w:rsidRPr="00000000" w14:paraId="00000184">
      <w:pPr>
        <w:spacing w:after="240" w:before="24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5"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C">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D">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85">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18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-1080127</wp:posOffset>
          </wp:positionH>
          <wp:positionV relativeFrom="paragraph">
            <wp:posOffset>-234304</wp:posOffset>
          </wp:positionV>
          <wp:extent cx="7809865" cy="10165715"/>
          <wp:effectExtent b="0" l="0" r="0" t="0"/>
          <wp:wrapNone/>
          <wp:docPr id="38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7"/>
      <w:tblW w:w="5811.0" w:type="dxa"/>
      <w:jc w:val="left"/>
      <w:tblInd w:w="3261.0" w:type="dxa"/>
      <w:tblLayout w:type="fixed"/>
      <w:tblLook w:val="0400"/>
    </w:tblPr>
    <w:tblGrid>
      <w:gridCol w:w="2390"/>
      <w:gridCol w:w="3421"/>
      <w:tblGridChange w:id="0">
        <w:tblGrid>
          <w:gridCol w:w="2390"/>
          <w:gridCol w:w="3421"/>
        </w:tblGrid>
      </w:tblGridChange>
    </w:tblGrid>
    <w:tr>
      <w:trPr>
        <w:cantSplit w:val="0"/>
        <w:trHeight w:val="502" w:hRule="atLeast"/>
        <w:tblHeader w:val="0"/>
      </w:trPr>
      <w:tc>
        <w:tcPr>
          <w:shd w:fill="auto" w:val="clear"/>
        </w:tcPr>
        <w:p w:rsidR="00000000" w:rsidDel="00000000" w:rsidP="00000000" w:rsidRDefault="00000000" w:rsidRPr="00000000" w14:paraId="00000189">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uto" w:val="clear"/>
          <w:vAlign w:val="center"/>
        </w:tcPr>
        <w:p w:rsidR="00000000" w:rsidDel="00000000" w:rsidP="00000000" w:rsidRDefault="00000000" w:rsidRPr="00000000" w14:paraId="0000018A">
          <w:pPr>
            <w:ind w:right="184"/>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02759/INFOEM/IP/RR/2025 y acumulado</w:t>
          </w:r>
        </w:p>
      </w:tc>
    </w:tr>
    <w:tr>
      <w:trPr>
        <w:cantSplit w:val="0"/>
        <w:trHeight w:val="190" w:hRule="atLeast"/>
        <w:tblHeader w:val="0"/>
      </w:trPr>
      <w:tc>
        <w:tcPr>
          <w:shd w:fill="auto" w:val="clear"/>
          <w:vAlign w:val="center"/>
        </w:tcPr>
        <w:p w:rsidR="00000000" w:rsidDel="00000000" w:rsidP="00000000" w:rsidRDefault="00000000" w:rsidRPr="00000000" w14:paraId="0000018B">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shd w:fill="auto" w:val="clear"/>
          <w:vAlign w:val="center"/>
        </w:tcPr>
        <w:p w:rsidR="00000000" w:rsidDel="00000000" w:rsidP="00000000" w:rsidRDefault="00000000" w:rsidRPr="00000000" w14:paraId="0000018C">
          <w:pPr>
            <w:ind w:left="27" w:right="169"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Ayuntamiento de Teoloyucan</w:t>
          </w:r>
        </w:p>
      </w:tc>
    </w:tr>
    <w:tr>
      <w:trPr>
        <w:cantSplit w:val="0"/>
        <w:trHeight w:val="251" w:hRule="atLeast"/>
        <w:tblHeader w:val="0"/>
      </w:trPr>
      <w:tc>
        <w:tcPr>
          <w:shd w:fill="auto" w:val="clear"/>
          <w:vAlign w:val="center"/>
        </w:tcPr>
        <w:p w:rsidR="00000000" w:rsidDel="00000000" w:rsidP="00000000" w:rsidRDefault="00000000" w:rsidRPr="00000000" w14:paraId="0000018D">
          <w:pPr>
            <w:ind w:right="-108"/>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shd w:fill="auto" w:val="clear"/>
          <w:vAlign w:val="center"/>
        </w:tcPr>
        <w:p w:rsidR="00000000" w:rsidDel="00000000" w:rsidP="00000000" w:rsidRDefault="00000000" w:rsidRPr="00000000" w14:paraId="0000018E">
          <w:pPr>
            <w:ind w:right="175"/>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18F">
    <w:pPr>
      <w:rPr>
        <w:rFonts w:ascii="Cambria" w:cs="Cambria" w:eastAsia="Cambria" w:hAnsi="Cambria"/>
        <w:color w:val="000000"/>
      </w:rPr>
    </w:pPr>
    <w:r w:rsidDel="00000000" w:rsidR="00000000" w:rsidRPr="00000000">
      <w:rPr>
        <w:rtl w:val="0"/>
      </w:rPr>
      <w:tab/>
    </w:r>
    <w:r w:rsidDel="00000000" w:rsidR="00000000" w:rsidRPr="00000000">
      <w:rPr>
        <w:rtl w:val="0"/>
      </w:rPr>
    </w:r>
  </w:p>
  <w:p w:rsidR="00000000" w:rsidDel="00000000" w:rsidP="00000000" w:rsidRDefault="00000000" w:rsidRPr="00000000" w14:paraId="00000190">
    <w:pPr>
      <w:tabs>
        <w:tab w:val="left" w:leader="none" w:pos="7560"/>
        <w:tab w:val="right" w:leader="none" w:pos="8838"/>
      </w:tabs>
      <w:rPr/>
    </w:pPr>
    <w:r w:rsidDel="00000000" w:rsidR="00000000" w:rsidRPr="00000000">
      <w:rPr>
        <w:rtl w:val="0"/>
      </w:rPr>
      <w:tab/>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-1073780</wp:posOffset>
          </wp:positionH>
          <wp:positionV relativeFrom="paragraph">
            <wp:posOffset>-198749</wp:posOffset>
          </wp:positionV>
          <wp:extent cx="7809865" cy="10165715"/>
          <wp:effectExtent b="0" l="0" r="0" t="0"/>
          <wp:wrapNone/>
          <wp:docPr id="38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8"/>
      <w:tblW w:w="6378.0" w:type="dxa"/>
      <w:jc w:val="left"/>
      <w:tblInd w:w="3261.0" w:type="dxa"/>
      <w:tblLayout w:type="fixed"/>
      <w:tblLook w:val="0400"/>
    </w:tblPr>
    <w:tblGrid>
      <w:gridCol w:w="2512"/>
      <w:gridCol w:w="3866"/>
      <w:tblGridChange w:id="0">
        <w:tblGrid>
          <w:gridCol w:w="2512"/>
          <w:gridCol w:w="3866"/>
        </w:tblGrid>
      </w:tblGridChange>
    </w:tblGrid>
    <w:tr>
      <w:trPr>
        <w:cantSplit w:val="0"/>
        <w:trHeight w:val="442" w:hRule="atLeast"/>
        <w:tblHeader w:val="0"/>
      </w:trPr>
      <w:tc>
        <w:tcPr>
          <w:shd w:fill="auto" w:val="clear"/>
          <w:vAlign w:val="center"/>
        </w:tcPr>
        <w:p w:rsidR="00000000" w:rsidDel="00000000" w:rsidP="00000000" w:rsidRDefault="00000000" w:rsidRPr="00000000" w14:paraId="0000019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uto" w:val="clear"/>
          <w:vAlign w:val="center"/>
        </w:tcPr>
        <w:p w:rsidR="00000000" w:rsidDel="00000000" w:rsidP="00000000" w:rsidRDefault="00000000" w:rsidRPr="00000000" w14:paraId="00000193">
          <w:pPr>
            <w:tabs>
              <w:tab w:val="left" w:leader="none" w:pos="2334"/>
            </w:tabs>
            <w:ind w:left="-45" w:right="87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02759/INFOEM/IP/RR/2025y acumulado</w:t>
          </w:r>
        </w:p>
      </w:tc>
    </w:tr>
    <w:tr>
      <w:trPr>
        <w:cantSplit w:val="0"/>
        <w:trHeight w:val="95" w:hRule="atLeast"/>
        <w:tblHeader w:val="0"/>
      </w:trPr>
      <w:tc>
        <w:tcPr>
          <w:shd w:fill="auto" w:val="clear"/>
          <w:vAlign w:val="center"/>
        </w:tcPr>
        <w:p w:rsidR="00000000" w:rsidDel="00000000" w:rsidP="00000000" w:rsidRDefault="00000000" w:rsidRPr="00000000" w14:paraId="00000194">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shd w:fill="auto" w:val="clear"/>
          <w:vAlign w:val="center"/>
        </w:tcPr>
        <w:p w:rsidR="00000000" w:rsidDel="00000000" w:rsidP="00000000" w:rsidRDefault="00000000" w:rsidRPr="00000000" w14:paraId="00000195">
          <w:pPr>
            <w:jc w:val="both"/>
            <w:rPr>
              <w:rFonts w:ascii="Palatino Linotype" w:cs="Palatino Linotype" w:eastAsia="Palatino Linotype" w:hAnsi="Palatino Linotype"/>
              <w:b w:val="1"/>
            </w:rPr>
          </w:pPr>
          <w:r w:rsidDel="00000000" w:rsidR="00000000" w:rsidRPr="00000000">
            <w:rPr>
              <w:rtl w:val="0"/>
            </w:rPr>
          </w:r>
        </w:p>
      </w:tc>
    </w:tr>
    <w:tr>
      <w:trPr>
        <w:cantSplit w:val="0"/>
        <w:trHeight w:val="168" w:hRule="atLeast"/>
        <w:tblHeader w:val="0"/>
      </w:trPr>
      <w:tc>
        <w:tcPr>
          <w:shd w:fill="auto" w:val="clear"/>
          <w:vAlign w:val="center"/>
        </w:tcPr>
        <w:p w:rsidR="00000000" w:rsidDel="00000000" w:rsidP="00000000" w:rsidRDefault="00000000" w:rsidRPr="00000000" w14:paraId="0000019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shd w:fill="auto" w:val="clear"/>
          <w:vAlign w:val="center"/>
        </w:tcPr>
        <w:p w:rsidR="00000000" w:rsidDel="00000000" w:rsidP="00000000" w:rsidRDefault="00000000" w:rsidRPr="00000000" w14:paraId="00000197">
          <w:pPr>
            <w:ind w:left="-45" w:right="59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Ayuntamiento de Teoloyucan</w:t>
          </w:r>
        </w:p>
      </w:tc>
    </w:tr>
    <w:tr>
      <w:trPr>
        <w:cantSplit w:val="0"/>
        <w:trHeight w:val="221" w:hRule="atLeast"/>
        <w:tblHeader w:val="0"/>
      </w:trPr>
      <w:tc>
        <w:tcPr>
          <w:shd w:fill="auto" w:val="clear"/>
          <w:vAlign w:val="center"/>
        </w:tcPr>
        <w:p w:rsidR="00000000" w:rsidDel="00000000" w:rsidP="00000000" w:rsidRDefault="00000000" w:rsidRPr="00000000" w14:paraId="00000198">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shd w:fill="auto" w:val="clear"/>
          <w:vAlign w:val="center"/>
        </w:tcPr>
        <w:p w:rsidR="00000000" w:rsidDel="00000000" w:rsidP="00000000" w:rsidRDefault="00000000" w:rsidRPr="00000000" w14:paraId="00000199">
          <w:pPr>
            <w:ind w:left="-45" w:right="-53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19A">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4551E"/>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0" w:customStyle="1">
    <w:name w:val="Table Normal6"/>
    <w:tblPr>
      <w:tblCellMar>
        <w:top w:w="0.0" w:type="dxa"/>
        <w:left w:w="0.0" w:type="dxa"/>
        <w:bottom w:w="0.0" w:type="dxa"/>
        <w:right w:w="0.0" w:type="dxa"/>
      </w:tblCellMar>
    </w:tblPr>
  </w:style>
  <w:style w:type="table" w:styleId="TableNormal50" w:customStyle="1">
    <w:name w:val="Table Normal5"/>
    <w:tblPr>
      <w:tblCellMar>
        <w:top w:w="0.0" w:type="dxa"/>
        <w:left w:w="0.0" w:type="dxa"/>
        <w:bottom w:w="0.0" w:type="dxa"/>
        <w:right w:w="0.0" w:type="dxa"/>
      </w:tblCellMar>
    </w:tblPr>
  </w:style>
  <w:style w:type="table" w:styleId="TableNormal40" w:customStyle="1">
    <w:name w:val="Table Normal4"/>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val="es-MX"/>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val="1"/>
    <w:qFormat w:val="1"/>
    <w:rsid w:val="002944C8"/>
    <w:rPr>
      <w:vertAlign w:val="superscript"/>
    </w:rPr>
  </w:style>
  <w:style w:type="paragraph" w:styleId="Sinespaciado">
    <w:name w:val="No Spacing"/>
    <w:aliases w:val="Francesa,INAI"/>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rPr>
      <w:lang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3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val="es-MX"/>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val="es-MX"/>
    </w:rPr>
  </w:style>
  <w:style w:type="paragraph" w:styleId="m5127500252372250437gmail-paragraph" w:customStyle="1">
    <w:name w:val="m_5127500252372250437gmail-paragraph"/>
    <w:basedOn w:val="Normal"/>
    <w:rsid w:val="00980B7E"/>
    <w:pPr>
      <w:spacing w:after="100" w:afterAutospacing="1" w:before="100" w:beforeAutospacing="1"/>
    </w:pPr>
    <w:rPr>
      <w:lang w:val="es-MX"/>
    </w:r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rPr>
      <w:lang w:val="es-MX"/>
    </w:r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rPr>
      <w:lang w:val="es-MX"/>
    </w:r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rPr>
      <w:lang w:val="es-MX"/>
    </w:rPr>
  </w:style>
  <w:style w:type="paragraph" w:styleId="m" w:customStyle="1">
    <w:name w:val="m"/>
    <w:basedOn w:val="Normal"/>
    <w:rsid w:val="007B00BD"/>
    <w:pPr>
      <w:spacing w:after="100" w:afterAutospacing="1" w:before="100" w:beforeAutospacing="1"/>
    </w:pPr>
    <w:rPr>
      <w:lang w:val="es-MX"/>
    </w:r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val="es-MX"/>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rPr>
      <w:lang w:val="es-MX"/>
    </w:rPr>
  </w:style>
  <w:style w:type="paragraph" w:styleId="n2" w:customStyle="1">
    <w:name w:val="n2"/>
    <w:basedOn w:val="Normal"/>
    <w:rsid w:val="009D307C"/>
    <w:pPr>
      <w:spacing w:after="100" w:afterAutospacing="1" w:before="100" w:beforeAutospacing="1"/>
    </w:pPr>
    <w:rPr>
      <w:lang w:val="es-MX"/>
    </w:r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rPr>
      <w:lang w:val="es-MX"/>
    </w:rPr>
  </w:style>
  <w:style w:type="paragraph" w:styleId="j2" w:customStyle="1">
    <w:name w:val="j2"/>
    <w:basedOn w:val="Normal"/>
    <w:rsid w:val="009D307C"/>
    <w:pPr>
      <w:spacing w:after="100" w:afterAutospacing="1" w:before="100" w:before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Revisin">
    <w:name w:val="Revision"/>
    <w:hidden w:val="1"/>
    <w:uiPriority w:val="99"/>
    <w:semiHidden w:val="1"/>
    <w:rsid w:val="00564B24"/>
  </w:style>
  <w:style w:type="table" w:styleId="Tablanormal11" w:customStyle="1">
    <w:name w:val="Tabla normal 11"/>
    <w:basedOn w:val="Tablanormal"/>
    <w:next w:val="Tablanormal1"/>
    <w:uiPriority w:val="41"/>
    <w:rsid w:val="007A5E15"/>
    <w:rPr>
      <w:rFonts w:eastAsia="Calibri"/>
      <w:sz w:val="22"/>
      <w:szCs w:val="22"/>
      <w:lang w:eastAsia="en-US" w:val="es-MX"/>
    </w:rPr>
    <w:tblPr>
      <w:tblStyleRowBandSize w:val="1"/>
      <w:tblStyleColBandSize w:val="1"/>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tblStylePr w:type="firstRow">
      <w:rPr>
        <w:b w:val="1"/>
        <w:bCs w:val="1"/>
      </w:rPr>
    </w:tblStylePr>
    <w:tblStylePr w:type="lastRow">
      <w:rPr>
        <w:b w:val="1"/>
        <w:bCs w:val="1"/>
      </w:rPr>
      <w:tblPr/>
      <w:tcPr>
        <w:tcBorders>
          <w:top w:color="bfbfbf" w:space="0" w:sz="4" w:val="double"/>
        </w:tcBorders>
      </w:tc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table" w:styleId="Tablanormal1">
    <w:name w:val="Plain Table 1"/>
    <w:basedOn w:val="Tablanormal"/>
    <w:uiPriority w:val="41"/>
    <w:rsid w:val="007A5E15"/>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TextonotapieCar1" w:customStyle="1">
    <w:name w:val="Texto nota pie Car1"/>
    <w:uiPriority w:val="99"/>
    <w:rsid w:val="006233E2"/>
    <w:rPr>
      <w:rFonts w:ascii="Times New Roman" w:cs="Times New Roman" w:eastAsia="Times New Roman" w:hAnsi="Times New Roman"/>
      <w:sz w:val="20"/>
      <w:szCs w:val="20"/>
      <w:lang w:eastAsia="es-ES" w:val="es-ES"/>
    </w:rPr>
  </w:style>
  <w:style w:type="paragraph" w:styleId="Subttulo">
    <w:name w:val="Subtitle"/>
    <w:basedOn w:val="Normal"/>
    <w:next w:val="Normal"/>
    <w:link w:val="SubttuloCar"/>
    <w:pPr>
      <w:spacing w:after="160"/>
    </w:pPr>
    <w:rPr>
      <w:rFonts w:ascii="Cambria" w:cs="Cambria" w:eastAsia="Cambria" w:hAnsi="Cambria"/>
      <w:color w:val="5a5a5a"/>
      <w:sz w:val="22"/>
      <w:szCs w:val="22"/>
    </w:rPr>
  </w:style>
  <w:style w:type="character" w:styleId="SubttuloCar" w:customStyle="1">
    <w:name w:val="Subtítulo Car"/>
    <w:basedOn w:val="Fuentedeprrafopredeter"/>
    <w:link w:val="Subttulo"/>
    <w:uiPriority w:val="11"/>
    <w:rsid w:val="00D91005"/>
    <w:rPr>
      <w:color w:val="5a5a5a" w:themeColor="text1" w:themeTint="0000A5"/>
      <w:spacing w:val="15"/>
      <w:sz w:val="22"/>
      <w:szCs w:val="22"/>
      <w:lang w:val="es-ES"/>
    </w:rPr>
  </w:style>
  <w:style w:type="table" w:styleId="44" w:customStyle="1">
    <w:name w:val="44"/>
    <w:basedOn w:val="TableNormal20"/>
    <w:tblPr>
      <w:tblStyleRowBandSize w:val="1"/>
      <w:tblStyleColBandSize w:val="1"/>
      <w:tblCellMar>
        <w:left w:w="115.0" w:type="dxa"/>
        <w:right w:w="115.0" w:type="dxa"/>
      </w:tblCellMar>
    </w:tblPr>
  </w:style>
  <w:style w:type="table" w:styleId="43" w:customStyle="1">
    <w:name w:val="43"/>
    <w:basedOn w:val="TableNormal20"/>
    <w:tblPr>
      <w:tblStyleRowBandSize w:val="1"/>
      <w:tblStyleColBandSize w:val="1"/>
      <w:tblCellMar>
        <w:left w:w="115.0" w:type="dxa"/>
        <w:right w:w="115.0" w:type="dxa"/>
      </w:tblCellMar>
    </w:tblPr>
  </w:style>
  <w:style w:type="table" w:styleId="42" w:customStyle="1">
    <w:name w:val="42"/>
    <w:basedOn w:val="TableNormal20"/>
    <w:tblPr>
      <w:tblStyleRowBandSize w:val="1"/>
      <w:tblStyleColBandSize w:val="1"/>
      <w:tblCellMar>
        <w:left w:w="115.0" w:type="dxa"/>
        <w:right w:w="115.0" w:type="dxa"/>
      </w:tblCellMar>
    </w:tblPr>
  </w:style>
  <w:style w:type="table" w:styleId="41" w:customStyle="1">
    <w:name w:val="41"/>
    <w:basedOn w:val="TableNormal20"/>
    <w:tblPr>
      <w:tblStyleRowBandSize w:val="1"/>
      <w:tblStyleColBandSize w:val="1"/>
      <w:tblCellMar>
        <w:left w:w="115.0" w:type="dxa"/>
        <w:right w:w="115.0" w:type="dxa"/>
      </w:tblCellMar>
    </w:tblPr>
  </w:style>
  <w:style w:type="table" w:styleId="40" w:customStyle="1">
    <w:name w:val="40"/>
    <w:basedOn w:val="TableNormal20"/>
    <w:rPr>
      <w:sz w:val="22"/>
      <w:szCs w:val="22"/>
    </w:rPr>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39" w:customStyle="1">
    <w:name w:val="39"/>
    <w:basedOn w:val="TableNormal20"/>
    <w:tblPr>
      <w:tblStyleRowBandSize w:val="1"/>
      <w:tblStyleColBandSize w:val="1"/>
      <w:tblCellMar>
        <w:left w:w="115.0" w:type="dxa"/>
        <w:right w:w="115.0" w:type="dxa"/>
      </w:tblCellMar>
    </w:tblPr>
  </w:style>
  <w:style w:type="table" w:styleId="38" w:customStyle="1">
    <w:name w:val="38"/>
    <w:basedOn w:val="TableNormal20"/>
    <w:tblPr>
      <w:tblStyleRowBandSize w:val="1"/>
      <w:tblStyleColBandSize w:val="1"/>
      <w:tblCellMar>
        <w:left w:w="115.0" w:type="dxa"/>
        <w:right w:w="115.0" w:type="dxa"/>
      </w:tblCellMar>
    </w:tblPr>
  </w:style>
  <w:style w:type="table" w:styleId="37" w:customStyle="1">
    <w:name w:val="37"/>
    <w:basedOn w:val="TableNormal20"/>
    <w:rPr>
      <w:sz w:val="22"/>
      <w:szCs w:val="22"/>
    </w:rPr>
    <w:tblPr>
      <w:tblStyleRowBandSize w:val="1"/>
      <w:tblStyleColBandSize w:val="1"/>
      <w:tblCellMar>
        <w:left w:w="115.0" w:type="dxa"/>
        <w:right w:w="115.0" w:type="dxa"/>
      </w:tblCellMar>
    </w:tblPr>
  </w:style>
  <w:style w:type="table" w:styleId="36" w:customStyle="1">
    <w:name w:val="36"/>
    <w:basedOn w:val="TableNormal20"/>
    <w:rPr>
      <w:sz w:val="22"/>
      <w:szCs w:val="22"/>
    </w:rPr>
    <w:tblPr>
      <w:tblStyleRowBandSize w:val="1"/>
      <w:tblStyleColBandSize w:val="1"/>
      <w:tblCellMar>
        <w:left w:w="115.0" w:type="dxa"/>
        <w:right w:w="115.0" w:type="dxa"/>
      </w:tblCellMar>
    </w:tblPr>
  </w:style>
  <w:style w:type="table" w:styleId="35" w:customStyle="1">
    <w:name w:val="35"/>
    <w:basedOn w:val="TableNormal20"/>
    <w:rPr>
      <w:sz w:val="22"/>
      <w:szCs w:val="22"/>
    </w:rPr>
    <w:tblPr>
      <w:tblStyleRowBandSize w:val="1"/>
      <w:tblStyleColBandSize w:val="1"/>
      <w:tblCellMar>
        <w:left w:w="115.0" w:type="dxa"/>
        <w:right w:w="115.0" w:type="dxa"/>
      </w:tblCellMar>
    </w:tblPr>
  </w:style>
  <w:style w:type="table" w:styleId="34" w:customStyle="1">
    <w:name w:val="34"/>
    <w:basedOn w:val="TableNormal20"/>
    <w:tblPr>
      <w:tblStyleRowBandSize w:val="1"/>
      <w:tblStyleColBandSize w:val="1"/>
      <w:tblCellMar>
        <w:left w:w="115.0" w:type="dxa"/>
        <w:right w:w="115.0" w:type="dxa"/>
      </w:tblCellMar>
    </w:tblPr>
  </w:style>
  <w:style w:type="table" w:styleId="33" w:customStyle="1">
    <w:name w:val="33"/>
    <w:basedOn w:val="TableNormal20"/>
    <w:tblPr>
      <w:tblStyleRowBandSize w:val="1"/>
      <w:tblStyleColBandSize w:val="1"/>
      <w:tblCellMar>
        <w:left w:w="115.0" w:type="dxa"/>
        <w:right w:w="115.0" w:type="dxa"/>
      </w:tblCellMar>
    </w:tblPr>
  </w:style>
  <w:style w:type="table" w:styleId="32" w:customStyle="1">
    <w:name w:val="32"/>
    <w:basedOn w:val="TableNormal20"/>
    <w:tblPr>
      <w:tblStyleRowBandSize w:val="1"/>
      <w:tblStyleColBandSize w:val="1"/>
      <w:tblCellMar>
        <w:left w:w="115.0" w:type="dxa"/>
        <w:right w:w="115.0" w:type="dxa"/>
      </w:tblCellMar>
    </w:tblPr>
  </w:style>
  <w:style w:type="table" w:styleId="31" w:customStyle="1">
    <w:name w:val="31"/>
    <w:basedOn w:val="TableNormal20"/>
    <w:tblPr>
      <w:tblStyleRowBandSize w:val="1"/>
      <w:tblStyleColBandSize w:val="1"/>
      <w:tblCellMar>
        <w:left w:w="115.0" w:type="dxa"/>
        <w:right w:w="115.0" w:type="dxa"/>
      </w:tblCellMar>
    </w:tblPr>
  </w:style>
  <w:style w:type="table" w:styleId="30" w:customStyle="1">
    <w:name w:val="30"/>
    <w:basedOn w:val="TableNormal20"/>
    <w:rPr>
      <w:sz w:val="22"/>
      <w:szCs w:val="22"/>
    </w:rPr>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9" w:customStyle="1">
    <w:name w:val="29"/>
    <w:basedOn w:val="TableNormal20"/>
    <w:rPr>
      <w:sz w:val="22"/>
      <w:szCs w:val="22"/>
    </w:rPr>
    <w:tblPr>
      <w:tblStyleRowBandSize w:val="1"/>
      <w:tblStyleColBandSize w:val="1"/>
      <w:tblCellMar>
        <w:left w:w="115.0" w:type="dxa"/>
        <w:right w:w="115.0" w:type="dxa"/>
      </w:tblCellMar>
    </w:tblPr>
  </w:style>
  <w:style w:type="table" w:styleId="28" w:customStyle="1">
    <w:name w:val="28"/>
    <w:basedOn w:val="TableNormal20"/>
    <w:rPr>
      <w:sz w:val="22"/>
      <w:szCs w:val="22"/>
    </w:rPr>
    <w:tblPr>
      <w:tblStyleRowBandSize w:val="1"/>
      <w:tblStyleColBandSize w:val="1"/>
      <w:tblCellMar>
        <w:left w:w="115.0" w:type="dxa"/>
        <w:right w:w="115.0" w:type="dxa"/>
      </w:tblCellMar>
    </w:tblPr>
  </w:style>
  <w:style w:type="table" w:styleId="27" w:customStyle="1">
    <w:name w:val="27"/>
    <w:basedOn w:val="TableNormal30"/>
    <w:rPr>
      <w:sz w:val="22"/>
      <w:szCs w:val="22"/>
    </w:rPr>
    <w:tblPr>
      <w:tblStyleRowBandSize w:val="1"/>
      <w:tblStyleColBandSize w:val="1"/>
      <w:tblCellMar>
        <w:left w:w="115.0" w:type="dxa"/>
        <w:right w:w="115.0" w:type="dxa"/>
      </w:tblCellMar>
    </w:tblPr>
  </w:style>
  <w:style w:type="table" w:styleId="26" w:customStyle="1">
    <w:name w:val="26"/>
    <w:basedOn w:val="TableNormal30"/>
    <w:rPr>
      <w:sz w:val="22"/>
      <w:szCs w:val="22"/>
    </w:rPr>
    <w:tblPr>
      <w:tblStyleRowBandSize w:val="1"/>
      <w:tblStyleColBandSize w:val="1"/>
      <w:tblCellMar>
        <w:left w:w="115.0" w:type="dxa"/>
        <w:right w:w="115.0" w:type="dxa"/>
      </w:tblCellMar>
    </w:tblPr>
  </w:style>
  <w:style w:type="table" w:styleId="25" w:customStyle="1">
    <w:name w:val="25"/>
    <w:basedOn w:val="TableNormal30"/>
    <w:tblPr>
      <w:tblStyleRowBandSize w:val="1"/>
      <w:tblStyleColBandSize w:val="1"/>
      <w:tblCellMar>
        <w:left w:w="115.0" w:type="dxa"/>
        <w:right w:w="115.0" w:type="dxa"/>
      </w:tblCellMar>
    </w:tblPr>
  </w:style>
  <w:style w:type="table" w:styleId="24" w:customStyle="1">
    <w:name w:val="24"/>
    <w:basedOn w:val="TableNormal30"/>
    <w:rPr>
      <w:sz w:val="22"/>
      <w:szCs w:val="22"/>
    </w:rPr>
    <w:tblPr>
      <w:tblStyleRowBandSize w:val="1"/>
      <w:tblStyleColBandSize w:val="1"/>
      <w:tblCellMar>
        <w:left w:w="115.0" w:type="dxa"/>
        <w:right w:w="115.0" w:type="dxa"/>
      </w:tblCellMar>
    </w:tblPr>
  </w:style>
  <w:style w:type="table" w:styleId="23" w:customStyle="1">
    <w:name w:val="23"/>
    <w:basedOn w:val="TableNormal30"/>
    <w:rPr>
      <w:sz w:val="22"/>
      <w:szCs w:val="22"/>
    </w:rPr>
    <w:tblPr>
      <w:tblStyleRowBandSize w:val="1"/>
      <w:tblStyleColBandSize w:val="1"/>
      <w:tblCellMar>
        <w:left w:w="115.0" w:type="dxa"/>
        <w:right w:w="115.0" w:type="dxa"/>
      </w:tblCellMar>
    </w:tblPr>
  </w:style>
  <w:style w:type="table" w:styleId="22" w:customStyle="1">
    <w:name w:val="22"/>
    <w:basedOn w:val="TableNormal40"/>
    <w:rPr>
      <w:sz w:val="22"/>
      <w:szCs w:val="22"/>
    </w:rPr>
    <w:tblPr>
      <w:tblStyleRowBandSize w:val="1"/>
      <w:tblStyleColBandSize w:val="1"/>
      <w:tblCellMar>
        <w:left w:w="115.0" w:type="dxa"/>
        <w:right w:w="115.0" w:type="dxa"/>
      </w:tblCellMar>
    </w:tblPr>
  </w:style>
  <w:style w:type="table" w:styleId="21" w:customStyle="1">
    <w:name w:val="21"/>
    <w:basedOn w:val="TableNormal40"/>
    <w:rPr>
      <w:sz w:val="22"/>
      <w:szCs w:val="22"/>
    </w:rPr>
    <w:tblPr>
      <w:tblStyleRowBandSize w:val="1"/>
      <w:tblStyleColBandSize w:val="1"/>
      <w:tblCellMar>
        <w:left w:w="115.0" w:type="dxa"/>
        <w:right w:w="115.0" w:type="dxa"/>
      </w:tblCellMar>
    </w:tblPr>
  </w:style>
  <w:style w:type="table" w:styleId="20" w:customStyle="1">
    <w:name w:val="20"/>
    <w:basedOn w:val="TableNormal40"/>
    <w:rPr>
      <w:sz w:val="22"/>
      <w:szCs w:val="22"/>
    </w:rPr>
    <w:tblPr>
      <w:tblStyleRowBandSize w:val="1"/>
      <w:tblStyleColBandSize w:val="1"/>
      <w:tblCellMar>
        <w:left w:w="115.0" w:type="dxa"/>
        <w:right w:w="115.0" w:type="dxa"/>
      </w:tblCellMar>
    </w:tblPr>
  </w:style>
  <w:style w:type="table" w:styleId="19" w:customStyle="1">
    <w:name w:val="19"/>
    <w:basedOn w:val="TableNormal40"/>
    <w:rPr>
      <w:sz w:val="22"/>
      <w:szCs w:val="22"/>
    </w:rPr>
    <w:tblPr>
      <w:tblStyleRowBandSize w:val="1"/>
      <w:tblStyleColBandSize w:val="1"/>
      <w:tblCellMar>
        <w:left w:w="115.0" w:type="dxa"/>
        <w:right w:w="115.0" w:type="dxa"/>
      </w:tblCellMar>
    </w:tblPr>
  </w:style>
  <w:style w:type="table" w:styleId="18" w:customStyle="1">
    <w:name w:val="18"/>
    <w:basedOn w:val="TableNormal40"/>
    <w:rPr>
      <w:sz w:val="22"/>
      <w:szCs w:val="22"/>
    </w:rPr>
    <w:tblPr>
      <w:tblStyleRowBandSize w:val="1"/>
      <w:tblStyleColBandSize w:val="1"/>
      <w:tblCellMar>
        <w:left w:w="115.0" w:type="dxa"/>
        <w:right w:w="115.0" w:type="dxa"/>
      </w:tblCellMar>
    </w:tblPr>
  </w:style>
  <w:style w:type="table" w:styleId="Tablaconcuadrcula1" w:customStyle="1">
    <w:name w:val="Tabla con cuadrícula1"/>
    <w:basedOn w:val="Tablanormal"/>
    <w:next w:val="Tablaconcuadrcula"/>
    <w:uiPriority w:val="59"/>
    <w:rsid w:val="00E144A5"/>
    <w:rPr>
      <w:rFonts w:ascii="Calibri" w:hAnsi="Calibri"/>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10" w:customStyle="1">
    <w:name w:val="Table Normal1"/>
    <w:rsid w:val="00166DE3"/>
    <w:tblPr>
      <w:tblCellMar>
        <w:top w:w="0.0" w:type="dxa"/>
        <w:left w:w="0.0" w:type="dxa"/>
        <w:bottom w:w="0.0" w:type="dxa"/>
        <w:right w:w="0.0" w:type="dxa"/>
      </w:tblCellMar>
    </w:tblPr>
  </w:style>
  <w:style w:type="table" w:styleId="17" w:customStyle="1">
    <w:name w:val="17"/>
    <w:basedOn w:val="TableNormal50"/>
    <w:tblPr>
      <w:tblStyleRowBandSize w:val="1"/>
      <w:tblStyleColBandSize w:val="1"/>
      <w:tblCellMar>
        <w:left w:w="115.0" w:type="dxa"/>
        <w:right w:w="115.0" w:type="dxa"/>
      </w:tblCellMar>
    </w:tblPr>
  </w:style>
  <w:style w:type="table" w:styleId="16" w:customStyle="1">
    <w:name w:val="16"/>
    <w:basedOn w:val="TableNormal50"/>
    <w:tblPr>
      <w:tblStyleRowBandSize w:val="1"/>
      <w:tblStyleColBandSize w:val="1"/>
      <w:tblCellMar>
        <w:left w:w="115.0" w:type="dxa"/>
        <w:right w:w="115.0" w:type="dxa"/>
      </w:tblCellMar>
    </w:tblPr>
  </w:style>
  <w:style w:type="table" w:styleId="15" w:customStyle="1">
    <w:name w:val="15"/>
    <w:basedOn w:val="TableNormal50"/>
    <w:rPr>
      <w:sz w:val="22"/>
      <w:szCs w:val="22"/>
    </w:rPr>
    <w:tblPr>
      <w:tblStyleRowBandSize w:val="1"/>
      <w:tblStyleColBandSize w:val="1"/>
      <w:tblCellMar>
        <w:left w:w="115.0" w:type="dxa"/>
        <w:right w:w="115.0" w:type="dxa"/>
      </w:tblCellMar>
    </w:tblPr>
  </w:style>
  <w:style w:type="table" w:styleId="14" w:customStyle="1">
    <w:name w:val="14"/>
    <w:basedOn w:val="TableNormal50"/>
    <w:rPr>
      <w:sz w:val="22"/>
      <w:szCs w:val="22"/>
    </w:rPr>
    <w:tblPr>
      <w:tblStyleRowBandSize w:val="1"/>
      <w:tblStyleColBandSize w:val="1"/>
      <w:tblCellMar>
        <w:left w:w="115.0" w:type="dxa"/>
        <w:right w:w="115.0" w:type="dxa"/>
      </w:tblCellMar>
    </w:tblPr>
  </w:style>
  <w:style w:type="table" w:styleId="13" w:customStyle="1">
    <w:name w:val="13"/>
    <w:basedOn w:val="TableNormal60"/>
    <w:rPr>
      <w:sz w:val="22"/>
      <w:szCs w:val="22"/>
    </w:rPr>
    <w:tblPr>
      <w:tblStyleRowBandSize w:val="1"/>
      <w:tblStyleColBandSize w:val="1"/>
      <w:tblCellMar>
        <w:left w:w="115.0" w:type="dxa"/>
        <w:right w:w="115.0" w:type="dxa"/>
      </w:tblCellMar>
    </w:tblPr>
  </w:style>
  <w:style w:type="table" w:styleId="12" w:customStyle="1">
    <w:name w:val="12"/>
    <w:basedOn w:val="TableNormal60"/>
    <w:rPr>
      <w:sz w:val="22"/>
      <w:szCs w:val="22"/>
    </w:rPr>
    <w:tblPr>
      <w:tblStyleRowBandSize w:val="1"/>
      <w:tblStyleColBandSize w:val="1"/>
      <w:tblCellMar>
        <w:left w:w="115.0" w:type="dxa"/>
        <w:right w:w="115.0" w:type="dxa"/>
      </w:tblCellMar>
    </w:tblPr>
  </w:style>
  <w:style w:type="table" w:styleId="11" w:customStyle="1">
    <w:name w:val="11"/>
    <w:basedOn w:val="TableNormal60"/>
    <w:rPr>
      <w:sz w:val="22"/>
      <w:szCs w:val="22"/>
    </w:rPr>
    <w:tblPr>
      <w:tblStyleRowBandSize w:val="1"/>
      <w:tblStyleColBandSize w:val="1"/>
      <w:tblCellMar>
        <w:left w:w="115.0" w:type="dxa"/>
        <w:right w:w="115.0" w:type="dxa"/>
      </w:tblCellMar>
    </w:tblPr>
  </w:style>
  <w:style w:type="table" w:styleId="10" w:customStyle="1">
    <w:name w:val="10"/>
    <w:basedOn w:val="TableNormal60"/>
    <w:rPr>
      <w:sz w:val="22"/>
      <w:szCs w:val="22"/>
    </w:rPr>
    <w:tblPr>
      <w:tblStyleRowBandSize w:val="1"/>
      <w:tblStyleColBandSize w:val="1"/>
      <w:tblCellMar>
        <w:left w:w="115.0" w:type="dxa"/>
        <w:right w:w="115.0" w:type="dxa"/>
      </w:tblCellMar>
    </w:tblPr>
  </w:style>
  <w:style w:type="table" w:styleId="9" w:customStyle="1">
    <w:name w:val="9"/>
    <w:basedOn w:val="TableNormal7"/>
    <w:rPr>
      <w:sz w:val="22"/>
      <w:szCs w:val="22"/>
    </w:rPr>
    <w:tblPr>
      <w:tblStyleRowBandSize w:val="1"/>
      <w:tblStyleColBandSize w:val="1"/>
      <w:tblCellMar>
        <w:left w:w="115.0" w:type="dxa"/>
        <w:right w:w="115.0" w:type="dxa"/>
      </w:tblCellMar>
    </w:tblPr>
  </w:style>
  <w:style w:type="table" w:styleId="8" w:customStyle="1">
    <w:name w:val="8"/>
    <w:basedOn w:val="TableNormal7"/>
    <w:rPr>
      <w:sz w:val="22"/>
      <w:szCs w:val="22"/>
    </w:rPr>
    <w:tblPr>
      <w:tblStyleRowBandSize w:val="1"/>
      <w:tblStyleColBandSize w:val="1"/>
      <w:tblCellMar>
        <w:left w:w="115.0" w:type="dxa"/>
        <w:right w:w="115.0" w:type="dxa"/>
      </w:tblCellMar>
    </w:tblPr>
  </w:style>
  <w:style w:type="table" w:styleId="7" w:customStyle="1">
    <w:name w:val="7"/>
    <w:basedOn w:val="TableNormal7"/>
    <w:rPr>
      <w:sz w:val="22"/>
      <w:szCs w:val="22"/>
    </w:rPr>
    <w:tblPr>
      <w:tblStyleRowBandSize w:val="1"/>
      <w:tblStyleColBandSize w:val="1"/>
      <w:tblCellMar>
        <w:left w:w="115.0" w:type="dxa"/>
        <w:right w:w="115.0" w:type="dxa"/>
      </w:tblCellMar>
    </w:tblPr>
  </w:style>
  <w:style w:type="table" w:styleId="6" w:customStyle="1">
    <w:name w:val="6"/>
    <w:basedOn w:val="TableNormal7"/>
    <w:rPr>
      <w:rFonts w:ascii="Calibri" w:cs="Calibri" w:eastAsia="Calibri" w:hAnsi="Calibri"/>
      <w:sz w:val="22"/>
      <w:szCs w:val="22"/>
    </w:rPr>
    <w:tblPr>
      <w:tblStyleRowBandSize w:val="1"/>
      <w:tblStyleColBandSize w:val="1"/>
      <w:tblCellMar>
        <w:left w:w="108.0" w:type="dxa"/>
        <w:right w:w="108.0" w:type="dxa"/>
      </w:tblCellMar>
    </w:tblPr>
  </w:style>
  <w:style w:type="table" w:styleId="5" w:customStyle="1">
    <w:name w:val="5"/>
    <w:basedOn w:val="TableNormal7"/>
    <w:rPr>
      <w:rFonts w:ascii="Calibri" w:cs="Calibri" w:eastAsia="Calibri" w:hAnsi="Calibri"/>
      <w:sz w:val="22"/>
      <w:szCs w:val="22"/>
    </w:rPr>
    <w:tblPr>
      <w:tblStyleRowBandSize w:val="1"/>
      <w:tblStyleColBandSize w:val="1"/>
      <w:tblCellMar>
        <w:left w:w="108.0" w:type="dxa"/>
        <w:right w:w="108.0" w:type="dxa"/>
      </w:tblCellMar>
    </w:tblPr>
  </w:style>
  <w:style w:type="table" w:styleId="4" w:customStyle="1">
    <w:name w:val="4"/>
    <w:basedOn w:val="TableNormal7"/>
    <w:rPr>
      <w:sz w:val="22"/>
      <w:szCs w:val="22"/>
    </w:rPr>
    <w:tblPr>
      <w:tblStyleRowBandSize w:val="1"/>
      <w:tblStyleColBandSize w:val="1"/>
      <w:tblCellMar>
        <w:left w:w="115.0" w:type="dxa"/>
        <w:right w:w="115.0" w:type="dxa"/>
      </w:tblCellMar>
    </w:tblPr>
  </w:style>
  <w:style w:type="table" w:styleId="3" w:customStyle="1">
    <w:name w:val="3"/>
    <w:basedOn w:val="TableNormal7"/>
    <w:rPr>
      <w:rFonts w:ascii="Calibri" w:cs="Calibri" w:eastAsia="Calibri" w:hAnsi="Calibri"/>
      <w:sz w:val="22"/>
      <w:szCs w:val="22"/>
    </w:rPr>
    <w:tblPr>
      <w:tblStyleRowBandSize w:val="1"/>
      <w:tblStyleColBandSize w:val="1"/>
      <w:tblCellMar>
        <w:left w:w="108.0" w:type="dxa"/>
        <w:right w:w="108.0" w:type="dxa"/>
      </w:tblCellMar>
    </w:tblPr>
  </w:style>
  <w:style w:type="table" w:styleId="2" w:customStyle="1">
    <w:name w:val="2"/>
    <w:basedOn w:val="TableNormal7"/>
    <w:rPr>
      <w:sz w:val="22"/>
      <w:szCs w:val="22"/>
    </w:rPr>
    <w:tblPr>
      <w:tblStyleRowBandSize w:val="1"/>
      <w:tblStyleColBandSize w:val="1"/>
      <w:tblCellMar>
        <w:left w:w="115.0" w:type="dxa"/>
        <w:right w:w="115.0" w:type="dxa"/>
      </w:tblCellMar>
    </w:tblPr>
  </w:style>
  <w:style w:type="table" w:styleId="1" w:customStyle="1">
    <w:name w:val="1"/>
    <w:basedOn w:val="TableNormal7"/>
    <w:rPr>
      <w:sz w:val="22"/>
      <w:szCs w:val="22"/>
    </w:rPr>
    <w:tblPr>
      <w:tblStyleRowBandSize w:val="1"/>
      <w:tblStyleColBandSize w:val="1"/>
      <w:tblCellMar>
        <w:left w:w="115.0" w:type="dxa"/>
        <w:right w:w="115.0" w:type="dxa"/>
      </w:tblCellMar>
    </w:tblPr>
  </w:style>
  <w:style w:type="table" w:styleId="a" w:customStyle="1">
    <w:basedOn w:val="TableNormal6"/>
    <w:rPr>
      <w:rFonts w:ascii="Calibri" w:cs="Calibri" w:eastAsia="Calibri" w:hAnsi="Calibri"/>
      <w:sz w:val="22"/>
      <w:szCs w:val="22"/>
    </w:rPr>
    <w:tblPr>
      <w:tblStyleRowBandSize w:val="1"/>
      <w:tblStyleColBandSize w:val="1"/>
      <w:tblCellMar>
        <w:left w:w="115.0" w:type="dxa"/>
        <w:right w:w="115.0" w:type="dxa"/>
      </w:tblCellMar>
    </w:tblPr>
  </w:style>
  <w:style w:type="table" w:styleId="a0" w:customStyle="1">
    <w:basedOn w:val="TableNormal6"/>
    <w:rPr>
      <w:rFonts w:ascii="Calibri" w:cs="Calibri" w:eastAsia="Calibri" w:hAnsi="Calibri"/>
      <w:sz w:val="22"/>
      <w:szCs w:val="22"/>
    </w:rPr>
    <w:tblPr>
      <w:tblStyleRowBandSize w:val="1"/>
      <w:tblStyleColBandSize w:val="1"/>
      <w:tblCellMar>
        <w:left w:w="115.0" w:type="dxa"/>
        <w:right w:w="115.0" w:type="dxa"/>
      </w:tblCellMar>
    </w:tblPr>
  </w:style>
  <w:style w:type="table" w:styleId="a2" w:customStyle="1">
    <w:basedOn w:val="TableNormal6"/>
    <w:rPr>
      <w:rFonts w:ascii="Calibri" w:cs="Calibri" w:eastAsia="Calibri" w:hAnsi="Calibri"/>
      <w:sz w:val="22"/>
      <w:szCs w:val="22"/>
    </w:rPr>
    <w:tblPr>
      <w:tblStyleRowBandSize w:val="1"/>
      <w:tblStyleColBandSize w:val="1"/>
      <w:tblCellMar>
        <w:left w:w="115.0" w:type="dxa"/>
        <w:right w:w="115.0" w:type="dxa"/>
      </w:tblCellMar>
    </w:tblPr>
  </w:style>
  <w:style w:type="table" w:styleId="a3" w:customStyle="1">
    <w:basedOn w:val="TableNormal6"/>
    <w:rPr>
      <w:rFonts w:ascii="Calibri" w:cs="Calibri" w:eastAsia="Calibri" w:hAnsi="Calibri"/>
      <w:sz w:val="22"/>
      <w:szCs w:val="22"/>
    </w:rPr>
    <w:tblPr>
      <w:tblStyleRowBandSize w:val="1"/>
      <w:tblStyleColBandSize w:val="1"/>
      <w:tblCellMar>
        <w:left w:w="115.0" w:type="dxa"/>
        <w:right w:w="115.0" w:type="dxa"/>
      </w:tblCellMar>
    </w:tblPr>
  </w:style>
  <w:style w:type="table" w:styleId="a4" w:customStyle="1">
    <w:basedOn w:val="TableNormal6"/>
    <w:rPr>
      <w:rFonts w:ascii="Calibri" w:cs="Calibri" w:eastAsia="Calibri" w:hAnsi="Calibri"/>
      <w:sz w:val="22"/>
      <w:szCs w:val="22"/>
    </w:rPr>
    <w:tblPr>
      <w:tblStyleRowBandSize w:val="1"/>
      <w:tblStyleColBandSize w:val="1"/>
      <w:tblCellMar>
        <w:left w:w="115.0" w:type="dxa"/>
        <w:right w:w="115.0" w:type="dxa"/>
      </w:tblCellMar>
    </w:tblPr>
  </w:style>
  <w:style w:type="table" w:styleId="a5" w:customStyle="1">
    <w:basedOn w:val="TableNormal6"/>
    <w:rPr>
      <w:rFonts w:ascii="Calibri" w:cs="Calibri" w:eastAsia="Calibri" w:hAnsi="Calibri"/>
      <w:sz w:val="22"/>
      <w:szCs w:val="22"/>
    </w:rPr>
    <w:tblPr>
      <w:tblStyleRowBandSize w:val="1"/>
      <w:tblStyleColBandSize w:val="1"/>
      <w:tblCellMar>
        <w:left w:w="115.0" w:type="dxa"/>
        <w:right w:w="115.0" w:type="dxa"/>
      </w:tblCellMar>
    </w:tblPr>
  </w:style>
  <w:style w:type="character" w:styleId="eop" w:customStyle="1">
    <w:name w:val="eop"/>
    <w:basedOn w:val="Fuentedeprrafopredeter"/>
    <w:rsid w:val="00652AFE"/>
  </w:style>
  <w:style w:type="table" w:styleId="a6" w:customStyle="1">
    <w:basedOn w:val="TableNormal5"/>
    <w:rPr>
      <w:rFonts w:ascii="Calibri" w:cs="Calibri" w:eastAsia="Calibri" w:hAnsi="Calibri"/>
      <w:sz w:val="22"/>
      <w:szCs w:val="22"/>
    </w:rPr>
    <w:tblPr>
      <w:tblStyleRowBandSize w:val="1"/>
      <w:tblStyleColBandSize w:val="1"/>
      <w:tblCellMar>
        <w:left w:w="115.0" w:type="dxa"/>
        <w:right w:w="115.0" w:type="dxa"/>
      </w:tblCellMar>
    </w:tblPr>
  </w:style>
  <w:style w:type="table" w:styleId="a7" w:customStyle="1">
    <w:basedOn w:val="TableNormal5"/>
    <w:rPr>
      <w:rFonts w:ascii="Calibri" w:cs="Calibri" w:eastAsia="Calibri" w:hAnsi="Calibri"/>
      <w:sz w:val="22"/>
      <w:szCs w:val="22"/>
    </w:rPr>
    <w:tblPr>
      <w:tblStyleRowBandSize w:val="1"/>
      <w:tblStyleColBandSize w:val="1"/>
      <w:tblCellMar>
        <w:left w:w="115.0" w:type="dxa"/>
        <w:right w:w="115.0" w:type="dxa"/>
      </w:tblCellMar>
    </w:tblPr>
  </w:style>
  <w:style w:type="table" w:styleId="a8" w:customStyle="1">
    <w:basedOn w:val="TableNormal5"/>
    <w:rPr>
      <w:rFonts w:ascii="Calibri" w:cs="Calibri" w:eastAsia="Calibri" w:hAnsi="Calibri"/>
      <w:sz w:val="22"/>
      <w:szCs w:val="22"/>
    </w:rPr>
    <w:tblPr>
      <w:tblStyleRowBandSize w:val="1"/>
      <w:tblStyleColBandSize w:val="1"/>
      <w:tblCellMar>
        <w:left w:w="115.0" w:type="dxa"/>
        <w:right w:w="115.0" w:type="dxa"/>
      </w:tblCellMar>
    </w:tblPr>
  </w:style>
  <w:style w:type="table" w:styleId="a9" w:customStyle="1">
    <w:basedOn w:val="TableNormal5"/>
    <w:rPr>
      <w:rFonts w:ascii="Calibri" w:cs="Calibri" w:eastAsia="Calibri" w:hAnsi="Calibri"/>
      <w:sz w:val="22"/>
      <w:szCs w:val="22"/>
    </w:rPr>
    <w:tblPr>
      <w:tblStyleRowBandSize w:val="1"/>
      <w:tblStyleColBandSize w:val="1"/>
      <w:tblCellMar>
        <w:left w:w="115.0" w:type="dxa"/>
        <w:right w:w="115.0" w:type="dxa"/>
      </w:tblCellMar>
    </w:tblPr>
  </w:style>
  <w:style w:type="table" w:styleId="aa" w:customStyle="1">
    <w:basedOn w:val="TableNormal5"/>
    <w:rPr>
      <w:rFonts w:ascii="Calibri" w:cs="Calibri" w:eastAsia="Calibri" w:hAnsi="Calibri"/>
      <w:sz w:val="22"/>
      <w:szCs w:val="22"/>
    </w:rPr>
    <w:tblPr>
      <w:tblStyleRowBandSize w:val="1"/>
      <w:tblStyleColBandSize w:val="1"/>
      <w:tblCellMar>
        <w:left w:w="115.0" w:type="dxa"/>
        <w:right w:w="115.0" w:type="dxa"/>
      </w:tblCellMar>
    </w:tblPr>
  </w:style>
  <w:style w:type="table" w:styleId="ab" w:customStyle="1">
    <w:basedOn w:val="TableNormal5"/>
    <w:rPr>
      <w:rFonts w:ascii="Calibri" w:cs="Calibri" w:eastAsia="Calibri" w:hAnsi="Calibri"/>
      <w:sz w:val="22"/>
      <w:szCs w:val="22"/>
    </w:rPr>
    <w:tblPr>
      <w:tblStyleRowBandSize w:val="1"/>
      <w:tblStyleColBandSize w:val="1"/>
      <w:tblCellMar>
        <w:left w:w="115.0" w:type="dxa"/>
        <w:right w:w="115.0" w:type="dxa"/>
      </w:tblCellMar>
    </w:tblPr>
  </w:style>
  <w:style w:type="table" w:styleId="ac" w:customStyle="1">
    <w:basedOn w:val="TableNormal4"/>
    <w:rPr>
      <w:rFonts w:ascii="Calibri" w:cs="Calibri" w:eastAsia="Calibri" w:hAnsi="Calibri"/>
      <w:sz w:val="22"/>
      <w:szCs w:val="22"/>
    </w:rPr>
    <w:tblPr>
      <w:tblStyleRowBandSize w:val="1"/>
      <w:tblStyleColBandSize w:val="1"/>
      <w:tblCellMar>
        <w:left w:w="115.0" w:type="dxa"/>
        <w:right w:w="115.0" w:type="dxa"/>
      </w:tblCellMar>
    </w:tblPr>
  </w:style>
  <w:style w:type="table" w:styleId="ad" w:customStyle="1">
    <w:basedOn w:val="TableNormal4"/>
    <w:rPr>
      <w:rFonts w:ascii="Calibri" w:cs="Calibri" w:eastAsia="Calibri" w:hAnsi="Calibri"/>
      <w:sz w:val="22"/>
      <w:szCs w:val="22"/>
    </w:rPr>
    <w:tblPr>
      <w:tblStyleRowBandSize w:val="1"/>
      <w:tblStyleColBandSize w:val="1"/>
      <w:tblCellMar>
        <w:left w:w="115.0" w:type="dxa"/>
        <w:right w:w="115.0" w:type="dxa"/>
      </w:tblCellMar>
    </w:tblPr>
  </w:style>
  <w:style w:type="table" w:styleId="ae" w:customStyle="1">
    <w:basedOn w:val="TableNormal4"/>
    <w:rPr>
      <w:rFonts w:ascii="Calibri" w:cs="Calibri" w:eastAsia="Calibri" w:hAnsi="Calibri"/>
      <w:sz w:val="22"/>
      <w:szCs w:val="22"/>
    </w:rPr>
    <w:tblPr>
      <w:tblStyleRowBandSize w:val="1"/>
      <w:tblStyleColBandSize w:val="1"/>
      <w:tblCellMar>
        <w:left w:w="115.0" w:type="dxa"/>
        <w:right w:w="115.0" w:type="dxa"/>
      </w:tblCellMar>
    </w:tblPr>
  </w:style>
  <w:style w:type="table" w:styleId="af" w:customStyle="1">
    <w:basedOn w:val="TableNormal4"/>
    <w:rPr>
      <w:rFonts w:ascii="Calibri" w:cs="Calibri" w:eastAsia="Calibri" w:hAnsi="Calibri"/>
      <w:sz w:val="22"/>
      <w:szCs w:val="22"/>
    </w:rPr>
    <w:tblPr>
      <w:tblStyleRowBandSize w:val="1"/>
      <w:tblStyleColBandSize w:val="1"/>
      <w:tblCellMar>
        <w:left w:w="108.0" w:type="dxa"/>
        <w:right w:w="108.0" w:type="dxa"/>
      </w:tblCellMar>
    </w:tblPr>
  </w:style>
  <w:style w:type="table" w:styleId="af0" w:customStyle="1">
    <w:basedOn w:val="TableNormal4"/>
    <w:rPr>
      <w:rFonts w:ascii="Calibri" w:cs="Calibri" w:eastAsia="Calibri" w:hAnsi="Calibri"/>
      <w:sz w:val="22"/>
      <w:szCs w:val="22"/>
    </w:rPr>
    <w:tblPr>
      <w:tblStyleRowBandSize w:val="1"/>
      <w:tblStyleColBandSize w:val="1"/>
      <w:tblCellMar>
        <w:left w:w="115.0" w:type="dxa"/>
        <w:right w:w="115.0" w:type="dxa"/>
      </w:tblCellMar>
    </w:tblPr>
  </w:style>
  <w:style w:type="table" w:styleId="af1" w:customStyle="1">
    <w:basedOn w:val="TableNormal4"/>
    <w:rPr>
      <w:rFonts w:ascii="Calibri" w:cs="Calibri" w:eastAsia="Calibri" w:hAnsi="Calibri"/>
      <w:sz w:val="22"/>
      <w:szCs w:val="22"/>
    </w:rPr>
    <w:tblPr>
      <w:tblStyleRowBandSize w:val="1"/>
      <w:tblStyleColBandSize w:val="1"/>
      <w:tblCellMar>
        <w:left w:w="115.0" w:type="dxa"/>
        <w:right w:w="115.0" w:type="dxa"/>
      </w:tblCellMar>
    </w:tblPr>
  </w:style>
  <w:style w:type="table" w:styleId="af2" w:customStyle="1">
    <w:basedOn w:val="TableNormal3"/>
    <w:rPr>
      <w:rFonts w:ascii="Calibri" w:cs="Calibri" w:eastAsia="Calibri" w:hAnsi="Calibri"/>
      <w:sz w:val="22"/>
      <w:szCs w:val="22"/>
    </w:rPr>
    <w:tblPr>
      <w:tblStyleRowBandSize w:val="1"/>
      <w:tblStyleColBandSize w:val="1"/>
      <w:tblCellMar>
        <w:left w:w="115.0" w:type="dxa"/>
        <w:right w:w="115.0" w:type="dxa"/>
      </w:tblCellMar>
    </w:tblPr>
  </w:style>
  <w:style w:type="table" w:styleId="af3" w:customStyle="1">
    <w:basedOn w:val="TableNormal3"/>
    <w:rPr>
      <w:rFonts w:ascii="Calibri" w:cs="Calibri" w:eastAsia="Calibri" w:hAnsi="Calibri"/>
      <w:sz w:val="22"/>
      <w:szCs w:val="22"/>
    </w:rPr>
    <w:tblPr>
      <w:tblStyleRowBandSize w:val="1"/>
      <w:tblStyleColBandSize w:val="1"/>
      <w:tblCellMar>
        <w:left w:w="115.0" w:type="dxa"/>
        <w:right w:w="115.0" w:type="dxa"/>
      </w:tblCellMar>
    </w:tblPr>
  </w:style>
  <w:style w:type="table" w:styleId="af4" w:customStyle="1">
    <w:basedOn w:val="TableNormal3"/>
    <w:rPr>
      <w:rFonts w:ascii="Calibri" w:cs="Calibri" w:eastAsia="Calibri" w:hAnsi="Calibri"/>
      <w:sz w:val="22"/>
      <w:szCs w:val="22"/>
    </w:rPr>
    <w:tblPr>
      <w:tblStyleRowBandSize w:val="1"/>
      <w:tblStyleColBandSize w:val="1"/>
      <w:tblCellMar>
        <w:left w:w="115.0" w:type="dxa"/>
        <w:right w:w="115.0" w:type="dxa"/>
      </w:tblCellMar>
    </w:tblPr>
  </w:style>
  <w:style w:type="table" w:styleId="af5" w:customStyle="1">
    <w:basedOn w:val="TableNormal3"/>
    <w:rPr>
      <w:rFonts w:ascii="Calibri" w:cs="Calibri" w:eastAsia="Calibri" w:hAnsi="Calibri"/>
      <w:sz w:val="22"/>
      <w:szCs w:val="22"/>
    </w:rPr>
    <w:tblPr>
      <w:tblStyleRowBandSize w:val="1"/>
      <w:tblStyleColBandSize w:val="1"/>
      <w:tblCellMar>
        <w:left w:w="115.0" w:type="dxa"/>
        <w:right w:w="115.0" w:type="dxa"/>
      </w:tblCellMar>
    </w:tblPr>
  </w:style>
  <w:style w:type="table" w:styleId="af6" w:customStyle="1">
    <w:basedOn w:val="TableNormal3"/>
    <w:rPr>
      <w:rFonts w:ascii="Calibri" w:cs="Calibri" w:eastAsia="Calibri" w:hAnsi="Calibri"/>
      <w:sz w:val="22"/>
      <w:szCs w:val="22"/>
    </w:rPr>
    <w:tblPr>
      <w:tblStyleRowBandSize w:val="1"/>
      <w:tblStyleColBandSize w:val="1"/>
      <w:tblCellMar>
        <w:left w:w="108.0" w:type="dxa"/>
        <w:right w:w="108.0" w:type="dxa"/>
      </w:tblCellMar>
    </w:tblPr>
  </w:style>
  <w:style w:type="table" w:styleId="af7" w:customStyle="1">
    <w:basedOn w:val="TableNormal3"/>
    <w:rPr>
      <w:rFonts w:ascii="Calibri" w:cs="Calibri" w:eastAsia="Calibri" w:hAnsi="Calibri"/>
      <w:sz w:val="22"/>
      <w:szCs w:val="22"/>
    </w:rPr>
    <w:tblPr>
      <w:tblStyleRowBandSize w:val="1"/>
      <w:tblStyleColBandSize w:val="1"/>
      <w:tblCellMar>
        <w:left w:w="115.0" w:type="dxa"/>
        <w:right w:w="115.0" w:type="dxa"/>
      </w:tblCellMar>
    </w:tblPr>
  </w:style>
  <w:style w:type="table" w:styleId="af8" w:customStyle="1">
    <w:basedOn w:val="TableNormal3"/>
    <w:rPr>
      <w:rFonts w:ascii="Calibri" w:cs="Calibri" w:eastAsia="Calibri" w:hAnsi="Calibri"/>
      <w:sz w:val="22"/>
      <w:szCs w:val="22"/>
    </w:rPr>
    <w:tblPr>
      <w:tblStyleRowBandSize w:val="1"/>
      <w:tblStyleColBandSize w:val="1"/>
      <w:tblCellMar>
        <w:left w:w="115.0" w:type="dxa"/>
        <w:right w:w="115.0" w:type="dxa"/>
      </w:tblCellMar>
    </w:tblPr>
  </w:style>
  <w:style w:type="table" w:styleId="af9" w:customStyle="1">
    <w:basedOn w:val="TableNormal2"/>
    <w:rPr>
      <w:rFonts w:ascii="Calibri" w:cs="Calibri" w:eastAsia="Calibri" w:hAnsi="Calibri"/>
      <w:sz w:val="22"/>
      <w:szCs w:val="22"/>
    </w:rPr>
    <w:tblPr>
      <w:tblStyleRowBandSize w:val="1"/>
      <w:tblStyleColBandSize w:val="1"/>
      <w:tblCellMar>
        <w:left w:w="115.0" w:type="dxa"/>
        <w:right w:w="115.0" w:type="dxa"/>
      </w:tblCellMar>
    </w:tblPr>
  </w:style>
  <w:style w:type="table" w:styleId="afa" w:customStyle="1">
    <w:basedOn w:val="TableNormal2"/>
    <w:rPr>
      <w:rFonts w:ascii="Calibri" w:cs="Calibri" w:eastAsia="Calibri" w:hAnsi="Calibri"/>
      <w:sz w:val="22"/>
      <w:szCs w:val="22"/>
    </w:rPr>
    <w:tblPr>
      <w:tblStyleRowBandSize w:val="1"/>
      <w:tblStyleColBandSize w:val="1"/>
      <w:tblCellMar>
        <w:left w:w="115.0" w:type="dxa"/>
        <w:right w:w="115.0" w:type="dxa"/>
      </w:tblCellMar>
    </w:tblPr>
  </w:style>
  <w:style w:type="table" w:styleId="afb" w:customStyle="1">
    <w:basedOn w:val="TableNormal2"/>
    <w:rPr>
      <w:rFonts w:ascii="Calibri" w:cs="Calibri" w:eastAsia="Calibri" w:hAnsi="Calibri"/>
      <w:sz w:val="22"/>
      <w:szCs w:val="22"/>
    </w:rPr>
    <w:tblPr>
      <w:tblStyleRowBandSize w:val="1"/>
      <w:tblStyleColBandSize w:val="1"/>
      <w:tblCellMar>
        <w:left w:w="115.0" w:type="dxa"/>
        <w:right w:w="115.0" w:type="dxa"/>
      </w:tblCellMar>
    </w:tblPr>
  </w:style>
  <w:style w:type="table" w:styleId="afc" w:customStyle="1">
    <w:basedOn w:val="TableNormal2"/>
    <w:rPr>
      <w:rFonts w:ascii="Calibri" w:cs="Calibri" w:eastAsia="Calibri" w:hAnsi="Calibri"/>
      <w:sz w:val="22"/>
      <w:szCs w:val="22"/>
    </w:rPr>
    <w:tblPr>
      <w:tblStyleRowBandSize w:val="1"/>
      <w:tblStyleColBandSize w:val="1"/>
      <w:tblCellMar>
        <w:left w:w="115.0" w:type="dxa"/>
        <w:right w:w="115.0" w:type="dxa"/>
      </w:tblCellMar>
    </w:tblPr>
  </w:style>
  <w:style w:type="table" w:styleId="afd" w:customStyle="1">
    <w:basedOn w:val="TableNormal2"/>
    <w:rPr>
      <w:rFonts w:ascii="Calibri" w:cs="Calibri" w:eastAsia="Calibri" w:hAnsi="Calibri"/>
      <w:sz w:val="22"/>
      <w:szCs w:val="22"/>
    </w:rPr>
    <w:tblPr>
      <w:tblStyleRowBandSize w:val="1"/>
      <w:tblStyleColBandSize w:val="1"/>
      <w:tblCellMar>
        <w:left w:w="108.0" w:type="dxa"/>
        <w:right w:w="108.0" w:type="dxa"/>
      </w:tblCellMar>
    </w:tblPr>
  </w:style>
  <w:style w:type="table" w:styleId="afe" w:customStyle="1">
    <w:basedOn w:val="TableNormal2"/>
    <w:rPr>
      <w:rFonts w:ascii="Calibri" w:cs="Calibri" w:eastAsia="Calibri" w:hAnsi="Calibri"/>
      <w:sz w:val="22"/>
      <w:szCs w:val="22"/>
    </w:rPr>
    <w:tblPr>
      <w:tblStyleRowBandSize w:val="1"/>
      <w:tblStyleColBandSize w:val="1"/>
      <w:tblCellMar>
        <w:left w:w="108.0" w:type="dxa"/>
        <w:right w:w="108.0" w:type="dxa"/>
      </w:tblCellMar>
    </w:tblPr>
  </w:style>
  <w:style w:type="table" w:styleId="aff" w:customStyle="1">
    <w:basedOn w:val="TableNormal2"/>
    <w:tblPr>
      <w:tblStyleRowBandSize w:val="1"/>
      <w:tblStyleColBandSize w:val="1"/>
      <w:tblCellMar>
        <w:left w:w="115.0" w:type="dxa"/>
        <w:right w:w="115.0" w:type="dxa"/>
      </w:tblCellMar>
    </w:tblPr>
  </w:style>
  <w:style w:type="table" w:styleId="aff0" w:customStyle="1">
    <w:basedOn w:val="TableNormal2"/>
    <w:rPr>
      <w:rFonts w:ascii="Calibri" w:cs="Calibri" w:eastAsia="Calibri" w:hAnsi="Calibri"/>
      <w:sz w:val="22"/>
      <w:szCs w:val="22"/>
    </w:rPr>
    <w:tblPr>
      <w:tblStyleRowBandSize w:val="1"/>
      <w:tblStyleColBandSize w:val="1"/>
      <w:tblCellMar>
        <w:left w:w="115.0" w:type="dxa"/>
        <w:right w:w="115.0" w:type="dxa"/>
      </w:tblCellMar>
    </w:tblPr>
  </w:style>
  <w:style w:type="table" w:styleId="aff1" w:customStyle="1">
    <w:basedOn w:val="TableNormal2"/>
    <w:rPr>
      <w:rFonts w:ascii="Calibri" w:cs="Calibri" w:eastAsia="Calibri" w:hAnsi="Calibri"/>
      <w:sz w:val="22"/>
      <w:szCs w:val="22"/>
    </w:rPr>
    <w:tblPr>
      <w:tblStyleRowBandSize w:val="1"/>
      <w:tblStyleColBandSize w:val="1"/>
      <w:tblCellMar>
        <w:left w:w="115.0" w:type="dxa"/>
        <w:right w:w="115.0" w:type="dxa"/>
      </w:tblCellMar>
    </w:tblPr>
  </w:style>
  <w:style w:type="table" w:styleId="aff2" w:customStyle="1">
    <w:basedOn w:val="TableNormal1"/>
    <w:rPr>
      <w:rFonts w:ascii="Calibri" w:cs="Calibri" w:eastAsia="Calibri" w:hAnsi="Calibri"/>
      <w:sz w:val="22"/>
      <w:szCs w:val="22"/>
    </w:rPr>
    <w:tblPr>
      <w:tblStyleRowBandSize w:val="1"/>
      <w:tblStyleColBandSize w:val="1"/>
      <w:tblCellMar>
        <w:left w:w="115.0" w:type="dxa"/>
        <w:right w:w="115.0" w:type="dxa"/>
      </w:tblCellMar>
    </w:tblPr>
  </w:style>
  <w:style w:type="table" w:styleId="aff3" w:customStyle="1">
    <w:basedOn w:val="TableNormal1"/>
    <w:rPr>
      <w:rFonts w:ascii="Calibri" w:cs="Calibri" w:eastAsia="Calibri" w:hAnsi="Calibri"/>
      <w:sz w:val="22"/>
      <w:szCs w:val="22"/>
    </w:rPr>
    <w:tblPr>
      <w:tblStyleRowBandSize w:val="1"/>
      <w:tblStyleColBandSize w:val="1"/>
      <w:tblCellMar>
        <w:left w:w="115.0" w:type="dxa"/>
        <w:right w:w="115.0" w:type="dxa"/>
      </w:tblCellMar>
    </w:tblPr>
  </w:style>
  <w:style w:type="table" w:styleId="aff4" w:customStyle="1">
    <w:basedOn w:val="TableNormal1"/>
    <w:rPr>
      <w:rFonts w:ascii="Calibri" w:cs="Calibri" w:eastAsia="Calibri" w:hAnsi="Calibri"/>
      <w:sz w:val="22"/>
      <w:szCs w:val="22"/>
    </w:rPr>
    <w:tblPr>
      <w:tblStyleRowBandSize w:val="1"/>
      <w:tblStyleColBandSize w:val="1"/>
      <w:tblCellMar>
        <w:left w:w="115.0" w:type="dxa"/>
        <w:right w:w="115.0" w:type="dxa"/>
      </w:tblCellMar>
    </w:tblPr>
  </w:style>
  <w:style w:type="table" w:styleId="aff5" w:customStyle="1">
    <w:basedOn w:val="TableNormal1"/>
    <w:rPr>
      <w:rFonts w:ascii="Calibri" w:cs="Calibri" w:eastAsia="Calibri" w:hAnsi="Calibri"/>
      <w:sz w:val="22"/>
      <w:szCs w:val="22"/>
    </w:rPr>
    <w:tblPr>
      <w:tblStyleRowBandSize w:val="1"/>
      <w:tblStyleColBandSize w:val="1"/>
      <w:tblCellMar>
        <w:left w:w="115.0" w:type="dxa"/>
        <w:right w:w="115.0" w:type="dxa"/>
      </w:tblCellMar>
    </w:tblPr>
  </w:style>
  <w:style w:type="table" w:styleId="aff6" w:customStyle="1">
    <w:basedOn w:val="TableNormal1"/>
    <w:rPr>
      <w:rFonts w:ascii="Calibri" w:cs="Calibri" w:eastAsia="Calibri" w:hAnsi="Calibri"/>
      <w:sz w:val="22"/>
      <w:szCs w:val="22"/>
    </w:rPr>
    <w:tblPr>
      <w:tblStyleRowBandSize w:val="1"/>
      <w:tblStyleColBandSize w:val="1"/>
      <w:tblCellMar>
        <w:left w:w="108.0" w:type="dxa"/>
        <w:right w:w="108.0" w:type="dxa"/>
      </w:tblCellMar>
    </w:tblPr>
  </w:style>
  <w:style w:type="table" w:styleId="aff7" w:customStyle="1">
    <w:basedOn w:val="TableNormal1"/>
    <w:rPr>
      <w:rFonts w:ascii="Calibri" w:cs="Calibri" w:eastAsia="Calibri" w:hAnsi="Calibri"/>
      <w:sz w:val="22"/>
      <w:szCs w:val="22"/>
    </w:rPr>
    <w:tblPr>
      <w:tblStyleRowBandSize w:val="1"/>
      <w:tblStyleColBandSize w:val="1"/>
      <w:tblCellMar>
        <w:left w:w="115.0" w:type="dxa"/>
        <w:right w:w="115.0" w:type="dxa"/>
      </w:tblCellMar>
    </w:tblPr>
  </w:style>
  <w:style w:type="table" w:styleId="aff8" w:customStyle="1">
    <w:basedOn w:val="TableNormal1"/>
    <w:rPr>
      <w:rFonts w:ascii="Calibri" w:cs="Calibri" w:eastAsia="Calibri" w:hAnsi="Calibri"/>
      <w:sz w:val="22"/>
      <w:szCs w:val="22"/>
    </w:rPr>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8F61EB"/>
    <w:rPr>
      <w:color w:val="605e5c"/>
      <w:shd w:color="auto" w:fill="e1dfdd" w:val="clear"/>
    </w:rPr>
  </w:style>
  <w:style w:type="paragraph" w:styleId="Citas" w:customStyle="1">
    <w:name w:val="Citas"/>
    <w:basedOn w:val="Normal"/>
    <w:qFormat w:val="1"/>
    <w:rsid w:val="00FB08B7"/>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Fundamentos" w:customStyle="1">
    <w:name w:val="Fundamentos"/>
    <w:basedOn w:val="Normal"/>
    <w:qFormat w:val="1"/>
    <w:rsid w:val="00D2726A"/>
    <w:pPr>
      <w:pBdr>
        <w:top w:space="0" w:sz="0" w:val="nil"/>
        <w:left w:space="0" w:sz="0" w:val="nil"/>
        <w:bottom w:space="0" w:sz="0" w:val="nil"/>
        <w:right w:space="0" w:sz="0" w:val="nil"/>
        <w:between w:space="0" w:sz="0" w:val="nil"/>
      </w:pBdr>
      <w:ind w:left="567" w:right="567"/>
      <w:contextualSpacing w:val="1"/>
      <w:jc w:val="both"/>
    </w:pPr>
    <w:rPr>
      <w:rFonts w:ascii="Palatino Linotype" w:cs="Palatino Linotype" w:eastAsia="Palatino Linotype" w:hAnsi="Palatino Linotype"/>
      <w:i w:val="1"/>
      <w:color w:val="000000"/>
      <w:sz w:val="22"/>
      <w:lang w:val="es-ES_tradnl"/>
    </w:rPr>
  </w:style>
  <w:style w:type="table" w:styleId="aff9"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table" w:styleId="affa"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table" w:styleId="affb"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table" w:styleId="affc"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table" w:styleId="affd"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table" w:styleId="affe" w:customStyle="1">
    <w:basedOn w:val="TableNormal0"/>
    <w:tblPr>
      <w:tblStyleRowBandSize w:val="1"/>
      <w:tblStyleColBandSize w:val="1"/>
      <w:tblCellMar>
        <w:left w:w="108.0" w:type="dxa"/>
        <w:right w:w="108.0" w:type="dxa"/>
      </w:tblCellMar>
    </w:tblPr>
  </w:style>
  <w:style w:type="table" w:styleId="afff"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table" w:styleId="afff0"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paragraph" w:styleId="Subtitle">
    <w:name w:val="Subtitle"/>
    <w:basedOn w:val="Normal"/>
    <w:next w:val="Normal"/>
    <w:pPr>
      <w:spacing w:after="160" w:lineRule="auto"/>
    </w:pPr>
    <w:rPr>
      <w:rFonts w:ascii="Cambria" w:cs="Cambria" w:eastAsia="Cambria" w:hAnsi="Cambria"/>
      <w:color w:val="5a5a5a"/>
      <w:sz w:val="22"/>
      <w:szCs w:val="22"/>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8">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5" Type="http://schemas.openxmlformats.org/officeDocument/2006/relationships/header" Target="header4.xm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PRwcVKOCKIDrecx+aufFhxzPMg==">CgMxLjAyDmgudmcyNHZpOWJkbGR2MghoLmdqZGd4czIJaC4yZXQ5MnAwMgloLjMwajB6bGwyDmguZm4zY3Q4cjZtcnk0MgloLjFmb2I5dGU4AHIhMUkwNFVyNWQtZGNtY1NoUmlueGRRTmdaLTJBY1RfRHlw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2025-06-03T17:38:00Z</dcterms:created>
  <dc:creator>iMac</dc:creator>
</cp:coreProperties>
</file>