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4D8F0" w14:textId="31798015"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bookmarkStart w:id="0" w:name="_GoBack"/>
      <w:bookmarkEnd w:id="0"/>
      <w:r w:rsidRPr="002B2FF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BB5551" w:rsidRPr="002B2FFB">
        <w:rPr>
          <w:rFonts w:ascii="Palatino Linotype" w:eastAsia="Palatino Linotype" w:hAnsi="Palatino Linotype" w:cs="Palatino Linotype"/>
          <w:sz w:val="22"/>
          <w:szCs w:val="22"/>
        </w:rPr>
        <w:t>veintidós</w:t>
      </w:r>
      <w:r w:rsidR="00ED23A8" w:rsidRPr="002B2FFB">
        <w:rPr>
          <w:rFonts w:ascii="Palatino Linotype" w:eastAsia="Palatino Linotype" w:hAnsi="Palatino Linotype" w:cs="Palatino Linotype"/>
          <w:sz w:val="22"/>
          <w:szCs w:val="22"/>
        </w:rPr>
        <w:t xml:space="preserve"> de octubre </w:t>
      </w:r>
      <w:r w:rsidRPr="002B2FFB">
        <w:rPr>
          <w:rFonts w:ascii="Palatino Linotype" w:eastAsia="Palatino Linotype" w:hAnsi="Palatino Linotype" w:cs="Palatino Linotype"/>
          <w:sz w:val="22"/>
          <w:szCs w:val="22"/>
        </w:rPr>
        <w:t xml:space="preserve">de dos mil veinticinco. </w:t>
      </w:r>
    </w:p>
    <w:p w14:paraId="777344C1" w14:textId="58C27280" w:rsidR="00C8599E" w:rsidRPr="002B2FFB" w:rsidRDefault="00812BF1" w:rsidP="00B24180">
      <w:pPr>
        <w:tabs>
          <w:tab w:val="left" w:pos="5812"/>
        </w:tabs>
        <w:spacing w:before="240" w:after="240" w:line="360" w:lineRule="auto"/>
        <w:jc w:val="both"/>
        <w:rPr>
          <w:rFonts w:ascii="Palatino Linotype" w:eastAsia="Palatino Linotype" w:hAnsi="Palatino Linotype" w:cs="Palatino Linotype"/>
          <w:b/>
          <w:sz w:val="22"/>
          <w:szCs w:val="22"/>
        </w:rPr>
      </w:pPr>
      <w:bookmarkStart w:id="1" w:name="_heading=h.daj3j2xo6q66" w:colFirst="0" w:colLast="0"/>
      <w:bookmarkEnd w:id="1"/>
      <w:r w:rsidRPr="002B2FFB">
        <w:rPr>
          <w:rFonts w:ascii="Palatino Linotype" w:eastAsia="Palatino Linotype" w:hAnsi="Palatino Linotype" w:cs="Palatino Linotype"/>
          <w:b/>
          <w:sz w:val="22"/>
          <w:szCs w:val="22"/>
        </w:rPr>
        <w:t>VISTO</w:t>
      </w:r>
      <w:r w:rsidRPr="002B2FFB">
        <w:rPr>
          <w:rFonts w:ascii="Palatino Linotype" w:eastAsia="Palatino Linotype" w:hAnsi="Palatino Linotype" w:cs="Palatino Linotype"/>
          <w:sz w:val="22"/>
          <w:szCs w:val="22"/>
        </w:rPr>
        <w:t xml:space="preserve"> el expediente formado con motivo del recurso de revisión </w:t>
      </w:r>
      <w:r w:rsidRPr="002B2FFB">
        <w:rPr>
          <w:rFonts w:ascii="Palatino Linotype" w:eastAsia="Palatino Linotype" w:hAnsi="Palatino Linotype" w:cs="Palatino Linotype"/>
          <w:b/>
          <w:sz w:val="22"/>
          <w:szCs w:val="22"/>
        </w:rPr>
        <w:t>0</w:t>
      </w:r>
      <w:r w:rsidR="00BB5551" w:rsidRPr="002B2FFB">
        <w:rPr>
          <w:rFonts w:ascii="Palatino Linotype" w:eastAsia="Palatino Linotype" w:hAnsi="Palatino Linotype" w:cs="Palatino Linotype"/>
          <w:b/>
          <w:sz w:val="22"/>
          <w:szCs w:val="22"/>
        </w:rPr>
        <w:t>69</w:t>
      </w:r>
      <w:r w:rsidR="008445CF" w:rsidRPr="002B2FFB">
        <w:rPr>
          <w:rFonts w:ascii="Palatino Linotype" w:eastAsia="Palatino Linotype" w:hAnsi="Palatino Linotype" w:cs="Palatino Linotype"/>
          <w:b/>
          <w:sz w:val="22"/>
          <w:szCs w:val="22"/>
        </w:rPr>
        <w:t>0</w:t>
      </w:r>
      <w:r w:rsidR="00ED23A8" w:rsidRPr="002B2FFB">
        <w:rPr>
          <w:rFonts w:ascii="Palatino Linotype" w:eastAsia="Palatino Linotype" w:hAnsi="Palatino Linotype" w:cs="Palatino Linotype"/>
          <w:b/>
          <w:sz w:val="22"/>
          <w:szCs w:val="22"/>
        </w:rPr>
        <w:t>4</w:t>
      </w:r>
      <w:r w:rsidRPr="002B2FFB">
        <w:rPr>
          <w:rFonts w:ascii="Palatino Linotype" w:eastAsia="Palatino Linotype" w:hAnsi="Palatino Linotype" w:cs="Palatino Linotype"/>
          <w:b/>
          <w:sz w:val="22"/>
          <w:szCs w:val="22"/>
        </w:rPr>
        <w:t>/INFOEM/IP/RR/2025</w:t>
      </w:r>
      <w:r w:rsidRPr="002B2FFB">
        <w:rPr>
          <w:rFonts w:ascii="Palatino Linotype" w:eastAsia="Palatino Linotype" w:hAnsi="Palatino Linotype" w:cs="Palatino Linotype"/>
          <w:sz w:val="22"/>
          <w:szCs w:val="22"/>
        </w:rPr>
        <w:t>, interpuesto por</w:t>
      </w:r>
      <w:r w:rsidRPr="002B2FFB">
        <w:rPr>
          <w:rFonts w:ascii="Palatino Linotype" w:eastAsia="Palatino Linotype" w:hAnsi="Palatino Linotype" w:cs="Palatino Linotype"/>
          <w:b/>
          <w:sz w:val="22"/>
          <w:szCs w:val="22"/>
        </w:rPr>
        <w:t xml:space="preserve"> </w:t>
      </w:r>
      <w:r w:rsidR="00BB5551" w:rsidRPr="002B2FFB">
        <w:rPr>
          <w:rFonts w:ascii="Palatino Linotype" w:eastAsia="Palatino Linotype" w:hAnsi="Palatino Linotype" w:cs="Palatino Linotype"/>
          <w:b/>
          <w:sz w:val="22"/>
          <w:szCs w:val="22"/>
        </w:rPr>
        <w:t>una persona que no proporcionó nombre o seudónimo</w:t>
      </w:r>
      <w:r w:rsidRPr="002B2FFB">
        <w:rPr>
          <w:rFonts w:ascii="Palatino Linotype" w:eastAsia="Palatino Linotype" w:hAnsi="Palatino Linotype" w:cs="Palatino Linotype"/>
          <w:b/>
          <w:sz w:val="22"/>
          <w:szCs w:val="22"/>
        </w:rPr>
        <w:t>,</w:t>
      </w:r>
      <w:r w:rsidRPr="002B2FFB">
        <w:rPr>
          <w:rFonts w:ascii="Palatino Linotype" w:eastAsia="Palatino Linotype" w:hAnsi="Palatino Linotype" w:cs="Palatino Linotype"/>
          <w:sz w:val="22"/>
          <w:szCs w:val="22"/>
        </w:rPr>
        <w:t xml:space="preserve"> en lo sucesivo</w:t>
      </w:r>
      <w:r w:rsidRPr="002B2FFB">
        <w:rPr>
          <w:rFonts w:ascii="Palatino Linotype" w:eastAsia="Palatino Linotype" w:hAnsi="Palatino Linotype" w:cs="Palatino Linotype"/>
          <w:b/>
          <w:sz w:val="22"/>
          <w:szCs w:val="22"/>
        </w:rPr>
        <w:t xml:space="preserve"> </w:t>
      </w:r>
      <w:r w:rsidRPr="002B2FFB">
        <w:rPr>
          <w:rFonts w:ascii="Palatino Linotype" w:eastAsia="Palatino Linotype" w:hAnsi="Palatino Linotype" w:cs="Palatino Linotype"/>
          <w:sz w:val="22"/>
          <w:szCs w:val="22"/>
        </w:rPr>
        <w:t xml:space="preserve">la parte </w:t>
      </w:r>
      <w:r w:rsidRPr="002B2FFB">
        <w:rPr>
          <w:rFonts w:ascii="Palatino Linotype" w:eastAsia="Palatino Linotype" w:hAnsi="Palatino Linotype" w:cs="Palatino Linotype"/>
          <w:b/>
          <w:sz w:val="22"/>
          <w:szCs w:val="22"/>
        </w:rPr>
        <w:t>Recurrente,</w:t>
      </w:r>
      <w:r w:rsidRPr="002B2FFB">
        <w:rPr>
          <w:rFonts w:ascii="Palatino Linotype" w:eastAsia="Palatino Linotype" w:hAnsi="Palatino Linotype" w:cs="Palatino Linotype"/>
          <w:sz w:val="22"/>
          <w:szCs w:val="22"/>
        </w:rPr>
        <w:t xml:space="preserve"> en contra de la respuesta a la solicitud de información con número de folio</w:t>
      </w:r>
      <w:r w:rsidRPr="002B2FFB">
        <w:rPr>
          <w:rFonts w:ascii="Palatino Linotype" w:eastAsia="Palatino Linotype" w:hAnsi="Palatino Linotype" w:cs="Palatino Linotype"/>
          <w:b/>
          <w:sz w:val="22"/>
          <w:szCs w:val="22"/>
        </w:rPr>
        <w:t xml:space="preserve"> </w:t>
      </w:r>
      <w:r w:rsidR="006A4C30" w:rsidRPr="002B2FFB">
        <w:rPr>
          <w:rFonts w:ascii="Palatino Linotype" w:eastAsia="Palatino Linotype" w:hAnsi="Palatino Linotype" w:cs="Palatino Linotype"/>
          <w:b/>
          <w:sz w:val="22"/>
          <w:szCs w:val="22"/>
        </w:rPr>
        <w:t>00195/TEPOTZOT/IP/2025</w:t>
      </w:r>
      <w:r w:rsidRPr="002B2FFB">
        <w:rPr>
          <w:rFonts w:ascii="Palatino Linotype" w:eastAsia="Palatino Linotype" w:hAnsi="Palatino Linotype" w:cs="Palatino Linotype"/>
          <w:b/>
          <w:sz w:val="22"/>
          <w:szCs w:val="22"/>
        </w:rPr>
        <w:t xml:space="preserve">, </w:t>
      </w:r>
      <w:r w:rsidRPr="002B2FFB">
        <w:rPr>
          <w:rFonts w:ascii="Palatino Linotype" w:eastAsia="Palatino Linotype" w:hAnsi="Palatino Linotype" w:cs="Palatino Linotype"/>
          <w:sz w:val="22"/>
          <w:szCs w:val="22"/>
        </w:rPr>
        <w:t xml:space="preserve">por parte del </w:t>
      </w:r>
      <w:r w:rsidR="006A4C30" w:rsidRPr="002B2FFB">
        <w:rPr>
          <w:rFonts w:ascii="Palatino Linotype" w:eastAsia="Palatino Linotype" w:hAnsi="Palatino Linotype" w:cs="Palatino Linotype"/>
          <w:b/>
          <w:sz w:val="22"/>
          <w:szCs w:val="22"/>
        </w:rPr>
        <w:t>Ayuntamiento de Tepotzotlán</w:t>
      </w:r>
      <w:r w:rsidR="00ED23A8" w:rsidRPr="002B2FFB">
        <w:rPr>
          <w:rFonts w:ascii="Palatino Linotype" w:eastAsia="Palatino Linotype" w:hAnsi="Palatino Linotype" w:cs="Palatino Linotype"/>
          <w:b/>
          <w:sz w:val="22"/>
          <w:szCs w:val="22"/>
        </w:rPr>
        <w:t xml:space="preserve">, </w:t>
      </w:r>
      <w:r w:rsidRPr="002B2FFB">
        <w:rPr>
          <w:rFonts w:ascii="Palatino Linotype" w:eastAsia="Palatino Linotype" w:hAnsi="Palatino Linotype" w:cs="Palatino Linotype"/>
          <w:sz w:val="22"/>
          <w:szCs w:val="22"/>
        </w:rPr>
        <w:t xml:space="preserve">en lo sucesivo el </w:t>
      </w:r>
      <w:r w:rsidRPr="002B2FFB">
        <w:rPr>
          <w:rFonts w:ascii="Palatino Linotype" w:eastAsia="Palatino Linotype" w:hAnsi="Palatino Linotype" w:cs="Palatino Linotype"/>
          <w:b/>
          <w:sz w:val="22"/>
          <w:szCs w:val="22"/>
        </w:rPr>
        <w:t xml:space="preserve">Sujeto Obligado, </w:t>
      </w:r>
      <w:r w:rsidRPr="002B2FFB">
        <w:rPr>
          <w:rFonts w:ascii="Palatino Linotype" w:eastAsia="Palatino Linotype" w:hAnsi="Palatino Linotype" w:cs="Palatino Linotype"/>
          <w:sz w:val="22"/>
          <w:szCs w:val="22"/>
        </w:rPr>
        <w:t xml:space="preserve">se procede a dictar la presente resolución con base en los siguientes: </w:t>
      </w:r>
    </w:p>
    <w:p w14:paraId="1C218A97" w14:textId="77777777" w:rsidR="00C8599E" w:rsidRPr="002B2FFB" w:rsidRDefault="00812BF1" w:rsidP="00B24180">
      <w:pPr>
        <w:spacing w:before="240" w:after="240" w:line="360" w:lineRule="auto"/>
        <w:jc w:val="center"/>
        <w:rPr>
          <w:rFonts w:ascii="Palatino Linotype" w:eastAsia="Palatino Linotype" w:hAnsi="Palatino Linotype" w:cs="Palatino Linotype"/>
          <w:b/>
          <w:sz w:val="22"/>
          <w:szCs w:val="22"/>
        </w:rPr>
      </w:pPr>
      <w:r w:rsidRPr="002B2FFB">
        <w:rPr>
          <w:rFonts w:ascii="Palatino Linotype" w:eastAsia="Palatino Linotype" w:hAnsi="Palatino Linotype" w:cs="Palatino Linotype"/>
          <w:b/>
          <w:sz w:val="22"/>
          <w:szCs w:val="22"/>
        </w:rPr>
        <w:t>I. A N T E C E D E N T E S</w:t>
      </w:r>
    </w:p>
    <w:p w14:paraId="4DCE7AAD" w14:textId="4816E0E6"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2B2FFB">
        <w:rPr>
          <w:rFonts w:ascii="Palatino Linotype" w:eastAsia="Palatino Linotype" w:hAnsi="Palatino Linotype" w:cs="Palatino Linotype"/>
          <w:b/>
          <w:sz w:val="22"/>
          <w:szCs w:val="22"/>
        </w:rPr>
        <w:t>1. Solicitud de acceso a la información.</w:t>
      </w:r>
      <w:r w:rsidR="00382805" w:rsidRPr="002B2FFB">
        <w:rPr>
          <w:rFonts w:ascii="Palatino Linotype" w:eastAsia="Palatino Linotype" w:hAnsi="Palatino Linotype" w:cs="Palatino Linotype"/>
          <w:sz w:val="22"/>
          <w:szCs w:val="22"/>
        </w:rPr>
        <w:t xml:space="preserve"> El </w:t>
      </w:r>
      <w:r w:rsidR="00BB5551" w:rsidRPr="002B2FFB">
        <w:rPr>
          <w:rFonts w:ascii="Palatino Linotype" w:eastAsia="Palatino Linotype" w:hAnsi="Palatino Linotype" w:cs="Palatino Linotype"/>
          <w:b/>
          <w:sz w:val="22"/>
          <w:szCs w:val="22"/>
        </w:rPr>
        <w:t>dos de mayo</w:t>
      </w:r>
      <w:r w:rsidR="00382805" w:rsidRPr="002B2FFB">
        <w:rPr>
          <w:rFonts w:ascii="Palatino Linotype" w:eastAsia="Palatino Linotype" w:hAnsi="Palatino Linotype" w:cs="Palatino Linotype"/>
          <w:sz w:val="22"/>
          <w:szCs w:val="22"/>
        </w:rPr>
        <w:t xml:space="preserve"> </w:t>
      </w:r>
      <w:r w:rsidRPr="002B2FFB">
        <w:rPr>
          <w:rFonts w:ascii="Palatino Linotype" w:eastAsia="Palatino Linotype" w:hAnsi="Palatino Linotype" w:cs="Palatino Linotype"/>
          <w:b/>
          <w:sz w:val="22"/>
          <w:szCs w:val="22"/>
        </w:rPr>
        <w:t xml:space="preserve">de </w:t>
      </w:r>
      <w:r w:rsidR="00ED23A8" w:rsidRPr="002B2FFB">
        <w:rPr>
          <w:rFonts w:ascii="Palatino Linotype" w:eastAsia="Palatino Linotype" w:hAnsi="Palatino Linotype" w:cs="Palatino Linotype"/>
          <w:b/>
          <w:sz w:val="22"/>
          <w:szCs w:val="22"/>
        </w:rPr>
        <w:t>dos mil veinticinco</w:t>
      </w:r>
      <w:r w:rsidRPr="002B2FFB">
        <w:rPr>
          <w:rFonts w:ascii="Palatino Linotype" w:eastAsia="Palatino Linotype" w:hAnsi="Palatino Linotype" w:cs="Palatino Linotype"/>
          <w:b/>
          <w:sz w:val="22"/>
          <w:szCs w:val="22"/>
        </w:rPr>
        <w:t>,</w:t>
      </w:r>
      <w:r w:rsidRPr="002B2FFB">
        <w:rPr>
          <w:rFonts w:ascii="Palatino Linotype" w:eastAsia="Palatino Linotype" w:hAnsi="Palatino Linotype" w:cs="Palatino Linotype"/>
          <w:sz w:val="22"/>
          <w:szCs w:val="22"/>
        </w:rPr>
        <w:t xml:space="preserve"> la parte </w:t>
      </w:r>
      <w:r w:rsidRPr="002B2FFB">
        <w:rPr>
          <w:rFonts w:ascii="Palatino Linotype" w:eastAsia="Palatino Linotype" w:hAnsi="Palatino Linotype" w:cs="Palatino Linotype"/>
          <w:b/>
          <w:sz w:val="22"/>
          <w:szCs w:val="22"/>
        </w:rPr>
        <w:t xml:space="preserve">Recurrente </w:t>
      </w:r>
      <w:r w:rsidRPr="002B2FFB">
        <w:rPr>
          <w:rFonts w:ascii="Palatino Linotype" w:eastAsia="Palatino Linotype" w:hAnsi="Palatino Linotype" w:cs="Palatino Linotype"/>
          <w:sz w:val="22"/>
          <w:szCs w:val="22"/>
        </w:rPr>
        <w:t xml:space="preserve">presentó la solicitud de acceso a la información pública ante el </w:t>
      </w:r>
      <w:r w:rsidRPr="002B2FFB">
        <w:rPr>
          <w:rFonts w:ascii="Palatino Linotype" w:eastAsia="Palatino Linotype" w:hAnsi="Palatino Linotype" w:cs="Palatino Linotype"/>
          <w:b/>
          <w:sz w:val="22"/>
          <w:szCs w:val="22"/>
        </w:rPr>
        <w:t>Sujeto Obligado</w:t>
      </w:r>
      <w:r w:rsidRPr="002B2FFB">
        <w:rPr>
          <w:rFonts w:ascii="Palatino Linotype" w:eastAsia="Palatino Linotype" w:hAnsi="Palatino Linotype" w:cs="Palatino Linotype"/>
          <w:sz w:val="22"/>
          <w:szCs w:val="22"/>
        </w:rPr>
        <w:t xml:space="preserve">, a través del Sistema de Acceso a la Información Mexiquense, en lo subsecuente el </w:t>
      </w:r>
      <w:r w:rsidRPr="002B2FFB">
        <w:rPr>
          <w:rFonts w:ascii="Palatino Linotype" w:eastAsia="Palatino Linotype" w:hAnsi="Palatino Linotype" w:cs="Palatino Linotype"/>
          <w:b/>
          <w:sz w:val="22"/>
          <w:szCs w:val="22"/>
        </w:rPr>
        <w:t>SAIMEX,</w:t>
      </w:r>
      <w:r w:rsidRPr="002B2FFB">
        <w:rPr>
          <w:rFonts w:ascii="Palatino Linotype" w:eastAsia="Palatino Linotype" w:hAnsi="Palatino Linotype" w:cs="Palatino Linotype"/>
          <w:sz w:val="22"/>
          <w:szCs w:val="22"/>
        </w:rPr>
        <w:t xml:space="preserve"> mediante la cual requirió lo siguiente:</w:t>
      </w:r>
    </w:p>
    <w:p w14:paraId="0545250E" w14:textId="194A809A" w:rsidR="00C8599E" w:rsidRPr="002B2FFB" w:rsidRDefault="00812BF1" w:rsidP="00B24180">
      <w:pPr>
        <w:spacing w:before="120" w:after="120"/>
        <w:ind w:left="851" w:right="902"/>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i/>
          <w:sz w:val="22"/>
          <w:szCs w:val="22"/>
        </w:rPr>
        <w:t xml:space="preserve"> “</w:t>
      </w:r>
      <w:r w:rsidR="00BB5551" w:rsidRPr="002B2FFB">
        <w:rPr>
          <w:rFonts w:ascii="Palatino Linotype" w:eastAsia="Palatino Linotype" w:hAnsi="Palatino Linotype" w:cs="Palatino Linotype"/>
          <w:i/>
          <w:sz w:val="22"/>
          <w:szCs w:val="22"/>
        </w:rPr>
        <w:t xml:space="preserve">De la obra del puente que cruza la autopista </w:t>
      </w:r>
      <w:proofErr w:type="spellStart"/>
      <w:r w:rsidR="00BB5551" w:rsidRPr="002B2FFB">
        <w:rPr>
          <w:rFonts w:ascii="Palatino Linotype" w:eastAsia="Palatino Linotype" w:hAnsi="Palatino Linotype" w:cs="Palatino Linotype"/>
          <w:i/>
          <w:sz w:val="22"/>
          <w:szCs w:val="22"/>
        </w:rPr>
        <w:t>Méx-Qro</w:t>
      </w:r>
      <w:proofErr w:type="spellEnd"/>
      <w:r w:rsidR="00BB5551" w:rsidRPr="002B2FFB">
        <w:rPr>
          <w:rFonts w:ascii="Palatino Linotype" w:eastAsia="Palatino Linotype" w:hAnsi="Palatino Linotype" w:cs="Palatino Linotype"/>
          <w:i/>
          <w:sz w:val="22"/>
          <w:szCs w:val="22"/>
        </w:rPr>
        <w:t xml:space="preserve"> de </w:t>
      </w:r>
      <w:proofErr w:type="spellStart"/>
      <w:r w:rsidR="00BB5551" w:rsidRPr="002B2FFB">
        <w:rPr>
          <w:rFonts w:ascii="Palatino Linotype" w:eastAsia="Palatino Linotype" w:hAnsi="Palatino Linotype" w:cs="Palatino Linotype"/>
          <w:i/>
          <w:sz w:val="22"/>
          <w:szCs w:val="22"/>
        </w:rPr>
        <w:t>Tlacateco</w:t>
      </w:r>
      <w:proofErr w:type="spellEnd"/>
      <w:r w:rsidR="00BB5551" w:rsidRPr="002B2FFB">
        <w:rPr>
          <w:rFonts w:ascii="Palatino Linotype" w:eastAsia="Palatino Linotype" w:hAnsi="Palatino Linotype" w:cs="Palatino Linotype"/>
          <w:i/>
          <w:sz w:val="22"/>
          <w:szCs w:val="22"/>
        </w:rPr>
        <w:t xml:space="preserve"> a Las Ánimas, solicito: Fecha de término de la obra. Nombre de la empresa contratada. Experiencia de la empresa contratada. Listado de trabajos realizados en el 2025. Contrato 2025. Pagos realizados en el 2025. Documentos del procedimiento 2025 de contratación de empresa. Documentos de fianza 2025 de la empresa. Documentos de supervisión 2025 realizada por la contraloría municipal. Expediente 2025 de seguimiento de obra. Los documentos en los que conste la justificación de demoler partes de las estructuras de concreto que ya estaban terminadas ya que se vieron trabajos terminados y ahora están demoliendo parte de los trabajos realizados y probablemente están repitiendo trabajos para encarecer la obra y no se ve que avancen para terminar la obra que es necesaria para disminuir el tráfico que se hace en la entrada del municipio. Y ante quien se puede interponer una queja por no avanzar en la obra.</w:t>
      </w:r>
      <w:r w:rsidRPr="002B2FFB">
        <w:rPr>
          <w:rFonts w:ascii="Palatino Linotype" w:eastAsia="Palatino Linotype" w:hAnsi="Palatino Linotype" w:cs="Palatino Linotype"/>
          <w:b/>
          <w:i/>
          <w:sz w:val="22"/>
          <w:szCs w:val="22"/>
        </w:rPr>
        <w:t>”</w:t>
      </w:r>
      <w:r w:rsidRPr="002B2FFB">
        <w:rPr>
          <w:rFonts w:ascii="Palatino Linotype" w:eastAsia="Palatino Linotype" w:hAnsi="Palatino Linotype" w:cs="Palatino Linotype"/>
          <w:i/>
          <w:sz w:val="22"/>
          <w:szCs w:val="22"/>
        </w:rPr>
        <w:t xml:space="preserve"> (sic) </w:t>
      </w:r>
    </w:p>
    <w:p w14:paraId="48AB3445"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2B2FFB">
        <w:rPr>
          <w:rFonts w:ascii="Palatino Linotype" w:eastAsia="Palatino Linotype" w:hAnsi="Palatino Linotype" w:cs="Palatino Linotype"/>
          <w:b/>
          <w:sz w:val="22"/>
          <w:szCs w:val="22"/>
        </w:rPr>
        <w:lastRenderedPageBreak/>
        <w:t>Modalidad de Entrega:</w:t>
      </w:r>
      <w:r w:rsidRPr="002B2FFB">
        <w:rPr>
          <w:rFonts w:ascii="Palatino Linotype" w:eastAsia="Palatino Linotype" w:hAnsi="Palatino Linotype" w:cs="Palatino Linotype"/>
          <w:sz w:val="22"/>
          <w:szCs w:val="22"/>
        </w:rPr>
        <w:t xml:space="preserve"> a través del</w:t>
      </w:r>
      <w:r w:rsidRPr="002B2FFB">
        <w:rPr>
          <w:rFonts w:ascii="Palatino Linotype" w:eastAsia="Palatino Linotype" w:hAnsi="Palatino Linotype" w:cs="Palatino Linotype"/>
          <w:b/>
          <w:sz w:val="22"/>
          <w:szCs w:val="22"/>
        </w:rPr>
        <w:t xml:space="preserve"> SAIMEX.</w:t>
      </w:r>
    </w:p>
    <w:p w14:paraId="4C78DE09" w14:textId="0C1C0A9D" w:rsidR="00BB5551" w:rsidRPr="002B2FFB" w:rsidRDefault="00812BF1" w:rsidP="00BB5551">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 xml:space="preserve">2. </w:t>
      </w:r>
      <w:r w:rsidR="00BB5551" w:rsidRPr="002B2FFB">
        <w:rPr>
          <w:rFonts w:ascii="Palatino Linotype" w:eastAsia="Palatino Linotype" w:hAnsi="Palatino Linotype" w:cs="Palatino Linotype"/>
          <w:b/>
          <w:sz w:val="22"/>
          <w:szCs w:val="22"/>
        </w:rPr>
        <w:t>Prórroga</w:t>
      </w:r>
      <w:r w:rsidR="00BB5551" w:rsidRPr="002B2FFB">
        <w:rPr>
          <w:rFonts w:ascii="Palatino Linotype" w:eastAsia="Palatino Linotype" w:hAnsi="Palatino Linotype" w:cs="Palatino Linotype"/>
          <w:sz w:val="22"/>
          <w:szCs w:val="22"/>
        </w:rPr>
        <w:t xml:space="preserve">. El </w:t>
      </w:r>
      <w:r w:rsidR="00BB5551" w:rsidRPr="002B2FFB">
        <w:rPr>
          <w:rFonts w:ascii="Palatino Linotype" w:eastAsia="Palatino Linotype" w:hAnsi="Palatino Linotype" w:cs="Palatino Linotype"/>
          <w:b/>
          <w:sz w:val="22"/>
          <w:szCs w:val="22"/>
        </w:rPr>
        <w:t xml:space="preserve">veintiséis de mayo de dos mil veinticinco, </w:t>
      </w:r>
      <w:r w:rsidR="00BB5551" w:rsidRPr="002B2FFB">
        <w:rPr>
          <w:rFonts w:ascii="Palatino Linotype" w:eastAsia="Palatino Linotype" w:hAnsi="Palatino Linotype" w:cs="Palatino Linotype"/>
          <w:sz w:val="22"/>
          <w:szCs w:val="22"/>
        </w:rPr>
        <w:t xml:space="preserve">el </w:t>
      </w:r>
      <w:r w:rsidR="00BB5551" w:rsidRPr="002B2FFB">
        <w:rPr>
          <w:rFonts w:ascii="Palatino Linotype" w:eastAsia="Palatino Linotype" w:hAnsi="Palatino Linotype" w:cs="Palatino Linotype"/>
          <w:b/>
          <w:sz w:val="22"/>
          <w:szCs w:val="22"/>
        </w:rPr>
        <w:t xml:space="preserve">Sujeto Obligado </w:t>
      </w:r>
      <w:r w:rsidR="00BB5551" w:rsidRPr="002B2FFB">
        <w:rPr>
          <w:rFonts w:ascii="Palatino Linotype" w:eastAsia="Palatino Linotype" w:hAnsi="Palatino Linotype" w:cs="Palatino Linotype"/>
          <w:sz w:val="22"/>
          <w:szCs w:val="22"/>
        </w:rPr>
        <w:t>notificó a la persona solicitante la prórroga para dar respuesta a la solicitud</w:t>
      </w:r>
      <w:r w:rsidR="00BB5551" w:rsidRPr="002B2FFB">
        <w:rPr>
          <w:rFonts w:ascii="Palatino Linotype" w:eastAsia="Palatino Linotype" w:hAnsi="Palatino Linotype" w:cs="Palatino Linotype"/>
          <w:b/>
          <w:sz w:val="22"/>
          <w:szCs w:val="22"/>
        </w:rPr>
        <w:t>,</w:t>
      </w:r>
      <w:r w:rsidR="00BB5551" w:rsidRPr="002B2FFB">
        <w:rPr>
          <w:rFonts w:ascii="Palatino Linotype" w:eastAsia="Palatino Linotype" w:hAnsi="Palatino Linotype" w:cs="Palatino Linotype"/>
          <w:sz w:val="22"/>
          <w:szCs w:val="22"/>
        </w:rPr>
        <w:t xml:space="preserve"> medularmente en los siguientes términos:</w:t>
      </w:r>
    </w:p>
    <w:p w14:paraId="53EAE34C" w14:textId="00AB6192" w:rsidR="00BB5551" w:rsidRPr="002B2FFB" w:rsidRDefault="00BB5551" w:rsidP="00BB5551">
      <w:pPr>
        <w:spacing w:before="240" w:after="240"/>
        <w:ind w:left="851"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“DE ACUERDO A LA TRIGÉSIMA SÉPTIMA SESIÓN EXTRAORDINARIA 2025 DEL COMITÉ DE TRANSPARENCIA DE FECHA 26 DE MAYO DE 2025, EN EL ACUERDO 02/SE/36/CT/2025: Se aprueba por unanimidad la prórroga para atender las solicitudes de información con número de folio 00195/TEPOTZOT/IP/2025..., realizadas por los particulares.” (sic)</w:t>
      </w:r>
    </w:p>
    <w:p w14:paraId="751EC741" w14:textId="77777777" w:rsidR="00BB5551" w:rsidRPr="002B2FFB" w:rsidRDefault="00BB5551" w:rsidP="00BB5551">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Como refiere el </w:t>
      </w:r>
      <w:r w:rsidRPr="002B2FFB">
        <w:rPr>
          <w:rFonts w:ascii="Palatino Linotype" w:eastAsia="Palatino Linotype" w:hAnsi="Palatino Linotype" w:cs="Palatino Linotype"/>
          <w:b/>
          <w:sz w:val="22"/>
          <w:szCs w:val="22"/>
        </w:rPr>
        <w:t>Sujeto Obligado</w:t>
      </w:r>
      <w:r w:rsidRPr="002B2FFB">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4D910997" w14:textId="6FF88782" w:rsidR="00BB5551" w:rsidRPr="002B2FFB" w:rsidRDefault="00BB5551" w:rsidP="00BB5551">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 xml:space="preserve">3. Respuesta. </w:t>
      </w:r>
      <w:r w:rsidRPr="002B2FFB">
        <w:rPr>
          <w:rFonts w:ascii="Palatino Linotype" w:eastAsia="Palatino Linotype" w:hAnsi="Palatino Linotype" w:cs="Palatino Linotype"/>
          <w:sz w:val="22"/>
          <w:szCs w:val="22"/>
        </w:rPr>
        <w:t xml:space="preserve">El </w:t>
      </w:r>
      <w:r w:rsidRPr="002B2FFB">
        <w:rPr>
          <w:rFonts w:ascii="Palatino Linotype" w:eastAsia="Palatino Linotype" w:hAnsi="Palatino Linotype" w:cs="Palatino Linotype"/>
          <w:b/>
          <w:sz w:val="22"/>
          <w:szCs w:val="22"/>
        </w:rPr>
        <w:t>siete de junio de dos mil veinticinco,</w:t>
      </w:r>
      <w:r w:rsidRPr="002B2FFB">
        <w:rPr>
          <w:rFonts w:ascii="Palatino Linotype" w:eastAsia="Palatino Linotype" w:hAnsi="Palatino Linotype" w:cs="Palatino Linotype"/>
          <w:sz w:val="22"/>
          <w:szCs w:val="22"/>
        </w:rPr>
        <w:t xml:space="preserve"> el </w:t>
      </w:r>
      <w:r w:rsidRPr="002B2FFB">
        <w:rPr>
          <w:rFonts w:ascii="Palatino Linotype" w:eastAsia="Palatino Linotype" w:hAnsi="Palatino Linotype" w:cs="Palatino Linotype"/>
          <w:b/>
          <w:sz w:val="22"/>
          <w:szCs w:val="22"/>
        </w:rPr>
        <w:t xml:space="preserve">Sujeto Obligado </w:t>
      </w:r>
      <w:r w:rsidRPr="002B2FFB">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5029B521" w14:textId="5E836142" w:rsidR="00BB5551" w:rsidRPr="002B2FFB" w:rsidRDefault="00BB5551" w:rsidP="00BB5551">
      <w:pPr>
        <w:spacing w:before="240" w:after="24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00EC53BD" w:rsidRPr="002B2FFB">
        <w:rPr>
          <w:rFonts w:ascii="Palatino Linotype" w:eastAsia="Palatino Linotype" w:hAnsi="Palatino Linotype" w:cs="Palatino Linotype"/>
          <w:i/>
          <w:sz w:val="22"/>
          <w:szCs w:val="22"/>
        </w:rPr>
        <w:t>SE ADJUNTA RESPUESTA DE SERVIDOR PÚBLICO HABILITADO</w:t>
      </w:r>
      <w:r w:rsidRPr="002B2FFB">
        <w:rPr>
          <w:rFonts w:ascii="Palatino Linotype" w:eastAsia="Palatino Linotype" w:hAnsi="Palatino Linotype" w:cs="Palatino Linotype"/>
          <w:i/>
          <w:sz w:val="22"/>
          <w:szCs w:val="22"/>
        </w:rPr>
        <w:t>...” (sic)</w:t>
      </w:r>
    </w:p>
    <w:p w14:paraId="6B169392" w14:textId="77777777" w:rsidR="00BB5551" w:rsidRPr="002B2FFB" w:rsidRDefault="00BB5551" w:rsidP="00BB5551">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El </w:t>
      </w:r>
      <w:r w:rsidRPr="002B2FFB">
        <w:rPr>
          <w:rFonts w:ascii="Palatino Linotype" w:eastAsia="Palatino Linotype" w:hAnsi="Palatino Linotype" w:cs="Palatino Linotype"/>
          <w:b/>
          <w:sz w:val="22"/>
          <w:szCs w:val="22"/>
        </w:rPr>
        <w:t xml:space="preserve">Sujeto Obligado </w:t>
      </w:r>
      <w:r w:rsidRPr="002B2FFB">
        <w:rPr>
          <w:rFonts w:ascii="Palatino Linotype" w:eastAsia="Palatino Linotype" w:hAnsi="Palatino Linotype" w:cs="Palatino Linotype"/>
          <w:sz w:val="22"/>
          <w:szCs w:val="22"/>
        </w:rPr>
        <w:t>adjuntó lo siguiente:</w:t>
      </w:r>
    </w:p>
    <w:p w14:paraId="0068FF90" w14:textId="23C709F6" w:rsidR="00BB5551" w:rsidRPr="002B2FFB" w:rsidRDefault="00BB5551" w:rsidP="00EC53BD">
      <w:pPr>
        <w:spacing w:before="240" w:after="240" w:line="360" w:lineRule="auto"/>
        <w:ind w:right="49"/>
        <w:jc w:val="both"/>
        <w:rPr>
          <w:rFonts w:ascii="Palatino Linotype" w:hAnsi="Palatino Linotype"/>
          <w:sz w:val="22"/>
          <w:szCs w:val="22"/>
        </w:rPr>
      </w:pPr>
      <w:r w:rsidRPr="002B2FFB">
        <w:rPr>
          <w:rFonts w:ascii="Palatino Linotype" w:eastAsia="Palatino Linotype" w:hAnsi="Palatino Linotype" w:cs="Palatino Linotype"/>
          <w:sz w:val="22"/>
          <w:szCs w:val="22"/>
        </w:rPr>
        <w:lastRenderedPageBreak/>
        <w:t xml:space="preserve">- </w:t>
      </w:r>
      <w:r w:rsidR="00EC53BD" w:rsidRPr="002B2FFB">
        <w:rPr>
          <w:rFonts w:ascii="Palatino Linotype" w:eastAsia="Palatino Linotype" w:hAnsi="Palatino Linotype" w:cs="Palatino Linotype"/>
          <w:sz w:val="22"/>
          <w:szCs w:val="22"/>
        </w:rPr>
        <w:t xml:space="preserve">Oficio número </w:t>
      </w:r>
      <w:r w:rsidR="00EC53BD" w:rsidRPr="002B2FFB">
        <w:rPr>
          <w:rFonts w:ascii="Palatino Linotype" w:hAnsi="Palatino Linotype"/>
          <w:sz w:val="22"/>
          <w:szCs w:val="22"/>
        </w:rPr>
        <w:t>DOP/0571/2025, mediante el cual el Encargado de Despacho de la Dirección de Obras Públicas manifestó que después de una búsqueda exhaustiva y minuciosa; no se encontró información con el nombre de la obra mencionada.</w:t>
      </w:r>
    </w:p>
    <w:p w14:paraId="2B04BF20" w14:textId="692256AF" w:rsidR="00C8599E" w:rsidRPr="002B2FFB" w:rsidRDefault="00EC53BD" w:rsidP="00B24180">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4</w:t>
      </w:r>
      <w:r w:rsidR="00812BF1" w:rsidRPr="002B2FFB">
        <w:rPr>
          <w:rFonts w:ascii="Palatino Linotype" w:eastAsia="Palatino Linotype" w:hAnsi="Palatino Linotype" w:cs="Palatino Linotype"/>
          <w:b/>
          <w:sz w:val="22"/>
          <w:szCs w:val="22"/>
        </w:rPr>
        <w:t xml:space="preserve">. Interposición del recurso de revisión. </w:t>
      </w:r>
      <w:r w:rsidR="00812BF1" w:rsidRPr="002B2FFB">
        <w:rPr>
          <w:rFonts w:ascii="Palatino Linotype" w:eastAsia="Palatino Linotype" w:hAnsi="Palatino Linotype" w:cs="Palatino Linotype"/>
          <w:sz w:val="22"/>
          <w:szCs w:val="22"/>
        </w:rPr>
        <w:t xml:space="preserve">Inconforme con los términos de la respuesta emitida por parte del </w:t>
      </w:r>
      <w:r w:rsidR="00812BF1" w:rsidRPr="002B2FFB">
        <w:rPr>
          <w:rFonts w:ascii="Palatino Linotype" w:eastAsia="Palatino Linotype" w:hAnsi="Palatino Linotype" w:cs="Palatino Linotype"/>
          <w:b/>
          <w:sz w:val="22"/>
          <w:szCs w:val="22"/>
        </w:rPr>
        <w:t>Sujeto Obligado</w:t>
      </w:r>
      <w:r w:rsidR="00812BF1" w:rsidRPr="002B2FFB">
        <w:rPr>
          <w:rFonts w:ascii="Palatino Linotype" w:eastAsia="Palatino Linotype" w:hAnsi="Palatino Linotype" w:cs="Palatino Linotype"/>
          <w:sz w:val="22"/>
          <w:szCs w:val="22"/>
        </w:rPr>
        <w:t xml:space="preserve">, el </w:t>
      </w:r>
      <w:r w:rsidRPr="002B2FFB">
        <w:rPr>
          <w:rFonts w:ascii="Palatino Linotype" w:eastAsia="Palatino Linotype" w:hAnsi="Palatino Linotype" w:cs="Palatino Linotype"/>
          <w:b/>
          <w:sz w:val="22"/>
          <w:szCs w:val="22"/>
        </w:rPr>
        <w:t>doce</w:t>
      </w:r>
      <w:r w:rsidR="00161E36" w:rsidRPr="002B2FFB">
        <w:rPr>
          <w:rFonts w:ascii="Palatino Linotype" w:eastAsia="Palatino Linotype" w:hAnsi="Palatino Linotype" w:cs="Palatino Linotype"/>
          <w:b/>
          <w:sz w:val="22"/>
          <w:szCs w:val="22"/>
        </w:rPr>
        <w:t xml:space="preserve"> de junio</w:t>
      </w:r>
      <w:r w:rsidR="00812BF1" w:rsidRPr="002B2FFB">
        <w:rPr>
          <w:rFonts w:ascii="Palatino Linotype" w:eastAsia="Palatino Linotype" w:hAnsi="Palatino Linotype" w:cs="Palatino Linotype"/>
          <w:b/>
          <w:sz w:val="22"/>
          <w:szCs w:val="22"/>
        </w:rPr>
        <w:t xml:space="preserve"> de dos mil veinticinco,</w:t>
      </w:r>
      <w:r w:rsidR="00812BF1" w:rsidRPr="002B2FFB">
        <w:rPr>
          <w:rFonts w:ascii="Palatino Linotype" w:eastAsia="Palatino Linotype" w:hAnsi="Palatino Linotype" w:cs="Palatino Linotype"/>
          <w:sz w:val="22"/>
          <w:szCs w:val="22"/>
        </w:rPr>
        <w:t xml:space="preserve"> la parte </w:t>
      </w:r>
      <w:r w:rsidR="00812BF1" w:rsidRPr="002B2FFB">
        <w:rPr>
          <w:rFonts w:ascii="Palatino Linotype" w:eastAsia="Palatino Linotype" w:hAnsi="Palatino Linotype" w:cs="Palatino Linotype"/>
          <w:b/>
          <w:sz w:val="22"/>
          <w:szCs w:val="22"/>
        </w:rPr>
        <w:t>Recurrente</w:t>
      </w:r>
      <w:r w:rsidR="00812BF1" w:rsidRPr="002B2FFB">
        <w:rPr>
          <w:rFonts w:ascii="Palatino Linotype" w:eastAsia="Palatino Linotype" w:hAnsi="Palatino Linotype" w:cs="Palatino Linotype"/>
          <w:sz w:val="22"/>
          <w:szCs w:val="22"/>
        </w:rPr>
        <w:t xml:space="preserve"> interpuso el recurso de revisión a través de </w:t>
      </w:r>
      <w:r w:rsidR="00812BF1" w:rsidRPr="002B2FFB">
        <w:rPr>
          <w:rFonts w:ascii="Palatino Linotype" w:eastAsia="Palatino Linotype" w:hAnsi="Palatino Linotype" w:cs="Palatino Linotype"/>
          <w:b/>
          <w:sz w:val="22"/>
          <w:szCs w:val="22"/>
        </w:rPr>
        <w:t xml:space="preserve">SAIMEX, </w:t>
      </w:r>
      <w:r w:rsidR="00812BF1" w:rsidRPr="002B2FFB">
        <w:rPr>
          <w:rFonts w:ascii="Palatino Linotype" w:eastAsia="Palatino Linotype" w:hAnsi="Palatino Linotype" w:cs="Palatino Linotype"/>
          <w:sz w:val="22"/>
          <w:szCs w:val="22"/>
        </w:rPr>
        <w:t>en donde se manifestó de la siguiente manera:</w:t>
      </w:r>
    </w:p>
    <w:p w14:paraId="7024EFF6" w14:textId="77777777" w:rsidR="00C8599E" w:rsidRPr="002B2FFB" w:rsidRDefault="00812BF1" w:rsidP="00B24180">
      <w:pPr>
        <w:spacing w:before="240" w:after="240" w:line="360" w:lineRule="auto"/>
        <w:ind w:right="49"/>
        <w:jc w:val="both"/>
        <w:rPr>
          <w:rFonts w:ascii="Palatino Linotype" w:eastAsia="Palatino Linotype" w:hAnsi="Palatino Linotype" w:cs="Palatino Linotype"/>
          <w:b/>
          <w:sz w:val="22"/>
          <w:szCs w:val="22"/>
        </w:rPr>
      </w:pPr>
      <w:r w:rsidRPr="002B2FFB">
        <w:rPr>
          <w:rFonts w:ascii="Palatino Linotype" w:eastAsia="Palatino Linotype" w:hAnsi="Palatino Linotype" w:cs="Palatino Linotype"/>
          <w:b/>
          <w:sz w:val="22"/>
          <w:szCs w:val="22"/>
        </w:rPr>
        <w:t xml:space="preserve">Acto impugnado: </w:t>
      </w:r>
    </w:p>
    <w:p w14:paraId="54169931" w14:textId="5A6D98A3" w:rsidR="00C8599E" w:rsidRPr="002B2FFB" w:rsidRDefault="00812BF1" w:rsidP="00B24180">
      <w:pPr>
        <w:tabs>
          <w:tab w:val="left" w:pos="2745"/>
        </w:tabs>
        <w:spacing w:before="240" w:after="240"/>
        <w:ind w:left="851"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00EC53BD" w:rsidRPr="002B2FFB">
        <w:rPr>
          <w:rFonts w:ascii="Palatino Linotype" w:eastAsia="Palatino Linotype" w:hAnsi="Palatino Linotype" w:cs="Palatino Linotype"/>
          <w:i/>
          <w:sz w:val="22"/>
          <w:szCs w:val="22"/>
        </w:rPr>
        <w:t>Se niegan a dar la información.</w:t>
      </w:r>
      <w:r w:rsidRPr="002B2FFB">
        <w:rPr>
          <w:rFonts w:ascii="Palatino Linotype" w:eastAsia="Palatino Linotype" w:hAnsi="Palatino Linotype" w:cs="Palatino Linotype"/>
          <w:i/>
          <w:sz w:val="22"/>
          <w:szCs w:val="22"/>
        </w:rPr>
        <w:t>” (sic)</w:t>
      </w:r>
    </w:p>
    <w:p w14:paraId="01FFCB24" w14:textId="77777777" w:rsidR="00C8599E" w:rsidRPr="002B2FFB" w:rsidRDefault="00812BF1" w:rsidP="00B24180">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2B2FFB">
        <w:rPr>
          <w:rFonts w:ascii="Palatino Linotype" w:eastAsia="Palatino Linotype" w:hAnsi="Palatino Linotype" w:cs="Palatino Linotype"/>
          <w:b/>
          <w:sz w:val="22"/>
          <w:szCs w:val="22"/>
        </w:rPr>
        <w:t>Y, Razones o motivos de inconformidad</w:t>
      </w:r>
      <w:r w:rsidRPr="002B2FFB">
        <w:rPr>
          <w:rFonts w:ascii="Palatino Linotype" w:eastAsia="Palatino Linotype" w:hAnsi="Palatino Linotype" w:cs="Palatino Linotype"/>
          <w:sz w:val="22"/>
          <w:szCs w:val="22"/>
        </w:rPr>
        <w:t>:</w:t>
      </w:r>
    </w:p>
    <w:p w14:paraId="4D20CB7D" w14:textId="3F0C2077" w:rsidR="00C8599E" w:rsidRPr="002B2FFB" w:rsidRDefault="00812BF1" w:rsidP="00B24180">
      <w:pPr>
        <w:tabs>
          <w:tab w:val="left" w:pos="2745"/>
        </w:tabs>
        <w:spacing w:before="240" w:after="240"/>
        <w:ind w:left="851"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00EC53BD" w:rsidRPr="002B2FFB">
        <w:rPr>
          <w:rFonts w:ascii="Palatino Linotype" w:eastAsia="Palatino Linotype" w:hAnsi="Palatino Linotype" w:cs="Palatino Linotype"/>
          <w:i/>
          <w:sz w:val="22"/>
          <w:szCs w:val="22"/>
        </w:rPr>
        <w:t xml:space="preserve">Niegan que exista la obra pero si existe y tiene año sin terminarse, aquí hay un link que habla de ello </w:t>
      </w:r>
      <w:hyperlink r:id="rId9" w:history="1">
        <w:r w:rsidR="002A43CF" w:rsidRPr="002B2FFB">
          <w:rPr>
            <w:rStyle w:val="Hipervnculo"/>
            <w:rFonts w:ascii="Palatino Linotype" w:eastAsia="Palatino Linotype" w:hAnsi="Palatino Linotype" w:cs="Palatino Linotype"/>
            <w:i/>
            <w:color w:val="auto"/>
            <w:sz w:val="22"/>
            <w:szCs w:val="22"/>
          </w:rPr>
          <w:t>https://www.luisrochanoticias.com/post/mar%C3%ADa-de-los-%C3%A1ngeles-zuppa-villegas-provoca-esc%C3%A1ndalo-pol%C3%ADtico-en-tepotzotl%C3%A1n-la-inhabilita-el-tri</w:t>
        </w:r>
      </w:hyperlink>
      <w:r w:rsidR="002A43CF" w:rsidRPr="002B2FFB">
        <w:rPr>
          <w:rFonts w:ascii="Palatino Linotype" w:eastAsia="Palatino Linotype" w:hAnsi="Palatino Linotype" w:cs="Palatino Linotype"/>
          <w:i/>
          <w:sz w:val="22"/>
          <w:szCs w:val="22"/>
        </w:rPr>
        <w:t xml:space="preserve"> </w:t>
      </w:r>
      <w:r w:rsidR="00EC53BD" w:rsidRPr="002B2FFB">
        <w:rPr>
          <w:rFonts w:ascii="Palatino Linotype" w:eastAsia="Palatino Linotype" w:hAnsi="Palatino Linotype" w:cs="Palatino Linotype"/>
          <w:i/>
          <w:sz w:val="22"/>
          <w:szCs w:val="22"/>
        </w:rPr>
        <w:t>Bajo el argumento que no conozco el nombre de la obra, quien contesta la solicitud pretende burlarse del instituto garante al dar una contestación tan burda.</w:t>
      </w:r>
      <w:r w:rsidRPr="002B2FFB">
        <w:rPr>
          <w:rFonts w:ascii="Palatino Linotype" w:eastAsia="Palatino Linotype" w:hAnsi="Palatino Linotype" w:cs="Palatino Linotype"/>
          <w:i/>
          <w:sz w:val="22"/>
          <w:szCs w:val="22"/>
        </w:rPr>
        <w:t>” (sic)</w:t>
      </w:r>
    </w:p>
    <w:p w14:paraId="7E2B6914" w14:textId="57D87143" w:rsidR="00C8599E" w:rsidRPr="002B2FFB" w:rsidRDefault="002A43CF" w:rsidP="00B24180">
      <w:pPr>
        <w:spacing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5</w:t>
      </w:r>
      <w:r w:rsidR="00812BF1" w:rsidRPr="002B2FFB">
        <w:rPr>
          <w:rFonts w:ascii="Palatino Linotype" w:eastAsia="Palatino Linotype" w:hAnsi="Palatino Linotype" w:cs="Palatino Linotype"/>
          <w:b/>
          <w:sz w:val="22"/>
          <w:szCs w:val="22"/>
        </w:rPr>
        <w:t xml:space="preserve">. Turno. </w:t>
      </w:r>
      <w:r w:rsidR="00812BF1" w:rsidRPr="002B2FF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812BF1" w:rsidRPr="002B2FFB">
        <w:rPr>
          <w:rFonts w:ascii="Palatino Linotype" w:eastAsia="Palatino Linotype" w:hAnsi="Palatino Linotype" w:cs="Palatino Linotype"/>
          <w:b/>
          <w:sz w:val="22"/>
          <w:szCs w:val="22"/>
        </w:rPr>
        <w:t xml:space="preserve">Guadalupe Ramírez Peña, </w:t>
      </w:r>
      <w:r w:rsidR="00812BF1" w:rsidRPr="002B2FFB">
        <w:rPr>
          <w:rFonts w:ascii="Palatino Linotype" w:eastAsia="Palatino Linotype" w:hAnsi="Palatino Linotype" w:cs="Palatino Linotype"/>
          <w:sz w:val="22"/>
          <w:szCs w:val="22"/>
        </w:rPr>
        <w:t xml:space="preserve">a efecto de que analizara sobre su admisión o su </w:t>
      </w:r>
      <w:proofErr w:type="spellStart"/>
      <w:r w:rsidR="00812BF1" w:rsidRPr="002B2FFB">
        <w:rPr>
          <w:rFonts w:ascii="Palatino Linotype" w:eastAsia="Palatino Linotype" w:hAnsi="Palatino Linotype" w:cs="Palatino Linotype"/>
          <w:sz w:val="22"/>
          <w:szCs w:val="22"/>
        </w:rPr>
        <w:t>desechamiento</w:t>
      </w:r>
      <w:proofErr w:type="spellEnd"/>
      <w:r w:rsidR="00812BF1" w:rsidRPr="002B2FFB">
        <w:rPr>
          <w:rFonts w:ascii="Palatino Linotype" w:eastAsia="Palatino Linotype" w:hAnsi="Palatino Linotype" w:cs="Palatino Linotype"/>
          <w:sz w:val="22"/>
          <w:szCs w:val="22"/>
        </w:rPr>
        <w:t>.</w:t>
      </w:r>
    </w:p>
    <w:p w14:paraId="626B1FF8" w14:textId="5519008D" w:rsidR="00C8599E" w:rsidRPr="002B2FFB" w:rsidRDefault="002A43CF" w:rsidP="00B24180">
      <w:pPr>
        <w:spacing w:before="240" w:after="240" w:line="360" w:lineRule="auto"/>
        <w:jc w:val="both"/>
        <w:rPr>
          <w:rFonts w:ascii="Palatino Linotype" w:eastAsia="Palatino Linotype" w:hAnsi="Palatino Linotype" w:cs="Palatino Linotype"/>
          <w:b/>
          <w:sz w:val="22"/>
          <w:szCs w:val="22"/>
        </w:rPr>
      </w:pPr>
      <w:r w:rsidRPr="002B2FFB">
        <w:rPr>
          <w:rFonts w:ascii="Palatino Linotype" w:eastAsia="Palatino Linotype" w:hAnsi="Palatino Linotype" w:cs="Palatino Linotype"/>
          <w:b/>
          <w:sz w:val="22"/>
          <w:szCs w:val="22"/>
        </w:rPr>
        <w:t>6</w:t>
      </w:r>
      <w:r w:rsidR="00812BF1" w:rsidRPr="002B2FFB">
        <w:rPr>
          <w:rFonts w:ascii="Palatino Linotype" w:eastAsia="Palatino Linotype" w:hAnsi="Palatino Linotype" w:cs="Palatino Linotype"/>
          <w:b/>
          <w:sz w:val="22"/>
          <w:szCs w:val="22"/>
        </w:rPr>
        <w:t>. Admisión del Recurso de revisión.</w:t>
      </w:r>
      <w:r w:rsidR="00812BF1" w:rsidRPr="002B2FFB">
        <w:rPr>
          <w:rFonts w:ascii="Palatino Linotype" w:eastAsia="Palatino Linotype" w:hAnsi="Palatino Linotype" w:cs="Palatino Linotype"/>
          <w:sz w:val="22"/>
          <w:szCs w:val="22"/>
        </w:rPr>
        <w:t xml:space="preserve"> El</w:t>
      </w:r>
      <w:r w:rsidR="00812BF1" w:rsidRPr="002B2FFB">
        <w:rPr>
          <w:rFonts w:ascii="Palatino Linotype" w:eastAsia="Palatino Linotype" w:hAnsi="Palatino Linotype" w:cs="Palatino Linotype"/>
          <w:b/>
          <w:sz w:val="22"/>
          <w:szCs w:val="22"/>
        </w:rPr>
        <w:t xml:space="preserve"> </w:t>
      </w:r>
      <w:r w:rsidRPr="002B2FFB">
        <w:rPr>
          <w:rFonts w:ascii="Palatino Linotype" w:eastAsia="Palatino Linotype" w:hAnsi="Palatino Linotype" w:cs="Palatino Linotype"/>
          <w:b/>
          <w:sz w:val="22"/>
          <w:szCs w:val="22"/>
        </w:rPr>
        <w:t xml:space="preserve">diecisiete </w:t>
      </w:r>
      <w:r w:rsidR="00C536D8" w:rsidRPr="002B2FFB">
        <w:rPr>
          <w:rFonts w:ascii="Palatino Linotype" w:eastAsia="Palatino Linotype" w:hAnsi="Palatino Linotype" w:cs="Palatino Linotype"/>
          <w:b/>
          <w:sz w:val="22"/>
          <w:szCs w:val="22"/>
        </w:rPr>
        <w:t xml:space="preserve">de </w:t>
      </w:r>
      <w:r w:rsidR="00D922DE" w:rsidRPr="002B2FFB">
        <w:rPr>
          <w:rFonts w:ascii="Palatino Linotype" w:eastAsia="Palatino Linotype" w:hAnsi="Palatino Linotype" w:cs="Palatino Linotype"/>
          <w:b/>
          <w:sz w:val="22"/>
          <w:szCs w:val="22"/>
        </w:rPr>
        <w:t>junio</w:t>
      </w:r>
      <w:r w:rsidR="00812BF1" w:rsidRPr="002B2FFB">
        <w:rPr>
          <w:rFonts w:ascii="Palatino Linotype" w:eastAsia="Palatino Linotype" w:hAnsi="Palatino Linotype" w:cs="Palatino Linotype"/>
          <w:b/>
          <w:sz w:val="22"/>
          <w:szCs w:val="22"/>
        </w:rPr>
        <w:t xml:space="preserve"> de dos mil veinticinco, </w:t>
      </w:r>
      <w:r w:rsidR="00812BF1" w:rsidRPr="002B2FFB">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812BF1" w:rsidRPr="002B2FFB">
        <w:rPr>
          <w:rFonts w:ascii="Palatino Linotype" w:eastAsia="Palatino Linotype" w:hAnsi="Palatino Linotype" w:cs="Palatino Linotype"/>
          <w:b/>
          <w:sz w:val="22"/>
          <w:szCs w:val="22"/>
        </w:rPr>
        <w:t xml:space="preserve">Sujeto Obligado </w:t>
      </w:r>
      <w:r w:rsidR="00812BF1" w:rsidRPr="002B2FFB">
        <w:rPr>
          <w:rFonts w:ascii="Palatino Linotype" w:eastAsia="Palatino Linotype" w:hAnsi="Palatino Linotype" w:cs="Palatino Linotype"/>
          <w:sz w:val="22"/>
          <w:szCs w:val="22"/>
        </w:rPr>
        <w:t>presentara su informe justificado.</w:t>
      </w:r>
    </w:p>
    <w:p w14:paraId="224547EB" w14:textId="77777777" w:rsidR="004509C7" w:rsidRPr="002B2FFB" w:rsidRDefault="002A43CF" w:rsidP="004509C7">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2B2FFB">
        <w:rPr>
          <w:rFonts w:ascii="Palatino Linotype" w:eastAsia="Palatino Linotype" w:hAnsi="Palatino Linotype" w:cs="Palatino Linotype"/>
          <w:b/>
          <w:sz w:val="22"/>
          <w:szCs w:val="22"/>
        </w:rPr>
        <w:t>7</w:t>
      </w:r>
      <w:r w:rsidR="00812BF1" w:rsidRPr="002B2FFB">
        <w:rPr>
          <w:rFonts w:ascii="Palatino Linotype" w:eastAsia="Palatino Linotype" w:hAnsi="Palatino Linotype" w:cs="Palatino Linotype"/>
          <w:b/>
          <w:sz w:val="22"/>
          <w:szCs w:val="22"/>
        </w:rPr>
        <w:t>. Manifestaciones</w:t>
      </w:r>
      <w:r w:rsidR="00812BF1" w:rsidRPr="002B2FFB">
        <w:rPr>
          <w:rFonts w:ascii="Palatino Linotype" w:eastAsia="Palatino Linotype" w:hAnsi="Palatino Linotype" w:cs="Palatino Linotype"/>
          <w:sz w:val="22"/>
          <w:szCs w:val="22"/>
        </w:rPr>
        <w:t xml:space="preserve">. </w:t>
      </w:r>
      <w:r w:rsidR="004509C7" w:rsidRPr="002B2FFB">
        <w:rPr>
          <w:rFonts w:ascii="Palatino Linotype" w:eastAsia="Palatino Linotype" w:hAnsi="Palatino Linotype" w:cs="Palatino Linotype"/>
          <w:sz w:val="22"/>
          <w:szCs w:val="22"/>
        </w:rPr>
        <w:t xml:space="preserve">De las constancias que obran en el expediente electrónico del SAIMEX se desprende que el </w:t>
      </w:r>
      <w:r w:rsidR="004509C7" w:rsidRPr="002B2FFB">
        <w:rPr>
          <w:rFonts w:ascii="Palatino Linotype" w:eastAsia="Palatino Linotype" w:hAnsi="Palatino Linotype" w:cs="Palatino Linotype"/>
          <w:b/>
          <w:sz w:val="22"/>
          <w:szCs w:val="22"/>
        </w:rPr>
        <w:t>Sujeto Obligado</w:t>
      </w:r>
      <w:r w:rsidR="004509C7" w:rsidRPr="002B2FFB">
        <w:rPr>
          <w:rFonts w:ascii="Palatino Linotype" w:eastAsia="Palatino Linotype" w:hAnsi="Palatino Linotype" w:cs="Palatino Linotype"/>
          <w:sz w:val="22"/>
          <w:szCs w:val="22"/>
        </w:rPr>
        <w:t xml:space="preserve"> no rindió su Informe Justificado, del mismo modo la parte</w:t>
      </w:r>
      <w:r w:rsidR="004509C7" w:rsidRPr="002B2FFB">
        <w:rPr>
          <w:rFonts w:ascii="Palatino Linotype" w:eastAsia="Palatino Linotype" w:hAnsi="Palatino Linotype" w:cs="Palatino Linotype"/>
          <w:b/>
          <w:sz w:val="22"/>
          <w:szCs w:val="22"/>
        </w:rPr>
        <w:t xml:space="preserve"> Recurrente</w:t>
      </w:r>
      <w:r w:rsidR="004509C7" w:rsidRPr="002B2FFB">
        <w:rPr>
          <w:rFonts w:ascii="Palatino Linotype" w:eastAsia="Palatino Linotype" w:hAnsi="Palatino Linotype" w:cs="Palatino Linotype"/>
          <w:sz w:val="22"/>
          <w:szCs w:val="22"/>
        </w:rPr>
        <w:t xml:space="preserve"> omitió realizar manifestaciones, como se observa a continuación:</w:t>
      </w:r>
    </w:p>
    <w:p w14:paraId="4E62E336" w14:textId="36EBC007" w:rsidR="00C536D8" w:rsidRPr="002B2FFB" w:rsidRDefault="004509C7" w:rsidP="00C536D8">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0D328E42" wp14:editId="1E90AE0B">
            <wp:extent cx="5612130" cy="14878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487805"/>
                    </a:xfrm>
                    <a:prstGeom prst="rect">
                      <a:avLst/>
                    </a:prstGeom>
                  </pic:spPr>
                </pic:pic>
              </a:graphicData>
            </a:graphic>
          </wp:inline>
        </w:drawing>
      </w:r>
    </w:p>
    <w:p w14:paraId="4E0E4FAB" w14:textId="45A11F47" w:rsidR="00C8599E" w:rsidRPr="002B2FFB" w:rsidRDefault="002A43CF"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8</w:t>
      </w:r>
      <w:r w:rsidR="00812BF1" w:rsidRPr="002B2FFB">
        <w:rPr>
          <w:rFonts w:ascii="Palatino Linotype" w:eastAsia="Palatino Linotype" w:hAnsi="Palatino Linotype" w:cs="Palatino Linotype"/>
          <w:b/>
          <w:sz w:val="22"/>
          <w:szCs w:val="22"/>
        </w:rPr>
        <w:t xml:space="preserve">. Cierre de instrucción. </w:t>
      </w:r>
      <w:r w:rsidR="00812BF1" w:rsidRPr="002B2FFB">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AE5A1B" w:rsidRPr="002B2FFB">
        <w:rPr>
          <w:rFonts w:ascii="Palatino Linotype" w:eastAsia="Palatino Linotype" w:hAnsi="Palatino Linotype" w:cs="Palatino Linotype"/>
          <w:b/>
          <w:sz w:val="22"/>
          <w:szCs w:val="22"/>
        </w:rPr>
        <w:t>veintisiete de junio</w:t>
      </w:r>
      <w:r w:rsidR="00C536D8" w:rsidRPr="002B2FFB">
        <w:rPr>
          <w:rFonts w:ascii="Palatino Linotype" w:eastAsia="Palatino Linotype" w:hAnsi="Palatino Linotype" w:cs="Palatino Linotype"/>
          <w:b/>
          <w:sz w:val="22"/>
          <w:szCs w:val="22"/>
        </w:rPr>
        <w:t xml:space="preserve"> </w:t>
      </w:r>
      <w:r w:rsidR="00812BF1" w:rsidRPr="002B2FFB">
        <w:rPr>
          <w:rFonts w:ascii="Palatino Linotype" w:eastAsia="Palatino Linotype" w:hAnsi="Palatino Linotype" w:cs="Palatino Linotype"/>
          <w:b/>
          <w:sz w:val="22"/>
          <w:szCs w:val="22"/>
        </w:rPr>
        <w:t>de dos mil veinticinco</w:t>
      </w:r>
      <w:r w:rsidR="00812BF1" w:rsidRPr="002B2FF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61332CF" w14:textId="27580B14" w:rsidR="00C8599E" w:rsidRPr="002B2FFB" w:rsidRDefault="002A43CF" w:rsidP="00B24180">
      <w:pPr>
        <w:spacing w:before="240" w:after="240" w:line="360" w:lineRule="auto"/>
        <w:jc w:val="both"/>
        <w:rPr>
          <w:rFonts w:ascii="Palatino Linotype" w:eastAsia="Palatino Linotype" w:hAnsi="Palatino Linotype" w:cs="Palatino Linotype"/>
          <w:b/>
          <w:sz w:val="22"/>
          <w:szCs w:val="22"/>
        </w:rPr>
      </w:pPr>
      <w:r w:rsidRPr="002B2FFB">
        <w:rPr>
          <w:rFonts w:ascii="Palatino Linotype" w:eastAsia="Palatino Linotype" w:hAnsi="Palatino Linotype" w:cs="Palatino Linotype"/>
          <w:b/>
          <w:sz w:val="22"/>
          <w:szCs w:val="22"/>
        </w:rPr>
        <w:t>9</w:t>
      </w:r>
      <w:r w:rsidR="00812BF1" w:rsidRPr="002B2FFB">
        <w:rPr>
          <w:rFonts w:ascii="Palatino Linotype" w:eastAsia="Palatino Linotype" w:hAnsi="Palatino Linotype" w:cs="Palatino Linotype"/>
          <w:b/>
          <w:sz w:val="22"/>
          <w:szCs w:val="22"/>
        </w:rPr>
        <w:t>.</w:t>
      </w:r>
      <w:r w:rsidR="00812BF1" w:rsidRPr="002B2FFB">
        <w:rPr>
          <w:rFonts w:ascii="Palatino Linotype" w:eastAsia="Palatino Linotype" w:hAnsi="Palatino Linotype" w:cs="Palatino Linotype"/>
          <w:sz w:val="22"/>
          <w:szCs w:val="22"/>
        </w:rPr>
        <w:t xml:space="preserve"> </w:t>
      </w:r>
      <w:r w:rsidR="00812BF1" w:rsidRPr="002B2FFB">
        <w:rPr>
          <w:rFonts w:ascii="Palatino Linotype" w:eastAsia="Palatino Linotype" w:hAnsi="Palatino Linotype" w:cs="Palatino Linotype"/>
          <w:b/>
          <w:sz w:val="22"/>
          <w:szCs w:val="22"/>
        </w:rPr>
        <w:t>Ampliación del término para resolver</w:t>
      </w:r>
      <w:r w:rsidR="00812BF1" w:rsidRPr="002B2FFB">
        <w:rPr>
          <w:rFonts w:ascii="Palatino Linotype" w:eastAsia="Palatino Linotype" w:hAnsi="Palatino Linotype" w:cs="Palatino Linotype"/>
          <w:sz w:val="22"/>
          <w:szCs w:val="22"/>
        </w:rPr>
        <w:t xml:space="preserve">. El </w:t>
      </w:r>
      <w:r w:rsidR="009E6144" w:rsidRPr="002B2FFB">
        <w:rPr>
          <w:rFonts w:ascii="Palatino Linotype" w:eastAsia="Palatino Linotype" w:hAnsi="Palatino Linotype" w:cs="Palatino Linotype"/>
          <w:b/>
          <w:sz w:val="22"/>
          <w:szCs w:val="22"/>
        </w:rPr>
        <w:t xml:space="preserve">quince </w:t>
      </w:r>
      <w:r w:rsidR="00B87048" w:rsidRPr="002B2FFB">
        <w:rPr>
          <w:rFonts w:ascii="Palatino Linotype" w:eastAsia="Palatino Linotype" w:hAnsi="Palatino Linotype" w:cs="Palatino Linotype"/>
          <w:b/>
          <w:sz w:val="22"/>
          <w:szCs w:val="22"/>
        </w:rPr>
        <w:t>de octubre de dos mil veinticinco</w:t>
      </w:r>
      <w:r w:rsidR="00812BF1" w:rsidRPr="002B2FFB">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990E0F3"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612BB7E"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7AFBC4B"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BD77C31"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4C40957" w14:textId="77777777" w:rsidR="00C8599E" w:rsidRPr="002B2FFB" w:rsidRDefault="00812BF1" w:rsidP="00B24180">
      <w:pPr>
        <w:spacing w:before="240" w:after="240" w:line="360" w:lineRule="auto"/>
        <w:jc w:val="both"/>
        <w:rPr>
          <w:rFonts w:ascii="Palatino Linotype" w:eastAsia="Palatino Linotype" w:hAnsi="Palatino Linotype" w:cs="Palatino Linotype"/>
          <w:strike/>
          <w:sz w:val="22"/>
          <w:szCs w:val="22"/>
        </w:rPr>
      </w:pPr>
      <w:r w:rsidRPr="002B2FFB">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FA72885" w14:textId="77777777" w:rsidR="00C8599E" w:rsidRPr="002B2FFB" w:rsidRDefault="00812BF1" w:rsidP="00B2418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5ACA4EF5" w14:textId="77777777" w:rsidR="00C8599E" w:rsidRPr="002B2FFB" w:rsidRDefault="00812BF1" w:rsidP="00B2418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Actividad Procesal del interesado. Acciones u omisiones del interesado.</w:t>
      </w:r>
    </w:p>
    <w:p w14:paraId="1E43E246" w14:textId="77777777" w:rsidR="00C8599E" w:rsidRPr="002B2FFB" w:rsidRDefault="00812BF1" w:rsidP="00B2418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2D4C6608" w14:textId="77777777" w:rsidR="00C8599E" w:rsidRPr="002B2FFB" w:rsidRDefault="00812BF1" w:rsidP="00B24180">
      <w:pPr>
        <w:tabs>
          <w:tab w:val="left" w:pos="567"/>
        </w:tabs>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66F30923"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4B26174" w14:textId="77777777" w:rsidR="00C8599E" w:rsidRPr="002B2FFB" w:rsidRDefault="00812BF1" w:rsidP="00B24180">
      <w:pPr>
        <w:spacing w:before="240" w:after="240" w:line="360" w:lineRule="auto"/>
        <w:jc w:val="both"/>
        <w:rPr>
          <w:rFonts w:ascii="Palatino Linotype" w:eastAsia="Palatino Linotype" w:hAnsi="Palatino Linotype" w:cs="Palatino Linotype"/>
          <w:b/>
          <w:sz w:val="22"/>
          <w:szCs w:val="22"/>
        </w:rPr>
      </w:pPr>
      <w:r w:rsidRPr="002B2FFB">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2B2FFB">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2B2FFB">
        <w:rPr>
          <w:rFonts w:ascii="Palatino Linotype" w:eastAsia="Palatino Linotype" w:hAnsi="Palatino Linotype" w:cs="Palatino Linotype"/>
          <w:sz w:val="22"/>
          <w:szCs w:val="22"/>
        </w:rPr>
        <w:t>, visible en la Gaceta del Seminario Judicial de la Federación con el registro digital 205635.</w:t>
      </w:r>
    </w:p>
    <w:p w14:paraId="1A515B89"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3159AE"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64A49EC" w14:textId="77777777" w:rsidR="00C8599E" w:rsidRPr="002B2FFB" w:rsidRDefault="00812BF1" w:rsidP="00B24180">
      <w:pPr>
        <w:spacing w:before="120" w:after="120"/>
        <w:ind w:left="851" w:right="902"/>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 </w:t>
      </w: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PLAZO RAZONABLE PARA RESOLVER. DIMENSIÓN Y EFECTOS DE ESTE CONCEPTO CUANDO SE ADUCE EXCESIVA CARGA DE TRABAJO</w:t>
      </w: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sz w:val="22"/>
          <w:szCs w:val="22"/>
        </w:rPr>
        <w:t xml:space="preserve"> consultable en el Seminario Judicial de la Federación y su gaceta, con el registro digital 2002351.</w:t>
      </w:r>
    </w:p>
    <w:p w14:paraId="6B0290D0" w14:textId="77777777" w:rsidR="00C8599E" w:rsidRPr="002B2FFB" w:rsidRDefault="00812BF1" w:rsidP="00B24180">
      <w:pPr>
        <w:spacing w:before="120" w:after="120"/>
        <w:ind w:left="851" w:right="902"/>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sz w:val="22"/>
          <w:szCs w:val="22"/>
        </w:rPr>
        <w:t>, visible en el Seminario Judicial de la Federación y su gaceta, con el registro digital 2002350.</w:t>
      </w:r>
    </w:p>
    <w:p w14:paraId="5C7A7099"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03E934B"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BA58BCC" w14:textId="77777777" w:rsidR="00C8599E" w:rsidRPr="002B2FFB" w:rsidRDefault="00812BF1" w:rsidP="00B24180">
      <w:pPr>
        <w:widowControl w:val="0"/>
        <w:spacing w:before="240" w:after="240" w:line="360" w:lineRule="auto"/>
        <w:jc w:val="center"/>
        <w:rPr>
          <w:rFonts w:ascii="Palatino Linotype" w:eastAsia="Palatino Linotype" w:hAnsi="Palatino Linotype" w:cs="Palatino Linotype"/>
          <w:b/>
          <w:sz w:val="22"/>
          <w:szCs w:val="22"/>
        </w:rPr>
      </w:pPr>
      <w:r w:rsidRPr="002B2FFB">
        <w:rPr>
          <w:rFonts w:ascii="Palatino Linotype" w:eastAsia="Palatino Linotype" w:hAnsi="Palatino Linotype" w:cs="Palatino Linotype"/>
          <w:b/>
          <w:sz w:val="22"/>
          <w:szCs w:val="22"/>
        </w:rPr>
        <w:t>II. C O N S I D E R A N D O S</w:t>
      </w:r>
    </w:p>
    <w:p w14:paraId="78F0EBFF"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Primero. Competencia.</w:t>
      </w:r>
      <w:r w:rsidRPr="002B2FF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D9A7C23"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2B2FFB">
        <w:rPr>
          <w:rFonts w:ascii="Palatino Linotype" w:eastAsia="Palatino Linotype" w:hAnsi="Palatino Linotype" w:cs="Palatino Linotype"/>
          <w:b/>
          <w:sz w:val="22"/>
          <w:szCs w:val="22"/>
        </w:rPr>
        <w:t>Segundo. Oportunidad y Procedibilidad del Recurso de Revisión</w:t>
      </w:r>
      <w:r w:rsidRPr="002B2FF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A993723" w14:textId="70A261B2"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2B2FFB">
        <w:rPr>
          <w:rFonts w:ascii="Palatino Linotype" w:eastAsia="Palatino Linotype" w:hAnsi="Palatino Linotype" w:cs="Palatino Linotype"/>
          <w:b/>
          <w:sz w:val="22"/>
          <w:szCs w:val="22"/>
        </w:rPr>
        <w:t xml:space="preserve">Sujeto Obligado </w:t>
      </w:r>
      <w:r w:rsidRPr="002B2FFB">
        <w:rPr>
          <w:rFonts w:ascii="Palatino Linotype" w:eastAsia="Palatino Linotype" w:hAnsi="Palatino Linotype" w:cs="Palatino Linotype"/>
          <w:sz w:val="22"/>
          <w:szCs w:val="22"/>
        </w:rPr>
        <w:t xml:space="preserve">remitió la respuesta a la solicitud de información el día </w:t>
      </w:r>
      <w:r w:rsidR="008B6147" w:rsidRPr="002B2FFB">
        <w:rPr>
          <w:rFonts w:ascii="Palatino Linotype" w:eastAsia="Palatino Linotype" w:hAnsi="Palatino Linotype" w:cs="Palatino Linotype"/>
          <w:b/>
          <w:sz w:val="22"/>
          <w:szCs w:val="22"/>
        </w:rPr>
        <w:t>siete</w:t>
      </w:r>
      <w:r w:rsidR="00CA3D09" w:rsidRPr="002B2FFB">
        <w:rPr>
          <w:rFonts w:ascii="Palatino Linotype" w:eastAsia="Palatino Linotype" w:hAnsi="Palatino Linotype" w:cs="Palatino Linotype"/>
          <w:b/>
          <w:sz w:val="22"/>
          <w:szCs w:val="22"/>
        </w:rPr>
        <w:t xml:space="preserve"> de junio </w:t>
      </w:r>
      <w:r w:rsidR="001614A0" w:rsidRPr="002B2FFB">
        <w:rPr>
          <w:rFonts w:ascii="Palatino Linotype" w:eastAsia="Palatino Linotype" w:hAnsi="Palatino Linotype" w:cs="Palatino Linotype"/>
          <w:b/>
          <w:sz w:val="22"/>
          <w:szCs w:val="22"/>
        </w:rPr>
        <w:t>de dos mil veinticinco</w:t>
      </w:r>
      <w:r w:rsidRPr="002B2FFB">
        <w:rPr>
          <w:rFonts w:ascii="Palatino Linotype" w:eastAsia="Palatino Linotype" w:hAnsi="Palatino Linotype" w:cs="Palatino Linotype"/>
          <w:b/>
          <w:sz w:val="22"/>
          <w:szCs w:val="22"/>
        </w:rPr>
        <w:t xml:space="preserve">, </w:t>
      </w:r>
      <w:r w:rsidRPr="002B2FFB">
        <w:rPr>
          <w:rFonts w:ascii="Palatino Linotype" w:eastAsia="Palatino Linotype" w:hAnsi="Palatino Linotype" w:cs="Palatino Linotype"/>
          <w:sz w:val="22"/>
          <w:szCs w:val="22"/>
        </w:rPr>
        <w:t xml:space="preserve">mientras que el recurso de revisión interpuesto por la parte </w:t>
      </w:r>
      <w:r w:rsidRPr="002B2FFB">
        <w:rPr>
          <w:rFonts w:ascii="Palatino Linotype" w:eastAsia="Palatino Linotype" w:hAnsi="Palatino Linotype" w:cs="Palatino Linotype"/>
          <w:b/>
          <w:sz w:val="22"/>
          <w:szCs w:val="22"/>
        </w:rPr>
        <w:t xml:space="preserve">Recurrente, </w:t>
      </w:r>
      <w:r w:rsidRPr="002B2FFB">
        <w:rPr>
          <w:rFonts w:ascii="Palatino Linotype" w:eastAsia="Palatino Linotype" w:hAnsi="Palatino Linotype" w:cs="Palatino Linotype"/>
          <w:sz w:val="22"/>
          <w:szCs w:val="22"/>
        </w:rPr>
        <w:t>se tuvo por presentado el día</w:t>
      </w:r>
      <w:r w:rsidR="00AE7275" w:rsidRPr="002B2FFB">
        <w:rPr>
          <w:rFonts w:ascii="Palatino Linotype" w:eastAsia="Palatino Linotype" w:hAnsi="Palatino Linotype" w:cs="Palatino Linotype"/>
          <w:sz w:val="22"/>
          <w:szCs w:val="22"/>
        </w:rPr>
        <w:t xml:space="preserve"> </w:t>
      </w:r>
      <w:r w:rsidR="008B6147" w:rsidRPr="002B2FFB">
        <w:rPr>
          <w:rFonts w:ascii="Palatino Linotype" w:eastAsia="Palatino Linotype" w:hAnsi="Palatino Linotype" w:cs="Palatino Linotype"/>
          <w:b/>
          <w:sz w:val="22"/>
          <w:szCs w:val="22"/>
        </w:rPr>
        <w:t>doce</w:t>
      </w:r>
      <w:r w:rsidR="00AE7275" w:rsidRPr="002B2FFB">
        <w:rPr>
          <w:rFonts w:ascii="Palatino Linotype" w:eastAsia="Palatino Linotype" w:hAnsi="Palatino Linotype" w:cs="Palatino Linotype"/>
          <w:b/>
          <w:sz w:val="22"/>
          <w:szCs w:val="22"/>
        </w:rPr>
        <w:t xml:space="preserve"> </w:t>
      </w:r>
      <w:r w:rsidR="001614A0" w:rsidRPr="002B2FFB">
        <w:rPr>
          <w:rFonts w:ascii="Palatino Linotype" w:eastAsia="Palatino Linotype" w:hAnsi="Palatino Linotype" w:cs="Palatino Linotype"/>
          <w:b/>
          <w:sz w:val="22"/>
          <w:szCs w:val="22"/>
        </w:rPr>
        <w:t>de junio de dos mil veinticinco</w:t>
      </w:r>
      <w:r w:rsidRPr="002B2FFB">
        <w:rPr>
          <w:rFonts w:ascii="Palatino Linotype" w:eastAsia="Palatino Linotype" w:hAnsi="Palatino Linotype" w:cs="Palatino Linotype"/>
          <w:b/>
          <w:sz w:val="22"/>
          <w:szCs w:val="22"/>
        </w:rPr>
        <w:t xml:space="preserve">, </w:t>
      </w:r>
      <w:r w:rsidRPr="002B2FFB">
        <w:rPr>
          <w:rFonts w:ascii="Palatino Linotype" w:eastAsia="Palatino Linotype" w:hAnsi="Palatino Linotype" w:cs="Palatino Linotype"/>
          <w:sz w:val="22"/>
          <w:szCs w:val="22"/>
        </w:rPr>
        <w:t xml:space="preserve">esto es, </w:t>
      </w:r>
      <w:r w:rsidR="00C3718E" w:rsidRPr="002B2FFB">
        <w:rPr>
          <w:rFonts w:ascii="Palatino Linotype" w:eastAsia="Palatino Linotype" w:hAnsi="Palatino Linotype" w:cs="Palatino Linotype"/>
          <w:sz w:val="22"/>
          <w:szCs w:val="22"/>
        </w:rPr>
        <w:t xml:space="preserve">al </w:t>
      </w:r>
      <w:r w:rsidR="008B6147" w:rsidRPr="002B2FFB">
        <w:rPr>
          <w:rFonts w:ascii="Palatino Linotype" w:eastAsia="Palatino Linotype" w:hAnsi="Palatino Linotype" w:cs="Palatino Linotype"/>
          <w:sz w:val="22"/>
          <w:szCs w:val="22"/>
        </w:rPr>
        <w:t>cuarto</w:t>
      </w:r>
      <w:r w:rsidR="00C3718E" w:rsidRPr="002B2FFB">
        <w:rPr>
          <w:rFonts w:ascii="Palatino Linotype" w:eastAsia="Palatino Linotype" w:hAnsi="Palatino Linotype" w:cs="Palatino Linotype"/>
          <w:sz w:val="22"/>
          <w:szCs w:val="22"/>
        </w:rPr>
        <w:t xml:space="preserve"> día</w:t>
      </w:r>
      <w:r w:rsidR="00CA3D09" w:rsidRPr="002B2FFB">
        <w:rPr>
          <w:rFonts w:ascii="Palatino Linotype" w:eastAsia="Palatino Linotype" w:hAnsi="Palatino Linotype" w:cs="Palatino Linotype"/>
          <w:sz w:val="22"/>
          <w:szCs w:val="22"/>
        </w:rPr>
        <w:t xml:space="preserve"> hábil posterior a aquel</w:t>
      </w:r>
      <w:r w:rsidR="00C3718E" w:rsidRPr="002B2FFB">
        <w:rPr>
          <w:rFonts w:ascii="Palatino Linotype" w:eastAsia="Palatino Linotype" w:hAnsi="Palatino Linotype" w:cs="Palatino Linotype"/>
          <w:sz w:val="22"/>
          <w:szCs w:val="22"/>
        </w:rPr>
        <w:t xml:space="preserve"> </w:t>
      </w:r>
      <w:r w:rsidR="00761E4F" w:rsidRPr="002B2FFB">
        <w:rPr>
          <w:rFonts w:ascii="Palatino Linotype" w:eastAsia="Palatino Linotype" w:hAnsi="Palatino Linotype" w:cs="Palatino Linotype"/>
          <w:sz w:val="22"/>
          <w:szCs w:val="22"/>
        </w:rPr>
        <w:t xml:space="preserve">en </w:t>
      </w:r>
      <w:r w:rsidR="00CA3D09" w:rsidRPr="002B2FFB">
        <w:rPr>
          <w:rFonts w:ascii="Palatino Linotype" w:eastAsia="Palatino Linotype" w:hAnsi="Palatino Linotype" w:cs="Palatino Linotype"/>
          <w:sz w:val="22"/>
          <w:szCs w:val="22"/>
        </w:rPr>
        <w:t xml:space="preserve">el </w:t>
      </w:r>
      <w:r w:rsidRPr="002B2FFB">
        <w:rPr>
          <w:rFonts w:ascii="Palatino Linotype" w:eastAsia="Palatino Linotype" w:hAnsi="Palatino Linotype" w:cs="Palatino Linotype"/>
          <w:sz w:val="22"/>
          <w:szCs w:val="22"/>
        </w:rPr>
        <w:t>que tuvo conocimiento de la respuesta impugnada. En este sentido, se concluye que el presente recurso de revisión se encuentra dentro de los márgenes temporales previstos en las disposiciones legales referidas.</w:t>
      </w:r>
    </w:p>
    <w:p w14:paraId="29A0EC24" w14:textId="1021C268" w:rsidR="00C8599E" w:rsidRPr="002B2FFB" w:rsidRDefault="00812BF1" w:rsidP="00B24180">
      <w:pPr>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2B2FFB">
        <w:rPr>
          <w:rFonts w:ascii="Palatino Linotype" w:eastAsia="Palatino Linotype" w:hAnsi="Palatino Linotype" w:cs="Palatino Linotype"/>
          <w:sz w:val="22"/>
          <w:szCs w:val="22"/>
        </w:rPr>
        <w:t>Además, por cuanto hace a la procedibilidad del recurso de revisión, es de suma importancia señalar que la parte</w:t>
      </w:r>
      <w:r w:rsidRPr="002B2FFB">
        <w:rPr>
          <w:rFonts w:ascii="Palatino Linotype" w:eastAsia="Palatino Linotype" w:hAnsi="Palatino Linotype" w:cs="Palatino Linotype"/>
          <w:b/>
          <w:sz w:val="22"/>
          <w:szCs w:val="22"/>
        </w:rPr>
        <w:t xml:space="preserve"> Recurrente</w:t>
      </w:r>
      <w:r w:rsidRPr="002B2FFB">
        <w:rPr>
          <w:rFonts w:ascii="Palatino Linotype" w:eastAsia="Palatino Linotype" w:hAnsi="Palatino Linotype" w:cs="Palatino Linotype"/>
          <w:sz w:val="22"/>
          <w:szCs w:val="22"/>
        </w:rPr>
        <w:t xml:space="preserve">, </w:t>
      </w:r>
      <w:r w:rsidR="00C3718E" w:rsidRPr="002B2FFB">
        <w:rPr>
          <w:rFonts w:ascii="Palatino Linotype" w:eastAsia="Palatino Linotype" w:hAnsi="Palatino Linotype" w:cs="Palatino Linotype"/>
          <w:sz w:val="22"/>
          <w:szCs w:val="22"/>
        </w:rPr>
        <w:t xml:space="preserve">no </w:t>
      </w:r>
      <w:r w:rsidRPr="002B2FFB">
        <w:rPr>
          <w:rFonts w:ascii="Palatino Linotype" w:eastAsia="Palatino Linotype" w:hAnsi="Palatino Linotype" w:cs="Palatino Linotype"/>
          <w:sz w:val="22"/>
          <w:szCs w:val="22"/>
        </w:rPr>
        <w:t xml:space="preserve">señaló </w:t>
      </w:r>
      <w:r w:rsidR="008B6147" w:rsidRPr="002B2FFB">
        <w:rPr>
          <w:rFonts w:ascii="Palatino Linotype" w:eastAsia="Palatino Linotype" w:hAnsi="Palatino Linotype" w:cs="Palatino Linotype"/>
          <w:sz w:val="22"/>
          <w:szCs w:val="22"/>
        </w:rPr>
        <w:t>nombre o seudónimo</w:t>
      </w:r>
      <w:r w:rsidRPr="002B2FFB">
        <w:rPr>
          <w:rFonts w:ascii="Palatino Linotype" w:eastAsia="Palatino Linotype" w:hAnsi="Palatino Linotype" w:cs="Palatino Linotype"/>
          <w:sz w:val="22"/>
          <w:szCs w:val="22"/>
        </w:rPr>
        <w:t>,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D8FE544" w14:textId="77777777" w:rsidR="00C8599E" w:rsidRPr="002B2FFB" w:rsidRDefault="00812BF1" w:rsidP="00B24180">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Las solicitudes anónimas</w:t>
      </w:r>
      <w:r w:rsidRPr="002B2FFB">
        <w:rPr>
          <w:rFonts w:ascii="Palatino Linotype" w:eastAsia="Palatino Linotype" w:hAnsi="Palatino Linotype" w:cs="Palatino Linotype"/>
          <w:i/>
          <w:sz w:val="22"/>
          <w:szCs w:val="22"/>
        </w:rPr>
        <w:t xml:space="preserve">, con </w:t>
      </w:r>
      <w:r w:rsidRPr="002B2FFB">
        <w:rPr>
          <w:rFonts w:ascii="Palatino Linotype" w:eastAsia="Palatino Linotype" w:hAnsi="Palatino Linotype" w:cs="Palatino Linotype"/>
          <w:b/>
          <w:i/>
          <w:sz w:val="22"/>
          <w:szCs w:val="22"/>
        </w:rPr>
        <w:t>nombre incompleto o seudónimo</w:t>
      </w:r>
      <w:r w:rsidRPr="002B2FFB">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345B206B" w14:textId="77777777" w:rsidR="00C8599E" w:rsidRPr="002B2FFB" w:rsidRDefault="00812BF1" w:rsidP="00B24180">
      <w:pPr>
        <w:spacing w:before="240" w:after="240" w:line="360" w:lineRule="auto"/>
        <w:jc w:val="both"/>
        <w:rPr>
          <w:rFonts w:ascii="Palatino Linotype" w:eastAsia="Palatino Linotype" w:hAnsi="Palatino Linotype" w:cs="Palatino Linotype"/>
          <w:b/>
          <w:sz w:val="22"/>
          <w:szCs w:val="22"/>
        </w:rPr>
      </w:pPr>
      <w:r w:rsidRPr="002B2FFB">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2B2FFB">
        <w:rPr>
          <w:rFonts w:ascii="Palatino Linotype" w:eastAsia="Palatino Linotype" w:hAnsi="Palatino Linotype" w:cs="Palatino Linotype"/>
          <w:b/>
          <w:sz w:val="22"/>
          <w:szCs w:val="22"/>
        </w:rPr>
        <w:t xml:space="preserve"> SAIMEX.</w:t>
      </w:r>
    </w:p>
    <w:p w14:paraId="26F783FC" w14:textId="591BE80B"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2B2FFB">
        <w:rPr>
          <w:rFonts w:ascii="Palatino Linotype" w:eastAsia="Palatino Linotype" w:hAnsi="Palatino Linotype" w:cs="Palatino Linotype"/>
          <w:b/>
          <w:sz w:val="22"/>
          <w:szCs w:val="22"/>
        </w:rPr>
        <w:t>Recurrente</w:t>
      </w:r>
      <w:r w:rsidRPr="002B2FFB">
        <w:rPr>
          <w:rFonts w:ascii="Palatino Linotype" w:eastAsia="Palatino Linotype" w:hAnsi="Palatino Linotype" w:cs="Palatino Linotype"/>
          <w:sz w:val="22"/>
          <w:szCs w:val="22"/>
        </w:rPr>
        <w:t xml:space="preserve"> en sus motivos de inconformidad, de acuerdo al artículo 179, fracción </w:t>
      </w:r>
      <w:r w:rsidR="006044DA" w:rsidRPr="002B2FFB">
        <w:rPr>
          <w:rFonts w:ascii="Palatino Linotype" w:eastAsia="Palatino Linotype" w:hAnsi="Palatino Linotype" w:cs="Palatino Linotype"/>
          <w:sz w:val="22"/>
          <w:szCs w:val="22"/>
        </w:rPr>
        <w:t>I</w:t>
      </w:r>
      <w:r w:rsidRPr="002B2FFB">
        <w:rPr>
          <w:rFonts w:ascii="Palatino Linotype" w:eastAsia="Palatino Linotype" w:hAnsi="Palatino Linotype" w:cs="Palatino Linotype"/>
          <w:sz w:val="22"/>
          <w:szCs w:val="22"/>
        </w:rPr>
        <w:t xml:space="preserve"> del ordenamiento legal citado, que a la letra dice: </w:t>
      </w:r>
    </w:p>
    <w:p w14:paraId="102193EB" w14:textId="6AE22E45" w:rsidR="00C8599E" w:rsidRPr="002B2FFB" w:rsidRDefault="00812BF1" w:rsidP="00B24180">
      <w:pPr>
        <w:tabs>
          <w:tab w:val="left" w:pos="7938"/>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Artículo 179.</w:t>
      </w:r>
      <w:r w:rsidRPr="002B2FF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3344C9A" w14:textId="16872577" w:rsidR="00C8599E" w:rsidRPr="002B2FFB" w:rsidRDefault="006044DA" w:rsidP="00B24180">
      <w:pPr>
        <w:tabs>
          <w:tab w:val="left" w:pos="7938"/>
        </w:tabs>
        <w:spacing w:before="120" w:after="120"/>
        <w:ind w:left="1134"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 xml:space="preserve">I. </w:t>
      </w:r>
      <w:r w:rsidRPr="002B2FFB">
        <w:rPr>
          <w:rFonts w:ascii="Palatino Linotype" w:eastAsia="Palatino Linotype" w:hAnsi="Palatino Linotype" w:cs="Palatino Linotype"/>
          <w:bCs/>
          <w:i/>
          <w:sz w:val="22"/>
          <w:szCs w:val="22"/>
        </w:rPr>
        <w:t>La negativa a la información solicitada</w:t>
      </w:r>
      <w:r w:rsidR="00812BF1" w:rsidRPr="002B2FFB">
        <w:rPr>
          <w:rFonts w:ascii="Palatino Linotype" w:eastAsia="Palatino Linotype" w:hAnsi="Palatino Linotype" w:cs="Palatino Linotype"/>
          <w:i/>
          <w:sz w:val="22"/>
          <w:szCs w:val="22"/>
        </w:rPr>
        <w:t>;”</w:t>
      </w:r>
    </w:p>
    <w:p w14:paraId="386B980F" w14:textId="77777777" w:rsidR="00C8599E" w:rsidRPr="002B2FFB" w:rsidRDefault="00812BF1" w:rsidP="00B24180">
      <w:pPr>
        <w:spacing w:before="240" w:after="240" w:line="360" w:lineRule="auto"/>
        <w:jc w:val="both"/>
        <w:rPr>
          <w:rFonts w:ascii="Palatino Linotype" w:eastAsia="Palatino Linotype" w:hAnsi="Palatino Linotype" w:cs="Palatino Linotype"/>
          <w:b/>
          <w:sz w:val="22"/>
          <w:szCs w:val="22"/>
        </w:rPr>
      </w:pPr>
      <w:r w:rsidRPr="002B2FFB">
        <w:rPr>
          <w:rFonts w:ascii="Palatino Linotype" w:eastAsia="Palatino Linotype" w:hAnsi="Palatino Linotype" w:cs="Palatino Linotype"/>
          <w:b/>
          <w:sz w:val="22"/>
          <w:szCs w:val="22"/>
        </w:rPr>
        <w:t xml:space="preserve">Tercero. Materia de la revisión. </w:t>
      </w:r>
      <w:r w:rsidRPr="002B2FF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2B2FFB">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2B2FFB">
        <w:rPr>
          <w:rFonts w:ascii="Palatino Linotype" w:eastAsia="Palatino Linotype" w:hAnsi="Palatino Linotype" w:cs="Palatino Linotype"/>
          <w:sz w:val="22"/>
          <w:szCs w:val="22"/>
        </w:rPr>
        <w:t xml:space="preserve">de la parte </w:t>
      </w:r>
      <w:r w:rsidRPr="002B2FFB">
        <w:rPr>
          <w:rFonts w:ascii="Palatino Linotype" w:eastAsia="Palatino Linotype" w:hAnsi="Palatino Linotype" w:cs="Palatino Linotype"/>
          <w:b/>
          <w:sz w:val="22"/>
          <w:szCs w:val="22"/>
        </w:rPr>
        <w:t>Recurrente</w:t>
      </w:r>
      <w:r w:rsidRPr="002B2FFB">
        <w:rPr>
          <w:rFonts w:ascii="Palatino Linotype" w:eastAsia="Palatino Linotype" w:hAnsi="Palatino Linotype" w:cs="Palatino Linotype"/>
          <w:sz w:val="22"/>
          <w:szCs w:val="22"/>
        </w:rPr>
        <w:t>, o en su defecto, en caso de ser procedente, ordenar la entrega de información.</w:t>
      </w:r>
    </w:p>
    <w:p w14:paraId="12B54D18"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2B2FFB">
        <w:rPr>
          <w:rFonts w:ascii="Palatino Linotype" w:eastAsia="Palatino Linotype" w:hAnsi="Palatino Linotype" w:cs="Palatino Linotype"/>
          <w:b/>
          <w:sz w:val="22"/>
          <w:szCs w:val="22"/>
        </w:rPr>
        <w:t xml:space="preserve">Cuarto. Estudio del asunto. </w:t>
      </w:r>
      <w:r w:rsidRPr="002B2FFB">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05B5CCC" w14:textId="77777777" w:rsidR="00C8599E" w:rsidRPr="002B2FFB" w:rsidRDefault="00812BF1" w:rsidP="00B24180">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Artículo 4</w:t>
      </w:r>
      <w:r w:rsidRPr="002B2FF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C03D819" w14:textId="77777777" w:rsidR="00C8599E" w:rsidRPr="002B2FFB" w:rsidRDefault="00812BF1" w:rsidP="00B24180">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B2FF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A8616B1" w14:textId="77777777" w:rsidR="00C8599E" w:rsidRPr="002B2FFB" w:rsidRDefault="00812BF1" w:rsidP="00B24180">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B2FFB">
        <w:rPr>
          <w:rFonts w:ascii="Palatino Linotype" w:eastAsia="Palatino Linotype" w:hAnsi="Palatino Linotype" w:cs="Palatino Linotype"/>
          <w:i/>
          <w:sz w:val="22"/>
          <w:szCs w:val="22"/>
        </w:rPr>
        <w:t>.”</w:t>
      </w:r>
    </w:p>
    <w:p w14:paraId="25215573"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AD7EBC1" w14:textId="77777777" w:rsidR="00C8599E" w:rsidRPr="002B2FFB" w:rsidRDefault="00812BF1" w:rsidP="00B24180">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“Artículo 12.-</w:t>
      </w:r>
      <w:r w:rsidRPr="002B2FF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87C0FD3" w14:textId="77777777" w:rsidR="00C8599E" w:rsidRPr="002B2FFB" w:rsidRDefault="00812BF1" w:rsidP="00B24180">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B2FFB">
        <w:rPr>
          <w:rFonts w:ascii="Palatino Linotype" w:eastAsia="Palatino Linotype" w:hAnsi="Palatino Linotype" w:cs="Palatino Linotype"/>
          <w:i/>
          <w:sz w:val="22"/>
          <w:szCs w:val="22"/>
        </w:rPr>
        <w:t xml:space="preserve">. </w:t>
      </w:r>
      <w:r w:rsidRPr="002B2FF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6A77DAC8" w14:textId="77777777" w:rsidR="00C8599E" w:rsidRPr="002B2FFB" w:rsidRDefault="00812BF1" w:rsidP="00B24180">
      <w:pPr>
        <w:spacing w:before="240" w:after="240" w:line="360" w:lineRule="auto"/>
        <w:ind w:right="-93"/>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3110F4A" w14:textId="77777777" w:rsidR="00C8599E" w:rsidRPr="002B2FFB" w:rsidRDefault="00812BF1" w:rsidP="00B24180">
      <w:pPr>
        <w:spacing w:before="240" w:after="240" w:line="360" w:lineRule="auto"/>
        <w:jc w:val="both"/>
        <w:rPr>
          <w:rFonts w:ascii="Palatino Linotype" w:eastAsia="Palatino Linotype" w:hAnsi="Palatino Linotype" w:cs="Palatino Linotype"/>
          <w:b/>
          <w:sz w:val="22"/>
          <w:szCs w:val="22"/>
        </w:rPr>
      </w:pPr>
      <w:r w:rsidRPr="002B2FFB">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2B2FFB">
        <w:rPr>
          <w:rFonts w:ascii="Palatino Linotype" w:eastAsia="Palatino Linotype" w:hAnsi="Palatino Linotype" w:cs="Palatino Linotype"/>
          <w:b/>
          <w:sz w:val="22"/>
          <w:szCs w:val="22"/>
        </w:rPr>
        <w:t xml:space="preserve"> </w:t>
      </w:r>
    </w:p>
    <w:p w14:paraId="10843B30" w14:textId="77777777" w:rsidR="00C8599E" w:rsidRPr="002B2FFB" w:rsidRDefault="00812BF1" w:rsidP="00B24180">
      <w:pPr>
        <w:spacing w:before="120" w:after="120"/>
        <w:ind w:left="1134"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 xml:space="preserve"> “</w:t>
      </w:r>
      <w:r w:rsidRPr="002B2FFB">
        <w:rPr>
          <w:rFonts w:ascii="Palatino Linotype" w:eastAsia="Palatino Linotype" w:hAnsi="Palatino Linotype" w:cs="Palatino Linotype"/>
          <w:b/>
          <w:i/>
          <w:sz w:val="22"/>
          <w:szCs w:val="22"/>
        </w:rPr>
        <w:t>No existe obligación de elaborar documentos ad hoc para atender las solicitudes de acceso a la información.</w:t>
      </w:r>
      <w:r w:rsidRPr="002B2FF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BDF67D8" w14:textId="77777777" w:rsidR="00C8599E" w:rsidRPr="002B2FFB" w:rsidRDefault="00812BF1" w:rsidP="00B24180">
      <w:pPr>
        <w:spacing w:before="120" w:after="12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49FA748" w14:textId="77777777" w:rsidR="00C8599E" w:rsidRPr="002B2FFB" w:rsidRDefault="00812BF1" w:rsidP="00B24180">
      <w:pPr>
        <w:spacing w:before="120" w:after="12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E13883" w14:textId="77777777" w:rsidR="00C8599E" w:rsidRPr="002B2FFB" w:rsidRDefault="00812BF1" w:rsidP="008B6147">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 xml:space="preserve">Artículo 3. </w:t>
      </w:r>
      <w:r w:rsidRPr="002B2FFB">
        <w:rPr>
          <w:rFonts w:ascii="Palatino Linotype" w:eastAsia="Palatino Linotype" w:hAnsi="Palatino Linotype" w:cs="Palatino Linotype"/>
          <w:i/>
          <w:sz w:val="22"/>
          <w:szCs w:val="22"/>
        </w:rPr>
        <w:t>Para los efectos de la presente Ley se entenderá por:</w:t>
      </w:r>
    </w:p>
    <w:p w14:paraId="0A42051C" w14:textId="77777777" w:rsidR="00C8599E" w:rsidRPr="002B2FFB" w:rsidRDefault="00812BF1" w:rsidP="008B6147">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p>
    <w:p w14:paraId="21CABF0B" w14:textId="77777777" w:rsidR="00C8599E" w:rsidRPr="002B2FFB" w:rsidRDefault="00812BF1" w:rsidP="008B6147">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XI. Documento:</w:t>
      </w:r>
      <w:r w:rsidRPr="002B2FFB">
        <w:rPr>
          <w:rFonts w:ascii="Palatino Linotype" w:eastAsia="Palatino Linotype" w:hAnsi="Palatino Linotype" w:cs="Palatino Linotype"/>
          <w:i/>
          <w:sz w:val="22"/>
          <w:szCs w:val="22"/>
        </w:rPr>
        <w:t xml:space="preserve"> Los expedientes, reportes, estudios, actas</w:t>
      </w:r>
      <w:r w:rsidRPr="002B2FFB">
        <w:rPr>
          <w:rFonts w:ascii="Palatino Linotype" w:eastAsia="Palatino Linotype" w:hAnsi="Palatino Linotype" w:cs="Palatino Linotype"/>
          <w:b/>
          <w:i/>
          <w:sz w:val="22"/>
          <w:szCs w:val="22"/>
        </w:rPr>
        <w:t>,</w:t>
      </w:r>
      <w:r w:rsidRPr="002B2FF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A0FC17D"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7ED6F7" w14:textId="77777777" w:rsidR="00C8599E" w:rsidRPr="002B2FFB" w:rsidRDefault="00812BF1" w:rsidP="008B6147">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sz w:val="22"/>
          <w:szCs w:val="22"/>
        </w:rPr>
        <w:t>“</w:t>
      </w:r>
      <w:r w:rsidRPr="002B2FF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B2FF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0993A1" w14:textId="77777777" w:rsidR="00C8599E" w:rsidRPr="002B2FFB" w:rsidRDefault="00812BF1" w:rsidP="008B6147">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4714F6B" w14:textId="77777777" w:rsidR="00C8599E" w:rsidRPr="002B2FFB" w:rsidRDefault="00812BF1" w:rsidP="008B6147">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A00A418" w14:textId="77777777" w:rsidR="00C8599E" w:rsidRPr="002B2FFB" w:rsidRDefault="00812BF1" w:rsidP="008B6147">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5A41FF6" w14:textId="77777777" w:rsidR="00C8599E" w:rsidRPr="002B2FFB" w:rsidRDefault="00812BF1" w:rsidP="008B6147">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746AE1C7" w14:textId="77777777" w:rsidR="00C8599E" w:rsidRPr="002B2FFB" w:rsidRDefault="00812BF1" w:rsidP="00B24180">
      <w:pP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3647F16"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16C4923" w14:textId="77777777" w:rsidR="00C8599E" w:rsidRPr="002B2FFB" w:rsidRDefault="00812BF1" w:rsidP="00B24180">
      <w:pP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2B2FFB">
        <w:rPr>
          <w:rFonts w:ascii="Palatino Linotype" w:eastAsia="Palatino Linotype" w:hAnsi="Palatino Linotype" w:cs="Palatino Linotype"/>
          <w:b/>
          <w:sz w:val="22"/>
          <w:szCs w:val="22"/>
        </w:rPr>
        <w:t>Recurrente</w:t>
      </w:r>
      <w:r w:rsidRPr="002B2FFB">
        <w:rPr>
          <w:rFonts w:ascii="Palatino Linotype" w:eastAsia="Palatino Linotype" w:hAnsi="Palatino Linotype" w:cs="Palatino Linotype"/>
          <w:sz w:val="22"/>
          <w:szCs w:val="22"/>
        </w:rPr>
        <w:t xml:space="preserve"> requirió al </w:t>
      </w:r>
      <w:r w:rsidRPr="002B2FFB">
        <w:rPr>
          <w:rFonts w:ascii="Palatino Linotype" w:eastAsia="Palatino Linotype" w:hAnsi="Palatino Linotype" w:cs="Palatino Linotype"/>
          <w:b/>
          <w:sz w:val="22"/>
          <w:szCs w:val="22"/>
        </w:rPr>
        <w:t xml:space="preserve">Sujeto Obligado </w:t>
      </w:r>
      <w:r w:rsidRPr="002B2FFB">
        <w:rPr>
          <w:rFonts w:ascii="Palatino Linotype" w:eastAsia="Palatino Linotype" w:hAnsi="Palatino Linotype" w:cs="Palatino Linotype"/>
          <w:sz w:val="22"/>
          <w:szCs w:val="22"/>
        </w:rPr>
        <w:t>le proporcione, información consistente en lo siguiente:</w:t>
      </w:r>
    </w:p>
    <w:p w14:paraId="35BCDE28" w14:textId="77777777" w:rsidR="00A968FF" w:rsidRPr="002B2FFB" w:rsidRDefault="00061F68" w:rsidP="00B24180">
      <w:pP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Con relación a la obra del puente que cruza la autopista México-Querétaro, de </w:t>
      </w:r>
      <w:proofErr w:type="spellStart"/>
      <w:r w:rsidRPr="002B2FFB">
        <w:rPr>
          <w:rFonts w:ascii="Palatino Linotype" w:eastAsia="Palatino Linotype" w:hAnsi="Palatino Linotype" w:cs="Palatino Linotype"/>
          <w:sz w:val="22"/>
          <w:szCs w:val="22"/>
        </w:rPr>
        <w:t>Tlacateco</w:t>
      </w:r>
      <w:proofErr w:type="spellEnd"/>
      <w:r w:rsidRPr="002B2FFB">
        <w:rPr>
          <w:rFonts w:ascii="Palatino Linotype" w:eastAsia="Palatino Linotype" w:hAnsi="Palatino Linotype" w:cs="Palatino Linotype"/>
          <w:sz w:val="22"/>
          <w:szCs w:val="22"/>
        </w:rPr>
        <w:t xml:space="preserve"> a Las Ánimas</w:t>
      </w:r>
      <w:r w:rsidR="00A968FF" w:rsidRPr="002B2FFB">
        <w:rPr>
          <w:rFonts w:ascii="Palatino Linotype" w:eastAsia="Palatino Linotype" w:hAnsi="Palatino Linotype" w:cs="Palatino Linotype"/>
          <w:sz w:val="22"/>
          <w:szCs w:val="22"/>
        </w:rPr>
        <w:t>:</w:t>
      </w:r>
    </w:p>
    <w:p w14:paraId="623B0672" w14:textId="77777777" w:rsidR="00A968FF" w:rsidRPr="002B2FFB" w:rsidRDefault="00A968FF" w:rsidP="00207832">
      <w:pPr>
        <w:spacing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1. Fecha de término de la obra. </w:t>
      </w:r>
    </w:p>
    <w:p w14:paraId="7CDD6907" w14:textId="77777777" w:rsidR="00A968FF" w:rsidRPr="002B2FFB" w:rsidRDefault="00A968FF" w:rsidP="00207832">
      <w:pPr>
        <w:spacing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2. Nombre de la empresa contratada. </w:t>
      </w:r>
    </w:p>
    <w:p w14:paraId="0D6FFE5A" w14:textId="77777777" w:rsidR="00A968FF" w:rsidRPr="002B2FFB" w:rsidRDefault="00A968FF" w:rsidP="00207832">
      <w:pPr>
        <w:spacing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3. Experiencia de la empresa contratada.</w:t>
      </w:r>
    </w:p>
    <w:p w14:paraId="4C7DE567" w14:textId="77777777" w:rsidR="00A968FF" w:rsidRPr="002B2FFB" w:rsidRDefault="00A968FF" w:rsidP="00207832">
      <w:pPr>
        <w:spacing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4. Listado de trabajos realizados en el 2025. </w:t>
      </w:r>
    </w:p>
    <w:p w14:paraId="51F671D4" w14:textId="77777777" w:rsidR="00A968FF" w:rsidRPr="002B2FFB" w:rsidRDefault="00A968FF" w:rsidP="00207832">
      <w:pPr>
        <w:spacing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5. Contrato 2025.</w:t>
      </w:r>
    </w:p>
    <w:p w14:paraId="60DB6890" w14:textId="77777777" w:rsidR="00A968FF" w:rsidRPr="002B2FFB" w:rsidRDefault="00A968FF" w:rsidP="00207832">
      <w:pPr>
        <w:spacing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6. Pagos realizados en el 2025. </w:t>
      </w:r>
    </w:p>
    <w:p w14:paraId="581A5AAC" w14:textId="77777777" w:rsidR="00A968FF" w:rsidRPr="002B2FFB" w:rsidRDefault="00A968FF" w:rsidP="00207832">
      <w:pPr>
        <w:spacing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7. Documentos del procedimiento 2025 de contratación de empresa. </w:t>
      </w:r>
    </w:p>
    <w:p w14:paraId="509AF241" w14:textId="77777777" w:rsidR="00A968FF" w:rsidRPr="002B2FFB" w:rsidRDefault="00A968FF" w:rsidP="00207832">
      <w:pPr>
        <w:spacing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8. Documentos de fianza 2025 de la empresa. </w:t>
      </w:r>
    </w:p>
    <w:p w14:paraId="235C4B75" w14:textId="77777777" w:rsidR="00A968FF" w:rsidRPr="002B2FFB" w:rsidRDefault="00A968FF" w:rsidP="00207832">
      <w:pPr>
        <w:spacing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9. Documentos de supervisión 2025 realizada por la Contraloría Municipal. </w:t>
      </w:r>
    </w:p>
    <w:p w14:paraId="52352DC5" w14:textId="77777777" w:rsidR="00A968FF" w:rsidRPr="002B2FFB" w:rsidRDefault="00A968FF" w:rsidP="00207832">
      <w:pPr>
        <w:spacing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10. Expediente 2025 de seguimiento de obra. </w:t>
      </w:r>
    </w:p>
    <w:p w14:paraId="3F25C2F3" w14:textId="77777777" w:rsidR="00A968FF" w:rsidRPr="002B2FFB" w:rsidRDefault="00A968FF" w:rsidP="00207832">
      <w:pPr>
        <w:spacing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11. Los documentos en los que conste la justificación de demoler partes de las estructuras de concreto que ya estaban terminadas </w:t>
      </w:r>
    </w:p>
    <w:p w14:paraId="26655672" w14:textId="7986C887" w:rsidR="00A968FF" w:rsidRPr="002B2FFB" w:rsidRDefault="00A968FF" w:rsidP="00207832">
      <w:pPr>
        <w:spacing w:line="360" w:lineRule="auto"/>
        <w:ind w:left="284"/>
        <w:jc w:val="both"/>
        <w:rPr>
          <w:rFonts w:ascii="Palatino Linotype" w:hAnsi="Palatino Linotype"/>
          <w:sz w:val="22"/>
          <w:szCs w:val="22"/>
        </w:rPr>
      </w:pPr>
      <w:r w:rsidRPr="002B2FFB">
        <w:rPr>
          <w:rFonts w:ascii="Palatino Linotype" w:eastAsia="Palatino Linotype" w:hAnsi="Palatino Linotype" w:cs="Palatino Linotype"/>
          <w:sz w:val="22"/>
          <w:szCs w:val="22"/>
        </w:rPr>
        <w:t>12. Ante quien se puede interponer una queja por no avanzar en la obra</w:t>
      </w:r>
      <w:r w:rsidR="009147E1" w:rsidRPr="002B2FFB">
        <w:rPr>
          <w:rFonts w:ascii="Palatino Linotype" w:eastAsia="Palatino Linotype" w:hAnsi="Palatino Linotype" w:cs="Palatino Linotype"/>
          <w:sz w:val="22"/>
          <w:szCs w:val="22"/>
        </w:rPr>
        <w:t>.</w:t>
      </w:r>
    </w:p>
    <w:p w14:paraId="5305EF3E" w14:textId="023E8CD2" w:rsidR="005D55D0" w:rsidRPr="002B2FFB" w:rsidRDefault="005D55D0" w:rsidP="005D55D0">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Asimismo, es oportuno referir que no escapa de la óptica de este Organismo Garante que la persona solicitante, al momento de  presentar su solicitud, realizó diversos planteamientos subjetivos, tales como “</w:t>
      </w:r>
      <w:r w:rsidR="009147E1" w:rsidRPr="002B2FFB">
        <w:rPr>
          <w:rFonts w:ascii="Palatino Linotype" w:eastAsia="Palatino Linotype" w:hAnsi="Palatino Linotype" w:cs="Palatino Linotype"/>
          <w:i/>
          <w:sz w:val="22"/>
          <w:szCs w:val="22"/>
        </w:rPr>
        <w:t>ya que se vieron trabajos terminados y ahora están demoliendo parte de los trabajos realizados y probablemente están repitiendo trabajos para encarecer la obra y no se ve que avancen para terminar la obra que es necesaria para disminuir el tráfico que se hace en la entrada del municipio</w:t>
      </w:r>
      <w:r w:rsidRPr="002B2FFB">
        <w:rPr>
          <w:rFonts w:ascii="Palatino Linotype" w:eastAsia="Palatino Linotype" w:hAnsi="Palatino Linotype" w:cs="Palatino Linotype"/>
          <w:sz w:val="22"/>
          <w:szCs w:val="22"/>
        </w:rPr>
        <w:t>” (sic), 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w:t>
      </w:r>
      <w:r w:rsidR="00761680" w:rsidRPr="002B2FFB">
        <w:rPr>
          <w:rFonts w:ascii="Palatino Linotype" w:eastAsia="Palatino Linotype" w:hAnsi="Palatino Linotype" w:cs="Palatino Linotype"/>
          <w:sz w:val="22"/>
          <w:szCs w:val="22"/>
        </w:rPr>
        <w:t xml:space="preserve">cio de un Derecho de expresión. </w:t>
      </w:r>
      <w:r w:rsidRPr="002B2FFB">
        <w:rPr>
          <w:rFonts w:ascii="Palatino Linotype" w:eastAsia="Palatino Linotype" w:hAnsi="Palatino Linotype" w:cs="Palatino Linotype"/>
          <w:sz w:val="22"/>
          <w:szCs w:val="22"/>
        </w:rPr>
        <w:t>En este sentido, se trata de manifestaciones sobre las cuales este Instituto no está facultado para pronunciarse.</w:t>
      </w:r>
    </w:p>
    <w:p w14:paraId="0995B696" w14:textId="77777777" w:rsidR="0021383D" w:rsidRPr="002B2FFB" w:rsidRDefault="00635DF2" w:rsidP="0021383D">
      <w:pPr>
        <w:spacing w:before="240" w:after="240" w:line="360" w:lineRule="auto"/>
        <w:ind w:right="49"/>
        <w:jc w:val="both"/>
        <w:rPr>
          <w:rFonts w:ascii="Palatino Linotype" w:hAnsi="Palatino Linotype"/>
          <w:sz w:val="22"/>
          <w:szCs w:val="22"/>
        </w:rPr>
      </w:pPr>
      <w:r w:rsidRPr="002B2FFB">
        <w:rPr>
          <w:rFonts w:ascii="Palatino Linotype" w:eastAsia="Palatino Linotype" w:hAnsi="Palatino Linotype" w:cs="Palatino Linotype"/>
          <w:sz w:val="22"/>
          <w:szCs w:val="22"/>
        </w:rPr>
        <w:t>Una vez aclarado lo anterior</w:t>
      </w:r>
      <w:r w:rsidR="00401AE4" w:rsidRPr="002B2FFB">
        <w:rPr>
          <w:rFonts w:ascii="Palatino Linotype" w:eastAsia="Palatino Linotype" w:hAnsi="Palatino Linotype" w:cs="Palatino Linotype"/>
          <w:sz w:val="22"/>
          <w:szCs w:val="22"/>
        </w:rPr>
        <w:t xml:space="preserve">, es de mencionar que, en respuesta a la solicitud, </w:t>
      </w:r>
      <w:r w:rsidR="0021383D" w:rsidRPr="002B2FFB">
        <w:rPr>
          <w:rFonts w:ascii="Palatino Linotype" w:hAnsi="Palatino Linotype"/>
          <w:sz w:val="22"/>
          <w:szCs w:val="22"/>
        </w:rPr>
        <w:t>el Encargado de Despacho de la Dirección de Obras Públicas manifestó que después de una búsqueda exhaustiva y minuciosa; no se encontró información con el nombre de la obra mencionada.</w:t>
      </w:r>
    </w:p>
    <w:p w14:paraId="4F8A3BB5" w14:textId="384E4AB1" w:rsidR="0021383D" w:rsidRPr="002B2FFB" w:rsidRDefault="005D55D0"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Lo anterior motivó la interposición del recurso de revisión que nos ocupa, donde la persona solicitante</w:t>
      </w:r>
      <w:r w:rsidR="0021383D" w:rsidRPr="002B2FFB">
        <w:rPr>
          <w:rFonts w:ascii="Palatino Linotype" w:eastAsia="Palatino Linotype" w:hAnsi="Palatino Linotype" w:cs="Palatino Linotype"/>
          <w:sz w:val="22"/>
          <w:szCs w:val="22"/>
        </w:rPr>
        <w:t xml:space="preserve"> manifestó que le fue negada la información</w:t>
      </w:r>
      <w:r w:rsidR="00E85970" w:rsidRPr="002B2FFB">
        <w:rPr>
          <w:rFonts w:ascii="Palatino Linotype" w:eastAsia="Palatino Linotype" w:hAnsi="Palatino Linotype" w:cs="Palatino Linotype"/>
          <w:sz w:val="22"/>
          <w:szCs w:val="22"/>
        </w:rPr>
        <w:t xml:space="preserve"> bajo el argumento de que no conoce el nombre de la obra</w:t>
      </w:r>
      <w:r w:rsidR="0021383D" w:rsidRPr="002B2FFB">
        <w:rPr>
          <w:rFonts w:ascii="Palatino Linotype" w:eastAsia="Palatino Linotype" w:hAnsi="Palatino Linotype" w:cs="Palatino Linotype"/>
          <w:sz w:val="22"/>
          <w:szCs w:val="22"/>
        </w:rPr>
        <w:t xml:space="preserve">, </w:t>
      </w:r>
      <w:r w:rsidR="006B21B8" w:rsidRPr="002B2FFB">
        <w:rPr>
          <w:rFonts w:ascii="Palatino Linotype" w:eastAsia="Palatino Linotype" w:hAnsi="Palatino Linotype" w:cs="Palatino Linotype"/>
          <w:sz w:val="22"/>
          <w:szCs w:val="22"/>
        </w:rPr>
        <w:t xml:space="preserve">sin embargo, </w:t>
      </w:r>
      <w:r w:rsidR="00E85970" w:rsidRPr="002B2FFB">
        <w:rPr>
          <w:rFonts w:ascii="Palatino Linotype" w:eastAsia="Palatino Linotype" w:hAnsi="Palatino Linotype" w:cs="Palatino Linotype"/>
          <w:sz w:val="22"/>
          <w:szCs w:val="22"/>
        </w:rPr>
        <w:t>refirió que</w:t>
      </w:r>
      <w:r w:rsidR="006B21B8" w:rsidRPr="002B2FFB">
        <w:rPr>
          <w:rFonts w:ascii="Palatino Linotype" w:eastAsia="Palatino Linotype" w:hAnsi="Palatino Linotype" w:cs="Palatino Linotype"/>
          <w:sz w:val="22"/>
          <w:szCs w:val="22"/>
        </w:rPr>
        <w:t xml:space="preserve"> ésta existe</w:t>
      </w:r>
      <w:r w:rsidR="00E85970" w:rsidRPr="002B2FFB">
        <w:rPr>
          <w:rFonts w:ascii="Palatino Linotype" w:eastAsia="Palatino Linotype" w:hAnsi="Palatino Linotype" w:cs="Palatino Linotype"/>
          <w:sz w:val="22"/>
          <w:szCs w:val="22"/>
        </w:rPr>
        <w:t>, como pretendió acreditar con una nota periodística cuyo contenido es el siguiente:</w:t>
      </w:r>
    </w:p>
    <w:p w14:paraId="1C67C291" w14:textId="34CA6900" w:rsidR="0006520C" w:rsidRPr="002B2FFB" w:rsidRDefault="0006520C" w:rsidP="0006520C">
      <w:pPr>
        <w:spacing w:before="240" w:after="240" w:line="360" w:lineRule="auto"/>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542AEC42" wp14:editId="17B25302">
            <wp:extent cx="4860000" cy="152816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0000" cy="1528167"/>
                    </a:xfrm>
                    <a:prstGeom prst="rect">
                      <a:avLst/>
                    </a:prstGeom>
                  </pic:spPr>
                </pic:pic>
              </a:graphicData>
            </a:graphic>
          </wp:inline>
        </w:drawing>
      </w:r>
    </w:p>
    <w:p w14:paraId="5F34B548" w14:textId="77777777" w:rsidR="00E51194" w:rsidRPr="002B2FFB" w:rsidRDefault="0006520C" w:rsidP="0006520C">
      <w:pPr>
        <w:spacing w:before="240" w:after="240" w:line="360" w:lineRule="auto"/>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726710F8" wp14:editId="28462CF3">
            <wp:extent cx="4860000" cy="162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0000" cy="1620000"/>
                    </a:xfrm>
                    <a:prstGeom prst="rect">
                      <a:avLst/>
                    </a:prstGeom>
                  </pic:spPr>
                </pic:pic>
              </a:graphicData>
            </a:graphic>
          </wp:inline>
        </w:drawing>
      </w:r>
    </w:p>
    <w:p w14:paraId="2F2723FB" w14:textId="041B629A" w:rsidR="0006520C" w:rsidRPr="002B2FFB" w:rsidRDefault="0006520C" w:rsidP="0006520C">
      <w:pPr>
        <w:spacing w:before="240" w:after="240" w:line="360" w:lineRule="auto"/>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499B6752" wp14:editId="1AA22C46">
            <wp:extent cx="4860000" cy="19279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0000" cy="1927943"/>
                    </a:xfrm>
                    <a:prstGeom prst="rect">
                      <a:avLst/>
                    </a:prstGeom>
                  </pic:spPr>
                </pic:pic>
              </a:graphicData>
            </a:graphic>
          </wp:inline>
        </w:drawing>
      </w:r>
    </w:p>
    <w:p w14:paraId="2E7309E7" w14:textId="68E575A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Durante el periodo de manifestaciones el </w:t>
      </w:r>
      <w:r w:rsidRPr="002B2FFB">
        <w:rPr>
          <w:rFonts w:ascii="Palatino Linotype" w:eastAsia="Palatino Linotype" w:hAnsi="Palatino Linotype" w:cs="Palatino Linotype"/>
          <w:b/>
          <w:sz w:val="22"/>
          <w:szCs w:val="22"/>
        </w:rPr>
        <w:t xml:space="preserve">Sujeto Obligado </w:t>
      </w:r>
      <w:r w:rsidR="004A322D" w:rsidRPr="002B2FFB">
        <w:rPr>
          <w:rFonts w:ascii="Palatino Linotype" w:eastAsia="Palatino Linotype" w:hAnsi="Palatino Linotype" w:cs="Palatino Linotype"/>
          <w:sz w:val="22"/>
          <w:szCs w:val="22"/>
        </w:rPr>
        <w:t>ratificó en lo sustancial la respuesta proporcionada en primera instancia</w:t>
      </w:r>
      <w:r w:rsidRPr="002B2FFB">
        <w:rPr>
          <w:rFonts w:ascii="Palatino Linotype" w:eastAsia="Palatino Linotype" w:hAnsi="Palatino Linotype" w:cs="Palatino Linotype"/>
          <w:sz w:val="22"/>
          <w:szCs w:val="22"/>
        </w:rPr>
        <w:t xml:space="preserve">, y la parte </w:t>
      </w:r>
      <w:r w:rsidRPr="002B2FFB">
        <w:rPr>
          <w:rFonts w:ascii="Palatino Linotype" w:eastAsia="Palatino Linotype" w:hAnsi="Palatino Linotype" w:cs="Palatino Linotype"/>
          <w:b/>
          <w:sz w:val="22"/>
          <w:szCs w:val="22"/>
        </w:rPr>
        <w:t xml:space="preserve">Recurrente </w:t>
      </w:r>
      <w:r w:rsidRPr="002B2FFB">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0E4FA35C" w14:textId="77777777" w:rsidR="00C8599E" w:rsidRPr="002B2FFB" w:rsidRDefault="00812BF1" w:rsidP="00B24180">
      <w:pPr>
        <w:spacing w:before="280" w:after="28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2B2FFB">
        <w:rPr>
          <w:rFonts w:ascii="Palatino Linotype" w:eastAsia="Palatino Linotype" w:hAnsi="Palatino Linotype" w:cs="Palatino Linotype"/>
          <w:b/>
          <w:sz w:val="22"/>
          <w:szCs w:val="22"/>
        </w:rPr>
        <w:t xml:space="preserve">Sujeto Obligado, </w:t>
      </w:r>
      <w:r w:rsidRPr="002B2FFB">
        <w:rPr>
          <w:rFonts w:ascii="Palatino Linotype" w:eastAsia="Palatino Linotype" w:hAnsi="Palatino Linotype" w:cs="Palatino Linotype"/>
          <w:sz w:val="22"/>
          <w:szCs w:val="22"/>
        </w:rPr>
        <w:t xml:space="preserve">en contraposición con el motivo de inconformidad alegado por la parte </w:t>
      </w:r>
      <w:r w:rsidRPr="002B2FFB">
        <w:rPr>
          <w:rFonts w:ascii="Palatino Linotype" w:eastAsia="Palatino Linotype" w:hAnsi="Palatino Linotype" w:cs="Palatino Linotype"/>
          <w:b/>
          <w:sz w:val="22"/>
          <w:szCs w:val="22"/>
        </w:rPr>
        <w:t xml:space="preserve">Recurrente, </w:t>
      </w:r>
      <w:r w:rsidRPr="002B2FFB">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182F3FAF" w14:textId="77777777" w:rsidR="00A812DD" w:rsidRPr="002B2FFB" w:rsidRDefault="00A812DD" w:rsidP="00A812DD">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67AADDE9" w14:textId="77777777" w:rsidR="00A812DD" w:rsidRPr="002B2FFB" w:rsidRDefault="00A812DD" w:rsidP="00A812DD">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21101C79" w14:textId="77777777" w:rsidR="00A812DD" w:rsidRPr="002B2FFB" w:rsidRDefault="00A812DD" w:rsidP="00A812DD">
      <w:pP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022105DC" w14:textId="77777777" w:rsidR="00A812DD" w:rsidRPr="002B2FFB" w:rsidRDefault="00A812DD" w:rsidP="00A812DD">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2D969CBD" w14:textId="3EB8231B" w:rsidR="00693769" w:rsidRPr="002B2FFB" w:rsidRDefault="00A812DD" w:rsidP="00693769">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En esta línea de pensamiento, derivado del análisis de las constancias que obran en el expediente electrónico en el que se actúa, se advirtió que la Unidad de Transparencia turnó la solicitud de información para su atención a la</w:t>
      </w:r>
      <w:r w:rsidR="00157732" w:rsidRPr="002B2FFB">
        <w:rPr>
          <w:rFonts w:ascii="Palatino Linotype" w:eastAsia="Palatino Linotype" w:hAnsi="Palatino Linotype" w:cs="Palatino Linotype"/>
          <w:sz w:val="22"/>
          <w:szCs w:val="22"/>
        </w:rPr>
        <w:t xml:space="preserve"> Dirección de Obras Públicas, cuyo objetivo, de conformidad con el artículo 51 del Bando Municipal </w:t>
      </w:r>
      <w:r w:rsidR="00D445CD" w:rsidRPr="002B2FFB">
        <w:rPr>
          <w:rFonts w:ascii="Palatino Linotype" w:eastAsia="Palatino Linotype" w:hAnsi="Palatino Linotype" w:cs="Palatino Linotype"/>
          <w:sz w:val="22"/>
          <w:szCs w:val="22"/>
        </w:rPr>
        <w:t>de Tepo</w:t>
      </w:r>
      <w:r w:rsidR="00693769" w:rsidRPr="002B2FFB">
        <w:rPr>
          <w:rFonts w:ascii="Palatino Linotype" w:eastAsia="Palatino Linotype" w:hAnsi="Palatino Linotype" w:cs="Palatino Linotype"/>
          <w:sz w:val="22"/>
          <w:szCs w:val="22"/>
        </w:rPr>
        <w:t>tzotlán consiste en la coordinación de las obras públicas previa autorización del Ayuntamiento que consiste en funciones de planeación, presupuestación, programación y ejecución.</w:t>
      </w:r>
    </w:p>
    <w:p w14:paraId="21C0A0F5" w14:textId="179733EC" w:rsidR="003A3FEF" w:rsidRPr="002B2FFB" w:rsidRDefault="00693769" w:rsidP="003A3FEF">
      <w:pPr>
        <w:spacing w:before="240" w:after="240" w:line="360" w:lineRule="auto"/>
        <w:ind w:right="49"/>
        <w:jc w:val="both"/>
        <w:rPr>
          <w:rFonts w:ascii="Palatino Linotype" w:hAnsi="Palatino Linotype"/>
          <w:sz w:val="22"/>
          <w:szCs w:val="22"/>
        </w:rPr>
      </w:pPr>
      <w:r w:rsidRPr="002B2FFB">
        <w:rPr>
          <w:rFonts w:ascii="Palatino Linotype" w:eastAsia="Palatino Linotype" w:hAnsi="Palatino Linotype" w:cs="Palatino Linotype"/>
          <w:sz w:val="22"/>
          <w:szCs w:val="22"/>
        </w:rPr>
        <w:t xml:space="preserve">Mientras que el artículo 96 Bis de la Ley Orgánica Municipal del Estado de México </w:t>
      </w:r>
      <w:r w:rsidR="008B73D7" w:rsidRPr="002B2FFB">
        <w:rPr>
          <w:rFonts w:ascii="Palatino Linotype" w:eastAsia="Palatino Linotype" w:hAnsi="Palatino Linotype" w:cs="Palatino Linotype"/>
          <w:sz w:val="22"/>
          <w:szCs w:val="22"/>
        </w:rPr>
        <w:t>confiere al titular de la Dirección de Obras Públicas las siguientes atribuciones</w:t>
      </w:r>
      <w:r w:rsidR="003A3FEF" w:rsidRPr="002B2FFB">
        <w:rPr>
          <w:rFonts w:ascii="Palatino Linotype" w:eastAsia="Palatino Linotype" w:hAnsi="Palatino Linotype" w:cs="Palatino Linotype"/>
          <w:sz w:val="22"/>
          <w:szCs w:val="22"/>
        </w:rPr>
        <w:t xml:space="preserve"> </w:t>
      </w:r>
      <w:r w:rsidR="003A3FEF" w:rsidRPr="002B2FFB">
        <w:rPr>
          <w:rFonts w:ascii="Palatino Linotype" w:hAnsi="Palatino Linotype"/>
          <w:sz w:val="22"/>
          <w:szCs w:val="22"/>
        </w:rPr>
        <w:t>en su parte conducente:</w:t>
      </w:r>
    </w:p>
    <w:p w14:paraId="75EB963E" w14:textId="77777777" w:rsidR="003A3FEF" w:rsidRPr="002B2FFB" w:rsidRDefault="003A3FEF" w:rsidP="003A3FEF">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xml:space="preserve">- Realizar la programación y ejecución de las obras públicas y servicios relacionados, que por orden expresa del Ayuntamiento requieran prioridad; </w:t>
      </w:r>
    </w:p>
    <w:p w14:paraId="69EFAE0D" w14:textId="77777777" w:rsidR="003A3FEF" w:rsidRPr="002B2FFB" w:rsidRDefault="003A3FEF" w:rsidP="003A3FEF">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Planear y coordinar los proyectos de obras públicas y servicios relacionados con las mismas que autorice el Ayuntamiento, una vez que se cumplan los requisitos de licitación y otros que determine la ley de la materia;</w:t>
      </w:r>
    </w:p>
    <w:p w14:paraId="2AF5075C" w14:textId="77777777" w:rsidR="003A3FEF" w:rsidRPr="002B2FFB" w:rsidRDefault="003A3FEF" w:rsidP="003A3FEF">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Proyectar las obras públicas y servicios relacionados, que realice el Municipio, incluyendo la conservación y mantenimiento de edificios, monumentos, calles, parques y jardines;</w:t>
      </w:r>
    </w:p>
    <w:p w14:paraId="152817B6" w14:textId="77777777" w:rsidR="003A3FEF" w:rsidRPr="002B2FFB" w:rsidRDefault="003A3FEF" w:rsidP="003A3FEF">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xml:space="preserve">- Construir y ejecutar todas aquellas obras públicas y servicios relacionados, que aumenten y mantengan la infraestructura municipal y que estén consideradas en el programa respectivo; </w:t>
      </w:r>
    </w:p>
    <w:p w14:paraId="3E2258F0" w14:textId="77777777" w:rsidR="003A3FEF" w:rsidRPr="002B2FFB" w:rsidRDefault="003A3FEF" w:rsidP="003A3FEF">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xml:space="preserve">- Determinar y cuantificar los materiales y trabajos necesarios para programas de construcción y mantenimiento de obras públicas y servicios relacionados; </w:t>
      </w:r>
    </w:p>
    <w:p w14:paraId="46BAD564" w14:textId="77777777" w:rsidR="003A3FEF" w:rsidRPr="002B2FFB" w:rsidRDefault="003A3FEF" w:rsidP="003A3FEF">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Vigilar que se cumplan y lleven a cabo los programas de construcción y mantenimiento de obras públicas y servicios relacionados;</w:t>
      </w:r>
    </w:p>
    <w:p w14:paraId="08992DE1" w14:textId="77777777" w:rsidR="003A3FEF" w:rsidRPr="002B2FFB" w:rsidRDefault="003A3FEF" w:rsidP="003A3FEF">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Vigilar la construcción en las obras por contrato y por administración que hayan sido adjudicadas a los contratistas;</w:t>
      </w:r>
    </w:p>
    <w:p w14:paraId="7781CE54" w14:textId="77777777" w:rsidR="003A3FEF" w:rsidRPr="002B2FFB" w:rsidRDefault="003A3FEF" w:rsidP="003A3FEF">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xml:space="preserve">- </w:t>
      </w:r>
      <w:r w:rsidRPr="002B2FFB">
        <w:rPr>
          <w:rFonts w:ascii="Palatino Linotype" w:hAnsi="Palatino Linotype"/>
          <w:b/>
          <w:sz w:val="22"/>
          <w:szCs w:val="22"/>
        </w:rPr>
        <w:t xml:space="preserve">Administrar y ejercer, en el ámbito de su competencia, </w:t>
      </w:r>
      <w:r w:rsidRPr="002B2FFB">
        <w:rPr>
          <w:rFonts w:ascii="Palatino Linotype" w:hAnsi="Palatino Linotype"/>
          <w:b/>
          <w:sz w:val="22"/>
          <w:szCs w:val="22"/>
          <w:u w:val="single"/>
        </w:rPr>
        <w:t>de manera coordinada con el Tesorero municipal,</w:t>
      </w:r>
      <w:r w:rsidRPr="002B2FFB">
        <w:rPr>
          <w:rFonts w:ascii="Palatino Linotype" w:hAnsi="Palatino Linotype"/>
          <w:b/>
          <w:sz w:val="22"/>
          <w:szCs w:val="22"/>
        </w:rPr>
        <w:t xml:space="preserve"> los recursos públicos destinados a la planeación, programación, presupuestación, adjudicación, contratación, ejecución y control de la obra pública,</w:t>
      </w:r>
      <w:r w:rsidRPr="002B2FFB">
        <w:rPr>
          <w:rFonts w:ascii="Palatino Linotype" w:hAnsi="Palatino Linotype"/>
          <w:sz w:val="22"/>
          <w:szCs w:val="22"/>
        </w:rPr>
        <w:t xml:space="preserve"> conforme a las disposiciones legales aplicables y en congruencia con los planes, programas, especificaciones técnicas, controles y procedimientos administrativos aprobados;</w:t>
      </w:r>
    </w:p>
    <w:p w14:paraId="49D55231" w14:textId="77777777" w:rsidR="003A3FEF" w:rsidRPr="002B2FFB" w:rsidRDefault="003A3FEF" w:rsidP="003A3FEF">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Verificar que las obras públicas y los servicios relacionados con la misma, hayan sido programadas, presupuestadas, ejecutadas, adquiridas y contratadas en estricto apego a las disposiciones legales aplicables;</w:t>
      </w:r>
    </w:p>
    <w:p w14:paraId="39279275" w14:textId="17BF0E60" w:rsidR="00693769" w:rsidRPr="002B2FFB" w:rsidRDefault="003A3FEF" w:rsidP="00E51194">
      <w:pPr>
        <w:spacing w:before="240" w:after="240" w:line="360" w:lineRule="auto"/>
        <w:ind w:left="284" w:right="49"/>
        <w:jc w:val="both"/>
        <w:rPr>
          <w:rFonts w:ascii="Palatino Linotype" w:eastAsia="Palatino Linotype" w:hAnsi="Palatino Linotype" w:cs="Palatino Linotype"/>
          <w:sz w:val="22"/>
          <w:szCs w:val="22"/>
        </w:rPr>
      </w:pPr>
      <w:r w:rsidRPr="002B2FFB">
        <w:rPr>
          <w:rFonts w:ascii="Palatino Linotype" w:hAnsi="Palatino Linotype"/>
          <w:sz w:val="22"/>
          <w:szCs w:val="22"/>
        </w:rPr>
        <w:t xml:space="preserve">- </w:t>
      </w:r>
      <w:r w:rsidRPr="002B2FFB">
        <w:rPr>
          <w:rFonts w:ascii="Palatino Linotype" w:hAnsi="Palatino Linotype"/>
          <w:b/>
          <w:sz w:val="22"/>
          <w:szCs w:val="22"/>
        </w:rPr>
        <w:t>Autorizar para su pago</w:t>
      </w:r>
      <w:r w:rsidRPr="002B2FFB">
        <w:rPr>
          <w:rFonts w:ascii="Palatino Linotype" w:hAnsi="Palatino Linotype"/>
          <w:sz w:val="22"/>
          <w:szCs w:val="22"/>
        </w:rPr>
        <w:t xml:space="preserve">, previa validación del avance y calidad de las obras, </w:t>
      </w:r>
      <w:r w:rsidRPr="002B2FFB">
        <w:rPr>
          <w:rFonts w:ascii="Palatino Linotype" w:hAnsi="Palatino Linotype"/>
          <w:b/>
          <w:sz w:val="22"/>
          <w:szCs w:val="22"/>
        </w:rPr>
        <w:t>los presupuestos y estimaciones que presenten los contratistas</w:t>
      </w:r>
      <w:r w:rsidRPr="002B2FFB">
        <w:rPr>
          <w:rFonts w:ascii="Palatino Linotype" w:hAnsi="Palatino Linotype"/>
          <w:sz w:val="22"/>
          <w:szCs w:val="22"/>
        </w:rPr>
        <w:t xml:space="preserve"> de obras públicas municipales</w:t>
      </w:r>
    </w:p>
    <w:p w14:paraId="27E75D27" w14:textId="361283DD" w:rsidR="00722C58" w:rsidRPr="002B2FFB" w:rsidRDefault="00722C58" w:rsidP="00722C58">
      <w:pPr>
        <w:spacing w:before="240" w:after="240" w:line="360" w:lineRule="auto"/>
        <w:jc w:val="both"/>
        <w:rPr>
          <w:rFonts w:ascii="Palatino Linotype" w:hAnsi="Palatino Linotype"/>
          <w:sz w:val="22"/>
          <w:szCs w:val="22"/>
        </w:rPr>
      </w:pPr>
      <w:r w:rsidRPr="002B2FFB">
        <w:rPr>
          <w:rFonts w:ascii="Palatino Linotype" w:eastAsia="Palatino Linotype" w:hAnsi="Palatino Linotype" w:cs="Palatino Linotype"/>
          <w:sz w:val="22"/>
          <w:szCs w:val="22"/>
        </w:rPr>
        <w:t xml:space="preserve">Con base en las atribuciones citadas se advierte que si bien la Dirección de Obras Públicas cuenta con competencia para conocer de la información que es del interés de la persona solicitante, sin embargo, </w:t>
      </w:r>
      <w:r w:rsidRPr="002B2FFB">
        <w:rPr>
          <w:rFonts w:ascii="Palatino Linotype" w:hAnsi="Palatino Linotype"/>
          <w:sz w:val="22"/>
          <w:szCs w:val="22"/>
        </w:rPr>
        <w:t xml:space="preserve">NO </w:t>
      </w:r>
      <w:r w:rsidRPr="002B2FFB">
        <w:rPr>
          <w:rFonts w:ascii="Palatino Linotype" w:eastAsia="Palatino Linotype" w:hAnsi="Palatino Linotype" w:cs="Palatino Linotype"/>
          <w:sz w:val="22"/>
          <w:szCs w:val="22"/>
        </w:rPr>
        <w:t xml:space="preserve">se atendió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 al no </w:t>
      </w:r>
      <w:r w:rsidRPr="002B2FFB">
        <w:rPr>
          <w:rFonts w:ascii="Palatino Linotype" w:hAnsi="Palatino Linotype"/>
          <w:sz w:val="22"/>
          <w:szCs w:val="22"/>
        </w:rPr>
        <w:t>obrar constancia en el expediente electrónico del turno a todas las áreas competentes para contar con la información materia de la solicitud, de manera enunciativa, más no lim</w:t>
      </w:r>
      <w:r w:rsidR="00715A84" w:rsidRPr="002B2FFB">
        <w:rPr>
          <w:rFonts w:ascii="Palatino Linotype" w:hAnsi="Palatino Linotype"/>
          <w:sz w:val="22"/>
          <w:szCs w:val="22"/>
        </w:rPr>
        <w:t xml:space="preserve">itativa, la Tesorería Municipal, la Dirección de Desarrollo Urbano y Metropolitano </w:t>
      </w:r>
      <w:r w:rsidRPr="002B2FFB">
        <w:rPr>
          <w:rFonts w:ascii="Palatino Linotype" w:hAnsi="Palatino Linotype"/>
          <w:sz w:val="22"/>
          <w:szCs w:val="22"/>
        </w:rPr>
        <w:t>así como a la Contraloría Municipal.</w:t>
      </w:r>
    </w:p>
    <w:p w14:paraId="75AD3B82" w14:textId="42A84E0E" w:rsidR="003A3FEF" w:rsidRPr="002B2FFB" w:rsidRDefault="003A3FEF" w:rsidP="003A3FEF">
      <w:pPr>
        <w:spacing w:before="240" w:after="240" w:line="360" w:lineRule="auto"/>
        <w:jc w:val="both"/>
        <w:rPr>
          <w:rFonts w:ascii="Palatino Linotype" w:eastAsia="Palatino Linotype" w:hAnsi="Palatino Linotype" w:cs="Palatino Linotype"/>
          <w:sz w:val="22"/>
          <w:szCs w:val="22"/>
        </w:rPr>
      </w:pPr>
      <w:r w:rsidRPr="002B2FFB">
        <w:rPr>
          <w:rFonts w:ascii="Palatino Linotype" w:hAnsi="Palatino Linotype"/>
          <w:sz w:val="22"/>
          <w:szCs w:val="22"/>
        </w:rPr>
        <w:t xml:space="preserve">Como sustento a lo anterior, conviene precisar que </w:t>
      </w:r>
      <w:r w:rsidRPr="002B2FFB">
        <w:rPr>
          <w:rFonts w:ascii="Palatino Linotype" w:eastAsia="Palatino Linotype" w:hAnsi="Palatino Linotype" w:cs="Palatino Linotype"/>
          <w:sz w:val="22"/>
          <w:szCs w:val="22"/>
        </w:rPr>
        <w:t xml:space="preserve">la Tesorería Municipal es el órgano encargado de la recaudación de los ingresos municipales y </w:t>
      </w:r>
      <w:r w:rsidRPr="002B2FFB">
        <w:rPr>
          <w:rFonts w:ascii="Palatino Linotype" w:eastAsia="Palatino Linotype" w:hAnsi="Palatino Linotype" w:cs="Palatino Linotype"/>
          <w:b/>
          <w:sz w:val="22"/>
          <w:szCs w:val="22"/>
        </w:rPr>
        <w:t>responsable de realizar las erogaciones</w:t>
      </w:r>
      <w:r w:rsidRPr="002B2FFB">
        <w:rPr>
          <w:rFonts w:ascii="Palatino Linotype" w:eastAsia="Palatino Linotype" w:hAnsi="Palatino Linotype" w:cs="Palatino Linotype"/>
          <w:sz w:val="22"/>
          <w:szCs w:val="22"/>
        </w:rPr>
        <w:t xml:space="preserve"> que haga el ayuntamiento </w:t>
      </w:r>
      <w:r w:rsidRPr="002B2FFB">
        <w:rPr>
          <w:rFonts w:ascii="Palatino Linotype" w:eastAsia="Palatino Linotype" w:hAnsi="Palatino Linotype" w:cs="Palatino Linotype"/>
          <w:b/>
          <w:sz w:val="22"/>
          <w:szCs w:val="22"/>
        </w:rPr>
        <w:t>a través de los registros contables, financieros y administrativos</w:t>
      </w:r>
      <w:r w:rsidRPr="002B2FFB">
        <w:rPr>
          <w:rFonts w:ascii="Palatino Linotype" w:eastAsia="Palatino Linotype" w:hAnsi="Palatino Linotype" w:cs="Palatino Linotype"/>
          <w:sz w:val="22"/>
          <w:szCs w:val="22"/>
        </w:rPr>
        <w:t xml:space="preserve"> de los ingresos, </w:t>
      </w:r>
      <w:r w:rsidRPr="002B2FFB">
        <w:rPr>
          <w:rFonts w:ascii="Palatino Linotype" w:eastAsia="Palatino Linotype" w:hAnsi="Palatino Linotype" w:cs="Palatino Linotype"/>
          <w:b/>
          <w:sz w:val="22"/>
          <w:szCs w:val="22"/>
        </w:rPr>
        <w:t>egresos</w:t>
      </w:r>
      <w:r w:rsidRPr="002B2FFB">
        <w:rPr>
          <w:rFonts w:ascii="Palatino Linotype" w:eastAsia="Palatino Linotype" w:hAnsi="Palatino Linotype" w:cs="Palatino Linotype"/>
          <w:sz w:val="22"/>
          <w:szCs w:val="22"/>
        </w:rPr>
        <w:t xml:space="preserve"> e inventarios; entre otras atribuciones, de conformidad con lo establecido en los artículos 93 y 95, fracciones I y IV de la Ley Orgánica Municipal del Estado de México, a saber:</w:t>
      </w:r>
    </w:p>
    <w:p w14:paraId="11D0E4BD" w14:textId="77777777" w:rsidR="003A3FEF" w:rsidRPr="002B2FFB" w:rsidRDefault="003A3FEF" w:rsidP="003A3FEF">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Artículo 93</w:t>
      </w:r>
      <w:r w:rsidRPr="002B2FFB">
        <w:rPr>
          <w:rFonts w:ascii="Palatino Linotype" w:eastAsia="Palatino Linotype" w:hAnsi="Palatino Linotype" w:cs="Palatino Linotype"/>
          <w:i/>
          <w:sz w:val="22"/>
          <w:szCs w:val="22"/>
        </w:rPr>
        <w:t>.- La tesorería municipal es el órgano encargado de la recaudación de los ingresos municipales y responsable de realizar las erogaciones que haga el ayuntamiento.</w:t>
      </w:r>
    </w:p>
    <w:p w14:paraId="15E3D98A" w14:textId="77777777" w:rsidR="003A3FEF" w:rsidRPr="002B2FFB" w:rsidRDefault="003A3FEF" w:rsidP="003A3FEF">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p>
    <w:p w14:paraId="611D436B" w14:textId="77777777" w:rsidR="003A3FEF" w:rsidRPr="002B2FFB" w:rsidRDefault="003A3FEF" w:rsidP="003A3FEF">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Artículo 95</w:t>
      </w:r>
      <w:r w:rsidRPr="002B2FFB">
        <w:rPr>
          <w:rFonts w:ascii="Palatino Linotype" w:eastAsia="Palatino Linotype" w:hAnsi="Palatino Linotype" w:cs="Palatino Linotype"/>
          <w:i/>
          <w:sz w:val="22"/>
          <w:szCs w:val="22"/>
        </w:rPr>
        <w:t xml:space="preserve">.- Son atribuciones del tesorero municipal: </w:t>
      </w:r>
    </w:p>
    <w:p w14:paraId="3AB05A3B" w14:textId="77777777" w:rsidR="003A3FEF" w:rsidRPr="002B2FFB" w:rsidRDefault="003A3FEF" w:rsidP="003A3FEF">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w:t>
      </w:r>
      <w:r w:rsidRPr="002B2FFB">
        <w:rPr>
          <w:rFonts w:ascii="Palatino Linotype" w:eastAsia="Palatino Linotype" w:hAnsi="Palatino Linotype" w:cs="Palatino Linotype"/>
          <w:i/>
          <w:sz w:val="22"/>
          <w:szCs w:val="22"/>
        </w:rPr>
        <w:t xml:space="preserve">. </w:t>
      </w:r>
      <w:r w:rsidRPr="002B2FFB">
        <w:rPr>
          <w:rFonts w:ascii="Palatino Linotype" w:eastAsia="Palatino Linotype" w:hAnsi="Palatino Linotype" w:cs="Palatino Linotype"/>
          <w:b/>
          <w:i/>
          <w:sz w:val="22"/>
          <w:szCs w:val="22"/>
        </w:rPr>
        <w:t>Administrar la hacienda pública municipal</w:t>
      </w:r>
      <w:r w:rsidRPr="002B2FFB">
        <w:rPr>
          <w:rFonts w:ascii="Palatino Linotype" w:eastAsia="Palatino Linotype" w:hAnsi="Palatino Linotype" w:cs="Palatino Linotype"/>
          <w:i/>
          <w:sz w:val="22"/>
          <w:szCs w:val="22"/>
        </w:rPr>
        <w:t>, de conformidad con las disposiciones legales aplicables;</w:t>
      </w:r>
    </w:p>
    <w:p w14:paraId="1A8254AA" w14:textId="77777777" w:rsidR="003A3FEF" w:rsidRPr="002B2FFB" w:rsidRDefault="003A3FEF" w:rsidP="003A3FEF">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p>
    <w:p w14:paraId="14F6BF53" w14:textId="77777777" w:rsidR="003A3FEF" w:rsidRPr="002B2FFB" w:rsidRDefault="003A3FEF" w:rsidP="003A3FEF">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IV.</w:t>
      </w:r>
      <w:r w:rsidRPr="002B2FFB">
        <w:rPr>
          <w:rFonts w:ascii="Palatino Linotype" w:eastAsia="Palatino Linotype" w:hAnsi="Palatino Linotype" w:cs="Palatino Linotype"/>
          <w:i/>
          <w:sz w:val="22"/>
          <w:szCs w:val="22"/>
        </w:rPr>
        <w:t xml:space="preserve"> </w:t>
      </w:r>
      <w:r w:rsidRPr="002B2FFB">
        <w:rPr>
          <w:rFonts w:ascii="Palatino Linotype" w:eastAsia="Palatino Linotype" w:hAnsi="Palatino Linotype" w:cs="Palatino Linotype"/>
          <w:b/>
          <w:i/>
          <w:sz w:val="22"/>
          <w:szCs w:val="22"/>
          <w:u w:val="single"/>
        </w:rPr>
        <w:t>Llevar los registros contables, financieros y administrativos</w:t>
      </w:r>
      <w:r w:rsidRPr="002B2FFB">
        <w:rPr>
          <w:rFonts w:ascii="Palatino Linotype" w:eastAsia="Palatino Linotype" w:hAnsi="Palatino Linotype" w:cs="Palatino Linotype"/>
          <w:b/>
          <w:i/>
          <w:sz w:val="22"/>
          <w:szCs w:val="22"/>
        </w:rPr>
        <w:t xml:space="preserve"> de los ingresos, egresos</w:t>
      </w:r>
      <w:r w:rsidRPr="002B2FFB">
        <w:rPr>
          <w:rFonts w:ascii="Palatino Linotype" w:eastAsia="Palatino Linotype" w:hAnsi="Palatino Linotype" w:cs="Palatino Linotype"/>
          <w:i/>
          <w:sz w:val="22"/>
          <w:szCs w:val="22"/>
        </w:rPr>
        <w:t>, e inventarios;…”</w:t>
      </w:r>
    </w:p>
    <w:p w14:paraId="7F597BDD" w14:textId="60C1D4F7" w:rsidR="00715A84" w:rsidRPr="002B2FFB" w:rsidRDefault="00715A84" w:rsidP="00FC5895">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hAnsi="Palatino Linotype"/>
          <w:sz w:val="22"/>
          <w:szCs w:val="22"/>
        </w:rPr>
        <w:t xml:space="preserve">La Dirección de Desarrollo Urbano y Metropolitano según dispone el artículo 52 del Bando Municipal, es responsable de acciones que propicien el desarrollo de las comunidades, con un enfoque sustentable, favoreciendo la infraestructura, el equipamiento, los servicios, las vialidades, la preservación del patrimonio cultural, la planeación e </w:t>
      </w:r>
      <w:proofErr w:type="spellStart"/>
      <w:r w:rsidRPr="002B2FFB">
        <w:rPr>
          <w:rFonts w:ascii="Palatino Linotype" w:hAnsi="Palatino Linotype"/>
          <w:sz w:val="22"/>
          <w:szCs w:val="22"/>
        </w:rPr>
        <w:t>imágen</w:t>
      </w:r>
      <w:proofErr w:type="spellEnd"/>
      <w:r w:rsidRPr="002B2FFB">
        <w:rPr>
          <w:rFonts w:ascii="Palatino Linotype" w:hAnsi="Palatino Linotype"/>
          <w:sz w:val="22"/>
          <w:szCs w:val="22"/>
        </w:rPr>
        <w:t xml:space="preserve"> urbana, los límites territoriales, la tenencia de la tierra, la conservación y mejoramiento del ambiente de los asentamientos humanos y centros urbanos del Municipio, así como apoyar con acciones orientadas a la modernización y optimización del trasporte terrestre, entre otros, con la participación activa de la sociedad</w:t>
      </w:r>
      <w:r w:rsidR="00D10577" w:rsidRPr="002B2FFB">
        <w:rPr>
          <w:rFonts w:ascii="Palatino Linotype" w:hAnsi="Palatino Linotype"/>
          <w:sz w:val="22"/>
          <w:szCs w:val="22"/>
        </w:rPr>
        <w:t xml:space="preserve">, cuyas atribuciones se encuentran establecidas en el </w:t>
      </w:r>
      <w:proofErr w:type="spellStart"/>
      <w:r w:rsidR="00D10577" w:rsidRPr="002B2FFB">
        <w:rPr>
          <w:rFonts w:ascii="Palatino Linotype" w:hAnsi="Palatino Linotype"/>
          <w:sz w:val="22"/>
          <w:szCs w:val="22"/>
        </w:rPr>
        <w:t>articulo</w:t>
      </w:r>
      <w:proofErr w:type="spellEnd"/>
      <w:r w:rsidR="00D10577" w:rsidRPr="002B2FFB">
        <w:rPr>
          <w:rFonts w:ascii="Palatino Linotype" w:hAnsi="Palatino Linotype"/>
          <w:sz w:val="22"/>
          <w:szCs w:val="22"/>
        </w:rPr>
        <w:t xml:space="preserve"> 96 </w:t>
      </w:r>
      <w:proofErr w:type="spellStart"/>
      <w:r w:rsidR="00D10577" w:rsidRPr="002B2FFB">
        <w:rPr>
          <w:rFonts w:ascii="Palatino Linotype" w:hAnsi="Palatino Linotype"/>
          <w:sz w:val="22"/>
          <w:szCs w:val="22"/>
        </w:rPr>
        <w:t>Sexies</w:t>
      </w:r>
      <w:proofErr w:type="spellEnd"/>
      <w:r w:rsidR="00D10577" w:rsidRPr="002B2FFB">
        <w:rPr>
          <w:rFonts w:ascii="Palatino Linotype" w:hAnsi="Palatino Linotype"/>
          <w:sz w:val="22"/>
          <w:szCs w:val="22"/>
        </w:rPr>
        <w:t xml:space="preserve"> de la </w:t>
      </w:r>
      <w:r w:rsidR="00D10577" w:rsidRPr="002B2FFB">
        <w:rPr>
          <w:rFonts w:ascii="Palatino Linotype" w:eastAsia="Palatino Linotype" w:hAnsi="Palatino Linotype" w:cs="Palatino Linotype"/>
          <w:sz w:val="22"/>
          <w:szCs w:val="22"/>
        </w:rPr>
        <w:t>Ley Orgánica del Estado de México, entre las cuales se mencionan las siguientes:</w:t>
      </w:r>
    </w:p>
    <w:p w14:paraId="0713DEE0" w14:textId="718F7D6B" w:rsidR="00D10577" w:rsidRPr="002B2FFB" w:rsidRDefault="00D10577" w:rsidP="00D10577">
      <w:pPr>
        <w:pStyle w:val="Prrafodelista"/>
        <w:numPr>
          <w:ilvl w:val="0"/>
          <w:numId w:val="3"/>
        </w:numPr>
        <w:spacing w:before="240" w:after="240" w:line="360" w:lineRule="auto"/>
        <w:ind w:right="49"/>
        <w:jc w:val="both"/>
        <w:rPr>
          <w:rFonts w:ascii="Palatino Linotype" w:hAnsi="Palatino Linotype"/>
          <w:sz w:val="22"/>
          <w:szCs w:val="22"/>
        </w:rPr>
      </w:pPr>
      <w:r w:rsidRPr="002B2FFB">
        <w:rPr>
          <w:rFonts w:ascii="Palatino Linotype" w:hAnsi="Palatino Linotype"/>
          <w:sz w:val="22"/>
          <w:szCs w:val="22"/>
        </w:rPr>
        <w:t>Ejecutar la política en materia de reordenamiento urbano;</w:t>
      </w:r>
    </w:p>
    <w:p w14:paraId="717EBC45" w14:textId="1634CE16" w:rsidR="00D10577" w:rsidRPr="002B2FFB" w:rsidRDefault="00D10577" w:rsidP="00D10577">
      <w:pPr>
        <w:spacing w:before="240" w:after="240" w:line="360" w:lineRule="auto"/>
        <w:ind w:left="284" w:right="49"/>
        <w:jc w:val="both"/>
        <w:rPr>
          <w:rFonts w:ascii="Palatino Linotype" w:hAnsi="Palatino Linotype"/>
          <w:sz w:val="22"/>
          <w:szCs w:val="22"/>
        </w:rPr>
      </w:pPr>
      <w:r w:rsidRPr="002B2FFB">
        <w:rPr>
          <w:rFonts w:ascii="Palatino Linotype" w:hAnsi="Palatino Linotype"/>
          <w:sz w:val="22"/>
          <w:szCs w:val="22"/>
        </w:rPr>
        <w:t xml:space="preserve">- Proponer el plan municipal de desarrollo urbano, así como sus modificaciones, y los parciales que de ellos deriven; </w:t>
      </w:r>
    </w:p>
    <w:p w14:paraId="2DF96B27" w14:textId="48FB2228" w:rsidR="00D10577" w:rsidRPr="002B2FFB" w:rsidRDefault="00D10577" w:rsidP="00D10577">
      <w:pPr>
        <w:spacing w:before="240" w:after="240" w:line="360" w:lineRule="auto"/>
        <w:ind w:left="284" w:right="49"/>
        <w:jc w:val="both"/>
        <w:rPr>
          <w:rFonts w:ascii="Palatino Linotype" w:hAnsi="Palatino Linotype"/>
          <w:sz w:val="22"/>
          <w:szCs w:val="22"/>
        </w:rPr>
      </w:pPr>
      <w:r w:rsidRPr="002B2FFB">
        <w:rPr>
          <w:rFonts w:ascii="Palatino Linotype" w:hAnsi="Palatino Linotype"/>
          <w:sz w:val="22"/>
          <w:szCs w:val="22"/>
        </w:rPr>
        <w:t>- Participar en la elaboración o modificación del respectivo plan regional de desarrollo urbano o de los parciales que de éste deriven, cuando incluya parte o la totalidad de su territorio;</w:t>
      </w:r>
    </w:p>
    <w:p w14:paraId="514E9C5B" w14:textId="11DC87F9" w:rsidR="00FC5895" w:rsidRPr="002B2FFB" w:rsidRDefault="00780B0E" w:rsidP="00FC5895">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hAnsi="Palatino Linotype"/>
          <w:sz w:val="22"/>
          <w:szCs w:val="22"/>
        </w:rPr>
        <w:t xml:space="preserve">Por otro lado </w:t>
      </w:r>
      <w:r w:rsidR="004C54A8" w:rsidRPr="002B2FFB">
        <w:rPr>
          <w:rFonts w:ascii="Palatino Linotype" w:hAnsi="Palatino Linotype"/>
          <w:sz w:val="22"/>
          <w:szCs w:val="22"/>
        </w:rPr>
        <w:t xml:space="preserve">respecto de la </w:t>
      </w:r>
      <w:r w:rsidRPr="002B2FFB">
        <w:rPr>
          <w:rFonts w:ascii="Palatino Linotype" w:hAnsi="Palatino Linotype"/>
          <w:sz w:val="22"/>
          <w:szCs w:val="22"/>
        </w:rPr>
        <w:t>Contraloría Municipal</w:t>
      </w:r>
      <w:r w:rsidR="004C54A8" w:rsidRPr="002B2FFB">
        <w:rPr>
          <w:rFonts w:ascii="Palatino Linotype" w:hAnsi="Palatino Linotype"/>
          <w:sz w:val="22"/>
          <w:szCs w:val="22"/>
        </w:rPr>
        <w:t xml:space="preserve">, el artículo </w:t>
      </w:r>
      <w:r w:rsidR="00FC5895" w:rsidRPr="002B2FFB">
        <w:rPr>
          <w:rFonts w:ascii="Palatino Linotype" w:eastAsia="Palatino Linotype" w:hAnsi="Palatino Linotype" w:cs="Palatino Linotype"/>
          <w:sz w:val="22"/>
          <w:szCs w:val="22"/>
        </w:rPr>
        <w:t>110 de la Ley Orgánica del Estado de México, dispone que es el órgano interno de control encargado de promover, evaluar y fortalecer el buen funcionamiento del control interno, competente para aplicar las leyes en materia de responsabilidades de los servidores públicos, cuyas atribuciones se encuentran enmarcadas en el artículo 112 de la referida Ley, siendo de interés para el tema que nos ocupa, las siguientes:</w:t>
      </w:r>
    </w:p>
    <w:p w14:paraId="4FD12F91" w14:textId="77777777" w:rsidR="00FC5895" w:rsidRPr="002B2FFB" w:rsidRDefault="00FC5895" w:rsidP="00FC5895">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“Artículo 112</w:t>
      </w:r>
      <w:r w:rsidRPr="002B2FFB">
        <w:rPr>
          <w:rFonts w:ascii="Palatino Linotype" w:hAnsi="Palatino Linotype"/>
          <w:i/>
          <w:sz w:val="22"/>
          <w:szCs w:val="22"/>
        </w:rPr>
        <w:t>. El órgano interno de control municipal tendrá a su cargo las funciones siguientes:</w:t>
      </w:r>
    </w:p>
    <w:p w14:paraId="271AA5B8" w14:textId="77777777" w:rsidR="00FC5895" w:rsidRPr="002B2FFB" w:rsidRDefault="00FC5895" w:rsidP="00FC5895">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w:t>
      </w:r>
      <w:r w:rsidRPr="002B2FFB">
        <w:rPr>
          <w:rFonts w:ascii="Palatino Linotype" w:hAnsi="Palatino Linotype"/>
          <w:i/>
          <w:sz w:val="22"/>
          <w:szCs w:val="22"/>
        </w:rPr>
        <w:t xml:space="preserve"> Planear, programar, organizar y coordinar el sistema de control y evaluación municipal;</w:t>
      </w:r>
    </w:p>
    <w:p w14:paraId="445447BB" w14:textId="77777777" w:rsidR="00FC5895" w:rsidRPr="002B2FFB" w:rsidRDefault="00FC5895" w:rsidP="00FC5895">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Fiscalizar el ingreso y ejercicio del gasto público municipal y su congruencia con el presupuesto de egresos;</w:t>
      </w:r>
    </w:p>
    <w:p w14:paraId="70509A23" w14:textId="77777777" w:rsidR="00FC5895" w:rsidRPr="002B2FFB" w:rsidRDefault="00FC5895" w:rsidP="00FC5895">
      <w:pPr>
        <w:spacing w:before="120" w:after="120"/>
        <w:ind w:left="851" w:right="902"/>
        <w:jc w:val="both"/>
        <w:rPr>
          <w:rFonts w:ascii="Palatino Linotype" w:hAnsi="Palatino Linotype"/>
          <w:i/>
          <w:sz w:val="22"/>
          <w:szCs w:val="22"/>
        </w:rPr>
      </w:pPr>
      <w:r w:rsidRPr="002B2FFB">
        <w:rPr>
          <w:rFonts w:ascii="Palatino Linotype" w:hAnsi="Palatino Linotype"/>
          <w:i/>
          <w:sz w:val="22"/>
          <w:szCs w:val="22"/>
        </w:rPr>
        <w:t>...</w:t>
      </w:r>
    </w:p>
    <w:p w14:paraId="5F361C4F" w14:textId="77777777" w:rsidR="00FC5895" w:rsidRPr="002B2FFB" w:rsidRDefault="00FC5895" w:rsidP="00FC5895">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V.</w:t>
      </w:r>
      <w:r w:rsidRPr="002B2FFB">
        <w:rPr>
          <w:rFonts w:ascii="Palatino Linotype" w:hAnsi="Palatino Linotype"/>
          <w:i/>
          <w:sz w:val="22"/>
          <w:szCs w:val="22"/>
        </w:rPr>
        <w:t xml:space="preserve"> Establecer las bases generales para la realización de auditorías e inspecciones;</w:t>
      </w:r>
    </w:p>
    <w:p w14:paraId="39E8FC9C" w14:textId="77777777" w:rsidR="00FC5895" w:rsidRPr="002B2FFB" w:rsidRDefault="00FC5895" w:rsidP="00FC5895">
      <w:pPr>
        <w:spacing w:before="120" w:after="120"/>
        <w:ind w:left="851" w:right="902"/>
        <w:jc w:val="both"/>
        <w:rPr>
          <w:rFonts w:ascii="Palatino Linotype" w:hAnsi="Palatino Linotype"/>
          <w:i/>
          <w:sz w:val="22"/>
          <w:szCs w:val="22"/>
        </w:rPr>
      </w:pPr>
      <w:r w:rsidRPr="002B2FFB">
        <w:rPr>
          <w:rFonts w:ascii="Palatino Linotype" w:hAnsi="Palatino Linotype"/>
          <w:i/>
          <w:sz w:val="22"/>
          <w:szCs w:val="22"/>
        </w:rPr>
        <w:t>...</w:t>
      </w:r>
    </w:p>
    <w:p w14:paraId="44684645" w14:textId="77777777" w:rsidR="00C74AFC" w:rsidRPr="002B2FFB" w:rsidRDefault="00C74AFC" w:rsidP="00C74AFC">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X.</w:t>
      </w:r>
      <w:r w:rsidRPr="002B2FFB">
        <w:rPr>
          <w:rFonts w:ascii="Palatino Linotype" w:hAnsi="Palatino Linotype"/>
          <w:i/>
          <w:sz w:val="22"/>
          <w:szCs w:val="22"/>
        </w:rPr>
        <w:t xml:space="preserve"> Establecer y operar un sistema de atención de quejas, denuncias y sugerencias;</w:t>
      </w:r>
    </w:p>
    <w:p w14:paraId="7353F34A" w14:textId="77777777" w:rsidR="00FC5895" w:rsidRPr="002B2FFB" w:rsidRDefault="00FC5895" w:rsidP="00FC5895">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XI.</w:t>
      </w:r>
      <w:r w:rsidRPr="002B2FFB">
        <w:rPr>
          <w:rFonts w:ascii="Palatino Linotype" w:hAnsi="Palatino Linotype"/>
          <w:i/>
          <w:sz w:val="22"/>
          <w:szCs w:val="22"/>
        </w:rPr>
        <w:t xml:space="preserve"> Realizar auditorías y evaluaciones e informar del resultado de las mismas al ayuntamiento;</w:t>
      </w:r>
    </w:p>
    <w:p w14:paraId="5353B5A1" w14:textId="657B12A8" w:rsidR="00FC5895" w:rsidRPr="002B2FFB" w:rsidRDefault="00FC5895" w:rsidP="00FC5895">
      <w:pPr>
        <w:spacing w:before="120" w:after="120"/>
        <w:ind w:left="851" w:right="902"/>
        <w:jc w:val="both"/>
        <w:rPr>
          <w:rFonts w:ascii="Palatino Linotype" w:hAnsi="Palatino Linotype"/>
          <w:i/>
          <w:sz w:val="22"/>
          <w:szCs w:val="22"/>
        </w:rPr>
      </w:pPr>
      <w:r w:rsidRPr="002B2FFB">
        <w:rPr>
          <w:rFonts w:ascii="Palatino Linotype" w:hAnsi="Palatino Linotype"/>
          <w:i/>
          <w:sz w:val="22"/>
          <w:szCs w:val="22"/>
        </w:rPr>
        <w:t>...</w:t>
      </w:r>
      <w:r w:rsidRPr="002B2FFB">
        <w:rPr>
          <w:rFonts w:ascii="Palatino Linotype" w:hAnsi="Palatino Linotype"/>
          <w:b/>
          <w:i/>
          <w:sz w:val="22"/>
          <w:szCs w:val="22"/>
        </w:rPr>
        <w:t>”</w:t>
      </w:r>
    </w:p>
    <w:p w14:paraId="424F9D75" w14:textId="77777777" w:rsidR="00C74AFC" w:rsidRPr="002B2FFB" w:rsidRDefault="005F21AF" w:rsidP="00722C58">
      <w:pPr>
        <w:spacing w:before="240" w:after="240" w:line="360" w:lineRule="auto"/>
        <w:jc w:val="both"/>
        <w:rPr>
          <w:rFonts w:ascii="Palatino Linotype" w:hAnsi="Palatino Linotype"/>
          <w:sz w:val="22"/>
          <w:szCs w:val="22"/>
        </w:rPr>
      </w:pPr>
      <w:r w:rsidRPr="002B2FFB">
        <w:rPr>
          <w:rFonts w:ascii="Palatino Linotype" w:hAnsi="Palatino Linotype"/>
          <w:sz w:val="22"/>
          <w:szCs w:val="22"/>
        </w:rPr>
        <w:t xml:space="preserve">Además, es oportuno mencionar que de conformidad con el artículo 86 del Bando Municipal </w:t>
      </w:r>
      <w:r w:rsidR="008E29CD" w:rsidRPr="002B2FFB">
        <w:rPr>
          <w:rFonts w:ascii="Palatino Linotype" w:hAnsi="Palatino Linotype"/>
          <w:sz w:val="22"/>
          <w:szCs w:val="22"/>
        </w:rPr>
        <w:t>de Tepotzotlán</w:t>
      </w:r>
      <w:r w:rsidR="00D52C68" w:rsidRPr="002B2FFB">
        <w:rPr>
          <w:rFonts w:ascii="Palatino Linotype" w:hAnsi="Palatino Linotype"/>
          <w:sz w:val="22"/>
          <w:szCs w:val="22"/>
        </w:rPr>
        <w:t>, el Órgano Inter</w:t>
      </w:r>
      <w:r w:rsidR="00AD53CE" w:rsidRPr="002B2FFB">
        <w:rPr>
          <w:rFonts w:ascii="Palatino Linotype" w:hAnsi="Palatino Linotype"/>
          <w:sz w:val="22"/>
          <w:szCs w:val="22"/>
        </w:rPr>
        <w:t>n</w:t>
      </w:r>
      <w:r w:rsidR="00D52C68" w:rsidRPr="002B2FFB">
        <w:rPr>
          <w:rFonts w:ascii="Palatino Linotype" w:hAnsi="Palatino Linotype"/>
          <w:sz w:val="22"/>
          <w:szCs w:val="22"/>
        </w:rPr>
        <w:t>o</w:t>
      </w:r>
      <w:r w:rsidR="00AD53CE" w:rsidRPr="002B2FFB">
        <w:rPr>
          <w:rFonts w:ascii="Palatino Linotype" w:hAnsi="Palatino Linotype"/>
          <w:sz w:val="22"/>
          <w:szCs w:val="22"/>
        </w:rPr>
        <w:t xml:space="preserve"> de Control </w:t>
      </w:r>
      <w:r w:rsidR="00C74AFC" w:rsidRPr="002B2FFB">
        <w:rPr>
          <w:rFonts w:ascii="Palatino Linotype" w:hAnsi="Palatino Linotype"/>
          <w:sz w:val="22"/>
          <w:szCs w:val="22"/>
        </w:rPr>
        <w:t>se auxilia de las siguientes áreas para el despacho de los asuntos que se le encomiendan:</w:t>
      </w:r>
    </w:p>
    <w:p w14:paraId="0F09D0E3" w14:textId="77777777" w:rsidR="00C74AFC" w:rsidRPr="002B2FFB" w:rsidRDefault="00C74AFC" w:rsidP="00761CAF">
      <w:pPr>
        <w:pStyle w:val="Prrafodelista"/>
        <w:numPr>
          <w:ilvl w:val="0"/>
          <w:numId w:val="2"/>
        </w:numPr>
        <w:tabs>
          <w:tab w:val="left" w:pos="567"/>
        </w:tabs>
        <w:spacing w:before="120" w:after="120"/>
        <w:ind w:left="284" w:right="902" w:firstLine="0"/>
        <w:contextualSpacing w:val="0"/>
        <w:jc w:val="both"/>
        <w:rPr>
          <w:rFonts w:ascii="Palatino Linotype" w:hAnsi="Palatino Linotype"/>
          <w:i/>
          <w:sz w:val="22"/>
          <w:szCs w:val="22"/>
        </w:rPr>
      </w:pPr>
      <w:r w:rsidRPr="002B2FFB">
        <w:rPr>
          <w:rFonts w:ascii="Palatino Linotype" w:hAnsi="Palatino Linotype"/>
          <w:i/>
          <w:sz w:val="22"/>
          <w:szCs w:val="22"/>
        </w:rPr>
        <w:t xml:space="preserve">Contralor Interno; </w:t>
      </w:r>
    </w:p>
    <w:p w14:paraId="069F4C5D" w14:textId="77777777" w:rsidR="00C74AFC" w:rsidRPr="002B2FFB" w:rsidRDefault="00C74AFC" w:rsidP="00761CAF">
      <w:pPr>
        <w:pStyle w:val="Prrafodelista"/>
        <w:tabs>
          <w:tab w:val="left" w:pos="567"/>
        </w:tabs>
        <w:spacing w:before="120" w:after="120"/>
        <w:ind w:left="284" w:right="902"/>
        <w:contextualSpacing w:val="0"/>
        <w:jc w:val="both"/>
        <w:rPr>
          <w:rFonts w:ascii="Palatino Linotype" w:hAnsi="Palatino Linotype"/>
          <w:i/>
          <w:sz w:val="22"/>
          <w:szCs w:val="22"/>
        </w:rPr>
      </w:pPr>
      <w:r w:rsidRPr="002B2FFB">
        <w:rPr>
          <w:rFonts w:ascii="Palatino Linotype" w:hAnsi="Palatino Linotype"/>
          <w:i/>
          <w:sz w:val="22"/>
          <w:szCs w:val="22"/>
        </w:rPr>
        <w:t xml:space="preserve">II. Notificador, Inspector, Visitador y Ejecutor; </w:t>
      </w:r>
    </w:p>
    <w:p w14:paraId="28415298" w14:textId="77777777" w:rsidR="00C74AFC" w:rsidRPr="002B2FFB" w:rsidRDefault="00C74AFC" w:rsidP="00761CAF">
      <w:pPr>
        <w:pStyle w:val="Prrafodelista"/>
        <w:tabs>
          <w:tab w:val="left" w:pos="567"/>
        </w:tabs>
        <w:spacing w:before="120" w:after="120"/>
        <w:ind w:left="284" w:right="902"/>
        <w:contextualSpacing w:val="0"/>
        <w:jc w:val="both"/>
        <w:rPr>
          <w:rFonts w:ascii="Palatino Linotype" w:hAnsi="Palatino Linotype"/>
          <w:i/>
          <w:sz w:val="22"/>
          <w:szCs w:val="22"/>
        </w:rPr>
      </w:pPr>
      <w:r w:rsidRPr="002B2FFB">
        <w:rPr>
          <w:rFonts w:ascii="Palatino Linotype" w:hAnsi="Palatino Linotype"/>
          <w:i/>
          <w:sz w:val="22"/>
          <w:szCs w:val="22"/>
        </w:rPr>
        <w:t xml:space="preserve">III. Autoridad Investigadora; </w:t>
      </w:r>
    </w:p>
    <w:p w14:paraId="6D0A5DA5" w14:textId="77777777" w:rsidR="00C74AFC" w:rsidRPr="002B2FFB" w:rsidRDefault="00C74AFC" w:rsidP="00761CAF">
      <w:pPr>
        <w:pStyle w:val="Prrafodelista"/>
        <w:tabs>
          <w:tab w:val="left" w:pos="567"/>
        </w:tabs>
        <w:spacing w:before="120" w:after="120"/>
        <w:ind w:left="284" w:right="902"/>
        <w:contextualSpacing w:val="0"/>
        <w:jc w:val="both"/>
        <w:rPr>
          <w:rFonts w:ascii="Palatino Linotype" w:hAnsi="Palatino Linotype"/>
          <w:i/>
          <w:sz w:val="22"/>
          <w:szCs w:val="22"/>
        </w:rPr>
      </w:pPr>
      <w:r w:rsidRPr="002B2FFB">
        <w:rPr>
          <w:rFonts w:ascii="Palatino Linotype" w:hAnsi="Palatino Linotype"/>
          <w:i/>
          <w:sz w:val="22"/>
          <w:szCs w:val="22"/>
        </w:rPr>
        <w:t xml:space="preserve">IV. Autoridad Substanciadora; </w:t>
      </w:r>
    </w:p>
    <w:p w14:paraId="41B76745" w14:textId="77777777" w:rsidR="00C74AFC" w:rsidRPr="002B2FFB" w:rsidRDefault="00C74AFC" w:rsidP="00761CAF">
      <w:pPr>
        <w:pStyle w:val="Prrafodelista"/>
        <w:tabs>
          <w:tab w:val="left" w:pos="567"/>
        </w:tabs>
        <w:spacing w:before="120" w:after="120"/>
        <w:ind w:left="284" w:right="902"/>
        <w:contextualSpacing w:val="0"/>
        <w:jc w:val="both"/>
        <w:rPr>
          <w:rFonts w:ascii="Palatino Linotype" w:hAnsi="Palatino Linotype"/>
          <w:i/>
          <w:sz w:val="22"/>
          <w:szCs w:val="22"/>
        </w:rPr>
      </w:pPr>
      <w:r w:rsidRPr="002B2FFB">
        <w:rPr>
          <w:rFonts w:ascii="Palatino Linotype" w:hAnsi="Palatino Linotype"/>
          <w:i/>
          <w:sz w:val="22"/>
          <w:szCs w:val="22"/>
        </w:rPr>
        <w:t xml:space="preserve">V. Autoridad Resolutora; </w:t>
      </w:r>
    </w:p>
    <w:p w14:paraId="3401A44C" w14:textId="77777777" w:rsidR="00C74AFC" w:rsidRPr="002B2FFB" w:rsidRDefault="00C74AFC" w:rsidP="00761CAF">
      <w:pPr>
        <w:pStyle w:val="Prrafodelista"/>
        <w:tabs>
          <w:tab w:val="left" w:pos="567"/>
        </w:tabs>
        <w:spacing w:before="120" w:after="120"/>
        <w:ind w:left="284" w:right="902"/>
        <w:contextualSpacing w:val="0"/>
        <w:jc w:val="both"/>
        <w:rPr>
          <w:rFonts w:ascii="Palatino Linotype" w:hAnsi="Palatino Linotype"/>
          <w:i/>
          <w:sz w:val="22"/>
          <w:szCs w:val="22"/>
        </w:rPr>
      </w:pPr>
      <w:r w:rsidRPr="002B2FFB">
        <w:rPr>
          <w:rFonts w:ascii="Palatino Linotype" w:hAnsi="Palatino Linotype"/>
          <w:i/>
          <w:sz w:val="22"/>
          <w:szCs w:val="22"/>
        </w:rPr>
        <w:t xml:space="preserve">VI. Defensora de Oficio; </w:t>
      </w:r>
    </w:p>
    <w:p w14:paraId="3E08D678" w14:textId="77777777" w:rsidR="00C74AFC" w:rsidRPr="002B2FFB" w:rsidRDefault="00C74AFC" w:rsidP="00761CAF">
      <w:pPr>
        <w:pStyle w:val="Prrafodelista"/>
        <w:tabs>
          <w:tab w:val="left" w:pos="567"/>
        </w:tabs>
        <w:spacing w:before="120" w:after="120"/>
        <w:ind w:left="284" w:right="902"/>
        <w:contextualSpacing w:val="0"/>
        <w:jc w:val="both"/>
        <w:rPr>
          <w:rFonts w:ascii="Palatino Linotype" w:hAnsi="Palatino Linotype"/>
          <w:b/>
          <w:i/>
          <w:sz w:val="22"/>
          <w:szCs w:val="22"/>
        </w:rPr>
      </w:pPr>
      <w:r w:rsidRPr="002B2FFB">
        <w:rPr>
          <w:rFonts w:ascii="Palatino Linotype" w:hAnsi="Palatino Linotype"/>
          <w:b/>
          <w:i/>
          <w:sz w:val="22"/>
          <w:szCs w:val="22"/>
        </w:rPr>
        <w:t xml:space="preserve">VII. Unidad de Auditoría: </w:t>
      </w:r>
    </w:p>
    <w:p w14:paraId="741891C8" w14:textId="77777777" w:rsidR="00C74AFC" w:rsidRPr="002B2FFB" w:rsidRDefault="00C74AFC" w:rsidP="00761CAF">
      <w:pPr>
        <w:pStyle w:val="Prrafodelista"/>
        <w:tabs>
          <w:tab w:val="left" w:pos="567"/>
        </w:tabs>
        <w:spacing w:before="120" w:after="120"/>
        <w:ind w:left="284" w:right="902"/>
        <w:contextualSpacing w:val="0"/>
        <w:jc w:val="both"/>
        <w:rPr>
          <w:rFonts w:ascii="Palatino Linotype" w:hAnsi="Palatino Linotype"/>
          <w:i/>
          <w:sz w:val="22"/>
          <w:szCs w:val="22"/>
        </w:rPr>
      </w:pPr>
      <w:r w:rsidRPr="002B2FFB">
        <w:rPr>
          <w:rFonts w:ascii="Palatino Linotype" w:hAnsi="Palatino Linotype"/>
          <w:i/>
          <w:sz w:val="22"/>
          <w:szCs w:val="22"/>
        </w:rPr>
        <w:t>a. Auditor Financiero;</w:t>
      </w:r>
    </w:p>
    <w:p w14:paraId="6D9D9DD7" w14:textId="5A7FA3FA" w:rsidR="00C74AFC" w:rsidRPr="002B2FFB" w:rsidRDefault="00C74AFC" w:rsidP="00761CAF">
      <w:pPr>
        <w:pStyle w:val="Prrafodelista"/>
        <w:tabs>
          <w:tab w:val="left" w:pos="567"/>
        </w:tabs>
        <w:spacing w:before="120" w:after="120"/>
        <w:ind w:left="284" w:right="902"/>
        <w:contextualSpacing w:val="0"/>
        <w:jc w:val="both"/>
        <w:rPr>
          <w:rFonts w:ascii="Palatino Linotype" w:hAnsi="Palatino Linotype"/>
          <w:b/>
          <w:i/>
          <w:sz w:val="22"/>
          <w:szCs w:val="22"/>
        </w:rPr>
      </w:pPr>
      <w:r w:rsidRPr="002B2FFB">
        <w:rPr>
          <w:rFonts w:ascii="Palatino Linotype" w:hAnsi="Palatino Linotype"/>
          <w:b/>
          <w:i/>
          <w:sz w:val="22"/>
          <w:szCs w:val="22"/>
        </w:rPr>
        <w:t xml:space="preserve">b. Auditor de Obra; </w:t>
      </w:r>
    </w:p>
    <w:p w14:paraId="52BD286E" w14:textId="77777777" w:rsidR="00C74AFC" w:rsidRPr="002B2FFB" w:rsidRDefault="00C74AFC" w:rsidP="00761CAF">
      <w:pPr>
        <w:pStyle w:val="Prrafodelista"/>
        <w:tabs>
          <w:tab w:val="left" w:pos="567"/>
        </w:tabs>
        <w:spacing w:before="120" w:after="120"/>
        <w:ind w:left="284" w:right="902"/>
        <w:contextualSpacing w:val="0"/>
        <w:jc w:val="both"/>
        <w:rPr>
          <w:rFonts w:ascii="Palatino Linotype" w:hAnsi="Palatino Linotype"/>
          <w:i/>
          <w:sz w:val="22"/>
          <w:szCs w:val="22"/>
        </w:rPr>
      </w:pPr>
      <w:r w:rsidRPr="002B2FFB">
        <w:rPr>
          <w:rFonts w:ascii="Palatino Linotype" w:hAnsi="Palatino Linotype"/>
          <w:i/>
          <w:sz w:val="22"/>
          <w:szCs w:val="22"/>
        </w:rPr>
        <w:t>c. Contralor Social.</w:t>
      </w:r>
    </w:p>
    <w:p w14:paraId="0659834D" w14:textId="4D0E3731" w:rsidR="00C74AFC" w:rsidRPr="002B2FFB" w:rsidRDefault="00C74AFC" w:rsidP="00722C58">
      <w:pPr>
        <w:spacing w:before="240" w:after="240" w:line="360" w:lineRule="auto"/>
        <w:jc w:val="both"/>
        <w:rPr>
          <w:rFonts w:ascii="Palatino Linotype" w:hAnsi="Palatino Linotype"/>
          <w:sz w:val="22"/>
          <w:szCs w:val="22"/>
        </w:rPr>
      </w:pPr>
      <w:r w:rsidRPr="002B2FFB">
        <w:rPr>
          <w:rFonts w:ascii="Palatino Linotype" w:hAnsi="Palatino Linotype"/>
          <w:sz w:val="22"/>
          <w:szCs w:val="22"/>
        </w:rPr>
        <w:t>Como se observa, la Unidad de Auditoría tiene bajo su adscripción al Auditor de Obra, cuyo objetivo, de conformidad con el Manual de Organización de la Contraloría Municipal, consiste en comprobar la correcta y oportuna aplicación de los recursos asignados a las obras públicas; la realización de la planeación, programación, adjudicación, contratación y ejecución de las obras públicas conforme a la normatividad establecida y vigente; el cumplimiento de la programación establecida en los Programas Operativos Anuales de las dependencias; así como de verificar el cumplimiento de lo estipulado en el contrato referente al costo, calidad y tiempo de ejecución de la obra pública; el funcionamiento correcto de los sistemas de operación, registro, control e información inherentes a la realización de las obras públicas; el informe periódico de la dependencia auditada a las instancias correspondientes sobre el ejercicio del gasto, el avance físico y financiero de los programas autorizados que se están ejecutando; y la integración de expedientes técnicos que permitan el análisis y evaluación de las acciones desarrolladas o por desarrollar debidamente requisitados y autorizados, para lo cual se le confieren las siguientes atribuciones en su parte conducente:</w:t>
      </w:r>
    </w:p>
    <w:p w14:paraId="35681EA1" w14:textId="59933C94" w:rsidR="00C74AFC" w:rsidRPr="002B2FFB" w:rsidRDefault="00C74AFC" w:rsidP="00C74AFC">
      <w:pP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Participar en el seguimiento de la Planeación, Programación, Presupuestación, proceso de adjudicación de obras y servicios relacionados con las mismas.</w:t>
      </w:r>
    </w:p>
    <w:p w14:paraId="0087F088" w14:textId="7F44A702" w:rsidR="00C74AFC" w:rsidRPr="002B2FFB" w:rsidRDefault="00C74AFC" w:rsidP="00C74AFC">
      <w:pP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Realizar auditorías conforme al Programa Anual de Auditorias, Denuncias o por órdenes superiores, así como llevar a cabo inspecciones de forma aleatoria a la obra pública e infraestructura, pudiendo solicitar a los servidores públicos o contratistas los datos e informes relacionados con la misma.</w:t>
      </w:r>
    </w:p>
    <w:p w14:paraId="07C7F53C" w14:textId="5B25D892" w:rsidR="00C74AFC" w:rsidRPr="002B2FFB" w:rsidRDefault="00C74AFC" w:rsidP="00C74AFC">
      <w:pP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Verificar el cumplimiento de la normatividad establecida en la realización de las obras y la contratación de servicios, dependiendo del tipo de programas</w:t>
      </w:r>
    </w:p>
    <w:p w14:paraId="446B02DB" w14:textId="4CD691AD" w:rsidR="00C74AFC" w:rsidRPr="002B2FFB" w:rsidRDefault="00C74AFC" w:rsidP="00C74AFC">
      <w:pP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Verificar y vigilar la congruencia y pertinencia de los expedientes técnicos de las obras, tanto en el avance físico como en el avance contable.</w:t>
      </w:r>
    </w:p>
    <w:p w14:paraId="5E9F7436" w14:textId="037E97AF" w:rsidR="00C74AFC" w:rsidRPr="002B2FFB" w:rsidRDefault="00C74AFC" w:rsidP="00C74AFC">
      <w:pP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Verificar que las cantidades, conceptos, características y calidad de los materiales y suministros que amparen las estimaciones, correspondan con los físicamente aplicados en la obra.</w:t>
      </w:r>
    </w:p>
    <w:p w14:paraId="2A8DC2E2" w14:textId="6795717C" w:rsidR="00C74AFC" w:rsidRPr="002B2FFB" w:rsidRDefault="00C74AFC" w:rsidP="00C74AFC">
      <w:pP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Vigilar la situación que guarda la obra pública y su congruencia con las normas y procedimientos relativos para su operación, de acuerdo con su avance en la ejecución.</w:t>
      </w:r>
    </w:p>
    <w:p w14:paraId="6B2F8D1E" w14:textId="0FEC53DB" w:rsidR="00C74AFC" w:rsidRPr="002B2FFB" w:rsidRDefault="00C74AFC" w:rsidP="00C74AFC">
      <w:pP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Participar desde el proceso de licitación, desarrollo y hasta el acto de entrega de recepción de las diferentes obras a ejecutar por la Dirección de Obras Públicas. Para ello se requiere de previa invitación de la Dirección de Obras Públicas. La cantidad de obras para dar seguimiento dependerá de los recursos proporcionados por el ayuntamiento, así como de las indicaciones proporcionadas por el titular de la contraloría interna.</w:t>
      </w:r>
    </w:p>
    <w:p w14:paraId="7859A5E3" w14:textId="1FC82E17" w:rsidR="00C74AFC" w:rsidRPr="002B2FFB" w:rsidRDefault="00C74AFC" w:rsidP="00C74AFC">
      <w:pP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Supervisar los expedientes técnicos de obra para constatar su debida integración. Para ello se realizará de forma aleatoria, así como de aquellas que sean solicitadas por el titular de la contraloría interna.</w:t>
      </w:r>
    </w:p>
    <w:p w14:paraId="5D9CE306" w14:textId="7600CDC0" w:rsidR="00C74AFC" w:rsidRPr="002B2FFB" w:rsidRDefault="00C74AFC" w:rsidP="00C74AFC">
      <w:pP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Supervisar el seguimiento a las obras en proceso mediante inspecciones de verificación.</w:t>
      </w:r>
    </w:p>
    <w:p w14:paraId="17E2330B" w14:textId="26EFF23A" w:rsidR="00C74AFC" w:rsidRPr="002B2FFB" w:rsidRDefault="00C74AFC" w:rsidP="00C74AFC">
      <w:pP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Participar en la revisión de los procesos de Licitación Pública, Invitación Restringida y Adjudicación Directa tanto de obras públicas como adquisición de bienes y servicios, a efecto de emitir las observaciones y recomendaciones correspondientes.</w:t>
      </w:r>
    </w:p>
    <w:p w14:paraId="5E2C70F0" w14:textId="63EC811D" w:rsidR="00C74AFC" w:rsidRPr="002B2FFB" w:rsidRDefault="00C74AFC" w:rsidP="00C74AFC">
      <w:pPr>
        <w:spacing w:before="240" w:after="240" w:line="360" w:lineRule="auto"/>
        <w:ind w:left="284"/>
        <w:jc w:val="both"/>
        <w:rPr>
          <w:rFonts w:ascii="Palatino Linotype" w:hAnsi="Palatino Linotype"/>
          <w:sz w:val="22"/>
          <w:szCs w:val="22"/>
        </w:rPr>
      </w:pPr>
      <w:r w:rsidRPr="002B2FFB">
        <w:rPr>
          <w:rFonts w:ascii="Palatino Linotype" w:hAnsi="Palatino Linotype"/>
          <w:sz w:val="22"/>
          <w:szCs w:val="22"/>
        </w:rPr>
        <w:t>- Emitir opinión técnica correspondiente en los procedimientos de adjudicación en que se haya promovido una inconformidad administrativa por un convocado, y en caso de ser procedente de acuerdo con la resolución definitiva de la autoridad competente, se de vista a la Unidad Administrativa de Investigación para que se sirva actuar en el ejercicio de sus atribuciones, en alcance a lo previsto por los artículos 90 al 94 de la Ley de Contratación Pública del Estado de México y Municipios.</w:t>
      </w:r>
    </w:p>
    <w:p w14:paraId="7EE81EB2" w14:textId="138CA159" w:rsidR="005235A8" w:rsidRPr="002B2FFB" w:rsidRDefault="00092FC0" w:rsidP="005235A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En este orden de ideas,</w:t>
      </w:r>
      <w:r w:rsidR="005235A8" w:rsidRPr="002B2FFB">
        <w:rPr>
          <w:rFonts w:ascii="Palatino Linotype" w:eastAsia="Palatino Linotype" w:hAnsi="Palatino Linotype" w:cs="Palatino Linotype"/>
          <w:sz w:val="22"/>
          <w:szCs w:val="22"/>
        </w:rPr>
        <w:t xml:space="preserve"> es claro que no puede tenerse por satisfecho el Derecho de acceso de la persona solicitante </w:t>
      </w:r>
      <w:r w:rsidRPr="002B2FFB">
        <w:rPr>
          <w:rFonts w:ascii="Palatino Linotype" w:eastAsia="Palatino Linotype" w:hAnsi="Palatino Linotype" w:cs="Palatino Linotype"/>
          <w:sz w:val="22"/>
          <w:szCs w:val="22"/>
        </w:rPr>
        <w:t>toda vez que</w:t>
      </w:r>
      <w:r w:rsidR="005235A8" w:rsidRPr="002B2FFB">
        <w:rPr>
          <w:rFonts w:ascii="Palatino Linotype" w:eastAsia="Palatino Linotype" w:hAnsi="Palatino Linotype" w:cs="Palatino Linotype"/>
          <w:sz w:val="22"/>
          <w:szCs w:val="22"/>
        </w:rPr>
        <w:t xml:space="preserve"> la respuesta proporcionada por la persona servidora pública habilitada de la Dirección de Obras Públicas no brinda certeza sobre la existencia o inexistencia de la información requerida por la persona solicitante, al advertirse de la lectura de la misma que esta se limitó a realizar la búsqueda de la información tomando como referencia el nombre de la obra referida por la persona solicitante, sin obtener resultados de la misma, siendo importante mencionar que el Pleno de este Instituto ha sostenido que, en aquellos casos en los que las personas solicitantes no señalen de manera concreta el o los documentos a los que desean acceder, al no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con la finalidad de que la persona solicitante pueda buscar conforme a su interés.</w:t>
      </w:r>
    </w:p>
    <w:p w14:paraId="29EE8E99" w14:textId="77777777" w:rsidR="005235A8" w:rsidRPr="002B2FFB" w:rsidRDefault="005235A8" w:rsidP="005235A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Como sustento a lo anterior resulta aplicable el criterio orientador con clave de control SO/016/2017, emitido por el entonces Instituto Nacional de Transparencia, Acceso a la Información y Protección de Datos Personales, INAI, establece lo siguiente: </w:t>
      </w:r>
    </w:p>
    <w:p w14:paraId="3FE147D8" w14:textId="77777777" w:rsidR="005235A8" w:rsidRPr="002B2FFB" w:rsidRDefault="005235A8" w:rsidP="005235A8">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2B2FFB">
        <w:rPr>
          <w:rFonts w:ascii="Palatino Linotype" w:hAnsi="Palatino Linotype"/>
          <w:sz w:val="22"/>
          <w:szCs w:val="22"/>
        </w:rPr>
        <w:t xml:space="preserve"> “</w:t>
      </w:r>
      <w:r w:rsidRPr="002B2FFB">
        <w:rPr>
          <w:rFonts w:ascii="Palatino Linotype" w:eastAsia="Palatino Linotype" w:hAnsi="Palatino Linotype" w:cs="Palatino Linotype"/>
          <w:b/>
          <w:i/>
          <w:sz w:val="22"/>
          <w:szCs w:val="22"/>
        </w:rPr>
        <w:t xml:space="preserve">Expresión documental. </w:t>
      </w:r>
      <w:r w:rsidRPr="002B2FFB">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408DEF27" w14:textId="77777777" w:rsidR="005235A8" w:rsidRPr="002B2FFB" w:rsidRDefault="005235A8" w:rsidP="005235A8">
      <w:pPr>
        <w:spacing w:before="240" w:after="240" w:line="360" w:lineRule="auto"/>
        <w:jc w:val="both"/>
        <w:rPr>
          <w:rFonts w:ascii="Palatino Linotype" w:hAnsi="Palatino Linotype"/>
          <w:sz w:val="22"/>
          <w:szCs w:val="22"/>
          <w:lang w:val="es-ES"/>
        </w:rPr>
      </w:pPr>
      <w:r w:rsidRPr="002B2FFB">
        <w:rPr>
          <w:rFonts w:ascii="Palatino Linotype" w:hAnsi="Palatino Linotype"/>
          <w:sz w:val="22"/>
          <w:szCs w:val="22"/>
          <w:lang w:val="es-ES"/>
        </w:rPr>
        <w:t>Ello es así, 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14:paraId="13544819" w14:textId="77777777" w:rsidR="0088152A" w:rsidRPr="002B2FFB" w:rsidRDefault="0088152A" w:rsidP="00B24180">
      <w:pPr>
        <w:spacing w:before="280" w:after="28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Además de no haberse</w:t>
      </w:r>
      <w:r w:rsidR="005235A8" w:rsidRPr="002B2FFB">
        <w:rPr>
          <w:rFonts w:ascii="Palatino Linotype" w:eastAsia="Palatino Linotype" w:hAnsi="Palatino Linotype" w:cs="Palatino Linotype"/>
          <w:sz w:val="22"/>
          <w:szCs w:val="22"/>
        </w:rPr>
        <w:t xml:space="preserve"> observado el procedimiento de búsqueda al no advertirse </w:t>
      </w:r>
      <w:r w:rsidR="00092FC0" w:rsidRPr="002B2FFB">
        <w:rPr>
          <w:rFonts w:ascii="Palatino Linotype" w:eastAsia="Palatino Linotype" w:hAnsi="Palatino Linotype" w:cs="Palatino Linotype"/>
          <w:sz w:val="22"/>
          <w:szCs w:val="22"/>
        </w:rPr>
        <w:t>pronunciamiento por parte de</w:t>
      </w:r>
      <w:r w:rsidR="005235A8" w:rsidRPr="002B2FFB">
        <w:rPr>
          <w:rFonts w:ascii="Palatino Linotype" w:eastAsia="Palatino Linotype" w:hAnsi="Palatino Linotype" w:cs="Palatino Linotype"/>
          <w:sz w:val="22"/>
          <w:szCs w:val="22"/>
        </w:rPr>
        <w:t xml:space="preserve"> todas las</w:t>
      </w:r>
      <w:r w:rsidR="00092FC0" w:rsidRPr="002B2FFB">
        <w:rPr>
          <w:rFonts w:ascii="Palatino Linotype" w:eastAsia="Palatino Linotype" w:hAnsi="Palatino Linotype" w:cs="Palatino Linotype"/>
          <w:sz w:val="22"/>
          <w:szCs w:val="22"/>
        </w:rPr>
        <w:t xml:space="preserve"> área</w:t>
      </w:r>
      <w:r w:rsidR="005235A8" w:rsidRPr="002B2FFB">
        <w:rPr>
          <w:rFonts w:ascii="Palatino Linotype" w:eastAsia="Palatino Linotype" w:hAnsi="Palatino Linotype" w:cs="Palatino Linotype"/>
          <w:sz w:val="22"/>
          <w:szCs w:val="22"/>
        </w:rPr>
        <w:t>s</w:t>
      </w:r>
      <w:r w:rsidR="00092FC0" w:rsidRPr="002B2FFB">
        <w:rPr>
          <w:rFonts w:ascii="Palatino Linotype" w:eastAsia="Palatino Linotype" w:hAnsi="Palatino Linotype" w:cs="Palatino Linotype"/>
          <w:sz w:val="22"/>
          <w:szCs w:val="22"/>
        </w:rPr>
        <w:t xml:space="preserve"> competente</w:t>
      </w:r>
      <w:r w:rsidR="005235A8" w:rsidRPr="002B2FFB">
        <w:rPr>
          <w:rFonts w:ascii="Palatino Linotype" w:eastAsia="Palatino Linotype" w:hAnsi="Palatino Linotype" w:cs="Palatino Linotype"/>
          <w:sz w:val="22"/>
          <w:szCs w:val="22"/>
        </w:rPr>
        <w:t>s</w:t>
      </w:r>
      <w:r w:rsidR="00092FC0" w:rsidRPr="002B2FFB">
        <w:rPr>
          <w:rFonts w:ascii="Palatino Linotype" w:eastAsia="Palatino Linotype" w:hAnsi="Palatino Linotype" w:cs="Palatino Linotype"/>
          <w:sz w:val="22"/>
          <w:szCs w:val="22"/>
        </w:rPr>
        <w:t xml:space="preserve"> para conocer de la información que es del interés de la persona solicitante</w:t>
      </w:r>
      <w:r w:rsidRPr="002B2FFB">
        <w:rPr>
          <w:rFonts w:ascii="Palatino Linotype" w:eastAsia="Palatino Linotype" w:hAnsi="Palatino Linotype" w:cs="Palatino Linotype"/>
          <w:sz w:val="22"/>
          <w:szCs w:val="22"/>
        </w:rPr>
        <w:t>.</w:t>
      </w:r>
    </w:p>
    <w:p w14:paraId="46EB8F4C" w14:textId="77777777" w:rsidR="00E3663C" w:rsidRPr="002B2FFB" w:rsidRDefault="00E3663C" w:rsidP="00E3663C">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Por consiguiente, </w:t>
      </w:r>
      <w:r w:rsidR="00092FC0" w:rsidRPr="002B2FFB">
        <w:rPr>
          <w:rFonts w:ascii="Palatino Linotype" w:eastAsia="Palatino Linotype" w:hAnsi="Palatino Linotype" w:cs="Palatino Linotype"/>
          <w:sz w:val="22"/>
          <w:szCs w:val="22"/>
        </w:rPr>
        <w:t>se estima</w:t>
      </w:r>
      <w:r w:rsidRPr="002B2FFB">
        <w:rPr>
          <w:rFonts w:ascii="Palatino Linotype" w:eastAsia="Palatino Linotype" w:hAnsi="Palatino Linotype" w:cs="Palatino Linotype"/>
          <w:sz w:val="22"/>
          <w:szCs w:val="22"/>
        </w:rPr>
        <w:t xml:space="preserve"> que para efectos de garantizar el Derecho de acceso de la parte </w:t>
      </w:r>
      <w:r w:rsidRPr="002B2FFB">
        <w:rPr>
          <w:rFonts w:ascii="Palatino Linotype" w:eastAsia="Palatino Linotype" w:hAnsi="Palatino Linotype" w:cs="Palatino Linotype"/>
          <w:b/>
          <w:sz w:val="22"/>
          <w:szCs w:val="22"/>
        </w:rPr>
        <w:t xml:space="preserve">Recurrente, </w:t>
      </w:r>
      <w:r w:rsidRPr="002B2FFB">
        <w:rPr>
          <w:rFonts w:ascii="Palatino Linotype" w:eastAsia="Palatino Linotype" w:hAnsi="Palatino Linotype" w:cs="Palatino Linotype"/>
          <w:sz w:val="22"/>
          <w:szCs w:val="22"/>
        </w:rPr>
        <w:t xml:space="preserve">el </w:t>
      </w:r>
      <w:r w:rsidRPr="002B2FFB">
        <w:rPr>
          <w:rFonts w:ascii="Palatino Linotype" w:eastAsia="Palatino Linotype" w:hAnsi="Palatino Linotype" w:cs="Palatino Linotype"/>
          <w:b/>
          <w:sz w:val="22"/>
          <w:szCs w:val="22"/>
        </w:rPr>
        <w:t xml:space="preserve">Sujeto Obligado </w:t>
      </w:r>
      <w:r w:rsidRPr="002B2FFB">
        <w:rPr>
          <w:rFonts w:ascii="Palatino Linotype" w:eastAsia="Palatino Linotype" w:hAnsi="Palatino Linotype" w:cs="Palatino Linotype"/>
          <w:sz w:val="22"/>
          <w:szCs w:val="22"/>
        </w:rPr>
        <w:t>deberá, previa búsqueda exhaustiva y razonable, hacer entrega de la información que atienda lo solicitado, en versión pública de ser procedente de conformidad con el considerando siguiente.</w:t>
      </w:r>
    </w:p>
    <w:p w14:paraId="4D5079B5" w14:textId="77777777" w:rsidR="00E3663C" w:rsidRPr="002B2FFB" w:rsidRDefault="005235A8" w:rsidP="00E3663C">
      <w:pPr>
        <w:spacing w:before="240" w:after="240" w:line="360" w:lineRule="auto"/>
        <w:ind w:right="49"/>
        <w:jc w:val="both"/>
        <w:rPr>
          <w:rFonts w:ascii="Palatino Linotype" w:hAnsi="Palatino Linotype"/>
          <w:sz w:val="22"/>
          <w:szCs w:val="22"/>
        </w:rPr>
      </w:pPr>
      <w:r w:rsidRPr="002B2FFB">
        <w:rPr>
          <w:rFonts w:ascii="Palatino Linotype" w:eastAsia="Palatino Linotype" w:hAnsi="Palatino Linotype" w:cs="Palatino Linotype"/>
          <w:sz w:val="22"/>
          <w:szCs w:val="22"/>
        </w:rPr>
        <w:t>Para efectos de lo anterior,</w:t>
      </w:r>
      <w:r w:rsidR="00E3663C" w:rsidRPr="002B2FFB">
        <w:rPr>
          <w:rFonts w:ascii="Palatino Linotype" w:eastAsia="Palatino Linotype" w:hAnsi="Palatino Linotype" w:cs="Palatino Linotype"/>
          <w:sz w:val="22"/>
          <w:szCs w:val="22"/>
        </w:rPr>
        <w:t xml:space="preserve"> tomando en consideración la materia de la solicitud, se menciona que el </w:t>
      </w:r>
      <w:r w:rsidR="00E3663C" w:rsidRPr="002B2FFB">
        <w:rPr>
          <w:rFonts w:ascii="Palatino Linotype" w:hAnsi="Palatino Linotype"/>
          <w:b/>
          <w:sz w:val="22"/>
          <w:szCs w:val="22"/>
        </w:rPr>
        <w:t xml:space="preserve">Sujeto Obligado </w:t>
      </w:r>
      <w:r w:rsidR="00E3663C" w:rsidRPr="002B2FFB">
        <w:rPr>
          <w:rFonts w:ascii="Palatino Linotype" w:hAnsi="Palatino Linotype"/>
          <w:sz w:val="22"/>
          <w:szCs w:val="22"/>
        </w:rPr>
        <w:t>tiene la facultad para celebrar contratos de obra pública, estos se realizan en función del Programa Anual de Obra, documento que forma parte del Presupuesto de Egresos Municipal,  cuya versión definitiva se promulga y publica en la "Gaceta Municipal”, por la Presidenta o el Presidente Municipal,  a más tardar el día veinticinco de febrero de cada año, de conformidad con los artículos 125, párrafo cuarto de la Constitución Política del Estado Libre y Soberano de México, 351, párrafo segundo del Código Financiero del Estado de México, y 47 de la Ley de Fiscalización Superior del Estado de México, a saber:</w:t>
      </w:r>
    </w:p>
    <w:p w14:paraId="2359F7F6" w14:textId="77777777" w:rsidR="00E3663C" w:rsidRPr="002B2FFB" w:rsidRDefault="00E3663C" w:rsidP="00E3663C">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Artículo 125</w:t>
      </w:r>
      <w:r w:rsidRPr="002B2FFB">
        <w:rPr>
          <w:rFonts w:ascii="Palatino Linotype" w:eastAsia="Palatino Linotype" w:hAnsi="Palatino Linotype" w:cs="Palatino Linotype"/>
          <w:i/>
          <w:sz w:val="22"/>
          <w:szCs w:val="22"/>
        </w:rPr>
        <w:t>...</w:t>
      </w:r>
    </w:p>
    <w:p w14:paraId="4D8A5EB9" w14:textId="77777777" w:rsidR="00E3663C" w:rsidRPr="002B2FFB" w:rsidRDefault="00E3663C" w:rsidP="00E3663C">
      <w:pPr>
        <w:spacing w:before="120" w:after="120"/>
        <w:ind w:left="851" w:right="902"/>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2B2FFB">
        <w:rPr>
          <w:rFonts w:ascii="Palatino Linotype" w:eastAsia="Palatino Linotype" w:hAnsi="Palatino Linotype" w:cs="Palatino Linotype"/>
          <w:b/>
          <w:i/>
          <w:sz w:val="22"/>
          <w:szCs w:val="22"/>
        </w:rPr>
        <w:t>La Presidenta o el Presidente Municipal, promulgará y publicará el Presupuesto de Egresos Municipal, a más tardar el día 25 de febrero de cada año debiendo enviarlo al Órgano Superior de Fiscalización en la misma fecha.”</w:t>
      </w:r>
    </w:p>
    <w:p w14:paraId="5060CE8D" w14:textId="77777777" w:rsidR="00E3663C" w:rsidRPr="002B2FFB" w:rsidRDefault="00E3663C" w:rsidP="00E3663C">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“Artículo 351</w:t>
      </w:r>
      <w:r w:rsidRPr="002B2FFB">
        <w:rPr>
          <w:rFonts w:ascii="Palatino Linotype" w:eastAsia="Palatino Linotype" w:hAnsi="Palatino Linotype" w:cs="Palatino Linotype"/>
          <w:i/>
          <w:sz w:val="22"/>
          <w:szCs w:val="22"/>
        </w:rPr>
        <w:t>...</w:t>
      </w:r>
    </w:p>
    <w:p w14:paraId="2CE0CDEB" w14:textId="77777777" w:rsidR="00E3663C" w:rsidRPr="002B2FFB" w:rsidRDefault="00E3663C" w:rsidP="00E3663C">
      <w:pPr>
        <w:spacing w:before="120" w:after="120"/>
        <w:ind w:left="851" w:right="902"/>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b/>
          <w:i/>
          <w:sz w:val="22"/>
          <w:szCs w:val="22"/>
        </w:rPr>
        <w:t>Los Ayuntamientos al aprobar en forma definitiva su presupuesto de egresos, deberán publicar en la "Gaceta Municipal</w:t>
      </w:r>
      <w:r w:rsidRPr="002B2FFB">
        <w:rPr>
          <w:rFonts w:ascii="Palatino Linotype" w:eastAsia="Palatino Linotype" w:hAnsi="Palatino Linotype" w:cs="Palatino Linotype"/>
          <w:i/>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2B2FFB">
        <w:rPr>
          <w:rFonts w:ascii="Palatino Linotype" w:eastAsia="Palatino Linotype" w:hAnsi="Palatino Linotype" w:cs="Palatino Linotype"/>
          <w:b/>
          <w:i/>
          <w:sz w:val="22"/>
          <w:szCs w:val="22"/>
        </w:rPr>
        <w:t>a más tardar el 25 de febrero del año para el cual habrá de aplicar dicho presupuesto.”</w:t>
      </w:r>
    </w:p>
    <w:p w14:paraId="474869EA" w14:textId="77777777" w:rsidR="00E3663C" w:rsidRPr="002B2FFB" w:rsidRDefault="00E3663C" w:rsidP="00E3663C">
      <w:pPr>
        <w:spacing w:before="120" w:after="120"/>
        <w:ind w:left="851" w:right="902"/>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b/>
          <w:i/>
          <w:sz w:val="22"/>
          <w:szCs w:val="22"/>
        </w:rPr>
        <w:t>“Artículo 47</w:t>
      </w:r>
      <w:r w:rsidRPr="002B2FFB">
        <w:rPr>
          <w:rFonts w:ascii="Palatino Linotype" w:eastAsia="Palatino Linotype" w:hAnsi="Palatino Linotype" w:cs="Palatino Linotype"/>
          <w:i/>
          <w:sz w:val="22"/>
          <w:szCs w:val="22"/>
        </w:rPr>
        <w:t xml:space="preserve">.- Los Presidentes Municipales y los Síndicos estarán obligados a </w:t>
      </w:r>
      <w:r w:rsidRPr="002B2FFB">
        <w:rPr>
          <w:rFonts w:ascii="Palatino Linotype" w:eastAsia="Palatino Linotype" w:hAnsi="Palatino Linotype" w:cs="Palatino Linotype"/>
          <w:b/>
          <w:i/>
          <w:sz w:val="22"/>
          <w:szCs w:val="22"/>
        </w:rPr>
        <w:t xml:space="preserve">informar al Órgano Superior, a más tardar el 25 de febrero de cada año, el Presupuesto de Egresos Municipal que haya aprobado el Ayuntamiento </w:t>
      </w:r>
      <w:r w:rsidRPr="002B2FFB">
        <w:rPr>
          <w:rFonts w:ascii="Palatino Linotype" w:eastAsia="Palatino Linotype" w:hAnsi="Palatino Linotype" w:cs="Palatino Linotype"/>
          <w:i/>
          <w:sz w:val="22"/>
          <w:szCs w:val="22"/>
        </w:rPr>
        <w:t>correspondiente.”</w:t>
      </w:r>
    </w:p>
    <w:p w14:paraId="3E31B423" w14:textId="77777777" w:rsidR="00E3663C" w:rsidRPr="002B2FFB" w:rsidRDefault="00E3663C" w:rsidP="00E3663C">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Entre los formatos que integran el Presupuesto de Egresos aprobado, de conformidad con el numeral 3.4.1 del Manual para la Planeación, Programación y Presupuesto de Egresos Municipal, se encuentra el </w:t>
      </w:r>
      <w:r w:rsidRPr="002B2FFB">
        <w:rPr>
          <w:rFonts w:ascii="Palatino Linotype" w:eastAsia="Palatino Linotype" w:hAnsi="Palatino Linotype" w:cs="Palatino Linotype"/>
          <w:b/>
          <w:sz w:val="22"/>
          <w:szCs w:val="22"/>
        </w:rPr>
        <w:t xml:space="preserve">PbRM-07a Programa Anual de Obra </w:t>
      </w:r>
      <w:r w:rsidRPr="002B2FFB">
        <w:rPr>
          <w:rFonts w:ascii="Palatino Linotype" w:eastAsia="Palatino Linotype" w:hAnsi="Palatino Linotype"/>
          <w:sz w:val="22"/>
          <w:szCs w:val="22"/>
        </w:rPr>
        <w:t xml:space="preserve">y el </w:t>
      </w:r>
      <w:proofErr w:type="spellStart"/>
      <w:r w:rsidRPr="002B2FFB">
        <w:rPr>
          <w:rFonts w:ascii="Palatino Linotype" w:eastAsia="Palatino Linotype" w:hAnsi="Palatino Linotype"/>
          <w:b/>
          <w:sz w:val="22"/>
          <w:szCs w:val="22"/>
        </w:rPr>
        <w:t>PbRM</w:t>
      </w:r>
      <w:proofErr w:type="spellEnd"/>
      <w:r w:rsidRPr="002B2FFB">
        <w:rPr>
          <w:rFonts w:ascii="Palatino Linotype" w:eastAsia="Palatino Linotype" w:hAnsi="Palatino Linotype"/>
          <w:b/>
          <w:sz w:val="22"/>
          <w:szCs w:val="22"/>
        </w:rPr>
        <w:t xml:space="preserve"> 07b Programa anual de obra (reparaciones y mantenimientos)</w:t>
      </w:r>
      <w:r w:rsidRPr="002B2FFB">
        <w:rPr>
          <w:rFonts w:ascii="Palatino Linotype" w:eastAsia="Palatino Linotype" w:hAnsi="Palatino Linotype" w:cs="Palatino Linotype"/>
          <w:b/>
          <w:sz w:val="22"/>
          <w:szCs w:val="22"/>
        </w:rPr>
        <w:t>,</w:t>
      </w:r>
      <w:r w:rsidRPr="002B2FFB">
        <w:rPr>
          <w:rFonts w:ascii="Palatino Linotype" w:eastAsia="Palatino Linotype" w:hAnsi="Palatino Linotype" w:cs="Palatino Linotype"/>
          <w:sz w:val="22"/>
          <w:szCs w:val="22"/>
        </w:rPr>
        <w:t xml:space="preserve"> los cuales especifican de manera precisa el período de ejecución y presupuesto ejercido de la obra pública de que se trate; así como la fuente de financiamiento con la que ésta se llevará a cabo, como se desprende de los formatos y los instructivo de llenado respectivos:</w:t>
      </w:r>
    </w:p>
    <w:p w14:paraId="13D86508" w14:textId="77777777" w:rsidR="00E3663C" w:rsidRPr="002B2FFB" w:rsidRDefault="00E3663C" w:rsidP="00E3663C">
      <w:pPr>
        <w:spacing w:before="240" w:after="240" w:line="360" w:lineRule="auto"/>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39FD7DBD" wp14:editId="4CCD7CC6">
            <wp:extent cx="5040000" cy="2908351"/>
            <wp:effectExtent l="0" t="0" r="825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908351"/>
                    </a:xfrm>
                    <a:prstGeom prst="rect">
                      <a:avLst/>
                    </a:prstGeom>
                  </pic:spPr>
                </pic:pic>
              </a:graphicData>
            </a:graphic>
          </wp:inline>
        </w:drawing>
      </w:r>
    </w:p>
    <w:p w14:paraId="6FA88DDD" w14:textId="77777777" w:rsidR="00E3663C" w:rsidRPr="002B2FFB" w:rsidRDefault="00E3663C" w:rsidP="00E3663C">
      <w:pPr>
        <w:spacing w:before="240" w:after="240" w:line="360" w:lineRule="auto"/>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02388BDA" wp14:editId="4E59EE74">
            <wp:extent cx="4860000" cy="3463257"/>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0000" cy="3463257"/>
                    </a:xfrm>
                    <a:prstGeom prst="rect">
                      <a:avLst/>
                    </a:prstGeom>
                  </pic:spPr>
                </pic:pic>
              </a:graphicData>
            </a:graphic>
          </wp:inline>
        </w:drawing>
      </w:r>
    </w:p>
    <w:p w14:paraId="30574CB3" w14:textId="77777777" w:rsidR="00E3663C" w:rsidRPr="002B2FFB" w:rsidRDefault="00E3663C" w:rsidP="00E3663C">
      <w:pPr>
        <w:spacing w:before="240" w:after="240" w:line="360" w:lineRule="auto"/>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6B1DC430" wp14:editId="6FFC536E">
            <wp:extent cx="5040000" cy="3788839"/>
            <wp:effectExtent l="0" t="0" r="825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3788839"/>
                    </a:xfrm>
                    <a:prstGeom prst="rect">
                      <a:avLst/>
                    </a:prstGeom>
                  </pic:spPr>
                </pic:pic>
              </a:graphicData>
            </a:graphic>
          </wp:inline>
        </w:drawing>
      </w:r>
    </w:p>
    <w:p w14:paraId="20263AC8" w14:textId="77777777" w:rsidR="00E3663C" w:rsidRPr="002B2FFB" w:rsidRDefault="00E3663C" w:rsidP="00E3663C">
      <w:pPr>
        <w:spacing w:before="240" w:after="240" w:line="360" w:lineRule="auto"/>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3E1995AD" wp14:editId="768FEB48">
            <wp:extent cx="4860000" cy="27659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0000" cy="2765987"/>
                    </a:xfrm>
                    <a:prstGeom prst="rect">
                      <a:avLst/>
                    </a:prstGeom>
                  </pic:spPr>
                </pic:pic>
              </a:graphicData>
            </a:graphic>
          </wp:inline>
        </w:drawing>
      </w:r>
    </w:p>
    <w:p w14:paraId="75A9D6A1" w14:textId="77777777" w:rsidR="00E3663C" w:rsidRPr="002B2FFB" w:rsidRDefault="00E3663C" w:rsidP="00E3663C">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De igual forma, el </w:t>
      </w:r>
      <w:r w:rsidRPr="002B2FFB">
        <w:rPr>
          <w:rFonts w:ascii="Palatino Linotype" w:eastAsia="Palatino Linotype" w:hAnsi="Palatino Linotype" w:cs="Palatino Linotype"/>
          <w:b/>
          <w:sz w:val="22"/>
          <w:szCs w:val="22"/>
        </w:rPr>
        <w:t xml:space="preserve">Sujeto Obligado </w:t>
      </w:r>
      <w:r w:rsidRPr="002B2FFB">
        <w:rPr>
          <w:rFonts w:ascii="Palatino Linotype" w:eastAsia="Palatino Linotype" w:hAnsi="Palatino Linotype" w:cs="Palatino Linotype"/>
          <w:sz w:val="22"/>
          <w:szCs w:val="22"/>
        </w:rPr>
        <w:t>se encuentra constreñido a entregar al Órgano Superior de Fiscalización del Estado de México, como parte de los informes trimestrales, el Avance del Programa Anal de Obras,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0F9BE5BD" w14:textId="77777777" w:rsidR="00E3663C" w:rsidRPr="002B2FFB" w:rsidRDefault="00E3663C" w:rsidP="00E3663C">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De conformidad con los Lineamientos del ejercicio 2025, la información que generan los entes fiscalizables de carácter municipal con motivo del avance del programa anual de obras, se encuentra contenida en el Módulo 2 Información Presupuestaria, Submódulo Información Presupuestal (Plataforma Digital), como se muestra a continuación:</w:t>
      </w:r>
    </w:p>
    <w:p w14:paraId="6AC931E3" w14:textId="77777777" w:rsidR="00E3663C" w:rsidRPr="002B2FFB" w:rsidRDefault="00E3663C" w:rsidP="00E3663C">
      <w:pPr>
        <w:spacing w:before="240" w:after="240" w:line="360" w:lineRule="auto"/>
        <w:ind w:right="49"/>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0A421668" wp14:editId="246240F7">
            <wp:extent cx="5040000" cy="248293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2482935"/>
                    </a:xfrm>
                    <a:prstGeom prst="rect">
                      <a:avLst/>
                    </a:prstGeom>
                  </pic:spPr>
                </pic:pic>
              </a:graphicData>
            </a:graphic>
          </wp:inline>
        </w:drawing>
      </w:r>
    </w:p>
    <w:p w14:paraId="438BD471" w14:textId="77777777" w:rsidR="00E3663C" w:rsidRPr="002B2FFB" w:rsidRDefault="00E3663C" w:rsidP="00E3663C">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mc:AlternateContent>
          <mc:Choice Requires="wps">
            <w:drawing>
              <wp:anchor distT="0" distB="0" distL="114300" distR="114300" simplePos="0" relativeHeight="251659264" behindDoc="0" locked="0" layoutInCell="1" allowOverlap="1" wp14:anchorId="68630B82" wp14:editId="3ABD7AE1">
                <wp:simplePos x="0" y="0"/>
                <wp:positionH relativeFrom="column">
                  <wp:posOffset>677103</wp:posOffset>
                </wp:positionH>
                <wp:positionV relativeFrom="paragraph">
                  <wp:posOffset>3018127</wp:posOffset>
                </wp:positionV>
                <wp:extent cx="4818491" cy="270345"/>
                <wp:effectExtent l="57150" t="38100" r="77470" b="92075"/>
                <wp:wrapNone/>
                <wp:docPr id="11" name="Rectángulo 11"/>
                <wp:cNvGraphicFramePr/>
                <a:graphic xmlns:a="http://schemas.openxmlformats.org/drawingml/2006/main">
                  <a:graphicData uri="http://schemas.microsoft.com/office/word/2010/wordprocessingShape">
                    <wps:wsp>
                      <wps:cNvSpPr/>
                      <wps:spPr>
                        <a:xfrm>
                          <a:off x="0" y="0"/>
                          <a:ext cx="4818491" cy="27034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E65C98E" id="Rectángulo 11" o:spid="_x0000_s1026" style="position:absolute;margin-left:53.3pt;margin-top:237.65pt;width:379.4pt;height:21.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" filled="f" strokecolor="#c00000" strokeweight="3pt">
                <v:shadow on="t" color="black" opacity="22937f" origin=",.5" offset="0,.63889mm"/>
              </v:rect>
            </w:pict>
          </mc:Fallback>
        </mc:AlternateContent>
      </w:r>
      <w:r w:rsidRPr="002B2FFB">
        <w:rPr>
          <w:rFonts w:ascii="Palatino Linotype" w:eastAsia="Palatino Linotype" w:hAnsi="Palatino Linotype" w:cs="Palatino Linotype"/>
          <w:noProof/>
          <w:sz w:val="22"/>
          <w:szCs w:val="22"/>
        </w:rPr>
        <w:drawing>
          <wp:inline distT="0" distB="0" distL="0" distR="0" wp14:anchorId="121FDEDC" wp14:editId="6BB55E95">
            <wp:extent cx="5612130" cy="349504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495040"/>
                    </a:xfrm>
                    <a:prstGeom prst="rect">
                      <a:avLst/>
                    </a:prstGeom>
                  </pic:spPr>
                </pic:pic>
              </a:graphicData>
            </a:graphic>
          </wp:inline>
        </w:drawing>
      </w:r>
    </w:p>
    <w:p w14:paraId="6661BA01" w14:textId="77777777" w:rsidR="00E3663C" w:rsidRPr="002B2FFB" w:rsidRDefault="00E3663C" w:rsidP="00E3663C">
      <w:pPr>
        <w:spacing w:before="240" w:after="240" w:line="360" w:lineRule="auto"/>
        <w:ind w:right="49"/>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27FA70F8" wp14:editId="4DCC90DE">
            <wp:extent cx="5040000" cy="2837067"/>
            <wp:effectExtent l="0" t="0" r="825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2837067"/>
                    </a:xfrm>
                    <a:prstGeom prst="rect">
                      <a:avLst/>
                    </a:prstGeom>
                  </pic:spPr>
                </pic:pic>
              </a:graphicData>
            </a:graphic>
          </wp:inline>
        </w:drawing>
      </w:r>
    </w:p>
    <w:p w14:paraId="4E29B917" w14:textId="77777777" w:rsidR="00E3663C" w:rsidRPr="002B2FFB" w:rsidRDefault="00E3663C" w:rsidP="00E3663C">
      <w:pPr>
        <w:spacing w:before="240" w:after="240" w:line="360" w:lineRule="auto"/>
        <w:ind w:right="49"/>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3BDE6605" wp14:editId="5DFCB1B2">
            <wp:extent cx="5040000" cy="261694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000" cy="2616945"/>
                    </a:xfrm>
                    <a:prstGeom prst="rect">
                      <a:avLst/>
                    </a:prstGeom>
                  </pic:spPr>
                </pic:pic>
              </a:graphicData>
            </a:graphic>
          </wp:inline>
        </w:drawing>
      </w:r>
    </w:p>
    <w:p w14:paraId="31AE8372" w14:textId="77777777" w:rsidR="00E3663C" w:rsidRPr="002B2FFB" w:rsidRDefault="00E3663C" w:rsidP="00E3663C">
      <w:pPr>
        <w:spacing w:before="240" w:after="240" w:line="360" w:lineRule="auto"/>
        <w:ind w:right="49"/>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4239D860" wp14:editId="402EA521">
            <wp:extent cx="5040000" cy="194973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000" cy="1949735"/>
                    </a:xfrm>
                    <a:prstGeom prst="rect">
                      <a:avLst/>
                    </a:prstGeom>
                  </pic:spPr>
                </pic:pic>
              </a:graphicData>
            </a:graphic>
          </wp:inline>
        </w:drawing>
      </w:r>
    </w:p>
    <w:p w14:paraId="0EF568F6" w14:textId="77777777" w:rsidR="00E3663C" w:rsidRPr="002B2FFB" w:rsidRDefault="00E3663C" w:rsidP="00E3663C">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Por otro lado, es oportuno hacer alusión al Libro Décimo Segundo. De la obra pública, del Código Administrativo del Estado de México, el cual,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del Estado; la Fiscalía General de Justicia; </w:t>
      </w:r>
      <w:r w:rsidRPr="002B2FFB">
        <w:rPr>
          <w:rFonts w:ascii="Palatino Linotype" w:eastAsia="Palatino Linotype" w:hAnsi="Palatino Linotype" w:cs="Palatino Linotype"/>
          <w:b/>
          <w:sz w:val="22"/>
          <w:szCs w:val="22"/>
          <w:u w:val="single"/>
        </w:rPr>
        <w:t>los ayuntamientos de los municipios del Estado</w:t>
      </w:r>
      <w:r w:rsidRPr="002B2FFB">
        <w:rPr>
          <w:rFonts w:ascii="Palatino Linotype" w:eastAsia="Palatino Linotype" w:hAnsi="Palatino Linotype" w:cs="Palatino Linotype"/>
          <w:sz w:val="22"/>
          <w:szCs w:val="22"/>
        </w:rPr>
        <w:t>; los organismos auxiliares y fideicomisos públicos del Estado y municipios; y los tribunales administrativos.</w:t>
      </w:r>
    </w:p>
    <w:p w14:paraId="77C84FD9" w14:textId="77777777" w:rsidR="00E3663C" w:rsidRPr="002B2FFB" w:rsidRDefault="00E3663C" w:rsidP="00E3663C">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En este tenor, de conformidad con el artículo 12.4 del Libro Décimo Segundo del referido Código, </w:t>
      </w:r>
      <w:r w:rsidRPr="002B2FFB">
        <w:rPr>
          <w:rFonts w:ascii="Palatino Linotype" w:eastAsia="Palatino Linotype" w:hAnsi="Palatino Linotype" w:cs="Palatino Linotype"/>
          <w:b/>
          <w:sz w:val="22"/>
          <w:szCs w:val="22"/>
        </w:rPr>
        <w:t xml:space="preserve">se considera obra pública todo trabajo que tenga por objeto principal construir, instalar, ampliar, adecuar, remodelar, restaurar, conservar, mantener, modificar o demoler </w:t>
      </w:r>
      <w:r w:rsidRPr="002B2FFB">
        <w:rPr>
          <w:rFonts w:ascii="Palatino Linotype" w:eastAsia="Palatino Linotype" w:hAnsi="Palatino Linotype" w:cs="Palatino Linotype"/>
          <w:b/>
          <w:sz w:val="22"/>
          <w:szCs w:val="22"/>
          <w:u w:val="single"/>
        </w:rPr>
        <w:t>bienes inmuebles propiedad</w:t>
      </w:r>
      <w:r w:rsidRPr="002B2FFB">
        <w:rPr>
          <w:rFonts w:ascii="Palatino Linotype" w:eastAsia="Palatino Linotype" w:hAnsi="Palatino Linotype" w:cs="Palatino Linotype"/>
          <w:b/>
          <w:sz w:val="22"/>
          <w:szCs w:val="22"/>
        </w:rPr>
        <w:t xml:space="preserve"> </w:t>
      </w:r>
      <w:r w:rsidRPr="002B2FFB">
        <w:rPr>
          <w:rFonts w:ascii="Palatino Linotype" w:eastAsia="Palatino Linotype" w:hAnsi="Palatino Linotype" w:cs="Palatino Linotype"/>
          <w:sz w:val="22"/>
          <w:szCs w:val="22"/>
        </w:rPr>
        <w:t xml:space="preserve">del Estado, de sus dependencias y entidades y </w:t>
      </w:r>
      <w:r w:rsidRPr="002B2FFB">
        <w:rPr>
          <w:rFonts w:ascii="Palatino Linotype" w:eastAsia="Palatino Linotype" w:hAnsi="Palatino Linotype" w:cs="Palatino Linotype"/>
          <w:b/>
          <w:sz w:val="22"/>
          <w:szCs w:val="22"/>
          <w:u w:val="single"/>
        </w:rPr>
        <w:t>de los municipios</w:t>
      </w:r>
      <w:r w:rsidRPr="002B2FFB">
        <w:rPr>
          <w:rFonts w:ascii="Palatino Linotype" w:eastAsia="Palatino Linotype" w:hAnsi="Palatino Linotype" w:cs="Palatino Linotype"/>
          <w:sz w:val="22"/>
          <w:szCs w:val="22"/>
        </w:rPr>
        <w:t xml:space="preserve"> y sus organismos </w:t>
      </w:r>
      <w:r w:rsidRPr="002B2FFB">
        <w:rPr>
          <w:rFonts w:ascii="Palatino Linotype" w:eastAsia="Palatino Linotype" w:hAnsi="Palatino Linotype" w:cs="Palatino Linotype"/>
          <w:b/>
          <w:sz w:val="22"/>
          <w:szCs w:val="22"/>
        </w:rPr>
        <w:t xml:space="preserve">con cargo a recursos públicos estatales o municipales, </w:t>
      </w:r>
      <w:r w:rsidRPr="002B2FFB">
        <w:rPr>
          <w:rFonts w:ascii="Palatino Linotype" w:eastAsia="Palatino Linotype" w:hAnsi="Palatino Linotype" w:cs="Palatino Linotype"/>
          <w:sz w:val="22"/>
          <w:szCs w:val="22"/>
        </w:rPr>
        <w:t xml:space="preserve">quedando comprendidos dentro de la obra pública: </w:t>
      </w:r>
    </w:p>
    <w:p w14:paraId="5AAC37A9"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I. El mantenimiento, restauración, desmantelamiento o remoción de bienes muebles incorporados o adheridos a un inmueble; </w:t>
      </w:r>
    </w:p>
    <w:p w14:paraId="1BE023BE"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II. Los proyectos integrales o comúnmente denominados llave en mano, en los cuales el contratista se obliga desde el diseño de la obra hasta su terminación total, incluyéndose, cuando se requiera, la transferencia de tecnología; </w:t>
      </w:r>
    </w:p>
    <w:p w14:paraId="00C7DF3C"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14:paraId="0ECB9E8C"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IV. Los trabajos de infraestructura agropecuaria e hidroagrícola: </w:t>
      </w:r>
    </w:p>
    <w:p w14:paraId="348E189C"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4A52DD0B"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VI. Los demás que tengan por objeto principal alguno de los conceptos a que se refiere el párrafo primero de este artículo, excluyéndose expresamente los trabajos regulados por el Libro Décimo Sexto del Código</w:t>
      </w:r>
      <w:r w:rsidRPr="002B2FFB">
        <w:rPr>
          <w:rFonts w:ascii="Palatino Linotype" w:hAnsi="Palatino Linotype"/>
          <w:sz w:val="22"/>
          <w:szCs w:val="22"/>
        </w:rPr>
        <w:t>.</w:t>
      </w:r>
    </w:p>
    <w:p w14:paraId="67F6D250" w14:textId="77777777" w:rsidR="00E3663C" w:rsidRPr="002B2FFB" w:rsidRDefault="00E3663C" w:rsidP="00E3663C">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Mientras que el artículo 12.5 del Libro Décimo Segundo, señala que </w:t>
      </w:r>
      <w:r w:rsidRPr="002B2FFB">
        <w:rPr>
          <w:rFonts w:ascii="Palatino Linotype" w:eastAsia="Palatino Linotype" w:hAnsi="Palatino Linotype" w:cs="Palatino Linotype"/>
          <w:b/>
          <w:sz w:val="22"/>
          <w:szCs w:val="22"/>
        </w:rPr>
        <w:t xml:space="preserve">se consideran servicios relacionados con la obra pública, los trabajos que tengan por objeto concebir, diseñar y calcular los elementos que integran </w:t>
      </w:r>
      <w:r w:rsidRPr="002B2FFB">
        <w:rPr>
          <w:rFonts w:ascii="Palatino Linotype" w:eastAsia="Palatino Linotype" w:hAnsi="Palatino Linotype" w:cs="Palatino Linotype"/>
          <w:b/>
          <w:sz w:val="22"/>
          <w:szCs w:val="22"/>
          <w:u w:val="single"/>
        </w:rPr>
        <w:t>un proyecto de obra pública</w:t>
      </w:r>
      <w:r w:rsidRPr="002B2FFB">
        <w:rPr>
          <w:rFonts w:ascii="Palatino Linotype" w:eastAsia="Palatino Linotype" w:hAnsi="Palatino Linotype" w:cs="Palatino Linotype"/>
          <w:sz w:val="22"/>
          <w:szCs w:val="22"/>
        </w:rPr>
        <w:t xml:space="preserve">; </w:t>
      </w:r>
      <w:r w:rsidRPr="002B2FFB">
        <w:rPr>
          <w:rFonts w:ascii="Palatino Linotype" w:eastAsia="Palatino Linotype" w:hAnsi="Palatino Linotype" w:cs="Palatino Linotype"/>
          <w:b/>
          <w:sz w:val="22"/>
          <w:szCs w:val="22"/>
        </w:rPr>
        <w:t xml:space="preserve">las investigaciones, estudios, asesorías y consultorías que </w:t>
      </w:r>
      <w:r w:rsidRPr="002B2FFB">
        <w:rPr>
          <w:rFonts w:ascii="Palatino Linotype" w:eastAsia="Palatino Linotype" w:hAnsi="Palatino Linotype" w:cs="Palatino Linotype"/>
          <w:b/>
          <w:sz w:val="22"/>
          <w:szCs w:val="22"/>
          <w:u w:val="single"/>
        </w:rPr>
        <w:t>se vinculen con los actos que regula el Libro Décimo Segundo</w:t>
      </w:r>
      <w:r w:rsidRPr="002B2FFB">
        <w:rPr>
          <w:rFonts w:ascii="Palatino Linotype" w:eastAsia="Palatino Linotype" w:hAnsi="Palatino Linotype" w:cs="Palatino Linotype"/>
          <w:sz w:val="22"/>
          <w:szCs w:val="22"/>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14:paraId="02EF2B05"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I.</w:t>
      </w:r>
      <w:r w:rsidRPr="002B2FFB">
        <w:rPr>
          <w:rFonts w:ascii="Palatino Linotype" w:eastAsia="Palatino Linotype" w:hAnsi="Palatino Linotype" w:cs="Palatino Linotype"/>
          <w:sz w:val="22"/>
          <w:szCs w:val="22"/>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2C521E22"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II.</w:t>
      </w:r>
      <w:r w:rsidRPr="002B2FFB">
        <w:rPr>
          <w:rFonts w:ascii="Palatino Linotype" w:eastAsia="Palatino Linotype" w:hAnsi="Palatino Linotype" w:cs="Palatino Linotype"/>
          <w:sz w:val="22"/>
          <w:szCs w:val="22"/>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655AC47C"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III</w:t>
      </w:r>
      <w:r w:rsidRPr="002B2FFB">
        <w:rPr>
          <w:rFonts w:ascii="Palatino Linotype" w:eastAsia="Palatino Linotype" w:hAnsi="Palatino Linotype" w:cs="Palatino Linotype"/>
          <w:sz w:val="22"/>
          <w:szCs w:val="22"/>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6630BA7C"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IV</w:t>
      </w:r>
      <w:r w:rsidRPr="002B2FFB">
        <w:rPr>
          <w:rFonts w:ascii="Palatino Linotype" w:eastAsia="Palatino Linotype" w:hAnsi="Palatino Linotype" w:cs="Palatino Linotype"/>
          <w:sz w:val="22"/>
          <w:szCs w:val="22"/>
        </w:rPr>
        <w:t xml:space="preserve">. Los estudios económicos y de planeación de </w:t>
      </w:r>
      <w:proofErr w:type="spellStart"/>
      <w:r w:rsidRPr="002B2FFB">
        <w:rPr>
          <w:rFonts w:ascii="Palatino Linotype" w:eastAsia="Palatino Linotype" w:hAnsi="Palatino Linotype" w:cs="Palatino Linotype"/>
          <w:sz w:val="22"/>
          <w:szCs w:val="22"/>
        </w:rPr>
        <w:t>preinversión</w:t>
      </w:r>
      <w:proofErr w:type="spellEnd"/>
      <w:r w:rsidRPr="002B2FFB">
        <w:rPr>
          <w:rFonts w:ascii="Palatino Linotype" w:eastAsia="Palatino Linotype" w:hAnsi="Palatino Linotype" w:cs="Palatino Linotype"/>
          <w:sz w:val="22"/>
          <w:szCs w:val="22"/>
        </w:rPr>
        <w:t xml:space="preserve">, factibilidad técnico económica, ecológica o social, de evaluación, adaptación, tenencia de la tierra, financieros, de desarrollo y restitución de la eficiencia de las instalaciones; </w:t>
      </w:r>
    </w:p>
    <w:p w14:paraId="766F2765"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V.</w:t>
      </w:r>
      <w:r w:rsidRPr="002B2FFB">
        <w:rPr>
          <w:rFonts w:ascii="Palatino Linotype" w:eastAsia="Palatino Linotype" w:hAnsi="Palatino Linotype" w:cs="Palatino Linotype"/>
          <w:sz w:val="22"/>
          <w:szCs w:val="22"/>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214753AA"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VI.</w:t>
      </w:r>
      <w:r w:rsidRPr="002B2FFB">
        <w:rPr>
          <w:rFonts w:ascii="Palatino Linotype" w:eastAsia="Palatino Linotype" w:hAnsi="Palatino Linotype" w:cs="Palatino Linotype"/>
          <w:sz w:val="22"/>
          <w:szCs w:val="22"/>
        </w:rPr>
        <w:t xml:space="preserve"> Los trabajos de organización, informática, comunicaciones, cibernética y sistemas aplicados a las materias que regulan este Libro; </w:t>
      </w:r>
    </w:p>
    <w:p w14:paraId="486171E8"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VII.</w:t>
      </w:r>
      <w:r w:rsidRPr="002B2FFB">
        <w:rPr>
          <w:rFonts w:ascii="Palatino Linotype" w:eastAsia="Palatino Linotype" w:hAnsi="Palatino Linotype" w:cs="Palatino Linotype"/>
          <w:sz w:val="22"/>
          <w:szCs w:val="22"/>
        </w:rPr>
        <w:t xml:space="preserve"> Los dictámenes, peritajes, avalúos y auditorías técnico normativas, y estudios aplicables a la obra pública; </w:t>
      </w:r>
    </w:p>
    <w:p w14:paraId="5D5BA041"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VIII.</w:t>
      </w:r>
      <w:r w:rsidRPr="002B2FFB">
        <w:rPr>
          <w:rFonts w:ascii="Palatino Linotype" w:eastAsia="Palatino Linotype" w:hAnsi="Palatino Linotype" w:cs="Palatino Linotype"/>
          <w:sz w:val="22"/>
          <w:szCs w:val="22"/>
        </w:rPr>
        <w:t xml:space="preserve"> Los estudios que tengan por objeto rehabilitar, corregir, sustituir o incrementar la eficiencia de las instalaciones en un bien inmueble; </w:t>
      </w:r>
    </w:p>
    <w:p w14:paraId="1F1FC8B0"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IX.</w:t>
      </w:r>
      <w:r w:rsidRPr="002B2FFB">
        <w:rPr>
          <w:rFonts w:ascii="Palatino Linotype" w:eastAsia="Palatino Linotype" w:hAnsi="Palatino Linotype" w:cs="Palatino Linotype"/>
          <w:sz w:val="22"/>
          <w:szCs w:val="22"/>
        </w:rPr>
        <w:t xml:space="preserve"> Los estudios de apoyo tecnológico, incluyendo los de desarrollo y transferencia de tecnología, entre otros; </w:t>
      </w:r>
    </w:p>
    <w:p w14:paraId="2162D112" w14:textId="77777777" w:rsidR="00E3663C" w:rsidRPr="002B2FFB" w:rsidRDefault="00E3663C" w:rsidP="00E3663C">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X.</w:t>
      </w:r>
      <w:r w:rsidRPr="002B2FFB">
        <w:rPr>
          <w:rFonts w:ascii="Palatino Linotype" w:eastAsia="Palatino Linotype" w:hAnsi="Palatino Linotype" w:cs="Palatino Linotype"/>
          <w:sz w:val="22"/>
          <w:szCs w:val="22"/>
        </w:rPr>
        <w:t xml:space="preserve"> Los demás que tengan por objeto alguno de los conceptos a que se refiere el párrafo primero de este artículo.</w:t>
      </w:r>
    </w:p>
    <w:p w14:paraId="66FB5DCD" w14:textId="77777777" w:rsidR="00E3663C" w:rsidRPr="002B2FFB" w:rsidRDefault="00E3663C" w:rsidP="00E3663C">
      <w:pPr>
        <w:tabs>
          <w:tab w:val="left" w:pos="3080"/>
        </w:tabs>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El artículo 12.12 del Libro Décimo Segundo, señala que en la planeación de la </w:t>
      </w:r>
      <w:r w:rsidRPr="002B2FFB">
        <w:rPr>
          <w:rFonts w:ascii="Palatino Linotype" w:hAnsi="Palatino Linotype"/>
          <w:sz w:val="22"/>
          <w:szCs w:val="22"/>
        </w:rPr>
        <w:t>obra pública o de los servicios relacionados con la misma, las dependencias, entidades y ayuntamientos en lo que les corresponda, deberán, entre otras previsiones, considerar la disponibilidad de recursos financieros.</w:t>
      </w:r>
    </w:p>
    <w:p w14:paraId="544A7F80" w14:textId="77777777" w:rsidR="00E3663C" w:rsidRPr="002B2FFB" w:rsidRDefault="00E3663C" w:rsidP="00E3663C">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Por lo que se refiere al procedimiento de adjudicación, el Capítulo Tercero del Libro Décimo Segundo del Código Administrativo del Estado de México, dispone lo siguiente:</w:t>
      </w:r>
    </w:p>
    <w:p w14:paraId="490A3F45" w14:textId="77777777" w:rsidR="00E3663C" w:rsidRPr="002B2FFB" w:rsidRDefault="00E3663C" w:rsidP="00092105">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“Artículo 12.20</w:t>
      </w:r>
      <w:r w:rsidRPr="002B2FFB">
        <w:rPr>
          <w:rFonts w:ascii="Palatino Linotype" w:hAnsi="Palatino Linotype"/>
          <w:i/>
          <w:sz w:val="22"/>
          <w:szCs w:val="22"/>
        </w:rPr>
        <w:t xml:space="preserve">.- Los contratos a que se refiere este Libro, </w:t>
      </w:r>
      <w:r w:rsidRPr="002B2FFB">
        <w:rPr>
          <w:rFonts w:ascii="Palatino Linotype" w:hAnsi="Palatino Linotype"/>
          <w:b/>
          <w:i/>
          <w:sz w:val="22"/>
          <w:szCs w:val="22"/>
        </w:rPr>
        <w:t xml:space="preserve">se adjudicarán a través de </w:t>
      </w:r>
      <w:r w:rsidRPr="002B2FFB">
        <w:rPr>
          <w:rFonts w:ascii="Palatino Linotype" w:hAnsi="Palatino Linotype"/>
          <w:b/>
          <w:i/>
          <w:sz w:val="22"/>
          <w:szCs w:val="22"/>
          <w:u w:val="single"/>
        </w:rPr>
        <w:t>licitaciones públicas</w:t>
      </w:r>
      <w:r w:rsidRPr="002B2FFB">
        <w:rPr>
          <w:rFonts w:ascii="Palatino Linotype" w:hAnsi="Palatino Linotype"/>
          <w:b/>
          <w:i/>
          <w:sz w:val="22"/>
          <w:szCs w:val="22"/>
        </w:rPr>
        <w:t>, mediante convocatoria pública.</w:t>
      </w:r>
      <w:r w:rsidRPr="002B2FFB">
        <w:rPr>
          <w:rFonts w:ascii="Palatino Linotype" w:hAnsi="Palatino Linotype"/>
          <w:i/>
          <w:sz w:val="22"/>
          <w:szCs w:val="22"/>
        </w:rPr>
        <w:t xml:space="preserve"> </w:t>
      </w:r>
    </w:p>
    <w:p w14:paraId="292A17E1" w14:textId="77777777" w:rsidR="00E3663C" w:rsidRPr="002B2FFB" w:rsidRDefault="00E3663C" w:rsidP="00092105">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Artículo 12.21</w:t>
      </w:r>
      <w:r w:rsidRPr="002B2FFB">
        <w:rPr>
          <w:rFonts w:ascii="Palatino Linotype" w:hAnsi="Palatino Linotype"/>
          <w:i/>
          <w:sz w:val="22"/>
          <w:szCs w:val="22"/>
        </w:rPr>
        <w:t xml:space="preserve">.- Las dependencias, entidades y ayuntamientos podrán adjudicar contratos para la ejecución de obra pública o servicios relacionados con la misma. </w:t>
      </w:r>
      <w:r w:rsidRPr="002B2FFB">
        <w:rPr>
          <w:rFonts w:ascii="Palatino Linotype" w:hAnsi="Palatino Linotype"/>
          <w:b/>
          <w:i/>
          <w:sz w:val="22"/>
          <w:szCs w:val="22"/>
        </w:rPr>
        <w:t>mediante las excepciones al procedimiento de licitación</w:t>
      </w:r>
      <w:r w:rsidRPr="002B2FFB">
        <w:rPr>
          <w:rFonts w:ascii="Palatino Linotype" w:hAnsi="Palatino Linotype"/>
          <w:i/>
          <w:sz w:val="22"/>
          <w:szCs w:val="22"/>
        </w:rPr>
        <w:t xml:space="preserve"> siguientes: </w:t>
      </w:r>
    </w:p>
    <w:p w14:paraId="4EE2D619" w14:textId="77777777" w:rsidR="00E3663C" w:rsidRPr="002B2FFB" w:rsidRDefault="00E3663C" w:rsidP="00092105">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w:t>
      </w:r>
      <w:r w:rsidRPr="002B2FFB">
        <w:rPr>
          <w:rFonts w:ascii="Palatino Linotype" w:hAnsi="Palatino Linotype"/>
          <w:i/>
          <w:sz w:val="22"/>
          <w:szCs w:val="22"/>
        </w:rPr>
        <w:t xml:space="preserve">. </w:t>
      </w:r>
      <w:r w:rsidRPr="002B2FFB">
        <w:rPr>
          <w:rFonts w:ascii="Palatino Linotype" w:hAnsi="Palatino Linotype"/>
          <w:b/>
          <w:i/>
          <w:sz w:val="22"/>
          <w:szCs w:val="22"/>
        </w:rPr>
        <w:t>Invitación restringida</w:t>
      </w:r>
      <w:r w:rsidRPr="002B2FFB">
        <w:rPr>
          <w:rFonts w:ascii="Palatino Linotype" w:hAnsi="Palatino Linotype"/>
          <w:i/>
          <w:sz w:val="22"/>
          <w:szCs w:val="22"/>
        </w:rPr>
        <w:t xml:space="preserve">; </w:t>
      </w:r>
    </w:p>
    <w:p w14:paraId="6F3C623C" w14:textId="77777777" w:rsidR="00E3663C" w:rsidRPr="002B2FFB" w:rsidRDefault="00E3663C" w:rsidP="00092105">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xml:space="preserve">. </w:t>
      </w:r>
      <w:r w:rsidRPr="002B2FFB">
        <w:rPr>
          <w:rFonts w:ascii="Palatino Linotype" w:hAnsi="Palatino Linotype"/>
          <w:b/>
          <w:i/>
          <w:sz w:val="22"/>
          <w:szCs w:val="22"/>
        </w:rPr>
        <w:t>Adjudicación directa.”</w:t>
      </w:r>
    </w:p>
    <w:p w14:paraId="7A9179E0" w14:textId="77777777" w:rsidR="00E3663C" w:rsidRPr="002B2FFB" w:rsidRDefault="00E3663C" w:rsidP="00E3663C">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Como se advierte, la normativa contempla como modalidades para la adjudicación de contratos de obra pública y servicios relacionados con la misma la licitación pública, y de manera excepcional a través de invitación restringida y adjudicación directa, cuyas formalidades se encuentran previstas en el Reglamento del Libro Décimo Segundo del Código Administrativo del Estado de México, que en su parte conducente dispone lo siguiente:</w:t>
      </w:r>
    </w:p>
    <w:p w14:paraId="19711DDD"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hAnsi="Palatino Linotype"/>
          <w:b/>
          <w:i/>
          <w:sz w:val="22"/>
          <w:szCs w:val="22"/>
        </w:rPr>
        <w:t>Artículo 26</w:t>
      </w:r>
      <w:r w:rsidRPr="002B2FFB">
        <w:rPr>
          <w:rFonts w:ascii="Palatino Linotype" w:hAnsi="Palatino Linotype"/>
          <w:i/>
          <w:sz w:val="22"/>
          <w:szCs w:val="22"/>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14:paraId="2393634E" w14:textId="77777777" w:rsidR="00E3663C" w:rsidRPr="002B2FFB" w:rsidRDefault="00E3663C" w:rsidP="00092105">
      <w:pPr>
        <w:spacing w:before="120" w:after="120"/>
        <w:ind w:left="851" w:right="900"/>
        <w:jc w:val="both"/>
        <w:rPr>
          <w:rFonts w:ascii="Palatino Linotype" w:hAnsi="Palatino Linotype"/>
          <w:b/>
          <w:i/>
          <w:sz w:val="22"/>
          <w:szCs w:val="22"/>
        </w:rPr>
      </w:pPr>
      <w:r w:rsidRPr="002B2FFB">
        <w:rPr>
          <w:rFonts w:ascii="Palatino Linotype" w:hAnsi="Palatino Linotype"/>
          <w:b/>
          <w:i/>
          <w:sz w:val="22"/>
          <w:szCs w:val="22"/>
        </w:rPr>
        <w:t>...</w:t>
      </w:r>
    </w:p>
    <w:p w14:paraId="68556DC4"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Artículo 28.-</w:t>
      </w:r>
      <w:r w:rsidRPr="002B2FFB">
        <w:rPr>
          <w:rFonts w:ascii="Palatino Linotype" w:hAnsi="Palatino Linotype"/>
          <w:i/>
          <w:sz w:val="22"/>
          <w:szCs w:val="22"/>
        </w:rPr>
        <w:t xml:space="preserve"> Las dependencias y entidades podrán convocar a licitación pública, adjudicar y contratar obra pública y servicios sólo cuando la Secretaría del Ramo se los haya autorizado por contar con elementos propios y organización necesarios para realizarlas. Esta autorización deberá estar publicada en la Gaceta del Gobierno del Estado de México.</w:t>
      </w:r>
    </w:p>
    <w:p w14:paraId="3060EE84"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Los ayuntamientos, que realicen obras o servicios con cargo parcial o total a recursos estatales, deberán solicitar la autorización preferentemente al inicio de su periodo de gestión, la que deberá estar publicada en la Gaceta del Gobierno del Estado de México.</w:t>
      </w:r>
    </w:p>
    <w:p w14:paraId="11AB1087"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w:t>
      </w:r>
    </w:p>
    <w:p w14:paraId="618DC4A8" w14:textId="44FC6B6F" w:rsidR="00E3663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Artículo</w:t>
      </w:r>
      <w:r w:rsidR="00E3663C" w:rsidRPr="002B2FFB">
        <w:rPr>
          <w:rFonts w:ascii="Palatino Linotype" w:hAnsi="Palatino Linotype"/>
          <w:b/>
          <w:i/>
          <w:sz w:val="22"/>
          <w:szCs w:val="22"/>
        </w:rPr>
        <w:t xml:space="preserve"> 30</w:t>
      </w:r>
      <w:r w:rsidR="00E3663C" w:rsidRPr="002B2FFB">
        <w:rPr>
          <w:rFonts w:ascii="Palatino Linotype" w:hAnsi="Palatino Linotype"/>
          <w:i/>
          <w:sz w:val="22"/>
          <w:szCs w:val="22"/>
        </w:rPr>
        <w:t xml:space="preserve">.- El procedimiento de licitación pública </w:t>
      </w:r>
      <w:r w:rsidR="00E3663C" w:rsidRPr="002B2FFB">
        <w:rPr>
          <w:rFonts w:ascii="Palatino Linotype" w:hAnsi="Palatino Linotype"/>
          <w:b/>
          <w:i/>
          <w:sz w:val="22"/>
          <w:szCs w:val="22"/>
        </w:rPr>
        <w:t>inicia con la publicación de la convocatoria</w:t>
      </w:r>
      <w:r w:rsidR="00E3663C" w:rsidRPr="002B2FFB">
        <w:rPr>
          <w:rFonts w:ascii="Palatino Linotype" w:hAnsi="Palatino Linotype"/>
          <w:i/>
          <w:sz w:val="22"/>
          <w:szCs w:val="22"/>
        </w:rPr>
        <w:t xml:space="preserve"> y concluye con el fallo y adjudicación. Cubrirá las etapas siguientes: </w:t>
      </w:r>
    </w:p>
    <w:p w14:paraId="61A1FEE7"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w:t>
      </w:r>
      <w:r w:rsidRPr="002B2FFB">
        <w:rPr>
          <w:rFonts w:ascii="Palatino Linotype" w:hAnsi="Palatino Linotype"/>
          <w:i/>
          <w:sz w:val="22"/>
          <w:szCs w:val="22"/>
        </w:rPr>
        <w:t xml:space="preserve"> La formulación de las bases de licitación; </w:t>
      </w:r>
    </w:p>
    <w:p w14:paraId="6CBA9743"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xml:space="preserve">. La publicación de la convocatoria; </w:t>
      </w:r>
    </w:p>
    <w:p w14:paraId="7DA187D6"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III.</w:t>
      </w:r>
      <w:r w:rsidRPr="002B2FFB">
        <w:rPr>
          <w:rFonts w:ascii="Palatino Linotype" w:hAnsi="Palatino Linotype"/>
          <w:i/>
          <w:sz w:val="22"/>
          <w:szCs w:val="22"/>
        </w:rPr>
        <w:t xml:space="preserve"> La venta de las bases de licitación; </w:t>
      </w:r>
    </w:p>
    <w:p w14:paraId="7E6EC634"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IV</w:t>
      </w:r>
      <w:r w:rsidRPr="002B2FFB">
        <w:rPr>
          <w:rFonts w:ascii="Palatino Linotype" w:hAnsi="Palatino Linotype"/>
          <w:i/>
          <w:sz w:val="22"/>
          <w:szCs w:val="22"/>
        </w:rPr>
        <w:t xml:space="preserve">. La visita al sitio donde se realizarán los trabajos; </w:t>
      </w:r>
    </w:p>
    <w:p w14:paraId="54456A02" w14:textId="7AB6B964" w:rsidR="00E3663C" w:rsidRPr="002B2FFB" w:rsidRDefault="00E3663C" w:rsidP="00092105">
      <w:pPr>
        <w:spacing w:before="120" w:after="120"/>
        <w:ind w:left="851" w:right="900"/>
        <w:jc w:val="both"/>
        <w:rPr>
          <w:rFonts w:ascii="Palatino Linotype" w:hAnsi="Palatino Linotype"/>
          <w:b/>
          <w:i/>
          <w:sz w:val="22"/>
          <w:szCs w:val="22"/>
        </w:rPr>
      </w:pPr>
      <w:r w:rsidRPr="002B2FFB">
        <w:rPr>
          <w:rFonts w:ascii="Palatino Linotype" w:hAnsi="Palatino Linotype"/>
          <w:b/>
          <w:i/>
          <w:sz w:val="22"/>
          <w:szCs w:val="22"/>
        </w:rPr>
        <w:t>V</w:t>
      </w:r>
      <w:r w:rsidRPr="002B2FFB">
        <w:rPr>
          <w:rFonts w:ascii="Palatino Linotype" w:hAnsi="Palatino Linotype"/>
          <w:i/>
          <w:sz w:val="22"/>
          <w:szCs w:val="22"/>
        </w:rPr>
        <w:t>. Las juntas de aclaraciones;</w:t>
      </w:r>
    </w:p>
    <w:p w14:paraId="1BF0A2A9"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w:t>
      </w:r>
      <w:r w:rsidRPr="002B2FFB">
        <w:rPr>
          <w:rFonts w:ascii="Palatino Linotype" w:hAnsi="Palatino Linotype"/>
          <w:i/>
          <w:sz w:val="22"/>
          <w:szCs w:val="22"/>
        </w:rPr>
        <w:t xml:space="preserve"> La presentación y apertura de propuestas; </w:t>
      </w:r>
    </w:p>
    <w:p w14:paraId="799CE0CB"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VII.</w:t>
      </w:r>
      <w:r w:rsidRPr="002B2FFB">
        <w:rPr>
          <w:rFonts w:ascii="Palatino Linotype" w:hAnsi="Palatino Linotype"/>
          <w:i/>
          <w:sz w:val="22"/>
          <w:szCs w:val="22"/>
        </w:rPr>
        <w:t xml:space="preserve"> La evaluación de propuestas; y </w:t>
      </w:r>
    </w:p>
    <w:p w14:paraId="1268BCD1"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VIII.</w:t>
      </w:r>
      <w:r w:rsidRPr="002B2FFB">
        <w:rPr>
          <w:rFonts w:ascii="Palatino Linotype" w:hAnsi="Palatino Linotype"/>
          <w:i/>
          <w:sz w:val="22"/>
          <w:szCs w:val="22"/>
        </w:rPr>
        <w:t xml:space="preserve"> El fallo y adjudicación.</w:t>
      </w:r>
    </w:p>
    <w:p w14:paraId="57205526" w14:textId="77777777" w:rsidR="00E3663C" w:rsidRPr="002B2FFB" w:rsidRDefault="00E3663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w:t>
      </w:r>
    </w:p>
    <w:p w14:paraId="51E811D6"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Artículo 45.-</w:t>
      </w:r>
      <w:r w:rsidRPr="002B2FFB">
        <w:rPr>
          <w:rFonts w:ascii="Palatino Linotype" w:hAnsi="Palatino Linotype"/>
          <w:i/>
          <w:sz w:val="22"/>
          <w:szCs w:val="22"/>
        </w:rPr>
        <w:t xml:space="preserve"> El convocante deberá requerir a los licitantes que integren los siguientes documentos de carácter legal y administrativo en sus propuestas: </w:t>
      </w:r>
    </w:p>
    <w:p w14:paraId="731D316E" w14:textId="4F01204C"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w:t>
      </w:r>
      <w:r w:rsidRPr="002B2FFB">
        <w:rPr>
          <w:rFonts w:ascii="Palatino Linotype" w:hAnsi="Palatino Linotype"/>
          <w:i/>
          <w:sz w:val="22"/>
          <w:szCs w:val="22"/>
        </w:rPr>
        <w:t xml:space="preserve"> Escrito en el que manifieste su domicilio en el Estado de México para oír y recibir notificaciones y los documentos correspondientes al procedimiento de licitación. En el domicilio señalado se podrán realizar las notificaciones, inclusive las de carácter personal, que surtirán todos sus efectos legales mientras no se señale otro distinto en el propio Estado; </w:t>
      </w:r>
    </w:p>
    <w:p w14:paraId="7940F07A"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xml:space="preserve"> Escrito en el que manifieste no encontrarse en ninguno de los supuestos del artículo 12.48 del Libro; </w:t>
      </w:r>
    </w:p>
    <w:p w14:paraId="4EEA6365"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III.</w:t>
      </w:r>
      <w:r w:rsidRPr="002B2FFB">
        <w:rPr>
          <w:rFonts w:ascii="Palatino Linotype" w:hAnsi="Palatino Linotype"/>
          <w:i/>
          <w:sz w:val="22"/>
          <w:szCs w:val="22"/>
        </w:rPr>
        <w:t xml:space="preserve"> Declaración fiscal anual o estados financieros dictaminados por contador público certificado independiente, que corresponda al último ejercicio fiscal. Si el procedimiento de licitación se realiza durante el primer trimestre del año, se podrán presentar los estados financieros dictaminados por contador público certificado independiente o la declaración fiscal anual correspondientes al penúltimo ejercicio fiscal, en ambos casos, la última declaración fiscal provisional. Con la documentación financiera y fiscal se acreditará el capital contable requerido por el convocante. </w:t>
      </w:r>
    </w:p>
    <w:p w14:paraId="71F727AB"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 xml:space="preserve">IV. </w:t>
      </w:r>
      <w:r w:rsidRPr="002B2FFB">
        <w:rPr>
          <w:rFonts w:ascii="Palatino Linotype" w:hAnsi="Palatino Linotype"/>
          <w:i/>
          <w:sz w:val="22"/>
          <w:szCs w:val="22"/>
        </w:rPr>
        <w:t>Las empresas de reciente creación deberán presentar la documentación financiera y fiscal más actualizada a la fecha de presentación de la propuesta;</w:t>
      </w:r>
    </w:p>
    <w:p w14:paraId="3E5A2E09"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w:t>
      </w:r>
      <w:r w:rsidRPr="002B2FFB">
        <w:rPr>
          <w:rFonts w:ascii="Palatino Linotype" w:hAnsi="Palatino Linotype"/>
          <w:i/>
          <w:sz w:val="22"/>
          <w:szCs w:val="22"/>
        </w:rPr>
        <w:t xml:space="preserve"> Identificación oficial vigente con fotografía, tratándose de personas físicas; </w:t>
      </w:r>
    </w:p>
    <w:p w14:paraId="65CEE5FF"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w:t>
      </w:r>
      <w:r w:rsidRPr="002B2FFB">
        <w:rPr>
          <w:rFonts w:ascii="Palatino Linotype" w:hAnsi="Palatino Linotype"/>
          <w:i/>
          <w:sz w:val="22"/>
          <w:szCs w:val="22"/>
        </w:rPr>
        <w:t xml:space="preserve"> Manifestación escrita de la persona jurídica en que señale que su representante cuenta con facultades suficientes para comprometerla. Éste contendrá los datos siguientes: </w:t>
      </w:r>
    </w:p>
    <w:p w14:paraId="1E268D9C"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w:t>
      </w:r>
      <w:r w:rsidRPr="002B2FFB">
        <w:rPr>
          <w:rFonts w:ascii="Palatino Linotype" w:hAnsi="Palatino Linotype"/>
          <w:i/>
          <w:sz w:val="22"/>
          <w:szCs w:val="22"/>
        </w:rPr>
        <w:t xml:space="preserve"> De la persona jurídica: denominación o razón social, clave del registro federal de contribuyentes; nombre, número y circunscripción territorial del notario público o fedatario que protocolizó las escrituras públicas en las que consta el acta constitutiva y, en su caso, sus reformas o modificaciones; número y fecha de las mismas; descripción del objeto social, nombres de los accionistas; capital social; y los datos de inscripción en el Registro Público de Comercio, y </w:t>
      </w:r>
    </w:p>
    <w:p w14:paraId="2B0A13DF"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b.</w:t>
      </w:r>
      <w:r w:rsidRPr="002B2FFB">
        <w:rPr>
          <w:rFonts w:ascii="Palatino Linotype" w:hAnsi="Palatino Linotype"/>
          <w:i/>
          <w:sz w:val="22"/>
          <w:szCs w:val="22"/>
        </w:rPr>
        <w:t xml:space="preserve"> Del representante: nombre del apoderado; nombre, número y circunscripción territorial del notario público o fedatario que protocolizó los instrumentos notariales; y número y fecha de éstos, en los que se asientan las facultades para suscribir la propuesta. </w:t>
      </w:r>
    </w:p>
    <w:p w14:paraId="3CBFCD03"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 xml:space="preserve">Los interesados que decidan agruparse para presentar una propuesta, acreditarán en forma individual los requisitos señalados, además de entregar una copia del convenio correspondiente en el que se precise la parte o partes de la obra que será responsabilidad de cada uno. El representante común presentará los documentos de los integrantes de la agrupación y los del convenio. </w:t>
      </w:r>
    </w:p>
    <w:p w14:paraId="27E04397" w14:textId="2528BE96" w:rsidR="00E3663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VII.</w:t>
      </w:r>
      <w:r w:rsidRPr="002B2FFB">
        <w:rPr>
          <w:rFonts w:ascii="Palatino Linotype" w:hAnsi="Palatino Linotype"/>
          <w:i/>
          <w:sz w:val="22"/>
          <w:szCs w:val="22"/>
        </w:rPr>
        <w:t xml:space="preserve"> Documento en el que se comprometa a realizar la obra por el importe que señala, cumpliendo los requisitos determinados por el convocante;</w:t>
      </w:r>
    </w:p>
    <w:p w14:paraId="74145D95"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VIII.</w:t>
      </w:r>
      <w:r w:rsidRPr="002B2FFB">
        <w:rPr>
          <w:rFonts w:ascii="Palatino Linotype" w:hAnsi="Palatino Linotype"/>
          <w:i/>
          <w:sz w:val="22"/>
          <w:szCs w:val="22"/>
        </w:rPr>
        <w:t xml:space="preserve"> La garantía de seriedad de la propuesta: cheque cruzado o para depósito en cuenta, los que deberán ser expedidos a favor de: </w:t>
      </w:r>
    </w:p>
    <w:p w14:paraId="728E5560" w14:textId="4C570D39"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w:t>
      </w:r>
      <w:r w:rsidRPr="002B2FFB">
        <w:rPr>
          <w:rFonts w:ascii="Palatino Linotype" w:hAnsi="Palatino Linotype"/>
          <w:i/>
          <w:sz w:val="22"/>
          <w:szCs w:val="22"/>
        </w:rPr>
        <w:t xml:space="preserve"> En el caso de las dependencias al Gobierno del Estado de México; </w:t>
      </w:r>
    </w:p>
    <w:p w14:paraId="42A3135B"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b</w:t>
      </w:r>
      <w:r w:rsidRPr="002B2FFB">
        <w:rPr>
          <w:rFonts w:ascii="Palatino Linotype" w:hAnsi="Palatino Linotype"/>
          <w:i/>
          <w:sz w:val="22"/>
          <w:szCs w:val="22"/>
        </w:rPr>
        <w:t xml:space="preserve">. En el caso de las entidades a ellas mismas; y </w:t>
      </w:r>
    </w:p>
    <w:p w14:paraId="272459CF" w14:textId="052A6720"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c.</w:t>
      </w:r>
      <w:r w:rsidRPr="002B2FFB">
        <w:rPr>
          <w:rFonts w:ascii="Palatino Linotype" w:hAnsi="Palatino Linotype"/>
          <w:i/>
          <w:sz w:val="22"/>
          <w:szCs w:val="22"/>
        </w:rPr>
        <w:t xml:space="preserve"> En el caso de los ayuntamientos a la Tesorería Municipal. </w:t>
      </w:r>
    </w:p>
    <w:p w14:paraId="2609335B" w14:textId="38962175"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IX.</w:t>
      </w:r>
      <w:r w:rsidRPr="002B2FFB">
        <w:rPr>
          <w:rFonts w:ascii="Palatino Linotype" w:hAnsi="Palatino Linotype"/>
          <w:i/>
          <w:sz w:val="22"/>
          <w:szCs w:val="22"/>
        </w:rPr>
        <w:t xml:space="preserve"> Copia del recibo de compra u obtención de las bases. </w:t>
      </w:r>
    </w:p>
    <w:p w14:paraId="15BA8FE1"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Artículo 46</w:t>
      </w:r>
      <w:r w:rsidRPr="002B2FFB">
        <w:rPr>
          <w:rFonts w:ascii="Palatino Linotype" w:hAnsi="Palatino Linotype"/>
          <w:i/>
          <w:sz w:val="22"/>
          <w:szCs w:val="22"/>
        </w:rPr>
        <w:t xml:space="preserve">.- Atendiendo a las características, complejidad y magnitud de los trabajos, el convocante podrá requerir al licitante que en su propuesta incluya la documentación relacionada con su experiencia profesional: </w:t>
      </w:r>
    </w:p>
    <w:p w14:paraId="5ACD168E"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w:t>
      </w:r>
      <w:r w:rsidRPr="002B2FFB">
        <w:rPr>
          <w:rFonts w:ascii="Palatino Linotype" w:hAnsi="Palatino Linotype"/>
          <w:i/>
          <w:sz w:val="22"/>
          <w:szCs w:val="22"/>
        </w:rPr>
        <w:t xml:space="preserve"> Manifestación de conocer los proyectos arquitectónicos y de ingeniería; las normas técnicas y de calidad de los materiales; las especificaciones generales y particulares de construcción contenidas en la licitación; y las leyes y reglamentos aplicables; </w:t>
      </w:r>
    </w:p>
    <w:p w14:paraId="563B784E"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xml:space="preserve"> Descripción de la planeación de los trabajos, especialmente del procedimiento constructivo. El convocante señalará las condicionantes técnicas que procedan conforme a los proyectos; </w:t>
      </w:r>
    </w:p>
    <w:p w14:paraId="3EDC4653"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III.</w:t>
      </w:r>
      <w:r w:rsidRPr="002B2FFB">
        <w:rPr>
          <w:rFonts w:ascii="Palatino Linotype" w:hAnsi="Palatino Linotype"/>
          <w:i/>
          <w:sz w:val="22"/>
          <w:szCs w:val="22"/>
        </w:rPr>
        <w:t xml:space="preserve"> Relación comprobable de los trabajos realizados por el licitante y su personal, que acrediten la experiencia y la capacidad técnica solicitadas, con el nombre del contratante; la descripción de las obras y su participación en ellas; los importes totales, ejercidos y por ejercer; y las fechas de inicio y terminación previstas; </w:t>
      </w:r>
    </w:p>
    <w:p w14:paraId="4AB96880"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IV</w:t>
      </w:r>
      <w:r w:rsidRPr="002B2FFB">
        <w:rPr>
          <w:rFonts w:ascii="Palatino Linotype" w:hAnsi="Palatino Linotype"/>
          <w:i/>
          <w:sz w:val="22"/>
          <w:szCs w:val="22"/>
        </w:rPr>
        <w:t xml:space="preserve">. Currículos de los profesionales al servicio del licitante con experiencia en obras de características técnicas y magnitud similares; identificando a los que se encargarán de la ejecución y administración de la obra; </w:t>
      </w:r>
    </w:p>
    <w:p w14:paraId="79D48E98" w14:textId="45EAE458"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w:t>
      </w:r>
      <w:r w:rsidRPr="002B2FFB">
        <w:rPr>
          <w:rFonts w:ascii="Palatino Linotype" w:hAnsi="Palatino Linotype"/>
          <w:i/>
          <w:sz w:val="22"/>
          <w:szCs w:val="22"/>
        </w:rPr>
        <w:t xml:space="preserve">. Así mismo el documento que certifique los conocimientos y habilidades de los profesionales responsables de formular precios unitarios y de la superintendencia de construcción. </w:t>
      </w:r>
    </w:p>
    <w:p w14:paraId="1E95AB72" w14:textId="6A6F4BBC"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w:t>
      </w:r>
      <w:r w:rsidRPr="002B2FFB">
        <w:rPr>
          <w:rFonts w:ascii="Palatino Linotype" w:hAnsi="Palatino Linotype"/>
          <w:i/>
          <w:sz w:val="22"/>
          <w:szCs w:val="22"/>
        </w:rPr>
        <w:t xml:space="preserve"> En su caso, escrito en el que señale la parte de los trabajos que subcontratará y la información necesaria que acredite la experiencia y capacidad técnica y económica del o los subcontratistas;</w:t>
      </w:r>
    </w:p>
    <w:p w14:paraId="5F46E8BF"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VII.</w:t>
      </w:r>
      <w:r w:rsidRPr="002B2FFB">
        <w:rPr>
          <w:rFonts w:ascii="Palatino Linotype" w:hAnsi="Palatino Linotype"/>
          <w:i/>
          <w:sz w:val="22"/>
          <w:szCs w:val="22"/>
        </w:rPr>
        <w:t xml:space="preserve"> En su caso, manifestación de conocer y haber considerado en su propuesta los materiales y equipos de instalación permanente que le proporcionará el convocante y el programa de suministro correspondiente; </w:t>
      </w:r>
    </w:p>
    <w:p w14:paraId="62D3EB70"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VIII.</w:t>
      </w:r>
      <w:r w:rsidRPr="002B2FFB">
        <w:rPr>
          <w:rFonts w:ascii="Palatino Linotype" w:hAnsi="Palatino Linotype"/>
          <w:i/>
          <w:sz w:val="22"/>
          <w:szCs w:val="22"/>
        </w:rPr>
        <w:t xml:space="preserve"> Constancia expedida por el convocante de haber visitado el sitio de los trabajos y manifestación escrita de conocer sus condiciones ambientales; IX. Manifestación de haber considerado las modificaciones que, en su caso, se hayan efectuado a las bases de licitación; </w:t>
      </w:r>
    </w:p>
    <w:p w14:paraId="3D888191"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X</w:t>
      </w:r>
      <w:r w:rsidRPr="002B2FFB">
        <w:rPr>
          <w:rFonts w:ascii="Palatino Linotype" w:hAnsi="Palatino Linotype"/>
          <w:i/>
          <w:sz w:val="22"/>
          <w:szCs w:val="22"/>
        </w:rPr>
        <w:t xml:space="preserve">. Manifestación de que los precios consignados en su propuesta no se cotizan en condiciones de prácticas desleales de comercio internacional en su modalidad de discriminación de precios o de subsidios, en el caso de que se requiriesen materiales, maquinaria y equipo de instalación permanente de origen extranjero; </w:t>
      </w:r>
    </w:p>
    <w:p w14:paraId="705A57E1"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XI.</w:t>
      </w:r>
      <w:r w:rsidRPr="002B2FFB">
        <w:rPr>
          <w:rFonts w:ascii="Palatino Linotype" w:hAnsi="Palatino Linotype"/>
          <w:i/>
          <w:sz w:val="22"/>
          <w:szCs w:val="22"/>
        </w:rPr>
        <w:t xml:space="preserve"> Manifestación escrita de que conoce y aplicará, en su caso, las distintas disposiciones en materia de protección ambiental y ecológica; </w:t>
      </w:r>
    </w:p>
    <w:p w14:paraId="3B014A5F"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XII.</w:t>
      </w:r>
      <w:r w:rsidRPr="002B2FFB">
        <w:rPr>
          <w:rFonts w:ascii="Palatino Linotype" w:hAnsi="Palatino Linotype"/>
          <w:i/>
          <w:sz w:val="22"/>
          <w:szCs w:val="22"/>
        </w:rPr>
        <w:t xml:space="preserve"> Relación de maquinaria y equipo de construcción, indicando si son de su propiedad o en arrendamiento, con o sin opción a compra; modelo y usos actuales; su ubicación física; la fecha en que se dispondrá de ellos en el sitio de la obra. Para la maquinaria o equipo de construcción en arrendamiento, deberá presentar carta compromiso de arrendamiento y disponibilidad en el caso de que resultare ganador; </w:t>
      </w:r>
    </w:p>
    <w:p w14:paraId="1D16DC9F" w14:textId="3B8EDF66"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XIII</w:t>
      </w:r>
      <w:r w:rsidRPr="002B2FFB">
        <w:rPr>
          <w:rFonts w:ascii="Palatino Linotype" w:hAnsi="Palatino Linotype"/>
          <w:i/>
          <w:sz w:val="22"/>
          <w:szCs w:val="22"/>
        </w:rPr>
        <w:t>. Manifestación de conocer el contenido del modelo del contrato y su conformidad de ajustarse a sus términos.</w:t>
      </w:r>
    </w:p>
    <w:p w14:paraId="2FD55421" w14:textId="3A7057D0"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w:t>
      </w:r>
    </w:p>
    <w:p w14:paraId="591A8B77"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Artículo 49</w:t>
      </w:r>
      <w:r w:rsidRPr="002B2FFB">
        <w:rPr>
          <w:rFonts w:ascii="Palatino Linotype" w:hAnsi="Palatino Linotype"/>
          <w:i/>
          <w:sz w:val="22"/>
          <w:szCs w:val="22"/>
        </w:rPr>
        <w:t>.-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14:paraId="6A6544EC"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w:t>
      </w:r>
      <w:r w:rsidRPr="002B2FFB">
        <w:rPr>
          <w:rFonts w:ascii="Palatino Linotype" w:hAnsi="Palatino Linotype"/>
          <w:i/>
          <w:sz w:val="22"/>
          <w:szCs w:val="22"/>
        </w:rPr>
        <w:t xml:space="preserve"> La documentación legal y administrativa; </w:t>
      </w:r>
    </w:p>
    <w:p w14:paraId="4A11F2C4"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xml:space="preserve"> La propuesta y económica. </w:t>
      </w:r>
    </w:p>
    <w:p w14:paraId="2D9B2BA9"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El licitante deberá identificar los sobres con el nombre de la dependencia, entidad o ayuntamiento; número y denominación de la licitación, la fecha, nombre o razón social del licitante y el contenido del sobre.</w:t>
      </w:r>
    </w:p>
    <w:p w14:paraId="02E59458" w14:textId="77777777" w:rsidR="00055EEC" w:rsidRPr="002B2FFB" w:rsidRDefault="00055EEC" w:rsidP="00092105">
      <w:pPr>
        <w:spacing w:before="120" w:after="120"/>
        <w:ind w:left="851" w:right="900"/>
        <w:jc w:val="both"/>
        <w:rPr>
          <w:rFonts w:ascii="Palatino Linotype" w:hAnsi="Palatino Linotype"/>
          <w:i/>
          <w:sz w:val="22"/>
          <w:szCs w:val="22"/>
        </w:rPr>
      </w:pPr>
    </w:p>
    <w:p w14:paraId="1628C4CE" w14:textId="08F71524"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w:t>
      </w:r>
    </w:p>
    <w:p w14:paraId="40FEA029"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Artículo 69</w:t>
      </w:r>
      <w:r w:rsidRPr="002B2FFB">
        <w:rPr>
          <w:rFonts w:ascii="Palatino Linotype" w:hAnsi="Palatino Linotype"/>
          <w:i/>
          <w:sz w:val="22"/>
          <w:szCs w:val="22"/>
        </w:rPr>
        <w:t xml:space="preserve">.-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14:paraId="03532974"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 xml:space="preserve">I. </w:t>
      </w:r>
      <w:r w:rsidRPr="002B2FFB">
        <w:rPr>
          <w:rFonts w:ascii="Palatino Linotype" w:hAnsi="Palatino Linotype"/>
          <w:i/>
          <w:sz w:val="22"/>
          <w:szCs w:val="22"/>
        </w:rPr>
        <w:t xml:space="preserve">Economía, que signifique un menor costo de la obra o servicio; </w:t>
      </w:r>
    </w:p>
    <w:p w14:paraId="2869F17A"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xml:space="preserve">. Oportunidad, que permita satisfacer la necesidad que se atiende con la obra pública o servicio en el menor lapso posible; </w:t>
      </w:r>
    </w:p>
    <w:p w14:paraId="0361A0DB"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III.</w:t>
      </w:r>
      <w:r w:rsidRPr="002B2FFB">
        <w:rPr>
          <w:rFonts w:ascii="Palatino Linotype" w:hAnsi="Palatino Linotype"/>
          <w:i/>
          <w:sz w:val="22"/>
          <w:szCs w:val="22"/>
        </w:rPr>
        <w:t xml:space="preserve"> Eficacia, que la obra o servicio satisfaga la necesidad que la origina; </w:t>
      </w:r>
    </w:p>
    <w:p w14:paraId="53649945"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IV</w:t>
      </w:r>
      <w:r w:rsidRPr="002B2FFB">
        <w:rPr>
          <w:rFonts w:ascii="Palatino Linotype" w:hAnsi="Palatino Linotype"/>
          <w:i/>
          <w:sz w:val="22"/>
          <w:szCs w:val="22"/>
        </w:rPr>
        <w:t xml:space="preserve">. Eficiencia, que se dé el máximo aprovechamiento de los recursos que la dependencia, entidad o ayuntamiento asigne a la obra o servicio; </w:t>
      </w:r>
    </w:p>
    <w:p w14:paraId="5558D03F"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w:t>
      </w:r>
      <w:r w:rsidRPr="002B2FFB">
        <w:rPr>
          <w:rFonts w:ascii="Palatino Linotype" w:hAnsi="Palatino Linotype"/>
          <w:i/>
          <w:sz w:val="22"/>
          <w:szCs w:val="22"/>
        </w:rPr>
        <w:t xml:space="preserve">. Imparcialidad, que la adjudicación de la obra o servicio se realice sin favorecer a ninguno de los interesados; </w:t>
      </w:r>
    </w:p>
    <w:p w14:paraId="4B39D51B"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w:t>
      </w:r>
      <w:r w:rsidRPr="002B2FFB">
        <w:rPr>
          <w:rFonts w:ascii="Palatino Linotype" w:hAnsi="Palatino Linotype"/>
          <w:i/>
          <w:sz w:val="22"/>
          <w:szCs w:val="22"/>
        </w:rPr>
        <w:t xml:space="preserve">. Honradez, que garantice una justa prestación para las partes involucradas; </w:t>
      </w:r>
    </w:p>
    <w:p w14:paraId="04B14CF2"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VII</w:t>
      </w:r>
      <w:r w:rsidRPr="002B2FFB">
        <w:rPr>
          <w:rFonts w:ascii="Palatino Linotype" w:hAnsi="Palatino Linotype"/>
          <w:i/>
          <w:sz w:val="22"/>
          <w:szCs w:val="22"/>
        </w:rPr>
        <w:t>. Transparencia, que se respeten escrupulosamente en la adjudicación de la obra o servicio los procedimientos establecidos en el Libro y en este Reglamento.</w:t>
      </w:r>
    </w:p>
    <w:p w14:paraId="20E1951E" w14:textId="77777777" w:rsidR="00055EEC" w:rsidRPr="002B2FFB" w:rsidRDefault="00055EEC" w:rsidP="00092105">
      <w:pPr>
        <w:spacing w:before="120" w:after="120"/>
        <w:ind w:left="851" w:right="900"/>
        <w:jc w:val="both"/>
        <w:rPr>
          <w:rFonts w:ascii="Palatino Linotype" w:hAnsi="Palatino Linotype"/>
          <w:b/>
          <w:i/>
          <w:sz w:val="22"/>
          <w:szCs w:val="22"/>
        </w:rPr>
      </w:pPr>
      <w:r w:rsidRPr="002B2FFB">
        <w:rPr>
          <w:rFonts w:ascii="Palatino Linotype" w:hAnsi="Palatino Linotype"/>
          <w:b/>
          <w:i/>
          <w:sz w:val="22"/>
          <w:szCs w:val="22"/>
        </w:rPr>
        <w:t>...</w:t>
      </w:r>
    </w:p>
    <w:p w14:paraId="09225207"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Artículo 85</w:t>
      </w:r>
      <w:r w:rsidRPr="002B2FFB">
        <w:rPr>
          <w:rFonts w:ascii="Palatino Linotype" w:hAnsi="Palatino Linotype"/>
          <w:i/>
          <w:sz w:val="22"/>
          <w:szCs w:val="22"/>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14:paraId="04B19DE1"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w:t>
      </w:r>
      <w:r w:rsidRPr="002B2FFB">
        <w:rPr>
          <w:rFonts w:ascii="Palatino Linotype" w:hAnsi="Palatino Linotype"/>
          <w:i/>
          <w:sz w:val="22"/>
          <w:szCs w:val="22"/>
        </w:rPr>
        <w:t xml:space="preserve"> La descripción general de la obra o servicio; </w:t>
      </w:r>
    </w:p>
    <w:p w14:paraId="2D027138"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xml:space="preserve">. El informe del procedimiento de licitación pública que fue declarado desierto; </w:t>
      </w:r>
    </w:p>
    <w:p w14:paraId="51BE38D3"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xml:space="preserve">I. La fecha probable de inicio de los trabajos y el plazo de ejecución de los mismos; </w:t>
      </w:r>
    </w:p>
    <w:p w14:paraId="0996DB6F"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IV</w:t>
      </w:r>
      <w:r w:rsidRPr="002B2FFB">
        <w:rPr>
          <w:rFonts w:ascii="Palatino Linotype" w:hAnsi="Palatino Linotype"/>
          <w:i/>
          <w:sz w:val="22"/>
          <w:szCs w:val="22"/>
        </w:rPr>
        <w:t xml:space="preserve">. El presupuesto base; </w:t>
      </w:r>
    </w:p>
    <w:p w14:paraId="7B6CF08F"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w:t>
      </w:r>
      <w:r w:rsidRPr="002B2FFB">
        <w:rPr>
          <w:rFonts w:ascii="Palatino Linotype" w:hAnsi="Palatino Linotype"/>
          <w:i/>
          <w:sz w:val="22"/>
          <w:szCs w:val="22"/>
        </w:rPr>
        <w:t>. La autorización presupuestal;</w:t>
      </w:r>
    </w:p>
    <w:p w14:paraId="1D55A9D8"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w:t>
      </w:r>
      <w:r w:rsidRPr="002B2FFB">
        <w:rPr>
          <w:rFonts w:ascii="Palatino Linotype" w:hAnsi="Palatino Linotype"/>
          <w:i/>
          <w:sz w:val="22"/>
          <w:szCs w:val="22"/>
        </w:rPr>
        <w:t xml:space="preserve">. El nombre y firma del titular del área responsable de la ejecución de los trabajos; y </w:t>
      </w:r>
    </w:p>
    <w:p w14:paraId="7A617BBD"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VII</w:t>
      </w:r>
      <w:r w:rsidRPr="002B2FFB">
        <w:rPr>
          <w:rFonts w:ascii="Palatino Linotype" w:hAnsi="Palatino Linotype"/>
          <w:i/>
          <w:sz w:val="22"/>
          <w:szCs w:val="22"/>
        </w:rPr>
        <w:t xml:space="preserve">. El formato de caso para el dictamen de procedencia de excepción. </w:t>
      </w:r>
    </w:p>
    <w:p w14:paraId="08D4EB50"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 xml:space="preserve">Cuando la dependencia, entidad o ayuntamiento no cuente con Comité Interno de Obra Pública, la unidad ejecutora de obra pública deberá integrar el caso que someterá a la autorización del titular. </w:t>
      </w:r>
    </w:p>
    <w:p w14:paraId="6B541408"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14:paraId="13916B0C" w14:textId="77777777" w:rsidR="00055EEC" w:rsidRPr="002B2FFB" w:rsidRDefault="00055EEC" w:rsidP="00092105">
      <w:pPr>
        <w:spacing w:before="120" w:after="120"/>
        <w:ind w:left="851" w:right="900"/>
        <w:jc w:val="both"/>
        <w:rPr>
          <w:rFonts w:ascii="Palatino Linotype" w:eastAsia="Palatino Linotype" w:hAnsi="Palatino Linotype" w:cs="Palatino Linotype"/>
          <w:i/>
          <w:sz w:val="22"/>
          <w:szCs w:val="22"/>
        </w:rPr>
      </w:pPr>
      <w:r w:rsidRPr="002B2FFB">
        <w:rPr>
          <w:rFonts w:ascii="Palatino Linotype" w:hAnsi="Palatino Linotype"/>
          <w:b/>
          <w:i/>
          <w:sz w:val="22"/>
          <w:szCs w:val="22"/>
        </w:rPr>
        <w:t>Articulo 86.-</w:t>
      </w:r>
      <w:r w:rsidRPr="002B2FFB">
        <w:rPr>
          <w:rFonts w:ascii="Palatino Linotype" w:hAnsi="Palatino Linotype"/>
          <w:i/>
          <w:sz w:val="22"/>
          <w:szCs w:val="22"/>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4CC473D1"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14:paraId="279BE534"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w:t>
      </w:r>
      <w:r w:rsidRPr="002B2FFB">
        <w:rPr>
          <w:rFonts w:ascii="Palatino Linotype" w:hAnsi="Palatino Linotype"/>
          <w:i/>
          <w:sz w:val="22"/>
          <w:szCs w:val="22"/>
        </w:rPr>
        <w:t xml:space="preserve">. El nombre del convocante; </w:t>
      </w:r>
    </w:p>
    <w:p w14:paraId="22B4D249"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xml:space="preserve"> El nombre y la ubicación de la obra o servicio; </w:t>
      </w:r>
    </w:p>
    <w:p w14:paraId="0DF3FE8F"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III.</w:t>
      </w:r>
      <w:r w:rsidRPr="002B2FFB">
        <w:rPr>
          <w:rFonts w:ascii="Palatino Linotype" w:hAnsi="Palatino Linotype"/>
          <w:i/>
          <w:sz w:val="22"/>
          <w:szCs w:val="22"/>
        </w:rPr>
        <w:t xml:space="preserve"> El nombre y domicilio del invitado y la referencia a su clave de registro en el catálogo de contratistas; </w:t>
      </w:r>
    </w:p>
    <w:p w14:paraId="647964BA"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IV</w:t>
      </w:r>
      <w:r w:rsidRPr="002B2FFB">
        <w:rPr>
          <w:rFonts w:ascii="Palatino Linotype" w:hAnsi="Palatino Linotype"/>
          <w:i/>
          <w:sz w:val="22"/>
          <w:szCs w:val="22"/>
        </w:rPr>
        <w:t xml:space="preserve">. La invitación expresa y el señalamiento de las fechas previstas para las etapas del procedimiento; </w:t>
      </w:r>
    </w:p>
    <w:p w14:paraId="201A16ED"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w:t>
      </w:r>
      <w:r w:rsidRPr="002B2FFB">
        <w:rPr>
          <w:rFonts w:ascii="Palatino Linotype" w:hAnsi="Palatino Linotype"/>
          <w:i/>
          <w:sz w:val="22"/>
          <w:szCs w:val="22"/>
        </w:rPr>
        <w:t xml:space="preserve">. La indicación de que se anexan las bases de la invitación; </w:t>
      </w:r>
    </w:p>
    <w:p w14:paraId="23EE5665"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w:t>
      </w:r>
      <w:r w:rsidRPr="002B2FFB">
        <w:rPr>
          <w:rFonts w:ascii="Palatino Linotype" w:hAnsi="Palatino Linotype"/>
          <w:i/>
          <w:sz w:val="22"/>
          <w:szCs w:val="22"/>
        </w:rPr>
        <w:t xml:space="preserve">. Nombre y firma del servidor público responsable del proceso; </w:t>
      </w:r>
    </w:p>
    <w:p w14:paraId="0975216F"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VII</w:t>
      </w:r>
      <w:r w:rsidRPr="002B2FFB">
        <w:rPr>
          <w:rFonts w:ascii="Palatino Linotype" w:hAnsi="Palatino Linotype"/>
          <w:i/>
          <w:sz w:val="22"/>
          <w:szCs w:val="22"/>
        </w:rPr>
        <w:t xml:space="preserve">. El origen de los recursos para la realización de la obra o servicio; y </w:t>
      </w:r>
    </w:p>
    <w:p w14:paraId="6D905066"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VIII.</w:t>
      </w:r>
      <w:r w:rsidRPr="002B2FFB">
        <w:rPr>
          <w:rFonts w:ascii="Palatino Linotype" w:hAnsi="Palatino Linotype"/>
          <w:i/>
          <w:sz w:val="22"/>
          <w:szCs w:val="22"/>
        </w:rPr>
        <w:t xml:space="preserve"> El plazo de ejecución de los trabajos, indicando la fecha estimada de inicio de los mismos. </w:t>
      </w:r>
    </w:p>
    <w:p w14:paraId="54695848"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Articulo 87.-</w:t>
      </w:r>
      <w:r w:rsidRPr="002B2FFB">
        <w:rPr>
          <w:rFonts w:ascii="Palatino Linotype" w:hAnsi="Palatino Linotype"/>
          <w:i/>
          <w:sz w:val="22"/>
          <w:szCs w:val="22"/>
        </w:rPr>
        <w:t xml:space="preserve"> </w:t>
      </w:r>
      <w:r w:rsidRPr="002B2FFB">
        <w:rPr>
          <w:rFonts w:ascii="Palatino Linotype" w:hAnsi="Palatino Linotype"/>
          <w:b/>
          <w:i/>
          <w:sz w:val="22"/>
          <w:szCs w:val="22"/>
        </w:rPr>
        <w:t>El procedimiento de invitación restringida seguirá los mismos pasos que el de licitación pública salvo la publicación de la convocatoria</w:t>
      </w:r>
      <w:r w:rsidRPr="002B2FFB">
        <w:rPr>
          <w:rFonts w:ascii="Palatino Linotype" w:hAnsi="Palatino Linotype"/>
          <w:i/>
          <w:sz w:val="22"/>
          <w:szCs w:val="22"/>
        </w:rPr>
        <w:t>, misma que se sustituye por la invitación señalada en el artículo anterior.</w:t>
      </w:r>
    </w:p>
    <w:p w14:paraId="686CAC7A"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Artículo 88.-</w:t>
      </w:r>
      <w:r w:rsidRPr="002B2FFB">
        <w:rPr>
          <w:rFonts w:ascii="Palatino Linotype" w:hAnsi="Palatino Linotype"/>
          <w:i/>
          <w:sz w:val="22"/>
          <w:szCs w:val="22"/>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ese órgano colegiado el dictamen de procedencia del procedimiento de adjudicación directa; para ello, la unidad ejecutora de obra pública o servicio integrará y presentará el caso conforme se </w:t>
      </w:r>
      <w:proofErr w:type="spellStart"/>
      <w:r w:rsidRPr="002B2FFB">
        <w:rPr>
          <w:rFonts w:ascii="Palatino Linotype" w:hAnsi="Palatino Linotype"/>
          <w:i/>
          <w:sz w:val="22"/>
          <w:szCs w:val="22"/>
        </w:rPr>
        <w:t>señalo</w:t>
      </w:r>
      <w:proofErr w:type="spellEnd"/>
      <w:r w:rsidRPr="002B2FFB">
        <w:rPr>
          <w:rFonts w:ascii="Palatino Linotype" w:hAnsi="Palatino Linotype"/>
          <w:i/>
          <w:sz w:val="22"/>
          <w:szCs w:val="22"/>
        </w:rPr>
        <w:t xml:space="preserve"> en el procedimiento de invitación restringida. </w:t>
      </w:r>
    </w:p>
    <w:p w14:paraId="2C21BADC"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 xml:space="preserve">Cuando la dependencia, entidad o ayuntamiento no cuente con Comité Interno de Obra Pública, la unidad ejecutora de obra pública deberá integrar el caso que someterá a la autorización del titular. </w:t>
      </w:r>
    </w:p>
    <w:p w14:paraId="250A4B09"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Artículo 89.</w:t>
      </w:r>
      <w:r w:rsidRPr="002B2FFB">
        <w:rPr>
          <w:rFonts w:ascii="Palatino Linotype" w:hAnsi="Palatino Linotype"/>
          <w:i/>
          <w:sz w:val="22"/>
          <w:szCs w:val="22"/>
        </w:rPr>
        <w:t>- El titular de la dependencia, entidad o ayuntamiento emitirá un acuerdo en el que autorice el procedimiento de adjudicación directa.</w:t>
      </w:r>
    </w:p>
    <w:p w14:paraId="16ED6C31"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i/>
          <w:sz w:val="22"/>
          <w:szCs w:val="22"/>
        </w:rPr>
        <w:t>...</w:t>
      </w:r>
    </w:p>
    <w:p w14:paraId="2D5C5810" w14:textId="77777777" w:rsidR="00055EEC" w:rsidRPr="002B2FFB" w:rsidRDefault="00055EEC" w:rsidP="00092105">
      <w:pPr>
        <w:spacing w:before="120" w:after="120"/>
        <w:ind w:left="851" w:right="900"/>
        <w:jc w:val="both"/>
        <w:rPr>
          <w:rFonts w:ascii="Palatino Linotype" w:hAnsi="Palatino Linotype"/>
          <w:i/>
          <w:sz w:val="22"/>
          <w:szCs w:val="22"/>
        </w:rPr>
      </w:pPr>
      <w:r w:rsidRPr="002B2FFB">
        <w:rPr>
          <w:rFonts w:ascii="Palatino Linotype" w:hAnsi="Palatino Linotype"/>
          <w:b/>
          <w:i/>
          <w:sz w:val="22"/>
          <w:szCs w:val="22"/>
        </w:rPr>
        <w:t>Articulo 91</w:t>
      </w:r>
      <w:r w:rsidRPr="002B2FFB">
        <w:rPr>
          <w:rFonts w:ascii="Palatino Linotype" w:hAnsi="Palatino Linotype"/>
          <w:i/>
          <w:sz w:val="22"/>
          <w:szCs w:val="22"/>
        </w:rPr>
        <w:t>.- El convocante recibirá de la persona invitada la documentación de su propuesta para su evaluación la revisará y, en su caso, procederá a formular el contrato correspondiente.”</w:t>
      </w:r>
    </w:p>
    <w:p w14:paraId="3823A2EF" w14:textId="77777777" w:rsidR="00055EEC" w:rsidRPr="002B2FFB" w:rsidRDefault="00055EEC" w:rsidP="00055EEC">
      <w:pPr>
        <w:spacing w:before="240" w:after="240" w:line="360" w:lineRule="auto"/>
        <w:ind w:right="49"/>
        <w:jc w:val="both"/>
        <w:rPr>
          <w:rFonts w:ascii="Palatino Linotype" w:hAnsi="Palatino Linotype"/>
          <w:sz w:val="22"/>
          <w:szCs w:val="22"/>
        </w:rPr>
      </w:pPr>
      <w:r w:rsidRPr="002B2FFB">
        <w:rPr>
          <w:rFonts w:ascii="Palatino Linotype" w:hAnsi="Palatino Linotype"/>
          <w:sz w:val="22"/>
          <w:szCs w:val="22"/>
        </w:rPr>
        <w:t xml:space="preserve">Por cuanto hace a la contratación, el artículo 12.38 del Libro Décimo Segundo del Código Administrativo de la entidad, dispone que la adjudicación de la obra o servicios relacionados con la misma obligará a la dependencia, entidad o ayuntamiento y a la persona en que hubiere recaído, a </w:t>
      </w:r>
      <w:r w:rsidRPr="002B2FFB">
        <w:rPr>
          <w:rFonts w:ascii="Palatino Linotype" w:hAnsi="Palatino Linotype"/>
          <w:b/>
          <w:sz w:val="22"/>
          <w:szCs w:val="22"/>
        </w:rPr>
        <w:t>suscribir el contrato respectivo dentro de los diez días hábiles siguientes al de la notificación del fallo</w:t>
      </w:r>
      <w:r w:rsidRPr="002B2FFB">
        <w:rPr>
          <w:rFonts w:ascii="Palatino Linotype" w:hAnsi="Palatino Linotype"/>
          <w:sz w:val="22"/>
          <w:szCs w:val="22"/>
        </w:rPr>
        <w:t>.</w:t>
      </w:r>
    </w:p>
    <w:p w14:paraId="4A2E77ED" w14:textId="77777777" w:rsidR="00055EEC" w:rsidRPr="002B2FFB" w:rsidRDefault="00055EEC" w:rsidP="00055EEC">
      <w:pPr>
        <w:spacing w:before="240" w:after="240" w:line="360" w:lineRule="auto"/>
        <w:ind w:right="49"/>
        <w:jc w:val="both"/>
        <w:rPr>
          <w:rFonts w:ascii="Palatino Linotype" w:hAnsi="Palatino Linotype"/>
          <w:sz w:val="22"/>
          <w:szCs w:val="22"/>
        </w:rPr>
      </w:pPr>
      <w:r w:rsidRPr="002B2FFB">
        <w:rPr>
          <w:rFonts w:ascii="Palatino Linotype" w:hAnsi="Palatino Linotype"/>
          <w:sz w:val="22"/>
          <w:szCs w:val="22"/>
        </w:rPr>
        <w:t>En este tenor, los contratos de obra pública y servicios relacionados con la misma, deben contener, como mínimo los requisitos que establece el artículo 104 del Reglamento del Libro Décimo Segundo del Código Administrativo, a saber:</w:t>
      </w:r>
    </w:p>
    <w:p w14:paraId="73BB956A"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I</w:t>
      </w:r>
      <w:r w:rsidRPr="002B2FFB">
        <w:rPr>
          <w:rFonts w:ascii="Palatino Linotype" w:hAnsi="Palatino Linotype"/>
          <w:sz w:val="22"/>
          <w:szCs w:val="22"/>
        </w:rPr>
        <w:t xml:space="preserve">. </w:t>
      </w:r>
      <w:r w:rsidRPr="002B2FFB">
        <w:rPr>
          <w:rFonts w:ascii="Palatino Linotype" w:hAnsi="Palatino Linotype"/>
          <w:b/>
          <w:sz w:val="22"/>
          <w:szCs w:val="22"/>
        </w:rPr>
        <w:t>La autorización presupuestal</w:t>
      </w:r>
      <w:r w:rsidRPr="002B2FFB">
        <w:rPr>
          <w:rFonts w:ascii="Palatino Linotype" w:hAnsi="Palatino Linotype"/>
          <w:sz w:val="22"/>
          <w:szCs w:val="22"/>
        </w:rPr>
        <w:t xml:space="preserve"> para cubrir el compromiso derivado del contrato y sus anexos; </w:t>
      </w:r>
    </w:p>
    <w:p w14:paraId="7E5FE6EF"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II</w:t>
      </w:r>
      <w:r w:rsidRPr="002B2FFB">
        <w:rPr>
          <w:rFonts w:ascii="Palatino Linotype" w:hAnsi="Palatino Linotype"/>
          <w:sz w:val="22"/>
          <w:szCs w:val="22"/>
        </w:rPr>
        <w:t>. La indicación del procedimiento conforme al cual se adjudicó el contrato;</w:t>
      </w:r>
    </w:p>
    <w:p w14:paraId="402B6087"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III.</w:t>
      </w:r>
      <w:r w:rsidRPr="002B2FFB">
        <w:rPr>
          <w:rFonts w:ascii="Palatino Linotype" w:hAnsi="Palatino Linotype"/>
          <w:sz w:val="22"/>
          <w:szCs w:val="22"/>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14:paraId="5B22DEB4"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IV</w:t>
      </w:r>
      <w:r w:rsidRPr="002B2FFB">
        <w:rPr>
          <w:rFonts w:ascii="Palatino Linotype" w:hAnsi="Palatino Linotype"/>
          <w:sz w:val="22"/>
          <w:szCs w:val="22"/>
        </w:rPr>
        <w:t xml:space="preserve">. </w:t>
      </w:r>
      <w:r w:rsidRPr="002B2FFB">
        <w:rPr>
          <w:rFonts w:ascii="Palatino Linotype" w:hAnsi="Palatino Linotype"/>
          <w:b/>
          <w:sz w:val="22"/>
          <w:szCs w:val="22"/>
        </w:rPr>
        <w:t>El precio a pagar por los trabajos objeto del contrato</w:t>
      </w:r>
      <w:r w:rsidRPr="002B2FFB">
        <w:rPr>
          <w:rFonts w:ascii="Palatino Linotype" w:hAnsi="Palatino Linotype"/>
          <w:sz w:val="22"/>
          <w:szCs w:val="22"/>
        </w:rPr>
        <w:t xml:space="preserve">. En el caso de contratos mixtos, la parte y el monto que se cubrirá sobre la base de precios unitarios y la correspondiente a precio alzado; </w:t>
      </w:r>
    </w:p>
    <w:p w14:paraId="63C67A0D"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V</w:t>
      </w:r>
      <w:r w:rsidRPr="002B2FFB">
        <w:rPr>
          <w:rFonts w:ascii="Palatino Linotype" w:hAnsi="Palatino Linotype"/>
          <w:sz w:val="22"/>
          <w:szCs w:val="22"/>
        </w:rPr>
        <w:t xml:space="preserve">. </w:t>
      </w:r>
      <w:r w:rsidRPr="002B2FFB">
        <w:rPr>
          <w:rFonts w:ascii="Palatino Linotype" w:hAnsi="Palatino Linotype"/>
          <w:b/>
          <w:sz w:val="22"/>
          <w:szCs w:val="22"/>
        </w:rPr>
        <w:t>El plazo de ejecución de los trabajos</w:t>
      </w:r>
      <w:r w:rsidRPr="002B2FFB">
        <w:rPr>
          <w:rFonts w:ascii="Palatino Linotype" w:hAnsi="Palatino Linotype"/>
          <w:sz w:val="22"/>
          <w:szCs w:val="22"/>
        </w:rPr>
        <w:t xml:space="preserve">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14:paraId="50453CAF"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VI</w:t>
      </w:r>
      <w:r w:rsidRPr="002B2FFB">
        <w:rPr>
          <w:rFonts w:ascii="Palatino Linotype" w:hAnsi="Palatino Linotype"/>
          <w:sz w:val="22"/>
          <w:szCs w:val="22"/>
        </w:rPr>
        <w:t xml:space="preserve">. Porcentajes, número y fechas de las exhibiciones y amortización de los anticipos que se otorguen; </w:t>
      </w:r>
    </w:p>
    <w:p w14:paraId="0B35D800" w14:textId="77777777" w:rsidR="00055EEC" w:rsidRPr="002B2FFB" w:rsidRDefault="00055EEC" w:rsidP="00055EEC">
      <w:pPr>
        <w:spacing w:before="240" w:after="240" w:line="360" w:lineRule="auto"/>
        <w:ind w:left="284" w:right="49"/>
        <w:jc w:val="both"/>
        <w:rPr>
          <w:rFonts w:ascii="Palatino Linotype" w:hAnsi="Palatino Linotype"/>
          <w:b/>
          <w:sz w:val="22"/>
          <w:szCs w:val="22"/>
        </w:rPr>
      </w:pPr>
      <w:r w:rsidRPr="002B2FFB">
        <w:rPr>
          <w:rFonts w:ascii="Palatino Linotype" w:hAnsi="Palatino Linotype"/>
          <w:b/>
          <w:sz w:val="22"/>
          <w:szCs w:val="22"/>
        </w:rPr>
        <w:t>VII. Forma y términos de garantizar la correcta inversión de los anticipos y el cumplimiento del contrato;</w:t>
      </w:r>
    </w:p>
    <w:p w14:paraId="2BAC23FC"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VIII</w:t>
      </w:r>
      <w:r w:rsidRPr="002B2FFB">
        <w:rPr>
          <w:rFonts w:ascii="Palatino Linotype" w:hAnsi="Palatino Linotype"/>
          <w:sz w:val="22"/>
          <w:szCs w:val="22"/>
        </w:rPr>
        <w:t xml:space="preserve">. Plazos, forma y lugar de pago de las estimaciones de trabajos ejecutados y, cuando corresponda, de los ajustes de costos; </w:t>
      </w:r>
    </w:p>
    <w:p w14:paraId="05ED45EE" w14:textId="472DE0D2"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IX.</w:t>
      </w:r>
      <w:r w:rsidRPr="002B2FFB">
        <w:rPr>
          <w:rFonts w:ascii="Palatino Linotype" w:hAnsi="Palatino Linotype"/>
          <w:sz w:val="22"/>
          <w:szCs w:val="22"/>
        </w:rPr>
        <w:t xml:space="preserve"> Penas convencionales por atraso en la ejecución de los trabajos por causas</w:t>
      </w:r>
      <w:r w:rsidR="006A4C30" w:rsidRPr="002B2FFB">
        <w:rPr>
          <w:rFonts w:ascii="Palatino Linotype" w:hAnsi="Palatino Linotype"/>
          <w:sz w:val="22"/>
          <w:szCs w:val="22"/>
        </w:rPr>
        <w:t xml:space="preserve"> imputables a los contratistas, </w:t>
      </w:r>
      <w:r w:rsidRPr="002B2FFB">
        <w:rPr>
          <w:rFonts w:ascii="Palatino Linotype" w:hAnsi="Palatino Linotype"/>
          <w:sz w:val="22"/>
          <w:szCs w:val="22"/>
        </w:rPr>
        <w:t xml:space="preserve">determinadas únicamente en función del incumplimiento al programa convenido, las que en ningún caso podrán ser superiores, en su conjunto, </w:t>
      </w:r>
      <w:r w:rsidRPr="002B2FFB">
        <w:rPr>
          <w:rFonts w:ascii="Palatino Linotype" w:hAnsi="Palatino Linotype"/>
          <w:b/>
          <w:sz w:val="22"/>
          <w:szCs w:val="22"/>
          <w:u w:val="single"/>
        </w:rPr>
        <w:t>al monto de la garantía de cumplimiento</w:t>
      </w:r>
      <w:r w:rsidRPr="002B2FFB">
        <w:rPr>
          <w:rFonts w:ascii="Palatino Linotype" w:hAnsi="Palatino Linotype"/>
          <w:sz w:val="22"/>
          <w:szCs w:val="22"/>
        </w:rPr>
        <w:t xml:space="preserve">. El contratante deberá establecer los términos, forma y porcentajes para aplicar las penas convencionales; </w:t>
      </w:r>
    </w:p>
    <w:p w14:paraId="7AA06498"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X</w:t>
      </w:r>
      <w:r w:rsidRPr="002B2FFB">
        <w:rPr>
          <w:rFonts w:ascii="Palatino Linotype" w:hAnsi="Palatino Linotype"/>
          <w:sz w:val="22"/>
          <w:szCs w:val="22"/>
        </w:rPr>
        <w:t xml:space="preserve">. Términos en que el contratista, en su caso, reintegrará las cantidades que hubiere recibido en exceso por la contratación o durante la ejecución de los trabajos, para lo cual se utilizará el procedimiento que se establezca; </w:t>
      </w:r>
    </w:p>
    <w:p w14:paraId="764010B4"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XI</w:t>
      </w:r>
      <w:r w:rsidRPr="002B2FFB">
        <w:rPr>
          <w:rFonts w:ascii="Palatino Linotype" w:hAnsi="Palatino Linotype"/>
          <w:sz w:val="22"/>
          <w:szCs w:val="22"/>
        </w:rPr>
        <w:t xml:space="preserve">. Procedimiento de ajuste de costos que deberá ser el determinado desde las bases de la licitación por el convocante, el cual deberá regir durante la vigencia del contrato; </w:t>
      </w:r>
    </w:p>
    <w:p w14:paraId="12CDC267"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XII</w:t>
      </w:r>
      <w:r w:rsidRPr="002B2FFB">
        <w:rPr>
          <w:rFonts w:ascii="Palatino Linotype" w:hAnsi="Palatino Linotype"/>
          <w:sz w:val="22"/>
          <w:szCs w:val="22"/>
        </w:rPr>
        <w:t xml:space="preserve">. Causales y procedimiento mediante los cuales el contratante podrá dar por rescindido el contrato en los términos de este Reglamento; </w:t>
      </w:r>
    </w:p>
    <w:p w14:paraId="7AA7AA61"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 xml:space="preserve">XIII. </w:t>
      </w:r>
      <w:r w:rsidRPr="002B2FFB">
        <w:rPr>
          <w:rFonts w:ascii="Palatino Linotype" w:hAnsi="Palatino Linotype"/>
          <w:sz w:val="22"/>
          <w:szCs w:val="22"/>
        </w:rPr>
        <w:t>Los procedimientos mediante los cuales las partes resolverán, entre sí, las discrepancias futuras y previsibles sobre problemas específicos de carácter técnico y administrativo;</w:t>
      </w:r>
    </w:p>
    <w:p w14:paraId="0D403797"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XIV</w:t>
      </w:r>
      <w:r w:rsidRPr="002B2FFB">
        <w:rPr>
          <w:rFonts w:ascii="Palatino Linotype" w:hAnsi="Palatino Linotype"/>
          <w:sz w:val="22"/>
          <w:szCs w:val="22"/>
        </w:rPr>
        <w:t xml:space="preserve">. Señalamiento del domicilio en el Estado para oír y recibir notificaciones; y </w:t>
      </w:r>
    </w:p>
    <w:p w14:paraId="73A14224" w14:textId="77777777" w:rsidR="00055EEC" w:rsidRPr="002B2FFB" w:rsidRDefault="00055EEC" w:rsidP="00055EEC">
      <w:pPr>
        <w:spacing w:before="240" w:after="240" w:line="360" w:lineRule="auto"/>
        <w:ind w:left="284" w:right="49"/>
        <w:jc w:val="both"/>
        <w:rPr>
          <w:rFonts w:ascii="Palatino Linotype" w:hAnsi="Palatino Linotype"/>
          <w:sz w:val="22"/>
          <w:szCs w:val="22"/>
        </w:rPr>
      </w:pPr>
      <w:r w:rsidRPr="002B2FFB">
        <w:rPr>
          <w:rFonts w:ascii="Palatino Linotype" w:hAnsi="Palatino Linotype"/>
          <w:b/>
          <w:sz w:val="22"/>
          <w:szCs w:val="22"/>
        </w:rPr>
        <w:t xml:space="preserve">XV. </w:t>
      </w:r>
      <w:r w:rsidRPr="002B2FFB">
        <w:rPr>
          <w:rFonts w:ascii="Palatino Linotype" w:hAnsi="Palatino Linotype"/>
          <w:sz w:val="22"/>
          <w:szCs w:val="22"/>
        </w:rPr>
        <w:t xml:space="preserve">Manifestación de renuncia expresa al fuero que les pudiera corresponder en función de su domicilio presente o futuro en el caso de que no se encuentre en el Estado de México. </w:t>
      </w:r>
    </w:p>
    <w:p w14:paraId="0C735851" w14:textId="77777777" w:rsidR="00055EEC" w:rsidRPr="002B2FFB" w:rsidRDefault="00055EEC" w:rsidP="00187C33">
      <w:pPr>
        <w:spacing w:before="240" w:after="240" w:line="360" w:lineRule="auto"/>
        <w:ind w:right="49"/>
        <w:jc w:val="both"/>
        <w:rPr>
          <w:rFonts w:ascii="Palatino Linotype" w:hAnsi="Palatino Linotype"/>
          <w:sz w:val="22"/>
          <w:szCs w:val="22"/>
        </w:rPr>
      </w:pPr>
      <w:r w:rsidRPr="002B2FFB">
        <w:rPr>
          <w:rFonts w:ascii="Palatino Linotype" w:hAnsi="Palatino Linotype"/>
          <w:sz w:val="22"/>
          <w:szCs w:val="22"/>
        </w:rPr>
        <w:t xml:space="preserve">El contrato deberá firmarse dentro de los diez días hábiles siguientes a la notificación del fallo. Se deberá entregar al contratista una copia del contrato firmado. </w:t>
      </w:r>
    </w:p>
    <w:p w14:paraId="400FCB01" w14:textId="1F8E6967" w:rsidR="00055EEC" w:rsidRPr="002B2FFB" w:rsidRDefault="005A286F" w:rsidP="00187C33">
      <w:pPr>
        <w:spacing w:before="240" w:after="240" w:line="360" w:lineRule="auto"/>
        <w:ind w:right="49"/>
        <w:jc w:val="both"/>
        <w:rPr>
          <w:rFonts w:ascii="Palatino Linotype" w:hAnsi="Palatino Linotype"/>
          <w:sz w:val="22"/>
          <w:szCs w:val="22"/>
        </w:rPr>
      </w:pPr>
      <w:r w:rsidRPr="002B2FFB">
        <w:rPr>
          <w:rFonts w:ascii="Palatino Linotype" w:hAnsi="Palatino Linotype"/>
          <w:sz w:val="22"/>
          <w:szCs w:val="22"/>
        </w:rPr>
        <w:t xml:space="preserve">Para los efectos del Libro Décimo Segundo y su </w:t>
      </w:r>
      <w:r w:rsidR="00055EEC" w:rsidRPr="002B2FFB">
        <w:rPr>
          <w:rFonts w:ascii="Palatino Linotype" w:hAnsi="Palatino Linotype"/>
          <w:sz w:val="22"/>
          <w:szCs w:val="22"/>
        </w:rPr>
        <w:t xml:space="preserve">Reglamento, el contrato, sus anexos y la bitácora son los instrumentos que establecen los derechos y obligaciones de las partes. </w:t>
      </w:r>
    </w:p>
    <w:p w14:paraId="38EBCC51" w14:textId="77777777" w:rsidR="00055EEC" w:rsidRPr="002B2FFB" w:rsidRDefault="00055EEC" w:rsidP="00187C33">
      <w:pPr>
        <w:spacing w:before="240" w:after="240" w:line="360" w:lineRule="auto"/>
        <w:ind w:right="49"/>
        <w:jc w:val="both"/>
        <w:rPr>
          <w:rFonts w:ascii="Palatino Linotype" w:hAnsi="Palatino Linotype"/>
          <w:sz w:val="22"/>
          <w:szCs w:val="22"/>
        </w:rPr>
      </w:pPr>
      <w:r w:rsidRPr="002B2FFB">
        <w:rPr>
          <w:rFonts w:ascii="Palatino Linotype" w:hAnsi="Palatino Linotype"/>
          <w:sz w:val="22"/>
          <w:szCs w:val="22"/>
        </w:rPr>
        <w:t>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14:paraId="77483AEC" w14:textId="77777777" w:rsidR="006A4C30" w:rsidRPr="002B2FFB" w:rsidRDefault="006A4C30" w:rsidP="006A4C30">
      <w:pPr>
        <w:spacing w:before="240" w:after="240" w:line="360" w:lineRule="auto"/>
        <w:ind w:right="49"/>
        <w:jc w:val="both"/>
        <w:rPr>
          <w:rFonts w:ascii="Palatino Linotype" w:hAnsi="Palatino Linotype"/>
          <w:sz w:val="22"/>
          <w:szCs w:val="22"/>
        </w:rPr>
      </w:pPr>
      <w:r w:rsidRPr="002B2FFB">
        <w:rPr>
          <w:rFonts w:ascii="Palatino Linotype" w:hAnsi="Palatino Linotype"/>
          <w:sz w:val="22"/>
          <w:szCs w:val="22"/>
        </w:rPr>
        <w:t>Finalmente, por lo que se refiere a la recepción de los trabajos, los artículos 230, 231, 232, 233 y 234 del Reglamento del Libro Décimo Segundo del Código Administrativo disponen lo siguiente:</w:t>
      </w:r>
    </w:p>
    <w:p w14:paraId="29095E68"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“Artículo 230.-</w:t>
      </w:r>
      <w:r w:rsidRPr="002B2FFB">
        <w:rPr>
          <w:rFonts w:ascii="Palatino Linotype" w:hAnsi="Palatino Linotype"/>
          <w:i/>
          <w:sz w:val="22"/>
          <w:szCs w:val="22"/>
        </w:rPr>
        <w:t xml:space="preserve"> Para iniciar el procedimiento de recepción de los trabajos, el contratista deberá notificar al contratante la terminación de los mismos mediante la bitácora y por escrito, anexando los documentos de soporte que incluye una relación de las estimaciones o de gastos aprobados, monto ejercido y créditos a favor o en contra. Artículo 231.- Si, durante la verificación de los trabajos, el contratante observa deficiencias, deberá solicitar al contratista que realice las correcciones o reparaciones conforme a lo establecido en el contrato. En este caso, el plazo de verificación de los trabajos, pactado en el contrato, se podrá ampliar por el periodo que acuerden las partes para la reparación de las deficiencias. Lo anterior, sin perjuicio de que el contratante opte por la rescisión del contrato. </w:t>
      </w:r>
    </w:p>
    <w:p w14:paraId="67777A32"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Artículo 232</w:t>
      </w:r>
      <w:r w:rsidRPr="002B2FFB">
        <w:rPr>
          <w:rFonts w:ascii="Palatino Linotype" w:hAnsi="Palatino Linotype"/>
          <w:i/>
          <w:sz w:val="22"/>
          <w:szCs w:val="22"/>
        </w:rPr>
        <w:t xml:space="preserve">.- En la fecha señalada, el contratante recibirá físicamente los trabajos y levantará el acta correspondiente, que contendrá: </w:t>
      </w:r>
    </w:p>
    <w:p w14:paraId="6D97B5C4"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w:t>
      </w:r>
      <w:r w:rsidRPr="002B2FFB">
        <w:rPr>
          <w:rFonts w:ascii="Palatino Linotype" w:hAnsi="Palatino Linotype"/>
          <w:i/>
          <w:sz w:val="22"/>
          <w:szCs w:val="22"/>
        </w:rPr>
        <w:t xml:space="preserve">. Lugar, fecha y hora en que se levante; </w:t>
      </w:r>
    </w:p>
    <w:p w14:paraId="702505BA"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xml:space="preserve">. Nombre y firma del residente de obra y, en su caso, del supervisor de los trabajos y del superintendente de construcción; </w:t>
      </w:r>
    </w:p>
    <w:p w14:paraId="5759B591"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III</w:t>
      </w:r>
      <w:r w:rsidRPr="002B2FFB">
        <w:rPr>
          <w:rFonts w:ascii="Palatino Linotype" w:hAnsi="Palatino Linotype"/>
          <w:i/>
          <w:sz w:val="22"/>
          <w:szCs w:val="22"/>
        </w:rPr>
        <w:t xml:space="preserve">. Nombre y firma de los representantes de las Secretarías del Ramo y de Finanzas, de la Contraloría y del área responsable de operar la obra pública que se recibe; </w:t>
      </w:r>
    </w:p>
    <w:p w14:paraId="27976567"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IV</w:t>
      </w:r>
      <w:r w:rsidRPr="002B2FFB">
        <w:rPr>
          <w:rFonts w:ascii="Palatino Linotype" w:hAnsi="Palatino Linotype"/>
          <w:i/>
          <w:sz w:val="22"/>
          <w:szCs w:val="22"/>
        </w:rPr>
        <w:t xml:space="preserve">. Descripción de los trabajos que se reciben; </w:t>
      </w:r>
    </w:p>
    <w:p w14:paraId="7619DF34"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V</w:t>
      </w:r>
      <w:r w:rsidRPr="002B2FFB">
        <w:rPr>
          <w:rFonts w:ascii="Palatino Linotype" w:hAnsi="Palatino Linotype"/>
          <w:i/>
          <w:sz w:val="22"/>
          <w:szCs w:val="22"/>
        </w:rPr>
        <w:t xml:space="preserve">. Importe contractual, incluyendo el de los convenios modificatorios; </w:t>
      </w:r>
    </w:p>
    <w:p w14:paraId="5994D655"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VI</w:t>
      </w:r>
      <w:r w:rsidRPr="002B2FFB">
        <w:rPr>
          <w:rFonts w:ascii="Palatino Linotype" w:hAnsi="Palatino Linotype"/>
          <w:i/>
          <w:sz w:val="22"/>
          <w:szCs w:val="22"/>
        </w:rPr>
        <w:t xml:space="preserve">. Periodo de ejecución de los trabajos, precisando las fechas de inicio y terminación contractual y el plazo en que realmente se ejecutaron, incluyendo los convenios; </w:t>
      </w:r>
    </w:p>
    <w:p w14:paraId="3DEF723D"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VII</w:t>
      </w:r>
      <w:r w:rsidRPr="002B2FFB">
        <w:rPr>
          <w:rFonts w:ascii="Palatino Linotype" w:hAnsi="Palatino Linotype"/>
          <w:i/>
          <w:sz w:val="22"/>
          <w:szCs w:val="22"/>
        </w:rPr>
        <w:t>. Relación de las estimaciones pagadas y por pagar;</w:t>
      </w:r>
    </w:p>
    <w:p w14:paraId="25FE7590"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VIII</w:t>
      </w:r>
      <w:r w:rsidRPr="002B2FFB">
        <w:rPr>
          <w:rFonts w:ascii="Palatino Linotype" w:hAnsi="Palatino Linotype"/>
          <w:i/>
          <w:sz w:val="22"/>
          <w:szCs w:val="22"/>
        </w:rPr>
        <w:t xml:space="preserve">. Declaración de las partes en que conste la entrega de los planos actualizados de la construcción final, así como los manuales e instructivos de operación y mantenimiento y los certificados de garantía de calidad y de servicio de los bienes instalados; y </w:t>
      </w:r>
    </w:p>
    <w:p w14:paraId="2DF0E244"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IX</w:t>
      </w:r>
      <w:r w:rsidRPr="002B2FFB">
        <w:rPr>
          <w:rFonts w:ascii="Palatino Linotype" w:hAnsi="Palatino Linotype"/>
          <w:i/>
          <w:sz w:val="22"/>
          <w:szCs w:val="22"/>
        </w:rPr>
        <w:t>. Constancia de que el archivo de documentos derivados de la realización de los trabajos fue entregado a la residencia de obra o a la supervisión por parte del contratista.</w:t>
      </w:r>
    </w:p>
    <w:p w14:paraId="0D251316"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Artículo 233.-</w:t>
      </w:r>
      <w:r w:rsidRPr="002B2FFB">
        <w:rPr>
          <w:rFonts w:ascii="Palatino Linotype" w:hAnsi="Palatino Linotype"/>
          <w:i/>
          <w:sz w:val="22"/>
          <w:szCs w:val="22"/>
        </w:rPr>
        <w:t xml:space="preserve"> El contratante podrá efectuar recepciones parciales de los trabajos sin estar concluida la totalidad de la obra, cuando considere que hay trabajos terminados cuyos espacios pueden utilizarse y requieren conservación. Para ello, levantará un acta que se apegará a lo previsto en el artículo anterior.</w:t>
      </w:r>
    </w:p>
    <w:p w14:paraId="6259F84D"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Artículo 234.-</w:t>
      </w:r>
      <w:r w:rsidRPr="002B2FFB">
        <w:rPr>
          <w:rFonts w:ascii="Palatino Linotype" w:hAnsi="Palatino Linotype"/>
          <w:i/>
          <w:sz w:val="22"/>
          <w:szCs w:val="22"/>
        </w:rPr>
        <w:t xml:space="preserve"> Para dar por terminados, parcial o totalmente, los derechos y obligaciones asumidos por las partes en un contrato de obras o servicios, el contratante deberá elaborar el finiquito correspondiente, </w:t>
      </w:r>
      <w:r w:rsidRPr="002B2FFB">
        <w:rPr>
          <w:rFonts w:ascii="Palatino Linotype" w:hAnsi="Palatino Linotype"/>
          <w:b/>
          <w:i/>
          <w:sz w:val="22"/>
          <w:szCs w:val="22"/>
        </w:rPr>
        <w:t>anexando el acta de recepción física de los trabajos</w:t>
      </w:r>
      <w:r w:rsidRPr="002B2FFB">
        <w:rPr>
          <w:rFonts w:ascii="Palatino Linotype" w:hAnsi="Palatino Linotype"/>
          <w:i/>
          <w:sz w:val="22"/>
          <w:szCs w:val="22"/>
        </w:rPr>
        <w:t xml:space="preserve">. </w:t>
      </w:r>
    </w:p>
    <w:p w14:paraId="30977C7D" w14:textId="77777777" w:rsidR="006A4C30" w:rsidRPr="002B2FFB" w:rsidRDefault="006A4C30" w:rsidP="006A4C30">
      <w:pPr>
        <w:spacing w:before="120" w:after="120"/>
        <w:ind w:left="851" w:right="902"/>
        <w:jc w:val="both"/>
        <w:rPr>
          <w:rFonts w:ascii="Palatino Linotype" w:hAnsi="Palatino Linotype"/>
          <w:i/>
          <w:sz w:val="22"/>
          <w:szCs w:val="22"/>
        </w:rPr>
      </w:pPr>
      <w:r w:rsidRPr="002B2FFB">
        <w:rPr>
          <w:rFonts w:ascii="Palatino Linotype" w:hAnsi="Palatino Linotype"/>
          <w:i/>
          <w:sz w:val="22"/>
          <w:szCs w:val="22"/>
        </w:rPr>
        <w:t>Elaborado este finiquito, el contratante dará por terminado el contrato, quedando subsistentes las acciones que se deriven del finiquito y la garantía de defectos y vicios ocultos señalada en el libro en el capítulo quinto de la ejecución Después de su formalización, el contratista no podrá presentar reclamación alguna de pago.”</w:t>
      </w:r>
    </w:p>
    <w:p w14:paraId="09F2C1BA" w14:textId="7E9A36D6" w:rsidR="00055EEC" w:rsidRPr="002B2FFB" w:rsidRDefault="005A286F" w:rsidP="00187C33">
      <w:pPr>
        <w:spacing w:before="240" w:after="240" w:line="360" w:lineRule="auto"/>
        <w:ind w:right="51"/>
        <w:jc w:val="both"/>
        <w:rPr>
          <w:rFonts w:ascii="Palatino Linotype" w:hAnsi="Palatino Linotype"/>
          <w:sz w:val="22"/>
          <w:szCs w:val="22"/>
        </w:rPr>
      </w:pPr>
      <w:r w:rsidRPr="002B2FFB">
        <w:rPr>
          <w:rFonts w:ascii="Palatino Linotype" w:hAnsi="Palatino Linotype"/>
          <w:sz w:val="22"/>
          <w:szCs w:val="22"/>
        </w:rPr>
        <w:t>Por otro lado, el artículo 214 del Reglamento del Libro Décimo Segundo, establece que la ejecución de los trabajos deberá realizarse en el orden y tiempo previstos en los</w:t>
      </w:r>
      <w:r w:rsidR="00187C33" w:rsidRPr="002B2FFB">
        <w:rPr>
          <w:rFonts w:ascii="Palatino Linotype" w:hAnsi="Palatino Linotype"/>
          <w:sz w:val="22"/>
          <w:szCs w:val="22"/>
        </w:rPr>
        <w:t xml:space="preserve"> </w:t>
      </w:r>
      <w:r w:rsidRPr="002B2FFB">
        <w:rPr>
          <w:rFonts w:ascii="Palatino Linotype" w:hAnsi="Palatino Linotype"/>
          <w:sz w:val="22"/>
          <w:szCs w:val="22"/>
        </w:rPr>
        <w:t>programas pactados en el contrato.</w:t>
      </w:r>
    </w:p>
    <w:p w14:paraId="179F935C" w14:textId="11E80E44" w:rsidR="007A743C" w:rsidRPr="002B2FFB" w:rsidRDefault="007A743C" w:rsidP="00187C33">
      <w:pPr>
        <w:spacing w:before="240" w:after="240" w:line="360" w:lineRule="auto"/>
        <w:ind w:right="51"/>
        <w:jc w:val="both"/>
        <w:rPr>
          <w:rFonts w:ascii="Palatino Linotype" w:hAnsi="Palatino Linotype"/>
          <w:sz w:val="22"/>
          <w:szCs w:val="22"/>
        </w:rPr>
      </w:pPr>
      <w:r w:rsidRPr="002B2FFB">
        <w:rPr>
          <w:rFonts w:ascii="Palatino Linotype" w:hAnsi="Palatino Linotype"/>
          <w:sz w:val="22"/>
          <w:szCs w:val="22"/>
        </w:rPr>
        <w:t>En lo que respecta a las atribuciones de la Contraloría Mundial, el Libro Décimo Segundo dispone lo siguiente:</w:t>
      </w:r>
    </w:p>
    <w:p w14:paraId="13105B71" w14:textId="4381B322" w:rsidR="007A743C"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w:t>
      </w:r>
      <w:r w:rsidR="007A743C" w:rsidRPr="002B2FFB">
        <w:rPr>
          <w:rFonts w:ascii="Palatino Linotype" w:hAnsi="Palatino Linotype"/>
          <w:b/>
          <w:i/>
          <w:sz w:val="22"/>
          <w:szCs w:val="22"/>
        </w:rPr>
        <w:t>Artículo 271</w:t>
      </w:r>
      <w:r w:rsidR="007A743C" w:rsidRPr="002B2FFB">
        <w:rPr>
          <w:rFonts w:ascii="Palatino Linotype" w:hAnsi="Palatino Linotype"/>
          <w:i/>
          <w:sz w:val="22"/>
          <w:szCs w:val="22"/>
        </w:rPr>
        <w:t xml:space="preserve">.- Las dependencias, entidades y ayuntamientos, podrán suspender temporal o definitivamente, en todo o en parte, las obras que realicen por administración directa, por razones de interés general o por cualquier causa justificada, mediante acuerdo del mismo servidor público que autorizó su realización. </w:t>
      </w:r>
    </w:p>
    <w:p w14:paraId="4CD4843F" w14:textId="77777777" w:rsidR="007A743C" w:rsidRPr="002B2FFB" w:rsidRDefault="007A743C" w:rsidP="00EB3B22">
      <w:pPr>
        <w:spacing w:before="120" w:after="120"/>
        <w:ind w:left="851" w:right="902"/>
        <w:jc w:val="both"/>
        <w:rPr>
          <w:rFonts w:ascii="Palatino Linotype" w:hAnsi="Palatino Linotype"/>
          <w:i/>
          <w:sz w:val="22"/>
          <w:szCs w:val="22"/>
        </w:rPr>
      </w:pPr>
      <w:r w:rsidRPr="002B2FFB">
        <w:rPr>
          <w:rFonts w:ascii="Palatino Linotype" w:hAnsi="Palatino Linotype"/>
          <w:i/>
          <w:sz w:val="22"/>
          <w:szCs w:val="22"/>
        </w:rPr>
        <w:t xml:space="preserve">Tratándose de suspensión definitiva de la obra, se deberá levantar acta circunstanciada, donde se haga constar el estado en que se encuentran los trabajos y las razones de la suspensión definitiva. </w:t>
      </w:r>
    </w:p>
    <w:p w14:paraId="46DFCF70" w14:textId="0FE244B9" w:rsidR="007A743C" w:rsidRPr="002B2FFB" w:rsidRDefault="007A743C"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Las suspensiones temporales o definitivas que realicen las dependencias y entidades deberán comunicarse a</w:t>
      </w:r>
      <w:r w:rsidRPr="002B2FFB">
        <w:rPr>
          <w:rFonts w:ascii="Palatino Linotype" w:hAnsi="Palatino Linotype"/>
          <w:i/>
          <w:sz w:val="22"/>
          <w:szCs w:val="22"/>
        </w:rPr>
        <w:t xml:space="preserve"> la Secretaría del Ramo, </w:t>
      </w:r>
      <w:r w:rsidRPr="002B2FFB">
        <w:rPr>
          <w:rFonts w:ascii="Palatino Linotype" w:hAnsi="Palatino Linotype"/>
          <w:b/>
          <w:i/>
          <w:sz w:val="22"/>
          <w:szCs w:val="22"/>
        </w:rPr>
        <w:t>a la Contraloría</w:t>
      </w:r>
      <w:r w:rsidRPr="002B2FFB">
        <w:rPr>
          <w:rFonts w:ascii="Palatino Linotype" w:hAnsi="Palatino Linotype"/>
          <w:i/>
          <w:sz w:val="22"/>
          <w:szCs w:val="22"/>
        </w:rPr>
        <w:t xml:space="preserve"> y, en el caso de las entidades, a la dependencia coordinadora de sector, dentro de los diez días naturales siguientes a la fecha en que se emita el acuerdo de suspensión.</w:t>
      </w:r>
    </w:p>
    <w:p w14:paraId="0E7800DA" w14:textId="2AC2ED25" w:rsidR="007A743C" w:rsidRPr="002B2FFB" w:rsidRDefault="007A743C" w:rsidP="00EB3B22">
      <w:pPr>
        <w:spacing w:before="120" w:after="120"/>
        <w:ind w:left="851" w:right="902"/>
        <w:jc w:val="both"/>
        <w:rPr>
          <w:rFonts w:ascii="Palatino Linotype" w:hAnsi="Palatino Linotype"/>
          <w:b/>
          <w:i/>
          <w:sz w:val="22"/>
          <w:szCs w:val="22"/>
        </w:rPr>
      </w:pPr>
      <w:r w:rsidRPr="002B2FFB">
        <w:rPr>
          <w:rFonts w:ascii="Palatino Linotype" w:hAnsi="Palatino Linotype"/>
          <w:b/>
          <w:i/>
          <w:sz w:val="22"/>
          <w:szCs w:val="22"/>
        </w:rPr>
        <w:t>Artículo 272.- La Contraloría, en las dependencias, entidades y ayuntamientos</w:t>
      </w:r>
      <w:r w:rsidRPr="002B2FFB">
        <w:rPr>
          <w:rFonts w:ascii="Palatino Linotype" w:hAnsi="Palatino Linotype"/>
          <w:i/>
          <w:sz w:val="22"/>
          <w:szCs w:val="22"/>
        </w:rPr>
        <w:t xml:space="preserve">, previo a la ejecución de los trabajos por administración directa, </w:t>
      </w:r>
      <w:r w:rsidRPr="002B2FFB">
        <w:rPr>
          <w:rFonts w:ascii="Palatino Linotype" w:hAnsi="Palatino Linotype"/>
          <w:b/>
          <w:i/>
          <w:sz w:val="22"/>
          <w:szCs w:val="22"/>
        </w:rPr>
        <w:t>verificará que se cuente con el presupuesto correspondiente y los programas de ejecución, de utilización de recursos humanos</w:t>
      </w:r>
      <w:r w:rsidRPr="002B2FFB">
        <w:rPr>
          <w:rFonts w:ascii="Palatino Linotype" w:hAnsi="Palatino Linotype"/>
          <w:i/>
          <w:sz w:val="22"/>
          <w:szCs w:val="22"/>
        </w:rPr>
        <w:t xml:space="preserve"> y, en su caso, de utilización de maquinaria y equipo de construcción. Asimismo, en el ejercicio de sus atribuciones </w:t>
      </w:r>
      <w:r w:rsidRPr="002B2FFB">
        <w:rPr>
          <w:rFonts w:ascii="Palatino Linotype" w:hAnsi="Palatino Linotype"/>
          <w:b/>
          <w:i/>
          <w:sz w:val="22"/>
          <w:szCs w:val="22"/>
        </w:rPr>
        <w:t>estará atenta al desarrollo de la obra, a su entrega-recepción y en su caso, suspensión.</w:t>
      </w:r>
    </w:p>
    <w:p w14:paraId="414A73D1" w14:textId="77777777"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Artículo 276</w:t>
      </w:r>
      <w:r w:rsidRPr="002B2FFB">
        <w:rPr>
          <w:rFonts w:ascii="Palatino Linotype" w:hAnsi="Palatino Linotype"/>
          <w:i/>
          <w:sz w:val="22"/>
          <w:szCs w:val="22"/>
        </w:rPr>
        <w:t xml:space="preserve">.- La Contraloría llevará a cabo el seguimiento de la obra pública y servicios que realicen las dependencias, entidades y ayuntamientos en su caso. El seguimiento abarcará: </w:t>
      </w:r>
    </w:p>
    <w:p w14:paraId="12296167" w14:textId="77777777"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w:t>
      </w:r>
      <w:r w:rsidRPr="002B2FFB">
        <w:rPr>
          <w:rFonts w:ascii="Palatino Linotype" w:hAnsi="Palatino Linotype"/>
          <w:i/>
          <w:sz w:val="22"/>
          <w:szCs w:val="22"/>
        </w:rPr>
        <w:t xml:space="preserve"> La Planeación; </w:t>
      </w:r>
    </w:p>
    <w:p w14:paraId="4D92CA36" w14:textId="77777777"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II</w:t>
      </w:r>
      <w:r w:rsidRPr="002B2FFB">
        <w:rPr>
          <w:rFonts w:ascii="Palatino Linotype" w:hAnsi="Palatino Linotype"/>
          <w:i/>
          <w:sz w:val="22"/>
          <w:szCs w:val="22"/>
        </w:rPr>
        <w:t xml:space="preserve">. La Programación y presupuestación; </w:t>
      </w:r>
    </w:p>
    <w:p w14:paraId="08D478D9" w14:textId="77777777"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III.</w:t>
      </w:r>
      <w:r w:rsidRPr="002B2FFB">
        <w:rPr>
          <w:rFonts w:ascii="Palatino Linotype" w:hAnsi="Palatino Linotype"/>
          <w:i/>
          <w:sz w:val="22"/>
          <w:szCs w:val="22"/>
        </w:rPr>
        <w:t xml:space="preserve"> La licitación pública; </w:t>
      </w:r>
    </w:p>
    <w:p w14:paraId="2A9F64CD" w14:textId="77777777"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IV.</w:t>
      </w:r>
      <w:r w:rsidRPr="002B2FFB">
        <w:rPr>
          <w:rFonts w:ascii="Palatino Linotype" w:hAnsi="Palatino Linotype"/>
          <w:i/>
          <w:sz w:val="22"/>
          <w:szCs w:val="22"/>
        </w:rPr>
        <w:t xml:space="preserve"> La invitación restringida; </w:t>
      </w:r>
    </w:p>
    <w:p w14:paraId="2EE63B84" w14:textId="77777777"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V</w:t>
      </w:r>
      <w:r w:rsidRPr="002B2FFB">
        <w:rPr>
          <w:rFonts w:ascii="Palatino Linotype" w:hAnsi="Palatino Linotype"/>
          <w:i/>
          <w:sz w:val="22"/>
          <w:szCs w:val="22"/>
        </w:rPr>
        <w:t xml:space="preserve">. La adjudicación directa; </w:t>
      </w:r>
    </w:p>
    <w:p w14:paraId="1CAFAAE8" w14:textId="77777777"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VI</w:t>
      </w:r>
      <w:r w:rsidRPr="002B2FFB">
        <w:rPr>
          <w:rFonts w:ascii="Palatino Linotype" w:hAnsi="Palatino Linotype"/>
          <w:i/>
          <w:sz w:val="22"/>
          <w:szCs w:val="22"/>
        </w:rPr>
        <w:t xml:space="preserve">. La contratación; </w:t>
      </w:r>
    </w:p>
    <w:p w14:paraId="1643B956" w14:textId="77777777"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VII.</w:t>
      </w:r>
      <w:r w:rsidRPr="002B2FFB">
        <w:rPr>
          <w:rFonts w:ascii="Palatino Linotype" w:hAnsi="Palatino Linotype"/>
          <w:i/>
          <w:sz w:val="22"/>
          <w:szCs w:val="22"/>
        </w:rPr>
        <w:t xml:space="preserve"> La ejecución; </w:t>
      </w:r>
    </w:p>
    <w:p w14:paraId="44B4FE45" w14:textId="77777777"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VIII.</w:t>
      </w:r>
      <w:r w:rsidRPr="002B2FFB">
        <w:rPr>
          <w:rFonts w:ascii="Palatino Linotype" w:hAnsi="Palatino Linotype"/>
          <w:i/>
          <w:sz w:val="22"/>
          <w:szCs w:val="22"/>
        </w:rPr>
        <w:t xml:space="preserve"> La recepción y finiquito. </w:t>
      </w:r>
    </w:p>
    <w:p w14:paraId="77A83096" w14:textId="77777777"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i/>
          <w:sz w:val="22"/>
          <w:szCs w:val="22"/>
        </w:rPr>
        <w:t xml:space="preserve">La Contraloría realizará las visitas, inspecciones, auditorias y supervisiones que considere necesarias. Podrá solicitar a los servidores públicos y a los contratistas los datos e informes relacionados con las obras y servicios objeto de dichas visitas, inspecciones, auditorias y supervisiones. </w:t>
      </w:r>
    </w:p>
    <w:p w14:paraId="3A607992" w14:textId="77777777"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i/>
          <w:sz w:val="22"/>
          <w:szCs w:val="22"/>
        </w:rPr>
        <w:t>La Contraloría llevará el registro de las personas físicas o jurídicas que se encuentren en cualquiera de los supuestos a que se refieren las fracciones III, IV y VI del artículo 12.48 del Libro y lo dará a conocer a las dependencias, entidades y ayuntamientos por los medios que determine y recibirá de éstas la información correspondiente para la integración y difusión de dicho registro.</w:t>
      </w:r>
    </w:p>
    <w:p w14:paraId="4FFCD67C" w14:textId="22249F3F"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Artículo 277</w:t>
      </w:r>
      <w:r w:rsidRPr="002B2FFB">
        <w:rPr>
          <w:rFonts w:ascii="Palatino Linotype" w:hAnsi="Palatino Linotype"/>
          <w:i/>
          <w:sz w:val="22"/>
          <w:szCs w:val="22"/>
        </w:rPr>
        <w:t xml:space="preserve">.- En el ejercicio de sus atribuciones, la Contraloría tiene la facultad de verificar que la realización de las obras públicas y los servicios se efectúen con apego a lo establecido en el Libro, este Reglamento, las disposiciones legales aplicables y conforme a los programas y presupuestos autorizados. </w:t>
      </w:r>
    </w:p>
    <w:p w14:paraId="54D330BC" w14:textId="5091E60E" w:rsidR="00EB3B22" w:rsidRPr="002B2FFB" w:rsidRDefault="00EB3B22" w:rsidP="00EB3B22">
      <w:pPr>
        <w:spacing w:before="120" w:after="120"/>
        <w:ind w:left="851" w:right="902"/>
        <w:jc w:val="both"/>
        <w:rPr>
          <w:rFonts w:ascii="Palatino Linotype" w:hAnsi="Palatino Linotype"/>
          <w:i/>
          <w:sz w:val="22"/>
          <w:szCs w:val="22"/>
        </w:rPr>
      </w:pPr>
      <w:r w:rsidRPr="002B2FFB">
        <w:rPr>
          <w:rFonts w:ascii="Palatino Linotype" w:hAnsi="Palatino Linotype"/>
          <w:b/>
          <w:i/>
          <w:sz w:val="22"/>
          <w:szCs w:val="22"/>
        </w:rPr>
        <w:t>Artículo 278</w:t>
      </w:r>
      <w:r w:rsidRPr="002B2FFB">
        <w:rPr>
          <w:rFonts w:ascii="Palatino Linotype" w:hAnsi="Palatino Linotype"/>
          <w:i/>
          <w:sz w:val="22"/>
          <w:szCs w:val="22"/>
        </w:rPr>
        <w:t>.- Cuando la Contraloría tenga conocimiento de que una dependencia, entidad o ayuntamiento no se hubiere apegado a las disposiciones legales aplicables, actuará conforme a los manuales y procedimientos que norman su actuación.”</w:t>
      </w:r>
    </w:p>
    <w:p w14:paraId="32B482E7" w14:textId="77777777" w:rsidR="00EB3B22" w:rsidRPr="002B2FFB" w:rsidRDefault="00EB3B22" w:rsidP="00EB3B22">
      <w:pPr>
        <w:spacing w:before="240" w:after="240" w:line="360" w:lineRule="auto"/>
        <w:jc w:val="both"/>
        <w:rPr>
          <w:rFonts w:ascii="Palatino Linotype" w:eastAsia="Palatino Linotype" w:hAnsi="Palatino Linotype" w:cs="Palatino Linotype"/>
          <w:sz w:val="22"/>
          <w:szCs w:val="22"/>
        </w:rPr>
      </w:pPr>
      <w:r w:rsidRPr="002B2FFB">
        <w:rPr>
          <w:rFonts w:ascii="Palatino Linotype" w:hAnsi="Palatino Linotype"/>
          <w:sz w:val="22"/>
          <w:szCs w:val="22"/>
        </w:rPr>
        <w:t xml:space="preserve">Por otro lado, es </w:t>
      </w:r>
      <w:r w:rsidRPr="002B2FFB">
        <w:rPr>
          <w:rFonts w:ascii="Palatino Linotype" w:eastAsia="Palatino Linotype" w:hAnsi="Palatino Linotype" w:cs="Palatino Linotype"/>
          <w:sz w:val="22"/>
          <w:szCs w:val="22"/>
        </w:rPr>
        <w:t>imprescindible mencionar que de conformidad con el ACUERDO DEL SECRETARIO DE INFRAESTRUCTURA POR EL QUE SE ESTABLECE EL ÍNDICE DE EXPEDIENTE ÚNICO DE OBRA PÚBLICA E INSTRUCTIVOS DE LLENADO EN LAS MODALIDADES DE ADJUDICACIÓN DIRECTA, INVITACIÓN RESTRINGIDA Y LICITACIÓN PÚBLICA,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expedientes de Adjudicación Directa, Invitación Restringida y Licitación Pública, se integran de la siguiente manera:</w:t>
      </w:r>
    </w:p>
    <w:p w14:paraId="520EB3DB" w14:textId="77777777" w:rsidR="00EB3B22" w:rsidRPr="002B2FFB" w:rsidRDefault="00EB3B22" w:rsidP="00EB3B22">
      <w:pPr>
        <w:spacing w:before="240" w:after="240" w:line="360" w:lineRule="auto"/>
        <w:jc w:val="center"/>
        <w:rPr>
          <w:rFonts w:ascii="Palatino Linotype" w:hAnsi="Palatino Linotype"/>
          <w:sz w:val="22"/>
          <w:szCs w:val="22"/>
        </w:rPr>
      </w:pPr>
      <w:r w:rsidRPr="002B2FFB">
        <w:rPr>
          <w:rFonts w:ascii="Palatino Linotype" w:hAnsi="Palatino Linotype"/>
          <w:noProof/>
          <w:sz w:val="22"/>
          <w:szCs w:val="22"/>
        </w:rPr>
        <w:drawing>
          <wp:inline distT="0" distB="0" distL="0" distR="0" wp14:anchorId="428588FF" wp14:editId="17E57063">
            <wp:extent cx="5040000" cy="4985867"/>
            <wp:effectExtent l="0" t="0" r="825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3111"/>
                    <a:stretch/>
                  </pic:blipFill>
                  <pic:spPr bwMode="auto">
                    <a:xfrm>
                      <a:off x="0" y="0"/>
                      <a:ext cx="5040000" cy="4985867"/>
                    </a:xfrm>
                    <a:prstGeom prst="rect">
                      <a:avLst/>
                    </a:prstGeom>
                    <a:ln>
                      <a:noFill/>
                    </a:ln>
                    <a:extLst>
                      <a:ext uri="{53640926-AAD7-44D8-BBD7-CCE9431645EC}">
                        <a14:shadowObscured xmlns:a14="http://schemas.microsoft.com/office/drawing/2010/main"/>
                      </a:ext>
                    </a:extLst>
                  </pic:spPr>
                </pic:pic>
              </a:graphicData>
            </a:graphic>
          </wp:inline>
        </w:drawing>
      </w:r>
    </w:p>
    <w:p w14:paraId="1916AD88" w14:textId="77777777" w:rsidR="00EB3B22" w:rsidRPr="002B2FFB" w:rsidRDefault="00EB3B22" w:rsidP="00EB3B22">
      <w:pPr>
        <w:spacing w:before="240" w:after="240" w:line="360" w:lineRule="auto"/>
        <w:jc w:val="center"/>
        <w:rPr>
          <w:rFonts w:ascii="Palatino Linotype" w:hAnsi="Palatino Linotype"/>
          <w:sz w:val="22"/>
          <w:szCs w:val="22"/>
        </w:rPr>
      </w:pPr>
      <w:r w:rsidRPr="002B2FFB">
        <w:rPr>
          <w:rFonts w:ascii="Palatino Linotype" w:hAnsi="Palatino Linotype"/>
          <w:noProof/>
          <w:sz w:val="22"/>
          <w:szCs w:val="22"/>
        </w:rPr>
        <w:drawing>
          <wp:inline distT="0" distB="0" distL="0" distR="0" wp14:anchorId="581556F6" wp14:editId="45B602C5">
            <wp:extent cx="5039360" cy="15150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6157" b="476"/>
                    <a:stretch/>
                  </pic:blipFill>
                  <pic:spPr bwMode="auto">
                    <a:xfrm>
                      <a:off x="0" y="0"/>
                      <a:ext cx="5040000" cy="1515287"/>
                    </a:xfrm>
                    <a:prstGeom prst="rect">
                      <a:avLst/>
                    </a:prstGeom>
                    <a:ln>
                      <a:noFill/>
                    </a:ln>
                    <a:extLst>
                      <a:ext uri="{53640926-AAD7-44D8-BBD7-CCE9431645EC}">
                        <a14:shadowObscured xmlns:a14="http://schemas.microsoft.com/office/drawing/2010/main"/>
                      </a:ext>
                    </a:extLst>
                  </pic:spPr>
                </pic:pic>
              </a:graphicData>
            </a:graphic>
          </wp:inline>
        </w:drawing>
      </w:r>
      <w:r w:rsidRPr="002B2FFB">
        <w:rPr>
          <w:rFonts w:ascii="Palatino Linotype" w:hAnsi="Palatino Linotype"/>
          <w:noProof/>
          <w:sz w:val="22"/>
          <w:szCs w:val="22"/>
        </w:rPr>
        <w:drawing>
          <wp:inline distT="0" distB="0" distL="0" distR="0" wp14:anchorId="72950C84" wp14:editId="5B0E12B2">
            <wp:extent cx="5040000" cy="2741263"/>
            <wp:effectExtent l="0" t="0" r="825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000" cy="2741263"/>
                    </a:xfrm>
                    <a:prstGeom prst="rect">
                      <a:avLst/>
                    </a:prstGeom>
                  </pic:spPr>
                </pic:pic>
              </a:graphicData>
            </a:graphic>
          </wp:inline>
        </w:drawing>
      </w:r>
      <w:r w:rsidRPr="002B2FFB">
        <w:rPr>
          <w:rFonts w:ascii="Palatino Linotype" w:hAnsi="Palatino Linotype"/>
          <w:noProof/>
          <w:sz w:val="22"/>
          <w:szCs w:val="22"/>
        </w:rPr>
        <w:drawing>
          <wp:inline distT="0" distB="0" distL="0" distR="0" wp14:anchorId="45F0227C" wp14:editId="2867D780">
            <wp:extent cx="5039650" cy="2625634"/>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58360"/>
                    <a:stretch/>
                  </pic:blipFill>
                  <pic:spPr bwMode="auto">
                    <a:xfrm>
                      <a:off x="0" y="0"/>
                      <a:ext cx="5040000" cy="2625816"/>
                    </a:xfrm>
                    <a:prstGeom prst="rect">
                      <a:avLst/>
                    </a:prstGeom>
                    <a:ln>
                      <a:noFill/>
                    </a:ln>
                    <a:extLst>
                      <a:ext uri="{53640926-AAD7-44D8-BBD7-CCE9431645EC}">
                        <a14:shadowObscured xmlns:a14="http://schemas.microsoft.com/office/drawing/2010/main"/>
                      </a:ext>
                    </a:extLst>
                  </pic:spPr>
                </pic:pic>
              </a:graphicData>
            </a:graphic>
          </wp:inline>
        </w:drawing>
      </w:r>
    </w:p>
    <w:p w14:paraId="160BED23" w14:textId="77777777" w:rsidR="00EB3B22" w:rsidRPr="002B2FFB" w:rsidRDefault="00EB3B22" w:rsidP="00EB3B22">
      <w:pPr>
        <w:spacing w:before="240" w:after="240" w:line="360" w:lineRule="auto"/>
        <w:jc w:val="center"/>
        <w:rPr>
          <w:rFonts w:ascii="Palatino Linotype" w:hAnsi="Palatino Linotype"/>
          <w:sz w:val="22"/>
          <w:szCs w:val="22"/>
        </w:rPr>
      </w:pPr>
      <w:r w:rsidRPr="002B2FFB">
        <w:rPr>
          <w:rFonts w:ascii="Palatino Linotype" w:hAnsi="Palatino Linotype"/>
          <w:noProof/>
          <w:sz w:val="22"/>
          <w:szCs w:val="22"/>
        </w:rPr>
        <w:drawing>
          <wp:inline distT="0" distB="0" distL="0" distR="0" wp14:anchorId="32C304EB" wp14:editId="7EA086C8">
            <wp:extent cx="5038090" cy="376145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1030" b="-702"/>
                    <a:stretch/>
                  </pic:blipFill>
                  <pic:spPr bwMode="auto">
                    <a:xfrm>
                      <a:off x="0" y="0"/>
                      <a:ext cx="5040000" cy="3762878"/>
                    </a:xfrm>
                    <a:prstGeom prst="rect">
                      <a:avLst/>
                    </a:prstGeom>
                    <a:ln>
                      <a:noFill/>
                    </a:ln>
                    <a:extLst>
                      <a:ext uri="{53640926-AAD7-44D8-BBD7-CCE9431645EC}">
                        <a14:shadowObscured xmlns:a14="http://schemas.microsoft.com/office/drawing/2010/main"/>
                      </a:ext>
                    </a:extLst>
                  </pic:spPr>
                </pic:pic>
              </a:graphicData>
            </a:graphic>
          </wp:inline>
        </w:drawing>
      </w:r>
      <w:r w:rsidRPr="002B2FFB">
        <w:rPr>
          <w:rFonts w:ascii="Palatino Linotype" w:hAnsi="Palatino Linotype"/>
          <w:noProof/>
          <w:sz w:val="22"/>
          <w:szCs w:val="22"/>
        </w:rPr>
        <w:drawing>
          <wp:inline distT="0" distB="0" distL="0" distR="0" wp14:anchorId="6F5F9792" wp14:editId="4146B20D">
            <wp:extent cx="5039290" cy="2967174"/>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348"/>
                    <a:stretch/>
                  </pic:blipFill>
                  <pic:spPr bwMode="auto">
                    <a:xfrm>
                      <a:off x="0" y="0"/>
                      <a:ext cx="5040000" cy="2967592"/>
                    </a:xfrm>
                    <a:prstGeom prst="rect">
                      <a:avLst/>
                    </a:prstGeom>
                    <a:ln>
                      <a:noFill/>
                    </a:ln>
                    <a:extLst>
                      <a:ext uri="{53640926-AAD7-44D8-BBD7-CCE9431645EC}">
                        <a14:shadowObscured xmlns:a14="http://schemas.microsoft.com/office/drawing/2010/main"/>
                      </a:ext>
                    </a:extLst>
                  </pic:spPr>
                </pic:pic>
              </a:graphicData>
            </a:graphic>
          </wp:inline>
        </w:drawing>
      </w:r>
    </w:p>
    <w:p w14:paraId="62950A11" w14:textId="77777777" w:rsidR="00EB3B22" w:rsidRPr="002B2FFB" w:rsidRDefault="00EB3B22" w:rsidP="00EB3B22">
      <w:pPr>
        <w:spacing w:before="240" w:after="240" w:line="360" w:lineRule="auto"/>
        <w:jc w:val="center"/>
        <w:rPr>
          <w:rFonts w:ascii="Palatino Linotype" w:hAnsi="Palatino Linotype"/>
          <w:sz w:val="22"/>
          <w:szCs w:val="22"/>
        </w:rPr>
      </w:pPr>
      <w:r w:rsidRPr="002B2FFB">
        <w:rPr>
          <w:rFonts w:ascii="Palatino Linotype" w:hAnsi="Palatino Linotype"/>
          <w:noProof/>
          <w:sz w:val="22"/>
          <w:szCs w:val="22"/>
        </w:rPr>
        <w:drawing>
          <wp:inline distT="0" distB="0" distL="0" distR="0" wp14:anchorId="502979DC" wp14:editId="6234BE4B">
            <wp:extent cx="5040000" cy="3118778"/>
            <wp:effectExtent l="0" t="0" r="825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3118778"/>
                    </a:xfrm>
                    <a:prstGeom prst="rect">
                      <a:avLst/>
                    </a:prstGeom>
                  </pic:spPr>
                </pic:pic>
              </a:graphicData>
            </a:graphic>
          </wp:inline>
        </w:drawing>
      </w:r>
      <w:r w:rsidRPr="002B2FFB">
        <w:rPr>
          <w:rFonts w:ascii="Palatino Linotype" w:hAnsi="Palatino Linotype"/>
          <w:noProof/>
          <w:sz w:val="22"/>
          <w:szCs w:val="22"/>
        </w:rPr>
        <w:drawing>
          <wp:inline distT="0" distB="0" distL="0" distR="0" wp14:anchorId="1C752721" wp14:editId="556AD555">
            <wp:extent cx="4788000" cy="412095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 b="34969"/>
                    <a:stretch/>
                  </pic:blipFill>
                  <pic:spPr bwMode="auto">
                    <a:xfrm>
                      <a:off x="0" y="0"/>
                      <a:ext cx="4788000" cy="4120956"/>
                    </a:xfrm>
                    <a:prstGeom prst="rect">
                      <a:avLst/>
                    </a:prstGeom>
                    <a:ln>
                      <a:noFill/>
                    </a:ln>
                    <a:extLst>
                      <a:ext uri="{53640926-AAD7-44D8-BBD7-CCE9431645EC}">
                        <a14:shadowObscured xmlns:a14="http://schemas.microsoft.com/office/drawing/2010/main"/>
                      </a:ext>
                    </a:extLst>
                  </pic:spPr>
                </pic:pic>
              </a:graphicData>
            </a:graphic>
          </wp:inline>
        </w:drawing>
      </w:r>
    </w:p>
    <w:p w14:paraId="0AB00A6B" w14:textId="77777777" w:rsidR="00EB3B22" w:rsidRPr="002B2FFB" w:rsidRDefault="00EB3B22" w:rsidP="00EB3B22">
      <w:pPr>
        <w:spacing w:before="240" w:after="240" w:line="360" w:lineRule="auto"/>
        <w:jc w:val="center"/>
        <w:rPr>
          <w:rFonts w:ascii="Palatino Linotype" w:hAnsi="Palatino Linotype"/>
          <w:sz w:val="22"/>
          <w:szCs w:val="22"/>
        </w:rPr>
      </w:pPr>
      <w:r w:rsidRPr="002B2FFB">
        <w:rPr>
          <w:rFonts w:ascii="Palatino Linotype" w:hAnsi="Palatino Linotype"/>
          <w:noProof/>
          <w:sz w:val="22"/>
          <w:szCs w:val="22"/>
        </w:rPr>
        <w:drawing>
          <wp:inline distT="0" distB="0" distL="0" distR="0" wp14:anchorId="7E870E7E" wp14:editId="1E43F834">
            <wp:extent cx="4786398" cy="223293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4121" b="630"/>
                    <a:stretch/>
                  </pic:blipFill>
                  <pic:spPr bwMode="auto">
                    <a:xfrm>
                      <a:off x="0" y="0"/>
                      <a:ext cx="4788000" cy="2233679"/>
                    </a:xfrm>
                    <a:prstGeom prst="rect">
                      <a:avLst/>
                    </a:prstGeom>
                    <a:ln>
                      <a:noFill/>
                    </a:ln>
                    <a:extLst>
                      <a:ext uri="{53640926-AAD7-44D8-BBD7-CCE9431645EC}">
                        <a14:shadowObscured xmlns:a14="http://schemas.microsoft.com/office/drawing/2010/main"/>
                      </a:ext>
                    </a:extLst>
                  </pic:spPr>
                </pic:pic>
              </a:graphicData>
            </a:graphic>
          </wp:inline>
        </w:drawing>
      </w:r>
    </w:p>
    <w:p w14:paraId="1E8C4EFD" w14:textId="77777777" w:rsidR="00EB3B22" w:rsidRPr="002B2FFB" w:rsidRDefault="00EB3B22" w:rsidP="00EB3B22">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De las imágenes insertas se advierte que los expedientes únicos de obra pública, en las modalidades de adjudicación directa, invitación restringida y licitación pública, incluyen diversos documentos, entre los que se encuentra </w:t>
      </w:r>
      <w:r w:rsidRPr="002B2FFB">
        <w:rPr>
          <w:rFonts w:ascii="Palatino Linotype" w:eastAsia="Palatino Linotype" w:hAnsi="Palatino Linotype" w:cs="Palatino Linotype"/>
          <w:b/>
          <w:sz w:val="22"/>
          <w:szCs w:val="22"/>
        </w:rPr>
        <w:t xml:space="preserve">el oficio de autorización de recursos y dictamen de procedencia; la evaluación de la propuesta; el contrato: las garantías de cumplimiento de contrato; la bitácora de obra o servicios; el acta de recepción de los trabajos </w:t>
      </w:r>
      <w:r w:rsidRPr="002B2FFB">
        <w:rPr>
          <w:rFonts w:ascii="Palatino Linotype" w:eastAsia="Palatino Linotype" w:hAnsi="Palatino Linotype" w:cs="Palatino Linotype"/>
          <w:sz w:val="22"/>
          <w:szCs w:val="22"/>
        </w:rPr>
        <w:t>y</w:t>
      </w:r>
      <w:r w:rsidRPr="002B2FFB">
        <w:rPr>
          <w:rFonts w:ascii="Palatino Linotype" w:eastAsia="Palatino Linotype" w:hAnsi="Palatino Linotype" w:cs="Palatino Linotype"/>
          <w:b/>
          <w:sz w:val="22"/>
          <w:szCs w:val="22"/>
        </w:rPr>
        <w:t xml:space="preserve"> el acta de entrega a la instancia encargada de su operación.</w:t>
      </w:r>
      <w:r w:rsidRPr="002B2FFB">
        <w:rPr>
          <w:rFonts w:ascii="Palatino Linotype" w:eastAsia="Palatino Linotype" w:hAnsi="Palatino Linotype" w:cs="Palatino Linotype"/>
          <w:sz w:val="22"/>
          <w:szCs w:val="22"/>
        </w:rPr>
        <w:t xml:space="preserve"> </w:t>
      </w:r>
    </w:p>
    <w:p w14:paraId="07BF0885" w14:textId="77777777" w:rsidR="00EB3B22" w:rsidRPr="002B2FFB" w:rsidRDefault="00EB3B22" w:rsidP="00EB3B22">
      <w:pPr>
        <w:spacing w:before="240" w:after="240" w:line="360" w:lineRule="auto"/>
        <w:jc w:val="both"/>
        <w:rPr>
          <w:rFonts w:ascii="Palatino Linotype" w:hAnsi="Palatino Linotype"/>
          <w:sz w:val="22"/>
          <w:szCs w:val="22"/>
        </w:rPr>
      </w:pPr>
      <w:r w:rsidRPr="002B2FFB">
        <w:rPr>
          <w:rFonts w:ascii="Palatino Linotype" w:eastAsia="Palatino Linotype" w:hAnsi="Palatino Linotype" w:cs="Palatino Linotype"/>
          <w:sz w:val="22"/>
          <w:szCs w:val="22"/>
        </w:rPr>
        <w:t xml:space="preserve">Asimismo, el Instructivo de llenado de los índices del Expediente Único de Obra en las modalidades de adjudicación referidas, dispone que en el apartado del Proyecto Ejecutivo, se incluirán </w:t>
      </w:r>
      <w:r w:rsidRPr="002B2FFB">
        <w:rPr>
          <w:rFonts w:ascii="Palatino Linotype" w:hAnsi="Palatino Linotype"/>
          <w:b/>
          <w:sz w:val="22"/>
          <w:szCs w:val="22"/>
        </w:rPr>
        <w:t xml:space="preserve">los estudios preliminares y análisis de factibilidad </w:t>
      </w:r>
      <w:r w:rsidRPr="002B2FFB">
        <w:rPr>
          <w:rFonts w:ascii="Palatino Linotype" w:hAnsi="Palatino Linotype"/>
          <w:b/>
          <w:sz w:val="22"/>
          <w:szCs w:val="22"/>
          <w:u w:val="single"/>
        </w:rPr>
        <w:t>de acuerdo a los estudios de costo beneficio</w:t>
      </w:r>
      <w:r w:rsidRPr="002B2FFB">
        <w:rPr>
          <w:rFonts w:ascii="Palatino Linotype" w:hAnsi="Palatino Linotype"/>
          <w:b/>
          <w:sz w:val="22"/>
          <w:szCs w:val="22"/>
        </w:rPr>
        <w:t>,</w:t>
      </w:r>
      <w:r w:rsidRPr="002B2FFB">
        <w:rPr>
          <w:rFonts w:ascii="Palatino Linotype" w:hAnsi="Palatino Linotype"/>
          <w:sz w:val="22"/>
          <w:szCs w:val="22"/>
        </w:rPr>
        <w:t xml:space="preserve"> para la normatividad federal, como se lee en seguida:</w:t>
      </w:r>
    </w:p>
    <w:p w14:paraId="46B68A2B" w14:textId="77777777" w:rsidR="00EB3B22" w:rsidRPr="002B2FFB" w:rsidRDefault="00EB3B22" w:rsidP="00EB3B22">
      <w:pPr>
        <w:spacing w:before="240" w:after="240" w:line="360" w:lineRule="auto"/>
        <w:jc w:val="center"/>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3095A341" wp14:editId="77A4CF93">
            <wp:extent cx="5125165" cy="74305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5165" cy="743054"/>
                    </a:xfrm>
                    <a:prstGeom prst="rect">
                      <a:avLst/>
                    </a:prstGeom>
                  </pic:spPr>
                </pic:pic>
              </a:graphicData>
            </a:graphic>
          </wp:inline>
        </w:drawing>
      </w:r>
    </w:p>
    <w:p w14:paraId="63DF61C5" w14:textId="77777777" w:rsidR="00EB3B22" w:rsidRPr="002B2FFB" w:rsidRDefault="00EB3B22" w:rsidP="00EB3B22">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Además de lo anterior, no debe perderse de vista que el artículo 92, fracción XIX de la Ley de Transparencia y Acceso a la Información Pública del Estado de México y Municipios, ,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 a saber: </w:t>
      </w:r>
    </w:p>
    <w:p w14:paraId="0BB6ADB8" w14:textId="77777777" w:rsidR="00EB3B22" w:rsidRPr="002B2FFB" w:rsidRDefault="00EB3B22" w:rsidP="00045104">
      <w:pPr>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Artículo 92</w:t>
      </w:r>
      <w:r w:rsidRPr="002B2FFB">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331593"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p>
    <w:p w14:paraId="14CFAF47"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XXIX.</w:t>
      </w:r>
      <w:r w:rsidRPr="002B2FFB">
        <w:rPr>
          <w:rFonts w:ascii="Palatino Linotype" w:eastAsia="Palatino Linotype" w:hAnsi="Palatino Linotype" w:cs="Palatino Linotype"/>
          <w:i/>
          <w:sz w:val="22"/>
          <w:szCs w:val="22"/>
        </w:rPr>
        <w:t xml:space="preserve"> La </w:t>
      </w:r>
      <w:r w:rsidRPr="002B2FFB">
        <w:rPr>
          <w:rFonts w:ascii="Palatino Linotype" w:eastAsia="Palatino Linotype" w:hAnsi="Palatino Linotype" w:cs="Palatino Linotype"/>
          <w:b/>
          <w:i/>
          <w:sz w:val="22"/>
          <w:szCs w:val="22"/>
        </w:rPr>
        <w:t xml:space="preserve">información sobre los procesos y resultados </w:t>
      </w:r>
      <w:r w:rsidRPr="002B2FFB">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2B2FFB">
        <w:rPr>
          <w:rFonts w:ascii="Palatino Linotype" w:eastAsia="Palatino Linotype" w:hAnsi="Palatino Linotype" w:cs="Palatino Linotype"/>
          <w:i/>
          <w:sz w:val="22"/>
          <w:szCs w:val="22"/>
          <w:u w:val="single"/>
        </w:rPr>
        <w:t xml:space="preserve">, </w:t>
      </w:r>
      <w:r w:rsidRPr="002B2FFB">
        <w:rPr>
          <w:rFonts w:ascii="Palatino Linotype" w:eastAsia="Palatino Linotype" w:hAnsi="Palatino Linotype" w:cs="Palatino Linotype"/>
          <w:b/>
          <w:i/>
          <w:sz w:val="22"/>
          <w:szCs w:val="22"/>
        </w:rPr>
        <w:t>incluyendo la versión pública</w:t>
      </w:r>
      <w:r w:rsidRPr="002B2FFB">
        <w:rPr>
          <w:rFonts w:ascii="Palatino Linotype" w:eastAsia="Palatino Linotype" w:hAnsi="Palatino Linotype" w:cs="Palatino Linotype"/>
          <w:i/>
          <w:sz w:val="22"/>
          <w:szCs w:val="22"/>
        </w:rPr>
        <w:t xml:space="preserve"> del expediente respectivo y </w:t>
      </w:r>
      <w:r w:rsidRPr="002B2FFB">
        <w:rPr>
          <w:rFonts w:ascii="Palatino Linotype" w:eastAsia="Palatino Linotype" w:hAnsi="Palatino Linotype" w:cs="Palatino Linotype"/>
          <w:b/>
          <w:i/>
          <w:sz w:val="22"/>
          <w:szCs w:val="22"/>
        </w:rPr>
        <w:t>de los contratos celebrados</w:t>
      </w:r>
      <w:r w:rsidRPr="002B2FFB">
        <w:rPr>
          <w:rFonts w:ascii="Palatino Linotype" w:eastAsia="Palatino Linotype" w:hAnsi="Palatino Linotype" w:cs="Palatino Linotype"/>
          <w:i/>
          <w:sz w:val="22"/>
          <w:szCs w:val="22"/>
        </w:rPr>
        <w:t>, que deberán contener, por los menos, lo siguiente:</w:t>
      </w:r>
    </w:p>
    <w:p w14:paraId="7E83E878"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b/>
          <w:i/>
          <w:sz w:val="22"/>
          <w:szCs w:val="22"/>
        </w:rPr>
        <w:t>a) De licitaciones públicas o procedimientos de invitación restringida:</w:t>
      </w:r>
    </w:p>
    <w:p w14:paraId="257A2DD8"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1)</w:t>
      </w:r>
      <w:r w:rsidRPr="002B2FFB">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5B3D80D2"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2)</w:t>
      </w:r>
      <w:r w:rsidRPr="002B2FFB">
        <w:rPr>
          <w:rFonts w:ascii="Palatino Linotype" w:eastAsia="Palatino Linotype" w:hAnsi="Palatino Linotype" w:cs="Palatino Linotype"/>
          <w:i/>
          <w:sz w:val="22"/>
          <w:szCs w:val="22"/>
        </w:rPr>
        <w:t xml:space="preserve"> Los nombres de los participantes o invitados;</w:t>
      </w:r>
    </w:p>
    <w:p w14:paraId="6183F1D2"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3)</w:t>
      </w:r>
      <w:r w:rsidRPr="002B2FFB">
        <w:rPr>
          <w:rFonts w:ascii="Palatino Linotype" w:eastAsia="Palatino Linotype" w:hAnsi="Palatino Linotype" w:cs="Palatino Linotype"/>
          <w:i/>
          <w:sz w:val="22"/>
          <w:szCs w:val="22"/>
        </w:rPr>
        <w:t xml:space="preserve"> El nombre del ganador y las razones que lo justifican;</w:t>
      </w:r>
    </w:p>
    <w:p w14:paraId="1DE0F6F5"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4)</w:t>
      </w:r>
      <w:r w:rsidRPr="002B2FFB">
        <w:rPr>
          <w:rFonts w:ascii="Palatino Linotype" w:eastAsia="Palatino Linotype" w:hAnsi="Palatino Linotype" w:cs="Palatino Linotype"/>
          <w:i/>
          <w:sz w:val="22"/>
          <w:szCs w:val="22"/>
        </w:rPr>
        <w:t xml:space="preserve"> El área solicitante y la responsable de su ejecución;</w:t>
      </w:r>
    </w:p>
    <w:p w14:paraId="5A6EDD89"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5)</w:t>
      </w:r>
      <w:r w:rsidRPr="002B2FFB">
        <w:rPr>
          <w:rFonts w:ascii="Palatino Linotype" w:eastAsia="Palatino Linotype" w:hAnsi="Palatino Linotype" w:cs="Palatino Linotype"/>
          <w:i/>
          <w:sz w:val="22"/>
          <w:szCs w:val="22"/>
        </w:rPr>
        <w:t xml:space="preserve"> Las convocatorias e invitaciones emitidas; </w:t>
      </w:r>
    </w:p>
    <w:p w14:paraId="6A35A403"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6)</w:t>
      </w:r>
      <w:r w:rsidRPr="002B2FFB">
        <w:rPr>
          <w:rFonts w:ascii="Palatino Linotype" w:eastAsia="Palatino Linotype" w:hAnsi="Palatino Linotype" w:cs="Palatino Linotype"/>
          <w:i/>
          <w:sz w:val="22"/>
          <w:szCs w:val="22"/>
        </w:rPr>
        <w:t xml:space="preserve"> Los dictámenes y fallo de adjudicación;</w:t>
      </w:r>
    </w:p>
    <w:p w14:paraId="26E1FFBA"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b/>
          <w:i/>
          <w:sz w:val="22"/>
          <w:szCs w:val="22"/>
        </w:rPr>
        <w:t xml:space="preserve">7) El contrato y, en su caso, sus anexos; </w:t>
      </w:r>
    </w:p>
    <w:p w14:paraId="471C46FB"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8)</w:t>
      </w:r>
      <w:r w:rsidRPr="002B2FFB">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22DBDECE"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9)</w:t>
      </w:r>
      <w:r w:rsidRPr="002B2FFB">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67FF5395"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10)</w:t>
      </w:r>
      <w:r w:rsidRPr="002B2FFB">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493677A9"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11)</w:t>
      </w:r>
      <w:r w:rsidRPr="002B2FFB">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499963E3"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12)</w:t>
      </w:r>
      <w:r w:rsidRPr="002B2FFB">
        <w:rPr>
          <w:rFonts w:ascii="Palatino Linotype" w:eastAsia="Palatino Linotype" w:hAnsi="Palatino Linotype" w:cs="Palatino Linotype"/>
          <w:i/>
          <w:sz w:val="22"/>
          <w:szCs w:val="22"/>
        </w:rPr>
        <w:t xml:space="preserve"> Los informes de avance físico y financiero sobre las obras o servicios contratados; </w:t>
      </w:r>
    </w:p>
    <w:p w14:paraId="1C99DEF9"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13)</w:t>
      </w:r>
      <w:r w:rsidRPr="002B2FFB">
        <w:rPr>
          <w:rFonts w:ascii="Palatino Linotype" w:eastAsia="Palatino Linotype" w:hAnsi="Palatino Linotype" w:cs="Palatino Linotype"/>
          <w:i/>
          <w:sz w:val="22"/>
          <w:szCs w:val="22"/>
        </w:rPr>
        <w:t xml:space="preserve"> El convenio de terminación; </w:t>
      </w:r>
    </w:p>
    <w:p w14:paraId="560BB253"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14)</w:t>
      </w:r>
      <w:r w:rsidRPr="002B2FFB">
        <w:rPr>
          <w:rFonts w:ascii="Palatino Linotype" w:eastAsia="Palatino Linotype" w:hAnsi="Palatino Linotype" w:cs="Palatino Linotype"/>
          <w:i/>
          <w:sz w:val="22"/>
          <w:szCs w:val="22"/>
        </w:rPr>
        <w:t xml:space="preserve"> El finiquito.</w:t>
      </w:r>
    </w:p>
    <w:p w14:paraId="19C4F904"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b/>
          <w:i/>
          <w:sz w:val="22"/>
          <w:szCs w:val="22"/>
        </w:rPr>
        <w:t xml:space="preserve">b) De las adjudicaciones directas: </w:t>
      </w:r>
    </w:p>
    <w:p w14:paraId="3491C048"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1)</w:t>
      </w:r>
      <w:r w:rsidRPr="002B2FFB">
        <w:rPr>
          <w:rFonts w:ascii="Palatino Linotype" w:eastAsia="Palatino Linotype" w:hAnsi="Palatino Linotype" w:cs="Palatino Linotype"/>
          <w:i/>
          <w:sz w:val="22"/>
          <w:szCs w:val="22"/>
        </w:rPr>
        <w:t xml:space="preserve"> La propuesta enviada por el participante; </w:t>
      </w:r>
    </w:p>
    <w:p w14:paraId="568A5BFA"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2)</w:t>
      </w:r>
      <w:r w:rsidRPr="002B2FFB">
        <w:rPr>
          <w:rFonts w:ascii="Palatino Linotype" w:eastAsia="Palatino Linotype" w:hAnsi="Palatino Linotype" w:cs="Palatino Linotype"/>
          <w:i/>
          <w:sz w:val="22"/>
          <w:szCs w:val="22"/>
        </w:rPr>
        <w:t xml:space="preserve"> Los motivos y fundamentos legales aplicados para llevarla a cabo;</w:t>
      </w:r>
    </w:p>
    <w:p w14:paraId="14F76D26"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3)</w:t>
      </w:r>
      <w:r w:rsidRPr="002B2FFB">
        <w:rPr>
          <w:rFonts w:ascii="Palatino Linotype" w:eastAsia="Palatino Linotype" w:hAnsi="Palatino Linotype" w:cs="Palatino Linotype"/>
          <w:i/>
          <w:sz w:val="22"/>
          <w:szCs w:val="22"/>
        </w:rPr>
        <w:t xml:space="preserve"> La autorización del ejercicio de la opción; </w:t>
      </w:r>
    </w:p>
    <w:p w14:paraId="732310C9"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b/>
          <w:i/>
          <w:sz w:val="22"/>
          <w:szCs w:val="22"/>
        </w:rPr>
        <w:t xml:space="preserve">4) </w:t>
      </w:r>
      <w:r w:rsidRPr="002B2FFB">
        <w:rPr>
          <w:rFonts w:ascii="Palatino Linotype" w:eastAsia="Palatino Linotype" w:hAnsi="Palatino Linotype" w:cs="Palatino Linotype"/>
          <w:i/>
          <w:sz w:val="22"/>
          <w:szCs w:val="22"/>
        </w:rPr>
        <w:t>En su caso, las cotizaciones consideradas, especificando los nombres de los proveedores y sus montos;</w:t>
      </w:r>
      <w:r w:rsidRPr="002B2FFB">
        <w:rPr>
          <w:rFonts w:ascii="Palatino Linotype" w:eastAsia="Palatino Linotype" w:hAnsi="Palatino Linotype" w:cs="Palatino Linotype"/>
          <w:b/>
          <w:i/>
          <w:sz w:val="22"/>
          <w:szCs w:val="22"/>
        </w:rPr>
        <w:t xml:space="preserve"> </w:t>
      </w:r>
    </w:p>
    <w:p w14:paraId="2347E1E3"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5)</w:t>
      </w:r>
      <w:r w:rsidRPr="002B2FFB">
        <w:rPr>
          <w:rFonts w:ascii="Palatino Linotype" w:eastAsia="Palatino Linotype" w:hAnsi="Palatino Linotype" w:cs="Palatino Linotype"/>
          <w:i/>
          <w:sz w:val="22"/>
          <w:szCs w:val="22"/>
        </w:rPr>
        <w:t xml:space="preserve"> El nombre de la persona física o jurídica colectiva adjudicada; </w:t>
      </w:r>
    </w:p>
    <w:p w14:paraId="17B1867A"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6)</w:t>
      </w:r>
      <w:r w:rsidRPr="002B2FFB">
        <w:rPr>
          <w:rFonts w:ascii="Palatino Linotype" w:eastAsia="Palatino Linotype" w:hAnsi="Palatino Linotype" w:cs="Palatino Linotype"/>
          <w:i/>
          <w:sz w:val="22"/>
          <w:szCs w:val="22"/>
        </w:rPr>
        <w:t xml:space="preserve"> La unidad administrativa solicitante y la responsable de su ejecución; </w:t>
      </w:r>
    </w:p>
    <w:p w14:paraId="1080B4F7"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34AB1583"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8)</w:t>
      </w:r>
      <w:r w:rsidRPr="002B2FFB">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22651BC2"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9)</w:t>
      </w:r>
      <w:r w:rsidRPr="002B2FFB">
        <w:rPr>
          <w:rFonts w:ascii="Palatino Linotype" w:eastAsia="Palatino Linotype" w:hAnsi="Palatino Linotype" w:cs="Palatino Linotype"/>
          <w:i/>
          <w:sz w:val="22"/>
          <w:szCs w:val="22"/>
        </w:rPr>
        <w:t xml:space="preserve"> Los informes de avance sobre las obras o servicios contratados; </w:t>
      </w:r>
    </w:p>
    <w:p w14:paraId="1BE69ACD"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10)</w:t>
      </w:r>
      <w:r w:rsidRPr="002B2FFB">
        <w:rPr>
          <w:rFonts w:ascii="Palatino Linotype" w:eastAsia="Palatino Linotype" w:hAnsi="Palatino Linotype" w:cs="Palatino Linotype"/>
          <w:i/>
          <w:sz w:val="22"/>
          <w:szCs w:val="22"/>
        </w:rPr>
        <w:t xml:space="preserve"> El convenio de terminación; y </w:t>
      </w:r>
    </w:p>
    <w:p w14:paraId="78CD5C39" w14:textId="77777777" w:rsidR="00EB3B22" w:rsidRPr="002B2FFB" w:rsidRDefault="00EB3B22" w:rsidP="00045104">
      <w:pPr>
        <w:tabs>
          <w:tab w:val="left" w:pos="42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11)</w:t>
      </w:r>
      <w:r w:rsidRPr="002B2FFB">
        <w:rPr>
          <w:rFonts w:ascii="Palatino Linotype" w:eastAsia="Palatino Linotype" w:hAnsi="Palatino Linotype" w:cs="Palatino Linotype"/>
          <w:i/>
          <w:sz w:val="22"/>
          <w:szCs w:val="22"/>
        </w:rPr>
        <w:t xml:space="preserve"> El finiquito;”</w:t>
      </w:r>
    </w:p>
    <w:p w14:paraId="7957E7EC" w14:textId="77777777" w:rsidR="00EB3B22" w:rsidRPr="002B2FFB" w:rsidRDefault="00EB3B22" w:rsidP="00EB3B22">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3C693442" w14:textId="77777777" w:rsidR="00EB3B22" w:rsidRPr="002B2FFB" w:rsidRDefault="00EB3B22" w:rsidP="00EB3B22">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        </w:t>
      </w:r>
      <w:r w:rsidRPr="002B2FFB">
        <w:rPr>
          <w:rFonts w:ascii="Palatino Linotype" w:eastAsia="Palatino Linotype" w:hAnsi="Palatino Linotype" w:cs="Palatino Linotype"/>
          <w:b/>
          <w:sz w:val="22"/>
          <w:szCs w:val="22"/>
        </w:rPr>
        <w:t xml:space="preserve">Licitación pública: </w:t>
      </w:r>
      <w:r w:rsidRPr="002B2FFB">
        <w:rPr>
          <w:rFonts w:ascii="Palatino Linotype" w:eastAsia="Palatino Linotype" w:hAnsi="Palatino Linotype" w:cs="Palatino Linotype"/>
          <w:sz w:val="22"/>
          <w:szCs w:val="22"/>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2B0694A1" w14:textId="77777777" w:rsidR="00EB3B22" w:rsidRPr="002B2FFB" w:rsidRDefault="00EB3B22" w:rsidP="00EB3B22">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        </w:t>
      </w:r>
      <w:r w:rsidRPr="002B2FFB">
        <w:rPr>
          <w:rFonts w:ascii="Palatino Linotype" w:eastAsia="Palatino Linotype" w:hAnsi="Palatino Linotype" w:cs="Palatino Linotype"/>
          <w:b/>
          <w:sz w:val="22"/>
          <w:szCs w:val="22"/>
        </w:rPr>
        <w:t xml:space="preserve">Invitación restringida: </w:t>
      </w:r>
      <w:r w:rsidRPr="002B2FFB">
        <w:rPr>
          <w:rFonts w:ascii="Palatino Linotype" w:eastAsia="Palatino Linotype" w:hAnsi="Palatino Linotype" w:cs="Palatino Linotype"/>
          <w:sz w:val="22"/>
          <w:szCs w:val="22"/>
        </w:rPr>
        <w:t>invitación emitida y fundamentos legales aplicables para llevarla a cabo, nombre de los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3680B75C" w14:textId="77777777" w:rsidR="00EB3B22" w:rsidRPr="002B2FFB" w:rsidRDefault="00EB3B22" w:rsidP="00EB3B22">
      <w:pPr>
        <w:spacing w:before="240" w:after="240" w:line="360" w:lineRule="auto"/>
        <w:ind w:left="284"/>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        </w:t>
      </w:r>
      <w:r w:rsidRPr="002B2FFB">
        <w:rPr>
          <w:rFonts w:ascii="Palatino Linotype" w:eastAsia="Palatino Linotype" w:hAnsi="Palatino Linotype" w:cs="Palatino Linotype"/>
          <w:b/>
          <w:sz w:val="22"/>
          <w:szCs w:val="22"/>
        </w:rPr>
        <w:t xml:space="preserve">Adjudicaciones directas: </w:t>
      </w:r>
      <w:r w:rsidRPr="002B2FFB">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03071A38" w14:textId="77777777" w:rsidR="00EB3B22" w:rsidRPr="002B2FFB" w:rsidRDefault="00EB3B22" w:rsidP="00EB3B22">
      <w:pP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contratos y convenios celebrados, misma que </w:t>
      </w:r>
      <w:r w:rsidRPr="002B2FFB">
        <w:rPr>
          <w:rFonts w:ascii="Palatino Linotype" w:eastAsia="Palatino Linotype" w:hAnsi="Palatino Linotype" w:cs="Palatino Linotype"/>
          <w:b/>
          <w:sz w:val="22"/>
          <w:szCs w:val="22"/>
        </w:rPr>
        <w:t>debe presentarse en una base de datos en la que cada registro se hará por tipo de procedimiento, ya sea licitación pública, invitación restringida o adjudicación directa,</w:t>
      </w:r>
      <w:r w:rsidRPr="002B2FFB">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4E90ED6C" w14:textId="77777777" w:rsidR="007F25D9" w:rsidRPr="002B2FFB" w:rsidRDefault="00EB3B22" w:rsidP="007F25D9">
      <w:pP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Finalmente, por lo que se refiere a la autoridad ante la cual se puede interponer una queja ante la falta de avance en la obra, es de señalar que </w:t>
      </w:r>
      <w:r w:rsidR="007F25D9" w:rsidRPr="002B2FFB">
        <w:rPr>
          <w:rFonts w:ascii="Palatino Linotype" w:eastAsia="Palatino Linotype" w:hAnsi="Palatino Linotype" w:cs="Palatino Linotype"/>
          <w:sz w:val="22"/>
          <w:szCs w:val="22"/>
        </w:rPr>
        <w:t xml:space="preserve">de conformidad con los artículos 113 A, 113 B y 113 C, de  la Ley Orgánica Municipal del Estado de México y Municipios, los Comités Ciudadanos de Control y Vigilancia son responsables de supervisar la obra pública estatal y municipal, para lo cual se integrarán por tres vecinos de la localidad en la que se constituya la obra, y serán electos en asamblea general, por los ciudadanos beneficiados por aquella. </w:t>
      </w:r>
      <w:r w:rsidR="007F25D9" w:rsidRPr="002B2FFB">
        <w:rPr>
          <w:rFonts w:ascii="Palatino Linotype" w:eastAsia="Palatino Linotype" w:hAnsi="Palatino Linotype" w:cs="Palatino Linotype"/>
          <w:b/>
          <w:sz w:val="22"/>
          <w:szCs w:val="22"/>
        </w:rPr>
        <w:t>Para cada obra estatal o municipal se constituirá un comité ciudadano de control y vigilancia</w:t>
      </w:r>
      <w:r w:rsidR="007F25D9" w:rsidRPr="002B2FFB">
        <w:rPr>
          <w:rFonts w:ascii="Palatino Linotype" w:eastAsia="Palatino Linotype" w:hAnsi="Palatino Linotype" w:cs="Palatino Linotype"/>
          <w:sz w:val="22"/>
          <w:szCs w:val="22"/>
        </w:rPr>
        <w:t>, sin embargo, en aquellos casos en los que las características técnicas o las dimensiones de la obra lo ameriten, podrán integrarse más de uno, a saber:</w:t>
      </w:r>
    </w:p>
    <w:p w14:paraId="28F13089" w14:textId="77777777" w:rsidR="007F25D9" w:rsidRPr="002B2FFB" w:rsidRDefault="007F25D9" w:rsidP="007F25D9">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Artículo 113 A.-</w:t>
      </w:r>
      <w:r w:rsidRPr="002B2FFB">
        <w:rPr>
          <w:rFonts w:ascii="Palatino Linotype" w:eastAsia="Palatino Linotype" w:hAnsi="Palatino Linotype" w:cs="Palatino Linotype"/>
          <w:i/>
          <w:sz w:val="22"/>
          <w:szCs w:val="22"/>
        </w:rPr>
        <w:t xml:space="preserve"> Los ayuntamientos promoverán la constitución de comités ciudadanos de control y vigilancia, los que serán responsables de supervisar la obra pública estatal y municipal. </w:t>
      </w:r>
    </w:p>
    <w:p w14:paraId="47DFCB9D" w14:textId="77777777" w:rsidR="007F25D9" w:rsidRPr="002B2FFB" w:rsidRDefault="007F25D9" w:rsidP="007F25D9">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Artículo 113 B.-</w:t>
      </w:r>
      <w:r w:rsidRPr="002B2FFB">
        <w:rPr>
          <w:rFonts w:ascii="Palatino Linotype" w:eastAsia="Palatino Linotype" w:hAnsi="Palatino Linotype" w:cs="Palatino Linotype"/>
          <w:i/>
          <w:sz w:val="22"/>
          <w:szCs w:val="22"/>
        </w:rPr>
        <w:t xml:space="preserve"> Los comités ciudadanos de control y vigilancia estarán integrados por tres vecinos de la localidad en la que se construya la obra, serán electos en asamblea general, por los ciudadanos beneficiados por aquélla. El cargo de integrante del comité será honorífico. </w:t>
      </w:r>
    </w:p>
    <w:p w14:paraId="6F9329B0" w14:textId="77777777" w:rsidR="007F25D9" w:rsidRPr="002B2FFB" w:rsidRDefault="007F25D9" w:rsidP="007F25D9">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 xml:space="preserve">No podrán ser integrantes de los comités las personas que sean dirigentes de organizaciones políticas o servidores públicos. </w:t>
      </w:r>
    </w:p>
    <w:p w14:paraId="7BB3351A" w14:textId="77777777" w:rsidR="007F25D9" w:rsidRPr="002B2FFB" w:rsidRDefault="007F25D9" w:rsidP="007F25D9">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Artículo 113 C</w:t>
      </w:r>
      <w:r w:rsidRPr="002B2FFB">
        <w:rPr>
          <w:rFonts w:ascii="Palatino Linotype" w:eastAsia="Palatino Linotype" w:hAnsi="Palatino Linotype" w:cs="Palatino Linotype"/>
          <w:b/>
          <w:bCs/>
          <w:i/>
          <w:sz w:val="22"/>
          <w:szCs w:val="22"/>
        </w:rPr>
        <w:t xml:space="preserve">.- </w:t>
      </w:r>
      <w:r w:rsidRPr="002B2FFB">
        <w:rPr>
          <w:rFonts w:ascii="Palatino Linotype" w:eastAsia="Palatino Linotype" w:hAnsi="Palatino Linotype" w:cs="Palatino Linotype"/>
          <w:b/>
          <w:bCs/>
          <w:i/>
          <w:sz w:val="22"/>
          <w:szCs w:val="22"/>
          <w:u w:val="single"/>
        </w:rPr>
        <w:t>Para cada obra estatal o municipal se constituirá un comité ciudadano de control y vigilancia</w:t>
      </w:r>
      <w:r w:rsidRPr="002B2FFB">
        <w:rPr>
          <w:rFonts w:ascii="Palatino Linotype" w:eastAsia="Palatino Linotype" w:hAnsi="Palatino Linotype" w:cs="Palatino Linotype"/>
          <w:i/>
          <w:sz w:val="22"/>
          <w:szCs w:val="22"/>
        </w:rPr>
        <w:t>. Sin embargo, en aquellos casos en que las características técnicas o las dimensiones de la obra lo ameriten, podrán integrarse más de uno.”</w:t>
      </w:r>
    </w:p>
    <w:p w14:paraId="25092381" w14:textId="77777777" w:rsidR="007F25D9" w:rsidRPr="002B2FFB" w:rsidRDefault="007F25D9" w:rsidP="007F25D9">
      <w:pPr>
        <w:spacing w:before="240" w:after="240" w:line="360" w:lineRule="auto"/>
        <w:jc w:val="both"/>
        <w:rPr>
          <w:rFonts w:ascii="Palatino Linotype" w:eastAsia="Palatino Linotype" w:hAnsi="Palatino Linotype" w:cs="Palatino Linotype"/>
          <w:sz w:val="22"/>
          <w:szCs w:val="22"/>
        </w:rPr>
      </w:pPr>
      <w:bookmarkStart w:id="9" w:name="_heading=h.2jxsxqh" w:colFirst="0" w:colLast="0"/>
      <w:bookmarkEnd w:id="9"/>
      <w:r w:rsidRPr="002B2FFB">
        <w:rPr>
          <w:rFonts w:ascii="Palatino Linotype" w:eastAsia="Palatino Linotype" w:hAnsi="Palatino Linotype" w:cs="Palatino Linotype"/>
          <w:sz w:val="22"/>
          <w:szCs w:val="22"/>
        </w:rPr>
        <w:t>Los Comités Ciudadanos de Control y Vigilancia tendrán las funciones establecidas en el artículo 113 D de la Ley Orgánica Municipal, a saber:</w:t>
      </w:r>
    </w:p>
    <w:p w14:paraId="6AA3C57B" w14:textId="77777777" w:rsidR="007F25D9" w:rsidRPr="002B2FFB" w:rsidRDefault="007F25D9" w:rsidP="007F25D9">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“Artículo 113 D.-</w:t>
      </w:r>
      <w:r w:rsidRPr="002B2FFB">
        <w:rPr>
          <w:rFonts w:ascii="Palatino Linotype" w:eastAsia="Palatino Linotype" w:hAnsi="Palatino Linotype" w:cs="Palatino Linotype"/>
          <w:i/>
          <w:sz w:val="22"/>
          <w:szCs w:val="22"/>
        </w:rPr>
        <w:t xml:space="preserve"> Los comités ciudadanos de control y vigilancia tendrán además, las siguientes funciones:</w:t>
      </w:r>
    </w:p>
    <w:p w14:paraId="27DBF3AD" w14:textId="77777777" w:rsidR="007F25D9" w:rsidRPr="002B2FFB" w:rsidRDefault="007F25D9" w:rsidP="007F25D9">
      <w:pPr>
        <w:spacing w:before="120" w:after="120"/>
        <w:ind w:left="1134"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w:t>
      </w:r>
      <w:r w:rsidRPr="002B2FFB">
        <w:rPr>
          <w:rFonts w:ascii="Palatino Linotype" w:eastAsia="Palatino Linotype" w:hAnsi="Palatino Linotype" w:cs="Palatino Linotype"/>
          <w:i/>
          <w:sz w:val="22"/>
          <w:szCs w:val="22"/>
        </w:rPr>
        <w:t xml:space="preserve"> Vigilar que la obra pública se realice de acuerdo al expediente técnico y dentro de la normatividad correspondiente;</w:t>
      </w:r>
    </w:p>
    <w:p w14:paraId="3C1FEE38" w14:textId="77777777" w:rsidR="007F25D9" w:rsidRPr="002B2FFB" w:rsidRDefault="007F25D9" w:rsidP="007F25D9">
      <w:pPr>
        <w:spacing w:before="120" w:after="120"/>
        <w:ind w:left="1134"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II.</w:t>
      </w:r>
      <w:r w:rsidRPr="002B2FFB">
        <w:rPr>
          <w:rFonts w:ascii="Palatino Linotype" w:eastAsia="Palatino Linotype" w:hAnsi="Palatino Linotype" w:cs="Palatino Linotype"/>
          <w:i/>
          <w:sz w:val="22"/>
          <w:szCs w:val="22"/>
        </w:rPr>
        <w:t xml:space="preserve"> Participar como observador en los procesos o actos administrativos relacionados con la adjudicación o concesión de la ejecución de la obra;</w:t>
      </w:r>
    </w:p>
    <w:p w14:paraId="3002A0ED" w14:textId="77777777" w:rsidR="007F25D9" w:rsidRPr="002B2FFB" w:rsidRDefault="007F25D9" w:rsidP="007F25D9">
      <w:pPr>
        <w:spacing w:before="120" w:after="120"/>
        <w:ind w:left="1134"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III</w:t>
      </w:r>
      <w:r w:rsidRPr="002B2FFB">
        <w:rPr>
          <w:rFonts w:ascii="Palatino Linotype" w:eastAsia="Palatino Linotype" w:hAnsi="Palatino Linotype" w:cs="Palatino Linotype"/>
          <w:i/>
          <w:sz w:val="22"/>
          <w:szCs w:val="22"/>
        </w:rPr>
        <w:t>. Hacer visitas de inspección y llevar registro de sus resultados;</w:t>
      </w:r>
    </w:p>
    <w:p w14:paraId="6FE481FB" w14:textId="77777777" w:rsidR="007F25D9" w:rsidRPr="002B2FFB" w:rsidRDefault="007F25D9" w:rsidP="007F25D9">
      <w:pPr>
        <w:spacing w:before="120" w:after="120"/>
        <w:ind w:left="1134"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IV</w:t>
      </w:r>
      <w:r w:rsidRPr="002B2FFB">
        <w:rPr>
          <w:rFonts w:ascii="Palatino Linotype" w:eastAsia="Palatino Linotype" w:hAnsi="Palatino Linotype" w:cs="Palatino Linotype"/>
          <w:i/>
          <w:sz w:val="22"/>
          <w:szCs w:val="22"/>
        </w:rPr>
        <w:t>. Verificar la calidad con que se realiza la obra pública,</w:t>
      </w:r>
    </w:p>
    <w:p w14:paraId="2C5B6AE1" w14:textId="77777777" w:rsidR="007F25D9" w:rsidRPr="002B2FFB" w:rsidRDefault="007F25D9" w:rsidP="007F25D9">
      <w:pPr>
        <w:spacing w:before="120" w:after="120"/>
        <w:ind w:left="1134"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V</w:t>
      </w:r>
      <w:r w:rsidRPr="002B2FFB">
        <w:rPr>
          <w:rFonts w:ascii="Palatino Linotype" w:eastAsia="Palatino Linotype" w:hAnsi="Palatino Linotype" w:cs="Palatino Linotype"/>
          <w:i/>
          <w:sz w:val="22"/>
          <w:szCs w:val="22"/>
        </w:rPr>
        <w:t>. Hacer del conocimiento de las autoridades correspondientes las irregularidades que observe durante el desempeño de sus funciones o las quejas que reciba de la ciudadanía, con motivo de las obras objeto de supervisión,</w:t>
      </w:r>
    </w:p>
    <w:p w14:paraId="4A1FF468" w14:textId="77777777" w:rsidR="007F25D9" w:rsidRPr="002B2FFB" w:rsidRDefault="007F25D9" w:rsidP="007F25D9">
      <w:pPr>
        <w:spacing w:before="120" w:after="120"/>
        <w:ind w:left="1134"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VI.</w:t>
      </w:r>
      <w:r w:rsidRPr="002B2FFB">
        <w:rPr>
          <w:rFonts w:ascii="Palatino Linotype" w:eastAsia="Palatino Linotype" w:hAnsi="Palatino Linotype" w:cs="Palatino Linotype"/>
          <w:i/>
          <w:sz w:val="22"/>
          <w:szCs w:val="22"/>
        </w:rPr>
        <w:t xml:space="preserve"> Integrar un archivo con la documentación que se derive de la supervisión de las obras, </w:t>
      </w:r>
    </w:p>
    <w:p w14:paraId="46F01C3D" w14:textId="77777777" w:rsidR="007F25D9" w:rsidRPr="002B2FFB" w:rsidRDefault="007F25D9" w:rsidP="007F25D9">
      <w:pPr>
        <w:spacing w:before="120" w:after="120"/>
        <w:ind w:left="1134"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VII.</w:t>
      </w:r>
      <w:r w:rsidRPr="002B2FFB">
        <w:rPr>
          <w:rFonts w:ascii="Palatino Linotype" w:eastAsia="Palatino Linotype" w:hAnsi="Palatino Linotype" w:cs="Palatino Linotype"/>
          <w:i/>
          <w:sz w:val="22"/>
          <w:szCs w:val="22"/>
        </w:rPr>
        <w:t xml:space="preserve"> Intervenir en los actos de entrega-recepción de las obras y acciones, informando a los vecinos el resultado del desempeño de sus funciones; y</w:t>
      </w:r>
    </w:p>
    <w:p w14:paraId="04781D91" w14:textId="77777777" w:rsidR="007F25D9" w:rsidRPr="002B2FFB" w:rsidRDefault="007F25D9" w:rsidP="007F25D9">
      <w:pPr>
        <w:spacing w:before="120" w:after="120"/>
        <w:ind w:left="1134"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VIII.</w:t>
      </w:r>
      <w:r w:rsidRPr="002B2FFB">
        <w:rPr>
          <w:rFonts w:ascii="Palatino Linotype" w:eastAsia="Palatino Linotype" w:hAnsi="Palatino Linotype" w:cs="Palatino Linotype"/>
          <w:i/>
          <w:sz w:val="22"/>
          <w:szCs w:val="22"/>
        </w:rPr>
        <w:t xml:space="preserve"> Promover el adecuado mantenimiento de la obra pública ante las autoridades municipales.”</w:t>
      </w:r>
    </w:p>
    <w:p w14:paraId="463E0721" w14:textId="77777777" w:rsidR="007F25D9" w:rsidRPr="002B2FFB" w:rsidRDefault="007F25D9" w:rsidP="007F25D9">
      <w:pP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De conformidad con el artículo 113 E, de la Ley Orgánica Municipal, los Comités Ciudadanos de Control y Vigilancia deben apoyarse en las Contralorías Municipal y estatal, y coadyuvar con el órgano de control interno municipal en el desempeño de las funciones a que se refieren las fracciones VII y VIII del artículo 112 de la misma Ley citado con antelación, Por su parte, el articulo 113 F, de la Ley Orgánica dispone que las dependencias y entidades de la administración pública municipal que construyan las obras o realicen las acciones, explicarán a los comités ciudadanos de control y vigilancia, las características físicas y financieras de las obras y les proporcionarán, antes del inicio de la obra, el resumen del expediente técnico respectivo y darles el apoyo, las facilidades y la información necesaria para el desempeño de sus funciones.</w:t>
      </w:r>
    </w:p>
    <w:p w14:paraId="54A4521B" w14:textId="77777777" w:rsidR="007F25D9" w:rsidRPr="002B2FFB" w:rsidRDefault="007F25D9" w:rsidP="007F25D9">
      <w:pP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Mientras que el artículo 113 G, de la Ley Orgánica Municipal refiere que las dependencias y entidades de la administración pública municipal que construyan las obras o realicen las acciones, harán la entrega-recepción de las obras ante los integrantes de los comités ciudadanos de control y vigilancia y de los vecinos de la localidad beneficiados con la obra.</w:t>
      </w:r>
    </w:p>
    <w:p w14:paraId="3EEEBCD6" w14:textId="77777777" w:rsidR="007F25D9" w:rsidRPr="002B2FFB" w:rsidRDefault="007F25D9" w:rsidP="007F25D9">
      <w:pP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Asimismo, los Lineamientos de Operación del Programa de Contraloría y Evaluación Social, publicados en el Periódico Oficial “Gaceta del Gobierno” del Estado de México, el treinta y uno de agosto de dos mil veinte, cuyo objeto consiste en  regir la operación y el funcionamiento del Programa de Contraloría y Evaluación Social como mecanismo de participación ciudadana, para contribuir en la vigilancia, control y seguimiento de la ejecución de obras públicas, programas sociales, trámites y servicios que ejecutan las dependencias y organismos auxiliares de la Administración Pública Estatal, así como los ayuntamientos y las instancias públicas municipales cuando se trate de recursos estatales totales o parciales, con la finalidad de orientar sus resultados al incremento de la confianza ciudadana en sus instituciones, establecen en el numeral Décimo Octavo las funciones que se les confieren a los Com</w:t>
      </w:r>
      <w:r w:rsidRPr="002B2FFB">
        <w:rPr>
          <w:rFonts w:ascii="Palatino Linotype" w:hAnsi="Palatino Linotype"/>
          <w:sz w:val="22"/>
          <w:szCs w:val="22"/>
        </w:rPr>
        <w:t xml:space="preserve">ités  </w:t>
      </w:r>
      <w:r w:rsidRPr="002B2FFB">
        <w:rPr>
          <w:rFonts w:ascii="Palatino Linotype" w:eastAsia="Palatino Linotype" w:hAnsi="Palatino Linotype" w:cs="Palatino Linotype"/>
          <w:sz w:val="22"/>
          <w:szCs w:val="22"/>
        </w:rPr>
        <w:t>Ciudadanos de Control y Vigilancia para el cumplimiento de su objetivo, siendo relevantes para  el tema que nos ocupa, las siguientes:</w:t>
      </w:r>
    </w:p>
    <w:p w14:paraId="67CF2E37" w14:textId="77777777" w:rsidR="007F25D9" w:rsidRPr="002B2FFB" w:rsidRDefault="007F25D9" w:rsidP="007F25D9">
      <w:pPr>
        <w:spacing w:before="240" w:after="240" w:line="276" w:lineRule="auto"/>
        <w:ind w:left="284"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I. De promoción y gestión: </w:t>
      </w:r>
    </w:p>
    <w:p w14:paraId="122CD0F8" w14:textId="77777777" w:rsidR="007F25D9" w:rsidRPr="002B2FFB" w:rsidRDefault="007F25D9" w:rsidP="007F25D9">
      <w:pPr>
        <w:spacing w:before="240" w:after="240" w:line="276" w:lineRule="auto"/>
        <w:ind w:left="284"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a) Representar como órgano de vigilancia a las y los beneficiarios de las acciones, ante todo tipo de autoridades; </w:t>
      </w:r>
    </w:p>
    <w:p w14:paraId="5C597D87" w14:textId="77777777" w:rsidR="007F25D9" w:rsidRPr="002B2FFB" w:rsidRDefault="007F25D9" w:rsidP="007F25D9">
      <w:pPr>
        <w:spacing w:before="240" w:after="240" w:line="276" w:lineRule="auto"/>
        <w:ind w:left="284"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b) Promover la organización de las y los beneficiarios o las y los usuarios con la finalidad de vigilar la correcta operación y ejecución de las acciones;</w:t>
      </w:r>
    </w:p>
    <w:p w14:paraId="70319029" w14:textId="77777777" w:rsidR="007F25D9" w:rsidRPr="002B2FFB" w:rsidRDefault="007F25D9" w:rsidP="007F25D9">
      <w:pPr>
        <w:spacing w:before="240" w:after="240" w:line="276" w:lineRule="auto"/>
        <w:ind w:left="284"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c) Solicitar la documentación e información necesaria para el buen desempeño de sus funciones; </w:t>
      </w:r>
    </w:p>
    <w:p w14:paraId="38747938" w14:textId="77777777" w:rsidR="007F25D9" w:rsidRPr="002B2FFB" w:rsidRDefault="007F25D9" w:rsidP="007F25D9">
      <w:pPr>
        <w:spacing w:before="240" w:after="240" w:line="276" w:lineRule="auto"/>
        <w:ind w:left="284"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d) Promover al interior de la comunidad beneficiaria o usuaria la presentación del reporte ciudadano a través de los medios habilitados, cuando se identifique la existencia de presuntas irregularidades, y en su caso, de reconocimientos ciudadanos;</w:t>
      </w:r>
    </w:p>
    <w:p w14:paraId="675B2ACA" w14:textId="77777777" w:rsidR="007F25D9" w:rsidRPr="002B2FFB" w:rsidRDefault="007F25D9" w:rsidP="007F25D9">
      <w:pPr>
        <w:spacing w:before="240" w:after="240" w:line="276" w:lineRule="auto"/>
        <w:ind w:left="284"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II. De vigilancia y seguimiento: </w:t>
      </w:r>
    </w:p>
    <w:p w14:paraId="2F85723B" w14:textId="77777777" w:rsidR="007F25D9" w:rsidRPr="002B2FFB" w:rsidRDefault="007F25D9" w:rsidP="007F25D9">
      <w:pPr>
        <w:spacing w:before="240" w:after="240" w:line="276" w:lineRule="auto"/>
        <w:ind w:left="284"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a) Realizar visitas a los lugares donde se ejecutan las acciones y documentarlas en los formatos que determine la Secretaría;</w:t>
      </w:r>
    </w:p>
    <w:p w14:paraId="2D7C1C06" w14:textId="77777777" w:rsidR="007F25D9" w:rsidRPr="002B2FFB" w:rsidRDefault="007F25D9" w:rsidP="007F25D9">
      <w:pPr>
        <w:spacing w:before="240" w:after="240" w:line="276" w:lineRule="auto"/>
        <w:ind w:left="284"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b) Vigilar que las acciones se presten, ejecuten u operen, con apego a la normatividad establecida;</w:t>
      </w:r>
    </w:p>
    <w:p w14:paraId="0D4BDCD0" w14:textId="77777777" w:rsidR="007F25D9" w:rsidRPr="002B2FFB" w:rsidRDefault="007F25D9" w:rsidP="007F25D9">
      <w:pPr>
        <w:spacing w:before="240" w:after="240" w:line="276" w:lineRule="auto"/>
        <w:ind w:left="284"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w:t>
      </w:r>
    </w:p>
    <w:p w14:paraId="3262C7BE" w14:textId="77777777" w:rsidR="007F25D9" w:rsidRPr="002B2FFB" w:rsidRDefault="007F25D9" w:rsidP="007F25D9">
      <w:pPr>
        <w:spacing w:before="240" w:after="240" w:line="276" w:lineRule="auto"/>
        <w:ind w:left="284"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 Identificar presuntas irregularidades o deficiencias en la prestación, ejecución u operación de las acciones, por medio de reportes ciudadanos presentados por los Contralores Sociales o ciudadanos; </w:t>
      </w:r>
    </w:p>
    <w:p w14:paraId="12959600" w14:textId="77777777" w:rsidR="007F25D9" w:rsidRPr="002B2FFB" w:rsidRDefault="007F25D9" w:rsidP="007F25D9">
      <w:pPr>
        <w:spacing w:before="240" w:after="240" w:line="276" w:lineRule="auto"/>
        <w:ind w:left="284"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f) Informar a la comunidad el avance y situación que guarda la acción correspondiente a través de los medios que el COCICOVI determine;</w:t>
      </w:r>
    </w:p>
    <w:p w14:paraId="2263BDBE" w14:textId="33FD575D" w:rsidR="00045104" w:rsidRPr="002B2FFB" w:rsidRDefault="007F25D9" w:rsidP="007F25D9">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A partir de lo anterior, se considera que ha quedado acreditada la competencia del </w:t>
      </w:r>
      <w:r w:rsidRPr="002B2FFB">
        <w:rPr>
          <w:rFonts w:ascii="Palatino Linotype" w:eastAsia="Palatino Linotype" w:hAnsi="Palatino Linotype" w:cs="Palatino Linotype"/>
          <w:b/>
          <w:sz w:val="22"/>
          <w:szCs w:val="22"/>
        </w:rPr>
        <w:t>Sujeto Obligado</w:t>
      </w:r>
      <w:r w:rsidRPr="002B2FFB">
        <w:rPr>
          <w:rFonts w:ascii="Palatino Linotype" w:eastAsia="Palatino Linotype" w:hAnsi="Palatino Linotype" w:cs="Palatino Linotype"/>
          <w:sz w:val="22"/>
          <w:szCs w:val="22"/>
        </w:rPr>
        <w:t xml:space="preserve"> para conocer la información que es del interés de la pe</w:t>
      </w:r>
      <w:r w:rsidR="001167AB" w:rsidRPr="002B2FFB">
        <w:rPr>
          <w:rFonts w:ascii="Palatino Linotype" w:eastAsia="Palatino Linotype" w:hAnsi="Palatino Linotype" w:cs="Palatino Linotype"/>
          <w:sz w:val="22"/>
          <w:szCs w:val="22"/>
        </w:rPr>
        <w:t>rsona solicitante.</w:t>
      </w:r>
    </w:p>
    <w:p w14:paraId="66A9FCF1" w14:textId="034E1172" w:rsidR="00045104" w:rsidRPr="002B2FFB" w:rsidRDefault="001167AB" w:rsidP="007F25D9">
      <w:pPr>
        <w:spacing w:before="240" w:after="240" w:line="360" w:lineRule="auto"/>
        <w:jc w:val="both"/>
        <w:rPr>
          <w:rFonts w:ascii="Palatino Linotype" w:hAnsi="Palatino Linotype"/>
          <w:sz w:val="22"/>
          <w:szCs w:val="22"/>
        </w:rPr>
      </w:pPr>
      <w:r w:rsidRPr="002B2FFB">
        <w:rPr>
          <w:rFonts w:ascii="Palatino Linotype" w:eastAsia="Palatino Linotype" w:hAnsi="Palatino Linotype" w:cs="Palatino Linotype"/>
          <w:sz w:val="22"/>
          <w:szCs w:val="22"/>
        </w:rPr>
        <w:t>Asimismo</w:t>
      </w:r>
      <w:r w:rsidR="00045104" w:rsidRPr="002B2FFB">
        <w:rPr>
          <w:rFonts w:ascii="Palatino Linotype" w:eastAsia="Palatino Linotype" w:hAnsi="Palatino Linotype" w:cs="Palatino Linotype"/>
          <w:sz w:val="22"/>
          <w:szCs w:val="22"/>
        </w:rPr>
        <w:t>, es importante mencionar que de la consulta realizada por este Organismo Garante en diversas fuentes de información, se localizaron diversos indicios relacionados con la construcción de un puent</w:t>
      </w:r>
      <w:r w:rsidR="009E273A" w:rsidRPr="002B2FFB">
        <w:rPr>
          <w:rFonts w:ascii="Palatino Linotype" w:eastAsia="Palatino Linotype" w:hAnsi="Palatino Linotype" w:cs="Palatino Linotype"/>
          <w:sz w:val="22"/>
          <w:szCs w:val="22"/>
        </w:rPr>
        <w:t xml:space="preserve">e vehicular de conexión a la </w:t>
      </w:r>
      <w:r w:rsidR="009E273A" w:rsidRPr="002B2FFB">
        <w:rPr>
          <w:rFonts w:ascii="Palatino Linotype" w:hAnsi="Palatino Linotype"/>
          <w:sz w:val="22"/>
          <w:szCs w:val="22"/>
        </w:rPr>
        <w:t>Autopista México</w:t>
      </w:r>
      <w:r w:rsidR="00577EE8" w:rsidRPr="002B2FFB">
        <w:rPr>
          <w:rFonts w:ascii="Palatino Linotype" w:hAnsi="Palatino Linotype"/>
          <w:sz w:val="22"/>
          <w:szCs w:val="22"/>
        </w:rPr>
        <w:t>-</w:t>
      </w:r>
      <w:r w:rsidR="009E273A" w:rsidRPr="002B2FFB">
        <w:rPr>
          <w:rFonts w:ascii="Palatino Linotype" w:hAnsi="Palatino Linotype"/>
          <w:sz w:val="22"/>
          <w:szCs w:val="22"/>
        </w:rPr>
        <w:t xml:space="preserve">Querétaro, como se desprende del </w:t>
      </w:r>
      <w:r w:rsidR="009E273A" w:rsidRPr="002B2FFB">
        <w:rPr>
          <w:rFonts w:ascii="Palatino Linotype" w:hAnsi="Palatino Linotype"/>
          <w:b/>
          <w:sz w:val="22"/>
          <w:szCs w:val="22"/>
          <w:u w:val="single"/>
        </w:rPr>
        <w:t xml:space="preserve">Plan de Desarrollo </w:t>
      </w:r>
      <w:r w:rsidR="00577EE8" w:rsidRPr="002B2FFB">
        <w:rPr>
          <w:rFonts w:ascii="Palatino Linotype" w:hAnsi="Palatino Linotype"/>
          <w:b/>
          <w:sz w:val="22"/>
          <w:szCs w:val="22"/>
          <w:u w:val="single"/>
        </w:rPr>
        <w:t>Municipal de Tepotzotlán</w:t>
      </w:r>
      <w:r w:rsidR="009E273A" w:rsidRPr="002B2FFB">
        <w:rPr>
          <w:rFonts w:ascii="Palatino Linotype" w:hAnsi="Palatino Linotype"/>
          <w:b/>
          <w:sz w:val="22"/>
          <w:szCs w:val="22"/>
          <w:u w:val="single"/>
        </w:rPr>
        <w:t xml:space="preserve"> 2022-202</w:t>
      </w:r>
      <w:r w:rsidR="00577EE8" w:rsidRPr="002B2FFB">
        <w:rPr>
          <w:rFonts w:ascii="Palatino Linotype" w:hAnsi="Palatino Linotype"/>
          <w:b/>
          <w:sz w:val="22"/>
          <w:szCs w:val="22"/>
          <w:u w:val="single"/>
        </w:rPr>
        <w:t>4</w:t>
      </w:r>
      <w:r w:rsidR="00577EE8" w:rsidRPr="002B2FFB">
        <w:rPr>
          <w:rFonts w:ascii="Palatino Linotype" w:hAnsi="Palatino Linotype"/>
          <w:sz w:val="22"/>
          <w:szCs w:val="22"/>
        </w:rPr>
        <w:t>:</w:t>
      </w:r>
    </w:p>
    <w:p w14:paraId="7814E506" w14:textId="03B54BEF" w:rsidR="00577EE8" w:rsidRPr="002B2FFB" w:rsidRDefault="00577EE8" w:rsidP="007F25D9">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noProof/>
          <w:sz w:val="22"/>
          <w:szCs w:val="22"/>
        </w:rPr>
        <w:drawing>
          <wp:inline distT="0" distB="0" distL="0" distR="0" wp14:anchorId="3439C1DA" wp14:editId="0CF4AF59">
            <wp:extent cx="5612130" cy="1198880"/>
            <wp:effectExtent l="0" t="0" r="762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198880"/>
                    </a:xfrm>
                    <a:prstGeom prst="rect">
                      <a:avLst/>
                    </a:prstGeom>
                  </pic:spPr>
                </pic:pic>
              </a:graphicData>
            </a:graphic>
          </wp:inline>
        </w:drawing>
      </w:r>
      <w:r w:rsidRPr="002B2FFB">
        <w:rPr>
          <w:rFonts w:ascii="Palatino Linotype" w:hAnsi="Palatino Linotype"/>
          <w:noProof/>
          <w:sz w:val="22"/>
          <w:szCs w:val="22"/>
        </w:rPr>
        <w:drawing>
          <wp:inline distT="0" distB="0" distL="0" distR="0" wp14:anchorId="5D2ECEFD" wp14:editId="5638F920">
            <wp:extent cx="5612130" cy="10858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1085850"/>
                    </a:xfrm>
                    <a:prstGeom prst="rect">
                      <a:avLst/>
                    </a:prstGeom>
                  </pic:spPr>
                </pic:pic>
              </a:graphicData>
            </a:graphic>
          </wp:inline>
        </w:drawing>
      </w:r>
    </w:p>
    <w:p w14:paraId="4B7502DE" w14:textId="377059A1" w:rsidR="002E5417" w:rsidRPr="002B2FFB" w:rsidRDefault="00577EE8" w:rsidP="002E5417">
      <w:pPr>
        <w:spacing w:line="360" w:lineRule="auto"/>
        <w:jc w:val="both"/>
        <w:rPr>
          <w:rFonts w:ascii="Palatino Linotype" w:hAnsi="Palatino Linotype" w:cs="Tahoma"/>
          <w:bCs/>
          <w:iCs/>
          <w:sz w:val="22"/>
          <w:szCs w:val="22"/>
          <w:lang w:eastAsia="es-ES"/>
        </w:rPr>
      </w:pPr>
      <w:r w:rsidRPr="002B2FFB">
        <w:rPr>
          <w:rFonts w:ascii="Palatino Linotype" w:eastAsia="Palatino Linotype" w:hAnsi="Palatino Linotype" w:cs="Palatino Linotype"/>
          <w:sz w:val="22"/>
          <w:szCs w:val="22"/>
        </w:rPr>
        <w:t xml:space="preserve">Asimismo, </w:t>
      </w:r>
      <w:r w:rsidR="002E5417" w:rsidRPr="002B2FFB">
        <w:rPr>
          <w:rFonts w:ascii="Palatino Linotype" w:hAnsi="Palatino Linotype" w:cs="Tahoma"/>
          <w:bCs/>
          <w:iCs/>
          <w:sz w:val="22"/>
          <w:szCs w:val="22"/>
          <w:lang w:eastAsia="es-ES"/>
        </w:rPr>
        <w:t xml:space="preserve">se localizó una nota periodística </w:t>
      </w:r>
      <w:r w:rsidR="00DC684A" w:rsidRPr="002B2FFB">
        <w:rPr>
          <w:rFonts w:ascii="Palatino Linotype" w:hAnsi="Palatino Linotype" w:cs="Tahoma"/>
          <w:bCs/>
          <w:iCs/>
          <w:sz w:val="22"/>
          <w:szCs w:val="22"/>
          <w:lang w:eastAsia="es-ES"/>
        </w:rPr>
        <w:t>publicada en la dirección electrónica</w:t>
      </w:r>
      <w:r w:rsidR="002E5417" w:rsidRPr="002B2FFB">
        <w:rPr>
          <w:rFonts w:ascii="Palatino Linotype" w:hAnsi="Palatino Linotype" w:cs="Tahoma"/>
          <w:bCs/>
          <w:iCs/>
          <w:sz w:val="22"/>
          <w:szCs w:val="22"/>
          <w:lang w:eastAsia="es-ES"/>
        </w:rPr>
        <w:t xml:space="preserve"> </w:t>
      </w:r>
      <w:hyperlink r:id="rId32" w:history="1">
        <w:r w:rsidR="002E5417" w:rsidRPr="002B2FFB">
          <w:rPr>
            <w:rStyle w:val="Hipervnculo"/>
            <w:rFonts w:ascii="Palatino Linotype" w:hAnsi="Palatino Linotype" w:cs="Tahoma"/>
            <w:bCs/>
            <w:iCs/>
            <w:color w:val="auto"/>
            <w:sz w:val="22"/>
            <w:szCs w:val="22"/>
            <w:lang w:eastAsia="es-ES"/>
          </w:rPr>
          <w:t>https://www.infobae.com/mexico/2025/06/17/reanudan-obra-de-puente-a-la-mexico-queretaro-tras-denuncias-que-denunciaban-el-abandono-de-las-autoridades-de-tepotzotlan/</w:t>
        </w:r>
      </w:hyperlink>
      <w:r w:rsidR="00DC684A" w:rsidRPr="002B2FFB">
        <w:rPr>
          <w:rFonts w:ascii="Palatino Linotype" w:hAnsi="Palatino Linotype" w:cs="Tahoma"/>
          <w:bCs/>
          <w:iCs/>
          <w:sz w:val="22"/>
          <w:szCs w:val="22"/>
          <w:lang w:eastAsia="es-ES"/>
        </w:rPr>
        <w:t xml:space="preserve">, </w:t>
      </w:r>
      <w:r w:rsidR="002E5417" w:rsidRPr="002B2FFB">
        <w:rPr>
          <w:rFonts w:ascii="Palatino Linotype" w:hAnsi="Palatino Linotype" w:cs="Tahoma"/>
          <w:bCs/>
          <w:iCs/>
          <w:sz w:val="22"/>
          <w:szCs w:val="22"/>
          <w:lang w:eastAsia="es-ES"/>
        </w:rPr>
        <w:t xml:space="preserve">el diecisiete de junio de dos mil veinticinco, </w:t>
      </w:r>
      <w:r w:rsidR="00DC684A" w:rsidRPr="002B2FFB">
        <w:rPr>
          <w:rFonts w:ascii="Palatino Linotype" w:hAnsi="Palatino Linotype" w:cs="Tahoma"/>
          <w:bCs/>
          <w:iCs/>
          <w:sz w:val="22"/>
          <w:szCs w:val="22"/>
          <w:lang w:eastAsia="es-ES"/>
        </w:rPr>
        <w:t>en la cual se hace referencia a la reanudación de la obra</w:t>
      </w:r>
      <w:r w:rsidR="002E5417" w:rsidRPr="002B2FFB">
        <w:rPr>
          <w:rFonts w:ascii="Palatino Linotype" w:hAnsi="Palatino Linotype" w:cs="Tahoma"/>
          <w:bCs/>
          <w:iCs/>
          <w:sz w:val="22"/>
          <w:szCs w:val="22"/>
          <w:lang w:eastAsia="es-ES"/>
        </w:rPr>
        <w:t xml:space="preserve"> </w:t>
      </w:r>
      <w:r w:rsidR="00DC684A" w:rsidRPr="002B2FFB">
        <w:rPr>
          <w:rFonts w:ascii="Palatino Linotype" w:hAnsi="Palatino Linotype" w:cs="Tahoma"/>
          <w:bCs/>
          <w:iCs/>
          <w:sz w:val="22"/>
          <w:szCs w:val="22"/>
          <w:lang w:eastAsia="es-ES"/>
        </w:rPr>
        <w:t>del puente de incorporación vial a la autopista México-Querétaro</w:t>
      </w:r>
      <w:r w:rsidR="002E5417" w:rsidRPr="002B2FFB">
        <w:rPr>
          <w:rFonts w:ascii="Palatino Linotype" w:hAnsi="Palatino Linotype" w:cs="Tahoma"/>
          <w:bCs/>
          <w:iCs/>
          <w:sz w:val="22"/>
          <w:szCs w:val="22"/>
          <w:lang w:eastAsia="es-ES"/>
        </w:rPr>
        <w:t xml:space="preserve">, </w:t>
      </w:r>
      <w:r w:rsidR="00DC684A" w:rsidRPr="002B2FFB">
        <w:rPr>
          <w:rFonts w:ascii="Palatino Linotype" w:hAnsi="Palatino Linotype" w:cs="Tahoma"/>
          <w:bCs/>
          <w:iCs/>
          <w:sz w:val="22"/>
          <w:szCs w:val="22"/>
          <w:lang w:eastAsia="es-ES"/>
        </w:rPr>
        <w:t xml:space="preserve">después de cinco años de abandono, </w:t>
      </w:r>
      <w:r w:rsidR="002E5417" w:rsidRPr="002B2FFB">
        <w:rPr>
          <w:rFonts w:ascii="Palatino Linotype" w:hAnsi="Palatino Linotype" w:cs="Tahoma"/>
          <w:bCs/>
          <w:iCs/>
          <w:sz w:val="22"/>
          <w:szCs w:val="22"/>
          <w:lang w:eastAsia="es-ES"/>
        </w:rPr>
        <w:t>como se muestra a continuación:</w:t>
      </w:r>
    </w:p>
    <w:p w14:paraId="62FBE2A3" w14:textId="77777777" w:rsidR="002E5417" w:rsidRPr="002B2FFB" w:rsidRDefault="002E5417" w:rsidP="002E5417">
      <w:pPr>
        <w:spacing w:line="360" w:lineRule="auto"/>
        <w:jc w:val="both"/>
        <w:rPr>
          <w:rFonts w:ascii="Palatino Linotype" w:hAnsi="Palatino Linotype" w:cs="Tahoma"/>
          <w:bCs/>
          <w:iCs/>
          <w:sz w:val="22"/>
          <w:szCs w:val="22"/>
          <w:lang w:eastAsia="es-ES"/>
        </w:rPr>
      </w:pPr>
    </w:p>
    <w:p w14:paraId="74328398" w14:textId="5F087FBC" w:rsidR="002E5417" w:rsidRPr="002B2FFB" w:rsidRDefault="00DC684A" w:rsidP="002E5417">
      <w:pPr>
        <w:spacing w:line="360" w:lineRule="auto"/>
        <w:jc w:val="center"/>
        <w:rPr>
          <w:rFonts w:ascii="Palatino Linotype" w:hAnsi="Palatino Linotype" w:cs="Tahoma"/>
          <w:bCs/>
          <w:iCs/>
          <w:sz w:val="22"/>
          <w:szCs w:val="22"/>
          <w:lang w:eastAsia="es-ES"/>
        </w:rPr>
      </w:pPr>
      <w:r w:rsidRPr="002B2FFB">
        <w:rPr>
          <w:rFonts w:ascii="Palatino Linotype" w:hAnsi="Palatino Linotype" w:cs="Tahoma"/>
          <w:bCs/>
          <w:iCs/>
          <w:noProof/>
          <w:sz w:val="22"/>
          <w:szCs w:val="22"/>
        </w:rPr>
        <w:drawing>
          <wp:inline distT="0" distB="0" distL="0" distR="0" wp14:anchorId="1DD6F014" wp14:editId="684FE949">
            <wp:extent cx="4860000" cy="4587708"/>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0000" cy="4587708"/>
                    </a:xfrm>
                    <a:prstGeom prst="rect">
                      <a:avLst/>
                    </a:prstGeom>
                    <a:noFill/>
                    <a:ln>
                      <a:noFill/>
                    </a:ln>
                  </pic:spPr>
                </pic:pic>
              </a:graphicData>
            </a:graphic>
          </wp:inline>
        </w:drawing>
      </w:r>
    </w:p>
    <w:p w14:paraId="231BD9C4" w14:textId="62487A40" w:rsidR="002E5417" w:rsidRPr="002B2FFB" w:rsidRDefault="00DC684A" w:rsidP="0084627A">
      <w:pPr>
        <w:spacing w:before="240" w:after="240" w:line="360" w:lineRule="auto"/>
        <w:jc w:val="both"/>
        <w:rPr>
          <w:rFonts w:ascii="Palatino Linotype" w:hAnsi="Palatino Linotype" w:cs="Tahoma"/>
          <w:b/>
          <w:bCs/>
          <w:sz w:val="22"/>
          <w:szCs w:val="22"/>
        </w:rPr>
      </w:pPr>
      <w:r w:rsidRPr="002B2FFB">
        <w:rPr>
          <w:rFonts w:ascii="Palatino Linotype" w:hAnsi="Palatino Linotype" w:cs="Tahoma"/>
          <w:bCs/>
          <w:sz w:val="22"/>
          <w:szCs w:val="22"/>
        </w:rPr>
        <w:t>S</w:t>
      </w:r>
      <w:r w:rsidR="002E5417" w:rsidRPr="002B2FFB">
        <w:rPr>
          <w:rFonts w:ascii="Palatino Linotype" w:hAnsi="Palatino Linotype" w:cs="Tahoma"/>
          <w:bCs/>
          <w:sz w:val="22"/>
          <w:szCs w:val="22"/>
        </w:rPr>
        <w:t xml:space="preserve">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002E5417" w:rsidRPr="002B2FFB">
        <w:rPr>
          <w:rFonts w:ascii="Palatino Linotype" w:hAnsi="Palatino Linotype" w:cs="Tahoma"/>
          <w:b/>
          <w:bCs/>
          <w:i/>
          <w:sz w:val="22"/>
          <w:szCs w:val="22"/>
        </w:rPr>
        <w:t>“NOTAS PERIODISTICAS, EL CONOCIMIENTO QUE DE ELLAS SE OBTIENE NO CONSTIT</w:t>
      </w:r>
      <w:r w:rsidR="00A036AC" w:rsidRPr="002B2FFB">
        <w:rPr>
          <w:rFonts w:ascii="Palatino Linotype" w:hAnsi="Palatino Linotype" w:cs="Tahoma"/>
          <w:b/>
          <w:bCs/>
          <w:i/>
          <w:sz w:val="22"/>
          <w:szCs w:val="22"/>
        </w:rPr>
        <w:t>UYE ‘UN HECHO PUBLICO Y NOTORIO”</w:t>
      </w:r>
      <w:r w:rsidR="002E5417" w:rsidRPr="002B2FFB">
        <w:rPr>
          <w:rFonts w:ascii="Palatino Linotype" w:hAnsi="Palatino Linotype" w:cs="Tahoma"/>
          <w:bCs/>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002E5417" w:rsidRPr="002B2FFB">
        <w:rPr>
          <w:rFonts w:ascii="Palatino Linotype" w:hAnsi="Palatino Linotype" w:cs="Tahoma"/>
          <w:b/>
          <w:bCs/>
          <w:sz w:val="22"/>
          <w:szCs w:val="22"/>
        </w:rPr>
        <w:t>indicios.</w:t>
      </w:r>
    </w:p>
    <w:p w14:paraId="7A3FD7D6" w14:textId="77777777" w:rsidR="002C6792" w:rsidRPr="002B2FFB" w:rsidRDefault="001167AB" w:rsidP="001167AB">
      <w:pPr>
        <w:spacing w:before="240" w:after="240" w:line="360" w:lineRule="auto"/>
        <w:jc w:val="both"/>
        <w:rPr>
          <w:rFonts w:ascii="Palatino Linotype" w:hAnsi="Palatino Linotype" w:cs="Tahoma"/>
          <w:sz w:val="22"/>
        </w:rPr>
      </w:pPr>
      <w:r w:rsidRPr="002B2FFB">
        <w:rPr>
          <w:rFonts w:ascii="Palatino Linotype" w:hAnsi="Palatino Linotype" w:cs="Tahoma"/>
          <w:sz w:val="22"/>
        </w:rPr>
        <w:t>Por consiguiente, no se puede tener certeza de que la información publicada en la nota periodística se haya generado pues como se mencionó solo son indicios de que la información pudiera obrar en los archivos del Sujeto Obligado,</w:t>
      </w:r>
      <w:r w:rsidR="002C6792" w:rsidRPr="002B2FFB">
        <w:rPr>
          <w:rFonts w:ascii="Palatino Linotype" w:hAnsi="Palatino Linotype" w:cs="Tahoma"/>
          <w:sz w:val="22"/>
        </w:rPr>
        <w:t xml:space="preserve"> ello en el supuesto de</w:t>
      </w:r>
      <w:r w:rsidRPr="002B2FFB">
        <w:rPr>
          <w:rFonts w:ascii="Palatino Linotype" w:hAnsi="Palatino Linotype" w:cs="Tahoma"/>
          <w:sz w:val="22"/>
        </w:rPr>
        <w:t xml:space="preserve"> que en la presente administración la obra se </w:t>
      </w:r>
      <w:r w:rsidR="002C6792" w:rsidRPr="002B2FFB">
        <w:rPr>
          <w:rFonts w:ascii="Palatino Linotype" w:hAnsi="Palatino Linotype" w:cs="Tahoma"/>
          <w:sz w:val="22"/>
        </w:rPr>
        <w:t xml:space="preserve">hubiera </w:t>
      </w:r>
      <w:r w:rsidRPr="002B2FFB">
        <w:rPr>
          <w:rFonts w:ascii="Palatino Linotype" w:hAnsi="Palatino Linotype" w:cs="Tahoma"/>
          <w:sz w:val="22"/>
        </w:rPr>
        <w:t>reanud</w:t>
      </w:r>
      <w:r w:rsidR="002C6792" w:rsidRPr="002B2FFB">
        <w:rPr>
          <w:rFonts w:ascii="Palatino Linotype" w:hAnsi="Palatino Linotype" w:cs="Tahoma"/>
          <w:sz w:val="22"/>
        </w:rPr>
        <w:t>ado</w:t>
      </w:r>
      <w:r w:rsidRPr="002B2FFB">
        <w:rPr>
          <w:rFonts w:ascii="Palatino Linotype" w:hAnsi="Palatino Linotype" w:cs="Tahoma"/>
          <w:sz w:val="22"/>
        </w:rPr>
        <w:t xml:space="preserve"> o bien que una parte </w:t>
      </w:r>
      <w:r w:rsidR="002C6792" w:rsidRPr="002B2FFB">
        <w:rPr>
          <w:rFonts w:ascii="Palatino Linotype" w:hAnsi="Palatino Linotype" w:cs="Tahoma"/>
          <w:sz w:val="22"/>
        </w:rPr>
        <w:t>de la misma pudo haber sido demolida, lo cual pudiera implicar la realización de un</w:t>
      </w:r>
      <w:r w:rsidRPr="002B2FFB">
        <w:rPr>
          <w:rFonts w:ascii="Palatino Linotype" w:hAnsi="Palatino Linotype" w:cs="Tahoma"/>
          <w:sz w:val="22"/>
        </w:rPr>
        <w:t xml:space="preserve"> procedimiento de adjudicación, la celebración del contrato</w:t>
      </w:r>
      <w:r w:rsidR="002C6792" w:rsidRPr="002B2FFB">
        <w:rPr>
          <w:rFonts w:ascii="Palatino Linotype" w:hAnsi="Palatino Linotype" w:cs="Tahoma"/>
          <w:sz w:val="22"/>
        </w:rPr>
        <w:t xml:space="preserve"> respectivo</w:t>
      </w:r>
      <w:r w:rsidRPr="002B2FFB">
        <w:rPr>
          <w:rFonts w:ascii="Palatino Linotype" w:hAnsi="Palatino Linotype" w:cs="Tahoma"/>
          <w:sz w:val="22"/>
        </w:rPr>
        <w:t>, así como el seguimiento y supervisión de la obra</w:t>
      </w:r>
      <w:r w:rsidR="002C6792" w:rsidRPr="002B2FFB">
        <w:rPr>
          <w:rFonts w:ascii="Palatino Linotype" w:hAnsi="Palatino Linotype" w:cs="Tahoma"/>
          <w:sz w:val="22"/>
        </w:rPr>
        <w:t>.</w:t>
      </w:r>
    </w:p>
    <w:p w14:paraId="4566B63D" w14:textId="6C60DEFE" w:rsidR="002C6792" w:rsidRPr="002B2FFB" w:rsidRDefault="002C6792" w:rsidP="001167AB">
      <w:pPr>
        <w:spacing w:before="240" w:after="240" w:line="360" w:lineRule="auto"/>
        <w:jc w:val="both"/>
        <w:rPr>
          <w:rFonts w:ascii="Palatino Linotype" w:hAnsi="Palatino Linotype" w:cs="Tahoma"/>
          <w:sz w:val="22"/>
        </w:rPr>
      </w:pPr>
      <w:r w:rsidRPr="002B2FFB">
        <w:rPr>
          <w:rFonts w:ascii="Palatino Linotype" w:hAnsi="Palatino Linotype" w:cs="Tahoma"/>
          <w:sz w:val="22"/>
        </w:rPr>
        <w:t xml:space="preserve">Atento a lo anterior, </w:t>
      </w:r>
      <w:r w:rsidR="004F5257" w:rsidRPr="002B2FFB">
        <w:rPr>
          <w:rFonts w:ascii="Palatino Linotype" w:hAnsi="Palatino Linotype" w:cs="Tahoma"/>
          <w:sz w:val="22"/>
        </w:rPr>
        <w:t xml:space="preserve">en virtud de que </w:t>
      </w:r>
      <w:r w:rsidRPr="002B2FFB">
        <w:rPr>
          <w:rFonts w:ascii="Palatino Linotype" w:hAnsi="Palatino Linotype" w:cs="Tahoma"/>
          <w:sz w:val="22"/>
        </w:rPr>
        <w:t>la respuesta proporcionada por el servidor público habilitado no brinda certeza sobre la existencia o inexistencia de la información, además de no haberse turnado la solicitud a todas las áreas competentes, se estima necesario ordenar que previa búsqueda exhaustiva y razonable se haga entrega del soporte documental que de cuenta de lo solicitado, en versión pública de ser procedente.</w:t>
      </w:r>
    </w:p>
    <w:p w14:paraId="18A92DB3" w14:textId="494D3E93" w:rsidR="0084627A" w:rsidRPr="002B2FFB" w:rsidRDefault="002C6792" w:rsidP="0084627A">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No obstante</w:t>
      </w:r>
      <w:r w:rsidR="0084627A" w:rsidRPr="002B2FFB">
        <w:rPr>
          <w:rFonts w:ascii="Palatino Linotype" w:eastAsia="Palatino Linotype" w:hAnsi="Palatino Linotype" w:cs="Palatino Linotype"/>
          <w:sz w:val="22"/>
          <w:szCs w:val="22"/>
        </w:rPr>
        <w:t>,</w:t>
      </w:r>
      <w:r w:rsidR="004F5257" w:rsidRPr="002B2FFB">
        <w:rPr>
          <w:rFonts w:ascii="Palatino Linotype" w:eastAsia="Palatino Linotype" w:hAnsi="Palatino Linotype" w:cs="Palatino Linotype"/>
          <w:sz w:val="22"/>
          <w:szCs w:val="22"/>
        </w:rPr>
        <w:t xml:space="preserve"> </w:t>
      </w:r>
      <w:r w:rsidR="004F5257" w:rsidRPr="002B2FFB">
        <w:rPr>
          <w:rFonts w:ascii="Palatino Linotype" w:hAnsi="Palatino Linotype" w:cs="Tahoma"/>
          <w:sz w:val="22"/>
        </w:rPr>
        <w:t xml:space="preserve">toda vez que de la lectura del requerimiento de información se advierte que la persona solicitante requiere tener acceso a información generada durante el ejercicio 2025 hasta la fecha de presentación de la solicitud, esto es del uno de enero al dos de mayo de dos mil veinticinco, </w:t>
      </w:r>
      <w:r w:rsidR="0084627A" w:rsidRPr="002B2FFB">
        <w:rPr>
          <w:rFonts w:ascii="Palatino Linotype" w:eastAsia="Palatino Linotype" w:hAnsi="Palatino Linotype" w:cs="Palatino Linotype"/>
          <w:sz w:val="22"/>
          <w:szCs w:val="22"/>
        </w:rPr>
        <w:t xml:space="preserve">para el caso de que derivado de la búsqueda que se ordena no se llegar a localizar información </w:t>
      </w:r>
      <w:r w:rsidRPr="002B2FFB">
        <w:rPr>
          <w:rFonts w:ascii="Palatino Linotype" w:eastAsia="Palatino Linotype" w:hAnsi="Palatino Linotype" w:cs="Palatino Linotype"/>
          <w:sz w:val="22"/>
          <w:szCs w:val="22"/>
        </w:rPr>
        <w:t xml:space="preserve">relacionada con la adjudicación de las obras relacionadas con el puente vehicular de incorporación vial a la autopista México-Querétaro, los trabajos realizados, el pago, seguimiento y supervisión de la misma, la fianza otorgada por la empresa adjudicada, o bien su demolición, </w:t>
      </w:r>
      <w:r w:rsidR="0084627A" w:rsidRPr="002B2FFB">
        <w:rPr>
          <w:rFonts w:ascii="Palatino Linotype" w:eastAsia="Palatino Linotype" w:hAnsi="Palatino Linotype" w:cs="Palatino Linotype"/>
          <w:sz w:val="22"/>
          <w:szCs w:val="22"/>
        </w:rPr>
        <w:t xml:space="preserve">por no haberse generado </w:t>
      </w:r>
      <w:r w:rsidR="004F5257" w:rsidRPr="002B2FFB">
        <w:rPr>
          <w:rFonts w:ascii="Palatino Linotype" w:eastAsia="Palatino Linotype" w:hAnsi="Palatino Linotype" w:cs="Palatino Linotype"/>
          <w:sz w:val="22"/>
          <w:szCs w:val="22"/>
        </w:rPr>
        <w:t>en el periodo referido</w:t>
      </w:r>
      <w:r w:rsidR="0084627A" w:rsidRPr="002B2FFB">
        <w:rPr>
          <w:rFonts w:ascii="Palatino Linotype" w:eastAsia="Palatino Linotype" w:hAnsi="Palatino Linotype" w:cs="Palatino Linotype"/>
          <w:sz w:val="22"/>
          <w:szCs w:val="22"/>
        </w:rPr>
        <w:t xml:space="preserve">, deberá hacerlo de conocimiento de la persona solicitante </w:t>
      </w:r>
      <w:r w:rsidR="0084627A" w:rsidRPr="002B2FFB">
        <w:rPr>
          <w:rFonts w:ascii="Palatino Linotype" w:eastAsia="Palatino Linotype" w:hAnsi="Palatino Linotype" w:cs="Palatino Linotype"/>
          <w:b/>
          <w:sz w:val="22"/>
          <w:szCs w:val="22"/>
          <w:u w:val="single"/>
        </w:rPr>
        <w:t>de manera fundada y motivada</w:t>
      </w:r>
      <w:r w:rsidR="0084627A" w:rsidRPr="002B2FFB">
        <w:rPr>
          <w:rFonts w:ascii="Palatino Linotype" w:eastAsia="Palatino Linotype" w:hAnsi="Palatino Linotype" w:cs="Palatino Linotype"/>
          <w:sz w:val="22"/>
          <w:szCs w:val="22"/>
        </w:rPr>
        <w:t>, en términos de lo dispuesto por el artículo 19, párrafo segundo de la Ley de Transparencia y Acceso a la Información Pública del Estado de México y Municipios, a saber:</w:t>
      </w:r>
    </w:p>
    <w:p w14:paraId="2D4ADCE2" w14:textId="77777777" w:rsidR="0084627A" w:rsidRPr="002B2FFB" w:rsidRDefault="0084627A" w:rsidP="0084627A">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Artículo 19</w:t>
      </w:r>
      <w:r w:rsidRPr="002B2FFB">
        <w:rPr>
          <w:rFonts w:ascii="Palatino Linotype" w:eastAsia="Palatino Linotype" w:hAnsi="Palatino Linotype" w:cs="Palatino Linotype"/>
          <w:i/>
          <w:sz w:val="22"/>
          <w:szCs w:val="22"/>
        </w:rPr>
        <w:t>…</w:t>
      </w:r>
    </w:p>
    <w:p w14:paraId="2C088E10" w14:textId="77777777" w:rsidR="0084627A" w:rsidRPr="002B2FFB" w:rsidRDefault="0084627A" w:rsidP="0084627A">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9548779" w14:textId="77777777" w:rsidR="00A14BD8" w:rsidRPr="002B2FFB" w:rsidRDefault="00A14BD8" w:rsidP="00A14B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De lo hasta aquí expuesto, se concluye que los motivos de inconformidad de la parte </w:t>
      </w:r>
      <w:r w:rsidRPr="002B2FFB">
        <w:rPr>
          <w:rFonts w:ascii="Palatino Linotype" w:eastAsia="Palatino Linotype" w:hAnsi="Palatino Linotype" w:cs="Palatino Linotype"/>
          <w:b/>
          <w:sz w:val="22"/>
          <w:szCs w:val="22"/>
        </w:rPr>
        <w:t xml:space="preserve">Recurrente </w:t>
      </w:r>
      <w:r w:rsidRPr="002B2FFB">
        <w:rPr>
          <w:rFonts w:ascii="Palatino Linotype" w:eastAsia="Palatino Linotype" w:hAnsi="Palatino Linotype" w:cs="Palatino Linotype"/>
          <w:sz w:val="22"/>
          <w:szCs w:val="22"/>
        </w:rPr>
        <w:t xml:space="preserve">devienen fundados, siendo procedente </w:t>
      </w:r>
      <w:r w:rsidRPr="002B2FFB">
        <w:rPr>
          <w:rFonts w:ascii="Palatino Linotype" w:eastAsia="Palatino Linotype" w:hAnsi="Palatino Linotype" w:cs="Palatino Linotype"/>
          <w:b/>
          <w:i/>
          <w:sz w:val="22"/>
          <w:szCs w:val="22"/>
        </w:rPr>
        <w:t>Revocar</w:t>
      </w:r>
      <w:r w:rsidRPr="002B2FFB">
        <w:rPr>
          <w:rFonts w:ascii="Palatino Linotype" w:eastAsia="Palatino Linotype" w:hAnsi="Palatino Linotype" w:cs="Palatino Linotype"/>
          <w:i/>
          <w:sz w:val="22"/>
          <w:szCs w:val="22"/>
        </w:rPr>
        <w:t xml:space="preserve"> </w:t>
      </w:r>
      <w:r w:rsidRPr="002B2FFB">
        <w:rPr>
          <w:rFonts w:ascii="Palatino Linotype" w:eastAsia="Palatino Linotype" w:hAnsi="Palatino Linotype" w:cs="Palatino Linotype"/>
          <w:sz w:val="22"/>
          <w:szCs w:val="22"/>
        </w:rPr>
        <w:t xml:space="preserve">la respuesta proporcionada por el </w:t>
      </w:r>
      <w:r w:rsidRPr="002B2FFB">
        <w:rPr>
          <w:rFonts w:ascii="Palatino Linotype" w:eastAsia="Palatino Linotype" w:hAnsi="Palatino Linotype" w:cs="Palatino Linotype"/>
          <w:b/>
          <w:sz w:val="22"/>
          <w:szCs w:val="22"/>
        </w:rPr>
        <w:t xml:space="preserve">Sujeto Obligado </w:t>
      </w:r>
      <w:r w:rsidRPr="002B2FFB">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5ADDF0FE" w14:textId="77777777" w:rsidR="00A14BD8" w:rsidRPr="002B2FFB" w:rsidRDefault="00A14BD8" w:rsidP="00A14BD8">
      <w:pP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 xml:space="preserve">Quinto. Versión Pública. </w:t>
      </w:r>
      <w:r w:rsidRPr="002B2FFB">
        <w:rPr>
          <w:rFonts w:ascii="Palatino Linotype" w:eastAsia="Palatino Linotype" w:hAnsi="Palatino Linotype" w:cs="Palatino Linotype"/>
          <w:sz w:val="22"/>
          <w:szCs w:val="22"/>
        </w:rPr>
        <w:t>Como fue debidamente apuntado, el </w:t>
      </w:r>
      <w:r w:rsidRPr="002B2FFB">
        <w:rPr>
          <w:rFonts w:ascii="Palatino Linotype" w:eastAsia="Palatino Linotype" w:hAnsi="Palatino Linotype" w:cs="Palatino Linotype"/>
          <w:b/>
          <w:sz w:val="22"/>
          <w:szCs w:val="22"/>
        </w:rPr>
        <w:t>Sujeto Obligado</w:t>
      </w:r>
      <w:r w:rsidRPr="002B2FFB">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F73176B" w14:textId="77777777" w:rsidR="00A14BD8" w:rsidRPr="002B2FFB" w:rsidRDefault="00A14BD8" w:rsidP="00A14BD8">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D5620DD" w14:textId="77777777" w:rsidR="00A14BD8" w:rsidRPr="002B2FFB" w:rsidRDefault="00A14BD8" w:rsidP="00A14BD8">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C379293" w14:textId="77777777" w:rsidR="00A14BD8" w:rsidRPr="002B2FFB" w:rsidRDefault="00A14BD8" w:rsidP="00A14BD8">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7AFF1EDD"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sz w:val="22"/>
          <w:szCs w:val="22"/>
        </w:rPr>
        <w:t> </w:t>
      </w: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Artículo 3.</w:t>
      </w:r>
      <w:r w:rsidRPr="002B2FFB">
        <w:rPr>
          <w:rFonts w:ascii="Palatino Linotype" w:eastAsia="Palatino Linotype" w:hAnsi="Palatino Linotype" w:cs="Palatino Linotype"/>
          <w:i/>
          <w:sz w:val="22"/>
          <w:szCs w:val="22"/>
        </w:rPr>
        <w:t xml:space="preserve"> Para los efectos de la presente Ley se entenderá por:</w:t>
      </w:r>
    </w:p>
    <w:p w14:paraId="28500217" w14:textId="77777777" w:rsidR="00A14BD8" w:rsidRPr="002B2FFB" w:rsidRDefault="00A14BD8" w:rsidP="00E35285">
      <w:pPr>
        <w:tabs>
          <w:tab w:val="left" w:pos="127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p>
    <w:p w14:paraId="206D054C" w14:textId="77777777" w:rsidR="00A14BD8" w:rsidRPr="002B2FFB" w:rsidRDefault="00A14BD8" w:rsidP="00E35285">
      <w:pPr>
        <w:tabs>
          <w:tab w:val="left" w:pos="127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IX. Datos personales</w:t>
      </w:r>
      <w:r w:rsidRPr="002B2FFB">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1170FF64" w14:textId="77777777" w:rsidR="00A14BD8" w:rsidRPr="002B2FFB" w:rsidRDefault="00A14BD8" w:rsidP="00E35285">
      <w:pPr>
        <w:tabs>
          <w:tab w:val="left" w:pos="127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p>
    <w:p w14:paraId="37025D72" w14:textId="77777777" w:rsidR="00A14BD8" w:rsidRPr="002B2FFB" w:rsidRDefault="00A14BD8" w:rsidP="00E35285">
      <w:pPr>
        <w:tabs>
          <w:tab w:val="left" w:pos="127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XX. Información clasificada</w:t>
      </w:r>
      <w:r w:rsidRPr="002B2FFB">
        <w:rPr>
          <w:rFonts w:ascii="Palatino Linotype" w:eastAsia="Palatino Linotype" w:hAnsi="Palatino Linotype" w:cs="Palatino Linotype"/>
          <w:i/>
          <w:sz w:val="22"/>
          <w:szCs w:val="22"/>
        </w:rPr>
        <w:t>: Aquella considerada por la presente Ley como reservada o confidencial;</w:t>
      </w:r>
    </w:p>
    <w:p w14:paraId="70C7A824" w14:textId="77777777" w:rsidR="00A14BD8" w:rsidRPr="002B2FFB" w:rsidRDefault="00A14BD8" w:rsidP="00E35285">
      <w:pPr>
        <w:tabs>
          <w:tab w:val="left" w:pos="127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XXI. Información confidencial</w:t>
      </w:r>
      <w:r w:rsidRPr="002B2FFB">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68A6317" w14:textId="77777777" w:rsidR="00A14BD8" w:rsidRPr="002B2FFB" w:rsidRDefault="00A14BD8" w:rsidP="00E35285">
      <w:pPr>
        <w:tabs>
          <w:tab w:val="left" w:pos="127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p>
    <w:p w14:paraId="7608467D" w14:textId="77777777" w:rsidR="00A14BD8" w:rsidRPr="002B2FFB" w:rsidRDefault="00A14BD8" w:rsidP="00E35285">
      <w:pPr>
        <w:tabs>
          <w:tab w:val="left" w:pos="127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XXXII. Protección de Datos Personales</w:t>
      </w:r>
      <w:r w:rsidRPr="002B2FFB">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6852125" w14:textId="77777777" w:rsidR="00A14BD8" w:rsidRPr="002B2FFB" w:rsidRDefault="00A14BD8" w:rsidP="00E35285">
      <w:pPr>
        <w:tabs>
          <w:tab w:val="left" w:pos="127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p>
    <w:p w14:paraId="2C556C79" w14:textId="77777777" w:rsidR="00A14BD8" w:rsidRPr="002B2FFB" w:rsidRDefault="00A14BD8" w:rsidP="00E35285">
      <w:pPr>
        <w:tabs>
          <w:tab w:val="left" w:pos="1276"/>
        </w:tabs>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XLV. Versión pública</w:t>
      </w:r>
      <w:r w:rsidRPr="002B2FF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42F243D"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 Artículo 6</w:t>
      </w:r>
      <w:r w:rsidRPr="002B2FFB">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F8E2088"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p>
    <w:p w14:paraId="0A830296"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Artículo 91.</w:t>
      </w:r>
      <w:r w:rsidRPr="002B2FF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2B2FFB">
        <w:rPr>
          <w:rFonts w:ascii="Palatino Linotype" w:eastAsia="Palatino Linotype" w:hAnsi="Palatino Linotype" w:cs="Palatino Linotype"/>
          <w:i/>
          <w:sz w:val="22"/>
          <w:szCs w:val="22"/>
        </w:rPr>
        <w:br/>
        <w:t>…</w:t>
      </w:r>
    </w:p>
    <w:p w14:paraId="5F06EDA9"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Artículo 132.</w:t>
      </w:r>
      <w:r w:rsidRPr="002B2FFB">
        <w:rPr>
          <w:rFonts w:ascii="Palatino Linotype" w:eastAsia="Palatino Linotype" w:hAnsi="Palatino Linotype" w:cs="Palatino Linotype"/>
          <w:i/>
          <w:sz w:val="22"/>
          <w:szCs w:val="22"/>
        </w:rPr>
        <w:t xml:space="preserve"> La clasificación de la información se llevará a cabo en el momento en que:</w:t>
      </w:r>
    </w:p>
    <w:p w14:paraId="27D85CF0"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w:t>
      </w:r>
      <w:r w:rsidRPr="002B2FFB">
        <w:rPr>
          <w:rFonts w:ascii="Palatino Linotype" w:eastAsia="Palatino Linotype" w:hAnsi="Palatino Linotype" w:cs="Palatino Linotype"/>
          <w:i/>
          <w:sz w:val="22"/>
          <w:szCs w:val="22"/>
        </w:rPr>
        <w:t>. Se reciba una solicitud de acceso a la información;</w:t>
      </w:r>
    </w:p>
    <w:p w14:paraId="32723649"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II.</w:t>
      </w:r>
      <w:r w:rsidRPr="002B2FFB">
        <w:rPr>
          <w:rFonts w:ascii="Palatino Linotype" w:eastAsia="Palatino Linotype" w:hAnsi="Palatino Linotype" w:cs="Palatino Linotype"/>
          <w:i/>
          <w:sz w:val="22"/>
          <w:szCs w:val="22"/>
        </w:rPr>
        <w:t xml:space="preserve"> Se determine mediante resolución de autoridad competente; o</w:t>
      </w:r>
    </w:p>
    <w:p w14:paraId="629952DA"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III.</w:t>
      </w:r>
      <w:r w:rsidRPr="002B2FF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F0C6836"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w:t>
      </w:r>
    </w:p>
    <w:p w14:paraId="0A06B27E"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Artículo 137.</w:t>
      </w:r>
      <w:r w:rsidRPr="002B2FF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DFA3B34"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 Artículo 143.</w:t>
      </w:r>
      <w:r w:rsidRPr="002B2FF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3BE12E8"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w:t>
      </w:r>
      <w:r w:rsidRPr="002B2FF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DE82007"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2B2FFB">
        <w:rPr>
          <w:rFonts w:ascii="Palatino Linotype" w:eastAsia="Palatino Linotype" w:hAnsi="Palatino Linotype" w:cs="Palatino Linotype"/>
          <w:b/>
          <w:sz w:val="22"/>
          <w:szCs w:val="22"/>
        </w:rPr>
        <w:t>Sujeto Obligado</w:t>
      </w:r>
      <w:r w:rsidRPr="002B2FFB">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D218CE6"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B27442D" w14:textId="77777777" w:rsidR="00A14BD8" w:rsidRPr="002B2FFB" w:rsidRDefault="00A14BD8" w:rsidP="00A14BD8">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7C6F261F" w14:textId="77777777" w:rsidR="00A14BD8" w:rsidRPr="002B2FFB" w:rsidRDefault="00A14BD8" w:rsidP="00A14BD8">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La </w:t>
      </w:r>
      <w:r w:rsidRPr="002B2FFB">
        <w:rPr>
          <w:rFonts w:ascii="Palatino Linotype" w:eastAsia="Palatino Linotype" w:hAnsi="Palatino Linotype" w:cs="Palatino Linotype"/>
          <w:b/>
          <w:sz w:val="22"/>
          <w:szCs w:val="22"/>
        </w:rPr>
        <w:t>clave de elector</w:t>
      </w:r>
      <w:r w:rsidRPr="002B2FFB">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2B2FFB">
        <w:rPr>
          <w:rFonts w:ascii="Palatino Linotype" w:eastAsia="Palatino Linotype" w:hAnsi="Palatino Linotype" w:cs="Palatino Linotype"/>
          <w:sz w:val="22"/>
          <w:szCs w:val="22"/>
        </w:rPr>
        <w:t>homoclave</w:t>
      </w:r>
      <w:proofErr w:type="spellEnd"/>
      <w:r w:rsidRPr="002B2FFB">
        <w:rPr>
          <w:rFonts w:ascii="Palatino Linotype" w:eastAsia="Palatino Linotype" w:hAnsi="Palatino Linotype" w:cs="Palatino Linotype"/>
          <w:sz w:val="22"/>
          <w:szCs w:val="22"/>
        </w:rPr>
        <w:t xml:space="preserve"> que distingue a su titular de cualquier otro homónimo, por lo tanto, se trata de un dato personal que debe ser protegido.</w:t>
      </w:r>
    </w:p>
    <w:p w14:paraId="4F1660CE" w14:textId="77777777" w:rsidR="00A14BD8" w:rsidRPr="002B2FFB" w:rsidRDefault="00A14BD8" w:rsidP="00A14BD8">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El </w:t>
      </w:r>
      <w:r w:rsidRPr="002B2FFB">
        <w:rPr>
          <w:rFonts w:ascii="Palatino Linotype" w:eastAsia="Palatino Linotype" w:hAnsi="Palatino Linotype" w:cs="Palatino Linotype"/>
          <w:b/>
          <w:sz w:val="22"/>
          <w:szCs w:val="22"/>
        </w:rPr>
        <w:t>número de OCR,</w:t>
      </w:r>
      <w:r w:rsidRPr="002B2FFB">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2B2FFB">
        <w:rPr>
          <w:rFonts w:ascii="Palatino Linotype" w:eastAsia="Palatino Linotype" w:hAnsi="Palatino Linotype" w:cs="Palatino Linotype"/>
          <w:sz w:val="22"/>
          <w:szCs w:val="22"/>
        </w:rPr>
        <w:t>geoelectoral</w:t>
      </w:r>
      <w:proofErr w:type="spellEnd"/>
      <w:r w:rsidRPr="002B2FFB">
        <w:rPr>
          <w:rFonts w:ascii="Palatino Linotype" w:eastAsia="Palatino Linotype" w:hAnsi="Palatino Linotype" w:cs="Palatino Linotype"/>
          <w:sz w:val="22"/>
          <w:szCs w:val="22"/>
        </w:rPr>
        <w:t xml:space="preserve"> ahí contenida, por lo que es susceptible de resguardarse.</w:t>
      </w:r>
    </w:p>
    <w:p w14:paraId="288CAE42" w14:textId="77777777" w:rsidR="00A14BD8" w:rsidRPr="002B2FFB" w:rsidRDefault="00A14BD8" w:rsidP="00A14BD8">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La </w:t>
      </w:r>
      <w:r w:rsidRPr="002B2FFB">
        <w:rPr>
          <w:rFonts w:ascii="Palatino Linotype" w:eastAsia="Palatino Linotype" w:hAnsi="Palatino Linotype" w:cs="Palatino Linotype"/>
          <w:b/>
          <w:sz w:val="22"/>
          <w:szCs w:val="22"/>
        </w:rPr>
        <w:t>clave única del registro de población,</w:t>
      </w:r>
      <w:r w:rsidRPr="002B2FFB">
        <w:rPr>
          <w:rFonts w:ascii="Palatino Linotype" w:eastAsia="Palatino Linotype" w:hAnsi="Palatino Linotype" w:cs="Palatino Linotype"/>
          <w:i/>
          <w:sz w:val="22"/>
          <w:szCs w:val="22"/>
        </w:rPr>
        <w:t xml:space="preserve"> </w:t>
      </w:r>
      <w:r w:rsidRPr="002B2FFB">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805D146"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Igualmente, resulta importante destacar que el </w:t>
      </w:r>
      <w:r w:rsidRPr="002B2FFB">
        <w:rPr>
          <w:rFonts w:ascii="Palatino Linotype" w:eastAsia="Palatino Linotype" w:hAnsi="Palatino Linotype" w:cs="Palatino Linotype"/>
          <w:i/>
          <w:sz w:val="22"/>
          <w:szCs w:val="22"/>
        </w:rPr>
        <w:t>número de cuenta bancaria</w:t>
      </w:r>
      <w:r w:rsidRPr="002B2FFB">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23A4637"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0A49961"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59CD934"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4D459E38"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Es por esta razón que se debe omitir el o los números de cuentas bancarias de particulares en las versiones públicas que de las facturas se hagan, para ser entregadas.</w:t>
      </w:r>
    </w:p>
    <w:p w14:paraId="02D3ADA1"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0DB8A074"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7EF04700" w14:textId="77777777" w:rsidR="00A14BD8" w:rsidRPr="002B2FFB" w:rsidRDefault="00A14BD8" w:rsidP="00A14BD8">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“Cuentas bancarias y/o CLABE interbancaria de personas físicas y morales privadas.</w:t>
      </w:r>
      <w:r w:rsidRPr="002B2FFB">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2E0B911" w14:textId="77777777" w:rsidR="00A14BD8" w:rsidRPr="002B2FFB" w:rsidRDefault="00A14BD8" w:rsidP="00A14BD8">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2B2FFB">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228BAEF"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Por cuanto hace al </w:t>
      </w:r>
      <w:r w:rsidRPr="002B2FFB">
        <w:rPr>
          <w:rFonts w:ascii="Palatino Linotype" w:eastAsia="Palatino Linotype" w:hAnsi="Palatino Linotype" w:cs="Palatino Linotype"/>
          <w:b/>
          <w:sz w:val="22"/>
          <w:szCs w:val="22"/>
        </w:rPr>
        <w:t xml:space="preserve">Registro Federal de Contribuyentes (RFC) </w:t>
      </w:r>
      <w:r w:rsidRPr="002B2FFB">
        <w:rPr>
          <w:rFonts w:ascii="Palatino Linotype" w:eastAsia="Palatino Linotype" w:hAnsi="Palatino Linotype" w:cs="Palatino Linotype"/>
          <w:sz w:val="22"/>
          <w:szCs w:val="22"/>
        </w:rPr>
        <w:t>y</w:t>
      </w:r>
      <w:r w:rsidRPr="002B2FFB">
        <w:rPr>
          <w:rFonts w:ascii="Palatino Linotype" w:eastAsia="Palatino Linotype" w:hAnsi="Palatino Linotype" w:cs="Palatino Linotype"/>
          <w:b/>
          <w:sz w:val="22"/>
          <w:szCs w:val="22"/>
        </w:rPr>
        <w:t xml:space="preserve"> el domicilio fiscal </w:t>
      </w:r>
      <w:r w:rsidRPr="002B2FFB">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4F984308"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F506C70"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2B2FFB">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2B2FFB">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6B5CD90E" w14:textId="77777777" w:rsidR="00A14BD8" w:rsidRPr="002B2FFB" w:rsidRDefault="00A14BD8" w:rsidP="00A14BD8">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63FFDC27" w14:textId="77777777" w:rsidR="00A14BD8" w:rsidRPr="002B2FFB" w:rsidRDefault="00A14BD8" w:rsidP="00A14BD8">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 xml:space="preserve">“Registro Federal de Contribuyentes (RFC) de personas físicas proveedoras o contratistas. </w:t>
      </w:r>
      <w:r w:rsidRPr="002B2FFB">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69ADBDED"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Relacionado con lo anterior, el </w:t>
      </w:r>
      <w:r w:rsidRPr="002B2FFB">
        <w:rPr>
          <w:rFonts w:ascii="Palatino Linotype" w:eastAsia="Palatino Linotype" w:hAnsi="Palatino Linotype" w:cs="Palatino Linotype"/>
          <w:b/>
          <w:sz w:val="22"/>
          <w:szCs w:val="22"/>
        </w:rPr>
        <w:t>nombre de las personas físicas</w:t>
      </w:r>
      <w:r w:rsidRPr="002B2FFB">
        <w:rPr>
          <w:rFonts w:ascii="Palatino Linotype" w:eastAsia="Palatino Linotype" w:hAnsi="Palatino Linotype" w:cs="Palatino Linotype"/>
          <w:sz w:val="22"/>
          <w:szCs w:val="22"/>
        </w:rPr>
        <w:t xml:space="preserve"> o los </w:t>
      </w:r>
      <w:r w:rsidRPr="002B2FFB">
        <w:rPr>
          <w:rFonts w:ascii="Palatino Linotype" w:eastAsia="Palatino Linotype" w:hAnsi="Palatino Linotype" w:cs="Palatino Linotype"/>
          <w:b/>
          <w:sz w:val="22"/>
          <w:szCs w:val="22"/>
        </w:rPr>
        <w:t>representantes legales de las personas morales</w:t>
      </w:r>
      <w:r w:rsidRPr="002B2FFB">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495C0D4E"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6B774BDD" w14:textId="77777777" w:rsidR="00A14BD8" w:rsidRPr="002B2FFB" w:rsidRDefault="00A14BD8" w:rsidP="00A14BD8">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Artículo 23.</w:t>
      </w:r>
      <w:r w:rsidRPr="002B2FFB">
        <w:rPr>
          <w:rFonts w:ascii="Palatino Linotype" w:eastAsia="Palatino Linotype" w:hAnsi="Palatino Linotype" w:cs="Palatino Linotype"/>
          <w:i/>
          <w:sz w:val="22"/>
          <w:szCs w:val="22"/>
        </w:rPr>
        <w:t xml:space="preserve"> (…)</w:t>
      </w:r>
    </w:p>
    <w:p w14:paraId="5AA65804" w14:textId="77777777" w:rsidR="00A14BD8" w:rsidRPr="002B2FFB" w:rsidRDefault="00A14BD8" w:rsidP="00A14BD8">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A8B7FAC" w14:textId="77777777" w:rsidR="00A14BD8" w:rsidRPr="002B2FFB" w:rsidRDefault="00A14BD8" w:rsidP="00A14BD8">
      <w:pPr>
        <w:spacing w:before="280" w:after="28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14ADCABF" w14:textId="77777777" w:rsidR="00A14BD8" w:rsidRPr="002B2FFB" w:rsidRDefault="00A14BD8" w:rsidP="00A14BD8">
      <w:pPr>
        <w:ind w:left="851"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“Datos de identificación del representante o apoderado legal.</w:t>
      </w:r>
      <w:r w:rsidRPr="002B2FFB">
        <w:rPr>
          <w:rFonts w:ascii="Palatino Linotype" w:eastAsia="Palatino Linotype" w:hAnsi="Palatino Linotype" w:cs="Palatino Linotype"/>
          <w:i/>
          <w:sz w:val="22"/>
          <w:szCs w:val="22"/>
        </w:rPr>
        <w:t xml:space="preserve"> </w:t>
      </w:r>
      <w:r w:rsidRPr="002B2FFB">
        <w:rPr>
          <w:rFonts w:ascii="Palatino Linotype" w:eastAsia="Palatino Linotype" w:hAnsi="Palatino Linotype" w:cs="Palatino Linotype"/>
          <w:b/>
          <w:i/>
          <w:sz w:val="22"/>
          <w:szCs w:val="22"/>
        </w:rPr>
        <w:t xml:space="preserve">Naturaleza jurídica. </w:t>
      </w:r>
      <w:r w:rsidRPr="002B2FFB">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2B2FFB">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2B2FFB">
        <w:rPr>
          <w:rFonts w:ascii="Palatino Linotype" w:eastAsia="Palatino Linotype" w:hAnsi="Palatino Linotype" w:cs="Palatino Linotype"/>
          <w:i/>
          <w:sz w:val="22"/>
          <w:szCs w:val="22"/>
        </w:rPr>
        <w:t>.”</w:t>
      </w:r>
    </w:p>
    <w:p w14:paraId="6A47AC05" w14:textId="77777777" w:rsidR="00A14BD8" w:rsidRPr="002B2FFB" w:rsidRDefault="00A14BD8" w:rsidP="00A14BD8">
      <w:pPr>
        <w:spacing w:before="240" w:after="240" w:line="360" w:lineRule="auto"/>
        <w:ind w:right="50"/>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A9F2337"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“Artículo 49.</w:t>
      </w:r>
      <w:r w:rsidRPr="002B2FFB">
        <w:rPr>
          <w:rFonts w:ascii="Palatino Linotype" w:eastAsia="Palatino Linotype" w:hAnsi="Palatino Linotype" w:cs="Palatino Linotype"/>
          <w:i/>
          <w:sz w:val="22"/>
          <w:szCs w:val="22"/>
        </w:rPr>
        <w:t xml:space="preserve"> </w:t>
      </w:r>
      <w:r w:rsidRPr="002B2FFB">
        <w:rPr>
          <w:rFonts w:ascii="Palatino Linotype" w:eastAsia="Palatino Linotype" w:hAnsi="Palatino Linotype" w:cs="Palatino Linotype"/>
          <w:b/>
          <w:i/>
          <w:sz w:val="22"/>
          <w:szCs w:val="22"/>
        </w:rPr>
        <w:t>Los Comités de Transparencia</w:t>
      </w:r>
      <w:r w:rsidRPr="002B2FFB">
        <w:rPr>
          <w:rFonts w:ascii="Palatino Linotype" w:eastAsia="Palatino Linotype" w:hAnsi="Palatino Linotype" w:cs="Palatino Linotype"/>
          <w:i/>
          <w:sz w:val="22"/>
          <w:szCs w:val="22"/>
        </w:rPr>
        <w:t xml:space="preserve"> tendrán las siguientes atribuciones:</w:t>
      </w:r>
    </w:p>
    <w:p w14:paraId="2616E84C"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VIII. Aprobar, modificar o revocar la clasificación de la información</w:t>
      </w:r>
      <w:r w:rsidRPr="002B2FFB">
        <w:rPr>
          <w:rFonts w:ascii="Palatino Linotype" w:eastAsia="Palatino Linotype" w:hAnsi="Palatino Linotype" w:cs="Palatino Linotype"/>
          <w:i/>
          <w:sz w:val="22"/>
          <w:szCs w:val="22"/>
        </w:rPr>
        <w:t>…”</w:t>
      </w:r>
    </w:p>
    <w:p w14:paraId="57DA73FD"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Artículo 53.</w:t>
      </w:r>
      <w:r w:rsidRPr="002B2FFB">
        <w:rPr>
          <w:rFonts w:ascii="Palatino Linotype" w:eastAsia="Palatino Linotype" w:hAnsi="Palatino Linotype" w:cs="Palatino Linotype"/>
          <w:i/>
          <w:sz w:val="22"/>
          <w:szCs w:val="22"/>
        </w:rPr>
        <w:t xml:space="preserve"> Las </w:t>
      </w:r>
      <w:r w:rsidRPr="002B2FFB">
        <w:rPr>
          <w:rFonts w:ascii="Palatino Linotype" w:eastAsia="Palatino Linotype" w:hAnsi="Palatino Linotype" w:cs="Palatino Linotype"/>
          <w:b/>
          <w:i/>
          <w:sz w:val="22"/>
          <w:szCs w:val="22"/>
        </w:rPr>
        <w:t>Unidades de Transparencia</w:t>
      </w:r>
      <w:r w:rsidRPr="002B2FFB">
        <w:rPr>
          <w:rFonts w:ascii="Palatino Linotype" w:eastAsia="Palatino Linotype" w:hAnsi="Palatino Linotype" w:cs="Palatino Linotype"/>
          <w:i/>
          <w:sz w:val="22"/>
          <w:szCs w:val="22"/>
        </w:rPr>
        <w:t xml:space="preserve"> tendrán las siguientes </w:t>
      </w:r>
      <w:r w:rsidRPr="002B2FFB">
        <w:rPr>
          <w:rFonts w:ascii="Palatino Linotype" w:eastAsia="Palatino Linotype" w:hAnsi="Palatino Linotype" w:cs="Palatino Linotype"/>
          <w:b/>
          <w:i/>
          <w:sz w:val="22"/>
          <w:szCs w:val="22"/>
        </w:rPr>
        <w:t>funciones</w:t>
      </w:r>
      <w:r w:rsidRPr="002B2FFB">
        <w:rPr>
          <w:rFonts w:ascii="Palatino Linotype" w:eastAsia="Palatino Linotype" w:hAnsi="Palatino Linotype" w:cs="Palatino Linotype"/>
          <w:i/>
          <w:sz w:val="22"/>
          <w:szCs w:val="22"/>
        </w:rPr>
        <w:t>:</w:t>
      </w:r>
    </w:p>
    <w:p w14:paraId="72A09C94"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X. Presentar ante el Comité, el proyecto de clasificación de información</w:t>
      </w:r>
      <w:r w:rsidRPr="002B2FFB">
        <w:rPr>
          <w:rFonts w:ascii="Palatino Linotype" w:eastAsia="Palatino Linotype" w:hAnsi="Palatino Linotype" w:cs="Palatino Linotype"/>
          <w:i/>
          <w:sz w:val="22"/>
          <w:szCs w:val="22"/>
        </w:rPr>
        <w:t xml:space="preserve">…” </w:t>
      </w:r>
    </w:p>
    <w:p w14:paraId="16A3DAA5"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“Artículo 59.</w:t>
      </w:r>
      <w:r w:rsidRPr="002B2FFB">
        <w:rPr>
          <w:rFonts w:ascii="Palatino Linotype" w:eastAsia="Palatino Linotype" w:hAnsi="Palatino Linotype" w:cs="Palatino Linotype"/>
          <w:i/>
          <w:sz w:val="22"/>
          <w:szCs w:val="22"/>
        </w:rPr>
        <w:t xml:space="preserve"> Los </w:t>
      </w:r>
      <w:r w:rsidRPr="002B2FFB">
        <w:rPr>
          <w:rFonts w:ascii="Palatino Linotype" w:eastAsia="Palatino Linotype" w:hAnsi="Palatino Linotype" w:cs="Palatino Linotype"/>
          <w:b/>
          <w:i/>
          <w:sz w:val="22"/>
          <w:szCs w:val="22"/>
        </w:rPr>
        <w:t>servidores públicos habilitados</w:t>
      </w:r>
      <w:r w:rsidRPr="002B2FFB">
        <w:rPr>
          <w:rFonts w:ascii="Palatino Linotype" w:eastAsia="Palatino Linotype" w:hAnsi="Palatino Linotype" w:cs="Palatino Linotype"/>
          <w:i/>
          <w:sz w:val="22"/>
          <w:szCs w:val="22"/>
        </w:rPr>
        <w:t xml:space="preserve"> tendrán las </w:t>
      </w:r>
      <w:r w:rsidRPr="002B2FFB">
        <w:rPr>
          <w:rFonts w:ascii="Palatino Linotype" w:eastAsia="Palatino Linotype" w:hAnsi="Palatino Linotype" w:cs="Palatino Linotype"/>
          <w:b/>
          <w:i/>
          <w:sz w:val="22"/>
          <w:szCs w:val="22"/>
        </w:rPr>
        <w:t>funciones</w:t>
      </w:r>
      <w:r w:rsidRPr="002B2FFB">
        <w:rPr>
          <w:rFonts w:ascii="Palatino Linotype" w:eastAsia="Palatino Linotype" w:hAnsi="Palatino Linotype" w:cs="Palatino Linotype"/>
          <w:i/>
          <w:sz w:val="22"/>
          <w:szCs w:val="22"/>
        </w:rPr>
        <w:t xml:space="preserve"> siguientes:</w:t>
      </w:r>
    </w:p>
    <w:p w14:paraId="2707AF9A"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2B2FFB">
        <w:rPr>
          <w:rFonts w:ascii="Palatino Linotype" w:eastAsia="Palatino Linotype" w:hAnsi="Palatino Linotype" w:cs="Palatino Linotype"/>
          <w:i/>
          <w:sz w:val="22"/>
          <w:szCs w:val="22"/>
        </w:rPr>
        <w:t>, la cual tendrá los fundamentos y argumentos en que se basa dicha propuesta…”</w:t>
      </w:r>
    </w:p>
    <w:p w14:paraId="6CE8819B" w14:textId="77777777" w:rsidR="00A14BD8" w:rsidRPr="002B2FFB" w:rsidRDefault="00A14BD8" w:rsidP="00A14BD8">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EC10F45" w14:textId="77777777" w:rsidR="00A14BD8" w:rsidRPr="002B2FFB" w:rsidRDefault="00A14BD8" w:rsidP="00A14BD8">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F739C90" w14:textId="77777777" w:rsidR="00A14BD8" w:rsidRPr="002B2FFB" w:rsidRDefault="00A14BD8" w:rsidP="00A14BD8">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Artículo 149.</w:t>
      </w:r>
      <w:r w:rsidRPr="002B2FFB">
        <w:rPr>
          <w:rFonts w:ascii="Palatino Linotype" w:eastAsia="Palatino Linotype" w:hAnsi="Palatino Linotype" w:cs="Palatino Linotype"/>
          <w:i/>
          <w:sz w:val="22"/>
          <w:szCs w:val="22"/>
        </w:rPr>
        <w:t xml:space="preserve"> El </w:t>
      </w:r>
      <w:r w:rsidRPr="002B2FFB">
        <w:rPr>
          <w:rFonts w:ascii="Palatino Linotype" w:eastAsia="Palatino Linotype" w:hAnsi="Palatino Linotype" w:cs="Palatino Linotype"/>
          <w:b/>
          <w:i/>
          <w:sz w:val="22"/>
          <w:szCs w:val="22"/>
        </w:rPr>
        <w:t>acuerdo que clasifique la información como confidencial</w:t>
      </w:r>
      <w:r w:rsidRPr="002B2FF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514A19A0" w14:textId="77777777" w:rsidR="00A14BD8" w:rsidRPr="002B2FFB" w:rsidRDefault="00A14BD8" w:rsidP="00A14BD8">
      <w:pP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Es decir, el </w:t>
      </w:r>
      <w:r w:rsidRPr="002B2FFB">
        <w:rPr>
          <w:rFonts w:ascii="Palatino Linotype" w:eastAsia="Palatino Linotype" w:hAnsi="Palatino Linotype" w:cs="Palatino Linotype"/>
          <w:b/>
          <w:sz w:val="22"/>
          <w:szCs w:val="22"/>
        </w:rPr>
        <w:t>Sujeto Obligado</w:t>
      </w:r>
      <w:r w:rsidRPr="002B2FFB">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2C5FCBF" w14:textId="77777777" w:rsidR="00A14BD8" w:rsidRPr="002B2FFB" w:rsidRDefault="00A14BD8" w:rsidP="00A14BD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2B2FFB">
        <w:rPr>
          <w:rFonts w:ascii="Palatino Linotype" w:eastAsia="Palatino Linotype" w:hAnsi="Palatino Linotype" w:cs="Palatino Linotype"/>
          <w:b/>
          <w:sz w:val="22"/>
          <w:szCs w:val="22"/>
        </w:rPr>
        <w:t>Sujeto Obligado</w:t>
      </w:r>
      <w:r w:rsidRPr="002B2FFB">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207DFB43"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 xml:space="preserve"> “Quincuagésimo. </w:t>
      </w:r>
      <w:r w:rsidRPr="002B2FF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C1D04F2"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 xml:space="preserve">Quincuagésimo primero. </w:t>
      </w:r>
      <w:r w:rsidRPr="002B2FFB">
        <w:rPr>
          <w:rFonts w:ascii="Palatino Linotype" w:eastAsia="Palatino Linotype" w:hAnsi="Palatino Linotype" w:cs="Palatino Linotype"/>
          <w:i/>
          <w:sz w:val="22"/>
          <w:szCs w:val="22"/>
        </w:rPr>
        <w:t xml:space="preserve">Toda acta del Comité de Transparencia deberá contener: </w:t>
      </w:r>
    </w:p>
    <w:p w14:paraId="205375F5"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w:t>
      </w:r>
      <w:r w:rsidRPr="002B2FFB">
        <w:rPr>
          <w:rFonts w:ascii="Palatino Linotype" w:eastAsia="Palatino Linotype" w:hAnsi="Palatino Linotype" w:cs="Palatino Linotype"/>
          <w:i/>
          <w:sz w:val="22"/>
          <w:szCs w:val="22"/>
        </w:rPr>
        <w:t xml:space="preserve"> El número de sesión y fecha; </w:t>
      </w:r>
    </w:p>
    <w:p w14:paraId="3CE0FAC4"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II</w:t>
      </w:r>
      <w:r w:rsidRPr="002B2FFB">
        <w:rPr>
          <w:rFonts w:ascii="Palatino Linotype" w:eastAsia="Palatino Linotype" w:hAnsi="Palatino Linotype" w:cs="Palatino Linotype"/>
          <w:i/>
          <w:sz w:val="22"/>
          <w:szCs w:val="22"/>
        </w:rPr>
        <w:t xml:space="preserve">. El nombre del área que solicitó la clasificación de información; </w:t>
      </w:r>
    </w:p>
    <w:p w14:paraId="1E0104FA"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III</w:t>
      </w:r>
      <w:r w:rsidRPr="002B2FFB">
        <w:rPr>
          <w:rFonts w:ascii="Palatino Linotype" w:eastAsia="Palatino Linotype" w:hAnsi="Palatino Linotype" w:cs="Palatino Linotype"/>
          <w:i/>
          <w:sz w:val="22"/>
          <w:szCs w:val="22"/>
        </w:rPr>
        <w:t xml:space="preserve">. La fundamentación legal y motivación correspondiente; </w:t>
      </w:r>
    </w:p>
    <w:p w14:paraId="2828A125"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IV</w:t>
      </w:r>
      <w:r w:rsidRPr="002B2FFB">
        <w:rPr>
          <w:rFonts w:ascii="Palatino Linotype" w:eastAsia="Palatino Linotype" w:hAnsi="Palatino Linotype" w:cs="Palatino Linotype"/>
          <w:i/>
          <w:sz w:val="22"/>
          <w:szCs w:val="22"/>
        </w:rPr>
        <w:t xml:space="preserve">. La resolución o resoluciones aprobadas; y </w:t>
      </w:r>
    </w:p>
    <w:p w14:paraId="39BAD65E"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V</w:t>
      </w:r>
      <w:r w:rsidRPr="002B2FFB">
        <w:rPr>
          <w:rFonts w:ascii="Palatino Linotype" w:eastAsia="Palatino Linotype" w:hAnsi="Palatino Linotype" w:cs="Palatino Linotype"/>
          <w:i/>
          <w:sz w:val="22"/>
          <w:szCs w:val="22"/>
        </w:rPr>
        <w:t xml:space="preserve">. La rúbrica o firma digital de cada integrante del Comité de Transparencia. </w:t>
      </w:r>
    </w:p>
    <w:p w14:paraId="4FBEAA64"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09B9ACA"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w:t>
      </w:r>
      <w:r w:rsidRPr="002B2FF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C8E16C4"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b/>
          <w:i/>
          <w:sz w:val="22"/>
          <w:szCs w:val="22"/>
        </w:rPr>
        <w:t>II</w:t>
      </w:r>
      <w:r w:rsidRPr="002B2FFB">
        <w:rPr>
          <w:rFonts w:ascii="Palatino Linotype" w:eastAsia="Palatino Linotype" w:hAnsi="Palatino Linotype" w:cs="Palatino Linotype"/>
          <w:i/>
          <w:sz w:val="22"/>
          <w:szCs w:val="22"/>
        </w:rPr>
        <w:t>. Descripción de las partes o secciones reservadas, en caso de clasificación parcial</w:t>
      </w:r>
      <w:r w:rsidRPr="002B2FFB">
        <w:rPr>
          <w:rFonts w:ascii="Palatino Linotype" w:eastAsia="Palatino Linotype" w:hAnsi="Palatino Linotype" w:cs="Palatino Linotype"/>
          <w:b/>
          <w:i/>
          <w:sz w:val="22"/>
          <w:szCs w:val="22"/>
        </w:rPr>
        <w:t xml:space="preserve">; </w:t>
      </w:r>
    </w:p>
    <w:p w14:paraId="020C3FD0"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III.</w:t>
      </w:r>
      <w:r w:rsidRPr="002B2FFB">
        <w:rPr>
          <w:rFonts w:ascii="Palatino Linotype" w:eastAsia="Palatino Linotype" w:hAnsi="Palatino Linotype" w:cs="Palatino Linotype"/>
          <w:i/>
          <w:sz w:val="22"/>
          <w:szCs w:val="22"/>
        </w:rPr>
        <w:t xml:space="preserve"> El periodo por el que mantendrá su clasificación y fecha de expiración; y </w:t>
      </w:r>
    </w:p>
    <w:p w14:paraId="2AF8C38A"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IV.</w:t>
      </w:r>
      <w:r w:rsidRPr="002B2FF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247248B9"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F5CA58B" w14:textId="77777777" w:rsidR="00A14BD8" w:rsidRPr="002B2FFB" w:rsidRDefault="00A14BD8" w:rsidP="00E3528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0479226" w14:textId="77777777" w:rsidR="00A14BD8" w:rsidRPr="002B2FFB" w:rsidRDefault="00A14BD8" w:rsidP="00A14BD8">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4BE8EAD" w14:textId="77777777" w:rsidR="00A14BD8" w:rsidRPr="002B2FFB" w:rsidRDefault="00A14BD8" w:rsidP="00E35285">
      <w:pPr>
        <w:spacing w:before="120" w:after="120"/>
        <w:ind w:left="851"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r w:rsidRPr="002B2FFB">
        <w:rPr>
          <w:rFonts w:ascii="Palatino Linotype" w:eastAsia="Palatino Linotype" w:hAnsi="Palatino Linotype" w:cs="Palatino Linotype"/>
          <w:b/>
          <w:i/>
          <w:sz w:val="22"/>
          <w:szCs w:val="22"/>
        </w:rPr>
        <w:t>Quincuagésimo segundo</w:t>
      </w:r>
      <w:r w:rsidRPr="002B2FF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D7458A4" w14:textId="77777777" w:rsidR="00A14BD8" w:rsidRPr="002B2FFB" w:rsidRDefault="00A14BD8" w:rsidP="00E35285">
      <w:pPr>
        <w:spacing w:before="120" w:after="120"/>
        <w:ind w:left="851"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53796498" w14:textId="77777777" w:rsidR="00A14BD8" w:rsidRPr="002B2FFB" w:rsidRDefault="00A14BD8" w:rsidP="00E35285">
      <w:pPr>
        <w:spacing w:before="120" w:after="120"/>
        <w:ind w:left="851"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w:t>
      </w:r>
      <w:r w:rsidRPr="002B2FF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314ECF6" w14:textId="77777777" w:rsidR="00A14BD8" w:rsidRPr="002B2FFB" w:rsidRDefault="00A14BD8" w:rsidP="00E35285">
      <w:pPr>
        <w:spacing w:before="120" w:after="120"/>
        <w:ind w:left="851"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II.</w:t>
      </w:r>
      <w:r w:rsidRPr="002B2FF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4D3A018" w14:textId="77777777" w:rsidR="00A14BD8" w:rsidRPr="002B2FFB" w:rsidRDefault="00A14BD8" w:rsidP="00E35285">
      <w:pPr>
        <w:spacing w:before="120" w:after="120"/>
        <w:ind w:left="851"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III.</w:t>
      </w:r>
      <w:r w:rsidRPr="002B2FFB">
        <w:rPr>
          <w:rFonts w:ascii="Palatino Linotype" w:eastAsia="Palatino Linotype" w:hAnsi="Palatino Linotype" w:cs="Palatino Linotype"/>
          <w:i/>
          <w:sz w:val="22"/>
          <w:szCs w:val="22"/>
        </w:rPr>
        <w:t xml:space="preserve"> Señalar las personas o instancias autorizadas a acceder a la información clasificada.</w:t>
      </w:r>
    </w:p>
    <w:p w14:paraId="45B15C9C" w14:textId="77777777" w:rsidR="00A14BD8" w:rsidRPr="002B2FFB" w:rsidRDefault="00A14BD8" w:rsidP="00E35285">
      <w:pPr>
        <w:spacing w:before="120" w:after="120"/>
        <w:ind w:left="851"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03AA6BC" w14:textId="77777777" w:rsidR="00A14BD8" w:rsidRPr="002B2FFB" w:rsidRDefault="00A14BD8" w:rsidP="00E35285">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w:t>
      </w:r>
    </w:p>
    <w:p w14:paraId="251B60E0" w14:textId="77777777" w:rsidR="00A14BD8" w:rsidRPr="002B2FFB" w:rsidRDefault="00A14BD8" w:rsidP="00E35285">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b/>
          <w:i/>
          <w:sz w:val="22"/>
          <w:szCs w:val="22"/>
        </w:rPr>
        <w:t xml:space="preserve">Quincuagésimo cuarto. </w:t>
      </w:r>
      <w:r w:rsidRPr="002B2FFB">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2B2FFB">
        <w:rPr>
          <w:rFonts w:ascii="Palatino Linotype" w:eastAsia="Palatino Linotype" w:hAnsi="Palatino Linotype" w:cs="Palatino Linotype"/>
          <w:b/>
          <w:i/>
          <w:sz w:val="22"/>
          <w:szCs w:val="22"/>
        </w:rPr>
        <w:t xml:space="preserve"> </w:t>
      </w:r>
    </w:p>
    <w:p w14:paraId="26603E67"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 xml:space="preserve">Quincuagésimo quinto. </w:t>
      </w:r>
      <w:r w:rsidRPr="002B2FF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2B2FFB">
        <w:rPr>
          <w:rFonts w:ascii="Palatino Linotype" w:eastAsia="Palatino Linotype" w:hAnsi="Palatino Linotype" w:cs="Palatino Linotype"/>
          <w:i/>
          <w:sz w:val="22"/>
          <w:szCs w:val="22"/>
        </w:rPr>
        <w:t>testado</w:t>
      </w:r>
      <w:proofErr w:type="spellEnd"/>
      <w:r w:rsidRPr="002B2FF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546C4C4" w14:textId="77777777" w:rsidR="00A14BD8" w:rsidRPr="002B2FFB" w:rsidRDefault="00A14BD8" w:rsidP="00E35285">
      <w:pPr>
        <w:spacing w:before="120" w:after="120"/>
        <w:ind w:left="851" w:right="902"/>
        <w:jc w:val="both"/>
        <w:rPr>
          <w:rFonts w:ascii="Palatino Linotype" w:eastAsia="Palatino Linotype" w:hAnsi="Palatino Linotype" w:cs="Palatino Linotype"/>
          <w:b/>
          <w:i/>
          <w:sz w:val="22"/>
          <w:szCs w:val="22"/>
        </w:rPr>
      </w:pPr>
      <w:r w:rsidRPr="002B2FFB">
        <w:rPr>
          <w:rFonts w:ascii="Palatino Linotype" w:eastAsia="Palatino Linotype" w:hAnsi="Palatino Linotype" w:cs="Palatino Linotype"/>
          <w:b/>
          <w:i/>
          <w:sz w:val="22"/>
          <w:szCs w:val="22"/>
        </w:rPr>
        <w:t>...</w:t>
      </w:r>
    </w:p>
    <w:p w14:paraId="16F77AC2"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Quincuagésimo séptimo</w:t>
      </w:r>
      <w:r w:rsidRPr="002B2FF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F2D1901"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w:t>
      </w:r>
      <w:r w:rsidRPr="002B2FF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024FB80"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II.</w:t>
      </w:r>
      <w:r w:rsidRPr="002B2FF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5D149EC"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III</w:t>
      </w:r>
      <w:r w:rsidRPr="002B2FF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90DB647"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E16AFEF" w14:textId="77777777" w:rsidR="00A14BD8" w:rsidRPr="002B2FFB" w:rsidRDefault="00A14BD8" w:rsidP="00E35285">
      <w:pPr>
        <w:spacing w:before="120" w:after="120"/>
        <w:ind w:left="851" w:right="902"/>
        <w:jc w:val="both"/>
        <w:rPr>
          <w:rFonts w:ascii="Palatino Linotype" w:eastAsia="Palatino Linotype" w:hAnsi="Palatino Linotype" w:cs="Palatino Linotype"/>
          <w:i/>
          <w:sz w:val="22"/>
          <w:szCs w:val="22"/>
        </w:rPr>
      </w:pPr>
      <w:r w:rsidRPr="002B2FFB">
        <w:rPr>
          <w:rFonts w:ascii="Palatino Linotype" w:eastAsia="Palatino Linotype" w:hAnsi="Palatino Linotype" w:cs="Palatino Linotype"/>
          <w:b/>
          <w:i/>
          <w:sz w:val="22"/>
          <w:szCs w:val="22"/>
        </w:rPr>
        <w:t>Quincuagésimo octavo</w:t>
      </w:r>
      <w:r w:rsidRPr="002B2FFB">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52F10AC" w14:textId="77777777" w:rsidR="005B0A3D" w:rsidRPr="002B2FFB" w:rsidRDefault="005B0A3D" w:rsidP="005B0A3D">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7FA99318" w14:textId="77777777" w:rsidR="00C8599E" w:rsidRPr="002B2FFB" w:rsidRDefault="00812BF1" w:rsidP="00B24180">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2B2FFB">
        <w:rPr>
          <w:rFonts w:ascii="Palatino Linotype" w:eastAsia="Palatino Linotype" w:hAnsi="Palatino Linotype" w:cs="Palatino Linotype"/>
          <w:b/>
          <w:sz w:val="22"/>
          <w:szCs w:val="22"/>
        </w:rPr>
        <w:t>III. R E S U E L V E</w:t>
      </w:r>
    </w:p>
    <w:p w14:paraId="277CEF24" w14:textId="45D38798"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bookmarkStart w:id="10" w:name="_heading=h.1t3h5sf" w:colFirst="0" w:colLast="0"/>
      <w:bookmarkEnd w:id="10"/>
      <w:r w:rsidRPr="002B2FFB">
        <w:rPr>
          <w:rFonts w:ascii="Palatino Linotype" w:eastAsia="Palatino Linotype" w:hAnsi="Palatino Linotype" w:cs="Palatino Linotype"/>
          <w:b/>
          <w:sz w:val="22"/>
          <w:szCs w:val="22"/>
        </w:rPr>
        <w:t xml:space="preserve">Primero. </w:t>
      </w:r>
      <w:r w:rsidRPr="002B2FFB">
        <w:rPr>
          <w:rFonts w:ascii="Palatino Linotype" w:eastAsia="Palatino Linotype" w:hAnsi="Palatino Linotype" w:cs="Palatino Linotype"/>
          <w:sz w:val="22"/>
          <w:szCs w:val="22"/>
        </w:rPr>
        <w:t>Resultan</w:t>
      </w:r>
      <w:r w:rsidRPr="002B2FFB">
        <w:rPr>
          <w:rFonts w:ascii="Palatino Linotype" w:eastAsia="Palatino Linotype" w:hAnsi="Palatino Linotype" w:cs="Palatino Linotype"/>
          <w:b/>
          <w:sz w:val="22"/>
          <w:szCs w:val="22"/>
        </w:rPr>
        <w:t xml:space="preserve"> fundadas</w:t>
      </w:r>
      <w:r w:rsidRPr="002B2FFB">
        <w:rPr>
          <w:rFonts w:ascii="Palatino Linotype" w:eastAsia="Palatino Linotype" w:hAnsi="Palatino Linotype" w:cs="Palatino Linotype"/>
          <w:sz w:val="22"/>
          <w:szCs w:val="22"/>
        </w:rPr>
        <w:t xml:space="preserve"> las razones o motivos de inconformidad hechos valer por la parte</w:t>
      </w:r>
      <w:r w:rsidRPr="002B2FFB">
        <w:rPr>
          <w:rFonts w:ascii="Palatino Linotype" w:eastAsia="Palatino Linotype" w:hAnsi="Palatino Linotype" w:cs="Palatino Linotype"/>
          <w:b/>
          <w:sz w:val="22"/>
          <w:szCs w:val="22"/>
        </w:rPr>
        <w:t xml:space="preserve"> Recurrente</w:t>
      </w:r>
      <w:r w:rsidRPr="002B2FFB">
        <w:rPr>
          <w:rFonts w:ascii="Palatino Linotype" w:eastAsia="Palatino Linotype" w:hAnsi="Palatino Linotype" w:cs="Palatino Linotype"/>
          <w:sz w:val="22"/>
          <w:szCs w:val="22"/>
        </w:rPr>
        <w:t xml:space="preserve"> en el recurso de revisión </w:t>
      </w:r>
      <w:r w:rsidR="00CF7678" w:rsidRPr="002B2FFB">
        <w:rPr>
          <w:rFonts w:ascii="Palatino Linotype" w:eastAsia="Palatino Linotype" w:hAnsi="Palatino Linotype" w:cs="Palatino Linotype"/>
          <w:b/>
          <w:bCs/>
          <w:sz w:val="22"/>
          <w:szCs w:val="22"/>
        </w:rPr>
        <w:t>0</w:t>
      </w:r>
      <w:r w:rsidR="00E35285" w:rsidRPr="002B2FFB">
        <w:rPr>
          <w:rFonts w:ascii="Palatino Linotype" w:eastAsia="Palatino Linotype" w:hAnsi="Palatino Linotype" w:cs="Palatino Linotype"/>
          <w:b/>
          <w:bCs/>
          <w:sz w:val="22"/>
          <w:szCs w:val="22"/>
        </w:rPr>
        <w:t>690</w:t>
      </w:r>
      <w:r w:rsidR="00116B26" w:rsidRPr="002B2FFB">
        <w:rPr>
          <w:rFonts w:ascii="Palatino Linotype" w:eastAsia="Palatino Linotype" w:hAnsi="Palatino Linotype" w:cs="Palatino Linotype"/>
          <w:b/>
          <w:bCs/>
          <w:sz w:val="22"/>
          <w:szCs w:val="22"/>
        </w:rPr>
        <w:t>4</w:t>
      </w:r>
      <w:r w:rsidRPr="002B2FFB">
        <w:rPr>
          <w:rFonts w:ascii="Palatino Linotype" w:eastAsia="Palatino Linotype" w:hAnsi="Palatino Linotype" w:cs="Palatino Linotype"/>
          <w:b/>
          <w:sz w:val="22"/>
          <w:szCs w:val="22"/>
        </w:rPr>
        <w:t>/INFOEM/IP/RR/2025</w:t>
      </w:r>
      <w:r w:rsidRPr="002B2FFB">
        <w:rPr>
          <w:rFonts w:ascii="Palatino Linotype" w:eastAsia="Palatino Linotype" w:hAnsi="Palatino Linotype" w:cs="Palatino Linotype"/>
          <w:sz w:val="22"/>
          <w:szCs w:val="22"/>
        </w:rPr>
        <w:t xml:space="preserve">; por lo que, en términos del </w:t>
      </w:r>
      <w:r w:rsidRPr="002B2FFB">
        <w:rPr>
          <w:rFonts w:ascii="Palatino Linotype" w:eastAsia="Palatino Linotype" w:hAnsi="Palatino Linotype" w:cs="Palatino Linotype"/>
          <w:b/>
          <w:sz w:val="22"/>
          <w:szCs w:val="22"/>
        </w:rPr>
        <w:t>Considerando</w:t>
      </w:r>
      <w:r w:rsidRPr="002B2FFB">
        <w:rPr>
          <w:rFonts w:ascii="Palatino Linotype" w:eastAsia="Palatino Linotype" w:hAnsi="Palatino Linotype" w:cs="Palatino Linotype"/>
          <w:sz w:val="22"/>
          <w:szCs w:val="22"/>
        </w:rPr>
        <w:t xml:space="preserve"> </w:t>
      </w:r>
      <w:r w:rsidRPr="002B2FFB">
        <w:rPr>
          <w:rFonts w:ascii="Palatino Linotype" w:eastAsia="Palatino Linotype" w:hAnsi="Palatino Linotype" w:cs="Palatino Linotype"/>
          <w:b/>
          <w:sz w:val="22"/>
          <w:szCs w:val="22"/>
        </w:rPr>
        <w:t xml:space="preserve">Cuarto </w:t>
      </w:r>
      <w:r w:rsidRPr="002B2FFB">
        <w:rPr>
          <w:rFonts w:ascii="Palatino Linotype" w:eastAsia="Palatino Linotype" w:hAnsi="Palatino Linotype" w:cs="Palatino Linotype"/>
          <w:sz w:val="22"/>
          <w:szCs w:val="22"/>
        </w:rPr>
        <w:t xml:space="preserve">de esta resolución, se </w:t>
      </w:r>
      <w:r w:rsidR="00CF7678" w:rsidRPr="002B2FFB">
        <w:rPr>
          <w:rFonts w:ascii="Palatino Linotype" w:eastAsia="Palatino Linotype" w:hAnsi="Palatino Linotype" w:cs="Palatino Linotype"/>
          <w:b/>
          <w:sz w:val="22"/>
          <w:szCs w:val="22"/>
        </w:rPr>
        <w:t>Revoca</w:t>
      </w:r>
      <w:r w:rsidRPr="002B2FFB">
        <w:rPr>
          <w:rFonts w:ascii="Palatino Linotype" w:eastAsia="Palatino Linotype" w:hAnsi="Palatino Linotype" w:cs="Palatino Linotype"/>
          <w:sz w:val="22"/>
          <w:szCs w:val="22"/>
        </w:rPr>
        <w:t xml:space="preserve"> la respuesta emitida por el </w:t>
      </w:r>
      <w:r w:rsidRPr="002B2FFB">
        <w:rPr>
          <w:rFonts w:ascii="Palatino Linotype" w:eastAsia="Palatino Linotype" w:hAnsi="Palatino Linotype" w:cs="Palatino Linotype"/>
          <w:b/>
          <w:sz w:val="22"/>
          <w:szCs w:val="22"/>
        </w:rPr>
        <w:t xml:space="preserve">Sujeto Obligado. </w:t>
      </w:r>
    </w:p>
    <w:p w14:paraId="7EEF0660" w14:textId="29164A35" w:rsidR="00C8599E" w:rsidRPr="002B2FFB" w:rsidRDefault="00812BF1" w:rsidP="00B24180">
      <w:pPr>
        <w:spacing w:before="240" w:after="240" w:line="360" w:lineRule="auto"/>
        <w:ind w:right="49"/>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 xml:space="preserve">Segundo. </w:t>
      </w:r>
      <w:r w:rsidRPr="002B2FFB">
        <w:rPr>
          <w:rFonts w:ascii="Palatino Linotype" w:eastAsia="Palatino Linotype" w:hAnsi="Palatino Linotype" w:cs="Palatino Linotype"/>
          <w:sz w:val="22"/>
          <w:szCs w:val="22"/>
        </w:rPr>
        <w:t xml:space="preserve">Se </w:t>
      </w:r>
      <w:r w:rsidRPr="002B2FFB">
        <w:rPr>
          <w:rFonts w:ascii="Palatino Linotype" w:eastAsia="Palatino Linotype" w:hAnsi="Palatino Linotype" w:cs="Palatino Linotype"/>
          <w:b/>
          <w:sz w:val="22"/>
          <w:szCs w:val="22"/>
        </w:rPr>
        <w:t xml:space="preserve">Ordena </w:t>
      </w:r>
      <w:r w:rsidRPr="002B2FFB">
        <w:rPr>
          <w:rFonts w:ascii="Palatino Linotype" w:eastAsia="Palatino Linotype" w:hAnsi="Palatino Linotype" w:cs="Palatino Linotype"/>
          <w:sz w:val="22"/>
          <w:szCs w:val="22"/>
        </w:rPr>
        <w:t xml:space="preserve">al </w:t>
      </w:r>
      <w:r w:rsidRPr="002B2FFB">
        <w:rPr>
          <w:rFonts w:ascii="Palatino Linotype" w:eastAsia="Palatino Linotype" w:hAnsi="Palatino Linotype" w:cs="Palatino Linotype"/>
          <w:b/>
          <w:sz w:val="22"/>
          <w:szCs w:val="22"/>
        </w:rPr>
        <w:t xml:space="preserve">Sujeto Obligado, </w:t>
      </w:r>
      <w:r w:rsidRPr="002B2FFB">
        <w:rPr>
          <w:rFonts w:ascii="Palatino Linotype" w:eastAsia="Palatino Linotype" w:hAnsi="Palatino Linotype" w:cs="Palatino Linotype"/>
          <w:sz w:val="22"/>
          <w:szCs w:val="22"/>
        </w:rPr>
        <w:t>en términos de</w:t>
      </w:r>
      <w:r w:rsidR="005B0A3D" w:rsidRPr="002B2FFB">
        <w:rPr>
          <w:rFonts w:ascii="Palatino Linotype" w:eastAsia="Palatino Linotype" w:hAnsi="Palatino Linotype" w:cs="Palatino Linotype"/>
          <w:sz w:val="22"/>
          <w:szCs w:val="22"/>
        </w:rPr>
        <w:t xml:space="preserve"> </w:t>
      </w:r>
      <w:r w:rsidR="00CF7678" w:rsidRPr="002B2FFB">
        <w:rPr>
          <w:rFonts w:ascii="Palatino Linotype" w:eastAsia="Palatino Linotype" w:hAnsi="Palatino Linotype" w:cs="Palatino Linotype"/>
          <w:sz w:val="22"/>
          <w:szCs w:val="22"/>
        </w:rPr>
        <w:t>l</w:t>
      </w:r>
      <w:r w:rsidR="005B0A3D" w:rsidRPr="002B2FFB">
        <w:rPr>
          <w:rFonts w:ascii="Palatino Linotype" w:eastAsia="Palatino Linotype" w:hAnsi="Palatino Linotype" w:cs="Palatino Linotype"/>
          <w:sz w:val="22"/>
          <w:szCs w:val="22"/>
        </w:rPr>
        <w:t>os</w:t>
      </w:r>
      <w:r w:rsidR="00CF7678" w:rsidRPr="002B2FFB">
        <w:rPr>
          <w:rFonts w:ascii="Palatino Linotype" w:eastAsia="Palatino Linotype" w:hAnsi="Palatino Linotype" w:cs="Palatino Linotype"/>
          <w:sz w:val="22"/>
          <w:szCs w:val="22"/>
        </w:rPr>
        <w:t xml:space="preserve"> </w:t>
      </w:r>
      <w:r w:rsidRPr="002B2FFB">
        <w:rPr>
          <w:rFonts w:ascii="Palatino Linotype" w:eastAsia="Palatino Linotype" w:hAnsi="Palatino Linotype" w:cs="Palatino Linotype"/>
          <w:b/>
          <w:sz w:val="22"/>
          <w:szCs w:val="22"/>
        </w:rPr>
        <w:t>Considerando</w:t>
      </w:r>
      <w:r w:rsidR="005B0A3D" w:rsidRPr="002B2FFB">
        <w:rPr>
          <w:rFonts w:ascii="Palatino Linotype" w:eastAsia="Palatino Linotype" w:hAnsi="Palatino Linotype" w:cs="Palatino Linotype"/>
          <w:b/>
          <w:sz w:val="22"/>
          <w:szCs w:val="22"/>
        </w:rPr>
        <w:t>s</w:t>
      </w:r>
      <w:r w:rsidRPr="002B2FFB">
        <w:rPr>
          <w:rFonts w:ascii="Palatino Linotype" w:eastAsia="Palatino Linotype" w:hAnsi="Palatino Linotype" w:cs="Palatino Linotype"/>
          <w:sz w:val="22"/>
          <w:szCs w:val="22"/>
        </w:rPr>
        <w:t xml:space="preserve"> </w:t>
      </w:r>
      <w:r w:rsidRPr="002B2FFB">
        <w:rPr>
          <w:rFonts w:ascii="Palatino Linotype" w:eastAsia="Palatino Linotype" w:hAnsi="Palatino Linotype" w:cs="Palatino Linotype"/>
          <w:b/>
          <w:sz w:val="22"/>
          <w:szCs w:val="22"/>
        </w:rPr>
        <w:t>Cuarto</w:t>
      </w:r>
      <w:r w:rsidR="005B0A3D" w:rsidRPr="002B2FFB">
        <w:rPr>
          <w:rFonts w:ascii="Palatino Linotype" w:eastAsia="Palatino Linotype" w:hAnsi="Palatino Linotype" w:cs="Palatino Linotype"/>
          <w:b/>
          <w:sz w:val="22"/>
          <w:szCs w:val="22"/>
        </w:rPr>
        <w:t xml:space="preserve"> </w:t>
      </w:r>
      <w:r w:rsidR="005B0A3D" w:rsidRPr="002B2FFB">
        <w:rPr>
          <w:rFonts w:ascii="Palatino Linotype" w:eastAsia="Palatino Linotype" w:hAnsi="Palatino Linotype" w:cs="Palatino Linotype"/>
          <w:sz w:val="22"/>
          <w:szCs w:val="22"/>
        </w:rPr>
        <w:t xml:space="preserve">y </w:t>
      </w:r>
      <w:r w:rsidR="005B0A3D" w:rsidRPr="002B2FFB">
        <w:rPr>
          <w:rFonts w:ascii="Palatino Linotype" w:eastAsia="Palatino Linotype" w:hAnsi="Palatino Linotype" w:cs="Palatino Linotype"/>
          <w:b/>
          <w:sz w:val="22"/>
          <w:szCs w:val="22"/>
        </w:rPr>
        <w:t>Quinto</w:t>
      </w:r>
      <w:r w:rsidR="005B0A3D" w:rsidRPr="002B2FFB">
        <w:rPr>
          <w:rFonts w:ascii="Palatino Linotype" w:eastAsia="Palatino Linotype" w:hAnsi="Palatino Linotype" w:cs="Palatino Linotype"/>
          <w:sz w:val="22"/>
          <w:szCs w:val="22"/>
        </w:rPr>
        <w:t xml:space="preserve"> </w:t>
      </w:r>
      <w:r w:rsidRPr="002B2FFB">
        <w:rPr>
          <w:rFonts w:ascii="Palatino Linotype" w:eastAsia="Palatino Linotype" w:hAnsi="Palatino Linotype" w:cs="Palatino Linotype"/>
          <w:sz w:val="22"/>
          <w:szCs w:val="22"/>
        </w:rPr>
        <w:t xml:space="preserve">de esta resolución, haga entrega, vía </w:t>
      </w:r>
      <w:r w:rsidRPr="002B2FFB">
        <w:rPr>
          <w:rFonts w:ascii="Palatino Linotype" w:eastAsia="Palatino Linotype" w:hAnsi="Palatino Linotype" w:cs="Palatino Linotype"/>
          <w:b/>
          <w:sz w:val="22"/>
          <w:szCs w:val="22"/>
        </w:rPr>
        <w:t>SAIMEX</w:t>
      </w:r>
      <w:r w:rsidRPr="002B2FFB">
        <w:rPr>
          <w:rFonts w:ascii="Palatino Linotype" w:eastAsia="Palatino Linotype" w:hAnsi="Palatino Linotype" w:cs="Palatino Linotype"/>
          <w:sz w:val="22"/>
          <w:szCs w:val="22"/>
        </w:rPr>
        <w:t>, previa búsqueda exh</w:t>
      </w:r>
      <w:r w:rsidR="005B0A3D" w:rsidRPr="002B2FFB">
        <w:rPr>
          <w:rFonts w:ascii="Palatino Linotype" w:eastAsia="Palatino Linotype" w:hAnsi="Palatino Linotype" w:cs="Palatino Linotype"/>
          <w:sz w:val="22"/>
          <w:szCs w:val="22"/>
        </w:rPr>
        <w:t xml:space="preserve">austiva y razonable, en versión pública de ser procedente, </w:t>
      </w:r>
      <w:r w:rsidRPr="002B2FFB">
        <w:rPr>
          <w:rFonts w:ascii="Palatino Linotype" w:eastAsia="Palatino Linotype" w:hAnsi="Palatino Linotype" w:cs="Palatino Linotype"/>
          <w:sz w:val="22"/>
          <w:szCs w:val="22"/>
        </w:rPr>
        <w:t>de lo siguiente:</w:t>
      </w:r>
    </w:p>
    <w:p w14:paraId="69A7D794" w14:textId="09711851" w:rsidR="00E35285" w:rsidRPr="002B2FFB" w:rsidRDefault="00E35285" w:rsidP="00E51194">
      <w:pPr>
        <w:spacing w:before="240" w:after="240" w:line="360" w:lineRule="auto"/>
        <w:ind w:left="284" w:right="51"/>
        <w:jc w:val="both"/>
        <w:rPr>
          <w:rFonts w:ascii="Palatino Linotype" w:eastAsia="Palatino Linotype" w:hAnsi="Palatino Linotype" w:cs="Palatino Linotype"/>
          <w:sz w:val="22"/>
          <w:szCs w:val="22"/>
        </w:rPr>
      </w:pPr>
      <w:bookmarkStart w:id="11" w:name="_heading=h.1fob9te" w:colFirst="0" w:colLast="0"/>
      <w:bookmarkEnd w:id="11"/>
      <w:r w:rsidRPr="002B2FFB">
        <w:rPr>
          <w:rFonts w:ascii="Palatino Linotype" w:eastAsia="Palatino Linotype" w:hAnsi="Palatino Linotype" w:cs="Palatino Linotype"/>
          <w:sz w:val="22"/>
          <w:szCs w:val="22"/>
        </w:rPr>
        <w:t>Con relación a la obra del puente vehicular de incorporación vial a la autopista México-Querétaro, el soporte documental que dé cuenta de lo siguiente en el periodo comprendido del uno de enero al dos de mayo de dos mil veinticinco:</w:t>
      </w:r>
    </w:p>
    <w:p w14:paraId="67063509" w14:textId="792AAC6E" w:rsidR="00E35285" w:rsidRPr="002B2FFB" w:rsidRDefault="00E35285" w:rsidP="00E51194">
      <w:pPr>
        <w:spacing w:before="240" w:after="240" w:line="360" w:lineRule="auto"/>
        <w:ind w:left="567"/>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1. Documentos del procedimiento </w:t>
      </w:r>
      <w:r w:rsidR="00CD7F4C" w:rsidRPr="002B2FFB">
        <w:rPr>
          <w:rFonts w:ascii="Palatino Linotype" w:eastAsia="Palatino Linotype" w:hAnsi="Palatino Linotype" w:cs="Palatino Linotype"/>
          <w:sz w:val="22"/>
          <w:szCs w:val="22"/>
        </w:rPr>
        <w:t xml:space="preserve">de contratación de la empresa adjudicada </w:t>
      </w:r>
      <w:r w:rsidR="00CF1EB6" w:rsidRPr="002B2FFB">
        <w:rPr>
          <w:rFonts w:ascii="Palatino Linotype" w:eastAsia="Palatino Linotype" w:hAnsi="Palatino Linotype" w:cs="Palatino Linotype"/>
          <w:sz w:val="22"/>
          <w:szCs w:val="22"/>
        </w:rPr>
        <w:t>d</w:t>
      </w:r>
      <w:r w:rsidRPr="002B2FFB">
        <w:rPr>
          <w:rFonts w:ascii="Palatino Linotype" w:eastAsia="Palatino Linotype" w:hAnsi="Palatino Linotype" w:cs="Palatino Linotype"/>
          <w:sz w:val="22"/>
          <w:szCs w:val="22"/>
        </w:rPr>
        <w:t>el ejercicio 2025.</w:t>
      </w:r>
    </w:p>
    <w:p w14:paraId="742D862A" w14:textId="5B34B36B" w:rsidR="00E35285" w:rsidRPr="002B2FFB" w:rsidRDefault="00E35285" w:rsidP="00E51194">
      <w:pPr>
        <w:spacing w:before="240" w:after="240" w:line="360" w:lineRule="auto"/>
        <w:ind w:left="567"/>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2. Experiencia de la empresa </w:t>
      </w:r>
      <w:r w:rsidR="00CD7F4C" w:rsidRPr="002B2FFB">
        <w:rPr>
          <w:rFonts w:ascii="Palatino Linotype" w:eastAsia="Palatino Linotype" w:hAnsi="Palatino Linotype" w:cs="Palatino Linotype"/>
          <w:sz w:val="22"/>
          <w:szCs w:val="22"/>
        </w:rPr>
        <w:t>adjudicada</w:t>
      </w:r>
      <w:r w:rsidRPr="002B2FFB">
        <w:rPr>
          <w:rFonts w:ascii="Palatino Linotype" w:eastAsia="Palatino Linotype" w:hAnsi="Palatino Linotype" w:cs="Palatino Linotype"/>
          <w:sz w:val="22"/>
          <w:szCs w:val="22"/>
        </w:rPr>
        <w:t>.</w:t>
      </w:r>
    </w:p>
    <w:p w14:paraId="1180E8AE" w14:textId="08725F92" w:rsidR="00E35285" w:rsidRPr="002B2FFB" w:rsidRDefault="00E35285" w:rsidP="00E51194">
      <w:pPr>
        <w:spacing w:before="240" w:after="240" w:line="360" w:lineRule="auto"/>
        <w:ind w:left="567"/>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3. Contrato celebrado, en el que se advierta el nombre de la empresa </w:t>
      </w:r>
      <w:r w:rsidR="00CD7F4C" w:rsidRPr="002B2FFB">
        <w:rPr>
          <w:rFonts w:ascii="Palatino Linotype" w:eastAsia="Palatino Linotype" w:hAnsi="Palatino Linotype" w:cs="Palatino Linotype"/>
          <w:sz w:val="22"/>
          <w:szCs w:val="22"/>
        </w:rPr>
        <w:t>adjudicada</w:t>
      </w:r>
      <w:r w:rsidRPr="002B2FFB">
        <w:rPr>
          <w:rFonts w:ascii="Palatino Linotype" w:eastAsia="Palatino Linotype" w:hAnsi="Palatino Linotype" w:cs="Palatino Linotype"/>
          <w:sz w:val="22"/>
          <w:szCs w:val="22"/>
        </w:rPr>
        <w:t xml:space="preserve">. </w:t>
      </w:r>
    </w:p>
    <w:p w14:paraId="196B1296" w14:textId="77777777" w:rsidR="00E35285" w:rsidRPr="002B2FFB" w:rsidRDefault="00E35285" w:rsidP="00E51194">
      <w:pPr>
        <w:spacing w:before="240" w:after="240" w:line="360" w:lineRule="auto"/>
        <w:ind w:left="567"/>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4. Fecha de término de la obra. </w:t>
      </w:r>
    </w:p>
    <w:p w14:paraId="20588761" w14:textId="7BD10067" w:rsidR="00E35285" w:rsidRPr="002B2FFB" w:rsidRDefault="002C6792" w:rsidP="00E51194">
      <w:pPr>
        <w:spacing w:before="240" w:after="240" w:line="360" w:lineRule="auto"/>
        <w:ind w:left="567"/>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5</w:t>
      </w:r>
      <w:r w:rsidR="00E35285" w:rsidRPr="002B2FFB">
        <w:rPr>
          <w:rFonts w:ascii="Palatino Linotype" w:eastAsia="Palatino Linotype" w:hAnsi="Palatino Linotype" w:cs="Palatino Linotype"/>
          <w:sz w:val="22"/>
          <w:szCs w:val="22"/>
        </w:rPr>
        <w:t>. Listado de trabajos realizados</w:t>
      </w:r>
      <w:r w:rsidR="00CD7F4C" w:rsidRPr="002B2FFB">
        <w:rPr>
          <w:rFonts w:ascii="Palatino Linotype" w:eastAsia="Palatino Linotype" w:hAnsi="Palatino Linotype" w:cs="Palatino Linotype"/>
          <w:sz w:val="22"/>
          <w:szCs w:val="22"/>
        </w:rPr>
        <w:t xml:space="preserve"> en la obra</w:t>
      </w:r>
      <w:r w:rsidR="00E35285" w:rsidRPr="002B2FFB">
        <w:rPr>
          <w:rFonts w:ascii="Palatino Linotype" w:eastAsia="Palatino Linotype" w:hAnsi="Palatino Linotype" w:cs="Palatino Linotype"/>
          <w:sz w:val="22"/>
          <w:szCs w:val="22"/>
        </w:rPr>
        <w:t xml:space="preserve">. </w:t>
      </w:r>
    </w:p>
    <w:p w14:paraId="7F4E4F94" w14:textId="2DECDC76" w:rsidR="00E35285" w:rsidRPr="002B2FFB" w:rsidRDefault="002C6792" w:rsidP="00E51194">
      <w:pPr>
        <w:spacing w:before="240" w:after="240" w:line="360" w:lineRule="auto"/>
        <w:ind w:left="567"/>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6</w:t>
      </w:r>
      <w:r w:rsidR="00E35285" w:rsidRPr="002B2FFB">
        <w:rPr>
          <w:rFonts w:ascii="Palatino Linotype" w:eastAsia="Palatino Linotype" w:hAnsi="Palatino Linotype" w:cs="Palatino Linotype"/>
          <w:sz w:val="22"/>
          <w:szCs w:val="22"/>
        </w:rPr>
        <w:t>. Pagos realizados</w:t>
      </w:r>
      <w:r w:rsidR="00CD7F4C" w:rsidRPr="002B2FFB">
        <w:rPr>
          <w:rFonts w:ascii="Palatino Linotype" w:eastAsia="Palatino Linotype" w:hAnsi="Palatino Linotype" w:cs="Palatino Linotype"/>
          <w:sz w:val="22"/>
          <w:szCs w:val="22"/>
        </w:rPr>
        <w:t xml:space="preserve"> de la obra</w:t>
      </w:r>
      <w:r w:rsidR="00E35285" w:rsidRPr="002B2FFB">
        <w:rPr>
          <w:rFonts w:ascii="Palatino Linotype" w:eastAsia="Palatino Linotype" w:hAnsi="Palatino Linotype" w:cs="Palatino Linotype"/>
          <w:sz w:val="22"/>
          <w:szCs w:val="22"/>
        </w:rPr>
        <w:t>.</w:t>
      </w:r>
    </w:p>
    <w:p w14:paraId="7A4FDB92" w14:textId="0F04F33B" w:rsidR="00E35285" w:rsidRPr="002B2FFB" w:rsidRDefault="002C6792" w:rsidP="00E51194">
      <w:pPr>
        <w:spacing w:before="240" w:after="240" w:line="360" w:lineRule="auto"/>
        <w:ind w:left="567"/>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7</w:t>
      </w:r>
      <w:r w:rsidR="00E35285" w:rsidRPr="002B2FFB">
        <w:rPr>
          <w:rFonts w:ascii="Palatino Linotype" w:eastAsia="Palatino Linotype" w:hAnsi="Palatino Linotype" w:cs="Palatino Linotype"/>
          <w:sz w:val="22"/>
          <w:szCs w:val="22"/>
        </w:rPr>
        <w:t xml:space="preserve">. Documentos de la supervisión </w:t>
      </w:r>
      <w:r w:rsidR="00CD7F4C" w:rsidRPr="002B2FFB">
        <w:rPr>
          <w:rFonts w:ascii="Palatino Linotype" w:eastAsia="Palatino Linotype" w:hAnsi="Palatino Linotype" w:cs="Palatino Linotype"/>
          <w:sz w:val="22"/>
          <w:szCs w:val="22"/>
        </w:rPr>
        <w:t xml:space="preserve">de la obra </w:t>
      </w:r>
      <w:r w:rsidR="00E35285" w:rsidRPr="002B2FFB">
        <w:rPr>
          <w:rFonts w:ascii="Palatino Linotype" w:eastAsia="Palatino Linotype" w:hAnsi="Palatino Linotype" w:cs="Palatino Linotype"/>
          <w:sz w:val="22"/>
          <w:szCs w:val="22"/>
        </w:rPr>
        <w:t xml:space="preserve">realizada por la Contraloría Municipal. </w:t>
      </w:r>
    </w:p>
    <w:p w14:paraId="64A76526" w14:textId="64BA1E73" w:rsidR="00E35285" w:rsidRPr="002B2FFB" w:rsidRDefault="002C6792" w:rsidP="00E51194">
      <w:pPr>
        <w:spacing w:before="240" w:after="240" w:line="360" w:lineRule="auto"/>
        <w:ind w:left="567"/>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8</w:t>
      </w:r>
      <w:r w:rsidR="00E35285" w:rsidRPr="002B2FFB">
        <w:rPr>
          <w:rFonts w:ascii="Palatino Linotype" w:eastAsia="Palatino Linotype" w:hAnsi="Palatino Linotype" w:cs="Palatino Linotype"/>
          <w:sz w:val="22"/>
          <w:szCs w:val="22"/>
        </w:rPr>
        <w:t xml:space="preserve">. Expediente de seguimiento de </w:t>
      </w:r>
      <w:r w:rsidR="00CD7F4C" w:rsidRPr="002B2FFB">
        <w:rPr>
          <w:rFonts w:ascii="Palatino Linotype" w:eastAsia="Palatino Linotype" w:hAnsi="Palatino Linotype" w:cs="Palatino Linotype"/>
          <w:sz w:val="22"/>
          <w:szCs w:val="22"/>
        </w:rPr>
        <w:t xml:space="preserve">la </w:t>
      </w:r>
      <w:r w:rsidR="00E35285" w:rsidRPr="002B2FFB">
        <w:rPr>
          <w:rFonts w:ascii="Palatino Linotype" w:eastAsia="Palatino Linotype" w:hAnsi="Palatino Linotype" w:cs="Palatino Linotype"/>
          <w:sz w:val="22"/>
          <w:szCs w:val="22"/>
        </w:rPr>
        <w:t xml:space="preserve">obra. </w:t>
      </w:r>
    </w:p>
    <w:p w14:paraId="532F20A1" w14:textId="723E17EA" w:rsidR="002C6792" w:rsidRPr="002B2FFB" w:rsidRDefault="002C6792" w:rsidP="002C6792">
      <w:pPr>
        <w:spacing w:before="240" w:after="240" w:line="360" w:lineRule="auto"/>
        <w:ind w:left="567"/>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9. Fianza otorgada por la empresa adjudicada. </w:t>
      </w:r>
    </w:p>
    <w:p w14:paraId="04E05F6A" w14:textId="4FF57308" w:rsidR="00E35285" w:rsidRPr="002B2FFB" w:rsidRDefault="00E35285" w:rsidP="00E51194">
      <w:pPr>
        <w:spacing w:before="240" w:after="240" w:line="360" w:lineRule="auto"/>
        <w:ind w:left="567"/>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10. Documentos en los que conste la justificación de demoler partes de las estructuras de concreto</w:t>
      </w:r>
      <w:r w:rsidR="00CD7F4C" w:rsidRPr="002B2FFB">
        <w:rPr>
          <w:rFonts w:ascii="Palatino Linotype" w:eastAsia="Palatino Linotype" w:hAnsi="Palatino Linotype" w:cs="Palatino Linotype"/>
          <w:sz w:val="22"/>
          <w:szCs w:val="22"/>
        </w:rPr>
        <w:t xml:space="preserve"> en la obra</w:t>
      </w:r>
      <w:r w:rsidRPr="002B2FFB">
        <w:rPr>
          <w:rFonts w:ascii="Palatino Linotype" w:eastAsia="Palatino Linotype" w:hAnsi="Palatino Linotype" w:cs="Palatino Linotype"/>
          <w:sz w:val="22"/>
          <w:szCs w:val="22"/>
        </w:rPr>
        <w:t xml:space="preserve"> que ya estaban terminadas.</w:t>
      </w:r>
    </w:p>
    <w:p w14:paraId="2EB91B9C" w14:textId="1BBCC672" w:rsidR="00E35285" w:rsidRPr="002B2FFB" w:rsidRDefault="00E35285" w:rsidP="00E51194">
      <w:pPr>
        <w:spacing w:before="240" w:after="240" w:line="360" w:lineRule="auto"/>
        <w:ind w:left="567"/>
        <w:jc w:val="both"/>
        <w:rPr>
          <w:rFonts w:ascii="Palatino Linotype" w:hAnsi="Palatino Linotype"/>
          <w:sz w:val="22"/>
          <w:szCs w:val="22"/>
        </w:rPr>
      </w:pPr>
      <w:r w:rsidRPr="002B2FFB">
        <w:rPr>
          <w:rFonts w:ascii="Palatino Linotype" w:eastAsia="Palatino Linotype" w:hAnsi="Palatino Linotype" w:cs="Palatino Linotype"/>
          <w:sz w:val="22"/>
          <w:szCs w:val="22"/>
        </w:rPr>
        <w:t xml:space="preserve">11. Datos de las autoridades ante quienes se puede interponer una queja </w:t>
      </w:r>
      <w:r w:rsidR="006A4C30" w:rsidRPr="002B2FFB">
        <w:rPr>
          <w:rFonts w:ascii="Palatino Linotype" w:eastAsia="Palatino Linotype" w:hAnsi="Palatino Linotype" w:cs="Palatino Linotype"/>
          <w:sz w:val="22"/>
          <w:szCs w:val="22"/>
        </w:rPr>
        <w:t>en relación con</w:t>
      </w:r>
      <w:r w:rsidRPr="002B2FFB">
        <w:rPr>
          <w:rFonts w:ascii="Palatino Linotype" w:eastAsia="Palatino Linotype" w:hAnsi="Palatino Linotype" w:cs="Palatino Linotype"/>
          <w:sz w:val="22"/>
          <w:szCs w:val="22"/>
        </w:rPr>
        <w:t xml:space="preserve"> el avance</w:t>
      </w:r>
      <w:r w:rsidR="00AD79F8" w:rsidRPr="002B2FFB">
        <w:rPr>
          <w:rFonts w:ascii="Palatino Linotype" w:eastAsia="Palatino Linotype" w:hAnsi="Palatino Linotype" w:cs="Palatino Linotype"/>
          <w:sz w:val="22"/>
          <w:szCs w:val="22"/>
        </w:rPr>
        <w:t xml:space="preserve"> de</w:t>
      </w:r>
      <w:r w:rsidRPr="002B2FFB">
        <w:rPr>
          <w:rFonts w:ascii="Palatino Linotype" w:eastAsia="Palatino Linotype" w:hAnsi="Palatino Linotype" w:cs="Palatino Linotype"/>
          <w:sz w:val="22"/>
          <w:szCs w:val="22"/>
        </w:rPr>
        <w:t xml:space="preserve"> obras públicas municipales, vigentes al dos de mayo de dos mil veinticinco.</w:t>
      </w:r>
    </w:p>
    <w:p w14:paraId="49C6010A" w14:textId="77777777" w:rsidR="001977D5" w:rsidRPr="002B2FFB" w:rsidRDefault="001977D5" w:rsidP="001977D5">
      <w:pPr>
        <w:spacing w:before="120" w:after="120"/>
        <w:ind w:left="284" w:right="49"/>
        <w:jc w:val="both"/>
        <w:rPr>
          <w:rFonts w:ascii="Palatino Linotype" w:eastAsia="Palatino Linotype" w:hAnsi="Palatino Linotype" w:cs="Palatino Linotype"/>
          <w:i/>
          <w:sz w:val="20"/>
          <w:szCs w:val="22"/>
        </w:rPr>
      </w:pPr>
      <w:r w:rsidRPr="002B2FFB">
        <w:rPr>
          <w:rFonts w:ascii="Palatino Linotype" w:eastAsia="Palatino Linotype" w:hAnsi="Palatino Linotype" w:cs="Palatino Linotype"/>
          <w:i/>
          <w:sz w:val="20"/>
          <w:szCs w:val="22"/>
        </w:rPr>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67C69720" w14:textId="3C87BBD0" w:rsidR="00CF7678" w:rsidRPr="002B2FFB" w:rsidRDefault="00CF7678" w:rsidP="00B24180">
      <w:pPr>
        <w:spacing w:before="120" w:after="120"/>
        <w:ind w:left="284"/>
        <w:jc w:val="both"/>
        <w:rPr>
          <w:rFonts w:ascii="Palatino Linotype" w:eastAsia="Palatino Linotype" w:hAnsi="Palatino Linotype" w:cs="Palatino Linotype"/>
          <w:i/>
          <w:sz w:val="20"/>
          <w:szCs w:val="22"/>
        </w:rPr>
      </w:pPr>
      <w:r w:rsidRPr="002B2FFB">
        <w:rPr>
          <w:rFonts w:ascii="Palatino Linotype" w:eastAsia="Palatino Linotype" w:hAnsi="Palatino Linotype" w:cs="Palatino Linotype"/>
          <w:i/>
          <w:sz w:val="20"/>
          <w:szCs w:val="22"/>
        </w:rPr>
        <w:t>En el supuesto que la información ordenada</w:t>
      </w:r>
      <w:r w:rsidR="00E35285" w:rsidRPr="002B2FFB">
        <w:rPr>
          <w:rFonts w:ascii="Palatino Linotype" w:eastAsia="Palatino Linotype" w:hAnsi="Palatino Linotype" w:cs="Palatino Linotype"/>
          <w:i/>
          <w:sz w:val="20"/>
          <w:szCs w:val="22"/>
        </w:rPr>
        <w:t xml:space="preserve"> en los puntos</w:t>
      </w:r>
      <w:r w:rsidR="002C6792" w:rsidRPr="002B2FFB">
        <w:rPr>
          <w:rFonts w:ascii="Palatino Linotype" w:eastAsia="Palatino Linotype" w:hAnsi="Palatino Linotype" w:cs="Palatino Linotype"/>
          <w:i/>
          <w:sz w:val="20"/>
          <w:szCs w:val="22"/>
        </w:rPr>
        <w:t xml:space="preserve"> 1, 2, 3, 4, </w:t>
      </w:r>
      <w:r w:rsidR="00E35285" w:rsidRPr="002B2FFB">
        <w:rPr>
          <w:rFonts w:ascii="Palatino Linotype" w:eastAsia="Palatino Linotype" w:hAnsi="Palatino Linotype" w:cs="Palatino Linotype"/>
          <w:i/>
          <w:sz w:val="20"/>
          <w:szCs w:val="22"/>
        </w:rPr>
        <w:t>5,</w:t>
      </w:r>
      <w:r w:rsidR="002C6792" w:rsidRPr="002B2FFB">
        <w:rPr>
          <w:rFonts w:ascii="Palatino Linotype" w:eastAsia="Palatino Linotype" w:hAnsi="Palatino Linotype" w:cs="Palatino Linotype"/>
          <w:i/>
          <w:sz w:val="20"/>
          <w:szCs w:val="22"/>
        </w:rPr>
        <w:t xml:space="preserve"> 6, 7,</w:t>
      </w:r>
      <w:r w:rsidR="00E35285" w:rsidRPr="002B2FFB">
        <w:rPr>
          <w:rFonts w:ascii="Palatino Linotype" w:eastAsia="Palatino Linotype" w:hAnsi="Palatino Linotype" w:cs="Palatino Linotype"/>
          <w:i/>
          <w:sz w:val="20"/>
          <w:szCs w:val="22"/>
        </w:rPr>
        <w:t xml:space="preserve"> </w:t>
      </w:r>
      <w:r w:rsidR="006A4C30" w:rsidRPr="002B2FFB">
        <w:rPr>
          <w:rFonts w:ascii="Palatino Linotype" w:eastAsia="Palatino Linotype" w:hAnsi="Palatino Linotype" w:cs="Palatino Linotype"/>
          <w:i/>
          <w:sz w:val="20"/>
          <w:szCs w:val="22"/>
        </w:rPr>
        <w:t>8</w:t>
      </w:r>
      <w:r w:rsidR="002C6792" w:rsidRPr="002B2FFB">
        <w:rPr>
          <w:rFonts w:ascii="Palatino Linotype" w:eastAsia="Palatino Linotype" w:hAnsi="Palatino Linotype" w:cs="Palatino Linotype"/>
          <w:i/>
          <w:sz w:val="20"/>
          <w:szCs w:val="22"/>
        </w:rPr>
        <w:t xml:space="preserve">, 9 </w:t>
      </w:r>
      <w:r w:rsidR="006A4C30" w:rsidRPr="002B2FFB">
        <w:rPr>
          <w:rFonts w:ascii="Palatino Linotype" w:eastAsia="Palatino Linotype" w:hAnsi="Palatino Linotype" w:cs="Palatino Linotype"/>
          <w:i/>
          <w:sz w:val="20"/>
          <w:szCs w:val="22"/>
        </w:rPr>
        <w:t xml:space="preserve"> y 10</w:t>
      </w:r>
      <w:r w:rsidR="00E35285" w:rsidRPr="002B2FFB">
        <w:rPr>
          <w:rFonts w:ascii="Palatino Linotype" w:eastAsia="Palatino Linotype" w:hAnsi="Palatino Linotype" w:cs="Palatino Linotype"/>
          <w:i/>
          <w:sz w:val="20"/>
          <w:szCs w:val="22"/>
        </w:rPr>
        <w:t xml:space="preserve"> </w:t>
      </w:r>
      <w:r w:rsidRPr="002B2FFB">
        <w:rPr>
          <w:rFonts w:ascii="Palatino Linotype" w:eastAsia="Palatino Linotype" w:hAnsi="Palatino Linotype" w:cs="Palatino Linotype"/>
          <w:i/>
          <w:sz w:val="20"/>
          <w:szCs w:val="22"/>
        </w:rPr>
        <w:t xml:space="preserve">no obre en los archivos del </w:t>
      </w:r>
      <w:r w:rsidRPr="002B2FFB">
        <w:rPr>
          <w:rFonts w:ascii="Palatino Linotype" w:eastAsia="Palatino Linotype" w:hAnsi="Palatino Linotype" w:cs="Palatino Linotype"/>
          <w:b/>
          <w:i/>
          <w:sz w:val="20"/>
          <w:szCs w:val="22"/>
        </w:rPr>
        <w:t>Sujeto Obligado</w:t>
      </w:r>
      <w:r w:rsidRPr="002B2FFB">
        <w:rPr>
          <w:rFonts w:ascii="Palatino Linotype" w:eastAsia="Palatino Linotype" w:hAnsi="Palatino Linotype" w:cs="Palatino Linotype"/>
          <w:i/>
          <w:sz w:val="20"/>
          <w:szCs w:val="22"/>
        </w:rPr>
        <w:t xml:space="preserve">, bastará con que así lo haga del conocimiento de la parte </w:t>
      </w:r>
      <w:r w:rsidRPr="002B2FFB">
        <w:rPr>
          <w:rFonts w:ascii="Palatino Linotype" w:eastAsia="Palatino Linotype" w:hAnsi="Palatino Linotype" w:cs="Palatino Linotype"/>
          <w:b/>
          <w:i/>
          <w:sz w:val="20"/>
          <w:szCs w:val="22"/>
        </w:rPr>
        <w:t>Recurrente</w:t>
      </w:r>
      <w:r w:rsidRPr="002B2FFB">
        <w:rPr>
          <w:rFonts w:ascii="Palatino Linotype" w:eastAsia="Palatino Linotype" w:hAnsi="Palatino Linotype" w:cs="Palatino Linotype"/>
          <w:i/>
          <w:sz w:val="20"/>
          <w:szCs w:val="22"/>
        </w:rPr>
        <w:t>, en términos del artículo 19, párrafo segundo de la Ley de Transparencia y Acceso a la Información Pública del Estado de México y Municipios, para tener por colmado el requerimiento de información.</w:t>
      </w:r>
    </w:p>
    <w:p w14:paraId="2FD5EDBB"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b/>
          <w:sz w:val="22"/>
          <w:szCs w:val="22"/>
        </w:rPr>
        <w:t xml:space="preserve">Tercero. Notifíquese, </w:t>
      </w:r>
      <w:r w:rsidRPr="002B2FFB">
        <w:rPr>
          <w:rFonts w:ascii="Palatino Linotype" w:eastAsia="Palatino Linotype" w:hAnsi="Palatino Linotype" w:cs="Palatino Linotype"/>
          <w:sz w:val="22"/>
          <w:szCs w:val="22"/>
        </w:rPr>
        <w:t xml:space="preserve">vía </w:t>
      </w:r>
      <w:r w:rsidRPr="002B2FFB">
        <w:rPr>
          <w:rFonts w:ascii="Palatino Linotype" w:eastAsia="Palatino Linotype" w:hAnsi="Palatino Linotype" w:cs="Palatino Linotype"/>
          <w:b/>
          <w:sz w:val="22"/>
          <w:szCs w:val="22"/>
        </w:rPr>
        <w:t>SAIMEX</w:t>
      </w:r>
      <w:r w:rsidRPr="002B2FFB">
        <w:rPr>
          <w:rFonts w:ascii="Palatino Linotype" w:eastAsia="Palatino Linotype" w:hAnsi="Palatino Linotype" w:cs="Palatino Linotype"/>
          <w:sz w:val="22"/>
          <w:szCs w:val="22"/>
        </w:rPr>
        <w:t xml:space="preserve">, al Titular de la Unidad de Transparencia del </w:t>
      </w:r>
      <w:r w:rsidRPr="002B2FFB">
        <w:rPr>
          <w:rFonts w:ascii="Palatino Linotype" w:eastAsia="Palatino Linotype" w:hAnsi="Palatino Linotype" w:cs="Palatino Linotype"/>
          <w:b/>
          <w:sz w:val="22"/>
          <w:szCs w:val="22"/>
        </w:rPr>
        <w:t>Sujeto Obligado,</w:t>
      </w:r>
      <w:r w:rsidRPr="002B2FFB">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0DDFF9"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r w:rsidRPr="002B2FFB">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2B2FFB">
        <w:rPr>
          <w:rFonts w:ascii="Palatino Linotype" w:eastAsia="Palatino Linotype" w:hAnsi="Palatino Linotype" w:cs="Palatino Linotype"/>
          <w:b/>
          <w:sz w:val="22"/>
          <w:szCs w:val="22"/>
        </w:rPr>
        <w:t>Sujeto Obligado</w:t>
      </w:r>
      <w:r w:rsidRPr="002B2FFB">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8562068" w14:textId="77777777" w:rsidR="00C8599E" w:rsidRPr="002B2FFB" w:rsidRDefault="00812BF1" w:rsidP="00B24180">
      <w:pPr>
        <w:spacing w:before="240" w:after="240" w:line="360" w:lineRule="auto"/>
        <w:jc w:val="both"/>
        <w:rPr>
          <w:rFonts w:ascii="Palatino Linotype" w:eastAsia="Palatino Linotype" w:hAnsi="Palatino Linotype" w:cs="Palatino Linotype"/>
          <w:sz w:val="22"/>
          <w:szCs w:val="22"/>
        </w:rPr>
      </w:pPr>
      <w:bookmarkStart w:id="12" w:name="_heading=h.ot3qq6vxa08f" w:colFirst="0" w:colLast="0"/>
      <w:bookmarkEnd w:id="12"/>
      <w:r w:rsidRPr="002B2FFB">
        <w:rPr>
          <w:rFonts w:ascii="Palatino Linotype" w:eastAsia="Palatino Linotype" w:hAnsi="Palatino Linotype" w:cs="Palatino Linotype"/>
          <w:b/>
          <w:sz w:val="22"/>
          <w:szCs w:val="22"/>
        </w:rPr>
        <w:t xml:space="preserve">Cuarto.  Notifíquese, </w:t>
      </w:r>
      <w:r w:rsidRPr="002B2FFB">
        <w:rPr>
          <w:rFonts w:ascii="Palatino Linotype" w:eastAsia="Palatino Linotype" w:hAnsi="Palatino Linotype" w:cs="Palatino Linotype"/>
          <w:sz w:val="22"/>
          <w:szCs w:val="22"/>
        </w:rPr>
        <w:t xml:space="preserve">vía </w:t>
      </w:r>
      <w:r w:rsidRPr="002B2FFB">
        <w:rPr>
          <w:rFonts w:ascii="Palatino Linotype" w:eastAsia="Palatino Linotype" w:hAnsi="Palatino Linotype" w:cs="Palatino Linotype"/>
          <w:b/>
          <w:sz w:val="22"/>
          <w:szCs w:val="22"/>
        </w:rPr>
        <w:t>SAIMEX</w:t>
      </w:r>
      <w:r w:rsidRPr="002B2FFB">
        <w:rPr>
          <w:rFonts w:ascii="Palatino Linotype" w:eastAsia="Palatino Linotype" w:hAnsi="Palatino Linotype" w:cs="Palatino Linotype"/>
          <w:sz w:val="22"/>
          <w:szCs w:val="22"/>
        </w:rPr>
        <w:t xml:space="preserve"> a la parte </w:t>
      </w:r>
      <w:r w:rsidRPr="002B2FFB">
        <w:rPr>
          <w:rFonts w:ascii="Palatino Linotype" w:eastAsia="Palatino Linotype" w:hAnsi="Palatino Linotype" w:cs="Palatino Linotype"/>
          <w:b/>
          <w:sz w:val="22"/>
          <w:szCs w:val="22"/>
        </w:rPr>
        <w:t>Recurrente</w:t>
      </w:r>
      <w:r w:rsidRPr="002B2FFB">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B262486" w14:textId="39F27FAB" w:rsidR="00C8599E" w:rsidRPr="00D60836" w:rsidRDefault="00812BF1" w:rsidP="00B24180">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3" w:name="_heading=h.lnxbz9" w:colFirst="0" w:colLast="0"/>
      <w:bookmarkEnd w:id="13"/>
      <w:r w:rsidRPr="002B2FFB">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D23A8" w:rsidRPr="002B2FFB">
        <w:rPr>
          <w:rFonts w:ascii="Palatino Linotype" w:eastAsia="Palatino Linotype" w:hAnsi="Palatino Linotype" w:cs="Palatino Linotype"/>
          <w:sz w:val="22"/>
          <w:szCs w:val="22"/>
        </w:rPr>
        <w:t xml:space="preserve">TRIGÉSIMA </w:t>
      </w:r>
      <w:r w:rsidR="002D524C" w:rsidRPr="002B2FFB">
        <w:rPr>
          <w:rFonts w:ascii="Palatino Linotype" w:eastAsia="Palatino Linotype" w:hAnsi="Palatino Linotype" w:cs="Palatino Linotype"/>
          <w:sz w:val="22"/>
          <w:szCs w:val="22"/>
        </w:rPr>
        <w:t>OCTAVA</w:t>
      </w:r>
      <w:r w:rsidR="00ED23A8" w:rsidRPr="002B2FFB">
        <w:rPr>
          <w:rFonts w:ascii="Palatino Linotype" w:eastAsia="Palatino Linotype" w:hAnsi="Palatino Linotype" w:cs="Palatino Linotype"/>
          <w:sz w:val="22"/>
          <w:szCs w:val="22"/>
        </w:rPr>
        <w:t xml:space="preserve"> </w:t>
      </w:r>
      <w:r w:rsidRPr="002B2FFB">
        <w:rPr>
          <w:rFonts w:ascii="Palatino Linotype" w:eastAsia="Palatino Linotype" w:hAnsi="Palatino Linotype" w:cs="Palatino Linotype"/>
          <w:sz w:val="22"/>
          <w:szCs w:val="22"/>
        </w:rPr>
        <w:t xml:space="preserve">SESIÓN ORDINARIA CELEBRADA EL </w:t>
      </w:r>
      <w:r w:rsidR="002D524C" w:rsidRPr="002B2FFB">
        <w:rPr>
          <w:rFonts w:ascii="Palatino Linotype" w:eastAsia="Palatino Linotype" w:hAnsi="Palatino Linotype" w:cs="Palatino Linotype"/>
          <w:sz w:val="22"/>
          <w:szCs w:val="22"/>
        </w:rPr>
        <w:t>VEINTIDÓS</w:t>
      </w:r>
      <w:r w:rsidR="00ED23A8" w:rsidRPr="002B2FFB">
        <w:rPr>
          <w:rFonts w:ascii="Palatino Linotype" w:eastAsia="Palatino Linotype" w:hAnsi="Palatino Linotype" w:cs="Palatino Linotype"/>
          <w:sz w:val="22"/>
          <w:szCs w:val="22"/>
        </w:rPr>
        <w:t xml:space="preserve"> DE OCTUBRE</w:t>
      </w:r>
      <w:r w:rsidRPr="002B2FFB">
        <w:rPr>
          <w:rFonts w:ascii="Palatino Linotype" w:eastAsia="Palatino Linotype" w:hAnsi="Palatino Linotype" w:cs="Palatino Linotype"/>
          <w:sz w:val="22"/>
          <w:szCs w:val="22"/>
        </w:rPr>
        <w:t xml:space="preserve"> DE DOS MIL VEINTICINCO, ANTE EL SECRETARIO TÉCNICO DEL PLENO ALEXIS TAPIA RAMÍREZ.</w:t>
      </w:r>
    </w:p>
    <w:p w14:paraId="7F4C6CB2"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31F2EB44"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4F385A42"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3FEB658D"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44A3A851"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557CF9F3"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368DC6E7"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78146DC5"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42C42750"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7A24EE91"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75E12DF4"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5AACDE74"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34DEE8E0"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66989FF5"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083D57E5"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34619028"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1DE42F91"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560189C4"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140F17F8"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221750EC"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738840AD"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4D262FF9"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4D0B3880"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p>
    <w:p w14:paraId="4283668F" w14:textId="77777777" w:rsidR="00C8599E" w:rsidRPr="00D60836" w:rsidRDefault="00C8599E" w:rsidP="00B24180">
      <w:pPr>
        <w:spacing w:line="360" w:lineRule="auto"/>
        <w:jc w:val="both"/>
        <w:rPr>
          <w:rFonts w:ascii="Palatino Linotype" w:eastAsia="Palatino Linotype" w:hAnsi="Palatino Linotype" w:cs="Palatino Linotype"/>
          <w:sz w:val="22"/>
          <w:szCs w:val="22"/>
        </w:rPr>
      </w:pPr>
      <w:bookmarkStart w:id="14" w:name="_heading=h.dluxxr715a9d" w:colFirst="0" w:colLast="0"/>
      <w:bookmarkEnd w:id="14"/>
    </w:p>
    <w:p w14:paraId="72274280" w14:textId="77777777" w:rsidR="00C536D8" w:rsidRPr="00D60836" w:rsidRDefault="00C536D8">
      <w:pPr>
        <w:spacing w:line="360" w:lineRule="auto"/>
        <w:jc w:val="both"/>
        <w:rPr>
          <w:rFonts w:ascii="Palatino Linotype" w:eastAsia="Palatino Linotype" w:hAnsi="Palatino Linotype" w:cs="Palatino Linotype"/>
          <w:sz w:val="22"/>
          <w:szCs w:val="22"/>
        </w:rPr>
      </w:pPr>
    </w:p>
    <w:p w14:paraId="1AD90BC5" w14:textId="77777777" w:rsidR="005B0A3D" w:rsidRPr="00D60836" w:rsidRDefault="005B0A3D">
      <w:pPr>
        <w:spacing w:line="360" w:lineRule="auto"/>
        <w:jc w:val="both"/>
        <w:rPr>
          <w:rFonts w:ascii="Palatino Linotype" w:eastAsia="Palatino Linotype" w:hAnsi="Palatino Linotype" w:cs="Palatino Linotype"/>
          <w:sz w:val="22"/>
          <w:szCs w:val="22"/>
        </w:rPr>
      </w:pPr>
    </w:p>
    <w:sectPr w:rsidR="005B0A3D" w:rsidRPr="00D60836">
      <w:headerReference w:type="default" r:id="rId34"/>
      <w:footerReference w:type="default" r:id="rId35"/>
      <w:headerReference w:type="first" r:id="rId36"/>
      <w:footerReference w:type="first" r:id="rId3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DB9C5" w14:textId="77777777" w:rsidR="007519FF" w:rsidRDefault="007519FF">
      <w:r>
        <w:separator/>
      </w:r>
    </w:p>
  </w:endnote>
  <w:endnote w:type="continuationSeparator" w:id="0">
    <w:p w14:paraId="7F19C9EA" w14:textId="77777777" w:rsidR="007519FF" w:rsidRDefault="00751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3B7BD" w14:textId="2C45A076" w:rsidR="001167AB" w:rsidRDefault="001167A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E3AFC">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E3AFC">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p>
  <w:p w14:paraId="409C8316" w14:textId="77777777" w:rsidR="001167AB" w:rsidRDefault="001167A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AFD19" w14:textId="314E9A0E" w:rsidR="001167AB" w:rsidRDefault="001167A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E3AF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E3AFC">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p>
  <w:p w14:paraId="13DC87EB" w14:textId="77777777" w:rsidR="001167AB" w:rsidRDefault="001167A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D4230" w14:textId="77777777" w:rsidR="007519FF" w:rsidRDefault="007519FF">
      <w:r>
        <w:separator/>
      </w:r>
    </w:p>
  </w:footnote>
  <w:footnote w:type="continuationSeparator" w:id="0">
    <w:p w14:paraId="25AE14C0" w14:textId="77777777" w:rsidR="007519FF" w:rsidRDefault="007519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859D0" w14:textId="77777777" w:rsidR="001167AB" w:rsidRDefault="001167AB">
    <w:pPr>
      <w:rPr>
        <w:rFonts w:ascii="Cambria" w:eastAsia="Cambria" w:hAnsi="Cambria" w:cs="Cambria"/>
        <w:color w:val="000000"/>
      </w:rPr>
    </w:pPr>
    <w:r>
      <w:rPr>
        <w:noProof/>
      </w:rPr>
      <w:drawing>
        <wp:anchor distT="0" distB="0" distL="0" distR="0" simplePos="0" relativeHeight="251658240" behindDoc="1" locked="0" layoutInCell="1" hidden="0" allowOverlap="1" wp14:anchorId="1A9F9F53" wp14:editId="78AFF217">
          <wp:simplePos x="0" y="0"/>
          <wp:positionH relativeFrom="column">
            <wp:posOffset>-1080132</wp:posOffset>
          </wp:positionH>
          <wp:positionV relativeFrom="paragraph">
            <wp:posOffset>-488259</wp:posOffset>
          </wp:positionV>
          <wp:extent cx="7809865" cy="10165715"/>
          <wp:effectExtent l="0" t="0" r="0" b="0"/>
          <wp:wrapNone/>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5528" w:type="dxa"/>
      <w:tblInd w:w="3261" w:type="dxa"/>
      <w:tblLayout w:type="fixed"/>
      <w:tblLook w:val="0400" w:firstRow="0" w:lastRow="0" w:firstColumn="0" w:lastColumn="0" w:noHBand="0" w:noVBand="1"/>
    </w:tblPr>
    <w:tblGrid>
      <w:gridCol w:w="2409"/>
      <w:gridCol w:w="3119"/>
    </w:tblGrid>
    <w:tr w:rsidR="001167AB" w14:paraId="6EDDB215" w14:textId="77777777" w:rsidTr="005920EA">
      <w:tc>
        <w:tcPr>
          <w:tcW w:w="2409" w:type="dxa"/>
        </w:tcPr>
        <w:p w14:paraId="302A7228" w14:textId="77777777" w:rsidR="001167AB" w:rsidRDefault="00116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76A2A17" w14:textId="10EDB87F" w:rsidR="001167AB" w:rsidRDefault="001167A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06904/INFOEM/IP/RR/2025</w:t>
          </w:r>
        </w:p>
      </w:tc>
    </w:tr>
    <w:tr w:rsidR="001167AB" w14:paraId="4E9B0392" w14:textId="77777777" w:rsidTr="005920EA">
      <w:trPr>
        <w:trHeight w:val="228"/>
      </w:trPr>
      <w:tc>
        <w:tcPr>
          <w:tcW w:w="2409" w:type="dxa"/>
          <w:vAlign w:val="center"/>
        </w:tcPr>
        <w:p w14:paraId="4A05C7E3" w14:textId="77777777" w:rsidR="001167AB" w:rsidRDefault="00116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AD23DD5" w14:textId="48290675" w:rsidR="001167AB" w:rsidRDefault="001167AB">
          <w:pPr>
            <w:ind w:left="-45" w:right="176"/>
            <w:jc w:val="both"/>
            <w:rPr>
              <w:rFonts w:ascii="Palatino Linotype" w:eastAsia="Palatino Linotype" w:hAnsi="Palatino Linotype" w:cs="Palatino Linotype"/>
              <w:b/>
              <w:sz w:val="22"/>
              <w:szCs w:val="22"/>
            </w:rPr>
          </w:pPr>
          <w:r w:rsidRPr="00677B67">
            <w:rPr>
              <w:rFonts w:ascii="Palatino Linotype" w:eastAsia="Palatino Linotype" w:hAnsi="Palatino Linotype" w:cs="Palatino Linotype"/>
              <w:b/>
              <w:sz w:val="22"/>
              <w:szCs w:val="22"/>
            </w:rPr>
            <w:t>Ayuntamiento de Tepotzotlán</w:t>
          </w:r>
        </w:p>
      </w:tc>
    </w:tr>
    <w:tr w:rsidR="001167AB" w14:paraId="0D6CEC7C" w14:textId="77777777" w:rsidTr="005920EA">
      <w:tc>
        <w:tcPr>
          <w:tcW w:w="2409" w:type="dxa"/>
          <w:vAlign w:val="center"/>
        </w:tcPr>
        <w:p w14:paraId="2BE4E729" w14:textId="77777777" w:rsidR="001167AB" w:rsidRDefault="001167A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784D1AF" w14:textId="77777777" w:rsidR="001167AB" w:rsidRDefault="001167A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6B91695" w14:textId="77777777" w:rsidR="001167AB" w:rsidRDefault="001167A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08983" w14:textId="77777777" w:rsidR="001167AB" w:rsidRDefault="001167A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0E74C60" wp14:editId="1469C7A2">
          <wp:simplePos x="0" y="0"/>
          <wp:positionH relativeFrom="column">
            <wp:posOffset>-1080131</wp:posOffset>
          </wp:positionH>
          <wp:positionV relativeFrom="paragraph">
            <wp:posOffset>-369890</wp:posOffset>
          </wp:positionV>
          <wp:extent cx="7809865" cy="10165715"/>
          <wp:effectExtent l="0" t="0" r="0" b="0"/>
          <wp:wrapNone/>
          <wp:docPr id="2140131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5670" w:type="dxa"/>
      <w:tblInd w:w="3261" w:type="dxa"/>
      <w:tblLayout w:type="fixed"/>
      <w:tblLook w:val="0400" w:firstRow="0" w:lastRow="0" w:firstColumn="0" w:lastColumn="0" w:noHBand="0" w:noVBand="1"/>
    </w:tblPr>
    <w:tblGrid>
      <w:gridCol w:w="2489"/>
      <w:gridCol w:w="3181"/>
    </w:tblGrid>
    <w:tr w:rsidR="001167AB" w14:paraId="204201FA" w14:textId="77777777" w:rsidTr="005920EA">
      <w:tc>
        <w:tcPr>
          <w:tcW w:w="2489" w:type="dxa"/>
        </w:tcPr>
        <w:p w14:paraId="47B83E8E" w14:textId="77777777" w:rsidR="001167AB" w:rsidRDefault="00116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81" w:type="dxa"/>
          <w:vAlign w:val="center"/>
        </w:tcPr>
        <w:p w14:paraId="0244B0DF" w14:textId="5EFD4D69" w:rsidR="001167AB" w:rsidRDefault="001167A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06904/INFOEM/IP/RR/2025</w:t>
          </w:r>
        </w:p>
      </w:tc>
    </w:tr>
    <w:tr w:rsidR="001167AB" w14:paraId="3C7A527A" w14:textId="77777777" w:rsidTr="005920EA">
      <w:tc>
        <w:tcPr>
          <w:tcW w:w="2489" w:type="dxa"/>
        </w:tcPr>
        <w:p w14:paraId="1F5298AF" w14:textId="77777777" w:rsidR="001167AB" w:rsidRDefault="00116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81" w:type="dxa"/>
          <w:vAlign w:val="center"/>
        </w:tcPr>
        <w:p w14:paraId="3EB83948" w14:textId="368F943B" w:rsidR="001167AB" w:rsidRDefault="001167AB">
          <w:pPr>
            <w:ind w:right="175"/>
            <w:jc w:val="both"/>
            <w:rPr>
              <w:rFonts w:ascii="Palatino Linotype" w:eastAsia="Palatino Linotype" w:hAnsi="Palatino Linotype" w:cs="Palatino Linotype"/>
              <w:b/>
              <w:color w:val="FF0000"/>
              <w:sz w:val="22"/>
              <w:szCs w:val="22"/>
              <w:highlight w:val="yellow"/>
            </w:rPr>
          </w:pPr>
        </w:p>
      </w:tc>
    </w:tr>
    <w:tr w:rsidR="001167AB" w14:paraId="4955EEF1" w14:textId="77777777" w:rsidTr="005920EA">
      <w:trPr>
        <w:trHeight w:val="228"/>
      </w:trPr>
      <w:tc>
        <w:tcPr>
          <w:tcW w:w="2489" w:type="dxa"/>
          <w:vAlign w:val="center"/>
        </w:tcPr>
        <w:p w14:paraId="3BBAEB8F" w14:textId="77777777" w:rsidR="001167AB" w:rsidRDefault="001167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81" w:type="dxa"/>
          <w:vAlign w:val="center"/>
        </w:tcPr>
        <w:p w14:paraId="0CEBB39B" w14:textId="43E88617" w:rsidR="001167AB" w:rsidRDefault="001167AB">
          <w:pPr>
            <w:ind w:left="-45" w:right="176"/>
            <w:jc w:val="both"/>
            <w:rPr>
              <w:rFonts w:ascii="Palatino Linotype" w:eastAsia="Palatino Linotype" w:hAnsi="Palatino Linotype" w:cs="Palatino Linotype"/>
              <w:b/>
              <w:sz w:val="22"/>
              <w:szCs w:val="22"/>
            </w:rPr>
          </w:pPr>
          <w:r w:rsidRPr="00677B67">
            <w:rPr>
              <w:rFonts w:ascii="Palatino Linotype" w:eastAsia="Palatino Linotype" w:hAnsi="Palatino Linotype" w:cs="Palatino Linotype"/>
              <w:b/>
              <w:sz w:val="22"/>
              <w:szCs w:val="22"/>
            </w:rPr>
            <w:t>Ayuntamiento de Tepotzotlán</w:t>
          </w:r>
        </w:p>
      </w:tc>
    </w:tr>
    <w:tr w:rsidR="001167AB" w14:paraId="18829BB7" w14:textId="77777777" w:rsidTr="005920EA">
      <w:tc>
        <w:tcPr>
          <w:tcW w:w="2489" w:type="dxa"/>
          <w:vAlign w:val="center"/>
        </w:tcPr>
        <w:p w14:paraId="00BC5EC8" w14:textId="77777777" w:rsidR="001167AB" w:rsidRDefault="001167A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81" w:type="dxa"/>
          <w:vAlign w:val="center"/>
        </w:tcPr>
        <w:p w14:paraId="558CE038" w14:textId="77777777" w:rsidR="001167AB" w:rsidRDefault="001167A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9C727A" w14:textId="77777777" w:rsidR="001167AB" w:rsidRDefault="001167A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625ED"/>
    <w:multiLevelType w:val="hybridMultilevel"/>
    <w:tmpl w:val="B832050E"/>
    <w:lvl w:ilvl="0" w:tplc="361E98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CB2028"/>
    <w:multiLevelType w:val="hybridMultilevel"/>
    <w:tmpl w:val="5D2E27C8"/>
    <w:lvl w:ilvl="0" w:tplc="FF226B36">
      <w:start w:val="4"/>
      <w:numFmt w:val="bullet"/>
      <w:lvlText w:val="-"/>
      <w:lvlJc w:val="left"/>
      <w:pPr>
        <w:ind w:left="644" w:hanging="360"/>
      </w:pPr>
      <w:rPr>
        <w:rFonts w:ascii="Times New Roman" w:eastAsia="Times New Roman" w:hAnsi="Times New Roman" w:cs="Times New Roman"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 w15:restartNumberingAfterBreak="0">
    <w:nsid w:val="7ED3330D"/>
    <w:multiLevelType w:val="multilevel"/>
    <w:tmpl w:val="7CAE87EE"/>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99E"/>
    <w:rsid w:val="00004FFD"/>
    <w:rsid w:val="00021536"/>
    <w:rsid w:val="00040F29"/>
    <w:rsid w:val="0004321C"/>
    <w:rsid w:val="00043B5E"/>
    <w:rsid w:val="00043FA8"/>
    <w:rsid w:val="00045104"/>
    <w:rsid w:val="00055EEC"/>
    <w:rsid w:val="00061F68"/>
    <w:rsid w:val="0006520C"/>
    <w:rsid w:val="0007660B"/>
    <w:rsid w:val="00083734"/>
    <w:rsid w:val="00092105"/>
    <w:rsid w:val="00092FC0"/>
    <w:rsid w:val="000C2BE9"/>
    <w:rsid w:val="001167AB"/>
    <w:rsid w:val="00116B26"/>
    <w:rsid w:val="00141E19"/>
    <w:rsid w:val="00157369"/>
    <w:rsid w:val="00157732"/>
    <w:rsid w:val="001614A0"/>
    <w:rsid w:val="00161E36"/>
    <w:rsid w:val="00163298"/>
    <w:rsid w:val="001748C3"/>
    <w:rsid w:val="00187C33"/>
    <w:rsid w:val="001977D5"/>
    <w:rsid w:val="001B3413"/>
    <w:rsid w:val="001C0D7C"/>
    <w:rsid w:val="001C1EF8"/>
    <w:rsid w:val="001F642E"/>
    <w:rsid w:val="00207832"/>
    <w:rsid w:val="00212601"/>
    <w:rsid w:val="0021383D"/>
    <w:rsid w:val="002165ED"/>
    <w:rsid w:val="00232C62"/>
    <w:rsid w:val="00244B02"/>
    <w:rsid w:val="00251742"/>
    <w:rsid w:val="00264B9A"/>
    <w:rsid w:val="00267C10"/>
    <w:rsid w:val="00277A28"/>
    <w:rsid w:val="00291E2D"/>
    <w:rsid w:val="002A43CF"/>
    <w:rsid w:val="002B2FFB"/>
    <w:rsid w:val="002C3C3F"/>
    <w:rsid w:val="002C6792"/>
    <w:rsid w:val="002D524C"/>
    <w:rsid w:val="002D7414"/>
    <w:rsid w:val="002E5417"/>
    <w:rsid w:val="002F3A5F"/>
    <w:rsid w:val="00313949"/>
    <w:rsid w:val="003235C6"/>
    <w:rsid w:val="00381837"/>
    <w:rsid w:val="00382805"/>
    <w:rsid w:val="0038769D"/>
    <w:rsid w:val="00393E6B"/>
    <w:rsid w:val="003A3FEF"/>
    <w:rsid w:val="003B027F"/>
    <w:rsid w:val="003D454C"/>
    <w:rsid w:val="00401AE4"/>
    <w:rsid w:val="004138D6"/>
    <w:rsid w:val="004145A4"/>
    <w:rsid w:val="00444765"/>
    <w:rsid w:val="004509C7"/>
    <w:rsid w:val="004566DE"/>
    <w:rsid w:val="00470D01"/>
    <w:rsid w:val="00480F57"/>
    <w:rsid w:val="0048315A"/>
    <w:rsid w:val="00485F32"/>
    <w:rsid w:val="004909CF"/>
    <w:rsid w:val="004909E1"/>
    <w:rsid w:val="004946BC"/>
    <w:rsid w:val="004A322D"/>
    <w:rsid w:val="004B653B"/>
    <w:rsid w:val="004C54A8"/>
    <w:rsid w:val="004D1FEE"/>
    <w:rsid w:val="004F2ACC"/>
    <w:rsid w:val="004F5257"/>
    <w:rsid w:val="00506AE7"/>
    <w:rsid w:val="005235A8"/>
    <w:rsid w:val="005308D8"/>
    <w:rsid w:val="0053319D"/>
    <w:rsid w:val="005464BF"/>
    <w:rsid w:val="0056181C"/>
    <w:rsid w:val="00577EE8"/>
    <w:rsid w:val="005830AB"/>
    <w:rsid w:val="00591E70"/>
    <w:rsid w:val="005920EA"/>
    <w:rsid w:val="00597BEC"/>
    <w:rsid w:val="005A0DBB"/>
    <w:rsid w:val="005A1C30"/>
    <w:rsid w:val="005A286F"/>
    <w:rsid w:val="005B0A3D"/>
    <w:rsid w:val="005B1976"/>
    <w:rsid w:val="005C06D7"/>
    <w:rsid w:val="005C6B05"/>
    <w:rsid w:val="005D55D0"/>
    <w:rsid w:val="005E73F0"/>
    <w:rsid w:val="005F21AF"/>
    <w:rsid w:val="006044DA"/>
    <w:rsid w:val="00613D00"/>
    <w:rsid w:val="006321B6"/>
    <w:rsid w:val="006327AB"/>
    <w:rsid w:val="00635DF2"/>
    <w:rsid w:val="00657AC9"/>
    <w:rsid w:val="00677B67"/>
    <w:rsid w:val="00677EB2"/>
    <w:rsid w:val="00693769"/>
    <w:rsid w:val="006A4C30"/>
    <w:rsid w:val="006B21B8"/>
    <w:rsid w:val="006E3AFC"/>
    <w:rsid w:val="00715A84"/>
    <w:rsid w:val="00722C58"/>
    <w:rsid w:val="00724AE6"/>
    <w:rsid w:val="007519FF"/>
    <w:rsid w:val="00761680"/>
    <w:rsid w:val="00761CAF"/>
    <w:rsid w:val="00761E4F"/>
    <w:rsid w:val="00774593"/>
    <w:rsid w:val="00780B0E"/>
    <w:rsid w:val="00782376"/>
    <w:rsid w:val="00782C32"/>
    <w:rsid w:val="00783695"/>
    <w:rsid w:val="007A172B"/>
    <w:rsid w:val="007A743C"/>
    <w:rsid w:val="007B3847"/>
    <w:rsid w:val="007E0AB9"/>
    <w:rsid w:val="007F25D9"/>
    <w:rsid w:val="00801DB1"/>
    <w:rsid w:val="00812BF1"/>
    <w:rsid w:val="008445CF"/>
    <w:rsid w:val="0084627A"/>
    <w:rsid w:val="00846596"/>
    <w:rsid w:val="008670A6"/>
    <w:rsid w:val="0088152A"/>
    <w:rsid w:val="00886009"/>
    <w:rsid w:val="00895395"/>
    <w:rsid w:val="008A6067"/>
    <w:rsid w:val="008B4DFE"/>
    <w:rsid w:val="008B6147"/>
    <w:rsid w:val="008B73D7"/>
    <w:rsid w:val="008E1D2D"/>
    <w:rsid w:val="008E29CD"/>
    <w:rsid w:val="009147E1"/>
    <w:rsid w:val="009474C2"/>
    <w:rsid w:val="00953E53"/>
    <w:rsid w:val="00964BF0"/>
    <w:rsid w:val="00972A0A"/>
    <w:rsid w:val="009B0D0A"/>
    <w:rsid w:val="009B5B05"/>
    <w:rsid w:val="009C1DCB"/>
    <w:rsid w:val="009D7227"/>
    <w:rsid w:val="009D7BCF"/>
    <w:rsid w:val="009E273A"/>
    <w:rsid w:val="009E6144"/>
    <w:rsid w:val="00A036AC"/>
    <w:rsid w:val="00A14BD8"/>
    <w:rsid w:val="00A15511"/>
    <w:rsid w:val="00A812DD"/>
    <w:rsid w:val="00A968FF"/>
    <w:rsid w:val="00AA4ED8"/>
    <w:rsid w:val="00AA755E"/>
    <w:rsid w:val="00AB5798"/>
    <w:rsid w:val="00AD16A1"/>
    <w:rsid w:val="00AD53CE"/>
    <w:rsid w:val="00AD79F8"/>
    <w:rsid w:val="00AE5A1B"/>
    <w:rsid w:val="00AE7275"/>
    <w:rsid w:val="00B10C99"/>
    <w:rsid w:val="00B24180"/>
    <w:rsid w:val="00B87048"/>
    <w:rsid w:val="00BA045E"/>
    <w:rsid w:val="00BB5551"/>
    <w:rsid w:val="00BB6FD2"/>
    <w:rsid w:val="00BC58DA"/>
    <w:rsid w:val="00BD3F67"/>
    <w:rsid w:val="00BF0A93"/>
    <w:rsid w:val="00C00B62"/>
    <w:rsid w:val="00C02A3B"/>
    <w:rsid w:val="00C0463D"/>
    <w:rsid w:val="00C261BB"/>
    <w:rsid w:val="00C36B95"/>
    <w:rsid w:val="00C3718E"/>
    <w:rsid w:val="00C536D8"/>
    <w:rsid w:val="00C74AFC"/>
    <w:rsid w:val="00C8599E"/>
    <w:rsid w:val="00CA3D09"/>
    <w:rsid w:val="00CD0CD7"/>
    <w:rsid w:val="00CD7F4C"/>
    <w:rsid w:val="00CF1EB6"/>
    <w:rsid w:val="00CF3CAC"/>
    <w:rsid w:val="00CF7678"/>
    <w:rsid w:val="00D0053F"/>
    <w:rsid w:val="00D00E61"/>
    <w:rsid w:val="00D10577"/>
    <w:rsid w:val="00D33B8E"/>
    <w:rsid w:val="00D445CD"/>
    <w:rsid w:val="00D4752F"/>
    <w:rsid w:val="00D506F5"/>
    <w:rsid w:val="00D52C68"/>
    <w:rsid w:val="00D60836"/>
    <w:rsid w:val="00D80601"/>
    <w:rsid w:val="00D8325A"/>
    <w:rsid w:val="00D86C25"/>
    <w:rsid w:val="00D922DE"/>
    <w:rsid w:val="00D93A6B"/>
    <w:rsid w:val="00DC684A"/>
    <w:rsid w:val="00DF7027"/>
    <w:rsid w:val="00E35285"/>
    <w:rsid w:val="00E3663C"/>
    <w:rsid w:val="00E50201"/>
    <w:rsid w:val="00E51194"/>
    <w:rsid w:val="00E54D20"/>
    <w:rsid w:val="00E85970"/>
    <w:rsid w:val="00EB3B22"/>
    <w:rsid w:val="00EB4AA0"/>
    <w:rsid w:val="00EC53BD"/>
    <w:rsid w:val="00ED23A8"/>
    <w:rsid w:val="00EF46DC"/>
    <w:rsid w:val="00F24B90"/>
    <w:rsid w:val="00F36DE8"/>
    <w:rsid w:val="00F72403"/>
    <w:rsid w:val="00FA27C0"/>
    <w:rsid w:val="00FC5895"/>
    <w:rsid w:val="00FF65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C1807D"/>
  <w15:docId w15:val="{A40F929D-76F9-49F9-A018-66F607098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87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infobae.com/mexico/2025/06/17/reanudan-obra-de-puente-a-la-mexico-queretaro-tras-denuncias-que-denunciaban-el-abandono-de-las-autoridades-de-tepotzotlan/"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s://www.luisrochanoticias.com/post/mar%C3%ADa-de-los-%C3%A1ngeles-zuppa-villegas-provoca-esc%C3%A1ndalo-pol%C3%ADtico-en-tepotzotl%C3%A1n-la-inhabilita-el-tri"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Mi9+B5xi+r+YBIpValnNc0xA3g==">CgMxLjAyDmguZGFqM2oyeG82cTY2MghoLmdqZGd4czIJaC4zZHk2dmttMgloLjMwajB6bGwyCWguMnM4ZXlvMTIIaC50eWpjd3QyCWguM3pueXNoNzIJaC4yZXQ5MnAwMgloLjF0M2g1c2YyCWguMWZvYjl0ZTIOaC5obnp4c2NoNWd5c3oyDmgub3QzcXE2dnhhMDhmMghoLmxueGJ6OTIOaC5kbHV4eHI3MTVhOWQ4AHIhMXllTk0xZE5yaFRXN25XZTR1cjE5RWdlMlJENGdUaE1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628842-8329-450C-AA22-D858F54A7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19551</Words>
  <Characters>107533</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2025-10-24T00:35:00Z</cp:lastPrinted>
  <dcterms:created xsi:type="dcterms:W3CDTF">2025-11-19T20:46:00Z</dcterms:created>
  <dcterms:modified xsi:type="dcterms:W3CDTF">2025-11-19T20:46:00Z</dcterms:modified>
</cp:coreProperties>
</file>