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BB5" w:rsidRPr="00B32EAD" w:rsidRDefault="00471B29" w:rsidP="00B32EAD">
      <w:pPr>
        <w:spacing w:line="360" w:lineRule="auto"/>
        <w:jc w:val="both"/>
        <w:rPr>
          <w:rFonts w:ascii="Palatino Linotype" w:eastAsia="Palatino Linotype" w:hAnsi="Palatino Linotype" w:cs="Palatino Linotype"/>
          <w:color w:val="000000" w:themeColor="text1"/>
        </w:rPr>
      </w:pPr>
      <w:bookmarkStart w:id="0" w:name="_heading=h.vz07h2n4y1" w:colFirst="0" w:colLast="0"/>
      <w:bookmarkStart w:id="1" w:name="_GoBack"/>
      <w:bookmarkEnd w:id="0"/>
      <w:bookmarkEnd w:id="1"/>
      <w:r w:rsidRPr="00B32EA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1348D">
        <w:rPr>
          <w:rFonts w:ascii="Palatino Linotype" w:eastAsia="Palatino Linotype" w:hAnsi="Palatino Linotype" w:cs="Palatino Linotype"/>
          <w:b/>
          <w:color w:val="000000" w:themeColor="text1"/>
        </w:rPr>
        <w:t>de fecha quince</w:t>
      </w:r>
      <w:r w:rsidR="001B4C60">
        <w:rPr>
          <w:rFonts w:ascii="Palatino Linotype" w:eastAsia="Palatino Linotype" w:hAnsi="Palatino Linotype" w:cs="Palatino Linotype"/>
          <w:b/>
          <w:color w:val="000000" w:themeColor="text1"/>
        </w:rPr>
        <w:t xml:space="preserve"> (15) </w:t>
      </w:r>
      <w:r w:rsidR="0001348D">
        <w:rPr>
          <w:rFonts w:ascii="Palatino Linotype" w:eastAsia="Palatino Linotype" w:hAnsi="Palatino Linotype" w:cs="Palatino Linotype"/>
          <w:b/>
          <w:color w:val="000000" w:themeColor="text1"/>
        </w:rPr>
        <w:t xml:space="preserve"> de octubre de dos mil veinticinco.</w:t>
      </w:r>
    </w:p>
    <w:p w:rsidR="00875BB5" w:rsidRPr="00B32EAD" w:rsidRDefault="00875BB5" w:rsidP="00B32EAD">
      <w:pP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spacing w:line="360" w:lineRule="auto"/>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b/>
          <w:color w:val="000000" w:themeColor="text1"/>
        </w:rPr>
        <w:t>VISTO</w:t>
      </w:r>
      <w:r w:rsidRPr="00B32EAD">
        <w:rPr>
          <w:rFonts w:ascii="Palatino Linotype" w:eastAsia="Palatino Linotype" w:hAnsi="Palatino Linotype" w:cs="Palatino Linotype"/>
          <w:color w:val="000000" w:themeColor="text1"/>
        </w:rPr>
        <w:t xml:space="preserve"> el expediente electrónico formado con motivo del recurso de revisión </w:t>
      </w:r>
      <w:r w:rsidRPr="00B32EAD">
        <w:rPr>
          <w:rFonts w:ascii="Palatino Linotype" w:eastAsia="Palatino Linotype" w:hAnsi="Palatino Linotype" w:cs="Palatino Linotype"/>
          <w:b/>
          <w:color w:val="000000" w:themeColor="text1"/>
        </w:rPr>
        <w:t xml:space="preserve">07598/INFOEM/IP/RR/2025, </w:t>
      </w:r>
      <w:r w:rsidRPr="00B32EAD">
        <w:rPr>
          <w:rFonts w:ascii="Palatino Linotype" w:eastAsia="Palatino Linotype" w:hAnsi="Palatino Linotype" w:cs="Palatino Linotype"/>
          <w:color w:val="000000" w:themeColor="text1"/>
        </w:rPr>
        <w:t>promovido por</w:t>
      </w:r>
      <w:r w:rsidR="009B3054">
        <w:rPr>
          <w:rFonts w:ascii="Palatino Linotype" w:eastAsia="Palatino Linotype" w:hAnsi="Palatino Linotype" w:cs="Palatino Linotype"/>
          <w:color w:val="000000" w:themeColor="text1"/>
        </w:rPr>
        <w:t xml:space="preserve"> un</w:t>
      </w:r>
      <w:r w:rsidRPr="00B32EAD">
        <w:rPr>
          <w:rFonts w:ascii="Palatino Linotype" w:eastAsia="Palatino Linotype" w:hAnsi="Palatino Linotype" w:cs="Palatino Linotype"/>
          <w:color w:val="000000" w:themeColor="text1"/>
        </w:rPr>
        <w:t xml:space="preserve"> </w:t>
      </w:r>
      <w:r w:rsidRPr="00B32EAD">
        <w:rPr>
          <w:rFonts w:ascii="Palatino Linotype" w:eastAsia="Palatino Linotype" w:hAnsi="Palatino Linotype" w:cs="Palatino Linotype"/>
          <w:b/>
          <w:color w:val="000000" w:themeColor="text1"/>
        </w:rPr>
        <w:t xml:space="preserve">usuario del Sistema de Acceso a la Información Mexiquense (SAIMEX), </w:t>
      </w:r>
      <w:r w:rsidRPr="00B32EAD">
        <w:rPr>
          <w:rFonts w:ascii="Palatino Linotype" w:eastAsia="Palatino Linotype" w:hAnsi="Palatino Linotype" w:cs="Palatino Linotype"/>
          <w:color w:val="000000" w:themeColor="text1"/>
        </w:rPr>
        <w:t xml:space="preserve">quien no proporcionó nombre para ser identificado, en lo sucesivo se identificará como </w:t>
      </w:r>
      <w:r w:rsidRPr="00B32EAD">
        <w:rPr>
          <w:rFonts w:ascii="Palatino Linotype" w:eastAsia="Palatino Linotype" w:hAnsi="Palatino Linotype" w:cs="Palatino Linotype"/>
          <w:b/>
          <w:color w:val="000000" w:themeColor="text1"/>
        </w:rPr>
        <w:t>EL RECURRENTE</w:t>
      </w:r>
      <w:r w:rsidRPr="00B32EAD">
        <w:rPr>
          <w:rFonts w:ascii="Palatino Linotype" w:eastAsia="Palatino Linotype" w:hAnsi="Palatino Linotype" w:cs="Palatino Linotype"/>
          <w:color w:val="000000" w:themeColor="text1"/>
        </w:rPr>
        <w:t xml:space="preserve">, en contra de la respuesta del </w:t>
      </w:r>
      <w:r w:rsidRPr="00B32EAD">
        <w:rPr>
          <w:rFonts w:ascii="Palatino Linotype" w:eastAsia="Palatino Linotype" w:hAnsi="Palatino Linotype" w:cs="Palatino Linotype"/>
          <w:b/>
          <w:color w:val="000000" w:themeColor="text1"/>
        </w:rPr>
        <w:t xml:space="preserve">Ayuntamiento de Atlacomulco, </w:t>
      </w:r>
      <w:r w:rsidRPr="00B32EAD">
        <w:rPr>
          <w:rFonts w:ascii="Palatino Linotype" w:eastAsia="Palatino Linotype" w:hAnsi="Palatino Linotype" w:cs="Palatino Linotype"/>
          <w:color w:val="000000" w:themeColor="text1"/>
        </w:rPr>
        <w:t xml:space="preserve">en </w:t>
      </w:r>
      <w:r w:rsidR="009B3054">
        <w:rPr>
          <w:rFonts w:ascii="Palatino Linotype" w:eastAsia="Palatino Linotype" w:hAnsi="Palatino Linotype" w:cs="Palatino Linotype"/>
          <w:color w:val="000000" w:themeColor="text1"/>
        </w:rPr>
        <w:t>adelante</w:t>
      </w:r>
      <w:r w:rsidRPr="00B32EAD">
        <w:rPr>
          <w:rFonts w:ascii="Palatino Linotype" w:eastAsia="Palatino Linotype" w:hAnsi="Palatino Linotype" w:cs="Palatino Linotype"/>
          <w:color w:val="000000" w:themeColor="text1"/>
        </w:rPr>
        <w:t xml:space="preserve"> el</w:t>
      </w:r>
      <w:r w:rsidRPr="00B32EAD">
        <w:rPr>
          <w:rFonts w:ascii="Palatino Linotype" w:eastAsia="Palatino Linotype" w:hAnsi="Palatino Linotype" w:cs="Palatino Linotype"/>
          <w:b/>
          <w:color w:val="000000" w:themeColor="text1"/>
        </w:rPr>
        <w:t xml:space="preserve"> SUJETO OBLIGADO</w:t>
      </w:r>
      <w:r w:rsidRPr="00B32EAD">
        <w:rPr>
          <w:rFonts w:ascii="Palatino Linotype" w:eastAsia="Palatino Linotype" w:hAnsi="Palatino Linotype" w:cs="Palatino Linotype"/>
          <w:color w:val="000000" w:themeColor="text1"/>
        </w:rPr>
        <w:t>, por lo que se procede a dictar la presente resolución, con base en los siguientes:</w:t>
      </w:r>
    </w:p>
    <w:p w:rsidR="00875BB5" w:rsidRPr="00B32EAD" w:rsidRDefault="00875BB5" w:rsidP="00B32EAD">
      <w:pPr>
        <w:spacing w:line="360" w:lineRule="auto"/>
        <w:jc w:val="both"/>
        <w:rPr>
          <w:rFonts w:ascii="Palatino Linotype" w:eastAsia="Palatino Linotype" w:hAnsi="Palatino Linotype" w:cs="Palatino Linotype"/>
          <w:b/>
          <w:color w:val="000000" w:themeColor="text1"/>
        </w:rPr>
      </w:pPr>
    </w:p>
    <w:p w:rsidR="00875BB5" w:rsidRPr="00B32EAD" w:rsidRDefault="00471B29" w:rsidP="00B32EAD">
      <w:pPr>
        <w:keepNext/>
        <w:keepLines/>
        <w:spacing w:line="360" w:lineRule="auto"/>
        <w:jc w:val="center"/>
        <w:rPr>
          <w:rFonts w:ascii="Palatino Linotype" w:eastAsia="Palatino Linotype" w:hAnsi="Palatino Linotype" w:cs="Palatino Linotype"/>
          <w:b/>
          <w:color w:val="000000" w:themeColor="text1"/>
        </w:rPr>
      </w:pPr>
      <w:bookmarkStart w:id="2" w:name="_heading=h.cxdz4bhusehf" w:colFirst="0" w:colLast="0"/>
      <w:bookmarkEnd w:id="2"/>
      <w:r w:rsidRPr="00B32EAD">
        <w:rPr>
          <w:rFonts w:ascii="Palatino Linotype" w:eastAsia="Palatino Linotype" w:hAnsi="Palatino Linotype" w:cs="Palatino Linotype"/>
          <w:b/>
          <w:color w:val="000000" w:themeColor="text1"/>
        </w:rPr>
        <w:t>A</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N</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T</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E</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C</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E</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D</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E</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N</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T</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E</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S</w:t>
      </w:r>
      <w:r w:rsidR="001B4C60">
        <w:rPr>
          <w:rFonts w:ascii="Palatino Linotype" w:eastAsia="Palatino Linotype" w:hAnsi="Palatino Linotype" w:cs="Palatino Linotype"/>
          <w:b/>
          <w:color w:val="000000" w:themeColor="text1"/>
        </w:rPr>
        <w:t xml:space="preserve"> </w:t>
      </w:r>
    </w:p>
    <w:p w:rsidR="00875BB5" w:rsidRPr="00B32EAD" w:rsidRDefault="00875BB5" w:rsidP="00B32EAD">
      <w:pPr>
        <w:spacing w:line="360" w:lineRule="auto"/>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El </w:t>
      </w:r>
      <w:r w:rsidRPr="00B32EAD">
        <w:rPr>
          <w:rFonts w:ascii="Palatino Linotype" w:eastAsia="Palatino Linotype" w:hAnsi="Palatino Linotype" w:cs="Palatino Linotype"/>
          <w:b/>
          <w:color w:val="000000" w:themeColor="text1"/>
        </w:rPr>
        <w:t>veintinueve mayo de dos mil veinticinco</w:t>
      </w:r>
      <w:r w:rsidRPr="00B32EAD">
        <w:rPr>
          <w:rFonts w:ascii="Palatino Linotype" w:eastAsia="Palatino Linotype" w:hAnsi="Palatino Linotype" w:cs="Palatino Linotype"/>
          <w:color w:val="000000" w:themeColor="text1"/>
        </w:rPr>
        <w:t xml:space="preserve">, la parte Recurrente presentó a través de la Plataforma del Sistema de Acceso a la Información Mexiquense (SAIMEX), la solicitud de acceso a datos personales, a la que se le asignó el número de folio </w:t>
      </w:r>
      <w:r w:rsidRPr="00B32EAD">
        <w:rPr>
          <w:rFonts w:ascii="Palatino Linotype" w:eastAsia="Palatino Linotype" w:hAnsi="Palatino Linotype" w:cs="Palatino Linotype"/>
          <w:b/>
          <w:color w:val="000000" w:themeColor="text1"/>
        </w:rPr>
        <w:t>00353/ATLACOM/IP/2025</w:t>
      </w:r>
      <w:r w:rsidRPr="00B32EAD">
        <w:rPr>
          <w:rFonts w:ascii="Palatino Linotype" w:eastAsia="Palatino Linotype" w:hAnsi="Palatino Linotype" w:cs="Palatino Linotype"/>
          <w:color w:val="000000" w:themeColor="text1"/>
        </w:rPr>
        <w:t>,  en la que requirió lo siguiente:</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pBdr>
          <w:top w:val="nil"/>
          <w:left w:val="nil"/>
          <w:bottom w:val="nil"/>
          <w:right w:val="nil"/>
          <w:between w:val="nil"/>
        </w:pBdr>
        <w:tabs>
          <w:tab w:val="left" w:pos="411"/>
        </w:tabs>
        <w:spacing w:after="120" w:line="360" w:lineRule="auto"/>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“Actas de mejora regulataria dde enero 2025 a la fecha y el avance del primer trimestre”</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Se señaló como modalidad de entrega a través de SAIMEX.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El </w:t>
      </w:r>
      <w:r w:rsidRPr="00B32EAD">
        <w:rPr>
          <w:rFonts w:ascii="Palatino Linotype" w:eastAsia="Palatino Linotype" w:hAnsi="Palatino Linotype" w:cs="Palatino Linotype"/>
          <w:b/>
          <w:color w:val="000000" w:themeColor="text1"/>
        </w:rPr>
        <w:t>dos de junio de dos mil veinticinco</w:t>
      </w:r>
      <w:r w:rsidRPr="00B32EAD">
        <w:rPr>
          <w:rFonts w:ascii="Palatino Linotype" w:eastAsia="Palatino Linotype" w:hAnsi="Palatino Linotype" w:cs="Palatino Linotype"/>
          <w:color w:val="000000" w:themeColor="text1"/>
        </w:rPr>
        <w:t xml:space="preserve">, se realizó un requerimiento de información al servidor público habilitado. </w:t>
      </w: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lastRenderedPageBreak/>
        <w:t xml:space="preserve">El </w:t>
      </w:r>
      <w:r w:rsidRPr="00B32EAD">
        <w:rPr>
          <w:rFonts w:ascii="Palatino Linotype" w:eastAsia="Palatino Linotype" w:hAnsi="Palatino Linotype" w:cs="Palatino Linotype"/>
          <w:b/>
          <w:color w:val="000000" w:themeColor="text1"/>
        </w:rPr>
        <w:t>diecinueve de junio de dos mil veinticinco,</w:t>
      </w:r>
      <w:r w:rsidRPr="00B32EAD">
        <w:rPr>
          <w:rFonts w:ascii="Palatino Linotype" w:eastAsia="Palatino Linotype" w:hAnsi="Palatino Linotype" w:cs="Palatino Linotype"/>
          <w:color w:val="000000" w:themeColor="text1"/>
        </w:rPr>
        <w:t xml:space="preserve"> el Sujeto Obligado dio respuesta a la solicitud de información en el siguiente sentido:</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
        <w:tblW w:w="7631" w:type="dxa"/>
        <w:jc w:val="center"/>
        <w:tblInd w:w="0" w:type="dxa"/>
        <w:tblLayout w:type="fixed"/>
        <w:tblLook w:val="0400" w:firstRow="0" w:lastRow="0" w:firstColumn="0" w:lastColumn="0" w:noHBand="0" w:noVBand="1"/>
      </w:tblPr>
      <w:tblGrid>
        <w:gridCol w:w="7631"/>
      </w:tblGrid>
      <w:tr w:rsidR="00B32EAD" w:rsidRPr="00B32EAD">
        <w:trPr>
          <w:trHeight w:val="284"/>
          <w:jc w:val="center"/>
        </w:trPr>
        <w:tc>
          <w:tcPr>
            <w:tcW w:w="7631" w:type="dxa"/>
            <w:vAlign w:val="center"/>
          </w:tcPr>
          <w:p w:rsidR="00875BB5" w:rsidRPr="00B32EAD" w:rsidRDefault="00471B29" w:rsidP="00B32EAD">
            <w:pPr>
              <w:jc w:val="right"/>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“Atlacomulco, México a 19 de Junio de 2025</w:t>
            </w:r>
          </w:p>
        </w:tc>
      </w:tr>
      <w:tr w:rsidR="00B32EAD" w:rsidRPr="00B32EAD">
        <w:trPr>
          <w:trHeight w:val="284"/>
          <w:jc w:val="center"/>
        </w:trPr>
        <w:tc>
          <w:tcPr>
            <w:tcW w:w="7631" w:type="dxa"/>
            <w:vAlign w:val="center"/>
          </w:tcPr>
          <w:p w:rsidR="00875BB5" w:rsidRPr="00B32EAD" w:rsidRDefault="00471B29" w:rsidP="00B32EAD">
            <w:pPr>
              <w:jc w:val="right"/>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Nombre del solicitante: C. Solicitante</w:t>
            </w:r>
          </w:p>
        </w:tc>
      </w:tr>
      <w:tr w:rsidR="00B32EAD" w:rsidRPr="00B32EAD">
        <w:trPr>
          <w:trHeight w:val="284"/>
          <w:jc w:val="center"/>
        </w:trPr>
        <w:tc>
          <w:tcPr>
            <w:tcW w:w="7631" w:type="dxa"/>
            <w:vAlign w:val="center"/>
          </w:tcPr>
          <w:p w:rsidR="00875BB5" w:rsidRPr="00B32EAD" w:rsidRDefault="00471B29" w:rsidP="00B32EAD">
            <w:pPr>
              <w:jc w:val="right"/>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Folio de la solicitud: 00353/ATLACOM/IP/2025</w:t>
            </w:r>
          </w:p>
        </w:tc>
      </w:tr>
      <w:tr w:rsidR="00B32EAD" w:rsidRPr="00B32EAD">
        <w:trPr>
          <w:trHeight w:val="426"/>
          <w:jc w:val="center"/>
        </w:trPr>
        <w:tc>
          <w:tcPr>
            <w:tcW w:w="7631" w:type="dxa"/>
            <w:vAlign w:val="center"/>
          </w:tcPr>
          <w:p w:rsidR="00875BB5" w:rsidRPr="00B32EAD" w:rsidRDefault="00875BB5" w:rsidP="00B32EAD">
            <w:pPr>
              <w:jc w:val="right"/>
              <w:rPr>
                <w:rFonts w:ascii="Palatino Linotype" w:eastAsia="Palatino Linotype" w:hAnsi="Palatino Linotype" w:cs="Palatino Linotype"/>
                <w:i/>
                <w:color w:val="000000" w:themeColor="text1"/>
              </w:rPr>
            </w:pPr>
          </w:p>
        </w:tc>
      </w:tr>
      <w:tr w:rsidR="00B32EAD" w:rsidRPr="00B32EAD">
        <w:trPr>
          <w:trHeight w:val="142"/>
          <w:jc w:val="center"/>
        </w:trPr>
        <w:tc>
          <w:tcPr>
            <w:tcW w:w="7631" w:type="dxa"/>
            <w:vAlign w:val="center"/>
          </w:tcPr>
          <w:p w:rsidR="00875BB5" w:rsidRPr="00B32EAD" w:rsidRDefault="00471B29" w:rsidP="00B32EAD">
            <w:pPr>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32EAD" w:rsidRPr="00B32EAD">
        <w:trPr>
          <w:trHeight w:val="355"/>
          <w:jc w:val="center"/>
        </w:trPr>
        <w:tc>
          <w:tcPr>
            <w:tcW w:w="7631" w:type="dxa"/>
            <w:vAlign w:val="center"/>
          </w:tcPr>
          <w:p w:rsidR="00875BB5" w:rsidRPr="00B32EAD" w:rsidRDefault="00875BB5" w:rsidP="00B32EAD">
            <w:pPr>
              <w:rPr>
                <w:rFonts w:ascii="Palatino Linotype" w:eastAsia="Palatino Linotype" w:hAnsi="Palatino Linotype" w:cs="Palatino Linotype"/>
                <w:i/>
                <w:color w:val="000000" w:themeColor="text1"/>
              </w:rPr>
            </w:pPr>
          </w:p>
        </w:tc>
      </w:tr>
      <w:tr w:rsidR="00B32EAD" w:rsidRPr="00B32EAD">
        <w:trPr>
          <w:trHeight w:val="142"/>
          <w:jc w:val="center"/>
        </w:trPr>
        <w:tc>
          <w:tcPr>
            <w:tcW w:w="7631" w:type="dxa"/>
            <w:vAlign w:val="center"/>
          </w:tcPr>
          <w:p w:rsidR="00875BB5" w:rsidRPr="00B32EAD" w:rsidRDefault="00471B29" w:rsidP="00B32EAD">
            <w:pPr>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Me permito remitir respuesta a solicitud de información</w:t>
            </w:r>
          </w:p>
        </w:tc>
      </w:tr>
      <w:tr w:rsidR="00B32EAD" w:rsidRPr="00B32EAD">
        <w:trPr>
          <w:trHeight w:val="355"/>
          <w:jc w:val="center"/>
        </w:trPr>
        <w:tc>
          <w:tcPr>
            <w:tcW w:w="7631" w:type="dxa"/>
            <w:vAlign w:val="center"/>
          </w:tcPr>
          <w:p w:rsidR="00875BB5" w:rsidRPr="00B32EAD" w:rsidRDefault="00875BB5" w:rsidP="00B32EAD">
            <w:pPr>
              <w:rPr>
                <w:rFonts w:ascii="Palatino Linotype" w:eastAsia="Palatino Linotype" w:hAnsi="Palatino Linotype" w:cs="Palatino Linotype"/>
                <w:i/>
                <w:color w:val="000000" w:themeColor="text1"/>
              </w:rPr>
            </w:pPr>
          </w:p>
        </w:tc>
      </w:tr>
      <w:tr w:rsidR="00B32EAD" w:rsidRPr="00B32EAD">
        <w:trPr>
          <w:trHeight w:val="142"/>
          <w:jc w:val="center"/>
        </w:trPr>
        <w:tc>
          <w:tcPr>
            <w:tcW w:w="7631" w:type="dxa"/>
            <w:vAlign w:val="center"/>
          </w:tcPr>
          <w:p w:rsidR="00875BB5" w:rsidRPr="00B32EAD" w:rsidRDefault="00875BB5" w:rsidP="00B32EAD">
            <w:pPr>
              <w:jc w:val="center"/>
              <w:rPr>
                <w:rFonts w:ascii="Palatino Linotype" w:eastAsia="Palatino Linotype" w:hAnsi="Palatino Linotype" w:cs="Palatino Linotype"/>
                <w:i/>
                <w:color w:val="000000" w:themeColor="text1"/>
              </w:rPr>
            </w:pPr>
          </w:p>
        </w:tc>
      </w:tr>
      <w:tr w:rsidR="00B32EAD" w:rsidRPr="00B32EAD">
        <w:trPr>
          <w:trHeight w:val="142"/>
          <w:jc w:val="center"/>
        </w:trPr>
        <w:tc>
          <w:tcPr>
            <w:tcW w:w="7631" w:type="dxa"/>
            <w:vAlign w:val="center"/>
          </w:tcPr>
          <w:p w:rsidR="00875BB5" w:rsidRPr="00B32EAD" w:rsidRDefault="00875BB5" w:rsidP="00B32EAD">
            <w:pPr>
              <w:rPr>
                <w:rFonts w:ascii="Palatino Linotype" w:eastAsia="Palatino Linotype" w:hAnsi="Palatino Linotype" w:cs="Palatino Linotype"/>
                <w:i/>
                <w:color w:val="000000" w:themeColor="text1"/>
              </w:rPr>
            </w:pPr>
          </w:p>
        </w:tc>
      </w:tr>
      <w:tr w:rsidR="00B32EAD" w:rsidRPr="00B32EAD">
        <w:trPr>
          <w:trHeight w:val="142"/>
          <w:jc w:val="center"/>
        </w:trPr>
        <w:tc>
          <w:tcPr>
            <w:tcW w:w="7631" w:type="dxa"/>
            <w:vAlign w:val="center"/>
          </w:tcPr>
          <w:p w:rsidR="00875BB5" w:rsidRPr="00B32EAD" w:rsidRDefault="00471B29" w:rsidP="00B32EAD">
            <w:pPr>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ATENTAMENTE</w:t>
            </w:r>
          </w:p>
        </w:tc>
      </w:tr>
      <w:tr w:rsidR="00B32EAD" w:rsidRPr="00B32EAD">
        <w:trPr>
          <w:trHeight w:val="213"/>
          <w:jc w:val="center"/>
        </w:trPr>
        <w:tc>
          <w:tcPr>
            <w:tcW w:w="7631" w:type="dxa"/>
            <w:vAlign w:val="center"/>
          </w:tcPr>
          <w:p w:rsidR="00875BB5" w:rsidRPr="00B32EAD" w:rsidRDefault="00875BB5" w:rsidP="00B32EAD">
            <w:pPr>
              <w:rPr>
                <w:rFonts w:ascii="Palatino Linotype" w:eastAsia="Palatino Linotype" w:hAnsi="Palatino Linotype" w:cs="Palatino Linotype"/>
                <w:i/>
                <w:color w:val="000000" w:themeColor="text1"/>
              </w:rPr>
            </w:pPr>
          </w:p>
        </w:tc>
      </w:tr>
      <w:tr w:rsidR="00B32EAD" w:rsidRPr="00B32EAD">
        <w:trPr>
          <w:trHeight w:val="142"/>
          <w:jc w:val="center"/>
        </w:trPr>
        <w:tc>
          <w:tcPr>
            <w:tcW w:w="7631" w:type="dxa"/>
            <w:vAlign w:val="center"/>
          </w:tcPr>
          <w:p w:rsidR="00875BB5" w:rsidRPr="00B32EAD" w:rsidRDefault="00471B29" w:rsidP="00B32EAD">
            <w:pPr>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C. Claudia Monroy Amparo”</w:t>
            </w:r>
          </w:p>
        </w:tc>
      </w:tr>
    </w:tbl>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4C39C1" w:rsidRDefault="00471B29" w:rsidP="00B32EA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C39C1">
        <w:rPr>
          <w:rFonts w:ascii="Palatino Linotype" w:eastAsia="Palatino Linotype" w:hAnsi="Palatino Linotype" w:cs="Palatino Linotype"/>
          <w:color w:val="000000" w:themeColor="text1"/>
        </w:rPr>
        <w:t>A la respuesta se adjuntaron los archivos electrónicos que grosso modo refieren:</w:t>
      </w:r>
    </w:p>
    <w:p w:rsidR="00B32EAD" w:rsidRPr="00B32EAD" w:rsidRDefault="00B32EAD"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0B4E9F" w:rsidP="00B32E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8">
        <w:r w:rsidR="00471B29" w:rsidRPr="00B32EAD">
          <w:rPr>
            <w:rFonts w:ascii="Palatino Linotype" w:eastAsia="Palatino Linotype" w:hAnsi="Palatino Linotype" w:cs="Palatino Linotype"/>
            <w:b/>
            <w:color w:val="000000" w:themeColor="text1"/>
            <w:u w:val="single"/>
          </w:rPr>
          <w:t>0353_RESP_CGMMR_2025.pdf</w:t>
        </w:r>
      </w:hyperlink>
      <w:r w:rsidR="00471B29" w:rsidRPr="00B32EAD">
        <w:rPr>
          <w:rFonts w:ascii="Palatino Linotype" w:eastAsia="Palatino Linotype" w:hAnsi="Palatino Linotype" w:cs="Palatino Linotype"/>
          <w:color w:val="000000" w:themeColor="text1"/>
        </w:rPr>
        <w:t>: oficio número CGMMR/127/06/2025 de fecha trece de junio de dos mil veinticinco, suscrito por el Coordinador General Municipal de Mejora Regulatoria quien señaló “…le informo que se adjuntan archivos digitales que sustentan la siguiente información: Actas de la Comisión Municipal de Mejora Regulatoria. Resumen del Primer Reporte Trimestral de Avance Programático del Programa Anual de Mejora Regulatoria 2025”</w:t>
      </w:r>
    </w:p>
    <w:p w:rsidR="00875BB5" w:rsidRPr="00B32EAD" w:rsidRDefault="000B4E9F" w:rsidP="00B32E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9">
        <w:r w:rsidR="00471B29" w:rsidRPr="00B32EAD">
          <w:rPr>
            <w:rFonts w:ascii="Palatino Linotype" w:eastAsia="Palatino Linotype" w:hAnsi="Palatino Linotype" w:cs="Palatino Linotype"/>
            <w:b/>
            <w:color w:val="000000" w:themeColor="text1"/>
            <w:u w:val="single"/>
          </w:rPr>
          <w:t>0353_ANEXO_1_CGMMR_2025.pdf</w:t>
        </w:r>
      </w:hyperlink>
      <w:r w:rsidR="00471B29" w:rsidRPr="00B32EAD">
        <w:rPr>
          <w:rFonts w:ascii="Palatino Linotype" w:eastAsia="Palatino Linotype" w:hAnsi="Palatino Linotype" w:cs="Palatino Linotype"/>
          <w:color w:val="000000" w:themeColor="text1"/>
        </w:rPr>
        <w:t xml:space="preserve">: Se advierten las actas de la Instalación y primera sesión ordinaria, segunda sesión ordinaria, primera sesión extraordinaria y segunda sesión extraordinaria del comité de mejora regulatoria. </w:t>
      </w:r>
    </w:p>
    <w:p w:rsidR="00875BB5" w:rsidRPr="00B32EAD" w:rsidRDefault="000B4E9F" w:rsidP="00B32E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0">
        <w:r w:rsidR="00471B29" w:rsidRPr="00B32EAD">
          <w:rPr>
            <w:rFonts w:ascii="Palatino Linotype" w:eastAsia="Palatino Linotype" w:hAnsi="Palatino Linotype" w:cs="Palatino Linotype"/>
            <w:b/>
            <w:color w:val="000000" w:themeColor="text1"/>
            <w:u w:val="single"/>
          </w:rPr>
          <w:t>0353_ANEXO_2_CGMMR_2025.pdf</w:t>
        </w:r>
      </w:hyperlink>
      <w:r w:rsidR="00471B29" w:rsidRPr="00B32EAD">
        <w:rPr>
          <w:rFonts w:ascii="Palatino Linotype" w:eastAsia="Palatino Linotype" w:hAnsi="Palatino Linotype" w:cs="Palatino Linotype"/>
          <w:color w:val="000000" w:themeColor="text1"/>
        </w:rPr>
        <w:t xml:space="preserve">: archivo que consta de 9 fojas con el porcentaje de los avances correspondientes al primer trimestre de las diversas propuestas. </w:t>
      </w:r>
    </w:p>
    <w:p w:rsidR="00875BB5" w:rsidRPr="00B32EAD" w:rsidRDefault="000B4E9F" w:rsidP="00B32E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1">
        <w:r w:rsidR="00471B29" w:rsidRPr="00B32EAD">
          <w:rPr>
            <w:rFonts w:ascii="Palatino Linotype" w:eastAsia="Palatino Linotype" w:hAnsi="Palatino Linotype" w:cs="Palatino Linotype"/>
            <w:b/>
            <w:color w:val="000000" w:themeColor="text1"/>
            <w:u w:val="single"/>
          </w:rPr>
          <w:t>0353_RESP_UT_2025.pdf</w:t>
        </w:r>
      </w:hyperlink>
      <w:r w:rsidR="00471B29" w:rsidRPr="00B32EAD">
        <w:rPr>
          <w:rFonts w:ascii="Palatino Linotype" w:eastAsia="Palatino Linotype" w:hAnsi="Palatino Linotype" w:cs="Palatino Linotype"/>
          <w:color w:val="000000" w:themeColor="text1"/>
        </w:rPr>
        <w:t xml:space="preserve">: oficio con la respuesta a la solicitud de información de fecha diecinueve de junio de dos mil veinticinco, suscrito por el Titular de la Unidad de Transparencia en el que señaló que la solicitud fue turnada al servidor público habilitado de la Coordinación General Municipal de Mejora Regulatoria.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El </w:t>
      </w:r>
      <w:r w:rsidRPr="00B32EAD">
        <w:rPr>
          <w:rFonts w:ascii="Palatino Linotype" w:eastAsia="Palatino Linotype" w:hAnsi="Palatino Linotype" w:cs="Palatino Linotype"/>
          <w:b/>
          <w:color w:val="000000" w:themeColor="text1"/>
        </w:rPr>
        <w:t>veintidós de junio</w:t>
      </w:r>
      <w:r w:rsidRPr="00B32EAD">
        <w:rPr>
          <w:rFonts w:ascii="Palatino Linotype" w:eastAsia="Palatino Linotype" w:hAnsi="Palatino Linotype" w:cs="Palatino Linotype"/>
          <w:color w:val="000000" w:themeColor="text1"/>
        </w:rPr>
        <w:t xml:space="preserve"> </w:t>
      </w:r>
      <w:r w:rsidRPr="00B32EAD">
        <w:rPr>
          <w:rFonts w:ascii="Palatino Linotype" w:eastAsia="Palatino Linotype" w:hAnsi="Palatino Linotype" w:cs="Palatino Linotype"/>
          <w:b/>
          <w:color w:val="000000" w:themeColor="text1"/>
        </w:rPr>
        <w:t>de dos mil veinticinco</w:t>
      </w:r>
      <w:r w:rsidRPr="00B32EAD">
        <w:rPr>
          <w:rFonts w:ascii="Palatino Linotype" w:eastAsia="Palatino Linotype" w:hAnsi="Palatino Linotype" w:cs="Palatino Linotype"/>
          <w:color w:val="000000" w:themeColor="text1"/>
        </w:rPr>
        <w:t xml:space="preserve">, </w:t>
      </w:r>
      <w:r w:rsidRPr="00B32EAD">
        <w:rPr>
          <w:rFonts w:ascii="Palatino Linotype" w:eastAsia="Palatino Linotype" w:hAnsi="Palatino Linotype" w:cs="Palatino Linotype"/>
          <w:b/>
          <w:color w:val="000000" w:themeColor="text1"/>
        </w:rPr>
        <w:t>la parte Recurrente</w:t>
      </w:r>
      <w:r w:rsidRPr="00B32EAD">
        <w:rPr>
          <w:rFonts w:ascii="Palatino Linotype" w:eastAsia="Palatino Linotype" w:hAnsi="Palatino Linotype" w:cs="Palatino Linotype"/>
          <w:color w:val="000000" w:themeColor="text1"/>
        </w:rPr>
        <w:t xml:space="preserve"> interpuso el recurso de revisión, en el cual expresó las siguientes manifestaciones:</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1B4C60" w:rsidRDefault="00471B29" w:rsidP="001B4C60">
      <w:pPr>
        <w:pStyle w:val="Prrafodelista"/>
        <w:numPr>
          <w:ilvl w:val="0"/>
          <w:numId w:val="4"/>
        </w:num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rPr>
      </w:pPr>
      <w:r w:rsidRPr="001B4C60">
        <w:rPr>
          <w:rFonts w:ascii="Palatino Linotype" w:eastAsia="Palatino Linotype" w:hAnsi="Palatino Linotype" w:cs="Palatino Linotype"/>
          <w:b/>
          <w:color w:val="000000" w:themeColor="text1"/>
          <w:sz w:val="24"/>
        </w:rPr>
        <w:t xml:space="preserve">Acto impugnado: </w:t>
      </w:r>
      <w:r w:rsidRPr="001B4C60">
        <w:rPr>
          <w:rFonts w:ascii="Palatino Linotype" w:eastAsia="Palatino Linotype" w:hAnsi="Palatino Linotype" w:cs="Palatino Linotype"/>
          <w:i/>
          <w:color w:val="000000" w:themeColor="text1"/>
          <w:sz w:val="24"/>
        </w:rPr>
        <w:t>“Información incompleta, no se pidió resumen ni doc ad hoc</w:t>
      </w:r>
      <w:r w:rsidRPr="001B4C60">
        <w:rPr>
          <w:rFonts w:ascii="Palatino Linotype" w:eastAsia="Palatino Linotype" w:hAnsi="Palatino Linotype" w:cs="Palatino Linotype"/>
          <w:b/>
          <w:i/>
          <w:color w:val="000000" w:themeColor="text1"/>
          <w:sz w:val="24"/>
        </w:rPr>
        <w:t xml:space="preserve">” </w:t>
      </w:r>
      <w:r w:rsidRPr="001B4C60">
        <w:rPr>
          <w:rFonts w:ascii="Palatino Linotype" w:eastAsia="Palatino Linotype" w:hAnsi="Palatino Linotype" w:cs="Palatino Linotype"/>
          <w:i/>
          <w:color w:val="000000" w:themeColor="text1"/>
          <w:sz w:val="24"/>
        </w:rPr>
        <w:t xml:space="preserve"> (Sic) </w:t>
      </w:r>
    </w:p>
    <w:p w:rsidR="00875BB5" w:rsidRPr="001B4C60" w:rsidRDefault="00875BB5" w:rsidP="00B32EAD">
      <w:pPr>
        <w:jc w:val="both"/>
        <w:rPr>
          <w:rFonts w:ascii="Palatino Linotype" w:eastAsia="Palatino Linotype" w:hAnsi="Palatino Linotype" w:cs="Palatino Linotype"/>
          <w:i/>
          <w:color w:val="000000" w:themeColor="text1"/>
          <w:sz w:val="28"/>
        </w:rPr>
      </w:pPr>
    </w:p>
    <w:p w:rsidR="00875BB5" w:rsidRPr="001B4C60" w:rsidRDefault="00471B29" w:rsidP="001B4C60">
      <w:pPr>
        <w:pStyle w:val="Prrafodelista"/>
        <w:numPr>
          <w:ilvl w:val="0"/>
          <w:numId w:val="4"/>
        </w:numPr>
        <w:pBdr>
          <w:top w:val="nil"/>
          <w:left w:val="nil"/>
          <w:bottom w:val="nil"/>
          <w:right w:val="nil"/>
          <w:between w:val="nil"/>
        </w:pBdr>
        <w:jc w:val="both"/>
        <w:rPr>
          <w:rFonts w:ascii="Palatino Linotype" w:eastAsia="Palatino Linotype" w:hAnsi="Palatino Linotype" w:cs="Palatino Linotype"/>
          <w:b/>
          <w:i/>
          <w:color w:val="000000" w:themeColor="text1"/>
          <w:sz w:val="24"/>
        </w:rPr>
      </w:pPr>
      <w:bookmarkStart w:id="3" w:name="_heading=h.3znysh7" w:colFirst="0" w:colLast="0"/>
      <w:bookmarkEnd w:id="3"/>
      <w:r w:rsidRPr="001B4C60">
        <w:rPr>
          <w:rFonts w:ascii="Palatino Linotype" w:eastAsia="Palatino Linotype" w:hAnsi="Palatino Linotype" w:cs="Palatino Linotype"/>
          <w:b/>
          <w:color w:val="000000" w:themeColor="text1"/>
          <w:sz w:val="24"/>
        </w:rPr>
        <w:t xml:space="preserve">Razones o motivos de inconformidad: </w:t>
      </w:r>
      <w:r w:rsidRPr="001B4C60">
        <w:rPr>
          <w:rFonts w:ascii="Palatino Linotype" w:eastAsia="Palatino Linotype" w:hAnsi="Palatino Linotype" w:cs="Palatino Linotype"/>
          <w:i/>
          <w:color w:val="000000" w:themeColor="text1"/>
          <w:sz w:val="24"/>
        </w:rPr>
        <w:t xml:space="preserve">“Incompleta” (Sic)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B32EA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32EAD">
        <w:rPr>
          <w:rFonts w:ascii="Palatino Linotype" w:eastAsia="Palatino Linotype" w:hAnsi="Palatino Linotype" w:cs="Palatino Linotype"/>
          <w:color w:val="000000" w:themeColor="text1"/>
        </w:rPr>
        <w:t xml:space="preserve">se turnó a la </w:t>
      </w:r>
      <w:r w:rsidRPr="00B32EAD">
        <w:rPr>
          <w:rFonts w:ascii="Palatino Linotype" w:eastAsia="Palatino Linotype" w:hAnsi="Palatino Linotype" w:cs="Palatino Linotype"/>
          <w:b/>
          <w:color w:val="000000" w:themeColor="text1"/>
        </w:rPr>
        <w:t xml:space="preserve">Comisionada María del Rosario Mejía Ayala, </w:t>
      </w:r>
      <w:r w:rsidR="001B4C60">
        <w:rPr>
          <w:rFonts w:ascii="Palatino Linotype" w:eastAsia="Palatino Linotype" w:hAnsi="Palatino Linotype" w:cs="Palatino Linotype"/>
          <w:color w:val="000000" w:themeColor="text1"/>
        </w:rPr>
        <w:t>para</w:t>
      </w:r>
      <w:r w:rsidRPr="00B32EAD">
        <w:rPr>
          <w:rFonts w:ascii="Palatino Linotype" w:eastAsia="Palatino Linotype" w:hAnsi="Palatino Linotype" w:cs="Palatino Linotype"/>
          <w:color w:val="000000" w:themeColor="text1"/>
        </w:rPr>
        <w:t xml:space="preserve"> su análisis.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1B4C60"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471B29" w:rsidRPr="00B32EAD">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p</w:t>
      </w:r>
      <w:r w:rsidR="00471B29" w:rsidRPr="00B32EAD">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471B29" w:rsidRPr="00B32EAD">
        <w:rPr>
          <w:rFonts w:ascii="Palatino Linotype" w:eastAsia="Palatino Linotype" w:hAnsi="Palatino Linotype" w:cs="Palatino Linotype"/>
          <w:b/>
          <w:color w:val="000000" w:themeColor="text1"/>
        </w:rPr>
        <w:t>veinticuatro de junio de dos mil veinticinco</w:t>
      </w:r>
      <w:r w:rsidR="00471B29" w:rsidRPr="00B32EAD">
        <w:rPr>
          <w:rFonts w:ascii="Palatino Linotype" w:eastAsia="Palatino Linotype" w:hAnsi="Palatino Linotype" w:cs="Palatino Linotype"/>
          <w:color w:val="000000" w:themeColor="text1"/>
        </w:rPr>
        <w:t xml:space="preserve">, puso a disposición de las partes el expediente electrónico vía </w:t>
      </w:r>
      <w:r w:rsidR="00471B29" w:rsidRPr="00B32EAD">
        <w:rPr>
          <w:rFonts w:ascii="Palatino Linotype" w:eastAsia="Palatino Linotype" w:hAnsi="Palatino Linotype" w:cs="Palatino Linotype"/>
          <w:b/>
          <w:color w:val="000000" w:themeColor="text1"/>
        </w:rPr>
        <w:t xml:space="preserve">SAIMEX </w:t>
      </w:r>
      <w:r w:rsidR="00471B29" w:rsidRPr="00B32EAD">
        <w:rPr>
          <w:rFonts w:ascii="Palatino Linotype" w:eastAsia="Palatino Linotype" w:hAnsi="Palatino Linotype" w:cs="Palatino Linotype"/>
          <w:color w:val="000000" w:themeColor="text1"/>
        </w:rPr>
        <w:t xml:space="preserve">a </w:t>
      </w:r>
      <w:r w:rsidR="00471B29" w:rsidRPr="00B32EAD">
        <w:rPr>
          <w:rFonts w:ascii="Palatino Linotype" w:eastAsia="Palatino Linotype" w:hAnsi="Palatino Linotype" w:cs="Palatino Linotype"/>
          <w:color w:val="000000" w:themeColor="text1"/>
        </w:rPr>
        <w:lastRenderedPageBreak/>
        <w:t xml:space="preserve">efecto de que en un plazo máximo de siete días manifestaran lo que a derecho convinieran, ofrecieran pruebas y alegatos según corresponda al caso concreto, de esta forma para que el </w:t>
      </w:r>
      <w:r w:rsidR="00471B29" w:rsidRPr="00B32EAD">
        <w:rPr>
          <w:rFonts w:ascii="Palatino Linotype" w:eastAsia="Palatino Linotype" w:hAnsi="Palatino Linotype" w:cs="Palatino Linotype"/>
          <w:b/>
          <w:color w:val="000000" w:themeColor="text1"/>
        </w:rPr>
        <w:t>SUJETO OBLIGADO</w:t>
      </w:r>
      <w:r w:rsidR="00471B29" w:rsidRPr="00B32EAD">
        <w:rPr>
          <w:rFonts w:ascii="Palatino Linotype" w:eastAsia="Palatino Linotype" w:hAnsi="Palatino Linotype" w:cs="Palatino Linotype"/>
          <w:color w:val="000000" w:themeColor="text1"/>
        </w:rPr>
        <w:t xml:space="preserve"> presentara el informe justificado procedente. </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Pr="00B32EAD">
        <w:rPr>
          <w:rFonts w:ascii="Palatino Linotype" w:eastAsia="Palatino Linotype" w:hAnsi="Palatino Linotype" w:cs="Palatino Linotype"/>
          <w:b/>
          <w:color w:val="000000" w:themeColor="text1"/>
        </w:rPr>
        <w:t>dos de julio de dos mil veinticinco</w:t>
      </w:r>
      <w:r w:rsidRPr="00B32EAD">
        <w:rPr>
          <w:rFonts w:ascii="Palatino Linotype" w:eastAsia="Palatino Linotype" w:hAnsi="Palatino Linotype" w:cs="Palatino Linotype"/>
          <w:color w:val="000000" w:themeColor="text1"/>
        </w:rPr>
        <w:t xml:space="preserve"> y  se puso a la vista del Recurrente el </w:t>
      </w:r>
      <w:r w:rsidRPr="00B32EAD">
        <w:rPr>
          <w:rFonts w:ascii="Palatino Linotype" w:eastAsia="Palatino Linotype" w:hAnsi="Palatino Linotype" w:cs="Palatino Linotype"/>
          <w:b/>
          <w:color w:val="000000" w:themeColor="text1"/>
        </w:rPr>
        <w:t>dieciocho de septiembre del mismo año,</w:t>
      </w:r>
      <w:r w:rsidRPr="00B32EAD">
        <w:rPr>
          <w:rFonts w:ascii="Palatino Linotype" w:eastAsia="Palatino Linotype" w:hAnsi="Palatino Linotype" w:cs="Palatino Linotype"/>
          <w:color w:val="000000" w:themeColor="text1"/>
        </w:rPr>
        <w:t xml:space="preserve"> a través del archivo electrónico que se describe enseguida:</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0B4E9F" w:rsidP="00B32EA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2">
        <w:r w:rsidR="00471B29" w:rsidRPr="00B32EAD">
          <w:rPr>
            <w:rFonts w:ascii="Palatino Linotype" w:eastAsia="Palatino Linotype" w:hAnsi="Palatino Linotype" w:cs="Palatino Linotype"/>
            <w:b/>
            <w:color w:val="000000" w:themeColor="text1"/>
            <w:u w:val="single"/>
          </w:rPr>
          <w:t>07598_RR_IFJ_2025.pdf</w:t>
        </w:r>
      </w:hyperlink>
      <w:r w:rsidR="00471B29" w:rsidRPr="00B32EAD">
        <w:rPr>
          <w:rFonts w:ascii="Palatino Linotype" w:eastAsia="Palatino Linotype" w:hAnsi="Palatino Linotype" w:cs="Palatino Linotype"/>
          <w:color w:val="000000" w:themeColor="text1"/>
        </w:rPr>
        <w:t xml:space="preserve">: </w:t>
      </w:r>
    </w:p>
    <w:p w:rsidR="00875BB5" w:rsidRPr="00B32EAD" w:rsidRDefault="00471B29" w:rsidP="00B32E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Oficio número PM/UT/RR/0298/2025, suscrito por el Titular de la Unidad de Transparencia quien señaló, de forma medular, que se dio respuesta en tiempo y forma, que se entregó la información tal cual obra en los archivos del Sujeto Obligado y que se ratifica su respuesta. </w:t>
      </w:r>
    </w:p>
    <w:p w:rsidR="00875BB5" w:rsidRPr="00B32EAD" w:rsidRDefault="00471B29" w:rsidP="00B32E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Oficio número PM/UT/RR/0267/2025 de fecha veinticuatro de junio de dos mil veinticinco, suscrito por el Titular de la Unidad de Transparencia, en el que solicitó al Titular de la Coordinación General Municipal de Mejora Regulatoria emitir su informe justificado. </w:t>
      </w:r>
    </w:p>
    <w:p w:rsidR="00875BB5" w:rsidRPr="00B32EAD" w:rsidRDefault="00471B29" w:rsidP="00B32E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Oficio número CGMMR/139/06/2025 de fecha veintiséis de junio de dos mil veinticinco, suscrito por el Coordinador General Municipal de Mejora Regulatoria quien ratificó su respuesta.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El </w:t>
      </w:r>
      <w:r w:rsidRPr="00B32EAD">
        <w:rPr>
          <w:rFonts w:ascii="Palatino Linotype" w:eastAsia="Palatino Linotype" w:hAnsi="Palatino Linotype" w:cs="Palatino Linotype"/>
          <w:b/>
          <w:color w:val="000000" w:themeColor="text1"/>
        </w:rPr>
        <w:t>dieciocho de septiembre de dos mil veinticinco</w:t>
      </w:r>
      <w:r w:rsidRPr="00B32EAD">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lastRenderedPageBreak/>
        <w:t xml:space="preserve">La Comisionada Ponente decretó el cierre de instrucción mediante el acuerdo del </w:t>
      </w:r>
      <w:r w:rsidRPr="00B32EAD">
        <w:rPr>
          <w:rFonts w:ascii="Palatino Linotype" w:eastAsia="Palatino Linotype" w:hAnsi="Palatino Linotype" w:cs="Palatino Linotype"/>
          <w:b/>
          <w:color w:val="000000" w:themeColor="text1"/>
        </w:rPr>
        <w:t>veinticuatro de septiembre de dos mil veinticinco</w:t>
      </w:r>
      <w:r w:rsidRPr="00B32EAD">
        <w:rPr>
          <w:rFonts w:ascii="Palatino Linotype" w:eastAsia="Palatino Linotype" w:hAnsi="Palatino Linotype" w:cs="Palatino Linotype"/>
          <w:color w:val="000000" w:themeColor="text1"/>
        </w:rPr>
        <w:t xml:space="preserve">.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spacing w:line="360" w:lineRule="auto"/>
        <w:jc w:val="center"/>
        <w:rPr>
          <w:rFonts w:ascii="Palatino Linotype" w:eastAsia="Palatino Linotype" w:hAnsi="Palatino Linotype" w:cs="Palatino Linotype"/>
          <w:color w:val="000000" w:themeColor="text1"/>
        </w:rPr>
      </w:pPr>
      <w:bookmarkStart w:id="4" w:name="_heading=h.ji2purwx2ia2" w:colFirst="0" w:colLast="0"/>
      <w:bookmarkEnd w:id="4"/>
      <w:r w:rsidRPr="00B32EAD">
        <w:rPr>
          <w:rFonts w:ascii="Palatino Linotype" w:eastAsia="Palatino Linotype" w:hAnsi="Palatino Linotype" w:cs="Palatino Linotype"/>
          <w:b/>
          <w:color w:val="000000" w:themeColor="text1"/>
        </w:rPr>
        <w:t>C</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O</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N</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S</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I</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D</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E</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R</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A</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N</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D</w:t>
      </w:r>
      <w:r w:rsidR="001B4C60">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b/>
          <w:color w:val="000000" w:themeColor="text1"/>
        </w:rPr>
        <w:t>O</w:t>
      </w:r>
    </w:p>
    <w:p w:rsidR="00875BB5" w:rsidRPr="00B32EAD" w:rsidRDefault="00875BB5" w:rsidP="00B32EAD">
      <w:pPr>
        <w:spacing w:line="360" w:lineRule="auto"/>
        <w:jc w:val="center"/>
        <w:rPr>
          <w:rFonts w:ascii="Palatino Linotype" w:eastAsia="Palatino Linotype" w:hAnsi="Palatino Linotype" w:cs="Palatino Linotype"/>
          <w:color w:val="000000" w:themeColor="text1"/>
        </w:rPr>
      </w:pPr>
    </w:p>
    <w:p w:rsidR="00875BB5" w:rsidRPr="00B32EAD" w:rsidRDefault="00471B29" w:rsidP="00B32EAD">
      <w:pPr>
        <w:spacing w:line="360" w:lineRule="auto"/>
        <w:jc w:val="both"/>
        <w:rPr>
          <w:rFonts w:ascii="Palatino Linotype" w:eastAsia="Palatino Linotype" w:hAnsi="Palatino Linotype" w:cs="Palatino Linotype"/>
          <w:b/>
          <w:color w:val="000000" w:themeColor="text1"/>
        </w:rPr>
      </w:pPr>
      <w:bookmarkStart w:id="5" w:name="_heading=h.j1t1mvze5w1y" w:colFirst="0" w:colLast="0"/>
      <w:bookmarkEnd w:id="5"/>
      <w:r w:rsidRPr="00B32EAD">
        <w:rPr>
          <w:rFonts w:ascii="Palatino Linotype" w:eastAsia="Palatino Linotype" w:hAnsi="Palatino Linotype" w:cs="Palatino Linotype"/>
          <w:b/>
          <w:color w:val="000000" w:themeColor="text1"/>
        </w:rPr>
        <w:t>PRIMERO. De la competencia</w:t>
      </w:r>
    </w:p>
    <w:p w:rsidR="001B4C60" w:rsidRDefault="00471B29" w:rsidP="001B4C60">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32EAD">
        <w:rPr>
          <w:rFonts w:ascii="Palatino Linotype" w:eastAsia="Palatino Linotype" w:hAnsi="Palatino Linotype" w:cs="Palatino Linotype"/>
          <w:b/>
          <w:color w:val="000000" w:themeColor="text1"/>
        </w:rPr>
        <w:t>Constitución Política de los Estados Unidos Mexicanos</w:t>
      </w:r>
      <w:r w:rsidRPr="00B32EAD">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B32EAD">
        <w:rPr>
          <w:rFonts w:ascii="Palatino Linotype" w:eastAsia="Palatino Linotype" w:hAnsi="Palatino Linotype" w:cs="Palatino Linotype"/>
          <w:b/>
          <w:color w:val="000000" w:themeColor="text1"/>
        </w:rPr>
        <w:t>Constitución Política del Estado Libre y Soberano de México</w:t>
      </w:r>
      <w:r w:rsidRPr="00B32EAD">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B32EAD">
        <w:rPr>
          <w:rFonts w:ascii="Palatino Linotype" w:eastAsia="Palatino Linotype" w:hAnsi="Palatino Linotype" w:cs="Palatino Linotype"/>
          <w:b/>
          <w:color w:val="000000" w:themeColor="text1"/>
        </w:rPr>
        <w:t>Ley de Transparencia y Acceso a la Información Pública del Estado de México y Municipios</w:t>
      </w:r>
      <w:r w:rsidRPr="00B32EAD">
        <w:rPr>
          <w:rFonts w:ascii="Palatino Linotype" w:eastAsia="Palatino Linotype" w:hAnsi="Palatino Linotype" w:cs="Palatino Linotype"/>
          <w:color w:val="000000" w:themeColor="text1"/>
        </w:rPr>
        <w:t xml:space="preserve">; y 7, 9 fracciones I y XXIII, y 11 del </w:t>
      </w:r>
      <w:r w:rsidRPr="00B32EAD">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1B4C60" w:rsidRPr="001B4C60" w:rsidRDefault="001B4C60" w:rsidP="001B4C6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875BB5" w:rsidRPr="00B32EAD" w:rsidRDefault="00471B29" w:rsidP="00B32EAD">
      <w:pPr>
        <w:keepNext/>
        <w:keepLines/>
        <w:spacing w:line="360" w:lineRule="auto"/>
        <w:rPr>
          <w:rFonts w:ascii="Palatino Linotype" w:eastAsia="Palatino Linotype" w:hAnsi="Palatino Linotype" w:cs="Palatino Linotype"/>
          <w:b/>
          <w:color w:val="000000" w:themeColor="text1"/>
        </w:rPr>
      </w:pPr>
      <w:bookmarkStart w:id="6" w:name="_heading=h.uaqdwdmx35yu" w:colFirst="0" w:colLast="0"/>
      <w:bookmarkEnd w:id="6"/>
      <w:r w:rsidRPr="00B32EAD">
        <w:rPr>
          <w:rFonts w:ascii="Palatino Linotype" w:eastAsia="Palatino Linotype" w:hAnsi="Palatino Linotype" w:cs="Palatino Linotype"/>
          <w:b/>
          <w:color w:val="000000" w:themeColor="text1"/>
        </w:rPr>
        <w:t>SEGUNDO. De la oportunidad y procedencia.</w:t>
      </w: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El medio de impugnación fue presentado a través del </w:t>
      </w:r>
      <w:r w:rsidRPr="00B32EAD">
        <w:rPr>
          <w:rFonts w:ascii="Palatino Linotype" w:eastAsia="Palatino Linotype" w:hAnsi="Palatino Linotype" w:cs="Palatino Linotype"/>
          <w:b/>
          <w:color w:val="000000" w:themeColor="text1"/>
        </w:rPr>
        <w:t>SAIMEX,</w:t>
      </w:r>
      <w:r w:rsidRPr="00B32EA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B32EAD">
        <w:rPr>
          <w:rFonts w:ascii="Palatino Linotype" w:eastAsia="Palatino Linotype" w:hAnsi="Palatino Linotype" w:cs="Palatino Linotype"/>
          <w:b/>
          <w:color w:val="000000" w:themeColor="text1"/>
        </w:rPr>
        <w:t>SUJETO OBLIGADO</w:t>
      </w:r>
      <w:r w:rsidRPr="00B32EAD">
        <w:rPr>
          <w:rFonts w:ascii="Palatino Linotype" w:eastAsia="Palatino Linotype" w:hAnsi="Palatino Linotype" w:cs="Palatino Linotype"/>
          <w:color w:val="000000" w:themeColor="text1"/>
        </w:rPr>
        <w:t xml:space="preserve"> entregó respuesta a la solicitud el día </w:t>
      </w:r>
      <w:r w:rsidRPr="00B32EAD">
        <w:rPr>
          <w:rFonts w:ascii="Palatino Linotype" w:eastAsia="Palatino Linotype" w:hAnsi="Palatino Linotype" w:cs="Palatino Linotype"/>
          <w:b/>
          <w:color w:val="000000" w:themeColor="text1"/>
        </w:rPr>
        <w:t>diecinueve de junio de dos mil veinticinco</w:t>
      </w:r>
      <w:r w:rsidRPr="00B32EAD">
        <w:rPr>
          <w:rFonts w:ascii="Palatino Linotype" w:eastAsia="Palatino Linotype" w:hAnsi="Palatino Linotype" w:cs="Palatino Linotype"/>
          <w:color w:val="000000" w:themeColor="text1"/>
        </w:rPr>
        <w:t xml:space="preserve">, de tal forma que el plazo para interponer el recurso de revisión transcurrió del </w:t>
      </w:r>
      <w:r w:rsidRPr="00B32EAD">
        <w:rPr>
          <w:rFonts w:ascii="Palatino Linotype" w:eastAsia="Palatino Linotype" w:hAnsi="Palatino Linotype" w:cs="Palatino Linotype"/>
          <w:b/>
          <w:color w:val="000000" w:themeColor="text1"/>
        </w:rPr>
        <w:t>veinte de junio al diez de julio de dos mil veinticinco</w:t>
      </w:r>
      <w:r w:rsidRPr="00B32EAD">
        <w:rPr>
          <w:rFonts w:ascii="Palatino Linotype" w:eastAsia="Palatino Linotype" w:hAnsi="Palatino Linotype" w:cs="Palatino Linotype"/>
          <w:color w:val="000000" w:themeColor="text1"/>
        </w:rPr>
        <w:t xml:space="preserve">; </w:t>
      </w:r>
      <w:r w:rsidRPr="00B32EAD">
        <w:rPr>
          <w:rFonts w:ascii="Palatino Linotype" w:eastAsia="Palatino Linotype" w:hAnsi="Palatino Linotype" w:cs="Palatino Linotype"/>
          <w:color w:val="000000" w:themeColor="text1"/>
        </w:rPr>
        <w:lastRenderedPageBreak/>
        <w:t xml:space="preserve">en consecuencia, presentó su inconformidad el </w:t>
      </w:r>
      <w:r w:rsidRPr="00B32EAD">
        <w:rPr>
          <w:rFonts w:ascii="Palatino Linotype" w:eastAsia="Palatino Linotype" w:hAnsi="Palatino Linotype" w:cs="Palatino Linotype"/>
          <w:b/>
          <w:color w:val="000000" w:themeColor="text1"/>
        </w:rPr>
        <w:t>veintidós de junio de dos mil veinticinco</w:t>
      </w:r>
      <w:r w:rsidRPr="00B32EAD">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B32EA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32EAD">
        <w:rPr>
          <w:rFonts w:ascii="Palatino Linotype" w:eastAsia="Palatino Linotype" w:hAnsi="Palatino Linotype" w:cs="Palatino Linotype"/>
          <w:color w:val="000000" w:themeColor="text1"/>
        </w:rPr>
        <w:t>vigente.</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Por otra parte, de la revisión al expediente electrónico del </w:t>
      </w:r>
      <w:r w:rsidRPr="00B32EAD">
        <w:rPr>
          <w:rFonts w:ascii="Palatino Linotype" w:eastAsia="Palatino Linotype" w:hAnsi="Palatino Linotype" w:cs="Palatino Linotype"/>
          <w:b/>
          <w:color w:val="000000" w:themeColor="text1"/>
        </w:rPr>
        <w:t>SAIMEX</w:t>
      </w:r>
      <w:r w:rsidRPr="00B32EAD">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keepNext/>
        <w:keepLines/>
        <w:spacing w:line="360" w:lineRule="auto"/>
        <w:rPr>
          <w:rFonts w:ascii="Palatino Linotype" w:eastAsia="Palatino Linotype" w:hAnsi="Palatino Linotype" w:cs="Palatino Linotype"/>
          <w:b/>
          <w:color w:val="000000" w:themeColor="text1"/>
        </w:rPr>
      </w:pPr>
      <w:r w:rsidRPr="00B32EAD">
        <w:rPr>
          <w:rFonts w:ascii="Palatino Linotype" w:eastAsia="Palatino Linotype" w:hAnsi="Palatino Linotype" w:cs="Palatino Linotype"/>
          <w:b/>
          <w:color w:val="000000" w:themeColor="text1"/>
        </w:rPr>
        <w:lastRenderedPageBreak/>
        <w:t>TERCERO. Planteamiento de la Litis.</w:t>
      </w: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color w:val="000000" w:themeColor="text1"/>
        </w:rPr>
        <w:t xml:space="preserve">El particular solicitó las actas de mejora regulatoria del primero de enero al veintinueve de mayo de dos mil veinticinco y el avance del primer trimestre.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En respuesta, el Director General Municipal de Mejora Regulatoria entregó las actas de la primera y segunda sesión ordinaria y primera y segunda sesión extraordinaria de la Comisión Municipal de Mejora Regulatoria, así como el avance correspondiente al primer trimestre, posteriormente, el Recurrente se inconformó por la entrega de información incompleta.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V de la Ley de Transparencia y Acceso a la Información Pública del Estado de México y Municipios; que establece la entrega de información incompleta.  </w:t>
      </w:r>
    </w:p>
    <w:p w:rsidR="00875BB5" w:rsidRPr="00B32EAD" w:rsidRDefault="00471B29"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 </w:t>
      </w:r>
    </w:p>
    <w:p w:rsidR="00875BB5" w:rsidRPr="00B32EAD" w:rsidRDefault="00471B29" w:rsidP="00B32EAD">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m5xsg7xadhhk" w:colFirst="0" w:colLast="0"/>
      <w:bookmarkEnd w:id="7"/>
      <w:r w:rsidRPr="00B32EAD">
        <w:rPr>
          <w:rFonts w:ascii="Palatino Linotype" w:eastAsia="Palatino Linotype" w:hAnsi="Palatino Linotype" w:cs="Palatino Linotype"/>
          <w:b/>
          <w:color w:val="000000" w:themeColor="text1"/>
          <w:sz w:val="24"/>
          <w:szCs w:val="24"/>
        </w:rPr>
        <w:t>CUARTO. Del estudio y resolución del recurso de revisión.</w:t>
      </w: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xp1s98hnyfbd" w:colFirst="0" w:colLast="0"/>
      <w:bookmarkEnd w:id="8"/>
      <w:r w:rsidRPr="00B32EAD">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color w:val="000000" w:themeColor="text1"/>
        </w:rPr>
        <w:lastRenderedPageBreak/>
        <w:t xml:space="preserve">Ahora bien, primeramente debemos recordar que el Recurrente solicitó las actas de mejora regulatoria del primero de enero al veintinueve de mayo de dos mil veinticinco y el avance del primer trimestre.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B32EAD">
        <w:rPr>
          <w:rFonts w:ascii="Palatino Linotype" w:eastAsia="Palatino Linotype" w:hAnsi="Palatino Linotype" w:cs="Palatino Linotype"/>
          <w:i/>
          <w:color w:val="000000" w:themeColor="text1"/>
        </w:rPr>
        <w:t xml:space="preserve">en el ámbito de sus atribuciones, de promover, respetar, proteger y </w:t>
      </w:r>
      <w:r w:rsidRPr="00B32EAD">
        <w:rPr>
          <w:rFonts w:ascii="Palatino Linotype" w:eastAsia="Palatino Linotype" w:hAnsi="Palatino Linotype" w:cs="Palatino Linotype"/>
          <w:b/>
          <w:i/>
          <w:color w:val="000000" w:themeColor="text1"/>
        </w:rPr>
        <w:t>garantizar</w:t>
      </w:r>
      <w:r w:rsidRPr="00B32EAD">
        <w:rPr>
          <w:rFonts w:ascii="Palatino Linotype" w:eastAsia="Palatino Linotype" w:hAnsi="Palatino Linotype" w:cs="Palatino Linotype"/>
          <w:i/>
          <w:color w:val="000000" w:themeColor="text1"/>
        </w:rPr>
        <w:t xml:space="preserve"> los derechos humanos. </w:t>
      </w:r>
      <w:r w:rsidRPr="00B32EAD">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B32EAD">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B32EAD">
        <w:rPr>
          <w:rFonts w:ascii="Palatino Linotype" w:eastAsia="Century Gothic" w:hAnsi="Palatino Linotype" w:cs="Century Gothic"/>
          <w:i/>
          <w:color w:val="000000" w:themeColor="text1"/>
          <w:vertAlign w:val="superscript"/>
        </w:rPr>
        <w:footnoteReference w:id="1"/>
      </w:r>
      <w:r w:rsidRPr="00B32EAD">
        <w:rPr>
          <w:rFonts w:ascii="Palatino Linotype" w:eastAsia="Palatino Linotype" w:hAnsi="Palatino Linotype" w:cs="Palatino Linotype"/>
          <w:i/>
          <w:color w:val="000000" w:themeColor="text1"/>
        </w:rPr>
        <w:t xml:space="preserve">, </w:t>
      </w:r>
      <w:r w:rsidRPr="00B32EAD">
        <w:rPr>
          <w:rFonts w:ascii="Palatino Linotype" w:eastAsia="Palatino Linotype" w:hAnsi="Palatino Linotype" w:cs="Palatino Linotype"/>
          <w:color w:val="000000" w:themeColor="text1"/>
        </w:rPr>
        <w:t>asimismo establece</w:t>
      </w:r>
      <w:r w:rsidRPr="00B32EAD">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w:t>
      </w:r>
      <w:r w:rsidRPr="00B32EAD">
        <w:rPr>
          <w:rFonts w:ascii="Palatino Linotype" w:eastAsia="Palatino Linotype" w:hAnsi="Palatino Linotype" w:cs="Palatino Linotype"/>
          <w:color w:val="000000" w:themeColor="text1"/>
        </w:rPr>
        <w:lastRenderedPageBreak/>
        <w:t>rápida los documentos que se soliciten o bien, simplemente para el desarrollo de sus facultades, competencias y atribuciones que a diario desempeñan.</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Es así que, su obligación es </w:t>
      </w:r>
      <w:r w:rsidRPr="00B32EAD">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B32EAD">
        <w:rPr>
          <w:rFonts w:ascii="Palatino Linotype" w:eastAsia="Century Gothic" w:hAnsi="Palatino Linotype" w:cs="Century Gothic"/>
          <w:color w:val="000000" w:themeColor="text1"/>
          <w:vertAlign w:val="superscript"/>
        </w:rPr>
        <w:footnoteReference w:id="2"/>
      </w:r>
      <w:r w:rsidRPr="00B32EAD">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 xml:space="preserve">Artículo 50. </w:t>
      </w:r>
      <w:r w:rsidRPr="00B32EAD">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875BB5" w:rsidRPr="00B32EAD" w:rsidRDefault="00875BB5" w:rsidP="00B32EAD">
      <w:pPr>
        <w:jc w:val="both"/>
        <w:rPr>
          <w:rFonts w:ascii="Palatino Linotype" w:eastAsia="Palatino Linotype" w:hAnsi="Palatino Linotype" w:cs="Palatino Linotype"/>
          <w:i/>
          <w:color w:val="000000" w:themeColor="text1"/>
        </w:rPr>
      </w:pP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 xml:space="preserve">Artículo 53. </w:t>
      </w:r>
      <w:r w:rsidRPr="00B32EAD">
        <w:rPr>
          <w:rFonts w:ascii="Palatino Linotype" w:eastAsia="Palatino Linotype" w:hAnsi="Palatino Linotype" w:cs="Palatino Linotype"/>
          <w:i/>
          <w:color w:val="000000" w:themeColor="text1"/>
        </w:rPr>
        <w:t>Las Unidades de Transparencia tendrán las siguientes funciones:</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II.</w:t>
      </w:r>
      <w:r w:rsidRPr="00B32EAD">
        <w:rPr>
          <w:rFonts w:ascii="Palatino Linotype" w:eastAsia="Palatino Linotype" w:hAnsi="Palatino Linotype" w:cs="Palatino Linotype"/>
          <w:i/>
          <w:color w:val="000000" w:themeColor="text1"/>
        </w:rPr>
        <w:t xml:space="preserve"> Recibir, tramitar y dar respuesta a las solicitudes de acceso a la información;</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IV.</w:t>
      </w:r>
      <w:r w:rsidRPr="00B32EAD">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V.</w:t>
      </w:r>
      <w:r w:rsidRPr="00B32EAD">
        <w:rPr>
          <w:rFonts w:ascii="Palatino Linotype" w:eastAsia="Palatino Linotype" w:hAnsi="Palatino Linotype" w:cs="Palatino Linotype"/>
          <w:i/>
          <w:color w:val="000000" w:themeColor="text1"/>
        </w:rPr>
        <w:t xml:space="preserve"> Entregar, en su caso, a los particulares la información solicitada;</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w:t>
      </w:r>
    </w:p>
    <w:p w:rsidR="00875BB5" w:rsidRPr="00B32EAD" w:rsidRDefault="00875BB5" w:rsidP="00B32EAD">
      <w:pPr>
        <w:jc w:val="both"/>
        <w:rPr>
          <w:rFonts w:ascii="Palatino Linotype" w:eastAsia="Palatino Linotype" w:hAnsi="Palatino Linotype" w:cs="Palatino Linotype"/>
          <w:i/>
          <w:color w:val="000000" w:themeColor="text1"/>
        </w:rPr>
      </w:pP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 xml:space="preserve">Artículo 58. </w:t>
      </w:r>
      <w:r w:rsidRPr="00B32EAD">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875BB5" w:rsidRPr="00B32EAD" w:rsidRDefault="00875BB5" w:rsidP="00B32EAD">
      <w:pPr>
        <w:jc w:val="both"/>
        <w:rPr>
          <w:rFonts w:ascii="Palatino Linotype" w:eastAsia="Palatino Linotype" w:hAnsi="Palatino Linotype" w:cs="Palatino Linotype"/>
          <w:i/>
          <w:color w:val="000000" w:themeColor="text1"/>
        </w:rPr>
      </w:pP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 xml:space="preserve">Artículo 59. </w:t>
      </w:r>
      <w:r w:rsidRPr="00B32EAD">
        <w:rPr>
          <w:rFonts w:ascii="Palatino Linotype" w:eastAsia="Palatino Linotype" w:hAnsi="Palatino Linotype" w:cs="Palatino Linotype"/>
          <w:i/>
          <w:color w:val="000000" w:themeColor="text1"/>
        </w:rPr>
        <w:t>Los servidores públicos habilitados tendrán las funciones siguientes:</w:t>
      </w:r>
    </w:p>
    <w:p w:rsidR="00875BB5" w:rsidRPr="00B32EAD" w:rsidRDefault="00875BB5" w:rsidP="00B32EAD">
      <w:pPr>
        <w:jc w:val="both"/>
        <w:rPr>
          <w:rFonts w:ascii="Palatino Linotype" w:eastAsia="Palatino Linotype" w:hAnsi="Palatino Linotype" w:cs="Palatino Linotype"/>
          <w:i/>
          <w:color w:val="000000" w:themeColor="text1"/>
        </w:rPr>
      </w:pP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I.</w:t>
      </w:r>
      <w:r w:rsidRPr="00B32EAD">
        <w:rPr>
          <w:rFonts w:ascii="Palatino Linotype" w:eastAsia="Palatino Linotype" w:hAnsi="Palatino Linotype" w:cs="Palatino Linotype"/>
          <w:i/>
          <w:color w:val="000000" w:themeColor="text1"/>
        </w:rPr>
        <w:t xml:space="preserve"> Localizar la información que le solicite la Unidad de Transparencia;</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II.</w:t>
      </w:r>
      <w:r w:rsidRPr="00B32EAD">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w:t>
      </w:r>
    </w:p>
    <w:p w:rsidR="00875BB5" w:rsidRPr="00B32EAD" w:rsidRDefault="00471B29" w:rsidP="00B32EAD">
      <w:pPr>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lastRenderedPageBreak/>
        <w:t xml:space="preserve">Artículo 162. </w:t>
      </w:r>
      <w:r w:rsidRPr="00B32EAD">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75BB5" w:rsidRPr="00B32EAD" w:rsidRDefault="00875BB5" w:rsidP="00B32EAD">
      <w:pP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Así, se debe entender que el trámite interno que se realice a las solicitudes de acceso a la información, es con el propósito de que se realice una búsqueda exhaustiva y razonable de la información entre sus archivos y se entregue la información de interés para el particular; en este caso, la respuesta fue emitida por el Coordinador General Municipal de Mejora Regulatoria, servidor público habilitado con facultades para conocer de la información, pues es el área de quien se solicitaron las actas y los avances.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En ese sentido, recordemos que el Sujeto Obligado entregó dos actas ordinaria y dos actas extraordinarias de la Comisión Municipal de Mejora Regulatoria, asimismo, entregó un </w:t>
      </w:r>
      <w:r w:rsidRPr="00B32EAD">
        <w:rPr>
          <w:rFonts w:ascii="Palatino Linotype" w:eastAsia="Palatino Linotype" w:hAnsi="Palatino Linotype" w:cs="Palatino Linotype"/>
          <w:color w:val="000000" w:themeColor="text1"/>
        </w:rPr>
        <w:lastRenderedPageBreak/>
        <w:t>documento en el que se refiere al reporte trimestral con el porcentaje de avance en las propuestas correspondiente al primer trimestre de 2025.</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En ese sentido, debemos tomar en cuenta los artículos 4 y 12, de la Ley de Transparencia y Acceso a la Información Pública del Estado de México y Municipios, los cuales establecen lo siguiente:</w:t>
      </w:r>
    </w:p>
    <w:p w:rsidR="00875BB5" w:rsidRPr="00B32EAD" w:rsidRDefault="00471B29" w:rsidP="00B32EAD">
      <w:pPr>
        <w:spacing w:line="360" w:lineRule="auto"/>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 xml:space="preserve">Artículo 4. </w:t>
      </w:r>
      <w:r w:rsidRPr="00B32EAD">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875BB5" w:rsidRPr="00B32EAD" w:rsidRDefault="00471B29" w:rsidP="00B32EAD">
      <w:pPr>
        <w:spacing w:line="360" w:lineRule="auto"/>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w:t>
      </w:r>
      <w:r w:rsidRPr="00B32EAD">
        <w:rPr>
          <w:rFonts w:ascii="Palatino Linotype" w:eastAsia="Palatino Linotype" w:hAnsi="Palatino Linotype" w:cs="Palatino Linotype"/>
          <w:i/>
          <w:color w:val="000000" w:themeColor="text1"/>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75BB5" w:rsidRPr="00B32EAD" w:rsidRDefault="00875BB5" w:rsidP="00B32EAD">
      <w:pPr>
        <w:spacing w:line="360" w:lineRule="auto"/>
        <w:jc w:val="both"/>
        <w:rPr>
          <w:rFonts w:ascii="Palatino Linotype" w:eastAsia="Palatino Linotype" w:hAnsi="Palatino Linotype" w:cs="Palatino Linotype"/>
          <w:i/>
          <w:color w:val="000000" w:themeColor="text1"/>
        </w:rPr>
      </w:pPr>
    </w:p>
    <w:p w:rsidR="00875BB5" w:rsidRPr="00B32EAD" w:rsidRDefault="00471B29" w:rsidP="00B32EAD">
      <w:pPr>
        <w:spacing w:line="360" w:lineRule="auto"/>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75BB5" w:rsidRPr="00B32EAD" w:rsidRDefault="00875BB5" w:rsidP="00B32EAD">
      <w:pPr>
        <w:spacing w:line="360" w:lineRule="auto"/>
        <w:jc w:val="both"/>
        <w:rPr>
          <w:rFonts w:ascii="Palatino Linotype" w:eastAsia="Palatino Linotype" w:hAnsi="Palatino Linotype" w:cs="Palatino Linotype"/>
          <w:i/>
          <w:color w:val="000000" w:themeColor="text1"/>
        </w:rPr>
      </w:pPr>
    </w:p>
    <w:p w:rsidR="00875BB5" w:rsidRPr="00B32EAD" w:rsidRDefault="00471B29" w:rsidP="00B32EAD">
      <w:pPr>
        <w:spacing w:line="360" w:lineRule="auto"/>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b/>
          <w:i/>
          <w:color w:val="000000" w:themeColor="text1"/>
        </w:rPr>
        <w:t xml:space="preserve">Artículo 12. </w:t>
      </w:r>
      <w:r w:rsidRPr="00B32EAD">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875BB5" w:rsidRPr="00B32EAD" w:rsidRDefault="00471B29" w:rsidP="00B32EAD">
      <w:pPr>
        <w:spacing w:line="360" w:lineRule="auto"/>
        <w:jc w:val="both"/>
        <w:rPr>
          <w:rFonts w:ascii="Palatino Linotype" w:eastAsia="Palatino Linotype" w:hAnsi="Palatino Linotype" w:cs="Palatino Linotype"/>
          <w:b/>
          <w:i/>
          <w:color w:val="000000" w:themeColor="text1"/>
        </w:rPr>
      </w:pPr>
      <w:r w:rsidRPr="00B32EAD">
        <w:rPr>
          <w:rFonts w:ascii="Palatino Linotype" w:eastAsia="Palatino Linotype" w:hAnsi="Palatino Linotype" w:cs="Palatino Linotype"/>
          <w:i/>
          <w:color w:val="000000" w:themeColor="text1"/>
        </w:rPr>
        <w:lastRenderedPageBreak/>
        <w:t xml:space="preserve">Los sujetos obligados sólo proporcionarán la información pública que se les requiera y que obre en sus archivos y en el estado en que ésta se encuentre. </w:t>
      </w:r>
      <w:r w:rsidRPr="00B32EAD">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32EAD">
        <w:rPr>
          <w:rFonts w:ascii="Palatino Linotype" w:hAnsi="Palatino Linotype"/>
          <w:color w:val="000000" w:themeColor="text1"/>
        </w:rPr>
        <w:t xml:space="preserve"> </w:t>
      </w:r>
      <w:r w:rsidRPr="00B32EAD">
        <w:rPr>
          <w:rFonts w:ascii="Palatino Linotype" w:eastAsia="Palatino Linotype" w:hAnsi="Palatino Linotype" w:cs="Palatino Linotype"/>
          <w:color w:val="000000" w:themeColor="text1"/>
        </w:rPr>
        <w:t xml:space="preserve">y máxima publicidad, sin embargo, no están obligados a procesar, ni presentarla conforme al interés del solicitante, resumirla, efectuar cálculos o generar nuevos documentos para atender una solicitud, es decir, que los Sujeto Obligados debe proporcionar la información que obre en sus archivos en el estado que se encuentre. </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En ese sentido, la </w:t>
      </w:r>
      <w:r w:rsidRPr="00B32EAD">
        <w:rPr>
          <w:rFonts w:ascii="Palatino Linotype" w:eastAsia="Palatino Linotype" w:hAnsi="Palatino Linotype" w:cs="Palatino Linotype"/>
          <w:b/>
          <w:color w:val="000000" w:themeColor="text1"/>
        </w:rPr>
        <w:t>Ley de Transparencia y Acceso a la Información Pública del Estado de México y Municipios</w:t>
      </w:r>
      <w:r w:rsidRPr="00B32EAD">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numerales que compelen al </w:t>
      </w:r>
      <w:r w:rsidRPr="00B32EAD">
        <w:rPr>
          <w:rFonts w:ascii="Palatino Linotype" w:eastAsia="Palatino Linotype" w:hAnsi="Palatino Linotype" w:cs="Palatino Linotype"/>
          <w:b/>
          <w:color w:val="000000" w:themeColor="text1"/>
        </w:rPr>
        <w:t>SUJETO OBLIGADO</w:t>
      </w:r>
      <w:r w:rsidRPr="00B32EAD">
        <w:rPr>
          <w:rFonts w:ascii="Palatino Linotype" w:eastAsia="Palatino Linotype" w:hAnsi="Palatino Linotype" w:cs="Palatino Linotype"/>
          <w:color w:val="000000" w:themeColor="text1"/>
        </w:rPr>
        <w:t xml:space="preserve"> a apegarse en todo momento a los criterios ya expuestos, </w:t>
      </w:r>
      <w:r w:rsidR="00B32EAD" w:rsidRPr="00B32EAD">
        <w:rPr>
          <w:rFonts w:ascii="Palatino Linotype" w:eastAsia="Palatino Linotype" w:hAnsi="Palatino Linotype" w:cs="Palatino Linotype"/>
          <w:color w:val="000000" w:themeColor="text1"/>
        </w:rPr>
        <w:t>impidiendo</w:t>
      </w:r>
      <w:r w:rsidRPr="00B32EAD">
        <w:rPr>
          <w:rFonts w:ascii="Palatino Linotype" w:eastAsia="Palatino Linotype" w:hAnsi="Palatino Linotype" w:cs="Palatino Linotype"/>
          <w:color w:val="000000" w:themeColor="text1"/>
        </w:rPr>
        <w:t xml:space="preserve"> a este Órgano Colegiado cuestionar la veracidad de la información. </w:t>
      </w:r>
    </w:p>
    <w:p w:rsidR="00875BB5" w:rsidRPr="00B32EAD" w:rsidRDefault="00875BB5" w:rsidP="00B32EAD">
      <w:pPr>
        <w:spacing w:line="360" w:lineRule="auto"/>
        <w:jc w:val="both"/>
        <w:rPr>
          <w:rFonts w:ascii="Palatino Linotype" w:eastAsia="Palatino Linotype" w:hAnsi="Palatino Linotype" w:cs="Palatino Linotype"/>
          <w:i/>
          <w:color w:val="000000" w:themeColor="text1"/>
        </w:rPr>
      </w:pPr>
    </w:p>
    <w:p w:rsidR="00875BB5" w:rsidRPr="00B32EAD" w:rsidRDefault="00471B29" w:rsidP="00B32EA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color w:val="000000" w:themeColor="text1"/>
        </w:rPr>
        <w:lastRenderedPageBreak/>
        <w:t xml:space="preserve">Por lo anteriormente expuesto, resulta evidente que el </w:t>
      </w:r>
      <w:r w:rsidRPr="00B32EAD">
        <w:rPr>
          <w:rFonts w:ascii="Palatino Linotype" w:eastAsia="Palatino Linotype" w:hAnsi="Palatino Linotype" w:cs="Palatino Linotype"/>
          <w:b/>
          <w:color w:val="000000" w:themeColor="text1"/>
        </w:rPr>
        <w:t>SUJETO OBLIGADO</w:t>
      </w:r>
      <w:r w:rsidRPr="00B32EAD">
        <w:rPr>
          <w:rFonts w:ascii="Palatino Linotype" w:eastAsia="Palatino Linotype" w:hAnsi="Palatino Linotype" w:cs="Palatino Linotype"/>
          <w:color w:val="000000" w:themeColor="text1"/>
        </w:rPr>
        <w:t xml:space="preserve"> proporcionó respuesta a la solicitud de información que le fue presentada. En esta tesitura se entiende que no se vulneró el derecho de acceso a la información del recurrente. </w:t>
      </w:r>
      <w:r w:rsidRPr="00B32EAD">
        <w:rPr>
          <w:rFonts w:ascii="Palatino Linotype" w:eastAsia="Palatino Linotype" w:hAnsi="Palatino Linotype" w:cs="Palatino Linotype"/>
          <w:color w:val="000000" w:themeColor="text1"/>
          <w:highlight w:val="white"/>
        </w:rPr>
        <w:t xml:space="preserve">Aunado a ello, como lo establece el artículo 166 de la multicitada Ley de Transparencia, el acceso a la información pública, se tendrá por cumplida cuando el solicitante tenga a su disposición la información requerida. </w:t>
      </w:r>
    </w:p>
    <w:p w:rsidR="00875BB5" w:rsidRPr="00B32EAD" w:rsidRDefault="00875BB5" w:rsidP="00B32EAD">
      <w:pPr>
        <w:spacing w:line="360" w:lineRule="auto"/>
        <w:jc w:val="both"/>
        <w:rPr>
          <w:rFonts w:ascii="Palatino Linotype" w:eastAsia="Palatino Linotype" w:hAnsi="Palatino Linotype" w:cs="Palatino Linotype"/>
          <w:i/>
          <w:color w:val="000000" w:themeColor="text1"/>
        </w:rPr>
      </w:pPr>
    </w:p>
    <w:p w:rsidR="00875BB5" w:rsidRPr="00B32EAD" w:rsidRDefault="00471B29" w:rsidP="00B32EA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32EAD">
        <w:rPr>
          <w:rFonts w:ascii="Palatino Linotype" w:eastAsia="Palatino Linotype" w:hAnsi="Palatino Linotype" w:cs="Palatino Linotype"/>
          <w:color w:val="000000" w:themeColor="text1"/>
        </w:rPr>
        <w:t xml:space="preserve">Atento a todo lo anteriormente señalado, resultan infundadas las razones o motivos de inconformidad hechos valer por el </w:t>
      </w:r>
      <w:r w:rsidRPr="00B32EAD">
        <w:rPr>
          <w:rFonts w:ascii="Palatino Linotype" w:eastAsia="Palatino Linotype" w:hAnsi="Palatino Linotype" w:cs="Palatino Linotype"/>
          <w:b/>
          <w:color w:val="000000" w:themeColor="text1"/>
        </w:rPr>
        <w:t>RECURRENTE, y</w:t>
      </w:r>
      <w:r w:rsidRPr="00B32EAD">
        <w:rPr>
          <w:rFonts w:ascii="Palatino Linotype" w:eastAsia="Palatino Linotype" w:hAnsi="Palatino Linotype" w:cs="Palatino Linotype"/>
          <w:color w:val="000000" w:themeColor="text1"/>
        </w:rPr>
        <w:t xml:space="preserve"> en términos del artículo 186 fracción II este Pleno determina procedente </w:t>
      </w:r>
      <w:r w:rsidRPr="00B32EAD">
        <w:rPr>
          <w:rFonts w:ascii="Palatino Linotype" w:eastAsia="Palatino Linotype" w:hAnsi="Palatino Linotype" w:cs="Palatino Linotype"/>
          <w:b/>
          <w:color w:val="000000" w:themeColor="text1"/>
        </w:rPr>
        <w:t>CONFIRMAR</w:t>
      </w:r>
      <w:r w:rsidRPr="00B32EAD">
        <w:rPr>
          <w:rFonts w:ascii="Palatino Linotype" w:eastAsia="Palatino Linotype" w:hAnsi="Palatino Linotype" w:cs="Palatino Linotype"/>
          <w:color w:val="000000" w:themeColor="text1"/>
        </w:rPr>
        <w:t xml:space="preserve"> la respuesta del presente recurso de revisión, toda vez que no hubo afectación al derecho de acceso a la información pública establecido constitucionalmente a favor del particular.</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color w:val="000000" w:themeColor="text1"/>
        </w:rPr>
        <w:t xml:space="preserve">Por lo anteriormente expuesto y fundado, este </w:t>
      </w:r>
      <w:r w:rsidRPr="00B32EAD">
        <w:rPr>
          <w:rFonts w:ascii="Palatino Linotype" w:eastAsia="Palatino Linotype" w:hAnsi="Palatino Linotype" w:cs="Palatino Linotype"/>
          <w:b/>
          <w:color w:val="000000" w:themeColor="text1"/>
        </w:rPr>
        <w:t>ÓRGANO GARANTE</w:t>
      </w:r>
      <w:r w:rsidRPr="00B32EAD">
        <w:rPr>
          <w:rFonts w:ascii="Palatino Linotype" w:eastAsia="Palatino Linotype" w:hAnsi="Palatino Linotype" w:cs="Palatino Linotype"/>
          <w:color w:val="000000" w:themeColor="text1"/>
        </w:rPr>
        <w:t xml:space="preserve"> emite los siguientes:</w:t>
      </w: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keepNext/>
        <w:keepLines/>
        <w:spacing w:line="360" w:lineRule="auto"/>
        <w:jc w:val="center"/>
        <w:rPr>
          <w:rFonts w:ascii="Palatino Linotype" w:eastAsia="Palatino Linotype" w:hAnsi="Palatino Linotype" w:cs="Palatino Linotype"/>
          <w:b/>
          <w:color w:val="000000" w:themeColor="text1"/>
        </w:rPr>
      </w:pPr>
      <w:bookmarkStart w:id="9" w:name="_heading=h.hynon25z2va3" w:colFirst="0" w:colLast="0"/>
      <w:bookmarkEnd w:id="9"/>
      <w:r w:rsidRPr="00B32EAD">
        <w:rPr>
          <w:rFonts w:ascii="Palatino Linotype" w:eastAsia="Palatino Linotype" w:hAnsi="Palatino Linotype" w:cs="Palatino Linotype"/>
          <w:b/>
          <w:color w:val="000000" w:themeColor="text1"/>
        </w:rPr>
        <w:t>R E S O L U T I V O S</w:t>
      </w:r>
    </w:p>
    <w:p w:rsidR="00875BB5" w:rsidRPr="00B32EAD" w:rsidRDefault="00875BB5" w:rsidP="00B32EAD">
      <w:pPr>
        <w:keepNext/>
        <w:keepLines/>
        <w:spacing w:line="360" w:lineRule="auto"/>
        <w:jc w:val="center"/>
        <w:rPr>
          <w:rFonts w:ascii="Palatino Linotype" w:eastAsia="Palatino Linotype" w:hAnsi="Palatino Linotype" w:cs="Palatino Linotype"/>
          <w:b/>
          <w:color w:val="000000" w:themeColor="text1"/>
        </w:rPr>
      </w:pPr>
    </w:p>
    <w:p w:rsidR="00875BB5" w:rsidRPr="00B32EAD" w:rsidRDefault="00471B29" w:rsidP="00B32EAD">
      <w:pPr>
        <w:spacing w:line="360" w:lineRule="auto"/>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b/>
          <w:color w:val="000000" w:themeColor="text1"/>
        </w:rPr>
        <w:t xml:space="preserve">PRIMERO. </w:t>
      </w:r>
      <w:r w:rsidRPr="00B32EAD">
        <w:rPr>
          <w:rFonts w:ascii="Palatino Linotype" w:eastAsia="Palatino Linotype" w:hAnsi="Palatino Linotype" w:cs="Palatino Linotype"/>
          <w:color w:val="000000" w:themeColor="text1"/>
        </w:rPr>
        <w:t>Resultan infundadas las</w:t>
      </w:r>
      <w:r w:rsidRPr="00B32EAD">
        <w:rPr>
          <w:rFonts w:ascii="Palatino Linotype" w:eastAsia="Palatino Linotype" w:hAnsi="Palatino Linotype" w:cs="Palatino Linotype"/>
          <w:b/>
          <w:color w:val="000000" w:themeColor="text1"/>
        </w:rPr>
        <w:t xml:space="preserve"> </w:t>
      </w:r>
      <w:r w:rsidRPr="00B32EAD">
        <w:rPr>
          <w:rFonts w:ascii="Palatino Linotype" w:eastAsia="Palatino Linotype" w:hAnsi="Palatino Linotype" w:cs="Palatino Linotype"/>
          <w:color w:val="000000" w:themeColor="text1"/>
        </w:rPr>
        <w:t xml:space="preserve">razones o motivos de inconformidad hechos valer en el recurso de revisión </w:t>
      </w:r>
      <w:r w:rsidRPr="00B32EAD">
        <w:rPr>
          <w:rFonts w:ascii="Palatino Linotype" w:eastAsia="Palatino Linotype" w:hAnsi="Palatino Linotype" w:cs="Palatino Linotype"/>
          <w:b/>
          <w:color w:val="000000" w:themeColor="text1"/>
        </w:rPr>
        <w:t xml:space="preserve">07598/INFOEM/IP/RR/2025, </w:t>
      </w:r>
      <w:r w:rsidRPr="00B32EAD">
        <w:rPr>
          <w:rFonts w:ascii="Palatino Linotype" w:eastAsia="Palatino Linotype" w:hAnsi="Palatino Linotype" w:cs="Palatino Linotype"/>
          <w:color w:val="000000" w:themeColor="text1"/>
        </w:rPr>
        <w:t xml:space="preserve">en términos del </w:t>
      </w:r>
      <w:r w:rsidRPr="00B32EAD">
        <w:rPr>
          <w:rFonts w:ascii="Palatino Linotype" w:eastAsia="Palatino Linotype" w:hAnsi="Palatino Linotype" w:cs="Palatino Linotype"/>
          <w:b/>
          <w:color w:val="000000" w:themeColor="text1"/>
        </w:rPr>
        <w:t>Considerando</w:t>
      </w:r>
      <w:r w:rsidRPr="00B32EAD">
        <w:rPr>
          <w:rFonts w:ascii="Palatino Linotype" w:eastAsia="Palatino Linotype" w:hAnsi="Palatino Linotype" w:cs="Palatino Linotype"/>
          <w:color w:val="000000" w:themeColor="text1"/>
        </w:rPr>
        <w:t xml:space="preserve"> </w:t>
      </w:r>
      <w:r w:rsidRPr="00B32EAD">
        <w:rPr>
          <w:rFonts w:ascii="Palatino Linotype" w:eastAsia="Palatino Linotype" w:hAnsi="Palatino Linotype" w:cs="Palatino Linotype"/>
          <w:b/>
          <w:color w:val="000000" w:themeColor="text1"/>
        </w:rPr>
        <w:t>CUARTO</w:t>
      </w:r>
      <w:r w:rsidRPr="00B32EAD">
        <w:rPr>
          <w:rFonts w:ascii="Palatino Linotype" w:eastAsia="Palatino Linotype" w:hAnsi="Palatino Linotype" w:cs="Palatino Linotype"/>
          <w:color w:val="000000" w:themeColor="text1"/>
        </w:rPr>
        <w:t xml:space="preserve"> de la presente resolución.</w:t>
      </w:r>
    </w:p>
    <w:p w:rsidR="00875BB5" w:rsidRPr="00B32EAD" w:rsidRDefault="00875BB5" w:rsidP="00B32EAD">
      <w:pPr>
        <w:spacing w:line="360" w:lineRule="auto"/>
        <w:jc w:val="both"/>
        <w:rPr>
          <w:rFonts w:ascii="Palatino Linotype" w:eastAsia="Palatino Linotype" w:hAnsi="Palatino Linotype" w:cs="Palatino Linotype"/>
          <w:color w:val="000000" w:themeColor="text1"/>
        </w:rPr>
      </w:pPr>
    </w:p>
    <w:p w:rsidR="00875BB5" w:rsidRPr="00B32EAD" w:rsidRDefault="00471B29" w:rsidP="00B32EAD">
      <w:pPr>
        <w:spacing w:line="360" w:lineRule="auto"/>
        <w:jc w:val="both"/>
        <w:rPr>
          <w:rFonts w:ascii="Palatino Linotype" w:eastAsia="Palatino Linotype" w:hAnsi="Palatino Linotype" w:cs="Palatino Linotype"/>
          <w:color w:val="000000" w:themeColor="text1"/>
        </w:rPr>
      </w:pPr>
      <w:bookmarkStart w:id="10" w:name="_heading=h.fx6achi8bkcu" w:colFirst="0" w:colLast="0"/>
      <w:bookmarkEnd w:id="10"/>
      <w:r w:rsidRPr="00B32EAD">
        <w:rPr>
          <w:rFonts w:ascii="Palatino Linotype" w:eastAsia="Palatino Linotype" w:hAnsi="Palatino Linotype" w:cs="Palatino Linotype"/>
          <w:b/>
          <w:color w:val="000000" w:themeColor="text1"/>
        </w:rPr>
        <w:t xml:space="preserve">SEGUNDO. </w:t>
      </w:r>
      <w:r w:rsidRPr="00B32EAD">
        <w:rPr>
          <w:rFonts w:ascii="Palatino Linotype" w:eastAsia="Palatino Linotype" w:hAnsi="Palatino Linotype" w:cs="Palatino Linotype"/>
          <w:color w:val="000000" w:themeColor="text1"/>
        </w:rPr>
        <w:t>Se</w:t>
      </w:r>
      <w:r w:rsidRPr="00B32EAD">
        <w:rPr>
          <w:rFonts w:ascii="Palatino Linotype" w:eastAsia="Palatino Linotype" w:hAnsi="Palatino Linotype" w:cs="Palatino Linotype"/>
          <w:b/>
          <w:color w:val="000000" w:themeColor="text1"/>
        </w:rPr>
        <w:t xml:space="preserve"> CONFIRMA </w:t>
      </w:r>
      <w:r w:rsidRPr="00B32EAD">
        <w:rPr>
          <w:rFonts w:ascii="Palatino Linotype" w:eastAsia="Palatino Linotype" w:hAnsi="Palatino Linotype" w:cs="Palatino Linotype"/>
          <w:color w:val="000000" w:themeColor="text1"/>
        </w:rPr>
        <w:t xml:space="preserve">la respuesta emitida por el </w:t>
      </w:r>
      <w:r w:rsidRPr="00B32EAD">
        <w:rPr>
          <w:rFonts w:ascii="Palatino Linotype" w:eastAsia="Palatino Linotype" w:hAnsi="Palatino Linotype" w:cs="Palatino Linotype"/>
          <w:b/>
          <w:color w:val="000000" w:themeColor="text1"/>
        </w:rPr>
        <w:t xml:space="preserve">Ayuntamiento de Atlacomulco </w:t>
      </w:r>
      <w:r w:rsidRPr="00B32EAD">
        <w:rPr>
          <w:rFonts w:ascii="Palatino Linotype" w:eastAsia="Palatino Linotype" w:hAnsi="Palatino Linotype" w:cs="Palatino Linotype"/>
          <w:color w:val="000000" w:themeColor="text1"/>
        </w:rPr>
        <w:t xml:space="preserve">a la solicitud </w:t>
      </w:r>
      <w:r w:rsidRPr="00B32EAD">
        <w:rPr>
          <w:rFonts w:ascii="Palatino Linotype" w:eastAsia="Palatino Linotype" w:hAnsi="Palatino Linotype" w:cs="Palatino Linotype"/>
          <w:b/>
          <w:color w:val="000000" w:themeColor="text1"/>
        </w:rPr>
        <w:t>00353/ATLACOM/IP/2025.</w:t>
      </w:r>
      <w:r w:rsidRPr="00B32EAD">
        <w:rPr>
          <w:rFonts w:ascii="Palatino Linotype" w:eastAsia="Palatino Linotype" w:hAnsi="Palatino Linotype" w:cs="Palatino Linotype"/>
          <w:color w:val="000000" w:themeColor="text1"/>
        </w:rPr>
        <w:t xml:space="preserve"> </w:t>
      </w:r>
    </w:p>
    <w:p w:rsidR="00875BB5" w:rsidRPr="00B32EAD" w:rsidRDefault="00875BB5" w:rsidP="00B32EAD">
      <w:pPr>
        <w:spacing w:line="360" w:lineRule="auto"/>
        <w:jc w:val="both"/>
        <w:rPr>
          <w:rFonts w:ascii="Palatino Linotype" w:eastAsia="Palatino Linotype" w:hAnsi="Palatino Linotype" w:cs="Palatino Linotype"/>
          <w:color w:val="000000" w:themeColor="text1"/>
        </w:rPr>
      </w:pPr>
    </w:p>
    <w:p w:rsidR="00875BB5" w:rsidRPr="00B32EAD" w:rsidRDefault="00B32EAD" w:rsidP="00B32EAD">
      <w:pPr>
        <w:tabs>
          <w:tab w:val="left" w:pos="8080"/>
        </w:tabs>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lastRenderedPageBreak/>
        <w:t>TERCERO. NOTIFÍQUESE</w:t>
      </w:r>
      <w:r w:rsidR="00471B29" w:rsidRPr="00B32EAD">
        <w:rPr>
          <w:rFonts w:ascii="Palatino Linotype" w:eastAsia="Palatino Linotype" w:hAnsi="Palatino Linotype" w:cs="Palatino Linotype"/>
          <w:b/>
          <w:color w:val="000000" w:themeColor="text1"/>
        </w:rPr>
        <w:t xml:space="preserve">, </w:t>
      </w:r>
      <w:r w:rsidR="00471B29" w:rsidRPr="00B32EAD">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471B29" w:rsidRPr="00B32EAD">
        <w:rPr>
          <w:rFonts w:ascii="Palatino Linotype" w:eastAsia="Palatino Linotype" w:hAnsi="Palatino Linotype" w:cs="Palatino Linotype"/>
          <w:b/>
          <w:color w:val="000000" w:themeColor="text1"/>
        </w:rPr>
        <w:t>SUJETO OBLIGADO.</w:t>
      </w:r>
    </w:p>
    <w:p w:rsidR="00875BB5" w:rsidRPr="00B32EAD" w:rsidRDefault="00875BB5" w:rsidP="00B32EAD">
      <w:pPr>
        <w:tabs>
          <w:tab w:val="left" w:pos="8080"/>
        </w:tabs>
        <w:spacing w:line="360" w:lineRule="auto"/>
        <w:jc w:val="both"/>
        <w:rPr>
          <w:rFonts w:ascii="Palatino Linotype" w:eastAsia="Palatino Linotype" w:hAnsi="Palatino Linotype" w:cs="Palatino Linotype"/>
          <w:b/>
          <w:color w:val="000000" w:themeColor="text1"/>
        </w:rPr>
      </w:pPr>
    </w:p>
    <w:p w:rsidR="00875BB5" w:rsidRPr="00B32EAD" w:rsidRDefault="00471B29" w:rsidP="00B32EAD">
      <w:pPr>
        <w:shd w:val="clear" w:color="auto" w:fill="FFFFFF"/>
        <w:spacing w:line="360" w:lineRule="auto"/>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b/>
          <w:color w:val="000000" w:themeColor="text1"/>
        </w:rPr>
        <w:t xml:space="preserve">CUARTO. Notifíquese al RECURRENTE </w:t>
      </w:r>
      <w:r w:rsidRPr="00B32EAD">
        <w:rPr>
          <w:rFonts w:ascii="Palatino Linotype" w:eastAsia="Palatino Linotype" w:hAnsi="Palatino Linotype" w:cs="Palatino Linotype"/>
          <w:color w:val="000000" w:themeColor="text1"/>
        </w:rPr>
        <w:t xml:space="preserve">la presente resolución vía SAIMEX. </w:t>
      </w:r>
    </w:p>
    <w:p w:rsidR="00875BB5" w:rsidRPr="00B32EAD" w:rsidRDefault="00471B29" w:rsidP="00B32EAD">
      <w:pPr>
        <w:spacing w:before="240" w:after="240" w:line="360" w:lineRule="auto"/>
        <w:jc w:val="both"/>
        <w:rPr>
          <w:rFonts w:ascii="Palatino Linotype" w:eastAsia="Palatino Linotype" w:hAnsi="Palatino Linotype" w:cs="Palatino Linotype"/>
          <w:color w:val="000000" w:themeColor="text1"/>
        </w:rPr>
      </w:pPr>
      <w:r w:rsidRPr="00B32EAD">
        <w:rPr>
          <w:rFonts w:ascii="Palatino Linotype" w:eastAsia="Palatino Linotype" w:hAnsi="Palatino Linotype" w:cs="Palatino Linotype"/>
          <w:b/>
          <w:color w:val="000000" w:themeColor="text1"/>
        </w:rPr>
        <w:t>QUINTO.</w:t>
      </w:r>
      <w:r w:rsidRPr="00B32EAD">
        <w:rPr>
          <w:rFonts w:ascii="Palatino Linotype" w:eastAsia="Palatino Linotype" w:hAnsi="Palatino Linotype" w:cs="Palatino Linotype"/>
          <w:color w:val="000000" w:themeColor="text1"/>
        </w:rPr>
        <w:t xml:space="preserve"> Se hace del conocimiento del </w:t>
      </w:r>
      <w:r w:rsidRPr="00B32EAD">
        <w:rPr>
          <w:rFonts w:ascii="Palatino Linotype" w:eastAsia="Palatino Linotype" w:hAnsi="Palatino Linotype" w:cs="Palatino Linotype"/>
          <w:b/>
          <w:color w:val="000000" w:themeColor="text1"/>
        </w:rPr>
        <w:t xml:space="preserve">RECURRENTE </w:t>
      </w:r>
      <w:r w:rsidRPr="00B32EAD">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20DF7" w:rsidRPr="00444783" w:rsidRDefault="00C20DF7" w:rsidP="00C20DF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875BB5" w:rsidRPr="00B32EAD" w:rsidRDefault="00875BB5" w:rsidP="00B32EAD">
      <w:pPr>
        <w:pBdr>
          <w:top w:val="nil"/>
          <w:left w:val="nil"/>
          <w:bottom w:val="nil"/>
          <w:right w:val="nil"/>
          <w:between w:val="nil"/>
        </w:pBdr>
        <w:rPr>
          <w:rFonts w:ascii="Palatino Linotype" w:eastAsia="Palatino Linotype" w:hAnsi="Palatino Linotype" w:cs="Palatino Linotype"/>
          <w:color w:val="000000" w:themeColor="text1"/>
        </w:rPr>
      </w:pP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875BB5" w:rsidP="00B32E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5BB5" w:rsidRPr="00B32EAD" w:rsidRDefault="00875BB5" w:rsidP="00B32EAD">
      <w:pPr>
        <w:rPr>
          <w:rFonts w:ascii="Palatino Linotype" w:eastAsia="Palatino Linotype" w:hAnsi="Palatino Linotype" w:cs="Palatino Linotype"/>
          <w:color w:val="000000" w:themeColor="text1"/>
        </w:rPr>
      </w:pPr>
    </w:p>
    <w:p w:rsidR="00875BB5" w:rsidRPr="00B32EAD" w:rsidRDefault="00875BB5" w:rsidP="00B32EAD">
      <w:pPr>
        <w:rPr>
          <w:rFonts w:ascii="Palatino Linotype" w:eastAsia="Palatino Linotype" w:hAnsi="Palatino Linotype" w:cs="Palatino Linotype"/>
          <w:color w:val="000000" w:themeColor="text1"/>
        </w:rPr>
      </w:pPr>
    </w:p>
    <w:p w:rsidR="00875BB5" w:rsidRPr="00B32EAD" w:rsidRDefault="00875BB5" w:rsidP="00B32EAD">
      <w:pPr>
        <w:rPr>
          <w:rFonts w:ascii="Palatino Linotype" w:eastAsia="Palatino Linotype" w:hAnsi="Palatino Linotype" w:cs="Palatino Linotype"/>
          <w:color w:val="000000" w:themeColor="text1"/>
        </w:rPr>
      </w:pPr>
    </w:p>
    <w:p w:rsidR="00875BB5" w:rsidRPr="00B32EAD" w:rsidRDefault="00875BB5" w:rsidP="00B32EAD">
      <w:pPr>
        <w:rPr>
          <w:rFonts w:ascii="Palatino Linotype" w:eastAsia="Palatino Linotype" w:hAnsi="Palatino Linotype" w:cs="Palatino Linotype"/>
          <w:color w:val="000000" w:themeColor="text1"/>
        </w:rPr>
      </w:pPr>
    </w:p>
    <w:p w:rsidR="00875BB5" w:rsidRPr="00B32EAD" w:rsidRDefault="00875BB5" w:rsidP="00B32EAD">
      <w:pPr>
        <w:rPr>
          <w:rFonts w:ascii="Palatino Linotype" w:eastAsia="Palatino Linotype" w:hAnsi="Palatino Linotype" w:cs="Palatino Linotype"/>
          <w:color w:val="000000" w:themeColor="text1"/>
        </w:rPr>
      </w:pPr>
    </w:p>
    <w:p w:rsidR="00875BB5" w:rsidRPr="00B32EAD" w:rsidRDefault="00875BB5" w:rsidP="00B32EAD">
      <w:pPr>
        <w:rPr>
          <w:rFonts w:ascii="Palatino Linotype" w:eastAsia="Palatino Linotype" w:hAnsi="Palatino Linotype" w:cs="Palatino Linotype"/>
          <w:color w:val="000000" w:themeColor="text1"/>
        </w:rPr>
      </w:pPr>
    </w:p>
    <w:p w:rsidR="00875BB5" w:rsidRPr="00B32EAD" w:rsidRDefault="00875BB5" w:rsidP="00B32EAD">
      <w:pPr>
        <w:rPr>
          <w:rFonts w:ascii="Palatino Linotype" w:eastAsia="Palatino Linotype" w:hAnsi="Palatino Linotype" w:cs="Palatino Linotype"/>
          <w:color w:val="000000" w:themeColor="text1"/>
        </w:rPr>
      </w:pPr>
    </w:p>
    <w:p w:rsidR="00875BB5" w:rsidRPr="00B32EAD" w:rsidRDefault="00875BB5" w:rsidP="00B32EAD">
      <w:pPr>
        <w:rPr>
          <w:rFonts w:ascii="Palatino Linotype" w:hAnsi="Palatino Linotype"/>
          <w:color w:val="000000" w:themeColor="text1"/>
        </w:rPr>
      </w:pPr>
    </w:p>
    <w:p w:rsidR="00875BB5" w:rsidRPr="00B32EAD" w:rsidRDefault="00875BB5" w:rsidP="00B32EAD">
      <w:pPr>
        <w:rPr>
          <w:rFonts w:ascii="Palatino Linotype" w:hAnsi="Palatino Linotype"/>
          <w:color w:val="000000" w:themeColor="text1"/>
        </w:rPr>
      </w:pPr>
    </w:p>
    <w:p w:rsidR="00875BB5" w:rsidRPr="00B32EAD" w:rsidRDefault="00875BB5" w:rsidP="00B32EAD">
      <w:pPr>
        <w:rPr>
          <w:rFonts w:ascii="Palatino Linotype" w:hAnsi="Palatino Linotype"/>
          <w:color w:val="000000" w:themeColor="text1"/>
        </w:rPr>
      </w:pPr>
    </w:p>
    <w:p w:rsidR="00875BB5" w:rsidRDefault="00875BB5" w:rsidP="00B32EAD">
      <w:pPr>
        <w:rPr>
          <w:rFonts w:ascii="Palatino Linotype" w:hAnsi="Palatino Linotype"/>
          <w:color w:val="000000" w:themeColor="text1"/>
        </w:rPr>
      </w:pPr>
    </w:p>
    <w:p w:rsidR="00B32EAD" w:rsidRDefault="00B32EAD" w:rsidP="00B32EAD">
      <w:pPr>
        <w:rPr>
          <w:rFonts w:ascii="Palatino Linotype" w:hAnsi="Palatino Linotype"/>
          <w:color w:val="000000" w:themeColor="text1"/>
        </w:rPr>
      </w:pPr>
    </w:p>
    <w:p w:rsidR="00B32EAD" w:rsidRDefault="00B32EAD" w:rsidP="00B32EAD">
      <w:pPr>
        <w:rPr>
          <w:rFonts w:ascii="Palatino Linotype" w:hAnsi="Palatino Linotype"/>
          <w:color w:val="000000" w:themeColor="text1"/>
        </w:rPr>
      </w:pPr>
    </w:p>
    <w:p w:rsidR="00B32EAD" w:rsidRDefault="00B32EAD" w:rsidP="00B32EAD">
      <w:pPr>
        <w:rPr>
          <w:rFonts w:ascii="Palatino Linotype" w:hAnsi="Palatino Linotype"/>
          <w:color w:val="000000" w:themeColor="text1"/>
        </w:rPr>
      </w:pPr>
    </w:p>
    <w:p w:rsidR="00B32EAD" w:rsidRDefault="00B32EAD" w:rsidP="00B32EAD">
      <w:pPr>
        <w:rPr>
          <w:rFonts w:ascii="Palatino Linotype" w:hAnsi="Palatino Linotype"/>
          <w:color w:val="000000" w:themeColor="text1"/>
        </w:rPr>
      </w:pPr>
    </w:p>
    <w:p w:rsidR="00B32EAD" w:rsidRDefault="00B32EAD" w:rsidP="00B32EAD">
      <w:pPr>
        <w:rPr>
          <w:rFonts w:ascii="Palatino Linotype" w:hAnsi="Palatino Linotype"/>
          <w:color w:val="000000" w:themeColor="text1"/>
        </w:rPr>
      </w:pPr>
    </w:p>
    <w:p w:rsidR="00B32EAD" w:rsidRDefault="00B32EAD" w:rsidP="00B32EAD">
      <w:pPr>
        <w:rPr>
          <w:rFonts w:ascii="Palatino Linotype" w:hAnsi="Palatino Linotype"/>
          <w:color w:val="000000" w:themeColor="text1"/>
        </w:rPr>
      </w:pPr>
    </w:p>
    <w:p w:rsidR="00B32EAD" w:rsidRPr="00B32EAD" w:rsidRDefault="00B32EAD" w:rsidP="00B32EAD">
      <w:pPr>
        <w:rPr>
          <w:rFonts w:ascii="Palatino Linotype" w:hAnsi="Palatino Linotype"/>
          <w:color w:val="000000" w:themeColor="text1"/>
        </w:rPr>
      </w:pPr>
    </w:p>
    <w:p w:rsidR="00875BB5" w:rsidRPr="00B32EAD" w:rsidRDefault="00875BB5" w:rsidP="00B32EAD">
      <w:pPr>
        <w:rPr>
          <w:rFonts w:ascii="Palatino Linotype" w:hAnsi="Palatino Linotype"/>
          <w:color w:val="000000" w:themeColor="text1"/>
        </w:rPr>
      </w:pPr>
    </w:p>
    <w:p w:rsidR="00875BB5" w:rsidRPr="00B32EAD" w:rsidRDefault="00875BB5" w:rsidP="00B32EAD">
      <w:pPr>
        <w:rPr>
          <w:rFonts w:ascii="Palatino Linotype" w:hAnsi="Palatino Linotype"/>
          <w:color w:val="000000" w:themeColor="text1"/>
        </w:rPr>
      </w:pPr>
    </w:p>
    <w:p w:rsidR="00875BB5" w:rsidRPr="00B32EAD" w:rsidRDefault="00875BB5" w:rsidP="00B32EAD">
      <w:pPr>
        <w:rPr>
          <w:rFonts w:ascii="Palatino Linotype" w:hAnsi="Palatino Linotype"/>
          <w:color w:val="000000" w:themeColor="text1"/>
        </w:rPr>
      </w:pPr>
    </w:p>
    <w:p w:rsidR="00875BB5" w:rsidRPr="00B32EAD" w:rsidRDefault="00875BB5" w:rsidP="00B32EAD">
      <w:pPr>
        <w:rPr>
          <w:rFonts w:ascii="Palatino Linotype" w:hAnsi="Palatino Linotype"/>
          <w:color w:val="000000" w:themeColor="text1"/>
        </w:rPr>
      </w:pPr>
    </w:p>
    <w:p w:rsidR="00875BB5" w:rsidRPr="00B32EAD" w:rsidRDefault="00875BB5" w:rsidP="00B32EAD">
      <w:pPr>
        <w:rPr>
          <w:rFonts w:ascii="Palatino Linotype" w:hAnsi="Palatino Linotype"/>
          <w:color w:val="000000" w:themeColor="text1"/>
        </w:rPr>
      </w:pPr>
    </w:p>
    <w:sectPr w:rsidR="00875BB5" w:rsidRPr="00B32EAD" w:rsidSect="001B4C60">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E9F" w:rsidRDefault="000B4E9F">
      <w:r>
        <w:separator/>
      </w:r>
    </w:p>
  </w:endnote>
  <w:endnote w:type="continuationSeparator" w:id="0">
    <w:p w:rsidR="000B4E9F" w:rsidRDefault="000B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BB5" w:rsidRDefault="00471B2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B305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B3054">
      <w:rPr>
        <w:b/>
        <w:noProof/>
        <w:color w:val="000000"/>
      </w:rPr>
      <w:t>16</w:t>
    </w:r>
    <w:r>
      <w:rPr>
        <w:b/>
        <w:color w:val="000000"/>
      </w:rPr>
      <w:fldChar w:fldCharType="end"/>
    </w:r>
  </w:p>
  <w:p w:rsidR="00875BB5" w:rsidRDefault="00875BB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BB5" w:rsidRDefault="00471B2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B305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B3054">
      <w:rPr>
        <w:b/>
        <w:noProof/>
        <w:color w:val="000000"/>
      </w:rPr>
      <w:t>16</w:t>
    </w:r>
    <w:r>
      <w:rPr>
        <w:b/>
        <w:color w:val="000000"/>
      </w:rPr>
      <w:fldChar w:fldCharType="end"/>
    </w:r>
  </w:p>
  <w:p w:rsidR="00875BB5" w:rsidRDefault="00875BB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E9F" w:rsidRDefault="000B4E9F">
      <w:r>
        <w:separator/>
      </w:r>
    </w:p>
  </w:footnote>
  <w:footnote w:type="continuationSeparator" w:id="0">
    <w:p w:rsidR="000B4E9F" w:rsidRDefault="000B4E9F">
      <w:r>
        <w:continuationSeparator/>
      </w:r>
    </w:p>
  </w:footnote>
  <w:footnote w:id="1">
    <w:p w:rsidR="00875BB5" w:rsidRDefault="00471B2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875BB5" w:rsidRDefault="00471B2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875BB5" w:rsidRDefault="00471B2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BB5" w:rsidRDefault="000B4E9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065" w:type="dxa"/>
      <w:tblInd w:w="0" w:type="dxa"/>
      <w:tblLayout w:type="fixed"/>
      <w:tblLook w:val="0400" w:firstRow="0" w:lastRow="0" w:firstColumn="0" w:lastColumn="0" w:noHBand="0" w:noVBand="1"/>
    </w:tblPr>
    <w:tblGrid>
      <w:gridCol w:w="2268"/>
      <w:gridCol w:w="7797"/>
    </w:tblGrid>
    <w:tr w:rsidR="00875BB5" w:rsidTr="001B4C60">
      <w:trPr>
        <w:trHeight w:val="1435"/>
      </w:trPr>
      <w:tc>
        <w:tcPr>
          <w:tcW w:w="2268" w:type="dxa"/>
          <w:shd w:val="clear" w:color="auto" w:fill="auto"/>
        </w:tcPr>
        <w:p w:rsidR="00875BB5" w:rsidRDefault="00875BB5">
          <w:pPr>
            <w:tabs>
              <w:tab w:val="right" w:pos="4273"/>
            </w:tabs>
            <w:rPr>
              <w:rFonts w:ascii="Garamond" w:eastAsia="Garamond" w:hAnsi="Garamond" w:cs="Garamond"/>
              <w:sz w:val="16"/>
              <w:szCs w:val="16"/>
            </w:rPr>
          </w:pPr>
        </w:p>
      </w:tc>
      <w:tc>
        <w:tcPr>
          <w:tcW w:w="7797" w:type="dxa"/>
          <w:shd w:val="clear" w:color="auto" w:fill="auto"/>
        </w:tcPr>
        <w:tbl>
          <w:tblPr>
            <w:tblStyle w:val="a1"/>
            <w:tblW w:w="6933" w:type="dxa"/>
            <w:tblInd w:w="1303" w:type="dxa"/>
            <w:tblLayout w:type="fixed"/>
            <w:tblLook w:val="0400" w:firstRow="0" w:lastRow="0" w:firstColumn="0" w:lastColumn="0" w:noHBand="0" w:noVBand="1"/>
          </w:tblPr>
          <w:tblGrid>
            <w:gridCol w:w="2822"/>
            <w:gridCol w:w="4111"/>
          </w:tblGrid>
          <w:tr w:rsidR="00875BB5" w:rsidTr="001B4C60">
            <w:trPr>
              <w:trHeight w:val="150"/>
            </w:trPr>
            <w:tc>
              <w:tcPr>
                <w:tcW w:w="2822" w:type="dxa"/>
                <w:shd w:val="clear" w:color="auto" w:fill="auto"/>
              </w:tcPr>
              <w:p w:rsidR="00875BB5" w:rsidRPr="00B32EAD" w:rsidRDefault="00471B29" w:rsidP="00B32EAD">
                <w:pPr>
                  <w:tabs>
                    <w:tab w:val="right" w:pos="8838"/>
                  </w:tabs>
                  <w:ind w:right="-105"/>
                  <w:rPr>
                    <w:rFonts w:ascii="Palatino Linotype" w:eastAsia="Palatino Linotype" w:hAnsi="Palatino Linotype" w:cs="Palatino Linotype"/>
                    <w:b/>
                  </w:rPr>
                </w:pPr>
                <w:r w:rsidRPr="00B32EAD">
                  <w:rPr>
                    <w:rFonts w:ascii="Palatino Linotype" w:eastAsia="Palatino Linotype" w:hAnsi="Palatino Linotype" w:cs="Palatino Linotype"/>
                    <w:b/>
                  </w:rPr>
                  <w:t>Recurso de Revisión:</w:t>
                </w:r>
              </w:p>
            </w:tc>
            <w:tc>
              <w:tcPr>
                <w:tcW w:w="4111" w:type="dxa"/>
                <w:shd w:val="clear" w:color="auto" w:fill="auto"/>
              </w:tcPr>
              <w:p w:rsidR="00875BB5" w:rsidRPr="00B32EAD" w:rsidRDefault="00471B29" w:rsidP="00B32EAD">
                <w:pPr>
                  <w:tabs>
                    <w:tab w:val="right" w:pos="8838"/>
                  </w:tabs>
                  <w:ind w:left="-108" w:right="-102"/>
                  <w:jc w:val="both"/>
                  <w:rPr>
                    <w:rFonts w:ascii="Palatino Linotype" w:eastAsia="Palatino Linotype" w:hAnsi="Palatino Linotype" w:cs="Palatino Linotype"/>
                  </w:rPr>
                </w:pPr>
                <w:r w:rsidRPr="00B32EAD">
                  <w:rPr>
                    <w:rFonts w:ascii="Palatino Linotype" w:eastAsia="Palatino Linotype" w:hAnsi="Palatino Linotype" w:cs="Palatino Linotype"/>
                  </w:rPr>
                  <w:t>07598/INFOEM/IP/RR/2025</w:t>
                </w:r>
              </w:p>
            </w:tc>
          </w:tr>
          <w:tr w:rsidR="00875BB5" w:rsidTr="001B4C60">
            <w:trPr>
              <w:trHeight w:val="295"/>
            </w:trPr>
            <w:tc>
              <w:tcPr>
                <w:tcW w:w="2822" w:type="dxa"/>
                <w:shd w:val="clear" w:color="auto" w:fill="auto"/>
              </w:tcPr>
              <w:p w:rsidR="00875BB5" w:rsidRPr="00B32EAD" w:rsidRDefault="00471B29" w:rsidP="00B32EAD">
                <w:pPr>
                  <w:tabs>
                    <w:tab w:val="right" w:pos="8838"/>
                  </w:tabs>
                  <w:ind w:right="-105"/>
                  <w:rPr>
                    <w:rFonts w:ascii="Palatino Linotype" w:eastAsia="Palatino Linotype" w:hAnsi="Palatino Linotype" w:cs="Palatino Linotype"/>
                    <w:b/>
                  </w:rPr>
                </w:pPr>
                <w:r w:rsidRPr="00B32EAD">
                  <w:rPr>
                    <w:rFonts w:ascii="Palatino Linotype" w:eastAsia="Palatino Linotype" w:hAnsi="Palatino Linotype" w:cs="Palatino Linotype"/>
                    <w:b/>
                  </w:rPr>
                  <w:t>Sujeto Obligado:</w:t>
                </w:r>
              </w:p>
            </w:tc>
            <w:tc>
              <w:tcPr>
                <w:tcW w:w="4111" w:type="dxa"/>
                <w:shd w:val="clear" w:color="auto" w:fill="auto"/>
              </w:tcPr>
              <w:p w:rsidR="00875BB5" w:rsidRPr="00B32EAD" w:rsidRDefault="00471B29" w:rsidP="00B32EAD">
                <w:pPr>
                  <w:tabs>
                    <w:tab w:val="left" w:pos="2834"/>
                    <w:tab w:val="right" w:pos="8838"/>
                  </w:tabs>
                  <w:ind w:left="-108" w:right="-102"/>
                  <w:jc w:val="both"/>
                  <w:rPr>
                    <w:rFonts w:ascii="Palatino Linotype" w:eastAsia="Palatino Linotype" w:hAnsi="Palatino Linotype" w:cs="Palatino Linotype"/>
                  </w:rPr>
                </w:pPr>
                <w:r w:rsidRPr="00B32EAD">
                  <w:rPr>
                    <w:rFonts w:ascii="Palatino Linotype" w:eastAsia="Palatino Linotype" w:hAnsi="Palatino Linotype" w:cs="Palatino Linotype"/>
                  </w:rPr>
                  <w:t>Ayuntamiento de Atlacomulco</w:t>
                </w:r>
              </w:p>
            </w:tc>
          </w:tr>
          <w:tr w:rsidR="00875BB5" w:rsidTr="001B4C60">
            <w:trPr>
              <w:trHeight w:val="295"/>
            </w:trPr>
            <w:tc>
              <w:tcPr>
                <w:tcW w:w="2822" w:type="dxa"/>
                <w:shd w:val="clear" w:color="auto" w:fill="auto"/>
              </w:tcPr>
              <w:p w:rsidR="00875BB5" w:rsidRPr="00B32EAD" w:rsidRDefault="00471B29" w:rsidP="00B32EAD">
                <w:pPr>
                  <w:tabs>
                    <w:tab w:val="right" w:pos="8838"/>
                  </w:tabs>
                  <w:ind w:right="-105"/>
                  <w:rPr>
                    <w:rFonts w:ascii="Palatino Linotype" w:eastAsia="Palatino Linotype" w:hAnsi="Palatino Linotype" w:cs="Palatino Linotype"/>
                    <w:b/>
                  </w:rPr>
                </w:pPr>
                <w:r w:rsidRPr="00B32EAD">
                  <w:rPr>
                    <w:rFonts w:ascii="Palatino Linotype" w:eastAsia="Palatino Linotype" w:hAnsi="Palatino Linotype" w:cs="Palatino Linotype"/>
                    <w:b/>
                  </w:rPr>
                  <w:t>Comisionado ponente:</w:t>
                </w:r>
              </w:p>
            </w:tc>
            <w:tc>
              <w:tcPr>
                <w:tcW w:w="4111" w:type="dxa"/>
                <w:shd w:val="clear" w:color="auto" w:fill="auto"/>
              </w:tcPr>
              <w:p w:rsidR="00875BB5" w:rsidRPr="00B32EAD" w:rsidRDefault="00471B29" w:rsidP="00B32EAD">
                <w:pPr>
                  <w:tabs>
                    <w:tab w:val="right" w:pos="8838"/>
                  </w:tabs>
                  <w:ind w:left="-108" w:right="171"/>
                  <w:jc w:val="both"/>
                  <w:rPr>
                    <w:rFonts w:ascii="Palatino Linotype" w:eastAsia="Palatino Linotype" w:hAnsi="Palatino Linotype" w:cs="Palatino Linotype"/>
                  </w:rPr>
                </w:pPr>
                <w:r w:rsidRPr="00B32EAD">
                  <w:rPr>
                    <w:rFonts w:ascii="Palatino Linotype" w:eastAsia="Palatino Linotype" w:hAnsi="Palatino Linotype" w:cs="Palatino Linotype"/>
                  </w:rPr>
                  <w:t>María del Rosario Mejía Ayala</w:t>
                </w:r>
              </w:p>
              <w:p w:rsidR="00875BB5" w:rsidRPr="00B32EAD" w:rsidRDefault="00875BB5" w:rsidP="00B32EAD">
                <w:pPr>
                  <w:tabs>
                    <w:tab w:val="right" w:pos="8838"/>
                  </w:tabs>
                  <w:ind w:left="-108" w:right="171"/>
                  <w:jc w:val="both"/>
                  <w:rPr>
                    <w:rFonts w:ascii="Palatino Linotype" w:eastAsia="Palatino Linotype" w:hAnsi="Palatino Linotype" w:cs="Palatino Linotype"/>
                    <w:b/>
                  </w:rPr>
                </w:pPr>
              </w:p>
            </w:tc>
          </w:tr>
        </w:tbl>
        <w:p w:rsidR="00875BB5" w:rsidRDefault="00875BB5">
          <w:pPr>
            <w:tabs>
              <w:tab w:val="right" w:pos="8838"/>
            </w:tabs>
            <w:ind w:left="-28"/>
            <w:jc w:val="both"/>
            <w:rPr>
              <w:rFonts w:ascii="Arial" w:eastAsia="Arial" w:hAnsi="Arial" w:cs="Arial"/>
              <w:b/>
              <w:sz w:val="22"/>
              <w:szCs w:val="22"/>
            </w:rPr>
          </w:pPr>
        </w:p>
      </w:tc>
    </w:tr>
  </w:tbl>
  <w:p w:rsidR="00875BB5" w:rsidRDefault="000B4E9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4.15pt;margin-top:-128.8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632" w:type="dxa"/>
      <w:tblInd w:w="0" w:type="dxa"/>
      <w:tblLayout w:type="fixed"/>
      <w:tblLook w:val="0400" w:firstRow="0" w:lastRow="0" w:firstColumn="0" w:lastColumn="0" w:noHBand="0" w:noVBand="1"/>
    </w:tblPr>
    <w:tblGrid>
      <w:gridCol w:w="3828"/>
      <w:gridCol w:w="6804"/>
    </w:tblGrid>
    <w:tr w:rsidR="00875BB5" w:rsidTr="001B4C60">
      <w:trPr>
        <w:trHeight w:val="1435"/>
      </w:trPr>
      <w:tc>
        <w:tcPr>
          <w:tcW w:w="3828" w:type="dxa"/>
          <w:shd w:val="clear" w:color="auto" w:fill="auto"/>
        </w:tcPr>
        <w:p w:rsidR="00875BB5" w:rsidRDefault="00875BB5">
          <w:pPr>
            <w:tabs>
              <w:tab w:val="right" w:pos="4273"/>
            </w:tabs>
            <w:rPr>
              <w:rFonts w:ascii="Garamond" w:eastAsia="Garamond" w:hAnsi="Garamond" w:cs="Garamond"/>
              <w:sz w:val="22"/>
              <w:szCs w:val="22"/>
            </w:rPr>
          </w:pPr>
        </w:p>
      </w:tc>
      <w:tc>
        <w:tcPr>
          <w:tcW w:w="6804" w:type="dxa"/>
          <w:shd w:val="clear" w:color="auto" w:fill="auto"/>
        </w:tcPr>
        <w:tbl>
          <w:tblPr>
            <w:tblStyle w:val="a3"/>
            <w:tblW w:w="6933" w:type="dxa"/>
            <w:tblInd w:w="0" w:type="dxa"/>
            <w:tblLayout w:type="fixed"/>
            <w:tblLook w:val="0400" w:firstRow="0" w:lastRow="0" w:firstColumn="0" w:lastColumn="0" w:noHBand="0" w:noVBand="1"/>
          </w:tblPr>
          <w:tblGrid>
            <w:gridCol w:w="2539"/>
            <w:gridCol w:w="4394"/>
          </w:tblGrid>
          <w:tr w:rsidR="00875BB5" w:rsidTr="001B4C60">
            <w:trPr>
              <w:trHeight w:val="144"/>
            </w:trPr>
            <w:tc>
              <w:tcPr>
                <w:tcW w:w="2539" w:type="dxa"/>
                <w:shd w:val="clear" w:color="auto" w:fill="auto"/>
              </w:tcPr>
              <w:p w:rsidR="00875BB5" w:rsidRPr="00B32EAD" w:rsidRDefault="00471B29" w:rsidP="00B32EAD">
                <w:pPr>
                  <w:tabs>
                    <w:tab w:val="right" w:pos="8838"/>
                  </w:tabs>
                  <w:ind w:left="-264" w:right="-105" w:firstLine="195"/>
                  <w:rPr>
                    <w:rFonts w:ascii="Palatino Linotype" w:eastAsia="Palatino Linotype" w:hAnsi="Palatino Linotype" w:cs="Palatino Linotype"/>
                    <w:b/>
                  </w:rPr>
                </w:pPr>
                <w:r w:rsidRPr="00B32EAD">
                  <w:rPr>
                    <w:rFonts w:ascii="Palatino Linotype" w:eastAsia="Palatino Linotype" w:hAnsi="Palatino Linotype" w:cs="Palatino Linotype"/>
                    <w:b/>
                  </w:rPr>
                  <w:t>Recurso de Revisión:</w:t>
                </w:r>
              </w:p>
            </w:tc>
            <w:tc>
              <w:tcPr>
                <w:tcW w:w="4394" w:type="dxa"/>
                <w:shd w:val="clear" w:color="auto" w:fill="auto"/>
              </w:tcPr>
              <w:p w:rsidR="00875BB5" w:rsidRPr="00B32EAD" w:rsidRDefault="00471B29" w:rsidP="00B32EAD">
                <w:pPr>
                  <w:tabs>
                    <w:tab w:val="right" w:pos="8838"/>
                  </w:tabs>
                  <w:ind w:left="26" w:right="-105"/>
                  <w:jc w:val="both"/>
                  <w:rPr>
                    <w:rFonts w:ascii="Palatino Linotype" w:eastAsia="Palatino Linotype" w:hAnsi="Palatino Linotype" w:cs="Palatino Linotype"/>
                  </w:rPr>
                </w:pPr>
                <w:r w:rsidRPr="00B32EAD">
                  <w:rPr>
                    <w:rFonts w:ascii="Palatino Linotype" w:eastAsia="Palatino Linotype" w:hAnsi="Palatino Linotype" w:cs="Palatino Linotype"/>
                  </w:rPr>
                  <w:t>07598/INFOEM/IP/RR/2025</w:t>
                </w:r>
              </w:p>
            </w:tc>
          </w:tr>
          <w:tr w:rsidR="00875BB5" w:rsidTr="001B4C60">
            <w:trPr>
              <w:trHeight w:val="144"/>
            </w:trPr>
            <w:tc>
              <w:tcPr>
                <w:tcW w:w="2539" w:type="dxa"/>
                <w:shd w:val="clear" w:color="auto" w:fill="auto"/>
              </w:tcPr>
              <w:p w:rsidR="00875BB5" w:rsidRPr="00B32EAD" w:rsidRDefault="00471B29" w:rsidP="00B32EAD">
                <w:pPr>
                  <w:tabs>
                    <w:tab w:val="right" w:pos="8838"/>
                  </w:tabs>
                  <w:ind w:left="-74" w:right="-105"/>
                  <w:rPr>
                    <w:rFonts w:ascii="Palatino Linotype" w:eastAsia="Palatino Linotype" w:hAnsi="Palatino Linotype" w:cs="Palatino Linotype"/>
                    <w:b/>
                  </w:rPr>
                </w:pPr>
                <w:r w:rsidRPr="00B32EAD">
                  <w:rPr>
                    <w:rFonts w:ascii="Palatino Linotype" w:eastAsia="Palatino Linotype" w:hAnsi="Palatino Linotype" w:cs="Palatino Linotype"/>
                    <w:b/>
                  </w:rPr>
                  <w:t>Recurrente:</w:t>
                </w:r>
              </w:p>
            </w:tc>
            <w:tc>
              <w:tcPr>
                <w:tcW w:w="4394" w:type="dxa"/>
                <w:shd w:val="clear" w:color="auto" w:fill="auto"/>
              </w:tcPr>
              <w:p w:rsidR="00875BB5" w:rsidRPr="00B32EAD" w:rsidRDefault="00875BB5" w:rsidP="00B32EAD">
                <w:pPr>
                  <w:tabs>
                    <w:tab w:val="left" w:pos="3122"/>
                    <w:tab w:val="right" w:pos="8838"/>
                  </w:tabs>
                  <w:ind w:left="26" w:right="-105"/>
                  <w:jc w:val="both"/>
                  <w:rPr>
                    <w:rFonts w:ascii="Palatino Linotype" w:eastAsia="Palatino Linotype" w:hAnsi="Palatino Linotype" w:cs="Palatino Linotype"/>
                  </w:rPr>
                </w:pPr>
              </w:p>
            </w:tc>
          </w:tr>
          <w:tr w:rsidR="00875BB5" w:rsidTr="001B4C60">
            <w:trPr>
              <w:trHeight w:val="283"/>
            </w:trPr>
            <w:tc>
              <w:tcPr>
                <w:tcW w:w="2539" w:type="dxa"/>
                <w:shd w:val="clear" w:color="auto" w:fill="auto"/>
              </w:tcPr>
              <w:p w:rsidR="00875BB5" w:rsidRPr="00B32EAD" w:rsidRDefault="00471B29" w:rsidP="00B32EAD">
                <w:pPr>
                  <w:tabs>
                    <w:tab w:val="right" w:pos="8838"/>
                  </w:tabs>
                  <w:ind w:left="-74" w:right="-105"/>
                  <w:rPr>
                    <w:rFonts w:ascii="Palatino Linotype" w:eastAsia="Palatino Linotype" w:hAnsi="Palatino Linotype" w:cs="Palatino Linotype"/>
                    <w:b/>
                  </w:rPr>
                </w:pPr>
                <w:r w:rsidRPr="00B32EAD">
                  <w:rPr>
                    <w:rFonts w:ascii="Palatino Linotype" w:eastAsia="Palatino Linotype" w:hAnsi="Palatino Linotype" w:cs="Palatino Linotype"/>
                    <w:b/>
                  </w:rPr>
                  <w:t>Sujeto Obligado:</w:t>
                </w:r>
              </w:p>
            </w:tc>
            <w:tc>
              <w:tcPr>
                <w:tcW w:w="4394" w:type="dxa"/>
                <w:shd w:val="clear" w:color="auto" w:fill="auto"/>
              </w:tcPr>
              <w:p w:rsidR="00875BB5" w:rsidRPr="00B32EAD" w:rsidRDefault="00471B29" w:rsidP="00B32EAD">
                <w:pPr>
                  <w:tabs>
                    <w:tab w:val="left" w:pos="2834"/>
                    <w:tab w:val="right" w:pos="8838"/>
                  </w:tabs>
                  <w:ind w:left="26" w:right="-105"/>
                  <w:jc w:val="both"/>
                  <w:rPr>
                    <w:rFonts w:ascii="Palatino Linotype" w:eastAsia="Palatino Linotype" w:hAnsi="Palatino Linotype" w:cs="Palatino Linotype"/>
                  </w:rPr>
                </w:pPr>
                <w:r w:rsidRPr="00B32EAD">
                  <w:rPr>
                    <w:rFonts w:ascii="Palatino Linotype" w:eastAsia="Palatino Linotype" w:hAnsi="Palatino Linotype" w:cs="Palatino Linotype"/>
                  </w:rPr>
                  <w:t xml:space="preserve">Ayuntamiento de Atlacomulco </w:t>
                </w:r>
              </w:p>
            </w:tc>
          </w:tr>
          <w:tr w:rsidR="00875BB5" w:rsidTr="001B4C60">
            <w:trPr>
              <w:trHeight w:val="283"/>
            </w:trPr>
            <w:tc>
              <w:tcPr>
                <w:tcW w:w="2539" w:type="dxa"/>
                <w:shd w:val="clear" w:color="auto" w:fill="auto"/>
              </w:tcPr>
              <w:p w:rsidR="00875BB5" w:rsidRPr="00B32EAD" w:rsidRDefault="00471B29" w:rsidP="00B32EAD">
                <w:pPr>
                  <w:tabs>
                    <w:tab w:val="right" w:pos="8838"/>
                  </w:tabs>
                  <w:ind w:left="-74" w:right="-105"/>
                  <w:rPr>
                    <w:rFonts w:ascii="Palatino Linotype" w:eastAsia="Palatino Linotype" w:hAnsi="Palatino Linotype" w:cs="Palatino Linotype"/>
                    <w:b/>
                  </w:rPr>
                </w:pPr>
                <w:r w:rsidRPr="00B32EAD">
                  <w:rPr>
                    <w:rFonts w:ascii="Palatino Linotype" w:eastAsia="Palatino Linotype" w:hAnsi="Palatino Linotype" w:cs="Palatino Linotype"/>
                    <w:b/>
                  </w:rPr>
                  <w:t>Comisionado ponente:</w:t>
                </w:r>
              </w:p>
            </w:tc>
            <w:tc>
              <w:tcPr>
                <w:tcW w:w="4394" w:type="dxa"/>
                <w:shd w:val="clear" w:color="auto" w:fill="auto"/>
              </w:tcPr>
              <w:p w:rsidR="00875BB5" w:rsidRPr="00B32EAD" w:rsidRDefault="00471B29" w:rsidP="00B32EAD">
                <w:pPr>
                  <w:tabs>
                    <w:tab w:val="right" w:pos="8838"/>
                  </w:tabs>
                  <w:ind w:left="26" w:right="-105"/>
                  <w:jc w:val="both"/>
                  <w:rPr>
                    <w:rFonts w:ascii="Palatino Linotype" w:eastAsia="Palatino Linotype" w:hAnsi="Palatino Linotype" w:cs="Palatino Linotype"/>
                  </w:rPr>
                </w:pPr>
                <w:r w:rsidRPr="00B32EAD">
                  <w:rPr>
                    <w:rFonts w:ascii="Palatino Linotype" w:eastAsia="Palatino Linotype" w:hAnsi="Palatino Linotype" w:cs="Palatino Linotype"/>
                  </w:rPr>
                  <w:t>María del Rosario Mejía Ayala</w:t>
                </w:r>
              </w:p>
              <w:p w:rsidR="00875BB5" w:rsidRPr="00B32EAD" w:rsidRDefault="00875BB5" w:rsidP="00B32EAD">
                <w:pPr>
                  <w:tabs>
                    <w:tab w:val="right" w:pos="8838"/>
                  </w:tabs>
                  <w:ind w:left="26" w:right="-105"/>
                  <w:jc w:val="both"/>
                  <w:rPr>
                    <w:rFonts w:ascii="Palatino Linotype" w:eastAsia="Palatino Linotype" w:hAnsi="Palatino Linotype" w:cs="Palatino Linotype"/>
                    <w:b/>
                  </w:rPr>
                </w:pPr>
              </w:p>
            </w:tc>
          </w:tr>
        </w:tbl>
        <w:p w:rsidR="00875BB5" w:rsidRDefault="00875BB5">
          <w:pPr>
            <w:tabs>
              <w:tab w:val="right" w:pos="8838"/>
            </w:tabs>
            <w:ind w:left="-28"/>
            <w:jc w:val="both"/>
            <w:rPr>
              <w:rFonts w:ascii="Arial" w:eastAsia="Arial" w:hAnsi="Arial" w:cs="Arial"/>
              <w:b/>
              <w:sz w:val="22"/>
              <w:szCs w:val="22"/>
            </w:rPr>
          </w:pPr>
        </w:p>
      </w:tc>
    </w:tr>
  </w:tbl>
  <w:p w:rsidR="00875BB5" w:rsidRDefault="000B4E9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7.8pt;margin-top:-119.7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2C8"/>
    <w:multiLevelType w:val="multilevel"/>
    <w:tmpl w:val="D9343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F25EED"/>
    <w:multiLevelType w:val="multilevel"/>
    <w:tmpl w:val="ECE48202"/>
    <w:lvl w:ilvl="0">
      <w:start w:val="3"/>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04022FC"/>
    <w:multiLevelType w:val="hybridMultilevel"/>
    <w:tmpl w:val="BD423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C07E69"/>
    <w:multiLevelType w:val="multilevel"/>
    <w:tmpl w:val="B6AED428"/>
    <w:lvl w:ilvl="0">
      <w:start w:val="1"/>
      <w:numFmt w:val="decimal"/>
      <w:lvlText w:val="%1."/>
      <w:lvlJc w:val="left"/>
      <w:pPr>
        <w:ind w:left="720" w:hanging="360"/>
      </w:pPr>
      <w:rPr>
        <w:b/>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B5"/>
    <w:rsid w:val="0001348D"/>
    <w:rsid w:val="000A46CA"/>
    <w:rsid w:val="000B4E9F"/>
    <w:rsid w:val="001B4C60"/>
    <w:rsid w:val="00387B5F"/>
    <w:rsid w:val="003C2DF0"/>
    <w:rsid w:val="00471B29"/>
    <w:rsid w:val="004C39C1"/>
    <w:rsid w:val="005321C8"/>
    <w:rsid w:val="00875BB5"/>
    <w:rsid w:val="009269EA"/>
    <w:rsid w:val="009B3054"/>
    <w:rsid w:val="00AD5CA8"/>
    <w:rsid w:val="00B32EAD"/>
    <w:rsid w:val="00BB1CFA"/>
    <w:rsid w:val="00C20DF7"/>
    <w:rsid w:val="00EC5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A7BF56-E3AC-4449-B087-5839FB6D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4A58F6"/>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4A58F6"/>
    <w:pPr>
      <w:tabs>
        <w:tab w:val="center" w:pos="4419"/>
        <w:tab w:val="right" w:pos="8838"/>
      </w:tabs>
    </w:pPr>
  </w:style>
  <w:style w:type="character" w:customStyle="1" w:styleId="EncabezadoCar">
    <w:name w:val="Encabezado Car"/>
    <w:basedOn w:val="Fuentedeprrafopredeter"/>
    <w:link w:val="Encabezado"/>
    <w:uiPriority w:val="99"/>
    <w:rsid w:val="004A58F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A58F6"/>
    <w:pPr>
      <w:tabs>
        <w:tab w:val="center" w:pos="4419"/>
        <w:tab w:val="right" w:pos="8838"/>
      </w:tabs>
    </w:pPr>
  </w:style>
  <w:style w:type="character" w:customStyle="1" w:styleId="PiedepginaCar">
    <w:name w:val="Pie de página Car"/>
    <w:basedOn w:val="Fuentedeprrafopredeter"/>
    <w:link w:val="Piedepgina"/>
    <w:uiPriority w:val="99"/>
    <w:rsid w:val="004A58F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58F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A58F6"/>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4A58F6"/>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C39D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C39D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9C39D7"/>
    <w:rPr>
      <w:vertAlign w:val="superscript"/>
    </w:rPr>
  </w:style>
  <w:style w:type="paragraph" w:customStyle="1" w:styleId="Default">
    <w:name w:val="Default"/>
    <w:rsid w:val="00B500F3"/>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79467.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495615.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83034.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479469.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47946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xZFogCeeb2U2bqcyYipTHXDvg==">CgMxLjAyDGgudnowN2gybjR5MTIOaC5jeGR6NGJodXNlaGYyCWguM3pueXNoNzIOaC5qaTJwdXJ3eDJpYTIyDmguajF0MW12emU1dzF5Mg5oLnVhcWR3ZG14MzV5dTIOaC5tNXhzZzd4YWRoaGsyDmgueHAxczk4aG55ZmJkMg5oLmh5bm9uMjV6MnZhMzIOaC5meDZhY2hpOGJrY3U4AHIhMTRHWFN6Z1VyVlJ5eFVwV3BMYUtqZG43OXdxTkVBbzJr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3613</Words>
  <Characters>19875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10</cp:revision>
  <cp:lastPrinted>2025-10-17T17:36:00Z</cp:lastPrinted>
  <dcterms:created xsi:type="dcterms:W3CDTF">2025-09-18T18:15:00Z</dcterms:created>
  <dcterms:modified xsi:type="dcterms:W3CDTF">2025-11-11T00:01:00Z</dcterms:modified>
</cp:coreProperties>
</file>