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1760F"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86672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treinta de abril de dos mil veinticinco. </w:t>
      </w:r>
    </w:p>
    <w:p w14:paraId="00DAC457" w14:textId="7806F94A" w:rsidR="00555C44" w:rsidRPr="00866721" w:rsidRDefault="00475940">
      <w:pPr>
        <w:spacing w:before="240" w:after="240" w:line="360" w:lineRule="auto"/>
        <w:jc w:val="both"/>
        <w:rPr>
          <w:rFonts w:ascii="Palatino Linotype" w:eastAsia="Palatino Linotype" w:hAnsi="Palatino Linotype" w:cs="Palatino Linotype"/>
          <w:sz w:val="20"/>
          <w:szCs w:val="20"/>
        </w:rPr>
      </w:pPr>
      <w:r w:rsidRPr="00866721">
        <w:rPr>
          <w:rFonts w:ascii="Palatino Linotype" w:eastAsia="Palatino Linotype" w:hAnsi="Palatino Linotype" w:cs="Palatino Linotype"/>
          <w:b/>
          <w:sz w:val="22"/>
          <w:szCs w:val="22"/>
        </w:rPr>
        <w:t>Visto</w:t>
      </w:r>
      <w:r w:rsidRPr="00866721">
        <w:rPr>
          <w:rFonts w:ascii="Palatino Linotype" w:eastAsia="Palatino Linotype" w:hAnsi="Palatino Linotype" w:cs="Palatino Linotype"/>
          <w:sz w:val="22"/>
          <w:szCs w:val="22"/>
        </w:rPr>
        <w:t xml:space="preserve"> el expediente formado con motivo del recurso de revisión </w:t>
      </w:r>
      <w:r w:rsidRPr="00866721">
        <w:rPr>
          <w:rFonts w:ascii="Palatino Linotype" w:eastAsia="Palatino Linotype" w:hAnsi="Palatino Linotype" w:cs="Palatino Linotype"/>
          <w:b/>
          <w:sz w:val="22"/>
          <w:szCs w:val="22"/>
        </w:rPr>
        <w:t>02374/INFOEM/IP/RR/2025</w:t>
      </w:r>
      <w:r w:rsidRPr="00866721">
        <w:rPr>
          <w:rFonts w:ascii="Palatino Linotype" w:eastAsia="Palatino Linotype" w:hAnsi="Palatino Linotype" w:cs="Palatino Linotype"/>
          <w:sz w:val="22"/>
          <w:szCs w:val="22"/>
        </w:rPr>
        <w:t>, interpuesto por</w:t>
      </w:r>
      <w:r w:rsidRPr="00866721">
        <w:rPr>
          <w:rFonts w:ascii="Palatino Linotype" w:eastAsia="Palatino Linotype" w:hAnsi="Palatino Linotype" w:cs="Palatino Linotype"/>
          <w:b/>
          <w:sz w:val="22"/>
          <w:szCs w:val="22"/>
        </w:rPr>
        <w:t xml:space="preserve"> </w:t>
      </w:r>
      <w:r w:rsidR="00B81A2F" w:rsidRPr="00B81A2F">
        <w:rPr>
          <w:rFonts w:ascii="Palatino Linotype" w:eastAsia="Palatino Linotype" w:hAnsi="Palatino Linotype" w:cs="Palatino Linotype"/>
          <w:b/>
          <w:sz w:val="22"/>
          <w:szCs w:val="22"/>
        </w:rPr>
        <w:t>XXXX XXXXX XXXXXXXX XXXXXX</w:t>
      </w:r>
      <w:r w:rsidRPr="00866721">
        <w:rPr>
          <w:rFonts w:ascii="Palatino Linotype" w:eastAsia="Palatino Linotype" w:hAnsi="Palatino Linotype" w:cs="Palatino Linotype"/>
          <w:b/>
          <w:sz w:val="22"/>
          <w:szCs w:val="22"/>
        </w:rPr>
        <w:t>,</w:t>
      </w:r>
      <w:r w:rsidRPr="00866721">
        <w:rPr>
          <w:rFonts w:ascii="Palatino Linotype" w:eastAsia="Palatino Linotype" w:hAnsi="Palatino Linotype" w:cs="Palatino Linotype"/>
          <w:sz w:val="22"/>
          <w:szCs w:val="22"/>
        </w:rPr>
        <w:t xml:space="preserve"> en lo sucesivo</w:t>
      </w:r>
      <w:r w:rsidRPr="00866721">
        <w:rPr>
          <w:rFonts w:ascii="Palatino Linotype" w:eastAsia="Palatino Linotype" w:hAnsi="Palatino Linotype" w:cs="Palatino Linotype"/>
          <w:b/>
          <w:sz w:val="22"/>
          <w:szCs w:val="22"/>
        </w:rPr>
        <w:t xml:space="preserve"> </w:t>
      </w:r>
      <w:r w:rsidRPr="00866721">
        <w:rPr>
          <w:rFonts w:ascii="Palatino Linotype" w:eastAsia="Palatino Linotype" w:hAnsi="Palatino Linotype" w:cs="Palatino Linotype"/>
          <w:sz w:val="22"/>
          <w:szCs w:val="22"/>
        </w:rPr>
        <w:t xml:space="preserve">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en contra de la respuesta a su solicitud con número de folio </w:t>
      </w:r>
      <w:r w:rsidRPr="00866721">
        <w:rPr>
          <w:rFonts w:ascii="Palatino Linotype" w:eastAsia="Palatino Linotype" w:hAnsi="Palatino Linotype" w:cs="Palatino Linotype"/>
          <w:b/>
          <w:sz w:val="22"/>
          <w:szCs w:val="22"/>
        </w:rPr>
        <w:t xml:space="preserve">00199/SF/IP/2025, </w:t>
      </w:r>
      <w:r w:rsidRPr="00866721">
        <w:rPr>
          <w:rFonts w:ascii="Palatino Linotype" w:eastAsia="Palatino Linotype" w:hAnsi="Palatino Linotype" w:cs="Palatino Linotype"/>
          <w:sz w:val="22"/>
          <w:szCs w:val="22"/>
        </w:rPr>
        <w:t xml:space="preserve">por parte de la </w:t>
      </w:r>
      <w:r w:rsidRPr="00866721">
        <w:rPr>
          <w:rFonts w:ascii="Palatino Linotype" w:eastAsia="Palatino Linotype" w:hAnsi="Palatino Linotype" w:cs="Palatino Linotype"/>
          <w:b/>
          <w:sz w:val="22"/>
          <w:szCs w:val="22"/>
        </w:rPr>
        <w:t xml:space="preserve">Secretaría de Finanzas, </w:t>
      </w:r>
      <w:r w:rsidRPr="00866721">
        <w:rPr>
          <w:rFonts w:ascii="Palatino Linotype" w:eastAsia="Palatino Linotype" w:hAnsi="Palatino Linotype" w:cs="Palatino Linotype"/>
          <w:sz w:val="22"/>
          <w:szCs w:val="22"/>
        </w:rPr>
        <w:t xml:space="preserve">en lo sucesivo el </w:t>
      </w:r>
      <w:r w:rsidRPr="00866721">
        <w:rPr>
          <w:rFonts w:ascii="Palatino Linotype" w:eastAsia="Palatino Linotype" w:hAnsi="Palatino Linotype" w:cs="Palatino Linotype"/>
          <w:b/>
          <w:sz w:val="22"/>
          <w:szCs w:val="22"/>
        </w:rPr>
        <w:t xml:space="preserve">Sujeto Obligado, </w:t>
      </w:r>
      <w:r w:rsidRPr="00866721">
        <w:rPr>
          <w:rFonts w:ascii="Palatino Linotype" w:eastAsia="Palatino Linotype" w:hAnsi="Palatino Linotype" w:cs="Palatino Linotype"/>
          <w:sz w:val="22"/>
          <w:szCs w:val="22"/>
        </w:rPr>
        <w:t xml:space="preserve">se procede a dictar la presente resolución con base en los siguientes: </w:t>
      </w:r>
    </w:p>
    <w:p w14:paraId="63AAFB7F" w14:textId="77777777" w:rsidR="00555C44" w:rsidRPr="00866721" w:rsidRDefault="00475940">
      <w:pPr>
        <w:spacing w:before="240" w:after="240" w:line="360" w:lineRule="auto"/>
        <w:jc w:val="center"/>
        <w:rPr>
          <w:rFonts w:ascii="Palatino Linotype" w:eastAsia="Palatino Linotype" w:hAnsi="Palatino Linotype" w:cs="Palatino Linotype"/>
          <w:b/>
          <w:sz w:val="22"/>
          <w:szCs w:val="22"/>
        </w:rPr>
      </w:pPr>
      <w:r w:rsidRPr="00866721">
        <w:rPr>
          <w:rFonts w:ascii="Palatino Linotype" w:eastAsia="Palatino Linotype" w:hAnsi="Palatino Linotype" w:cs="Palatino Linotype"/>
          <w:b/>
          <w:sz w:val="22"/>
          <w:szCs w:val="22"/>
        </w:rPr>
        <w:t>I. A N T E C E D E N T E S</w:t>
      </w:r>
    </w:p>
    <w:p w14:paraId="317F1254" w14:textId="77777777" w:rsidR="00555C44" w:rsidRPr="00866721" w:rsidRDefault="00475940">
      <w:pPr>
        <w:spacing w:before="240" w:after="240" w:line="360" w:lineRule="auto"/>
        <w:jc w:val="both"/>
        <w:rPr>
          <w:rFonts w:ascii="Palatino Linotype" w:eastAsia="Palatino Linotype" w:hAnsi="Palatino Linotype" w:cs="Palatino Linotype"/>
          <w:b/>
          <w:sz w:val="22"/>
          <w:szCs w:val="22"/>
        </w:rPr>
      </w:pPr>
      <w:r w:rsidRPr="00866721">
        <w:rPr>
          <w:rFonts w:ascii="Palatino Linotype" w:eastAsia="Palatino Linotype" w:hAnsi="Palatino Linotype" w:cs="Palatino Linotype"/>
          <w:b/>
          <w:sz w:val="22"/>
          <w:szCs w:val="22"/>
        </w:rPr>
        <w:t xml:space="preserve">1. Solicitud de acceso a la información. </w:t>
      </w:r>
      <w:r w:rsidRPr="00866721">
        <w:rPr>
          <w:rFonts w:ascii="Palatino Linotype" w:eastAsia="Palatino Linotype" w:hAnsi="Palatino Linotype" w:cs="Palatino Linotype"/>
          <w:sz w:val="22"/>
          <w:szCs w:val="22"/>
        </w:rPr>
        <w:t xml:space="preserve">El </w:t>
      </w:r>
      <w:r w:rsidRPr="00866721">
        <w:rPr>
          <w:rFonts w:ascii="Palatino Linotype" w:eastAsia="Palatino Linotype" w:hAnsi="Palatino Linotype" w:cs="Palatino Linotype"/>
          <w:b/>
          <w:sz w:val="22"/>
          <w:szCs w:val="22"/>
        </w:rPr>
        <w:t>dieciséis de febrero del dos mil veinticinco,</w:t>
      </w:r>
      <w:r w:rsidRPr="00866721">
        <w:rPr>
          <w:rFonts w:ascii="Palatino Linotype" w:eastAsia="Palatino Linotype" w:hAnsi="Palatino Linotype" w:cs="Palatino Linotype"/>
          <w:sz w:val="22"/>
          <w:szCs w:val="22"/>
        </w:rPr>
        <w:t xml:space="preserve"> la parte </w:t>
      </w:r>
      <w:r w:rsidRPr="00866721">
        <w:rPr>
          <w:rFonts w:ascii="Palatino Linotype" w:eastAsia="Palatino Linotype" w:hAnsi="Palatino Linotype" w:cs="Palatino Linotype"/>
          <w:b/>
          <w:sz w:val="22"/>
          <w:szCs w:val="22"/>
        </w:rPr>
        <w:t xml:space="preserve">Recurrente </w:t>
      </w:r>
      <w:r w:rsidRPr="00866721">
        <w:rPr>
          <w:rFonts w:ascii="Palatino Linotype" w:eastAsia="Palatino Linotype" w:hAnsi="Palatino Linotype" w:cs="Palatino Linotype"/>
          <w:sz w:val="22"/>
          <w:szCs w:val="22"/>
        </w:rPr>
        <w:t xml:space="preserve">presentó su solicitud de acceso a la información ante 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a través del Sistema de Acceso a la Información Mexiquense, en lo subsecuente el </w:t>
      </w:r>
      <w:r w:rsidRPr="00866721">
        <w:rPr>
          <w:rFonts w:ascii="Palatino Linotype" w:eastAsia="Palatino Linotype" w:hAnsi="Palatino Linotype" w:cs="Palatino Linotype"/>
          <w:b/>
          <w:sz w:val="22"/>
          <w:szCs w:val="22"/>
        </w:rPr>
        <w:t>SAIMEX,</w:t>
      </w:r>
      <w:r w:rsidRPr="00866721">
        <w:rPr>
          <w:rFonts w:ascii="Palatino Linotype" w:eastAsia="Palatino Linotype" w:hAnsi="Palatino Linotype" w:cs="Palatino Linotype"/>
          <w:sz w:val="22"/>
          <w:szCs w:val="22"/>
        </w:rPr>
        <w:t xml:space="preserve"> sin embargo, al corresponder a un día inhábil se tuvo por presentada el día </w:t>
      </w:r>
      <w:r w:rsidRPr="00866721">
        <w:rPr>
          <w:rFonts w:ascii="Palatino Linotype" w:eastAsia="Palatino Linotype" w:hAnsi="Palatino Linotype" w:cs="Palatino Linotype"/>
          <w:b/>
          <w:sz w:val="22"/>
          <w:szCs w:val="22"/>
        </w:rPr>
        <w:t>diecisiete de febrero de dos mil veinticinco;</w:t>
      </w:r>
      <w:r w:rsidRPr="00866721">
        <w:rPr>
          <w:rFonts w:ascii="Palatino Linotype" w:eastAsia="Palatino Linotype" w:hAnsi="Palatino Linotype" w:cs="Palatino Linotype"/>
          <w:sz w:val="22"/>
          <w:szCs w:val="22"/>
        </w:rPr>
        <w:t xml:space="preserve"> mediante la cual requirió lo siguiente:</w:t>
      </w:r>
    </w:p>
    <w:p w14:paraId="72EEE1A0" w14:textId="77777777" w:rsidR="00555C44" w:rsidRPr="00866721" w:rsidRDefault="00475940">
      <w:pPr>
        <w:spacing w:before="240" w:after="240"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incluye el Apartado Analítico de servicios personales 2024, plazas, horas y sueldos autorizados, la siguiente información: </w:t>
      </w:r>
    </w:p>
    <w:p w14:paraId="5152B168" w14:textId="77777777" w:rsidR="00555C44" w:rsidRPr="00866721" w:rsidRDefault="00475940">
      <w:pPr>
        <w:spacing w:before="240" w:after="240" w:line="276" w:lineRule="auto"/>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“●Monto total individualizado asignado a mi plaza como ingreso bruto, que debí y debo percibir, por este año 2024;</w:t>
      </w:r>
    </w:p>
    <w:p w14:paraId="6C6CCD67" w14:textId="77777777" w:rsidR="00555C44" w:rsidRPr="00866721" w:rsidRDefault="00475940">
      <w:pPr>
        <w:spacing w:before="240" w:after="240" w:line="276" w:lineRule="auto"/>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2510D477" w14:textId="77777777" w:rsidR="00555C44" w:rsidRPr="00866721" w:rsidRDefault="00475940">
      <w:pPr>
        <w:spacing w:before="240" w:after="240" w:line="276" w:lineRule="auto"/>
        <w:ind w:left="567" w:right="900"/>
        <w:jc w:val="both"/>
        <w:rPr>
          <w:rFonts w:ascii="Palatino Linotype" w:eastAsia="Palatino Linotype" w:hAnsi="Palatino Linotype" w:cs="Palatino Linotype"/>
          <w:i/>
          <w:sz w:val="22"/>
          <w:szCs w:val="22"/>
        </w:rPr>
      </w:pPr>
      <w:bookmarkStart w:id="1" w:name="_heading=h.gjdgxs" w:colFirst="0" w:colLast="0"/>
      <w:bookmarkEnd w:id="1"/>
      <w:r w:rsidRPr="00866721">
        <w:rPr>
          <w:rFonts w:ascii="Palatino Linotype" w:eastAsia="Palatino Linotype" w:hAnsi="Palatino Linotype" w:cs="Palatino Linotype"/>
          <w:i/>
          <w:sz w:val="22"/>
          <w:szCs w:val="22"/>
        </w:rPr>
        <w:lastRenderedPageBreak/>
        <w:t>●</w:t>
      </w:r>
      <w:r w:rsidRPr="00866721">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11B3B060" w14:textId="77777777" w:rsidR="00555C44" w:rsidRPr="00866721" w:rsidRDefault="00475940">
      <w:pPr>
        <w:spacing w:before="240" w:after="240" w:line="360" w:lineRule="auto"/>
        <w:ind w:right="49"/>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La persona solicitante adjuntó lo siguiente:</w:t>
      </w:r>
    </w:p>
    <w:p w14:paraId="35820FDE" w14:textId="77777777" w:rsidR="00555C44" w:rsidRPr="00866721" w:rsidRDefault="00475940">
      <w:pPr>
        <w:spacing w:before="240" w:after="240"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Digitalización por ambos lados de la Credencial para Votar, expedida por el Instituto Nacional Electoral, a favor de la persona solicitante en el presente asunto.</w:t>
      </w:r>
    </w:p>
    <w:p w14:paraId="59A78BF1" w14:textId="77777777" w:rsidR="00555C44" w:rsidRPr="00866721" w:rsidRDefault="00475940">
      <w:pPr>
        <w:spacing w:before="240" w:after="240"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Anexo de Ejecución / Apoyo Financiero 2024 SEMS-EL COBAEM-MÉXICO 0236/24, celebrado entre el Ejecutivo Federal, por conducto de la Secretaría de Educación Pública (SEP); el Gobierno del Estado de México, asistido por la Secretaría de Finanzas y la Secretaría de Educación, Ciencia, Tecnología e Innovación; y el Colegio de Bachilleres del Estado de México, (COBAEM), el diez de enero de dos mil veinticuatro.</w:t>
      </w:r>
    </w:p>
    <w:p w14:paraId="0BB083A8" w14:textId="77777777" w:rsidR="00555C44" w:rsidRPr="00866721" w:rsidRDefault="00475940">
      <w:pPr>
        <w:spacing w:before="240" w:after="240" w:line="360" w:lineRule="auto"/>
        <w:ind w:right="49"/>
        <w:rPr>
          <w:rFonts w:ascii="Palatino Linotype" w:eastAsia="Palatino Linotype" w:hAnsi="Palatino Linotype" w:cs="Palatino Linotype"/>
          <w:b/>
          <w:sz w:val="22"/>
          <w:szCs w:val="22"/>
        </w:rPr>
      </w:pPr>
      <w:r w:rsidRPr="00866721">
        <w:rPr>
          <w:rFonts w:ascii="Palatino Linotype" w:eastAsia="Palatino Linotype" w:hAnsi="Palatino Linotype" w:cs="Palatino Linotype"/>
          <w:b/>
          <w:sz w:val="22"/>
          <w:szCs w:val="22"/>
        </w:rPr>
        <w:t>Modalidad de Entrega:</w:t>
      </w:r>
      <w:r w:rsidRPr="00866721">
        <w:rPr>
          <w:rFonts w:ascii="Palatino Linotype" w:eastAsia="Palatino Linotype" w:hAnsi="Palatino Linotype" w:cs="Palatino Linotype"/>
          <w:sz w:val="22"/>
          <w:szCs w:val="22"/>
        </w:rPr>
        <w:t xml:space="preserve"> A través </w:t>
      </w:r>
      <w:r w:rsidRPr="00866721">
        <w:rPr>
          <w:rFonts w:ascii="Palatino Linotype" w:eastAsia="Palatino Linotype" w:hAnsi="Palatino Linotype" w:cs="Palatino Linotype"/>
          <w:b/>
          <w:sz w:val="22"/>
          <w:szCs w:val="22"/>
        </w:rPr>
        <w:t>del SAIMEX.</w:t>
      </w:r>
    </w:p>
    <w:p w14:paraId="0DB7751D" w14:textId="77777777" w:rsidR="00555C44" w:rsidRPr="00866721" w:rsidRDefault="00475940">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866721">
        <w:rPr>
          <w:rFonts w:ascii="Palatino Linotype" w:eastAsia="Palatino Linotype" w:hAnsi="Palatino Linotype" w:cs="Palatino Linotype"/>
          <w:b/>
          <w:sz w:val="22"/>
          <w:szCs w:val="22"/>
        </w:rPr>
        <w:t xml:space="preserve">2. Información que Puede estar en Poder de Otro Sujeto Obligado. </w:t>
      </w:r>
      <w:r w:rsidRPr="00866721">
        <w:rPr>
          <w:rFonts w:ascii="Palatino Linotype" w:eastAsia="Palatino Linotype" w:hAnsi="Palatino Linotype" w:cs="Palatino Linotype"/>
          <w:sz w:val="22"/>
          <w:szCs w:val="22"/>
        </w:rPr>
        <w:t xml:space="preserve">El </w:t>
      </w:r>
      <w:r w:rsidRPr="00866721">
        <w:rPr>
          <w:rFonts w:ascii="Palatino Linotype" w:eastAsia="Palatino Linotype" w:hAnsi="Palatino Linotype" w:cs="Palatino Linotype"/>
          <w:b/>
          <w:sz w:val="22"/>
          <w:szCs w:val="22"/>
        </w:rPr>
        <w:t>veinte de febrero de dos mil veinticinco</w:t>
      </w:r>
      <w:r w:rsidRPr="00866721">
        <w:rPr>
          <w:rFonts w:ascii="Palatino Linotype" w:eastAsia="Palatino Linotype" w:hAnsi="Palatino Linotype" w:cs="Palatino Linotype"/>
          <w:sz w:val="22"/>
          <w:szCs w:val="22"/>
        </w:rPr>
        <w:t xml:space="preserve">, el </w:t>
      </w:r>
      <w:r w:rsidRPr="00866721">
        <w:rPr>
          <w:rFonts w:ascii="Palatino Linotype" w:eastAsia="Palatino Linotype" w:hAnsi="Palatino Linotype" w:cs="Palatino Linotype"/>
          <w:b/>
          <w:sz w:val="22"/>
          <w:szCs w:val="22"/>
        </w:rPr>
        <w:t xml:space="preserve">Sujeto Obligado </w:t>
      </w:r>
      <w:r w:rsidRPr="00866721">
        <w:rPr>
          <w:rFonts w:ascii="Palatino Linotype" w:eastAsia="Palatino Linotype" w:hAnsi="Palatino Linotype" w:cs="Palatino Linotype"/>
          <w:sz w:val="22"/>
          <w:szCs w:val="22"/>
        </w:rPr>
        <w:t xml:space="preserve">declaró su incompetencia para atender la solicitud de acceso a la información a través de SAIMEX, sustancialmente en los términos siguientes:   </w:t>
      </w:r>
    </w:p>
    <w:p w14:paraId="52148C09" w14:textId="77777777" w:rsidR="00555C44" w:rsidRPr="00866721" w:rsidRDefault="00475940">
      <w:pPr>
        <w:spacing w:before="240" w:after="24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“Sobre el particular, sírvase encontrar en archivo adjunto copia del Acuerdo de Incompetencia de fecha 18 de febrero de 2025, mediante el cual se detalla incompetencia de este Sujeto Obligado” (Sic)</w:t>
      </w:r>
    </w:p>
    <w:p w14:paraId="794D1F71" w14:textId="77777777" w:rsidR="00555C44" w:rsidRPr="00866721" w:rsidRDefault="00475940">
      <w:pPr>
        <w:widowControl w:val="0"/>
        <w:spacing w:before="240" w:after="240" w:line="360" w:lineRule="auto"/>
        <w:jc w:val="both"/>
        <w:rPr>
          <w:rFonts w:ascii="Palatino Linotype" w:eastAsia="Palatino Linotype" w:hAnsi="Palatino Linotype" w:cs="Palatino Linotype"/>
        </w:rPr>
      </w:pPr>
      <w:r w:rsidRPr="00866721">
        <w:rPr>
          <w:rFonts w:ascii="Palatino Linotype" w:eastAsia="Palatino Linotype" w:hAnsi="Palatino Linotype" w:cs="Palatino Linotype"/>
        </w:rPr>
        <w:t xml:space="preserve">Asimismo, adjuntó el Acuerdo de incompetencia mediante el cual refiere en lo medular, que la información requerida no es competencia de la Secretaría de Finanzas, al corresponder al Departamento de Recursos Humanos del Colegio de Bachilleres del Estado de México, conforme a su Manual General de Organización, así como a la Dirección General de Personal de la Oficialía Mayor, conforme a su </w:t>
      </w:r>
      <w:r w:rsidRPr="00866721">
        <w:rPr>
          <w:rFonts w:ascii="Palatino Linotype" w:eastAsia="Palatino Linotype" w:hAnsi="Palatino Linotype" w:cs="Palatino Linotype"/>
        </w:rPr>
        <w:lastRenderedPageBreak/>
        <w:t>Reglamento Interior y su Manual de Organización, en consecuencia, se sugiere formular su solicitud ante dichos Sujetos Obligados.</w:t>
      </w:r>
    </w:p>
    <w:p w14:paraId="1EBC1AA7" w14:textId="77777777" w:rsidR="00555C44" w:rsidRPr="00866721" w:rsidRDefault="00475940">
      <w:pPr>
        <w:spacing w:before="240" w:after="240"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b/>
          <w:sz w:val="22"/>
          <w:szCs w:val="22"/>
        </w:rPr>
        <w:t xml:space="preserve">3. Interposición del recurso de revisión. </w:t>
      </w:r>
      <w:r w:rsidRPr="00866721">
        <w:rPr>
          <w:rFonts w:ascii="Palatino Linotype" w:eastAsia="Palatino Linotype" w:hAnsi="Palatino Linotype" w:cs="Palatino Linotype"/>
          <w:sz w:val="22"/>
          <w:szCs w:val="22"/>
        </w:rPr>
        <w:t xml:space="preserve">Inconforme con los términos de la declaración de incompetencia, emitida por parte del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el </w:t>
      </w:r>
      <w:r w:rsidRPr="00866721">
        <w:rPr>
          <w:rFonts w:ascii="Palatino Linotype" w:eastAsia="Palatino Linotype" w:hAnsi="Palatino Linotype" w:cs="Palatino Linotype"/>
          <w:b/>
          <w:sz w:val="22"/>
          <w:szCs w:val="22"/>
        </w:rPr>
        <w:t>dos de marzo de dos mil veinticinco</w:t>
      </w:r>
      <w:r w:rsidRPr="00866721">
        <w:rPr>
          <w:rFonts w:ascii="Palatino Linotype" w:eastAsia="Palatino Linotype" w:hAnsi="Palatino Linotype" w:cs="Palatino Linotype"/>
          <w:sz w:val="22"/>
          <w:szCs w:val="22"/>
        </w:rPr>
        <w:t>, la parte</w:t>
      </w:r>
      <w:r w:rsidRPr="00866721">
        <w:rPr>
          <w:rFonts w:ascii="Palatino Linotype" w:eastAsia="Palatino Linotype" w:hAnsi="Palatino Linotype" w:cs="Palatino Linotype"/>
          <w:b/>
          <w:sz w:val="22"/>
          <w:szCs w:val="22"/>
        </w:rPr>
        <w:t xml:space="preserve"> Recurrente </w:t>
      </w:r>
      <w:r w:rsidRPr="00866721">
        <w:rPr>
          <w:rFonts w:ascii="Palatino Linotype" w:eastAsia="Palatino Linotype" w:hAnsi="Palatino Linotype" w:cs="Palatino Linotype"/>
          <w:sz w:val="22"/>
          <w:szCs w:val="22"/>
        </w:rPr>
        <w:t xml:space="preserve">interpuso el recurso de revisión a través de </w:t>
      </w:r>
      <w:r w:rsidRPr="00866721">
        <w:rPr>
          <w:rFonts w:ascii="Palatino Linotype" w:eastAsia="Palatino Linotype" w:hAnsi="Palatino Linotype" w:cs="Palatino Linotype"/>
          <w:b/>
          <w:sz w:val="22"/>
          <w:szCs w:val="22"/>
        </w:rPr>
        <w:t>SAIMEX</w:t>
      </w:r>
      <w:r w:rsidRPr="00866721">
        <w:rPr>
          <w:rFonts w:ascii="Palatino Linotype" w:eastAsia="Palatino Linotype" w:hAnsi="Palatino Linotype" w:cs="Palatino Linotype"/>
          <w:sz w:val="22"/>
          <w:szCs w:val="22"/>
        </w:rPr>
        <w:t>, sin embargo, al ser un día inhábil, de conformidad con el Calendario Oficial en materia de Transparencia, Acceso a la Información Pública y Protección de Datos Personales del Estado de México y Municipios, el medio de impugnación se tuvo por presentado al día hábil siguiente que es el</w:t>
      </w:r>
      <w:r w:rsidRPr="00866721">
        <w:rPr>
          <w:rFonts w:ascii="Palatino Linotype" w:eastAsia="Palatino Linotype" w:hAnsi="Palatino Linotype" w:cs="Palatino Linotype"/>
          <w:b/>
          <w:sz w:val="22"/>
          <w:szCs w:val="22"/>
        </w:rPr>
        <w:t xml:space="preserve"> cuatro de marzo de dos mil veinticinco, </w:t>
      </w:r>
      <w:r w:rsidRPr="00866721">
        <w:rPr>
          <w:rFonts w:ascii="Palatino Linotype" w:eastAsia="Palatino Linotype" w:hAnsi="Palatino Linotype" w:cs="Palatino Linotype"/>
          <w:sz w:val="22"/>
          <w:szCs w:val="22"/>
        </w:rPr>
        <w:t>en donde se manifestó en los términos que a continuación se detallan:</w:t>
      </w:r>
    </w:p>
    <w:p w14:paraId="31574206" w14:textId="77777777" w:rsidR="00555C44" w:rsidRPr="00866721" w:rsidRDefault="00475940">
      <w:pPr>
        <w:spacing w:line="360" w:lineRule="auto"/>
        <w:ind w:right="560"/>
        <w:jc w:val="both"/>
        <w:rPr>
          <w:rFonts w:ascii="Palatino Linotype" w:eastAsia="Palatino Linotype" w:hAnsi="Palatino Linotype" w:cs="Palatino Linotype"/>
          <w:b/>
          <w:i/>
          <w:sz w:val="22"/>
          <w:szCs w:val="22"/>
        </w:rPr>
      </w:pPr>
      <w:r w:rsidRPr="00866721">
        <w:rPr>
          <w:rFonts w:ascii="Palatino Linotype" w:eastAsia="Palatino Linotype" w:hAnsi="Palatino Linotype" w:cs="Palatino Linotype"/>
          <w:b/>
          <w:sz w:val="22"/>
          <w:szCs w:val="22"/>
        </w:rPr>
        <w:t>Acto Impugnado</w:t>
      </w:r>
      <w:r w:rsidRPr="00866721">
        <w:rPr>
          <w:rFonts w:ascii="Palatino Linotype" w:eastAsia="Palatino Linotype" w:hAnsi="Palatino Linotype" w:cs="Palatino Linotype"/>
          <w:b/>
          <w:i/>
          <w:sz w:val="22"/>
          <w:szCs w:val="22"/>
        </w:rPr>
        <w:t>:</w:t>
      </w:r>
    </w:p>
    <w:p w14:paraId="7B8CB359" w14:textId="77777777" w:rsidR="00555C44" w:rsidRPr="00866721" w:rsidRDefault="00475940">
      <w:pPr>
        <w:spacing w:before="120" w:after="120"/>
        <w:ind w:left="851"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“Oficio de respuesta suscrito por David Arturo Gómez Becerril, Encargado de la UIPPE y de la Unidad de Transparencia de la Secretaría de Finanzas que recayó a esta solicitud y por el cual se está presentando el presente Recurso de Revisión EN TIEMPO Y FORMA.” (sic)</w:t>
      </w:r>
    </w:p>
    <w:p w14:paraId="5FC94EFF" w14:textId="77777777" w:rsidR="00555C44" w:rsidRPr="00866721" w:rsidRDefault="00475940">
      <w:pPr>
        <w:spacing w:line="360" w:lineRule="auto"/>
        <w:ind w:right="560"/>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b/>
          <w:sz w:val="22"/>
          <w:szCs w:val="22"/>
        </w:rPr>
        <w:t>Motivo de inconformidad:</w:t>
      </w:r>
      <w:r w:rsidRPr="00866721">
        <w:rPr>
          <w:rFonts w:ascii="Palatino Linotype" w:eastAsia="Palatino Linotype" w:hAnsi="Palatino Linotype" w:cs="Palatino Linotype"/>
          <w:sz w:val="22"/>
          <w:szCs w:val="22"/>
        </w:rPr>
        <w:t xml:space="preserve"> </w:t>
      </w:r>
    </w:p>
    <w:p w14:paraId="48E87B9B" w14:textId="77777777" w:rsidR="00555C44" w:rsidRPr="00866721" w:rsidRDefault="00475940">
      <w:pPr>
        <w:spacing w:before="120" w:after="120"/>
        <w:ind w:left="851" w:right="902"/>
        <w:jc w:val="both"/>
        <w:rPr>
          <w:rFonts w:ascii="Palatino Linotype" w:eastAsia="Palatino Linotype" w:hAnsi="Palatino Linotype" w:cs="Palatino Linotype"/>
          <w:i/>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b/>
          <w:i/>
          <w:sz w:val="22"/>
          <w:szCs w:val="22"/>
          <w:u w:val="single"/>
        </w:rPr>
        <w:t xml:space="preserve">La declaración de incompetencia de la Secretaría de Finanzas del Estado de México, </w:t>
      </w:r>
      <w:r w:rsidRPr="00866721">
        <w:rPr>
          <w:rFonts w:ascii="Palatino Linotype" w:eastAsia="Palatino Linotype" w:hAnsi="Palatino Linotype" w:cs="Palatino Linotype"/>
          <w:i/>
          <w:sz w:val="22"/>
          <w:szCs w:val="22"/>
        </w:rPr>
        <w:t>lo cual es notoriamente improcedente y contrario a derecho y a las facultades legales con las cuales se obligó y suscribió el "ANEXO DE EJECUCIÓN QUE CELEBRÓ EL EJECUTIVO FEDERAL CON EL GOBIERNO DEL ESTADO DE MÉXICO, ASISTIDO DE LA SECRETARÍA DE FINANZAS Y EL COLEGIO DE BACHILLERES DEL ESTADO DE MÉXICO EN FECHA 10 DE ENERO 2024." Por lo que SÍ es competente la Secretaría de Finanzas, para emitir la respuesta solicitada. Toda vez que esta Secretaría es la responsable, en términos del ANEXO DE EJECUCIÓN mencionado, de la captación y dispersión de los recursos Federales y Estatales asignados al Colegio de Bachilleres del Estado de México; asimismo y toda vez que la solicitud inicial requiere de datos personales de esta parte solicitante, anexo mi credencial de elector para acreditar mi personalidad con la que me ostentó en el presente recurso de revisión y sea procedente el mismo”</w:t>
      </w:r>
      <w:r w:rsidRPr="00866721">
        <w:rPr>
          <w:rFonts w:ascii="Palatino Linotype" w:eastAsia="Palatino Linotype" w:hAnsi="Palatino Linotype" w:cs="Palatino Linotype"/>
          <w:i/>
        </w:rPr>
        <w:t xml:space="preserve"> (sic)</w:t>
      </w:r>
    </w:p>
    <w:p w14:paraId="19DAC386"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lastRenderedPageBreak/>
        <w:t xml:space="preserve">La parte </w:t>
      </w:r>
      <w:r w:rsidRPr="00866721">
        <w:rPr>
          <w:rFonts w:ascii="Palatino Linotype" w:eastAsia="Palatino Linotype" w:hAnsi="Palatino Linotype" w:cs="Palatino Linotype"/>
          <w:b/>
          <w:sz w:val="22"/>
          <w:szCs w:val="22"/>
        </w:rPr>
        <w:t xml:space="preserve">Recurrente </w:t>
      </w:r>
      <w:r w:rsidRPr="00866721">
        <w:rPr>
          <w:rFonts w:ascii="Palatino Linotype" w:eastAsia="Palatino Linotype" w:hAnsi="Palatino Linotype" w:cs="Palatino Linotype"/>
          <w:sz w:val="22"/>
          <w:szCs w:val="22"/>
        </w:rPr>
        <w:t>adjuntó nuevamente la digitalización por ambos lados de su Credencial para Votar, así como el Anexo de Ejecución / Apoyo Financiero 2024 SEMS-EL COBAEM-MÉXICO 0236/24, referidos con antelación.</w:t>
      </w:r>
    </w:p>
    <w:p w14:paraId="788BB9D4" w14:textId="77777777" w:rsidR="00555C44" w:rsidRPr="00866721" w:rsidRDefault="00475940">
      <w:pPr>
        <w:spacing w:before="240" w:after="240" w:line="360" w:lineRule="auto"/>
        <w:ind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b/>
          <w:sz w:val="22"/>
          <w:szCs w:val="22"/>
        </w:rPr>
        <w:t xml:space="preserve">4. Turno. </w:t>
      </w:r>
      <w:r w:rsidRPr="0086672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66721">
        <w:rPr>
          <w:rFonts w:ascii="Palatino Linotype" w:eastAsia="Palatino Linotype" w:hAnsi="Palatino Linotype" w:cs="Palatino Linotype"/>
          <w:b/>
          <w:sz w:val="22"/>
          <w:szCs w:val="22"/>
        </w:rPr>
        <w:t xml:space="preserve">Guadalupe Ramírez Peña, </w:t>
      </w:r>
      <w:r w:rsidRPr="00866721">
        <w:rPr>
          <w:rFonts w:ascii="Palatino Linotype" w:eastAsia="Palatino Linotype" w:hAnsi="Palatino Linotype" w:cs="Palatino Linotype"/>
          <w:sz w:val="22"/>
          <w:szCs w:val="22"/>
        </w:rPr>
        <w:t>a efecto de que analizara sobre su admisión o su desechamiento.</w:t>
      </w:r>
    </w:p>
    <w:p w14:paraId="2364E52A"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b/>
          <w:sz w:val="22"/>
          <w:szCs w:val="22"/>
        </w:rPr>
        <w:t>5. Admisión del Recurso de revisión.</w:t>
      </w:r>
      <w:r w:rsidRPr="00866721">
        <w:rPr>
          <w:rFonts w:ascii="Palatino Linotype" w:eastAsia="Palatino Linotype" w:hAnsi="Palatino Linotype" w:cs="Palatino Linotype"/>
          <w:sz w:val="22"/>
          <w:szCs w:val="22"/>
        </w:rPr>
        <w:t xml:space="preserve"> El </w:t>
      </w:r>
      <w:r w:rsidRPr="00866721">
        <w:rPr>
          <w:rFonts w:ascii="Palatino Linotype" w:eastAsia="Palatino Linotype" w:hAnsi="Palatino Linotype" w:cs="Palatino Linotype"/>
          <w:b/>
          <w:sz w:val="22"/>
          <w:szCs w:val="22"/>
        </w:rPr>
        <w:t xml:space="preserve">siete de marzo de dos mil veinticinco, </w:t>
      </w:r>
      <w:r w:rsidRPr="0086672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66721">
        <w:rPr>
          <w:rFonts w:ascii="Palatino Linotype" w:eastAsia="Palatino Linotype" w:hAnsi="Palatino Linotype" w:cs="Palatino Linotype"/>
          <w:b/>
          <w:sz w:val="22"/>
          <w:szCs w:val="22"/>
        </w:rPr>
        <w:t xml:space="preserve">Sujeto Obligado </w:t>
      </w:r>
      <w:r w:rsidRPr="00866721">
        <w:rPr>
          <w:rFonts w:ascii="Palatino Linotype" w:eastAsia="Palatino Linotype" w:hAnsi="Palatino Linotype" w:cs="Palatino Linotype"/>
          <w:sz w:val="22"/>
          <w:szCs w:val="22"/>
        </w:rPr>
        <w:t>presentara su informe justificado.</w:t>
      </w:r>
    </w:p>
    <w:p w14:paraId="70B84C81" w14:textId="77777777" w:rsidR="00555C44" w:rsidRPr="00866721" w:rsidRDefault="0047594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bookmarkStart w:id="3" w:name="_heading=h.2s8eyo1" w:colFirst="0" w:colLast="0"/>
      <w:bookmarkEnd w:id="3"/>
      <w:r w:rsidRPr="00866721">
        <w:rPr>
          <w:rFonts w:ascii="Palatino Linotype" w:eastAsia="Palatino Linotype" w:hAnsi="Palatino Linotype" w:cs="Palatino Linotype"/>
          <w:b/>
          <w:sz w:val="22"/>
          <w:szCs w:val="22"/>
        </w:rPr>
        <w:t>6. Manifestaciones e Informe Justificado</w:t>
      </w:r>
      <w:r w:rsidRPr="00866721">
        <w:rPr>
          <w:rFonts w:ascii="Palatino Linotype" w:eastAsia="Palatino Linotype" w:hAnsi="Palatino Linotype" w:cs="Palatino Linotype"/>
          <w:sz w:val="22"/>
          <w:szCs w:val="22"/>
        </w:rPr>
        <w:t xml:space="preserve">. El </w:t>
      </w:r>
      <w:r w:rsidRPr="00866721">
        <w:rPr>
          <w:rFonts w:ascii="Palatino Linotype" w:eastAsia="Palatino Linotype" w:hAnsi="Palatino Linotype" w:cs="Palatino Linotype"/>
          <w:b/>
          <w:sz w:val="22"/>
          <w:szCs w:val="22"/>
        </w:rPr>
        <w:t>doce de marzo de dos mil veinticinco</w:t>
      </w:r>
      <w:r w:rsidRPr="00866721">
        <w:rPr>
          <w:rFonts w:ascii="Palatino Linotype" w:eastAsia="Palatino Linotype" w:hAnsi="Palatino Linotype" w:cs="Palatino Linotype"/>
          <w:sz w:val="22"/>
          <w:szCs w:val="22"/>
        </w:rPr>
        <w:t>, el Sujeto Obligado rindió su informe justificado, mediante el cual ratificó en lo sustancial la respuesta inicial respecto a la declaración de incompetencia, no obstante, se hizo del conocimiento de la persona solicitante con la finalidad de que manifestara lo que a su derecho estimara conveniente.</w:t>
      </w:r>
    </w:p>
    <w:p w14:paraId="695BDF4E"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El </w:t>
      </w:r>
      <w:r w:rsidRPr="00866721">
        <w:rPr>
          <w:rFonts w:ascii="Palatino Linotype" w:eastAsia="Palatino Linotype" w:hAnsi="Palatino Linotype" w:cs="Palatino Linotype"/>
          <w:b/>
          <w:sz w:val="22"/>
          <w:szCs w:val="22"/>
        </w:rPr>
        <w:t xml:space="preserve">catorce de marzo de dos mil veinticinco, </w:t>
      </w:r>
      <w:r w:rsidRPr="00866721">
        <w:rPr>
          <w:rFonts w:ascii="Palatino Linotype" w:eastAsia="Palatino Linotype" w:hAnsi="Palatino Linotype" w:cs="Palatino Linotype"/>
          <w:sz w:val="22"/>
          <w:szCs w:val="22"/>
        </w:rPr>
        <w:t xml:space="preserve">la </w:t>
      </w:r>
      <w:r w:rsidRPr="00866721">
        <w:rPr>
          <w:rFonts w:ascii="Palatino Linotype" w:eastAsia="Palatino Linotype" w:hAnsi="Palatino Linotype" w:cs="Palatino Linotype"/>
          <w:b/>
          <w:sz w:val="22"/>
          <w:szCs w:val="22"/>
        </w:rPr>
        <w:t>parte Recurrente</w:t>
      </w:r>
      <w:r w:rsidRPr="00866721">
        <w:rPr>
          <w:rFonts w:ascii="Palatino Linotype" w:eastAsia="Palatino Linotype" w:hAnsi="Palatino Linotype" w:cs="Palatino Linotype"/>
          <w:sz w:val="22"/>
          <w:szCs w:val="22"/>
        </w:rPr>
        <w:t>, adjuntó nuevamente la digitalización por ambos lados de su Credencial para Votar, así como el Anexo de Ejecución / Apoyo Financiero 2024 SEMS-EL COBAEM-MÉXICO 0236/24.</w:t>
      </w:r>
    </w:p>
    <w:p w14:paraId="0492A9A7" w14:textId="77777777" w:rsidR="00555C44" w:rsidRPr="00866721" w:rsidRDefault="0047594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b/>
          <w:sz w:val="22"/>
          <w:szCs w:val="22"/>
        </w:rPr>
        <w:lastRenderedPageBreak/>
        <w:t xml:space="preserve">7. Reconducción de Vía. </w:t>
      </w:r>
      <w:r w:rsidRPr="00866721">
        <w:rPr>
          <w:rFonts w:ascii="Palatino Linotype" w:eastAsia="Palatino Linotype" w:hAnsi="Palatino Linotype" w:cs="Palatino Linotype"/>
          <w:sz w:val="22"/>
          <w:szCs w:val="22"/>
        </w:rPr>
        <w:t>El</w:t>
      </w:r>
      <w:r w:rsidRPr="00866721">
        <w:rPr>
          <w:rFonts w:ascii="Palatino Linotype" w:eastAsia="Palatino Linotype" w:hAnsi="Palatino Linotype" w:cs="Palatino Linotype"/>
          <w:b/>
          <w:sz w:val="22"/>
          <w:szCs w:val="22"/>
        </w:rPr>
        <w:t xml:space="preserve"> siete de abril de dos mil veinticinco, </w:t>
      </w:r>
      <w:r w:rsidRPr="00866721">
        <w:rPr>
          <w:rFonts w:ascii="Palatino Linotype" w:eastAsia="Palatino Linotype" w:hAnsi="Palatino Linotype" w:cs="Palatino Linotype"/>
          <w:sz w:val="22"/>
          <w:szCs w:val="22"/>
        </w:rPr>
        <w:t>se notificó a las partes</w:t>
      </w:r>
      <w:r w:rsidRPr="00866721">
        <w:rPr>
          <w:rFonts w:ascii="Palatino Linotype" w:eastAsia="Palatino Linotype" w:hAnsi="Palatino Linotype" w:cs="Palatino Linotype"/>
        </w:rPr>
        <w:t xml:space="preserve">, </w:t>
      </w:r>
      <w:r w:rsidRPr="00866721">
        <w:rPr>
          <w:rFonts w:ascii="Palatino Linotype" w:eastAsia="Palatino Linotype" w:hAnsi="Palatino Linotype" w:cs="Palatino Linotype"/>
          <w:sz w:val="22"/>
          <w:szCs w:val="22"/>
        </w:rPr>
        <w:t xml:space="preserve">el acuerdo por el que se recondujo la vía para dar tratamiento al presente Recurso de Revisión, vía Derecho de Acceso, Rectificación, Cancelación y Oposición –para posteriores referencias, Derechos ARCO-, toda vez que se determinó que 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solicitó acceso a sus datos personales, 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w:t>
      </w:r>
    </w:p>
    <w:p w14:paraId="098317E1" w14:textId="77777777" w:rsidR="00555C44" w:rsidRPr="00866721" w:rsidRDefault="00555C4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537CCA9" w14:textId="77777777" w:rsidR="00555C44" w:rsidRPr="00866721" w:rsidRDefault="00475940">
      <w:pPr>
        <w:spacing w:after="240" w:line="360" w:lineRule="auto"/>
        <w:ind w:left="567" w:right="900"/>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a) Tener por acreditada la identidad de 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dentro del presente Recurso de Revisión. </w:t>
      </w:r>
    </w:p>
    <w:p w14:paraId="48B33288" w14:textId="77777777" w:rsidR="00555C44" w:rsidRPr="00866721" w:rsidRDefault="00475940">
      <w:pPr>
        <w:spacing w:after="240" w:line="360" w:lineRule="auto"/>
        <w:ind w:left="567" w:right="900"/>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b) El requerimiento a las partes para que en un plazo no mayor a siete días manifestaran, por cualquier medio, su voluntad de conciliar, con el apercibimiento de que, en caso de no hacerlo, se tendría por precluido su derecho, para tales efectos; y</w:t>
      </w:r>
    </w:p>
    <w:p w14:paraId="1DA65BA8" w14:textId="77777777" w:rsidR="00555C44" w:rsidRPr="00866721" w:rsidRDefault="00475940">
      <w:pPr>
        <w:spacing w:after="160" w:line="360" w:lineRule="auto"/>
        <w:ind w:right="333"/>
        <w:jc w:val="both"/>
        <w:rPr>
          <w:rFonts w:ascii="Palatino Linotype" w:eastAsia="Palatino Linotype" w:hAnsi="Palatino Linotype" w:cs="Palatino Linotype"/>
          <w:sz w:val="20"/>
          <w:szCs w:val="20"/>
          <w:u w:val="single"/>
        </w:rPr>
      </w:pPr>
      <w:r w:rsidRPr="00866721">
        <w:rPr>
          <w:rFonts w:ascii="Palatino Linotype" w:eastAsia="Palatino Linotype" w:hAnsi="Palatino Linotype" w:cs="Palatino Linotype"/>
          <w:b/>
          <w:sz w:val="22"/>
          <w:szCs w:val="22"/>
        </w:rPr>
        <w:t>8. Conciliación</w:t>
      </w:r>
      <w:r w:rsidRPr="00866721">
        <w:rPr>
          <w:rFonts w:ascii="Palatino Linotype" w:eastAsia="Palatino Linotype" w:hAnsi="Palatino Linotype" w:cs="Palatino Linotype"/>
          <w:b/>
        </w:rPr>
        <w:t xml:space="preserve">. </w:t>
      </w:r>
      <w:r w:rsidRPr="00866721">
        <w:rPr>
          <w:rFonts w:ascii="Palatino Linotype" w:eastAsia="Palatino Linotype" w:hAnsi="Palatino Linotype" w:cs="Palatino Linotype"/>
          <w:sz w:val="22"/>
          <w:szCs w:val="22"/>
        </w:rPr>
        <w:t xml:space="preserve">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u w:val="single"/>
        </w:rPr>
        <w:t>expresó su voluntad para conciliar en el presente asunto</w:t>
      </w:r>
      <w:r w:rsidRPr="00866721">
        <w:rPr>
          <w:rFonts w:ascii="Palatino Linotype" w:eastAsia="Palatino Linotype" w:hAnsi="Palatino Linotype" w:cs="Palatino Linotype"/>
          <w:sz w:val="22"/>
          <w:szCs w:val="22"/>
        </w:rPr>
        <w:t xml:space="preserve">, el </w:t>
      </w:r>
      <w:r w:rsidRPr="00866721">
        <w:rPr>
          <w:rFonts w:ascii="Palatino Linotype" w:eastAsia="Palatino Linotype" w:hAnsi="Palatino Linotype" w:cs="Palatino Linotype"/>
          <w:b/>
          <w:sz w:val="22"/>
          <w:szCs w:val="22"/>
        </w:rPr>
        <w:t>ocho de abril de dos mil veinticinco</w:t>
      </w:r>
      <w:r w:rsidRPr="00866721">
        <w:rPr>
          <w:rFonts w:ascii="Palatino Linotype" w:eastAsia="Palatino Linotype" w:hAnsi="Palatino Linotype" w:cs="Palatino Linotype"/>
          <w:sz w:val="22"/>
          <w:szCs w:val="22"/>
        </w:rPr>
        <w:t xml:space="preserve">, a través del SAIMEX, mientras que el </w:t>
      </w:r>
      <w:r w:rsidRPr="00866721">
        <w:rPr>
          <w:rFonts w:ascii="Palatino Linotype" w:eastAsia="Palatino Linotype" w:hAnsi="Palatino Linotype" w:cs="Palatino Linotype"/>
          <w:b/>
          <w:sz w:val="22"/>
          <w:szCs w:val="22"/>
        </w:rPr>
        <w:t xml:space="preserve">Sujeto Obligado, </w:t>
      </w:r>
      <w:r w:rsidRPr="00866721">
        <w:rPr>
          <w:rFonts w:ascii="Palatino Linotype" w:eastAsia="Palatino Linotype" w:hAnsi="Palatino Linotype" w:cs="Palatino Linotype"/>
          <w:sz w:val="22"/>
          <w:szCs w:val="22"/>
        </w:rPr>
        <w:t xml:space="preserve">el </w:t>
      </w:r>
      <w:r w:rsidRPr="00866721">
        <w:rPr>
          <w:rFonts w:ascii="Palatino Linotype" w:eastAsia="Palatino Linotype" w:hAnsi="Palatino Linotype" w:cs="Palatino Linotype"/>
          <w:b/>
          <w:sz w:val="22"/>
          <w:szCs w:val="22"/>
        </w:rPr>
        <w:t>veintidós de abril de dos mil veinticinco</w:t>
      </w:r>
      <w:r w:rsidRPr="00866721">
        <w:rPr>
          <w:rFonts w:ascii="Palatino Linotype" w:eastAsia="Palatino Linotype" w:hAnsi="Palatino Linotype" w:cs="Palatino Linotype"/>
          <w:sz w:val="22"/>
          <w:szCs w:val="22"/>
        </w:rPr>
        <w:t xml:space="preserve">, adjuntó el oficio número 20700004S/UT-0747/2025, mediante el cual manifiesta medularmente que </w:t>
      </w:r>
      <w:r w:rsidRPr="00866721">
        <w:rPr>
          <w:rFonts w:ascii="Palatino Linotype" w:eastAsia="Palatino Linotype" w:hAnsi="Palatino Linotype" w:cs="Palatino Linotype"/>
          <w:b/>
          <w:sz w:val="22"/>
          <w:szCs w:val="22"/>
          <w:u w:val="single"/>
        </w:rPr>
        <w:t>no es posible llevar a cabo la conciliación</w:t>
      </w:r>
      <w:r w:rsidRPr="00866721">
        <w:rPr>
          <w:rFonts w:ascii="Palatino Linotype" w:eastAsia="Palatino Linotype" w:hAnsi="Palatino Linotype" w:cs="Palatino Linotype"/>
          <w:sz w:val="22"/>
          <w:szCs w:val="22"/>
        </w:rPr>
        <w:t xml:space="preserve">, en virtud de que no cuenta con la competencia para conocer de la información solicitada, por lo que ante la inexistencia de una voluntad reciproca para conciliar en el presente asunto y una vez que transcurrió el plazo para ello, el </w:t>
      </w:r>
      <w:r w:rsidRPr="00866721">
        <w:rPr>
          <w:rFonts w:ascii="Palatino Linotype" w:eastAsia="Palatino Linotype" w:hAnsi="Palatino Linotype" w:cs="Palatino Linotype"/>
          <w:b/>
          <w:sz w:val="22"/>
          <w:szCs w:val="22"/>
        </w:rPr>
        <w:t>veinticuatro de abril de dos mil veinticuatro</w:t>
      </w:r>
      <w:r w:rsidRPr="00866721">
        <w:rPr>
          <w:rFonts w:ascii="Palatino Linotype" w:eastAsia="Palatino Linotype" w:hAnsi="Palatino Linotype" w:cs="Palatino Linotype"/>
          <w:sz w:val="22"/>
          <w:szCs w:val="22"/>
        </w:rPr>
        <w:t>, se emitió acuerdo de preclusión de la etapa de conciliación y se continuó con el trámite del presente recurso de revisión.</w:t>
      </w:r>
    </w:p>
    <w:p w14:paraId="1217041E" w14:textId="77777777" w:rsidR="00555C44" w:rsidRPr="00866721" w:rsidRDefault="00475940">
      <w:pPr>
        <w:spacing w:after="160" w:line="360" w:lineRule="auto"/>
        <w:ind w:right="333"/>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b/>
          <w:sz w:val="22"/>
          <w:szCs w:val="22"/>
        </w:rPr>
        <w:lastRenderedPageBreak/>
        <w:t xml:space="preserve">9. Cierre de instrucción. </w:t>
      </w:r>
      <w:r w:rsidRPr="00866721">
        <w:rPr>
          <w:rFonts w:ascii="Palatino Linotype" w:eastAsia="Palatino Linotype" w:hAnsi="Palatino Linotype" w:cs="Palatino Linotype"/>
          <w:sz w:val="22"/>
          <w:szCs w:val="22"/>
        </w:rPr>
        <w:t xml:space="preserve">El </w:t>
      </w:r>
      <w:r w:rsidRPr="00866721">
        <w:rPr>
          <w:rFonts w:ascii="Palatino Linotype" w:eastAsia="Palatino Linotype" w:hAnsi="Palatino Linotype" w:cs="Palatino Linotype"/>
          <w:b/>
          <w:sz w:val="22"/>
          <w:szCs w:val="22"/>
        </w:rPr>
        <w:t>treinta de abril de dos mil veinticuatro</w:t>
      </w:r>
      <w:r w:rsidRPr="00866721">
        <w:rPr>
          <w:rFonts w:ascii="Palatino Linotype" w:eastAsia="Palatino Linotype" w:hAnsi="Palatino Linotype" w:cs="Palatino Linotype"/>
          <w:sz w:val="22"/>
          <w:szCs w:val="22"/>
        </w:rPr>
        <w:t>, ante la inexistencia de una voluntad reciproca para conciliar en el presente asunto se tuvo por prelucido el derecho de las partes para llevar a cabo la conciliación,  y al no existir actuación procesal pendiente que llevar a cabo en el presente asunto,  se  decretó el cierre de instrucción  con fundamento en lo dispuesto por el artículo 185, fracción VI, de la Ley de Transparencia y Acceso a la Información Pública del Estado de México y Municipios, de aplicación supletoria.</w:t>
      </w:r>
    </w:p>
    <w:p w14:paraId="18059C56"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A4B53E1" w14:textId="77777777" w:rsidR="00555C44" w:rsidRPr="00866721" w:rsidRDefault="00475940">
      <w:pPr>
        <w:widowControl w:val="0"/>
        <w:spacing w:before="240" w:after="240" w:line="360" w:lineRule="auto"/>
        <w:jc w:val="center"/>
        <w:rPr>
          <w:rFonts w:ascii="Palatino Linotype" w:eastAsia="Palatino Linotype" w:hAnsi="Palatino Linotype" w:cs="Palatino Linotype"/>
          <w:b/>
          <w:sz w:val="22"/>
          <w:szCs w:val="22"/>
        </w:rPr>
      </w:pPr>
      <w:r w:rsidRPr="00866721">
        <w:rPr>
          <w:rFonts w:ascii="Palatino Linotype" w:eastAsia="Palatino Linotype" w:hAnsi="Palatino Linotype" w:cs="Palatino Linotype"/>
          <w:b/>
          <w:sz w:val="22"/>
          <w:szCs w:val="22"/>
        </w:rPr>
        <w:t>II. C O N S I D E R A N D O S</w:t>
      </w:r>
    </w:p>
    <w:p w14:paraId="26DDA0E7" w14:textId="77777777" w:rsidR="00555C44" w:rsidRPr="00866721" w:rsidRDefault="00475940">
      <w:pPr>
        <w:spacing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b/>
          <w:sz w:val="22"/>
          <w:szCs w:val="22"/>
        </w:rPr>
        <w:t>Primero. Competencia.</w:t>
      </w:r>
      <w:r w:rsidRPr="0086672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w:t>
      </w:r>
      <w:r w:rsidRPr="00866721">
        <w:rPr>
          <w:rFonts w:ascii="Palatino Linotype" w:eastAsia="Palatino Linotype" w:hAnsi="Palatino Linotype" w:cs="Palatino Linotype"/>
          <w:b/>
          <w:sz w:val="22"/>
          <w:szCs w:val="22"/>
        </w:rPr>
        <w:t xml:space="preserve"> Recurrente</w:t>
      </w:r>
      <w:r w:rsidRPr="00866721">
        <w:rPr>
          <w:rFonts w:ascii="Palatino Linotype" w:eastAsia="Palatino Linotype" w:hAnsi="Palatino Linotype" w:cs="Palatino Linotype"/>
          <w:sz w:val="22"/>
          <w:szCs w:val="22"/>
        </w:rPr>
        <w:t>, conforme a lo dispuesto en los artículos 5°, párrafos trigésimo séptimo, trigésimo octavo y trigésimo noveno, fracciones I, II, III, IV y V de la Constitución Política del Estado Libre y Soberano de México; 127, 129, 133 y 135 de la Ley de Protección de Datos Personales en Posesión de Sujetos Obligados del Estado de México y Municipios; 1°, 2°, fracciones II y IV; 13, 29, 36, fracciones I y II; 176, 178, 179, 181 párrafo tercero, 185, 188 y 189 de la Ley Transparencia y Acceso a la Información Pública del Estado de México y Municipios supletoria de la Ley de Protección de Datos Personales para la sustanciación de recursos de revisión; 7°, 9°, fracciones I y XXIII y 11 del Reglamento Interior del Instituto de Transparencia, Acceso a la Información Pública y Protección de Datos Personales del Estado de México y Municipios.</w:t>
      </w:r>
    </w:p>
    <w:p w14:paraId="1F72804F"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bookmarkStart w:id="4" w:name="_heading=h.tyjcwt" w:colFirst="0" w:colLast="0"/>
      <w:bookmarkEnd w:id="4"/>
      <w:r w:rsidRPr="00866721">
        <w:rPr>
          <w:rFonts w:ascii="Palatino Linotype" w:eastAsia="Palatino Linotype" w:hAnsi="Palatino Linotype" w:cs="Palatino Linotype"/>
          <w:b/>
          <w:sz w:val="22"/>
          <w:szCs w:val="22"/>
        </w:rPr>
        <w:lastRenderedPageBreak/>
        <w:t xml:space="preserve">Segundo. Oportunidad y Procedibilidad del Recurso de Revisión. </w:t>
      </w:r>
      <w:r w:rsidRPr="00866721">
        <w:rPr>
          <w:rFonts w:ascii="Palatino Linotype" w:eastAsia="Palatino Linotype" w:hAnsi="Palatino Linotype" w:cs="Palatino Linotype"/>
          <w:sz w:val="22"/>
          <w:szCs w:val="22"/>
        </w:rPr>
        <w:t xml:space="preserve">De conformidad con los requisitos de Oportunidad y Procedibilidad que deben reunir los recursos de revisión interpuestos, previstos en los artículos 128 y 130 de la Ley de Protección de Datos Personales en Posesión de Sujetos Obligados del Estado de México y Municipios; en la especie se advierte que el presente medio de impugnación fue interpuesto dentro del plazo de quince días previsto en el primer artículo de referencia; toda vez que 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declaró su incompetencia para atender la solicitud de información de 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el</w:t>
      </w:r>
      <w:r w:rsidRPr="00866721">
        <w:rPr>
          <w:rFonts w:ascii="Palatino Linotype" w:eastAsia="Palatino Linotype" w:hAnsi="Palatino Linotype" w:cs="Palatino Linotype"/>
          <w:b/>
          <w:sz w:val="22"/>
          <w:szCs w:val="22"/>
        </w:rPr>
        <w:t xml:space="preserve"> veinte de febrero del año dos mil veinticinco,</w:t>
      </w:r>
      <w:r w:rsidRPr="00866721">
        <w:rPr>
          <w:rFonts w:ascii="Palatino Linotype" w:eastAsia="Palatino Linotype" w:hAnsi="Palatino Linotype" w:cs="Palatino Linotype"/>
          <w:sz w:val="22"/>
          <w:szCs w:val="22"/>
        </w:rPr>
        <w:t xml:space="preserve"> mientras que </w:t>
      </w:r>
      <w:r w:rsidRPr="00866721">
        <w:rPr>
          <w:rFonts w:ascii="Palatino Linotype" w:eastAsia="Palatino Linotype" w:hAnsi="Palatino Linotype" w:cs="Palatino Linotype"/>
          <w:b/>
          <w:sz w:val="22"/>
          <w:szCs w:val="22"/>
        </w:rPr>
        <w:t>la parte</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interpuso su recurso de revisión el </w:t>
      </w:r>
      <w:r w:rsidRPr="00866721">
        <w:rPr>
          <w:rFonts w:ascii="Palatino Linotype" w:eastAsia="Palatino Linotype" w:hAnsi="Palatino Linotype" w:cs="Palatino Linotype"/>
          <w:b/>
          <w:sz w:val="22"/>
          <w:szCs w:val="22"/>
        </w:rPr>
        <w:t>cuatro de marzo de dos mil veinticinco</w:t>
      </w:r>
      <w:r w:rsidRPr="00866721">
        <w:rPr>
          <w:rFonts w:ascii="Palatino Linotype" w:eastAsia="Palatino Linotype" w:hAnsi="Palatino Linotype" w:cs="Palatino Linotype"/>
          <w:sz w:val="22"/>
          <w:szCs w:val="22"/>
        </w:rPr>
        <w:t xml:space="preserve">, esto es al </w:t>
      </w:r>
      <w:r w:rsidRPr="00866721">
        <w:rPr>
          <w:rFonts w:ascii="Palatino Linotype" w:eastAsia="Palatino Linotype" w:hAnsi="Palatino Linotype" w:cs="Palatino Linotype"/>
          <w:b/>
          <w:sz w:val="22"/>
          <w:szCs w:val="22"/>
        </w:rPr>
        <w:t>séptimo día hábil</w:t>
      </w:r>
      <w:r w:rsidRPr="00866721">
        <w:rPr>
          <w:rFonts w:ascii="Palatino Linotype" w:eastAsia="Palatino Linotype" w:hAnsi="Palatino Linotype" w:cs="Palatino Linotype"/>
          <w:sz w:val="22"/>
          <w:szCs w:val="22"/>
        </w:rPr>
        <w:t xml:space="preserve"> de tener conocimiento de la incompetencia para atender la solicitud de información, por lo que se encuentra dentro de los márgenes temporales previstos en el artículo 128 de la Ley de Protección de Datos Personales en Posesión de Sujetos Obligados del Estado de México y Municipios y, por tanto, su interposición se considera oportuna.</w:t>
      </w:r>
    </w:p>
    <w:p w14:paraId="06B107A2"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Finalmente, se advierte que resulta procedente la interposición del recurso, según lo manifestado por </w:t>
      </w:r>
      <w:r w:rsidRPr="00866721">
        <w:rPr>
          <w:rFonts w:ascii="Palatino Linotype" w:eastAsia="Palatino Linotype" w:hAnsi="Palatino Linotype" w:cs="Palatino Linotype"/>
          <w:b/>
          <w:sz w:val="22"/>
          <w:szCs w:val="22"/>
        </w:rPr>
        <w:t>la parte</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en sus motivos de inconformidad, de acuerdo al artículo 129, fracción III de la Ley de Protección de Datos Personales aplicable a la entidad, que a la letra dice: </w:t>
      </w:r>
    </w:p>
    <w:p w14:paraId="507E766A" w14:textId="77777777" w:rsidR="00555C44" w:rsidRPr="00866721" w:rsidRDefault="00475940">
      <w:pP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b/>
          <w:i/>
          <w:sz w:val="22"/>
          <w:szCs w:val="22"/>
        </w:rPr>
        <w:t xml:space="preserve">Artículo 129. </w:t>
      </w:r>
      <w:r w:rsidRPr="00866721">
        <w:rPr>
          <w:rFonts w:ascii="Palatino Linotype" w:eastAsia="Palatino Linotype" w:hAnsi="Palatino Linotype" w:cs="Palatino Linotype"/>
          <w:i/>
          <w:sz w:val="22"/>
          <w:szCs w:val="22"/>
        </w:rPr>
        <w:t>El recurso de revisión procederá en los supuestos siguientes:</w:t>
      </w:r>
    </w:p>
    <w:p w14:paraId="1E91B2ED" w14:textId="77777777" w:rsidR="00555C44" w:rsidRPr="00866721" w:rsidRDefault="00475940">
      <w:pP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5689EF95" w14:textId="77777777" w:rsidR="00555C44" w:rsidRPr="00866721" w:rsidRDefault="00475940">
      <w:pPr>
        <w:spacing w:before="120" w:after="120"/>
        <w:ind w:left="567"/>
        <w:rPr>
          <w:rFonts w:ascii="Palatino Linotype" w:eastAsia="Palatino Linotype" w:hAnsi="Palatino Linotype" w:cs="Palatino Linotype"/>
          <w:b/>
          <w:i/>
          <w:sz w:val="22"/>
          <w:szCs w:val="22"/>
        </w:rPr>
      </w:pPr>
      <w:r w:rsidRPr="00866721">
        <w:rPr>
          <w:rFonts w:ascii="Palatino Linotype" w:eastAsia="Palatino Linotype" w:hAnsi="Palatino Linotype" w:cs="Palatino Linotype"/>
          <w:b/>
          <w:i/>
          <w:sz w:val="22"/>
          <w:szCs w:val="22"/>
        </w:rPr>
        <w:t xml:space="preserve">III. Se declare la incompetencia por el responsable.;” </w:t>
      </w:r>
    </w:p>
    <w:p w14:paraId="04B91DE5" w14:textId="77777777" w:rsidR="00555C44" w:rsidRPr="00866721" w:rsidRDefault="00475940">
      <w:pPr>
        <w:spacing w:before="120" w:after="120"/>
        <w:ind w:left="567"/>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(Énfasis añadido)</w:t>
      </w:r>
    </w:p>
    <w:p w14:paraId="4CBC89D8" w14:textId="77777777" w:rsidR="00555C44" w:rsidRPr="00866721" w:rsidRDefault="00555C44">
      <w:pPr>
        <w:spacing w:line="360" w:lineRule="auto"/>
        <w:ind w:right="49"/>
        <w:jc w:val="both"/>
        <w:rPr>
          <w:rFonts w:ascii="Palatino Linotype" w:eastAsia="Palatino Linotype" w:hAnsi="Palatino Linotype" w:cs="Palatino Linotype"/>
          <w:b/>
          <w:sz w:val="22"/>
          <w:szCs w:val="22"/>
        </w:rPr>
      </w:pPr>
    </w:p>
    <w:p w14:paraId="78011163" w14:textId="77777777" w:rsidR="00555C44" w:rsidRPr="00866721" w:rsidRDefault="00475940">
      <w:pPr>
        <w:spacing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b/>
          <w:sz w:val="22"/>
          <w:szCs w:val="22"/>
        </w:rPr>
        <w:t xml:space="preserve">Tercero. Estudio de fondo del asunto. </w:t>
      </w:r>
      <w:r w:rsidRPr="00866721">
        <w:rPr>
          <w:rFonts w:ascii="Palatino Linotype" w:eastAsia="Palatino Linotype" w:hAnsi="Palatino Linotype" w:cs="Palatino Linotype"/>
          <w:sz w:val="22"/>
          <w:szCs w:val="22"/>
        </w:rPr>
        <w:t xml:space="preserve">En primer término, es de señalar que el ejercicio de los derechos de acceso, rectificación, cancelación y oposición, ARCO, se encuentra regulado por el artículo 6 apartado A, fracción II, párrafo primero, y 16, párrafo segundo de la Constitución de los Estados Unidos Mexicanos, los cuales establecen lo siguiente: </w:t>
      </w:r>
    </w:p>
    <w:p w14:paraId="5C04EEB6" w14:textId="77777777" w:rsidR="00555C44" w:rsidRPr="00866721" w:rsidRDefault="00475940">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lastRenderedPageBreak/>
        <w:t>“</w:t>
      </w:r>
      <w:r w:rsidRPr="00866721">
        <w:rPr>
          <w:rFonts w:ascii="Palatino Linotype" w:eastAsia="Palatino Linotype" w:hAnsi="Palatino Linotype" w:cs="Palatino Linotype"/>
          <w:b/>
          <w:i/>
          <w:sz w:val="22"/>
          <w:szCs w:val="22"/>
        </w:rPr>
        <w:t>Artículo 6o.</w:t>
      </w:r>
    </w:p>
    <w:p w14:paraId="44469DC0" w14:textId="77777777" w:rsidR="00555C44" w:rsidRPr="00866721" w:rsidRDefault="00475940">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641E9C39" w14:textId="77777777" w:rsidR="00555C44" w:rsidRPr="00866721" w:rsidRDefault="00475940">
      <w:pPr>
        <w:tabs>
          <w:tab w:val="left" w:pos="7513"/>
          <w:tab w:val="left" w:pos="7797"/>
          <w:tab w:val="left" w:pos="7938"/>
        </w:tabs>
        <w:spacing w:before="120" w:after="120"/>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A.</w:t>
      </w:r>
      <w:r w:rsidRPr="00866721">
        <w:rPr>
          <w:rFonts w:ascii="Palatino Linotype" w:eastAsia="Palatino Linotype" w:hAnsi="Palatino Linotype" w:cs="Palatino Linotype"/>
          <w:i/>
          <w:sz w:val="22"/>
          <w:szCs w:val="22"/>
        </w:rPr>
        <w:t xml:space="preserve"> Para el ejercicio del derecho de acceso a la información, la Federación y las entidades federativas, en el ámbito de sus respectivas competencias, se regirán por los siguientes principios y bases:</w:t>
      </w:r>
    </w:p>
    <w:p w14:paraId="055C2FDF" w14:textId="77777777" w:rsidR="00555C44" w:rsidRPr="00866721" w:rsidRDefault="00475940">
      <w:pPr>
        <w:tabs>
          <w:tab w:val="left" w:pos="7797"/>
          <w:tab w:val="left" w:pos="7938"/>
        </w:tabs>
        <w:spacing w:before="120" w:after="120"/>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3CA52679" w14:textId="77777777" w:rsidR="00555C44" w:rsidRPr="00866721" w:rsidRDefault="00475940">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II.</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 xml:space="preserve">La información que se refiere a la vida privada y los datos personales será protegida </w:t>
      </w:r>
      <w:r w:rsidRPr="00866721">
        <w:rPr>
          <w:rFonts w:ascii="Palatino Linotype" w:eastAsia="Palatino Linotype" w:hAnsi="Palatino Linotype" w:cs="Palatino Linotype"/>
          <w:i/>
          <w:sz w:val="22"/>
          <w:szCs w:val="22"/>
        </w:rPr>
        <w:t>en los términos y con las excepciones que fijen las leyes. Para tal efecto, los sujetos obligados contarán con las facultades suficientes para su atención.</w:t>
      </w:r>
      <w:r w:rsidRPr="00866721">
        <w:rPr>
          <w:rFonts w:ascii="Palatino Linotype" w:eastAsia="Palatino Linotype" w:hAnsi="Palatino Linotype" w:cs="Palatino Linotype"/>
          <w:i/>
          <w:sz w:val="22"/>
          <w:szCs w:val="22"/>
        </w:rPr>
        <w:br/>
        <w:t>...</w:t>
      </w:r>
    </w:p>
    <w:p w14:paraId="26C1CD18" w14:textId="77777777" w:rsidR="00555C44" w:rsidRPr="00866721" w:rsidRDefault="00475940">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Artículo 16.</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i/>
          <w:sz w:val="22"/>
          <w:szCs w:val="22"/>
        </w:rPr>
        <w:t xml:space="preserve">Toda persona </w:t>
      </w:r>
      <w:r w:rsidRPr="00866721">
        <w:rPr>
          <w:rFonts w:ascii="Palatino Linotype" w:eastAsia="Palatino Linotype" w:hAnsi="Palatino Linotype" w:cs="Palatino Linotype"/>
          <w:b/>
          <w:i/>
          <w:sz w:val="22"/>
          <w:szCs w:val="22"/>
        </w:rPr>
        <w:t xml:space="preserve">tiene derecho a la protección de sus datos personales, al acceso, </w:t>
      </w:r>
      <w:r w:rsidRPr="00866721">
        <w:rPr>
          <w:rFonts w:ascii="Palatino Linotype" w:eastAsia="Palatino Linotype" w:hAnsi="Palatino Linotype" w:cs="Palatino Linotype"/>
          <w:i/>
          <w:sz w:val="22"/>
          <w:szCs w:val="22"/>
        </w:rPr>
        <w:t>rectificación y cancelación de los mismos, así</w:t>
      </w:r>
      <w:r w:rsidRPr="00866721">
        <w:rPr>
          <w:rFonts w:ascii="Palatino Linotype" w:eastAsia="Palatino Linotype" w:hAnsi="Palatino Linotype" w:cs="Palatino Linotype"/>
          <w:b/>
          <w:i/>
          <w:sz w:val="22"/>
          <w:szCs w:val="22"/>
        </w:rPr>
        <w:t xml:space="preserve"> </w:t>
      </w:r>
      <w:r w:rsidRPr="00866721">
        <w:rPr>
          <w:rFonts w:ascii="Palatino Linotype" w:eastAsia="Palatino Linotype" w:hAnsi="Palatino Linotype" w:cs="Palatino Linotype"/>
          <w:i/>
          <w:sz w:val="22"/>
          <w:szCs w:val="22"/>
        </w:rPr>
        <w:t>como a manifestar su oposición, en los términos que fije la ley,</w:t>
      </w:r>
      <w:r w:rsidRPr="00866721">
        <w:rPr>
          <w:rFonts w:ascii="Palatino Linotype" w:eastAsia="Palatino Linotype" w:hAnsi="Palatino Linotype" w:cs="Palatino Linotype"/>
          <w:b/>
          <w:i/>
          <w:sz w:val="22"/>
          <w:szCs w:val="22"/>
        </w:rPr>
        <w:t xml:space="preserve"> </w:t>
      </w:r>
      <w:r w:rsidRPr="00866721">
        <w:rPr>
          <w:rFonts w:ascii="Palatino Linotype" w:eastAsia="Palatino Linotype" w:hAnsi="Palatino Linotype" w:cs="Palatino Linotype"/>
          <w:i/>
          <w:sz w:val="22"/>
          <w:szCs w:val="22"/>
        </w:rPr>
        <w:t xml:space="preserve">la cual establecerá los supuestos de excepción a los principios que rijan el tratamiento de datos, por razones de seguridad nacional, disposiciones de orden público, seguridad y salud públicas o para proteger los derechos de terceros.” </w:t>
      </w:r>
    </w:p>
    <w:p w14:paraId="73E5E317"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Derivado de lo anterior, se desprende que </w:t>
      </w:r>
      <w:r w:rsidRPr="00866721">
        <w:rPr>
          <w:rFonts w:ascii="Palatino Linotype" w:eastAsia="Palatino Linotype" w:hAnsi="Palatino Linotype" w:cs="Palatino Linotype"/>
          <w:b/>
          <w:sz w:val="22"/>
          <w:szCs w:val="22"/>
        </w:rPr>
        <w:t>la protección de datos personales</w:t>
      </w:r>
      <w:r w:rsidRPr="00866721">
        <w:rPr>
          <w:rFonts w:ascii="Palatino Linotype" w:eastAsia="Palatino Linotype" w:hAnsi="Palatino Linotype" w:cs="Palatino Linotype"/>
          <w:sz w:val="22"/>
          <w:szCs w:val="22"/>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5545CD3C" w14:textId="77777777" w:rsidR="00555C44" w:rsidRPr="00866721" w:rsidRDefault="00475940">
      <w:pPr>
        <w:spacing w:before="240" w:after="240" w:line="360" w:lineRule="auto"/>
        <w:jc w:val="both"/>
        <w:rPr>
          <w:rFonts w:ascii="Palatino Linotype" w:eastAsia="Palatino Linotype" w:hAnsi="Palatino Linotype" w:cs="Palatino Linotype"/>
          <w:b/>
          <w:sz w:val="22"/>
          <w:szCs w:val="22"/>
        </w:rPr>
      </w:pPr>
      <w:r w:rsidRPr="00866721">
        <w:rPr>
          <w:rFonts w:ascii="Palatino Linotype" w:eastAsia="Palatino Linotype" w:hAnsi="Palatino Linotype" w:cs="Palatino Linotype"/>
          <w:sz w:val="22"/>
          <w:szCs w:val="22"/>
        </w:rPr>
        <w:t>Ante tal premisa se puede apreciar que la inclusión</w:t>
      </w:r>
      <w:r w:rsidRPr="00866721">
        <w:rPr>
          <w:rFonts w:ascii="Palatino Linotype" w:eastAsia="Palatino Linotype" w:hAnsi="Palatino Linotype" w:cs="Palatino Linotype"/>
          <w:b/>
          <w:sz w:val="22"/>
          <w:szCs w:val="22"/>
        </w:rPr>
        <w:t xml:space="preserve"> del derecho al acceso de datos personales en nuestra Constitución permite que cualquier persona -titular de datos personales obtenga la protección en esta materia.</w:t>
      </w:r>
    </w:p>
    <w:p w14:paraId="71DF5594" w14:textId="77777777" w:rsidR="00555C44" w:rsidRPr="00866721" w:rsidRDefault="00475940">
      <w:pPr>
        <w:spacing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este sentido, la Ley de Protección de Datos Personales en Posesión de Sujetos Obligados del Estado de México y Municipios, señala expresamente que:</w:t>
      </w:r>
    </w:p>
    <w:p w14:paraId="1FE3065A"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b/>
          <w:i/>
          <w:sz w:val="22"/>
          <w:szCs w:val="22"/>
        </w:rPr>
        <w:t>Artículo 4</w:t>
      </w:r>
      <w:r w:rsidRPr="00866721">
        <w:rPr>
          <w:rFonts w:ascii="Palatino Linotype" w:eastAsia="Palatino Linotype" w:hAnsi="Palatino Linotype" w:cs="Palatino Linotype"/>
          <w:i/>
          <w:sz w:val="22"/>
          <w:szCs w:val="22"/>
        </w:rPr>
        <w:t>. Para los efectos de esta Ley se entenderá por:</w:t>
      </w:r>
    </w:p>
    <w:p w14:paraId="637780A3"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7A8ED42A"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lastRenderedPageBreak/>
        <w:t>XI.</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Datos personales</w:t>
      </w:r>
      <w:r w:rsidRPr="00866721">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546E3F20"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24788FCF"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XIII.</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Derechos ARCO:</w:t>
      </w:r>
      <w:r w:rsidRPr="00866721">
        <w:rPr>
          <w:rFonts w:ascii="Palatino Linotype" w:eastAsia="Palatino Linotype" w:hAnsi="Palatino Linotype" w:cs="Palatino Linotype"/>
          <w:i/>
          <w:sz w:val="22"/>
          <w:szCs w:val="22"/>
        </w:rPr>
        <w:t xml:space="preserve"> a los derechos de Acceso, Rectificación, Cancelación y Oposición al tratamiento de datos personales.</w:t>
      </w:r>
    </w:p>
    <w:p w14:paraId="4031C23B"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4FF51697"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sidRPr="00866721">
        <w:rPr>
          <w:rFonts w:ascii="Palatino Linotype" w:eastAsia="Palatino Linotype" w:hAnsi="Palatino Linotype" w:cs="Palatino Linotype"/>
          <w:i/>
          <w:sz w:val="22"/>
          <w:szCs w:val="22"/>
        </w:rPr>
        <w:t>.</w:t>
      </w:r>
    </w:p>
    <w:p w14:paraId="087091CD"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61960B03" w14:textId="77777777" w:rsidR="00555C44" w:rsidRPr="00866721" w:rsidRDefault="00475940">
      <w:pPr>
        <w:spacing w:before="120" w:after="120"/>
        <w:ind w:left="567" w:right="1185"/>
        <w:jc w:val="both"/>
        <w:rPr>
          <w:rFonts w:ascii="Palatino Linotype" w:eastAsia="Palatino Linotype" w:hAnsi="Palatino Linotype" w:cs="Palatino Linotype"/>
          <w:b/>
          <w:i/>
          <w:sz w:val="22"/>
          <w:szCs w:val="22"/>
          <w:u w:val="single"/>
        </w:rPr>
      </w:pPr>
      <w:r w:rsidRPr="00866721">
        <w:rPr>
          <w:rFonts w:ascii="Palatino Linotype" w:eastAsia="Palatino Linotype" w:hAnsi="Palatino Linotype" w:cs="Palatino Linotype"/>
          <w:b/>
          <w:i/>
          <w:sz w:val="22"/>
          <w:szCs w:val="22"/>
        </w:rPr>
        <w:t>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RPr="00866721">
        <w:rPr>
          <w:rFonts w:ascii="Palatino Linotype" w:eastAsia="Palatino Linotype" w:hAnsi="Palatino Linotype" w:cs="Palatino Linotype"/>
          <w:b/>
          <w:i/>
          <w:sz w:val="22"/>
          <w:szCs w:val="22"/>
          <w:u w:val="single"/>
        </w:rPr>
        <w:t>.</w:t>
      </w:r>
    </w:p>
    <w:p w14:paraId="54314C01"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023D9B02" w14:textId="77777777" w:rsidR="00555C44" w:rsidRPr="00866721" w:rsidRDefault="00475940">
      <w:pPr>
        <w:spacing w:before="120" w:after="120"/>
        <w:ind w:left="567" w:right="118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Artículo 98. El titular tiene derecho a</w:t>
      </w:r>
      <w:r w:rsidRPr="00866721">
        <w:rPr>
          <w:rFonts w:ascii="Palatino Linotype" w:eastAsia="Palatino Linotype" w:hAnsi="Palatino Linotype" w:cs="Palatino Linotype"/>
          <w:i/>
          <w:sz w:val="22"/>
          <w:szCs w:val="22"/>
        </w:rPr>
        <w:t xml:space="preserve"> acceder, </w:t>
      </w:r>
      <w:r w:rsidRPr="00866721">
        <w:rPr>
          <w:rFonts w:ascii="Palatino Linotype" w:eastAsia="Palatino Linotype" w:hAnsi="Palatino Linotype" w:cs="Palatino Linotype"/>
          <w:b/>
          <w:i/>
          <w:sz w:val="22"/>
          <w:szCs w:val="22"/>
        </w:rPr>
        <w:t>solicitar y ser informado sobre sus datos personales en posesión de los sujetos obligados</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las cesiones realizadas o que se pretendan realizar,</w:t>
      </w:r>
      <w:r w:rsidRPr="00866721">
        <w:rPr>
          <w:rFonts w:ascii="Palatino Linotype" w:eastAsia="Palatino Linotype" w:hAnsi="Palatino Linotype" w:cs="Palatino Linotype"/>
          <w:i/>
          <w:sz w:val="22"/>
          <w:szCs w:val="22"/>
        </w:rPr>
        <w:t xml:space="preserve"> así como tener acceso al aviso de privacidad al que está sujeto.</w:t>
      </w:r>
      <w:r w:rsidRPr="00866721">
        <w:rPr>
          <w:rFonts w:ascii="Palatino Linotype" w:eastAsia="Palatino Linotype" w:hAnsi="Palatino Linotype" w:cs="Palatino Linotype"/>
          <w:b/>
          <w:i/>
          <w:sz w:val="22"/>
          <w:szCs w:val="22"/>
        </w:rPr>
        <w:t xml:space="preserve">” </w:t>
      </w:r>
    </w:p>
    <w:p w14:paraId="10704AA3"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función de la normativa señalada, se desprenden las premisas siguientes:</w:t>
      </w:r>
    </w:p>
    <w:p w14:paraId="3EEBF774"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Primero, por datos personales se entenderá la información concerniente a una persona física identificada o identificable; y que se considera que una persona es </w:t>
      </w:r>
      <w:r w:rsidRPr="00866721">
        <w:rPr>
          <w:rFonts w:ascii="Palatino Linotype" w:eastAsia="Palatino Linotype" w:hAnsi="Palatino Linotype" w:cs="Palatino Linotype"/>
          <w:b/>
          <w:sz w:val="22"/>
          <w:szCs w:val="22"/>
        </w:rPr>
        <w:t>identificable cuando su identidad pueda determinarse directa o indirectamente a través de cualquier información</w:t>
      </w:r>
      <w:r w:rsidRPr="00866721">
        <w:rPr>
          <w:rFonts w:ascii="Palatino Linotype" w:eastAsia="Palatino Linotype" w:hAnsi="Palatino Linotype" w:cs="Palatino Linotype"/>
          <w:sz w:val="22"/>
          <w:szCs w:val="22"/>
        </w:rPr>
        <w:t>.</w:t>
      </w:r>
    </w:p>
    <w:p w14:paraId="7D80FC5F"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lastRenderedPageBreak/>
        <w:t xml:space="preserve">De igual manera, se destaca que en todo momento el </w:t>
      </w:r>
      <w:r w:rsidRPr="00866721">
        <w:rPr>
          <w:rFonts w:ascii="Palatino Linotype" w:eastAsia="Palatino Linotype" w:hAnsi="Palatino Linotype" w:cs="Palatino Linotype"/>
          <w:b/>
          <w:sz w:val="22"/>
          <w:szCs w:val="22"/>
        </w:rPr>
        <w:t>titular podrá solicitar al responsable</w:t>
      </w:r>
      <w:r w:rsidRPr="00866721">
        <w:rPr>
          <w:rFonts w:ascii="Palatino Linotype" w:eastAsia="Palatino Linotype" w:hAnsi="Palatino Linotype" w:cs="Palatino Linotype"/>
          <w:sz w:val="22"/>
          <w:szCs w:val="22"/>
        </w:rPr>
        <w:t xml:space="preserve">, el acceso, rectificación, cancelación u </w:t>
      </w:r>
      <w:r w:rsidRPr="00866721">
        <w:rPr>
          <w:rFonts w:ascii="Palatino Linotype" w:eastAsia="Palatino Linotype" w:hAnsi="Palatino Linotype" w:cs="Palatino Linotype"/>
          <w:b/>
          <w:sz w:val="22"/>
          <w:szCs w:val="22"/>
        </w:rPr>
        <w:t xml:space="preserve">oposición </w:t>
      </w:r>
      <w:r w:rsidRPr="00866721">
        <w:rPr>
          <w:rFonts w:ascii="Palatino Linotype" w:eastAsia="Palatino Linotype" w:hAnsi="Palatino Linotype" w:cs="Palatino Linotype"/>
          <w:sz w:val="22"/>
          <w:szCs w:val="22"/>
        </w:rPr>
        <w:t>-derechos ARCO- al tratamiento de los datos personales que le conciernen.</w:t>
      </w:r>
    </w:p>
    <w:p w14:paraId="585EC38B"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la</w:t>
      </w:r>
      <w:r w:rsidRPr="00866721">
        <w:rPr>
          <w:rFonts w:ascii="Palatino Linotype" w:eastAsia="Palatino Linotype" w:hAnsi="Palatino Linotype" w:cs="Palatino Linotype"/>
          <w:b/>
          <w:sz w:val="22"/>
          <w:szCs w:val="22"/>
        </w:rPr>
        <w:t xml:space="preserve"> recepción y trámite </w:t>
      </w:r>
      <w:r w:rsidRPr="00866721">
        <w:rPr>
          <w:rFonts w:ascii="Palatino Linotype" w:eastAsia="Palatino Linotype" w:hAnsi="Palatino Linotype" w:cs="Palatino Linotype"/>
          <w:sz w:val="22"/>
          <w:szCs w:val="22"/>
        </w:rPr>
        <w:t>de las solicitudes de ejercicio de los derechos ARCO,</w:t>
      </w:r>
      <w:r w:rsidRPr="00866721">
        <w:rPr>
          <w:rFonts w:ascii="Palatino Linotype" w:eastAsia="Palatino Linotype" w:hAnsi="Palatino Linotype" w:cs="Palatino Linotype"/>
          <w:b/>
          <w:sz w:val="22"/>
          <w:szCs w:val="22"/>
        </w:rPr>
        <w:t xml:space="preserve"> </w:t>
      </w:r>
      <w:r w:rsidRPr="00866721">
        <w:rPr>
          <w:rFonts w:ascii="Palatino Linotype" w:eastAsia="Palatino Linotype" w:hAnsi="Palatino Linotype" w:cs="Palatino Linotype"/>
          <w:sz w:val="22"/>
          <w:szCs w:val="22"/>
        </w:rPr>
        <w:t>que se formulen a los sujetos obligados</w:t>
      </w:r>
      <w:r w:rsidRPr="00866721">
        <w:rPr>
          <w:rFonts w:ascii="Palatino Linotype" w:eastAsia="Palatino Linotype" w:hAnsi="Palatino Linotype" w:cs="Palatino Linotype"/>
          <w:b/>
          <w:sz w:val="22"/>
          <w:szCs w:val="22"/>
        </w:rPr>
        <w:t>, se sujetará al procedimiento establecido en el Título Tercero de la Ley General de Protección de Datos Personales en Posesión de Sujetos Obligados</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rPr>
        <w:t>en consonancia con el Título Décimo de la Ley de Protección de Datos Personales en Posesión de Sujetos Obligados del Estado de México y Municipios</w:t>
      </w:r>
      <w:r w:rsidRPr="00866721">
        <w:rPr>
          <w:rFonts w:ascii="Palatino Linotype" w:eastAsia="Palatino Linotype" w:hAnsi="Palatino Linotype" w:cs="Palatino Linotype"/>
          <w:sz w:val="22"/>
          <w:szCs w:val="22"/>
        </w:rPr>
        <w:t xml:space="preserve"> y demás disposiciones que resulten aplicables en la materia.</w:t>
      </w:r>
    </w:p>
    <w:p w14:paraId="46808F3A"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866721">
        <w:rPr>
          <w:rFonts w:ascii="Palatino Linotype" w:eastAsia="Palatino Linotype" w:hAnsi="Palatino Linotype" w:cs="Palatino Linotype"/>
          <w:b/>
          <w:sz w:val="22"/>
          <w:szCs w:val="22"/>
        </w:rPr>
        <w:t>su obtención</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rPr>
        <w:t>uso, registro, organización, conservación, elaboración, utilización, comunicación, almacenamiento, posesión, acceso, manejo, aprovechamiento divulgación, difusión, transferencia o disposición</w:t>
      </w:r>
      <w:r w:rsidRPr="00866721">
        <w:rPr>
          <w:rFonts w:ascii="Palatino Linotype" w:eastAsia="Palatino Linotype" w:hAnsi="Palatino Linotype" w:cs="Palatino Linotype"/>
          <w:sz w:val="22"/>
          <w:szCs w:val="22"/>
        </w:rPr>
        <w:t>.</w:t>
      </w:r>
    </w:p>
    <w:p w14:paraId="4D0374D8"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18A654F8" w14:textId="77777777" w:rsidR="00555C44" w:rsidRPr="00866721" w:rsidRDefault="00475940">
      <w:pPr>
        <w:spacing w:before="240" w:after="240" w:line="360" w:lineRule="auto"/>
        <w:jc w:val="both"/>
        <w:rPr>
          <w:rFonts w:ascii="Palatino Linotype" w:eastAsia="Palatino Linotype" w:hAnsi="Palatino Linotype" w:cs="Palatino Linotype"/>
          <w:b/>
          <w:sz w:val="22"/>
          <w:szCs w:val="22"/>
        </w:rPr>
      </w:pPr>
      <w:r w:rsidRPr="00866721">
        <w:rPr>
          <w:rFonts w:ascii="Palatino Linotype" w:eastAsia="Palatino Linotype" w:hAnsi="Palatino Linotype" w:cs="Palatino Linotype"/>
          <w:sz w:val="22"/>
          <w:szCs w:val="22"/>
        </w:rPr>
        <w:t>Expuesto lo anterior, se procede al análisis de la totalidad de las constancias que integran el expediente electrónico del SAIMEX, con</w:t>
      </w:r>
      <w:r w:rsidRPr="00866721">
        <w:rPr>
          <w:rFonts w:ascii="Palatino Linotype" w:eastAsia="Palatino Linotype" w:hAnsi="Palatino Linotype" w:cs="Palatino Linotype"/>
          <w:b/>
          <w:sz w:val="22"/>
          <w:szCs w:val="22"/>
        </w:rPr>
        <w:t xml:space="preserve"> el objeto de determinar si la respuesta e informe justificado del Sujeto Obligado son adecuados y suficientes para satisfacer el derecho de acceso a los datos personales de la parte Recurrente, o en su defecto, en caso de ser procedente, ordenar la entrega de la documentación solicitada. </w:t>
      </w:r>
    </w:p>
    <w:p w14:paraId="4016610C"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lastRenderedPageBreak/>
        <w:t xml:space="preserve">Ahora bien, del análisis de la solicitud de acceso a datos personales, que motiva el recurso de revisión que ahora se resuelve, se advierte que </w:t>
      </w:r>
      <w:r w:rsidRPr="00866721">
        <w:rPr>
          <w:rFonts w:ascii="Palatino Linotype" w:eastAsia="Palatino Linotype" w:hAnsi="Palatino Linotype" w:cs="Palatino Linotype"/>
          <w:b/>
          <w:sz w:val="22"/>
          <w:szCs w:val="22"/>
        </w:rPr>
        <w:t>la parte</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requirió al </w:t>
      </w:r>
      <w:r w:rsidRPr="00866721">
        <w:rPr>
          <w:rFonts w:ascii="Palatino Linotype" w:eastAsia="Palatino Linotype" w:hAnsi="Palatino Linotype" w:cs="Palatino Linotype"/>
          <w:b/>
          <w:sz w:val="22"/>
          <w:szCs w:val="22"/>
        </w:rPr>
        <w:t>Sujeto Obligado o Responsable</w:t>
      </w:r>
      <w:r w:rsidRPr="00866721">
        <w:rPr>
          <w:rFonts w:ascii="Palatino Linotype" w:eastAsia="Palatino Linotype" w:hAnsi="Palatino Linotype" w:cs="Palatino Linotype"/>
          <w:sz w:val="22"/>
          <w:szCs w:val="22"/>
        </w:rPr>
        <w:t xml:space="preserve"> le proporcione, información consistente en lo siguiente:</w:t>
      </w:r>
    </w:p>
    <w:p w14:paraId="3595D09E" w14:textId="77777777" w:rsidR="00555C44" w:rsidRPr="00866721" w:rsidRDefault="00475940">
      <w:pPr>
        <w:spacing w:before="240" w:after="240"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incluye el Apartado Analítico de servicios personales 2024, plazas, horas y sueldos autorizados, la siguiente información: </w:t>
      </w:r>
    </w:p>
    <w:p w14:paraId="4F710D45" w14:textId="77777777" w:rsidR="00555C44" w:rsidRPr="00866721" w:rsidRDefault="00475940">
      <w:pPr>
        <w:spacing w:before="240" w:after="240" w:line="276" w:lineRule="auto"/>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“●Monto total individualizado asignado a mi plaza como ingreso bruto, que debí y debo percibir, por este año 2024;</w:t>
      </w:r>
    </w:p>
    <w:p w14:paraId="3F170208" w14:textId="77777777" w:rsidR="00555C44" w:rsidRPr="00866721" w:rsidRDefault="00475940">
      <w:pPr>
        <w:spacing w:before="240" w:after="240" w:line="276" w:lineRule="auto"/>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70B5D14F" w14:textId="77777777" w:rsidR="00555C44" w:rsidRPr="00866721" w:rsidRDefault="00475940">
      <w:pPr>
        <w:spacing w:before="240" w:after="240" w:line="276" w:lineRule="auto"/>
        <w:ind w:left="567"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0A2BACD4"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Derivado de esta solicitud, 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declaró la incompetencia total para atender la presente solicitud de información, asimismo refirió que puede ser competente para atender la presente solicitud el Colegio de Bachilleres del Estado de México y la Oficialía Mayor.</w:t>
      </w:r>
    </w:p>
    <w:p w14:paraId="4891EE7F" w14:textId="77777777" w:rsidR="00555C44" w:rsidRPr="00866721" w:rsidRDefault="0047594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b/>
          <w:sz w:val="22"/>
          <w:szCs w:val="22"/>
        </w:rPr>
      </w:pPr>
      <w:r w:rsidRPr="00866721">
        <w:rPr>
          <w:rFonts w:ascii="Palatino Linotype" w:eastAsia="Palatino Linotype" w:hAnsi="Palatino Linotype" w:cs="Palatino Linotype"/>
          <w:sz w:val="22"/>
          <w:szCs w:val="22"/>
        </w:rPr>
        <w:t xml:space="preserve">Una vez conocida la respuesta, </w:t>
      </w:r>
      <w:r w:rsidRPr="00866721">
        <w:rPr>
          <w:rFonts w:ascii="Palatino Linotype" w:eastAsia="Palatino Linotype" w:hAnsi="Palatino Linotype" w:cs="Palatino Linotype"/>
          <w:b/>
          <w:sz w:val="22"/>
          <w:szCs w:val="22"/>
        </w:rPr>
        <w:t>la parte Recurrente</w:t>
      </w:r>
      <w:r w:rsidRPr="00866721">
        <w:rPr>
          <w:rFonts w:ascii="Palatino Linotype" w:eastAsia="Palatino Linotype" w:hAnsi="Palatino Linotype" w:cs="Palatino Linotype"/>
          <w:sz w:val="22"/>
          <w:szCs w:val="22"/>
        </w:rPr>
        <w:t xml:space="preserve"> interpuso el recurso de revisión que nos ocupa, inconformándose por la incompetencia alegada por el </w:t>
      </w:r>
      <w:r w:rsidRPr="00866721">
        <w:rPr>
          <w:rFonts w:ascii="Palatino Linotype" w:eastAsia="Palatino Linotype" w:hAnsi="Palatino Linotype" w:cs="Palatino Linotype"/>
          <w:b/>
          <w:sz w:val="22"/>
          <w:szCs w:val="22"/>
        </w:rPr>
        <w:t>Sujeto Obligado.</w:t>
      </w:r>
    </w:p>
    <w:p w14:paraId="217761CB" w14:textId="77777777" w:rsidR="00555C44" w:rsidRPr="00866721" w:rsidRDefault="00475940">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Durante la etapa de manifestaciones, se tiene constancia que en el informe justificado, la Secretaría de Finanzas ratificó la incompetencia total para atender el requerimiento de información, mientras que la persona solicitante adjuntó la digitalización por ambos lados de la Credencial para Votar, expedida por el Instituto Nacional Electoral, y el Anexo de </w:t>
      </w:r>
      <w:r w:rsidRPr="00866721">
        <w:rPr>
          <w:rFonts w:ascii="Palatino Linotype" w:eastAsia="Palatino Linotype" w:hAnsi="Palatino Linotype" w:cs="Palatino Linotype"/>
          <w:sz w:val="22"/>
          <w:szCs w:val="22"/>
        </w:rPr>
        <w:lastRenderedPageBreak/>
        <w:t>Ejecución / Apoyo Financiero 2024 SEMS-EL COBAEM-MÉXICO 0236/24, los cuales son coincidentes en contenido con los remitidos desde la solicitud de acceso a la información.</w:t>
      </w:r>
    </w:p>
    <w:p w14:paraId="7BEF728C"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Una vez analizado el expediente del recurso de revisión que se resuelve en este acto, este Organismo Garante determinó que el procedimiento de acceso a la información pública no es la vía para su tramitación, por lo que se determinó su atención en términos del ejercicio del derecho de acceso a datos personales, toda vez que este Instituto, al igual que otros Organismo Garantes como el entonces Instituto Nacional de Acceso a la Información Pública y Protección de Datos Personales (INAI) se han pronunciado por la procedencia de los recursos de revisión según la materia de la solicitud. </w:t>
      </w:r>
    </w:p>
    <w:p w14:paraId="2C0A61D7"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Discernimiento que encuentra apoyo en el criterio orientador </w:t>
      </w:r>
      <w:r w:rsidRPr="00866721">
        <w:rPr>
          <w:rFonts w:ascii="Palatino Linotype" w:eastAsia="Palatino Linotype" w:hAnsi="Palatino Linotype" w:cs="Palatino Linotype"/>
          <w:b/>
          <w:sz w:val="22"/>
          <w:szCs w:val="22"/>
        </w:rPr>
        <w:t>008/2009</w:t>
      </w:r>
      <w:r w:rsidRPr="00866721">
        <w:rPr>
          <w:rFonts w:ascii="Palatino Linotype" w:eastAsia="Palatino Linotype" w:hAnsi="Palatino Linotype" w:cs="Palatino Linotype"/>
          <w:sz w:val="22"/>
          <w:szCs w:val="22"/>
        </w:rPr>
        <w:t xml:space="preserve"> del entonces INAI, que a la letra dispone lo siguiente:</w:t>
      </w:r>
    </w:p>
    <w:p w14:paraId="25584E0C" w14:textId="77777777" w:rsidR="00555C44" w:rsidRPr="00866721" w:rsidRDefault="00475940">
      <w:pPr>
        <w:tabs>
          <w:tab w:val="left" w:pos="7655"/>
        </w:tabs>
        <w:spacing w:after="120" w:line="276" w:lineRule="auto"/>
        <w:ind w:left="851" w:right="902"/>
        <w:jc w:val="both"/>
        <w:rPr>
          <w:rFonts w:ascii="Palatino Linotype" w:eastAsia="Palatino Linotype" w:hAnsi="Palatino Linotype" w:cs="Palatino Linotype"/>
          <w:b/>
          <w:i/>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b/>
          <w:i/>
          <w:sz w:val="22"/>
          <w:szCs w:val="22"/>
        </w:rPr>
        <w:t>Las dependencias y entidades deberán dar trámite a las solicitudes aun cuando la vía en la que fueron presentadas -acceso a datos personales o información pública- no corresponda con la naturaleza de la materia de la misma.</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 xml:space="preserve">Todas aquellas solicitudes cuyo objetivo sea allegarse de información pública y que sean ingresadas por la vía de acceso a datos personales, así como el caso contrario, </w:t>
      </w:r>
      <w:r w:rsidRPr="00866721">
        <w:rPr>
          <w:rFonts w:ascii="Palatino Linotype" w:eastAsia="Palatino Linotype" w:hAnsi="Palatino Linotype" w:cs="Palatino Linotype"/>
          <w:b/>
          <w:i/>
          <w:sz w:val="22"/>
          <w:szCs w:val="22"/>
          <w:u w:val="single"/>
        </w:rPr>
        <w:t>deberán ser tramitadas por las dependencias y entidades de conformidad con la naturaleza de la información de que se trate</w:t>
      </w:r>
      <w:r w:rsidRPr="00866721">
        <w:rPr>
          <w:rFonts w:ascii="Palatino Linotype" w:eastAsia="Palatino Linotype" w:hAnsi="Palatino Linotype" w:cs="Palatino Linotype"/>
          <w:b/>
          <w:i/>
          <w:sz w:val="22"/>
          <w:szCs w:val="22"/>
        </w:rPr>
        <w:t>, sin necesidad de que el particular requiera presentar una nueva solicitud.</w:t>
      </w:r>
    </w:p>
    <w:p w14:paraId="47B6ED23" w14:textId="77777777" w:rsidR="00555C44" w:rsidRPr="00866721" w:rsidRDefault="00475940">
      <w:pPr>
        <w:tabs>
          <w:tab w:val="left" w:pos="7655"/>
        </w:tabs>
        <w:spacing w:after="120" w:line="276" w:lineRule="auto"/>
        <w:ind w:left="851" w:right="902"/>
        <w:jc w:val="both"/>
        <w:rPr>
          <w:rFonts w:ascii="Palatino Linotype" w:eastAsia="Palatino Linotype" w:hAnsi="Palatino Linotype" w:cs="Palatino Linotype"/>
          <w:i/>
          <w:sz w:val="20"/>
          <w:szCs w:val="20"/>
        </w:rPr>
      </w:pPr>
      <w:r w:rsidRPr="00866721">
        <w:rPr>
          <w:rFonts w:ascii="Palatino Linotype" w:eastAsia="Palatino Linotype" w:hAnsi="Palatino Linotype" w:cs="Palatino Linotype"/>
          <w:i/>
          <w:sz w:val="22"/>
          <w:szCs w:val="22"/>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w:t>
      </w:r>
      <w:r w:rsidRPr="00866721">
        <w:rPr>
          <w:rFonts w:ascii="Palatino Linotype" w:eastAsia="Palatino Linotype" w:hAnsi="Palatino Linotype" w:cs="Palatino Linotype"/>
          <w:i/>
          <w:sz w:val="22"/>
          <w:szCs w:val="22"/>
        </w:rPr>
        <w:lastRenderedPageBreak/>
        <w:t xml:space="preserve">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RPr="00866721">
        <w:rPr>
          <w:rFonts w:ascii="Palatino Linotype" w:eastAsia="Palatino Linotype" w:hAnsi="Palatino Linotype" w:cs="Palatino Linotype"/>
          <w:b/>
          <w:i/>
          <w:sz w:val="22"/>
          <w:szCs w:val="22"/>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866721">
        <w:rPr>
          <w:rFonts w:ascii="Palatino Linotype" w:eastAsia="Palatino Linotype" w:hAnsi="Palatino Linotype" w:cs="Palatino Linotype"/>
          <w:i/>
          <w:sz w:val="22"/>
          <w:szCs w:val="22"/>
        </w:rPr>
        <w:t>.” (Énfasis añadido)</w:t>
      </w:r>
    </w:p>
    <w:p w14:paraId="4FB43C31"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Lo anterior, bajo el principio  de </w:t>
      </w:r>
      <w:proofErr w:type="spellStart"/>
      <w:r w:rsidRPr="00866721">
        <w:rPr>
          <w:rFonts w:ascii="Palatino Linotype" w:eastAsia="Palatino Linotype" w:hAnsi="Palatino Linotype" w:cs="Palatino Linotype"/>
          <w:sz w:val="22"/>
          <w:szCs w:val="22"/>
        </w:rPr>
        <w:t>expeditez</w:t>
      </w:r>
      <w:proofErr w:type="spellEnd"/>
      <w:r w:rsidRPr="00866721">
        <w:rPr>
          <w:rFonts w:ascii="Palatino Linotype" w:eastAsia="Palatino Linotype" w:hAnsi="Palatino Linotype" w:cs="Palatino Linotype"/>
          <w:sz w:val="22"/>
          <w:szCs w:val="22"/>
          <w:vertAlign w:val="superscript"/>
        </w:rPr>
        <w:footnoteReference w:id="1"/>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i/>
          <w:sz w:val="22"/>
          <w:szCs w:val="22"/>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RPr="00866721">
        <w:rPr>
          <w:rFonts w:ascii="Palatino Linotype" w:eastAsia="Palatino Linotype" w:hAnsi="Palatino Linotype" w:cs="Palatino Linotype"/>
          <w:sz w:val="22"/>
          <w:szCs w:val="22"/>
        </w:rPr>
        <w:t xml:space="preserve">determina  procedente dar trámite a la solicitud formulada por 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p>
    <w:p w14:paraId="507613E5"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Aunado a lo anterior, los Lineamientos Generales en Materia de Clasificación y Desclasificación de la Información, así como para la elaboración de Versiones Públicas, </w:t>
      </w:r>
      <w:r w:rsidRPr="00866721">
        <w:rPr>
          <w:rFonts w:ascii="Palatino Linotype" w:eastAsia="Palatino Linotype" w:hAnsi="Palatino Linotype" w:cs="Palatino Linotype"/>
          <w:sz w:val="22"/>
          <w:szCs w:val="22"/>
        </w:rPr>
        <w:lastRenderedPageBreak/>
        <w:t xml:space="preserve">reformados el dieciocho de noviembre de dos mil veintidós, vigentes a la fecha de la solicitud, disponen lo siguiente en su lineamiento </w:t>
      </w:r>
      <w:r w:rsidRPr="00866721">
        <w:rPr>
          <w:rFonts w:ascii="Palatino Linotype" w:eastAsia="Palatino Linotype" w:hAnsi="Palatino Linotype" w:cs="Palatino Linotype"/>
          <w:b/>
          <w:sz w:val="22"/>
          <w:szCs w:val="22"/>
        </w:rPr>
        <w:t>trigésimo noveno</w:t>
      </w:r>
      <w:r w:rsidRPr="00866721">
        <w:rPr>
          <w:rFonts w:ascii="Palatino Linotype" w:eastAsia="Palatino Linotype" w:hAnsi="Palatino Linotype" w:cs="Palatino Linotype"/>
          <w:sz w:val="22"/>
          <w:szCs w:val="22"/>
        </w:rPr>
        <w:t xml:space="preserve">: </w:t>
      </w:r>
    </w:p>
    <w:p w14:paraId="5CE607D7" w14:textId="77777777" w:rsidR="00555C44" w:rsidRPr="00866721" w:rsidRDefault="00475940">
      <w:pP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b/>
          <w:i/>
          <w:sz w:val="22"/>
          <w:szCs w:val="22"/>
        </w:rPr>
        <w:t>Trigésimo noveno</w:t>
      </w:r>
      <w:r w:rsidRPr="00866721">
        <w:rPr>
          <w:rFonts w:ascii="Palatino Linotype" w:eastAsia="Palatino Linotype" w:hAnsi="Palatino Linotype" w:cs="Palatino Linotype"/>
          <w:i/>
          <w:sz w:val="22"/>
          <w:szCs w:val="22"/>
        </w:rPr>
        <w:t>. Los datos personales concernientes a una persona física identificada o identificable, no podrán clasificarse como confidenciales ante sus titulares.</w:t>
      </w:r>
    </w:p>
    <w:p w14:paraId="7FC7A02A" w14:textId="77777777" w:rsidR="00555C44" w:rsidRPr="00866721" w:rsidRDefault="00475940">
      <w:pPr>
        <w:spacing w:before="120" w:after="120"/>
        <w:ind w:left="567" w:right="902"/>
        <w:jc w:val="both"/>
        <w:rPr>
          <w:rFonts w:ascii="Palatino Linotype" w:eastAsia="Palatino Linotype" w:hAnsi="Palatino Linotype" w:cs="Palatino Linotype"/>
          <w:b/>
          <w:i/>
          <w:sz w:val="22"/>
          <w:szCs w:val="22"/>
          <w:u w:val="single"/>
        </w:rPr>
      </w:pPr>
      <w:r w:rsidRPr="00866721">
        <w:rPr>
          <w:rFonts w:ascii="Palatino Linotype" w:eastAsia="Palatino Linotype" w:hAnsi="Palatino Linotype" w:cs="Palatino Linotype"/>
          <w:b/>
          <w:i/>
          <w:sz w:val="22"/>
          <w:szCs w:val="22"/>
          <w:u w:val="single"/>
        </w:rPr>
        <w:t>En caso de que el titular de los datos o su representante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14:paraId="28585C07" w14:textId="77777777" w:rsidR="00555C44" w:rsidRPr="00866721" w:rsidRDefault="00475940">
      <w:pP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En caso de que los documentos puestos a disposición del titular de los datos contengan información pública, además de sus datos personales, no deberá testarse ésta.</w:t>
      </w:r>
    </w:p>
    <w:p w14:paraId="60CF3A41" w14:textId="77777777" w:rsidR="00555C44" w:rsidRPr="00866721" w:rsidRDefault="00475940">
      <w:pP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(Énfasis añadido)</w:t>
      </w:r>
    </w:p>
    <w:p w14:paraId="08FAB4EC" w14:textId="77777777" w:rsidR="00555C44" w:rsidRPr="00866721" w:rsidRDefault="00475940">
      <w:pPr>
        <w:spacing w:after="160"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Teniendo esto en cuenta, este Instituto </w:t>
      </w:r>
      <w:proofErr w:type="spellStart"/>
      <w:r w:rsidRPr="00866721">
        <w:rPr>
          <w:rFonts w:ascii="Palatino Linotype" w:eastAsia="Palatino Linotype" w:hAnsi="Palatino Linotype" w:cs="Palatino Linotype"/>
          <w:sz w:val="22"/>
          <w:szCs w:val="22"/>
        </w:rPr>
        <w:t>aperturó</w:t>
      </w:r>
      <w:proofErr w:type="spellEnd"/>
      <w:r w:rsidRPr="00866721">
        <w:rPr>
          <w:rFonts w:ascii="Palatino Linotype" w:eastAsia="Palatino Linotype" w:hAnsi="Palatino Linotype" w:cs="Palatino Linotype"/>
          <w:sz w:val="22"/>
          <w:szCs w:val="22"/>
        </w:rPr>
        <w:t xml:space="preserve"> la fase de conciliación, en la cual</w:t>
      </w:r>
      <w:r w:rsidRPr="00866721">
        <w:rPr>
          <w:rFonts w:ascii="Palatino Linotype" w:eastAsia="Palatino Linotype" w:hAnsi="Palatino Linotype" w:cs="Palatino Linotype"/>
          <w:b/>
          <w:sz w:val="22"/>
          <w:szCs w:val="22"/>
        </w:rPr>
        <w:t xml:space="preserve"> la parte Recurrente</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u w:val="single"/>
        </w:rPr>
        <w:t>expresó su voluntad para conciliar en el presente asunto</w:t>
      </w:r>
      <w:r w:rsidRPr="00866721">
        <w:rPr>
          <w:rFonts w:ascii="Palatino Linotype" w:eastAsia="Palatino Linotype" w:hAnsi="Palatino Linotype" w:cs="Palatino Linotype"/>
          <w:sz w:val="22"/>
          <w:szCs w:val="22"/>
        </w:rPr>
        <w:t xml:space="preserve">, mientras que 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manifestó medularmente que </w:t>
      </w:r>
      <w:r w:rsidRPr="00866721">
        <w:rPr>
          <w:rFonts w:ascii="Palatino Linotype" w:eastAsia="Palatino Linotype" w:hAnsi="Palatino Linotype" w:cs="Palatino Linotype"/>
          <w:b/>
          <w:sz w:val="22"/>
          <w:szCs w:val="22"/>
          <w:u w:val="single"/>
        </w:rPr>
        <w:t>no es posible llevar a cabo la conciliación</w:t>
      </w:r>
      <w:r w:rsidRPr="00866721">
        <w:rPr>
          <w:rFonts w:ascii="Palatino Linotype" w:eastAsia="Palatino Linotype" w:hAnsi="Palatino Linotype" w:cs="Palatino Linotype"/>
          <w:sz w:val="22"/>
          <w:szCs w:val="22"/>
        </w:rPr>
        <w:t>, en virtud de que no cuenta con la competencia para conocer de la información solicitada, por lo que ante la inexistencia de una voluntad reciproca para conciliar en el presente asunto se cerró la etapa conciliatoria.</w:t>
      </w:r>
    </w:p>
    <w:p w14:paraId="14FB6507"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Asimismo, es de suma importancia mencionar que en el escrito mediante el cual 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manifestó su voluntad de conciliar se advierte que hizo referencia a la conciliación pero bajo la entrega por parte del </w:t>
      </w:r>
      <w:r w:rsidRPr="00866721">
        <w:rPr>
          <w:rFonts w:ascii="Palatino Linotype" w:eastAsia="Palatino Linotype" w:hAnsi="Palatino Linotype" w:cs="Palatino Linotype"/>
          <w:b/>
          <w:sz w:val="22"/>
          <w:szCs w:val="22"/>
        </w:rPr>
        <w:t xml:space="preserve">Sujeto Obligado </w:t>
      </w:r>
      <w:r w:rsidRPr="00866721">
        <w:rPr>
          <w:rFonts w:ascii="Palatino Linotype" w:eastAsia="Palatino Linotype" w:hAnsi="Palatino Linotype" w:cs="Palatino Linotype"/>
          <w:sz w:val="22"/>
          <w:szCs w:val="22"/>
        </w:rPr>
        <w:t>de “</w:t>
      </w:r>
      <w:r w:rsidRPr="00866721">
        <w:rPr>
          <w:rFonts w:ascii="Palatino Linotype" w:eastAsia="Palatino Linotype" w:hAnsi="Palatino Linotype" w:cs="Palatino Linotype"/>
          <w:i/>
          <w:sz w:val="22"/>
          <w:szCs w:val="22"/>
        </w:rPr>
        <w:t xml:space="preserve">documentos donde se deslinden de la responsabilidad del Anexo de Ejecución 2024, al que se obligaron, presentando para tal efecto los recibos, trasferencia, acuses o documento fehaciente donde acredite y demuestre que </w:t>
      </w:r>
      <w:r w:rsidRPr="00866721">
        <w:rPr>
          <w:rFonts w:ascii="Palatino Linotype" w:eastAsia="Palatino Linotype" w:hAnsi="Palatino Linotype" w:cs="Palatino Linotype"/>
          <w:i/>
          <w:sz w:val="22"/>
          <w:szCs w:val="22"/>
        </w:rPr>
        <w:lastRenderedPageBreak/>
        <w:t>entregó el recurso económico tanto Federal como el Estatal al Colegio de Bachilleres del Estado de México</w:t>
      </w:r>
      <w:r w:rsidRPr="00866721">
        <w:rPr>
          <w:rFonts w:ascii="Palatino Linotype" w:eastAsia="Palatino Linotype" w:hAnsi="Palatino Linotype" w:cs="Palatino Linotype"/>
          <w:sz w:val="22"/>
          <w:szCs w:val="22"/>
        </w:rPr>
        <w:t>”.</w:t>
      </w:r>
    </w:p>
    <w:p w14:paraId="0B5F863A"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Al respecto, debe mencionarse que la parte </w:t>
      </w:r>
      <w:r w:rsidRPr="00866721">
        <w:rPr>
          <w:rFonts w:ascii="Palatino Linotype" w:eastAsia="Palatino Linotype" w:hAnsi="Palatino Linotype" w:cs="Palatino Linotype"/>
          <w:b/>
          <w:sz w:val="22"/>
          <w:szCs w:val="22"/>
        </w:rPr>
        <w:t xml:space="preserve">Recurrente </w:t>
      </w:r>
      <w:r w:rsidRPr="00866721">
        <w:rPr>
          <w:rFonts w:ascii="Palatino Linotype" w:eastAsia="Palatino Linotype" w:hAnsi="Palatino Linotype" w:cs="Palatino Linotype"/>
          <w:sz w:val="22"/>
          <w:szCs w:val="22"/>
        </w:rPr>
        <w:t xml:space="preserve">pretendió ampliar su solicitud, pues como se advierte, requirió que el </w:t>
      </w:r>
      <w:r w:rsidRPr="00866721">
        <w:rPr>
          <w:rFonts w:ascii="Palatino Linotype" w:eastAsia="Palatino Linotype" w:hAnsi="Palatino Linotype" w:cs="Palatino Linotype"/>
          <w:b/>
          <w:sz w:val="22"/>
          <w:szCs w:val="22"/>
        </w:rPr>
        <w:t xml:space="preserve">Sujeto Obligado </w:t>
      </w:r>
      <w:r w:rsidRPr="00866721">
        <w:rPr>
          <w:rFonts w:ascii="Palatino Linotype" w:eastAsia="Palatino Linotype" w:hAnsi="Palatino Linotype" w:cs="Palatino Linotype"/>
          <w:sz w:val="22"/>
          <w:szCs w:val="22"/>
        </w:rPr>
        <w:t xml:space="preserve">proporcionara los documentos donde se deslinda de la responsabilidad del Anexo de Ejecución 2024, presentando recibos, trasferencia, acuses o documento fehaciente donde acredite y demuestre que entregó el recurso económico tanto Federal como el Estatal al Colegio de Bachilleres del Estado de México; sin embargo, dicha información no fue requerida al momento de presentar la solicitud de información, como se desprende de los antecedentes de la presente resolución, y de las constancias que obran en el expediente electrónico del SAIMEX. En este sentido, dichos pronunciamientos se traducen como una </w:t>
      </w:r>
      <w:r w:rsidRPr="00866721">
        <w:rPr>
          <w:rFonts w:ascii="Palatino Linotype" w:eastAsia="Palatino Linotype" w:hAnsi="Palatino Linotype" w:cs="Palatino Linotype"/>
          <w:i/>
          <w:sz w:val="22"/>
          <w:szCs w:val="22"/>
        </w:rPr>
        <w:t xml:space="preserve">plus </w:t>
      </w:r>
      <w:proofErr w:type="spellStart"/>
      <w:r w:rsidRPr="00866721">
        <w:rPr>
          <w:rFonts w:ascii="Palatino Linotype" w:eastAsia="Palatino Linotype" w:hAnsi="Palatino Linotype" w:cs="Palatino Linotype"/>
          <w:i/>
          <w:sz w:val="22"/>
          <w:szCs w:val="22"/>
        </w:rPr>
        <w:t>petitio</w:t>
      </w:r>
      <w:proofErr w:type="spellEnd"/>
      <w:r w:rsidRPr="00866721">
        <w:rPr>
          <w:rFonts w:ascii="Palatino Linotype" w:eastAsia="Palatino Linotype" w:hAnsi="Palatino Linotype" w:cs="Palatino Linotype"/>
          <w:b/>
          <w:i/>
          <w:sz w:val="22"/>
          <w:szCs w:val="22"/>
        </w:rPr>
        <w:t xml:space="preserve">, </w:t>
      </w:r>
      <w:r w:rsidRPr="00866721">
        <w:rPr>
          <w:rFonts w:ascii="Palatino Linotype" w:eastAsia="Palatino Linotype" w:hAnsi="Palatino Linotype" w:cs="Palatino Linotype"/>
          <w:sz w:val="22"/>
          <w:szCs w:val="22"/>
        </w:rPr>
        <w:t xml:space="preserve">y por tanto inatendibles a través del recurso de revisión.  </w:t>
      </w:r>
    </w:p>
    <w:p w14:paraId="6AAD19E3"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este orden de ideas, una vez formulada su solicitud inicial,</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0DC709DC"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Robustece lo anterior lo plasmado en el Criterio orientador con clave de control SO/001/2017, emitido por el entonces Instituto Nacional de Transparencia, Acceso a la Información y Protección de Datos Personales, INAI, que lleva por rubro y texto lo que a continuación se transcribe:</w:t>
      </w:r>
    </w:p>
    <w:p w14:paraId="27D20215" w14:textId="77777777" w:rsidR="00555C44" w:rsidRPr="00866721" w:rsidRDefault="00475940">
      <w:pPr>
        <w:spacing w:before="240" w:after="240"/>
        <w:ind w:left="993" w:right="900"/>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866721">
        <w:rPr>
          <w:rFonts w:ascii="Palatino Linotype" w:eastAsia="Palatino Linotype" w:hAnsi="Palatino Linotype" w:cs="Palatino Linotype"/>
          <w:i/>
          <w:sz w:val="22"/>
          <w:szCs w:val="22"/>
        </w:rPr>
        <w:t xml:space="preserve">En términos de los artículos 155, fracción VII de la Ley General de Transparencia y Acceso a la Información Pública, y 161, fracción VII de la Ley Federal de Transparencia y Acceso a la Información Pública, en aquellos casos en que los recurrentes, </w:t>
      </w:r>
      <w:r w:rsidRPr="00866721">
        <w:rPr>
          <w:rFonts w:ascii="Palatino Linotype" w:eastAsia="Palatino Linotype" w:hAnsi="Palatino Linotype" w:cs="Palatino Linotype"/>
          <w:i/>
          <w:sz w:val="22"/>
          <w:szCs w:val="22"/>
        </w:rPr>
        <w:lastRenderedPageBreak/>
        <w:t>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866721">
        <w:rPr>
          <w:rFonts w:ascii="Palatino Linotype" w:eastAsia="Palatino Linotype" w:hAnsi="Palatino Linotype" w:cs="Palatino Linotype"/>
          <w:b/>
          <w:i/>
          <w:sz w:val="22"/>
          <w:szCs w:val="22"/>
        </w:rPr>
        <w:t>.</w:t>
      </w:r>
      <w:r w:rsidRPr="00866721">
        <w:rPr>
          <w:rFonts w:ascii="Palatino Linotype" w:eastAsia="Palatino Linotype" w:hAnsi="Palatino Linotype" w:cs="Palatino Linotype"/>
          <w:i/>
          <w:sz w:val="22"/>
          <w:szCs w:val="22"/>
        </w:rPr>
        <w:t>”</w:t>
      </w:r>
    </w:p>
    <w:p w14:paraId="3EA6AC35"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No obstante, se dejan a salvo los derechos de la persona solicitante para que, en caso de considerar conveniente a sus intereses, el conocer la información que fue señalada, la solicite a través de una nueva solicitud de información.</w:t>
      </w:r>
    </w:p>
    <w:p w14:paraId="1B293929"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Precisado lo anterior, es de retomar que, del análisis a la solicitud que dio origen al recurso de revisión de nuestra atención, se advierte que la parte</w:t>
      </w:r>
      <w:r w:rsidRPr="00866721">
        <w:rPr>
          <w:rFonts w:ascii="Palatino Linotype" w:eastAsia="Palatino Linotype" w:hAnsi="Palatino Linotype" w:cs="Palatino Linotype"/>
          <w:b/>
          <w:sz w:val="22"/>
          <w:szCs w:val="22"/>
        </w:rPr>
        <w:t xml:space="preserve"> Recurrente</w:t>
      </w:r>
      <w:r w:rsidRPr="00866721">
        <w:rPr>
          <w:rFonts w:ascii="Palatino Linotype" w:eastAsia="Palatino Linotype" w:hAnsi="Palatino Linotype" w:cs="Palatino Linotype"/>
          <w:sz w:val="22"/>
          <w:szCs w:val="22"/>
        </w:rPr>
        <w:t xml:space="preserve"> pretendió ejercer uno de los derechos ARCO, como es el de acceso a datos personales, ello en virtud de que requiere el monto total individualizado asignado a su plaza como ingreso bruto, que debió y debe percibir, por el año 2024; el monto detallado anual que debió aplicarse por concepto tanto de percepciones como de deducciones -cuyos conceptos se precisaron-, respecto del ejercicio 2024,  y en caso de que exista diferencia salarial entre lo autorizado en el Anexo de Ejecución y lo que realmente se ha pagado en 2024, se le informe el monto que dejó de percibir y los conceptos, en los cuales se aplicó la deducción.</w:t>
      </w:r>
    </w:p>
    <w:p w14:paraId="17828D73"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Por lo que, una vez establecidas las posturas de las partes, se procede al análisis de los requerimientos de información, así como la información proporcionada por el </w:t>
      </w:r>
      <w:r w:rsidRPr="00866721">
        <w:rPr>
          <w:rFonts w:ascii="Palatino Linotype" w:eastAsia="Palatino Linotype" w:hAnsi="Palatino Linotype" w:cs="Palatino Linotype"/>
          <w:b/>
          <w:sz w:val="22"/>
          <w:szCs w:val="22"/>
        </w:rPr>
        <w:t xml:space="preserve">Sujeto Obligado, </w:t>
      </w:r>
      <w:r w:rsidRPr="00866721">
        <w:rPr>
          <w:rFonts w:ascii="Palatino Linotype" w:eastAsia="Palatino Linotype" w:hAnsi="Palatino Linotype" w:cs="Palatino Linotype"/>
          <w:sz w:val="22"/>
          <w:szCs w:val="22"/>
        </w:rPr>
        <w:t xml:space="preserve">en contraposición con el motivo de inconformidad alegado por la parte </w:t>
      </w:r>
      <w:r w:rsidRPr="00866721">
        <w:rPr>
          <w:rFonts w:ascii="Palatino Linotype" w:eastAsia="Palatino Linotype" w:hAnsi="Palatino Linotype" w:cs="Palatino Linotype"/>
          <w:b/>
          <w:sz w:val="22"/>
          <w:szCs w:val="22"/>
        </w:rPr>
        <w:t xml:space="preserve">Recurrente, </w:t>
      </w:r>
      <w:r w:rsidRPr="00866721">
        <w:rPr>
          <w:rFonts w:ascii="Palatino Linotype" w:eastAsia="Palatino Linotype" w:hAnsi="Palatino Linotype" w:cs="Palatino Linotype"/>
          <w:sz w:val="22"/>
          <w:szCs w:val="22"/>
        </w:rPr>
        <w:t>con la finalidad de determinar si el Derecho de acceso de esta se satisfizo, o, en su defecto, ordenar el soporte documental correspondiente, en caso de ser procedente.</w:t>
      </w:r>
    </w:p>
    <w:p w14:paraId="0679270F"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En este tenor, toda vez que 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se declaró incompetente para dar atención a la solicitud y que este es el motivo de inconformidad hecho valer por 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se estima necesario abordar, en primera instancia, la competencia de la autoridad emisora del acto impugnado,  por ser una cuestión de orden público y de estudio preferente pues de </w:t>
      </w:r>
      <w:r w:rsidRPr="00866721">
        <w:rPr>
          <w:rFonts w:ascii="Palatino Linotype" w:eastAsia="Palatino Linotype" w:hAnsi="Palatino Linotype" w:cs="Palatino Linotype"/>
          <w:sz w:val="22"/>
          <w:szCs w:val="22"/>
        </w:rPr>
        <w:lastRenderedPageBreak/>
        <w:t>ella deriva la validez de los actos que se emiten, los cuales las autoridades solo pueden realizar en los términos que les ordena la ley.</w:t>
      </w:r>
    </w:p>
    <w:p w14:paraId="70DC195A"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Sirve de sustento a lo anterior, por analogía, la Jurisprudencia con número de registro 170827, emitida por la Segunda Sala de la Suprema Corte de Justicia de la Nación, cuyo rubro y texto a continuación se transcriben:</w:t>
      </w:r>
    </w:p>
    <w:p w14:paraId="46C586A9" w14:textId="77777777" w:rsidR="00555C44" w:rsidRPr="00866721" w:rsidRDefault="00475940">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b/>
          <w:i/>
          <w:sz w:val="22"/>
          <w:szCs w:val="22"/>
        </w:rPr>
        <w:t>COMPETENCIA. SU ESTUDIO OFICIOSO RESPECTO DE LA AUTORIDAD DEMANDADA EN EL JUICIO CONTENCIOSO ADMINISTRATIVO, DEBE SER ANALIZADA POR LAS SALAS DEL TRIBUNAL FEDERAL DE JUSTICIA FISCAL Y ADMINISTRATIVA</w:t>
      </w:r>
      <w:r w:rsidRPr="00866721">
        <w:rPr>
          <w:rFonts w:ascii="Palatino Linotype" w:eastAsia="Palatino Linotype" w:hAnsi="Palatino Linotype" w:cs="Palatino Linotype"/>
          <w:i/>
          <w:sz w:val="22"/>
          <w:szCs w:val="22"/>
        </w:rPr>
        <w:t xml:space="preserve">.- El artículo 238, penúltimo párrafo, del Código Fiscal de la Federación y su correlativo 51, penúltimo párrafo, de la Ley Federal de Procedimiento Contencioso Administrativo, </w:t>
      </w:r>
      <w:r w:rsidRPr="00866721">
        <w:rPr>
          <w:rFonts w:ascii="Palatino Linotype" w:eastAsia="Palatino Linotype" w:hAnsi="Palatino Linotype" w:cs="Palatino Linotype"/>
          <w:b/>
          <w:i/>
          <w:sz w:val="22"/>
          <w:szCs w:val="22"/>
        </w:rPr>
        <w:t>establece que ese Tribunal podrá hacer valer de oficio, por ser de orden público, la incompetencia de la autoridad para dictar la resolución impugnada.</w:t>
      </w:r>
      <w:r w:rsidRPr="00866721">
        <w:rPr>
          <w:rFonts w:ascii="Palatino Linotype" w:eastAsia="Palatino Linotype" w:hAnsi="Palatino Linotype" w:cs="Palatino Linotype"/>
          <w:i/>
          <w:sz w:val="22"/>
          <w:szCs w:val="22"/>
        </w:rPr>
        <w:t xml:space="preserve"> 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independencia de que exista o no agravio del afectado, o bien, de que invoque incompetencia o simplemente argumente una indebida, insuficiente o deficiente fundamentación de la competencia. Cabe agregar que </w:t>
      </w:r>
      <w:r w:rsidRPr="00866721">
        <w:rPr>
          <w:rFonts w:ascii="Palatino Linotype" w:eastAsia="Palatino Linotype" w:hAnsi="Palatino Linotype" w:cs="Palatino Linotype"/>
          <w:b/>
          <w:i/>
          <w:sz w:val="22"/>
          <w:szCs w:val="22"/>
        </w:rPr>
        <w:t>en el caso de que las Salas fiscales estimen que la autoridad administrativa es incompetente, su pronunciamiento en ese sentido será indispensable, porque ello constituirá causa de nulidad de la resolución impugnada;</w:t>
      </w:r>
      <w:r w:rsidRPr="00866721">
        <w:rPr>
          <w:rFonts w:ascii="Palatino Linotype" w:eastAsia="Palatino Linotype" w:hAnsi="Palatino Linotype" w:cs="Palatino Linotype"/>
          <w:i/>
          <w:sz w:val="22"/>
          <w:szCs w:val="22"/>
        </w:rPr>
        <w:t xml:space="preserve">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14:paraId="22CBC9B4"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El estudio preferente del principio de competencia, entendido en su origen como la aptitud atribuida expresamente a una autoridad, por una norma jurídica, para llevar a cabo determinadas conductas o actos, tiene su justificación en la protección y seguridad del </w:t>
      </w:r>
      <w:r w:rsidRPr="00866721">
        <w:rPr>
          <w:rFonts w:ascii="Palatino Linotype" w:eastAsia="Palatino Linotype" w:hAnsi="Palatino Linotype" w:cs="Palatino Linotype"/>
          <w:sz w:val="22"/>
          <w:szCs w:val="22"/>
        </w:rPr>
        <w:lastRenderedPageBreak/>
        <w:t>gobernado a efecto de que tenga el conocimiento cierto de quién es la autoridad que emite el acto o resolución que lo afecta jurídicamente, para tener la posibilidad de verificar si dicha autoridad tiene o no atribuciones o facultades para conocer respecto de los actos de molestia, y esté en posibilidad de oponer sus defensas.</w:t>
      </w:r>
    </w:p>
    <w:p w14:paraId="7F05BCBA"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Una vez acotado lo anterior, respecto a la materia de la solicitud es oportuno mencionar que el objeto del Anexo de Ejecución / Apoyo Financiero 2024 SEMS-EL COBAEM-MÉXICO 0236/24, celebrado entre el Ejecutivo Federal, por conducto de la Secretaría de Educación Pública (SEP); el Gobierno del Estado de México, asistido por la </w:t>
      </w:r>
      <w:r w:rsidRPr="00866721">
        <w:rPr>
          <w:rFonts w:ascii="Palatino Linotype" w:eastAsia="Palatino Linotype" w:hAnsi="Palatino Linotype" w:cs="Palatino Linotype"/>
          <w:b/>
          <w:sz w:val="22"/>
          <w:szCs w:val="22"/>
        </w:rPr>
        <w:t>Secretaría de Finanzas</w:t>
      </w:r>
      <w:r w:rsidRPr="00866721">
        <w:rPr>
          <w:rFonts w:ascii="Palatino Linotype" w:eastAsia="Palatino Linotype" w:hAnsi="Palatino Linotype" w:cs="Palatino Linotype"/>
          <w:sz w:val="22"/>
          <w:szCs w:val="22"/>
        </w:rPr>
        <w:t xml:space="preserve"> y la Secretaría de Educación, Ciencia, Tecnología e Innovación; y el Colegio de Bachilleres del Estado de México, (COBAEM), en términos de su Cláusula Primera, consiste en establecer las bases conforme a las 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de conformidad con lo establecido en los Apartados “A” y “B” firmados por las partes, que forman parte integrante del Acuerdo.</w:t>
      </w:r>
    </w:p>
    <w:p w14:paraId="1A263092"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w:t>
      </w:r>
      <w:r w:rsidRPr="00866721">
        <w:rPr>
          <w:rFonts w:ascii="Palatino Linotype" w:eastAsia="Palatino Linotype" w:hAnsi="Palatino Linotype" w:cs="Palatino Linotype"/>
          <w:sz w:val="22"/>
          <w:szCs w:val="22"/>
        </w:rPr>
        <w:lastRenderedPageBreak/>
        <w:t>así como para fortalecer la formación para el trabajo, celebrado el treinta de junio de dos mil nueve, en cuyas Cláusulas Trigésima Séptima y Cuadragésima Cuarta se prevé que las partes operaran dicho instrumento a través de los oficios de autorización que expida la SEP, o bien mediante la suscripción de anexos de ejecución, anuales y específicos por cada uno de los organismos públicos descentralizados que operen en la entidad.</w:t>
      </w:r>
    </w:p>
    <w:p w14:paraId="46221466"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este contexto, la solicitud de información se presentó tomando como referencia el Apartado “B” correspondiente al Analítico de servicios personales 2024, plazas, horas y sueldos autorizados, del Anexo de Ejecución / Apoyo Financiero 2024 SEMS-EL COBAEM-MÉXICO 0236/24:</w:t>
      </w:r>
    </w:p>
    <w:p w14:paraId="24757236" w14:textId="77777777" w:rsidR="00555C44" w:rsidRPr="00866721" w:rsidRDefault="0047594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866721">
        <w:rPr>
          <w:rFonts w:ascii="Palatino Linotype" w:eastAsia="Palatino Linotype" w:hAnsi="Palatino Linotype" w:cs="Palatino Linotype"/>
          <w:noProof/>
        </w:rPr>
        <w:drawing>
          <wp:inline distT="0" distB="0" distL="0" distR="0" wp14:anchorId="3E449D6E" wp14:editId="69585B5A">
            <wp:extent cx="5020279" cy="4744021"/>
            <wp:effectExtent l="0" t="0" r="0" b="0"/>
            <wp:docPr id="21401319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b="-408"/>
                    <a:stretch>
                      <a:fillRect/>
                    </a:stretch>
                  </pic:blipFill>
                  <pic:spPr>
                    <a:xfrm>
                      <a:off x="0" y="0"/>
                      <a:ext cx="5020279" cy="4744021"/>
                    </a:xfrm>
                    <a:prstGeom prst="rect">
                      <a:avLst/>
                    </a:prstGeom>
                    <a:ln/>
                  </pic:spPr>
                </pic:pic>
              </a:graphicData>
            </a:graphic>
          </wp:inline>
        </w:drawing>
      </w:r>
    </w:p>
    <w:p w14:paraId="48AB3D56" w14:textId="77777777" w:rsidR="00555C44" w:rsidRPr="00866721" w:rsidRDefault="00475940">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866721">
        <w:rPr>
          <w:rFonts w:ascii="Palatino Linotype" w:eastAsia="Palatino Linotype" w:hAnsi="Palatino Linotype" w:cs="Palatino Linotype"/>
          <w:noProof/>
        </w:rPr>
        <w:lastRenderedPageBreak/>
        <w:drawing>
          <wp:inline distT="0" distB="0" distL="0" distR="0" wp14:anchorId="7DB57617" wp14:editId="35804DDC">
            <wp:extent cx="5400000" cy="4184725"/>
            <wp:effectExtent l="0" t="0" r="0" b="0"/>
            <wp:docPr id="21401319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00000" cy="4184725"/>
                    </a:xfrm>
                    <a:prstGeom prst="rect">
                      <a:avLst/>
                    </a:prstGeom>
                    <a:ln/>
                  </pic:spPr>
                </pic:pic>
              </a:graphicData>
            </a:graphic>
          </wp:inline>
        </w:drawing>
      </w:r>
    </w:p>
    <w:p w14:paraId="6C5CDD2A" w14:textId="77777777" w:rsidR="00555C44" w:rsidRPr="00866721" w:rsidRDefault="0047594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Una vez precisado lo anterior, se procede al análisis del marco normativo aplicable al </w:t>
      </w:r>
      <w:r w:rsidRPr="00866721">
        <w:rPr>
          <w:rFonts w:ascii="Palatino Linotype" w:eastAsia="Palatino Linotype" w:hAnsi="Palatino Linotype" w:cs="Palatino Linotype"/>
          <w:b/>
          <w:sz w:val="22"/>
          <w:szCs w:val="22"/>
        </w:rPr>
        <w:t xml:space="preserve">Sujeto Obligado, </w:t>
      </w:r>
      <w:r w:rsidRPr="00866721">
        <w:rPr>
          <w:rFonts w:ascii="Palatino Linotype" w:eastAsia="Palatino Linotype" w:hAnsi="Palatino Linotype" w:cs="Palatino Linotype"/>
          <w:sz w:val="22"/>
          <w:szCs w:val="22"/>
        </w:rPr>
        <w:t>con la finalidad de determinar sus atribuciones, y si estas se vinculan con la materia de la solicitud.</w:t>
      </w:r>
    </w:p>
    <w:p w14:paraId="419D74B1" w14:textId="77777777" w:rsidR="00555C44" w:rsidRPr="00866721" w:rsidRDefault="00475940">
      <w:pPr>
        <w:numPr>
          <w:ilvl w:val="0"/>
          <w:numId w:val="1"/>
        </w:numPr>
        <w:pBdr>
          <w:top w:val="nil"/>
          <w:left w:val="nil"/>
          <w:bottom w:val="nil"/>
          <w:right w:val="nil"/>
          <w:between w:val="nil"/>
        </w:pBdr>
        <w:spacing w:before="240" w:after="240" w:line="360" w:lineRule="auto"/>
        <w:ind w:left="0" w:right="99" w:hanging="142"/>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b/>
          <w:sz w:val="22"/>
          <w:szCs w:val="22"/>
          <w:u w:val="single"/>
        </w:rPr>
        <w:t xml:space="preserve">De la esfera competencial de la Secretaría de Finanzas </w:t>
      </w:r>
    </w:p>
    <w:p w14:paraId="50927B73" w14:textId="77777777" w:rsidR="00555C44" w:rsidRPr="00866721" w:rsidRDefault="0047594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este tenor, de conformidad con el artículo 28 de la Ley Orgánica de la Administración Pública del Estado de México, la Secretaría de Finanzas es la dependencia encargada de la planeación, programación, presupuestación y evaluación de las actividades del Poder Ejecutivo, de la administración financiera y tributaria de la hacienda pública del Estado que requieran las dependencias del Poder Ejecutivo del Estado, en los ámbitos de su competencia.</w:t>
      </w:r>
    </w:p>
    <w:p w14:paraId="1E96B9C1" w14:textId="77777777" w:rsidR="00555C44" w:rsidRPr="00866721" w:rsidRDefault="0047594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lastRenderedPageBreak/>
        <w:t xml:space="preserve">Sus atribuciones se contemplan en el artículo 29 de la Ley Orgánica de la Administración Pública: </w:t>
      </w:r>
    </w:p>
    <w:p w14:paraId="1760E5D3"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Artículo 29</w:t>
      </w:r>
      <w:r w:rsidRPr="00866721">
        <w:rPr>
          <w:rFonts w:ascii="Palatino Linotype" w:eastAsia="Palatino Linotype" w:hAnsi="Palatino Linotype" w:cs="Palatino Linotype"/>
          <w:i/>
          <w:sz w:val="22"/>
          <w:szCs w:val="22"/>
        </w:rPr>
        <w:t xml:space="preserve">. La Secretaría de Finanzas contará con las siguientes atribuciones: </w:t>
      </w:r>
    </w:p>
    <w:p w14:paraId="7B5D98C7"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 xml:space="preserve">I. </w:t>
      </w:r>
      <w:r w:rsidRPr="00866721">
        <w:rPr>
          <w:rFonts w:ascii="Palatino Linotype" w:eastAsia="Palatino Linotype" w:hAnsi="Palatino Linotype" w:cs="Palatino Linotype"/>
          <w:i/>
          <w:sz w:val="22"/>
          <w:szCs w:val="22"/>
        </w:rPr>
        <w:t xml:space="preserve">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14:paraId="50BB1549"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II.</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 xml:space="preserve">Establecer políticas en materia hacendaria, así como </w:t>
      </w:r>
      <w:r w:rsidRPr="00866721">
        <w:rPr>
          <w:rFonts w:ascii="Palatino Linotype" w:eastAsia="Palatino Linotype" w:hAnsi="Palatino Linotype" w:cs="Palatino Linotype"/>
          <w:b/>
          <w:i/>
          <w:sz w:val="22"/>
          <w:szCs w:val="22"/>
          <w:u w:val="single"/>
        </w:rPr>
        <w:t>recaudar</w:t>
      </w:r>
      <w:r w:rsidRPr="00866721">
        <w:rPr>
          <w:rFonts w:ascii="Palatino Linotype" w:eastAsia="Palatino Linotype" w:hAnsi="Palatino Linotype" w:cs="Palatino Linotype"/>
          <w:b/>
          <w:i/>
          <w:sz w:val="22"/>
          <w:szCs w:val="22"/>
        </w:rPr>
        <w:t xml:space="preserve"> los impuestos, derechos, aportaciones de mejoras, productos y aprovechamientos, que correspondan al Estado</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 xml:space="preserve">y </w:t>
      </w:r>
      <w:r w:rsidRPr="00866721">
        <w:rPr>
          <w:rFonts w:ascii="Palatino Linotype" w:eastAsia="Palatino Linotype" w:hAnsi="Palatino Linotype" w:cs="Palatino Linotype"/>
          <w:b/>
          <w:i/>
          <w:sz w:val="22"/>
          <w:szCs w:val="22"/>
          <w:u w:val="single"/>
        </w:rPr>
        <w:t>las contribuciones federales</w:t>
      </w:r>
      <w:r w:rsidRPr="00866721">
        <w:rPr>
          <w:rFonts w:ascii="Palatino Linotype" w:eastAsia="Palatino Linotype" w:hAnsi="Palatino Linotype" w:cs="Palatino Linotype"/>
          <w:b/>
          <w:i/>
          <w:sz w:val="22"/>
          <w:szCs w:val="22"/>
        </w:rPr>
        <w:t xml:space="preserve"> y municipales en los términos de los convenios suscritos, conforme a las leyes estatales y generales aplicables</w:t>
      </w:r>
      <w:r w:rsidRPr="00866721">
        <w:rPr>
          <w:rFonts w:ascii="Palatino Linotype" w:eastAsia="Palatino Linotype" w:hAnsi="Palatino Linotype" w:cs="Palatino Linotype"/>
          <w:i/>
          <w:sz w:val="22"/>
          <w:szCs w:val="22"/>
        </w:rPr>
        <w:t>,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14:paraId="342C6943"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III</w:t>
      </w:r>
      <w:r w:rsidRPr="00866721">
        <w:rPr>
          <w:rFonts w:ascii="Palatino Linotype" w:eastAsia="Palatino Linotype" w:hAnsi="Palatino Linotype" w:cs="Palatino Linotype"/>
          <w:i/>
          <w:sz w:val="22"/>
          <w:szCs w:val="22"/>
        </w:rPr>
        <w:t xml:space="preserve">. Instrumentar, vigilar y buscar asegurar el cumplimiento de las disposiciones legales de carácter fiscal y las demás de su ramo, aplicables en el Estado; </w:t>
      </w:r>
    </w:p>
    <w:p w14:paraId="26CEFDB7"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IV</w:t>
      </w:r>
      <w:r w:rsidRPr="00866721">
        <w:rPr>
          <w:rFonts w:ascii="Palatino Linotype" w:eastAsia="Palatino Linotype" w:hAnsi="Palatino Linotype" w:cs="Palatino Linotype"/>
          <w:i/>
          <w:sz w:val="22"/>
          <w:szCs w:val="22"/>
        </w:rPr>
        <w:t xml:space="preserve">. Ejercer en el ámbito de su competencia las atribuciones derivadas de los convenios fiscales que celebre el Gobierno del Estado con la Secretaría de Hacienda y Crédito Público del Gobierno Federal, con los gobiernos de otros estados de la República, con los gobiernos municipales y con organismos auxiliares; </w:t>
      </w:r>
    </w:p>
    <w:p w14:paraId="6DE82F2B"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V</w:t>
      </w:r>
      <w:r w:rsidRPr="00866721">
        <w:rPr>
          <w:rFonts w:ascii="Palatino Linotype" w:eastAsia="Palatino Linotype" w:hAnsi="Palatino Linotype" w:cs="Palatino Linotype"/>
          <w:i/>
          <w:sz w:val="22"/>
          <w:szCs w:val="22"/>
        </w:rPr>
        <w:t xml:space="preserve">. Formular y presentar a la persona titular del Poder Ejecutivo del Estado, los proyectos de Ley de Ingresos, del Presupuesto de Egresos y el programa general del gasto público; </w:t>
      </w:r>
    </w:p>
    <w:p w14:paraId="7F666EB7"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VI</w:t>
      </w:r>
      <w:r w:rsidRPr="00866721">
        <w:rPr>
          <w:rFonts w:ascii="Palatino Linotype" w:eastAsia="Palatino Linotype" w:hAnsi="Palatino Linotype" w:cs="Palatino Linotype"/>
          <w:i/>
          <w:sz w:val="22"/>
          <w:szCs w:val="22"/>
        </w:rPr>
        <w:t>. Practicar revisiones y auditorías a los causantes para prevenir la evasión y elusión, y en su caso, determinar créditos fiscales y precisar las bases para su liquidación;</w:t>
      </w:r>
    </w:p>
    <w:p w14:paraId="17B26A7A"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VII</w:t>
      </w:r>
      <w:r w:rsidRPr="00866721">
        <w:rPr>
          <w:rFonts w:ascii="Palatino Linotype" w:eastAsia="Palatino Linotype" w:hAnsi="Palatino Linotype" w:cs="Palatino Linotype"/>
          <w:i/>
          <w:sz w:val="22"/>
          <w:szCs w:val="22"/>
        </w:rPr>
        <w:t>. Formular mensualmente los estados financieros de la hacienda pública, presentando anualmente a la persona titular del Poder Ejecutivo del Estado, en la primera quincena del mes de enero, un informe pormenorizado del ejercicio fiscal anterior;</w:t>
      </w:r>
    </w:p>
    <w:p w14:paraId="32AB97DF"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lastRenderedPageBreak/>
        <w:t>VIII</w:t>
      </w:r>
      <w:r w:rsidRPr="00866721">
        <w:rPr>
          <w:rFonts w:ascii="Palatino Linotype" w:eastAsia="Palatino Linotype" w:hAnsi="Palatino Linotype" w:cs="Palatino Linotype"/>
          <w:i/>
          <w:sz w:val="22"/>
          <w:szCs w:val="22"/>
        </w:rPr>
        <w:t>. Ejercer la facultad económico-coactiva conforme a las leyes relativas, para hacer efectivos los créditos fiscales a favor del Estado;</w:t>
      </w:r>
    </w:p>
    <w:p w14:paraId="7BEE1FC6"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IX.</w:t>
      </w:r>
      <w:r w:rsidRPr="00866721">
        <w:rPr>
          <w:rFonts w:ascii="Palatino Linotype" w:eastAsia="Palatino Linotype" w:hAnsi="Palatino Linotype" w:cs="Palatino Linotype"/>
          <w:i/>
          <w:sz w:val="22"/>
          <w:szCs w:val="22"/>
        </w:rPr>
        <w:t xml:space="preserve"> Establecer, administrar, integrar, controlar, verificar y mantener actualizados, el padrón fiscal de contribuyentes y demás registros relacionados, conforme a las disposiciones legales aplicables; </w:t>
      </w:r>
    </w:p>
    <w:p w14:paraId="7945DFFE"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w:t>
      </w:r>
      <w:r w:rsidRPr="00866721">
        <w:rPr>
          <w:rFonts w:ascii="Palatino Linotype" w:eastAsia="Palatino Linotype" w:hAnsi="Palatino Linotype" w:cs="Palatino Linotype"/>
          <w:i/>
          <w:sz w:val="22"/>
          <w:szCs w:val="22"/>
        </w:rPr>
        <w:t xml:space="preserve">. Cuidar que las personas empleadas que manejen fondos del Estado otorguen fianza suficiente para garantizar su manejo en los términos que determine la ley; </w:t>
      </w:r>
    </w:p>
    <w:p w14:paraId="08AF173A"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XI</w:t>
      </w:r>
      <w:r w:rsidRPr="00866721">
        <w:rPr>
          <w:rFonts w:ascii="Palatino Linotype" w:eastAsia="Palatino Linotype" w:hAnsi="Palatino Linotype" w:cs="Palatino Linotype"/>
          <w:i/>
          <w:sz w:val="22"/>
          <w:szCs w:val="22"/>
        </w:rPr>
        <w:t xml:space="preserve">.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 </w:t>
      </w:r>
    </w:p>
    <w:p w14:paraId="401ABA9A"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XII</w:t>
      </w:r>
      <w:r w:rsidRPr="00866721">
        <w:rPr>
          <w:rFonts w:ascii="Palatino Linotype" w:eastAsia="Palatino Linotype" w:hAnsi="Palatino Linotype" w:cs="Palatino Linotype"/>
          <w:i/>
          <w:sz w:val="22"/>
          <w:szCs w:val="22"/>
        </w:rPr>
        <w:t xml:space="preserve">.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14:paraId="5C757811"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XIII</w:t>
      </w:r>
      <w:r w:rsidRPr="00866721">
        <w:rPr>
          <w:rFonts w:ascii="Palatino Linotype" w:eastAsia="Palatino Linotype" w:hAnsi="Palatino Linotype" w:cs="Palatino Linotype"/>
          <w:i/>
          <w:sz w:val="22"/>
          <w:szCs w:val="22"/>
        </w:rPr>
        <w:t xml:space="preserve">. Dirigir, regular, controlar, supervisar y evaluar las actividades de las personas servidoras públicas en las oficinas recaudadoras físicas y virtuales, así como de orientación y asistencia a las personas contribuyentes en el Estado; </w:t>
      </w:r>
    </w:p>
    <w:p w14:paraId="218C0104"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XIV</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Efectuar los pagos conforme a los programas y presupuestos aprobados, así como, formular mensualmente el estado de origen y aplicación de los recursos financieros y tributarios del Estado</w:t>
      </w:r>
      <w:r w:rsidRPr="00866721">
        <w:rPr>
          <w:rFonts w:ascii="Palatino Linotype" w:eastAsia="Palatino Linotype" w:hAnsi="Palatino Linotype" w:cs="Palatino Linotype"/>
          <w:i/>
          <w:sz w:val="22"/>
          <w:szCs w:val="22"/>
        </w:rPr>
        <w:t xml:space="preserve">; </w:t>
      </w:r>
    </w:p>
    <w:p w14:paraId="130FABF4"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XV</w:t>
      </w:r>
      <w:r w:rsidRPr="00866721">
        <w:rPr>
          <w:rFonts w:ascii="Palatino Linotype" w:eastAsia="Palatino Linotype" w:hAnsi="Palatino Linotype" w:cs="Palatino Linotype"/>
          <w:i/>
          <w:sz w:val="22"/>
          <w:szCs w:val="22"/>
        </w:rPr>
        <w:t xml:space="preserve">. Proponer a la persona titular del Poder Ejecutivo del Estado la cancelación de cuentas incobrables, así como el otorgamiento de subsidios fiscales en los casos en que proceda; </w:t>
      </w:r>
    </w:p>
    <w:p w14:paraId="5B447DA4"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 xml:space="preserve">XVI. </w:t>
      </w:r>
      <w:r w:rsidRPr="00866721">
        <w:rPr>
          <w:rFonts w:ascii="Palatino Linotype" w:eastAsia="Palatino Linotype" w:hAnsi="Palatino Linotype" w:cs="Palatino Linotype"/>
          <w:i/>
          <w:sz w:val="22"/>
          <w:szCs w:val="22"/>
        </w:rPr>
        <w:t xml:space="preserve">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14:paraId="6D94D9C9"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XVII</w:t>
      </w:r>
      <w:r w:rsidRPr="00866721">
        <w:rPr>
          <w:rFonts w:ascii="Palatino Linotype" w:eastAsia="Palatino Linotype" w:hAnsi="Palatino Linotype" w:cs="Palatino Linotype"/>
          <w:i/>
          <w:sz w:val="22"/>
          <w:szCs w:val="22"/>
        </w:rPr>
        <w:t>.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w:t>
      </w:r>
    </w:p>
    <w:p w14:paraId="0273F2BA"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a)</w:t>
      </w:r>
      <w:r w:rsidRPr="00866721">
        <w:rPr>
          <w:rFonts w:ascii="Palatino Linotype" w:eastAsia="Palatino Linotype" w:hAnsi="Palatino Linotype" w:cs="Palatino Linotype"/>
          <w:i/>
          <w:sz w:val="22"/>
          <w:szCs w:val="22"/>
        </w:rPr>
        <w:t xml:space="preserve"> Intervenir como parte en los juicios contra resoluciones o actos emitidos por la Entidad en ejercicio de sus facultades por ingresos federales ya sea por sí o a través </w:t>
      </w:r>
      <w:r w:rsidRPr="00866721">
        <w:rPr>
          <w:rFonts w:ascii="Palatino Linotype" w:eastAsia="Palatino Linotype" w:hAnsi="Palatino Linotype" w:cs="Palatino Linotype"/>
          <w:i/>
          <w:sz w:val="22"/>
          <w:szCs w:val="22"/>
        </w:rPr>
        <w:lastRenderedPageBreak/>
        <w:t xml:space="preserve">de las dependencias u organismos auxiliares de la Administración Pública, sin perjuicio de la intervención que corresponda a la Secretaría de Hacienda y Crédito Público y/o al Servicio de Administración Tributaria; </w:t>
      </w:r>
    </w:p>
    <w:p w14:paraId="3533830B"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b)</w:t>
      </w:r>
      <w:r w:rsidRPr="00866721">
        <w:rPr>
          <w:rFonts w:ascii="Palatino Linotype" w:eastAsia="Palatino Linotype" w:hAnsi="Palatino Linotype" w:cs="Palatino Linotype"/>
          <w:i/>
          <w:sz w:val="22"/>
          <w:szCs w:val="22"/>
        </w:rPr>
        <w:t xml:space="preserve"> Ejercer las acciones, oponer las excepciones y defensas que correspondan a los actos emitidos por la Entidad en los juicios; </w:t>
      </w:r>
    </w:p>
    <w:p w14:paraId="1436FCB1"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c)</w:t>
      </w:r>
      <w:r w:rsidRPr="00866721">
        <w:rPr>
          <w:rFonts w:ascii="Palatino Linotype" w:eastAsia="Palatino Linotype" w:hAnsi="Palatino Linotype" w:cs="Palatino Linotype"/>
          <w:i/>
          <w:sz w:val="22"/>
          <w:szCs w:val="22"/>
        </w:rPr>
        <w:t xml:space="preserve"> Intervenir en su carácter de autoridad ejecutora, en los juicios interpuestos contra requerimientos de pago a cargo de instituciones de fianzas con base en pólizas que se hayan expedido para asegurar el interés fiscal; </w:t>
      </w:r>
    </w:p>
    <w:p w14:paraId="1C88C58E"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d)</w:t>
      </w:r>
      <w:r w:rsidRPr="00866721">
        <w:rPr>
          <w:rFonts w:ascii="Palatino Linotype" w:eastAsia="Palatino Linotype" w:hAnsi="Palatino Linotype" w:cs="Palatino Linotype"/>
          <w:i/>
          <w:sz w:val="22"/>
          <w:szCs w:val="22"/>
        </w:rPr>
        <w:t xml:space="preserve">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w:t>
      </w:r>
    </w:p>
    <w:p w14:paraId="460F955A"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representación de la Entidad que ejerza la persona titular de la Secretaría de Finanzas; </w:t>
      </w:r>
    </w:p>
    <w:p w14:paraId="5EE18372"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XVIII.</w:t>
      </w:r>
      <w:r w:rsidRPr="00866721">
        <w:rPr>
          <w:rFonts w:ascii="Palatino Linotype" w:eastAsia="Palatino Linotype" w:hAnsi="Palatino Linotype" w:cs="Palatino Linotype"/>
          <w:i/>
          <w:sz w:val="22"/>
          <w:szCs w:val="22"/>
        </w:rPr>
        <w:t xml:space="preserve"> Fijar las políticas, normas y lineamientos generales en materia de catastro, de acuerdo con las leyes respectivas; </w:t>
      </w:r>
    </w:p>
    <w:p w14:paraId="0C7C9FE2"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XIX.</w:t>
      </w:r>
      <w:r w:rsidRPr="00866721">
        <w:rPr>
          <w:rFonts w:ascii="Palatino Linotype" w:eastAsia="Palatino Linotype" w:hAnsi="Palatino Linotype" w:cs="Palatino Linotype"/>
          <w:i/>
          <w:sz w:val="22"/>
          <w:szCs w:val="22"/>
        </w:rPr>
        <w:t xml:space="preserve">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con enfoque de derechos humanos y perspectiva de género, de conformidad con las disposiciones legales aplicables; </w:t>
      </w:r>
    </w:p>
    <w:p w14:paraId="240E510F"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w:t>
      </w:r>
      <w:r w:rsidRPr="00866721">
        <w:rPr>
          <w:rFonts w:ascii="Palatino Linotype" w:eastAsia="Palatino Linotype" w:hAnsi="Palatino Linotype" w:cs="Palatino Linotype"/>
          <w:i/>
          <w:sz w:val="22"/>
          <w:szCs w:val="22"/>
        </w:rPr>
        <w:t xml:space="preserve">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14:paraId="54486984"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XXI</w:t>
      </w:r>
      <w:r w:rsidRPr="00866721">
        <w:rPr>
          <w:rFonts w:ascii="Palatino Linotype" w:eastAsia="Palatino Linotype" w:hAnsi="Palatino Linotype" w:cs="Palatino Linotype"/>
          <w:i/>
          <w:sz w:val="22"/>
          <w:szCs w:val="22"/>
        </w:rPr>
        <w:t xml:space="preserve">. Solicitar a la Oficialía Mayor el diseño, implementación y actualización de todos los sistemas informáticos indispensables para el cumplimiento de sus </w:t>
      </w:r>
      <w:r w:rsidRPr="00866721">
        <w:rPr>
          <w:rFonts w:ascii="Palatino Linotype" w:eastAsia="Palatino Linotype" w:hAnsi="Palatino Linotype" w:cs="Palatino Linotype"/>
          <w:i/>
          <w:sz w:val="22"/>
          <w:szCs w:val="22"/>
        </w:rPr>
        <w:lastRenderedPageBreak/>
        <w:t xml:space="preserve">atribuciones, tales como: de ingresos, del gasto público, de contabilidad gubernamental, disciplina financiera y estadística y demás apegadas a las disposiciones legales aplicables; </w:t>
      </w:r>
    </w:p>
    <w:p w14:paraId="7904C836"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XXII</w:t>
      </w:r>
      <w:r w:rsidRPr="00866721">
        <w:rPr>
          <w:rFonts w:ascii="Palatino Linotype" w:eastAsia="Palatino Linotype" w:hAnsi="Palatino Linotype" w:cs="Palatino Linotype"/>
          <w:i/>
          <w:sz w:val="22"/>
          <w:szCs w:val="22"/>
        </w:rPr>
        <w:t xml:space="preserve">. Planear, autorizar, coordinar, vigilar y evaluar los programas de inversión pública de las dependencias del Ejecutivo y de sus organismos auxiliares, para que se realicen conforme a los objetivos de los planes de desarrollo aprobados y la normatividad competente; </w:t>
      </w:r>
    </w:p>
    <w:p w14:paraId="4781C8F6"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XXIII.</w:t>
      </w:r>
      <w:r w:rsidRPr="00866721">
        <w:rPr>
          <w:rFonts w:ascii="Palatino Linotype" w:eastAsia="Palatino Linotype" w:hAnsi="Palatino Linotype" w:cs="Palatino Linotype"/>
          <w:i/>
          <w:sz w:val="22"/>
          <w:szCs w:val="22"/>
        </w:rPr>
        <w:t xml:space="preserve"> Proyectar y calcular los egresos del Gobierno del Estado y los ingresos y egresos de sus organismos auxiliares; </w:t>
      </w:r>
    </w:p>
    <w:p w14:paraId="59075D42"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XXIV.</w:t>
      </w:r>
      <w:r w:rsidRPr="00866721">
        <w:rPr>
          <w:rFonts w:ascii="Palatino Linotype" w:eastAsia="Palatino Linotype" w:hAnsi="Palatino Linotype" w:cs="Palatino Linotype"/>
          <w:i/>
          <w:sz w:val="22"/>
          <w:szCs w:val="22"/>
        </w:rPr>
        <w:t xml:space="preserve"> Garantizar, en el ámbito de su competencia, la aplicación de las reglas y criterios de disciplina financiera, equilibrio presupuestario y responsabilidad hacendaria, en términos de la legislación en la materia; </w:t>
      </w:r>
    </w:p>
    <w:p w14:paraId="0A91894B"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XXV</w:t>
      </w:r>
      <w:r w:rsidRPr="00866721">
        <w:rPr>
          <w:rFonts w:ascii="Palatino Linotype" w:eastAsia="Palatino Linotype" w:hAnsi="Palatino Linotype" w:cs="Palatino Linotype"/>
          <w:i/>
          <w:sz w:val="22"/>
          <w:szCs w:val="22"/>
        </w:rPr>
        <w:t xml:space="preserve">. Establecer y llevar los sistemas de contabilidad gubernamental, disciplina financiera y de estadística general del Gobierno del Estado; </w:t>
      </w:r>
    </w:p>
    <w:p w14:paraId="0C4CAD55"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XXVI.</w:t>
      </w:r>
      <w:r w:rsidRPr="00866721">
        <w:rPr>
          <w:rFonts w:ascii="Palatino Linotype" w:eastAsia="Palatino Linotype" w:hAnsi="Palatino Linotype" w:cs="Palatino Linotype"/>
          <w:i/>
          <w:sz w:val="22"/>
          <w:szCs w:val="22"/>
        </w:rPr>
        <w:t xml:space="preserve"> Realizar periódicamente la evaluación del cumplimiento de las obligaciones específicas de responsabilidad hacendaria a cargo de los municipios, en términos de lo establecido en los propios convenios, remitiendo los resultados a la dependencia del Gobierno Federal competente; </w:t>
      </w:r>
    </w:p>
    <w:p w14:paraId="74A25A5C"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 xml:space="preserve">XXVII. </w:t>
      </w:r>
      <w:r w:rsidRPr="00866721">
        <w:rPr>
          <w:rFonts w:ascii="Palatino Linotype" w:eastAsia="Palatino Linotype" w:hAnsi="Palatino Linotype" w:cs="Palatino Linotype"/>
          <w:i/>
          <w:sz w:val="22"/>
          <w:szCs w:val="22"/>
        </w:rPr>
        <w:t xml:space="preserve">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14:paraId="13717C60"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XXVIII</w:t>
      </w:r>
      <w:r w:rsidRPr="00866721">
        <w:rPr>
          <w:rFonts w:ascii="Palatino Linotype" w:eastAsia="Palatino Linotype" w:hAnsi="Palatino Linotype" w:cs="Palatino Linotype"/>
          <w:i/>
          <w:sz w:val="22"/>
          <w:szCs w:val="22"/>
        </w:rPr>
        <w:t xml:space="preserve">. Celebrar convenios con los entes públicos estatales que se ubiquen en un nivel de endeudamiento elevado, con el objeto de establecer obligaciones específicas de responsabilidad hacendaria; </w:t>
      </w:r>
    </w:p>
    <w:p w14:paraId="03BD3995"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XXIX</w:t>
      </w:r>
      <w:r w:rsidRPr="00866721">
        <w:rPr>
          <w:rFonts w:ascii="Palatino Linotype" w:eastAsia="Palatino Linotype" w:hAnsi="Palatino Linotype" w:cs="Palatino Linotype"/>
          <w:i/>
          <w:sz w:val="22"/>
          <w:szCs w:val="22"/>
        </w:rPr>
        <w:t xml:space="preserve">. Hacer la glosa preventiva de los ingresos y egresos del Gobierno del Estado, elaborar la cuenta pública y mantener las relaciones con el Órgano Superior de Fiscalización del Estado de México; </w:t>
      </w:r>
    </w:p>
    <w:p w14:paraId="0D56C048"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XXX.</w:t>
      </w:r>
      <w:r w:rsidRPr="00866721">
        <w:rPr>
          <w:rFonts w:ascii="Palatino Linotype" w:eastAsia="Palatino Linotype" w:hAnsi="Palatino Linotype" w:cs="Palatino Linotype"/>
          <w:i/>
          <w:sz w:val="22"/>
          <w:szCs w:val="22"/>
        </w:rPr>
        <w:t xml:space="preserve"> Registrar y normar los actos y contratos de los que resulten derechos y obligaciones para el Gobierno del Estado; </w:t>
      </w:r>
    </w:p>
    <w:p w14:paraId="541B31A4"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XXXI.</w:t>
      </w:r>
      <w:r w:rsidRPr="00866721">
        <w:rPr>
          <w:rFonts w:ascii="Palatino Linotype" w:eastAsia="Palatino Linotype" w:hAnsi="Palatino Linotype" w:cs="Palatino Linotype"/>
          <w:i/>
          <w:sz w:val="22"/>
          <w:szCs w:val="22"/>
        </w:rPr>
        <w:t xml:space="preserve"> Determinar el destino final tratándose de tráileres, autobuses y cualquier tipo de remolques, una vez declarados abandonados; </w:t>
      </w:r>
    </w:p>
    <w:p w14:paraId="324C5637"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XXXII</w:t>
      </w:r>
      <w:r w:rsidRPr="00866721">
        <w:rPr>
          <w:rFonts w:ascii="Palatino Linotype" w:eastAsia="Palatino Linotype" w:hAnsi="Palatino Linotype" w:cs="Palatino Linotype"/>
          <w:i/>
          <w:sz w:val="22"/>
          <w:szCs w:val="22"/>
        </w:rPr>
        <w:t xml:space="preserve">. Instrumentar e intervenir en el otorgamiento de los subsidios, aportaciones, ayudas, transferencias y financiamiento temporal a las dependencias, municipios, </w:t>
      </w:r>
      <w:r w:rsidRPr="00866721">
        <w:rPr>
          <w:rFonts w:ascii="Palatino Linotype" w:eastAsia="Palatino Linotype" w:hAnsi="Palatino Linotype" w:cs="Palatino Linotype"/>
          <w:i/>
          <w:sz w:val="22"/>
          <w:szCs w:val="22"/>
        </w:rPr>
        <w:lastRenderedPageBreak/>
        <w:t>instituciones o particulares, con el objeto de comprobar que la inversión se efectúe en los términos establecidos de conformidad con la legislación aplicable y las disposiciones normativas que para estos efectos se emitan;</w:t>
      </w:r>
    </w:p>
    <w:p w14:paraId="35945C90"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XXIII</w:t>
      </w:r>
      <w:r w:rsidRPr="00866721">
        <w:rPr>
          <w:rFonts w:ascii="Palatino Linotype" w:eastAsia="Palatino Linotype" w:hAnsi="Palatino Linotype" w:cs="Palatino Linotype"/>
          <w:i/>
          <w:sz w:val="22"/>
          <w:szCs w:val="22"/>
        </w:rPr>
        <w:t xml:space="preserve">. Prestar a los municipios, cuando así lo soliciten, la asesoría y el apoyo técnico necesario para la elaboración de sus planes y programas de desarrollo económico y social; </w:t>
      </w:r>
    </w:p>
    <w:p w14:paraId="17AFDF53"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XXXIV</w:t>
      </w:r>
      <w:r w:rsidRPr="00866721">
        <w:rPr>
          <w:rFonts w:ascii="Palatino Linotype" w:eastAsia="Palatino Linotype" w:hAnsi="Palatino Linotype" w:cs="Palatino Linotype"/>
          <w:i/>
          <w:sz w:val="22"/>
          <w:szCs w:val="22"/>
        </w:rPr>
        <w:t xml:space="preserve">. Integrar y mantener actualizada la información geográfica y estadística de la Entidad; </w:t>
      </w:r>
    </w:p>
    <w:p w14:paraId="511732EA"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 xml:space="preserve">XXXV. </w:t>
      </w:r>
      <w:r w:rsidRPr="00866721">
        <w:rPr>
          <w:rFonts w:ascii="Palatino Linotype" w:eastAsia="Palatino Linotype" w:hAnsi="Palatino Linotype" w:cs="Palatino Linotype"/>
          <w:i/>
          <w:sz w:val="22"/>
          <w:szCs w:val="22"/>
        </w:rPr>
        <w:t xml:space="preserve">Asesorar a la persona titular del Poder Ejecutivo del Estado en la elaboración de los convenios que celebre el Gobierno del Estado en materia de planeación, programación, supervisión y evaluación del desarrollo de la Entidad; </w:t>
      </w:r>
    </w:p>
    <w:p w14:paraId="02092AF4"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XXXVI</w:t>
      </w:r>
      <w:r w:rsidRPr="00866721">
        <w:rPr>
          <w:rFonts w:ascii="Palatino Linotype" w:eastAsia="Palatino Linotype" w:hAnsi="Palatino Linotype" w:cs="Palatino Linotype"/>
          <w:i/>
          <w:sz w:val="22"/>
          <w:szCs w:val="22"/>
        </w:rPr>
        <w:t xml:space="preserve">. Vigilar que el desarrollo económico y social de la Entidad sea armónico, para que beneficie en forma equitativa a las diferentes regiones del Estado, evaluando periódicamente los resultados obtenidos, en términos simples y comprensibles; </w:t>
      </w:r>
    </w:p>
    <w:p w14:paraId="34C1945B"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XXXVI</w:t>
      </w:r>
      <w:r w:rsidRPr="00866721">
        <w:rPr>
          <w:rFonts w:ascii="Palatino Linotype" w:eastAsia="Palatino Linotype" w:hAnsi="Palatino Linotype" w:cs="Palatino Linotype"/>
          <w:i/>
          <w:sz w:val="22"/>
          <w:szCs w:val="22"/>
        </w:rPr>
        <w:t xml:space="preserve">I. Generar, requerir, analizar y consolidar con fines de inteligencia, información patrimonial, económica, financiera, fiscal, civil y cualquier otra que 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14:paraId="01652601"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XXXVIII</w:t>
      </w:r>
      <w:r w:rsidRPr="00866721">
        <w:rPr>
          <w:rFonts w:ascii="Palatino Linotype" w:eastAsia="Palatino Linotype" w:hAnsi="Palatino Linotype" w:cs="Palatino Linotype"/>
          <w:i/>
          <w:sz w:val="22"/>
          <w:szCs w:val="22"/>
        </w:rPr>
        <w:t xml:space="preserve">.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14:paraId="206FAEA9"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XXXIX</w:t>
      </w:r>
      <w:r w:rsidRPr="00866721">
        <w:rPr>
          <w:rFonts w:ascii="Palatino Linotype" w:eastAsia="Palatino Linotype" w:hAnsi="Palatino Linotype" w:cs="Palatino Linotype"/>
          <w:i/>
          <w:sz w:val="22"/>
          <w:szCs w:val="22"/>
        </w:rPr>
        <w:t xml:space="preserve">. Expedir las placas de matriculación, calcomanías, tarjetas de circulación y demás elementos de identificación de los vehículos automotores destinados a transporte de carga, de uso particular y comercial, que no sean competencia de otras autoridades; </w:t>
      </w:r>
    </w:p>
    <w:p w14:paraId="778C4902"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XL.</w:t>
      </w:r>
      <w:r w:rsidRPr="00866721">
        <w:rPr>
          <w:rFonts w:ascii="Palatino Linotype" w:eastAsia="Palatino Linotype" w:hAnsi="Palatino Linotype" w:cs="Palatino Linotype"/>
          <w:i/>
          <w:sz w:val="22"/>
          <w:szCs w:val="22"/>
        </w:rPr>
        <w:t xml:space="preserve">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necesaria con base en los lineamientos que para tal efecto emita la Secretaría; Asimismo, participará en la constitución o celebración de fideicomisos públicos. </w:t>
      </w:r>
    </w:p>
    <w:p w14:paraId="5BD9BF3C"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lastRenderedPageBreak/>
        <w:t>XLI</w:t>
      </w:r>
      <w:r w:rsidRPr="00866721">
        <w:rPr>
          <w:rFonts w:ascii="Palatino Linotype" w:eastAsia="Palatino Linotype" w:hAnsi="Palatino Linotype" w:cs="Palatino Linotype"/>
          <w:i/>
          <w:sz w:val="22"/>
          <w:szCs w:val="22"/>
        </w:rPr>
        <w:t xml:space="preserve">.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14:paraId="4B8A3970"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XLII.</w:t>
      </w:r>
      <w:r w:rsidRPr="00866721">
        <w:rPr>
          <w:rFonts w:ascii="Palatino Linotype" w:eastAsia="Palatino Linotype" w:hAnsi="Palatino Linotype" w:cs="Palatino Linotype"/>
          <w:i/>
          <w:sz w:val="22"/>
          <w:szCs w:val="22"/>
        </w:rPr>
        <w:t xml:space="preserve">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persona titular de la Procuraduría Fiscal, en su carácter de autoridad ejecutora, a fin de hacer efectivas las pólizas de fianza otorgadas a favor del Gobierno del Estado; </w:t>
      </w:r>
    </w:p>
    <w:p w14:paraId="10CA52F6"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XLIII</w:t>
      </w:r>
      <w:r w:rsidRPr="00866721">
        <w:rPr>
          <w:rFonts w:ascii="Palatino Linotype" w:eastAsia="Palatino Linotype" w:hAnsi="Palatino Linotype" w:cs="Palatino Linotype"/>
          <w:i/>
          <w:sz w:val="22"/>
          <w:szCs w:val="22"/>
        </w:rPr>
        <w:t xml:space="preserve">. Implementar, desarrollar y fomentar, en coordinación con la Secretaría General de Gobierno, la política de Gobierno Digital y el uso estratégico de tecnologías de la información en el ejercicio de la gestión pública dentro de la Entidad; </w:t>
      </w:r>
    </w:p>
    <w:p w14:paraId="3CDD4F9B"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XLIV</w:t>
      </w:r>
      <w:r w:rsidRPr="00866721">
        <w:rPr>
          <w:rFonts w:ascii="Palatino Linotype" w:eastAsia="Palatino Linotype" w:hAnsi="Palatino Linotype" w:cs="Palatino Linotype"/>
          <w:i/>
          <w:sz w:val="22"/>
          <w:szCs w:val="22"/>
        </w:rPr>
        <w:t xml:space="preserve">. Emitir, en conjunto con la Secretaría General de Gobierno, los lineamientos técnicos en materia de Gobierno Digital conforme a lo establecido en los ordenamientos jurídicos aplicables; </w:t>
      </w:r>
    </w:p>
    <w:p w14:paraId="1143B58B"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XLV.</w:t>
      </w:r>
      <w:r w:rsidRPr="00866721">
        <w:rPr>
          <w:rFonts w:ascii="Palatino Linotype" w:eastAsia="Palatino Linotype" w:hAnsi="Palatino Linotype" w:cs="Palatino Linotype"/>
          <w:i/>
          <w:sz w:val="22"/>
          <w:szCs w:val="22"/>
        </w:rPr>
        <w:t xml:space="preserve"> Dar asesoría en materia de Gobierno Digital a los sujetos de la Ley de Gobierno Digital, teniendo como base la normatividad aplicable en dicha materia; </w:t>
      </w:r>
    </w:p>
    <w:p w14:paraId="6D984CDE"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XLVI</w:t>
      </w:r>
      <w:r w:rsidRPr="00866721">
        <w:rPr>
          <w:rFonts w:ascii="Palatino Linotype" w:eastAsia="Palatino Linotype" w:hAnsi="Palatino Linotype" w:cs="Palatino Linotype"/>
          <w:i/>
          <w:sz w:val="22"/>
          <w:szCs w:val="22"/>
        </w:rPr>
        <w:t xml:space="preserve">.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14:paraId="06C9C368"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XLVII</w:t>
      </w:r>
      <w:r w:rsidRPr="00866721">
        <w:rPr>
          <w:rFonts w:ascii="Palatino Linotype" w:eastAsia="Palatino Linotype" w:hAnsi="Palatino Linotype" w:cs="Palatino Linotype"/>
          <w:i/>
          <w:sz w:val="22"/>
          <w:szCs w:val="22"/>
        </w:rPr>
        <w:t xml:space="preserve">. Implementar y administrar el Sistema Estatal de Información, Trámites y Servicios, en coordinación con el Consejo Estatal de Gobierno Digital y la Secretaría General de Gobierno; </w:t>
      </w:r>
    </w:p>
    <w:p w14:paraId="055A2FD9"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lastRenderedPageBreak/>
        <w:t>XLVIII.</w:t>
      </w:r>
      <w:r w:rsidRPr="00866721">
        <w:rPr>
          <w:rFonts w:ascii="Palatino Linotype" w:eastAsia="Palatino Linotype" w:hAnsi="Palatino Linotype" w:cs="Palatino Linotype"/>
          <w:i/>
          <w:sz w:val="22"/>
          <w:szCs w:val="22"/>
        </w:rPr>
        <w:t xml:space="preserve"> Impulsar la igualdad entre mujeres y hombres a través de la incorporación de la perspectiva de género en la planeación, diseño, elaboración, ejecución, seguimiento y evaluación del presupuesto; </w:t>
      </w:r>
    </w:p>
    <w:p w14:paraId="6FEA3ABF"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XLIX.</w:t>
      </w:r>
      <w:r w:rsidRPr="00866721">
        <w:rPr>
          <w:rFonts w:ascii="Palatino Linotype" w:eastAsia="Palatino Linotype" w:hAnsi="Palatino Linotype" w:cs="Palatino Linotype"/>
          <w:i/>
          <w:sz w:val="22"/>
          <w:szCs w:val="22"/>
        </w:rPr>
        <w:t xml:space="preserve"> Aplicar las políticas en materia de protección de datos personales respecto del almacenamiento y custodia de información que derive del ejercicio de sus atribuciones; y </w:t>
      </w:r>
    </w:p>
    <w:p w14:paraId="07DCA3F5"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L</w:t>
      </w:r>
      <w:r w:rsidRPr="00866721">
        <w:rPr>
          <w:rFonts w:ascii="Palatino Linotype" w:eastAsia="Palatino Linotype" w:hAnsi="Palatino Linotype" w:cs="Palatino Linotype"/>
          <w:i/>
          <w:sz w:val="22"/>
          <w:szCs w:val="22"/>
        </w:rPr>
        <w:t xml:space="preserve">.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14:paraId="368A9724" w14:textId="77777777" w:rsidR="00555C44" w:rsidRPr="00866721" w:rsidRDefault="00475940">
      <w:pPr>
        <w:pBdr>
          <w:top w:val="nil"/>
          <w:left w:val="nil"/>
          <w:bottom w:val="nil"/>
          <w:right w:val="nil"/>
          <w:between w:val="nil"/>
        </w:pBdr>
        <w:spacing w:before="120" w:after="120"/>
        <w:ind w:left="567" w:right="902"/>
        <w:jc w:val="both"/>
        <w:rPr>
          <w:rFonts w:ascii="Palatino Linotype" w:eastAsia="Palatino Linotype" w:hAnsi="Palatino Linotype" w:cs="Palatino Linotype"/>
          <w:i/>
        </w:rPr>
      </w:pPr>
      <w:r w:rsidRPr="00866721">
        <w:rPr>
          <w:rFonts w:ascii="Palatino Linotype" w:eastAsia="Palatino Linotype" w:hAnsi="Palatino Linotype" w:cs="Palatino Linotype"/>
          <w:b/>
          <w:i/>
          <w:sz w:val="22"/>
          <w:szCs w:val="22"/>
        </w:rPr>
        <w:t>LI.</w:t>
      </w:r>
      <w:r w:rsidRPr="00866721">
        <w:rPr>
          <w:rFonts w:ascii="Palatino Linotype" w:eastAsia="Palatino Linotype" w:hAnsi="Palatino Linotype" w:cs="Palatino Linotype"/>
          <w:i/>
          <w:sz w:val="22"/>
          <w:szCs w:val="22"/>
        </w:rPr>
        <w:t xml:space="preserve"> Las demás que le señalen otras leyes, reglamentos y disposiciones jurídicas aplicables, así como las que le encomiende la persona titular del Poder Ejecutivo del Estado.”</w:t>
      </w:r>
    </w:p>
    <w:p w14:paraId="7DD50F33"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Del precepto citado se desprende que el objetivo de la Secretaría de Finanzas consiste en administrar la hacienda pública estatal, a través de la planeación, programación, presupuestación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w:t>
      </w:r>
    </w:p>
    <w:p w14:paraId="71B51089"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Asimismo, es conveniente referir que, si bien, 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del referido Anexo, en donde se estipulan las obligaciones del Gobierno del Estado para dar cumplimiento al mismo: </w:t>
      </w:r>
    </w:p>
    <w:p w14:paraId="4A483F18" w14:textId="77777777" w:rsidR="00555C44" w:rsidRPr="00866721" w:rsidRDefault="00555C4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50A96824"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noProof/>
        </w:rPr>
        <w:lastRenderedPageBreak/>
        <w:drawing>
          <wp:inline distT="0" distB="0" distL="0" distR="0" wp14:anchorId="1637D45B" wp14:editId="76DA5BF4">
            <wp:extent cx="5400000" cy="6825894"/>
            <wp:effectExtent l="0" t="0" r="0" b="0"/>
            <wp:docPr id="214013190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400000" cy="6825894"/>
                    </a:xfrm>
                    <a:prstGeom prst="rect">
                      <a:avLst/>
                    </a:prstGeom>
                    <a:ln/>
                  </pic:spPr>
                </pic:pic>
              </a:graphicData>
            </a:graphic>
          </wp:inline>
        </w:drawing>
      </w:r>
      <w:r w:rsidRPr="00866721">
        <w:rPr>
          <w:noProof/>
        </w:rPr>
        <mc:AlternateContent>
          <mc:Choice Requires="wpg">
            <w:drawing>
              <wp:anchor distT="0" distB="0" distL="114300" distR="114300" simplePos="0" relativeHeight="251658240" behindDoc="0" locked="0" layoutInCell="1" hidden="0" allowOverlap="1" wp14:anchorId="3206A8FC" wp14:editId="448DA370">
                <wp:simplePos x="0" y="0"/>
                <wp:positionH relativeFrom="column">
                  <wp:posOffset>-12699</wp:posOffset>
                </wp:positionH>
                <wp:positionV relativeFrom="paragraph">
                  <wp:posOffset>228600</wp:posOffset>
                </wp:positionV>
                <wp:extent cx="5498620" cy="3752850"/>
                <wp:effectExtent l="0" t="0" r="0" b="0"/>
                <wp:wrapNone/>
                <wp:docPr id="2140131898" name="Rectángulo 2140131898"/>
                <wp:cNvGraphicFramePr/>
                <a:graphic xmlns:a="http://schemas.openxmlformats.org/drawingml/2006/main">
                  <a:graphicData uri="http://schemas.microsoft.com/office/word/2010/wordprocessingShape">
                    <wps:wsp>
                      <wps:cNvSpPr/>
                      <wps:spPr>
                        <a:xfrm>
                          <a:off x="2615740" y="1922625"/>
                          <a:ext cx="5460520" cy="3714750"/>
                        </a:xfrm>
                        <a:prstGeom prst="rect">
                          <a:avLst/>
                        </a:prstGeom>
                        <a:noFill/>
                        <a:ln w="38100" cap="flat" cmpd="sng">
                          <a:solidFill>
                            <a:srgbClr val="C00000"/>
                          </a:solidFill>
                          <a:prstDash val="solid"/>
                          <a:miter lim="800000"/>
                          <a:headEnd type="none" w="sm" len="sm"/>
                          <a:tailEnd type="none" w="sm" len="sm"/>
                        </a:ln>
                      </wps:spPr>
                      <wps:txbx>
                        <w:txbxContent>
                          <w:p w14:paraId="31A3B87D" w14:textId="77777777" w:rsidR="00555C44" w:rsidRDefault="00555C44">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228600</wp:posOffset>
                </wp:positionV>
                <wp:extent cx="5498620" cy="3752850"/>
                <wp:effectExtent b="0" l="0" r="0" t="0"/>
                <wp:wrapNone/>
                <wp:docPr id="2140131898"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5498620" cy="3752850"/>
                        </a:xfrm>
                        <a:prstGeom prst="rect"/>
                        <a:ln/>
                      </pic:spPr>
                    </pic:pic>
                  </a:graphicData>
                </a:graphic>
              </wp:anchor>
            </w:drawing>
          </mc:Fallback>
        </mc:AlternateContent>
      </w:r>
    </w:p>
    <w:p w14:paraId="0E0D008D" w14:textId="77777777" w:rsidR="00555C44" w:rsidRPr="00866721" w:rsidRDefault="00555C4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p>
    <w:p w14:paraId="23DAE20A"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lastRenderedPageBreak/>
        <w:t>Como se puede observar, las obligaciones de la Secretaría de Finanzas se encuentran establecidas, específicamente en los incisos a), b), c), d) y e) del Anexo de Ejecución / Apoyo Financiero 2024 SEMS-EL COBAEM-MÉXICO 0236/24, las cuales se concretan a:</w:t>
      </w:r>
    </w:p>
    <w:p w14:paraId="1F1E51AE" w14:textId="77777777" w:rsidR="00555C44" w:rsidRPr="00866721" w:rsidRDefault="00475940">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La recepción de los recursos ministrados por la Secretaría de Educación Pública, a través de la apertura de una cuenta bancaria productiva específica en una institución bancaria autorizada.</w:t>
      </w:r>
    </w:p>
    <w:p w14:paraId="693054F4" w14:textId="77777777" w:rsidR="00555C44" w:rsidRPr="00866721" w:rsidRDefault="00475940">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La transferencia de los recursos ministrados por la SEP al COBAEM, en un plazo no mayor a cinco días naturales posteriores a la fecha de recepción de los mismos, cuya evidencia documental debe ser remitida a la SEP, con la finalidad de acreditar la transferencia.</w:t>
      </w:r>
    </w:p>
    <w:p w14:paraId="7E37FF2F" w14:textId="77777777" w:rsidR="00555C44" w:rsidRPr="00866721" w:rsidRDefault="00475940">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14:paraId="4545B984" w14:textId="77777777" w:rsidR="00555C44" w:rsidRPr="00866721" w:rsidRDefault="00475940">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14:paraId="1EEAD825" w14:textId="77777777" w:rsidR="00555C44" w:rsidRPr="00866721" w:rsidRDefault="00475940">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Reintegrar a la Tesorería de la Federación los recursos financieros que aporte la SEP, que no se transfieran al COBAEM, así como los rendimientos generados por los recursos federales.</w:t>
      </w:r>
    </w:p>
    <w:p w14:paraId="3272B917" w14:textId="77777777" w:rsidR="00555C44" w:rsidRPr="00866721" w:rsidRDefault="00475940">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lastRenderedPageBreak/>
        <w:t>- Informar al COBAEM, al día siguiente en el que sean radicados los recursos financieros federales por parte de la SEP, de la disponibilidad presupuestaria correspondiente.</w:t>
      </w:r>
    </w:p>
    <w:p w14:paraId="7633834A"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Con base en lo previo, se colige que existe una evidente incompetencia por parte del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para satisfacer lo solicitado, en términos del Criterio orientador con Clave de control SO/013/2017 emitido por el Pleno del entonces Instituto Nacional de Transparencia, Acceso a la Información y Protección de Datos Personales, el cual, para pronta referencia se reproduce a continuación:</w:t>
      </w:r>
    </w:p>
    <w:p w14:paraId="3140A937" w14:textId="77777777" w:rsidR="00555C44" w:rsidRPr="00866721" w:rsidRDefault="00475940">
      <w:pPr>
        <w:ind w:left="851" w:right="851"/>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866721">
        <w:rPr>
          <w:rFonts w:ascii="Palatino Linotype" w:eastAsia="Palatino Linotype" w:hAnsi="Palatino Linotype" w:cs="Palatino Linotype"/>
          <w:i/>
          <w:sz w:val="22"/>
          <w:szCs w:val="22"/>
        </w:rPr>
        <w:t xml:space="preserve">; es decir, se trata de una cuestión de derecho, </w:t>
      </w:r>
      <w:r w:rsidRPr="00866721">
        <w:rPr>
          <w:rFonts w:ascii="Palatino Linotype" w:eastAsia="Palatino Linotype" w:hAnsi="Palatino Linotype" w:cs="Palatino Linotype"/>
          <w:b/>
          <w:i/>
          <w:sz w:val="22"/>
          <w:szCs w:val="22"/>
        </w:rPr>
        <w:t>en tanto que no existan facultades para contar con lo requerido</w:t>
      </w:r>
      <w:r w:rsidRPr="00866721">
        <w:rPr>
          <w:rFonts w:ascii="Palatino Linotype" w:eastAsia="Palatino Linotype" w:hAnsi="Palatino Linotype" w:cs="Palatino Linotype"/>
          <w:i/>
          <w:sz w:val="22"/>
          <w:szCs w:val="22"/>
        </w:rPr>
        <w:t>; por lo que la incompetencia es una cualidad atribuida al sujeto obligado que la declara.”</w:t>
      </w:r>
    </w:p>
    <w:p w14:paraId="18A87C39" w14:textId="77777777" w:rsidR="00555C44" w:rsidRPr="00866721" w:rsidRDefault="00555C44">
      <w:pPr>
        <w:spacing w:before="120" w:after="120"/>
        <w:ind w:left="851" w:right="851"/>
        <w:jc w:val="both"/>
        <w:rPr>
          <w:rFonts w:ascii="Palatino Linotype" w:eastAsia="Palatino Linotype" w:hAnsi="Palatino Linotype" w:cs="Palatino Linotype"/>
          <w:i/>
          <w:sz w:val="22"/>
          <w:szCs w:val="22"/>
        </w:rPr>
      </w:pPr>
    </w:p>
    <w:p w14:paraId="12B25700" w14:textId="77777777" w:rsidR="00555C44" w:rsidRPr="00866721" w:rsidRDefault="00475940">
      <w:pPr>
        <w:numPr>
          <w:ilvl w:val="0"/>
          <w:numId w:val="1"/>
        </w:num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b/>
          <w:sz w:val="22"/>
          <w:szCs w:val="22"/>
          <w:u w:val="single"/>
        </w:rPr>
      </w:pPr>
      <w:r w:rsidRPr="00866721">
        <w:rPr>
          <w:rFonts w:ascii="Palatino Linotype" w:eastAsia="Palatino Linotype" w:hAnsi="Palatino Linotype" w:cs="Palatino Linotype"/>
          <w:b/>
          <w:u w:val="single"/>
        </w:rPr>
        <w:t xml:space="preserve"> </w:t>
      </w:r>
      <w:r w:rsidRPr="00866721">
        <w:rPr>
          <w:rFonts w:ascii="Palatino Linotype" w:eastAsia="Palatino Linotype" w:hAnsi="Palatino Linotype" w:cs="Palatino Linotype"/>
          <w:b/>
          <w:sz w:val="22"/>
          <w:szCs w:val="22"/>
          <w:u w:val="single"/>
        </w:rPr>
        <w:t>Delimitación del ámbito competencial relativo a la información solicitada</w:t>
      </w:r>
    </w:p>
    <w:p w14:paraId="5EC048A1"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primer término, toda vez que a través de la solicitud el particular pretendió ejercer su derecho de acceso a sus datos personales en calidad de servidor público adscrito al Colegio de Bachilleres del Estado de México, es necesario 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14:paraId="11AF3A15" w14:textId="77777777" w:rsidR="00555C44" w:rsidRPr="00866721" w:rsidRDefault="00475940">
      <w:pPr>
        <w:spacing w:before="240" w:after="240" w:line="360" w:lineRule="auto"/>
        <w:ind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14:paraId="0A53F932" w14:textId="77777777" w:rsidR="00555C44" w:rsidRPr="00866721" w:rsidRDefault="00475940">
      <w:pPr>
        <w:spacing w:before="240" w:after="240" w:line="360" w:lineRule="auto"/>
        <w:ind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lastRenderedPageBreak/>
        <w:t>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528BA42B" w14:textId="77777777" w:rsidR="00555C44" w:rsidRPr="00866721" w:rsidRDefault="00475940">
      <w:pPr>
        <w:spacing w:before="240" w:after="240" w:line="360" w:lineRule="auto"/>
        <w:ind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opinión del profesor Gabino Fraga, la descentralización administrativa estriba en confiar algunas actividades administrativas a órganos que guardan una relación que no es de jerarquía con la administración central, pero sin que dejen de existir, respecto de ellas, las facultades indispensables para conservar la unidad de poder</w:t>
      </w:r>
      <w:r w:rsidRPr="00866721">
        <w:rPr>
          <w:rFonts w:ascii="Palatino Linotype" w:eastAsia="Palatino Linotype" w:hAnsi="Palatino Linotype" w:cs="Palatino Linotype"/>
          <w:sz w:val="22"/>
          <w:szCs w:val="22"/>
          <w:vertAlign w:val="superscript"/>
        </w:rPr>
        <w:footnoteReference w:id="2"/>
      </w:r>
      <w:r w:rsidRPr="00866721">
        <w:rPr>
          <w:rFonts w:ascii="Palatino Linotype" w:eastAsia="Palatino Linotype" w:hAnsi="Palatino Linotype" w:cs="Palatino Linotype"/>
          <w:sz w:val="22"/>
          <w:szCs w:val="22"/>
        </w:rPr>
        <w:t>.</w:t>
      </w:r>
    </w:p>
    <w:p w14:paraId="5225D784" w14:textId="77777777" w:rsidR="00555C44" w:rsidRPr="00866721" w:rsidRDefault="00475940">
      <w:pPr>
        <w:spacing w:before="240" w:after="240" w:line="360" w:lineRule="auto"/>
        <w:ind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La descentralización administrativa implica la creación de personas jurídicas de derecho público, distintas al Estado y a la administración pública, y tiene diversas modalidades, como la territorial o regional, por servicio y por colaboración.</w:t>
      </w:r>
    </w:p>
    <w:p w14:paraId="10C9D140" w14:textId="77777777" w:rsidR="00555C44" w:rsidRPr="00866721" w:rsidRDefault="00475940">
      <w:pPr>
        <w:spacing w:before="240" w:after="240" w:line="360" w:lineRule="auto"/>
        <w:ind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La descentralización administrativa por servicio significa una delegación de ciertas facultades de las personas morales territoriales -estado, provincia, municipio-, en favor del propio servicio que se personaliza, con recursos propios y con poder de decisión, sin que por ello se rompan sus vínculos con aquellas, porque se establecen relaciones jurídicas obligadas que fijan el régimen de derecho al que se someten tales servicios personificados. </w:t>
      </w:r>
    </w:p>
    <w:p w14:paraId="296D461D" w14:textId="77777777" w:rsidR="00555C44" w:rsidRPr="00866721" w:rsidRDefault="00475940">
      <w:pPr>
        <w:spacing w:before="240" w:after="240" w:line="360" w:lineRule="auto"/>
        <w:ind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En otras palabras, la descentralización por servicio, entraña la creación de una nueva persona jurídica de derecho público con una esfera de competencia, órganos propios y poder de decisión, sin perjuicio de que las personas morales territoriales, conserven determinadas facultades de intervención, pero que se caracteriza por tener autonomía jurídica, financiera y técnica.</w:t>
      </w:r>
    </w:p>
    <w:p w14:paraId="60279369" w14:textId="77777777" w:rsidR="00555C44" w:rsidRPr="00866721" w:rsidRDefault="00475940">
      <w:pPr>
        <w:spacing w:before="240" w:after="240" w:line="360" w:lineRule="auto"/>
        <w:ind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lastRenderedPageBreak/>
        <w:t>Gracias a la autonomía jurídica que implica la descentralización administrativa por servicio, el órgano descentralizado tiene personalidad jurídica propia; en virtud de su autonomía financiera cuenta con patrimonio propio; y en razón de su autonomía técnica, goza de una reglamentación propia y específica.</w:t>
      </w:r>
    </w:p>
    <w:p w14:paraId="694F0AEB" w14:textId="77777777" w:rsidR="00555C44" w:rsidRPr="00866721" w:rsidRDefault="00475940">
      <w:pPr>
        <w:spacing w:before="240" w:after="240" w:line="360" w:lineRule="auto"/>
        <w:ind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Así, pueden considerarse como las características más importantes de la descentralización administrativa por servicio las siguientes:</w:t>
      </w:r>
    </w:p>
    <w:p w14:paraId="1862C92B" w14:textId="77777777" w:rsidR="00555C44" w:rsidRPr="00866721" w:rsidRDefault="00475940">
      <w:pPr>
        <w:spacing w:before="120" w:after="120" w:line="276" w:lineRule="auto"/>
        <w:ind w:left="284"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1. Su establecimiento mediante ley o decreto. </w:t>
      </w:r>
    </w:p>
    <w:p w14:paraId="20CC2A66" w14:textId="77777777" w:rsidR="00555C44" w:rsidRPr="00866721" w:rsidRDefault="00475940">
      <w:pPr>
        <w:spacing w:before="120" w:after="120" w:line="276" w:lineRule="auto"/>
        <w:ind w:left="284"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2. Personalidad jurídica propia.</w:t>
      </w:r>
    </w:p>
    <w:p w14:paraId="5383523C" w14:textId="77777777" w:rsidR="00555C44" w:rsidRPr="00866721" w:rsidRDefault="00475940">
      <w:pPr>
        <w:spacing w:before="120" w:after="120" w:line="276" w:lineRule="auto"/>
        <w:ind w:left="284"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3. Patrimonio propio.</w:t>
      </w:r>
    </w:p>
    <w:p w14:paraId="6FF6B710" w14:textId="77777777" w:rsidR="00555C44" w:rsidRPr="00866721" w:rsidRDefault="00475940">
      <w:pPr>
        <w:spacing w:before="120" w:after="120" w:line="276" w:lineRule="auto"/>
        <w:ind w:left="284"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4. Estatuto y regulación propios.</w:t>
      </w:r>
    </w:p>
    <w:p w14:paraId="66D9D6E6" w14:textId="77777777" w:rsidR="00555C44" w:rsidRPr="00866721" w:rsidRDefault="00475940">
      <w:pPr>
        <w:spacing w:before="120" w:after="120" w:line="276" w:lineRule="auto"/>
        <w:ind w:left="284"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5. Realización de una actividad técnica.</w:t>
      </w:r>
    </w:p>
    <w:p w14:paraId="4E161995" w14:textId="77777777" w:rsidR="00555C44" w:rsidRPr="00866721" w:rsidRDefault="00475940">
      <w:pPr>
        <w:spacing w:before="120" w:after="120" w:line="276" w:lineRule="auto"/>
        <w:ind w:left="284" w:right="51"/>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6. Tutela y vigilancia por parte de la administración central.</w:t>
      </w:r>
    </w:p>
    <w:p w14:paraId="40E055C6"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866721">
        <w:rPr>
          <w:rFonts w:ascii="Palatino Linotype" w:eastAsia="Palatino Linotype" w:hAnsi="Palatino Linotype" w:cs="Palatino Linotype"/>
          <w:sz w:val="22"/>
          <w:szCs w:val="22"/>
        </w:rPr>
        <w:t xml:space="preserve">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 artículo 1º, que </w:t>
      </w:r>
      <w:r w:rsidRPr="00866721">
        <w:rPr>
          <w:rFonts w:ascii="Palatino Linotype" w:eastAsia="Palatino Linotype" w:hAnsi="Palatino Linotype" w:cs="Palatino Linotype"/>
          <w:b/>
          <w:sz w:val="22"/>
          <w:szCs w:val="22"/>
          <w:u w:val="single"/>
        </w:rPr>
        <w:t>dicho organismo cuenta con personalidad jurídica y patrimonio propios.</w:t>
      </w:r>
    </w:p>
    <w:p w14:paraId="7947754D"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Ahora bien, por cuanto hace a la materia de la solicitud, es oportuno traer a contexto el Manual General de Organización del Colegio de Bachilleres del Estado de México, cuyo contenido en su parte conducente, es el siguiente:</w:t>
      </w:r>
    </w:p>
    <w:p w14:paraId="456C0C26" w14:textId="77777777" w:rsidR="00555C44" w:rsidRPr="00866721" w:rsidRDefault="00475940">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rPr>
      </w:pPr>
      <w:r w:rsidRPr="00866721">
        <w:rPr>
          <w:rFonts w:ascii="Palatino Linotype" w:eastAsia="Palatino Linotype" w:hAnsi="Palatino Linotype" w:cs="Palatino Linotype"/>
          <w:b/>
          <w:i/>
          <w:sz w:val="22"/>
          <w:szCs w:val="22"/>
        </w:rPr>
        <w:t xml:space="preserve">210C0701040001L DEPARTAMENTO DE RECURSOS HUMANOS </w:t>
      </w:r>
    </w:p>
    <w:p w14:paraId="5D1AED56" w14:textId="77777777" w:rsidR="00555C44" w:rsidRPr="00866721" w:rsidRDefault="00475940">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OBJETIVO:</w:t>
      </w:r>
      <w:r w:rsidRPr="00866721">
        <w:rPr>
          <w:rFonts w:ascii="Palatino Linotype" w:eastAsia="Palatino Linotype" w:hAnsi="Palatino Linotype" w:cs="Palatino Linotype"/>
          <w:i/>
          <w:sz w:val="22"/>
          <w:szCs w:val="22"/>
        </w:rPr>
        <w:t xml:space="preserve"> Llevar a cabo las acciones de selección, contratación, registro, control, capacitación y desarrollo del personal adscrito al Colegio de Bachilleres, así como </w:t>
      </w:r>
      <w:r w:rsidRPr="00866721">
        <w:rPr>
          <w:rFonts w:ascii="Palatino Linotype" w:eastAsia="Palatino Linotype" w:hAnsi="Palatino Linotype" w:cs="Palatino Linotype"/>
          <w:b/>
          <w:i/>
          <w:sz w:val="22"/>
          <w:szCs w:val="22"/>
        </w:rPr>
        <w:lastRenderedPageBreak/>
        <w:t>llevar a cabo las acciones necesarias para el pago oportuno de sus remuneraciones</w:t>
      </w:r>
      <w:r w:rsidRPr="00866721">
        <w:rPr>
          <w:rFonts w:ascii="Palatino Linotype" w:eastAsia="Palatino Linotype" w:hAnsi="Palatino Linotype" w:cs="Palatino Linotype"/>
          <w:i/>
          <w:sz w:val="22"/>
          <w:szCs w:val="22"/>
        </w:rPr>
        <w:t>.</w:t>
      </w:r>
    </w:p>
    <w:p w14:paraId="6D0FECC8" w14:textId="77777777" w:rsidR="00555C44" w:rsidRPr="00866721" w:rsidRDefault="00475940">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y </w:t>
      </w:r>
      <w:r w:rsidRPr="00866721">
        <w:rPr>
          <w:rFonts w:ascii="Palatino Linotype" w:eastAsia="Palatino Linotype" w:hAnsi="Palatino Linotype" w:cs="Palatino Linotype"/>
          <w:b/>
          <w:i/>
          <w:sz w:val="22"/>
          <w:szCs w:val="22"/>
        </w:rPr>
        <w:t>verificar que la asignación de puestos y de sueldos se ajusten a las plazas y a los tabuladores autorizados para el Estado</w:t>
      </w:r>
      <w:r w:rsidRPr="00866721">
        <w:rPr>
          <w:rFonts w:ascii="Palatino Linotype" w:eastAsia="Palatino Linotype" w:hAnsi="Palatino Linotype" w:cs="Palatino Linotype"/>
          <w:i/>
          <w:sz w:val="22"/>
          <w:szCs w:val="22"/>
        </w:rPr>
        <w:t>, de acuerdo con la normatividad vigente en la materia.</w:t>
      </w:r>
    </w:p>
    <w:p w14:paraId="16FBAE1E" w14:textId="77777777" w:rsidR="00555C44" w:rsidRPr="00866721" w:rsidRDefault="00475940">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5053794F" w14:textId="77777777" w:rsidR="00555C44" w:rsidRPr="00866721" w:rsidRDefault="00475940">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u w:val="single"/>
        </w:rPr>
      </w:pP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u w:val="single"/>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2D619F52" w14:textId="77777777" w:rsidR="00555C44" w:rsidRPr="00866721" w:rsidRDefault="00475940">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1529DB8B" w14:textId="77777777" w:rsidR="00555C44" w:rsidRPr="00866721" w:rsidRDefault="00475940">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  Informar detalladamente a la Subdirección de Planeación de Sueldos y Salarios del Sector Auxiliar de la Dirección de Política Salarial, de la plantilla y movimientos del personal adscrito al Colegio.</w:t>
      </w:r>
    </w:p>
    <w:p w14:paraId="01D8134E" w14:textId="77777777" w:rsidR="00555C44" w:rsidRPr="00866721" w:rsidRDefault="00475940">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p>
    <w:p w14:paraId="59694677" w14:textId="77777777" w:rsidR="00555C44" w:rsidRPr="00866721" w:rsidRDefault="00475940">
      <w:pPr>
        <w:spacing w:after="20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RPr="00866721">
        <w:rPr>
          <w:rFonts w:ascii="Palatino Linotype" w:eastAsia="Palatino Linotype" w:hAnsi="Palatino Linotype" w:cs="Palatino Linotype"/>
          <w:b/>
          <w:sz w:val="22"/>
          <w:szCs w:val="22"/>
          <w:u w:val="single"/>
        </w:rPr>
        <w:t>elaborar las nóminas y pagar oportunamente las remuneraciones al personal</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u w:val="single"/>
        </w:rPr>
        <w:t>aplicar las sanciones y descuentos</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u w:val="single"/>
        </w:rPr>
        <w:t>por concepto de retardos y faltas; Impuesto Sobre la Renta, sobre Sueldos y Salarios; cuotas al ISSEMyM, entre otros impuestos y derechos</w:t>
      </w:r>
      <w:r w:rsidRPr="00866721">
        <w:rPr>
          <w:rFonts w:ascii="Palatino Linotype" w:eastAsia="Palatino Linotype" w:hAnsi="Palatino Linotype" w:cs="Palatino Linotype"/>
          <w:sz w:val="22"/>
          <w:szCs w:val="22"/>
        </w:rPr>
        <w:t>.</w:t>
      </w:r>
    </w:p>
    <w:p w14:paraId="36C126BD" w14:textId="77777777" w:rsidR="00555C44" w:rsidRPr="00866721" w:rsidRDefault="00475940">
      <w:pPr>
        <w:spacing w:after="20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Por lo tanto, se colige que </w:t>
      </w:r>
      <w:r w:rsidRPr="00866721">
        <w:rPr>
          <w:rFonts w:ascii="Palatino Linotype" w:eastAsia="Palatino Linotype" w:hAnsi="Palatino Linotype" w:cs="Palatino Linotype"/>
          <w:b/>
          <w:sz w:val="22"/>
          <w:szCs w:val="22"/>
          <w:u w:val="single"/>
        </w:rPr>
        <w:t>el Colegio de Bachilleres del Estado de México es, en primera instancia, el Sujeto Obligado que pudiera dar atención a la solicitud,</w:t>
      </w:r>
      <w:r w:rsidRPr="00866721">
        <w:rPr>
          <w:rFonts w:ascii="Palatino Linotype" w:eastAsia="Palatino Linotype" w:hAnsi="Palatino Linotype" w:cs="Palatino Linotype"/>
          <w:sz w:val="22"/>
          <w:szCs w:val="22"/>
        </w:rPr>
        <w:t xml:space="preserve"> ya que cuenta con facultades para generar, administrar y/o poseer la información materia de las mismas, esto </w:t>
      </w:r>
      <w:r w:rsidRPr="00866721">
        <w:rPr>
          <w:rFonts w:ascii="Palatino Linotype" w:eastAsia="Palatino Linotype" w:hAnsi="Palatino Linotype" w:cs="Palatino Linotype"/>
          <w:sz w:val="22"/>
          <w:szCs w:val="22"/>
        </w:rPr>
        <w:lastRenderedPageBreak/>
        <w:t>es, el pago de percepciones y la aplicación de descuentos de los servidores públicos bajo su adscripción.</w:t>
      </w:r>
    </w:p>
    <w:p w14:paraId="2AF7F388" w14:textId="77777777" w:rsidR="00555C44" w:rsidRPr="00866721" w:rsidRDefault="00475940">
      <w:pPr>
        <w:spacing w:after="20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Argumento que se robustece con el mismo Anexo de Ejecución / Apoyo Financiero 2024 SEMS-EL COBAEM-MÉXICO 0236/24, el cual en su Cláusula Quinta establece las obligaciones que se le confieren al COBAEM:</w:t>
      </w:r>
    </w:p>
    <w:p w14:paraId="05467E34" w14:textId="77777777" w:rsidR="00555C44" w:rsidRPr="00866721" w:rsidRDefault="00475940">
      <w:pPr>
        <w:spacing w:after="200" w:line="360" w:lineRule="auto"/>
        <w:jc w:val="center"/>
        <w:rPr>
          <w:rFonts w:ascii="Palatino Linotype" w:eastAsia="Palatino Linotype" w:hAnsi="Palatino Linotype" w:cs="Palatino Linotype"/>
        </w:rPr>
      </w:pPr>
      <w:r w:rsidRPr="00866721">
        <w:rPr>
          <w:rFonts w:ascii="Palatino Linotype" w:eastAsia="Palatino Linotype" w:hAnsi="Palatino Linotype" w:cs="Palatino Linotype"/>
          <w:noProof/>
        </w:rPr>
        <w:drawing>
          <wp:inline distT="0" distB="0" distL="0" distR="0" wp14:anchorId="08C3DC01" wp14:editId="5CDBBD72">
            <wp:extent cx="4680000" cy="5233894"/>
            <wp:effectExtent l="0" t="0" r="0" b="0"/>
            <wp:docPr id="21401319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680000" cy="5233894"/>
                    </a:xfrm>
                    <a:prstGeom prst="rect">
                      <a:avLst/>
                    </a:prstGeom>
                    <a:ln/>
                  </pic:spPr>
                </pic:pic>
              </a:graphicData>
            </a:graphic>
          </wp:inline>
        </w:drawing>
      </w:r>
    </w:p>
    <w:p w14:paraId="7C64438A" w14:textId="77777777" w:rsidR="00555C44" w:rsidRPr="00866721" w:rsidRDefault="00475940">
      <w:pPr>
        <w:spacing w:after="200" w:line="360" w:lineRule="auto"/>
        <w:jc w:val="center"/>
        <w:rPr>
          <w:rFonts w:ascii="Palatino Linotype" w:eastAsia="Palatino Linotype" w:hAnsi="Palatino Linotype" w:cs="Palatino Linotype"/>
        </w:rPr>
      </w:pPr>
      <w:r w:rsidRPr="00866721">
        <w:rPr>
          <w:rFonts w:ascii="Palatino Linotype" w:eastAsia="Palatino Linotype" w:hAnsi="Palatino Linotype" w:cs="Palatino Linotype"/>
          <w:noProof/>
        </w:rPr>
        <w:lastRenderedPageBreak/>
        <w:drawing>
          <wp:inline distT="0" distB="0" distL="0" distR="0" wp14:anchorId="74FFA942" wp14:editId="0F0D49EE">
            <wp:extent cx="4525289" cy="1829169"/>
            <wp:effectExtent l="0" t="0" r="0" b="0"/>
            <wp:docPr id="21401319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525289" cy="1829169"/>
                    </a:xfrm>
                    <a:prstGeom prst="rect">
                      <a:avLst/>
                    </a:prstGeom>
                    <a:ln/>
                  </pic:spPr>
                </pic:pic>
              </a:graphicData>
            </a:graphic>
          </wp:inline>
        </w:drawing>
      </w:r>
    </w:p>
    <w:p w14:paraId="2D7FFD3F" w14:textId="77777777" w:rsidR="00555C44" w:rsidRPr="00866721" w:rsidRDefault="00475940">
      <w:pPr>
        <w:spacing w:after="20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Como se advierte, en los incisos a), c), e) f) y h), el COBAEM está facultado, para administrar y ejercer los recursos provenientes del Anexo de Ejecución / Apoyo Financiero 2024 SEMS-EL COBAEM-MÉXICO 0236/24, al estar obligado medularmente a lo siguiente:</w:t>
      </w:r>
    </w:p>
    <w:p w14:paraId="222313F5" w14:textId="77777777" w:rsidR="00555C44" w:rsidRPr="00866721" w:rsidRDefault="00475940">
      <w:pPr>
        <w:spacing w:after="20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 </w:t>
      </w:r>
      <w:proofErr w:type="spellStart"/>
      <w:r w:rsidRPr="00866721">
        <w:rPr>
          <w:rFonts w:ascii="Palatino Linotype" w:eastAsia="Palatino Linotype" w:hAnsi="Palatino Linotype" w:cs="Palatino Linotype"/>
          <w:sz w:val="22"/>
          <w:szCs w:val="22"/>
        </w:rPr>
        <w:t>Aperturar</w:t>
      </w:r>
      <w:proofErr w:type="spellEnd"/>
      <w:r w:rsidRPr="00866721">
        <w:rPr>
          <w:rFonts w:ascii="Palatino Linotype" w:eastAsia="Palatino Linotype" w:hAnsi="Palatino Linotype" w:cs="Palatino Linotype"/>
          <w:sz w:val="22"/>
          <w:szCs w:val="22"/>
        </w:rPr>
        <w:t xml:space="preserve"> dos cuentas bancarias productivas específicas en una institución bancaria autorizada para la recepción, administración y ejercicio de los recursos financieros que aporte la SEP, y el Gobierno del Estado.</w:t>
      </w:r>
    </w:p>
    <w:p w14:paraId="36C16F14" w14:textId="77777777" w:rsidR="00555C44" w:rsidRPr="00866721" w:rsidRDefault="00475940">
      <w:pPr>
        <w:spacing w:after="200" w:line="360" w:lineRule="auto"/>
        <w:ind w:left="284"/>
        <w:jc w:val="both"/>
        <w:rPr>
          <w:rFonts w:ascii="Palatino Linotype" w:eastAsia="Palatino Linotype" w:hAnsi="Palatino Linotype" w:cs="Palatino Linotype"/>
          <w:b/>
          <w:sz w:val="22"/>
          <w:szCs w:val="22"/>
        </w:rPr>
      </w:pP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rPr>
        <w:t xml:space="preserve">Destinar el subsidio financiero objeto del Anexo de Ejecución, únicamente a cubrir los gastos relacionados con su operación indispensables para la realización de sus actividades, </w:t>
      </w:r>
      <w:r w:rsidRPr="00866721">
        <w:rPr>
          <w:rFonts w:ascii="Palatino Linotype" w:eastAsia="Palatino Linotype" w:hAnsi="Palatino Linotype" w:cs="Palatino Linotype"/>
          <w:sz w:val="22"/>
          <w:szCs w:val="22"/>
        </w:rPr>
        <w:t xml:space="preserve">esto es, </w:t>
      </w:r>
      <w:r w:rsidRPr="00866721">
        <w:rPr>
          <w:rFonts w:ascii="Palatino Linotype" w:eastAsia="Palatino Linotype" w:hAnsi="Palatino Linotype" w:cs="Palatino Linotype"/>
          <w:b/>
          <w:sz w:val="22"/>
          <w:szCs w:val="22"/>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–capitulo 2000- y servicios generales –capitulo 3000-, </w:t>
      </w:r>
      <w:r w:rsidRPr="00866721">
        <w:rPr>
          <w:rFonts w:ascii="Palatino Linotype" w:eastAsia="Palatino Linotype" w:hAnsi="Palatino Linotype" w:cs="Palatino Linotype"/>
          <w:sz w:val="22"/>
          <w:szCs w:val="22"/>
        </w:rPr>
        <w:t xml:space="preserve">de conformidad con los </w:t>
      </w:r>
      <w:r w:rsidRPr="00866721">
        <w:rPr>
          <w:rFonts w:ascii="Palatino Linotype" w:eastAsia="Palatino Linotype" w:hAnsi="Palatino Linotype" w:cs="Palatino Linotype"/>
          <w:b/>
          <w:sz w:val="22"/>
          <w:szCs w:val="22"/>
        </w:rPr>
        <w:t>Apartados</w:t>
      </w:r>
      <w:r w:rsidRPr="00866721">
        <w:rPr>
          <w:rFonts w:ascii="Palatino Linotype" w:eastAsia="Palatino Linotype" w:hAnsi="Palatino Linotype" w:cs="Palatino Linotype"/>
          <w:sz w:val="22"/>
          <w:szCs w:val="22"/>
        </w:rPr>
        <w:t xml:space="preserve"> “A” y </w:t>
      </w:r>
      <w:r w:rsidRPr="00866721">
        <w:rPr>
          <w:rFonts w:ascii="Palatino Linotype" w:eastAsia="Palatino Linotype" w:hAnsi="Palatino Linotype" w:cs="Palatino Linotype"/>
          <w:b/>
          <w:sz w:val="22"/>
          <w:szCs w:val="22"/>
        </w:rPr>
        <w:t>“B”.</w:t>
      </w:r>
    </w:p>
    <w:p w14:paraId="35CF1A46" w14:textId="77777777" w:rsidR="00555C44" w:rsidRPr="00866721" w:rsidRDefault="00475940">
      <w:pPr>
        <w:spacing w:after="20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 Resguardar la documentación original justificativa y comprobatoria del ejercicio y aplicación de los recursos financieros materia del Anexo de Ejecución,  para efectos de </w:t>
      </w:r>
      <w:r w:rsidRPr="00866721">
        <w:rPr>
          <w:rFonts w:ascii="Palatino Linotype" w:eastAsia="Palatino Linotype" w:hAnsi="Palatino Linotype" w:cs="Palatino Linotype"/>
          <w:sz w:val="22"/>
          <w:szCs w:val="22"/>
        </w:rPr>
        <w:lastRenderedPageBreak/>
        <w:t>rendición de cuentas y transparencia, así como mantener un registro específico de este Anexo de Ejecución debidamente actualizado, identificado y controlado.</w:t>
      </w:r>
    </w:p>
    <w:p w14:paraId="652FB842" w14:textId="77777777" w:rsidR="00555C44" w:rsidRPr="00866721" w:rsidRDefault="00475940">
      <w:pPr>
        <w:spacing w:after="20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 Informar trimestralmente a la SEP y al Gobierno del Estado de México sobre el ejercicio de los recursos a los que se refiere el Anexo de Ejecución, y de manera complementaria, </w:t>
      </w:r>
      <w:r w:rsidRPr="00866721">
        <w:rPr>
          <w:rFonts w:ascii="Palatino Linotype" w:eastAsia="Palatino Linotype" w:hAnsi="Palatino Linotype" w:cs="Palatino Linotype"/>
          <w:b/>
          <w:sz w:val="22"/>
          <w:szCs w:val="22"/>
          <w:u w:val="single"/>
        </w:rPr>
        <w:t>remitir mensualmente los documentos de trabajo donde se identifiquen los recursos federales y estatales ejercidos para el pago de la nómina conforme al Apartado “B” (sueldos, plazas, horas y prestaciones autorizadas)</w:t>
      </w:r>
    </w:p>
    <w:p w14:paraId="72BCAB18" w14:textId="77777777" w:rsidR="00555C44" w:rsidRPr="00866721" w:rsidRDefault="00475940">
      <w:pPr>
        <w:spacing w:after="200" w:line="360" w:lineRule="auto"/>
        <w:ind w:left="284"/>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Proporcionar las facilidades necesarias para que las instancias competentes de control, supervisión y fiscalización del Gobierno del Estado de México ejerzan  sus atribuciones en el ámbito de sus respectivas competencias, respecto a los recursos objeto del Anexo de Ejecución.</w:t>
      </w:r>
    </w:p>
    <w:p w14:paraId="4AFC9FDE" w14:textId="77777777" w:rsidR="00555C44" w:rsidRPr="00866721" w:rsidRDefault="00475940">
      <w:pPr>
        <w:spacing w:after="20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Corolario a lo anterior, es imprescindible mencionar que la obligación prevista en la Cláusula Quinta, inciso f), del Anexo, guarda estrecha relación con las Clausulas Tercera, incisos c), d) y e), y Cuarta, incisos f), g), primer párrafo y h) del mismo anexo, que disponen lo siguiente:</w:t>
      </w:r>
    </w:p>
    <w:p w14:paraId="588DF412" w14:textId="77777777" w:rsidR="00555C44" w:rsidRPr="00866721" w:rsidRDefault="00475940">
      <w:pPr>
        <w:spacing w:after="200" w:line="360" w:lineRule="auto"/>
        <w:jc w:val="both"/>
        <w:rPr>
          <w:rFonts w:ascii="Palatino Linotype" w:eastAsia="Palatino Linotype" w:hAnsi="Palatino Linotype" w:cs="Palatino Linotype"/>
        </w:rPr>
      </w:pPr>
      <w:r w:rsidRPr="00866721">
        <w:rPr>
          <w:rFonts w:ascii="Palatino Linotype" w:eastAsia="Palatino Linotype" w:hAnsi="Palatino Linotype" w:cs="Palatino Linotype"/>
          <w:noProof/>
        </w:rPr>
        <w:drawing>
          <wp:inline distT="0" distB="0" distL="0" distR="0" wp14:anchorId="0BD9FA2B" wp14:editId="445EFAC5">
            <wp:extent cx="5612130" cy="209550"/>
            <wp:effectExtent l="0" t="0" r="0" b="0"/>
            <wp:docPr id="21401319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612130" cy="209550"/>
                    </a:xfrm>
                    <a:prstGeom prst="rect">
                      <a:avLst/>
                    </a:prstGeom>
                    <a:ln/>
                  </pic:spPr>
                </pic:pic>
              </a:graphicData>
            </a:graphic>
          </wp:inline>
        </w:drawing>
      </w:r>
    </w:p>
    <w:p w14:paraId="58D92A02" w14:textId="77777777" w:rsidR="00555C44" w:rsidRPr="00866721" w:rsidRDefault="00475940">
      <w:pPr>
        <w:spacing w:after="200" w:line="360" w:lineRule="auto"/>
        <w:jc w:val="both"/>
        <w:rPr>
          <w:rFonts w:ascii="Palatino Linotype" w:eastAsia="Palatino Linotype" w:hAnsi="Palatino Linotype" w:cs="Palatino Linotype"/>
        </w:rPr>
      </w:pPr>
      <w:r w:rsidRPr="00866721">
        <w:rPr>
          <w:rFonts w:ascii="Palatino Linotype" w:eastAsia="Palatino Linotype" w:hAnsi="Palatino Linotype" w:cs="Palatino Linotype"/>
          <w:noProof/>
        </w:rPr>
        <w:drawing>
          <wp:inline distT="0" distB="0" distL="0" distR="0" wp14:anchorId="0AC7256C" wp14:editId="14F34926">
            <wp:extent cx="5612130" cy="952500"/>
            <wp:effectExtent l="0" t="0" r="0" b="0"/>
            <wp:docPr id="21401319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t="33683"/>
                    <a:stretch>
                      <a:fillRect/>
                    </a:stretch>
                  </pic:blipFill>
                  <pic:spPr>
                    <a:xfrm>
                      <a:off x="0" y="0"/>
                      <a:ext cx="5612130" cy="952500"/>
                    </a:xfrm>
                    <a:prstGeom prst="rect">
                      <a:avLst/>
                    </a:prstGeom>
                    <a:ln/>
                  </pic:spPr>
                </pic:pic>
              </a:graphicData>
            </a:graphic>
          </wp:inline>
        </w:drawing>
      </w:r>
      <w:r w:rsidRPr="00866721">
        <w:rPr>
          <w:rFonts w:ascii="Palatino Linotype" w:eastAsia="Palatino Linotype" w:hAnsi="Palatino Linotype" w:cs="Palatino Linotype"/>
        </w:rPr>
        <w:t xml:space="preserve"> </w:t>
      </w:r>
    </w:p>
    <w:p w14:paraId="1E2D75E8" w14:textId="77777777" w:rsidR="00555C44" w:rsidRPr="00866721" w:rsidRDefault="00475940">
      <w:pPr>
        <w:spacing w:after="200" w:line="360" w:lineRule="auto"/>
        <w:jc w:val="both"/>
        <w:rPr>
          <w:rFonts w:ascii="Palatino Linotype" w:eastAsia="Palatino Linotype" w:hAnsi="Palatino Linotype" w:cs="Palatino Linotype"/>
        </w:rPr>
      </w:pPr>
      <w:r w:rsidRPr="00866721">
        <w:rPr>
          <w:rFonts w:ascii="Palatino Linotype" w:eastAsia="Palatino Linotype" w:hAnsi="Palatino Linotype" w:cs="Palatino Linotype"/>
          <w:noProof/>
        </w:rPr>
        <w:lastRenderedPageBreak/>
        <w:drawing>
          <wp:inline distT="0" distB="0" distL="0" distR="0" wp14:anchorId="5449F106" wp14:editId="33B05231">
            <wp:extent cx="5612130" cy="237490"/>
            <wp:effectExtent l="0" t="0" r="0" b="0"/>
            <wp:docPr id="21401319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2130" cy="237490"/>
                    </a:xfrm>
                    <a:prstGeom prst="rect">
                      <a:avLst/>
                    </a:prstGeom>
                    <a:ln/>
                  </pic:spPr>
                </pic:pic>
              </a:graphicData>
            </a:graphic>
          </wp:inline>
        </w:drawing>
      </w:r>
      <w:r w:rsidRPr="00866721">
        <w:rPr>
          <w:rFonts w:ascii="Palatino Linotype" w:eastAsia="Palatino Linotype" w:hAnsi="Palatino Linotype" w:cs="Palatino Linotype"/>
          <w:noProof/>
        </w:rPr>
        <w:drawing>
          <wp:inline distT="0" distB="0" distL="0" distR="0" wp14:anchorId="0E4DE191" wp14:editId="5CD34141">
            <wp:extent cx="5612130" cy="1732915"/>
            <wp:effectExtent l="0" t="0" r="0" b="0"/>
            <wp:docPr id="21401319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612130" cy="1732915"/>
                    </a:xfrm>
                    <a:prstGeom prst="rect">
                      <a:avLst/>
                    </a:prstGeom>
                    <a:ln/>
                  </pic:spPr>
                </pic:pic>
              </a:graphicData>
            </a:graphic>
          </wp:inline>
        </w:drawing>
      </w:r>
      <w:r w:rsidRPr="00866721">
        <w:rPr>
          <w:rFonts w:ascii="Palatino Linotype" w:eastAsia="Palatino Linotype" w:hAnsi="Palatino Linotype" w:cs="Palatino Linotype"/>
          <w:noProof/>
        </w:rPr>
        <w:drawing>
          <wp:inline distT="0" distB="0" distL="0" distR="0" wp14:anchorId="2F7B42B1" wp14:editId="26BA3F3E">
            <wp:extent cx="5612130" cy="371475"/>
            <wp:effectExtent l="0" t="0" r="0" b="0"/>
            <wp:docPr id="21401319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612130" cy="371475"/>
                    </a:xfrm>
                    <a:prstGeom prst="rect">
                      <a:avLst/>
                    </a:prstGeom>
                    <a:ln/>
                  </pic:spPr>
                </pic:pic>
              </a:graphicData>
            </a:graphic>
          </wp:inline>
        </w:drawing>
      </w:r>
    </w:p>
    <w:p w14:paraId="5110FD54" w14:textId="77777777" w:rsidR="00555C44" w:rsidRPr="00866721" w:rsidRDefault="00475940">
      <w:pPr>
        <w:spacing w:after="20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En este tenor, se colige que </w:t>
      </w:r>
      <w:r w:rsidRPr="00866721">
        <w:rPr>
          <w:rFonts w:ascii="Palatino Linotype" w:eastAsia="Palatino Linotype" w:hAnsi="Palatino Linotype" w:cs="Palatino Linotype"/>
          <w:b/>
          <w:sz w:val="22"/>
          <w:szCs w:val="22"/>
          <w:u w:val="single"/>
        </w:rPr>
        <w:t>la Secretaría de Educación Pública, y la Secretaría de Educación, Ciencia, Tecnología e Innovación, también cuentan con competencia para conocer sobre la materia de la solicitud de información</w:t>
      </w:r>
      <w:r w:rsidRPr="00866721">
        <w:rPr>
          <w:rFonts w:ascii="Palatino Linotype" w:eastAsia="Palatino Linotype" w:hAnsi="Palatino Linotype" w:cs="Palatino Linotype"/>
          <w:sz w:val="22"/>
          <w:szCs w:val="22"/>
        </w:rPr>
        <w:t xml:space="preserve">, al ser las instancias responsables de </w:t>
      </w:r>
      <w:r w:rsidRPr="00866721">
        <w:rPr>
          <w:rFonts w:ascii="Palatino Linotype" w:eastAsia="Palatino Linotype" w:hAnsi="Palatino Linotype" w:cs="Palatino Linotype"/>
          <w:b/>
          <w:sz w:val="22"/>
          <w:szCs w:val="22"/>
        </w:rPr>
        <w:t>revisar los informes trimestrales sobre el ejercicio de los recursos financieros que elabore y remita el COBAEM, a fin de verificar la correcta aplicación de los mismos</w:t>
      </w:r>
      <w:r w:rsidRPr="00866721">
        <w:rPr>
          <w:rFonts w:ascii="Palatino Linotype" w:eastAsia="Palatino Linotype" w:hAnsi="Palatino Linotype" w:cs="Palatino Linotype"/>
          <w:sz w:val="22"/>
          <w:szCs w:val="22"/>
        </w:rPr>
        <w:t xml:space="preserve">, reiterando que </w:t>
      </w:r>
      <w:r w:rsidRPr="00866721">
        <w:rPr>
          <w:rFonts w:ascii="Palatino Linotype" w:eastAsia="Palatino Linotype" w:hAnsi="Palatino Linotype" w:cs="Palatino Linotype"/>
          <w:b/>
          <w:sz w:val="22"/>
          <w:szCs w:val="22"/>
          <w:u w:val="single"/>
        </w:rPr>
        <w:t>dichos informes deben contener los documentos de trabajo donde se identifiquen los recursos federales y estatales ejercidos para el pago de la nómina, conforme al Apartado "B” (sueldos, plazas, horas y prestaciones autorizados)</w:t>
      </w:r>
      <w:r w:rsidRPr="00866721">
        <w:rPr>
          <w:rFonts w:ascii="Palatino Linotype" w:eastAsia="Palatino Linotype" w:hAnsi="Palatino Linotype" w:cs="Palatino Linotype"/>
          <w:sz w:val="22"/>
          <w:szCs w:val="22"/>
        </w:rPr>
        <w:t xml:space="preserve">, así como </w:t>
      </w:r>
      <w:r w:rsidRPr="00866721">
        <w:rPr>
          <w:rFonts w:ascii="Palatino Linotype" w:eastAsia="Palatino Linotype" w:hAnsi="Palatino Linotype" w:cs="Palatino Linotype"/>
          <w:b/>
          <w:sz w:val="22"/>
          <w:szCs w:val="22"/>
        </w:rPr>
        <w:t xml:space="preserve">verificar que los recursos aportados por la SEP y el Gobierno del Estado se apliquen específicamente para el objeto del Anexo de Ejecución, </w:t>
      </w:r>
      <w:r w:rsidRPr="00866721">
        <w:rPr>
          <w:rFonts w:ascii="Palatino Linotype" w:eastAsia="Palatino Linotype" w:hAnsi="Palatino Linotype" w:cs="Palatino Linotype"/>
          <w:sz w:val="22"/>
          <w:szCs w:val="22"/>
        </w:rPr>
        <w:t>debiendo comunicar a las autoridades competentes cualquier irregularidad de la que tengan conocimiento con motivo de la ejecución del Anexo, de conformidad con las disposiciones aplicables.</w:t>
      </w:r>
    </w:p>
    <w:p w14:paraId="13D35443"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w:t>
      </w:r>
      <w:r w:rsidRPr="00866721">
        <w:rPr>
          <w:rFonts w:ascii="Palatino Linotype" w:eastAsia="Palatino Linotype" w:hAnsi="Palatino Linotype" w:cs="Palatino Linotype"/>
          <w:sz w:val="22"/>
          <w:szCs w:val="22"/>
        </w:rPr>
        <w:lastRenderedPageBreak/>
        <w:t>de la Ley de Transparencia y Acceso a la Información Pública del Estado de México y Municipios, de aplicación supletoria, lo que a</w:t>
      </w:r>
      <w:r w:rsidRPr="00866721">
        <w:rPr>
          <w:rFonts w:ascii="Palatino Linotype" w:eastAsia="Palatino Linotype" w:hAnsi="Palatino Linotype" w:cs="Palatino Linotype"/>
          <w:i/>
          <w:sz w:val="22"/>
          <w:szCs w:val="22"/>
        </w:rPr>
        <w:t xml:space="preserve"> contrario sensu</w:t>
      </w:r>
      <w:r w:rsidRPr="00866721">
        <w:rPr>
          <w:rFonts w:ascii="Palatino Linotype" w:eastAsia="Palatino Linotype" w:hAnsi="Palatino Linotype" w:cs="Palatino Linotype"/>
          <w:sz w:val="22"/>
          <w:szCs w:val="22"/>
        </w:rPr>
        <w:t xml:space="preserve"> significa que no se está obligado a proporcionar lo que no obre en sus archivos, en consecuencia,  el pronunciamiento vertido por la Unidad de Transparencia, es suficiente para tener por atendidos los requerimientos de información. </w:t>
      </w:r>
    </w:p>
    <w:p w14:paraId="2D545287" w14:textId="77777777" w:rsidR="00555C44" w:rsidRPr="00866721" w:rsidRDefault="00475940">
      <w:pPr>
        <w:spacing w:after="200" w:line="360" w:lineRule="auto"/>
        <w:ind w:right="49"/>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Dicho lo anterior, respecto a la Declaración de Incompetencia, la Ley de Transparencia y Acceso a la Información Pública del Estado de México, de aplicación supletoria, establece en los artículos 49, fracción II y 167, lo siguiente: </w:t>
      </w:r>
    </w:p>
    <w:p w14:paraId="16EEC3C3" w14:textId="77777777" w:rsidR="00555C44" w:rsidRPr="00866721" w:rsidRDefault="00475940">
      <w:pPr>
        <w:tabs>
          <w:tab w:val="left" w:pos="1134"/>
          <w:tab w:val="left" w:pos="1276"/>
        </w:tabs>
        <w:spacing w:before="120" w:after="120"/>
        <w:ind w:left="567"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i/>
          <w:sz w:val="22"/>
          <w:szCs w:val="22"/>
        </w:rPr>
        <w:t>“</w:t>
      </w:r>
      <w:r w:rsidRPr="00866721">
        <w:rPr>
          <w:rFonts w:ascii="Palatino Linotype" w:eastAsia="Palatino Linotype" w:hAnsi="Palatino Linotype" w:cs="Palatino Linotype"/>
          <w:b/>
          <w:i/>
          <w:sz w:val="22"/>
          <w:szCs w:val="22"/>
        </w:rPr>
        <w:t>Artículo 49.</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Los Comités de Transparencia</w:t>
      </w:r>
      <w:r w:rsidRPr="00866721">
        <w:rPr>
          <w:rFonts w:ascii="Palatino Linotype" w:eastAsia="Palatino Linotype" w:hAnsi="Palatino Linotype" w:cs="Palatino Linotype"/>
          <w:i/>
          <w:sz w:val="22"/>
          <w:szCs w:val="22"/>
        </w:rPr>
        <w:t xml:space="preserve"> tendrán las siguientes atribuciones:</w:t>
      </w:r>
    </w:p>
    <w:p w14:paraId="60D8C496" w14:textId="77777777" w:rsidR="00555C44" w:rsidRPr="00866721" w:rsidRDefault="00475940">
      <w:pPr>
        <w:tabs>
          <w:tab w:val="left" w:pos="1134"/>
        </w:tabs>
        <w:spacing w:before="120" w:after="120"/>
        <w:ind w:left="567" w:right="902"/>
        <w:jc w:val="both"/>
        <w:rPr>
          <w:rFonts w:ascii="Palatino Linotype" w:eastAsia="Palatino Linotype" w:hAnsi="Palatino Linotype" w:cs="Palatino Linotype"/>
          <w:b/>
          <w:i/>
          <w:sz w:val="22"/>
          <w:szCs w:val="22"/>
        </w:rPr>
      </w:pPr>
      <w:r w:rsidRPr="00866721">
        <w:rPr>
          <w:rFonts w:ascii="Palatino Linotype" w:eastAsia="Palatino Linotype" w:hAnsi="Palatino Linotype" w:cs="Palatino Linotype"/>
          <w:b/>
          <w:i/>
          <w:sz w:val="22"/>
          <w:szCs w:val="22"/>
        </w:rPr>
        <w:t>...</w:t>
      </w:r>
    </w:p>
    <w:p w14:paraId="76FAA9E5" w14:textId="77777777" w:rsidR="00555C44" w:rsidRPr="00866721" w:rsidRDefault="00475940">
      <w:pPr>
        <w:tabs>
          <w:tab w:val="left" w:pos="1134"/>
        </w:tabs>
        <w:spacing w:before="120" w:after="120"/>
        <w:ind w:left="567" w:right="902"/>
        <w:jc w:val="both"/>
        <w:rPr>
          <w:rFonts w:ascii="Palatino Linotype" w:eastAsia="Palatino Linotype" w:hAnsi="Palatino Linotype" w:cs="Palatino Linotype"/>
          <w:b/>
          <w:i/>
          <w:sz w:val="22"/>
          <w:szCs w:val="22"/>
          <w:u w:val="single"/>
        </w:rPr>
      </w:pPr>
      <w:r w:rsidRPr="00866721">
        <w:rPr>
          <w:rFonts w:ascii="Palatino Linotype" w:eastAsia="Palatino Linotype" w:hAnsi="Palatino Linotype" w:cs="Palatino Linotype"/>
          <w:b/>
          <w:i/>
          <w:sz w:val="22"/>
          <w:szCs w:val="22"/>
        </w:rPr>
        <w:t>II.</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i/>
          <w:sz w:val="22"/>
          <w:szCs w:val="22"/>
        </w:rPr>
        <w:t>Confirmar, modificar o revocar</w:t>
      </w:r>
      <w:r w:rsidRPr="00866721">
        <w:rPr>
          <w:rFonts w:ascii="Palatino Linotype" w:eastAsia="Palatino Linotype" w:hAnsi="Palatino Linotype" w:cs="Palatino Linotype"/>
          <w:i/>
          <w:sz w:val="22"/>
          <w:szCs w:val="22"/>
        </w:rPr>
        <w:t xml:space="preserve"> las determinaciones que en materia de ampliación del plazo de respuesta, clasificación de la información </w:t>
      </w:r>
      <w:r w:rsidRPr="00866721">
        <w:rPr>
          <w:rFonts w:ascii="Palatino Linotype" w:eastAsia="Palatino Linotype" w:hAnsi="Palatino Linotype" w:cs="Palatino Linotype"/>
          <w:b/>
          <w:i/>
          <w:sz w:val="22"/>
          <w:szCs w:val="22"/>
        </w:rPr>
        <w:t>y declaración</w:t>
      </w:r>
      <w:r w:rsidRPr="00866721">
        <w:rPr>
          <w:rFonts w:ascii="Palatino Linotype" w:eastAsia="Palatino Linotype" w:hAnsi="Palatino Linotype" w:cs="Palatino Linotype"/>
          <w:i/>
          <w:sz w:val="22"/>
          <w:szCs w:val="22"/>
        </w:rPr>
        <w:t xml:space="preserve"> de inexistencia o </w:t>
      </w:r>
      <w:r w:rsidRPr="00866721">
        <w:rPr>
          <w:rFonts w:ascii="Palatino Linotype" w:eastAsia="Palatino Linotype" w:hAnsi="Palatino Linotype" w:cs="Palatino Linotype"/>
          <w:b/>
          <w:i/>
          <w:sz w:val="22"/>
          <w:szCs w:val="22"/>
        </w:rPr>
        <w:t>de incompetencia realicen los titulares de las áreas de los sujetos obligados;</w:t>
      </w:r>
    </w:p>
    <w:p w14:paraId="0954BC9E" w14:textId="77777777" w:rsidR="00555C44" w:rsidRPr="00866721" w:rsidRDefault="00475940">
      <w:pPr>
        <w:tabs>
          <w:tab w:val="left" w:pos="1134"/>
        </w:tabs>
        <w:spacing w:before="120" w:after="120"/>
        <w:ind w:left="851" w:right="902"/>
        <w:jc w:val="both"/>
        <w:rPr>
          <w:rFonts w:ascii="Palatino Linotype" w:eastAsia="Palatino Linotype" w:hAnsi="Palatino Linotype" w:cs="Palatino Linotype"/>
          <w:b/>
          <w:i/>
          <w:sz w:val="22"/>
          <w:szCs w:val="22"/>
        </w:rPr>
      </w:pPr>
      <w:r w:rsidRPr="00866721">
        <w:rPr>
          <w:rFonts w:ascii="Palatino Linotype" w:eastAsia="Palatino Linotype" w:hAnsi="Palatino Linotype" w:cs="Palatino Linotype"/>
          <w:b/>
          <w:i/>
          <w:sz w:val="22"/>
          <w:szCs w:val="22"/>
        </w:rPr>
        <w:t>...</w:t>
      </w:r>
    </w:p>
    <w:p w14:paraId="12D4A7C8" w14:textId="77777777" w:rsidR="00555C44" w:rsidRPr="00866721" w:rsidRDefault="00475940">
      <w:pPr>
        <w:tabs>
          <w:tab w:val="left" w:pos="1134"/>
        </w:tabs>
        <w:spacing w:before="120" w:after="120"/>
        <w:ind w:left="851" w:right="902"/>
        <w:jc w:val="both"/>
        <w:rPr>
          <w:rFonts w:ascii="Palatino Linotype" w:eastAsia="Palatino Linotype" w:hAnsi="Palatino Linotype" w:cs="Palatino Linotype"/>
          <w:b/>
          <w:i/>
          <w:sz w:val="22"/>
          <w:szCs w:val="22"/>
        </w:rPr>
      </w:pPr>
      <w:r w:rsidRPr="00866721">
        <w:rPr>
          <w:rFonts w:ascii="Palatino Linotype" w:eastAsia="Palatino Linotype" w:hAnsi="Palatino Linotype" w:cs="Palatino Linotype"/>
          <w:b/>
          <w:i/>
          <w:sz w:val="22"/>
          <w:szCs w:val="22"/>
        </w:rPr>
        <w:t>Artículo 167</w:t>
      </w:r>
      <w:r w:rsidRPr="00866721">
        <w:rPr>
          <w:rFonts w:ascii="Palatino Linotype" w:eastAsia="Palatino Linotype" w:hAnsi="Palatino Linotype" w:cs="Palatino Linotype"/>
          <w:i/>
          <w:sz w:val="22"/>
          <w:szCs w:val="22"/>
        </w:rPr>
        <w:t xml:space="preserve">. </w:t>
      </w:r>
      <w:r w:rsidRPr="00866721">
        <w:rPr>
          <w:rFonts w:ascii="Palatino Linotype" w:eastAsia="Palatino Linotype" w:hAnsi="Palatino Linotype" w:cs="Palatino Linotype"/>
          <w:b/>
          <w:i/>
          <w:sz w:val="22"/>
          <w:szCs w:val="22"/>
        </w:rPr>
        <w:t>Cuando las unidades de transparencia determinen la notoria incompetencia</w:t>
      </w:r>
      <w:r w:rsidRPr="00866721">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866721">
        <w:rPr>
          <w:rFonts w:ascii="Palatino Linotype" w:eastAsia="Palatino Linotype" w:hAnsi="Palatino Linotype" w:cs="Palatino Linotype"/>
          <w:b/>
          <w:i/>
          <w:sz w:val="22"/>
          <w:szCs w:val="22"/>
        </w:rPr>
        <w:t>deberán comunicarlo al solicitante, dentro de los tres días hábiles posteriores a la recepción de la solicitud</w:t>
      </w:r>
      <w:r w:rsidRPr="00866721">
        <w:rPr>
          <w:rFonts w:ascii="Palatino Linotype" w:eastAsia="Palatino Linotype" w:hAnsi="Palatino Linotype" w:cs="Palatino Linotype"/>
          <w:i/>
          <w:sz w:val="22"/>
          <w:szCs w:val="22"/>
        </w:rPr>
        <w:t xml:space="preserve"> y, </w:t>
      </w:r>
      <w:r w:rsidRPr="00866721">
        <w:rPr>
          <w:rFonts w:ascii="Palatino Linotype" w:eastAsia="Palatino Linotype" w:hAnsi="Palatino Linotype" w:cs="Palatino Linotype"/>
          <w:b/>
          <w:i/>
          <w:sz w:val="22"/>
          <w:szCs w:val="22"/>
        </w:rPr>
        <w:t>en su caso orientar al solicitante, el o los sujetos obligados competentes.”</w:t>
      </w:r>
    </w:p>
    <w:p w14:paraId="033567D8" w14:textId="77777777" w:rsidR="00555C44" w:rsidRPr="00866721" w:rsidRDefault="00475940">
      <w:pP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866721">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w:t>
      </w:r>
      <w:r w:rsidRPr="00866721">
        <w:rPr>
          <w:rFonts w:ascii="Palatino Linotype" w:eastAsia="Palatino Linotype" w:hAnsi="Palatino Linotype" w:cs="Palatino Linotype"/>
          <w:b/>
          <w:sz w:val="22"/>
          <w:szCs w:val="22"/>
        </w:rPr>
        <w:t xml:space="preserve"> en aquellos casos en los que no se trate de una notoria incompetencia. </w:t>
      </w:r>
    </w:p>
    <w:p w14:paraId="32DD882F" w14:textId="77777777" w:rsidR="00555C44" w:rsidRPr="00866721" w:rsidRDefault="00475940">
      <w:pPr>
        <w:tabs>
          <w:tab w:val="left" w:pos="142"/>
          <w:tab w:val="left" w:pos="284"/>
        </w:tabs>
        <w:spacing w:before="240" w:after="240" w:line="360" w:lineRule="auto"/>
        <w:jc w:val="both"/>
        <w:rPr>
          <w:rFonts w:ascii="Palatino Linotype" w:eastAsia="Palatino Linotype" w:hAnsi="Palatino Linotype" w:cs="Palatino Linotype"/>
          <w:sz w:val="22"/>
          <w:szCs w:val="22"/>
          <w:u w:val="single"/>
        </w:rPr>
      </w:pPr>
      <w:r w:rsidRPr="00866721">
        <w:rPr>
          <w:rFonts w:ascii="Palatino Linotype" w:eastAsia="Palatino Linotype" w:hAnsi="Palatino Linotype" w:cs="Palatino Linotype"/>
          <w:sz w:val="22"/>
          <w:szCs w:val="22"/>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w:t>
      </w:r>
      <w:r w:rsidRPr="00866721">
        <w:rPr>
          <w:rFonts w:ascii="Palatino Linotype" w:eastAsia="Palatino Linotype" w:hAnsi="Palatino Linotype" w:cs="Palatino Linotype"/>
          <w:sz w:val="22"/>
          <w:szCs w:val="22"/>
        </w:rPr>
        <w:lastRenderedPageBreak/>
        <w:t xml:space="preserve">incompetencia cuando ésta sea notoria, siendo innecesario que dicha circunstancia sea sometida a consideración de los integrantes del Comité de Transparencia </w:t>
      </w:r>
      <w:r w:rsidRPr="00866721">
        <w:rPr>
          <w:rFonts w:ascii="Palatino Linotype" w:eastAsia="Palatino Linotype" w:hAnsi="Palatino Linotype" w:cs="Palatino Linotype"/>
          <w:sz w:val="22"/>
          <w:szCs w:val="22"/>
          <w:u w:val="single"/>
        </w:rPr>
        <w:t xml:space="preserve">para su aprobación. </w:t>
      </w:r>
    </w:p>
    <w:p w14:paraId="77BE4E30" w14:textId="77777777" w:rsidR="00555C44" w:rsidRPr="00866721" w:rsidRDefault="00475940">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Como sustento de lo anterior, resulta aplicable el Criterio Orientador 20/20, emitido por el entonces Instituto Nacional de Transparencia, Acceso a la Información, y Protección de Datos Personales, INAI, que lleva por rubro y texto los siguientes:  </w:t>
      </w:r>
    </w:p>
    <w:p w14:paraId="5ACA737C" w14:textId="77777777" w:rsidR="00555C44" w:rsidRPr="00866721" w:rsidRDefault="0047594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“Declaración de incompetencia por parte del Comité, cuando no sea notoria o manifiesta.</w:t>
      </w:r>
      <w:r w:rsidRPr="00866721">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23BD3331" w14:textId="77777777" w:rsidR="00555C44" w:rsidRPr="00866721" w:rsidRDefault="00475940">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866721">
        <w:rPr>
          <w:rFonts w:ascii="Palatino Linotype" w:eastAsia="Palatino Linotype" w:hAnsi="Palatino Linotype" w:cs="Palatino Linotype"/>
          <w:b/>
          <w:sz w:val="22"/>
          <w:szCs w:val="22"/>
        </w:rPr>
        <w:t xml:space="preserve"> </w:t>
      </w:r>
      <w:r w:rsidRPr="00866721">
        <w:rPr>
          <w:rFonts w:ascii="Palatino Linotype" w:eastAsia="Palatino Linotype" w:hAnsi="Palatino Linotype" w:cs="Palatino Linotype"/>
          <w:b/>
          <w:sz w:val="22"/>
          <w:szCs w:val="22"/>
          <w:u w:val="single"/>
        </w:rPr>
        <w:t>duda razonable sobre la administración del documento materia de la solicitud de información</w:t>
      </w:r>
      <w:r w:rsidRPr="00866721">
        <w:rPr>
          <w:rFonts w:ascii="Palatino Linotype" w:eastAsia="Palatino Linotype" w:hAnsi="Palatino Linotype" w:cs="Palatino Linotype"/>
          <w:sz w:val="22"/>
          <w:szCs w:val="22"/>
        </w:rPr>
        <w:t>, como se lee enseguida:</w:t>
      </w:r>
    </w:p>
    <w:p w14:paraId="2C619BCB" w14:textId="77777777" w:rsidR="00555C44" w:rsidRPr="00866721" w:rsidRDefault="00475940">
      <w:pPr>
        <w:tabs>
          <w:tab w:val="left" w:pos="1418"/>
        </w:tabs>
        <w:spacing w:before="120" w:after="120" w:line="276" w:lineRule="auto"/>
        <w:ind w:left="851" w:right="902"/>
        <w:jc w:val="both"/>
        <w:rPr>
          <w:rFonts w:ascii="Palatino Linotype" w:eastAsia="Palatino Linotype" w:hAnsi="Palatino Linotype" w:cs="Palatino Linotype"/>
          <w:i/>
          <w:sz w:val="22"/>
          <w:szCs w:val="22"/>
        </w:rPr>
      </w:pPr>
      <w:r w:rsidRPr="00866721">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866721">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866721">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866721">
        <w:rPr>
          <w:rFonts w:ascii="Palatino Linotype" w:eastAsia="Palatino Linotype" w:hAnsi="Palatino Linotype" w:cs="Palatino Linotype"/>
          <w:b/>
          <w:i/>
          <w:sz w:val="22"/>
          <w:szCs w:val="22"/>
          <w:u w:val="single"/>
        </w:rPr>
        <w:t xml:space="preserve">impiden determinar dentro del término </w:t>
      </w:r>
      <w:r w:rsidRPr="00866721">
        <w:rPr>
          <w:rFonts w:ascii="Palatino Linotype" w:eastAsia="Palatino Linotype" w:hAnsi="Palatino Linotype" w:cs="Palatino Linotype"/>
          <w:b/>
          <w:i/>
          <w:sz w:val="22"/>
          <w:szCs w:val="22"/>
          <w:u w:val="single"/>
        </w:rPr>
        <w:lastRenderedPageBreak/>
        <w:t>legal de tres días hábiles</w:t>
      </w:r>
      <w:r w:rsidRPr="00866721">
        <w:rPr>
          <w:rFonts w:ascii="Palatino Linotype" w:eastAsia="Palatino Linotype" w:hAnsi="Palatino Linotype" w:cs="Palatino Linotype"/>
          <w:b/>
          <w:i/>
          <w:sz w:val="22"/>
          <w:szCs w:val="22"/>
        </w:rPr>
        <w:t>, si se posee o no la información por el Sujeto Obligado requerid</w:t>
      </w:r>
      <w:r w:rsidRPr="00866721">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37A28F0B" w14:textId="77777777" w:rsidR="00555C44" w:rsidRPr="00866721" w:rsidRDefault="00475940">
      <w:pP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En el caso particular, dado que se ha demostrado que la incompetencia del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es notoria, por lo tanto resulta innecesaria la emisión de una declaratoria formal de incompetencia a través del Comité de Transparencia.</w:t>
      </w:r>
    </w:p>
    <w:p w14:paraId="725659BB" w14:textId="77777777" w:rsidR="00555C44" w:rsidRPr="00866721" w:rsidRDefault="00475940">
      <w:pP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 xml:space="preserve">Atento a lo anterior, se dejan a salvo los derechos de 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para que, en caso de considerarlo oportuno formule las solicitudes de información 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14:paraId="75BD58BC" w14:textId="77777777" w:rsidR="00555C44" w:rsidRPr="00866721" w:rsidRDefault="00475940">
      <w:pPr>
        <w:tabs>
          <w:tab w:val="left" w:pos="142"/>
          <w:tab w:val="left" w:pos="284"/>
        </w:tabs>
        <w:spacing w:before="240" w:after="240" w:line="360" w:lineRule="auto"/>
        <w:jc w:val="both"/>
        <w:rPr>
          <w:rFonts w:ascii="Palatino Linotype" w:eastAsia="Palatino Linotype" w:hAnsi="Palatino Linotype" w:cs="Palatino Linotype"/>
        </w:rPr>
      </w:pPr>
      <w:r w:rsidRPr="00866721">
        <w:rPr>
          <w:rFonts w:ascii="Palatino Linotype" w:eastAsia="Palatino Linotype" w:hAnsi="Palatino Linotype" w:cs="Palatino Linotype"/>
          <w:sz w:val="22"/>
          <w:szCs w:val="22"/>
        </w:rPr>
        <w:t xml:space="preserve">Derivado de lo expuesto, dado que 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informó de la notoria incompetencia para atender favorablemente la solicitud a la persona solicitante, asimismo le orientó al Colegio de Bachilleres del Estado de México, como el Sujetos Obligados competente para generar, administrar o poseer la información que es de su interés, siendo de vital </w:t>
      </w:r>
      <w:r w:rsidRPr="00866721">
        <w:rPr>
          <w:rFonts w:ascii="Palatino Linotype" w:eastAsia="Palatino Linotype" w:hAnsi="Palatino Linotype" w:cs="Palatino Linotype"/>
          <w:sz w:val="22"/>
          <w:szCs w:val="22"/>
        </w:rPr>
        <w:lastRenderedPageBreak/>
        <w:t xml:space="preserve">importancia señalar que la facultad de orientación a las personas solicitantes para que formulen su solicitud ante el Sujeto Obligado competente es potestativa; se concluye que motivos de inconformidad de la parte </w:t>
      </w:r>
      <w:r w:rsidRPr="00866721">
        <w:rPr>
          <w:rFonts w:ascii="Palatino Linotype" w:eastAsia="Palatino Linotype" w:hAnsi="Palatino Linotype" w:cs="Palatino Linotype"/>
          <w:b/>
          <w:sz w:val="22"/>
          <w:szCs w:val="22"/>
        </w:rPr>
        <w:t xml:space="preserve">Recurrente </w:t>
      </w:r>
      <w:r w:rsidRPr="00866721">
        <w:rPr>
          <w:rFonts w:ascii="Palatino Linotype" w:eastAsia="Palatino Linotype" w:hAnsi="Palatino Linotype" w:cs="Palatino Linotype"/>
          <w:sz w:val="22"/>
          <w:szCs w:val="22"/>
        </w:rPr>
        <w:t xml:space="preserve">son infundados, por lo que resulta procedente </w:t>
      </w:r>
      <w:r w:rsidRPr="00866721">
        <w:rPr>
          <w:rFonts w:ascii="Palatino Linotype" w:eastAsia="Palatino Linotype" w:hAnsi="Palatino Linotype" w:cs="Palatino Linotype"/>
          <w:i/>
          <w:sz w:val="22"/>
          <w:szCs w:val="22"/>
        </w:rPr>
        <w:t xml:space="preserve">confirmar </w:t>
      </w:r>
      <w:r w:rsidRPr="00866721">
        <w:rPr>
          <w:rFonts w:ascii="Palatino Linotype" w:eastAsia="Palatino Linotype" w:hAnsi="Palatino Linotype" w:cs="Palatino Linotype"/>
          <w:sz w:val="22"/>
          <w:szCs w:val="22"/>
        </w:rPr>
        <w:t xml:space="preserve">la respuesta proporcionada a la solicitud de información </w:t>
      </w:r>
      <w:r w:rsidRPr="00866721">
        <w:rPr>
          <w:rFonts w:ascii="Palatino Linotype" w:eastAsia="Palatino Linotype" w:hAnsi="Palatino Linotype" w:cs="Palatino Linotype"/>
          <w:b/>
          <w:sz w:val="22"/>
          <w:szCs w:val="22"/>
        </w:rPr>
        <w:t>000199/SF/IP/2025</w:t>
      </w:r>
      <w:r w:rsidRPr="00866721">
        <w:rPr>
          <w:rFonts w:ascii="Palatino Linotype" w:eastAsia="Palatino Linotype" w:hAnsi="Palatino Linotype" w:cs="Palatino Linotype"/>
          <w:sz w:val="22"/>
          <w:szCs w:val="22"/>
        </w:rPr>
        <w:t>.</w:t>
      </w:r>
    </w:p>
    <w:p w14:paraId="7C022399" w14:textId="77777777" w:rsidR="00555C44" w:rsidRPr="00866721" w:rsidRDefault="004759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6721">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791C95CC" w14:textId="77777777" w:rsidR="00555C44" w:rsidRPr="00866721" w:rsidRDefault="0047594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866721">
        <w:rPr>
          <w:rFonts w:ascii="Palatino Linotype" w:eastAsia="Palatino Linotype" w:hAnsi="Palatino Linotype" w:cs="Palatino Linotype"/>
          <w:b/>
          <w:sz w:val="22"/>
          <w:szCs w:val="22"/>
        </w:rPr>
        <w:t>III. R E S U E L V E</w:t>
      </w:r>
    </w:p>
    <w:p w14:paraId="58AB9EA1" w14:textId="77777777" w:rsidR="00555C44" w:rsidRPr="00866721" w:rsidRDefault="00475940">
      <w:pPr>
        <w:pBdr>
          <w:top w:val="nil"/>
          <w:left w:val="nil"/>
          <w:bottom w:val="nil"/>
          <w:right w:val="nil"/>
          <w:between w:val="nil"/>
        </w:pBdr>
        <w:spacing w:line="360" w:lineRule="auto"/>
        <w:jc w:val="both"/>
        <w:rPr>
          <w:rFonts w:ascii="Palatino Linotype" w:eastAsia="Palatino Linotype" w:hAnsi="Palatino Linotype" w:cs="Palatino Linotype"/>
        </w:rPr>
      </w:pPr>
      <w:bookmarkStart w:id="5" w:name="_heading=h.17dp8vu" w:colFirst="0" w:colLast="0"/>
      <w:bookmarkEnd w:id="5"/>
      <w:r w:rsidRPr="00866721">
        <w:rPr>
          <w:rFonts w:ascii="Palatino Linotype" w:eastAsia="Palatino Linotype" w:hAnsi="Palatino Linotype" w:cs="Palatino Linotype"/>
          <w:b/>
          <w:sz w:val="22"/>
          <w:szCs w:val="22"/>
        </w:rPr>
        <w:t xml:space="preserve">Primero. </w:t>
      </w:r>
      <w:r w:rsidRPr="00866721">
        <w:rPr>
          <w:rFonts w:ascii="Palatino Linotype" w:eastAsia="Palatino Linotype" w:hAnsi="Palatino Linotype" w:cs="Palatino Linotype"/>
          <w:sz w:val="22"/>
          <w:szCs w:val="22"/>
        </w:rPr>
        <w:t>Resultan</w:t>
      </w:r>
      <w:r w:rsidRPr="00866721">
        <w:rPr>
          <w:rFonts w:ascii="Palatino Linotype" w:eastAsia="Palatino Linotype" w:hAnsi="Palatino Linotype" w:cs="Palatino Linotype"/>
          <w:b/>
          <w:sz w:val="22"/>
          <w:szCs w:val="22"/>
        </w:rPr>
        <w:t xml:space="preserve"> infundados</w:t>
      </w:r>
      <w:r w:rsidRPr="00866721">
        <w:rPr>
          <w:rFonts w:ascii="Palatino Linotype" w:eastAsia="Palatino Linotype" w:hAnsi="Palatino Linotype" w:cs="Palatino Linotype"/>
          <w:sz w:val="22"/>
          <w:szCs w:val="22"/>
        </w:rPr>
        <w:t xml:space="preserve"> los motivos de inconformidad hechos valer por la parte </w:t>
      </w:r>
      <w:r w:rsidRPr="00866721">
        <w:rPr>
          <w:rFonts w:ascii="Palatino Linotype" w:eastAsia="Palatino Linotype" w:hAnsi="Palatino Linotype" w:cs="Palatino Linotype"/>
          <w:b/>
          <w:sz w:val="22"/>
          <w:szCs w:val="22"/>
        </w:rPr>
        <w:t xml:space="preserve">Recurrente </w:t>
      </w:r>
      <w:r w:rsidRPr="00866721">
        <w:rPr>
          <w:rFonts w:ascii="Palatino Linotype" w:eastAsia="Palatino Linotype" w:hAnsi="Palatino Linotype" w:cs="Palatino Linotype"/>
          <w:sz w:val="22"/>
          <w:szCs w:val="22"/>
        </w:rPr>
        <w:t xml:space="preserve">en el recurso de revisión </w:t>
      </w:r>
      <w:r w:rsidRPr="00866721">
        <w:rPr>
          <w:rFonts w:ascii="Palatino Linotype" w:eastAsia="Palatino Linotype" w:hAnsi="Palatino Linotype" w:cs="Palatino Linotype"/>
          <w:b/>
          <w:sz w:val="22"/>
          <w:szCs w:val="22"/>
        </w:rPr>
        <w:t>02374/INFOEM/IP/RR/2025</w:t>
      </w:r>
      <w:r w:rsidRPr="00866721">
        <w:rPr>
          <w:rFonts w:ascii="Palatino Linotype" w:eastAsia="Palatino Linotype" w:hAnsi="Palatino Linotype" w:cs="Palatino Linotype"/>
          <w:sz w:val="22"/>
          <w:szCs w:val="22"/>
        </w:rPr>
        <w:t xml:space="preserve">; por lo que, en términos de los argumentos señalados en el </w:t>
      </w:r>
      <w:r w:rsidRPr="00866721">
        <w:rPr>
          <w:rFonts w:ascii="Palatino Linotype" w:eastAsia="Palatino Linotype" w:hAnsi="Palatino Linotype" w:cs="Palatino Linotype"/>
          <w:b/>
          <w:sz w:val="22"/>
          <w:szCs w:val="22"/>
        </w:rPr>
        <w:t>Considerando Tercero</w:t>
      </w:r>
      <w:r w:rsidRPr="00866721">
        <w:rPr>
          <w:rFonts w:ascii="Palatino Linotype" w:eastAsia="Palatino Linotype" w:hAnsi="Palatino Linotype" w:cs="Palatino Linotype"/>
          <w:sz w:val="22"/>
          <w:szCs w:val="22"/>
        </w:rPr>
        <w:t xml:space="preserve">, se </w:t>
      </w:r>
      <w:r w:rsidRPr="00866721">
        <w:rPr>
          <w:rFonts w:ascii="Palatino Linotype" w:eastAsia="Palatino Linotype" w:hAnsi="Palatino Linotype" w:cs="Palatino Linotype"/>
          <w:b/>
          <w:sz w:val="22"/>
          <w:szCs w:val="22"/>
        </w:rPr>
        <w:t xml:space="preserve">Confirma </w:t>
      </w:r>
      <w:r w:rsidRPr="00866721">
        <w:rPr>
          <w:rFonts w:ascii="Palatino Linotype" w:eastAsia="Palatino Linotype" w:hAnsi="Palatino Linotype" w:cs="Palatino Linotype"/>
          <w:sz w:val="22"/>
          <w:szCs w:val="22"/>
        </w:rPr>
        <w:t xml:space="preserve">la respuesta emitida por el </w:t>
      </w:r>
      <w:r w:rsidRPr="00866721">
        <w:rPr>
          <w:rFonts w:ascii="Palatino Linotype" w:eastAsia="Palatino Linotype" w:hAnsi="Palatino Linotype" w:cs="Palatino Linotype"/>
          <w:b/>
          <w:sz w:val="22"/>
          <w:szCs w:val="22"/>
        </w:rPr>
        <w:t>Sujeto Obligado.</w:t>
      </w:r>
    </w:p>
    <w:p w14:paraId="4AF17981" w14:textId="77777777" w:rsidR="00555C44" w:rsidRPr="00866721" w:rsidRDefault="00555C44">
      <w:pPr>
        <w:spacing w:line="360" w:lineRule="auto"/>
        <w:rPr>
          <w:rFonts w:ascii="Palatino Linotype" w:eastAsia="Palatino Linotype" w:hAnsi="Palatino Linotype" w:cs="Palatino Linotype"/>
        </w:rPr>
      </w:pPr>
    </w:p>
    <w:p w14:paraId="2CCF1CBC" w14:textId="77777777" w:rsidR="00555C44" w:rsidRPr="00866721" w:rsidRDefault="00475940">
      <w:pPr>
        <w:pBdr>
          <w:top w:val="nil"/>
          <w:left w:val="nil"/>
          <w:bottom w:val="nil"/>
          <w:right w:val="nil"/>
          <w:between w:val="nil"/>
        </w:pBdr>
        <w:spacing w:line="360" w:lineRule="auto"/>
        <w:jc w:val="both"/>
        <w:rPr>
          <w:rFonts w:ascii="Palatino Linotype" w:eastAsia="Palatino Linotype" w:hAnsi="Palatino Linotype" w:cs="Palatino Linotype"/>
        </w:rPr>
      </w:pPr>
      <w:r w:rsidRPr="00866721">
        <w:rPr>
          <w:rFonts w:ascii="Palatino Linotype" w:eastAsia="Palatino Linotype" w:hAnsi="Palatino Linotype" w:cs="Palatino Linotype"/>
          <w:b/>
          <w:sz w:val="22"/>
          <w:szCs w:val="22"/>
        </w:rPr>
        <w:t>Segundo</w:t>
      </w:r>
      <w:r w:rsidRPr="00866721">
        <w:rPr>
          <w:rFonts w:ascii="Palatino Linotype" w:eastAsia="Palatino Linotype" w:hAnsi="Palatino Linotype" w:cs="Palatino Linotype"/>
          <w:sz w:val="22"/>
          <w:szCs w:val="22"/>
        </w:rPr>
        <w:t xml:space="preserve">. </w:t>
      </w:r>
      <w:r w:rsidRPr="00866721">
        <w:rPr>
          <w:rFonts w:ascii="Palatino Linotype" w:eastAsia="Palatino Linotype" w:hAnsi="Palatino Linotype" w:cs="Palatino Linotype"/>
          <w:b/>
          <w:sz w:val="22"/>
          <w:szCs w:val="22"/>
        </w:rPr>
        <w:t xml:space="preserve">Notifíquese, </w:t>
      </w:r>
      <w:r w:rsidRPr="00866721">
        <w:rPr>
          <w:rFonts w:ascii="Palatino Linotype" w:eastAsia="Palatino Linotype" w:hAnsi="Palatino Linotype" w:cs="Palatino Linotype"/>
          <w:sz w:val="22"/>
          <w:szCs w:val="22"/>
        </w:rPr>
        <w:t xml:space="preserve">vía </w:t>
      </w:r>
      <w:r w:rsidRPr="00866721">
        <w:rPr>
          <w:rFonts w:ascii="Palatino Linotype" w:eastAsia="Palatino Linotype" w:hAnsi="Palatino Linotype" w:cs="Palatino Linotype"/>
          <w:b/>
          <w:sz w:val="22"/>
          <w:szCs w:val="22"/>
        </w:rPr>
        <w:t xml:space="preserve">SAIMEX, </w:t>
      </w:r>
      <w:r w:rsidRPr="00866721">
        <w:rPr>
          <w:rFonts w:ascii="Palatino Linotype" w:eastAsia="Palatino Linotype" w:hAnsi="Palatino Linotype" w:cs="Palatino Linotype"/>
          <w:sz w:val="22"/>
          <w:szCs w:val="22"/>
        </w:rPr>
        <w:t xml:space="preserve">al Titular de la Unidad de Transparencia del </w:t>
      </w:r>
      <w:r w:rsidRPr="00866721">
        <w:rPr>
          <w:rFonts w:ascii="Palatino Linotype" w:eastAsia="Palatino Linotype" w:hAnsi="Palatino Linotype" w:cs="Palatino Linotype"/>
          <w:b/>
          <w:sz w:val="22"/>
          <w:szCs w:val="22"/>
        </w:rPr>
        <w:t>Sujeto Obligado</w:t>
      </w:r>
      <w:r w:rsidRPr="00866721">
        <w:rPr>
          <w:rFonts w:ascii="Palatino Linotype" w:eastAsia="Palatino Linotype" w:hAnsi="Palatino Linotype" w:cs="Palatino Linotype"/>
          <w:sz w:val="22"/>
          <w:szCs w:val="22"/>
        </w:rPr>
        <w:t xml:space="preserve"> para su conocimiento, la presente resolución.</w:t>
      </w:r>
    </w:p>
    <w:p w14:paraId="208E2E18" w14:textId="77777777" w:rsidR="00555C44" w:rsidRPr="00866721" w:rsidRDefault="00555C44">
      <w:pPr>
        <w:spacing w:line="360" w:lineRule="auto"/>
        <w:rPr>
          <w:rFonts w:ascii="Palatino Linotype" w:eastAsia="Palatino Linotype" w:hAnsi="Palatino Linotype" w:cs="Palatino Linotype"/>
        </w:rPr>
      </w:pPr>
    </w:p>
    <w:p w14:paraId="098B0160" w14:textId="77777777" w:rsidR="00555C44" w:rsidRPr="00866721" w:rsidRDefault="00475940">
      <w:pPr>
        <w:pBdr>
          <w:top w:val="nil"/>
          <w:left w:val="nil"/>
          <w:bottom w:val="nil"/>
          <w:right w:val="nil"/>
          <w:between w:val="nil"/>
        </w:pBdr>
        <w:spacing w:line="360" w:lineRule="auto"/>
        <w:jc w:val="both"/>
        <w:rPr>
          <w:rFonts w:ascii="Palatino Linotype" w:eastAsia="Palatino Linotype" w:hAnsi="Palatino Linotype" w:cs="Palatino Linotype"/>
        </w:rPr>
      </w:pPr>
      <w:r w:rsidRPr="00866721">
        <w:rPr>
          <w:rFonts w:ascii="Palatino Linotype" w:eastAsia="Palatino Linotype" w:hAnsi="Palatino Linotype" w:cs="Palatino Linotype"/>
          <w:b/>
          <w:sz w:val="22"/>
          <w:szCs w:val="22"/>
        </w:rPr>
        <w:t>Tercero.  Notifíquese</w:t>
      </w:r>
      <w:r w:rsidRPr="00866721">
        <w:rPr>
          <w:rFonts w:ascii="Palatino Linotype" w:eastAsia="Palatino Linotype" w:hAnsi="Palatino Linotype" w:cs="Palatino Linotype"/>
          <w:sz w:val="22"/>
          <w:szCs w:val="22"/>
        </w:rPr>
        <w:t xml:space="preserve"> vía</w:t>
      </w:r>
      <w:r w:rsidRPr="00866721">
        <w:rPr>
          <w:rFonts w:ascii="Palatino Linotype" w:eastAsia="Palatino Linotype" w:hAnsi="Palatino Linotype" w:cs="Palatino Linotype"/>
          <w:b/>
          <w:sz w:val="22"/>
          <w:szCs w:val="22"/>
        </w:rPr>
        <w:t xml:space="preserve"> SAIMEX, </w:t>
      </w:r>
      <w:r w:rsidRPr="00866721">
        <w:rPr>
          <w:rFonts w:ascii="Palatino Linotype" w:eastAsia="Palatino Linotype" w:hAnsi="Palatino Linotype" w:cs="Palatino Linotype"/>
          <w:sz w:val="22"/>
          <w:szCs w:val="22"/>
        </w:rPr>
        <w:t xml:space="preserve">a la parte </w:t>
      </w:r>
      <w:r w:rsidRPr="00866721">
        <w:rPr>
          <w:rFonts w:ascii="Palatino Linotype" w:eastAsia="Palatino Linotype" w:hAnsi="Palatino Linotype" w:cs="Palatino Linotype"/>
          <w:b/>
          <w:sz w:val="22"/>
          <w:szCs w:val="22"/>
        </w:rPr>
        <w:t>Recurrente</w:t>
      </w:r>
      <w:r w:rsidRPr="00866721">
        <w:rPr>
          <w:rFonts w:ascii="Palatino Linotype" w:eastAsia="Palatino Linotype" w:hAnsi="Palatino Linotype" w:cs="Palatino Linotype"/>
          <w:sz w:val="22"/>
          <w:szCs w:val="22"/>
        </w:rPr>
        <w:t xml:space="preserve"> la presente resolución, así como que de conformidad con lo establecido en el artículo 142 de la Ley de Protección de Datos Personales en Posesión de Sujetos Obligados del Estado de México y Municipios, podrá promover el Juicio de Amparo en los términos de las leyes aplicables.</w:t>
      </w:r>
    </w:p>
    <w:p w14:paraId="34C06B42" w14:textId="77777777" w:rsidR="00555C44" w:rsidRPr="00866721" w:rsidRDefault="00555C44">
      <w:pPr>
        <w:spacing w:line="360" w:lineRule="auto"/>
        <w:jc w:val="both"/>
        <w:rPr>
          <w:rFonts w:ascii="Palatino Linotype" w:eastAsia="Palatino Linotype" w:hAnsi="Palatino Linotype" w:cs="Palatino Linotype"/>
        </w:rPr>
      </w:pPr>
    </w:p>
    <w:p w14:paraId="54DFA355" w14:textId="77777777" w:rsidR="00555C44" w:rsidRDefault="00475940">
      <w:pPr>
        <w:spacing w:line="360" w:lineRule="auto"/>
        <w:jc w:val="both"/>
        <w:rPr>
          <w:rFonts w:ascii="Palatino Linotype" w:eastAsia="Palatino Linotype" w:hAnsi="Palatino Linotype" w:cs="Palatino Linotype"/>
        </w:rPr>
      </w:pPr>
      <w:r w:rsidRPr="0086672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TREINTA DE ABRIL DE DOS MIL VEINTICINCO, ANTE EL SECRETARIO TÉCNICO DEL PLENO ALEXIS TAPIA RAMÍREZ.</w:t>
      </w:r>
      <w:r>
        <w:rPr>
          <w:rFonts w:ascii="Palatino Linotype" w:eastAsia="Palatino Linotype" w:hAnsi="Palatino Linotype" w:cs="Palatino Linotype"/>
        </w:rPr>
        <w:t xml:space="preserve"> </w:t>
      </w:r>
      <w:bookmarkStart w:id="6" w:name="_heading=h.3rdcrjn" w:colFirst="0" w:colLast="0"/>
      <w:bookmarkStart w:id="7" w:name="_heading=h.1t3h5sf" w:colFirst="0" w:colLast="0"/>
      <w:bookmarkEnd w:id="6"/>
      <w:bookmarkEnd w:id="7"/>
    </w:p>
    <w:p w14:paraId="2289E459" w14:textId="77777777" w:rsidR="00555C44" w:rsidRDefault="00555C44">
      <w:pPr>
        <w:spacing w:line="360" w:lineRule="auto"/>
        <w:jc w:val="both"/>
        <w:rPr>
          <w:rFonts w:ascii="Palatino Linotype" w:eastAsia="Palatino Linotype" w:hAnsi="Palatino Linotype" w:cs="Palatino Linotype"/>
        </w:rPr>
      </w:pPr>
    </w:p>
    <w:p w14:paraId="1F09F676" w14:textId="77777777" w:rsidR="00FE69CB" w:rsidRDefault="00FE69CB">
      <w:pPr>
        <w:spacing w:line="360" w:lineRule="auto"/>
        <w:jc w:val="both"/>
        <w:rPr>
          <w:rFonts w:ascii="Palatino Linotype" w:eastAsia="Palatino Linotype" w:hAnsi="Palatino Linotype" w:cs="Palatino Linotype"/>
        </w:rPr>
        <w:sectPr w:rsidR="00FE69CB">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pPr>
    </w:p>
    <w:p w14:paraId="5C40D552" w14:textId="77777777" w:rsidR="00555C44" w:rsidRDefault="00555C44">
      <w:pPr>
        <w:spacing w:line="360" w:lineRule="auto"/>
        <w:jc w:val="both"/>
        <w:rPr>
          <w:rFonts w:ascii="Palatino Linotype" w:eastAsia="Palatino Linotype" w:hAnsi="Palatino Linotype" w:cs="Palatino Linotype"/>
        </w:rPr>
      </w:pPr>
    </w:p>
    <w:sectPr w:rsidR="00555C44">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404EB" w14:textId="77777777" w:rsidR="00E31E43" w:rsidRDefault="00E31E43">
      <w:r>
        <w:separator/>
      </w:r>
    </w:p>
  </w:endnote>
  <w:endnote w:type="continuationSeparator" w:id="0">
    <w:p w14:paraId="1C0F2F1E" w14:textId="77777777" w:rsidR="00E31E43" w:rsidRDefault="00E31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2DC5" w14:textId="77777777" w:rsidR="00555C44" w:rsidRDefault="004759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66721">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66721">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4425C0F3" w14:textId="77777777" w:rsidR="00555C44" w:rsidRDefault="00555C4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4199" w14:textId="77777777" w:rsidR="00555C44" w:rsidRDefault="004759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6672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66721">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B106F0F" w14:textId="77777777" w:rsidR="00555C44" w:rsidRDefault="00555C4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7CED" w14:textId="77777777" w:rsidR="00FE69CB" w:rsidRDefault="00FE69C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43</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66721">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5C9880B7" w14:textId="77777777" w:rsidR="00FE69CB" w:rsidRDefault="00FE69C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8F72D" w14:textId="77777777" w:rsidR="00E31E43" w:rsidRDefault="00E31E43">
      <w:r>
        <w:separator/>
      </w:r>
    </w:p>
  </w:footnote>
  <w:footnote w:type="continuationSeparator" w:id="0">
    <w:p w14:paraId="09E4A584" w14:textId="77777777" w:rsidR="00E31E43" w:rsidRDefault="00E31E43">
      <w:r>
        <w:continuationSeparator/>
      </w:r>
    </w:p>
  </w:footnote>
  <w:footnote w:id="1">
    <w:p w14:paraId="00D40706" w14:textId="77777777" w:rsidR="00555C44" w:rsidRDefault="00475940">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BONILLLA LÓPEZ Miguel. </w:t>
      </w:r>
      <w:r>
        <w:rPr>
          <w:rFonts w:ascii="Palatino Linotype" w:eastAsia="Palatino Linotype" w:hAnsi="Palatino Linotype" w:cs="Palatino Linotype"/>
          <w:i/>
          <w:color w:val="000000"/>
          <w:sz w:val="20"/>
          <w:szCs w:val="20"/>
        </w:rPr>
        <w:t>Los principios Constitucionales del Juicio de Amparo II.</w:t>
      </w:r>
      <w:r>
        <w:rPr>
          <w:rFonts w:ascii="Palatino Linotype" w:eastAsia="Palatino Linotype" w:hAnsi="Palatino Linotype" w:cs="Palatino Linotype"/>
          <w:color w:val="000000"/>
          <w:sz w:val="20"/>
          <w:szCs w:val="20"/>
        </w:rPr>
        <w:t xml:space="preserve"> México. 2009. UNAM. </w:t>
      </w:r>
    </w:p>
  </w:footnote>
  <w:footnote w:id="2">
    <w:p w14:paraId="611E3391" w14:textId="77777777" w:rsidR="00555C44" w:rsidRDefault="00475940">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Gabino Fraga, Derecho administrativo, 29ª ed. Porrúa, México, 1990, p. 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CD5D" w14:textId="77777777" w:rsidR="00555C44" w:rsidRDefault="00475940">
    <w:pPr>
      <w:rPr>
        <w:rFonts w:ascii="Cambria" w:eastAsia="Cambria" w:hAnsi="Cambria" w:cs="Cambria"/>
        <w:color w:val="000000"/>
      </w:rPr>
    </w:pPr>
    <w:r>
      <w:rPr>
        <w:noProof/>
      </w:rPr>
      <w:drawing>
        <wp:anchor distT="0" distB="0" distL="0" distR="0" simplePos="0" relativeHeight="251658240" behindDoc="1" locked="0" layoutInCell="1" hidden="0" allowOverlap="1" wp14:anchorId="21A074D2" wp14:editId="23AE6C04">
          <wp:simplePos x="0" y="0"/>
          <wp:positionH relativeFrom="column">
            <wp:posOffset>-1080111</wp:posOffset>
          </wp:positionH>
          <wp:positionV relativeFrom="paragraph">
            <wp:posOffset>-488286</wp:posOffset>
          </wp:positionV>
          <wp:extent cx="7809865" cy="10165715"/>
          <wp:effectExtent l="0" t="0" r="0" b="0"/>
          <wp:wrapNone/>
          <wp:docPr id="21401318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7087" w:type="dxa"/>
      <w:tblInd w:w="3261" w:type="dxa"/>
      <w:tblLayout w:type="fixed"/>
      <w:tblLook w:val="0400" w:firstRow="0" w:lastRow="0" w:firstColumn="0" w:lastColumn="0" w:noHBand="0" w:noVBand="1"/>
    </w:tblPr>
    <w:tblGrid>
      <w:gridCol w:w="2489"/>
      <w:gridCol w:w="4598"/>
    </w:tblGrid>
    <w:tr w:rsidR="00555C44" w14:paraId="0AB2E427" w14:textId="77777777">
      <w:tc>
        <w:tcPr>
          <w:tcW w:w="2489" w:type="dxa"/>
          <w:shd w:val="clear" w:color="auto" w:fill="auto"/>
        </w:tcPr>
        <w:p w14:paraId="71993ECD" w14:textId="77777777" w:rsidR="00555C44" w:rsidRDefault="00475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1F0B2C65" w14:textId="77777777" w:rsidR="00555C44" w:rsidRDefault="004759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02374/INFOEM/IP/RR/2025</w:t>
          </w:r>
        </w:p>
      </w:tc>
    </w:tr>
    <w:tr w:rsidR="00555C44" w14:paraId="14D91F1B" w14:textId="77777777">
      <w:trPr>
        <w:trHeight w:val="228"/>
      </w:trPr>
      <w:tc>
        <w:tcPr>
          <w:tcW w:w="2489" w:type="dxa"/>
          <w:shd w:val="clear" w:color="auto" w:fill="auto"/>
          <w:vAlign w:val="center"/>
        </w:tcPr>
        <w:p w14:paraId="0BE76E42" w14:textId="77777777" w:rsidR="00555C44" w:rsidRDefault="00475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487D9565" w14:textId="77777777" w:rsidR="00555C44" w:rsidRDefault="00475940">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555C44" w14:paraId="59D7A383" w14:textId="77777777">
      <w:tc>
        <w:tcPr>
          <w:tcW w:w="2489" w:type="dxa"/>
          <w:shd w:val="clear" w:color="auto" w:fill="auto"/>
          <w:vAlign w:val="center"/>
        </w:tcPr>
        <w:p w14:paraId="688B195C" w14:textId="77777777" w:rsidR="00555C44" w:rsidRDefault="0047594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3B58D45C" w14:textId="77777777" w:rsidR="00555C44" w:rsidRDefault="0047594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A8CD7A" w14:textId="77777777" w:rsidR="00555C44" w:rsidRDefault="0047594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25EF" w14:textId="77777777" w:rsidR="00555C44" w:rsidRDefault="0047594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572931E" wp14:editId="4782D28B">
          <wp:simplePos x="0" y="0"/>
          <wp:positionH relativeFrom="column">
            <wp:posOffset>-1079489</wp:posOffset>
          </wp:positionH>
          <wp:positionV relativeFrom="paragraph">
            <wp:posOffset>-328919</wp:posOffset>
          </wp:positionV>
          <wp:extent cx="7809865" cy="10165715"/>
          <wp:effectExtent l="0" t="0" r="0" b="0"/>
          <wp:wrapNone/>
          <wp:docPr id="21401319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945" w:type="dxa"/>
      <w:tblInd w:w="3261" w:type="dxa"/>
      <w:tblLayout w:type="fixed"/>
      <w:tblLook w:val="0400" w:firstRow="0" w:lastRow="0" w:firstColumn="0" w:lastColumn="0" w:noHBand="0" w:noVBand="1"/>
    </w:tblPr>
    <w:tblGrid>
      <w:gridCol w:w="2551"/>
      <w:gridCol w:w="4394"/>
    </w:tblGrid>
    <w:tr w:rsidR="00555C44" w14:paraId="2A8EAFFE" w14:textId="77777777">
      <w:tc>
        <w:tcPr>
          <w:tcW w:w="2551" w:type="dxa"/>
          <w:shd w:val="clear" w:color="auto" w:fill="auto"/>
          <w:vAlign w:val="center"/>
        </w:tcPr>
        <w:p w14:paraId="66F536A3" w14:textId="77777777" w:rsidR="00555C44" w:rsidRDefault="00475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83DEBDF" w14:textId="77777777" w:rsidR="00555C44" w:rsidRDefault="0047594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02374/INFOEM/IP/RR/2025</w:t>
          </w:r>
        </w:p>
      </w:tc>
    </w:tr>
    <w:tr w:rsidR="00555C44" w14:paraId="75F17FB4" w14:textId="77777777">
      <w:trPr>
        <w:trHeight w:val="130"/>
      </w:trPr>
      <w:tc>
        <w:tcPr>
          <w:tcW w:w="2551" w:type="dxa"/>
          <w:shd w:val="clear" w:color="auto" w:fill="auto"/>
          <w:vAlign w:val="center"/>
        </w:tcPr>
        <w:p w14:paraId="3F025EEB" w14:textId="77777777" w:rsidR="00555C44" w:rsidRDefault="00475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59002753" w14:textId="15C04F3D" w:rsidR="00555C44" w:rsidRDefault="00B81A2F">
          <w:pPr>
            <w:ind w:left="-45" w:right="17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 XXXXXXXX XXXXXX </w:t>
          </w:r>
        </w:p>
      </w:tc>
    </w:tr>
    <w:tr w:rsidR="00555C44" w14:paraId="7448A16D" w14:textId="77777777">
      <w:trPr>
        <w:trHeight w:val="228"/>
      </w:trPr>
      <w:tc>
        <w:tcPr>
          <w:tcW w:w="2551" w:type="dxa"/>
          <w:shd w:val="clear" w:color="auto" w:fill="auto"/>
          <w:vAlign w:val="center"/>
        </w:tcPr>
        <w:p w14:paraId="4CBD1374" w14:textId="77777777" w:rsidR="00555C44" w:rsidRDefault="00475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0CA014BF" w14:textId="77777777" w:rsidR="00555C44" w:rsidRDefault="00475940">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555C44" w14:paraId="56A6E260" w14:textId="77777777">
      <w:tc>
        <w:tcPr>
          <w:tcW w:w="2551" w:type="dxa"/>
          <w:shd w:val="clear" w:color="auto" w:fill="auto"/>
          <w:vAlign w:val="center"/>
        </w:tcPr>
        <w:p w14:paraId="2165BBB9" w14:textId="77777777" w:rsidR="00555C44" w:rsidRDefault="004759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56DF7C0D" w14:textId="77777777" w:rsidR="00555C44" w:rsidRDefault="0047594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B476D0B" w14:textId="77777777" w:rsidR="00555C44" w:rsidRDefault="00555C44">
    <w:pPr>
      <w:pBdr>
        <w:top w:val="nil"/>
        <w:left w:val="nil"/>
        <w:bottom w:val="nil"/>
        <w:right w:val="nil"/>
        <w:between w:val="nil"/>
      </w:pBdr>
      <w:tabs>
        <w:tab w:val="center" w:pos="4252"/>
        <w:tab w:val="right" w:pos="8504"/>
      </w:tabs>
      <w:rPr>
        <w:rFonts w:ascii="Cambria" w:eastAsia="Cambria" w:hAnsi="Cambria" w:cs="Cambria"/>
        <w:color w:val="000000"/>
      </w:rPr>
    </w:pPr>
  </w:p>
  <w:p w14:paraId="5E2F159D" w14:textId="77777777" w:rsidR="00555C44" w:rsidRDefault="00555C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DE25" w14:textId="77777777" w:rsidR="00FE69CB" w:rsidRDefault="00FE69C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654C0E93" w14:textId="77777777" w:rsidR="00FE69CB" w:rsidRDefault="00FE69CB">
    <w:pPr>
      <w:pBdr>
        <w:top w:val="nil"/>
        <w:left w:val="nil"/>
        <w:bottom w:val="nil"/>
        <w:right w:val="nil"/>
        <w:between w:val="nil"/>
      </w:pBdr>
      <w:tabs>
        <w:tab w:val="center" w:pos="4252"/>
        <w:tab w:val="right" w:pos="8504"/>
      </w:tabs>
      <w:rPr>
        <w:rFonts w:ascii="Cambria" w:eastAsia="Cambria" w:hAnsi="Cambria" w:cs="Cambria"/>
        <w:color w:val="000000"/>
      </w:rPr>
    </w:pPr>
  </w:p>
  <w:p w14:paraId="31D81524" w14:textId="77777777" w:rsidR="00FE69CB" w:rsidRDefault="00FE69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7E1A75"/>
    <w:multiLevelType w:val="multilevel"/>
    <w:tmpl w:val="7A3E3B44"/>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C44"/>
    <w:rsid w:val="00475940"/>
    <w:rsid w:val="00555C44"/>
    <w:rsid w:val="00866721"/>
    <w:rsid w:val="00B81A2F"/>
    <w:rsid w:val="00E31E43"/>
    <w:rsid w:val="00FE69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A12B8"/>
  <w15:docId w15:val="{211FE0B3-08A1-4AB8-914B-1CB9F1C9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b7woDOUPHA9hvStGMRuQTK8wZw==">CgMxLjAyCWguMWZvYjl0ZTIIaC5namRneHMyCWguM2R5NnZrbTIJaC4yczhleW8xMghoLnR5amN3dDIJaC4xN2RwOHZ1MgloLjNyZGNyam4yCWguMXQzaDVzZjgAciExMUhoNzNXbjRCZ3VxNklvR005R0Nxb2UtUjZ3bnVkaWY=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841484-0730-4633-ACD3-FFBB43D76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11725</Words>
  <Characters>64491</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2025-05-06T18:21:00Z</cp:lastPrinted>
  <dcterms:created xsi:type="dcterms:W3CDTF">2025-05-08T20:51:00Z</dcterms:created>
  <dcterms:modified xsi:type="dcterms:W3CDTF">2025-05-08T20:51:00Z</dcterms:modified>
</cp:coreProperties>
</file>