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69F" w:rsidRDefault="001E21FA" w:rsidP="008314EA">
      <w:pPr>
        <w:tabs>
          <w:tab w:val="left" w:pos="3465"/>
        </w:tabs>
        <w:spacing w:line="360" w:lineRule="auto"/>
        <w:jc w:val="both"/>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color w:val="000000" w:themeColor="text1"/>
        </w:rPr>
        <w:t>R</w:t>
      </w:r>
      <w:bookmarkStart w:id="0" w:name="_GoBack"/>
      <w:bookmarkEnd w:id="0"/>
      <w:r w:rsidRPr="008314EA">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00643F50">
        <w:rPr>
          <w:rFonts w:ascii="Palatino Linotype" w:eastAsia="Palatino Linotype" w:hAnsi="Palatino Linotype" w:cs="Palatino Linotype"/>
          <w:b/>
          <w:color w:val="000000" w:themeColor="text1"/>
        </w:rPr>
        <w:t xml:space="preserve">de fecha doce (12) </w:t>
      </w:r>
      <w:r w:rsidR="00643F50" w:rsidRPr="00157555">
        <w:rPr>
          <w:rFonts w:ascii="Palatino Linotype" w:eastAsia="Palatino Linotype" w:hAnsi="Palatino Linotype" w:cs="Palatino Linotype"/>
          <w:b/>
          <w:color w:val="000000" w:themeColor="text1"/>
        </w:rPr>
        <w:t xml:space="preserve">de </w:t>
      </w:r>
      <w:r w:rsidR="00643F50">
        <w:rPr>
          <w:rFonts w:ascii="Palatino Linotype" w:eastAsia="Palatino Linotype" w:hAnsi="Palatino Linotype" w:cs="Palatino Linotype"/>
          <w:b/>
          <w:color w:val="000000" w:themeColor="text1"/>
        </w:rPr>
        <w:t xml:space="preserve">noviembre </w:t>
      </w:r>
      <w:r w:rsidR="00643F50" w:rsidRPr="00157555">
        <w:rPr>
          <w:rFonts w:ascii="Palatino Linotype" w:eastAsia="Palatino Linotype" w:hAnsi="Palatino Linotype" w:cs="Palatino Linotype"/>
          <w:b/>
          <w:color w:val="000000" w:themeColor="text1"/>
        </w:rPr>
        <w:t>de dos mil veinticinco</w:t>
      </w:r>
      <w:r w:rsidRPr="008314EA">
        <w:rPr>
          <w:rFonts w:ascii="Palatino Linotype" w:eastAsia="Palatino Linotype" w:hAnsi="Palatino Linotype" w:cs="Palatino Linotype"/>
          <w:b/>
          <w:color w:val="000000" w:themeColor="text1"/>
        </w:rPr>
        <w:t>.</w:t>
      </w:r>
    </w:p>
    <w:p w:rsidR="00472785" w:rsidRPr="008314EA" w:rsidRDefault="00472785" w:rsidP="008314EA">
      <w:pPr>
        <w:tabs>
          <w:tab w:val="left" w:pos="3465"/>
        </w:tabs>
        <w:spacing w:line="360" w:lineRule="auto"/>
        <w:jc w:val="both"/>
        <w:rPr>
          <w:rFonts w:ascii="Palatino Linotype" w:eastAsia="Palatino Linotype" w:hAnsi="Palatino Linotype" w:cs="Palatino Linotype"/>
          <w:b/>
          <w:color w:val="000000" w:themeColor="text1"/>
        </w:rPr>
      </w:pPr>
    </w:p>
    <w:p w:rsidR="0020369F" w:rsidRPr="008314EA" w:rsidRDefault="001E21FA" w:rsidP="008314EA">
      <w:pPr>
        <w:spacing w:line="360" w:lineRule="auto"/>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b/>
          <w:color w:val="000000" w:themeColor="text1"/>
        </w:rPr>
        <w:t xml:space="preserve">VISTAS </w:t>
      </w:r>
      <w:r w:rsidRPr="008314EA">
        <w:rPr>
          <w:rFonts w:ascii="Palatino Linotype" w:eastAsia="Palatino Linotype" w:hAnsi="Palatino Linotype" w:cs="Palatino Linotype"/>
          <w:color w:val="000000" w:themeColor="text1"/>
        </w:rPr>
        <w:t xml:space="preserve">las constancias para resolver el Recurso de Revisión </w:t>
      </w:r>
      <w:r w:rsidR="006C65A1" w:rsidRPr="008314EA">
        <w:rPr>
          <w:rFonts w:ascii="Palatino Linotype" w:eastAsia="Palatino Linotype" w:hAnsi="Palatino Linotype" w:cs="Palatino Linotype"/>
          <w:b/>
          <w:color w:val="000000" w:themeColor="text1"/>
        </w:rPr>
        <w:t>05723</w:t>
      </w:r>
      <w:r w:rsidRPr="008314EA">
        <w:rPr>
          <w:rFonts w:ascii="Palatino Linotype" w:eastAsia="Palatino Linotype" w:hAnsi="Palatino Linotype" w:cs="Palatino Linotype"/>
          <w:b/>
          <w:color w:val="000000" w:themeColor="text1"/>
        </w:rPr>
        <w:t>/INFOEM/IP/RR/2025</w:t>
      </w:r>
      <w:r w:rsidRPr="008314EA">
        <w:rPr>
          <w:rFonts w:ascii="Palatino Linotype" w:eastAsia="Palatino Linotype" w:hAnsi="Palatino Linotype" w:cs="Palatino Linotype"/>
          <w:color w:val="000000" w:themeColor="text1"/>
        </w:rPr>
        <w:t xml:space="preserve">, promovido por </w:t>
      </w:r>
      <w:r w:rsidR="00674251">
        <w:rPr>
          <w:rFonts w:ascii="Palatino Linotype" w:eastAsia="Palatino Linotype" w:hAnsi="Palatino Linotype" w:cs="Palatino Linotype"/>
          <w:b/>
          <w:color w:val="000000" w:themeColor="text1"/>
        </w:rPr>
        <w:t>XXXX</w:t>
      </w:r>
      <w:r w:rsidRPr="008314EA">
        <w:rPr>
          <w:rFonts w:ascii="Palatino Linotype" w:eastAsia="Palatino Linotype" w:hAnsi="Palatino Linotype" w:cs="Palatino Linotype"/>
          <w:color w:val="000000" w:themeColor="text1"/>
        </w:rPr>
        <w:t xml:space="preserve">, en lo sucesivo </w:t>
      </w:r>
      <w:r w:rsidRPr="008314EA">
        <w:rPr>
          <w:rFonts w:ascii="Palatino Linotype" w:eastAsia="Palatino Linotype" w:hAnsi="Palatino Linotype" w:cs="Palatino Linotype"/>
          <w:b/>
          <w:color w:val="000000" w:themeColor="text1"/>
        </w:rPr>
        <w:t>EL RECURRENTE</w:t>
      </w:r>
      <w:r w:rsidRPr="008314EA">
        <w:rPr>
          <w:rFonts w:ascii="Palatino Linotype" w:eastAsia="Palatino Linotype" w:hAnsi="Palatino Linotype" w:cs="Palatino Linotype"/>
          <w:color w:val="000000" w:themeColor="text1"/>
        </w:rPr>
        <w:t xml:space="preserve">, en contra de la respuesta otorgada a la solicitud de información </w:t>
      </w:r>
      <w:r w:rsidR="006C65A1" w:rsidRPr="008314EA">
        <w:rPr>
          <w:rFonts w:ascii="Palatino Linotype" w:eastAsia="Palatino Linotype" w:hAnsi="Palatino Linotype" w:cs="Palatino Linotype"/>
          <w:b/>
          <w:color w:val="000000" w:themeColor="text1"/>
        </w:rPr>
        <w:t>00013/DIFCOYOTEPEC/IP/2025</w:t>
      </w:r>
      <w:r w:rsidRPr="008314EA">
        <w:rPr>
          <w:rFonts w:ascii="Palatino Linotype" w:eastAsia="Palatino Linotype" w:hAnsi="Palatino Linotype" w:cs="Palatino Linotype"/>
          <w:color w:val="000000" w:themeColor="text1"/>
        </w:rPr>
        <w:t xml:space="preserve">, por parte del </w:t>
      </w:r>
      <w:r w:rsidR="006C65A1" w:rsidRPr="008314EA">
        <w:rPr>
          <w:rFonts w:ascii="Palatino Linotype" w:eastAsia="Palatino Linotype" w:hAnsi="Palatino Linotype" w:cs="Palatino Linotype"/>
          <w:b/>
          <w:color w:val="000000" w:themeColor="text1"/>
        </w:rPr>
        <w:t>Sistema Municipal para el Desarrollo Integral de la Familia de Coyotepec</w:t>
      </w:r>
      <w:r w:rsidRPr="008314EA">
        <w:rPr>
          <w:rFonts w:ascii="Palatino Linotype" w:eastAsia="Palatino Linotype" w:hAnsi="Palatino Linotype" w:cs="Palatino Linotype"/>
          <w:b/>
          <w:color w:val="000000" w:themeColor="text1"/>
        </w:rPr>
        <w:t xml:space="preserve">, </w:t>
      </w:r>
      <w:r w:rsidRPr="008314EA">
        <w:rPr>
          <w:rFonts w:ascii="Palatino Linotype" w:eastAsia="Palatino Linotype" w:hAnsi="Palatino Linotype" w:cs="Palatino Linotype"/>
          <w:color w:val="000000" w:themeColor="text1"/>
        </w:rPr>
        <w:t xml:space="preserve">en adelante el </w:t>
      </w:r>
      <w:r w:rsidRPr="008314EA">
        <w:rPr>
          <w:rFonts w:ascii="Palatino Linotype" w:eastAsia="Palatino Linotype" w:hAnsi="Palatino Linotype" w:cs="Palatino Linotype"/>
          <w:b/>
          <w:color w:val="000000" w:themeColor="text1"/>
        </w:rPr>
        <w:t>SUJETO OBLIGADO</w:t>
      </w:r>
      <w:r w:rsidRPr="008314EA">
        <w:rPr>
          <w:rFonts w:ascii="Palatino Linotype" w:eastAsia="Palatino Linotype" w:hAnsi="Palatino Linotype" w:cs="Palatino Linotype"/>
          <w:color w:val="000000" w:themeColor="text1"/>
        </w:rPr>
        <w:t>, se emite la presente resolución con base en los siguientes:</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8314EA">
        <w:rPr>
          <w:rFonts w:ascii="Palatino Linotype" w:eastAsia="Palatino Linotype" w:hAnsi="Palatino Linotype" w:cs="Palatino Linotype"/>
          <w:b/>
          <w:color w:val="000000" w:themeColor="text1"/>
          <w:sz w:val="24"/>
          <w:szCs w:val="24"/>
        </w:rPr>
        <w:t>A N T E C E D E N T E S</w:t>
      </w:r>
    </w:p>
    <w:p w:rsidR="0020369F" w:rsidRPr="008314EA" w:rsidRDefault="0020369F" w:rsidP="008314E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20369F" w:rsidRPr="008314EA" w:rsidRDefault="001E21FA" w:rsidP="008314EA">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El </w:t>
      </w:r>
      <w:r w:rsidR="00222BB8" w:rsidRPr="008314EA">
        <w:rPr>
          <w:rFonts w:ascii="Palatino Linotype" w:eastAsia="Palatino Linotype" w:hAnsi="Palatino Linotype" w:cs="Palatino Linotype"/>
          <w:b/>
          <w:color w:val="000000" w:themeColor="text1"/>
        </w:rPr>
        <w:t>veintitrés de abril</w:t>
      </w:r>
      <w:r w:rsidRPr="008314EA">
        <w:rPr>
          <w:rFonts w:ascii="Palatino Linotype" w:eastAsia="Palatino Linotype" w:hAnsi="Palatino Linotype" w:cs="Palatino Linotype"/>
          <w:b/>
          <w:color w:val="000000" w:themeColor="text1"/>
        </w:rPr>
        <w:t xml:space="preserve"> de dos mil veinticinco</w:t>
      </w:r>
      <w:r w:rsidRPr="008314EA">
        <w:rPr>
          <w:rFonts w:ascii="Palatino Linotype" w:eastAsia="Palatino Linotype" w:hAnsi="Palatino Linotype" w:cs="Palatino Linotype"/>
          <w:color w:val="000000" w:themeColor="text1"/>
        </w:rPr>
        <w:t>,</w:t>
      </w:r>
      <w:r w:rsidRPr="008314EA">
        <w:rPr>
          <w:rFonts w:ascii="Palatino Linotype" w:eastAsia="Palatino Linotype" w:hAnsi="Palatino Linotype" w:cs="Palatino Linotype"/>
          <w:b/>
          <w:color w:val="000000" w:themeColor="text1"/>
        </w:rPr>
        <w:t xml:space="preserve"> </w:t>
      </w:r>
      <w:r w:rsidRPr="008314EA">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8314EA">
        <w:rPr>
          <w:rFonts w:ascii="Palatino Linotype" w:eastAsia="Palatino Linotype" w:hAnsi="Palatino Linotype" w:cs="Palatino Linotype"/>
          <w:b/>
          <w:color w:val="000000" w:themeColor="text1"/>
        </w:rPr>
        <w:t>solicitud de información pública</w:t>
      </w:r>
      <w:r w:rsidRPr="008314EA">
        <w:rPr>
          <w:rFonts w:ascii="Palatino Linotype" w:eastAsia="Palatino Linotype" w:hAnsi="Palatino Linotype" w:cs="Palatino Linotype"/>
          <w:color w:val="000000" w:themeColor="text1"/>
        </w:rPr>
        <w:t>:</w:t>
      </w:r>
    </w:p>
    <w:p w:rsidR="0020369F" w:rsidRPr="008314EA" w:rsidRDefault="0020369F" w:rsidP="008314EA">
      <w:pPr>
        <w:pBdr>
          <w:top w:val="nil"/>
          <w:left w:val="nil"/>
          <w:bottom w:val="nil"/>
          <w:right w:val="nil"/>
          <w:between w:val="nil"/>
        </w:pBdr>
        <w:jc w:val="both"/>
        <w:rPr>
          <w:rFonts w:ascii="Palatino Linotype" w:eastAsia="Palatino Linotype" w:hAnsi="Palatino Linotype" w:cs="Palatino Linotype"/>
          <w:color w:val="000000" w:themeColor="text1"/>
        </w:rPr>
      </w:pPr>
    </w:p>
    <w:p w:rsidR="0020369F" w:rsidRPr="008314EA" w:rsidRDefault="001E21FA" w:rsidP="008314EA">
      <w:pPr>
        <w:pBdr>
          <w:top w:val="nil"/>
          <w:left w:val="nil"/>
          <w:bottom w:val="nil"/>
          <w:right w:val="nil"/>
          <w:between w:val="nil"/>
        </w:pBd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 xml:space="preserve"> “</w:t>
      </w:r>
      <w:r w:rsidR="00222BB8" w:rsidRPr="008314EA">
        <w:rPr>
          <w:rFonts w:ascii="Palatino Linotype" w:eastAsia="Palatino Linotype" w:hAnsi="Palatino Linotype" w:cs="Palatino Linotype"/>
          <w:i/>
          <w:color w:val="000000" w:themeColor="text1"/>
        </w:rPr>
        <w:t>Recibos de nómina firmados y en versión pública por el periodo comprendido del 01 de marzo al 15 de abril del año en curso</w:t>
      </w:r>
      <w:r w:rsidRPr="008314EA">
        <w:rPr>
          <w:rFonts w:ascii="Palatino Linotype" w:eastAsia="Palatino Linotype" w:hAnsi="Palatino Linotype" w:cs="Palatino Linotype"/>
          <w:i/>
          <w:color w:val="000000" w:themeColor="text1"/>
        </w:rPr>
        <w:t>” (Sic)</w:t>
      </w:r>
    </w:p>
    <w:p w:rsidR="0020369F" w:rsidRDefault="0020369F" w:rsidP="008314EA">
      <w:pPr>
        <w:pBdr>
          <w:top w:val="nil"/>
          <w:left w:val="nil"/>
          <w:bottom w:val="nil"/>
          <w:right w:val="nil"/>
          <w:between w:val="nil"/>
        </w:pBdr>
        <w:jc w:val="both"/>
        <w:rPr>
          <w:rFonts w:ascii="Palatino Linotype" w:eastAsia="Palatino Linotype" w:hAnsi="Palatino Linotype" w:cs="Palatino Linotype"/>
          <w:i/>
          <w:color w:val="000000" w:themeColor="text1"/>
        </w:rPr>
      </w:pPr>
    </w:p>
    <w:p w:rsidR="009E6824" w:rsidRPr="008314EA" w:rsidRDefault="009E6824" w:rsidP="008314EA">
      <w:pPr>
        <w:pBdr>
          <w:top w:val="nil"/>
          <w:left w:val="nil"/>
          <w:bottom w:val="nil"/>
          <w:right w:val="nil"/>
          <w:between w:val="nil"/>
        </w:pBdr>
        <w:jc w:val="both"/>
        <w:rPr>
          <w:rFonts w:ascii="Palatino Linotype" w:eastAsia="Palatino Linotype" w:hAnsi="Palatino Linotype" w:cs="Palatino Linotype"/>
          <w:i/>
          <w:color w:val="000000" w:themeColor="text1"/>
        </w:rPr>
      </w:pPr>
    </w:p>
    <w:p w:rsidR="0020369F" w:rsidRPr="008314EA" w:rsidRDefault="001E21FA" w:rsidP="008314E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Se eligió como modalidad de entrega de la información: A través del </w:t>
      </w:r>
      <w:r w:rsidRPr="008314EA">
        <w:rPr>
          <w:rFonts w:ascii="Palatino Linotype" w:eastAsia="Palatino Linotype" w:hAnsi="Palatino Linotype" w:cs="Palatino Linotype"/>
          <w:b/>
          <w:color w:val="000000" w:themeColor="text1"/>
        </w:rPr>
        <w:t>SAIMEX.</w:t>
      </w:r>
    </w:p>
    <w:p w:rsidR="0020369F" w:rsidRPr="008314EA" w:rsidRDefault="0020369F" w:rsidP="008314E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0369F" w:rsidRPr="00674251" w:rsidRDefault="001E21FA" w:rsidP="008314EA">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El</w:t>
      </w:r>
      <w:r w:rsidRPr="008314EA">
        <w:rPr>
          <w:rFonts w:ascii="Palatino Linotype" w:eastAsia="Palatino Linotype" w:hAnsi="Palatino Linotype" w:cs="Palatino Linotype"/>
          <w:b/>
          <w:color w:val="000000" w:themeColor="text1"/>
        </w:rPr>
        <w:t xml:space="preserve"> </w:t>
      </w:r>
      <w:r w:rsidR="00F83F9D" w:rsidRPr="008314EA">
        <w:rPr>
          <w:rFonts w:ascii="Palatino Linotype" w:eastAsia="Palatino Linotype" w:hAnsi="Palatino Linotype" w:cs="Palatino Linotype"/>
          <w:b/>
          <w:color w:val="000000" w:themeColor="text1"/>
        </w:rPr>
        <w:t>dieciséis</w:t>
      </w:r>
      <w:r w:rsidRPr="008314EA">
        <w:rPr>
          <w:rFonts w:ascii="Palatino Linotype" w:eastAsia="Palatino Linotype" w:hAnsi="Palatino Linotype" w:cs="Palatino Linotype"/>
          <w:b/>
          <w:color w:val="000000" w:themeColor="text1"/>
        </w:rPr>
        <w:t xml:space="preserve"> de mayo de dos mil veinticinco</w:t>
      </w:r>
      <w:r w:rsidRPr="008314EA">
        <w:rPr>
          <w:rFonts w:ascii="Palatino Linotype" w:eastAsia="Palatino Linotype" w:hAnsi="Palatino Linotype" w:cs="Palatino Linotype"/>
          <w:color w:val="000000" w:themeColor="text1"/>
        </w:rPr>
        <w:t>, el Sujeto Obligado</w:t>
      </w:r>
      <w:r w:rsidRPr="008314EA">
        <w:rPr>
          <w:rFonts w:ascii="Palatino Linotype" w:eastAsia="Palatino Linotype" w:hAnsi="Palatino Linotype" w:cs="Palatino Linotype"/>
          <w:b/>
          <w:color w:val="000000" w:themeColor="text1"/>
        </w:rPr>
        <w:t>,</w:t>
      </w:r>
      <w:r w:rsidRPr="008314EA">
        <w:rPr>
          <w:rFonts w:ascii="Palatino Linotype" w:eastAsia="Palatino Linotype" w:hAnsi="Palatino Linotype" w:cs="Palatino Linotype"/>
          <w:color w:val="000000" w:themeColor="text1"/>
        </w:rPr>
        <w:t xml:space="preserve"> dio </w:t>
      </w:r>
      <w:r w:rsidRPr="008314EA">
        <w:rPr>
          <w:rFonts w:ascii="Palatino Linotype" w:eastAsia="Palatino Linotype" w:hAnsi="Palatino Linotype" w:cs="Palatino Linotype"/>
          <w:b/>
          <w:color w:val="000000" w:themeColor="text1"/>
        </w:rPr>
        <w:t>respuesta</w:t>
      </w:r>
      <w:r w:rsidRPr="008314EA">
        <w:rPr>
          <w:rFonts w:ascii="Palatino Linotype" w:eastAsia="Palatino Linotype" w:hAnsi="Palatino Linotype" w:cs="Palatino Linotype"/>
          <w:color w:val="000000" w:themeColor="text1"/>
        </w:rPr>
        <w:t xml:space="preserve"> a través de los siguientes archivos electrónicos</w:t>
      </w:r>
      <w:r w:rsidRPr="008314EA">
        <w:rPr>
          <w:rFonts w:ascii="Palatino Linotype" w:eastAsia="Palatino Linotype" w:hAnsi="Palatino Linotype" w:cs="Palatino Linotype"/>
          <w:b/>
          <w:i/>
          <w:color w:val="000000" w:themeColor="text1"/>
        </w:rPr>
        <w:t>:</w:t>
      </w:r>
    </w:p>
    <w:p w:rsidR="00674251" w:rsidRPr="008314EA" w:rsidRDefault="00674251" w:rsidP="0067425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F83F9D" w:rsidRPr="008314EA" w:rsidRDefault="00F83F9D" w:rsidP="008314EA">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8314EA">
        <w:rPr>
          <w:rFonts w:ascii="Palatino Linotype" w:eastAsia="Palatino Linotype" w:hAnsi="Palatino Linotype" w:cs="Palatino Linotype"/>
          <w:b/>
          <w:i/>
          <w:color w:val="000000" w:themeColor="text1"/>
        </w:rPr>
        <w:lastRenderedPageBreak/>
        <w:t>RESPUESTA A SOLIICTUD 13.pdf</w:t>
      </w:r>
    </w:p>
    <w:p w:rsidR="00F83F9D" w:rsidRPr="008314EA" w:rsidRDefault="00D063FC" w:rsidP="008314EA">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Oficio SMDIF/COY/TES/009/2025 de fecha 16 de mayo de 2025, firmado por Titular de la Tesorería a través del cual refiere entregar la información solicitada.</w:t>
      </w:r>
    </w:p>
    <w:p w:rsidR="00576CB4" w:rsidRPr="008314EA" w:rsidRDefault="00576CB4" w:rsidP="008314EA">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576CB4" w:rsidRPr="008314EA" w:rsidRDefault="00576CB4" w:rsidP="008314EA">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Documento </w:t>
      </w:r>
      <w:r w:rsidR="00CE1AD2" w:rsidRPr="008314EA">
        <w:rPr>
          <w:rFonts w:ascii="Palatino Linotype" w:eastAsia="Palatino Linotype" w:hAnsi="Palatino Linotype" w:cs="Palatino Linotype"/>
          <w:color w:val="000000" w:themeColor="text1"/>
        </w:rPr>
        <w:t>que contiene la carátula del presupuesto de egresos PbRM-04d del 01 al 31 de enero de 2025, en el que se aprecia el presupuesto de cada uno de los capítulos del 1000 al 9000.</w:t>
      </w:r>
    </w:p>
    <w:p w:rsidR="00F83F9D" w:rsidRPr="008314EA" w:rsidRDefault="00F83F9D" w:rsidP="008314EA">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20369F" w:rsidRPr="008314EA" w:rsidRDefault="00F83F9D" w:rsidP="008314EA">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8314EA">
        <w:rPr>
          <w:rFonts w:ascii="Palatino Linotype" w:eastAsia="Palatino Linotype" w:hAnsi="Palatino Linotype" w:cs="Palatino Linotype"/>
          <w:b/>
          <w:i/>
          <w:color w:val="000000" w:themeColor="text1"/>
        </w:rPr>
        <w:t>RESPUESTA A SOLICITUD 13 RH DIF.pdf</w:t>
      </w:r>
    </w:p>
    <w:p w:rsidR="001C4E9C" w:rsidRPr="008314EA" w:rsidRDefault="001C4E9C" w:rsidP="008314EA">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Oficio SMDIF/COY/URH/0040/2025 de fecha 29 de abril de 2025 firmado por la Titular Honorífica de la Unidad de Recursos Humanos, a través del cual refiere que la información requerida no obra en los archivos de la Unidad de Recursos Humanos, toda vez que es manejada por la Tesorería.</w:t>
      </w:r>
    </w:p>
    <w:p w:rsidR="0020369F" w:rsidRDefault="0020369F" w:rsidP="008314EA">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9E6824" w:rsidRPr="008314EA" w:rsidRDefault="009E6824" w:rsidP="008314EA">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20369F" w:rsidRPr="008314EA" w:rsidRDefault="001E21FA" w:rsidP="008314EA">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El</w:t>
      </w:r>
      <w:r w:rsidRPr="008314EA">
        <w:rPr>
          <w:rFonts w:ascii="Palatino Linotype" w:eastAsia="Palatino Linotype" w:hAnsi="Palatino Linotype" w:cs="Palatino Linotype"/>
          <w:b/>
          <w:color w:val="000000" w:themeColor="text1"/>
        </w:rPr>
        <w:t xml:space="preserve"> </w:t>
      </w:r>
      <w:r w:rsidR="00F61646" w:rsidRPr="008314EA">
        <w:rPr>
          <w:rFonts w:ascii="Palatino Linotype" w:eastAsia="Palatino Linotype" w:hAnsi="Palatino Linotype" w:cs="Palatino Linotype"/>
          <w:b/>
          <w:color w:val="000000" w:themeColor="text1"/>
        </w:rPr>
        <w:t>veintiuno</w:t>
      </w:r>
      <w:r w:rsidRPr="008314EA">
        <w:rPr>
          <w:rFonts w:ascii="Palatino Linotype" w:eastAsia="Palatino Linotype" w:hAnsi="Palatino Linotype" w:cs="Palatino Linotype"/>
          <w:b/>
          <w:color w:val="000000" w:themeColor="text1"/>
        </w:rPr>
        <w:t xml:space="preserve"> de mayo de dos mil veinticinco</w:t>
      </w:r>
      <w:r w:rsidRPr="008314EA">
        <w:rPr>
          <w:rFonts w:ascii="Palatino Linotype" w:eastAsia="Palatino Linotype" w:hAnsi="Palatino Linotype" w:cs="Palatino Linotype"/>
          <w:color w:val="000000" w:themeColor="text1"/>
        </w:rPr>
        <w:t xml:space="preserve">, el particular interpuso el </w:t>
      </w:r>
      <w:r w:rsidRPr="008314EA">
        <w:rPr>
          <w:rFonts w:ascii="Palatino Linotype" w:eastAsia="Palatino Linotype" w:hAnsi="Palatino Linotype" w:cs="Palatino Linotype"/>
          <w:b/>
          <w:color w:val="000000" w:themeColor="text1"/>
        </w:rPr>
        <w:t>recurso de revisión</w:t>
      </w:r>
      <w:r w:rsidRPr="008314EA">
        <w:rPr>
          <w:rFonts w:ascii="Palatino Linotype" w:eastAsia="Palatino Linotype" w:hAnsi="Palatino Linotype" w:cs="Palatino Linotype"/>
          <w:color w:val="000000" w:themeColor="text1"/>
        </w:rPr>
        <w:t xml:space="preserve"> al que se le asignó el folio </w:t>
      </w:r>
      <w:r w:rsidR="00713B17" w:rsidRPr="008314EA">
        <w:rPr>
          <w:rFonts w:ascii="Palatino Linotype" w:eastAsia="Palatino Linotype" w:hAnsi="Palatino Linotype" w:cs="Palatino Linotype"/>
          <w:b/>
          <w:color w:val="000000" w:themeColor="text1"/>
        </w:rPr>
        <w:t>05723</w:t>
      </w:r>
      <w:r w:rsidRPr="008314EA">
        <w:rPr>
          <w:rFonts w:ascii="Palatino Linotype" w:eastAsia="Palatino Linotype" w:hAnsi="Palatino Linotype" w:cs="Palatino Linotype"/>
          <w:b/>
          <w:color w:val="000000" w:themeColor="text1"/>
        </w:rPr>
        <w:t xml:space="preserve">/INFOEM/IP/RR/2025 </w:t>
      </w:r>
      <w:r w:rsidRPr="008314EA">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20369F" w:rsidRPr="008314EA" w:rsidRDefault="0020369F" w:rsidP="008314EA">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20369F" w:rsidRPr="009E6824" w:rsidRDefault="009E6824" w:rsidP="009E6824">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30j0zll" w:colFirst="0" w:colLast="0"/>
      <w:bookmarkEnd w:id="2"/>
      <w:r w:rsidRPr="009E6824">
        <w:rPr>
          <w:rFonts w:ascii="Palatino Linotype" w:eastAsia="Palatino Linotype" w:hAnsi="Palatino Linotype" w:cs="Palatino Linotype"/>
          <w:b/>
          <w:color w:val="000000" w:themeColor="text1"/>
        </w:rPr>
        <w:t xml:space="preserve">ACTO IMPUGNADO: </w:t>
      </w:r>
    </w:p>
    <w:p w:rsidR="0020369F" w:rsidRPr="008314EA" w:rsidRDefault="001E21FA" w:rsidP="009E6824">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r w:rsidR="00713B17" w:rsidRPr="008314EA">
        <w:rPr>
          <w:rFonts w:ascii="Palatino Linotype" w:eastAsia="Palatino Linotype" w:hAnsi="Palatino Linotype" w:cs="Palatino Linotype"/>
          <w:i/>
          <w:color w:val="000000" w:themeColor="text1"/>
        </w:rPr>
        <w:t>LA RESPUESTA DEL SUJETO OBLIGADO</w:t>
      </w:r>
      <w:r w:rsidRPr="008314EA">
        <w:rPr>
          <w:rFonts w:ascii="Palatino Linotype" w:eastAsia="Palatino Linotype" w:hAnsi="Palatino Linotype" w:cs="Palatino Linotype"/>
          <w:i/>
          <w:color w:val="000000" w:themeColor="text1"/>
        </w:rPr>
        <w:t>” (Sic)</w:t>
      </w:r>
    </w:p>
    <w:p w:rsidR="0020369F" w:rsidRPr="008314EA" w:rsidRDefault="0020369F" w:rsidP="008314EA">
      <w:pPr>
        <w:pBdr>
          <w:top w:val="nil"/>
          <w:left w:val="nil"/>
          <w:bottom w:val="nil"/>
          <w:right w:val="nil"/>
          <w:between w:val="nil"/>
        </w:pBdr>
        <w:jc w:val="both"/>
        <w:rPr>
          <w:rFonts w:ascii="Palatino Linotype" w:eastAsia="Palatino Linotype" w:hAnsi="Palatino Linotype" w:cs="Palatino Linotype"/>
          <w:i/>
          <w:color w:val="000000" w:themeColor="text1"/>
        </w:rPr>
      </w:pPr>
    </w:p>
    <w:p w:rsidR="0020369F" w:rsidRPr="009E6824" w:rsidRDefault="009E6824" w:rsidP="009E6824">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3" w:name="_heading=h.1fob9te" w:colFirst="0" w:colLast="0"/>
      <w:bookmarkEnd w:id="3"/>
      <w:r w:rsidRPr="009E6824">
        <w:rPr>
          <w:rFonts w:ascii="Palatino Linotype" w:eastAsia="Palatino Linotype" w:hAnsi="Palatino Linotype" w:cs="Palatino Linotype"/>
          <w:b/>
          <w:color w:val="000000" w:themeColor="text1"/>
        </w:rPr>
        <w:t xml:space="preserve">RAZONES O MOTIVOS DE INCONFORMIDAD: </w:t>
      </w:r>
    </w:p>
    <w:p w:rsidR="0020369F" w:rsidRPr="008314EA" w:rsidRDefault="001E21FA" w:rsidP="008314EA">
      <w:pPr>
        <w:pBdr>
          <w:top w:val="nil"/>
          <w:left w:val="nil"/>
          <w:bottom w:val="nil"/>
          <w:right w:val="nil"/>
          <w:between w:val="nil"/>
        </w:pBd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r w:rsidR="00713B17" w:rsidRPr="008314EA">
        <w:rPr>
          <w:rFonts w:ascii="Palatino Linotype" w:eastAsia="Palatino Linotype" w:hAnsi="Palatino Linotype" w:cs="Palatino Linotype"/>
          <w:i/>
          <w:color w:val="000000" w:themeColor="text1"/>
        </w:rPr>
        <w:t>SE SOLICITAN LOS Recibos de nómina firmados y en versión pública por el periodo comprendido del 01 de marzo al 15 de abril del año en curso, ENTREGAN LA CARÁTULA DEL PRESUPUESTO BASADO EN RESULTADOS. No tiene nada que ver una información y la otra, solicito entreguen la información correspondiente.</w:t>
      </w:r>
      <w:r w:rsidRPr="008314EA">
        <w:rPr>
          <w:rFonts w:ascii="Palatino Linotype" w:eastAsia="Palatino Linotype" w:hAnsi="Palatino Linotype" w:cs="Palatino Linotype"/>
          <w:i/>
          <w:color w:val="000000" w:themeColor="text1"/>
        </w:rPr>
        <w:t>” (Sic)</w:t>
      </w:r>
    </w:p>
    <w:p w:rsidR="0020369F" w:rsidRPr="008314EA" w:rsidRDefault="0020369F" w:rsidP="008314E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20369F" w:rsidRPr="008314EA" w:rsidRDefault="009E6824" w:rsidP="008314EA">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1E21FA" w:rsidRPr="008314EA">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1E21FA" w:rsidRPr="008314EA">
        <w:rPr>
          <w:rFonts w:ascii="Palatino Linotype" w:eastAsia="Palatino Linotype" w:hAnsi="Palatino Linotype" w:cs="Palatino Linotype"/>
          <w:b/>
          <w:color w:val="000000" w:themeColor="text1"/>
        </w:rPr>
        <w:t xml:space="preserve">acuerdo de admisión </w:t>
      </w:r>
      <w:r w:rsidR="001E21FA" w:rsidRPr="008314EA">
        <w:rPr>
          <w:rFonts w:ascii="Palatino Linotype" w:eastAsia="Palatino Linotype" w:hAnsi="Palatino Linotype" w:cs="Palatino Linotype"/>
          <w:color w:val="000000" w:themeColor="text1"/>
        </w:rPr>
        <w:t xml:space="preserve">de fecha </w:t>
      </w:r>
      <w:r w:rsidR="001E7750" w:rsidRPr="008314EA">
        <w:rPr>
          <w:rFonts w:ascii="Palatino Linotype" w:eastAsia="Palatino Linotype" w:hAnsi="Palatino Linotype" w:cs="Palatino Linotype"/>
          <w:b/>
          <w:color w:val="000000" w:themeColor="text1"/>
        </w:rPr>
        <w:t>veintidós</w:t>
      </w:r>
      <w:r w:rsidR="001E21FA" w:rsidRPr="008314EA">
        <w:rPr>
          <w:rFonts w:ascii="Palatino Linotype" w:eastAsia="Palatino Linotype" w:hAnsi="Palatino Linotype" w:cs="Palatino Linotype"/>
          <w:b/>
          <w:color w:val="000000" w:themeColor="text1"/>
        </w:rPr>
        <w:t xml:space="preserve"> de mayo de dos mil veinticinco, </w:t>
      </w:r>
      <w:r w:rsidR="001E21FA" w:rsidRPr="008314EA">
        <w:rPr>
          <w:rFonts w:ascii="Palatino Linotype" w:eastAsia="Palatino Linotype" w:hAnsi="Palatino Linotype" w:cs="Palatino Linotype"/>
          <w:color w:val="000000" w:themeColor="text1"/>
        </w:rPr>
        <w:t xml:space="preserve">puso a disposición de las partes el expediente electrónico vía SAIMEX a </w:t>
      </w:r>
      <w:r w:rsidR="001E21FA" w:rsidRPr="008314EA">
        <w:rPr>
          <w:rFonts w:ascii="Palatino Linotype" w:eastAsia="Palatino Linotype" w:hAnsi="Palatino Linotype" w:cs="Palatino Linotype"/>
          <w:color w:val="000000" w:themeColor="text1"/>
        </w:rPr>
        <w:lastRenderedPageBreak/>
        <w:t xml:space="preserve">efecto de que en un plazo máximo de siete días manifestara lo que a su derecho conviniera, ofreciera pruebas y alegatos según corresponda al caso concreto, de esta forma para que el </w:t>
      </w:r>
      <w:r w:rsidR="001E21FA" w:rsidRPr="008314EA">
        <w:rPr>
          <w:rFonts w:ascii="Palatino Linotype" w:eastAsia="Palatino Linotype" w:hAnsi="Palatino Linotype" w:cs="Palatino Linotype"/>
          <w:b/>
          <w:color w:val="000000" w:themeColor="text1"/>
        </w:rPr>
        <w:t xml:space="preserve">SUJETO OBLIGADO </w:t>
      </w:r>
      <w:r w:rsidR="001E21FA" w:rsidRPr="008314EA">
        <w:rPr>
          <w:rFonts w:ascii="Palatino Linotype" w:eastAsia="Palatino Linotype" w:hAnsi="Palatino Linotype" w:cs="Palatino Linotype"/>
          <w:color w:val="000000" w:themeColor="text1"/>
        </w:rPr>
        <w:t>presentara el Informe Justificado procedente.</w:t>
      </w:r>
    </w:p>
    <w:p w:rsidR="0020369F" w:rsidRPr="008314EA" w:rsidRDefault="0020369F" w:rsidP="008314E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El Recurrente</w:t>
      </w:r>
      <w:r w:rsidRPr="008314EA">
        <w:rPr>
          <w:rFonts w:ascii="Palatino Linotype" w:eastAsia="Palatino Linotype" w:hAnsi="Palatino Linotype" w:cs="Palatino Linotype"/>
          <w:b/>
          <w:color w:val="000000" w:themeColor="text1"/>
        </w:rPr>
        <w:t xml:space="preserve"> </w:t>
      </w:r>
      <w:r w:rsidRPr="008314EA">
        <w:rPr>
          <w:rFonts w:ascii="Palatino Linotype" w:eastAsia="Palatino Linotype" w:hAnsi="Palatino Linotype" w:cs="Palatino Linotype"/>
          <w:color w:val="000000" w:themeColor="text1"/>
        </w:rPr>
        <w:t>dejó de realizar manifestaciones que a su derecho conviniera y asistiera. Por su parte, el Sujeto Obligado,</w:t>
      </w:r>
      <w:r w:rsidRPr="008314EA">
        <w:rPr>
          <w:rFonts w:ascii="Palatino Linotype" w:eastAsia="Palatino Linotype" w:hAnsi="Palatino Linotype" w:cs="Palatino Linotype"/>
          <w:b/>
          <w:color w:val="000000" w:themeColor="text1"/>
        </w:rPr>
        <w:t xml:space="preserve"> </w:t>
      </w:r>
      <w:r w:rsidR="001E7750" w:rsidRPr="008314EA">
        <w:rPr>
          <w:rFonts w:ascii="Palatino Linotype" w:eastAsia="Palatino Linotype" w:hAnsi="Palatino Linotype" w:cs="Palatino Linotype"/>
          <w:color w:val="000000" w:themeColor="text1"/>
        </w:rPr>
        <w:t>no</w:t>
      </w:r>
      <w:r w:rsidRPr="008314EA">
        <w:rPr>
          <w:rFonts w:ascii="Palatino Linotype" w:eastAsia="Palatino Linotype" w:hAnsi="Palatino Linotype" w:cs="Palatino Linotype"/>
          <w:b/>
          <w:color w:val="000000" w:themeColor="text1"/>
        </w:rPr>
        <w:t xml:space="preserve"> </w:t>
      </w:r>
      <w:r w:rsidRPr="008314EA">
        <w:rPr>
          <w:rFonts w:ascii="Palatino Linotype" w:eastAsia="Palatino Linotype" w:hAnsi="Palatino Linotype" w:cs="Palatino Linotype"/>
          <w:color w:val="000000" w:themeColor="text1"/>
        </w:rPr>
        <w:t xml:space="preserve">presentó informe justificado </w:t>
      </w:r>
      <w:r w:rsidR="001E7750" w:rsidRPr="008314EA">
        <w:rPr>
          <w:rFonts w:ascii="Palatino Linotype" w:eastAsia="Palatino Linotype" w:hAnsi="Palatino Linotype" w:cs="Palatino Linotype"/>
          <w:color w:val="000000" w:themeColor="text1"/>
        </w:rPr>
        <w:t>tal como se muestra en la imagen siguiente</w:t>
      </w:r>
      <w:r w:rsidRPr="008314EA">
        <w:rPr>
          <w:rFonts w:ascii="Palatino Linotype" w:eastAsia="Palatino Linotype" w:hAnsi="Palatino Linotype" w:cs="Palatino Linotype"/>
          <w:color w:val="000000" w:themeColor="text1"/>
        </w:rPr>
        <w:t xml:space="preserve">: </w:t>
      </w:r>
    </w:p>
    <w:p w:rsidR="0020369F" w:rsidRPr="008314EA" w:rsidRDefault="0020369F" w:rsidP="008314EA">
      <w:pPr>
        <w:pBdr>
          <w:top w:val="nil"/>
          <w:left w:val="nil"/>
          <w:bottom w:val="nil"/>
          <w:right w:val="nil"/>
          <w:between w:val="nil"/>
        </w:pBdr>
        <w:jc w:val="both"/>
        <w:rPr>
          <w:rFonts w:ascii="Palatino Linotype" w:eastAsia="Palatino Linotype" w:hAnsi="Palatino Linotype" w:cs="Palatino Linotype"/>
          <w:b/>
          <w:color w:val="000000" w:themeColor="text1"/>
        </w:rPr>
      </w:pPr>
    </w:p>
    <w:p w:rsidR="0020369F" w:rsidRPr="008314EA" w:rsidRDefault="001E21FA" w:rsidP="008314EA">
      <w:pPr>
        <w:pBdr>
          <w:top w:val="nil"/>
          <w:left w:val="nil"/>
          <w:bottom w:val="nil"/>
          <w:right w:val="nil"/>
          <w:between w:val="nil"/>
        </w:pBdr>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b/>
          <w:i/>
          <w:color w:val="000000" w:themeColor="text1"/>
        </w:rPr>
        <w:tab/>
      </w:r>
      <w:r w:rsidR="001E7750" w:rsidRPr="008314EA">
        <w:rPr>
          <w:rFonts w:ascii="Palatino Linotype" w:eastAsia="Palatino Linotype" w:hAnsi="Palatino Linotype" w:cs="Palatino Linotype"/>
          <w:b/>
          <w:i/>
          <w:noProof/>
          <w:color w:val="000000" w:themeColor="text1"/>
          <w:lang w:val="es-MX"/>
        </w:rPr>
        <w:drawing>
          <wp:inline distT="0" distB="0" distL="0" distR="0" wp14:anchorId="6DFF2E1E" wp14:editId="11933E65">
            <wp:extent cx="4559769" cy="1233376"/>
            <wp:effectExtent l="152400" t="152400" r="355600" b="3670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89217" cy="1241341"/>
                    </a:xfrm>
                    <a:prstGeom prst="rect">
                      <a:avLst/>
                    </a:prstGeom>
                    <a:ln>
                      <a:noFill/>
                    </a:ln>
                    <a:effectLst>
                      <a:outerShdw blurRad="292100" dist="139700" dir="2700000" algn="tl" rotWithShape="0">
                        <a:srgbClr val="333333">
                          <a:alpha val="65000"/>
                        </a:srgbClr>
                      </a:outerShdw>
                    </a:effectLst>
                  </pic:spPr>
                </pic:pic>
              </a:graphicData>
            </a:graphic>
          </wp:inline>
        </w:drawing>
      </w:r>
    </w:p>
    <w:p w:rsidR="0020369F" w:rsidRPr="008314EA" w:rsidRDefault="001E21FA" w:rsidP="008314E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8314EA">
        <w:rPr>
          <w:rFonts w:ascii="Palatino Linotype" w:eastAsia="Palatino Linotype" w:hAnsi="Palatino Linotype" w:cs="Palatino Linotype"/>
          <w:color w:val="000000" w:themeColor="text1"/>
        </w:rPr>
        <w:t>En fecha</w:t>
      </w:r>
      <w:r w:rsidRPr="008314EA">
        <w:rPr>
          <w:rFonts w:ascii="Palatino Linotype" w:eastAsia="Palatino Linotype" w:hAnsi="Palatino Linotype" w:cs="Palatino Linotype"/>
          <w:b/>
          <w:color w:val="000000" w:themeColor="text1"/>
        </w:rPr>
        <w:t xml:space="preserve"> </w:t>
      </w:r>
      <w:r w:rsidR="00AF2FE6" w:rsidRPr="008314EA">
        <w:rPr>
          <w:rFonts w:ascii="Palatino Linotype" w:eastAsia="Palatino Linotype" w:hAnsi="Palatino Linotype" w:cs="Palatino Linotype"/>
          <w:b/>
          <w:color w:val="000000" w:themeColor="text1"/>
        </w:rPr>
        <w:t>cuatro de julio</w:t>
      </w:r>
      <w:r w:rsidRPr="008314EA">
        <w:rPr>
          <w:rFonts w:ascii="Palatino Linotype" w:eastAsia="Palatino Linotype" w:hAnsi="Palatino Linotype" w:cs="Palatino Linotype"/>
          <w:b/>
          <w:color w:val="000000" w:themeColor="text1"/>
        </w:rPr>
        <w:t xml:space="preserve"> de dos mil veinticinco</w:t>
      </w:r>
      <w:r w:rsidRPr="008314EA">
        <w:rPr>
          <w:rFonts w:ascii="Palatino Linotype" w:eastAsia="Palatino Linotype" w:hAnsi="Palatino Linotype" w:cs="Palatino Linotype"/>
          <w:color w:val="000000" w:themeColor="text1"/>
        </w:rPr>
        <w:t>, se acordó ampliar el plazo para resolver el presente Recurso de Revisión.</w:t>
      </w:r>
    </w:p>
    <w:p w:rsidR="0020369F" w:rsidRPr="008314EA" w:rsidRDefault="0020369F" w:rsidP="008314E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20369F" w:rsidRPr="009E6824" w:rsidRDefault="001E21FA" w:rsidP="008314E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color w:val="000000" w:themeColor="text1"/>
        </w:rPr>
        <w:t xml:space="preserve">Seguidamente, en fecha </w:t>
      </w:r>
      <w:r w:rsidR="00C16E26" w:rsidRPr="008314EA">
        <w:rPr>
          <w:rFonts w:ascii="Palatino Linotype" w:eastAsia="Palatino Linotype" w:hAnsi="Palatino Linotype" w:cs="Palatino Linotype"/>
          <w:b/>
          <w:color w:val="000000" w:themeColor="text1"/>
        </w:rPr>
        <w:t>veintitrés</w:t>
      </w:r>
      <w:r w:rsidRPr="008314EA">
        <w:rPr>
          <w:rFonts w:ascii="Palatino Linotype" w:eastAsia="Palatino Linotype" w:hAnsi="Palatino Linotype" w:cs="Palatino Linotype"/>
          <w:b/>
          <w:color w:val="000000" w:themeColor="text1"/>
        </w:rPr>
        <w:t xml:space="preserve"> de octubre de dos mil veinticinco</w:t>
      </w:r>
      <w:r w:rsidRPr="008314EA">
        <w:rPr>
          <w:rFonts w:ascii="Palatino Linotype" w:eastAsia="Palatino Linotype" w:hAnsi="Palatino Linotype" w:cs="Palatino Linotype"/>
          <w:color w:val="000000" w:themeColor="text1"/>
        </w:rPr>
        <w:t xml:space="preserve">, la Comisionada Ponente dictó el </w:t>
      </w:r>
      <w:r w:rsidRPr="008314EA">
        <w:rPr>
          <w:rFonts w:ascii="Palatino Linotype" w:eastAsia="Palatino Linotype" w:hAnsi="Palatino Linotype" w:cs="Palatino Linotype"/>
          <w:b/>
          <w:color w:val="000000" w:themeColor="text1"/>
        </w:rPr>
        <w:t>cierre del periodo de instrucción</w:t>
      </w:r>
      <w:r w:rsidRPr="008314EA">
        <w:rPr>
          <w:rFonts w:ascii="Palatino Linotype" w:eastAsia="Palatino Linotype" w:hAnsi="Palatino Linotype" w:cs="Palatino Linotype"/>
          <w:color w:val="000000" w:themeColor="text1"/>
        </w:rPr>
        <w:t xml:space="preserve"> y, ordenó la resolución que conforme a Derecho proceda:</w:t>
      </w:r>
      <w:r w:rsidR="009E6824">
        <w:rPr>
          <w:rFonts w:ascii="Palatino Linotype" w:eastAsia="Palatino Linotype" w:hAnsi="Palatino Linotype" w:cs="Palatino Linotype"/>
          <w:color w:val="000000" w:themeColor="text1"/>
        </w:rPr>
        <w:t xml:space="preserve"> --------------------------------------------------------------------------------------------------</w:t>
      </w:r>
    </w:p>
    <w:p w:rsidR="009E6824" w:rsidRDefault="009E6824" w:rsidP="009E6824">
      <w:pPr>
        <w:pStyle w:val="Prrafodelista"/>
        <w:rPr>
          <w:rFonts w:ascii="Palatino Linotype" w:eastAsia="Palatino Linotype" w:hAnsi="Palatino Linotype" w:cs="Palatino Linotype"/>
          <w:b/>
          <w:color w:val="000000" w:themeColor="text1"/>
        </w:rPr>
      </w:pPr>
    </w:p>
    <w:p w:rsidR="009E6824" w:rsidRDefault="009E6824" w:rsidP="009E682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9E6824" w:rsidRDefault="009E6824" w:rsidP="009E682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9E6824" w:rsidRPr="008314EA" w:rsidRDefault="009E6824" w:rsidP="009E682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20369F" w:rsidRPr="008314EA" w:rsidRDefault="0020369F" w:rsidP="008314EA">
      <w:pPr>
        <w:pBdr>
          <w:top w:val="nil"/>
          <w:left w:val="nil"/>
          <w:bottom w:val="nil"/>
          <w:right w:val="nil"/>
          <w:between w:val="nil"/>
        </w:pBdr>
        <w:rPr>
          <w:rFonts w:ascii="Palatino Linotype" w:eastAsia="Palatino Linotype" w:hAnsi="Palatino Linotype" w:cs="Palatino Linotype"/>
          <w:b/>
          <w:color w:val="000000" w:themeColor="text1"/>
        </w:rPr>
      </w:pPr>
    </w:p>
    <w:p w:rsidR="0020369F" w:rsidRPr="008314EA" w:rsidRDefault="001E21FA" w:rsidP="008314EA">
      <w:pPr>
        <w:keepNext/>
        <w:keepLines/>
        <w:spacing w:line="360" w:lineRule="auto"/>
        <w:jc w:val="center"/>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lastRenderedPageBreak/>
        <w:t xml:space="preserve">C O N S I D E R A N D O </w:t>
      </w:r>
    </w:p>
    <w:p w:rsidR="0020369F" w:rsidRPr="008314EA" w:rsidRDefault="0020369F" w:rsidP="008314EA">
      <w:pPr>
        <w:spacing w:line="360" w:lineRule="auto"/>
        <w:rPr>
          <w:rFonts w:ascii="Palatino Linotype" w:eastAsia="Palatino Linotype" w:hAnsi="Palatino Linotype" w:cs="Palatino Linotype"/>
          <w:color w:val="000000" w:themeColor="text1"/>
        </w:rPr>
      </w:pPr>
    </w:p>
    <w:p w:rsidR="0020369F" w:rsidRPr="008314EA" w:rsidRDefault="001E21FA" w:rsidP="008314EA">
      <w:pPr>
        <w:keepNext/>
        <w:keepLines/>
        <w:spacing w:line="360" w:lineRule="auto"/>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t>PRIMERO. De la competencia</w:t>
      </w:r>
    </w:p>
    <w:p w:rsidR="0020369F" w:rsidRPr="008314EA" w:rsidRDefault="001E21FA" w:rsidP="008314E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0369F" w:rsidRPr="008314EA" w:rsidRDefault="0020369F" w:rsidP="008314EA">
      <w:pPr>
        <w:tabs>
          <w:tab w:val="left" w:pos="426"/>
        </w:tabs>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keepNext/>
        <w:keepLines/>
        <w:spacing w:line="360" w:lineRule="auto"/>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t>SEGUNDO. De la oportunidad y procedencia.</w:t>
      </w:r>
    </w:p>
    <w:p w:rsidR="0020369F" w:rsidRPr="008314EA" w:rsidRDefault="001E21FA" w:rsidP="008314E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El medio de impugnación fue presentado a través del </w:t>
      </w:r>
      <w:r w:rsidRPr="008314EA">
        <w:rPr>
          <w:rFonts w:ascii="Palatino Linotype" w:eastAsia="Palatino Linotype" w:hAnsi="Palatino Linotype" w:cs="Palatino Linotype"/>
          <w:b/>
          <w:color w:val="000000" w:themeColor="text1"/>
        </w:rPr>
        <w:t>SAIMEX,</w:t>
      </w:r>
      <w:r w:rsidRPr="008314E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8314EA">
        <w:rPr>
          <w:rFonts w:ascii="Palatino Linotype" w:eastAsia="Palatino Linotype" w:hAnsi="Palatino Linotype" w:cs="Palatino Linotype"/>
          <w:b/>
          <w:color w:val="000000" w:themeColor="text1"/>
        </w:rPr>
        <w:t>SUJETO OBLIGADO</w:t>
      </w:r>
      <w:r w:rsidRPr="008314EA">
        <w:rPr>
          <w:rFonts w:ascii="Palatino Linotype" w:eastAsia="Palatino Linotype" w:hAnsi="Palatino Linotype" w:cs="Palatino Linotype"/>
          <w:color w:val="000000" w:themeColor="text1"/>
        </w:rPr>
        <w:t xml:space="preserve"> entregó respuesta el </w:t>
      </w:r>
      <w:r w:rsidR="00081C7B" w:rsidRPr="008314EA">
        <w:rPr>
          <w:rFonts w:ascii="Palatino Linotype" w:eastAsia="Palatino Linotype" w:hAnsi="Palatino Linotype" w:cs="Palatino Linotype"/>
          <w:b/>
          <w:color w:val="000000" w:themeColor="text1"/>
        </w:rPr>
        <w:t>dieciséis</w:t>
      </w:r>
      <w:r w:rsidRPr="008314EA">
        <w:rPr>
          <w:rFonts w:ascii="Palatino Linotype" w:eastAsia="Palatino Linotype" w:hAnsi="Palatino Linotype" w:cs="Palatino Linotype"/>
          <w:b/>
          <w:color w:val="000000" w:themeColor="text1"/>
        </w:rPr>
        <w:t xml:space="preserve"> de mayo dos mil veinticinco</w:t>
      </w:r>
      <w:r w:rsidRPr="008314EA">
        <w:rPr>
          <w:rFonts w:ascii="Palatino Linotype" w:eastAsia="Palatino Linotype" w:hAnsi="Palatino Linotype" w:cs="Palatino Linotype"/>
          <w:color w:val="000000" w:themeColor="text1"/>
        </w:rPr>
        <w:t xml:space="preserve">, de tal forma que el plazo para interponer el recurso transcurrió del </w:t>
      </w:r>
      <w:r w:rsidR="00081C7B" w:rsidRPr="008314EA">
        <w:rPr>
          <w:rFonts w:ascii="Palatino Linotype" w:eastAsia="Palatino Linotype" w:hAnsi="Palatino Linotype" w:cs="Palatino Linotype"/>
          <w:b/>
          <w:color w:val="000000" w:themeColor="text1"/>
        </w:rPr>
        <w:t>diecinueve de mayo al seis de junio</w:t>
      </w:r>
      <w:r w:rsidRPr="008314EA">
        <w:rPr>
          <w:rFonts w:ascii="Palatino Linotype" w:eastAsia="Palatino Linotype" w:hAnsi="Palatino Linotype" w:cs="Palatino Linotype"/>
          <w:b/>
          <w:color w:val="000000" w:themeColor="text1"/>
        </w:rPr>
        <w:t xml:space="preserve"> de dos mil veinticinco, </w:t>
      </w:r>
      <w:r w:rsidRPr="008314EA">
        <w:rPr>
          <w:rFonts w:ascii="Palatino Linotype" w:eastAsia="Palatino Linotype" w:hAnsi="Palatino Linotype" w:cs="Palatino Linotype"/>
          <w:color w:val="000000" w:themeColor="text1"/>
        </w:rPr>
        <w:t xml:space="preserve">en consecuencia, si el </w:t>
      </w:r>
      <w:r w:rsidRPr="008314EA">
        <w:rPr>
          <w:rFonts w:ascii="Palatino Linotype" w:eastAsia="Palatino Linotype" w:hAnsi="Palatino Linotype" w:cs="Palatino Linotype"/>
          <w:b/>
          <w:color w:val="000000" w:themeColor="text1"/>
        </w:rPr>
        <w:t>PARTICULAR</w:t>
      </w:r>
      <w:r w:rsidRPr="008314EA">
        <w:rPr>
          <w:rFonts w:ascii="Palatino Linotype" w:eastAsia="Palatino Linotype" w:hAnsi="Palatino Linotype" w:cs="Palatino Linotype"/>
          <w:color w:val="000000" w:themeColor="text1"/>
        </w:rPr>
        <w:t xml:space="preserve"> presentó su inconformidad el </w:t>
      </w:r>
      <w:r w:rsidR="00081C7B" w:rsidRPr="008314EA">
        <w:rPr>
          <w:rFonts w:ascii="Palatino Linotype" w:eastAsia="Palatino Linotype" w:hAnsi="Palatino Linotype" w:cs="Palatino Linotype"/>
          <w:b/>
          <w:color w:val="000000" w:themeColor="text1"/>
        </w:rPr>
        <w:t>veintiuno</w:t>
      </w:r>
      <w:r w:rsidRPr="008314EA">
        <w:rPr>
          <w:rFonts w:ascii="Palatino Linotype" w:eastAsia="Palatino Linotype" w:hAnsi="Palatino Linotype" w:cs="Palatino Linotype"/>
          <w:b/>
          <w:color w:val="000000" w:themeColor="text1"/>
        </w:rPr>
        <w:t xml:space="preserve"> de mayo de dos mil veinticinco</w:t>
      </w:r>
      <w:r w:rsidRPr="008314EA">
        <w:rPr>
          <w:rFonts w:ascii="Palatino Linotype" w:eastAsia="Palatino Linotype" w:hAnsi="Palatino Linotype" w:cs="Palatino Linotype"/>
          <w:color w:val="000000" w:themeColor="text1"/>
        </w:rPr>
        <w:t xml:space="preserve">, este  se encuentra dentro de los márgenes temporales previstos en el artículo 178 de la </w:t>
      </w:r>
      <w:r w:rsidRPr="008314E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314EA">
        <w:rPr>
          <w:rFonts w:ascii="Palatino Linotype" w:eastAsia="Palatino Linotype" w:hAnsi="Palatino Linotype" w:cs="Palatino Linotype"/>
          <w:color w:val="000000" w:themeColor="text1"/>
        </w:rPr>
        <w:t xml:space="preserve">vigente. </w:t>
      </w:r>
    </w:p>
    <w:p w:rsidR="0020369F" w:rsidRPr="008314EA" w:rsidRDefault="001E21FA" w:rsidP="008314EA">
      <w:pPr>
        <w:pStyle w:val="Ttulo2"/>
        <w:rPr>
          <w:rFonts w:ascii="Palatino Linotype" w:eastAsia="Palatino Linotype" w:hAnsi="Palatino Linotype" w:cs="Palatino Linotype"/>
          <w:b/>
          <w:i/>
          <w:color w:val="000000" w:themeColor="text1"/>
          <w:sz w:val="24"/>
          <w:szCs w:val="24"/>
        </w:rPr>
      </w:pPr>
      <w:bookmarkStart w:id="5" w:name="_heading=h.2et92p0" w:colFirst="0" w:colLast="0"/>
      <w:bookmarkEnd w:id="5"/>
      <w:r w:rsidRPr="008314EA">
        <w:rPr>
          <w:rFonts w:ascii="Palatino Linotype" w:eastAsia="Palatino Linotype" w:hAnsi="Palatino Linotype" w:cs="Palatino Linotype"/>
          <w:b/>
          <w:color w:val="000000" w:themeColor="text1"/>
          <w:sz w:val="24"/>
          <w:szCs w:val="24"/>
        </w:rPr>
        <w:lastRenderedPageBreak/>
        <w:t xml:space="preserve">TERCERO. Del planteamiento de la </w:t>
      </w:r>
      <w:r w:rsidRPr="008314EA">
        <w:rPr>
          <w:rFonts w:ascii="Palatino Linotype" w:eastAsia="Palatino Linotype" w:hAnsi="Palatino Linotype" w:cs="Palatino Linotype"/>
          <w:b/>
          <w:i/>
          <w:color w:val="000000" w:themeColor="text1"/>
          <w:sz w:val="24"/>
          <w:szCs w:val="24"/>
        </w:rPr>
        <w:t>Litis.</w:t>
      </w: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Se solicitó tener acceso, a la información que a continuación se simplifica:</w:t>
      </w:r>
    </w:p>
    <w:p w:rsidR="0020369F" w:rsidRPr="008314EA" w:rsidRDefault="001E21FA" w:rsidP="008314EA">
      <w:pPr>
        <w:numPr>
          <w:ilvl w:val="0"/>
          <w:numId w:val="6"/>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i/>
          <w:color w:val="000000" w:themeColor="text1"/>
        </w:rPr>
        <w:t xml:space="preserve"> </w:t>
      </w:r>
      <w:r w:rsidR="009F4535" w:rsidRPr="008314EA">
        <w:rPr>
          <w:rFonts w:ascii="Palatino Linotype" w:eastAsia="Palatino Linotype" w:hAnsi="Palatino Linotype" w:cs="Palatino Linotype"/>
          <w:i/>
          <w:color w:val="000000" w:themeColor="text1"/>
        </w:rPr>
        <w:t>Recibos de nómina del 01 de marzo al 15 de abril de 2025.</w:t>
      </w:r>
    </w:p>
    <w:p w:rsidR="009F4535" w:rsidRDefault="009F4535" w:rsidP="008314EA">
      <w:pPr>
        <w:pBdr>
          <w:top w:val="nil"/>
          <w:left w:val="nil"/>
          <w:bottom w:val="nil"/>
          <w:right w:val="nil"/>
          <w:between w:val="nil"/>
        </w:pBdr>
        <w:jc w:val="both"/>
        <w:rPr>
          <w:rFonts w:ascii="Palatino Linotype" w:eastAsia="Palatino Linotype" w:hAnsi="Palatino Linotype" w:cs="Palatino Linotype"/>
          <w:color w:val="000000" w:themeColor="text1"/>
        </w:rPr>
      </w:pPr>
    </w:p>
    <w:p w:rsidR="009E6824" w:rsidRPr="008314EA" w:rsidRDefault="009E6824" w:rsidP="008314EA">
      <w:pPr>
        <w:pBdr>
          <w:top w:val="nil"/>
          <w:left w:val="nil"/>
          <w:bottom w:val="nil"/>
          <w:right w:val="nil"/>
          <w:between w:val="nil"/>
        </w:pBdr>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En respuesta, el Sujeto Obligado</w:t>
      </w:r>
      <w:r w:rsidRPr="008314EA">
        <w:rPr>
          <w:rFonts w:ascii="Palatino Linotype" w:eastAsia="Palatino Linotype" w:hAnsi="Palatino Linotype" w:cs="Palatino Linotype"/>
          <w:b/>
          <w:color w:val="000000" w:themeColor="text1"/>
        </w:rPr>
        <w:t xml:space="preserve"> </w:t>
      </w:r>
      <w:r w:rsidRPr="008314EA">
        <w:rPr>
          <w:rFonts w:ascii="Palatino Linotype" w:eastAsia="Palatino Linotype" w:hAnsi="Palatino Linotype" w:cs="Palatino Linotype"/>
          <w:color w:val="000000" w:themeColor="text1"/>
        </w:rPr>
        <w:t>remitió el archivo ya d</w:t>
      </w:r>
      <w:r w:rsidR="00E96D2A" w:rsidRPr="008314EA">
        <w:rPr>
          <w:rFonts w:ascii="Palatino Linotype" w:eastAsia="Palatino Linotype" w:hAnsi="Palatino Linotype" w:cs="Palatino Linotype"/>
          <w:color w:val="000000" w:themeColor="text1"/>
        </w:rPr>
        <w:t>escrito en el anterior párrafo 2</w:t>
      </w:r>
      <w:r w:rsidRPr="008314EA">
        <w:rPr>
          <w:rFonts w:ascii="Palatino Linotype" w:eastAsia="Palatino Linotype" w:hAnsi="Palatino Linotype" w:cs="Palatino Linotype"/>
          <w:color w:val="000000" w:themeColor="text1"/>
        </w:rPr>
        <w:t xml:space="preserve">, inconforme con la respuesta, se interpuso recurso de revisión argumentando sustancialmente la </w:t>
      </w:r>
      <w:r w:rsidR="00532B16" w:rsidRPr="008314EA">
        <w:rPr>
          <w:rFonts w:ascii="Palatino Linotype" w:eastAsia="Palatino Linotype" w:hAnsi="Palatino Linotype" w:cs="Palatino Linotype"/>
          <w:color w:val="000000" w:themeColor="text1"/>
        </w:rPr>
        <w:t>información entregada no guarda relación con la solicitada</w:t>
      </w:r>
      <w:r w:rsidRPr="008314EA">
        <w:rPr>
          <w:rFonts w:ascii="Palatino Linotype" w:eastAsia="Palatino Linotype" w:hAnsi="Palatino Linotype" w:cs="Palatino Linotype"/>
          <w:color w:val="000000" w:themeColor="text1"/>
        </w:rPr>
        <w:t>.</w:t>
      </w:r>
    </w:p>
    <w:p w:rsidR="0020369F" w:rsidRPr="008314EA" w:rsidRDefault="0020369F" w:rsidP="008314EA">
      <w:pPr>
        <w:jc w:val="both"/>
        <w:rPr>
          <w:rFonts w:ascii="Palatino Linotype" w:eastAsia="Palatino Linotype" w:hAnsi="Palatino Linotype" w:cs="Palatino Linotype"/>
          <w:i/>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8314EA">
        <w:rPr>
          <w:rFonts w:ascii="Palatino Linotype" w:eastAsia="Palatino Linotype" w:hAnsi="Palatino Linotype" w:cs="Palatino Linotype"/>
          <w:b/>
          <w:color w:val="000000" w:themeColor="text1"/>
        </w:rPr>
        <w:t>179, fracción V</w:t>
      </w:r>
      <w:r w:rsidR="00532B16" w:rsidRPr="008314EA">
        <w:rPr>
          <w:rFonts w:ascii="Palatino Linotype" w:eastAsia="Palatino Linotype" w:hAnsi="Palatino Linotype" w:cs="Palatino Linotype"/>
          <w:b/>
          <w:color w:val="000000" w:themeColor="text1"/>
        </w:rPr>
        <w:t>I</w:t>
      </w:r>
      <w:r w:rsidRPr="008314EA">
        <w:rPr>
          <w:rFonts w:ascii="Palatino Linotype" w:eastAsia="Palatino Linotype" w:hAnsi="Palatino Linotype" w:cs="Palatino Linotype"/>
          <w:b/>
          <w:color w:val="000000" w:themeColor="text1"/>
        </w:rPr>
        <w:t>, de la Ley de Transparencia y Acceso a la Información Pública del Estado de México y Municipios</w:t>
      </w:r>
      <w:r w:rsidRPr="008314EA">
        <w:rPr>
          <w:rFonts w:ascii="Palatino Linotype" w:eastAsia="Palatino Linotype" w:hAnsi="Palatino Linotype" w:cs="Palatino Linotype"/>
          <w:color w:val="000000" w:themeColor="text1"/>
        </w:rPr>
        <w:t xml:space="preserve">; fracción que determina la hipótesis relativa a </w:t>
      </w:r>
      <w:r w:rsidR="00532B16" w:rsidRPr="008314EA">
        <w:rPr>
          <w:rFonts w:ascii="Palatino Linotype" w:eastAsia="Palatino Linotype" w:hAnsi="Palatino Linotype" w:cs="Palatino Linotype"/>
          <w:b/>
          <w:color w:val="000000" w:themeColor="text1"/>
        </w:rPr>
        <w:t>la entrega de información que no corresponda con lo solicitado</w:t>
      </w:r>
      <w:r w:rsidRPr="008314EA">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8314EA">
        <w:rPr>
          <w:rFonts w:ascii="Palatino Linotype" w:eastAsia="Palatino Linotype" w:hAnsi="Palatino Linotype" w:cs="Palatino Linotype"/>
          <w:b/>
          <w:color w:val="000000" w:themeColor="text1"/>
        </w:rPr>
        <w:t xml:space="preserve"> </w:t>
      </w:r>
      <w:r w:rsidRPr="008314EA">
        <w:rPr>
          <w:rFonts w:ascii="Palatino Linotype" w:eastAsia="Palatino Linotype" w:hAnsi="Palatino Linotype" w:cs="Palatino Linotype"/>
          <w:color w:val="000000" w:themeColor="text1"/>
        </w:rPr>
        <w:t>señalada.</w:t>
      </w:r>
    </w:p>
    <w:p w:rsidR="0020369F" w:rsidRPr="008314EA" w:rsidRDefault="0020369F" w:rsidP="008314EA">
      <w:pPr>
        <w:spacing w:line="360" w:lineRule="auto"/>
        <w:rPr>
          <w:rFonts w:ascii="Palatino Linotype" w:eastAsia="Palatino Linotype" w:hAnsi="Palatino Linotype" w:cs="Palatino Linotype"/>
          <w:color w:val="000000" w:themeColor="text1"/>
        </w:rPr>
      </w:pPr>
    </w:p>
    <w:p w:rsidR="0020369F" w:rsidRPr="008314EA" w:rsidRDefault="001E21FA" w:rsidP="008314EA">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8314EA">
        <w:rPr>
          <w:rFonts w:ascii="Palatino Linotype" w:eastAsia="Palatino Linotype" w:hAnsi="Palatino Linotype" w:cs="Palatino Linotype"/>
          <w:b/>
          <w:color w:val="000000" w:themeColor="text1"/>
          <w:sz w:val="24"/>
          <w:szCs w:val="24"/>
        </w:rPr>
        <w:t>CUARTO. Del estudio y resolución del asunto.</w:t>
      </w: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w:t>
      </w:r>
      <w:r w:rsidRPr="008314EA">
        <w:rPr>
          <w:rFonts w:ascii="Palatino Linotype" w:eastAsia="Palatino Linotype" w:hAnsi="Palatino Linotype" w:cs="Palatino Linotype"/>
          <w:color w:val="000000" w:themeColor="text1"/>
        </w:rPr>
        <w:lastRenderedPageBreak/>
        <w:t>funciones desde su origen la eventual publicidad y reutilización de la información que generen.</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0369F" w:rsidRPr="008314EA" w:rsidRDefault="0020369F" w:rsidP="008314EA">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2"/>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t>Del Sujeto Obligado.</w:t>
      </w:r>
    </w:p>
    <w:p w:rsidR="0020369F" w:rsidRPr="008314EA" w:rsidRDefault="00040696" w:rsidP="008314EA">
      <w:pPr>
        <w:numPr>
          <w:ilvl w:val="0"/>
          <w:numId w:val="3"/>
        </w:numPr>
        <w:spacing w:line="360" w:lineRule="auto"/>
        <w:ind w:left="0" w:firstLine="0"/>
        <w:jc w:val="both"/>
        <w:rPr>
          <w:rFonts w:ascii="Palatino Linotype" w:hAnsi="Palatino Linotype"/>
          <w:color w:val="000000" w:themeColor="text1"/>
        </w:rPr>
      </w:pPr>
      <w:r w:rsidRPr="008314EA">
        <w:rPr>
          <w:rFonts w:ascii="Palatino Linotype" w:eastAsia="Palatino Linotype" w:hAnsi="Palatino Linotype" w:cs="Palatino Linotype"/>
          <w:color w:val="000000" w:themeColor="text1"/>
        </w:rPr>
        <w:t xml:space="preserve">El Gobierno Municipal se integrará por Unidades Administrativas, quienes estarán subordinadas a la persona Titular de la Presidencia Municipal, por Organismos </w:t>
      </w:r>
      <w:r w:rsidRPr="008314EA">
        <w:rPr>
          <w:rFonts w:ascii="Palatino Linotype" w:eastAsia="Palatino Linotype" w:hAnsi="Palatino Linotype" w:cs="Palatino Linotype"/>
          <w:color w:val="000000" w:themeColor="text1"/>
        </w:rPr>
        <w:lastRenderedPageBreak/>
        <w:t>Desconcentrados, Descentralizados y Autónomos quienes funcionarán de conformidad a su normatividad aplicable</w:t>
      </w:r>
      <w:r w:rsidR="001E21FA" w:rsidRPr="008314EA">
        <w:rPr>
          <w:rFonts w:ascii="Palatino Linotype" w:eastAsia="Palatino Linotype" w:hAnsi="Palatino Linotype" w:cs="Palatino Linotype"/>
          <w:color w:val="000000" w:themeColor="text1"/>
        </w:rPr>
        <w:t xml:space="preserve">, de conformidad con </w:t>
      </w:r>
      <w:r w:rsidRPr="008314EA">
        <w:rPr>
          <w:rFonts w:ascii="Palatino Linotype" w:eastAsia="Palatino Linotype" w:hAnsi="Palatino Linotype" w:cs="Palatino Linotype"/>
          <w:color w:val="000000" w:themeColor="text1"/>
        </w:rPr>
        <w:t>los artículos</w:t>
      </w:r>
      <w:r w:rsidR="001E21FA" w:rsidRPr="008314EA">
        <w:rPr>
          <w:rFonts w:ascii="Palatino Linotype" w:eastAsia="Palatino Linotype" w:hAnsi="Palatino Linotype" w:cs="Palatino Linotype"/>
          <w:color w:val="000000" w:themeColor="text1"/>
        </w:rPr>
        <w:t xml:space="preserve"> </w:t>
      </w:r>
      <w:r w:rsidRPr="008314EA">
        <w:rPr>
          <w:rFonts w:ascii="Palatino Linotype" w:eastAsia="Palatino Linotype" w:hAnsi="Palatino Linotype" w:cs="Palatino Linotype"/>
          <w:color w:val="000000" w:themeColor="text1"/>
        </w:rPr>
        <w:t>17 y 19</w:t>
      </w:r>
      <w:r w:rsidR="001E21FA" w:rsidRPr="008314EA">
        <w:rPr>
          <w:rFonts w:ascii="Palatino Linotype" w:eastAsia="Palatino Linotype" w:hAnsi="Palatino Linotype" w:cs="Palatino Linotype"/>
          <w:color w:val="000000" w:themeColor="text1"/>
        </w:rPr>
        <w:t>, del Bando Municipal 2025:</w:t>
      </w:r>
    </w:p>
    <w:p w:rsidR="0020369F" w:rsidRPr="008314EA" w:rsidRDefault="001E21FA" w:rsidP="008314EA">
      <w:pPr>
        <w:jc w:val="center"/>
        <w:rPr>
          <w:rFonts w:ascii="Palatino Linotype" w:eastAsia="Palatino Linotype" w:hAnsi="Palatino Linotype" w:cs="Palatino Linotype"/>
          <w:b/>
          <w:i/>
          <w:color w:val="000000" w:themeColor="text1"/>
        </w:rPr>
      </w:pPr>
      <w:r w:rsidRPr="008314EA">
        <w:rPr>
          <w:rFonts w:ascii="Palatino Linotype" w:eastAsia="Palatino Linotype" w:hAnsi="Palatino Linotype" w:cs="Palatino Linotype"/>
          <w:b/>
          <w:i/>
          <w:color w:val="000000" w:themeColor="text1"/>
        </w:rPr>
        <w:t>Bando Municipal 2025</w:t>
      </w:r>
    </w:p>
    <w:p w:rsidR="0020369F" w:rsidRPr="008314EA" w:rsidRDefault="0020369F" w:rsidP="008314EA">
      <w:pPr>
        <w:jc w:val="center"/>
        <w:rPr>
          <w:rFonts w:ascii="Palatino Linotype" w:eastAsia="Palatino Linotype" w:hAnsi="Palatino Linotype" w:cs="Palatino Linotype"/>
          <w:b/>
          <w:i/>
          <w:color w:val="000000" w:themeColor="text1"/>
        </w:rPr>
      </w:pPr>
    </w:p>
    <w:p w:rsidR="0020369F" w:rsidRPr="008314EA" w:rsidRDefault="00040696"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t xml:space="preserve">Artículo 17. </w:t>
      </w:r>
      <w:r w:rsidRPr="008314EA">
        <w:rPr>
          <w:rFonts w:ascii="Palatino Linotype" w:eastAsia="Palatino Linotype" w:hAnsi="Palatino Linotype" w:cs="Palatino Linotype"/>
          <w:i/>
          <w:color w:val="000000" w:themeColor="text1"/>
        </w:rPr>
        <w:t>El Gobierno Municipal se integrará por Unidades Administrativas, quienes estarán subordinadas a la persona Titular de la Presidencia Municipal, por Organismos Desconcentrados, Descentralizados y Autónomos quienes funcionarán de conformidad a su normatividad aplicable.</w:t>
      </w:r>
    </w:p>
    <w:p w:rsidR="00A01B98" w:rsidRPr="008314EA" w:rsidRDefault="00A01B98" w:rsidP="008314EA">
      <w:pPr>
        <w:jc w:val="both"/>
        <w:rPr>
          <w:rFonts w:ascii="Palatino Linotype" w:eastAsia="Palatino Linotype" w:hAnsi="Palatino Linotype" w:cs="Palatino Linotype"/>
          <w:i/>
          <w:color w:val="000000" w:themeColor="text1"/>
        </w:rPr>
      </w:pPr>
    </w:p>
    <w:p w:rsidR="00A01B98" w:rsidRPr="008314EA" w:rsidRDefault="00A01B98" w:rsidP="008314EA">
      <w:pPr>
        <w:jc w:val="both"/>
        <w:rPr>
          <w:rFonts w:ascii="Palatino Linotype" w:eastAsia="Palatino Linotype" w:hAnsi="Palatino Linotype" w:cs="Palatino Linotype"/>
          <w:b/>
          <w:i/>
          <w:color w:val="000000" w:themeColor="text1"/>
        </w:rPr>
      </w:pPr>
      <w:r w:rsidRPr="008314EA">
        <w:rPr>
          <w:rFonts w:ascii="Palatino Linotype" w:eastAsia="Palatino Linotype" w:hAnsi="Palatino Linotype" w:cs="Palatino Linotype"/>
          <w:b/>
          <w:i/>
          <w:color w:val="000000" w:themeColor="text1"/>
        </w:rPr>
        <w:t xml:space="preserve">Artículo 19. </w:t>
      </w:r>
      <w:r w:rsidRPr="008314EA">
        <w:rPr>
          <w:rFonts w:ascii="Palatino Linotype" w:eastAsia="Palatino Linotype" w:hAnsi="Palatino Linotype" w:cs="Palatino Linotype"/>
          <w:i/>
          <w:color w:val="000000" w:themeColor="text1"/>
        </w:rPr>
        <w:t xml:space="preserve">Son </w:t>
      </w:r>
      <w:r w:rsidRPr="008314EA">
        <w:rPr>
          <w:rFonts w:ascii="Palatino Linotype" w:eastAsia="Palatino Linotype" w:hAnsi="Palatino Linotype" w:cs="Palatino Linotype"/>
          <w:b/>
          <w:i/>
          <w:color w:val="000000" w:themeColor="text1"/>
        </w:rPr>
        <w:t>Organismos Descentralizados</w:t>
      </w:r>
      <w:r w:rsidRPr="008314EA">
        <w:rPr>
          <w:rFonts w:ascii="Palatino Linotype" w:eastAsia="Palatino Linotype" w:hAnsi="Palatino Linotype" w:cs="Palatino Linotype"/>
          <w:i/>
          <w:color w:val="000000" w:themeColor="text1"/>
        </w:rPr>
        <w:t xml:space="preserve"> del Gobierno Municipal:</w:t>
      </w:r>
      <w:r w:rsidRPr="008314EA">
        <w:rPr>
          <w:rFonts w:ascii="Palatino Linotype" w:eastAsia="Palatino Linotype" w:hAnsi="Palatino Linotype" w:cs="Palatino Linotype"/>
          <w:b/>
          <w:i/>
          <w:color w:val="000000" w:themeColor="text1"/>
        </w:rPr>
        <w:t xml:space="preserve"> </w:t>
      </w:r>
    </w:p>
    <w:p w:rsidR="00A01B98" w:rsidRPr="008314EA" w:rsidRDefault="00A01B98" w:rsidP="008314EA">
      <w:pPr>
        <w:jc w:val="both"/>
        <w:rPr>
          <w:rFonts w:ascii="Palatino Linotype" w:eastAsia="Palatino Linotype" w:hAnsi="Palatino Linotype" w:cs="Palatino Linotype"/>
          <w:b/>
          <w:i/>
          <w:color w:val="000000" w:themeColor="text1"/>
        </w:rPr>
      </w:pPr>
    </w:p>
    <w:p w:rsidR="00A01B98" w:rsidRPr="008314EA" w:rsidRDefault="00A01B98" w:rsidP="008314EA">
      <w:pPr>
        <w:jc w:val="both"/>
        <w:rPr>
          <w:rFonts w:ascii="Palatino Linotype" w:eastAsia="Palatino Linotype" w:hAnsi="Palatino Linotype" w:cs="Palatino Linotype"/>
          <w:b/>
          <w:i/>
          <w:color w:val="000000" w:themeColor="text1"/>
        </w:rPr>
      </w:pPr>
      <w:r w:rsidRPr="008314EA">
        <w:rPr>
          <w:rFonts w:ascii="Palatino Linotype" w:eastAsia="Palatino Linotype" w:hAnsi="Palatino Linotype" w:cs="Palatino Linotype"/>
          <w:b/>
          <w:i/>
          <w:color w:val="000000" w:themeColor="text1"/>
        </w:rPr>
        <w:t>I. El Sistema Municipal para el Desarrollo Integral de la Familia de Coyotepec, Estado de México</w:t>
      </w:r>
    </w:p>
    <w:p w:rsidR="0020369F" w:rsidRPr="008314EA" w:rsidRDefault="0020369F" w:rsidP="008314EA">
      <w:pPr>
        <w:spacing w:line="360" w:lineRule="auto"/>
        <w:jc w:val="both"/>
        <w:rPr>
          <w:rFonts w:ascii="Palatino Linotype" w:hAnsi="Palatino Linotype"/>
          <w:color w:val="000000" w:themeColor="text1"/>
        </w:rPr>
      </w:pPr>
    </w:p>
    <w:p w:rsidR="003502FB" w:rsidRPr="008314EA" w:rsidRDefault="007749AF"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Los Organismos Públicos Descentralizados de Asistencia Social, de carácter municipal, denominados "Sistemas Municipales para el Desarrollo Integral de la Familia</w:t>
      </w:r>
      <w:r w:rsidR="003502FB" w:rsidRPr="008314EA">
        <w:rPr>
          <w:rFonts w:ascii="Palatino Linotype" w:eastAsia="Palatino Linotype" w:hAnsi="Palatino Linotype" w:cs="Palatino Linotype"/>
          <w:color w:val="000000" w:themeColor="text1"/>
        </w:rPr>
        <w:t>”, se organizan a través de distintos órganos y figuras, entre ellas un Tesorero, tal como lo refiere la Ley en la materia:</w:t>
      </w:r>
    </w:p>
    <w:p w:rsidR="003502FB" w:rsidRPr="008314EA" w:rsidRDefault="003502FB" w:rsidP="008314EA">
      <w:pPr>
        <w:spacing w:line="360" w:lineRule="auto"/>
        <w:jc w:val="both"/>
        <w:rPr>
          <w:rFonts w:ascii="Palatino Linotype" w:eastAsia="Palatino Linotype" w:hAnsi="Palatino Linotype" w:cs="Palatino Linotype"/>
          <w:color w:val="000000" w:themeColor="text1"/>
        </w:rPr>
      </w:pPr>
    </w:p>
    <w:p w:rsidR="0020369F" w:rsidRPr="008314EA" w:rsidRDefault="003502FB" w:rsidP="008314EA">
      <w:pPr>
        <w:jc w:val="center"/>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b/>
          <w:i/>
          <w:color w:val="000000" w:themeColor="text1"/>
        </w:rPr>
        <w:t>LEY QUE CREA LOS ORGANISMOS PUBLICOS DESCENTRALIZADOS DE ASISTENCIA SOCIAL, DE CARACTER MUNICIPAL, DENOMINADOS "SISTEMAS MUNICIPALES PARA EL DESARROLLO INTEGRAL DE LA FAMILIA</w:t>
      </w:r>
      <w:r w:rsidRPr="008314EA">
        <w:rPr>
          <w:rFonts w:ascii="Palatino Linotype" w:eastAsia="Palatino Linotype" w:hAnsi="Palatino Linotype" w:cs="Palatino Linotype"/>
          <w:color w:val="000000" w:themeColor="text1"/>
        </w:rPr>
        <w:t>"</w:t>
      </w:r>
    </w:p>
    <w:p w:rsidR="003502FB" w:rsidRPr="008314EA" w:rsidRDefault="003502FB" w:rsidP="008314EA">
      <w:pPr>
        <w:jc w:val="center"/>
        <w:rPr>
          <w:rFonts w:ascii="Palatino Linotype" w:eastAsia="Palatino Linotype" w:hAnsi="Palatino Linotype" w:cs="Palatino Linotype"/>
          <w:color w:val="000000" w:themeColor="text1"/>
        </w:rPr>
      </w:pPr>
    </w:p>
    <w:p w:rsidR="003502FB" w:rsidRPr="008314EA" w:rsidRDefault="003502FB" w:rsidP="008314EA">
      <w:pPr>
        <w:jc w:val="center"/>
        <w:rPr>
          <w:rFonts w:ascii="Palatino Linotype" w:eastAsia="Palatino Linotype" w:hAnsi="Palatino Linotype" w:cs="Palatino Linotype"/>
          <w:b/>
          <w:i/>
          <w:color w:val="000000" w:themeColor="text1"/>
        </w:rPr>
      </w:pPr>
      <w:r w:rsidRPr="008314EA">
        <w:rPr>
          <w:rFonts w:ascii="Palatino Linotype" w:eastAsia="Palatino Linotype" w:hAnsi="Palatino Linotype" w:cs="Palatino Linotype"/>
          <w:b/>
          <w:i/>
          <w:color w:val="000000" w:themeColor="text1"/>
        </w:rPr>
        <w:t>CAPITULO TERCERO</w:t>
      </w:r>
    </w:p>
    <w:p w:rsidR="003502FB" w:rsidRPr="008314EA" w:rsidRDefault="003502FB" w:rsidP="008314EA">
      <w:pPr>
        <w:jc w:val="center"/>
        <w:rPr>
          <w:rFonts w:ascii="Palatino Linotype" w:eastAsia="Palatino Linotype" w:hAnsi="Palatino Linotype" w:cs="Palatino Linotype"/>
          <w:b/>
          <w:i/>
          <w:color w:val="000000" w:themeColor="text1"/>
        </w:rPr>
      </w:pPr>
      <w:r w:rsidRPr="008314EA">
        <w:rPr>
          <w:rFonts w:ascii="Palatino Linotype" w:eastAsia="Palatino Linotype" w:hAnsi="Palatino Linotype" w:cs="Palatino Linotype"/>
          <w:b/>
          <w:i/>
          <w:color w:val="000000" w:themeColor="text1"/>
        </w:rPr>
        <w:t>Organización</w:t>
      </w:r>
    </w:p>
    <w:p w:rsidR="003502FB" w:rsidRPr="008314EA" w:rsidRDefault="003502FB" w:rsidP="008314EA">
      <w:pPr>
        <w:jc w:val="both"/>
        <w:rPr>
          <w:rFonts w:ascii="Palatino Linotype" w:eastAsia="Palatino Linotype" w:hAnsi="Palatino Linotype" w:cs="Palatino Linotype"/>
          <w:i/>
          <w:color w:val="000000" w:themeColor="text1"/>
        </w:rPr>
      </w:pPr>
    </w:p>
    <w:p w:rsidR="003502FB" w:rsidRPr="008314EA" w:rsidRDefault="003502FB"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t>Artículo 11.-</w:t>
      </w:r>
      <w:r w:rsidRPr="008314EA">
        <w:rPr>
          <w:rFonts w:ascii="Palatino Linotype" w:eastAsia="Palatino Linotype" w:hAnsi="Palatino Linotype" w:cs="Palatino Linotype"/>
          <w:i/>
          <w:color w:val="000000" w:themeColor="text1"/>
        </w:rPr>
        <w:t xml:space="preserve"> Serán Órganos Superiores de los Organismos: </w:t>
      </w:r>
    </w:p>
    <w:p w:rsidR="003502FB" w:rsidRPr="008314EA" w:rsidRDefault="003502FB"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 xml:space="preserve">I. La Junta de Gobierno; </w:t>
      </w:r>
    </w:p>
    <w:p w:rsidR="003502FB" w:rsidRPr="008314EA" w:rsidRDefault="003502FB"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 xml:space="preserve">II. La Presidencia; y </w:t>
      </w:r>
    </w:p>
    <w:p w:rsidR="003502FB" w:rsidRPr="008314EA" w:rsidRDefault="003502FB"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 xml:space="preserve">III. La Dirección. </w:t>
      </w:r>
    </w:p>
    <w:p w:rsidR="003502FB" w:rsidRPr="008314EA" w:rsidRDefault="003502FB" w:rsidP="008314EA">
      <w:pPr>
        <w:jc w:val="both"/>
        <w:rPr>
          <w:rFonts w:ascii="Palatino Linotype" w:eastAsia="Palatino Linotype" w:hAnsi="Palatino Linotype" w:cs="Palatino Linotype"/>
          <w:i/>
          <w:color w:val="000000" w:themeColor="text1"/>
        </w:rPr>
      </w:pPr>
    </w:p>
    <w:p w:rsidR="003502FB" w:rsidRPr="008314EA" w:rsidRDefault="003502FB"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t>Artículo 12</w:t>
      </w:r>
      <w:r w:rsidRPr="008314EA">
        <w:rPr>
          <w:rFonts w:ascii="Palatino Linotype" w:eastAsia="Palatino Linotype" w:hAnsi="Palatino Linotype" w:cs="Palatino Linotype"/>
          <w:i/>
          <w:color w:val="000000" w:themeColor="text1"/>
        </w:rPr>
        <w:t xml:space="preserve">.- El Órgano Superior de los Organismos será la Junta de Gobierno, la cual se integrará con un Presidente, un Secretario, un Tesorero y dos Vocales. Recayendo la Presidencia en la persona </w:t>
      </w:r>
      <w:r w:rsidRPr="008314EA">
        <w:rPr>
          <w:rFonts w:ascii="Palatino Linotype" w:eastAsia="Palatino Linotype" w:hAnsi="Palatino Linotype" w:cs="Palatino Linotype"/>
          <w:i/>
          <w:color w:val="000000" w:themeColor="text1"/>
        </w:rPr>
        <w:lastRenderedPageBreak/>
        <w:t>que al efecto nombre el C. Presidente Municipal, lo mismo el Secretario, que en todo caso será el Director, el Tesorero será la persona que designe el Presidente de la Junta de Gobierno y los Vocales serán dos funcionarios Municipales, cuya actividad se encuentre más relacionada con los objetivos de los Organismos.</w:t>
      </w:r>
    </w:p>
    <w:p w:rsidR="003502FB" w:rsidRPr="008314EA" w:rsidRDefault="003502FB" w:rsidP="008314EA">
      <w:pPr>
        <w:jc w:val="both"/>
        <w:rPr>
          <w:rFonts w:ascii="Palatino Linotype" w:eastAsia="Palatino Linotype" w:hAnsi="Palatino Linotype" w:cs="Palatino Linotype"/>
          <w:i/>
          <w:color w:val="000000" w:themeColor="text1"/>
        </w:rPr>
      </w:pPr>
    </w:p>
    <w:p w:rsidR="003502FB" w:rsidRPr="008314EA" w:rsidRDefault="003502FB"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t>Artículo 14.-</w:t>
      </w:r>
      <w:r w:rsidRPr="008314EA">
        <w:rPr>
          <w:rFonts w:ascii="Palatino Linotype" w:eastAsia="Palatino Linotype" w:hAnsi="Palatino Linotype" w:cs="Palatino Linotype"/>
          <w:i/>
          <w:color w:val="000000" w:themeColor="text1"/>
        </w:rPr>
        <w:t xml:space="preserve"> La Dirección tendrá las atribuciones y obligaciones siguientes:</w:t>
      </w:r>
    </w:p>
    <w:p w:rsidR="003502FB" w:rsidRPr="008314EA" w:rsidRDefault="003502FB"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p>
    <w:p w:rsidR="003502FB" w:rsidRPr="008314EA" w:rsidRDefault="003502FB"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IV. En coordinación con el Tesorero ejecutar y controlar el presupuesto del Sistema Municipal, en los términos aprobados; y</w:t>
      </w:r>
    </w:p>
    <w:p w:rsidR="003502FB" w:rsidRPr="008314EA" w:rsidRDefault="003502FB"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p>
    <w:p w:rsidR="00E96D2A" w:rsidRPr="008314EA" w:rsidRDefault="00E96D2A" w:rsidP="008314EA">
      <w:pPr>
        <w:spacing w:line="360" w:lineRule="auto"/>
        <w:jc w:val="both"/>
        <w:rPr>
          <w:rFonts w:ascii="Palatino Linotype" w:eastAsia="Palatino Linotype" w:hAnsi="Palatino Linotype" w:cs="Palatino Linotype"/>
          <w:color w:val="000000" w:themeColor="text1"/>
        </w:rPr>
      </w:pPr>
    </w:p>
    <w:p w:rsidR="0020369F" w:rsidRPr="008314EA" w:rsidRDefault="003502FB"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El </w:t>
      </w:r>
      <w:r w:rsidRPr="008314EA">
        <w:rPr>
          <w:rFonts w:ascii="Palatino Linotype" w:eastAsia="Palatino Linotype" w:hAnsi="Palatino Linotype" w:cs="Palatino Linotype"/>
          <w:b/>
          <w:color w:val="000000" w:themeColor="text1"/>
        </w:rPr>
        <w:t>Tesorero</w:t>
      </w:r>
      <w:r w:rsidRPr="008314EA">
        <w:rPr>
          <w:rFonts w:ascii="Palatino Linotype" w:eastAsia="Palatino Linotype" w:hAnsi="Palatino Linotype" w:cs="Palatino Linotype"/>
          <w:color w:val="000000" w:themeColor="text1"/>
        </w:rPr>
        <w:t xml:space="preserve">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atribuciones referidas en el artículo 15 de la citada Ley:</w:t>
      </w:r>
    </w:p>
    <w:p w:rsidR="003502FB" w:rsidRPr="008314EA" w:rsidRDefault="003502FB"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 xml:space="preserve">I. </w:t>
      </w:r>
      <w:r w:rsidRPr="008314EA">
        <w:rPr>
          <w:rFonts w:ascii="Palatino Linotype" w:eastAsia="Palatino Linotype" w:hAnsi="Palatino Linotype" w:cs="Palatino Linotype"/>
          <w:b/>
          <w:i/>
          <w:color w:val="000000" w:themeColor="text1"/>
        </w:rPr>
        <w:t>Administrar los recursos que conforman el patrimonio del organismo</w:t>
      </w:r>
      <w:r w:rsidRPr="008314EA">
        <w:rPr>
          <w:rFonts w:ascii="Palatino Linotype" w:eastAsia="Palatino Linotype" w:hAnsi="Palatino Linotype" w:cs="Palatino Linotype"/>
          <w:i/>
          <w:color w:val="000000" w:themeColor="text1"/>
        </w:rPr>
        <w:t xml:space="preserve"> de conformidad con lo establecido en las disposiciones legales aplicables; </w:t>
      </w:r>
    </w:p>
    <w:p w:rsidR="003502FB" w:rsidRPr="008314EA" w:rsidRDefault="003502FB" w:rsidP="008314EA">
      <w:pPr>
        <w:jc w:val="both"/>
        <w:rPr>
          <w:rFonts w:ascii="Palatino Linotype" w:eastAsia="Palatino Linotype" w:hAnsi="Palatino Linotype" w:cs="Palatino Linotype"/>
          <w:b/>
          <w:i/>
          <w:color w:val="000000" w:themeColor="text1"/>
        </w:rPr>
      </w:pPr>
      <w:r w:rsidRPr="008314EA">
        <w:rPr>
          <w:rFonts w:ascii="Palatino Linotype" w:eastAsia="Palatino Linotype" w:hAnsi="Palatino Linotype" w:cs="Palatino Linotype"/>
          <w:b/>
          <w:i/>
          <w:color w:val="000000" w:themeColor="text1"/>
        </w:rPr>
        <w:t>II. Llevar los libros y registros contables, financieros y administrativos de los ingresos, egresos e inventarios;</w:t>
      </w:r>
    </w:p>
    <w:p w:rsidR="003502FB" w:rsidRPr="008314EA" w:rsidRDefault="003502FB"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 xml:space="preserve">III. Proporcionar oportunamente a la Junta de Gobierno todos los datos e informes que sean necesarios para la formulación del Presupuesto de Egresos del organismo, vigilando que se ajuste a las disposiciones legales aplicables; </w:t>
      </w:r>
    </w:p>
    <w:p w:rsidR="003502FB" w:rsidRPr="008314EA" w:rsidRDefault="003502FB"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 xml:space="preserve">IV. Presentar anualmente a la Junta de Gobierno un informe de la situación contable financiera de la Tesorería del Organismo; </w:t>
      </w:r>
    </w:p>
    <w:p w:rsidR="003502FB" w:rsidRPr="008314EA" w:rsidRDefault="003502FB"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 xml:space="preserve">V. Contestar oportunamente los pliegos de observaciones y responsabilidades que haga el Órgano Superior de Fiscalización del Estado de México, así como atender en tiempo y forma las solicitudes de información que éste requiera, informando al Consejo Directivo. </w:t>
      </w:r>
    </w:p>
    <w:p w:rsidR="003502FB" w:rsidRPr="008314EA" w:rsidRDefault="003502FB"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 xml:space="preserve">VI. Certificar los documentos a su cuidado, por acuerdo expreso de la Junta de Gobierno y cuando se trate de documentación presentada ante el Órgano Superior de Fiscalización del Estado de México; </w:t>
      </w:r>
    </w:p>
    <w:p w:rsidR="003502FB" w:rsidRPr="008314EA" w:rsidRDefault="003502FB"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 xml:space="preserve">VII. Integrar y autorizar con su firma, la documentación que deba presentarse al Órgano Superior de Fiscalización del Estado de México; y </w:t>
      </w:r>
    </w:p>
    <w:p w:rsidR="003502FB" w:rsidRPr="008314EA" w:rsidRDefault="003502FB"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VIII. Las demás que le confieran los ordenamientos legales y la Junta de Gobierno</w:t>
      </w:r>
    </w:p>
    <w:p w:rsidR="0020369F" w:rsidRPr="008314EA" w:rsidRDefault="001E21FA" w:rsidP="008314EA">
      <w:pPr>
        <w:numPr>
          <w:ilvl w:val="0"/>
          <w:numId w:val="3"/>
        </w:numPr>
        <w:spacing w:line="360" w:lineRule="auto"/>
        <w:ind w:left="0" w:firstLine="0"/>
        <w:jc w:val="both"/>
        <w:rPr>
          <w:rFonts w:ascii="Palatino Linotype" w:hAnsi="Palatino Linotype"/>
          <w:color w:val="000000" w:themeColor="text1"/>
        </w:rPr>
      </w:pPr>
      <w:r w:rsidRPr="008314EA">
        <w:rPr>
          <w:rFonts w:ascii="Palatino Linotype" w:eastAsia="Palatino Linotype" w:hAnsi="Palatino Linotype" w:cs="Palatino Linotype"/>
          <w:color w:val="000000" w:themeColor="text1"/>
        </w:rPr>
        <w:lastRenderedPageBreak/>
        <w:t xml:space="preserve">De lo expuesto es de precisar que la respuesta fue </w:t>
      </w:r>
      <w:r w:rsidR="0072564E" w:rsidRPr="008314EA">
        <w:rPr>
          <w:rFonts w:ascii="Palatino Linotype" w:eastAsia="Palatino Linotype" w:hAnsi="Palatino Linotype" w:cs="Palatino Linotype"/>
          <w:color w:val="000000" w:themeColor="text1"/>
        </w:rPr>
        <w:t>emitida por la</w:t>
      </w:r>
      <w:r w:rsidRPr="008314EA">
        <w:rPr>
          <w:rFonts w:ascii="Palatino Linotype" w:eastAsia="Palatino Linotype" w:hAnsi="Palatino Linotype" w:cs="Palatino Linotype"/>
          <w:color w:val="000000" w:themeColor="text1"/>
        </w:rPr>
        <w:t xml:space="preserve"> </w:t>
      </w:r>
      <w:r w:rsidR="0072564E" w:rsidRPr="008314EA">
        <w:rPr>
          <w:rFonts w:ascii="Palatino Linotype" w:eastAsia="Palatino Linotype" w:hAnsi="Palatino Linotype" w:cs="Palatino Linotype"/>
          <w:b/>
          <w:color w:val="000000" w:themeColor="text1"/>
        </w:rPr>
        <w:t>Tesorería</w:t>
      </w:r>
      <w:r w:rsidRPr="008314EA">
        <w:rPr>
          <w:rFonts w:ascii="Palatino Linotype" w:eastAsia="Palatino Linotype" w:hAnsi="Palatino Linotype" w:cs="Palatino Linotype"/>
          <w:color w:val="000000" w:themeColor="text1"/>
        </w:rPr>
        <w:t xml:space="preserve">, por lo que podemos advertir que </w:t>
      </w:r>
      <w:r w:rsidRPr="008314EA">
        <w:rPr>
          <w:rFonts w:ascii="Palatino Linotype" w:eastAsia="Palatino Linotype" w:hAnsi="Palatino Linotype" w:cs="Palatino Linotype"/>
          <w:b/>
          <w:color w:val="000000" w:themeColor="text1"/>
        </w:rPr>
        <w:t xml:space="preserve">EL SUJETO OBLIGADO </w:t>
      </w:r>
      <w:r w:rsidRPr="008314EA">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t>XXXIX.</w:t>
      </w:r>
      <w:r w:rsidRPr="008314EA">
        <w:rPr>
          <w:rFonts w:ascii="Palatino Linotype" w:eastAsia="Palatino Linotype" w:hAnsi="Palatino Linotype" w:cs="Palatino Linotype"/>
          <w:i/>
          <w:color w:val="000000" w:themeColor="text1"/>
        </w:rPr>
        <w:t xml:space="preserve"> </w:t>
      </w:r>
      <w:r w:rsidRPr="008314EA">
        <w:rPr>
          <w:rFonts w:ascii="Palatino Linotype" w:eastAsia="Palatino Linotype" w:hAnsi="Palatino Linotype" w:cs="Palatino Linotype"/>
          <w:b/>
          <w:i/>
          <w:color w:val="000000" w:themeColor="text1"/>
        </w:rPr>
        <w:t>Servidor público habilitado</w:t>
      </w:r>
      <w:r w:rsidRPr="008314EA">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hAnsi="Palatino Linotype"/>
          <w:color w:val="000000" w:themeColor="text1"/>
        </w:rPr>
      </w:pPr>
      <w:r w:rsidRPr="008314EA">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r w:rsidRPr="008314EA">
        <w:rPr>
          <w:rFonts w:ascii="Palatino Linotype" w:eastAsia="Palatino Linotype" w:hAnsi="Palatino Linotype" w:cs="Palatino Linotype"/>
          <w:b/>
          <w:i/>
          <w:color w:val="000000" w:themeColor="text1"/>
        </w:rPr>
        <w:t>Artículo 162.</w:t>
      </w:r>
      <w:r w:rsidRPr="008314EA">
        <w:rPr>
          <w:rFonts w:ascii="Palatino Linotype" w:eastAsia="Palatino Linotype" w:hAnsi="Palatino Linotype" w:cs="Palatino Linotype"/>
          <w:i/>
          <w:color w:val="000000" w:themeColor="text1"/>
        </w:rPr>
        <w:t xml:space="preserve"> Las unidades de transparencia deberán garantizar que las solicitudes se turnen a </w:t>
      </w:r>
      <w:r w:rsidRPr="008314EA">
        <w:rPr>
          <w:rFonts w:ascii="Palatino Linotype" w:eastAsia="Palatino Linotype" w:hAnsi="Palatino Linotype" w:cs="Palatino Linotype"/>
          <w:b/>
          <w:i/>
          <w:color w:val="000000" w:themeColor="text1"/>
        </w:rPr>
        <w:t>todas las Áreas competentes</w:t>
      </w:r>
      <w:r w:rsidRPr="008314EA">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hAnsi="Palatino Linotype"/>
          <w:color w:val="000000" w:themeColor="text1"/>
        </w:rPr>
      </w:pPr>
      <w:r w:rsidRPr="008314EA">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w:t>
      </w:r>
      <w:r w:rsidRPr="008314EA">
        <w:rPr>
          <w:rFonts w:ascii="Palatino Linotype" w:eastAsia="Palatino Linotype" w:hAnsi="Palatino Linotype" w:cs="Palatino Linotype"/>
          <w:color w:val="000000" w:themeColor="text1"/>
        </w:rPr>
        <w:lastRenderedPageBreak/>
        <w:t xml:space="preserve">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r w:rsidRPr="008314EA">
        <w:rPr>
          <w:rFonts w:ascii="Palatino Linotype" w:eastAsia="Palatino Linotype" w:hAnsi="Palatino Linotype" w:cs="Palatino Linotype"/>
          <w:b/>
          <w:i/>
          <w:color w:val="000000" w:themeColor="text1"/>
        </w:rPr>
        <w:t xml:space="preserve">Artículo 3. </w:t>
      </w:r>
      <w:r w:rsidRPr="008314EA">
        <w:rPr>
          <w:rFonts w:ascii="Palatino Linotype" w:eastAsia="Palatino Linotype" w:hAnsi="Palatino Linotype" w:cs="Palatino Linotype"/>
          <w:i/>
          <w:color w:val="000000" w:themeColor="text1"/>
        </w:rPr>
        <w:t>Para los efectos de la presente Ley se entenderá por:</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t>XI. Documento:</w:t>
      </w:r>
      <w:r w:rsidRPr="008314EA">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0369F" w:rsidRPr="008314EA" w:rsidRDefault="001E21FA" w:rsidP="008314EA">
      <w:pPr>
        <w:spacing w:line="360" w:lineRule="auto"/>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p>
    <w:p w:rsidR="0020369F" w:rsidRPr="008314EA" w:rsidRDefault="0020369F" w:rsidP="008314EA">
      <w:pPr>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hAnsi="Palatino Linotype"/>
          <w:color w:val="000000" w:themeColor="text1"/>
        </w:rPr>
      </w:pPr>
      <w:r w:rsidRPr="008314EA">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20369F" w:rsidRPr="008314EA" w:rsidRDefault="001E21FA" w:rsidP="008314EA">
      <w:pPr>
        <w:jc w:val="both"/>
        <w:rPr>
          <w:rFonts w:ascii="Palatino Linotype" w:eastAsia="Palatino Linotype" w:hAnsi="Palatino Linotype" w:cs="Palatino Linotype"/>
          <w:b/>
          <w:i/>
          <w:color w:val="000000" w:themeColor="text1"/>
        </w:rPr>
      </w:pPr>
      <w:r w:rsidRPr="008314EA">
        <w:rPr>
          <w:rFonts w:ascii="Palatino Linotype" w:eastAsia="Palatino Linotype" w:hAnsi="Palatino Linotype" w:cs="Palatino Linotype"/>
          <w:b/>
          <w:color w:val="000000" w:themeColor="text1"/>
        </w:rPr>
        <w:t>“</w:t>
      </w:r>
      <w:r w:rsidRPr="008314EA">
        <w:rPr>
          <w:rFonts w:ascii="Palatino Linotype" w:eastAsia="Palatino Linotype" w:hAnsi="Palatino Linotype" w:cs="Palatino Linotype"/>
          <w:b/>
          <w:i/>
          <w:color w:val="000000" w:themeColor="text1"/>
        </w:rPr>
        <w:t>CRITERIO 0002-11</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8314EA">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20369F" w:rsidRPr="008314EA" w:rsidRDefault="001E21FA" w:rsidP="008314EA">
      <w:pPr>
        <w:jc w:val="both"/>
        <w:rPr>
          <w:rFonts w:ascii="Palatino Linotype" w:eastAsia="Palatino Linotype" w:hAnsi="Palatino Linotype" w:cs="Palatino Linotype"/>
          <w:b/>
          <w:i/>
          <w:color w:val="000000" w:themeColor="text1"/>
        </w:rPr>
      </w:pPr>
      <w:r w:rsidRPr="008314EA">
        <w:rPr>
          <w:rFonts w:ascii="Palatino Linotype" w:eastAsia="Palatino Linotype" w:hAnsi="Palatino Linotype" w:cs="Palatino Linotype"/>
          <w:b/>
          <w:i/>
          <w:color w:val="000000" w:themeColor="text1"/>
        </w:rPr>
        <w:t xml:space="preserve">1) </w:t>
      </w:r>
      <w:r w:rsidRPr="008314EA">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lastRenderedPageBreak/>
        <w:t>3) Que se trate de información registrada en cualquier soporte documental, que en ejercicio de las atribuciones conferidas, se encuentre en posesión de los Sujetos Obligados.”</w:t>
      </w:r>
    </w:p>
    <w:p w:rsidR="0020369F" w:rsidRPr="008314EA" w:rsidRDefault="001E21FA" w:rsidP="008314EA">
      <w:pPr>
        <w:tabs>
          <w:tab w:val="left" w:pos="851"/>
        </w:tabs>
        <w:spacing w:line="360" w:lineRule="auto"/>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(Énfasis Añadido)</w:t>
      </w:r>
    </w:p>
    <w:p w:rsidR="0020369F" w:rsidRPr="008314EA" w:rsidRDefault="0020369F" w:rsidP="008314EA">
      <w:pPr>
        <w:pBdr>
          <w:top w:val="nil"/>
          <w:left w:val="nil"/>
          <w:bottom w:val="nil"/>
          <w:right w:val="nil"/>
          <w:between w:val="nil"/>
        </w:pBdr>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hAnsi="Palatino Linotype"/>
          <w:color w:val="000000" w:themeColor="text1"/>
        </w:rPr>
      </w:pPr>
      <w:r w:rsidRPr="008314EA">
        <w:rPr>
          <w:rFonts w:ascii="Palatino Linotype" w:eastAsia="Palatino Linotype" w:hAnsi="Palatino Linotype" w:cs="Palatino Linotype"/>
          <w:color w:val="000000" w:themeColor="text1"/>
        </w:rPr>
        <w:t>Por su parte los artículos 160 y 166, de la Ley local en la materia, que se reproduce de la siguiente forma:</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r w:rsidRPr="008314EA">
        <w:rPr>
          <w:rFonts w:ascii="Palatino Linotype" w:eastAsia="Palatino Linotype" w:hAnsi="Palatino Linotype" w:cs="Palatino Linotype"/>
          <w:b/>
          <w:i/>
          <w:color w:val="000000" w:themeColor="text1"/>
        </w:rPr>
        <w:t>Artículo 160.</w:t>
      </w:r>
      <w:r w:rsidRPr="008314EA">
        <w:rPr>
          <w:rFonts w:ascii="Palatino Linotype" w:eastAsia="Palatino Linotype" w:hAnsi="Palatino Linotype" w:cs="Palatino Linotype"/>
          <w:i/>
          <w:color w:val="000000" w:themeColor="text1"/>
        </w:rPr>
        <w:t xml:space="preserve"> </w:t>
      </w:r>
      <w:r w:rsidRPr="008314EA">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8314EA">
        <w:rPr>
          <w:rFonts w:ascii="Palatino Linotype" w:eastAsia="Palatino Linotype" w:hAnsi="Palatino Linotype" w:cs="Palatino Linotype"/>
          <w:i/>
          <w:color w:val="000000" w:themeColor="text1"/>
        </w:rPr>
        <w:t>.</w:t>
      </w:r>
    </w:p>
    <w:p w:rsidR="0020369F" w:rsidRPr="008314EA" w:rsidRDefault="0020369F" w:rsidP="008314EA">
      <w:pPr>
        <w:jc w:val="both"/>
        <w:rPr>
          <w:rFonts w:ascii="Palatino Linotype" w:eastAsia="Palatino Linotype" w:hAnsi="Palatino Linotype" w:cs="Palatino Linotype"/>
          <w:i/>
          <w:color w:val="000000" w:themeColor="text1"/>
        </w:rPr>
      </w:pP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20369F" w:rsidRPr="008314EA" w:rsidRDefault="001E21FA" w:rsidP="008314EA">
      <w:pPr>
        <w:jc w:val="both"/>
        <w:rPr>
          <w:rFonts w:ascii="Palatino Linotype" w:eastAsia="Palatino Linotype" w:hAnsi="Palatino Linotype" w:cs="Palatino Linotype"/>
          <w:i/>
          <w:color w:val="000000" w:themeColor="text1"/>
          <w:u w:val="single"/>
        </w:rPr>
      </w:pPr>
      <w:r w:rsidRPr="008314EA">
        <w:rPr>
          <w:rFonts w:ascii="Palatino Linotype" w:eastAsia="Palatino Linotype" w:hAnsi="Palatino Linotype" w:cs="Palatino Linotype"/>
          <w:b/>
          <w:i/>
          <w:color w:val="000000" w:themeColor="text1"/>
        </w:rPr>
        <w:t>Artículo 166.</w:t>
      </w:r>
      <w:r w:rsidRPr="008314EA">
        <w:rPr>
          <w:rFonts w:ascii="Palatino Linotype" w:eastAsia="Palatino Linotype" w:hAnsi="Palatino Linotype" w:cs="Palatino Linotype"/>
          <w:i/>
          <w:color w:val="000000" w:themeColor="text1"/>
        </w:rPr>
        <w:t xml:space="preserve"> </w:t>
      </w:r>
      <w:r w:rsidRPr="008314EA">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20369F" w:rsidRPr="008314EA" w:rsidRDefault="001E21FA" w:rsidP="008314EA">
      <w:pPr>
        <w:spacing w:line="360" w:lineRule="auto"/>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(Énfasis añadido)</w:t>
      </w:r>
    </w:p>
    <w:p w:rsidR="0020369F" w:rsidRPr="008314EA" w:rsidRDefault="0020369F" w:rsidP="008314EA">
      <w:pPr>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hAnsi="Palatino Linotype"/>
          <w:color w:val="000000" w:themeColor="text1"/>
        </w:rPr>
      </w:pPr>
      <w:r w:rsidRPr="008314EA">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Ahora bien, es de </w:t>
      </w:r>
      <w:r w:rsidR="006D06A5" w:rsidRPr="008314EA">
        <w:rPr>
          <w:rFonts w:ascii="Palatino Linotype" w:eastAsia="Palatino Linotype" w:hAnsi="Palatino Linotype" w:cs="Palatino Linotype"/>
          <w:color w:val="000000" w:themeColor="text1"/>
        </w:rPr>
        <w:t xml:space="preserve">recordar que el particular requirió los </w:t>
      </w:r>
      <w:r w:rsidR="006D06A5" w:rsidRPr="008314EA">
        <w:rPr>
          <w:rFonts w:ascii="Palatino Linotype" w:eastAsia="Palatino Linotype" w:hAnsi="Palatino Linotype" w:cs="Palatino Linotype"/>
          <w:i/>
          <w:color w:val="000000" w:themeColor="text1"/>
          <w:u w:val="single"/>
        </w:rPr>
        <w:t>Recibos de nómina del 01 de marzo al 15 de abril de 2025</w:t>
      </w:r>
      <w:r w:rsidR="006D06A5" w:rsidRPr="008314EA">
        <w:rPr>
          <w:rFonts w:ascii="Palatino Linotype" w:eastAsia="Palatino Linotype" w:hAnsi="Palatino Linotype" w:cs="Palatino Linotype"/>
          <w:color w:val="000000" w:themeColor="text1"/>
        </w:rPr>
        <w:t xml:space="preserve">, en respuesta el Sujeto Obligado remitió la carátula del presupuesto de egresos PbRM-04d del 01 al 31 de enero de 2025, en el que se aprecia el presupuesto de cada uno de los capítulos del 1000 al 9000, circunstancia de la cual se dolió el recurrente argumentando que la información entregada no corresponde con lo solicitado, </w:t>
      </w:r>
      <w:r w:rsidR="006D06A5" w:rsidRPr="008314EA">
        <w:rPr>
          <w:rFonts w:ascii="Palatino Linotype" w:eastAsia="Palatino Linotype" w:hAnsi="Palatino Linotype" w:cs="Palatino Linotype"/>
          <w:color w:val="000000" w:themeColor="text1"/>
        </w:rPr>
        <w:lastRenderedPageBreak/>
        <w:t>posteriormente el particular y Sujeto Obligado fueron omisos en expresar manifestaciones que a su derecho conviniera o asistiera.</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Luego entonces, el estudio versará sobre </w:t>
      </w:r>
      <w:r w:rsidR="006D06A5" w:rsidRPr="008314EA">
        <w:rPr>
          <w:rFonts w:ascii="Palatino Linotype" w:eastAsia="Palatino Linotype" w:hAnsi="Palatino Linotype" w:cs="Palatino Linotype"/>
          <w:i/>
          <w:color w:val="000000" w:themeColor="text1"/>
          <w:u w:val="single"/>
        </w:rPr>
        <w:t xml:space="preserve">Recibos de nómina, </w:t>
      </w:r>
      <w:r w:rsidR="006D06A5" w:rsidRPr="008314EA">
        <w:rPr>
          <w:rFonts w:ascii="Palatino Linotype" w:eastAsia="Palatino Linotype" w:hAnsi="Palatino Linotype" w:cs="Palatino Linotype"/>
          <w:color w:val="000000" w:themeColor="text1"/>
        </w:rPr>
        <w:t xml:space="preserve"> por lo que es de referir en primera instancia lo que señala la Ley de Transparencia Local al respecto:</w:t>
      </w:r>
    </w:p>
    <w:p w:rsidR="006D06A5" w:rsidRPr="008314EA" w:rsidRDefault="006D06A5" w:rsidP="008314EA">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314EA">
        <w:rPr>
          <w:rFonts w:ascii="Palatino Linotype" w:eastAsia="Palatino Linotype" w:hAnsi="Palatino Linotype" w:cs="Palatino Linotype"/>
          <w:b/>
          <w:i/>
          <w:color w:val="000000" w:themeColor="text1"/>
        </w:rPr>
        <w:t>LEY DE TRANSPARENCIA Y ACCESO A LA INFORMACIÓN PÚBLICA DEL ESTADO DE MÉXICO Y MUNICIPIOS</w:t>
      </w:r>
    </w:p>
    <w:p w:rsidR="006D06A5" w:rsidRPr="008314EA" w:rsidRDefault="006D06A5" w:rsidP="008314EA">
      <w:pPr>
        <w:pBdr>
          <w:top w:val="nil"/>
          <w:left w:val="nil"/>
          <w:bottom w:val="nil"/>
          <w:right w:val="nil"/>
          <w:between w:val="nil"/>
        </w:pBdr>
        <w:jc w:val="center"/>
        <w:rPr>
          <w:rFonts w:ascii="Palatino Linotype" w:eastAsia="Palatino Linotype" w:hAnsi="Palatino Linotype" w:cs="Palatino Linotype"/>
          <w:b/>
          <w:i/>
          <w:color w:val="000000" w:themeColor="text1"/>
        </w:rPr>
      </w:pPr>
    </w:p>
    <w:p w:rsidR="006D06A5" w:rsidRPr="008314EA" w:rsidRDefault="006D06A5" w:rsidP="008314EA">
      <w:pPr>
        <w:pBdr>
          <w:top w:val="nil"/>
          <w:left w:val="nil"/>
          <w:bottom w:val="nil"/>
          <w:right w:val="nil"/>
          <w:between w:val="nil"/>
        </w:pBd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t>Artículo 92</w:t>
      </w:r>
      <w:r w:rsidRPr="008314EA">
        <w:rPr>
          <w:rFonts w:ascii="Palatino Linotype" w:eastAsia="Palatino Linotype" w:hAnsi="Palatino Linotype" w:cs="Palatino Linotype"/>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D06A5" w:rsidRPr="008314EA" w:rsidRDefault="006D06A5" w:rsidP="008314EA">
      <w:pPr>
        <w:pBdr>
          <w:top w:val="nil"/>
          <w:left w:val="nil"/>
          <w:bottom w:val="nil"/>
          <w:right w:val="nil"/>
          <w:between w:val="nil"/>
        </w:pBd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p>
    <w:p w:rsidR="006D06A5" w:rsidRPr="008314EA" w:rsidRDefault="006D06A5" w:rsidP="008314EA">
      <w:pPr>
        <w:pBdr>
          <w:top w:val="nil"/>
          <w:left w:val="nil"/>
          <w:bottom w:val="nil"/>
          <w:right w:val="nil"/>
          <w:between w:val="nil"/>
        </w:pBd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t>VIII. La remuneración bruta y neta de todos los servidores públicos</w:t>
      </w:r>
      <w:r w:rsidRPr="008314EA">
        <w:rPr>
          <w:rFonts w:ascii="Palatino Linotype" w:eastAsia="Palatino Linotype" w:hAnsi="Palatino Linotype" w:cs="Palatino Linotype"/>
          <w:i/>
          <w:color w:val="000000" w:themeColor="text1"/>
        </w:rPr>
        <w:t xml:space="preserve"> de base o de confianza, de todas las percepciones, incluyendo sueldos, prestaciones, gratificaciones, primas, comisiones, dietas, bonos, estímulos, ingresos y sistemas de compensación, señalando la periodicidad de dicha remuneración;</w:t>
      </w:r>
    </w:p>
    <w:p w:rsidR="006D06A5" w:rsidRPr="008314EA" w:rsidRDefault="006D06A5" w:rsidP="008314EA">
      <w:pPr>
        <w:pBdr>
          <w:top w:val="nil"/>
          <w:left w:val="nil"/>
          <w:bottom w:val="nil"/>
          <w:right w:val="nil"/>
          <w:between w:val="nil"/>
        </w:pBd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p>
    <w:p w:rsidR="006D06A5" w:rsidRPr="008314EA" w:rsidRDefault="006D06A5"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De lo anterior, se infiere que el Sujeto Obligado está constreñido a proporcionar la informac</w:t>
      </w:r>
      <w:r w:rsidR="006D06A5" w:rsidRPr="008314EA">
        <w:rPr>
          <w:rFonts w:ascii="Palatino Linotype" w:eastAsia="Palatino Linotype" w:hAnsi="Palatino Linotype" w:cs="Palatino Linotype"/>
          <w:color w:val="000000" w:themeColor="text1"/>
        </w:rPr>
        <w:t xml:space="preserve">ión requerida por el particular, </w:t>
      </w:r>
      <w:r w:rsidR="004E253B" w:rsidRPr="008314EA">
        <w:rPr>
          <w:rFonts w:ascii="Palatino Linotype" w:eastAsia="Palatino Linotype" w:hAnsi="Palatino Linotype" w:cs="Palatino Linotype"/>
          <w:color w:val="000000" w:themeColor="text1"/>
        </w:rPr>
        <w:t xml:space="preserve">al </w:t>
      </w:r>
      <w:r w:rsidR="006D06A5" w:rsidRPr="008314EA">
        <w:rPr>
          <w:rFonts w:ascii="Palatino Linotype" w:eastAsia="Palatino Linotype" w:hAnsi="Palatino Linotype" w:cs="Palatino Linotype"/>
          <w:color w:val="000000" w:themeColor="text1"/>
        </w:rPr>
        <w:t xml:space="preserve">establecerse </w:t>
      </w:r>
      <w:r w:rsidR="004E253B" w:rsidRPr="008314EA">
        <w:rPr>
          <w:rFonts w:ascii="Palatino Linotype" w:eastAsia="Palatino Linotype" w:hAnsi="Palatino Linotype" w:cs="Palatino Linotype"/>
          <w:color w:val="000000" w:themeColor="text1"/>
        </w:rPr>
        <w:t>como</w:t>
      </w:r>
      <w:r w:rsidR="006D06A5" w:rsidRPr="008314EA">
        <w:rPr>
          <w:rFonts w:ascii="Palatino Linotype" w:eastAsia="Palatino Linotype" w:hAnsi="Palatino Linotype" w:cs="Palatino Linotype"/>
          <w:color w:val="000000" w:themeColor="text1"/>
        </w:rPr>
        <w:t xml:space="preserve"> una obligación de transparencia común </w:t>
      </w:r>
      <w:r w:rsidR="004E253B" w:rsidRPr="008314EA">
        <w:rPr>
          <w:rFonts w:ascii="Palatino Linotype" w:eastAsia="Palatino Linotype" w:hAnsi="Palatino Linotype" w:cs="Palatino Linotype"/>
          <w:color w:val="000000" w:themeColor="text1"/>
        </w:rPr>
        <w:t xml:space="preserve">poner a disposición del público de manera permanente y actualizada de forma sencilla y precisa, la información relativa a la remuneración bruta y neta de todos los servidores públicos, máxime que información </w:t>
      </w:r>
      <w:r w:rsidR="006D06A5" w:rsidRPr="008314EA">
        <w:rPr>
          <w:rFonts w:ascii="Palatino Linotype" w:eastAsia="Palatino Linotype" w:hAnsi="Palatino Linotype" w:cs="Palatino Linotype"/>
          <w:color w:val="000000" w:themeColor="text1"/>
        </w:rPr>
        <w:t>proporcionada en respuesta, no corresponde con el requerimiento realizado</w:t>
      </w:r>
      <w:r w:rsidR="004E253B" w:rsidRPr="008314EA">
        <w:rPr>
          <w:rFonts w:ascii="Palatino Linotype" w:eastAsia="Palatino Linotype" w:hAnsi="Palatino Linotype" w:cs="Palatino Linotype"/>
          <w:color w:val="000000" w:themeColor="text1"/>
        </w:rPr>
        <w:t>.</w:t>
      </w:r>
    </w:p>
    <w:p w:rsidR="0020369F" w:rsidRPr="008314EA" w:rsidRDefault="0020369F" w:rsidP="008314E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Es así que, resulta necesario traer a colación lo que señala el Criterio 02/17 emitido por el Instituto Nacional de Transparencia, Acceso a la Información y Protección de Datos Personales el cual establece lo siguiente: </w:t>
      </w:r>
    </w:p>
    <w:p w:rsidR="0020369F" w:rsidRPr="008314EA" w:rsidRDefault="001E21FA" w:rsidP="008314EA">
      <w:pPr>
        <w:pBdr>
          <w:top w:val="nil"/>
          <w:left w:val="nil"/>
          <w:bottom w:val="nil"/>
          <w:right w:val="nil"/>
          <w:between w:val="nil"/>
        </w:pBd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lastRenderedPageBreak/>
        <w:t>Congruencia y exhaustividad</w:t>
      </w:r>
      <w:r w:rsidRPr="008314EA">
        <w:rPr>
          <w:rFonts w:ascii="Palatino Linotype" w:eastAsia="Palatino Linotype" w:hAnsi="Palatino Linotype" w:cs="Palatino Linotype"/>
          <w:i/>
          <w:color w:val="000000" w:themeColor="text1"/>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w:t>
      </w:r>
      <w:r w:rsidRPr="008314EA">
        <w:rPr>
          <w:rFonts w:ascii="Palatino Linotype" w:eastAsia="Palatino Linotype" w:hAnsi="Palatino Linotype" w:cs="Palatino Linotype"/>
          <w:b/>
          <w:i/>
          <w:color w:val="000000" w:themeColor="text1"/>
        </w:rPr>
        <w:t>congruencia</w:t>
      </w:r>
      <w:r w:rsidRPr="008314EA">
        <w:rPr>
          <w:rFonts w:ascii="Palatino Linotype" w:eastAsia="Palatino Linotype" w:hAnsi="Palatino Linotype" w:cs="Palatino Linotype"/>
          <w:i/>
          <w:color w:val="000000" w:themeColor="text1"/>
        </w:rPr>
        <w:t xml:space="preserve"> implica que exista concordancia entre el requerimiento formulado por el particular y la respuesta proporcionada por el sujeto obligado; mientras que la </w:t>
      </w:r>
      <w:r w:rsidRPr="008314EA">
        <w:rPr>
          <w:rFonts w:ascii="Palatino Linotype" w:eastAsia="Palatino Linotype" w:hAnsi="Palatino Linotype" w:cs="Palatino Linotype"/>
          <w:b/>
          <w:i/>
          <w:color w:val="000000" w:themeColor="text1"/>
        </w:rPr>
        <w:t>exhaustividad</w:t>
      </w:r>
      <w:r w:rsidRPr="008314EA">
        <w:rPr>
          <w:rFonts w:ascii="Palatino Linotype" w:eastAsia="Palatino Linotype" w:hAnsi="Palatino Linotype" w:cs="Palatino Linotype"/>
          <w:i/>
          <w:color w:val="000000" w:themeColor="text1"/>
        </w:rPr>
        <w:t xml:space="preserve">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w:t>
      </w:r>
    </w:p>
    <w:p w:rsidR="0020369F" w:rsidRPr="008314EA" w:rsidRDefault="0020369F" w:rsidP="008314E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De esta manera, los sujetos obligados para garantizar el derecho de acceso a la Información, deberán cumplir con los principios de exhaustividad y congruencia, esto es, que </w:t>
      </w:r>
      <w:r w:rsidRPr="008314EA">
        <w:rPr>
          <w:rFonts w:ascii="Palatino Linotype" w:eastAsia="Palatino Linotype" w:hAnsi="Palatino Linotype" w:cs="Palatino Linotype"/>
          <w:b/>
          <w:color w:val="000000" w:themeColor="text1"/>
        </w:rPr>
        <w:t>la congruencia implica que exista concordancia entre el requerimiento formulado por el particular y la respuesta proporcionada por el sujeto obligado</w:t>
      </w:r>
      <w:r w:rsidRPr="008314EA">
        <w:rPr>
          <w:rFonts w:ascii="Palatino Linotype" w:eastAsia="Palatino Linotype" w:hAnsi="Palatino Linotype" w:cs="Palatino Linotype"/>
          <w:color w:val="000000" w:themeColor="text1"/>
        </w:rPr>
        <w:t xml:space="preserve">, mientras que </w:t>
      </w:r>
      <w:r w:rsidRPr="008314EA">
        <w:rPr>
          <w:rFonts w:ascii="Palatino Linotype" w:eastAsia="Palatino Linotype" w:hAnsi="Palatino Linotype" w:cs="Palatino Linotype"/>
          <w:b/>
          <w:color w:val="000000" w:themeColor="text1"/>
        </w:rPr>
        <w:t>la exhaustividad establece que el sujeto obligado deberá atender de manera expresa cada uno de los puntos solicitados</w:t>
      </w:r>
      <w:r w:rsidRPr="008314EA">
        <w:rPr>
          <w:rFonts w:ascii="Palatino Linotype" w:eastAsia="Palatino Linotype" w:hAnsi="Palatino Linotype" w:cs="Palatino Linotype"/>
          <w:color w:val="000000" w:themeColor="text1"/>
        </w:rPr>
        <w:t>, situación que en el presente caso no aconteció, pues el Sujeto Obligado no fue congruente entre la información proporcionada con la información requerida.</w:t>
      </w:r>
    </w:p>
    <w:p w:rsidR="0020369F" w:rsidRPr="008314EA" w:rsidRDefault="0020369F" w:rsidP="008314E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Del mismo modo, se debe observar la obligación de buscar la información, derivado </w:t>
      </w:r>
      <w:r w:rsidR="00F26C65" w:rsidRPr="008314EA">
        <w:rPr>
          <w:rFonts w:ascii="Palatino Linotype" w:eastAsia="Palatino Linotype" w:hAnsi="Palatino Linotype" w:cs="Palatino Linotype"/>
          <w:color w:val="000000" w:themeColor="text1"/>
        </w:rPr>
        <w:t xml:space="preserve">de </w:t>
      </w:r>
      <w:r w:rsidRPr="008314EA">
        <w:rPr>
          <w:rFonts w:ascii="Palatino Linotype" w:eastAsia="Palatino Linotype" w:hAnsi="Palatino Linotype" w:cs="Palatino Linotype"/>
          <w:color w:val="000000" w:themeColor="text1"/>
        </w:rPr>
        <w:t>la falta de exhaustividad en la búsqueda de la misma.</w:t>
      </w:r>
    </w:p>
    <w:p w:rsidR="0020369F" w:rsidRPr="008314EA" w:rsidRDefault="0020369F" w:rsidP="008314EA">
      <w:pPr>
        <w:spacing w:line="360" w:lineRule="auto"/>
        <w:jc w:val="both"/>
        <w:rPr>
          <w:rFonts w:ascii="Palatino Linotype" w:eastAsia="Palatino Linotype" w:hAnsi="Palatino Linotype" w:cs="Palatino Linotype"/>
          <w:b/>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color w:val="000000" w:themeColor="text1"/>
        </w:rPr>
        <w:t xml:space="preserve">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w:t>
      </w:r>
      <w:r w:rsidR="00A66B4F" w:rsidRPr="008314EA">
        <w:rPr>
          <w:rFonts w:ascii="Palatino Linotype" w:eastAsia="Palatino Linotype" w:hAnsi="Palatino Linotype" w:cs="Palatino Linotype"/>
          <w:color w:val="000000" w:themeColor="text1"/>
        </w:rPr>
        <w:t>luego entonces</w:t>
      </w:r>
      <w:r w:rsidRPr="008314EA">
        <w:rPr>
          <w:rFonts w:ascii="Palatino Linotype" w:eastAsia="Palatino Linotype" w:hAnsi="Palatino Linotype" w:cs="Palatino Linotype"/>
          <w:color w:val="000000" w:themeColor="text1"/>
        </w:rPr>
        <w:t xml:space="preserve"> de lo establecido con </w:t>
      </w:r>
      <w:r w:rsidRPr="008314EA">
        <w:rPr>
          <w:rFonts w:ascii="Palatino Linotype" w:eastAsia="Palatino Linotype" w:hAnsi="Palatino Linotype" w:cs="Palatino Linotype"/>
          <w:color w:val="000000" w:themeColor="text1"/>
        </w:rPr>
        <w:lastRenderedPageBreak/>
        <w:t>antelación en la normatividad, se puede apreciar que se debe de contar con la información solicitada.</w:t>
      </w:r>
    </w:p>
    <w:p w:rsidR="0020369F" w:rsidRPr="008314EA" w:rsidRDefault="0020369F" w:rsidP="008314EA">
      <w:pPr>
        <w:pBdr>
          <w:top w:val="nil"/>
          <w:left w:val="nil"/>
          <w:bottom w:val="nil"/>
          <w:right w:val="nil"/>
          <w:between w:val="nil"/>
        </w:pBdr>
        <w:rPr>
          <w:rFonts w:ascii="Palatino Linotype" w:eastAsia="Palatino Linotype" w:hAnsi="Palatino Linotype" w:cs="Palatino Linotype"/>
          <w:b/>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Por lo anterior, de la respuesta emitida a la solicitud de información, no se tiene la certeza de que efectivamente se haya llevado a cabo la búsqueda de lo requerido de manera razonable, en el soporte documental, electrónico, digital o cualquier otro que se albergan en los archivos de las áreas que conforman al </w:t>
      </w:r>
      <w:r w:rsidR="00A66B4F" w:rsidRPr="008314EA">
        <w:rPr>
          <w:rFonts w:ascii="Palatino Linotype" w:eastAsia="Palatino Linotype" w:hAnsi="Palatino Linotype" w:cs="Palatino Linotype"/>
          <w:b/>
          <w:color w:val="000000" w:themeColor="text1"/>
        </w:rPr>
        <w:t>SUJETO OBLIGADO.</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Precisado lo anterior, se reitera que la parte </w:t>
      </w:r>
      <w:r w:rsidRPr="008314EA">
        <w:rPr>
          <w:rFonts w:ascii="Palatino Linotype" w:eastAsia="Palatino Linotype" w:hAnsi="Palatino Linotype" w:cs="Palatino Linotype"/>
          <w:b/>
          <w:color w:val="000000" w:themeColor="text1"/>
        </w:rPr>
        <w:t>RECURRENTE</w:t>
      </w:r>
      <w:r w:rsidRPr="008314EA">
        <w:rPr>
          <w:rFonts w:ascii="Palatino Linotype" w:eastAsia="Palatino Linotype" w:hAnsi="Palatino Linotype" w:cs="Palatino Linotype"/>
          <w:color w:val="000000" w:themeColor="text1"/>
        </w:rPr>
        <w:t xml:space="preserve"> solicitó </w:t>
      </w:r>
      <w:r w:rsidR="00A66B4F" w:rsidRPr="008314EA">
        <w:rPr>
          <w:rFonts w:ascii="Palatino Linotype" w:eastAsia="Palatino Linotype" w:hAnsi="Palatino Linotype" w:cs="Palatino Linotype"/>
          <w:i/>
          <w:color w:val="000000" w:themeColor="text1"/>
          <w:u w:val="single"/>
        </w:rPr>
        <w:t>Recibos de nómina del 01 de marzo al 15 de abril de 2025</w:t>
      </w:r>
      <w:r w:rsidRPr="008314EA">
        <w:rPr>
          <w:rFonts w:ascii="Palatino Linotype" w:eastAsia="Palatino Linotype" w:hAnsi="Palatino Linotype" w:cs="Palatino Linotype"/>
          <w:color w:val="000000" w:themeColor="text1"/>
          <w:u w:val="single"/>
        </w:rPr>
        <w:t>,</w:t>
      </w:r>
      <w:r w:rsidRPr="008314EA">
        <w:rPr>
          <w:rFonts w:ascii="Palatino Linotype" w:eastAsia="Palatino Linotype" w:hAnsi="Palatino Linotype" w:cs="Palatino Linotype"/>
          <w:color w:val="000000" w:themeColor="text1"/>
        </w:rPr>
        <w:t xml:space="preserve"> así resulta neces</w:t>
      </w:r>
      <w:r w:rsidR="00A66B4F" w:rsidRPr="008314EA">
        <w:rPr>
          <w:rFonts w:ascii="Palatino Linotype" w:eastAsia="Palatino Linotype" w:hAnsi="Palatino Linotype" w:cs="Palatino Linotype"/>
          <w:color w:val="000000" w:themeColor="text1"/>
        </w:rPr>
        <w:t>ario señalar que, el artículo 3</w:t>
      </w:r>
      <w:r w:rsidRPr="008314EA">
        <w:rPr>
          <w:rFonts w:ascii="Palatino Linotype" w:eastAsia="Palatino Linotype" w:hAnsi="Palatino Linotype" w:cs="Palatino Linotype"/>
          <w:color w:val="000000" w:themeColor="text1"/>
        </w:rPr>
        <w:t xml:space="preserve">, fracción XXXII, del Código Financiero del Estado de México y Municipios , establece que la remuneración consiste en los pagos hechos por concepto de sueldo, compensaciones, gratificaciones, habitación, primas, comisiones, prestaciones, en especie y cualquier otra percepción o prestación que se entregue al servidor por su trabajo. Asimismo,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 </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Aunado a lo anterior, es importante destacar que la información relacionada con remuneraciones corresponde a información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w:t>
      </w:r>
      <w:r w:rsidRPr="008314EA">
        <w:rPr>
          <w:rFonts w:ascii="Palatino Linotype" w:eastAsia="Palatino Linotype" w:hAnsi="Palatino Linotype" w:cs="Palatino Linotype"/>
          <w:color w:val="000000" w:themeColor="text1"/>
        </w:rPr>
        <w:lastRenderedPageBreak/>
        <w:t xml:space="preserve">Ley de Transparencia y Acceso a la Información Pública del Estado de México y Municipios, en su fracción VIII, dispone lo siguiente: </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t>Artículo 92.</w:t>
      </w:r>
      <w:r w:rsidRPr="008314EA">
        <w:rPr>
          <w:rFonts w:ascii="Palatino Linotype" w:eastAsia="Palatino Linotype" w:hAnsi="Palatino Linotype" w:cs="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t>(…)</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t xml:space="preserve">VIII. La remuneración bruta y neta de todos los servidores públicos de base o de confianza, </w:t>
      </w:r>
      <w:r w:rsidRPr="008314EA">
        <w:rPr>
          <w:rFonts w:ascii="Palatino Linotype" w:eastAsia="Palatino Linotype" w:hAnsi="Palatino Linotype" w:cs="Palatino Linotype"/>
          <w:i/>
          <w:color w:val="000000" w:themeColor="text1"/>
        </w:rPr>
        <w:t>de todas las percepciones, incluyendo sueldos, prestaciones, gratificaciones, primas, comisiones, dietas, bonos, estímulos, ingresos y sistemas de compensación, señalando la periodicidad de dicha remuneración;</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t>(…)</w:t>
      </w:r>
      <w:r w:rsidRPr="008314EA">
        <w:rPr>
          <w:rFonts w:ascii="Palatino Linotype" w:eastAsia="Palatino Linotype" w:hAnsi="Palatino Linotype" w:cs="Palatino Linotype"/>
          <w:i/>
          <w:color w:val="000000" w:themeColor="text1"/>
        </w:rPr>
        <w:t>”</w:t>
      </w:r>
    </w:p>
    <w:p w:rsidR="0020369F" w:rsidRDefault="0020369F" w:rsidP="008314EA">
      <w:pPr>
        <w:jc w:val="both"/>
        <w:rPr>
          <w:rFonts w:ascii="Palatino Linotype" w:eastAsia="Palatino Linotype" w:hAnsi="Palatino Linotype" w:cs="Palatino Linotype"/>
          <w:i/>
          <w:color w:val="000000" w:themeColor="text1"/>
        </w:rPr>
      </w:pPr>
    </w:p>
    <w:p w:rsidR="009E6824" w:rsidRPr="008314EA" w:rsidRDefault="009E6824" w:rsidP="008314EA">
      <w:pPr>
        <w:jc w:val="both"/>
        <w:rPr>
          <w:rFonts w:ascii="Palatino Linotype" w:eastAsia="Palatino Linotype" w:hAnsi="Palatino Linotype" w:cs="Palatino Linotype"/>
          <w:i/>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Por otra parte, la Ley del Trabajo de los Servidores Públicos del Estado y Municipios, en su artículo 220 K, establece los documentos que tiene la obligación de conservar el Sujeto Obligado, entre los que se encuentran los recibos de pagos: </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r w:rsidRPr="008314EA">
        <w:rPr>
          <w:rFonts w:ascii="Palatino Linotype" w:eastAsia="Palatino Linotype" w:hAnsi="Palatino Linotype" w:cs="Palatino Linotype"/>
          <w:b/>
          <w:i/>
          <w:color w:val="000000" w:themeColor="text1"/>
        </w:rPr>
        <w:t>ARTÍCULO 220 K.-</w:t>
      </w:r>
      <w:r w:rsidRPr="008314EA">
        <w:rPr>
          <w:rFonts w:ascii="Palatino Linotype" w:eastAsia="Palatino Linotype" w:hAnsi="Palatino Linotype" w:cs="Palatino Linotype"/>
          <w:i/>
          <w:color w:val="000000" w:themeColor="text1"/>
        </w:rPr>
        <w:t xml:space="preserve"> La institución o dependencia pública tiene la obligación de conservar y exhibir en el proceso los documentos que a continuación se precisan: </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 xml:space="preserve">I. Contratos, Nombramientos o Formato Único de Movimientos de Personal, cuando no exista Convenio de condiciones generales de trabajo aplicable; </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t>II. Recibos de pagos de salarios</w:t>
      </w:r>
      <w:r w:rsidRPr="008314EA">
        <w:rPr>
          <w:rFonts w:ascii="Palatino Linotype" w:eastAsia="Palatino Linotype" w:hAnsi="Palatino Linotype" w:cs="Palatino Linotype"/>
          <w:i/>
          <w:color w:val="000000" w:themeColor="text1"/>
        </w:rPr>
        <w:t xml:space="preserve"> o las constancias documentales del pago de salario cuando sea por depósito o mediante información electrónica; </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 xml:space="preserve">III. Controles de asistencia o la información magnética o electrónica de asistencia de los servidores públicos; </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 xml:space="preserve">IV. Recibos o las constancias de depósito o del medio de información magnética o electrónica que sean utilizadas para el pago de salarios, prima vacacional, aguinaldo y demás prestaciones establecidas en la presente ley; y </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V. Los demás que señalen las leyes.</w:t>
      </w:r>
    </w:p>
    <w:p w:rsidR="0020369F" w:rsidRPr="008314EA" w:rsidRDefault="0020369F" w:rsidP="008314EA">
      <w:pPr>
        <w:jc w:val="both"/>
        <w:rPr>
          <w:rFonts w:ascii="Palatino Linotype" w:eastAsia="Palatino Linotype" w:hAnsi="Palatino Linotype" w:cs="Palatino Linotype"/>
          <w:i/>
          <w:color w:val="000000" w:themeColor="text1"/>
        </w:rPr>
      </w:pP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w:t>
      </w:r>
      <w:r w:rsidRPr="008314EA">
        <w:rPr>
          <w:rFonts w:ascii="Palatino Linotype" w:eastAsia="Palatino Linotype" w:hAnsi="Palatino Linotype" w:cs="Palatino Linotype"/>
          <w:i/>
          <w:color w:val="000000" w:themeColor="text1"/>
        </w:rPr>
        <w:lastRenderedPageBreak/>
        <w:t>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20369F" w:rsidRDefault="0020369F" w:rsidP="008314EA">
      <w:pPr>
        <w:jc w:val="both"/>
        <w:rPr>
          <w:rFonts w:ascii="Palatino Linotype" w:eastAsia="Palatino Linotype" w:hAnsi="Palatino Linotype" w:cs="Palatino Linotype"/>
          <w:i/>
          <w:color w:val="000000" w:themeColor="text1"/>
        </w:rPr>
      </w:pPr>
    </w:p>
    <w:p w:rsidR="009E6824" w:rsidRPr="008314EA" w:rsidRDefault="009E6824" w:rsidP="008314EA">
      <w:pPr>
        <w:jc w:val="both"/>
        <w:rPr>
          <w:rFonts w:ascii="Palatino Linotype" w:eastAsia="Palatino Linotype" w:hAnsi="Palatino Linotype" w:cs="Palatino Linotype"/>
          <w:i/>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 </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Lo anterior, toma sustento en la Tesis aislada número I.6o.T.154 L (10a.), emitida por los Tribunales Colegiados de Circuito, publicada el abril de dos mil dieciséis, en la Gaceta del Semanario Judicial de la Federación, en su Libro 29, Tomo III, misma que señala lo siguiente: </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r w:rsidRPr="008314EA">
        <w:rPr>
          <w:rFonts w:ascii="Palatino Linotype" w:eastAsia="Palatino Linotype" w:hAnsi="Palatino Linotype" w:cs="Palatino Linotype"/>
          <w:b/>
          <w:i/>
          <w:color w:val="000000" w:themeColor="text1"/>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sidRPr="008314EA">
        <w:rPr>
          <w:rFonts w:ascii="Palatino Linotype" w:eastAsia="Palatino Linotype" w:hAnsi="Palatino Linotype" w:cs="Palatino Linotype"/>
          <w:i/>
          <w:color w:val="000000" w:themeColor="text1"/>
        </w:rPr>
        <w:t xml:space="preserve">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lastRenderedPageBreak/>
        <w:t>De la tesis transcrita, se desprende que en materia burocrática los recibos de pago acreditan los conceptos y montos que en ellos se insertan, y constituyen prueba para demostrar las percepciones y montos que reciben los servidores públicos.</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 </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r w:rsidRPr="008314EA">
        <w:rPr>
          <w:rFonts w:ascii="Palatino Linotype" w:eastAsia="Palatino Linotype" w:hAnsi="Palatino Linotype" w:cs="Palatino Linotype"/>
          <w:b/>
          <w:i/>
          <w:color w:val="000000" w:themeColor="text1"/>
        </w:rPr>
        <w:t>Artículo 24.</w:t>
      </w:r>
      <w:r w:rsidRPr="008314EA">
        <w:rPr>
          <w:rFonts w:ascii="Palatino Linotype" w:eastAsia="Palatino Linotype" w:hAnsi="Palatino Linotype" w:cs="Palatino Linotype"/>
          <w:i/>
          <w:color w:val="000000" w:themeColor="text1"/>
        </w:rPr>
        <w:t xml:space="preserve"> Para el cumplimiento de los objetivos de esta Ley, los sujetos obligados deberán cumplir con las siguientes obligaciones, según corresponda, de acuerdo a su naturaleza: </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 xml:space="preserve">(…) </w:t>
      </w:r>
    </w:p>
    <w:p w:rsidR="0020369F" w:rsidRPr="008314EA" w:rsidRDefault="001E21FA" w:rsidP="008314EA">
      <w:pPr>
        <w:jc w:val="both"/>
        <w:rPr>
          <w:rFonts w:ascii="Palatino Linotype" w:eastAsia="Palatino Linotype" w:hAnsi="Palatino Linotype" w:cs="Palatino Linotype"/>
          <w:b/>
          <w:i/>
          <w:color w:val="000000" w:themeColor="text1"/>
        </w:rPr>
      </w:pPr>
      <w:r w:rsidRPr="008314EA">
        <w:rPr>
          <w:rFonts w:ascii="Palatino Linotype" w:eastAsia="Palatino Linotype" w:hAnsi="Palatino Linotype" w:cs="Palatino Linotype"/>
          <w:b/>
          <w:i/>
          <w:color w:val="000000" w:themeColor="text1"/>
        </w:rPr>
        <w:t>XVIII. Hacer pública toda aquella información relativa a los montos y las personas a quienes entreguen, por cualquier motivo, recursos públicos, así como los informes que dichas personas les entreguen sobre el uso y destino de dichos recursos;</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lastRenderedPageBreak/>
        <w:t xml:space="preserve">“Criterio 01/2003. </w:t>
      </w:r>
    </w:p>
    <w:p w:rsidR="0020369F" w:rsidRPr="008314EA" w:rsidRDefault="0020369F" w:rsidP="008314EA">
      <w:pPr>
        <w:jc w:val="both"/>
        <w:rPr>
          <w:rFonts w:ascii="Palatino Linotype" w:eastAsia="Palatino Linotype" w:hAnsi="Palatino Linotype" w:cs="Palatino Linotype"/>
          <w:i/>
          <w:color w:val="000000" w:themeColor="text1"/>
        </w:rPr>
      </w:pP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t>INGRESOS DE LOS SERVIDORES PÚBLICOS. CONSTITUYEN INFORMACIÓN PÚBLICA AÚN Y CUANDO SU DIFUSIÓN PUEDE AFECTAR LA VIDA O LA SEGURIDAD DE AQUELLOS</w:t>
      </w:r>
      <w:r w:rsidRPr="008314EA">
        <w:rPr>
          <w:rFonts w:ascii="Palatino Linotype" w:eastAsia="Palatino Linotype" w:hAnsi="Palatino Linotype" w:cs="Palatino Linotype"/>
          <w:i/>
          <w:color w:val="000000" w:themeColor="text1"/>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p>
    <w:p w:rsidR="0020369F" w:rsidRPr="008314EA" w:rsidRDefault="0020369F" w:rsidP="008314EA">
      <w:pPr>
        <w:jc w:val="both"/>
        <w:rPr>
          <w:rFonts w:ascii="Palatino Linotype" w:eastAsia="Palatino Linotype" w:hAnsi="Palatino Linotype" w:cs="Palatino Linotype"/>
          <w:i/>
          <w:color w:val="000000" w:themeColor="text1"/>
        </w:rPr>
      </w:pP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“Criterio 02/2003.</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 xml:space="preserve"> </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t>INGRESOS DE LOS SERVIDORES PÚBLICOS, SON INFORMACIÓN PÚBLICA AÚN Y CUANDO CONSTITUYEN DATOS PERSONALES QUE SE REFIEREN AL PATRIMONIO DE AQUÉLLOS</w:t>
      </w:r>
      <w:r w:rsidRPr="008314EA">
        <w:rPr>
          <w:rFonts w:ascii="Palatino Linotype" w:eastAsia="Palatino Linotype" w:hAnsi="Palatino Linotype" w:cs="Palatino Linotype"/>
          <w:i/>
          <w:color w:val="000000" w:themeColor="text1"/>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 </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p>
    <w:p w:rsidR="0020369F" w:rsidRPr="008314EA" w:rsidRDefault="0020369F" w:rsidP="008314E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i/>
          <w:color w:val="000000" w:themeColor="text1"/>
          <w:u w:val="single"/>
        </w:rPr>
      </w:pPr>
      <w:r w:rsidRPr="008314EA">
        <w:rPr>
          <w:rFonts w:ascii="Palatino Linotype" w:eastAsia="Palatino Linotype" w:hAnsi="Palatino Linotype" w:cs="Palatino Linotype"/>
          <w:color w:val="000000" w:themeColor="text1"/>
        </w:rPr>
        <w:t>En virtud de lo anterior, analizadas las constancias que forman el expediente electrónico, resultan</w:t>
      </w:r>
      <w:r w:rsidRPr="008314EA">
        <w:rPr>
          <w:rFonts w:ascii="Palatino Linotype" w:eastAsia="Palatino Linotype" w:hAnsi="Palatino Linotype" w:cs="Palatino Linotype"/>
          <w:b/>
          <w:color w:val="000000" w:themeColor="text1"/>
        </w:rPr>
        <w:t xml:space="preserve"> FUNDADAS</w:t>
      </w:r>
      <w:r w:rsidRPr="008314EA">
        <w:rPr>
          <w:rFonts w:ascii="Palatino Linotype" w:eastAsia="Palatino Linotype" w:hAnsi="Palatino Linotype" w:cs="Palatino Linotype"/>
          <w:color w:val="000000" w:themeColor="text1"/>
        </w:rPr>
        <w:t xml:space="preserve"> las razones o motivos de inconformidad hechos valer por la parte </w:t>
      </w:r>
      <w:r w:rsidRPr="008314EA">
        <w:rPr>
          <w:rFonts w:ascii="Palatino Linotype" w:eastAsia="Palatino Linotype" w:hAnsi="Palatino Linotype" w:cs="Palatino Linotype"/>
          <w:b/>
          <w:color w:val="000000" w:themeColor="text1"/>
        </w:rPr>
        <w:t>RECURRENTE</w:t>
      </w:r>
      <w:r w:rsidRPr="008314EA">
        <w:rPr>
          <w:rFonts w:ascii="Palatino Linotype" w:eastAsia="Palatino Linotype" w:hAnsi="Palatino Linotype" w:cs="Palatino Linotype"/>
          <w:color w:val="000000" w:themeColor="text1"/>
        </w:rPr>
        <w:t xml:space="preserve"> dentro del recurso de revisión </w:t>
      </w:r>
      <w:r w:rsidR="004567C6" w:rsidRPr="008314EA">
        <w:rPr>
          <w:rFonts w:ascii="Palatino Linotype" w:eastAsia="Palatino Linotype" w:hAnsi="Palatino Linotype" w:cs="Palatino Linotype"/>
          <w:b/>
          <w:color w:val="000000" w:themeColor="text1"/>
        </w:rPr>
        <w:t>05723</w:t>
      </w:r>
      <w:r w:rsidRPr="008314EA">
        <w:rPr>
          <w:rFonts w:ascii="Palatino Linotype" w:eastAsia="Palatino Linotype" w:hAnsi="Palatino Linotype" w:cs="Palatino Linotype"/>
          <w:b/>
          <w:color w:val="000000" w:themeColor="text1"/>
        </w:rPr>
        <w:t>/INFOEM/IP/RR/2025,</w:t>
      </w:r>
      <w:r w:rsidRPr="008314EA">
        <w:rPr>
          <w:rFonts w:ascii="Palatino Linotype" w:eastAsia="Palatino Linotype" w:hAnsi="Palatino Linotype" w:cs="Palatino Linotype"/>
          <w:color w:val="000000" w:themeColor="text1"/>
        </w:rPr>
        <w:t xml:space="preserve"> por ello, </w:t>
      </w:r>
      <w:r w:rsidRPr="008314EA">
        <w:rPr>
          <w:rFonts w:ascii="Palatino Linotype" w:eastAsia="Palatino Linotype" w:hAnsi="Palatino Linotype" w:cs="Palatino Linotype"/>
          <w:color w:val="000000" w:themeColor="text1"/>
        </w:rPr>
        <w:lastRenderedPageBreak/>
        <w:t xml:space="preserve">y con fundamento en la fracción III del numeral 186 de la Ley de Transparencia y Acceso a la Información Pública del Estado de México y Municipios, se </w:t>
      </w:r>
      <w:r w:rsidR="004567C6" w:rsidRPr="008314EA">
        <w:rPr>
          <w:rFonts w:ascii="Palatino Linotype" w:eastAsia="Palatino Linotype" w:hAnsi="Palatino Linotype" w:cs="Palatino Linotype"/>
          <w:b/>
          <w:color w:val="000000" w:themeColor="text1"/>
        </w:rPr>
        <w:t>REVOCA</w:t>
      </w:r>
      <w:r w:rsidRPr="008314EA">
        <w:rPr>
          <w:rFonts w:ascii="Palatino Linotype" w:eastAsia="Palatino Linotype" w:hAnsi="Palatino Linotype" w:cs="Palatino Linotype"/>
          <w:color w:val="000000" w:themeColor="text1"/>
        </w:rPr>
        <w:t xml:space="preserve"> la respuesta del </w:t>
      </w:r>
      <w:r w:rsidRPr="008314EA">
        <w:rPr>
          <w:rFonts w:ascii="Palatino Linotype" w:eastAsia="Palatino Linotype" w:hAnsi="Palatino Linotype" w:cs="Palatino Linotype"/>
          <w:b/>
          <w:color w:val="000000" w:themeColor="text1"/>
        </w:rPr>
        <w:t>SUJETO OBLIGADO</w:t>
      </w:r>
      <w:r w:rsidRPr="008314EA">
        <w:rPr>
          <w:rFonts w:ascii="Palatino Linotype" w:eastAsia="Palatino Linotype" w:hAnsi="Palatino Linotype" w:cs="Palatino Linotype"/>
          <w:color w:val="000000" w:themeColor="text1"/>
        </w:rPr>
        <w:t xml:space="preserve"> y se </w:t>
      </w:r>
      <w:r w:rsidRPr="008314EA">
        <w:rPr>
          <w:rFonts w:ascii="Palatino Linotype" w:eastAsia="Palatino Linotype" w:hAnsi="Palatino Linotype" w:cs="Palatino Linotype"/>
          <w:b/>
          <w:color w:val="000000" w:themeColor="text1"/>
        </w:rPr>
        <w:t>ORDENA</w:t>
      </w:r>
      <w:r w:rsidRPr="008314EA">
        <w:rPr>
          <w:rFonts w:ascii="Palatino Linotype" w:eastAsia="Palatino Linotype" w:hAnsi="Palatino Linotype" w:cs="Palatino Linotype"/>
          <w:color w:val="000000" w:themeColor="text1"/>
        </w:rPr>
        <w:t xml:space="preserve"> la entrega previa búsqueda exhaustiva y razonable, en versión pública, </w:t>
      </w:r>
      <w:r w:rsidR="00822E55" w:rsidRPr="008314EA">
        <w:rPr>
          <w:rFonts w:ascii="Palatino Linotype" w:eastAsia="Palatino Linotype" w:hAnsi="Palatino Linotype" w:cs="Palatino Linotype"/>
          <w:color w:val="000000" w:themeColor="text1"/>
        </w:rPr>
        <w:t xml:space="preserve">los </w:t>
      </w:r>
      <w:r w:rsidR="00822E55" w:rsidRPr="008314EA">
        <w:rPr>
          <w:rFonts w:ascii="Palatino Linotype" w:eastAsia="Palatino Linotype" w:hAnsi="Palatino Linotype" w:cs="Palatino Linotype"/>
          <w:b/>
          <w:color w:val="000000" w:themeColor="text1"/>
        </w:rPr>
        <w:t>Recibos de nómina del 01 de marzo al 15 de abril de 2025</w:t>
      </w:r>
      <w:r w:rsidRPr="008314EA">
        <w:rPr>
          <w:rFonts w:ascii="Palatino Linotype" w:eastAsia="Palatino Linotype" w:hAnsi="Palatino Linotype" w:cs="Palatino Linotype"/>
          <w:b/>
          <w:color w:val="000000" w:themeColor="text1"/>
        </w:rPr>
        <w:t>,</w:t>
      </w:r>
      <w:r w:rsidRPr="008314EA">
        <w:rPr>
          <w:rFonts w:ascii="Palatino Linotype" w:eastAsia="Palatino Linotype" w:hAnsi="Palatino Linotype" w:cs="Palatino Linotype"/>
          <w:color w:val="000000" w:themeColor="text1"/>
        </w:rPr>
        <w:t xml:space="preserve"> con el respectivo Acuerdo de Clasificación, de Conformidad con lo establecido en el </w:t>
      </w:r>
      <w:r w:rsidRPr="008314EA">
        <w:rPr>
          <w:rFonts w:ascii="Palatino Linotype" w:eastAsia="Palatino Linotype" w:hAnsi="Palatino Linotype" w:cs="Palatino Linotype"/>
          <w:b/>
          <w:color w:val="000000" w:themeColor="text1"/>
        </w:rPr>
        <w:t>Considerando QUINTO</w:t>
      </w:r>
      <w:r w:rsidRPr="008314EA">
        <w:rPr>
          <w:rFonts w:ascii="Palatino Linotype" w:eastAsia="Palatino Linotype" w:hAnsi="Palatino Linotype" w:cs="Palatino Linotype"/>
          <w:color w:val="000000" w:themeColor="text1"/>
        </w:rPr>
        <w:t xml:space="preserve"> de la presente Resolución.</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keepNext/>
        <w:keepLines/>
        <w:spacing w:after="160" w:line="360" w:lineRule="auto"/>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t>QUINTO. De la versión pública.</w:t>
      </w:r>
    </w:p>
    <w:p w:rsidR="0020369F" w:rsidRPr="008314EA" w:rsidRDefault="001E21FA" w:rsidP="008314EA">
      <w:pPr>
        <w:keepNext/>
        <w:keepLines/>
        <w:numPr>
          <w:ilvl w:val="0"/>
          <w:numId w:val="4"/>
        </w:numPr>
        <w:tabs>
          <w:tab w:val="left" w:pos="284"/>
        </w:tabs>
        <w:spacing w:after="160" w:line="360" w:lineRule="auto"/>
        <w:ind w:left="0" w:firstLine="0"/>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t xml:space="preserve">Nociones generales. </w:t>
      </w: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Debido a la información solicitada por el </w:t>
      </w:r>
      <w:r w:rsidRPr="008314EA">
        <w:rPr>
          <w:rFonts w:ascii="Palatino Linotype" w:eastAsia="Palatino Linotype" w:hAnsi="Palatino Linotype" w:cs="Palatino Linotype"/>
          <w:b/>
          <w:color w:val="000000" w:themeColor="text1"/>
        </w:rPr>
        <w:t>RECURRENTE</w:t>
      </w:r>
      <w:r w:rsidRPr="008314EA">
        <w:rPr>
          <w:rFonts w:ascii="Palatino Linotype" w:eastAsia="Palatino Linotype" w:hAnsi="Palatino Linotype" w:cs="Palatino Linotype"/>
          <w:color w:val="000000" w:themeColor="text1"/>
        </w:rPr>
        <w:t xml:space="preserve">, obran datos personales susceptibles de </w:t>
      </w:r>
      <w:r w:rsidRPr="008314EA">
        <w:rPr>
          <w:rFonts w:ascii="Palatino Linotype" w:eastAsia="Palatino Linotype" w:hAnsi="Palatino Linotype" w:cs="Palatino Linotype"/>
          <w:b/>
          <w:color w:val="000000" w:themeColor="text1"/>
        </w:rPr>
        <w:t>protegerse</w:t>
      </w:r>
      <w:r w:rsidRPr="008314EA">
        <w:rPr>
          <w:rFonts w:ascii="Palatino Linotype" w:eastAsia="Palatino Linotype" w:hAnsi="Palatino Linotype" w:cs="Palatino Linotype"/>
          <w:color w:val="000000" w:themeColor="text1"/>
        </w:rPr>
        <w:t>, así como información susceptible de clasificarse como confidencial</w:t>
      </w:r>
      <w:r w:rsidR="004E58C5" w:rsidRPr="008314EA">
        <w:rPr>
          <w:rFonts w:ascii="Palatino Linotype" w:eastAsia="Palatino Linotype" w:hAnsi="Palatino Linotype" w:cs="Palatino Linotype"/>
          <w:color w:val="000000" w:themeColor="text1"/>
        </w:rPr>
        <w:t>, por</w:t>
      </w:r>
      <w:r w:rsidRPr="008314EA">
        <w:rPr>
          <w:rFonts w:ascii="Palatino Linotype" w:eastAsia="Palatino Linotype" w:hAnsi="Palatino Linotype" w:cs="Palatino Linotype"/>
          <w:color w:val="000000" w:themeColor="text1"/>
        </w:rPr>
        <w:t xml:space="preserve"> lo que, el </w:t>
      </w:r>
      <w:r w:rsidRPr="008314EA">
        <w:rPr>
          <w:rFonts w:ascii="Palatino Linotype" w:eastAsia="Palatino Linotype" w:hAnsi="Palatino Linotype" w:cs="Palatino Linotype"/>
          <w:b/>
          <w:color w:val="000000" w:themeColor="text1"/>
        </w:rPr>
        <w:t xml:space="preserve">SUJETO OBLIGADO </w:t>
      </w:r>
      <w:r w:rsidRPr="008314EA">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20369F" w:rsidRPr="008314EA" w:rsidRDefault="0020369F" w:rsidP="008314EA">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No pasa desapercibido para este Órgano Garante que los sujetos obligados</w:t>
      </w:r>
      <w:r w:rsidRPr="008314EA">
        <w:rPr>
          <w:rFonts w:ascii="Palatino Linotype" w:eastAsia="Palatino Linotype" w:hAnsi="Palatino Linotype" w:cs="Palatino Linotype"/>
          <w:b/>
          <w:color w:val="000000" w:themeColor="text1"/>
        </w:rPr>
        <w:t xml:space="preserve"> </w:t>
      </w:r>
      <w:r w:rsidRPr="008314EA">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20369F" w:rsidRPr="008314EA" w:rsidRDefault="0020369F" w:rsidP="008314EA">
      <w:pPr>
        <w:tabs>
          <w:tab w:val="left" w:pos="284"/>
        </w:tabs>
        <w:spacing w:after="160" w:line="360" w:lineRule="auto"/>
        <w:jc w:val="both"/>
        <w:rPr>
          <w:rFonts w:ascii="Palatino Linotype" w:eastAsia="Palatino Linotype" w:hAnsi="Palatino Linotype" w:cs="Palatino Linotype"/>
          <w:color w:val="000000" w:themeColor="text1"/>
        </w:rPr>
      </w:pPr>
    </w:p>
    <w:tbl>
      <w:tblPr>
        <w:tblStyle w:val="a0"/>
        <w:tblW w:w="991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229"/>
      </w:tblGrid>
      <w:tr w:rsidR="008314EA" w:rsidRPr="008314EA" w:rsidTr="009E6824">
        <w:tc>
          <w:tcPr>
            <w:tcW w:w="2689" w:type="dxa"/>
          </w:tcPr>
          <w:p w:rsidR="0020369F" w:rsidRPr="008314EA" w:rsidRDefault="001E21FA" w:rsidP="008314EA">
            <w:pPr>
              <w:tabs>
                <w:tab w:val="left" w:pos="284"/>
              </w:tabs>
              <w:spacing w:line="360" w:lineRule="auto"/>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t>a) Requisitos previos.</w:t>
            </w:r>
          </w:p>
        </w:tc>
        <w:tc>
          <w:tcPr>
            <w:tcW w:w="7229" w:type="dxa"/>
          </w:tcPr>
          <w:p w:rsidR="0020369F" w:rsidRPr="008314EA" w:rsidRDefault="001E21FA" w:rsidP="008314EA">
            <w:pPr>
              <w:tabs>
                <w:tab w:val="left" w:pos="284"/>
              </w:tabs>
              <w:spacing w:line="360" w:lineRule="auto"/>
              <w:jc w:val="both"/>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w:t>
            </w:r>
            <w:r w:rsidRPr="008314EA">
              <w:rPr>
                <w:rFonts w:ascii="Palatino Linotype" w:eastAsia="Palatino Linotype" w:hAnsi="Palatino Linotype" w:cs="Palatino Linotype"/>
                <w:b/>
                <w:color w:val="000000" w:themeColor="text1"/>
              </w:rPr>
              <w:lastRenderedPageBreak/>
              <w:t xml:space="preserve">determinan que la información actualiza alguno de los supuestos de clasificación, es deber de los titulares de las áreas proponer su clasificación y no del Comité de Transparencia. </w:t>
            </w:r>
          </w:p>
          <w:p w:rsidR="0020369F" w:rsidRPr="008314EA" w:rsidRDefault="001E21FA" w:rsidP="008314EA">
            <w:pPr>
              <w:tabs>
                <w:tab w:val="left" w:pos="284"/>
              </w:tabs>
              <w:spacing w:line="360" w:lineRule="auto"/>
              <w:jc w:val="both"/>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20369F" w:rsidRPr="008314EA" w:rsidRDefault="001E21FA" w:rsidP="008314EA">
            <w:pPr>
              <w:tabs>
                <w:tab w:val="left" w:pos="284"/>
              </w:tabs>
              <w:spacing w:line="360" w:lineRule="auto"/>
              <w:jc w:val="both"/>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20369F" w:rsidRPr="008314EA" w:rsidRDefault="001E21FA" w:rsidP="008314EA">
            <w:pPr>
              <w:tabs>
                <w:tab w:val="left" w:pos="284"/>
              </w:tabs>
              <w:spacing w:line="360" w:lineRule="auto"/>
              <w:jc w:val="both"/>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8314EA">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8314EA">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8314EA" w:rsidRPr="008314EA" w:rsidTr="009E6824">
        <w:tc>
          <w:tcPr>
            <w:tcW w:w="2689" w:type="dxa"/>
          </w:tcPr>
          <w:p w:rsidR="0020369F" w:rsidRPr="008314EA" w:rsidRDefault="001E21FA" w:rsidP="008314EA">
            <w:pPr>
              <w:tabs>
                <w:tab w:val="left" w:pos="284"/>
              </w:tabs>
              <w:spacing w:line="360" w:lineRule="auto"/>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lastRenderedPageBreak/>
              <w:t>b) Supuestos de clasificación.</w:t>
            </w:r>
          </w:p>
        </w:tc>
        <w:tc>
          <w:tcPr>
            <w:tcW w:w="7229" w:type="dxa"/>
          </w:tcPr>
          <w:p w:rsidR="0020369F" w:rsidRPr="008314EA" w:rsidRDefault="001E21FA" w:rsidP="008314EA">
            <w:pPr>
              <w:tabs>
                <w:tab w:val="left" w:pos="284"/>
              </w:tabs>
              <w:spacing w:line="360" w:lineRule="auto"/>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20369F" w:rsidRPr="008314EA" w:rsidRDefault="001E21FA" w:rsidP="008314EA">
            <w:pPr>
              <w:tabs>
                <w:tab w:val="left" w:pos="284"/>
              </w:tabs>
              <w:spacing w:line="360" w:lineRule="auto"/>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w:t>
            </w:r>
            <w:r w:rsidRPr="008314EA">
              <w:rPr>
                <w:rFonts w:ascii="Palatino Linotype" w:eastAsia="Palatino Linotype" w:hAnsi="Palatino Linotype" w:cs="Palatino Linotype"/>
                <w:color w:val="000000" w:themeColor="text1"/>
              </w:rPr>
              <w:lastRenderedPageBreak/>
              <w:t>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20369F" w:rsidRPr="008314EA" w:rsidRDefault="001E21FA" w:rsidP="008314EA">
            <w:pPr>
              <w:tabs>
                <w:tab w:val="left" w:pos="284"/>
              </w:tabs>
              <w:spacing w:line="360" w:lineRule="auto"/>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El </w:t>
            </w:r>
            <w:r w:rsidRPr="008314EA">
              <w:rPr>
                <w:rFonts w:ascii="Palatino Linotype" w:eastAsia="Palatino Linotype" w:hAnsi="Palatino Linotype" w:cs="Palatino Linotype"/>
                <w:b/>
                <w:color w:val="000000" w:themeColor="text1"/>
              </w:rPr>
              <w:t>Sujeto Obligado</w:t>
            </w:r>
            <w:r w:rsidRPr="008314EA">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314EA" w:rsidRPr="008314EA" w:rsidTr="009E6824">
        <w:tc>
          <w:tcPr>
            <w:tcW w:w="2689" w:type="dxa"/>
          </w:tcPr>
          <w:p w:rsidR="0020369F" w:rsidRPr="008314EA" w:rsidRDefault="001E21FA" w:rsidP="008314EA">
            <w:pPr>
              <w:tabs>
                <w:tab w:val="left" w:pos="284"/>
              </w:tabs>
              <w:spacing w:line="360" w:lineRule="auto"/>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lastRenderedPageBreak/>
              <w:t>c) Formalidades para emitir el acuerdo de clasificación.</w:t>
            </w:r>
          </w:p>
        </w:tc>
        <w:tc>
          <w:tcPr>
            <w:tcW w:w="7229" w:type="dxa"/>
          </w:tcPr>
          <w:p w:rsidR="0020369F" w:rsidRPr="008314EA" w:rsidRDefault="001E21FA" w:rsidP="008314EA">
            <w:pPr>
              <w:tabs>
                <w:tab w:val="left" w:pos="284"/>
              </w:tabs>
              <w:spacing w:line="360" w:lineRule="auto"/>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20369F" w:rsidRPr="008314EA" w:rsidRDefault="001E21FA" w:rsidP="008314EA">
            <w:pPr>
              <w:tabs>
                <w:tab w:val="left" w:pos="284"/>
              </w:tabs>
              <w:spacing w:line="360" w:lineRule="auto"/>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Es necesario que </w:t>
            </w:r>
            <w:r w:rsidRPr="008314EA">
              <w:rPr>
                <w:rFonts w:ascii="Palatino Linotype" w:eastAsia="Palatino Linotype" w:hAnsi="Palatino Linotype" w:cs="Palatino Linotype"/>
                <w:b/>
                <w:color w:val="000000" w:themeColor="text1"/>
                <w:u w:val="single"/>
              </w:rPr>
              <w:t>el acto reúna con los requisitos elementales</w:t>
            </w:r>
            <w:r w:rsidRPr="008314EA">
              <w:rPr>
                <w:rFonts w:ascii="Palatino Linotype" w:eastAsia="Palatino Linotype" w:hAnsi="Palatino Linotype" w:cs="Palatino Linotype"/>
                <w:color w:val="000000" w:themeColor="text1"/>
              </w:rPr>
              <w:t>, entre ellos, que la autoridad que va a emitir el acto de autoridad sea la legalmente facultada para ello.</w:t>
            </w:r>
          </w:p>
          <w:p w:rsidR="0020369F" w:rsidRPr="008314EA" w:rsidRDefault="001E21FA" w:rsidP="008314EA">
            <w:pPr>
              <w:tabs>
                <w:tab w:val="left" w:pos="284"/>
              </w:tabs>
              <w:spacing w:line="360" w:lineRule="auto"/>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w:t>
            </w:r>
            <w:r w:rsidRPr="008314EA">
              <w:rPr>
                <w:rFonts w:ascii="Palatino Linotype" w:eastAsia="Palatino Linotype" w:hAnsi="Palatino Linotype" w:cs="Palatino Linotype"/>
                <w:color w:val="000000" w:themeColor="text1"/>
              </w:rPr>
              <w:lastRenderedPageBreak/>
              <w:t>previamente por los titulares de áreas y que son sujetas a control, en primera instancia, por el Comité de Transparencia.</w:t>
            </w:r>
          </w:p>
        </w:tc>
      </w:tr>
      <w:tr w:rsidR="008314EA" w:rsidRPr="008314EA" w:rsidTr="009E6824">
        <w:tc>
          <w:tcPr>
            <w:tcW w:w="2689" w:type="dxa"/>
          </w:tcPr>
          <w:p w:rsidR="0020369F" w:rsidRPr="008314EA" w:rsidRDefault="0020369F" w:rsidP="008314EA">
            <w:pPr>
              <w:tabs>
                <w:tab w:val="left" w:pos="284"/>
              </w:tabs>
              <w:spacing w:line="360" w:lineRule="auto"/>
              <w:rPr>
                <w:rFonts w:ascii="Palatino Linotype" w:eastAsia="Palatino Linotype" w:hAnsi="Palatino Linotype" w:cs="Palatino Linotype"/>
                <w:b/>
                <w:color w:val="000000" w:themeColor="text1"/>
              </w:rPr>
            </w:pPr>
          </w:p>
          <w:p w:rsidR="0020369F" w:rsidRPr="008314EA" w:rsidRDefault="001E21FA" w:rsidP="008314EA">
            <w:pPr>
              <w:tabs>
                <w:tab w:val="left" w:pos="284"/>
              </w:tabs>
              <w:spacing w:line="360" w:lineRule="auto"/>
              <w:jc w:val="both"/>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t xml:space="preserve">d) Requisitos de fondo del acuerdo de clasificación. </w:t>
            </w:r>
          </w:p>
        </w:tc>
        <w:tc>
          <w:tcPr>
            <w:tcW w:w="7229" w:type="dxa"/>
          </w:tcPr>
          <w:p w:rsidR="0020369F" w:rsidRPr="008314EA" w:rsidRDefault="001E21FA" w:rsidP="008314EA">
            <w:pPr>
              <w:tabs>
                <w:tab w:val="left" w:pos="284"/>
              </w:tabs>
              <w:spacing w:line="360" w:lineRule="auto"/>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314EA">
              <w:rPr>
                <w:rFonts w:ascii="Palatino Linotype" w:eastAsia="Palatino Linotype" w:hAnsi="Palatino Linotype" w:cs="Palatino Linotype"/>
                <w:b/>
                <w:color w:val="000000" w:themeColor="text1"/>
              </w:rPr>
              <w:t>Sujetos Obligados</w:t>
            </w:r>
            <w:r w:rsidRPr="008314EA">
              <w:rPr>
                <w:rFonts w:ascii="Palatino Linotype" w:eastAsia="Palatino Linotype" w:hAnsi="Palatino Linotype" w:cs="Palatino Linotype"/>
                <w:color w:val="000000" w:themeColor="text1"/>
              </w:rPr>
              <w:t xml:space="preserve">, por lo que deberán fundar y motivar debidamente la clasificación. </w:t>
            </w:r>
          </w:p>
          <w:p w:rsidR="0020369F" w:rsidRPr="008314EA" w:rsidRDefault="001E21FA" w:rsidP="008314EA">
            <w:pPr>
              <w:tabs>
                <w:tab w:val="left" w:pos="284"/>
              </w:tabs>
              <w:spacing w:line="360" w:lineRule="auto"/>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De lo anterior, se desprende que para una correcta </w:t>
            </w:r>
            <w:r w:rsidRPr="008314EA">
              <w:rPr>
                <w:rFonts w:ascii="Palatino Linotype" w:eastAsia="Palatino Linotype" w:hAnsi="Palatino Linotype" w:cs="Palatino Linotype"/>
                <w:b/>
                <w:color w:val="000000" w:themeColor="text1"/>
              </w:rPr>
              <w:t>clasificación total o parcial</w:t>
            </w:r>
            <w:r w:rsidRPr="008314EA">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0369F" w:rsidRPr="008314EA" w:rsidRDefault="001E21FA" w:rsidP="008314EA">
            <w:pPr>
              <w:tabs>
                <w:tab w:val="left" w:pos="284"/>
              </w:tabs>
              <w:spacing w:line="360" w:lineRule="auto"/>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20369F" w:rsidRPr="008314EA" w:rsidRDefault="001E21FA" w:rsidP="008314EA">
            <w:pPr>
              <w:tabs>
                <w:tab w:val="left" w:pos="284"/>
              </w:tabs>
              <w:spacing w:line="360" w:lineRule="auto"/>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lastRenderedPageBreak/>
              <w:t>En ese mismo sentido, el numeral trigésimo tercero fracción V de los Lineamientos Generales, precisa que para motivar la clasificación se deben acreditar las circunstancias de tiempo, modo y lugar.</w:t>
            </w:r>
          </w:p>
          <w:p w:rsidR="0020369F" w:rsidRPr="008314EA" w:rsidRDefault="001E21FA" w:rsidP="008314EA">
            <w:pPr>
              <w:tabs>
                <w:tab w:val="left" w:pos="284"/>
              </w:tabs>
              <w:spacing w:line="360" w:lineRule="auto"/>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Ahora bien, </w:t>
            </w:r>
            <w:r w:rsidRPr="008314EA">
              <w:rPr>
                <w:rFonts w:ascii="Palatino Linotype" w:eastAsia="Palatino Linotype" w:hAnsi="Palatino Linotype" w:cs="Palatino Linotype"/>
                <w:b/>
                <w:color w:val="000000" w:themeColor="text1"/>
                <w:u w:val="single"/>
              </w:rPr>
              <w:t>para cada caso además de fundar y motivar</w:t>
            </w:r>
            <w:r w:rsidRPr="008314EA">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0369F" w:rsidRPr="008314EA" w:rsidTr="009E6824">
        <w:tc>
          <w:tcPr>
            <w:tcW w:w="2689" w:type="dxa"/>
          </w:tcPr>
          <w:p w:rsidR="0020369F" w:rsidRPr="008314EA" w:rsidRDefault="001E21FA" w:rsidP="008314EA">
            <w:pPr>
              <w:tabs>
                <w:tab w:val="left" w:pos="284"/>
              </w:tabs>
              <w:spacing w:line="360" w:lineRule="auto"/>
              <w:jc w:val="both"/>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229" w:type="dxa"/>
          </w:tcPr>
          <w:p w:rsidR="0020369F" w:rsidRPr="008314EA" w:rsidRDefault="001E21FA" w:rsidP="008314EA">
            <w:pPr>
              <w:tabs>
                <w:tab w:val="left" w:pos="284"/>
              </w:tabs>
              <w:spacing w:line="360" w:lineRule="auto"/>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20369F" w:rsidRPr="008314EA" w:rsidRDefault="001E21FA" w:rsidP="008314EA">
            <w:pPr>
              <w:tabs>
                <w:tab w:val="left" w:pos="284"/>
              </w:tabs>
              <w:spacing w:line="360" w:lineRule="auto"/>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0369F" w:rsidRPr="008314EA" w:rsidRDefault="001E21FA" w:rsidP="008314EA">
            <w:pPr>
              <w:tabs>
                <w:tab w:val="left" w:pos="284"/>
              </w:tabs>
              <w:spacing w:line="360" w:lineRule="auto"/>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datos </w:t>
            </w:r>
            <w:r w:rsidRPr="008314EA">
              <w:rPr>
                <w:rFonts w:ascii="Palatino Linotype" w:eastAsia="Palatino Linotype" w:hAnsi="Palatino Linotype" w:cs="Palatino Linotype"/>
                <w:color w:val="000000" w:themeColor="text1"/>
              </w:rPr>
              <w:lastRenderedPageBreak/>
              <w:t>si permite o no el acceso. De no ser posible, la realización de la consulta, procede, fundando y motivando, la clasificación.</w:t>
            </w:r>
          </w:p>
        </w:tc>
      </w:tr>
    </w:tbl>
    <w:p w:rsidR="0020369F" w:rsidRPr="008314EA" w:rsidRDefault="0020369F" w:rsidP="008314EA">
      <w:pPr>
        <w:tabs>
          <w:tab w:val="left" w:pos="284"/>
        </w:tabs>
        <w:spacing w:line="360" w:lineRule="auto"/>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Se debe de puntualizar que los recibos de nómina y/o comprobantes de pago de cualquier índole, contienen datos personales de los servidores públicos o empleados,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y la seguridad de dichas personas.</w:t>
      </w:r>
    </w:p>
    <w:p w:rsidR="0020369F" w:rsidRPr="008314EA" w:rsidRDefault="0020369F" w:rsidP="008314EA">
      <w:pPr>
        <w:tabs>
          <w:tab w:val="left" w:pos="284"/>
        </w:tabs>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Por cuanto hace al </w:t>
      </w:r>
      <w:r w:rsidRPr="008314EA">
        <w:rPr>
          <w:rFonts w:ascii="Palatino Linotype" w:eastAsia="Palatino Linotype" w:hAnsi="Palatino Linotype" w:cs="Palatino Linotype"/>
          <w:b/>
          <w:color w:val="000000" w:themeColor="text1"/>
        </w:rPr>
        <w:t>Registro Federal de Contribuyentes (RFC),</w:t>
      </w:r>
      <w:r w:rsidRPr="008314EA">
        <w:rPr>
          <w:rFonts w:ascii="Palatino Linotype" w:eastAsia="Palatino Linotype" w:hAnsi="Palatino Linotype" w:cs="Palatino Linotype"/>
          <w:color w:val="000000" w:themeColor="text1"/>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20369F" w:rsidRPr="008314EA" w:rsidRDefault="0020369F" w:rsidP="008314EA">
      <w:pPr>
        <w:tabs>
          <w:tab w:val="left" w:pos="284"/>
        </w:tabs>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20369F" w:rsidRPr="008314EA" w:rsidRDefault="0020369F" w:rsidP="008314EA">
      <w:pPr>
        <w:tabs>
          <w:tab w:val="left" w:pos="284"/>
        </w:tabs>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Lo anterior es compartido por el entonces Instituto Federal de Acceso a la Información Pública y Protección de Datos Personales (IFAI) a través del Criterio orientador 19/17, el cual es del tenor literal siguiente:</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t>“Registro Federal de Contribuyentes (RFC) de personas físicas</w:t>
      </w:r>
      <w:r w:rsidRPr="008314EA">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20369F" w:rsidRPr="008314EA" w:rsidRDefault="0020369F" w:rsidP="008314EA">
      <w:pPr>
        <w:jc w:val="both"/>
        <w:rPr>
          <w:rFonts w:ascii="Palatino Linotype" w:eastAsia="Palatino Linotype" w:hAnsi="Palatino Linotype" w:cs="Palatino Linotype"/>
          <w:i/>
          <w:color w:val="000000" w:themeColor="text1"/>
        </w:rPr>
      </w:pPr>
    </w:p>
    <w:p w:rsidR="0020369F" w:rsidRPr="008314EA" w:rsidRDefault="0020369F" w:rsidP="008314EA">
      <w:pPr>
        <w:jc w:val="both"/>
        <w:rPr>
          <w:rFonts w:ascii="Palatino Linotype" w:eastAsia="Palatino Linotype" w:hAnsi="Palatino Linotype" w:cs="Palatino Linotype"/>
          <w:i/>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Así, el </w:t>
      </w:r>
      <w:r w:rsidRPr="008314EA">
        <w:rPr>
          <w:rFonts w:ascii="Palatino Linotype" w:eastAsia="Palatino Linotype" w:hAnsi="Palatino Linotype" w:cs="Palatino Linotype"/>
          <w:b/>
          <w:color w:val="000000" w:themeColor="text1"/>
        </w:rPr>
        <w:t>Registro Federal de Contribuyentes, RFC</w:t>
      </w:r>
      <w:r w:rsidRPr="008314EA">
        <w:rPr>
          <w:rFonts w:ascii="Palatino Linotype" w:eastAsia="Palatino Linotype" w:hAnsi="Palatino Linotype" w:cs="Palatino Linotype"/>
          <w:color w:val="000000" w:themeColor="text1"/>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20369F" w:rsidRPr="008314EA" w:rsidRDefault="0020369F" w:rsidP="008314EA">
      <w:pPr>
        <w:tabs>
          <w:tab w:val="left" w:pos="284"/>
        </w:tabs>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De igual manera la </w:t>
      </w:r>
      <w:r w:rsidRPr="008314EA">
        <w:rPr>
          <w:rFonts w:ascii="Palatino Linotype" w:eastAsia="Palatino Linotype" w:hAnsi="Palatino Linotype" w:cs="Palatino Linotype"/>
          <w:b/>
          <w:color w:val="000000" w:themeColor="text1"/>
        </w:rPr>
        <w:t>Clave Única de Registro de Población (CURP),</w:t>
      </w:r>
      <w:r w:rsidRPr="008314EA">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w:t>
      </w:r>
      <w:r w:rsidRPr="008314EA">
        <w:rPr>
          <w:rFonts w:ascii="Palatino Linotype" w:eastAsia="Palatino Linotype" w:hAnsi="Palatino Linotype" w:cs="Palatino Linotype"/>
          <w:color w:val="000000" w:themeColor="text1"/>
        </w:rPr>
        <w:lastRenderedPageBreak/>
        <w:t>nacimiento; información que permite distinguirlo del resto de los habitantes, por tal motivo, se considera que es de carácter confidencial.</w:t>
      </w:r>
    </w:p>
    <w:p w:rsidR="0020369F" w:rsidRPr="008314EA" w:rsidRDefault="0020369F" w:rsidP="008314EA">
      <w:pPr>
        <w:tabs>
          <w:tab w:val="left" w:pos="284"/>
        </w:tabs>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Argumento que es compartido por el Instituto Nacional de Transparencia, Acceso a la Información y Protección de Datos Personales, INAI, conforme al criterio orientador 18/17, el cual refiere: </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t xml:space="preserve">“Clave Única de Registro de Población (CURP). </w:t>
      </w:r>
      <w:r w:rsidRPr="008314EA">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0369F" w:rsidRPr="008314EA" w:rsidRDefault="0020369F" w:rsidP="008314EA">
      <w:pPr>
        <w:jc w:val="both"/>
        <w:rPr>
          <w:rFonts w:ascii="Palatino Linotype" w:eastAsia="Palatino Linotype" w:hAnsi="Palatino Linotype" w:cs="Palatino Linotype"/>
          <w:i/>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Por cuanto hace a la </w:t>
      </w:r>
      <w:r w:rsidRPr="008314EA">
        <w:rPr>
          <w:rFonts w:ascii="Palatino Linotype" w:eastAsia="Palatino Linotype" w:hAnsi="Palatino Linotype" w:cs="Palatino Linotype"/>
          <w:b/>
          <w:color w:val="000000" w:themeColor="text1"/>
        </w:rPr>
        <w:t>Clave de cualquier tipo de seguridad social (ISSEMyM, u otros</w:t>
      </w:r>
      <w:r w:rsidRPr="008314EA">
        <w:rPr>
          <w:rFonts w:ascii="Palatino Linotype" w:eastAsia="Palatino Linotype" w:hAnsi="Palatino Linotype" w:cs="Palatino Linotype"/>
          <w:color w:val="000000" w:themeColor="text1"/>
        </w:rPr>
        <w:t>),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20369F" w:rsidRPr="008314EA" w:rsidRDefault="0020369F" w:rsidP="008314EA">
      <w:pPr>
        <w:tabs>
          <w:tab w:val="left" w:pos="284"/>
        </w:tabs>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Respecto de los </w:t>
      </w:r>
      <w:r w:rsidRPr="008314EA">
        <w:rPr>
          <w:rFonts w:ascii="Palatino Linotype" w:eastAsia="Palatino Linotype" w:hAnsi="Palatino Linotype" w:cs="Palatino Linotype"/>
          <w:b/>
          <w:color w:val="000000" w:themeColor="text1"/>
        </w:rPr>
        <w:t>préstamos o descuentos de carácter personal</w:t>
      </w:r>
      <w:r w:rsidRPr="008314EA">
        <w:rPr>
          <w:rFonts w:ascii="Palatino Linotype" w:eastAsia="Palatino Linotype" w:hAnsi="Palatino Linotype" w:cs="Palatino Linotype"/>
          <w:color w:val="000000" w:themeColor="text1"/>
        </w:rPr>
        <w:t xml:space="preserve">,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w:t>
      </w:r>
      <w:r w:rsidRPr="008314EA">
        <w:rPr>
          <w:rFonts w:ascii="Palatino Linotype" w:eastAsia="Palatino Linotype" w:hAnsi="Palatino Linotype" w:cs="Palatino Linotype"/>
          <w:color w:val="000000" w:themeColor="text1"/>
        </w:rPr>
        <w:lastRenderedPageBreak/>
        <w:t>violentaba la protección de información confidencial, porque incide en la intimidad de un individuo identificado.</w:t>
      </w:r>
    </w:p>
    <w:p w:rsidR="0020369F" w:rsidRPr="008314EA" w:rsidRDefault="0020369F" w:rsidP="008314EA">
      <w:pPr>
        <w:tabs>
          <w:tab w:val="left" w:pos="284"/>
        </w:tabs>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20369F" w:rsidRPr="008314EA" w:rsidRDefault="0020369F" w:rsidP="008314EA">
      <w:pPr>
        <w:tabs>
          <w:tab w:val="left" w:pos="284"/>
        </w:tabs>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Sirven de sustento a lo anterior, las tesis jurisprudenciales P. LX/2000 y 2a. XLIII/2008 emitidas por el Peno y la Segunda Sala de la Suprema Corte de Justicia de la Nación, respectivamente, que son del tenor literal siguiente:</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8314EA">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8314EA">
        <w:rPr>
          <w:rFonts w:ascii="Palatino Linotype" w:eastAsia="Palatino Linotype" w:hAnsi="Palatino Linotype" w:cs="Palatino Linotype"/>
          <w:b/>
          <w:i/>
          <w:color w:val="000000" w:themeColor="text1"/>
        </w:rPr>
        <w:t>restringen el acceso a la información en esta materia, en razón de que su conocimiento público puede generar daños a los intereses nacionales y, por el otro, sancionan la inobservancia de esa reserva</w:t>
      </w:r>
      <w:r w:rsidRPr="008314EA">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salud y la moral públicas, </w:t>
      </w:r>
      <w:r w:rsidRPr="008314EA">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8314EA">
        <w:rPr>
          <w:rFonts w:ascii="Palatino Linotype" w:eastAsia="Palatino Linotype" w:hAnsi="Palatino Linotype" w:cs="Palatino Linotype"/>
          <w:i/>
          <w:color w:val="000000" w:themeColor="text1"/>
        </w:rPr>
        <w:t>.”</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lastRenderedPageBreak/>
        <w:t xml:space="preserve">“TRANSPARENCIA Y ACCESO A LA INFORMACIÓN PÚBLICA GUBERNAMENTAL. EL ARTÍCULO 14, FRACCIÓN I, DE LA LEY FEDERAL RELATIVA, NO VIOLA LA GARANTÍA DE ACCESO A LA INFORMACIÓN. </w:t>
      </w:r>
      <w:r w:rsidRPr="008314EA">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8314EA">
        <w:rPr>
          <w:rFonts w:ascii="Palatino Linotype" w:eastAsia="Palatino Linotype" w:hAnsi="Palatino Linotype" w:cs="Palatino Linotype"/>
          <w:b/>
          <w:i/>
          <w:color w:val="000000" w:themeColor="text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8314EA">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20369F" w:rsidRDefault="0020369F" w:rsidP="008314EA">
      <w:pPr>
        <w:jc w:val="both"/>
        <w:rPr>
          <w:rFonts w:ascii="Palatino Linotype" w:eastAsia="Palatino Linotype" w:hAnsi="Palatino Linotype" w:cs="Palatino Linotype"/>
          <w:i/>
          <w:color w:val="000000" w:themeColor="text1"/>
        </w:rPr>
      </w:pPr>
    </w:p>
    <w:p w:rsidR="009E6824" w:rsidRPr="008314EA" w:rsidRDefault="009E6824" w:rsidP="008314EA">
      <w:pPr>
        <w:jc w:val="both"/>
        <w:rPr>
          <w:rFonts w:ascii="Palatino Linotype" w:eastAsia="Palatino Linotype" w:hAnsi="Palatino Linotype" w:cs="Palatino Linotype"/>
          <w:i/>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También, el </w:t>
      </w:r>
      <w:r w:rsidRPr="008314EA">
        <w:rPr>
          <w:rFonts w:ascii="Palatino Linotype" w:eastAsia="Palatino Linotype" w:hAnsi="Palatino Linotype" w:cs="Palatino Linotype"/>
          <w:b/>
          <w:color w:val="000000" w:themeColor="text1"/>
        </w:rPr>
        <w:t>número de cuenta bancario</w:t>
      </w:r>
      <w:r w:rsidRPr="008314EA">
        <w:rPr>
          <w:rFonts w:ascii="Palatino Linotype" w:eastAsia="Palatino Linotype" w:hAnsi="Palatino Linotype" w:cs="Palatino Linotype"/>
          <w:color w:val="000000" w:themeColor="text1"/>
        </w:rPr>
        <w:t>, conforme al el Criterio orientador 10/17 emitido por el Pleno del Instituto Nacional de Transparencia, Acceso a la Información y Protección de Datos Personales se establece lo siguiente:</w:t>
      </w:r>
    </w:p>
    <w:p w:rsidR="0020369F" w:rsidRPr="008314EA" w:rsidRDefault="001E21FA" w:rsidP="008314EA">
      <w:pPr>
        <w:shd w:val="clear" w:color="auto" w:fill="FFFFFF"/>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w:t>
      </w:r>
      <w:r w:rsidRPr="008314EA">
        <w:rPr>
          <w:rFonts w:ascii="Palatino Linotype" w:eastAsia="Palatino Linotype" w:hAnsi="Palatino Linotype" w:cs="Palatino Linotype"/>
          <w:b/>
          <w:i/>
          <w:color w:val="000000" w:themeColor="text1"/>
        </w:rPr>
        <w:t>Cuentas bancarias y/o CLABE interbancaria de personas físicas y morales privadas.</w:t>
      </w:r>
      <w:r w:rsidRPr="008314EA">
        <w:rPr>
          <w:rFonts w:ascii="Palatino Linotype" w:eastAsia="Palatino Linotype" w:hAnsi="Palatino Linotype" w:cs="Palatino Linotype"/>
          <w:i/>
          <w:color w:val="000000" w:themeColor="text1"/>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8314EA">
        <w:rPr>
          <w:rFonts w:ascii="Palatino Linotype" w:eastAsia="Palatino Linotype" w:hAnsi="Palatino Linotype" w:cs="Palatino Linotype"/>
          <w:color w:val="000000" w:themeColor="text1"/>
        </w:rPr>
        <w:t>.”</w:t>
      </w:r>
    </w:p>
    <w:p w:rsidR="0020369F" w:rsidRPr="008314EA" w:rsidRDefault="0020369F" w:rsidP="008314EA">
      <w:pPr>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lastRenderedPageBreak/>
        <w:t>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o empleado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El </w:t>
      </w:r>
      <w:r w:rsidRPr="008314EA">
        <w:rPr>
          <w:rFonts w:ascii="Palatino Linotype" w:eastAsia="Palatino Linotype" w:hAnsi="Palatino Linotype" w:cs="Palatino Linotype"/>
          <w:b/>
          <w:color w:val="000000" w:themeColor="text1"/>
        </w:rPr>
        <w:t>Código de barras bidimensional (QR</w:t>
      </w:r>
      <w:r w:rsidRPr="008314EA">
        <w:rPr>
          <w:rFonts w:ascii="Palatino Linotype" w:eastAsia="Palatino Linotype" w:hAnsi="Palatino Linotype" w:cs="Palatino Linotype"/>
          <w:color w:val="000000" w:themeColor="text1"/>
        </w:rPr>
        <w:t xml:space="preserve">), resulta necesario señalar que los comprobantes fiscales digitales por Internet, deben de incluir un código bidimensional conforme al formato QR Code (Quick Response Code), el cual contiene el Registro Federal de Contribuyentes del receptor, del emisor, o de ambos; lo anterior, conforme al Anexo 20 de la Resolución Miscelánea Fiscal para 2022, localizada en la página electrónica  </w:t>
      </w:r>
      <w:hyperlink r:id="rId9">
        <w:r w:rsidRPr="008314EA">
          <w:rPr>
            <w:rFonts w:ascii="Palatino Linotype" w:eastAsia="Palatino Linotype" w:hAnsi="Palatino Linotype" w:cs="Palatino Linotype"/>
            <w:color w:val="000000" w:themeColor="text1"/>
            <w:u w:val="single"/>
          </w:rPr>
          <w:t>http://omawww.sat.gob.mx/tramitesyservicios/paginas/documentos/anexo20_2022.pdf</w:t>
        </w:r>
      </w:hyperlink>
      <w:r w:rsidRPr="008314EA">
        <w:rPr>
          <w:rFonts w:ascii="Palatino Linotype" w:eastAsia="Palatino Linotype" w:hAnsi="Palatino Linotype" w:cs="Palatino Linotype"/>
          <w:color w:val="000000" w:themeColor="text1"/>
        </w:rPr>
        <w:t xml:space="preserve"> . Incluso con la captura de dicho código, a través de la aplicación móvil del Servicio de Administración Tributaria, permite el acceso al Registro Federal de Contribuyentes, como del Sujeto Obligado, como de la persona física o moral correspondiente.</w:t>
      </w:r>
    </w:p>
    <w:p w:rsidR="0020369F" w:rsidRPr="008314EA" w:rsidRDefault="0020369F" w:rsidP="008314EA">
      <w:pPr>
        <w:tabs>
          <w:tab w:val="left" w:pos="284"/>
        </w:tabs>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De tales circunstancias, se considera que </w:t>
      </w:r>
      <w:r w:rsidRPr="008314EA">
        <w:rPr>
          <w:rFonts w:ascii="Palatino Linotype" w:eastAsia="Palatino Linotype" w:hAnsi="Palatino Linotype" w:cs="Palatino Linotype"/>
          <w:b/>
          <w:color w:val="000000" w:themeColor="text1"/>
        </w:rPr>
        <w:t>se actualiza la causal de clasificación</w:t>
      </w:r>
      <w:r w:rsidRPr="008314EA">
        <w:rPr>
          <w:rFonts w:ascii="Palatino Linotype" w:eastAsia="Palatino Linotype" w:hAnsi="Palatino Linotype" w:cs="Palatino Linotype"/>
          <w:color w:val="000000" w:themeColor="text1"/>
        </w:rPr>
        <w:t xml:space="preserve"> prevista en el artículo 143, fracción I de la Ley de la materia, toda vez que el Registro Federal de Contribuyentes corresponde a los servidores públicos, pues como se señaló en párrafos anteriores el mismo hace identificable o identificada al mismo.</w:t>
      </w: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lastRenderedPageBreak/>
        <w:t xml:space="preserve">Por otra parte y respecto a la </w:t>
      </w:r>
      <w:r w:rsidRPr="008314EA">
        <w:rPr>
          <w:rFonts w:ascii="Palatino Linotype" w:eastAsia="Palatino Linotype" w:hAnsi="Palatino Linotype" w:cs="Palatino Linotype"/>
          <w:b/>
          <w:color w:val="000000" w:themeColor="text1"/>
        </w:rPr>
        <w:t>clave de seguridad social y en su caso clave o número del servidor público –trabajador</w:t>
      </w:r>
      <w:r w:rsidRPr="008314EA">
        <w:rPr>
          <w:rFonts w:ascii="Palatino Linotype" w:eastAsia="Palatino Linotype" w:hAnsi="Palatino Linotype" w:cs="Palatino Linotype"/>
          <w:color w:val="000000" w:themeColor="text1"/>
        </w:rPr>
        <w:t>-, en virtud de que su divulgación no aporta a la transparencia o a la rendición de cuentas y sí provoca una transgresión a la vida privada e intimidad de la persona, esta información también resulta ser de carácter confidencial; siendo aplicable como orientador el criterio orientador número 15/10 emitido por el entonces Instituto Federal de Transparencia y Acceso a la Información (INAI), cuyo texto y sentido literal es el siguiente:</w:t>
      </w:r>
    </w:p>
    <w:p w:rsidR="0020369F" w:rsidRPr="008314EA" w:rsidRDefault="001E21FA" w:rsidP="008314EA">
      <w:pPr>
        <w:shd w:val="clear" w:color="auto" w:fill="FFFFFF"/>
        <w:tabs>
          <w:tab w:val="left" w:pos="7938"/>
        </w:tabs>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b/>
          <w:i/>
          <w:color w:val="000000" w:themeColor="text1"/>
        </w:rPr>
        <w:t>“El número de ficha de identificación única de los trabajadores es información de carácter confidencial.</w:t>
      </w:r>
      <w:r w:rsidRPr="008314EA">
        <w:rPr>
          <w:rFonts w:ascii="Palatino Linotype" w:eastAsia="Palatino Linotype" w:hAnsi="Palatino Linotype" w:cs="Palatino Linotype"/>
          <w:i/>
          <w:color w:val="000000" w:themeColor="text1"/>
        </w:rPr>
        <w:t> </w:t>
      </w:r>
      <w:r w:rsidRPr="008314EA">
        <w:rPr>
          <w:rFonts w:ascii="Palatino Linotype" w:eastAsia="Palatino Linotype" w:hAnsi="Palatino Linotype" w:cs="Palatino Linotype"/>
          <w:i/>
          <w:color w:val="000000" w:themeColor="text1"/>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8314EA">
        <w:rPr>
          <w:rFonts w:ascii="Palatino Linotype" w:eastAsia="Palatino Linotype" w:hAnsi="Palatino Linotype" w:cs="Palatino Linotype"/>
          <w:i/>
          <w:color w:val="000000" w:themeColor="text1"/>
        </w:rPr>
        <w:t>, </w:t>
      </w:r>
      <w:r w:rsidRPr="008314EA">
        <w:rPr>
          <w:rFonts w:ascii="Palatino Linotype" w:eastAsia="Palatino Linotype" w:hAnsi="Palatino Linotype" w:cs="Palatino Linotype"/>
          <w:i/>
          <w:color w:val="000000" w:themeColor="text1"/>
          <w:u w:val="single"/>
        </w:rPr>
        <w:t>dicha información es susceptible de clasificarse con el carácter de confidencial</w:t>
      </w:r>
      <w:r w:rsidRPr="008314EA">
        <w:rPr>
          <w:rFonts w:ascii="Palatino Linotype" w:eastAsia="Palatino Linotype" w:hAnsi="Palatino Linotype" w:cs="Palatino Linotype"/>
          <w:i/>
          <w:color w:val="000000" w:themeColor="text1"/>
        </w:rPr>
        <w:t>, en términos de lo establecido en el artículo 18, fracción II de la Ley Federal de Transparencia y Acceso a la Información Pública Gubernamental, en virtud de que a través de la misma es posible conocer información personal de su titular.”</w:t>
      </w:r>
    </w:p>
    <w:p w:rsidR="0020369F" w:rsidRPr="008314EA" w:rsidRDefault="0020369F" w:rsidP="008314EA">
      <w:pPr>
        <w:shd w:val="clear" w:color="auto" w:fill="FFFFFF"/>
        <w:jc w:val="both"/>
        <w:rPr>
          <w:rFonts w:ascii="Palatino Linotype" w:eastAsia="Palatino Linotype" w:hAnsi="Palatino Linotype" w:cs="Palatino Linotype"/>
          <w:i/>
          <w:color w:val="000000" w:themeColor="text1"/>
        </w:rPr>
      </w:pPr>
    </w:p>
    <w:p w:rsidR="0020369F" w:rsidRPr="008314EA" w:rsidRDefault="0020369F" w:rsidP="008314EA">
      <w:pPr>
        <w:shd w:val="clear" w:color="auto" w:fill="FFFFFF"/>
        <w:jc w:val="both"/>
        <w:rPr>
          <w:rFonts w:ascii="Palatino Linotype" w:eastAsia="Palatino Linotype" w:hAnsi="Palatino Linotype" w:cs="Palatino Linotype"/>
          <w:i/>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Ahora bien, también es necesario indicar que </w:t>
      </w:r>
      <w:r w:rsidRPr="008314EA">
        <w:rPr>
          <w:rFonts w:ascii="Palatino Linotype" w:eastAsia="Palatino Linotype" w:hAnsi="Palatino Linotype" w:cs="Palatino Linotype"/>
          <w:b/>
          <w:color w:val="000000" w:themeColor="text1"/>
        </w:rPr>
        <w:t>hay información</w:t>
      </w:r>
      <w:r w:rsidRPr="008314EA">
        <w:rPr>
          <w:rFonts w:ascii="Palatino Linotype" w:eastAsia="Palatino Linotype" w:hAnsi="Palatino Linotype" w:cs="Palatino Linotype"/>
          <w:color w:val="000000" w:themeColor="text1"/>
        </w:rPr>
        <w:t xml:space="preserve"> dentro de los recibos de nómina </w:t>
      </w:r>
      <w:r w:rsidRPr="008314EA">
        <w:rPr>
          <w:rFonts w:ascii="Palatino Linotype" w:eastAsia="Palatino Linotype" w:hAnsi="Palatino Linotype" w:cs="Palatino Linotype"/>
          <w:b/>
          <w:color w:val="000000" w:themeColor="text1"/>
        </w:rPr>
        <w:t xml:space="preserve">que </w:t>
      </w:r>
      <w:r w:rsidRPr="008314EA">
        <w:rPr>
          <w:rFonts w:ascii="Palatino Linotype" w:eastAsia="Palatino Linotype" w:hAnsi="Palatino Linotype" w:cs="Palatino Linotype"/>
          <w:b/>
          <w:color w:val="000000" w:themeColor="text1"/>
          <w:u w:val="single"/>
        </w:rPr>
        <w:t>no contienen datos personales</w:t>
      </w:r>
      <w:r w:rsidRPr="008314EA">
        <w:rPr>
          <w:rFonts w:ascii="Palatino Linotype" w:eastAsia="Palatino Linotype" w:hAnsi="Palatino Linotype" w:cs="Palatino Linotype"/>
          <w:color w:val="000000" w:themeColor="text1"/>
        </w:rPr>
        <w:t xml:space="preserve">, mismos que deberá tener en cuenta el </w:t>
      </w:r>
      <w:r w:rsidRPr="008314EA">
        <w:rPr>
          <w:rFonts w:ascii="Palatino Linotype" w:eastAsia="Palatino Linotype" w:hAnsi="Palatino Linotype" w:cs="Palatino Linotype"/>
          <w:b/>
          <w:color w:val="000000" w:themeColor="text1"/>
        </w:rPr>
        <w:t xml:space="preserve">SUJETO OBLIGADO </w:t>
      </w:r>
      <w:r w:rsidRPr="008314EA">
        <w:rPr>
          <w:rFonts w:ascii="Palatino Linotype" w:eastAsia="Palatino Linotype" w:hAnsi="Palatino Linotype" w:cs="Palatino Linotype"/>
          <w:color w:val="000000" w:themeColor="text1"/>
        </w:rPr>
        <w:t>para el entrega de los recibos de nómina que se ordenan en el presenta recurso de revisión.</w:t>
      </w:r>
    </w:p>
    <w:p w:rsidR="0020369F" w:rsidRPr="008314EA" w:rsidRDefault="0020369F" w:rsidP="008314EA">
      <w:pPr>
        <w:tabs>
          <w:tab w:val="left" w:pos="284"/>
        </w:tabs>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Por cuanto hace al</w:t>
      </w:r>
      <w:r w:rsidRPr="008314EA">
        <w:rPr>
          <w:rFonts w:ascii="Palatino Linotype" w:eastAsia="Palatino Linotype" w:hAnsi="Palatino Linotype" w:cs="Palatino Linotype"/>
          <w:b/>
          <w:color w:val="000000" w:themeColor="text1"/>
        </w:rPr>
        <w:t xml:space="preserve"> Folio Fiscal</w:t>
      </w:r>
      <w:r w:rsidRPr="008314EA">
        <w:rPr>
          <w:rFonts w:ascii="Palatino Linotype" w:eastAsia="Palatino Linotype" w:hAnsi="Palatino Linotype" w:cs="Palatino Linotype"/>
          <w:color w:val="000000" w:themeColor="text1"/>
        </w:rPr>
        <w:t xml:space="preserve">, cabe precisar que conforme a la Resolución Miscelánea Fiscal para 2025, el folio fiscal es un dato que deben contener los CDFI por concepto de nómina. Dicho dato es un identificador individual de cada factura o comprobante electrónico. El objetivo del Folio es prevenir los fraudes o falsificaciones, ya que contiene códigos o claves únicas de cada comprobante fiscal, de tal manera que se puede comprobar si la factura fue </w:t>
      </w:r>
      <w:r w:rsidRPr="008314EA">
        <w:rPr>
          <w:rFonts w:ascii="Palatino Linotype" w:eastAsia="Palatino Linotype" w:hAnsi="Palatino Linotype" w:cs="Palatino Linotype"/>
          <w:color w:val="000000" w:themeColor="text1"/>
        </w:rPr>
        <w:lastRenderedPageBreak/>
        <w:t>certificada por el SAT. El Folio Fiscal está compuesto por 32 dígitos hexadecimales, mostrados en 5 grupos separados por guiones.</w:t>
      </w:r>
    </w:p>
    <w:p w:rsidR="0020369F" w:rsidRPr="008314EA" w:rsidRDefault="0020369F" w:rsidP="008314EA">
      <w:pPr>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La Guía de llenado del comprobante del recibo de pago de nómina y su complemento Aplicable para la versión 4.0 del CFDI y el complemento de nómina versión 1.2. muestra la Representación gráfica del CFDI por concepto de nómina en donde se aprecia el Folio Fiscal:</w:t>
      </w:r>
    </w:p>
    <w:p w:rsidR="0020369F" w:rsidRPr="008314EA" w:rsidRDefault="001E21FA" w:rsidP="008314EA">
      <w:pPr>
        <w:jc w:val="center"/>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noProof/>
          <w:color w:val="000000" w:themeColor="text1"/>
          <w:lang w:val="es-MX"/>
        </w:rPr>
        <w:drawing>
          <wp:inline distT="0" distB="0" distL="0" distR="0">
            <wp:extent cx="4513132" cy="815998"/>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513132" cy="815998"/>
                    </a:xfrm>
                    <a:prstGeom prst="rect">
                      <a:avLst/>
                    </a:prstGeom>
                    <a:ln/>
                  </pic:spPr>
                </pic:pic>
              </a:graphicData>
            </a:graphic>
          </wp:inline>
        </w:drawing>
      </w:r>
    </w:p>
    <w:p w:rsidR="0020369F" w:rsidRPr="008314EA" w:rsidRDefault="0020369F" w:rsidP="008314EA">
      <w:pPr>
        <w:jc w:val="center"/>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El Anexo 20 Guía de llenado de los comprobantes fiscales digitales por Internet, actualizado al 08 de marzo del 2023, señala que se debe registrar el folio fiscal (UUID) de un comprobante fiscal relacionado con el presente comprobante. Ejemplo: UUID= 5FB2822E-396D-4725-8521-CDC4BDD20CCF</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En ese contexto, el folio fiscal, no contiene datos personales y tampoco se puede obtener información confidencial con el mismo, pues solamente es un identificador del emisor, del cual su transparencia ayuda a legitimar que el documento cumple con todos los requisitos establecidos en la normatividad aplicable, sin necesidad de algún dato personal, por lo que, no se actualiza la clasificación, en términos del artículo 143, fracción I de la Ley de la materia.</w:t>
      </w:r>
    </w:p>
    <w:p w:rsidR="0020369F" w:rsidRPr="008314EA" w:rsidRDefault="0020369F" w:rsidP="008314EA">
      <w:pPr>
        <w:spacing w:line="360" w:lineRule="auto"/>
        <w:jc w:val="both"/>
        <w:rPr>
          <w:rFonts w:ascii="Palatino Linotype" w:eastAsia="Palatino Linotype" w:hAnsi="Palatino Linotype" w:cs="Palatino Linotype"/>
          <w:b/>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En esa línea de estudio,</w:t>
      </w:r>
      <w:r w:rsidRPr="008314EA">
        <w:rPr>
          <w:rFonts w:ascii="Palatino Linotype" w:eastAsia="Palatino Linotype" w:hAnsi="Palatino Linotype" w:cs="Palatino Linotype"/>
          <w:b/>
          <w:color w:val="000000" w:themeColor="text1"/>
        </w:rPr>
        <w:t xml:space="preserve"> las cadenas originales y sellos digitales</w:t>
      </w:r>
      <w:r w:rsidRPr="008314EA">
        <w:rPr>
          <w:rFonts w:ascii="Palatino Linotype" w:eastAsia="Palatino Linotype" w:hAnsi="Palatino Linotype" w:cs="Palatino Linotype"/>
          <w:color w:val="000000" w:themeColor="text1"/>
        </w:rPr>
        <w:t xml:space="preserve">, tienen una secuencia de generación, determinados con base en el Anexo 20 de la Resolución Miscelánea Fiscal para </w:t>
      </w:r>
      <w:r w:rsidRPr="008314EA">
        <w:rPr>
          <w:rFonts w:ascii="Palatino Linotype" w:eastAsia="Palatino Linotype" w:hAnsi="Palatino Linotype" w:cs="Palatino Linotype"/>
          <w:color w:val="000000" w:themeColor="text1"/>
        </w:rPr>
        <w:lastRenderedPageBreak/>
        <w:t>2022, que precisa los datos de los que se componen los elementos de seguridad y se puntualiza que dicha información está encriptada.</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“Elementos utilizados en la generación de Sellos Digitales:</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r w:rsidRPr="008314EA">
        <w:rPr>
          <w:rFonts w:ascii="Palatino Linotype" w:eastAsia="Palatino Linotype" w:hAnsi="Palatino Linotype" w:cs="Palatino Linotype"/>
          <w:i/>
          <w:color w:val="000000" w:themeColor="text1"/>
        </w:rPr>
        <w:tab/>
        <w:t>Cadena Original del elemento a sellar.</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r w:rsidRPr="008314EA">
        <w:rPr>
          <w:rFonts w:ascii="Palatino Linotype" w:eastAsia="Palatino Linotype" w:hAnsi="Palatino Linotype" w:cs="Palatino Linotype"/>
          <w:i/>
          <w:color w:val="000000" w:themeColor="text1"/>
        </w:rPr>
        <w:tab/>
        <w:t>Certificado de Sello Digital y su correspondiente clave privada.</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r w:rsidRPr="008314EA">
        <w:rPr>
          <w:rFonts w:ascii="Palatino Linotype" w:eastAsia="Palatino Linotype" w:hAnsi="Palatino Linotype" w:cs="Palatino Linotype"/>
          <w:i/>
          <w:color w:val="000000" w:themeColor="text1"/>
        </w:rPr>
        <w:tab/>
        <w:t>Algoritmos de criptografía de clave pública para firma electrónica avanzada.</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w:t>
      </w:r>
      <w:r w:rsidRPr="008314EA">
        <w:rPr>
          <w:rFonts w:ascii="Palatino Linotype" w:eastAsia="Palatino Linotype" w:hAnsi="Palatino Linotype" w:cs="Palatino Linotype"/>
          <w:i/>
          <w:color w:val="000000" w:themeColor="text1"/>
        </w:rPr>
        <w:tab/>
        <w:t>Especificaciones de conversión de la firma electrónica avanzada a Base 64.</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20369F" w:rsidRPr="008314EA" w:rsidRDefault="001E21FA" w:rsidP="008314EA">
      <w:pPr>
        <w:jc w:val="both"/>
        <w:rPr>
          <w:rFonts w:ascii="Palatino Linotype" w:eastAsia="Palatino Linotype" w:hAnsi="Palatino Linotype" w:cs="Palatino Linotype"/>
          <w:b/>
          <w:i/>
          <w:color w:val="000000" w:themeColor="text1"/>
        </w:rPr>
      </w:pPr>
      <w:r w:rsidRPr="008314EA">
        <w:rPr>
          <w:rFonts w:ascii="Palatino Linotype" w:eastAsia="Palatino Linotype" w:hAnsi="Palatino Linotype" w:cs="Palatino Linotype"/>
          <w:b/>
          <w:i/>
          <w:color w:val="000000" w:themeColor="text1"/>
        </w:rPr>
        <w:t>Criptografía de la Clave Pública</w:t>
      </w:r>
    </w:p>
    <w:p w:rsidR="0020369F" w:rsidRPr="008314EA" w:rsidRDefault="001E21FA" w:rsidP="008314EA">
      <w:pPr>
        <w:jc w:val="both"/>
        <w:rPr>
          <w:rFonts w:ascii="Palatino Linotype" w:eastAsia="Palatino Linotype" w:hAnsi="Palatino Linotype" w:cs="Palatino Linotype"/>
          <w:i/>
          <w:color w:val="000000" w:themeColor="text1"/>
        </w:rPr>
      </w:pPr>
      <w:r w:rsidRPr="008314EA">
        <w:rPr>
          <w:rFonts w:ascii="Palatino Linotype" w:eastAsia="Palatino Linotype" w:hAnsi="Palatino Linotype" w:cs="Palatino Linotype"/>
          <w:i/>
          <w:color w:val="000000" w:themeColor="text1"/>
        </w:rPr>
        <w:t>La criptografía de Clave Pública se basa en la generación de una pareja de números muy grandes relacionados entre sí, de tal manera que una operación de encripción sobre un mensaje tomando como clave de encripción a uno de los dos números, produce un mensaje alterado en su significado que sólo puede ser devuelto a su estado original mediante la operación de desencripción correspondiente tomando como clave de desencripción al otro número de la pareja.”</w:t>
      </w:r>
    </w:p>
    <w:p w:rsidR="0020369F" w:rsidRPr="008314EA" w:rsidRDefault="0020369F" w:rsidP="008314EA">
      <w:pPr>
        <w:jc w:val="both"/>
        <w:rPr>
          <w:rFonts w:ascii="Palatino Linotype" w:eastAsia="Palatino Linotype" w:hAnsi="Palatino Linotype" w:cs="Palatino Linotype"/>
          <w:i/>
          <w:color w:val="000000" w:themeColor="text1"/>
        </w:rPr>
      </w:pPr>
    </w:p>
    <w:p w:rsidR="0020369F" w:rsidRPr="008314EA" w:rsidRDefault="0020369F" w:rsidP="008314EA">
      <w:pPr>
        <w:jc w:val="both"/>
        <w:rPr>
          <w:rFonts w:ascii="Palatino Linotype" w:eastAsia="Palatino Linotype" w:hAnsi="Palatino Linotype" w:cs="Palatino Linotype"/>
          <w:i/>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Es decir, por sí solos </w:t>
      </w:r>
      <w:r w:rsidRPr="008314EA">
        <w:rPr>
          <w:rFonts w:ascii="Palatino Linotype" w:eastAsia="Palatino Linotype" w:hAnsi="Palatino Linotype" w:cs="Palatino Linotype"/>
          <w:b/>
          <w:color w:val="000000" w:themeColor="text1"/>
        </w:rPr>
        <w:t>las cadenas originales y los sellos originales no contienen datos personales confidenciales</w:t>
      </w:r>
      <w:r w:rsidRPr="008314EA">
        <w:rPr>
          <w:rFonts w:ascii="Palatino Linotype" w:eastAsia="Palatino Linotype" w:hAnsi="Palatino Linotype" w:cs="Palatino Linotype"/>
          <w:color w:val="000000" w:themeColor="text1"/>
        </w:rPr>
        <w:t>, por lo que se considera que no actualizan el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20369F" w:rsidRPr="008314EA" w:rsidRDefault="0020369F" w:rsidP="008314E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Cabe señalar que, en algunos casos, las cadenas originales y sellos digitales, se pueden conformar de datos confidenciales, tales como el Registro Federal de Contribuyentes o la Clave Única de Registro de Población o las deducciones personales; por lo que, en su caso actualizarán actualiza la clasificación, en términos del artículo 143, fracción I, de la Ley de la materia.</w:t>
      </w: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lastRenderedPageBreak/>
        <w:t xml:space="preserve">Por otra parte, por lo que hace al </w:t>
      </w:r>
      <w:r w:rsidRPr="008314EA">
        <w:rPr>
          <w:rFonts w:ascii="Palatino Linotype" w:eastAsia="Palatino Linotype" w:hAnsi="Palatino Linotype" w:cs="Palatino Linotype"/>
          <w:b/>
          <w:color w:val="000000" w:themeColor="text1"/>
        </w:rPr>
        <w:t>número de serie de los certificados de Sello Digitales del emisor y del Servicio de Administración Tributaria</w:t>
      </w:r>
      <w:r w:rsidRPr="008314EA">
        <w:rPr>
          <w:rFonts w:ascii="Palatino Linotype" w:eastAsia="Palatino Linotype" w:hAnsi="Palatino Linotype" w:cs="Palatino Linotype"/>
          <w:color w:val="000000" w:themeColor="text1"/>
        </w:rPr>
        <w:t>, el Anexo 20 de la Resolución Miscelánea Fiscal para 2022, precisa que es un atributo requerido para expresar el número de serie del certificado de sello digital que ampara al comprobante, de acuerdo con el acuse correspondiente a 20 posiciones otorgado por el sistema del SAT.</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Cómo se logra observar, </w:t>
      </w:r>
      <w:r w:rsidRPr="008314EA">
        <w:rPr>
          <w:rFonts w:ascii="Palatino Linotype" w:eastAsia="Palatino Linotype" w:hAnsi="Palatino Linotype" w:cs="Palatino Linotype"/>
          <w:b/>
          <w:color w:val="000000" w:themeColor="text1"/>
        </w:rPr>
        <w:t>los números de serie del certificado de sello digital no contiene datos personales</w:t>
      </w:r>
      <w:r w:rsidRPr="008314EA">
        <w:rPr>
          <w:rFonts w:ascii="Palatino Linotype" w:eastAsia="Palatino Linotype" w:hAnsi="Palatino Linotype" w:cs="Palatino Linotype"/>
          <w:color w:val="000000" w:themeColor="text1"/>
        </w:rPr>
        <w:t xml:space="preserve">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20369F" w:rsidRPr="008314EA" w:rsidRDefault="0020369F" w:rsidP="008314E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Ahora bien, por lo que hace al </w:t>
      </w:r>
      <w:r w:rsidRPr="008314EA">
        <w:rPr>
          <w:rFonts w:ascii="Palatino Linotype" w:eastAsia="Palatino Linotype" w:hAnsi="Palatino Linotype" w:cs="Palatino Linotype"/>
          <w:b/>
          <w:color w:val="000000" w:themeColor="text1"/>
        </w:rPr>
        <w:t>número de serie y folio interno</w:t>
      </w:r>
      <w:r w:rsidRPr="008314EA">
        <w:rPr>
          <w:rFonts w:ascii="Palatino Linotype" w:eastAsia="Palatino Linotype" w:hAnsi="Palatino Linotype" w:cs="Palatino Linotype"/>
          <w:color w:val="000000" w:themeColor="text1"/>
        </w:rPr>
        <w:t>, la Guía de llenado del CFDI global versión 4.0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Además, por lo que hace a la </w:t>
      </w:r>
      <w:r w:rsidRPr="008314EA">
        <w:rPr>
          <w:rFonts w:ascii="Palatino Linotype" w:eastAsia="Palatino Linotype" w:hAnsi="Palatino Linotype" w:cs="Palatino Linotype"/>
          <w:b/>
          <w:color w:val="000000" w:themeColor="text1"/>
        </w:rPr>
        <w:t>fecha y hora de emisión y certificación</w:t>
      </w:r>
      <w:r w:rsidRPr="008314EA">
        <w:rPr>
          <w:rFonts w:ascii="Palatino Linotype" w:eastAsia="Palatino Linotype" w:hAnsi="Palatino Linotype" w:cs="Palatino Linotype"/>
          <w:color w:val="000000" w:themeColor="text1"/>
        </w:rPr>
        <w:t xml:space="preserve">, la Guía de llenado del CFDI global versión 4.0 del CFDI, previamente referida, establece que los datos </w:t>
      </w:r>
      <w:r w:rsidRPr="008314EA">
        <w:rPr>
          <w:rFonts w:ascii="Palatino Linotype" w:eastAsia="Palatino Linotype" w:hAnsi="Palatino Linotype" w:cs="Palatino Linotype"/>
          <w:color w:val="000000" w:themeColor="text1"/>
        </w:rPr>
        <w:lastRenderedPageBreak/>
        <w:t>mencionados corresponden a la fecha y hora de emisión y certificación del comprobante fiscal, los cuales se expresan de la siguiente manera: AAAA-MM-DDThh:mm:ss.</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Conforme a lo anterior, se logra observar que el lugar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20369F" w:rsidRPr="008314EA" w:rsidRDefault="0020369F" w:rsidP="008314EA">
      <w:pPr>
        <w:rPr>
          <w:rFonts w:ascii="Palatino Linotype" w:eastAsia="Palatino Linotype" w:hAnsi="Palatino Linotype" w:cs="Palatino Linotype"/>
          <w:color w:val="000000" w:themeColor="text1"/>
        </w:rPr>
      </w:pPr>
    </w:p>
    <w:p w:rsidR="0020369F" w:rsidRPr="008314EA" w:rsidRDefault="0020369F" w:rsidP="008314EA">
      <w:pPr>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 xml:space="preserve">En ese sentido, el </w:t>
      </w:r>
      <w:r w:rsidRPr="008314EA">
        <w:rPr>
          <w:rFonts w:ascii="Palatino Linotype" w:eastAsia="Palatino Linotype" w:hAnsi="Palatino Linotype" w:cs="Palatino Linotype"/>
          <w:b/>
          <w:color w:val="000000" w:themeColor="text1"/>
        </w:rPr>
        <w:t>SUJETO OBLIGADO</w:t>
      </w:r>
      <w:r w:rsidRPr="008314EA">
        <w:rPr>
          <w:rFonts w:ascii="Palatino Linotype" w:eastAsia="Palatino Linotype" w:hAnsi="Palatino Linotype" w:cs="Palatino Linotype"/>
          <w:color w:val="000000" w:themeColor="text1"/>
        </w:rPr>
        <w:t xml:space="preserve"> </w:t>
      </w:r>
      <w:r w:rsidRPr="008314EA">
        <w:rPr>
          <w:rFonts w:ascii="Palatino Linotype" w:eastAsia="Palatino Linotype" w:hAnsi="Palatino Linotype" w:cs="Palatino Linotype"/>
          <w:b/>
          <w:color w:val="000000" w:themeColor="text1"/>
        </w:rPr>
        <w:t>deberá de emitir el Acuerdo del Comité de Transparencia</w:t>
      </w:r>
      <w:r w:rsidRPr="008314EA">
        <w:rPr>
          <w:rFonts w:ascii="Palatino Linotype" w:eastAsia="Palatino Linotype" w:hAnsi="Palatino Linotype" w:cs="Palatino Linotype"/>
          <w:color w:val="000000" w:themeColor="text1"/>
        </w:rPr>
        <w:t>, mediante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20369F" w:rsidRPr="008314EA" w:rsidRDefault="0020369F" w:rsidP="008314EA">
      <w:pPr>
        <w:tabs>
          <w:tab w:val="left" w:pos="284"/>
        </w:tabs>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lastRenderedPageBreak/>
        <w:t xml:space="preserve">Derivado de lo establecido en párrafos anteriores, si el </w:t>
      </w:r>
      <w:r w:rsidRPr="008314EA">
        <w:rPr>
          <w:rFonts w:ascii="Palatino Linotype" w:eastAsia="Palatino Linotype" w:hAnsi="Palatino Linotype" w:cs="Palatino Linotype"/>
          <w:b/>
          <w:color w:val="000000" w:themeColor="text1"/>
        </w:rPr>
        <w:t>SUJETO OBLIGADO</w:t>
      </w:r>
      <w:r w:rsidRPr="008314EA">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20369F" w:rsidRPr="008314EA" w:rsidRDefault="0020369F" w:rsidP="008314EA">
      <w:pPr>
        <w:spacing w:line="360" w:lineRule="auto"/>
        <w:jc w:val="both"/>
        <w:rPr>
          <w:rFonts w:ascii="Palatino Linotype" w:hAnsi="Palatino Linotype"/>
          <w:color w:val="000000" w:themeColor="text1"/>
        </w:rPr>
      </w:pPr>
    </w:p>
    <w:p w:rsidR="0020369F" w:rsidRPr="008314EA" w:rsidRDefault="001E21FA" w:rsidP="008314E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Por lo expuesto, y con fundamento en lo prescrito en los artículos 5, párrafos trigésimo noveno, cuadragésimo y cuadragésimo primero, fracciones IV y V, de la Constitución Política del Estado Libre y Soberano de México; 2, fracción II; 29, 36 fracciones I y II; 176, 178, 179, 181 y 185 de la Ley de Transparencia y Acceso a la Información Pública del Estado de México y Municipios, este Pleno:</w:t>
      </w:r>
    </w:p>
    <w:p w:rsidR="0020369F" w:rsidRPr="008314EA" w:rsidRDefault="0020369F" w:rsidP="008314EA">
      <w:pPr>
        <w:rPr>
          <w:rFonts w:ascii="Palatino Linotype" w:eastAsia="Palatino Linotype" w:hAnsi="Palatino Linotype" w:cs="Palatino Linotype"/>
          <w:color w:val="000000" w:themeColor="text1"/>
        </w:rPr>
      </w:pPr>
    </w:p>
    <w:p w:rsidR="0020369F" w:rsidRPr="008314EA" w:rsidRDefault="001E21FA" w:rsidP="008314EA">
      <w:pPr>
        <w:spacing w:line="360" w:lineRule="auto"/>
        <w:jc w:val="center"/>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t>R E S U E L V E</w:t>
      </w:r>
    </w:p>
    <w:p w:rsidR="0020369F" w:rsidRPr="008314EA" w:rsidRDefault="0020369F" w:rsidP="008314EA">
      <w:pPr>
        <w:spacing w:line="360" w:lineRule="auto"/>
        <w:jc w:val="center"/>
        <w:rPr>
          <w:rFonts w:ascii="Palatino Linotype" w:eastAsia="Palatino Linotype" w:hAnsi="Palatino Linotype" w:cs="Palatino Linotype"/>
          <w:b/>
          <w:color w:val="000000" w:themeColor="text1"/>
        </w:rPr>
      </w:pPr>
    </w:p>
    <w:p w:rsidR="0020369F" w:rsidRPr="008314EA" w:rsidRDefault="001E21FA" w:rsidP="008314EA">
      <w:pPr>
        <w:spacing w:line="360" w:lineRule="auto"/>
        <w:jc w:val="both"/>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t>PRIMERO</w:t>
      </w:r>
      <w:r w:rsidRPr="008314EA">
        <w:rPr>
          <w:rFonts w:ascii="Palatino Linotype" w:eastAsia="Palatino Linotype" w:hAnsi="Palatino Linotype" w:cs="Palatino Linotype"/>
          <w:color w:val="000000" w:themeColor="text1"/>
        </w:rPr>
        <w:t xml:space="preserve">. Resultan </w:t>
      </w:r>
      <w:r w:rsidRPr="008314EA">
        <w:rPr>
          <w:rFonts w:ascii="Palatino Linotype" w:eastAsia="Palatino Linotype" w:hAnsi="Palatino Linotype" w:cs="Palatino Linotype"/>
          <w:b/>
          <w:color w:val="000000" w:themeColor="text1"/>
        </w:rPr>
        <w:t>FUNDADAS</w:t>
      </w:r>
      <w:r w:rsidRPr="008314EA">
        <w:rPr>
          <w:rFonts w:ascii="Palatino Linotype" w:eastAsia="Palatino Linotype" w:hAnsi="Palatino Linotype" w:cs="Palatino Linotype"/>
          <w:color w:val="000000" w:themeColor="text1"/>
        </w:rPr>
        <w:t xml:space="preserve"> las razones o motivos de inconformidad hechos valer en el recurso de revisión </w:t>
      </w:r>
      <w:r w:rsidR="006231BD" w:rsidRPr="008314EA">
        <w:rPr>
          <w:rFonts w:ascii="Palatino Linotype" w:eastAsia="Palatino Linotype" w:hAnsi="Palatino Linotype" w:cs="Palatino Linotype"/>
          <w:b/>
          <w:color w:val="000000" w:themeColor="text1"/>
        </w:rPr>
        <w:t>05723</w:t>
      </w:r>
      <w:r w:rsidRPr="008314EA">
        <w:rPr>
          <w:rFonts w:ascii="Palatino Linotype" w:eastAsia="Palatino Linotype" w:hAnsi="Palatino Linotype" w:cs="Palatino Linotype"/>
          <w:b/>
          <w:color w:val="000000" w:themeColor="text1"/>
        </w:rPr>
        <w:t>/INFOEM/IP/RR/2025</w:t>
      </w:r>
      <w:r w:rsidRPr="008314EA">
        <w:rPr>
          <w:rFonts w:ascii="Palatino Linotype" w:eastAsia="Palatino Linotype" w:hAnsi="Palatino Linotype" w:cs="Palatino Linotype"/>
          <w:color w:val="000000" w:themeColor="text1"/>
        </w:rPr>
        <w:t>,</w:t>
      </w:r>
      <w:r w:rsidRPr="008314EA">
        <w:rPr>
          <w:rFonts w:ascii="Palatino Linotype" w:eastAsia="Palatino Linotype" w:hAnsi="Palatino Linotype" w:cs="Palatino Linotype"/>
          <w:b/>
          <w:color w:val="000000" w:themeColor="text1"/>
        </w:rPr>
        <w:t xml:space="preserve"> </w:t>
      </w:r>
      <w:r w:rsidRPr="008314EA">
        <w:rPr>
          <w:rFonts w:ascii="Palatino Linotype" w:eastAsia="Palatino Linotype" w:hAnsi="Palatino Linotype" w:cs="Palatino Linotype"/>
          <w:color w:val="000000" w:themeColor="text1"/>
        </w:rPr>
        <w:t xml:space="preserve">en términos del </w:t>
      </w:r>
      <w:r w:rsidRPr="008314EA">
        <w:rPr>
          <w:rFonts w:ascii="Palatino Linotype" w:eastAsia="Palatino Linotype" w:hAnsi="Palatino Linotype" w:cs="Palatino Linotype"/>
          <w:b/>
          <w:color w:val="000000" w:themeColor="text1"/>
        </w:rPr>
        <w:t xml:space="preserve">Considerando CUARTO </w:t>
      </w:r>
      <w:r w:rsidRPr="008314EA">
        <w:rPr>
          <w:rFonts w:ascii="Palatino Linotype" w:eastAsia="Palatino Linotype" w:hAnsi="Palatino Linotype" w:cs="Palatino Linotype"/>
          <w:color w:val="000000" w:themeColor="text1"/>
        </w:rPr>
        <w:t>de la presente resolución</w:t>
      </w:r>
      <w:r w:rsidRPr="008314EA">
        <w:rPr>
          <w:rFonts w:ascii="Palatino Linotype" w:eastAsia="Palatino Linotype" w:hAnsi="Palatino Linotype" w:cs="Palatino Linotype"/>
          <w:b/>
          <w:color w:val="000000" w:themeColor="text1"/>
        </w:rPr>
        <w:t>.</w:t>
      </w:r>
    </w:p>
    <w:p w:rsidR="0020369F" w:rsidRPr="008314EA" w:rsidRDefault="0020369F" w:rsidP="008314EA">
      <w:pPr>
        <w:spacing w:line="360" w:lineRule="auto"/>
        <w:jc w:val="both"/>
        <w:rPr>
          <w:rFonts w:ascii="Palatino Linotype" w:eastAsia="Palatino Linotype" w:hAnsi="Palatino Linotype" w:cs="Palatino Linotype"/>
          <w:b/>
          <w:color w:val="000000" w:themeColor="text1"/>
        </w:rPr>
      </w:pPr>
    </w:p>
    <w:p w:rsidR="0020369F" w:rsidRPr="008314EA" w:rsidRDefault="001E21FA" w:rsidP="008314EA">
      <w:pPr>
        <w:spacing w:line="360" w:lineRule="auto"/>
        <w:jc w:val="both"/>
        <w:rPr>
          <w:rFonts w:ascii="Palatino Linotype" w:eastAsia="Palatino Linotype" w:hAnsi="Palatino Linotype" w:cs="Palatino Linotype"/>
          <w:color w:val="000000" w:themeColor="text1"/>
        </w:rPr>
      </w:pPr>
      <w:bookmarkStart w:id="7" w:name="_heading=h.1ksv4uv" w:colFirst="0" w:colLast="0"/>
      <w:bookmarkEnd w:id="7"/>
      <w:r w:rsidRPr="008314EA">
        <w:rPr>
          <w:rFonts w:ascii="Palatino Linotype" w:eastAsia="Palatino Linotype" w:hAnsi="Palatino Linotype" w:cs="Palatino Linotype"/>
          <w:b/>
          <w:color w:val="000000" w:themeColor="text1"/>
        </w:rPr>
        <w:t>SEGUNDO.</w:t>
      </w:r>
      <w:r w:rsidRPr="008314EA">
        <w:rPr>
          <w:rFonts w:ascii="Palatino Linotype" w:eastAsia="Palatino Linotype" w:hAnsi="Palatino Linotype" w:cs="Palatino Linotype"/>
          <w:color w:val="000000" w:themeColor="text1"/>
        </w:rPr>
        <w:t xml:space="preserve"> Se </w:t>
      </w:r>
      <w:r w:rsidR="006231BD" w:rsidRPr="008314EA">
        <w:rPr>
          <w:rFonts w:ascii="Palatino Linotype" w:eastAsia="Palatino Linotype" w:hAnsi="Palatino Linotype" w:cs="Palatino Linotype"/>
          <w:b/>
          <w:color w:val="000000" w:themeColor="text1"/>
        </w:rPr>
        <w:t>REVOCA</w:t>
      </w:r>
      <w:r w:rsidRPr="008314EA">
        <w:rPr>
          <w:rFonts w:ascii="Palatino Linotype" w:eastAsia="Palatino Linotype" w:hAnsi="Palatino Linotype" w:cs="Palatino Linotype"/>
          <w:b/>
          <w:color w:val="000000" w:themeColor="text1"/>
        </w:rPr>
        <w:t xml:space="preserve"> </w:t>
      </w:r>
      <w:r w:rsidRPr="008314EA">
        <w:rPr>
          <w:rFonts w:ascii="Palatino Linotype" w:eastAsia="Palatino Linotype" w:hAnsi="Palatino Linotype" w:cs="Palatino Linotype"/>
          <w:color w:val="000000" w:themeColor="text1"/>
        </w:rPr>
        <w:t xml:space="preserve">la respuesta emitida por el </w:t>
      </w:r>
      <w:r w:rsidR="006231BD" w:rsidRPr="008314EA">
        <w:rPr>
          <w:rFonts w:ascii="Palatino Linotype" w:eastAsia="Palatino Linotype" w:hAnsi="Palatino Linotype" w:cs="Palatino Linotype"/>
          <w:b/>
          <w:color w:val="000000" w:themeColor="text1"/>
        </w:rPr>
        <w:t xml:space="preserve">Sistema Municipal para el Desarrollo Integral de la Familia de Coyotepec </w:t>
      </w:r>
      <w:r w:rsidRPr="008314EA">
        <w:rPr>
          <w:rFonts w:ascii="Palatino Linotype" w:eastAsia="Palatino Linotype" w:hAnsi="Palatino Linotype" w:cs="Palatino Linotype"/>
          <w:color w:val="000000" w:themeColor="text1"/>
        </w:rPr>
        <w:t xml:space="preserve">y se </w:t>
      </w:r>
      <w:r w:rsidRPr="008314EA">
        <w:rPr>
          <w:rFonts w:ascii="Palatino Linotype" w:eastAsia="Palatino Linotype" w:hAnsi="Palatino Linotype" w:cs="Palatino Linotype"/>
          <w:b/>
          <w:color w:val="000000" w:themeColor="text1"/>
        </w:rPr>
        <w:t>ORDENA</w:t>
      </w:r>
      <w:r w:rsidRPr="008314EA">
        <w:rPr>
          <w:rFonts w:ascii="Palatino Linotype" w:eastAsia="Palatino Linotype" w:hAnsi="Palatino Linotype" w:cs="Palatino Linotype"/>
          <w:color w:val="000000" w:themeColor="text1"/>
        </w:rPr>
        <w:t xml:space="preserve"> entregar, vía Sistema de Acceso a la Información Mexiquense </w:t>
      </w:r>
      <w:r w:rsidRPr="008314EA">
        <w:rPr>
          <w:rFonts w:ascii="Palatino Linotype" w:eastAsia="Palatino Linotype" w:hAnsi="Palatino Linotype" w:cs="Palatino Linotype"/>
          <w:b/>
          <w:color w:val="000000" w:themeColor="text1"/>
        </w:rPr>
        <w:t>(SAIMEX)</w:t>
      </w:r>
      <w:r w:rsidRPr="008314EA">
        <w:rPr>
          <w:rFonts w:ascii="Palatino Linotype" w:eastAsia="Palatino Linotype" w:hAnsi="Palatino Linotype" w:cs="Palatino Linotype"/>
          <w:color w:val="000000" w:themeColor="text1"/>
        </w:rPr>
        <w:t>, previa búsqueda exhaustiva y razonable, en versión púb</w:t>
      </w:r>
      <w:r w:rsidR="006231BD" w:rsidRPr="008314EA">
        <w:rPr>
          <w:rFonts w:ascii="Palatino Linotype" w:eastAsia="Palatino Linotype" w:hAnsi="Palatino Linotype" w:cs="Palatino Linotype"/>
          <w:color w:val="000000" w:themeColor="text1"/>
        </w:rPr>
        <w:t>lica, la siguiente información:</w:t>
      </w:r>
    </w:p>
    <w:p w:rsidR="0020369F" w:rsidRPr="008314EA" w:rsidRDefault="0020369F" w:rsidP="008314EA">
      <w:pPr>
        <w:rPr>
          <w:rFonts w:ascii="Palatino Linotype" w:eastAsia="Palatino Linotype" w:hAnsi="Palatino Linotype" w:cs="Palatino Linotype"/>
          <w:b/>
          <w:color w:val="000000" w:themeColor="text1"/>
        </w:rPr>
      </w:pPr>
    </w:p>
    <w:p w:rsidR="0020369F" w:rsidRPr="008314EA" w:rsidRDefault="006231BD" w:rsidP="008314EA">
      <w:pPr>
        <w:numPr>
          <w:ilvl w:val="0"/>
          <w:numId w:val="5"/>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t>Recibos de nómina del 01 de marzo al 15 de abril de 2025</w:t>
      </w:r>
      <w:r w:rsidR="001E21FA" w:rsidRPr="008314EA">
        <w:rPr>
          <w:rFonts w:ascii="Palatino Linotype" w:eastAsia="Palatino Linotype" w:hAnsi="Palatino Linotype" w:cs="Palatino Linotype"/>
          <w:b/>
          <w:color w:val="000000" w:themeColor="text1"/>
        </w:rPr>
        <w:t>.</w:t>
      </w:r>
    </w:p>
    <w:p w:rsidR="0020369F" w:rsidRPr="008314EA" w:rsidRDefault="0020369F" w:rsidP="008314EA">
      <w:pPr>
        <w:spacing w:line="360" w:lineRule="auto"/>
        <w:jc w:val="both"/>
        <w:rPr>
          <w:rFonts w:ascii="Palatino Linotype" w:eastAsia="Palatino Linotype" w:hAnsi="Palatino Linotype" w:cs="Palatino Linotype"/>
          <w:b/>
          <w:color w:val="000000" w:themeColor="text1"/>
        </w:rPr>
      </w:pPr>
    </w:p>
    <w:p w:rsidR="0020369F" w:rsidRPr="008314EA" w:rsidRDefault="001E21FA" w:rsidP="008314EA">
      <w:pPr>
        <w:pBdr>
          <w:top w:val="nil"/>
          <w:left w:val="nil"/>
          <w:bottom w:val="nil"/>
          <w:right w:val="nil"/>
          <w:between w:val="nil"/>
        </w:pBdr>
        <w:tabs>
          <w:tab w:val="left" w:pos="8080"/>
        </w:tabs>
        <w:spacing w:line="360" w:lineRule="auto"/>
        <w:jc w:val="both"/>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color w:val="000000" w:themeColor="text1"/>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8314EA">
        <w:rPr>
          <w:rFonts w:ascii="Palatino Linotype" w:eastAsia="Palatino Linotype" w:hAnsi="Palatino Linotype" w:cs="Palatino Linotype"/>
          <w:b/>
          <w:color w:val="000000" w:themeColor="text1"/>
        </w:rPr>
        <w:t>RECURRENTE.</w:t>
      </w:r>
    </w:p>
    <w:p w:rsidR="0020369F" w:rsidRPr="008314EA" w:rsidRDefault="0020369F" w:rsidP="008314EA">
      <w:pPr>
        <w:spacing w:line="360" w:lineRule="auto"/>
        <w:jc w:val="both"/>
        <w:rPr>
          <w:rFonts w:ascii="Palatino Linotype" w:eastAsia="Palatino Linotype" w:hAnsi="Palatino Linotype" w:cs="Palatino Linotype"/>
          <w:b/>
          <w:color w:val="000000" w:themeColor="text1"/>
        </w:rPr>
      </w:pPr>
    </w:p>
    <w:p w:rsidR="0020369F" w:rsidRPr="008314EA" w:rsidRDefault="001E21FA" w:rsidP="008314EA">
      <w:pPr>
        <w:spacing w:line="360" w:lineRule="auto"/>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b/>
          <w:color w:val="000000" w:themeColor="text1"/>
        </w:rPr>
        <w:t>TERCERO. NOTIFÍQUESE</w:t>
      </w:r>
      <w:r w:rsidRPr="008314EA">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8314EA">
        <w:rPr>
          <w:rFonts w:ascii="Palatino Linotype" w:eastAsia="Palatino Linotype" w:hAnsi="Palatino Linotype" w:cs="Palatino Linotype"/>
          <w:b/>
          <w:color w:val="000000" w:themeColor="text1"/>
        </w:rPr>
        <w:t xml:space="preserve">dé cumplimiento a lo ordenado dentro del plazo </w:t>
      </w:r>
      <w:r w:rsidRPr="008314EA">
        <w:rPr>
          <w:rFonts w:ascii="Palatino Linotype" w:eastAsia="Palatino Linotype" w:hAnsi="Palatino Linotype" w:cs="Palatino Linotype"/>
          <w:color w:val="000000" w:themeColor="text1"/>
        </w:rPr>
        <w:t>de</w:t>
      </w:r>
      <w:r w:rsidRPr="008314EA">
        <w:rPr>
          <w:rFonts w:ascii="Palatino Linotype" w:eastAsia="Palatino Linotype" w:hAnsi="Palatino Linotype" w:cs="Palatino Linotype"/>
          <w:b/>
          <w:color w:val="000000" w:themeColor="text1"/>
        </w:rPr>
        <w:t xml:space="preserve"> diez días hábiles, </w:t>
      </w:r>
      <w:r w:rsidRPr="008314EA">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spacing w:line="360" w:lineRule="auto"/>
        <w:jc w:val="both"/>
        <w:rPr>
          <w:rFonts w:ascii="Palatino Linotype" w:eastAsia="Palatino Linotype" w:hAnsi="Palatino Linotype" w:cs="Palatino Linotype"/>
          <w:color w:val="000000" w:themeColor="text1"/>
        </w:rPr>
      </w:pPr>
      <w:bookmarkStart w:id="8" w:name="_heading=h.3rdcrjn" w:colFirst="0" w:colLast="0"/>
      <w:bookmarkEnd w:id="8"/>
      <w:r w:rsidRPr="008314EA">
        <w:rPr>
          <w:rFonts w:ascii="Palatino Linotype" w:eastAsia="Palatino Linotype" w:hAnsi="Palatino Linotype" w:cs="Palatino Linotype"/>
          <w:b/>
          <w:color w:val="000000" w:themeColor="text1"/>
        </w:rPr>
        <w:t xml:space="preserve">CUARTO. </w:t>
      </w:r>
      <w:r w:rsidRPr="008314EA">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8314EA">
        <w:rPr>
          <w:rFonts w:ascii="Palatino Linotype" w:eastAsia="Palatino Linotype" w:hAnsi="Palatino Linotype" w:cs="Palatino Linotype"/>
          <w:b/>
          <w:color w:val="000000" w:themeColor="text1"/>
        </w:rPr>
        <w:t>SUJETO OBLIGADO</w:t>
      </w:r>
      <w:r w:rsidRPr="008314EA">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20369F" w:rsidRPr="008314EA" w:rsidRDefault="0020369F" w:rsidP="008314EA">
      <w:pPr>
        <w:spacing w:line="360" w:lineRule="auto"/>
        <w:jc w:val="both"/>
        <w:rPr>
          <w:rFonts w:ascii="Palatino Linotype" w:eastAsia="Palatino Linotype" w:hAnsi="Palatino Linotype" w:cs="Palatino Linotype"/>
          <w:color w:val="000000" w:themeColor="text1"/>
        </w:rPr>
      </w:pPr>
    </w:p>
    <w:p w:rsidR="0020369F" w:rsidRPr="008314EA" w:rsidRDefault="001E21FA" w:rsidP="008314EA">
      <w:pPr>
        <w:spacing w:line="360" w:lineRule="auto"/>
        <w:jc w:val="both"/>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b/>
          <w:color w:val="000000" w:themeColor="text1"/>
        </w:rPr>
        <w:t>QUINTO. NOTIFÍQUESE</w:t>
      </w:r>
      <w:r w:rsidRPr="008314EA">
        <w:rPr>
          <w:rFonts w:ascii="Palatino Linotype" w:eastAsia="Palatino Linotype" w:hAnsi="Palatino Linotype" w:cs="Palatino Linotype"/>
          <w:color w:val="000000" w:themeColor="text1"/>
        </w:rPr>
        <w:t xml:space="preserve"> la presente resolución a la parte </w:t>
      </w:r>
      <w:r w:rsidRPr="008314EA">
        <w:rPr>
          <w:rFonts w:ascii="Palatino Linotype" w:eastAsia="Palatino Linotype" w:hAnsi="Palatino Linotype" w:cs="Palatino Linotype"/>
          <w:b/>
          <w:color w:val="000000" w:themeColor="text1"/>
        </w:rPr>
        <w:t>Recurrente</w:t>
      </w:r>
      <w:r w:rsidRPr="008314EA">
        <w:rPr>
          <w:rFonts w:ascii="Palatino Linotype" w:eastAsia="Palatino Linotype" w:hAnsi="Palatino Linotype" w:cs="Palatino Linotype"/>
          <w:color w:val="000000" w:themeColor="text1"/>
        </w:rPr>
        <w:t xml:space="preserve"> a través del Sistema de Acceso a la Información Mexiquense </w:t>
      </w:r>
      <w:r w:rsidRPr="008314EA">
        <w:rPr>
          <w:rFonts w:ascii="Palatino Linotype" w:eastAsia="Palatino Linotype" w:hAnsi="Palatino Linotype" w:cs="Palatino Linotype"/>
          <w:b/>
          <w:color w:val="000000" w:themeColor="text1"/>
        </w:rPr>
        <w:t>(SAIMEX)</w:t>
      </w:r>
      <w:r w:rsidRPr="008314EA">
        <w:rPr>
          <w:rFonts w:ascii="Palatino Linotype" w:eastAsia="Palatino Linotype" w:hAnsi="Palatino Linotype" w:cs="Palatino Linotype"/>
          <w:color w:val="000000" w:themeColor="text1"/>
        </w:rPr>
        <w:t xml:space="preserve"> y hágase de su conocimiento que, en caso </w:t>
      </w:r>
      <w:r w:rsidRPr="008314EA">
        <w:rPr>
          <w:rFonts w:ascii="Palatino Linotype" w:eastAsia="Palatino Linotype" w:hAnsi="Palatino Linotype" w:cs="Palatino Linotype"/>
          <w:color w:val="000000" w:themeColor="text1"/>
        </w:rPr>
        <w:lastRenderedPageBreak/>
        <w:t>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20369F" w:rsidRDefault="008314EA" w:rsidP="008314EA">
      <w:pPr>
        <w:tabs>
          <w:tab w:val="left" w:pos="2715"/>
        </w:tabs>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ab/>
      </w:r>
    </w:p>
    <w:p w:rsidR="00472785" w:rsidRPr="00444783" w:rsidRDefault="00472785" w:rsidP="00472785">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315BF0" w:rsidRPr="00575AE2">
        <w:rPr>
          <w:rFonts w:ascii="Palatino Linotype" w:eastAsia="Palatino Linotype" w:hAnsi="Palatino Linotype" w:cs="Palatino Linotype"/>
        </w:rPr>
        <w:t xml:space="preserve">EN LA </w:t>
      </w:r>
      <w:r w:rsidR="00315BF0">
        <w:rPr>
          <w:rFonts w:ascii="Palatino Linotype" w:eastAsia="Palatino Linotype" w:hAnsi="Palatino Linotype" w:cs="Palatino Linotype"/>
        </w:rPr>
        <w:t xml:space="preserve">CUADRAGÉSIMA </w:t>
      </w:r>
      <w:r w:rsidR="00315BF0" w:rsidRPr="00575AE2">
        <w:rPr>
          <w:rFonts w:ascii="Palatino Linotype" w:eastAsia="Palatino Linotype" w:hAnsi="Palatino Linotype" w:cs="Palatino Linotype"/>
        </w:rPr>
        <w:t>SESIÓN ORDINARIA, CELEBRADA EL</w:t>
      </w:r>
      <w:r w:rsidR="00315BF0">
        <w:rPr>
          <w:rFonts w:ascii="Palatino Linotype" w:eastAsia="Palatino Linotype" w:hAnsi="Palatino Linotype" w:cs="Palatino Linotype"/>
        </w:rPr>
        <w:t xml:space="preserve"> DOCE (12</w:t>
      </w:r>
      <w:r w:rsidR="00315BF0" w:rsidRPr="00575AE2">
        <w:rPr>
          <w:rFonts w:ascii="Palatino Linotype" w:eastAsia="Palatino Linotype" w:hAnsi="Palatino Linotype" w:cs="Palatino Linotype"/>
        </w:rPr>
        <w:t xml:space="preserve">) DE </w:t>
      </w:r>
      <w:r w:rsidR="00315BF0">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rsidR="0020369F" w:rsidRPr="008314EA" w:rsidRDefault="001E21FA" w:rsidP="008314EA">
      <w:pPr>
        <w:rPr>
          <w:rFonts w:ascii="Palatino Linotype" w:eastAsia="Palatino Linotype" w:hAnsi="Palatino Linotype" w:cs="Palatino Linotype"/>
          <w:color w:val="000000" w:themeColor="text1"/>
        </w:rPr>
      </w:pPr>
      <w:r w:rsidRPr="008314EA">
        <w:rPr>
          <w:rFonts w:ascii="Palatino Linotype" w:hAnsi="Palatino Linotype"/>
          <w:color w:val="000000" w:themeColor="text1"/>
        </w:rPr>
        <w:br w:type="page"/>
      </w:r>
    </w:p>
    <w:p w:rsidR="0020369F" w:rsidRPr="008314EA" w:rsidRDefault="0020369F" w:rsidP="008314EA">
      <w:pPr>
        <w:spacing w:before="240" w:after="240" w:line="360" w:lineRule="auto"/>
        <w:jc w:val="both"/>
        <w:rPr>
          <w:rFonts w:ascii="Palatino Linotype" w:eastAsia="Palatino Linotype" w:hAnsi="Palatino Linotype" w:cs="Palatino Linotype"/>
          <w:color w:val="000000" w:themeColor="text1"/>
        </w:rPr>
      </w:pPr>
    </w:p>
    <w:p w:rsidR="0020369F" w:rsidRPr="008314EA" w:rsidRDefault="0020369F" w:rsidP="008314EA">
      <w:pPr>
        <w:rPr>
          <w:rFonts w:ascii="Palatino Linotype" w:eastAsia="Palatino Linotype" w:hAnsi="Palatino Linotype" w:cs="Palatino Linotype"/>
          <w:color w:val="000000" w:themeColor="text1"/>
        </w:rPr>
      </w:pPr>
    </w:p>
    <w:p w:rsidR="0020369F" w:rsidRPr="008314EA" w:rsidRDefault="0020369F" w:rsidP="008314EA">
      <w:pPr>
        <w:spacing w:line="360" w:lineRule="auto"/>
        <w:rPr>
          <w:rFonts w:ascii="Palatino Linotype" w:eastAsia="Palatino Linotype" w:hAnsi="Palatino Linotype" w:cs="Palatino Linotype"/>
          <w:color w:val="000000" w:themeColor="text1"/>
        </w:rPr>
      </w:pPr>
    </w:p>
    <w:p w:rsidR="0020369F" w:rsidRPr="008314EA" w:rsidRDefault="0020369F" w:rsidP="008314EA">
      <w:pPr>
        <w:spacing w:line="360" w:lineRule="auto"/>
        <w:rPr>
          <w:rFonts w:ascii="Palatino Linotype" w:eastAsia="Palatino Linotype" w:hAnsi="Palatino Linotype" w:cs="Palatino Linotype"/>
          <w:color w:val="000000" w:themeColor="text1"/>
        </w:rPr>
      </w:pPr>
    </w:p>
    <w:p w:rsidR="0020369F" w:rsidRPr="008314EA" w:rsidRDefault="0020369F" w:rsidP="008314EA">
      <w:pPr>
        <w:spacing w:line="360" w:lineRule="auto"/>
        <w:rPr>
          <w:rFonts w:ascii="Palatino Linotype" w:eastAsia="Palatino Linotype" w:hAnsi="Palatino Linotype" w:cs="Palatino Linotype"/>
          <w:color w:val="000000" w:themeColor="text1"/>
        </w:rPr>
      </w:pPr>
    </w:p>
    <w:p w:rsidR="0020369F" w:rsidRPr="008314EA" w:rsidRDefault="001E21FA" w:rsidP="008314EA">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r w:rsidRPr="008314EA">
        <w:rPr>
          <w:rFonts w:ascii="Palatino Linotype" w:eastAsia="Palatino Linotype" w:hAnsi="Palatino Linotype" w:cs="Palatino Linotype"/>
          <w:color w:val="000000" w:themeColor="text1"/>
        </w:rPr>
        <w:tab/>
      </w:r>
    </w:p>
    <w:sectPr w:rsidR="0020369F" w:rsidRPr="008314EA" w:rsidSect="009E6824">
      <w:headerReference w:type="even" r:id="rId11"/>
      <w:headerReference w:type="default" r:id="rId12"/>
      <w:footerReference w:type="default" r:id="rId13"/>
      <w:headerReference w:type="first" r:id="rId14"/>
      <w:footerReference w:type="first" r:id="rId15"/>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12D" w:rsidRDefault="0048412D">
      <w:r>
        <w:separator/>
      </w:r>
    </w:p>
  </w:endnote>
  <w:endnote w:type="continuationSeparator" w:id="0">
    <w:p w:rsidR="0048412D" w:rsidRDefault="0048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B3" w:rsidRPr="009E6824" w:rsidRDefault="00051DB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9E6824">
      <w:rPr>
        <w:rFonts w:ascii="Palatino Linotype" w:eastAsia="Palatino Linotype" w:hAnsi="Palatino Linotype" w:cs="Palatino Linotype"/>
        <w:color w:val="000000"/>
        <w:sz w:val="22"/>
        <w:szCs w:val="20"/>
      </w:rPr>
      <w:t xml:space="preserve">Página </w:t>
    </w:r>
    <w:r w:rsidRPr="009E6824">
      <w:rPr>
        <w:rFonts w:ascii="Palatino Linotype" w:eastAsia="Palatino Linotype" w:hAnsi="Palatino Linotype" w:cs="Palatino Linotype"/>
        <w:color w:val="000000"/>
        <w:sz w:val="22"/>
        <w:szCs w:val="20"/>
      </w:rPr>
      <w:fldChar w:fldCharType="begin"/>
    </w:r>
    <w:r w:rsidRPr="009E6824">
      <w:rPr>
        <w:rFonts w:ascii="Palatino Linotype" w:eastAsia="Palatino Linotype" w:hAnsi="Palatino Linotype" w:cs="Palatino Linotype"/>
        <w:color w:val="000000"/>
        <w:sz w:val="22"/>
        <w:szCs w:val="20"/>
      </w:rPr>
      <w:instrText>PAGE</w:instrText>
    </w:r>
    <w:r w:rsidRPr="009E6824">
      <w:rPr>
        <w:rFonts w:ascii="Palatino Linotype" w:eastAsia="Palatino Linotype" w:hAnsi="Palatino Linotype" w:cs="Palatino Linotype"/>
        <w:color w:val="000000"/>
        <w:sz w:val="22"/>
        <w:szCs w:val="20"/>
      </w:rPr>
      <w:fldChar w:fldCharType="separate"/>
    </w:r>
    <w:r w:rsidR="00674251">
      <w:rPr>
        <w:rFonts w:ascii="Palatino Linotype" w:eastAsia="Palatino Linotype" w:hAnsi="Palatino Linotype" w:cs="Palatino Linotype"/>
        <w:noProof/>
        <w:color w:val="000000"/>
        <w:sz w:val="22"/>
        <w:szCs w:val="20"/>
      </w:rPr>
      <w:t>21</w:t>
    </w:r>
    <w:r w:rsidRPr="009E6824">
      <w:rPr>
        <w:rFonts w:ascii="Palatino Linotype" w:eastAsia="Palatino Linotype" w:hAnsi="Palatino Linotype" w:cs="Palatino Linotype"/>
        <w:color w:val="000000"/>
        <w:sz w:val="22"/>
        <w:szCs w:val="20"/>
      </w:rPr>
      <w:fldChar w:fldCharType="end"/>
    </w:r>
    <w:r w:rsidRPr="009E6824">
      <w:rPr>
        <w:rFonts w:ascii="Palatino Linotype" w:eastAsia="Palatino Linotype" w:hAnsi="Palatino Linotype" w:cs="Palatino Linotype"/>
        <w:color w:val="000000"/>
        <w:sz w:val="22"/>
        <w:szCs w:val="20"/>
      </w:rPr>
      <w:t xml:space="preserve"> de </w:t>
    </w:r>
    <w:r w:rsidRPr="009E6824">
      <w:rPr>
        <w:rFonts w:ascii="Palatino Linotype" w:eastAsia="Palatino Linotype" w:hAnsi="Palatino Linotype" w:cs="Palatino Linotype"/>
        <w:color w:val="000000"/>
        <w:sz w:val="22"/>
        <w:szCs w:val="20"/>
      </w:rPr>
      <w:fldChar w:fldCharType="begin"/>
    </w:r>
    <w:r w:rsidRPr="009E6824">
      <w:rPr>
        <w:rFonts w:ascii="Palatino Linotype" w:eastAsia="Palatino Linotype" w:hAnsi="Palatino Linotype" w:cs="Palatino Linotype"/>
        <w:color w:val="000000"/>
        <w:sz w:val="22"/>
        <w:szCs w:val="20"/>
      </w:rPr>
      <w:instrText>NUMPAGES</w:instrText>
    </w:r>
    <w:r w:rsidRPr="009E6824">
      <w:rPr>
        <w:rFonts w:ascii="Palatino Linotype" w:eastAsia="Palatino Linotype" w:hAnsi="Palatino Linotype" w:cs="Palatino Linotype"/>
        <w:color w:val="000000"/>
        <w:sz w:val="22"/>
        <w:szCs w:val="20"/>
      </w:rPr>
      <w:fldChar w:fldCharType="separate"/>
    </w:r>
    <w:r w:rsidR="00674251">
      <w:rPr>
        <w:rFonts w:ascii="Palatino Linotype" w:eastAsia="Palatino Linotype" w:hAnsi="Palatino Linotype" w:cs="Palatino Linotype"/>
        <w:noProof/>
        <w:color w:val="000000"/>
        <w:sz w:val="22"/>
        <w:szCs w:val="20"/>
      </w:rPr>
      <w:t>38</w:t>
    </w:r>
    <w:r w:rsidRPr="009E6824">
      <w:rPr>
        <w:rFonts w:ascii="Palatino Linotype" w:eastAsia="Palatino Linotype" w:hAnsi="Palatino Linotype" w:cs="Palatino Linotype"/>
        <w:color w:val="000000"/>
        <w:sz w:val="22"/>
        <w:szCs w:val="20"/>
      </w:rPr>
      <w:fldChar w:fldCharType="end"/>
    </w:r>
  </w:p>
  <w:p w:rsidR="00051DB3" w:rsidRDefault="00051DB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B3" w:rsidRPr="009E6824" w:rsidRDefault="00051DB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9E6824">
      <w:rPr>
        <w:rFonts w:ascii="Palatino Linotype" w:eastAsia="Palatino Linotype" w:hAnsi="Palatino Linotype" w:cs="Palatino Linotype"/>
        <w:color w:val="000000"/>
        <w:sz w:val="22"/>
        <w:szCs w:val="20"/>
      </w:rPr>
      <w:t xml:space="preserve">Página </w:t>
    </w:r>
    <w:r w:rsidRPr="009E6824">
      <w:rPr>
        <w:rFonts w:ascii="Palatino Linotype" w:eastAsia="Palatino Linotype" w:hAnsi="Palatino Linotype" w:cs="Palatino Linotype"/>
        <w:color w:val="000000"/>
        <w:sz w:val="22"/>
        <w:szCs w:val="20"/>
      </w:rPr>
      <w:fldChar w:fldCharType="begin"/>
    </w:r>
    <w:r w:rsidRPr="009E6824">
      <w:rPr>
        <w:rFonts w:ascii="Palatino Linotype" w:eastAsia="Palatino Linotype" w:hAnsi="Palatino Linotype" w:cs="Palatino Linotype"/>
        <w:color w:val="000000"/>
        <w:sz w:val="22"/>
        <w:szCs w:val="20"/>
      </w:rPr>
      <w:instrText>PAGE</w:instrText>
    </w:r>
    <w:r w:rsidRPr="009E6824">
      <w:rPr>
        <w:rFonts w:ascii="Palatino Linotype" w:eastAsia="Palatino Linotype" w:hAnsi="Palatino Linotype" w:cs="Palatino Linotype"/>
        <w:color w:val="000000"/>
        <w:sz w:val="22"/>
        <w:szCs w:val="20"/>
      </w:rPr>
      <w:fldChar w:fldCharType="separate"/>
    </w:r>
    <w:r w:rsidR="00674251">
      <w:rPr>
        <w:rFonts w:ascii="Palatino Linotype" w:eastAsia="Palatino Linotype" w:hAnsi="Palatino Linotype" w:cs="Palatino Linotype"/>
        <w:noProof/>
        <w:color w:val="000000"/>
        <w:sz w:val="22"/>
        <w:szCs w:val="20"/>
      </w:rPr>
      <w:t>1</w:t>
    </w:r>
    <w:r w:rsidRPr="009E6824">
      <w:rPr>
        <w:rFonts w:ascii="Palatino Linotype" w:eastAsia="Palatino Linotype" w:hAnsi="Palatino Linotype" w:cs="Palatino Linotype"/>
        <w:color w:val="000000"/>
        <w:sz w:val="22"/>
        <w:szCs w:val="20"/>
      </w:rPr>
      <w:fldChar w:fldCharType="end"/>
    </w:r>
    <w:r w:rsidRPr="009E6824">
      <w:rPr>
        <w:rFonts w:ascii="Palatino Linotype" w:eastAsia="Palatino Linotype" w:hAnsi="Palatino Linotype" w:cs="Palatino Linotype"/>
        <w:color w:val="000000"/>
        <w:sz w:val="22"/>
        <w:szCs w:val="20"/>
      </w:rPr>
      <w:t xml:space="preserve"> de </w:t>
    </w:r>
    <w:r w:rsidRPr="009E6824">
      <w:rPr>
        <w:rFonts w:ascii="Palatino Linotype" w:eastAsia="Palatino Linotype" w:hAnsi="Palatino Linotype" w:cs="Palatino Linotype"/>
        <w:color w:val="000000"/>
        <w:sz w:val="22"/>
        <w:szCs w:val="20"/>
      </w:rPr>
      <w:fldChar w:fldCharType="begin"/>
    </w:r>
    <w:r w:rsidRPr="009E6824">
      <w:rPr>
        <w:rFonts w:ascii="Palatino Linotype" w:eastAsia="Palatino Linotype" w:hAnsi="Palatino Linotype" w:cs="Palatino Linotype"/>
        <w:color w:val="000000"/>
        <w:sz w:val="22"/>
        <w:szCs w:val="20"/>
      </w:rPr>
      <w:instrText>NUMPAGES</w:instrText>
    </w:r>
    <w:r w:rsidRPr="009E6824">
      <w:rPr>
        <w:rFonts w:ascii="Palatino Linotype" w:eastAsia="Palatino Linotype" w:hAnsi="Palatino Linotype" w:cs="Palatino Linotype"/>
        <w:color w:val="000000"/>
        <w:sz w:val="22"/>
        <w:szCs w:val="20"/>
      </w:rPr>
      <w:fldChar w:fldCharType="separate"/>
    </w:r>
    <w:r w:rsidR="00674251">
      <w:rPr>
        <w:rFonts w:ascii="Palatino Linotype" w:eastAsia="Palatino Linotype" w:hAnsi="Palatino Linotype" w:cs="Palatino Linotype"/>
        <w:noProof/>
        <w:color w:val="000000"/>
        <w:sz w:val="22"/>
        <w:szCs w:val="20"/>
      </w:rPr>
      <w:t>38</w:t>
    </w:r>
    <w:r w:rsidRPr="009E6824">
      <w:rPr>
        <w:rFonts w:ascii="Palatino Linotype" w:eastAsia="Palatino Linotype" w:hAnsi="Palatino Linotype" w:cs="Palatino Linotype"/>
        <w:color w:val="000000"/>
        <w:sz w:val="22"/>
        <w:szCs w:val="20"/>
      </w:rPr>
      <w:fldChar w:fldCharType="end"/>
    </w:r>
  </w:p>
  <w:p w:rsidR="00051DB3" w:rsidRDefault="00051DB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12D" w:rsidRDefault="0048412D">
      <w:r>
        <w:separator/>
      </w:r>
    </w:p>
  </w:footnote>
  <w:footnote w:type="continuationSeparator" w:id="0">
    <w:p w:rsidR="0048412D" w:rsidRDefault="00484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B3" w:rsidRDefault="0048412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088" w:type="dxa"/>
      <w:tblInd w:w="3119" w:type="dxa"/>
      <w:tblLayout w:type="fixed"/>
      <w:tblLook w:val="0400" w:firstRow="0" w:lastRow="0" w:firstColumn="0" w:lastColumn="0" w:noHBand="0" w:noVBand="1"/>
    </w:tblPr>
    <w:tblGrid>
      <w:gridCol w:w="2694"/>
      <w:gridCol w:w="4394"/>
    </w:tblGrid>
    <w:tr w:rsidR="00051DB3" w:rsidTr="009E6824">
      <w:trPr>
        <w:trHeight w:val="227"/>
      </w:trPr>
      <w:tc>
        <w:tcPr>
          <w:tcW w:w="2694" w:type="dxa"/>
        </w:tcPr>
        <w:p w:rsidR="00051DB3" w:rsidRPr="008314EA" w:rsidRDefault="00051DB3" w:rsidP="008314EA">
          <w:pPr>
            <w:jc w:val="right"/>
            <w:rPr>
              <w:rFonts w:ascii="Palatino Linotype" w:eastAsia="Palatino Linotype" w:hAnsi="Palatino Linotype" w:cs="Palatino Linotype"/>
              <w:b/>
            </w:rPr>
          </w:pPr>
          <w:r w:rsidRPr="008314EA">
            <w:rPr>
              <w:rFonts w:ascii="Palatino Linotype" w:eastAsia="Palatino Linotype" w:hAnsi="Palatino Linotype" w:cs="Palatino Linotype"/>
              <w:b/>
            </w:rPr>
            <w:t>Recurso de Revisión:</w:t>
          </w:r>
        </w:p>
      </w:tc>
      <w:tc>
        <w:tcPr>
          <w:tcW w:w="4394" w:type="dxa"/>
        </w:tcPr>
        <w:p w:rsidR="00051DB3" w:rsidRPr="008314EA" w:rsidRDefault="00051DB3" w:rsidP="009E6824">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8314EA">
            <w:rPr>
              <w:rFonts w:ascii="Palatino Linotype" w:eastAsia="Palatino Linotype" w:hAnsi="Palatino Linotype" w:cs="Palatino Linotype"/>
              <w:color w:val="000000"/>
            </w:rPr>
            <w:t>05723/INFOEM/IP/RR/2025</w:t>
          </w:r>
        </w:p>
      </w:tc>
    </w:tr>
    <w:tr w:rsidR="00051DB3" w:rsidTr="009E6824">
      <w:trPr>
        <w:trHeight w:val="342"/>
      </w:trPr>
      <w:tc>
        <w:tcPr>
          <w:tcW w:w="2694" w:type="dxa"/>
        </w:tcPr>
        <w:p w:rsidR="00051DB3" w:rsidRPr="008314EA" w:rsidRDefault="00051DB3" w:rsidP="008314EA">
          <w:pPr>
            <w:jc w:val="right"/>
            <w:rPr>
              <w:rFonts w:ascii="Palatino Linotype" w:eastAsia="Palatino Linotype" w:hAnsi="Palatino Linotype" w:cs="Palatino Linotype"/>
              <w:b/>
            </w:rPr>
          </w:pPr>
          <w:r w:rsidRPr="008314EA">
            <w:rPr>
              <w:rFonts w:ascii="Palatino Linotype" w:eastAsia="Palatino Linotype" w:hAnsi="Palatino Linotype" w:cs="Palatino Linotype"/>
              <w:b/>
            </w:rPr>
            <w:t>Sujeto Obligado:</w:t>
          </w:r>
        </w:p>
      </w:tc>
      <w:tc>
        <w:tcPr>
          <w:tcW w:w="4394" w:type="dxa"/>
        </w:tcPr>
        <w:p w:rsidR="00051DB3" w:rsidRPr="008314EA" w:rsidRDefault="00051DB3" w:rsidP="009E6824">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8314EA">
            <w:rPr>
              <w:rFonts w:ascii="Palatino Linotype" w:eastAsia="Palatino Linotype" w:hAnsi="Palatino Linotype" w:cs="Palatino Linotype"/>
              <w:color w:val="000000"/>
            </w:rPr>
            <w:t>Sistema Municipal para el Desarrollo Integral de la Familia de Coyotepec</w:t>
          </w:r>
        </w:p>
      </w:tc>
    </w:tr>
    <w:tr w:rsidR="00051DB3" w:rsidTr="009E6824">
      <w:trPr>
        <w:trHeight w:val="342"/>
      </w:trPr>
      <w:tc>
        <w:tcPr>
          <w:tcW w:w="2694" w:type="dxa"/>
        </w:tcPr>
        <w:p w:rsidR="00051DB3" w:rsidRPr="008314EA" w:rsidRDefault="00051DB3" w:rsidP="008314EA">
          <w:pPr>
            <w:jc w:val="right"/>
            <w:rPr>
              <w:rFonts w:ascii="Palatino Linotype" w:eastAsia="Palatino Linotype" w:hAnsi="Palatino Linotype" w:cs="Palatino Linotype"/>
              <w:b/>
            </w:rPr>
          </w:pPr>
          <w:r w:rsidRPr="008314EA">
            <w:rPr>
              <w:rFonts w:ascii="Palatino Linotype" w:eastAsia="Palatino Linotype" w:hAnsi="Palatino Linotype" w:cs="Palatino Linotype"/>
              <w:b/>
            </w:rPr>
            <w:t>Comisionada Ponente:</w:t>
          </w:r>
        </w:p>
      </w:tc>
      <w:tc>
        <w:tcPr>
          <w:tcW w:w="4394" w:type="dxa"/>
        </w:tcPr>
        <w:p w:rsidR="00051DB3" w:rsidRPr="008314EA" w:rsidRDefault="00051DB3" w:rsidP="009E6824">
          <w:pPr>
            <w:pBdr>
              <w:top w:val="nil"/>
              <w:left w:val="nil"/>
              <w:bottom w:val="nil"/>
              <w:right w:val="nil"/>
              <w:between w:val="nil"/>
            </w:pBdr>
            <w:tabs>
              <w:tab w:val="right" w:pos="8838"/>
            </w:tabs>
            <w:rPr>
              <w:rFonts w:ascii="Palatino Linotype" w:eastAsia="Palatino Linotype" w:hAnsi="Palatino Linotype" w:cs="Palatino Linotype"/>
              <w:color w:val="000000"/>
            </w:rPr>
          </w:pPr>
          <w:r w:rsidRPr="008314EA">
            <w:rPr>
              <w:rFonts w:ascii="Palatino Linotype" w:eastAsia="Palatino Linotype" w:hAnsi="Palatino Linotype" w:cs="Palatino Linotype"/>
              <w:color w:val="000000"/>
            </w:rPr>
            <w:t>María del Rosario Mejía Ayala</w:t>
          </w:r>
        </w:p>
      </w:tc>
    </w:tr>
  </w:tbl>
  <w:p w:rsidR="00051DB3" w:rsidRDefault="0048412D">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371" w:type="dxa"/>
      <w:tblInd w:w="2977" w:type="dxa"/>
      <w:tblLayout w:type="fixed"/>
      <w:tblLook w:val="0400" w:firstRow="0" w:lastRow="0" w:firstColumn="0" w:lastColumn="0" w:noHBand="0" w:noVBand="1"/>
    </w:tblPr>
    <w:tblGrid>
      <w:gridCol w:w="2693"/>
      <w:gridCol w:w="4678"/>
    </w:tblGrid>
    <w:tr w:rsidR="00051DB3" w:rsidTr="009E6824">
      <w:trPr>
        <w:trHeight w:val="227"/>
      </w:trPr>
      <w:tc>
        <w:tcPr>
          <w:tcW w:w="2693" w:type="dxa"/>
        </w:tcPr>
        <w:p w:rsidR="00051DB3" w:rsidRPr="008314EA" w:rsidRDefault="00051DB3" w:rsidP="008314EA">
          <w:pPr>
            <w:jc w:val="right"/>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t>Recurso de Revisión:</w:t>
          </w:r>
        </w:p>
      </w:tc>
      <w:tc>
        <w:tcPr>
          <w:tcW w:w="4678" w:type="dxa"/>
        </w:tcPr>
        <w:p w:rsidR="00051DB3" w:rsidRPr="008314EA" w:rsidRDefault="00051DB3" w:rsidP="009E6824">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8314EA">
            <w:rPr>
              <w:rFonts w:ascii="Palatino Linotype" w:eastAsia="Palatino Linotype" w:hAnsi="Palatino Linotype" w:cs="Palatino Linotype"/>
              <w:color w:val="000000" w:themeColor="text1"/>
            </w:rPr>
            <w:t>05723/INFOEM/IP/RR/2025</w:t>
          </w:r>
        </w:p>
      </w:tc>
    </w:tr>
    <w:tr w:rsidR="00051DB3" w:rsidTr="009E6824">
      <w:trPr>
        <w:trHeight w:val="242"/>
      </w:trPr>
      <w:tc>
        <w:tcPr>
          <w:tcW w:w="2693" w:type="dxa"/>
        </w:tcPr>
        <w:p w:rsidR="00051DB3" w:rsidRPr="008314EA" w:rsidRDefault="00051DB3" w:rsidP="008314EA">
          <w:pPr>
            <w:jc w:val="right"/>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t>Recurrente:</w:t>
          </w:r>
        </w:p>
      </w:tc>
      <w:tc>
        <w:tcPr>
          <w:tcW w:w="4678" w:type="dxa"/>
        </w:tcPr>
        <w:p w:rsidR="00051DB3" w:rsidRPr="008314EA" w:rsidRDefault="00674251" w:rsidP="009E6824">
          <w:pPr>
            <w:rPr>
              <w:color w:val="000000" w:themeColor="text1"/>
            </w:rPr>
          </w:pPr>
          <w:r>
            <w:rPr>
              <w:rFonts w:ascii="Palatino Linotype" w:eastAsia="Palatino Linotype" w:hAnsi="Palatino Linotype" w:cs="Palatino Linotype"/>
              <w:color w:val="000000" w:themeColor="text1"/>
            </w:rPr>
            <w:t>XXXX</w:t>
          </w:r>
        </w:p>
      </w:tc>
    </w:tr>
    <w:tr w:rsidR="00051DB3" w:rsidTr="009E6824">
      <w:trPr>
        <w:trHeight w:val="342"/>
      </w:trPr>
      <w:tc>
        <w:tcPr>
          <w:tcW w:w="2693" w:type="dxa"/>
        </w:tcPr>
        <w:p w:rsidR="00051DB3" w:rsidRPr="008314EA" w:rsidRDefault="00051DB3" w:rsidP="008314EA">
          <w:pPr>
            <w:jc w:val="right"/>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t>Sujeto Obligado:</w:t>
          </w:r>
        </w:p>
      </w:tc>
      <w:tc>
        <w:tcPr>
          <w:tcW w:w="4678" w:type="dxa"/>
        </w:tcPr>
        <w:p w:rsidR="00051DB3" w:rsidRPr="008314EA" w:rsidRDefault="00051DB3" w:rsidP="009E6824">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8314EA">
            <w:rPr>
              <w:rFonts w:ascii="Palatino Linotype" w:eastAsia="Palatino Linotype" w:hAnsi="Palatino Linotype" w:cs="Palatino Linotype"/>
              <w:color w:val="000000" w:themeColor="text1"/>
            </w:rPr>
            <w:t>Sistema Municipal para el Desarrollo Integral de la Familia de Coyotepec</w:t>
          </w:r>
        </w:p>
      </w:tc>
    </w:tr>
    <w:tr w:rsidR="00051DB3" w:rsidTr="009E6824">
      <w:trPr>
        <w:trHeight w:val="342"/>
      </w:trPr>
      <w:tc>
        <w:tcPr>
          <w:tcW w:w="2693" w:type="dxa"/>
        </w:tcPr>
        <w:p w:rsidR="00051DB3" w:rsidRPr="008314EA" w:rsidRDefault="00051DB3" w:rsidP="008314EA">
          <w:pPr>
            <w:jc w:val="right"/>
            <w:rPr>
              <w:rFonts w:ascii="Palatino Linotype" w:eastAsia="Palatino Linotype" w:hAnsi="Palatino Linotype" w:cs="Palatino Linotype"/>
              <w:b/>
              <w:color w:val="000000" w:themeColor="text1"/>
            </w:rPr>
          </w:pPr>
          <w:r w:rsidRPr="008314EA">
            <w:rPr>
              <w:rFonts w:ascii="Palatino Linotype" w:eastAsia="Palatino Linotype" w:hAnsi="Palatino Linotype" w:cs="Palatino Linotype"/>
              <w:b/>
              <w:color w:val="000000" w:themeColor="text1"/>
            </w:rPr>
            <w:t>Comisionada Ponente:</w:t>
          </w:r>
        </w:p>
      </w:tc>
      <w:tc>
        <w:tcPr>
          <w:tcW w:w="4678" w:type="dxa"/>
        </w:tcPr>
        <w:p w:rsidR="00051DB3" w:rsidRPr="008314EA" w:rsidRDefault="00051DB3" w:rsidP="009E6824">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8314EA">
            <w:rPr>
              <w:rFonts w:ascii="Palatino Linotype" w:eastAsia="Palatino Linotype" w:hAnsi="Palatino Linotype" w:cs="Palatino Linotype"/>
              <w:color w:val="000000" w:themeColor="text1"/>
            </w:rPr>
            <w:t>María del Rosario Mejía Ayala</w:t>
          </w:r>
        </w:p>
      </w:tc>
    </w:tr>
  </w:tbl>
  <w:p w:rsidR="00051DB3" w:rsidRDefault="0048412D" w:rsidP="008314EA">
    <w:pPr>
      <w:pBdr>
        <w:top w:val="nil"/>
        <w:left w:val="nil"/>
        <w:bottom w:val="nil"/>
        <w:right w:val="nil"/>
        <w:between w:val="nil"/>
      </w:pBdr>
      <w:tabs>
        <w:tab w:val="center" w:pos="4419"/>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16826"/>
    <w:multiLevelType w:val="multilevel"/>
    <w:tmpl w:val="7A78F29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F1316B"/>
    <w:multiLevelType w:val="multilevel"/>
    <w:tmpl w:val="3E2A1F48"/>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 w15:restartNumberingAfterBreak="0">
    <w:nsid w:val="2F8E0861"/>
    <w:multiLevelType w:val="multilevel"/>
    <w:tmpl w:val="4FE8108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E4009F"/>
    <w:multiLevelType w:val="hybridMultilevel"/>
    <w:tmpl w:val="CDF6D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AE1173"/>
    <w:multiLevelType w:val="multilevel"/>
    <w:tmpl w:val="17268E56"/>
    <w:lvl w:ilvl="0">
      <w:start w:val="1"/>
      <w:numFmt w:val="decimal"/>
      <w:pStyle w:val="Listaconvietas2"/>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6F4C78D7"/>
    <w:multiLevelType w:val="multilevel"/>
    <w:tmpl w:val="37B0A932"/>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6" w15:restartNumberingAfterBreak="0">
    <w:nsid w:val="79E51494"/>
    <w:multiLevelType w:val="multilevel"/>
    <w:tmpl w:val="2B861DF6"/>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1"/>
  </w:num>
  <w:num w:numId="3">
    <w:abstractNumId w:val="2"/>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9F"/>
    <w:rsid w:val="000169D9"/>
    <w:rsid w:val="00040696"/>
    <w:rsid w:val="00047B6E"/>
    <w:rsid w:val="00051DB3"/>
    <w:rsid w:val="00081C7B"/>
    <w:rsid w:val="000C02F0"/>
    <w:rsid w:val="001C4E9C"/>
    <w:rsid w:val="001E21FA"/>
    <w:rsid w:val="001E7750"/>
    <w:rsid w:val="0020369F"/>
    <w:rsid w:val="00222BB8"/>
    <w:rsid w:val="00231473"/>
    <w:rsid w:val="00315BF0"/>
    <w:rsid w:val="00340302"/>
    <w:rsid w:val="003502FB"/>
    <w:rsid w:val="00354CA1"/>
    <w:rsid w:val="003A706A"/>
    <w:rsid w:val="003C42A2"/>
    <w:rsid w:val="003E20E4"/>
    <w:rsid w:val="003F6904"/>
    <w:rsid w:val="00425C9F"/>
    <w:rsid w:val="004567C6"/>
    <w:rsid w:val="00467010"/>
    <w:rsid w:val="00472785"/>
    <w:rsid w:val="0048412D"/>
    <w:rsid w:val="004C313C"/>
    <w:rsid w:val="004E253B"/>
    <w:rsid w:val="004E58C5"/>
    <w:rsid w:val="004E5A07"/>
    <w:rsid w:val="00532B16"/>
    <w:rsid w:val="00566A8D"/>
    <w:rsid w:val="00576CB4"/>
    <w:rsid w:val="006231BD"/>
    <w:rsid w:val="00643F50"/>
    <w:rsid w:val="00674251"/>
    <w:rsid w:val="006C65A1"/>
    <w:rsid w:val="006D06A5"/>
    <w:rsid w:val="00713B17"/>
    <w:rsid w:val="0072564E"/>
    <w:rsid w:val="00735BD0"/>
    <w:rsid w:val="007749AF"/>
    <w:rsid w:val="007C425A"/>
    <w:rsid w:val="0082136F"/>
    <w:rsid w:val="00822E55"/>
    <w:rsid w:val="008314EA"/>
    <w:rsid w:val="009E6824"/>
    <w:rsid w:val="009F4535"/>
    <w:rsid w:val="00A01B98"/>
    <w:rsid w:val="00A66B4F"/>
    <w:rsid w:val="00AE7365"/>
    <w:rsid w:val="00AF2FE6"/>
    <w:rsid w:val="00AF4EDA"/>
    <w:rsid w:val="00BF1E37"/>
    <w:rsid w:val="00C16E26"/>
    <w:rsid w:val="00CE1AD2"/>
    <w:rsid w:val="00D01A41"/>
    <w:rsid w:val="00D063FC"/>
    <w:rsid w:val="00D16B62"/>
    <w:rsid w:val="00D200A6"/>
    <w:rsid w:val="00E345F5"/>
    <w:rsid w:val="00E863C6"/>
    <w:rsid w:val="00E96D2A"/>
    <w:rsid w:val="00EC70A1"/>
    <w:rsid w:val="00F26C65"/>
    <w:rsid w:val="00F61646"/>
    <w:rsid w:val="00F83F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E24B8E4-E60E-4B9C-B336-80824515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13">
    <w:name w:val="13"/>
    <w:basedOn w:val="TableNormal10"/>
    <w:tblPr>
      <w:tblStyleRowBandSize w:val="1"/>
      <w:tblStyleColBandSize w:val="1"/>
      <w:tblCellMar>
        <w:left w:w="70" w:type="dxa"/>
        <w:right w:w="70" w:type="dxa"/>
      </w:tblCellMar>
    </w:tblPr>
  </w:style>
  <w:style w:type="table" w:customStyle="1" w:styleId="12">
    <w:name w:val="12"/>
    <w:basedOn w:val="TableNormal10"/>
    <w:tblPr>
      <w:tblStyleRowBandSize w:val="1"/>
      <w:tblStyleColBandSize w:val="1"/>
      <w:tblCellMar>
        <w:left w:w="70" w:type="dxa"/>
        <w:right w:w="70" w:type="dxa"/>
      </w:tblCellMar>
    </w:tblPr>
  </w:style>
  <w:style w:type="table" w:customStyle="1" w:styleId="11">
    <w:name w:val="11"/>
    <w:basedOn w:val="TableNormal10"/>
    <w:tblPr>
      <w:tblStyleRowBandSize w:val="1"/>
      <w:tblStyleColBandSize w:val="1"/>
      <w:tblCellMar>
        <w:left w:w="115" w:type="dxa"/>
        <w:right w:w="115" w:type="dxa"/>
      </w:tblCellMar>
    </w:tblPr>
  </w:style>
  <w:style w:type="table" w:customStyle="1" w:styleId="10">
    <w:name w:val="10"/>
    <w:basedOn w:val="TableNormal10"/>
    <w:tblPr>
      <w:tblStyleRowBandSize w:val="1"/>
      <w:tblStyleColBandSize w:val="1"/>
      <w:tblCellMar>
        <w:left w:w="70" w:type="dxa"/>
        <w:right w:w="70" w:type="dxa"/>
      </w:tblCellMar>
    </w:tblPr>
  </w:style>
  <w:style w:type="table" w:customStyle="1" w:styleId="9">
    <w:name w:val="9"/>
    <w:basedOn w:val="TableNormal10"/>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70" w:type="dxa"/>
        <w:right w:w="70" w:type="dxa"/>
      </w:tblCellMar>
    </w:tblPr>
  </w:style>
  <w:style w:type="table" w:customStyle="1" w:styleId="5">
    <w:name w:val="5"/>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6256">
      <w:bodyDiv w:val="1"/>
      <w:marLeft w:val="0"/>
      <w:marRight w:val="0"/>
      <w:marTop w:val="0"/>
      <w:marBottom w:val="0"/>
      <w:divBdr>
        <w:top w:val="none" w:sz="0" w:space="0" w:color="auto"/>
        <w:left w:val="none" w:sz="0" w:space="0" w:color="auto"/>
        <w:bottom w:val="none" w:sz="0" w:space="0" w:color="auto"/>
        <w:right w:val="none" w:sz="0" w:space="0" w:color="auto"/>
      </w:divBdr>
    </w:div>
    <w:div w:id="739988881">
      <w:bodyDiv w:val="1"/>
      <w:marLeft w:val="0"/>
      <w:marRight w:val="0"/>
      <w:marTop w:val="0"/>
      <w:marBottom w:val="0"/>
      <w:divBdr>
        <w:top w:val="none" w:sz="0" w:space="0" w:color="auto"/>
        <w:left w:val="none" w:sz="0" w:space="0" w:color="auto"/>
        <w:bottom w:val="none" w:sz="0" w:space="0" w:color="auto"/>
        <w:right w:val="none" w:sz="0" w:space="0" w:color="auto"/>
      </w:divBdr>
    </w:div>
    <w:div w:id="977028062">
      <w:bodyDiv w:val="1"/>
      <w:marLeft w:val="0"/>
      <w:marRight w:val="0"/>
      <w:marTop w:val="0"/>
      <w:marBottom w:val="0"/>
      <w:divBdr>
        <w:top w:val="none" w:sz="0" w:space="0" w:color="auto"/>
        <w:left w:val="none" w:sz="0" w:space="0" w:color="auto"/>
        <w:bottom w:val="none" w:sz="0" w:space="0" w:color="auto"/>
        <w:right w:val="none" w:sz="0" w:space="0" w:color="auto"/>
      </w:divBdr>
    </w:div>
    <w:div w:id="1080524442">
      <w:bodyDiv w:val="1"/>
      <w:marLeft w:val="0"/>
      <w:marRight w:val="0"/>
      <w:marTop w:val="0"/>
      <w:marBottom w:val="0"/>
      <w:divBdr>
        <w:top w:val="none" w:sz="0" w:space="0" w:color="auto"/>
        <w:left w:val="none" w:sz="0" w:space="0" w:color="auto"/>
        <w:bottom w:val="none" w:sz="0" w:space="0" w:color="auto"/>
        <w:right w:val="none" w:sz="0" w:space="0" w:color="auto"/>
      </w:divBdr>
    </w:div>
    <w:div w:id="1160736498">
      <w:bodyDiv w:val="1"/>
      <w:marLeft w:val="0"/>
      <w:marRight w:val="0"/>
      <w:marTop w:val="0"/>
      <w:marBottom w:val="0"/>
      <w:divBdr>
        <w:top w:val="none" w:sz="0" w:space="0" w:color="auto"/>
        <w:left w:val="none" w:sz="0" w:space="0" w:color="auto"/>
        <w:bottom w:val="none" w:sz="0" w:space="0" w:color="auto"/>
        <w:right w:val="none" w:sz="0" w:space="0" w:color="auto"/>
      </w:divBdr>
    </w:div>
    <w:div w:id="1205100257">
      <w:bodyDiv w:val="1"/>
      <w:marLeft w:val="0"/>
      <w:marRight w:val="0"/>
      <w:marTop w:val="0"/>
      <w:marBottom w:val="0"/>
      <w:divBdr>
        <w:top w:val="none" w:sz="0" w:space="0" w:color="auto"/>
        <w:left w:val="none" w:sz="0" w:space="0" w:color="auto"/>
        <w:bottom w:val="none" w:sz="0" w:space="0" w:color="auto"/>
        <w:right w:val="none" w:sz="0" w:space="0" w:color="auto"/>
      </w:divBdr>
    </w:div>
    <w:div w:id="2025011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omawww.sat.gob.mx/tramitesyservicios/paginas/documentos/anexo20_2022.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xJ2bfdrAUwspjBAdOHgwnKuWdw==">CgMxLjAyCGguZ2pkZ3hzMgloLjMwajB6bGwyCWguMWZvYjl0ZTIJaC4zem55c2g3MgloLjJldDkycDAyCWguMXQzaDVzZjIJaC4xa3N2NHV2MgloLjNyZGNyam4yCGgubG54Yno5OAByITFpVC1DNmFoV0wwbUJPSmFvLTBJVXpndDJkNm9mNXduaw==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38</Pages>
  <Words>10093</Words>
  <Characters>55512</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50</cp:revision>
  <dcterms:created xsi:type="dcterms:W3CDTF">2025-10-23T01:11:00Z</dcterms:created>
  <dcterms:modified xsi:type="dcterms:W3CDTF">2026-01-13T17:51:00Z</dcterms:modified>
</cp:coreProperties>
</file>