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ED10D3" w14:textId="6B408BB1" w:rsidR="00570610" w:rsidRPr="007D4C61" w:rsidRDefault="00E91F61" w:rsidP="00664A7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000F0D87" w:rsidRPr="007D4C61">
        <w:rPr>
          <w:rFonts w:ascii="Palatino Linotype" w:eastAsia="Palatino Linotype" w:hAnsi="Palatino Linotype" w:cs="Palatino Linotype"/>
          <w:b/>
          <w:color w:val="000000" w:themeColor="text1"/>
        </w:rPr>
        <w:t>de fecha diez</w:t>
      </w:r>
      <w:r w:rsidR="00242433">
        <w:rPr>
          <w:rFonts w:ascii="Palatino Linotype" w:eastAsia="Palatino Linotype" w:hAnsi="Palatino Linotype" w:cs="Palatino Linotype"/>
          <w:b/>
          <w:color w:val="000000" w:themeColor="text1"/>
        </w:rPr>
        <w:t xml:space="preserve"> (10)</w:t>
      </w:r>
      <w:r w:rsidR="000F0D87" w:rsidRPr="007D4C61">
        <w:rPr>
          <w:rFonts w:ascii="Palatino Linotype" w:eastAsia="Palatino Linotype" w:hAnsi="Palatino Linotype" w:cs="Palatino Linotype"/>
          <w:b/>
          <w:color w:val="000000" w:themeColor="text1"/>
        </w:rPr>
        <w:t xml:space="preserve"> de septiembre de dos mil veinticinco</w:t>
      </w:r>
      <w:r w:rsidRPr="007D4C61">
        <w:rPr>
          <w:rFonts w:ascii="Palatino Linotype" w:eastAsia="Palatino Linotype" w:hAnsi="Palatino Linotype" w:cs="Palatino Linotype"/>
          <w:b/>
          <w:color w:val="000000" w:themeColor="text1"/>
        </w:rPr>
        <w:t>.</w:t>
      </w:r>
    </w:p>
    <w:p w14:paraId="32AB45B9" w14:textId="77777777" w:rsidR="00570610" w:rsidRPr="007D4C61" w:rsidRDefault="00570610" w:rsidP="00664A7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6F9E973B" w14:textId="765FDF54" w:rsidR="00570610" w:rsidRPr="007D4C61" w:rsidRDefault="00E91F61" w:rsidP="00664A7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bookmarkStart w:id="0" w:name="_heading=h.3s3qvdqd9llu" w:colFirst="0" w:colLast="0"/>
      <w:bookmarkEnd w:id="0"/>
      <w:r w:rsidRPr="00242433">
        <w:rPr>
          <w:rFonts w:ascii="Palatino Linotype" w:eastAsia="Palatino Linotype" w:hAnsi="Palatino Linotype" w:cs="Palatino Linotype"/>
          <w:b/>
          <w:color w:val="000000" w:themeColor="text1"/>
        </w:rPr>
        <w:t>VISTO</w:t>
      </w:r>
      <w:r w:rsidRPr="007D4C61">
        <w:rPr>
          <w:rFonts w:ascii="Palatino Linotype" w:eastAsia="Palatino Linotype" w:hAnsi="Palatino Linotype" w:cs="Palatino Linotype"/>
          <w:color w:val="000000" w:themeColor="text1"/>
        </w:rPr>
        <w:t xml:space="preserve"> el expediente electrónico formado con motivo del Recursos de Revisión </w:t>
      </w:r>
      <w:r w:rsidRPr="007D4C61">
        <w:rPr>
          <w:rFonts w:ascii="Palatino Linotype" w:eastAsia="Palatino Linotype" w:hAnsi="Palatino Linotype" w:cs="Palatino Linotype"/>
          <w:b/>
          <w:color w:val="000000" w:themeColor="text1"/>
        </w:rPr>
        <w:t xml:space="preserve">03433/INFOEM/IP/RR/2025 </w:t>
      </w:r>
      <w:r w:rsidRPr="007D4C61">
        <w:rPr>
          <w:rFonts w:ascii="Palatino Linotype" w:eastAsia="Palatino Linotype" w:hAnsi="Palatino Linotype" w:cs="Palatino Linotype"/>
          <w:color w:val="000000" w:themeColor="text1"/>
        </w:rPr>
        <w:t xml:space="preserve">promovido por </w:t>
      </w:r>
      <w:r w:rsidR="00516110">
        <w:rPr>
          <w:rFonts w:ascii="Palatino Linotype" w:eastAsia="Palatino Linotype" w:hAnsi="Palatino Linotype" w:cs="Palatino Linotype"/>
          <w:b/>
          <w:color w:val="000000" w:themeColor="text1"/>
        </w:rPr>
        <w:t>XXXX</w:t>
      </w:r>
      <w:r w:rsidRPr="007D4C61">
        <w:rPr>
          <w:rFonts w:ascii="Palatino Linotype" w:eastAsia="Palatino Linotype" w:hAnsi="Palatino Linotype" w:cs="Palatino Linotype"/>
          <w:color w:val="000000" w:themeColor="text1"/>
        </w:rPr>
        <w:t xml:space="preserve">, a través del Sistema de Acceso a la Información Mexiquense (SAIMEX), a quien en lo sucesivo se le identificará como </w:t>
      </w:r>
      <w:r w:rsidRPr="007D4C61">
        <w:rPr>
          <w:rFonts w:ascii="Palatino Linotype" w:eastAsia="Palatino Linotype" w:hAnsi="Palatino Linotype" w:cs="Palatino Linotype"/>
          <w:b/>
          <w:color w:val="000000" w:themeColor="text1"/>
        </w:rPr>
        <w:t>EL RECURRENTE</w:t>
      </w:r>
      <w:r w:rsidRPr="007D4C61">
        <w:rPr>
          <w:rFonts w:ascii="Palatino Linotype" w:eastAsia="Palatino Linotype" w:hAnsi="Palatino Linotype" w:cs="Palatino Linotype"/>
          <w:color w:val="000000" w:themeColor="text1"/>
        </w:rPr>
        <w:t xml:space="preserve">, en contra de la respuesta del </w:t>
      </w:r>
      <w:r w:rsidRPr="007D4C61">
        <w:rPr>
          <w:rFonts w:ascii="Palatino Linotype" w:eastAsia="Palatino Linotype" w:hAnsi="Palatino Linotype" w:cs="Palatino Linotype"/>
          <w:b/>
          <w:color w:val="000000" w:themeColor="text1"/>
        </w:rPr>
        <w:t>Ayuntamiento de Toluca</w:t>
      </w:r>
      <w:r w:rsidRPr="007D4C61">
        <w:rPr>
          <w:rFonts w:ascii="Palatino Linotype" w:eastAsia="Palatino Linotype" w:hAnsi="Palatino Linotype" w:cs="Palatino Linotype"/>
          <w:color w:val="000000" w:themeColor="text1"/>
        </w:rPr>
        <w:t xml:space="preserve">, en </w:t>
      </w:r>
      <w:r w:rsidR="00242433">
        <w:rPr>
          <w:rFonts w:ascii="Palatino Linotype" w:eastAsia="Palatino Linotype" w:hAnsi="Palatino Linotype" w:cs="Palatino Linotype"/>
          <w:color w:val="000000" w:themeColor="text1"/>
        </w:rPr>
        <w:t>adelante</w:t>
      </w:r>
      <w:r w:rsidRPr="007D4C61">
        <w:rPr>
          <w:rFonts w:ascii="Palatino Linotype" w:eastAsia="Palatino Linotype" w:hAnsi="Palatino Linotype" w:cs="Palatino Linotype"/>
          <w:color w:val="000000" w:themeColor="text1"/>
        </w:rPr>
        <w:t xml:space="preserve"> </w:t>
      </w:r>
      <w:r w:rsidRPr="007D4C61">
        <w:rPr>
          <w:rFonts w:ascii="Palatino Linotype" w:eastAsia="Palatino Linotype" w:hAnsi="Palatino Linotype" w:cs="Palatino Linotype"/>
          <w:b/>
          <w:color w:val="000000" w:themeColor="text1"/>
        </w:rPr>
        <w:t>EL SUJETO OBLIGADO</w:t>
      </w:r>
      <w:r w:rsidRPr="007D4C61">
        <w:rPr>
          <w:rFonts w:ascii="Palatino Linotype" w:eastAsia="Palatino Linotype" w:hAnsi="Palatino Linotype" w:cs="Palatino Linotype"/>
          <w:color w:val="000000" w:themeColor="text1"/>
        </w:rPr>
        <w:t>, se procede a dictar la presente resolución, con base en los siguientes:</w:t>
      </w:r>
    </w:p>
    <w:p w14:paraId="321CA826" w14:textId="77777777" w:rsidR="00570610" w:rsidRPr="007D4C61" w:rsidRDefault="00570610" w:rsidP="00664A7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106B7B12" w14:textId="77777777" w:rsidR="00570610" w:rsidRPr="00242433" w:rsidRDefault="00E91F61" w:rsidP="00664A7E">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r w:rsidRPr="00242433">
        <w:rPr>
          <w:rFonts w:ascii="Palatino Linotype" w:eastAsia="Palatino Linotype" w:hAnsi="Palatino Linotype" w:cs="Palatino Linotype"/>
          <w:b/>
          <w:color w:val="000000" w:themeColor="text1"/>
        </w:rPr>
        <w:t>A N T E C E D E N T E S</w:t>
      </w:r>
    </w:p>
    <w:p w14:paraId="065D1D09" w14:textId="77777777" w:rsidR="00570610" w:rsidRPr="007D4C61" w:rsidRDefault="00570610" w:rsidP="00664A7E">
      <w:pPr>
        <w:spacing w:line="360" w:lineRule="auto"/>
        <w:rPr>
          <w:rFonts w:ascii="Palatino Linotype" w:eastAsia="Palatino Linotype" w:hAnsi="Palatino Linotype" w:cs="Palatino Linotype"/>
          <w:color w:val="000000" w:themeColor="text1"/>
        </w:rPr>
      </w:pPr>
    </w:p>
    <w:p w14:paraId="3D2F9E4A" w14:textId="2DF39903"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 xml:space="preserve">El </w:t>
      </w:r>
      <w:r w:rsidRPr="007D4C61">
        <w:rPr>
          <w:rFonts w:ascii="Palatino Linotype" w:eastAsia="Palatino Linotype" w:hAnsi="Palatino Linotype" w:cs="Palatino Linotype"/>
          <w:b/>
          <w:color w:val="000000" w:themeColor="text1"/>
        </w:rPr>
        <w:t xml:space="preserve">veinticinco de febrero de dos mil veinticinco, </w:t>
      </w:r>
      <w:r w:rsidRPr="007D4C61">
        <w:rPr>
          <w:rFonts w:ascii="Palatino Linotype" w:eastAsia="Palatino Linotype" w:hAnsi="Palatino Linotype" w:cs="Palatino Linotype"/>
          <w:color w:val="000000" w:themeColor="text1"/>
        </w:rPr>
        <w:t xml:space="preserve">se presentó ante el </w:t>
      </w:r>
      <w:r w:rsidRPr="007D4C61">
        <w:rPr>
          <w:rFonts w:ascii="Palatino Linotype" w:eastAsia="Palatino Linotype" w:hAnsi="Palatino Linotype" w:cs="Palatino Linotype"/>
          <w:b/>
          <w:color w:val="000000" w:themeColor="text1"/>
        </w:rPr>
        <w:t>SUJETO OBLIGADO</w:t>
      </w:r>
      <w:r w:rsidRPr="007D4C61">
        <w:rPr>
          <w:rFonts w:ascii="Palatino Linotype" w:eastAsia="Palatino Linotype" w:hAnsi="Palatino Linotype" w:cs="Palatino Linotype"/>
          <w:color w:val="000000" w:themeColor="text1"/>
        </w:rPr>
        <w:t xml:space="preserve"> vía </w:t>
      </w:r>
      <w:r w:rsidRPr="007D4C61">
        <w:rPr>
          <w:rFonts w:ascii="Palatino Linotype" w:eastAsia="Palatino Linotype" w:hAnsi="Palatino Linotype" w:cs="Palatino Linotype"/>
          <w:b/>
          <w:color w:val="000000" w:themeColor="text1"/>
        </w:rPr>
        <w:t>SAIMEX</w:t>
      </w:r>
      <w:r w:rsidRPr="007D4C61">
        <w:rPr>
          <w:rFonts w:ascii="Palatino Linotype" w:eastAsia="Palatino Linotype" w:hAnsi="Palatino Linotype" w:cs="Palatino Linotype"/>
          <w:color w:val="000000" w:themeColor="text1"/>
        </w:rPr>
        <w:t xml:space="preserve">, la solicitud de información pública registrada con el número </w:t>
      </w:r>
      <w:r w:rsidRPr="007D4C61">
        <w:rPr>
          <w:rFonts w:ascii="Palatino Linotype" w:eastAsia="Palatino Linotype" w:hAnsi="Palatino Linotype" w:cs="Palatino Linotype"/>
          <w:b/>
          <w:color w:val="000000" w:themeColor="text1"/>
          <w:u w:val="single"/>
        </w:rPr>
        <w:t>01144/TOLUCA/IP/2025</w:t>
      </w:r>
      <w:r w:rsidRPr="007D4C61">
        <w:rPr>
          <w:rFonts w:ascii="Palatino Linotype" w:eastAsia="Palatino Linotype" w:hAnsi="Palatino Linotype" w:cs="Palatino Linotype"/>
          <w:b/>
          <w:color w:val="000000" w:themeColor="text1"/>
        </w:rPr>
        <w:t xml:space="preserve">, </w:t>
      </w:r>
      <w:r w:rsidR="00516110">
        <w:rPr>
          <w:rFonts w:ascii="Palatino Linotype" w:eastAsia="Palatino Linotype" w:hAnsi="Palatino Linotype" w:cs="Palatino Linotype"/>
          <w:color w:val="000000" w:themeColor="text1"/>
        </w:rPr>
        <w:t>en la que</w:t>
      </w:r>
      <w:r w:rsidRPr="007D4C61">
        <w:rPr>
          <w:rFonts w:ascii="Palatino Linotype" w:eastAsia="Palatino Linotype" w:hAnsi="Palatino Linotype" w:cs="Palatino Linotype"/>
          <w:color w:val="000000" w:themeColor="text1"/>
        </w:rPr>
        <w:t xml:space="preserve"> se pretende acceder a la siguiente información:</w:t>
      </w:r>
    </w:p>
    <w:p w14:paraId="66D84350" w14:textId="77777777" w:rsidR="00570610" w:rsidRPr="007D4C61" w:rsidRDefault="00570610" w:rsidP="00664A7E">
      <w:pPr>
        <w:jc w:val="both"/>
        <w:rPr>
          <w:rFonts w:ascii="Palatino Linotype" w:eastAsia="Palatino Linotype" w:hAnsi="Palatino Linotype" w:cs="Palatino Linotype"/>
          <w:i/>
          <w:color w:val="000000" w:themeColor="text1"/>
        </w:rPr>
      </w:pPr>
    </w:p>
    <w:p w14:paraId="119B4A61"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“LOS RESULTADOS Y DOCUMENTOS QUE MUESTRE QUIENES ASISTEIRON A LA EVALUACIÓN DE CONTROL Y CONFIANZA DEL AYUNTAMIENTO INCLUYENDO AL PRESIDENTE MUNICIPAL COMO MANDO MAYOR DE LA POLICIA Y DE AHI AL DIRECTOR Y MANDOS DE LA POLICIA Y EL</w:t>
      </w:r>
      <w:bookmarkStart w:id="1" w:name="_GoBack"/>
      <w:bookmarkEnd w:id="1"/>
      <w:r w:rsidRPr="007D4C61">
        <w:rPr>
          <w:rFonts w:ascii="Palatino Linotype" w:eastAsia="Palatino Linotype" w:hAnsi="Palatino Linotype" w:cs="Palatino Linotype"/>
          <w:i/>
          <w:color w:val="000000" w:themeColor="text1"/>
        </w:rPr>
        <w:t>EMENTOS DE LA POLICIA CON SUS FECHA DE PRESENTACIÓN Y RESULTADOS CON DOCUMENTOS QUE LO ACREDIETEN.”</w:t>
      </w:r>
    </w:p>
    <w:p w14:paraId="0D811773" w14:textId="77777777" w:rsidR="00570610" w:rsidRPr="007D4C61" w:rsidRDefault="00570610" w:rsidP="00664A7E">
      <w:pPr>
        <w:pBdr>
          <w:top w:val="nil"/>
          <w:left w:val="nil"/>
          <w:bottom w:val="nil"/>
          <w:right w:val="nil"/>
          <w:between w:val="nil"/>
        </w:pBdr>
        <w:jc w:val="both"/>
        <w:rPr>
          <w:rFonts w:ascii="Palatino Linotype" w:eastAsia="Palatino Linotype" w:hAnsi="Palatino Linotype" w:cs="Palatino Linotype"/>
          <w:i/>
          <w:color w:val="000000" w:themeColor="text1"/>
        </w:rPr>
      </w:pPr>
    </w:p>
    <w:p w14:paraId="2C6D50B3" w14:textId="77777777" w:rsidR="00570610" w:rsidRPr="007D4C61" w:rsidRDefault="00570610" w:rsidP="00664A7E">
      <w:pPr>
        <w:pBdr>
          <w:top w:val="nil"/>
          <w:left w:val="nil"/>
          <w:bottom w:val="nil"/>
          <w:right w:val="nil"/>
          <w:between w:val="nil"/>
        </w:pBdr>
        <w:jc w:val="both"/>
        <w:rPr>
          <w:rFonts w:ascii="Palatino Linotype" w:eastAsia="Palatino Linotype" w:hAnsi="Palatino Linotype" w:cs="Palatino Linotype"/>
          <w:i/>
          <w:color w:val="000000" w:themeColor="text1"/>
        </w:rPr>
      </w:pPr>
    </w:p>
    <w:p w14:paraId="78BDA629" w14:textId="77777777" w:rsidR="00570610" w:rsidRPr="007D4C61" w:rsidRDefault="00E91F61" w:rsidP="00664A7E">
      <w:pPr>
        <w:numPr>
          <w:ilvl w:val="0"/>
          <w:numId w:val="1"/>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b/>
          <w:color w:val="000000" w:themeColor="text1"/>
        </w:rPr>
        <w:t>Modalidad de entrega</w:t>
      </w:r>
      <w:r w:rsidRPr="007D4C61">
        <w:rPr>
          <w:rFonts w:ascii="Palatino Linotype" w:eastAsia="Palatino Linotype" w:hAnsi="Palatino Linotype" w:cs="Palatino Linotype"/>
          <w:color w:val="000000" w:themeColor="text1"/>
        </w:rPr>
        <w:t xml:space="preserve">: Sistema de Acceso a la Información </w:t>
      </w:r>
    </w:p>
    <w:p w14:paraId="71886861"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lastRenderedPageBreak/>
        <w:t xml:space="preserve">El </w:t>
      </w:r>
      <w:r w:rsidRPr="007D4C61">
        <w:rPr>
          <w:rFonts w:ascii="Palatino Linotype" w:eastAsia="Palatino Linotype" w:hAnsi="Palatino Linotype" w:cs="Palatino Linotype"/>
          <w:b/>
          <w:color w:val="000000" w:themeColor="text1"/>
        </w:rPr>
        <w:t xml:space="preserve">veinticinco de febrero de dos mil veinticinco </w:t>
      </w:r>
      <w:r w:rsidRPr="007D4C61">
        <w:rPr>
          <w:rFonts w:ascii="Palatino Linotype" w:eastAsia="Palatino Linotype" w:hAnsi="Palatino Linotype" w:cs="Palatino Linotype"/>
          <w:color w:val="000000" w:themeColor="text1"/>
        </w:rPr>
        <w:t xml:space="preserve">el </w:t>
      </w:r>
      <w:r w:rsidRPr="007D4C61">
        <w:rPr>
          <w:rFonts w:ascii="Palatino Linotype" w:eastAsia="Palatino Linotype" w:hAnsi="Palatino Linotype" w:cs="Palatino Linotype"/>
          <w:b/>
          <w:color w:val="000000" w:themeColor="text1"/>
        </w:rPr>
        <w:t xml:space="preserve">SUJETO OBLIGADO </w:t>
      </w:r>
      <w:r w:rsidRPr="007D4C61">
        <w:rPr>
          <w:rFonts w:ascii="Palatino Linotype" w:eastAsia="Palatino Linotype" w:hAnsi="Palatino Linotype" w:cs="Palatino Linotype"/>
          <w:color w:val="000000" w:themeColor="text1"/>
        </w:rPr>
        <w:t xml:space="preserve">giro el requerimiento de información para que fuera atendida la solicitud de información </w:t>
      </w:r>
      <w:r w:rsidRPr="007D4C61">
        <w:rPr>
          <w:rFonts w:ascii="Palatino Linotype" w:eastAsia="Palatino Linotype" w:hAnsi="Palatino Linotype" w:cs="Palatino Linotype"/>
          <w:b/>
          <w:color w:val="000000" w:themeColor="text1"/>
        </w:rPr>
        <w:t xml:space="preserve">01144/TOLUCA/IP/2025. </w:t>
      </w:r>
    </w:p>
    <w:p w14:paraId="19194E5F" w14:textId="77777777" w:rsidR="00570610" w:rsidRPr="007D4C61" w:rsidRDefault="00570610" w:rsidP="00664A7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7AE0532C"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 xml:space="preserve">En fecha </w:t>
      </w:r>
      <w:r w:rsidRPr="007D4C61">
        <w:rPr>
          <w:rFonts w:ascii="Palatino Linotype" w:eastAsia="Palatino Linotype" w:hAnsi="Palatino Linotype" w:cs="Palatino Linotype"/>
          <w:b/>
          <w:color w:val="000000" w:themeColor="text1"/>
        </w:rPr>
        <w:t>veinte de febrero de dos mil veinticinco,</w:t>
      </w:r>
      <w:r w:rsidRPr="007D4C61">
        <w:rPr>
          <w:rFonts w:ascii="Palatino Linotype" w:eastAsia="Palatino Linotype" w:hAnsi="Palatino Linotype" w:cs="Palatino Linotype"/>
          <w:color w:val="000000" w:themeColor="text1"/>
        </w:rPr>
        <w:t xml:space="preserve"> el </w:t>
      </w:r>
      <w:r w:rsidRPr="007D4C61">
        <w:rPr>
          <w:rFonts w:ascii="Palatino Linotype" w:eastAsia="Palatino Linotype" w:hAnsi="Palatino Linotype" w:cs="Palatino Linotype"/>
          <w:b/>
          <w:color w:val="000000" w:themeColor="text1"/>
        </w:rPr>
        <w:t xml:space="preserve">SUJETO OBLIGADO </w:t>
      </w:r>
      <w:r w:rsidRPr="007D4C61">
        <w:rPr>
          <w:rFonts w:ascii="Palatino Linotype" w:eastAsia="Palatino Linotype" w:hAnsi="Palatino Linotype" w:cs="Palatino Linotype"/>
          <w:color w:val="000000" w:themeColor="text1"/>
        </w:rPr>
        <w:t xml:space="preserve">dio respuesta a la solicitud de información mediante un archivo electrónico en formato pdf, cuyo contenido grosso modo es el siguiente. </w:t>
      </w:r>
    </w:p>
    <w:p w14:paraId="0AE3B5D3" w14:textId="77777777" w:rsidR="00570610" w:rsidRPr="007D4C61" w:rsidRDefault="00570610" w:rsidP="00664A7E">
      <w:pPr>
        <w:pBdr>
          <w:top w:val="nil"/>
          <w:left w:val="nil"/>
          <w:bottom w:val="nil"/>
          <w:right w:val="nil"/>
          <w:between w:val="nil"/>
        </w:pBdr>
        <w:jc w:val="both"/>
        <w:rPr>
          <w:rFonts w:ascii="Palatino Linotype" w:eastAsia="Palatino Linotype" w:hAnsi="Palatino Linotype" w:cs="Palatino Linotype"/>
          <w:b/>
          <w:i/>
          <w:color w:val="000000" w:themeColor="text1"/>
        </w:rPr>
      </w:pPr>
      <w:bookmarkStart w:id="2" w:name="_heading=h.29icuzc1vym9" w:colFirst="0" w:colLast="0"/>
      <w:bookmarkEnd w:id="2"/>
    </w:p>
    <w:p w14:paraId="5CC3166C" w14:textId="77777777" w:rsidR="00570610" w:rsidRPr="007D4C61" w:rsidRDefault="00E91F61" w:rsidP="00664A7E">
      <w:pP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b/>
          <w:i/>
          <w:color w:val="000000" w:themeColor="text1"/>
        </w:rPr>
        <w:t xml:space="preserve">R. 01144_25.pdf: </w:t>
      </w:r>
      <w:r w:rsidRPr="007D4C61">
        <w:rPr>
          <w:rFonts w:ascii="Palatino Linotype" w:eastAsia="Palatino Linotype" w:hAnsi="Palatino Linotype" w:cs="Palatino Linotype"/>
          <w:i/>
          <w:color w:val="000000" w:themeColor="text1"/>
        </w:rPr>
        <w:t xml:space="preserve">oficio del Titular de la Unidad de Transparencia, mediante el cual informa que el Director General de Seguridad y Protección, refiere que se encuentra en proceso administrativo para presentar los exámenes de Control de Confianza. </w:t>
      </w:r>
    </w:p>
    <w:p w14:paraId="434024F8" w14:textId="77777777" w:rsidR="00570610" w:rsidRPr="007D4C61" w:rsidRDefault="00E91F61" w:rsidP="00664A7E">
      <w:pP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 xml:space="preserve">Seguidamente se informa que la Unidad de Asuntos Internos, informa no ser el área competente. </w:t>
      </w:r>
    </w:p>
    <w:p w14:paraId="0ED721FA" w14:textId="77777777" w:rsidR="00570610" w:rsidRPr="007D4C61" w:rsidRDefault="00570610" w:rsidP="00664A7E">
      <w:pPr>
        <w:jc w:val="both"/>
        <w:rPr>
          <w:rFonts w:ascii="Palatino Linotype" w:eastAsia="Palatino Linotype" w:hAnsi="Palatino Linotype" w:cs="Palatino Linotype"/>
          <w:color w:val="000000" w:themeColor="text1"/>
        </w:rPr>
      </w:pPr>
    </w:p>
    <w:p w14:paraId="6E3F2C2A"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 xml:space="preserve">El </w:t>
      </w:r>
      <w:r w:rsidRPr="007D4C61">
        <w:rPr>
          <w:rFonts w:ascii="Palatino Linotype" w:eastAsia="Palatino Linotype" w:hAnsi="Palatino Linotype" w:cs="Palatino Linotype"/>
          <w:b/>
          <w:color w:val="000000" w:themeColor="text1"/>
        </w:rPr>
        <w:t>veinticuatro de marzo de dos mil veinticinco</w:t>
      </w:r>
      <w:r w:rsidRPr="007D4C61">
        <w:rPr>
          <w:rFonts w:ascii="Palatino Linotype" w:eastAsia="Palatino Linotype" w:hAnsi="Palatino Linotype" w:cs="Palatino Linotype"/>
          <w:color w:val="000000" w:themeColor="text1"/>
        </w:rPr>
        <w:t xml:space="preserve">, el solicitante interpuso recurso de revisión en la solicitud de información </w:t>
      </w:r>
      <w:r w:rsidRPr="007D4C61">
        <w:rPr>
          <w:rFonts w:ascii="Palatino Linotype" w:eastAsia="Palatino Linotype" w:hAnsi="Palatino Linotype" w:cs="Palatino Linotype"/>
          <w:b/>
          <w:color w:val="000000" w:themeColor="text1"/>
          <w:u w:val="single"/>
        </w:rPr>
        <w:t xml:space="preserve">01144/TOLUCA/IP/2025, </w:t>
      </w:r>
      <w:r w:rsidRPr="007D4C61">
        <w:rPr>
          <w:rFonts w:ascii="Palatino Linotype" w:eastAsia="Palatino Linotype" w:hAnsi="Palatino Linotype" w:cs="Palatino Linotype"/>
          <w:color w:val="000000" w:themeColor="text1"/>
        </w:rPr>
        <w:t xml:space="preserve">en contra de la respuesta emitida por el </w:t>
      </w:r>
      <w:r w:rsidRPr="007D4C61">
        <w:rPr>
          <w:rFonts w:ascii="Palatino Linotype" w:eastAsia="Palatino Linotype" w:hAnsi="Palatino Linotype" w:cs="Palatino Linotype"/>
          <w:b/>
          <w:color w:val="000000" w:themeColor="text1"/>
        </w:rPr>
        <w:t>SUJETO OBLIGADO</w:t>
      </w:r>
      <w:r w:rsidRPr="007D4C61">
        <w:rPr>
          <w:rFonts w:ascii="Palatino Linotype" w:eastAsia="Palatino Linotype" w:hAnsi="Palatino Linotype" w:cs="Palatino Linotype"/>
          <w:color w:val="000000" w:themeColor="text1"/>
        </w:rPr>
        <w:t>, señalando las siguientes razones o motivos de inconformidad:</w:t>
      </w:r>
    </w:p>
    <w:p w14:paraId="088E37E1" w14:textId="77777777" w:rsidR="00570610" w:rsidRPr="007D4C61" w:rsidRDefault="00570610" w:rsidP="00664A7E">
      <w:pPr>
        <w:pBdr>
          <w:top w:val="nil"/>
          <w:left w:val="nil"/>
          <w:bottom w:val="nil"/>
          <w:right w:val="nil"/>
          <w:between w:val="nil"/>
        </w:pBdr>
        <w:jc w:val="both"/>
        <w:rPr>
          <w:rFonts w:ascii="Palatino Linotype" w:eastAsia="Palatino Linotype" w:hAnsi="Palatino Linotype" w:cs="Palatino Linotype"/>
          <w:color w:val="000000" w:themeColor="text1"/>
        </w:rPr>
      </w:pPr>
    </w:p>
    <w:p w14:paraId="1E239D23" w14:textId="77777777" w:rsidR="00570610" w:rsidRPr="007D4C61" w:rsidRDefault="00E91F61" w:rsidP="00664A7E">
      <w:pPr>
        <w:numPr>
          <w:ilvl w:val="0"/>
          <w:numId w:val="1"/>
        </w:numPr>
        <w:pBdr>
          <w:top w:val="nil"/>
          <w:left w:val="nil"/>
          <w:bottom w:val="nil"/>
          <w:right w:val="nil"/>
          <w:between w:val="nil"/>
        </w:pBdr>
        <w:ind w:left="0" w:hanging="12"/>
        <w:jc w:val="both"/>
        <w:rPr>
          <w:rFonts w:ascii="Palatino Linotype" w:eastAsia="Palatino Linotype" w:hAnsi="Palatino Linotype" w:cs="Palatino Linotype"/>
          <w:i/>
          <w:color w:val="000000" w:themeColor="text1"/>
        </w:rPr>
      </w:pPr>
      <w:bookmarkStart w:id="3" w:name="_heading=h.rieciml9c1hw" w:colFirst="0" w:colLast="0"/>
      <w:bookmarkStart w:id="4" w:name="_heading=h.pqglfgvvk8w6" w:colFirst="0" w:colLast="0"/>
      <w:bookmarkEnd w:id="3"/>
      <w:bookmarkEnd w:id="4"/>
      <w:r w:rsidRPr="007D4C61">
        <w:rPr>
          <w:rFonts w:ascii="Palatino Linotype" w:eastAsia="Palatino Linotype" w:hAnsi="Palatino Linotype" w:cs="Palatino Linotype"/>
          <w:b/>
          <w:color w:val="000000" w:themeColor="text1"/>
        </w:rPr>
        <w:t xml:space="preserve">Acto impugnado: </w:t>
      </w:r>
      <w:r w:rsidRPr="007D4C61">
        <w:rPr>
          <w:rFonts w:ascii="Palatino Linotype" w:eastAsia="Palatino Linotype" w:hAnsi="Palatino Linotype" w:cs="Palatino Linotype"/>
          <w:i/>
          <w:color w:val="000000" w:themeColor="text1"/>
        </w:rPr>
        <w:t>“La respuesta no es lo solicitado”</w:t>
      </w:r>
    </w:p>
    <w:p w14:paraId="5750109E" w14:textId="77777777" w:rsidR="00570610" w:rsidRPr="007D4C61" w:rsidRDefault="00570610" w:rsidP="00664A7E">
      <w:pPr>
        <w:pBdr>
          <w:top w:val="nil"/>
          <w:left w:val="nil"/>
          <w:bottom w:val="nil"/>
          <w:right w:val="nil"/>
          <w:between w:val="nil"/>
        </w:pBdr>
        <w:jc w:val="both"/>
        <w:rPr>
          <w:rFonts w:ascii="Palatino Linotype" w:eastAsia="Palatino Linotype" w:hAnsi="Palatino Linotype" w:cs="Palatino Linotype"/>
          <w:i/>
          <w:color w:val="000000" w:themeColor="text1"/>
        </w:rPr>
      </w:pPr>
    </w:p>
    <w:p w14:paraId="359A737D" w14:textId="77777777" w:rsidR="00570610" w:rsidRPr="007D4C61" w:rsidRDefault="00E91F61" w:rsidP="00664A7E">
      <w:pPr>
        <w:numPr>
          <w:ilvl w:val="0"/>
          <w:numId w:val="9"/>
        </w:numPr>
        <w:pBdr>
          <w:top w:val="nil"/>
          <w:left w:val="nil"/>
          <w:bottom w:val="nil"/>
          <w:right w:val="nil"/>
          <w:between w:val="nil"/>
        </w:pBdr>
        <w:ind w:left="0" w:firstLine="0"/>
        <w:jc w:val="both"/>
        <w:rPr>
          <w:rFonts w:ascii="Palatino Linotype" w:eastAsia="Palatino Linotype" w:hAnsi="Palatino Linotype" w:cs="Palatino Linotype"/>
          <w:i/>
          <w:color w:val="000000" w:themeColor="text1"/>
        </w:rPr>
      </w:pPr>
      <w:bookmarkStart w:id="5" w:name="_heading=h.bfsk68817gl9" w:colFirst="0" w:colLast="0"/>
      <w:bookmarkEnd w:id="5"/>
      <w:r w:rsidRPr="007D4C61">
        <w:rPr>
          <w:rFonts w:ascii="Palatino Linotype" w:eastAsia="Palatino Linotype" w:hAnsi="Palatino Linotype" w:cs="Palatino Linotype"/>
          <w:b/>
          <w:color w:val="000000" w:themeColor="text1"/>
        </w:rPr>
        <w:t xml:space="preserve">Razones o Motivos de inconformidad: </w:t>
      </w:r>
      <w:r w:rsidRPr="007D4C61">
        <w:rPr>
          <w:rFonts w:ascii="Palatino Linotype" w:eastAsia="Palatino Linotype" w:hAnsi="Palatino Linotype" w:cs="Palatino Linotype"/>
          <w:i/>
          <w:color w:val="000000" w:themeColor="text1"/>
        </w:rPr>
        <w:t>“No entrega la información que colmena la solicitud.”</w:t>
      </w:r>
    </w:p>
    <w:p w14:paraId="014D4015" w14:textId="77777777" w:rsidR="00570610" w:rsidRPr="007D4C61" w:rsidRDefault="00570610" w:rsidP="00664A7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0BA0058D" w14:textId="400E73CB"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Consecutivamente</w:t>
      </w:r>
      <w:r w:rsidRPr="007D4C61">
        <w:rPr>
          <w:rFonts w:ascii="Palatino Linotype" w:eastAsia="Palatino Linotype" w:hAnsi="Palatino Linotype" w:cs="Palatino Linotype"/>
          <w:i/>
          <w:color w:val="000000" w:themeColor="text1"/>
        </w:rPr>
        <w:t xml:space="preserve">, </w:t>
      </w:r>
      <w:r w:rsidRPr="007D4C61">
        <w:rPr>
          <w:rFonts w:ascii="Palatino Linotype" w:eastAsia="Palatino Linotype" w:hAnsi="Palatino Linotype" w:cs="Palatino Linotype"/>
          <w:color w:val="000000" w:themeColor="text1"/>
        </w:rPr>
        <w:t xml:space="preserve">con fundamento en lo dispuesto por el artículo 185 fracción I de la Ley de Transparencia y Acceso a la Información Pública del Estado de México y Municipios, el recurso fue turnado a la ponencia de la </w:t>
      </w:r>
      <w:r w:rsidRPr="007D4C61">
        <w:rPr>
          <w:rFonts w:ascii="Palatino Linotype" w:eastAsia="Palatino Linotype" w:hAnsi="Palatino Linotype" w:cs="Palatino Linotype"/>
          <w:b/>
          <w:color w:val="000000" w:themeColor="text1"/>
        </w:rPr>
        <w:t>Comisionada</w:t>
      </w:r>
      <w:r w:rsidRPr="007D4C61">
        <w:rPr>
          <w:rFonts w:ascii="Palatino Linotype" w:eastAsia="Palatino Linotype" w:hAnsi="Palatino Linotype" w:cs="Palatino Linotype"/>
          <w:color w:val="000000" w:themeColor="text1"/>
        </w:rPr>
        <w:t xml:space="preserve"> </w:t>
      </w:r>
      <w:r w:rsidRPr="007D4C61">
        <w:rPr>
          <w:rFonts w:ascii="Palatino Linotype" w:eastAsia="Palatino Linotype" w:hAnsi="Palatino Linotype" w:cs="Palatino Linotype"/>
          <w:b/>
          <w:color w:val="000000" w:themeColor="text1"/>
        </w:rPr>
        <w:t>María del Rosario Mejía Ayala</w:t>
      </w:r>
      <w:r w:rsidRPr="007D4C61">
        <w:rPr>
          <w:rFonts w:ascii="Palatino Linotype" w:eastAsia="Palatino Linotype" w:hAnsi="Palatino Linotype" w:cs="Palatino Linotype"/>
          <w:color w:val="000000" w:themeColor="text1"/>
        </w:rPr>
        <w:t>,</w:t>
      </w:r>
      <w:r w:rsidRPr="007D4C61">
        <w:rPr>
          <w:rFonts w:ascii="Palatino Linotype" w:eastAsia="Palatino Linotype" w:hAnsi="Palatino Linotype" w:cs="Palatino Linotype"/>
          <w:b/>
          <w:color w:val="000000" w:themeColor="text1"/>
        </w:rPr>
        <w:t xml:space="preserve"> </w:t>
      </w:r>
      <w:r w:rsidR="00242433">
        <w:rPr>
          <w:rFonts w:ascii="Palatino Linotype" w:eastAsia="Palatino Linotype" w:hAnsi="Palatino Linotype" w:cs="Palatino Linotype"/>
          <w:color w:val="000000" w:themeColor="text1"/>
        </w:rPr>
        <w:t>para</w:t>
      </w:r>
      <w:r w:rsidRPr="007D4C61">
        <w:rPr>
          <w:rFonts w:ascii="Palatino Linotype" w:eastAsia="Palatino Linotype" w:hAnsi="Palatino Linotype" w:cs="Palatino Linotype"/>
          <w:color w:val="000000" w:themeColor="text1"/>
        </w:rPr>
        <w:t xml:space="preserve"> su análisis.</w:t>
      </w:r>
    </w:p>
    <w:p w14:paraId="7D6C481C"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lastRenderedPageBreak/>
        <w:t xml:space="preserve">La Comisionada Ponente con fundamento en lo dispuesto por el artículo 185 fracción II de la ley de la materia, a través del </w:t>
      </w:r>
      <w:r w:rsidRPr="007D4C61">
        <w:rPr>
          <w:rFonts w:ascii="Palatino Linotype" w:eastAsia="Palatino Linotype" w:hAnsi="Palatino Linotype" w:cs="Palatino Linotype"/>
          <w:b/>
          <w:color w:val="000000" w:themeColor="text1"/>
        </w:rPr>
        <w:t xml:space="preserve">acuerdo de admisión </w:t>
      </w:r>
      <w:r w:rsidRPr="007D4C61">
        <w:rPr>
          <w:rFonts w:ascii="Palatino Linotype" w:eastAsia="Palatino Linotype" w:hAnsi="Palatino Linotype" w:cs="Palatino Linotype"/>
          <w:color w:val="000000" w:themeColor="text1"/>
        </w:rPr>
        <w:t xml:space="preserve">del </w:t>
      </w:r>
      <w:r w:rsidRPr="007D4C61">
        <w:rPr>
          <w:rFonts w:ascii="Palatino Linotype" w:eastAsia="Palatino Linotype" w:hAnsi="Palatino Linotype" w:cs="Palatino Linotype"/>
          <w:b/>
          <w:color w:val="000000" w:themeColor="text1"/>
        </w:rPr>
        <w:t xml:space="preserve">veintisiete de marzo de dos mil veinticinco, </w:t>
      </w:r>
      <w:r w:rsidRPr="007D4C61">
        <w:rPr>
          <w:rFonts w:ascii="Palatino Linotype" w:eastAsia="Palatino Linotype" w:hAnsi="Palatino Linotype" w:cs="Palatino Linotype"/>
          <w:color w:val="000000" w:themeColor="text1"/>
        </w:rPr>
        <w:t xml:space="preserve">puso a disposición de las partes el expediente electrónico vía SAIMEX a efecto de que en un plazo máximo de siete días manifestaran lo que a su derecho conviniera, ofrecieran pruebas y alegatos según corresponda al caso concreto, de esta forma para que el </w:t>
      </w:r>
      <w:r w:rsidRPr="007D4C61">
        <w:rPr>
          <w:rFonts w:ascii="Palatino Linotype" w:eastAsia="Palatino Linotype" w:hAnsi="Palatino Linotype" w:cs="Palatino Linotype"/>
          <w:b/>
          <w:color w:val="000000" w:themeColor="text1"/>
        </w:rPr>
        <w:t xml:space="preserve">SUJETO OBLIGADO </w:t>
      </w:r>
      <w:r w:rsidRPr="007D4C61">
        <w:rPr>
          <w:rFonts w:ascii="Palatino Linotype" w:eastAsia="Palatino Linotype" w:hAnsi="Palatino Linotype" w:cs="Palatino Linotype"/>
          <w:color w:val="000000" w:themeColor="text1"/>
        </w:rPr>
        <w:t>presentara el Informe Justificado procedente.</w:t>
      </w:r>
    </w:p>
    <w:p w14:paraId="3E17485B" w14:textId="77777777" w:rsidR="00570610" w:rsidRPr="007D4C61" w:rsidRDefault="00570610" w:rsidP="00664A7E">
      <w:pPr>
        <w:pBdr>
          <w:top w:val="nil"/>
          <w:left w:val="nil"/>
          <w:bottom w:val="nil"/>
          <w:right w:val="nil"/>
          <w:between w:val="nil"/>
        </w:pBdr>
        <w:rPr>
          <w:rFonts w:ascii="Palatino Linotype" w:eastAsia="Palatino Linotype" w:hAnsi="Palatino Linotype" w:cs="Palatino Linotype"/>
          <w:color w:val="000000" w:themeColor="text1"/>
        </w:rPr>
      </w:pPr>
    </w:p>
    <w:p w14:paraId="1E3F95C4"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7D4C61">
        <w:rPr>
          <w:rFonts w:ascii="Palatino Linotype" w:eastAsia="Palatino Linotype" w:hAnsi="Palatino Linotype" w:cs="Palatino Linotype"/>
          <w:color w:val="000000" w:themeColor="text1"/>
        </w:rPr>
        <w:t xml:space="preserve">En esa línea, tal y como se observa en el expediente electrónico el </w:t>
      </w:r>
      <w:r w:rsidRPr="007D4C61">
        <w:rPr>
          <w:rFonts w:ascii="Palatino Linotype" w:eastAsia="Palatino Linotype" w:hAnsi="Palatino Linotype" w:cs="Palatino Linotype"/>
          <w:b/>
          <w:color w:val="000000" w:themeColor="text1"/>
        </w:rPr>
        <w:t xml:space="preserve">SUJETO OBLIGADO </w:t>
      </w:r>
      <w:r w:rsidRPr="007D4C61">
        <w:rPr>
          <w:rFonts w:ascii="Palatino Linotype" w:eastAsia="Palatino Linotype" w:hAnsi="Palatino Linotype" w:cs="Palatino Linotype"/>
          <w:color w:val="000000" w:themeColor="text1"/>
        </w:rPr>
        <w:t xml:space="preserve">el </w:t>
      </w:r>
      <w:r w:rsidRPr="007D4C61">
        <w:rPr>
          <w:rFonts w:ascii="Palatino Linotype" w:eastAsia="Palatino Linotype" w:hAnsi="Palatino Linotype" w:cs="Palatino Linotype"/>
          <w:b/>
          <w:color w:val="000000" w:themeColor="text1"/>
        </w:rPr>
        <w:t xml:space="preserve">siete de abril de dos mil veinticinco, </w:t>
      </w:r>
      <w:r w:rsidRPr="007D4C61">
        <w:rPr>
          <w:rFonts w:ascii="Palatino Linotype" w:eastAsia="Palatino Linotype" w:hAnsi="Palatino Linotype" w:cs="Palatino Linotype"/>
          <w:color w:val="000000" w:themeColor="text1"/>
        </w:rPr>
        <w:t xml:space="preserve">anexo un archivo electrónico en formato PDF, cuyo contenido grosso modo es el siguiente. </w:t>
      </w:r>
    </w:p>
    <w:p w14:paraId="0861375B" w14:textId="77777777" w:rsidR="00570610" w:rsidRPr="007D4C61" w:rsidRDefault="00570610" w:rsidP="00664A7E">
      <w:pPr>
        <w:pBdr>
          <w:top w:val="nil"/>
          <w:left w:val="nil"/>
          <w:bottom w:val="nil"/>
          <w:right w:val="nil"/>
          <w:between w:val="nil"/>
        </w:pBdr>
        <w:rPr>
          <w:rFonts w:ascii="Palatino Linotype" w:hAnsi="Palatino Linotype"/>
          <w:color w:val="000000" w:themeColor="text1"/>
        </w:rPr>
      </w:pPr>
    </w:p>
    <w:p w14:paraId="1495458C" w14:textId="77777777" w:rsidR="00570610" w:rsidRPr="007D4C61" w:rsidRDefault="00E91F61" w:rsidP="00664A7E">
      <w:pPr>
        <w:pBdr>
          <w:top w:val="nil"/>
          <w:left w:val="nil"/>
          <w:bottom w:val="nil"/>
          <w:right w:val="nil"/>
          <w:between w:val="nil"/>
        </w:pBdr>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b/>
          <w:i/>
          <w:color w:val="000000" w:themeColor="text1"/>
        </w:rPr>
        <w:t xml:space="preserve">2. Ratificación RR-3433-2025.pdf: </w:t>
      </w:r>
      <w:r w:rsidRPr="007D4C61">
        <w:rPr>
          <w:rFonts w:ascii="Palatino Linotype" w:eastAsia="Palatino Linotype" w:hAnsi="Palatino Linotype" w:cs="Palatino Linotype"/>
          <w:i/>
          <w:color w:val="000000" w:themeColor="text1"/>
        </w:rPr>
        <w:t xml:space="preserve">oficio mediante el cual el Titular de la  Unidad de Transparencia ratifica la respuesta inicial. </w:t>
      </w:r>
    </w:p>
    <w:p w14:paraId="3D99DB22" w14:textId="77777777" w:rsidR="00570610" w:rsidRPr="007D4C61" w:rsidRDefault="00570610" w:rsidP="00664A7E">
      <w:pPr>
        <w:pBdr>
          <w:top w:val="nil"/>
          <w:left w:val="nil"/>
          <w:bottom w:val="nil"/>
          <w:right w:val="nil"/>
          <w:between w:val="nil"/>
        </w:pBdr>
        <w:rPr>
          <w:rFonts w:ascii="Palatino Linotype" w:eastAsia="Palatino Linotype" w:hAnsi="Palatino Linotype" w:cs="Palatino Linotype"/>
          <w:i/>
          <w:color w:val="000000" w:themeColor="text1"/>
        </w:rPr>
      </w:pPr>
    </w:p>
    <w:p w14:paraId="527887EF"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7D4C61">
        <w:rPr>
          <w:rFonts w:ascii="Palatino Linotype" w:eastAsia="Palatino Linotype" w:hAnsi="Palatino Linotype" w:cs="Palatino Linotype"/>
          <w:color w:val="000000" w:themeColor="text1"/>
        </w:rPr>
        <w:t xml:space="preserve">Por su parte el </w:t>
      </w:r>
      <w:r w:rsidRPr="007D4C61">
        <w:rPr>
          <w:rFonts w:ascii="Palatino Linotype" w:eastAsia="Palatino Linotype" w:hAnsi="Palatino Linotype" w:cs="Palatino Linotype"/>
          <w:b/>
          <w:color w:val="000000" w:themeColor="text1"/>
        </w:rPr>
        <w:t xml:space="preserve">RECURRENTE </w:t>
      </w:r>
      <w:r w:rsidRPr="007D4C61">
        <w:rPr>
          <w:rFonts w:ascii="Palatino Linotype" w:eastAsia="Palatino Linotype" w:hAnsi="Palatino Linotype" w:cs="Palatino Linotype"/>
          <w:color w:val="000000" w:themeColor="text1"/>
        </w:rPr>
        <w:t xml:space="preserve">fue omiso en manifestar lo que a su derecho conviniera y asistiera. </w:t>
      </w:r>
    </w:p>
    <w:p w14:paraId="7503BAD5" w14:textId="77777777" w:rsidR="00570610" w:rsidRPr="007D4C61" w:rsidRDefault="00570610" w:rsidP="00664A7E">
      <w:pPr>
        <w:pBdr>
          <w:top w:val="nil"/>
          <w:left w:val="nil"/>
          <w:bottom w:val="nil"/>
          <w:right w:val="nil"/>
          <w:between w:val="nil"/>
        </w:pBdr>
        <w:rPr>
          <w:rFonts w:ascii="Palatino Linotype" w:hAnsi="Palatino Linotype"/>
          <w:color w:val="000000" w:themeColor="text1"/>
        </w:rPr>
      </w:pPr>
    </w:p>
    <w:p w14:paraId="2B236382" w14:textId="77777777" w:rsidR="00570610" w:rsidRPr="007D4C61" w:rsidRDefault="00570610" w:rsidP="00664A7E">
      <w:pPr>
        <w:rPr>
          <w:rFonts w:ascii="Palatino Linotype" w:eastAsia="Palatino Linotype" w:hAnsi="Palatino Linotype" w:cs="Palatino Linotype"/>
          <w:b/>
          <w:color w:val="000000" w:themeColor="text1"/>
        </w:rPr>
      </w:pPr>
    </w:p>
    <w:p w14:paraId="07AD3BE3" w14:textId="6C85D362"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bookmarkStart w:id="6" w:name="_heading=h.1j0nt551z73i" w:colFirst="0" w:colLast="0"/>
      <w:bookmarkEnd w:id="6"/>
      <w:r w:rsidRPr="007D4C61">
        <w:rPr>
          <w:rFonts w:ascii="Palatino Linotype" w:eastAsia="Palatino Linotype" w:hAnsi="Palatino Linotype" w:cs="Palatino Linotype"/>
          <w:color w:val="000000" w:themeColor="text1"/>
        </w:rPr>
        <w:t xml:space="preserve">El </w:t>
      </w:r>
      <w:r w:rsidRPr="007D4C61">
        <w:rPr>
          <w:rFonts w:ascii="Palatino Linotype" w:eastAsia="Palatino Linotype" w:hAnsi="Palatino Linotype" w:cs="Palatino Linotype"/>
          <w:b/>
          <w:color w:val="000000" w:themeColor="text1"/>
        </w:rPr>
        <w:t>veintisiete de agosto de dos mil veinticinco</w:t>
      </w:r>
      <w:r w:rsidRPr="007D4C61">
        <w:rPr>
          <w:rFonts w:ascii="Palatino Linotype" w:eastAsia="Palatino Linotype" w:hAnsi="Palatino Linotype" w:cs="Palatino Linotype"/>
          <w:color w:val="000000" w:themeColor="text1"/>
        </w:rPr>
        <w:t>, la Comisionada Ponente notificó el acuerdo de ampliación para emitir resolución, en términos del artículo 181 párrafo tercero de la Ley de Transparencia y Acceso a la Información Pública de</w:t>
      </w:r>
      <w:r w:rsidR="00664A7E" w:rsidRPr="007D4C61">
        <w:rPr>
          <w:rFonts w:ascii="Palatino Linotype" w:eastAsia="Palatino Linotype" w:hAnsi="Palatino Linotype" w:cs="Palatino Linotype"/>
          <w:color w:val="000000" w:themeColor="text1"/>
        </w:rPr>
        <w:t>l Estado de México y Municipios.</w:t>
      </w:r>
    </w:p>
    <w:p w14:paraId="1BDF15C9" w14:textId="77777777" w:rsidR="00570610" w:rsidRPr="007D4C61" w:rsidRDefault="00570610" w:rsidP="00664A7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58537AD6" w14:textId="650B5AD9"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7D4C61">
        <w:rPr>
          <w:rFonts w:ascii="Palatino Linotype" w:eastAsia="Palatino Linotype" w:hAnsi="Palatino Linotype" w:cs="Palatino Linotype"/>
          <w:color w:val="000000" w:themeColor="text1"/>
        </w:rPr>
        <w:lastRenderedPageBreak/>
        <w:t>Finalmente, la Comisionada Ponente mediante acuerdo de fecha</w:t>
      </w:r>
      <w:r w:rsidRPr="007D4C61">
        <w:rPr>
          <w:rFonts w:ascii="Palatino Linotype" w:eastAsia="Palatino Linotype" w:hAnsi="Palatino Linotype" w:cs="Palatino Linotype"/>
          <w:b/>
          <w:color w:val="000000" w:themeColor="text1"/>
        </w:rPr>
        <w:t xml:space="preserve"> dos de septiembre dos mil veinticinco</w:t>
      </w:r>
      <w:r w:rsidRPr="007D4C61">
        <w:rPr>
          <w:rFonts w:ascii="Palatino Linotype" w:eastAsia="Palatino Linotype" w:hAnsi="Palatino Linotype" w:cs="Palatino Linotype"/>
          <w:color w:val="000000" w:themeColor="text1"/>
        </w:rPr>
        <w:t>, decretó el cierre de instrucción de los expedientes, por lo que no habiendo más que hacer constar, y</w:t>
      </w:r>
    </w:p>
    <w:p w14:paraId="7FA92798" w14:textId="77777777" w:rsidR="00664A7E" w:rsidRPr="007D4C61" w:rsidRDefault="00664A7E" w:rsidP="00664A7E">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14:paraId="159C5423" w14:textId="3B3BA534" w:rsidR="00570610" w:rsidRPr="007D4C61" w:rsidRDefault="00E91F61" w:rsidP="00664A7E">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r w:rsidRPr="007D4C61">
        <w:rPr>
          <w:rFonts w:ascii="Palatino Linotype" w:eastAsia="Palatino Linotype" w:hAnsi="Palatino Linotype" w:cs="Palatino Linotype"/>
          <w:b/>
          <w:color w:val="000000" w:themeColor="text1"/>
        </w:rPr>
        <w:t>C</w:t>
      </w:r>
      <w:r w:rsidR="00516110">
        <w:rPr>
          <w:rFonts w:ascii="Palatino Linotype" w:eastAsia="Palatino Linotype" w:hAnsi="Palatino Linotype" w:cs="Palatino Linotype"/>
          <w:b/>
          <w:color w:val="000000" w:themeColor="text1"/>
        </w:rPr>
        <w:t xml:space="preserve"> </w:t>
      </w:r>
      <w:r w:rsidRPr="007D4C61">
        <w:rPr>
          <w:rFonts w:ascii="Palatino Linotype" w:eastAsia="Palatino Linotype" w:hAnsi="Palatino Linotype" w:cs="Palatino Linotype"/>
          <w:b/>
          <w:color w:val="000000" w:themeColor="text1"/>
        </w:rPr>
        <w:t>O</w:t>
      </w:r>
      <w:r w:rsidR="00516110">
        <w:rPr>
          <w:rFonts w:ascii="Palatino Linotype" w:eastAsia="Palatino Linotype" w:hAnsi="Palatino Linotype" w:cs="Palatino Linotype"/>
          <w:b/>
          <w:color w:val="000000" w:themeColor="text1"/>
        </w:rPr>
        <w:t xml:space="preserve"> </w:t>
      </w:r>
      <w:r w:rsidRPr="007D4C61">
        <w:rPr>
          <w:rFonts w:ascii="Palatino Linotype" w:eastAsia="Palatino Linotype" w:hAnsi="Palatino Linotype" w:cs="Palatino Linotype"/>
          <w:b/>
          <w:color w:val="000000" w:themeColor="text1"/>
        </w:rPr>
        <w:t>N</w:t>
      </w:r>
      <w:r w:rsidR="00516110">
        <w:rPr>
          <w:rFonts w:ascii="Palatino Linotype" w:eastAsia="Palatino Linotype" w:hAnsi="Palatino Linotype" w:cs="Palatino Linotype"/>
          <w:b/>
          <w:color w:val="000000" w:themeColor="text1"/>
        </w:rPr>
        <w:t xml:space="preserve"> </w:t>
      </w:r>
      <w:r w:rsidRPr="007D4C61">
        <w:rPr>
          <w:rFonts w:ascii="Palatino Linotype" w:eastAsia="Palatino Linotype" w:hAnsi="Palatino Linotype" w:cs="Palatino Linotype"/>
          <w:b/>
          <w:color w:val="000000" w:themeColor="text1"/>
        </w:rPr>
        <w:t>S</w:t>
      </w:r>
      <w:r w:rsidR="00516110">
        <w:rPr>
          <w:rFonts w:ascii="Palatino Linotype" w:eastAsia="Palatino Linotype" w:hAnsi="Palatino Linotype" w:cs="Palatino Linotype"/>
          <w:b/>
          <w:color w:val="000000" w:themeColor="text1"/>
        </w:rPr>
        <w:t xml:space="preserve"> </w:t>
      </w:r>
      <w:r w:rsidRPr="007D4C61">
        <w:rPr>
          <w:rFonts w:ascii="Palatino Linotype" w:eastAsia="Palatino Linotype" w:hAnsi="Palatino Linotype" w:cs="Palatino Linotype"/>
          <w:b/>
          <w:color w:val="000000" w:themeColor="text1"/>
        </w:rPr>
        <w:t>I</w:t>
      </w:r>
      <w:r w:rsidR="00516110">
        <w:rPr>
          <w:rFonts w:ascii="Palatino Linotype" w:eastAsia="Palatino Linotype" w:hAnsi="Palatino Linotype" w:cs="Palatino Linotype"/>
          <w:b/>
          <w:color w:val="000000" w:themeColor="text1"/>
        </w:rPr>
        <w:t xml:space="preserve"> </w:t>
      </w:r>
      <w:r w:rsidRPr="007D4C61">
        <w:rPr>
          <w:rFonts w:ascii="Palatino Linotype" w:eastAsia="Palatino Linotype" w:hAnsi="Palatino Linotype" w:cs="Palatino Linotype"/>
          <w:b/>
          <w:color w:val="000000" w:themeColor="text1"/>
        </w:rPr>
        <w:t>D</w:t>
      </w:r>
      <w:r w:rsidR="00516110">
        <w:rPr>
          <w:rFonts w:ascii="Palatino Linotype" w:eastAsia="Palatino Linotype" w:hAnsi="Palatino Linotype" w:cs="Palatino Linotype"/>
          <w:b/>
          <w:color w:val="000000" w:themeColor="text1"/>
        </w:rPr>
        <w:t xml:space="preserve"> </w:t>
      </w:r>
      <w:r w:rsidRPr="007D4C61">
        <w:rPr>
          <w:rFonts w:ascii="Palatino Linotype" w:eastAsia="Palatino Linotype" w:hAnsi="Palatino Linotype" w:cs="Palatino Linotype"/>
          <w:b/>
          <w:color w:val="000000" w:themeColor="text1"/>
        </w:rPr>
        <w:t>E</w:t>
      </w:r>
      <w:r w:rsidR="00516110">
        <w:rPr>
          <w:rFonts w:ascii="Palatino Linotype" w:eastAsia="Palatino Linotype" w:hAnsi="Palatino Linotype" w:cs="Palatino Linotype"/>
          <w:b/>
          <w:color w:val="000000" w:themeColor="text1"/>
        </w:rPr>
        <w:t xml:space="preserve"> </w:t>
      </w:r>
      <w:r w:rsidRPr="007D4C61">
        <w:rPr>
          <w:rFonts w:ascii="Palatino Linotype" w:eastAsia="Palatino Linotype" w:hAnsi="Palatino Linotype" w:cs="Palatino Linotype"/>
          <w:b/>
          <w:color w:val="000000" w:themeColor="text1"/>
        </w:rPr>
        <w:t>R</w:t>
      </w:r>
      <w:r w:rsidR="00516110">
        <w:rPr>
          <w:rFonts w:ascii="Palatino Linotype" w:eastAsia="Palatino Linotype" w:hAnsi="Palatino Linotype" w:cs="Palatino Linotype"/>
          <w:b/>
          <w:color w:val="000000" w:themeColor="text1"/>
        </w:rPr>
        <w:t xml:space="preserve"> </w:t>
      </w:r>
      <w:r w:rsidRPr="007D4C61">
        <w:rPr>
          <w:rFonts w:ascii="Palatino Linotype" w:eastAsia="Palatino Linotype" w:hAnsi="Palatino Linotype" w:cs="Palatino Linotype"/>
          <w:b/>
          <w:color w:val="000000" w:themeColor="text1"/>
        </w:rPr>
        <w:t>A</w:t>
      </w:r>
      <w:r w:rsidR="00516110">
        <w:rPr>
          <w:rFonts w:ascii="Palatino Linotype" w:eastAsia="Palatino Linotype" w:hAnsi="Palatino Linotype" w:cs="Palatino Linotype"/>
          <w:b/>
          <w:color w:val="000000" w:themeColor="text1"/>
        </w:rPr>
        <w:t xml:space="preserve"> </w:t>
      </w:r>
      <w:r w:rsidRPr="007D4C61">
        <w:rPr>
          <w:rFonts w:ascii="Palatino Linotype" w:eastAsia="Palatino Linotype" w:hAnsi="Palatino Linotype" w:cs="Palatino Linotype"/>
          <w:b/>
          <w:color w:val="000000" w:themeColor="text1"/>
        </w:rPr>
        <w:t>N</w:t>
      </w:r>
      <w:r w:rsidR="00516110">
        <w:rPr>
          <w:rFonts w:ascii="Palatino Linotype" w:eastAsia="Palatino Linotype" w:hAnsi="Palatino Linotype" w:cs="Palatino Linotype"/>
          <w:b/>
          <w:color w:val="000000" w:themeColor="text1"/>
        </w:rPr>
        <w:t xml:space="preserve"> </w:t>
      </w:r>
      <w:r w:rsidRPr="007D4C61">
        <w:rPr>
          <w:rFonts w:ascii="Palatino Linotype" w:eastAsia="Palatino Linotype" w:hAnsi="Palatino Linotype" w:cs="Palatino Linotype"/>
          <w:b/>
          <w:color w:val="000000" w:themeColor="text1"/>
        </w:rPr>
        <w:t>D</w:t>
      </w:r>
      <w:r w:rsidR="00516110">
        <w:rPr>
          <w:rFonts w:ascii="Palatino Linotype" w:eastAsia="Palatino Linotype" w:hAnsi="Palatino Linotype" w:cs="Palatino Linotype"/>
          <w:b/>
          <w:color w:val="000000" w:themeColor="text1"/>
        </w:rPr>
        <w:t xml:space="preserve"> </w:t>
      </w:r>
      <w:r w:rsidRPr="007D4C61">
        <w:rPr>
          <w:rFonts w:ascii="Palatino Linotype" w:eastAsia="Palatino Linotype" w:hAnsi="Palatino Linotype" w:cs="Palatino Linotype"/>
          <w:b/>
          <w:color w:val="000000" w:themeColor="text1"/>
        </w:rPr>
        <w:t>O</w:t>
      </w:r>
    </w:p>
    <w:p w14:paraId="17610096" w14:textId="77777777" w:rsidR="00664A7E" w:rsidRPr="007D4C61" w:rsidRDefault="00664A7E" w:rsidP="00664A7E">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p>
    <w:p w14:paraId="295487E0" w14:textId="77777777" w:rsidR="00570610" w:rsidRPr="007D4C61" w:rsidRDefault="00E91F61" w:rsidP="00664A7E">
      <w:pPr>
        <w:pStyle w:val="Ttulo2"/>
        <w:spacing w:before="0" w:line="360" w:lineRule="auto"/>
        <w:rPr>
          <w:rFonts w:ascii="Palatino Linotype" w:eastAsia="Palatino Linotype" w:hAnsi="Palatino Linotype" w:cs="Palatino Linotype"/>
          <w:b/>
          <w:color w:val="000000" w:themeColor="text1"/>
          <w:sz w:val="24"/>
          <w:szCs w:val="24"/>
        </w:rPr>
      </w:pPr>
      <w:bookmarkStart w:id="7" w:name="_heading=h.1m0exgrj7n" w:colFirst="0" w:colLast="0"/>
      <w:bookmarkEnd w:id="7"/>
      <w:r w:rsidRPr="007D4C61">
        <w:rPr>
          <w:rFonts w:ascii="Palatino Linotype" w:eastAsia="Palatino Linotype" w:hAnsi="Palatino Linotype" w:cs="Palatino Linotype"/>
          <w:b/>
          <w:color w:val="000000" w:themeColor="text1"/>
          <w:sz w:val="24"/>
          <w:szCs w:val="24"/>
        </w:rPr>
        <w:t>PRIMERO. De la competencia</w:t>
      </w:r>
    </w:p>
    <w:p w14:paraId="2AED68F4"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70E0248A" w14:textId="77777777" w:rsidR="00570610" w:rsidRPr="007D4C61" w:rsidRDefault="00570610" w:rsidP="00664A7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themeColor="text1"/>
        </w:rPr>
      </w:pPr>
      <w:bookmarkStart w:id="8" w:name="_heading=h.lhbchghdvk15" w:colFirst="0" w:colLast="0"/>
      <w:bookmarkEnd w:id="8"/>
    </w:p>
    <w:p w14:paraId="61E6C269" w14:textId="77777777" w:rsidR="00570610" w:rsidRPr="007D4C61" w:rsidRDefault="00E91F61" w:rsidP="00664A7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themeColor="text1"/>
        </w:rPr>
      </w:pPr>
      <w:bookmarkStart w:id="9" w:name="_heading=h.uj1w7vkmryp3" w:colFirst="0" w:colLast="0"/>
      <w:bookmarkEnd w:id="9"/>
      <w:r w:rsidRPr="007D4C61">
        <w:rPr>
          <w:rFonts w:ascii="Palatino Linotype" w:eastAsia="Palatino Linotype" w:hAnsi="Palatino Linotype" w:cs="Palatino Linotype"/>
          <w:b/>
          <w:color w:val="000000" w:themeColor="text1"/>
        </w:rPr>
        <w:t>SEGUNDO. De la oportunidad y procedencia.</w:t>
      </w:r>
    </w:p>
    <w:p w14:paraId="2BED0A4A"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bookmarkStart w:id="10" w:name="_heading=h.bfgbq4eab9wy" w:colFirst="0" w:colLast="0"/>
      <w:bookmarkEnd w:id="10"/>
      <w:r w:rsidRPr="007D4C61">
        <w:rPr>
          <w:rFonts w:ascii="Palatino Linotype" w:eastAsia="Palatino Linotype" w:hAnsi="Palatino Linotype" w:cs="Palatino Linotype"/>
          <w:color w:val="000000" w:themeColor="text1"/>
        </w:rPr>
        <w:t xml:space="preserve">Los medios de impugnación fueron presentados a través del </w:t>
      </w:r>
      <w:r w:rsidRPr="007D4C61">
        <w:rPr>
          <w:rFonts w:ascii="Palatino Linotype" w:eastAsia="Palatino Linotype" w:hAnsi="Palatino Linotype" w:cs="Palatino Linotype"/>
          <w:b/>
          <w:color w:val="000000" w:themeColor="text1"/>
        </w:rPr>
        <w:t>SAIMEX,</w:t>
      </w:r>
      <w:r w:rsidRPr="007D4C61">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7D4C61">
        <w:rPr>
          <w:rFonts w:ascii="Palatino Linotype" w:eastAsia="Palatino Linotype" w:hAnsi="Palatino Linotype" w:cs="Palatino Linotype"/>
          <w:b/>
          <w:color w:val="000000" w:themeColor="text1"/>
        </w:rPr>
        <w:t>SUJETO OBLIGADO</w:t>
      </w:r>
      <w:r w:rsidRPr="007D4C61">
        <w:rPr>
          <w:rFonts w:ascii="Palatino Linotype" w:eastAsia="Palatino Linotype" w:hAnsi="Palatino Linotype" w:cs="Palatino Linotype"/>
          <w:color w:val="000000" w:themeColor="text1"/>
        </w:rPr>
        <w:t xml:space="preserve"> entregó su respuesta el </w:t>
      </w:r>
      <w:r w:rsidRPr="007D4C61">
        <w:rPr>
          <w:rFonts w:ascii="Palatino Linotype" w:eastAsia="Palatino Linotype" w:hAnsi="Palatino Linotype" w:cs="Palatino Linotype"/>
          <w:b/>
          <w:color w:val="000000" w:themeColor="text1"/>
        </w:rPr>
        <w:t>veinte de marzo de dos mil veinticinco</w:t>
      </w:r>
      <w:r w:rsidRPr="007D4C61">
        <w:rPr>
          <w:rFonts w:ascii="Palatino Linotype" w:eastAsia="Palatino Linotype" w:hAnsi="Palatino Linotype" w:cs="Palatino Linotype"/>
          <w:color w:val="000000" w:themeColor="text1"/>
        </w:rPr>
        <w:t xml:space="preserve">, de tal forma que el plazo </w:t>
      </w:r>
      <w:r w:rsidRPr="007D4C61">
        <w:rPr>
          <w:rFonts w:ascii="Palatino Linotype" w:eastAsia="Palatino Linotype" w:hAnsi="Palatino Linotype" w:cs="Palatino Linotype"/>
          <w:color w:val="000000" w:themeColor="text1"/>
        </w:rPr>
        <w:lastRenderedPageBreak/>
        <w:t xml:space="preserve">para interponer el recurso de revisión transcurrió del </w:t>
      </w:r>
      <w:r w:rsidRPr="007D4C61">
        <w:rPr>
          <w:rFonts w:ascii="Palatino Linotype" w:eastAsia="Palatino Linotype" w:hAnsi="Palatino Linotype" w:cs="Palatino Linotype"/>
          <w:b/>
          <w:color w:val="000000" w:themeColor="text1"/>
        </w:rPr>
        <w:t>veintiuno de marzo al diez de abril de dos mil veinticinco</w:t>
      </w:r>
      <w:r w:rsidRPr="007D4C61">
        <w:rPr>
          <w:rFonts w:ascii="Palatino Linotype" w:eastAsia="Palatino Linotype" w:hAnsi="Palatino Linotype" w:cs="Palatino Linotype"/>
          <w:color w:val="000000" w:themeColor="text1"/>
        </w:rPr>
        <w:t xml:space="preserve">; en consecuencia, el ahora </w:t>
      </w:r>
      <w:r w:rsidRPr="007D4C61">
        <w:rPr>
          <w:rFonts w:ascii="Palatino Linotype" w:eastAsia="Palatino Linotype" w:hAnsi="Palatino Linotype" w:cs="Palatino Linotype"/>
          <w:b/>
          <w:color w:val="000000" w:themeColor="text1"/>
        </w:rPr>
        <w:t>RECURRENTE</w:t>
      </w:r>
      <w:r w:rsidRPr="007D4C61">
        <w:rPr>
          <w:rFonts w:ascii="Palatino Linotype" w:eastAsia="Palatino Linotype" w:hAnsi="Palatino Linotype" w:cs="Palatino Linotype"/>
          <w:color w:val="000000" w:themeColor="text1"/>
        </w:rPr>
        <w:t xml:space="preserve"> presentó sus inconformidades el día </w:t>
      </w:r>
      <w:r w:rsidRPr="007D4C61">
        <w:rPr>
          <w:rFonts w:ascii="Palatino Linotype" w:eastAsia="Palatino Linotype" w:hAnsi="Palatino Linotype" w:cs="Palatino Linotype"/>
          <w:b/>
          <w:color w:val="000000" w:themeColor="text1"/>
        </w:rPr>
        <w:t>veinticuatro de marzo de dos mil veinticinco</w:t>
      </w:r>
      <w:r w:rsidRPr="007D4C61">
        <w:rPr>
          <w:rFonts w:ascii="Palatino Linotype" w:eastAsia="Palatino Linotype" w:hAnsi="Palatino Linotype" w:cs="Palatino Linotype"/>
          <w:color w:val="000000" w:themeColor="text1"/>
        </w:rPr>
        <w:t>; es decir dentro del lapso legalmente establecido para tal efecto.</w:t>
      </w:r>
    </w:p>
    <w:p w14:paraId="3FB087A2" w14:textId="77777777" w:rsidR="00570610" w:rsidRPr="007D4C61" w:rsidRDefault="00570610" w:rsidP="00664A7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081C1D50"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Por otro lado, es de suma importancia señalar que la parte recurrente no proporciona un nombre completo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12AE3FE"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w:t>
      </w:r>
      <w:r w:rsidRPr="007D4C61">
        <w:rPr>
          <w:rFonts w:ascii="Palatino Linotype" w:eastAsia="Palatino Linotype" w:hAnsi="Palatino Linotype" w:cs="Palatino Linotype"/>
          <w:b/>
          <w:i/>
          <w:color w:val="000000" w:themeColor="text1"/>
        </w:rPr>
        <w:t>Las solicitudes anónimas</w:t>
      </w:r>
      <w:r w:rsidRPr="007D4C61">
        <w:rPr>
          <w:rFonts w:ascii="Palatino Linotype" w:eastAsia="Palatino Linotype" w:hAnsi="Palatino Linotype" w:cs="Palatino Linotype"/>
          <w:i/>
          <w:color w:val="000000" w:themeColor="text1"/>
        </w:rPr>
        <w:t xml:space="preserve">, con nombre incompleto o seudónimo </w:t>
      </w:r>
      <w:r w:rsidRPr="007D4C61">
        <w:rPr>
          <w:rFonts w:ascii="Palatino Linotype" w:eastAsia="Palatino Linotype" w:hAnsi="Palatino Linotype" w:cs="Palatino Linotype"/>
          <w:b/>
          <w:i/>
          <w:color w:val="000000" w:themeColor="text1"/>
        </w:rPr>
        <w:t>serán procedentes para su trámite por parte del sujeto obligado ante quien se presente</w:t>
      </w:r>
      <w:r w:rsidRPr="007D4C61">
        <w:rPr>
          <w:rFonts w:ascii="Palatino Linotype" w:eastAsia="Palatino Linotype" w:hAnsi="Palatino Linotype" w:cs="Palatino Linotype"/>
          <w:i/>
          <w:color w:val="000000" w:themeColor="text1"/>
        </w:rPr>
        <w:t>. No podrá requerirse información adicional con motivo del nombre proporcionado por el solicitante.”</w:t>
      </w:r>
    </w:p>
    <w:p w14:paraId="45796203" w14:textId="77777777" w:rsidR="00570610" w:rsidRPr="007D4C61" w:rsidRDefault="00570610" w:rsidP="00664A7E">
      <w:pPr>
        <w:pBdr>
          <w:top w:val="nil"/>
          <w:left w:val="nil"/>
          <w:bottom w:val="nil"/>
          <w:right w:val="nil"/>
          <w:between w:val="nil"/>
        </w:pBdr>
        <w:rPr>
          <w:rFonts w:ascii="Palatino Linotype" w:eastAsia="Palatino Linotype" w:hAnsi="Palatino Linotype" w:cs="Palatino Linotype"/>
          <w:i/>
          <w:color w:val="000000" w:themeColor="text1"/>
        </w:rPr>
      </w:pPr>
    </w:p>
    <w:p w14:paraId="5CB1E5A7"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Robusteciendo lo anterior se encuentra lo dispuesto en el artículo 6, Apartado A, fracciones III de la Constitución Política de los Estados Unidos Mexicanos que establece:</w:t>
      </w:r>
    </w:p>
    <w:p w14:paraId="2FC42C55"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w:t>
      </w:r>
      <w:r w:rsidRPr="007D4C61">
        <w:rPr>
          <w:rFonts w:ascii="Palatino Linotype" w:eastAsia="Palatino Linotype" w:hAnsi="Palatino Linotype" w:cs="Palatino Linotype"/>
          <w:b/>
          <w:i/>
          <w:color w:val="000000" w:themeColor="text1"/>
        </w:rPr>
        <w:t>Artículo 6.-</w:t>
      </w:r>
      <w:r w:rsidRPr="007D4C61">
        <w:rPr>
          <w:rFonts w:ascii="Palatino Linotype" w:eastAsia="Palatino Linotype" w:hAnsi="Palatino Linotype" w:cs="Palatino Linotype"/>
          <w:i/>
          <w:color w:val="000000" w:themeColor="text1"/>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13E58B9A" w14:textId="77777777" w:rsidR="00570610" w:rsidRPr="007D4C61" w:rsidRDefault="00E91F61" w:rsidP="00664A7E">
      <w:pPr>
        <w:pBdr>
          <w:top w:val="nil"/>
          <w:left w:val="nil"/>
          <w:bottom w:val="nil"/>
          <w:right w:val="nil"/>
          <w:between w:val="nil"/>
        </w:pBdr>
        <w:spacing w:after="120"/>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Para efectos de lo dispuesto en el presente artículo se observará lo siguiente:</w:t>
      </w:r>
    </w:p>
    <w:p w14:paraId="68295ACD"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A. Para el ejercicio del derecho de acceso a la información, la Federación, los Estados y el Distrito Federal, en el ámbito de sus respectivas competencias, se regirán por los siguientes principios y bases:</w:t>
      </w:r>
    </w:p>
    <w:p w14:paraId="158D4BBC"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lastRenderedPageBreak/>
        <w:t>III. Toda persona, sin necesidad de acreditar interés alguno o justificar su utilización, tendrá acceso gratuito a la información pública, a sus datos personales o a la rectificación de éstos.”(Sic)</w:t>
      </w:r>
    </w:p>
    <w:p w14:paraId="689F15EE" w14:textId="77777777" w:rsidR="00570610" w:rsidRPr="007D4C61" w:rsidRDefault="00570610" w:rsidP="00664A7E">
      <w:pPr>
        <w:pBdr>
          <w:top w:val="nil"/>
          <w:left w:val="nil"/>
          <w:bottom w:val="nil"/>
          <w:right w:val="nil"/>
          <w:between w:val="nil"/>
        </w:pBdr>
        <w:ind w:hanging="76"/>
        <w:rPr>
          <w:rFonts w:ascii="Palatino Linotype" w:eastAsia="Palatino Linotype" w:hAnsi="Palatino Linotype" w:cs="Palatino Linotype"/>
          <w:i/>
          <w:color w:val="000000" w:themeColor="text1"/>
        </w:rPr>
      </w:pPr>
    </w:p>
    <w:p w14:paraId="3A1932DD"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Así como el artículo 5 fracción III, párrafo vigésimo noveno, trigésimo y trigésimo primero, de la Constitución Política del Estado Libre y Soberano de México, que determina lo siguiente:</w:t>
      </w:r>
    </w:p>
    <w:p w14:paraId="51588D8A"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w:t>
      </w:r>
      <w:r w:rsidRPr="007D4C61">
        <w:rPr>
          <w:rFonts w:ascii="Palatino Linotype" w:eastAsia="Palatino Linotype" w:hAnsi="Palatino Linotype" w:cs="Palatino Linotype"/>
          <w:b/>
          <w:i/>
          <w:color w:val="000000" w:themeColor="text1"/>
        </w:rPr>
        <w:t>Artículo 5.-</w:t>
      </w:r>
      <w:r w:rsidRPr="007D4C61">
        <w:rPr>
          <w:rFonts w:ascii="Palatino Linotype" w:eastAsia="Palatino Linotype" w:hAnsi="Palatino Linotype" w:cs="Palatino Linotype"/>
          <w:i/>
          <w:color w:val="000000" w:themeColor="text1"/>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4D3AD2F4" w14:textId="77777777" w:rsidR="00570610" w:rsidRPr="007D4C61" w:rsidRDefault="00E91F61" w:rsidP="00664A7E">
      <w:pP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w:t>
      </w:r>
    </w:p>
    <w:p w14:paraId="64BBC317"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Toda persona en el Estado de México, tiene derecho al libre acceso a la información plural y oportuna, así como a buscar recibir y difundir información e ideas de toda índole por cualquier medio de expresión.</w:t>
      </w:r>
    </w:p>
    <w:p w14:paraId="12382B24" w14:textId="77777777" w:rsidR="00570610" w:rsidRPr="007D4C61" w:rsidRDefault="00E91F61" w:rsidP="00664A7E">
      <w:pP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w:t>
      </w:r>
    </w:p>
    <w:p w14:paraId="0FDBB921"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El derecho a la información será garantizado por el Estado. La ley establecerá las previsiones que permitan asegurar la protección, el respeto y la difusión de este derecho.</w:t>
      </w:r>
    </w:p>
    <w:p w14:paraId="7B59F18A" w14:textId="77777777" w:rsidR="00570610" w:rsidRPr="007D4C61" w:rsidRDefault="00570610" w:rsidP="00664A7E">
      <w:pPr>
        <w:pBdr>
          <w:top w:val="nil"/>
          <w:left w:val="nil"/>
          <w:bottom w:val="nil"/>
          <w:right w:val="nil"/>
          <w:between w:val="nil"/>
        </w:pBdr>
        <w:jc w:val="both"/>
        <w:rPr>
          <w:rFonts w:ascii="Palatino Linotype" w:eastAsia="Palatino Linotype" w:hAnsi="Palatino Linotype" w:cs="Palatino Linotype"/>
          <w:i/>
          <w:color w:val="000000" w:themeColor="text1"/>
        </w:rPr>
      </w:pPr>
    </w:p>
    <w:p w14:paraId="44943112"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042B55C9"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III. Toda persona, sin necesidad de acreditar interés alguno o justificar su utilización, tendrá acceso gratuito a la información pública, a sus datos personales o a la rectificación de éstos;</w:t>
      </w:r>
    </w:p>
    <w:p w14:paraId="0D86B61F" w14:textId="77777777" w:rsidR="00570610" w:rsidRPr="007D4C61" w:rsidRDefault="00E91F61" w:rsidP="00664A7E">
      <w:pP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w:t>
      </w:r>
    </w:p>
    <w:p w14:paraId="04057C49"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14:paraId="2F25EC2E"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lastRenderedPageBreak/>
        <w:t>Por otra parte, del contenido del artículo 1 de la Constitución Política de los Estados Unidos mexicanos, se destaca lo siguiente:</w:t>
      </w:r>
    </w:p>
    <w:p w14:paraId="742E8B4D"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w:t>
      </w:r>
      <w:r w:rsidRPr="007D4C61">
        <w:rPr>
          <w:rFonts w:ascii="Palatino Linotype" w:eastAsia="Palatino Linotype" w:hAnsi="Palatino Linotype" w:cs="Palatino Linotype"/>
          <w:b/>
          <w:i/>
          <w:color w:val="000000" w:themeColor="text1"/>
        </w:rPr>
        <w:t>Artículo 1</w:t>
      </w:r>
      <w:r w:rsidRPr="007D4C61">
        <w:rPr>
          <w:rFonts w:ascii="Palatino Linotype" w:eastAsia="Palatino Linotype" w:hAnsi="Palatino Linotype" w:cs="Palatino Linotype"/>
          <w:i/>
          <w:color w:val="000000" w:themeColor="text1"/>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8A3050E"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Las normas relativas a los derechos humanos se interpretarán de conformidad con esta Constitución y con los tratados internacionales de la materia favoreciendo en todo tiempo a las personas la protección más amplia.</w:t>
      </w:r>
    </w:p>
    <w:p w14:paraId="6105BC21"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340F3A38" w14:textId="77777777" w:rsidR="00570610" w:rsidRPr="007D4C61" w:rsidRDefault="00570610" w:rsidP="00664A7E">
      <w:pPr>
        <w:pBdr>
          <w:top w:val="nil"/>
          <w:left w:val="nil"/>
          <w:bottom w:val="nil"/>
          <w:right w:val="nil"/>
          <w:between w:val="nil"/>
        </w:pBdr>
        <w:ind w:firstLine="66"/>
        <w:rPr>
          <w:rFonts w:ascii="Palatino Linotype" w:eastAsia="Palatino Linotype" w:hAnsi="Palatino Linotype" w:cs="Palatino Linotype"/>
          <w:i/>
          <w:color w:val="000000" w:themeColor="text1"/>
        </w:rPr>
      </w:pPr>
    </w:p>
    <w:p w14:paraId="47395654"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 xml:space="preserve">Esto es, que el derecho humano de acceso a la información pública, se aprecia que toda persona, sin necesidad de acreditar interés alguno o justificar su interposición, deberá tener acceso a la información pública, es decir, dicho </w:t>
      </w:r>
      <w:r w:rsidRPr="007D4C61">
        <w:rPr>
          <w:rFonts w:ascii="Palatino Linotype" w:eastAsia="Palatino Linotype" w:hAnsi="Palatino Linotype" w:cs="Palatino Linotype"/>
          <w:i/>
          <w:color w:val="000000" w:themeColor="text1"/>
        </w:rPr>
        <w:t>derecho fundamental exime a quien lo ejerce</w:t>
      </w:r>
      <w:r w:rsidRPr="007D4C61">
        <w:rPr>
          <w:rFonts w:ascii="Palatino Linotype" w:eastAsia="Palatino Linotype" w:hAnsi="Palatino Linotype" w:cs="Palatino Linotype"/>
          <w:color w:val="000000" w:themeColor="text1"/>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7DB1A223" w14:textId="77777777" w:rsidR="00570610" w:rsidRPr="007D4C61" w:rsidRDefault="00570610" w:rsidP="00664A7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22A61FD0"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14:paraId="7A498A32"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lastRenderedPageBreak/>
        <w:t>“Acceso a información gubernamental. No debe condicionarse a que el solicitante acredite su personalidad, demuestre interés alguno o justifique su utilización. De conformidad con lo dispuesto en los artículos 6º.,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14:paraId="72478CBB" w14:textId="77777777" w:rsidR="00570610" w:rsidRPr="007D4C61" w:rsidRDefault="00570610" w:rsidP="00664A7E">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14:paraId="2A860213"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20A5CDB" w14:textId="77777777" w:rsidR="00570610" w:rsidRPr="007D4C61" w:rsidRDefault="00570610" w:rsidP="00664A7E">
      <w:pPr>
        <w:spacing w:line="360" w:lineRule="auto"/>
        <w:rPr>
          <w:rFonts w:ascii="Palatino Linotype" w:eastAsia="Palatino Linotype" w:hAnsi="Palatino Linotype" w:cs="Palatino Linotype"/>
          <w:color w:val="000000" w:themeColor="text1"/>
        </w:rPr>
      </w:pPr>
    </w:p>
    <w:p w14:paraId="1299221E" w14:textId="77777777" w:rsidR="00570610" w:rsidRPr="007D4C61" w:rsidRDefault="00E91F61" w:rsidP="00664A7E">
      <w:pPr>
        <w:pStyle w:val="Ttulo1"/>
        <w:spacing w:before="0" w:line="360" w:lineRule="auto"/>
        <w:rPr>
          <w:rFonts w:ascii="Palatino Linotype" w:eastAsia="Palatino Linotype" w:hAnsi="Palatino Linotype" w:cs="Palatino Linotype"/>
          <w:b/>
          <w:color w:val="000000" w:themeColor="text1"/>
          <w:sz w:val="24"/>
          <w:szCs w:val="24"/>
        </w:rPr>
      </w:pPr>
      <w:bookmarkStart w:id="11" w:name="_heading=h.1pyu01vpqeut" w:colFirst="0" w:colLast="0"/>
      <w:bookmarkEnd w:id="11"/>
      <w:r w:rsidRPr="007D4C61">
        <w:rPr>
          <w:rFonts w:ascii="Palatino Linotype" w:eastAsia="Palatino Linotype" w:hAnsi="Palatino Linotype" w:cs="Palatino Linotype"/>
          <w:b/>
          <w:color w:val="000000" w:themeColor="text1"/>
          <w:sz w:val="24"/>
          <w:szCs w:val="24"/>
        </w:rPr>
        <w:t xml:space="preserve">TERCERO. Del planteamiento de la </w:t>
      </w:r>
      <w:r w:rsidRPr="007D4C61">
        <w:rPr>
          <w:rFonts w:ascii="Palatino Linotype" w:eastAsia="Palatino Linotype" w:hAnsi="Palatino Linotype" w:cs="Palatino Linotype"/>
          <w:b/>
          <w:i/>
          <w:color w:val="000000" w:themeColor="text1"/>
          <w:sz w:val="24"/>
          <w:szCs w:val="24"/>
        </w:rPr>
        <w:t>Litis</w:t>
      </w:r>
      <w:r w:rsidRPr="007D4C61">
        <w:rPr>
          <w:rFonts w:ascii="Palatino Linotype" w:eastAsia="Palatino Linotype" w:hAnsi="Palatino Linotype" w:cs="Palatino Linotype"/>
          <w:b/>
          <w:color w:val="000000" w:themeColor="text1"/>
          <w:sz w:val="24"/>
          <w:szCs w:val="24"/>
        </w:rPr>
        <w:t>.</w:t>
      </w:r>
    </w:p>
    <w:p w14:paraId="17BE8363"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7D4C61">
        <w:rPr>
          <w:rFonts w:ascii="Palatino Linotype" w:eastAsia="Palatino Linotype" w:hAnsi="Palatino Linotype" w:cs="Palatino Linotype"/>
          <w:color w:val="000000" w:themeColor="text1"/>
        </w:rPr>
        <w:t>De las constancias en el expediente al rubro indicado, se desprende que la particular solicitó la información que a continuación se desagrega:</w:t>
      </w:r>
    </w:p>
    <w:p w14:paraId="12B2015F" w14:textId="77777777" w:rsidR="00570610" w:rsidRPr="007D4C61" w:rsidRDefault="00E91F61" w:rsidP="00664A7E">
      <w:pPr>
        <w:pBdr>
          <w:top w:val="nil"/>
          <w:left w:val="nil"/>
          <w:bottom w:val="nil"/>
          <w:right w:val="nil"/>
          <w:between w:val="nil"/>
        </w:pBdr>
        <w:spacing w:line="360" w:lineRule="auto"/>
        <w:jc w:val="both"/>
        <w:rPr>
          <w:rFonts w:ascii="Palatino Linotype" w:eastAsia="Palatino Linotype" w:hAnsi="Palatino Linotype" w:cs="Palatino Linotype"/>
          <w:b/>
          <w:i/>
          <w:color w:val="000000" w:themeColor="text1"/>
        </w:rPr>
      </w:pPr>
      <w:r w:rsidRPr="007D4C61">
        <w:rPr>
          <w:rFonts w:ascii="Palatino Linotype" w:eastAsia="Palatino Linotype" w:hAnsi="Palatino Linotype" w:cs="Palatino Linotype"/>
          <w:b/>
          <w:i/>
          <w:color w:val="000000" w:themeColor="text1"/>
        </w:rPr>
        <w:t>Resultados y documentos que muestre quienes asistieron a la evaluación de control y confianza del Presidente Municipal,  el Director General de Seguridad,  mandos medios y policías con su fecha de presentación.</w:t>
      </w:r>
    </w:p>
    <w:p w14:paraId="51EB6125" w14:textId="77777777" w:rsidR="00570610" w:rsidRPr="007D4C61" w:rsidRDefault="00570610" w:rsidP="00664A7E">
      <w:pPr>
        <w:pBdr>
          <w:top w:val="nil"/>
          <w:left w:val="nil"/>
          <w:bottom w:val="nil"/>
          <w:right w:val="nil"/>
          <w:between w:val="nil"/>
        </w:pBdr>
        <w:spacing w:line="360" w:lineRule="auto"/>
        <w:jc w:val="both"/>
        <w:rPr>
          <w:rFonts w:ascii="Palatino Linotype" w:eastAsia="Palatino Linotype" w:hAnsi="Palatino Linotype" w:cs="Palatino Linotype"/>
          <w:b/>
          <w:i/>
          <w:color w:val="000000" w:themeColor="text1"/>
        </w:rPr>
      </w:pPr>
    </w:p>
    <w:p w14:paraId="4DFAABCC"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color w:val="000000" w:themeColor="text1"/>
        </w:rPr>
        <w:t xml:space="preserve">En respuesta, el </w:t>
      </w:r>
      <w:r w:rsidRPr="007D4C61">
        <w:rPr>
          <w:rFonts w:ascii="Palatino Linotype" w:eastAsia="Palatino Linotype" w:hAnsi="Palatino Linotype" w:cs="Palatino Linotype"/>
          <w:b/>
          <w:color w:val="000000" w:themeColor="text1"/>
        </w:rPr>
        <w:t xml:space="preserve">SUJETO OBLIGADO </w:t>
      </w:r>
      <w:r w:rsidRPr="007D4C61">
        <w:rPr>
          <w:rFonts w:ascii="Palatino Linotype" w:eastAsia="Palatino Linotype" w:hAnsi="Palatino Linotype" w:cs="Palatino Linotype"/>
          <w:color w:val="000000" w:themeColor="text1"/>
        </w:rPr>
        <w:t>entrego la información que fue descrita en el párrafo tres de la presente resolución.</w:t>
      </w:r>
    </w:p>
    <w:p w14:paraId="249D8568" w14:textId="77777777" w:rsidR="00570610" w:rsidRPr="007D4C61" w:rsidRDefault="00570610" w:rsidP="00664A7E">
      <w:pPr>
        <w:jc w:val="both"/>
        <w:rPr>
          <w:rFonts w:ascii="Palatino Linotype" w:eastAsia="Palatino Linotype" w:hAnsi="Palatino Linotype" w:cs="Palatino Linotype"/>
          <w:i/>
          <w:color w:val="000000" w:themeColor="text1"/>
        </w:rPr>
      </w:pPr>
    </w:p>
    <w:p w14:paraId="4A13A785"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lastRenderedPageBreak/>
        <w:t xml:space="preserve">En dichas condiciones, la </w:t>
      </w:r>
      <w:r w:rsidRPr="007D4C61">
        <w:rPr>
          <w:rFonts w:ascii="Palatino Linotype" w:eastAsia="Palatino Linotype" w:hAnsi="Palatino Linotype" w:cs="Palatino Linotype"/>
          <w:i/>
          <w:color w:val="000000" w:themeColor="text1"/>
        </w:rPr>
        <w:t>Litis</w:t>
      </w:r>
      <w:r w:rsidRPr="007D4C61">
        <w:rPr>
          <w:rFonts w:ascii="Palatino Linotype" w:eastAsia="Palatino Linotype" w:hAnsi="Palatino Linotype" w:cs="Palatino Linotype"/>
          <w:color w:val="000000" w:themeColor="text1"/>
        </w:rPr>
        <w:t xml:space="preserve"> a resolver en estos recursos se circunscribe a determinar si se actualizan las causales de procedencia previstas en el artículo 179, </w:t>
      </w:r>
      <w:r w:rsidRPr="007D4C61">
        <w:rPr>
          <w:rFonts w:ascii="Palatino Linotype" w:eastAsia="Palatino Linotype" w:hAnsi="Palatino Linotype" w:cs="Palatino Linotype"/>
          <w:b/>
          <w:color w:val="000000" w:themeColor="text1"/>
        </w:rPr>
        <w:t xml:space="preserve">fracción I </w:t>
      </w:r>
      <w:r w:rsidRPr="007D4C61">
        <w:rPr>
          <w:rFonts w:ascii="Palatino Linotype" w:eastAsia="Palatino Linotype" w:hAnsi="Palatino Linotype" w:cs="Palatino Linotype"/>
          <w:color w:val="000000" w:themeColor="text1"/>
        </w:rPr>
        <w:t>de la Ley</w:t>
      </w:r>
      <w:r w:rsidRPr="007D4C61">
        <w:rPr>
          <w:rFonts w:ascii="Palatino Linotype" w:eastAsia="Palatino Linotype" w:hAnsi="Palatino Linotype" w:cs="Palatino Linotype"/>
          <w:b/>
          <w:color w:val="000000" w:themeColor="text1"/>
        </w:rPr>
        <w:t xml:space="preserve"> de Transparencia y Acceso a la Información Pública del Estado de </w:t>
      </w:r>
      <w:r w:rsidRPr="007D4C61">
        <w:rPr>
          <w:rFonts w:ascii="Palatino Linotype" w:eastAsia="Palatino Linotype" w:hAnsi="Palatino Linotype" w:cs="Palatino Linotype"/>
          <w:color w:val="000000" w:themeColor="text1"/>
        </w:rPr>
        <w:t>México</w:t>
      </w:r>
      <w:r w:rsidRPr="007D4C61">
        <w:rPr>
          <w:rFonts w:ascii="Palatino Linotype" w:eastAsia="Palatino Linotype" w:hAnsi="Palatino Linotype" w:cs="Palatino Linotype"/>
          <w:b/>
          <w:color w:val="000000" w:themeColor="text1"/>
        </w:rPr>
        <w:t xml:space="preserve"> y Municipios</w:t>
      </w:r>
      <w:r w:rsidRPr="007D4C61">
        <w:rPr>
          <w:rFonts w:ascii="Palatino Linotype" w:eastAsia="Palatino Linotype" w:hAnsi="Palatino Linotype" w:cs="Palatino Linotype"/>
          <w:color w:val="000000" w:themeColor="text1"/>
        </w:rPr>
        <w:t xml:space="preserve">; fracción que determina la hipótesis jurídica relativa a la negativa de la información solicitada; contexto del cual se dolió </w:t>
      </w:r>
      <w:r w:rsidRPr="007D4C61">
        <w:rPr>
          <w:rFonts w:ascii="Palatino Linotype" w:eastAsia="Palatino Linotype" w:hAnsi="Palatino Linotype" w:cs="Palatino Linotype"/>
          <w:b/>
          <w:color w:val="000000" w:themeColor="text1"/>
        </w:rPr>
        <w:t xml:space="preserve">EL RECURRENTE </w:t>
      </w:r>
      <w:r w:rsidRPr="007D4C61">
        <w:rPr>
          <w:rFonts w:ascii="Palatino Linotype" w:eastAsia="Palatino Linotype" w:hAnsi="Palatino Linotype" w:cs="Palatino Linotype"/>
          <w:color w:val="000000" w:themeColor="text1"/>
        </w:rPr>
        <w:t>al momento de interponer su inconformidad.</w:t>
      </w:r>
    </w:p>
    <w:p w14:paraId="6F0E70C1" w14:textId="77777777" w:rsidR="00570610" w:rsidRPr="007D4C61" w:rsidRDefault="00570610" w:rsidP="00664A7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18089B58"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 xml:space="preserve">De modo tal que el presente recurso de revisión se abocara en determinar si el </w:t>
      </w:r>
      <w:r w:rsidRPr="007D4C61">
        <w:rPr>
          <w:rFonts w:ascii="Palatino Linotype" w:eastAsia="Palatino Linotype" w:hAnsi="Palatino Linotype" w:cs="Palatino Linotype"/>
          <w:b/>
          <w:color w:val="000000" w:themeColor="text1"/>
        </w:rPr>
        <w:t xml:space="preserve">SUJETO </w:t>
      </w:r>
      <w:r w:rsidRPr="007D4C61">
        <w:rPr>
          <w:rFonts w:ascii="Palatino Linotype" w:eastAsia="Palatino Linotype" w:hAnsi="Palatino Linotype" w:cs="Palatino Linotype"/>
          <w:color w:val="000000" w:themeColor="text1"/>
        </w:rPr>
        <w:t>OBLIGADO con su respuesta ciertamente actualiza la causal de procedencia</w:t>
      </w:r>
      <w:r w:rsidRPr="007D4C61">
        <w:rPr>
          <w:rFonts w:ascii="Palatino Linotype" w:eastAsia="Palatino Linotype" w:hAnsi="Palatino Linotype" w:cs="Palatino Linotype"/>
          <w:b/>
          <w:color w:val="000000" w:themeColor="text1"/>
        </w:rPr>
        <w:t xml:space="preserve"> </w:t>
      </w:r>
      <w:r w:rsidRPr="007D4C61">
        <w:rPr>
          <w:rFonts w:ascii="Palatino Linotype" w:eastAsia="Palatino Linotype" w:hAnsi="Palatino Linotype" w:cs="Palatino Linotype"/>
          <w:color w:val="000000" w:themeColor="text1"/>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1D3C42EE" w14:textId="77777777" w:rsidR="00570610" w:rsidRPr="007D4C61" w:rsidRDefault="00570610" w:rsidP="00664A7E">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14:paraId="2BE074A3" w14:textId="77777777" w:rsidR="00570610" w:rsidRPr="007D4C61" w:rsidRDefault="00E91F61" w:rsidP="00664A7E">
      <w:pPr>
        <w:keepNext/>
        <w:keepLines/>
        <w:spacing w:line="360" w:lineRule="auto"/>
        <w:rPr>
          <w:rFonts w:ascii="Palatino Linotype" w:eastAsia="Palatino Linotype" w:hAnsi="Palatino Linotype" w:cs="Palatino Linotype"/>
          <w:b/>
          <w:color w:val="000000" w:themeColor="text1"/>
        </w:rPr>
      </w:pPr>
      <w:r w:rsidRPr="007D4C61">
        <w:rPr>
          <w:rFonts w:ascii="Palatino Linotype" w:eastAsia="Palatino Linotype" w:hAnsi="Palatino Linotype" w:cs="Palatino Linotype"/>
          <w:b/>
          <w:color w:val="000000" w:themeColor="text1"/>
        </w:rPr>
        <w:t>CUARTO. Del estudio y resolución del estudio.</w:t>
      </w:r>
    </w:p>
    <w:p w14:paraId="5CE75253" w14:textId="77777777" w:rsidR="00570610" w:rsidRPr="007D4C61" w:rsidRDefault="00E91F61" w:rsidP="00242433">
      <w:pPr>
        <w:keepNext/>
        <w:keepLines/>
        <w:numPr>
          <w:ilvl w:val="0"/>
          <w:numId w:val="10"/>
        </w:numPr>
        <w:spacing w:after="240" w:line="360" w:lineRule="auto"/>
        <w:ind w:left="0" w:firstLine="0"/>
        <w:rPr>
          <w:rFonts w:ascii="Palatino Linotype" w:eastAsia="Palatino Linotype" w:hAnsi="Palatino Linotype" w:cs="Palatino Linotype"/>
          <w:b/>
          <w:color w:val="000000" w:themeColor="text1"/>
        </w:rPr>
      </w:pPr>
      <w:bookmarkStart w:id="12" w:name="_heading=h.1t3h5sf" w:colFirst="0" w:colLast="0"/>
      <w:bookmarkEnd w:id="12"/>
      <w:r w:rsidRPr="007D4C61">
        <w:rPr>
          <w:rFonts w:ascii="Palatino Linotype" w:eastAsia="Palatino Linotype" w:hAnsi="Palatino Linotype" w:cs="Palatino Linotype"/>
          <w:b/>
          <w:color w:val="000000" w:themeColor="text1"/>
        </w:rPr>
        <w:t>Del derecho de acceso a la información.</w:t>
      </w:r>
    </w:p>
    <w:p w14:paraId="314E3470"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287CCD02" w14:textId="77777777" w:rsidR="00664A7E" w:rsidRPr="007D4C61" w:rsidRDefault="00664A7E" w:rsidP="00664A7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203E70F3"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lastRenderedPageBreak/>
        <w:t xml:space="preserve">Definiendo el Derecho de Acceso a la Información Pública como: </w:t>
      </w:r>
      <w:r w:rsidRPr="007D4C61">
        <w:rPr>
          <w:rFonts w:ascii="Palatino Linotype" w:eastAsia="Palatino Linotype" w:hAnsi="Palatino Linotype" w:cs="Palatino Linotype"/>
          <w:i/>
          <w:color w:val="000000" w:themeColor="text1"/>
        </w:rPr>
        <w:t>La igualdad de oportunidades para recibir, buscar e impartir información</w:t>
      </w:r>
      <w:r w:rsidRPr="007D4C61">
        <w:rPr>
          <w:rFonts w:ascii="Palatino Linotype" w:eastAsia="Palatino Linotype" w:hAnsi="Palatino Linotype" w:cs="Palatino Linotype"/>
          <w:i/>
          <w:color w:val="000000" w:themeColor="text1"/>
          <w:vertAlign w:val="superscript"/>
        </w:rPr>
        <w:footnoteReference w:id="1"/>
      </w:r>
      <w:r w:rsidRPr="007D4C61">
        <w:rPr>
          <w:rFonts w:ascii="Palatino Linotype" w:eastAsia="Palatino Linotype" w:hAnsi="Palatino Linotype" w:cs="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7D4C61">
        <w:rPr>
          <w:rFonts w:ascii="Palatino Linotype" w:eastAsia="Palatino Linotype" w:hAnsi="Palatino Linotype" w:cs="Palatino Linotype"/>
          <w:i/>
          <w:color w:val="000000" w:themeColor="text1"/>
          <w:vertAlign w:val="superscript"/>
        </w:rPr>
        <w:footnoteReference w:id="2"/>
      </w:r>
      <w:r w:rsidRPr="007D4C61">
        <w:rPr>
          <w:rFonts w:ascii="Palatino Linotype" w:eastAsia="Palatino Linotype" w:hAnsi="Palatino Linotype" w:cs="Palatino Linotype"/>
          <w:color w:val="000000" w:themeColor="text1"/>
        </w:rPr>
        <w:t>que se constituye como una herramienta fundamental para ejercer</w:t>
      </w:r>
      <w:r w:rsidRPr="007D4C61">
        <w:rPr>
          <w:rFonts w:ascii="Palatino Linotype" w:eastAsia="Palatino Linotype" w:hAnsi="Palatino Linotype" w:cs="Palatino Linotype"/>
          <w:i/>
          <w:color w:val="000000" w:themeColor="text1"/>
        </w:rPr>
        <w:t xml:space="preserve"> el control democrático de las gestiones estatales, de forma tal que puedan cuestionar, indagar y considerar si se está dando un adecuado cumplimiento a las funciones públicas,</w:t>
      </w:r>
      <w:r w:rsidRPr="007D4C61">
        <w:rPr>
          <w:rFonts w:ascii="Palatino Linotype" w:eastAsia="Palatino Linotype" w:hAnsi="Palatino Linotype" w:cs="Palatino Linotype"/>
          <w:i/>
          <w:color w:val="000000" w:themeColor="text1"/>
          <w:vertAlign w:val="superscript"/>
        </w:rPr>
        <w:footnoteReference w:id="3"/>
      </w:r>
      <w:r w:rsidRPr="007D4C61">
        <w:rPr>
          <w:rFonts w:ascii="Palatino Linotype" w:eastAsia="Palatino Linotype" w:hAnsi="Palatino Linotype" w:cs="Palatino Linotype"/>
          <w:color w:val="000000" w:themeColor="text1"/>
        </w:rPr>
        <w:t>fomentando</w:t>
      </w:r>
      <w:r w:rsidRPr="007D4C61">
        <w:rPr>
          <w:rFonts w:ascii="Palatino Linotype" w:eastAsia="Palatino Linotype" w:hAnsi="Palatino Linotype" w:cs="Palatino Linotype"/>
          <w:i/>
          <w:color w:val="000000" w:themeColor="text1"/>
        </w:rPr>
        <w:t xml:space="preserve"> la transparencia de las actividades estatales y </w:t>
      </w:r>
      <w:r w:rsidRPr="007D4C61">
        <w:rPr>
          <w:rFonts w:ascii="Palatino Linotype" w:eastAsia="Palatino Linotype" w:hAnsi="Palatino Linotype" w:cs="Palatino Linotype"/>
          <w:color w:val="000000" w:themeColor="text1"/>
        </w:rPr>
        <w:t>promoviendo</w:t>
      </w:r>
      <w:r w:rsidRPr="007D4C61">
        <w:rPr>
          <w:rFonts w:ascii="Palatino Linotype" w:eastAsia="Palatino Linotype" w:hAnsi="Palatino Linotype" w:cs="Palatino Linotype"/>
          <w:i/>
          <w:color w:val="000000" w:themeColor="text1"/>
        </w:rPr>
        <w:t xml:space="preserve"> la responsabilidad de los funcionarios sobre su gestión pública,</w:t>
      </w:r>
      <w:r w:rsidRPr="007D4C61">
        <w:rPr>
          <w:rFonts w:ascii="Palatino Linotype" w:eastAsia="Palatino Linotype" w:hAnsi="Palatino Linotype" w:cs="Palatino Linotype"/>
          <w:i/>
          <w:color w:val="000000" w:themeColor="text1"/>
          <w:vertAlign w:val="superscript"/>
        </w:rPr>
        <w:footnoteReference w:id="4"/>
      </w:r>
      <w:r w:rsidRPr="007D4C61">
        <w:rPr>
          <w:rFonts w:ascii="Palatino Linotype" w:eastAsia="Palatino Linotype" w:hAnsi="Palatino Linotype" w:cs="Palatino Linotype"/>
          <w:color w:val="000000" w:themeColor="text1"/>
        </w:rPr>
        <w:t>que permite</w:t>
      </w:r>
      <w:r w:rsidRPr="007D4C61">
        <w:rPr>
          <w:rFonts w:ascii="Palatino Linotype" w:eastAsia="Palatino Linotype" w:hAnsi="Palatino Linotype" w:cs="Palatino Linotype"/>
          <w:i/>
          <w:color w:val="000000" w:themeColor="text1"/>
        </w:rPr>
        <w:t xml:space="preserve"> saber qué están haciendo los gobiernos por sus pueblos, sin lo cual la verdad languidecería y la participación en el gobierno permanecería fragmentada.</w:t>
      </w:r>
    </w:p>
    <w:p w14:paraId="167FDFF7" w14:textId="77777777" w:rsidR="00570610" w:rsidRPr="007D4C61" w:rsidRDefault="00570610" w:rsidP="00664A7E">
      <w:pPr>
        <w:spacing w:line="360" w:lineRule="auto"/>
        <w:jc w:val="both"/>
        <w:rPr>
          <w:rFonts w:ascii="Palatino Linotype" w:eastAsia="Palatino Linotype" w:hAnsi="Palatino Linotype" w:cs="Palatino Linotype"/>
          <w:color w:val="000000" w:themeColor="text1"/>
        </w:rPr>
      </w:pPr>
    </w:p>
    <w:p w14:paraId="42BFB75C"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En México, además de los derechos, están reconocidas las garantías para su protección, en ese sentido el párrafo tercero de artículo primero de la Constitución Política de los Estados Unidos Mexicanos dispone lo siguiente:</w:t>
      </w:r>
    </w:p>
    <w:p w14:paraId="62EE29A4" w14:textId="77777777" w:rsidR="00570610" w:rsidRPr="007D4C61" w:rsidRDefault="00E91F61" w:rsidP="00664A7E">
      <w:pP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w:t>
      </w:r>
      <w:r w:rsidRPr="007D4C61">
        <w:rPr>
          <w:rFonts w:ascii="Palatino Linotype" w:eastAsia="Palatino Linotype" w:hAnsi="Palatino Linotype" w:cs="Palatino Linotype"/>
          <w:b/>
          <w:i/>
          <w:color w:val="000000" w:themeColor="text1"/>
        </w:rPr>
        <w:t>Artículo 1.-</w:t>
      </w:r>
      <w:r w:rsidRPr="007D4C61">
        <w:rPr>
          <w:rFonts w:ascii="Palatino Linotype" w:eastAsia="Palatino Linotype" w:hAnsi="Palatino Linotype" w:cs="Palatino Linotype"/>
          <w:i/>
          <w:color w:val="000000" w:themeColor="text1"/>
        </w:rPr>
        <w:t xml:space="preserve"> </w:t>
      </w:r>
    </w:p>
    <w:p w14:paraId="65C05EEE" w14:textId="77777777" w:rsidR="00570610" w:rsidRPr="007D4C61" w:rsidRDefault="00E91F61" w:rsidP="00664A7E">
      <w:pP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w:t>
      </w:r>
    </w:p>
    <w:p w14:paraId="2006AEF3" w14:textId="77777777" w:rsidR="00570610" w:rsidRPr="007D4C61" w:rsidRDefault="00E91F61" w:rsidP="00664A7E">
      <w:pP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Todas las</w:t>
      </w:r>
      <w:r w:rsidRPr="007D4C61">
        <w:rPr>
          <w:rFonts w:ascii="Palatino Linotype" w:eastAsia="Palatino Linotype" w:hAnsi="Palatino Linotype" w:cs="Palatino Linotype"/>
          <w:color w:val="000000" w:themeColor="text1"/>
        </w:rPr>
        <w:t xml:space="preserve"> </w:t>
      </w:r>
      <w:r w:rsidRPr="007D4C61">
        <w:rPr>
          <w:rFonts w:ascii="Palatino Linotype" w:eastAsia="Palatino Linotype" w:hAnsi="Palatino Linotype" w:cs="Palatino Linotype"/>
          <w:i/>
          <w:color w:val="000000" w:themeColor="text1"/>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3B7255A0" w14:textId="77777777" w:rsidR="00570610" w:rsidRPr="007D4C61" w:rsidRDefault="00E91F61" w:rsidP="00664A7E">
      <w:pPr>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i/>
          <w:color w:val="000000" w:themeColor="text1"/>
        </w:rPr>
        <w:lastRenderedPageBreak/>
        <w:t>(…)</w:t>
      </w:r>
      <w:r w:rsidRPr="007D4C61">
        <w:rPr>
          <w:rFonts w:ascii="Palatino Linotype" w:eastAsia="Palatino Linotype" w:hAnsi="Palatino Linotype" w:cs="Palatino Linotype"/>
          <w:color w:val="000000" w:themeColor="text1"/>
        </w:rPr>
        <w:t>”.</w:t>
      </w:r>
    </w:p>
    <w:p w14:paraId="2C4BC18E" w14:textId="77777777" w:rsidR="00570610" w:rsidRDefault="00570610" w:rsidP="00664A7E">
      <w:pPr>
        <w:jc w:val="both"/>
        <w:rPr>
          <w:rFonts w:ascii="Palatino Linotype" w:eastAsia="Palatino Linotype" w:hAnsi="Palatino Linotype" w:cs="Palatino Linotype"/>
          <w:b/>
          <w:color w:val="000000" w:themeColor="text1"/>
        </w:rPr>
      </w:pPr>
    </w:p>
    <w:p w14:paraId="45473550" w14:textId="77777777" w:rsidR="00242433" w:rsidRPr="007D4C61" w:rsidRDefault="00242433" w:rsidP="00664A7E">
      <w:pPr>
        <w:jc w:val="both"/>
        <w:rPr>
          <w:rFonts w:ascii="Palatino Linotype" w:eastAsia="Palatino Linotype" w:hAnsi="Palatino Linotype" w:cs="Palatino Linotype"/>
          <w:b/>
          <w:color w:val="000000" w:themeColor="text1"/>
        </w:rPr>
      </w:pPr>
    </w:p>
    <w:p w14:paraId="714D23AC"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375E7B71" w14:textId="77777777" w:rsidR="00570610" w:rsidRPr="007D4C61" w:rsidRDefault="00570610" w:rsidP="00664A7E">
      <w:pPr>
        <w:spacing w:line="360" w:lineRule="auto"/>
        <w:jc w:val="both"/>
        <w:rPr>
          <w:rFonts w:ascii="Palatino Linotype" w:eastAsia="Palatino Linotype" w:hAnsi="Palatino Linotype" w:cs="Palatino Linotype"/>
          <w:color w:val="000000" w:themeColor="text1"/>
        </w:rPr>
      </w:pPr>
    </w:p>
    <w:p w14:paraId="3EB25E90"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209C33D9" w14:textId="77777777" w:rsidR="00570610" w:rsidRPr="007D4C61" w:rsidRDefault="00E91F61" w:rsidP="00664A7E">
      <w:pPr>
        <w:spacing w:after="240"/>
        <w:jc w:val="both"/>
        <w:rPr>
          <w:rFonts w:ascii="Palatino Linotype" w:eastAsia="Palatino Linotype" w:hAnsi="Palatino Linotype" w:cs="Palatino Linotype"/>
          <w:b/>
          <w:i/>
          <w:color w:val="000000" w:themeColor="text1"/>
        </w:rPr>
      </w:pPr>
      <w:r w:rsidRPr="007D4C61">
        <w:rPr>
          <w:rFonts w:ascii="Palatino Linotype" w:eastAsia="Palatino Linotype" w:hAnsi="Palatino Linotype" w:cs="Palatino Linotype"/>
          <w:b/>
          <w:i/>
          <w:color w:val="000000" w:themeColor="text1"/>
        </w:rPr>
        <w:t>Constitución Política de los Estados Unidos Mexicanos</w:t>
      </w:r>
    </w:p>
    <w:p w14:paraId="237DCE85" w14:textId="77777777" w:rsidR="00570610" w:rsidRPr="007D4C61" w:rsidRDefault="00E91F61" w:rsidP="00664A7E">
      <w:pPr>
        <w:spacing w:before="240" w:after="240"/>
        <w:jc w:val="both"/>
        <w:rPr>
          <w:rFonts w:ascii="Palatino Linotype" w:eastAsia="Palatino Linotype" w:hAnsi="Palatino Linotype" w:cs="Palatino Linotype"/>
          <w:b/>
          <w:i/>
          <w:color w:val="000000" w:themeColor="text1"/>
        </w:rPr>
      </w:pPr>
      <w:r w:rsidRPr="007D4C61">
        <w:rPr>
          <w:rFonts w:ascii="Palatino Linotype" w:eastAsia="Palatino Linotype" w:hAnsi="Palatino Linotype" w:cs="Palatino Linotype"/>
          <w:b/>
          <w:i/>
          <w:color w:val="000000" w:themeColor="text1"/>
        </w:rPr>
        <w:t>“Artículo 6.</w:t>
      </w:r>
    </w:p>
    <w:p w14:paraId="2C68911F" w14:textId="77777777" w:rsidR="00570610" w:rsidRPr="007D4C61" w:rsidRDefault="00E91F61" w:rsidP="00664A7E">
      <w:pPr>
        <w:spacing w:before="240" w:after="240"/>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w:t>
      </w:r>
    </w:p>
    <w:p w14:paraId="42940CB5" w14:textId="77777777" w:rsidR="00570610" w:rsidRPr="007D4C61" w:rsidRDefault="00E91F61" w:rsidP="00664A7E">
      <w:pPr>
        <w:spacing w:before="240" w:after="240"/>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Para efectos de lo dispuesto en el presente artículo se observará lo siguiente:</w:t>
      </w:r>
    </w:p>
    <w:p w14:paraId="44B8494E" w14:textId="77777777" w:rsidR="00570610" w:rsidRPr="007D4C61" w:rsidRDefault="00E91F61" w:rsidP="00664A7E">
      <w:pPr>
        <w:spacing w:before="240" w:after="240"/>
        <w:jc w:val="both"/>
        <w:rPr>
          <w:rFonts w:ascii="Palatino Linotype" w:eastAsia="Palatino Linotype" w:hAnsi="Palatino Linotype" w:cs="Palatino Linotype"/>
          <w:b/>
          <w:i/>
          <w:color w:val="000000" w:themeColor="text1"/>
        </w:rPr>
      </w:pPr>
      <w:r w:rsidRPr="007D4C61">
        <w:rPr>
          <w:rFonts w:ascii="Palatino Linotype" w:eastAsia="Palatino Linotype" w:hAnsi="Palatino Linotype" w:cs="Palatino Linotype"/>
          <w:b/>
          <w:i/>
          <w:color w:val="000000" w:themeColor="text1"/>
        </w:rPr>
        <w:t>A</w:t>
      </w:r>
      <w:r w:rsidRPr="007D4C61">
        <w:rPr>
          <w:rFonts w:ascii="Palatino Linotype" w:eastAsia="Palatino Linotype" w:hAnsi="Palatino Linotype" w:cs="Palatino Linotype"/>
          <w:i/>
          <w:color w:val="000000" w:themeColor="text1"/>
        </w:rPr>
        <w:t xml:space="preserve">. </w:t>
      </w:r>
      <w:r w:rsidRPr="007D4C61">
        <w:rPr>
          <w:rFonts w:ascii="Palatino Linotype" w:eastAsia="Palatino Linotype" w:hAnsi="Palatino Linotype" w:cs="Palatino Linotype"/>
          <w:b/>
          <w:i/>
          <w:color w:val="000000" w:themeColor="text1"/>
        </w:rPr>
        <w:t>Para el ejercicio del derecho de acceso a la información</w:t>
      </w:r>
      <w:r w:rsidRPr="007D4C61">
        <w:rPr>
          <w:rFonts w:ascii="Palatino Linotype" w:eastAsia="Palatino Linotype" w:hAnsi="Palatino Linotype" w:cs="Palatino Linotype"/>
          <w:i/>
          <w:color w:val="000000" w:themeColor="text1"/>
        </w:rPr>
        <w:t xml:space="preserve">, la Federación y </w:t>
      </w:r>
      <w:r w:rsidRPr="007D4C61">
        <w:rPr>
          <w:rFonts w:ascii="Palatino Linotype" w:eastAsia="Palatino Linotype" w:hAnsi="Palatino Linotype" w:cs="Palatino Linotype"/>
          <w:b/>
          <w:i/>
          <w:color w:val="000000" w:themeColor="text1"/>
        </w:rPr>
        <w:t>las entidades federativas, en el ámbito de sus respectivas competencias, se regirán por los siguientes principios y bases:</w:t>
      </w:r>
    </w:p>
    <w:p w14:paraId="6CE10F19" w14:textId="77777777" w:rsidR="00570610" w:rsidRPr="007D4C61" w:rsidRDefault="00E91F61" w:rsidP="00664A7E">
      <w:pPr>
        <w:spacing w:before="240" w:after="240"/>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b/>
          <w:i/>
          <w:color w:val="000000" w:themeColor="text1"/>
        </w:rPr>
        <w:t xml:space="preserve">I. </w:t>
      </w:r>
      <w:r w:rsidRPr="007D4C61">
        <w:rPr>
          <w:rFonts w:ascii="Palatino Linotype" w:eastAsia="Palatino Linotype" w:hAnsi="Palatino Linotype" w:cs="Palatino Linotype"/>
          <w:b/>
          <w:i/>
          <w:color w:val="000000" w:themeColor="text1"/>
        </w:rPr>
        <w:tab/>
        <w:t>Toda la información en posesión de cualquier</w:t>
      </w:r>
      <w:r w:rsidRPr="007D4C61">
        <w:rPr>
          <w:rFonts w:ascii="Palatino Linotype" w:eastAsia="Palatino Linotype" w:hAnsi="Palatino Linotype" w:cs="Palatino Linotype"/>
          <w:i/>
          <w:color w:val="000000" w:themeColor="text1"/>
        </w:rPr>
        <w:t xml:space="preserve"> </w:t>
      </w:r>
      <w:r w:rsidRPr="007D4C61">
        <w:rPr>
          <w:rFonts w:ascii="Palatino Linotype" w:eastAsia="Palatino Linotype" w:hAnsi="Palatino Linotype" w:cs="Palatino Linotype"/>
          <w:b/>
          <w:i/>
          <w:color w:val="000000" w:themeColor="text1"/>
        </w:rPr>
        <w:t>autoridad</w:t>
      </w:r>
      <w:r w:rsidRPr="007D4C61">
        <w:rPr>
          <w:rFonts w:ascii="Palatino Linotype" w:eastAsia="Palatino Linotype" w:hAnsi="Palatino Linotype" w:cs="Palatino Linotype"/>
          <w:i/>
          <w:color w:val="000000" w:themeColor="text1"/>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7D4C61">
        <w:rPr>
          <w:rFonts w:ascii="Palatino Linotype" w:eastAsia="Palatino Linotype" w:hAnsi="Palatino Linotype" w:cs="Palatino Linotype"/>
          <w:b/>
          <w:i/>
          <w:color w:val="000000" w:themeColor="text1"/>
        </w:rPr>
        <w:t>municipal</w:t>
      </w:r>
      <w:r w:rsidRPr="007D4C61">
        <w:rPr>
          <w:rFonts w:ascii="Palatino Linotype" w:eastAsia="Palatino Linotype" w:hAnsi="Palatino Linotype" w:cs="Palatino Linotype"/>
          <w:i/>
          <w:color w:val="000000" w:themeColor="text1"/>
        </w:rPr>
        <w:t xml:space="preserve">, </w:t>
      </w:r>
      <w:r w:rsidRPr="007D4C61">
        <w:rPr>
          <w:rFonts w:ascii="Palatino Linotype" w:eastAsia="Palatino Linotype" w:hAnsi="Palatino Linotype" w:cs="Palatino Linotype"/>
          <w:b/>
          <w:i/>
          <w:color w:val="000000" w:themeColor="text1"/>
        </w:rPr>
        <w:t>es pública</w:t>
      </w:r>
      <w:r w:rsidRPr="007D4C61">
        <w:rPr>
          <w:rFonts w:ascii="Palatino Linotype" w:eastAsia="Palatino Linotype" w:hAnsi="Palatino Linotype" w:cs="Palatino Linotype"/>
          <w:i/>
          <w:color w:val="000000" w:themeColor="text1"/>
        </w:rPr>
        <w:t xml:space="preserve"> y sólo podrá ser rese rvada temporalmente por razones de interés público y seguridad nacional, en los términos que fijen las leyes. </w:t>
      </w:r>
      <w:r w:rsidRPr="007D4C61">
        <w:rPr>
          <w:rFonts w:ascii="Palatino Linotype" w:eastAsia="Palatino Linotype" w:hAnsi="Palatino Linotype" w:cs="Palatino Linotype"/>
          <w:b/>
          <w:i/>
          <w:color w:val="000000" w:themeColor="text1"/>
        </w:rPr>
        <w:t xml:space="preserve">En la interpretación de este derecho deberá </w:t>
      </w:r>
      <w:r w:rsidRPr="007D4C61">
        <w:rPr>
          <w:rFonts w:ascii="Palatino Linotype" w:eastAsia="Palatino Linotype" w:hAnsi="Palatino Linotype" w:cs="Palatino Linotype"/>
          <w:b/>
          <w:i/>
          <w:color w:val="000000" w:themeColor="text1"/>
        </w:rPr>
        <w:lastRenderedPageBreak/>
        <w:t>prevalecer el principio de máxima publicidad. Los sujetos obligados deberán documentar todo acto que derive del ejercicio de sus facultades, competencias o funciones</w:t>
      </w:r>
      <w:r w:rsidRPr="007D4C61">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14:paraId="110D2327" w14:textId="77777777" w:rsidR="00570610" w:rsidRPr="007D4C61" w:rsidRDefault="00570610" w:rsidP="00664A7E">
      <w:pPr>
        <w:pBdr>
          <w:top w:val="nil"/>
          <w:left w:val="nil"/>
          <w:bottom w:val="nil"/>
          <w:right w:val="nil"/>
          <w:between w:val="nil"/>
        </w:pBdr>
        <w:tabs>
          <w:tab w:val="left" w:pos="567"/>
        </w:tabs>
        <w:spacing w:before="240" w:after="240"/>
        <w:jc w:val="both"/>
        <w:rPr>
          <w:rFonts w:ascii="Palatino Linotype" w:eastAsia="Palatino Linotype" w:hAnsi="Palatino Linotype" w:cs="Palatino Linotype"/>
          <w:b/>
          <w:i/>
          <w:color w:val="000000" w:themeColor="text1"/>
        </w:rPr>
      </w:pPr>
    </w:p>
    <w:p w14:paraId="400A4664" w14:textId="77777777" w:rsidR="00570610" w:rsidRPr="007D4C61" w:rsidRDefault="00E91F61" w:rsidP="00664A7E">
      <w:pPr>
        <w:spacing w:before="240" w:after="240"/>
        <w:jc w:val="both"/>
        <w:rPr>
          <w:rFonts w:ascii="Palatino Linotype" w:eastAsia="Palatino Linotype" w:hAnsi="Palatino Linotype" w:cs="Palatino Linotype"/>
          <w:b/>
          <w:i/>
          <w:color w:val="000000" w:themeColor="text1"/>
        </w:rPr>
      </w:pPr>
      <w:r w:rsidRPr="007D4C61">
        <w:rPr>
          <w:rFonts w:ascii="Palatino Linotype" w:eastAsia="Palatino Linotype" w:hAnsi="Palatino Linotype" w:cs="Palatino Linotype"/>
          <w:b/>
          <w:i/>
          <w:color w:val="000000" w:themeColor="text1"/>
        </w:rPr>
        <w:t>Constitución Política del Estado Libre y Soberano de México</w:t>
      </w:r>
    </w:p>
    <w:p w14:paraId="653B3F25" w14:textId="77777777" w:rsidR="00570610" w:rsidRPr="007D4C61" w:rsidRDefault="00E91F61" w:rsidP="00664A7E">
      <w:pPr>
        <w:spacing w:before="240" w:after="240"/>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b/>
          <w:i/>
          <w:color w:val="000000" w:themeColor="text1"/>
        </w:rPr>
        <w:t>“Artículo 5</w:t>
      </w:r>
      <w:r w:rsidRPr="007D4C61">
        <w:rPr>
          <w:rFonts w:ascii="Palatino Linotype" w:eastAsia="Palatino Linotype" w:hAnsi="Palatino Linotype" w:cs="Palatino Linotype"/>
          <w:i/>
          <w:color w:val="000000" w:themeColor="text1"/>
        </w:rPr>
        <w:t xml:space="preserve">.- </w:t>
      </w:r>
    </w:p>
    <w:p w14:paraId="2CF25FF6" w14:textId="77777777" w:rsidR="00570610" w:rsidRPr="007D4C61" w:rsidRDefault="00E91F61" w:rsidP="00664A7E">
      <w:pPr>
        <w:spacing w:before="240" w:after="240"/>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w:t>
      </w:r>
    </w:p>
    <w:p w14:paraId="69581AF5" w14:textId="77777777" w:rsidR="00570610" w:rsidRPr="007D4C61" w:rsidRDefault="00E91F61" w:rsidP="00664A7E">
      <w:pPr>
        <w:spacing w:before="240" w:after="240"/>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b/>
          <w:i/>
          <w:color w:val="000000" w:themeColor="text1"/>
        </w:rPr>
        <w:t>El derecho a la información será garantizado por el Estado. La ley establecerá las previsiones que permitan asegurar la protección, el respeto y la difusión de este derecho</w:t>
      </w:r>
      <w:r w:rsidRPr="007D4C61">
        <w:rPr>
          <w:rFonts w:ascii="Palatino Linotype" w:eastAsia="Palatino Linotype" w:hAnsi="Palatino Linotype" w:cs="Palatino Linotype"/>
          <w:i/>
          <w:color w:val="000000" w:themeColor="text1"/>
        </w:rPr>
        <w:t>.</w:t>
      </w:r>
    </w:p>
    <w:p w14:paraId="740F2ADA" w14:textId="77777777" w:rsidR="00570610" w:rsidRPr="007D4C61" w:rsidRDefault="00E91F61" w:rsidP="00664A7E">
      <w:pPr>
        <w:spacing w:before="240" w:after="240"/>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4EBE516" w14:textId="77777777" w:rsidR="00570610" w:rsidRPr="007D4C61" w:rsidRDefault="00E91F61" w:rsidP="00664A7E">
      <w:pPr>
        <w:spacing w:before="240" w:after="240"/>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b/>
          <w:i/>
          <w:color w:val="000000" w:themeColor="text1"/>
        </w:rPr>
        <w:t>Este derecho se regirá por los principios y bases siguientes</w:t>
      </w:r>
      <w:r w:rsidRPr="007D4C61">
        <w:rPr>
          <w:rFonts w:ascii="Palatino Linotype" w:eastAsia="Palatino Linotype" w:hAnsi="Palatino Linotype" w:cs="Palatino Linotype"/>
          <w:i/>
          <w:color w:val="000000" w:themeColor="text1"/>
        </w:rPr>
        <w:t>:</w:t>
      </w:r>
    </w:p>
    <w:p w14:paraId="68C02214" w14:textId="77777777" w:rsidR="00570610" w:rsidRPr="007D4C61" w:rsidRDefault="00E91F61" w:rsidP="00664A7E">
      <w:pPr>
        <w:spacing w:before="240" w:after="240"/>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b/>
          <w:i/>
          <w:color w:val="000000" w:themeColor="text1"/>
        </w:rPr>
        <w:t>I. Toda la información en posesión de cualquier autoridad, entidad, órgano y organismos de los</w:t>
      </w:r>
      <w:r w:rsidRPr="007D4C61">
        <w:rPr>
          <w:rFonts w:ascii="Palatino Linotype" w:eastAsia="Palatino Linotype" w:hAnsi="Palatino Linotype" w:cs="Palatino Linotype"/>
          <w:i/>
          <w:color w:val="000000" w:themeColor="text1"/>
        </w:rPr>
        <w:t xml:space="preserve"> Poderes Ejecutivo, Legislativo y Judicial, órganos autónomos, partidos políticos, fideicomisos y fondos públicos estatales y </w:t>
      </w:r>
      <w:r w:rsidRPr="007D4C61">
        <w:rPr>
          <w:rFonts w:ascii="Palatino Linotype" w:eastAsia="Palatino Linotype" w:hAnsi="Palatino Linotype" w:cs="Palatino Linotype"/>
          <w:b/>
          <w:i/>
          <w:color w:val="000000" w:themeColor="text1"/>
        </w:rPr>
        <w:t>municipales</w:t>
      </w:r>
      <w:r w:rsidRPr="007D4C61">
        <w:rPr>
          <w:rFonts w:ascii="Palatino Linotype" w:eastAsia="Palatino Linotype" w:hAnsi="Palatino Linotype" w:cs="Palatino Linotype"/>
          <w:i/>
          <w:color w:val="000000" w:themeColor="text1"/>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7D4C61">
        <w:rPr>
          <w:rFonts w:ascii="Palatino Linotype" w:eastAsia="Palatino Linotype" w:hAnsi="Palatino Linotype" w:cs="Palatino Linotype"/>
          <w:b/>
          <w:i/>
          <w:color w:val="000000" w:themeColor="text1"/>
        </w:rPr>
        <w:t>es pública</w:t>
      </w:r>
      <w:r w:rsidRPr="007D4C61">
        <w:rPr>
          <w:rFonts w:ascii="Palatino Linotype" w:eastAsia="Palatino Linotype" w:hAnsi="Palatino Linotype" w:cs="Palatino Linotype"/>
          <w:i/>
          <w:color w:val="000000" w:themeColor="text1"/>
        </w:rPr>
        <w:t xml:space="preserve"> y sólo podrá ser reservada temporalmente por razones previstas en la Constitución Política de los Estados Unidos Mexicanos de interés público y seguridad, en los términos que fijen las leyes. </w:t>
      </w:r>
      <w:r w:rsidRPr="007D4C61">
        <w:rPr>
          <w:rFonts w:ascii="Palatino Linotype" w:eastAsia="Palatino Linotype" w:hAnsi="Palatino Linotype" w:cs="Palatino Linotype"/>
          <w:b/>
          <w:i/>
          <w:color w:val="000000" w:themeColor="text1"/>
        </w:rPr>
        <w:t>En la interpretación de este derecho deberá prevalecer el principio de máxima publicidad</w:t>
      </w:r>
      <w:r w:rsidRPr="007D4C61">
        <w:rPr>
          <w:rFonts w:ascii="Palatino Linotype" w:eastAsia="Palatino Linotype" w:hAnsi="Palatino Linotype" w:cs="Palatino Linotype"/>
          <w:i/>
          <w:color w:val="000000" w:themeColor="text1"/>
        </w:rPr>
        <w:t xml:space="preserve">. </w:t>
      </w:r>
      <w:r w:rsidRPr="007D4C61">
        <w:rPr>
          <w:rFonts w:ascii="Palatino Linotype" w:eastAsia="Palatino Linotype" w:hAnsi="Palatino Linotype" w:cs="Palatino Linotype"/>
          <w:b/>
          <w:i/>
          <w:color w:val="000000" w:themeColor="text1"/>
        </w:rPr>
        <w:t>Los sujetos obligados deberán documentar todo acto que derive del ejercicio de sus facultades, competencias o funciones</w:t>
      </w:r>
      <w:r w:rsidRPr="007D4C61">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14:paraId="2DE85619" w14:textId="77777777" w:rsidR="00570610" w:rsidRPr="007D4C61" w:rsidRDefault="00570610" w:rsidP="00664A7E">
      <w:pPr>
        <w:tabs>
          <w:tab w:val="left" w:pos="567"/>
        </w:tabs>
        <w:spacing w:before="240" w:after="240"/>
        <w:jc w:val="both"/>
        <w:rPr>
          <w:rFonts w:ascii="Palatino Linotype" w:eastAsia="Palatino Linotype" w:hAnsi="Palatino Linotype" w:cs="Palatino Linotype"/>
          <w:b/>
          <w:i/>
          <w:color w:val="000000" w:themeColor="text1"/>
        </w:rPr>
      </w:pPr>
    </w:p>
    <w:p w14:paraId="453BC816"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lastRenderedPageBreak/>
        <w:t xml:space="preserve">Según el artículo 150 de la Ley de Transparencia del Estado, la solicitud es la garantía primaria del Derecho de Acceso a la Información, además, establece que se regirá </w:t>
      </w:r>
      <w:r w:rsidRPr="007D4C61">
        <w:rPr>
          <w:rFonts w:ascii="Palatino Linotype" w:eastAsia="Palatino Linotype" w:hAnsi="Palatino Linotype" w:cs="Palatino Linotype"/>
          <w:i/>
          <w:color w:val="000000" w:themeColor="text1"/>
        </w:rPr>
        <w:t>por los principios de simplicidad, rapidez gratuidad del procedimiento, auxilio y orientación a los particulares</w:t>
      </w:r>
      <w:r w:rsidRPr="007D4C61">
        <w:rPr>
          <w:rFonts w:ascii="Palatino Linotype" w:eastAsia="Palatino Linotype" w:hAnsi="Palatino Linotype" w:cs="Palatino Linotype"/>
          <w:color w:val="000000" w:themeColor="text1"/>
        </w:rPr>
        <w:t>, contemplando el derecho de las personas con discapacidad y hablantes de lengua indígena.</w:t>
      </w:r>
    </w:p>
    <w:p w14:paraId="2177C704" w14:textId="77777777" w:rsidR="00570610" w:rsidRPr="007D4C61" w:rsidRDefault="00570610" w:rsidP="00664A7E">
      <w:pPr>
        <w:spacing w:line="360" w:lineRule="auto"/>
        <w:jc w:val="both"/>
        <w:rPr>
          <w:rFonts w:ascii="Palatino Linotype" w:eastAsia="Palatino Linotype" w:hAnsi="Palatino Linotype" w:cs="Palatino Linotype"/>
          <w:color w:val="000000" w:themeColor="text1"/>
        </w:rPr>
      </w:pPr>
    </w:p>
    <w:p w14:paraId="0B1AA1D3"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 xml:space="preserve">El Derecho de Acceso a la Información se garantiza y respeta oportunamente, y según lo que dispone la Ley, las </w:t>
      </w:r>
      <w:r w:rsidRPr="007D4C61">
        <w:rPr>
          <w:rFonts w:ascii="Palatino Linotype" w:eastAsia="Palatino Linotype" w:hAnsi="Palatino Linotype" w:cs="Palatino Linotype"/>
          <w:i/>
          <w:color w:val="000000" w:themeColor="text1"/>
        </w:rPr>
        <w:t>solicitudes de acceso a la información</w:t>
      </w:r>
      <w:r w:rsidRPr="007D4C61">
        <w:rPr>
          <w:rFonts w:ascii="Palatino Linotype" w:eastAsia="Palatino Linotype" w:hAnsi="Palatino Linotype" w:cs="Palatino Linotype"/>
          <w:color w:val="000000" w:themeColor="text1"/>
        </w:rPr>
        <w:t>.</w:t>
      </w:r>
    </w:p>
    <w:p w14:paraId="17BEC611" w14:textId="77777777" w:rsidR="00570610" w:rsidRPr="007D4C61" w:rsidRDefault="00570610" w:rsidP="00664A7E">
      <w:pPr>
        <w:spacing w:line="360" w:lineRule="auto"/>
        <w:jc w:val="both"/>
        <w:rPr>
          <w:rFonts w:ascii="Palatino Linotype" w:eastAsia="Palatino Linotype" w:hAnsi="Palatino Linotype" w:cs="Palatino Linotype"/>
          <w:color w:val="000000" w:themeColor="text1"/>
        </w:rPr>
      </w:pPr>
    </w:p>
    <w:p w14:paraId="0CC12650"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bookmarkStart w:id="13" w:name="_heading=h.4d34og8" w:colFirst="0" w:colLast="0"/>
      <w:bookmarkEnd w:id="13"/>
      <w:r w:rsidRPr="007D4C61">
        <w:rPr>
          <w:rFonts w:ascii="Palatino Linotype" w:eastAsia="Palatino Linotype" w:hAnsi="Palatino Linotype" w:cs="Palatino Linotype"/>
          <w:color w:val="000000" w:themeColor="text1"/>
        </w:rPr>
        <w:t xml:space="preserve">Así entonces, se procede analizar, en primer lugar, si el </w:t>
      </w:r>
      <w:r w:rsidRPr="007D4C61">
        <w:rPr>
          <w:rFonts w:ascii="Palatino Linotype" w:eastAsia="Palatino Linotype" w:hAnsi="Palatino Linotype" w:cs="Palatino Linotype"/>
          <w:b/>
          <w:color w:val="000000" w:themeColor="text1"/>
        </w:rPr>
        <w:t>SUJETO OBLIGADO</w:t>
      </w:r>
      <w:r w:rsidRPr="007D4C61">
        <w:rPr>
          <w:rFonts w:ascii="Palatino Linotype" w:eastAsia="Palatino Linotype" w:hAnsi="Palatino Linotype" w:cs="Palatino Linotype"/>
          <w:color w:val="000000" w:themeColor="text1"/>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68E77E03" w14:textId="77777777" w:rsidR="00570610" w:rsidRPr="007D4C61" w:rsidRDefault="00570610" w:rsidP="00664A7E">
      <w:pPr>
        <w:spacing w:line="360" w:lineRule="auto"/>
        <w:jc w:val="both"/>
        <w:rPr>
          <w:rFonts w:ascii="Palatino Linotype" w:eastAsia="Palatino Linotype" w:hAnsi="Palatino Linotype" w:cs="Palatino Linotype"/>
          <w:color w:val="000000" w:themeColor="text1"/>
        </w:rPr>
      </w:pPr>
    </w:p>
    <w:p w14:paraId="13DA26B7" w14:textId="77777777" w:rsidR="00570610" w:rsidRPr="007D4C61" w:rsidRDefault="00E91F61" w:rsidP="00664A7E">
      <w:pPr>
        <w:pStyle w:val="Ttulo1"/>
        <w:spacing w:before="0" w:after="240" w:line="360" w:lineRule="auto"/>
        <w:rPr>
          <w:rFonts w:ascii="Palatino Linotype" w:eastAsia="Palatino Linotype" w:hAnsi="Palatino Linotype" w:cs="Palatino Linotype"/>
          <w:b/>
          <w:color w:val="000000" w:themeColor="text1"/>
          <w:sz w:val="24"/>
          <w:szCs w:val="24"/>
        </w:rPr>
      </w:pPr>
      <w:bookmarkStart w:id="14" w:name="_heading=h.2s8eyo1" w:colFirst="0" w:colLast="0"/>
      <w:bookmarkEnd w:id="14"/>
      <w:r w:rsidRPr="007D4C61">
        <w:rPr>
          <w:rFonts w:ascii="Palatino Linotype" w:eastAsia="Palatino Linotype" w:hAnsi="Palatino Linotype" w:cs="Palatino Linotype"/>
          <w:b/>
          <w:color w:val="000000" w:themeColor="text1"/>
          <w:sz w:val="24"/>
          <w:szCs w:val="24"/>
        </w:rPr>
        <w:t>II. De la información solicitada y la respuesta del SUJETO OBLIGADO</w:t>
      </w:r>
    </w:p>
    <w:p w14:paraId="330BE3FE" w14:textId="573CD198"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7D4C61">
        <w:rPr>
          <w:rFonts w:ascii="Palatino Linotype" w:eastAsia="Palatino Linotype" w:hAnsi="Palatino Linotype" w:cs="Palatino Linotype"/>
          <w:color w:val="000000" w:themeColor="text1"/>
        </w:rPr>
        <w:t xml:space="preserve">En ese sentido, es importante realizar la siguiente tabla de </w:t>
      </w:r>
      <w:r w:rsidR="009273DC" w:rsidRPr="007D4C61">
        <w:rPr>
          <w:rFonts w:ascii="Palatino Linotype" w:eastAsia="Palatino Linotype" w:hAnsi="Palatino Linotype" w:cs="Palatino Linotype"/>
          <w:color w:val="000000" w:themeColor="text1"/>
        </w:rPr>
        <w:t>análisis</w:t>
      </w:r>
      <w:r w:rsidRPr="007D4C61">
        <w:rPr>
          <w:rFonts w:ascii="Palatino Linotype" w:eastAsia="Palatino Linotype" w:hAnsi="Palatino Linotype" w:cs="Palatino Linotype"/>
          <w:color w:val="000000" w:themeColor="text1"/>
        </w:rPr>
        <w:t xml:space="preserve"> para establecer si con la respuesta fue colmado el derecho de acceso a la información del </w:t>
      </w:r>
      <w:r w:rsidRPr="007D4C61">
        <w:rPr>
          <w:rFonts w:ascii="Palatino Linotype" w:eastAsia="Palatino Linotype" w:hAnsi="Palatino Linotype" w:cs="Palatino Linotype"/>
          <w:b/>
          <w:color w:val="000000" w:themeColor="text1"/>
        </w:rPr>
        <w:t xml:space="preserve">RECURRENTE. </w:t>
      </w:r>
    </w:p>
    <w:p w14:paraId="6A3652E0" w14:textId="77777777" w:rsidR="00570610" w:rsidRPr="007D4C61" w:rsidRDefault="00570610" w:rsidP="00664A7E">
      <w:pPr>
        <w:pBdr>
          <w:top w:val="nil"/>
          <w:left w:val="nil"/>
          <w:bottom w:val="nil"/>
          <w:right w:val="nil"/>
          <w:between w:val="nil"/>
        </w:pBdr>
        <w:rPr>
          <w:rFonts w:ascii="Palatino Linotype" w:hAnsi="Palatino Linotype"/>
          <w:color w:val="000000" w:themeColor="text1"/>
        </w:rPr>
      </w:pPr>
    </w:p>
    <w:tbl>
      <w:tblPr>
        <w:tblStyle w:val="a"/>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1959"/>
        <w:gridCol w:w="2778"/>
        <w:gridCol w:w="1500"/>
      </w:tblGrid>
      <w:tr w:rsidR="001E2F15" w:rsidRPr="007D4C61" w14:paraId="43D580A1" w14:textId="77777777">
        <w:tc>
          <w:tcPr>
            <w:tcW w:w="2972" w:type="dxa"/>
          </w:tcPr>
          <w:p w14:paraId="41163FC7" w14:textId="77777777" w:rsidR="00570610" w:rsidRPr="007D4C61" w:rsidRDefault="00E91F61" w:rsidP="00664A7E">
            <w:pPr>
              <w:jc w:val="both"/>
              <w:rPr>
                <w:rFonts w:ascii="Palatino Linotype" w:eastAsia="Palatino Linotype" w:hAnsi="Palatino Linotype" w:cs="Palatino Linotype"/>
                <w:b/>
                <w:i/>
                <w:color w:val="000000" w:themeColor="text1"/>
              </w:rPr>
            </w:pPr>
            <w:r w:rsidRPr="007D4C61">
              <w:rPr>
                <w:rFonts w:ascii="Palatino Linotype" w:eastAsia="Palatino Linotype" w:hAnsi="Palatino Linotype" w:cs="Palatino Linotype"/>
                <w:b/>
                <w:i/>
                <w:color w:val="000000" w:themeColor="text1"/>
              </w:rPr>
              <w:t>Información solicitada</w:t>
            </w:r>
          </w:p>
        </w:tc>
        <w:tc>
          <w:tcPr>
            <w:tcW w:w="1959" w:type="dxa"/>
          </w:tcPr>
          <w:p w14:paraId="0D999E6C" w14:textId="77777777" w:rsidR="00570610" w:rsidRPr="007D4C61" w:rsidRDefault="00E91F61" w:rsidP="00664A7E">
            <w:pPr>
              <w:jc w:val="both"/>
              <w:rPr>
                <w:rFonts w:ascii="Palatino Linotype" w:eastAsia="Palatino Linotype" w:hAnsi="Palatino Linotype" w:cs="Palatino Linotype"/>
                <w:b/>
                <w:i/>
                <w:color w:val="000000" w:themeColor="text1"/>
              </w:rPr>
            </w:pPr>
            <w:r w:rsidRPr="007D4C61">
              <w:rPr>
                <w:rFonts w:ascii="Palatino Linotype" w:eastAsia="Palatino Linotype" w:hAnsi="Palatino Linotype" w:cs="Palatino Linotype"/>
                <w:b/>
                <w:i/>
                <w:color w:val="000000" w:themeColor="text1"/>
              </w:rPr>
              <w:t>Respuesta inicial</w:t>
            </w:r>
          </w:p>
        </w:tc>
        <w:tc>
          <w:tcPr>
            <w:tcW w:w="2778" w:type="dxa"/>
          </w:tcPr>
          <w:p w14:paraId="595F42A4" w14:textId="77777777" w:rsidR="00570610" w:rsidRPr="007D4C61" w:rsidRDefault="00E91F61" w:rsidP="00664A7E">
            <w:pPr>
              <w:jc w:val="both"/>
              <w:rPr>
                <w:rFonts w:ascii="Palatino Linotype" w:eastAsia="Palatino Linotype" w:hAnsi="Palatino Linotype" w:cs="Palatino Linotype"/>
                <w:b/>
                <w:i/>
                <w:color w:val="000000" w:themeColor="text1"/>
              </w:rPr>
            </w:pPr>
            <w:r w:rsidRPr="007D4C61">
              <w:rPr>
                <w:rFonts w:ascii="Palatino Linotype" w:eastAsia="Palatino Linotype" w:hAnsi="Palatino Linotype" w:cs="Palatino Linotype"/>
                <w:b/>
                <w:i/>
                <w:color w:val="000000" w:themeColor="text1"/>
              </w:rPr>
              <w:t>Informe justificado</w:t>
            </w:r>
          </w:p>
        </w:tc>
        <w:tc>
          <w:tcPr>
            <w:tcW w:w="1500" w:type="dxa"/>
          </w:tcPr>
          <w:p w14:paraId="368C6A44" w14:textId="77777777" w:rsidR="00570610" w:rsidRPr="007D4C61" w:rsidRDefault="00E91F61" w:rsidP="00664A7E">
            <w:pPr>
              <w:jc w:val="both"/>
              <w:rPr>
                <w:rFonts w:ascii="Palatino Linotype" w:eastAsia="Palatino Linotype" w:hAnsi="Palatino Linotype" w:cs="Palatino Linotype"/>
                <w:b/>
                <w:i/>
                <w:color w:val="000000" w:themeColor="text1"/>
              </w:rPr>
            </w:pPr>
            <w:r w:rsidRPr="007D4C61">
              <w:rPr>
                <w:rFonts w:ascii="Palatino Linotype" w:eastAsia="Palatino Linotype" w:hAnsi="Palatino Linotype" w:cs="Palatino Linotype"/>
                <w:b/>
                <w:i/>
                <w:color w:val="000000" w:themeColor="text1"/>
              </w:rPr>
              <w:t xml:space="preserve">Colma </w:t>
            </w:r>
          </w:p>
        </w:tc>
      </w:tr>
      <w:tr w:rsidR="00570610" w:rsidRPr="007D4C61" w14:paraId="7064F2B7" w14:textId="77777777">
        <w:tc>
          <w:tcPr>
            <w:tcW w:w="2972" w:type="dxa"/>
          </w:tcPr>
          <w:p w14:paraId="70B476BA" w14:textId="77777777" w:rsidR="00570610" w:rsidRPr="007D4C61" w:rsidRDefault="00E91F61" w:rsidP="00664A7E">
            <w:pP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 xml:space="preserve">Resultados y documentos que muestren quienes asistieron a la evaluación de control y confianza del </w:t>
            </w:r>
            <w:r w:rsidRPr="007D4C61">
              <w:rPr>
                <w:rFonts w:ascii="Palatino Linotype" w:eastAsia="Palatino Linotype" w:hAnsi="Palatino Linotype" w:cs="Palatino Linotype"/>
                <w:i/>
                <w:color w:val="000000" w:themeColor="text1"/>
              </w:rPr>
              <w:lastRenderedPageBreak/>
              <w:t>Presidente Municipal,  el Director General de Seguridad,  mandos medios y policías con su fecha de presentación.</w:t>
            </w:r>
          </w:p>
          <w:p w14:paraId="563BC065" w14:textId="77777777" w:rsidR="00570610" w:rsidRPr="007D4C61" w:rsidRDefault="00570610" w:rsidP="00664A7E">
            <w:pPr>
              <w:jc w:val="both"/>
              <w:rPr>
                <w:rFonts w:ascii="Palatino Linotype" w:eastAsia="Palatino Linotype" w:hAnsi="Palatino Linotype" w:cs="Palatino Linotype"/>
                <w:i/>
                <w:color w:val="000000" w:themeColor="text1"/>
              </w:rPr>
            </w:pPr>
          </w:p>
        </w:tc>
        <w:tc>
          <w:tcPr>
            <w:tcW w:w="1959" w:type="dxa"/>
          </w:tcPr>
          <w:p w14:paraId="4D50C239" w14:textId="1018F176" w:rsidR="00570610" w:rsidRPr="007D4C61" w:rsidRDefault="00E91F61" w:rsidP="00664A7E">
            <w:pP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b/>
                <w:i/>
                <w:color w:val="000000" w:themeColor="text1"/>
              </w:rPr>
              <w:lastRenderedPageBreak/>
              <w:t>R. 01144_25.pdf:</w:t>
            </w:r>
            <w:r w:rsidRPr="007D4C61">
              <w:rPr>
                <w:rFonts w:ascii="Palatino Linotype" w:eastAsia="Palatino Linotype" w:hAnsi="Palatino Linotype" w:cs="Palatino Linotype"/>
                <w:i/>
                <w:color w:val="000000" w:themeColor="text1"/>
              </w:rPr>
              <w:t xml:space="preserve"> oficio del Titular de la </w:t>
            </w:r>
            <w:r w:rsidR="009273DC" w:rsidRPr="007D4C61">
              <w:rPr>
                <w:rFonts w:ascii="Palatino Linotype" w:eastAsia="Palatino Linotype" w:hAnsi="Palatino Linotype" w:cs="Palatino Linotype"/>
                <w:i/>
                <w:color w:val="000000" w:themeColor="text1"/>
              </w:rPr>
              <w:t xml:space="preserve">Unidad </w:t>
            </w:r>
            <w:r w:rsidRPr="007D4C61">
              <w:rPr>
                <w:rFonts w:ascii="Palatino Linotype" w:eastAsia="Palatino Linotype" w:hAnsi="Palatino Linotype" w:cs="Palatino Linotype"/>
                <w:i/>
                <w:color w:val="000000" w:themeColor="text1"/>
              </w:rPr>
              <w:t xml:space="preserve">de Transparencia, </w:t>
            </w:r>
            <w:r w:rsidRPr="007D4C61">
              <w:rPr>
                <w:rFonts w:ascii="Palatino Linotype" w:eastAsia="Palatino Linotype" w:hAnsi="Palatino Linotype" w:cs="Palatino Linotype"/>
                <w:i/>
                <w:color w:val="000000" w:themeColor="text1"/>
              </w:rPr>
              <w:lastRenderedPageBreak/>
              <w:t xml:space="preserve">mediante el cual informa que el Director General de Seguridad y Protección, refiere que se encuentra en proceso administrativo para presentar los exámenes de Control de Confianza. </w:t>
            </w:r>
          </w:p>
          <w:p w14:paraId="2E37F540" w14:textId="77777777" w:rsidR="00570610" w:rsidRPr="007D4C61" w:rsidRDefault="00E91F61" w:rsidP="00664A7E">
            <w:pP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 xml:space="preserve">Seguidamente se informa que la Unidad de Asuntos Internos, informa no ser el área competente. </w:t>
            </w:r>
          </w:p>
          <w:p w14:paraId="33C86B59" w14:textId="77777777" w:rsidR="00570610" w:rsidRPr="007D4C61" w:rsidRDefault="00570610" w:rsidP="00664A7E">
            <w:pPr>
              <w:jc w:val="both"/>
              <w:rPr>
                <w:rFonts w:ascii="Palatino Linotype" w:eastAsia="Palatino Linotype" w:hAnsi="Palatino Linotype" w:cs="Palatino Linotype"/>
                <w:i/>
                <w:color w:val="000000" w:themeColor="text1"/>
              </w:rPr>
            </w:pPr>
          </w:p>
        </w:tc>
        <w:tc>
          <w:tcPr>
            <w:tcW w:w="2778" w:type="dxa"/>
          </w:tcPr>
          <w:p w14:paraId="2ACAF9AB" w14:textId="77777777" w:rsidR="00570610" w:rsidRPr="007D4C61" w:rsidRDefault="00E91F61" w:rsidP="00664A7E">
            <w:pP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lastRenderedPageBreak/>
              <w:t xml:space="preserve">Ratifica su respuesta inicial </w:t>
            </w:r>
          </w:p>
          <w:p w14:paraId="47D8E1C6" w14:textId="77777777" w:rsidR="00570610" w:rsidRPr="007D4C61" w:rsidRDefault="00570610" w:rsidP="00664A7E">
            <w:pPr>
              <w:rPr>
                <w:rFonts w:ascii="Palatino Linotype" w:hAnsi="Palatino Linotype"/>
                <w:color w:val="000000" w:themeColor="text1"/>
              </w:rPr>
            </w:pPr>
          </w:p>
          <w:p w14:paraId="665A3BCC" w14:textId="77777777" w:rsidR="00570610" w:rsidRPr="007D4C61" w:rsidRDefault="00570610" w:rsidP="00664A7E">
            <w:pPr>
              <w:jc w:val="both"/>
              <w:rPr>
                <w:rFonts w:ascii="Palatino Linotype" w:eastAsia="Palatino Linotype" w:hAnsi="Palatino Linotype" w:cs="Palatino Linotype"/>
                <w:i/>
                <w:color w:val="000000" w:themeColor="text1"/>
              </w:rPr>
            </w:pPr>
          </w:p>
        </w:tc>
        <w:tc>
          <w:tcPr>
            <w:tcW w:w="1500" w:type="dxa"/>
          </w:tcPr>
          <w:p w14:paraId="2EB4FD44" w14:textId="77777777" w:rsidR="00570610" w:rsidRPr="007D4C61" w:rsidRDefault="00E91F61" w:rsidP="00664A7E">
            <w:pP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 xml:space="preserve">No colma, toda vez que presentar los exámenes de </w:t>
            </w:r>
            <w:r w:rsidRPr="007D4C61">
              <w:rPr>
                <w:rFonts w:ascii="Palatino Linotype" w:eastAsia="Palatino Linotype" w:hAnsi="Palatino Linotype" w:cs="Palatino Linotype"/>
                <w:i/>
                <w:color w:val="000000" w:themeColor="text1"/>
              </w:rPr>
              <w:lastRenderedPageBreak/>
              <w:t xml:space="preserve">control de confianza para elementos policiales, mandos medios y del Director de seguridad es un requisito para ingresar al cargo, además de que para permanecer en el cargo se tiene que presentar el examen, mismo que tiene la validez de un año. </w:t>
            </w:r>
          </w:p>
        </w:tc>
      </w:tr>
    </w:tbl>
    <w:p w14:paraId="6BC04E97" w14:textId="77777777" w:rsidR="00570610" w:rsidRPr="007D4C61" w:rsidRDefault="00570610" w:rsidP="00664A7E">
      <w:pPr>
        <w:spacing w:line="360" w:lineRule="auto"/>
        <w:jc w:val="both"/>
        <w:rPr>
          <w:rFonts w:ascii="Palatino Linotype" w:hAnsi="Palatino Linotype"/>
          <w:color w:val="000000" w:themeColor="text1"/>
        </w:rPr>
      </w:pPr>
    </w:p>
    <w:p w14:paraId="4B93D74A"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 xml:space="preserve">Del cuadro de análisis, se determina que el </w:t>
      </w:r>
      <w:r w:rsidRPr="007D4C61">
        <w:rPr>
          <w:rFonts w:ascii="Palatino Linotype" w:eastAsia="Palatino Linotype" w:hAnsi="Palatino Linotype" w:cs="Palatino Linotype"/>
          <w:b/>
          <w:color w:val="000000" w:themeColor="text1"/>
        </w:rPr>
        <w:t xml:space="preserve">SUJETO OBLIGADO </w:t>
      </w:r>
      <w:r w:rsidRPr="007D4C61">
        <w:rPr>
          <w:rFonts w:ascii="Palatino Linotype" w:eastAsia="Palatino Linotype" w:hAnsi="Palatino Linotype" w:cs="Palatino Linotype"/>
          <w:color w:val="000000" w:themeColor="text1"/>
        </w:rPr>
        <w:t xml:space="preserve">no colmo el derecho de acceso a la información del </w:t>
      </w:r>
      <w:r w:rsidRPr="007D4C61">
        <w:rPr>
          <w:rFonts w:ascii="Palatino Linotype" w:eastAsia="Palatino Linotype" w:hAnsi="Palatino Linotype" w:cs="Palatino Linotype"/>
          <w:b/>
          <w:color w:val="000000" w:themeColor="text1"/>
        </w:rPr>
        <w:t xml:space="preserve">RECURRENTE, </w:t>
      </w:r>
      <w:r w:rsidRPr="007D4C61">
        <w:rPr>
          <w:rFonts w:ascii="Palatino Linotype" w:eastAsia="Palatino Linotype" w:hAnsi="Palatino Linotype" w:cs="Palatino Linotype"/>
          <w:color w:val="000000" w:themeColor="text1"/>
        </w:rPr>
        <w:t xml:space="preserve">toda vez que la información solicitada forma parte de los requisitos para desempeñarse como servidores públicos en las instituciones públicas de seguridad, ya sea por ingreso, reingreso o permanencia. </w:t>
      </w:r>
    </w:p>
    <w:p w14:paraId="01B70309" w14:textId="77777777" w:rsidR="00570610" w:rsidRPr="007D4C61" w:rsidRDefault="00570610" w:rsidP="00664A7E">
      <w:pPr>
        <w:spacing w:line="360" w:lineRule="auto"/>
        <w:jc w:val="both"/>
        <w:rPr>
          <w:rFonts w:ascii="Palatino Linotype" w:eastAsia="Palatino Linotype" w:hAnsi="Palatino Linotype" w:cs="Palatino Linotype"/>
          <w:color w:val="000000" w:themeColor="text1"/>
        </w:rPr>
      </w:pPr>
    </w:p>
    <w:p w14:paraId="64FC18E1"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 xml:space="preserve">De lo anterior, como primer punto se debe de analizar si el </w:t>
      </w:r>
      <w:r w:rsidRPr="007D4C61">
        <w:rPr>
          <w:rFonts w:ascii="Palatino Linotype" w:eastAsia="Palatino Linotype" w:hAnsi="Palatino Linotype" w:cs="Palatino Linotype"/>
          <w:b/>
          <w:color w:val="000000" w:themeColor="text1"/>
        </w:rPr>
        <w:t xml:space="preserve">SUJETO OBLIGADO </w:t>
      </w:r>
      <w:r w:rsidRPr="007D4C61">
        <w:rPr>
          <w:rFonts w:ascii="Palatino Linotype" w:eastAsia="Palatino Linotype" w:hAnsi="Palatino Linotype" w:cs="Palatino Linotype"/>
          <w:color w:val="000000" w:themeColor="text1"/>
        </w:rPr>
        <w:t xml:space="preserve">turno la solicitud de información al área habilitada. </w:t>
      </w:r>
    </w:p>
    <w:p w14:paraId="36CFBDB2"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lastRenderedPageBreak/>
        <w:t xml:space="preserve">En esa línea, el artículo 90 del Bando Municipal del Ayuntamiento de Toluca, regula que la estructura orgánica municipal es la siguiente. </w:t>
      </w:r>
    </w:p>
    <w:p w14:paraId="41465690" w14:textId="77777777" w:rsidR="00570610" w:rsidRPr="007D4C61" w:rsidRDefault="00E91F61" w:rsidP="00664A7E">
      <w:pPr>
        <w:pBdr>
          <w:top w:val="nil"/>
          <w:left w:val="nil"/>
          <w:bottom w:val="nil"/>
          <w:right w:val="nil"/>
          <w:between w:val="nil"/>
        </w:pBdr>
        <w:jc w:val="both"/>
        <w:rPr>
          <w:rFonts w:ascii="Palatino Linotype" w:hAnsi="Palatino Linotype"/>
          <w:i/>
          <w:color w:val="000000" w:themeColor="text1"/>
        </w:rPr>
      </w:pPr>
      <w:r w:rsidRPr="007D4C61">
        <w:rPr>
          <w:rFonts w:ascii="Palatino Linotype" w:eastAsia="Palatino Linotype" w:hAnsi="Palatino Linotype" w:cs="Palatino Linotype"/>
          <w:i/>
          <w:color w:val="000000" w:themeColor="text1"/>
        </w:rPr>
        <w:t>Artículo 90. 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w:t>
      </w:r>
      <w:r w:rsidRPr="007D4C61">
        <w:rPr>
          <w:rFonts w:ascii="Palatino Linotype" w:hAnsi="Palatino Linotype"/>
          <w:i/>
          <w:color w:val="000000" w:themeColor="text1"/>
        </w:rPr>
        <w:t xml:space="preserve"> </w:t>
      </w:r>
    </w:p>
    <w:p w14:paraId="427399A5"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 xml:space="preserve">I. DEPENDENCIAS: </w:t>
      </w:r>
    </w:p>
    <w:p w14:paraId="67DA25C8"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 xml:space="preserve">1.Secretaría del Ayuntamiento; </w:t>
      </w:r>
    </w:p>
    <w:p w14:paraId="36E85781"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 xml:space="preserve">2.Tesorería Municipal; </w:t>
      </w:r>
    </w:p>
    <w:p w14:paraId="0A71AE48"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 xml:space="preserve">3.Órgano Interno de Control; </w:t>
      </w:r>
    </w:p>
    <w:p w14:paraId="4637BF65"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 xml:space="preserve">4.Dirección General de Gobierno; </w:t>
      </w:r>
    </w:p>
    <w:p w14:paraId="63B66B38"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b/>
          <w:i/>
          <w:color w:val="000000" w:themeColor="text1"/>
        </w:rPr>
      </w:pPr>
      <w:r w:rsidRPr="007D4C61">
        <w:rPr>
          <w:rFonts w:ascii="Palatino Linotype" w:eastAsia="Palatino Linotype" w:hAnsi="Palatino Linotype" w:cs="Palatino Linotype"/>
          <w:i/>
          <w:color w:val="000000" w:themeColor="text1"/>
        </w:rPr>
        <w:t>5.</w:t>
      </w:r>
      <w:r w:rsidRPr="007D4C61">
        <w:rPr>
          <w:rFonts w:ascii="Palatino Linotype" w:eastAsia="Palatino Linotype" w:hAnsi="Palatino Linotype" w:cs="Palatino Linotype"/>
          <w:b/>
          <w:i/>
          <w:color w:val="000000" w:themeColor="text1"/>
        </w:rPr>
        <w:t xml:space="preserve">Dirección General de Seguridad y Protección; </w:t>
      </w:r>
    </w:p>
    <w:p w14:paraId="683C21E7"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 xml:space="preserve">6.Dirección General de Administración; </w:t>
      </w:r>
    </w:p>
    <w:p w14:paraId="65ED7D99"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 xml:space="preserve">7.Dirección General de Medio Ambiente; </w:t>
      </w:r>
    </w:p>
    <w:p w14:paraId="62F838E3"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 xml:space="preserve">8.Dirección General de Servicios Públicos; </w:t>
      </w:r>
    </w:p>
    <w:p w14:paraId="67AB424A"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 xml:space="preserve">9.Dirección General de Innovación, Planeación y Gestión Urbana; 10.Dirección General de Obras Públicas; </w:t>
      </w:r>
    </w:p>
    <w:p w14:paraId="301B0B51"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 xml:space="preserve">11.Dirección General de Desarrollo Económico; </w:t>
      </w:r>
    </w:p>
    <w:p w14:paraId="188DF4A0"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 xml:space="preserve">12.Dirección General de Bienestar; y </w:t>
      </w:r>
    </w:p>
    <w:p w14:paraId="18EE5B92"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13.Dirección General de Educación, Cultura y Turismo.</w:t>
      </w:r>
    </w:p>
    <w:p w14:paraId="0B3BA16C" w14:textId="77777777" w:rsidR="00570610" w:rsidRPr="007D4C61" w:rsidRDefault="00570610" w:rsidP="00664A7E">
      <w:pPr>
        <w:pBdr>
          <w:top w:val="nil"/>
          <w:left w:val="nil"/>
          <w:bottom w:val="nil"/>
          <w:right w:val="nil"/>
          <w:between w:val="nil"/>
        </w:pBdr>
        <w:rPr>
          <w:rFonts w:ascii="Palatino Linotype" w:eastAsia="Palatino Linotype" w:hAnsi="Palatino Linotype" w:cs="Palatino Linotype"/>
          <w:color w:val="000000" w:themeColor="text1"/>
        </w:rPr>
      </w:pPr>
    </w:p>
    <w:p w14:paraId="56D18E2E" w14:textId="77777777" w:rsidR="00664A7E" w:rsidRPr="007D4C61" w:rsidRDefault="00664A7E" w:rsidP="00664A7E">
      <w:pPr>
        <w:pBdr>
          <w:top w:val="nil"/>
          <w:left w:val="nil"/>
          <w:bottom w:val="nil"/>
          <w:right w:val="nil"/>
          <w:between w:val="nil"/>
        </w:pBdr>
        <w:rPr>
          <w:rFonts w:ascii="Palatino Linotype" w:eastAsia="Palatino Linotype" w:hAnsi="Palatino Linotype" w:cs="Palatino Linotype"/>
          <w:color w:val="000000" w:themeColor="text1"/>
        </w:rPr>
      </w:pPr>
    </w:p>
    <w:p w14:paraId="09AC5440"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 xml:space="preserve">Del artículo citado, se desprende que el Ayuntamiento de Toluca, dentro de su estructura orgánica cuenta con la Dirección General de Seguridad y Protección, quien de acuerdo con el Manual General de Organización del </w:t>
      </w:r>
      <w:r w:rsidRPr="007D4C61">
        <w:rPr>
          <w:rFonts w:ascii="Palatino Linotype" w:eastAsia="Palatino Linotype" w:hAnsi="Palatino Linotype" w:cs="Palatino Linotype"/>
          <w:b/>
          <w:color w:val="000000" w:themeColor="text1"/>
        </w:rPr>
        <w:t xml:space="preserve">SUJETO OBLIGADO, </w:t>
      </w:r>
      <w:r w:rsidRPr="007D4C61">
        <w:rPr>
          <w:rFonts w:ascii="Palatino Linotype" w:eastAsia="Palatino Linotype" w:hAnsi="Palatino Linotype" w:cs="Palatino Linotype"/>
          <w:color w:val="000000" w:themeColor="text1"/>
        </w:rPr>
        <w:t xml:space="preserve">tiene las siguientes funciones. </w:t>
      </w:r>
    </w:p>
    <w:p w14:paraId="3328CE94"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color w:val="000000" w:themeColor="text1"/>
        </w:rPr>
        <w:t xml:space="preserve"> </w:t>
      </w:r>
      <w:r w:rsidRPr="007D4C61">
        <w:rPr>
          <w:rFonts w:ascii="Palatino Linotype" w:eastAsia="Palatino Linotype" w:hAnsi="Palatino Linotype" w:cs="Palatino Linotype"/>
          <w:i/>
          <w:color w:val="000000" w:themeColor="text1"/>
        </w:rPr>
        <w:t xml:space="preserve">205010000 Dirección General de Seguridad y Protección </w:t>
      </w:r>
    </w:p>
    <w:p w14:paraId="3F89C780"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Objetivo</w:t>
      </w:r>
    </w:p>
    <w:p w14:paraId="23B75B22"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 xml:space="preserve">Planear, organizar, implementar, medir y controlar los servicios de seguridad pública, vial, de protección civil y urgencias, promoviendo la participación social, su transversalidad, la equidad de género y la justicia cívica, con la finalidad de preservar el orden y la paz social, así como </w:t>
      </w:r>
      <w:r w:rsidRPr="007D4C61">
        <w:rPr>
          <w:rFonts w:ascii="Palatino Linotype" w:eastAsia="Palatino Linotype" w:hAnsi="Palatino Linotype" w:cs="Palatino Linotype"/>
          <w:i/>
          <w:color w:val="000000" w:themeColor="text1"/>
        </w:rPr>
        <w:lastRenderedPageBreak/>
        <w:t xml:space="preserve">promover la denuncia ciudadana, observando las garantías constitucionales y la normatividad vigente. </w:t>
      </w:r>
    </w:p>
    <w:p w14:paraId="4C2FF4D4"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 xml:space="preserve">Funciones: </w:t>
      </w:r>
    </w:p>
    <w:p w14:paraId="66D03BCF"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 xml:space="preserve">1. Coordinar y vigilar proyectos, programas y acciones de seguridad pública y vial, para salvaguardar la integridad física y el patrimonio de las personas en el territorio municipal, así como propiciar condiciones que les permitan una mejor movilidad y desplazamiento; </w:t>
      </w:r>
    </w:p>
    <w:p w14:paraId="5D936963"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 xml:space="preserve">2. Planear y proponer programas de seguridad pública y vialidad con las tres instancias de gobierno, para la reciprocidad de información y ejecución de acciones, y así mejorar estos servicios; </w:t>
      </w:r>
    </w:p>
    <w:p w14:paraId="7B3ED819"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 xml:space="preserve">3. Coordinar y vigilar al personal encargado, del funcionamiento del sistema de emergencias a través del número 911, video vigilancia y aplicativos para telefonía; </w:t>
      </w:r>
    </w:p>
    <w:p w14:paraId="34F52ED2"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 xml:space="preserve">4. Coadyuvar con las instituciones correspondientes, mediante la entrega de información para las bases de datos relacionadas con los índices que se encuentran en las diferentes plataformas federales y estatales, a efecto de generar los reportes y estadística correspondiente; </w:t>
      </w:r>
    </w:p>
    <w:p w14:paraId="3D11EBF5"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 xml:space="preserve">5. Diseñar, coordinar y vigilar que se brinde la educación vial a la comunidad estudiantil y a los diferentes sectores sociales que lo soliciten; </w:t>
      </w:r>
    </w:p>
    <w:p w14:paraId="7395DC49"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b/>
          <w:i/>
          <w:color w:val="000000" w:themeColor="text1"/>
        </w:rPr>
      </w:pPr>
      <w:r w:rsidRPr="007D4C61">
        <w:rPr>
          <w:rFonts w:ascii="Palatino Linotype" w:eastAsia="Palatino Linotype" w:hAnsi="Palatino Linotype" w:cs="Palatino Linotype"/>
          <w:b/>
          <w:i/>
          <w:color w:val="000000" w:themeColor="text1"/>
        </w:rPr>
        <w:t xml:space="preserve">6. Diseñar, implementar y vigilar el calendario de las evaluaciones de control de confianza, así como las requeridas para el ingreso, permanencia y obtención del Certificado Único Policial del personal; </w:t>
      </w:r>
    </w:p>
    <w:p w14:paraId="5730C4E5"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 xml:space="preserve">7. Diseñar, proponer e implementar los trabajos de la formación continua, así como de capacitación especializada para el personal operativo y de mandos medios y superiores, conforme a la normatividad aplicable en la materia; </w:t>
      </w:r>
    </w:p>
    <w:p w14:paraId="04FE6015"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 xml:space="preserve">8. Formar parte de las Comisiones de Honor y Justicia y del Servicio Profesional de Carrera Policial, así como atender las responsabilidades inherentes; </w:t>
      </w:r>
    </w:p>
    <w:p w14:paraId="2DB8C5C5"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 xml:space="preserve">9. Coadyuvar en el procedimiento jurídico administrativo correspondiente para la separación del cargo del personal operativo por faltas a la normatividad aplicable; </w:t>
      </w:r>
    </w:p>
    <w:p w14:paraId="2487DCA0"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 xml:space="preserve">10. Instruir a que los trabajos de seguridad sean enfocados al Modelo Homologado de Justicia Cívica y a la normatividad aplicable; </w:t>
      </w:r>
    </w:p>
    <w:p w14:paraId="0B27B999" w14:textId="77777777" w:rsidR="00570610" w:rsidRPr="007D4C61" w:rsidRDefault="00E91F61" w:rsidP="00664A7E">
      <w:pPr>
        <w:pBdr>
          <w:top w:val="nil"/>
          <w:left w:val="nil"/>
          <w:bottom w:val="nil"/>
          <w:right w:val="nil"/>
          <w:between w:val="nil"/>
        </w:pBdr>
        <w:jc w:val="both"/>
        <w:rPr>
          <w:rFonts w:ascii="Palatino Linotype" w:hAnsi="Palatino Linotype"/>
          <w:i/>
          <w:color w:val="000000" w:themeColor="text1"/>
        </w:rPr>
      </w:pPr>
      <w:r w:rsidRPr="007D4C61">
        <w:rPr>
          <w:rFonts w:ascii="Palatino Linotype" w:eastAsia="Palatino Linotype" w:hAnsi="Palatino Linotype" w:cs="Palatino Linotype"/>
          <w:i/>
          <w:color w:val="000000" w:themeColor="text1"/>
        </w:rPr>
        <w:t>11. Establecer acciones y programas para sensibilizar y capacitar a las y los servidores públicos, así como a la sociedad civil en el tema de discriminación, equidad de género y acciones de proximidad;</w:t>
      </w:r>
      <w:r w:rsidRPr="007D4C61">
        <w:rPr>
          <w:rFonts w:ascii="Palatino Linotype" w:hAnsi="Palatino Linotype"/>
          <w:i/>
          <w:color w:val="000000" w:themeColor="text1"/>
        </w:rPr>
        <w:t xml:space="preserve"> </w:t>
      </w:r>
    </w:p>
    <w:p w14:paraId="0E07E366"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 xml:space="preserve">12. Diseñar, desarrollar y promover proyectos de seguridad, de vialidad y acciones de proximidad con la participación ciudadana, incluyendo a los diferentes sectores que integran la sociedad y con las autoridades auxiliares del Municipio de Toluca; </w:t>
      </w:r>
    </w:p>
    <w:p w14:paraId="5FAB7819"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lastRenderedPageBreak/>
        <w:t xml:space="preserve">13. Supervisar, coordinar y dirigir los trabajos del servicio operativo para que se brinden conforme a la normatividad aplicable a las personas con discapacidad y en apego a sus derechos fundamentales; </w:t>
      </w:r>
    </w:p>
    <w:p w14:paraId="502B5230"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 xml:space="preserve">14. Incorporar la equidad de género como eje transversal en las actividades de todas las áreas que integran a la Dirección General de Seguridad y Protección; 15. Supervisar que los servicios al público de sustentabilidad vial, cumplan con la normatividad y buena atención a la ciudadanía; </w:t>
      </w:r>
    </w:p>
    <w:p w14:paraId="28FCE5FD"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 xml:space="preserve">16. Organizar, coordinar y vigilar que se realice el Programa Municipal de Seguridad Pública; </w:t>
      </w:r>
    </w:p>
    <w:p w14:paraId="090FD9A1"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 xml:space="preserve">17. Supervisar y coordinar la integración, instrumentación, desarrollo y ejecución de los programas y acciones en materia de protección civil y bomberos tendientes a salvaguardar la integridad fisca de las personas, sus bienes y el entorno; </w:t>
      </w:r>
    </w:p>
    <w:p w14:paraId="401CAA3D"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 xml:space="preserve">18. Analizar y determinar en el ámbito de su competencia, la resolución de las quejas relacionadas con los diferentes factores que afectan la operación de las vialidades; y </w:t>
      </w:r>
    </w:p>
    <w:p w14:paraId="26BBBB35"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19. Realizar todas aquellas actividades que sean inherentes y aplicables al área de su competencia y las demás que le sean encomendadas por instrucción de la o el C. Presidente Municipal.</w:t>
      </w:r>
    </w:p>
    <w:p w14:paraId="0B0999F4" w14:textId="77777777" w:rsidR="00570610" w:rsidRDefault="00570610" w:rsidP="00664A7E">
      <w:pPr>
        <w:pBdr>
          <w:top w:val="nil"/>
          <w:left w:val="nil"/>
          <w:bottom w:val="nil"/>
          <w:right w:val="nil"/>
          <w:between w:val="nil"/>
        </w:pBdr>
        <w:jc w:val="both"/>
        <w:rPr>
          <w:rFonts w:ascii="Palatino Linotype" w:eastAsia="Palatino Linotype" w:hAnsi="Palatino Linotype" w:cs="Palatino Linotype"/>
          <w:i/>
          <w:color w:val="000000" w:themeColor="text1"/>
        </w:rPr>
      </w:pPr>
    </w:p>
    <w:p w14:paraId="57D50578" w14:textId="77777777" w:rsidR="00242433" w:rsidRPr="007D4C61" w:rsidRDefault="00242433" w:rsidP="00664A7E">
      <w:pPr>
        <w:pBdr>
          <w:top w:val="nil"/>
          <w:left w:val="nil"/>
          <w:bottom w:val="nil"/>
          <w:right w:val="nil"/>
          <w:between w:val="nil"/>
        </w:pBdr>
        <w:jc w:val="both"/>
        <w:rPr>
          <w:rFonts w:ascii="Palatino Linotype" w:eastAsia="Palatino Linotype" w:hAnsi="Palatino Linotype" w:cs="Palatino Linotype"/>
          <w:i/>
          <w:color w:val="000000" w:themeColor="text1"/>
        </w:rPr>
      </w:pPr>
    </w:p>
    <w:p w14:paraId="0A63D3E0"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7D4C61">
        <w:rPr>
          <w:rFonts w:ascii="Palatino Linotype" w:eastAsia="Palatino Linotype" w:hAnsi="Palatino Linotype" w:cs="Palatino Linotype"/>
          <w:color w:val="000000" w:themeColor="text1"/>
        </w:rPr>
        <w:t xml:space="preserve">De las funciones establecidas en el Manual General de Organización del Ayuntamiento de Toluca, se tiene que la Dirección General de Seguridad y Protección, dentro de sus funciones tiene la de diseñar, implementar y vigilar el calendario de las evaluaciones de control de confianza, </w:t>
      </w:r>
      <w:r w:rsidRPr="007D4C61">
        <w:rPr>
          <w:rFonts w:ascii="Palatino Linotype" w:eastAsia="Palatino Linotype" w:hAnsi="Palatino Linotype" w:cs="Palatino Linotype"/>
          <w:b/>
          <w:color w:val="000000" w:themeColor="text1"/>
        </w:rPr>
        <w:t xml:space="preserve">así como las requeridas para el ingreso, permanencia y obtención del Certificado Único Policial del personal. </w:t>
      </w:r>
    </w:p>
    <w:p w14:paraId="384EAE77" w14:textId="77777777" w:rsidR="00E91F61" w:rsidRPr="007D4C61" w:rsidRDefault="00E91F61" w:rsidP="00664A7E">
      <w:pPr>
        <w:pStyle w:val="Prrafodelista"/>
        <w:ind w:left="0"/>
        <w:rPr>
          <w:rFonts w:ascii="Palatino Linotype" w:eastAsia="Palatino Linotype" w:hAnsi="Palatino Linotype" w:cs="Palatino Linotype"/>
          <w:color w:val="000000" w:themeColor="text1"/>
          <w:sz w:val="24"/>
          <w:szCs w:val="24"/>
        </w:rPr>
      </w:pPr>
    </w:p>
    <w:p w14:paraId="21A63716" w14:textId="6B9A50C3"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 xml:space="preserve">En esa línea se establece que el </w:t>
      </w:r>
      <w:r w:rsidRPr="007D4C61">
        <w:rPr>
          <w:rFonts w:ascii="Palatino Linotype" w:eastAsia="Palatino Linotype" w:hAnsi="Palatino Linotype" w:cs="Palatino Linotype"/>
          <w:b/>
          <w:color w:val="000000" w:themeColor="text1"/>
        </w:rPr>
        <w:t xml:space="preserve">SUJETO OBLIGADO </w:t>
      </w:r>
      <w:r w:rsidRPr="007D4C61">
        <w:rPr>
          <w:rFonts w:ascii="Palatino Linotype" w:eastAsia="Palatino Linotype" w:hAnsi="Palatino Linotype" w:cs="Palatino Linotype"/>
          <w:color w:val="000000" w:themeColor="text1"/>
        </w:rPr>
        <w:t xml:space="preserve">cuenta con el documento mediante el cual fueron aplicados los exámenes de control de confianza, por lo que, para colmar el derecho de acceso a la información pública del </w:t>
      </w:r>
      <w:r w:rsidRPr="007D4C61">
        <w:rPr>
          <w:rFonts w:ascii="Palatino Linotype" w:eastAsia="Palatino Linotype" w:hAnsi="Palatino Linotype" w:cs="Palatino Linotype"/>
          <w:b/>
          <w:color w:val="000000" w:themeColor="text1"/>
        </w:rPr>
        <w:t xml:space="preserve">RECURRENTE </w:t>
      </w:r>
      <w:r w:rsidRPr="007D4C61">
        <w:rPr>
          <w:rFonts w:ascii="Palatino Linotype" w:eastAsia="Palatino Linotype" w:hAnsi="Palatino Linotype" w:cs="Palatino Linotype"/>
          <w:color w:val="000000" w:themeColor="text1"/>
        </w:rPr>
        <w:t xml:space="preserve">se deberá de entregar dicho documento. </w:t>
      </w:r>
    </w:p>
    <w:p w14:paraId="61DD8AB0" w14:textId="77777777" w:rsidR="00E91F61" w:rsidRPr="007D4C61" w:rsidRDefault="00E91F61" w:rsidP="00664A7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4D6DA993" w14:textId="32E83731" w:rsidR="00E91F61"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 xml:space="preserve">Sirve de reforzamiento a lo anterior, lo regulado en el Capítulo Segundo de los Lineamientos Para la Evaluación, Programación y Reprogramación de las Evaluaciones </w:t>
      </w:r>
      <w:r w:rsidRPr="007D4C61">
        <w:rPr>
          <w:rFonts w:ascii="Palatino Linotype" w:eastAsia="Palatino Linotype" w:hAnsi="Palatino Linotype" w:cs="Palatino Linotype"/>
          <w:color w:val="000000" w:themeColor="text1"/>
        </w:rPr>
        <w:lastRenderedPageBreak/>
        <w:t>Realizadas por el Centro de Control de Confianza del Estado de México, en el cual se señala lo siguiente.</w:t>
      </w:r>
    </w:p>
    <w:p w14:paraId="119A272C" w14:textId="252BD6D3" w:rsidR="00E91F61" w:rsidRPr="007D4C61" w:rsidRDefault="00E91F61" w:rsidP="00664A7E">
      <w:pPr>
        <w:pBdr>
          <w:top w:val="nil"/>
          <w:left w:val="nil"/>
          <w:bottom w:val="nil"/>
          <w:right w:val="nil"/>
          <w:between w:val="nil"/>
        </w:pBdr>
        <w:spacing w:line="360" w:lineRule="auto"/>
        <w:jc w:val="center"/>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noProof/>
          <w:color w:val="000000" w:themeColor="text1"/>
        </w:rPr>
        <w:drawing>
          <wp:inline distT="0" distB="0" distL="0" distR="0" wp14:anchorId="1DDD2808" wp14:editId="5A9E08A2">
            <wp:extent cx="4096800" cy="3399167"/>
            <wp:effectExtent l="152400" t="152400" r="361315" b="3536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02127" cy="3403586"/>
                    </a:xfrm>
                    <a:prstGeom prst="rect">
                      <a:avLst/>
                    </a:prstGeom>
                    <a:ln>
                      <a:noFill/>
                    </a:ln>
                    <a:effectLst>
                      <a:outerShdw blurRad="292100" dist="139700" dir="2700000" algn="tl" rotWithShape="0">
                        <a:srgbClr val="333333">
                          <a:alpha val="65000"/>
                        </a:srgbClr>
                      </a:outerShdw>
                    </a:effectLst>
                  </pic:spPr>
                </pic:pic>
              </a:graphicData>
            </a:graphic>
          </wp:inline>
        </w:drawing>
      </w:r>
    </w:p>
    <w:p w14:paraId="7BBE1ECB" w14:textId="7B1D9C68" w:rsidR="00E91F61"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 xml:space="preserve">En esa línea, se tiene que de la notificación entregada a la Instituciones de Seguridad Pública para la evaluación de los elementos operativos, debe de contener el día y hora de la presentación de la evaluación, situación por la cual se colige que el Ayuntamiento de Toluca si debe de contar con la información solicitada, respecto de </w:t>
      </w:r>
      <w:r w:rsidR="001E130B" w:rsidRPr="007D4C61">
        <w:rPr>
          <w:rFonts w:ascii="Palatino Linotype" w:eastAsia="Palatino Linotype" w:hAnsi="Palatino Linotype" w:cs="Palatino Linotype"/>
          <w:color w:val="000000" w:themeColor="text1"/>
        </w:rPr>
        <w:t xml:space="preserve">la fecha en que se realizaron las evaluaciones de control de confianza de los servidores públicos referidos en la solicitud de información. </w:t>
      </w:r>
    </w:p>
    <w:p w14:paraId="300122E3" w14:textId="77777777" w:rsidR="00E91F61" w:rsidRPr="007D4C61" w:rsidRDefault="00E91F61" w:rsidP="00664A7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7AF8BE5B"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lastRenderedPageBreak/>
        <w:t xml:space="preserve">Seguidamente del Manual de Organización de la Dirección General de Seguridad y Protección, se observa que se integra por el Departamento de Recursos Humanos y por el Departamento de Control de Confianza, quienes tienes las siguientes funciones. </w:t>
      </w:r>
    </w:p>
    <w:p w14:paraId="33ABB254" w14:textId="77777777" w:rsidR="00570610" w:rsidRPr="007D4C61" w:rsidRDefault="00570610" w:rsidP="00664A7E">
      <w:pPr>
        <w:pBdr>
          <w:top w:val="nil"/>
          <w:left w:val="nil"/>
          <w:bottom w:val="nil"/>
          <w:right w:val="nil"/>
          <w:between w:val="nil"/>
        </w:pBdr>
        <w:rPr>
          <w:rFonts w:ascii="Palatino Linotype" w:eastAsia="Palatino Linotype" w:hAnsi="Palatino Linotype" w:cs="Palatino Linotype"/>
          <w:color w:val="000000" w:themeColor="text1"/>
        </w:rPr>
      </w:pPr>
    </w:p>
    <w:tbl>
      <w:tblPr>
        <w:tblStyle w:val="a0"/>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937"/>
      </w:tblGrid>
      <w:tr w:rsidR="001E2F15" w:rsidRPr="007D4C61" w14:paraId="006A7D9C" w14:textId="77777777" w:rsidTr="00242433">
        <w:tc>
          <w:tcPr>
            <w:tcW w:w="4414" w:type="dxa"/>
          </w:tcPr>
          <w:p w14:paraId="5CE51CE7"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b/>
                <w:i/>
                <w:color w:val="000000" w:themeColor="text1"/>
              </w:rPr>
            </w:pPr>
            <w:r w:rsidRPr="007D4C61">
              <w:rPr>
                <w:rFonts w:ascii="Palatino Linotype" w:eastAsia="Palatino Linotype" w:hAnsi="Palatino Linotype" w:cs="Palatino Linotype"/>
                <w:b/>
                <w:i/>
                <w:color w:val="000000" w:themeColor="text1"/>
              </w:rPr>
              <w:t>Departamento de Recursos Humanos</w:t>
            </w:r>
          </w:p>
        </w:tc>
        <w:tc>
          <w:tcPr>
            <w:tcW w:w="4937" w:type="dxa"/>
          </w:tcPr>
          <w:p w14:paraId="5C92A255"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b/>
                <w:i/>
                <w:color w:val="000000" w:themeColor="text1"/>
              </w:rPr>
            </w:pPr>
            <w:r w:rsidRPr="007D4C61">
              <w:rPr>
                <w:rFonts w:ascii="Palatino Linotype" w:eastAsia="Palatino Linotype" w:hAnsi="Palatino Linotype" w:cs="Palatino Linotype"/>
                <w:b/>
                <w:i/>
                <w:color w:val="000000" w:themeColor="text1"/>
              </w:rPr>
              <w:t>Departamento de Control de Confianza</w:t>
            </w:r>
          </w:p>
        </w:tc>
      </w:tr>
      <w:tr w:rsidR="00570610" w:rsidRPr="007D4C61" w14:paraId="681D7994" w14:textId="77777777" w:rsidTr="00242433">
        <w:tc>
          <w:tcPr>
            <w:tcW w:w="4414" w:type="dxa"/>
          </w:tcPr>
          <w:p w14:paraId="10617E46"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 xml:space="preserve">Objetivo: </w:t>
            </w:r>
          </w:p>
          <w:p w14:paraId="07360A8B"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 xml:space="preserve">Elaborar, documentar, validar y remitir a la Dirección de Recursos Humanos de la Dirección General de Administración, los movimientos de personal como son: admisión, asistencia, actas administrativas, permisos, retardos, horas extras, vacaciones, promociones, licencias, altas, bajas, notificaciones, incidencias y todo lo relacionado en la materia, para que se atiendan conforme a los lineamientos establecidos. Funciones: </w:t>
            </w:r>
          </w:p>
          <w:p w14:paraId="3F3F1D92"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 xml:space="preserve">1. Recabar la firma del personal adscrito a la Dirección General respecto al pago quincenal y enviar la nómina a la Dirección General de Administración, con la documentación comprobatoria; </w:t>
            </w:r>
          </w:p>
          <w:p w14:paraId="735E4C88"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 xml:space="preserve">2. Informar, solicitar y vigilar el cumplimiento de los plazos establecidos por la Secretaría de la Contraloría del Estado de México, para la presentación de la Manifestación de Bienes por parte del personal adscrito a la Dirección General; </w:t>
            </w:r>
          </w:p>
          <w:p w14:paraId="03AAE184"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 xml:space="preserve">3. Identificar, registrar y analizar los requerimientos de capacitación para el desarrollo del personal; </w:t>
            </w:r>
          </w:p>
          <w:p w14:paraId="4D9A2BD7"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b/>
                <w:i/>
                <w:color w:val="000000" w:themeColor="text1"/>
              </w:rPr>
            </w:pPr>
            <w:r w:rsidRPr="007D4C61">
              <w:rPr>
                <w:rFonts w:ascii="Palatino Linotype" w:eastAsia="Palatino Linotype" w:hAnsi="Palatino Linotype" w:cs="Palatino Linotype"/>
                <w:b/>
                <w:i/>
                <w:color w:val="000000" w:themeColor="text1"/>
              </w:rPr>
              <w:t xml:space="preserve">4. Gestionar y dar seguimiento con el enlace correspondiente para el proceso </w:t>
            </w:r>
            <w:r w:rsidRPr="007D4C61">
              <w:rPr>
                <w:rFonts w:ascii="Palatino Linotype" w:eastAsia="Palatino Linotype" w:hAnsi="Palatino Linotype" w:cs="Palatino Linotype"/>
                <w:b/>
                <w:i/>
                <w:color w:val="000000" w:themeColor="text1"/>
              </w:rPr>
              <w:lastRenderedPageBreak/>
              <w:t xml:space="preserve">de Control de Confianza de todo el personal; </w:t>
            </w:r>
          </w:p>
          <w:p w14:paraId="2E90BB5C"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 xml:space="preserve">5. Documentar y realizar los movimientos, reportes e incidencias (altas, bajas, etc.) del personal de la Dirección General, para darle el trámite correspondiente con las diferentes áreas; </w:t>
            </w:r>
            <w:r w:rsidRPr="007D4C61">
              <w:rPr>
                <w:rFonts w:ascii="Palatino Linotype" w:eastAsia="Palatino Linotype" w:hAnsi="Palatino Linotype" w:cs="Palatino Linotype"/>
                <w:b/>
                <w:i/>
                <w:color w:val="000000" w:themeColor="text1"/>
              </w:rPr>
              <w:t>6. Organizar el proceso para la práctica de exámenes toxicológicos al personal operativo de la Dirección General de Seguridad y Protección</w:t>
            </w:r>
            <w:r w:rsidRPr="007D4C61">
              <w:rPr>
                <w:rFonts w:ascii="Palatino Linotype" w:eastAsia="Palatino Linotype" w:hAnsi="Palatino Linotype" w:cs="Palatino Linotype"/>
                <w:i/>
                <w:color w:val="000000" w:themeColor="text1"/>
              </w:rPr>
              <w:t xml:space="preserve">; </w:t>
            </w:r>
          </w:p>
          <w:p w14:paraId="0170939D"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 xml:space="preserve">7. Registrar las resoluciones emitidas por la Comisión de Honor y Justicia, indicando la baja y/o renuncia y darles el trámite correspondiente; 8. Ingresar los datos de los miembros del cuerpo policial en el Registro Nacional de Personal de Seguridad Pública (RNPSP), así como de la plataforma estatal llamada Registro de Listado Nominal (RELINO); </w:t>
            </w:r>
          </w:p>
          <w:p w14:paraId="56DBA3AF"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 xml:space="preserve">9. Incorporar a las y los graduados que hayan terminado con su formación inicial y previo cumplimiento de los requisitos establecidos en la normatividad correspondiente, al Estado de Fuerza Municipal; </w:t>
            </w:r>
          </w:p>
          <w:p w14:paraId="43234C83" w14:textId="77777777" w:rsidR="00570610" w:rsidRPr="007D4C61" w:rsidRDefault="00E91F61" w:rsidP="00664A7E">
            <w:pPr>
              <w:pBdr>
                <w:top w:val="nil"/>
                <w:left w:val="nil"/>
                <w:bottom w:val="nil"/>
                <w:right w:val="nil"/>
                <w:between w:val="nil"/>
              </w:pBdr>
              <w:jc w:val="both"/>
              <w:rPr>
                <w:rFonts w:ascii="Palatino Linotype" w:hAnsi="Palatino Linotype"/>
                <w:b/>
                <w:color w:val="000000" w:themeColor="text1"/>
              </w:rPr>
            </w:pPr>
            <w:r w:rsidRPr="007D4C61">
              <w:rPr>
                <w:rFonts w:ascii="Palatino Linotype" w:eastAsia="Palatino Linotype" w:hAnsi="Palatino Linotype" w:cs="Palatino Linotype"/>
                <w:b/>
                <w:i/>
                <w:color w:val="000000" w:themeColor="text1"/>
              </w:rPr>
              <w:t>10. Contratar al personal capacitado que cumpla con el requisito de certificación expedido por el Centro de Control de Confianza Estatal y cuente con la Cedula Única de Identificación Policial (CUIP);</w:t>
            </w:r>
            <w:r w:rsidRPr="007D4C61">
              <w:rPr>
                <w:rFonts w:ascii="Palatino Linotype" w:hAnsi="Palatino Linotype"/>
                <w:b/>
                <w:color w:val="000000" w:themeColor="text1"/>
              </w:rPr>
              <w:t xml:space="preserve"> </w:t>
            </w:r>
          </w:p>
          <w:p w14:paraId="3C3B1E06"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 xml:space="preserve">11. Iniciar el proceso de separación del servicio de la o el elemento policial, haciéndolo del conocimiento de la o el titular de la Dirección General de Seguridad y </w:t>
            </w:r>
            <w:r w:rsidRPr="007D4C61">
              <w:rPr>
                <w:rFonts w:ascii="Palatino Linotype" w:eastAsia="Palatino Linotype" w:hAnsi="Palatino Linotype" w:cs="Palatino Linotype"/>
                <w:i/>
                <w:color w:val="000000" w:themeColor="text1"/>
              </w:rPr>
              <w:lastRenderedPageBreak/>
              <w:t xml:space="preserve">Protección, previa resolución de la Comisión de Honor y Justicia; 12. Gestionar ante la Dirección de Recursos Humanos de la Dirección General de Administración, las determinaciones que tome la Comisión del Servicio Profesional de Carrera Policial para ascender en las categorías disponibles, estimular y otorgar un reconocimiento o condecoración, así como recompensa económica de las acciones sobresalientes de las o los elementos policiales; 13. Apoyar a la Comisión del Servicio Profesional de Carrera Policial en la integración de los expedientes del personal operativo de la Dirección General para la evaluación de desempeño; </w:t>
            </w:r>
          </w:p>
          <w:p w14:paraId="42FB9D41"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 xml:space="preserve">14. Tramitar los movimientos de baja de las y los integrantes del Servicio Profesional de Carrera Policial cuando, habiéndose aplicado el procedimiento administrativo correspondiente, se resuelva su remoción; </w:t>
            </w:r>
          </w:p>
          <w:p w14:paraId="49CC8E9E"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b/>
                <w:i/>
                <w:color w:val="000000" w:themeColor="text1"/>
              </w:rPr>
            </w:pPr>
            <w:r w:rsidRPr="007D4C61">
              <w:rPr>
                <w:rFonts w:ascii="Palatino Linotype" w:eastAsia="Palatino Linotype" w:hAnsi="Palatino Linotype" w:cs="Palatino Linotype"/>
                <w:b/>
                <w:i/>
                <w:color w:val="000000" w:themeColor="text1"/>
              </w:rPr>
              <w:t xml:space="preserve">15. Coordinar con la o el enlace y el Centro de Control de Confianza Estatal, la aplicación de los exámenes al personal de la Dirección General en los rubros: médico, toxicológico, psicológico, poligráfico y socioeconómico; así como el específico para la promoción relativa a la siguiente categoría o jerarquía, en consideración a los perfiles de la Corporación; y </w:t>
            </w:r>
          </w:p>
          <w:p w14:paraId="47883298"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16. Realizar todas aquellas actividades que sean inherentes y aplicables al área de su competencia.</w:t>
            </w:r>
          </w:p>
        </w:tc>
        <w:tc>
          <w:tcPr>
            <w:tcW w:w="4937" w:type="dxa"/>
          </w:tcPr>
          <w:p w14:paraId="4F09B9F9"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lastRenderedPageBreak/>
              <w:t xml:space="preserve">Objetivo: </w:t>
            </w:r>
          </w:p>
          <w:p w14:paraId="43306D9C"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 xml:space="preserve">Establecer los procedimientos necesarios para el eficiente funcionamiento de las actividades y operatividad de los servicios escolares que brinda la Academia de Policía de Toluca Funciones: </w:t>
            </w:r>
          </w:p>
          <w:p w14:paraId="33E9BF95"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 xml:space="preserve">1. Contribuir con la integración de expedientes para el proceso de selección y reclutamiento de las y los aspirantes a cadetes para el municipio de Toluca; así como la atención personalizada en el proceso; </w:t>
            </w:r>
          </w:p>
          <w:p w14:paraId="29677CAA"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b/>
                <w:i/>
                <w:color w:val="000000" w:themeColor="text1"/>
              </w:rPr>
            </w:pPr>
            <w:r w:rsidRPr="007D4C61">
              <w:rPr>
                <w:rFonts w:ascii="Palatino Linotype" w:eastAsia="Palatino Linotype" w:hAnsi="Palatino Linotype" w:cs="Palatino Linotype"/>
                <w:b/>
                <w:i/>
                <w:color w:val="000000" w:themeColor="text1"/>
              </w:rPr>
              <w:t xml:space="preserve">2. Recibir, registrar, digitalizar, organizar, conservar y mantener seguros los documentos que integran el expediente escolar de las y los cadetes; </w:t>
            </w:r>
          </w:p>
          <w:p w14:paraId="6FF18B2B" w14:textId="5ECBE77B"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 xml:space="preserve">3. Coadyuvar en el programa de profesionalización académica de policías en activo del municipio de Toluca, a través del seguimiento administrativo y escolar, con la finalidad de generar la información necesaria para el programa del Servicio Profesional de Carrera Policial; </w:t>
            </w:r>
          </w:p>
          <w:p w14:paraId="2074EF41"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 xml:space="preserve">4. Mantener una comunicación efectiva con las y los responsables de las demás áreas y/o departamentos con los que se encuentra vinculada su operatividad; y </w:t>
            </w:r>
          </w:p>
          <w:p w14:paraId="410B4331" w14:textId="77777777" w:rsidR="00570610" w:rsidRPr="007D4C61" w:rsidRDefault="00E91F61" w:rsidP="00664A7E">
            <w:pPr>
              <w:pBdr>
                <w:top w:val="nil"/>
                <w:left w:val="nil"/>
                <w:bottom w:val="nil"/>
                <w:right w:val="nil"/>
                <w:between w:val="nil"/>
              </w:pBd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5. Realizar todas aquellas actividades que sean inherentes y aplicables al área de su competencia.</w:t>
            </w:r>
          </w:p>
        </w:tc>
      </w:tr>
    </w:tbl>
    <w:p w14:paraId="29C20E0D" w14:textId="6B47480C"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lastRenderedPageBreak/>
        <w:t xml:space="preserve">De lo anterior, se tiene que si bien es cierto el Titular de la Unidad de Transparencia remitió la solicitud de información al área habilitada del </w:t>
      </w:r>
      <w:r w:rsidRPr="007D4C61">
        <w:rPr>
          <w:rFonts w:ascii="Palatino Linotype" w:eastAsia="Palatino Linotype" w:hAnsi="Palatino Linotype" w:cs="Palatino Linotype"/>
          <w:b/>
          <w:color w:val="000000" w:themeColor="text1"/>
        </w:rPr>
        <w:t xml:space="preserve">SUJETO OBLIGADO, </w:t>
      </w:r>
      <w:r w:rsidRPr="007D4C61">
        <w:rPr>
          <w:rFonts w:ascii="Palatino Linotype" w:eastAsia="Palatino Linotype" w:hAnsi="Palatino Linotype" w:cs="Palatino Linotype"/>
          <w:color w:val="000000" w:themeColor="text1"/>
        </w:rPr>
        <w:t xml:space="preserve">también lo es que esta no proporciono la información solicitada, situación por la cual se hace el siguiente </w:t>
      </w:r>
      <w:r w:rsidR="009273DC" w:rsidRPr="007D4C61">
        <w:rPr>
          <w:rFonts w:ascii="Palatino Linotype" w:eastAsia="Palatino Linotype" w:hAnsi="Palatino Linotype" w:cs="Palatino Linotype"/>
          <w:color w:val="000000" w:themeColor="text1"/>
        </w:rPr>
        <w:t>análisis</w:t>
      </w:r>
      <w:r w:rsidRPr="007D4C61">
        <w:rPr>
          <w:rFonts w:ascii="Palatino Linotype" w:eastAsia="Palatino Linotype" w:hAnsi="Palatino Linotype" w:cs="Palatino Linotype"/>
          <w:color w:val="000000" w:themeColor="text1"/>
        </w:rPr>
        <w:t xml:space="preserve">. </w:t>
      </w:r>
    </w:p>
    <w:p w14:paraId="14A1BF80" w14:textId="77777777" w:rsidR="00570610" w:rsidRPr="007D4C61" w:rsidRDefault="00570610" w:rsidP="00664A7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1C3C3C83"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7D4C61">
        <w:rPr>
          <w:rFonts w:ascii="Palatino Linotype" w:eastAsia="Palatino Linotype" w:hAnsi="Palatino Linotype" w:cs="Palatino Linotype"/>
          <w:color w:val="000000" w:themeColor="text1"/>
        </w:rPr>
        <w:t xml:space="preserve">En esa línea, se debe traer a colación el artículo 66 de la Ley General del Sistema Nacional de Seguridad Pública y el diverso 109 de la Ley de Seguridad del Estado de México, los cuales establecen que la certificación es el proceso por el cual </w:t>
      </w:r>
      <w:r w:rsidRPr="007D4C61">
        <w:rPr>
          <w:rFonts w:ascii="Palatino Linotype" w:eastAsia="Palatino Linotype" w:hAnsi="Palatino Linotype" w:cs="Palatino Linotype"/>
          <w:b/>
          <w:color w:val="000000" w:themeColor="text1"/>
        </w:rPr>
        <w:t>los integrantes de las instituciones de seguridad pública o de procuración de justicia se someten a las evaluaciones establecidas por el Centro de Control de Confianza del Estado de México.</w:t>
      </w:r>
    </w:p>
    <w:p w14:paraId="4DEA2B1B" w14:textId="77777777" w:rsidR="00570610" w:rsidRPr="007D4C61" w:rsidRDefault="00570610" w:rsidP="00664A7E">
      <w:pPr>
        <w:spacing w:line="360" w:lineRule="auto"/>
        <w:jc w:val="both"/>
        <w:rPr>
          <w:rFonts w:ascii="Palatino Linotype" w:eastAsia="Palatino Linotype" w:hAnsi="Palatino Linotype" w:cs="Palatino Linotype"/>
          <w:b/>
          <w:color w:val="000000" w:themeColor="text1"/>
        </w:rPr>
      </w:pPr>
    </w:p>
    <w:p w14:paraId="2B848985"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 xml:space="preserve">En ese contexto, el Centro de Control de Confianza del Estado de México, es un organismo público descentralizado, con personalidad jurídica y patrimonio propios, sectorizado de la Secretaría de Seguridad, cuyo objeto </w:t>
      </w:r>
      <w:r w:rsidRPr="007D4C61">
        <w:rPr>
          <w:rFonts w:ascii="Palatino Linotype" w:eastAsia="Palatino Linotype" w:hAnsi="Palatino Linotype" w:cs="Palatino Linotype"/>
          <w:b/>
          <w:color w:val="000000" w:themeColor="text1"/>
        </w:rPr>
        <w:t xml:space="preserve">es realizar las evaluaciones permanentes de control de confianza, de desempeño, poligrafía, entorno social y psicológico, así como exámenes toxicológicos </w:t>
      </w:r>
      <w:r w:rsidRPr="007D4C61">
        <w:rPr>
          <w:rFonts w:ascii="Palatino Linotype" w:eastAsia="Palatino Linotype" w:hAnsi="Palatino Linotype" w:cs="Palatino Linotype"/>
          <w:color w:val="000000" w:themeColor="text1"/>
        </w:rPr>
        <w:t xml:space="preserve">a los </w:t>
      </w:r>
      <w:r w:rsidRPr="007D4C61">
        <w:rPr>
          <w:rFonts w:ascii="Palatino Linotype" w:eastAsia="Palatino Linotype" w:hAnsi="Palatino Linotype" w:cs="Palatino Linotype"/>
          <w:b/>
          <w:color w:val="000000" w:themeColor="text1"/>
        </w:rPr>
        <w:t>aspirante e integrantes de las instituciones de seguridad pública y privada, estatal y municipal</w:t>
      </w:r>
      <w:r w:rsidRPr="007D4C61">
        <w:rPr>
          <w:rFonts w:ascii="Palatino Linotype" w:eastAsia="Palatino Linotype" w:hAnsi="Palatino Linotype" w:cs="Palatino Linotype"/>
          <w:color w:val="000000" w:themeColor="text1"/>
        </w:rPr>
        <w:t xml:space="preserve">, </w:t>
      </w:r>
      <w:r w:rsidRPr="007D4C61">
        <w:rPr>
          <w:rFonts w:ascii="Palatino Linotype" w:eastAsia="Palatino Linotype" w:hAnsi="Palatino Linotype" w:cs="Palatino Linotype"/>
          <w:b/>
          <w:color w:val="000000" w:themeColor="text1"/>
        </w:rPr>
        <w:t>a fin de emitir la certificación correspondiente.</w:t>
      </w:r>
      <w:r w:rsidRPr="007D4C61">
        <w:rPr>
          <w:rFonts w:ascii="Palatino Linotype" w:eastAsia="Palatino Linotype" w:hAnsi="Palatino Linotype" w:cs="Palatino Linotype"/>
          <w:color w:val="000000" w:themeColor="text1"/>
        </w:rPr>
        <w:t xml:space="preserve"> </w:t>
      </w:r>
    </w:p>
    <w:p w14:paraId="169C7D93" w14:textId="77777777" w:rsidR="00570610" w:rsidRPr="007D4C61" w:rsidRDefault="00570610" w:rsidP="00664A7E">
      <w:pPr>
        <w:pBdr>
          <w:top w:val="nil"/>
          <w:left w:val="nil"/>
          <w:bottom w:val="nil"/>
          <w:right w:val="nil"/>
          <w:between w:val="nil"/>
        </w:pBdr>
        <w:rPr>
          <w:rFonts w:ascii="Palatino Linotype" w:eastAsia="Palatino Linotype" w:hAnsi="Palatino Linotype" w:cs="Palatino Linotype"/>
          <w:color w:val="000000" w:themeColor="text1"/>
        </w:rPr>
      </w:pPr>
    </w:p>
    <w:p w14:paraId="0C8A241B"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 xml:space="preserve">De lo anterior, se establece que ninguna persona podrá </w:t>
      </w:r>
      <w:r w:rsidRPr="007D4C61">
        <w:rPr>
          <w:rFonts w:ascii="Palatino Linotype" w:eastAsia="Palatino Linotype" w:hAnsi="Palatino Linotype" w:cs="Palatino Linotype"/>
          <w:b/>
          <w:color w:val="000000" w:themeColor="text1"/>
          <w:u w:val="single"/>
        </w:rPr>
        <w:t>ingresar o permanecer</w:t>
      </w:r>
      <w:r w:rsidRPr="007D4C61">
        <w:rPr>
          <w:rFonts w:ascii="Palatino Linotype" w:eastAsia="Palatino Linotype" w:hAnsi="Palatino Linotype" w:cs="Palatino Linotype"/>
          <w:color w:val="000000" w:themeColor="text1"/>
        </w:rPr>
        <w:t xml:space="preserve"> en las instituciones de seguridad pública sin contar con el Certificado y registro vigentes, toda vez que un requisito para poder desempeñar el cargo dentro de las instituciones de seguridad.</w:t>
      </w:r>
    </w:p>
    <w:p w14:paraId="2A97E006" w14:textId="77777777" w:rsidR="00570610" w:rsidRPr="007D4C61" w:rsidRDefault="00570610" w:rsidP="00664A7E">
      <w:pPr>
        <w:spacing w:line="360" w:lineRule="auto"/>
        <w:jc w:val="both"/>
        <w:rPr>
          <w:rFonts w:ascii="Palatino Linotype" w:eastAsia="Palatino Linotype" w:hAnsi="Palatino Linotype" w:cs="Palatino Linotype"/>
          <w:color w:val="000000" w:themeColor="text1"/>
        </w:rPr>
      </w:pPr>
    </w:p>
    <w:p w14:paraId="1F7A1335"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lastRenderedPageBreak/>
        <w:t>En ese sentido, el artículo 5°, fracciones VIII, IX y X, de la Ley General del Sistema Nacional de Seguridad Pública y el diverso 6°, fracciones XI y XII, de la Ley de Seguridad del Estado de México, establece lo siguiente:</w:t>
      </w:r>
    </w:p>
    <w:p w14:paraId="0A0DA680" w14:textId="77777777" w:rsidR="00570610" w:rsidRPr="007D4C61" w:rsidRDefault="00E91F61" w:rsidP="00242433">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b/>
          <w:color w:val="000000" w:themeColor="text1"/>
        </w:rPr>
        <w:t>Instituciones Policiales:</w:t>
      </w:r>
      <w:r w:rsidRPr="007D4C61">
        <w:rPr>
          <w:rFonts w:ascii="Palatino Linotype" w:eastAsia="Palatino Linotype" w:hAnsi="Palatino Linotype" w:cs="Palatino Linotype"/>
          <w:color w:val="000000" w:themeColor="text1"/>
        </w:rPr>
        <w:t xml:space="preserve"> Son los cuerpos de policía, de vigilancia y custodia de los establecimientos penitenciarios, detención preventiva, centros de arraigo y en general, todas las dependencias encargadas de la seguridad pública a nivel federal, estatal y municipal.</w:t>
      </w:r>
    </w:p>
    <w:p w14:paraId="48B93106" w14:textId="77777777" w:rsidR="00570610" w:rsidRPr="007D4C61" w:rsidRDefault="00E91F61" w:rsidP="00242433">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b/>
          <w:color w:val="000000" w:themeColor="text1"/>
        </w:rPr>
        <w:t>Instituciones de Procuración de Justicia:</w:t>
      </w:r>
      <w:r w:rsidRPr="007D4C61">
        <w:rPr>
          <w:rFonts w:ascii="Palatino Linotype" w:eastAsia="Palatino Linotype" w:hAnsi="Palatino Linotype" w:cs="Palatino Linotype"/>
          <w:color w:val="000000" w:themeColor="text1"/>
        </w:rPr>
        <w:t xml:space="preserve"> Son aquellas de la Federación y Entidades Federativas que integran el Ministerio Público, los servicios periciales, policías de investigación y auxiliares.</w:t>
      </w:r>
    </w:p>
    <w:p w14:paraId="039A99B0" w14:textId="77777777" w:rsidR="00570610" w:rsidRPr="007D4C61" w:rsidRDefault="00E91F61" w:rsidP="00242433">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b/>
          <w:color w:val="000000" w:themeColor="text1"/>
        </w:rPr>
        <w:t>Instituciones de Seguridad Pública:</w:t>
      </w:r>
      <w:r w:rsidRPr="007D4C61">
        <w:rPr>
          <w:rFonts w:ascii="Palatino Linotype" w:eastAsia="Palatino Linotype" w:hAnsi="Palatino Linotype" w:cs="Palatino Linotype"/>
          <w:color w:val="000000" w:themeColor="text1"/>
        </w:rPr>
        <w:t xml:space="preserve"> Instituciones Policiales, de Procuración de Justicia, del Sistema Penitenciario y dependencias encargadas de la seguridad pública a nivel federal, estatal y municipal.</w:t>
      </w:r>
    </w:p>
    <w:p w14:paraId="5D0694A1" w14:textId="77777777" w:rsidR="00570610" w:rsidRPr="007D4C61" w:rsidRDefault="00570610" w:rsidP="00664A7E">
      <w:pPr>
        <w:spacing w:line="360" w:lineRule="auto"/>
        <w:jc w:val="both"/>
        <w:rPr>
          <w:rFonts w:ascii="Palatino Linotype" w:eastAsia="Palatino Linotype" w:hAnsi="Palatino Linotype" w:cs="Palatino Linotype"/>
          <w:b/>
          <w:color w:val="000000" w:themeColor="text1"/>
        </w:rPr>
      </w:pPr>
    </w:p>
    <w:p w14:paraId="6080DE52"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 xml:space="preserve">Sobre lo anterior, el Instructivo de llenado del Formato “Personal de Seguridad Pública”, del Secretariado Ejecutivo del Sistema Nacional de Seguridad Pública (consultado, en la liga </w:t>
      </w:r>
      <w:hyperlink r:id="rId9">
        <w:r w:rsidR="00570610" w:rsidRPr="007D4C61">
          <w:rPr>
            <w:rFonts w:ascii="Palatino Linotype" w:eastAsia="Palatino Linotype" w:hAnsi="Palatino Linotype" w:cs="Palatino Linotype"/>
            <w:color w:val="000000" w:themeColor="text1"/>
          </w:rPr>
          <w:t>http://secretariadoejecutivo.gob.mx/work/models/SecretariadoEjecutivo/Resource/328/1/images/instructivo_final_edo_fuerza(1).pdf</w:t>
        </w:r>
      </w:hyperlink>
      <w:r w:rsidRPr="007D4C61">
        <w:rPr>
          <w:rFonts w:ascii="Palatino Linotype" w:eastAsia="Palatino Linotype" w:hAnsi="Palatino Linotype" w:cs="Palatino Linotype"/>
          <w:color w:val="000000" w:themeColor="text1"/>
        </w:rPr>
        <w:t>), establece que las instituciones de seguridad pública, se integran por los siguientes categorizaciones de puestos:</w:t>
      </w:r>
    </w:p>
    <w:p w14:paraId="3B8CA024" w14:textId="77777777" w:rsidR="00570610" w:rsidRDefault="00E91F61" w:rsidP="00664A7E">
      <w:pP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b/>
          <w:i/>
          <w:color w:val="000000" w:themeColor="text1"/>
        </w:rPr>
        <w:t>Mandos:</w:t>
      </w:r>
      <w:r w:rsidRPr="007D4C61">
        <w:rPr>
          <w:rFonts w:ascii="Palatino Linotype" w:eastAsia="Palatino Linotype" w:hAnsi="Palatino Linotype" w:cs="Palatino Linotype"/>
          <w:i/>
          <w:color w:val="000000" w:themeColor="text1"/>
        </w:rPr>
        <w:t xml:space="preserve"> se incluye bajo esta categoría únicamente a personal con funciones de dirección, coordinación y supervisión, es decir que en la práctica tenga personal a cargo. </w:t>
      </w:r>
    </w:p>
    <w:p w14:paraId="7F11DD73" w14:textId="77777777" w:rsidR="00242433" w:rsidRDefault="00242433" w:rsidP="00664A7E">
      <w:pPr>
        <w:jc w:val="both"/>
        <w:rPr>
          <w:rFonts w:ascii="Palatino Linotype" w:eastAsia="Palatino Linotype" w:hAnsi="Palatino Linotype" w:cs="Palatino Linotype"/>
          <w:i/>
          <w:color w:val="000000" w:themeColor="text1"/>
        </w:rPr>
      </w:pPr>
    </w:p>
    <w:p w14:paraId="6B69831B" w14:textId="77777777" w:rsidR="00242433" w:rsidRPr="007D4C61" w:rsidRDefault="00242433" w:rsidP="00664A7E">
      <w:pPr>
        <w:jc w:val="both"/>
        <w:rPr>
          <w:rFonts w:ascii="Palatino Linotype" w:eastAsia="Palatino Linotype" w:hAnsi="Palatino Linotype" w:cs="Palatino Linotype"/>
          <w:i/>
          <w:color w:val="000000" w:themeColor="text1"/>
        </w:rPr>
      </w:pPr>
    </w:p>
    <w:p w14:paraId="1CE859D3" w14:textId="77777777" w:rsidR="00570610" w:rsidRPr="007D4C61" w:rsidRDefault="00E91F61" w:rsidP="00664A7E">
      <w:pP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b/>
          <w:i/>
          <w:color w:val="000000" w:themeColor="text1"/>
        </w:rPr>
        <w:lastRenderedPageBreak/>
        <w:t>Altos mandos:</w:t>
      </w:r>
      <w:r w:rsidRPr="007D4C61">
        <w:rPr>
          <w:rFonts w:ascii="Palatino Linotype" w:eastAsia="Palatino Linotype" w:hAnsi="Palatino Linotype" w:cs="Palatino Linotype"/>
          <w:i/>
          <w:color w:val="000000" w:themeColor="text1"/>
        </w:rPr>
        <w:t xml:space="preserve"> </w:t>
      </w:r>
    </w:p>
    <w:p w14:paraId="18CAB7D7" w14:textId="77777777" w:rsidR="00570610" w:rsidRPr="007D4C61" w:rsidRDefault="00E91F61" w:rsidP="00664A7E">
      <w:pP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 xml:space="preserve">Procurador General de Justicia, Subprocuradores, Fiscales Especiales, Secretarios y Subsecretarios de Seguridad pública federales y estatales, Secretarios Ejecutivos de Consejos Estatales, Secretario de Gobierno, Secretario Ejecutivo Federal, Titular de la Policía Preventiva estatal y Federal y, Titular de la Policía Investigadora y/o Ministerial estatal y federal o puestos equivalentes a todos los anteriores. </w:t>
      </w:r>
    </w:p>
    <w:p w14:paraId="33FB71D2" w14:textId="77777777" w:rsidR="00570610" w:rsidRPr="007D4C61" w:rsidRDefault="00E91F61" w:rsidP="00664A7E">
      <w:pP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b/>
          <w:i/>
          <w:color w:val="000000" w:themeColor="text1"/>
        </w:rPr>
        <w:t>Mandos superiores</w:t>
      </w:r>
      <w:r w:rsidRPr="007D4C61">
        <w:rPr>
          <w:rFonts w:ascii="Palatino Linotype" w:eastAsia="Palatino Linotype" w:hAnsi="Palatino Linotype" w:cs="Palatino Linotype"/>
          <w:i/>
          <w:color w:val="000000" w:themeColor="text1"/>
        </w:rPr>
        <w:t xml:space="preserve">: servidores públicos que tengan mandos medios a cargo; de manera enunciativa, pero no limitativa incluye Coordinadores, Directores Generales, Directores Generales Adjuntos, Titulares de áreas vinculados a instituciones de Seguridad Pública en ámbito estatal, federal y municipal, Secretario de Seguridad Pública Municipal, Director General y Subdirector de Seguridad Pública Municipal, Titulares de los C4, Titulares de las Unidades de Análisis, Titulares de centros de evaluación y control de confianza federales, estatales o puestos equivalentes a todos los anteriores. </w:t>
      </w:r>
      <w:r w:rsidRPr="007D4C61">
        <w:rPr>
          <w:rFonts w:ascii="Palatino Linotype" w:eastAsia="Palatino Linotype" w:hAnsi="Palatino Linotype" w:cs="Palatino Linotype"/>
          <w:b/>
          <w:i/>
          <w:color w:val="000000" w:themeColor="text1"/>
        </w:rPr>
        <w:t>Mandos medios:</w:t>
      </w:r>
      <w:r w:rsidRPr="007D4C61">
        <w:rPr>
          <w:rFonts w:ascii="Palatino Linotype" w:eastAsia="Palatino Linotype" w:hAnsi="Palatino Linotype" w:cs="Palatino Linotype"/>
          <w:i/>
          <w:color w:val="000000" w:themeColor="text1"/>
        </w:rPr>
        <w:t xml:space="preserve"> servidores públicos que en la práctica tengan personal a cargo; de manera enunciativa, pero no limitativa incluye Directores de área, Subdirectores de área, Jefes de Departamento, Jefes de Unidad, Jefes de área, Jefes de Grupo, Comandantes (incluye instancias federales, estatales y municipales) y puestos equivalentes a todos los anteriores. </w:t>
      </w:r>
    </w:p>
    <w:p w14:paraId="504A6067" w14:textId="77777777" w:rsidR="00570610" w:rsidRPr="007D4C61" w:rsidRDefault="00E91F61" w:rsidP="00664A7E">
      <w:pP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b/>
          <w:i/>
          <w:color w:val="000000" w:themeColor="text1"/>
        </w:rPr>
        <w:t>Operativos:</w:t>
      </w:r>
      <w:r w:rsidRPr="007D4C61">
        <w:rPr>
          <w:rFonts w:ascii="Palatino Linotype" w:eastAsia="Palatino Linotype" w:hAnsi="Palatino Linotype" w:cs="Palatino Linotype"/>
          <w:i/>
          <w:color w:val="000000" w:themeColor="text1"/>
        </w:rPr>
        <w:t xml:space="preserve"> personal que desempeña funciones de campo: policiacas, especializadas o equivalentes y que no desempeña funciones de mando. </w:t>
      </w:r>
    </w:p>
    <w:p w14:paraId="50612476" w14:textId="77777777" w:rsidR="00570610" w:rsidRPr="007D4C61" w:rsidRDefault="00E91F61" w:rsidP="00664A7E">
      <w:pP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b/>
          <w:i/>
          <w:color w:val="000000" w:themeColor="text1"/>
        </w:rPr>
        <w:t>Con acceso a información sensible:</w:t>
      </w:r>
      <w:r w:rsidRPr="007D4C61">
        <w:rPr>
          <w:rFonts w:ascii="Palatino Linotype" w:eastAsia="Palatino Linotype" w:hAnsi="Palatino Linotype" w:cs="Palatino Linotype"/>
          <w:i/>
          <w:color w:val="000000" w:themeColor="text1"/>
        </w:rPr>
        <w:t xml:space="preserve"> Ministerios Públicos, Auxiliares de Ministerios Públicos, Peritos Profesionales y Técnicos, Custodios, personal del sistema penitenciario, Policía Ministerial o Judicial, Escoltas, grupo antisecuestro, terrorismo, inteligencia, grupos de reacción, o puestos equivalentes a todos los anteriores, que no desempeñen funciones de mando (sin personal a cargo). </w:t>
      </w:r>
    </w:p>
    <w:p w14:paraId="39C0A2ED" w14:textId="77777777" w:rsidR="00570610" w:rsidRPr="007D4C61" w:rsidRDefault="00E91F61" w:rsidP="00664A7E">
      <w:pP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b/>
          <w:i/>
          <w:color w:val="000000" w:themeColor="text1"/>
        </w:rPr>
        <w:t>Sin acceso a información sensible:</w:t>
      </w:r>
      <w:r w:rsidRPr="007D4C61">
        <w:rPr>
          <w:rFonts w:ascii="Palatino Linotype" w:eastAsia="Palatino Linotype" w:hAnsi="Palatino Linotype" w:cs="Palatino Linotype"/>
          <w:i/>
          <w:color w:val="000000" w:themeColor="text1"/>
        </w:rPr>
        <w:t xml:space="preserve"> Policía Estatal Preventiva, Policía Municipal, de tránsito, auxiliar, bancaria. Instructivo de llenado Categorización de Puestos </w:t>
      </w:r>
    </w:p>
    <w:p w14:paraId="2E3732B1" w14:textId="77777777" w:rsidR="00570610" w:rsidRPr="007D4C61" w:rsidRDefault="00E91F61" w:rsidP="00664A7E">
      <w:pP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b/>
          <w:i/>
          <w:color w:val="000000" w:themeColor="text1"/>
        </w:rPr>
        <w:t>Gabinete:</w:t>
      </w:r>
      <w:r w:rsidRPr="007D4C61">
        <w:rPr>
          <w:rFonts w:ascii="Palatino Linotype" w:eastAsia="Palatino Linotype" w:hAnsi="Palatino Linotype" w:cs="Palatino Linotype"/>
          <w:i/>
          <w:color w:val="000000" w:themeColor="text1"/>
        </w:rPr>
        <w:t xml:space="preserve"> personal que desempeña funciones de análisis, técnicas o especializadas, que no involucren actividades de campo-operativas. Analistas, servicio tecnológico – informático (respaldo y resguardo de información, manejo de bases de datos). </w:t>
      </w:r>
    </w:p>
    <w:p w14:paraId="16A08CEA" w14:textId="77777777" w:rsidR="00570610" w:rsidRPr="007D4C61" w:rsidRDefault="00E91F61" w:rsidP="00664A7E">
      <w:pP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b/>
          <w:i/>
          <w:color w:val="000000" w:themeColor="text1"/>
        </w:rPr>
        <w:t>Administrativo:</w:t>
      </w:r>
      <w:r w:rsidRPr="007D4C61">
        <w:rPr>
          <w:rFonts w:ascii="Palatino Linotype" w:eastAsia="Palatino Linotype" w:hAnsi="Palatino Linotype" w:cs="Palatino Linotype"/>
          <w:i/>
          <w:color w:val="000000" w:themeColor="text1"/>
        </w:rPr>
        <w:t xml:space="preserve"> Personal de apoyo (Choferes, personal de mantenimiento, servicios generales, área secretarial)</w:t>
      </w:r>
    </w:p>
    <w:p w14:paraId="284AB3F7" w14:textId="77777777" w:rsidR="00570610" w:rsidRPr="007D4C61" w:rsidRDefault="00570610" w:rsidP="00664A7E">
      <w:pPr>
        <w:jc w:val="both"/>
        <w:rPr>
          <w:rFonts w:ascii="Palatino Linotype" w:eastAsia="Palatino Linotype" w:hAnsi="Palatino Linotype" w:cs="Palatino Linotype"/>
          <w:i/>
          <w:color w:val="000000" w:themeColor="text1"/>
        </w:rPr>
      </w:pPr>
    </w:p>
    <w:p w14:paraId="54E6E518"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 xml:space="preserve">Conforme a lo anterior, se advierte que la información solicitada corresponde a servidores públicos de mandos superiores y operativos, de los que se debe de señalar </w:t>
      </w:r>
      <w:r w:rsidRPr="007D4C61">
        <w:rPr>
          <w:rFonts w:ascii="Palatino Linotype" w:eastAsia="Palatino Linotype" w:hAnsi="Palatino Linotype" w:cs="Palatino Linotype"/>
          <w:color w:val="000000" w:themeColor="text1"/>
        </w:rPr>
        <w:lastRenderedPageBreak/>
        <w:t>que, para ingresar o permanecer en el puesto, deben de contar con la certificación de control de confianza.</w:t>
      </w:r>
    </w:p>
    <w:p w14:paraId="38EFA5CE" w14:textId="77777777" w:rsidR="00570610" w:rsidRPr="007D4C61" w:rsidRDefault="00570610" w:rsidP="00664A7E">
      <w:pPr>
        <w:spacing w:line="360" w:lineRule="auto"/>
        <w:jc w:val="both"/>
        <w:rPr>
          <w:rFonts w:ascii="Palatino Linotype" w:eastAsia="Palatino Linotype" w:hAnsi="Palatino Linotype" w:cs="Palatino Linotype"/>
          <w:color w:val="000000" w:themeColor="text1"/>
        </w:rPr>
      </w:pPr>
    </w:p>
    <w:p w14:paraId="5CB8B2BD"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 xml:space="preserve">Así, se colige que la pretensión del ahora Recurrente, es obtener el documento donde </w:t>
      </w:r>
      <w:r w:rsidRPr="007D4C61">
        <w:rPr>
          <w:rFonts w:ascii="Palatino Linotype" w:eastAsia="Palatino Linotype" w:hAnsi="Palatino Linotype" w:cs="Palatino Linotype"/>
          <w:b/>
          <w:color w:val="000000" w:themeColor="text1"/>
        </w:rPr>
        <w:t>conste el resultado global de la evaluación de confianza vigente a la fecha de la solicitud</w:t>
      </w:r>
      <w:r w:rsidRPr="007D4C61">
        <w:rPr>
          <w:rFonts w:ascii="Palatino Linotype" w:eastAsia="Palatino Linotype" w:hAnsi="Palatino Linotype" w:cs="Palatino Linotype"/>
          <w:color w:val="000000" w:themeColor="text1"/>
        </w:rPr>
        <w:t>; es decir, aquel que señale que los servidores públicos adscritos la Dirección General de Seguridad y Protección, aprobaron o no la evaluación de confianza, por lo que, no requiere tener acceso a las evaluaciones individuales realizadas por el Centro de Control de Confianza del Estado de México y Municipios.</w:t>
      </w:r>
    </w:p>
    <w:p w14:paraId="34ADF3DF" w14:textId="77777777" w:rsidR="00570610" w:rsidRPr="007D4C61" w:rsidRDefault="00570610" w:rsidP="00664A7E">
      <w:pPr>
        <w:spacing w:line="360" w:lineRule="auto"/>
        <w:jc w:val="both"/>
        <w:rPr>
          <w:rFonts w:ascii="Palatino Linotype" w:eastAsia="Palatino Linotype" w:hAnsi="Palatino Linotype" w:cs="Palatino Linotype"/>
          <w:color w:val="000000" w:themeColor="text1"/>
        </w:rPr>
      </w:pPr>
    </w:p>
    <w:p w14:paraId="10718B7B"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Al respecto, los Lineamientos de Operación del Centro de Evaluación y Control de Confianza del Servicio de Protección Federal, traídos de manera de analogía, precisan lo siguiente:</w:t>
      </w:r>
    </w:p>
    <w:p w14:paraId="05813B97" w14:textId="77777777" w:rsidR="00570610" w:rsidRPr="007D4C61" w:rsidRDefault="00E91F61" w:rsidP="00664A7E">
      <w:pP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b/>
          <w:i/>
          <w:color w:val="000000" w:themeColor="text1"/>
        </w:rPr>
        <w:t>Artículo 19.-</w:t>
      </w:r>
      <w:r w:rsidRPr="007D4C61">
        <w:rPr>
          <w:rFonts w:ascii="Palatino Linotype" w:eastAsia="Palatino Linotype" w:hAnsi="Palatino Linotype" w:cs="Palatino Linotype"/>
          <w:i/>
          <w:color w:val="000000" w:themeColor="text1"/>
        </w:rPr>
        <w:t> Conforme a lo previsto en el Reglamento el resultado único derivado de la aplicación del proceso de certificación puede ser:</w:t>
      </w:r>
    </w:p>
    <w:p w14:paraId="49D7B5D8" w14:textId="77777777" w:rsidR="00570610" w:rsidRPr="007D4C61" w:rsidRDefault="00E91F61" w:rsidP="00664A7E">
      <w:pP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b/>
          <w:i/>
          <w:color w:val="000000" w:themeColor="text1"/>
        </w:rPr>
        <w:t>Aprobado (A):</w:t>
      </w:r>
      <w:r w:rsidRPr="007D4C61">
        <w:rPr>
          <w:rFonts w:ascii="Palatino Linotype" w:eastAsia="Palatino Linotype" w:hAnsi="Palatino Linotype" w:cs="Palatino Linotype"/>
          <w:i/>
          <w:color w:val="000000" w:themeColor="text1"/>
        </w:rPr>
        <w:t> Cuando de la aplicación de las evaluaciones se compruebe que la persona evaluada cumple con los perfiles de personalidad, éticos, socioeconómicos y médicos previstos en la Ley, satisface los requisitos de ingreso o permanencia establecidos en el Reglamento, y que no se determinen factores de riesgo para el desarrollo de sus funciones o para el cumplimiento de las atribuciones del Instituto;</w:t>
      </w:r>
    </w:p>
    <w:p w14:paraId="7367FCD4" w14:textId="77777777" w:rsidR="00570610" w:rsidRPr="007D4C61" w:rsidRDefault="00E91F61" w:rsidP="00664A7E">
      <w:pP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b/>
          <w:i/>
          <w:color w:val="000000" w:themeColor="text1"/>
        </w:rPr>
        <w:t>Aprobado con Restricciones (AR):</w:t>
      </w:r>
      <w:r w:rsidRPr="007D4C61">
        <w:rPr>
          <w:rFonts w:ascii="Palatino Linotype" w:eastAsia="Palatino Linotype" w:hAnsi="Palatino Linotype" w:cs="Palatino Linotype"/>
          <w:i/>
          <w:color w:val="000000" w:themeColor="text1"/>
        </w:rPr>
        <w:t> Cuando de la aplicación de las evaluaciones se identifique algún factor de riesgo que sea controlable y que no influya sustantivamente en el desarrollo de las funciones de la persona evaluada. En este caso será necesario dar seguimiento a su desempeño y, de ser procedente, brindar la capacitación y asesoría necesaria, y</w:t>
      </w:r>
    </w:p>
    <w:p w14:paraId="775B374A" w14:textId="77777777" w:rsidR="00570610" w:rsidRPr="007D4C61" w:rsidRDefault="00E91F61" w:rsidP="00664A7E">
      <w:pP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b/>
          <w:i/>
          <w:color w:val="000000" w:themeColor="text1"/>
        </w:rPr>
        <w:t>No Aprobado (NA): </w:t>
      </w:r>
      <w:r w:rsidRPr="007D4C61">
        <w:rPr>
          <w:rFonts w:ascii="Palatino Linotype" w:eastAsia="Palatino Linotype" w:hAnsi="Palatino Linotype" w:cs="Palatino Linotype"/>
          <w:i/>
          <w:color w:val="000000" w:themeColor="text1"/>
        </w:rPr>
        <w:t>Cuando de las evaluaciones realizadas se compruebe que la persona evaluada no cumple con los perfiles de personalidad, éticos, socioeconómicos y médicos previstos en la Ley o que no satisface los requisitos de ingreso o permanencia establecidos en el Reglamento, o que se determinen factores de riesgo que impidan el desarrollo de sus funciones.</w:t>
      </w:r>
    </w:p>
    <w:p w14:paraId="0CB6754D"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lastRenderedPageBreak/>
        <w:t>En ese orden de ideas, el artículo 21 de la Ley de Seguridad del Estado de México, precisa que es atribución de los Presidentes Municipales verificar que los integrantes de las instituciones policiales a su cargo, se sometan a las evaluaciones de control de confianza y cuenten con el Certificado Único Policial.</w:t>
      </w:r>
    </w:p>
    <w:p w14:paraId="4EBED557" w14:textId="77777777" w:rsidR="00570610" w:rsidRPr="007D4C61" w:rsidRDefault="00570610" w:rsidP="00664A7E">
      <w:pPr>
        <w:spacing w:line="360" w:lineRule="auto"/>
        <w:jc w:val="both"/>
        <w:rPr>
          <w:rFonts w:ascii="Palatino Linotype" w:eastAsia="Palatino Linotype" w:hAnsi="Palatino Linotype" w:cs="Palatino Linotype"/>
          <w:color w:val="000000" w:themeColor="text1"/>
        </w:rPr>
      </w:pPr>
    </w:p>
    <w:p w14:paraId="0A0B3BF2"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u w:val="single"/>
        </w:rPr>
      </w:pPr>
      <w:r w:rsidRPr="007D4C61">
        <w:rPr>
          <w:rFonts w:ascii="Palatino Linotype" w:eastAsia="Palatino Linotype" w:hAnsi="Palatino Linotype" w:cs="Palatino Linotype"/>
          <w:color w:val="000000" w:themeColor="text1"/>
          <w:u w:val="single"/>
        </w:rPr>
        <w:t xml:space="preserve">Conforme a lo anterior, se logra observar que el Sujeto Obligado es competente para conocer de la información peticionada y que la pretensión del ahora Recurrente, es obtener, el documento donde conste el resultado global (aprobado, no aprobado, entre otros) de la evaluación de confianza vigente al veinticinco de febrero de dos mil veinticinco, del Director General de Seguridad y Protección, de los mandos superiores y elementos operativos. </w:t>
      </w:r>
    </w:p>
    <w:p w14:paraId="6C0759B9" w14:textId="77777777" w:rsidR="00570610" w:rsidRPr="007D4C61" w:rsidRDefault="00570610" w:rsidP="00664A7E">
      <w:pPr>
        <w:spacing w:line="360" w:lineRule="auto"/>
        <w:jc w:val="both"/>
        <w:rPr>
          <w:rFonts w:ascii="Palatino Linotype" w:eastAsia="Palatino Linotype" w:hAnsi="Palatino Linotype" w:cs="Palatino Linotype"/>
          <w:color w:val="000000" w:themeColor="text1"/>
        </w:rPr>
      </w:pPr>
    </w:p>
    <w:p w14:paraId="710A11DA"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Al respecto, es dable mencionar que los artículos 39, aparatado B, fracción VIII, 40, fracción XV, 56, segundo párrafo, 73, segundo párrafo, 74, 85, fracciones II y III, 88, apartado A, fracción VI, apartado B, fracción VI, 96 y 97, de la Ley General del Sistema Nacional de Seguridad Pública, establecen lo siguiente:</w:t>
      </w:r>
    </w:p>
    <w:p w14:paraId="215E493C" w14:textId="77777777" w:rsidR="00570610" w:rsidRPr="007D4C61" w:rsidRDefault="00E91F61" w:rsidP="00242433">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 xml:space="preserve">Que corresponde a los municipios abstenerse de contratar y emplear en las Instituciones Policiales a personas que no cuenten con el registro y </w:t>
      </w:r>
      <w:r w:rsidRPr="007D4C61">
        <w:rPr>
          <w:rFonts w:ascii="Palatino Linotype" w:eastAsia="Palatino Linotype" w:hAnsi="Palatino Linotype" w:cs="Palatino Linotype"/>
          <w:color w:val="000000" w:themeColor="text1"/>
          <w:u w:val="single"/>
        </w:rPr>
        <w:t>certificado emitido por el centro de evaluación y control de confianza</w:t>
      </w:r>
      <w:r w:rsidRPr="007D4C61">
        <w:rPr>
          <w:rFonts w:ascii="Palatino Linotype" w:eastAsia="Palatino Linotype" w:hAnsi="Palatino Linotype" w:cs="Palatino Linotype"/>
          <w:color w:val="000000" w:themeColor="text1"/>
        </w:rPr>
        <w:t xml:space="preserve"> respectivo;</w:t>
      </w:r>
    </w:p>
    <w:p w14:paraId="716FBE7C" w14:textId="77777777" w:rsidR="00570610" w:rsidRPr="007D4C61" w:rsidRDefault="00E91F61" w:rsidP="00242433">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 xml:space="preserve">Que, con el objeto de garantizar el cumplimiento de los principios constitucionales de legalidad, objetividad, eficiencia, profesionalismo, honradez y respeto a los derechos humanos, los integrantes de las Instituciones de Seguridad Pública deben someterse a </w:t>
      </w:r>
      <w:r w:rsidRPr="007D4C61">
        <w:rPr>
          <w:rFonts w:ascii="Palatino Linotype" w:eastAsia="Palatino Linotype" w:hAnsi="Palatino Linotype" w:cs="Palatino Linotype"/>
          <w:color w:val="000000" w:themeColor="text1"/>
        </w:rPr>
        <w:lastRenderedPageBreak/>
        <w:t>evaluaciones periódicas para acreditar el cumplimiento de sus requisitos de permanencia, así como obtener y mantener vigente la certificación respectiva;</w:t>
      </w:r>
    </w:p>
    <w:p w14:paraId="76D26207" w14:textId="77777777" w:rsidR="00570610" w:rsidRPr="007D4C61" w:rsidRDefault="00E91F61" w:rsidP="00242433">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Que los resultados de los procesos de evaluación y los expedientes que se formen con los mismos serán confidenciales, salvo en aquellos casos en que deban presentarse en procedimientos administrativos o judiciales y se mantendrán en reserva en los términos de las disposiciones aplicables;</w:t>
      </w:r>
    </w:p>
    <w:p w14:paraId="3E69F82B" w14:textId="77777777" w:rsidR="00570610" w:rsidRPr="007D4C61" w:rsidRDefault="00E91F61" w:rsidP="00242433">
      <w:pPr>
        <w:numPr>
          <w:ilvl w:val="0"/>
          <w:numId w:val="2"/>
        </w:numPr>
        <w:spacing w:line="360" w:lineRule="auto"/>
        <w:ind w:left="0" w:firstLine="0"/>
        <w:jc w:val="both"/>
        <w:rPr>
          <w:rFonts w:ascii="Palatino Linotype" w:eastAsia="Palatino Linotype" w:hAnsi="Palatino Linotype" w:cs="Palatino Linotype"/>
          <w:color w:val="000000" w:themeColor="text1"/>
          <w:u w:val="single"/>
        </w:rPr>
      </w:pPr>
      <w:r w:rsidRPr="007D4C61">
        <w:rPr>
          <w:rFonts w:ascii="Palatino Linotype" w:eastAsia="Palatino Linotype" w:hAnsi="Palatino Linotype" w:cs="Palatino Linotype"/>
          <w:color w:val="000000" w:themeColor="text1"/>
        </w:rPr>
        <w:t>Que tanto los servidores públicos de las Instituciones Policiales en los tres órdenes de gobierno, pertenecientes a la Carrera Policial, como aquellos considerados de Confianza</w:t>
      </w:r>
      <w:r w:rsidRPr="007D4C61">
        <w:rPr>
          <w:rFonts w:ascii="Palatino Linotype" w:eastAsia="Palatino Linotype" w:hAnsi="Palatino Linotype" w:cs="Palatino Linotype"/>
          <w:color w:val="000000" w:themeColor="text1"/>
          <w:u w:val="single"/>
        </w:rPr>
        <w:t xml:space="preserve">, en caso de </w:t>
      </w:r>
      <w:r w:rsidRPr="007D4C61">
        <w:rPr>
          <w:rFonts w:ascii="Palatino Linotype" w:eastAsia="Palatino Linotype" w:hAnsi="Palatino Linotype" w:cs="Palatino Linotype"/>
          <w:b/>
          <w:color w:val="000000" w:themeColor="text1"/>
          <w:u w:val="single"/>
        </w:rPr>
        <w:t>no</w:t>
      </w:r>
      <w:r w:rsidRPr="007D4C61">
        <w:rPr>
          <w:rFonts w:ascii="Palatino Linotype" w:eastAsia="Palatino Linotype" w:hAnsi="Palatino Linotype" w:cs="Palatino Linotype"/>
          <w:color w:val="000000" w:themeColor="text1"/>
          <w:u w:val="single"/>
        </w:rPr>
        <w:t xml:space="preserve"> acreditar las evaluaciones de control de confianza, podrán darse por terminados los efectos de su nombramiento;</w:t>
      </w:r>
    </w:p>
    <w:p w14:paraId="140A1F9E" w14:textId="77777777" w:rsidR="00570610" w:rsidRPr="007D4C61" w:rsidRDefault="00E91F61" w:rsidP="00242433">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Que todo aspirante a ingresar a la Carrera Policial deberá tramitar, obtener y mantener actualizado el Certificado Único Policial, que expedirá el centro de control de confianza respectivo; por lo que ninguna persona podrá ingresar a las Instituciones Policiales si no ha sido debidamente certificado y registrado en el Sistema;</w:t>
      </w:r>
    </w:p>
    <w:p w14:paraId="35F034BA" w14:textId="77777777" w:rsidR="00570610" w:rsidRPr="007D4C61" w:rsidRDefault="00E91F61" w:rsidP="00242433">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 xml:space="preserve">Que tanto </w:t>
      </w:r>
      <w:r w:rsidRPr="007D4C61">
        <w:rPr>
          <w:rFonts w:ascii="Palatino Linotype" w:eastAsia="Palatino Linotype" w:hAnsi="Palatino Linotype" w:cs="Palatino Linotype"/>
          <w:color w:val="000000" w:themeColor="text1"/>
          <w:u w:val="single"/>
        </w:rPr>
        <w:t>para el ingreso como para la permanencia en la Carrera Policial es requisito aprobar los procesos de evaluación de control de confianza</w:t>
      </w:r>
      <w:r w:rsidRPr="007D4C61">
        <w:rPr>
          <w:rFonts w:ascii="Palatino Linotype" w:eastAsia="Palatino Linotype" w:hAnsi="Palatino Linotype" w:cs="Palatino Linotype"/>
          <w:color w:val="000000" w:themeColor="text1"/>
        </w:rPr>
        <w:t>;</w:t>
      </w:r>
    </w:p>
    <w:p w14:paraId="01A807D2" w14:textId="77777777" w:rsidR="00570610" w:rsidRPr="007D4C61" w:rsidRDefault="00E91F61" w:rsidP="00242433">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Que la certificación es el proceso mediante el cual los integrantes de las Instituciones Policiales se someten a las evaluaciones periódicas establecidas por el Centro de Control de Confianza correspondiente, para comprobar el cumplimiento de los perfiles de personalidad, éticos, socioeconómicos y médicos, en los procedimientos de ingreso, promoción y permanencia;</w:t>
      </w:r>
    </w:p>
    <w:p w14:paraId="18F8AE2D" w14:textId="77777777" w:rsidR="00570610" w:rsidRPr="007D4C61" w:rsidRDefault="00E91F61" w:rsidP="00242433">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lastRenderedPageBreak/>
        <w:t>Que las Instituciones Policiales contratarán únicamente al personal que cuente con el requisito de certificación expedido por su centro de control de confianza respectivo, y</w:t>
      </w:r>
    </w:p>
    <w:p w14:paraId="5B5B5882" w14:textId="77777777" w:rsidR="00570610" w:rsidRPr="007D4C61" w:rsidRDefault="00E91F61" w:rsidP="00242433">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Que el objeto de la certificación es identificar los factores de riesgo que interfieran, repercutan o pongan en peligro el desempeño de las funciones policiales, con el fin de garantizar la calidad de los servicios.</w:t>
      </w:r>
    </w:p>
    <w:p w14:paraId="5A5F47A2" w14:textId="77777777" w:rsidR="00570610" w:rsidRPr="007D4C61" w:rsidRDefault="00570610" w:rsidP="00664A7E">
      <w:pPr>
        <w:spacing w:line="360" w:lineRule="auto"/>
        <w:jc w:val="both"/>
        <w:rPr>
          <w:rFonts w:ascii="Palatino Linotype" w:eastAsia="Palatino Linotype" w:hAnsi="Palatino Linotype" w:cs="Palatino Linotype"/>
          <w:color w:val="000000" w:themeColor="text1"/>
        </w:rPr>
      </w:pPr>
    </w:p>
    <w:p w14:paraId="144BF044"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Por su parte, los artículos 19, 21, fracciones XVIII, XIX, XX y XXI, 58 Quinqués, fracción VI y 109, cuarto párrafo, de la Ley de Seguridad del Estado de México, determinan lo siguiente:</w:t>
      </w:r>
    </w:p>
    <w:p w14:paraId="6748832D" w14:textId="77777777" w:rsidR="00570610" w:rsidRPr="007D4C61" w:rsidRDefault="00E91F61" w:rsidP="0024243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Que son autoridades municipales en materia de Seguridad Pública, los ayuntamientos, los presidentes municipales, los directores de seguridad pública municipal y los integrantes de las instituciones policiales en ejercicio de su función;</w:t>
      </w:r>
    </w:p>
    <w:p w14:paraId="391742B6" w14:textId="77777777" w:rsidR="00570610" w:rsidRPr="007D4C61" w:rsidRDefault="00E91F61" w:rsidP="0024243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 xml:space="preserve">Que son atribuciones del </w:t>
      </w:r>
      <w:r w:rsidRPr="007D4C61">
        <w:rPr>
          <w:rFonts w:ascii="Palatino Linotype" w:eastAsia="Palatino Linotype" w:hAnsi="Palatino Linotype" w:cs="Palatino Linotype"/>
          <w:b/>
          <w:color w:val="000000" w:themeColor="text1"/>
        </w:rPr>
        <w:t>Presidente Municipal</w:t>
      </w:r>
      <w:r w:rsidRPr="007D4C61">
        <w:rPr>
          <w:rFonts w:ascii="Palatino Linotype" w:eastAsia="Palatino Linotype" w:hAnsi="Palatino Linotype" w:cs="Palatino Linotype"/>
          <w:color w:val="000000" w:themeColor="text1"/>
        </w:rPr>
        <w:t xml:space="preserve">, verificar que los integrantes de las instituciones policiales a su cargo se sometan a las </w:t>
      </w:r>
      <w:r w:rsidRPr="007D4C61">
        <w:rPr>
          <w:rFonts w:ascii="Palatino Linotype" w:eastAsia="Palatino Linotype" w:hAnsi="Palatino Linotype" w:cs="Palatino Linotype"/>
          <w:color w:val="000000" w:themeColor="text1"/>
          <w:u w:val="single"/>
        </w:rPr>
        <w:t>evaluaciones de control de confianza</w:t>
      </w:r>
      <w:r w:rsidRPr="007D4C61">
        <w:rPr>
          <w:rFonts w:ascii="Palatino Linotype" w:eastAsia="Palatino Linotype" w:hAnsi="Palatino Linotype" w:cs="Palatino Linotype"/>
          <w:color w:val="000000" w:themeColor="text1"/>
        </w:rPr>
        <w:t xml:space="preserve"> y cuenten con el Certificado Único Policial, de conformidad con las disposiciones legales aplicables; solicitar al Centro las </w:t>
      </w:r>
      <w:r w:rsidRPr="007D4C61">
        <w:rPr>
          <w:rFonts w:ascii="Palatino Linotype" w:eastAsia="Palatino Linotype" w:hAnsi="Palatino Linotype" w:cs="Palatino Linotype"/>
          <w:color w:val="000000" w:themeColor="text1"/>
          <w:u w:val="single"/>
        </w:rPr>
        <w:t>evaluaciones de control de confianza para el ingreso, promoción y permanencia de los integrantes de las instituciones policiales</w:t>
      </w:r>
      <w:r w:rsidRPr="007D4C61">
        <w:rPr>
          <w:rFonts w:ascii="Palatino Linotype" w:eastAsia="Palatino Linotype" w:hAnsi="Palatino Linotype" w:cs="Palatino Linotype"/>
          <w:color w:val="000000" w:themeColor="text1"/>
        </w:rPr>
        <w:t xml:space="preserve"> a su cargo; solicitar a la Comisión de Honor y Justicia, la instauración del procedimiento en contra de los integrantes de las instituciones policiales a su cargo que no haya presentado o aprobado las evaluaciones de control de confianza; vigilar la separación impuesta con motivo de la resolución correspondiente emitida por la Comisión de Honor y Justicia, a los integrantes de las instituciones policiales a su cargo que no hayan aprobado las evaluaciones de control de confianza;</w:t>
      </w:r>
    </w:p>
    <w:p w14:paraId="29A3A5F4" w14:textId="77777777" w:rsidR="00570610" w:rsidRPr="007D4C61" w:rsidRDefault="00E91F61" w:rsidP="0024243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lastRenderedPageBreak/>
        <w:t xml:space="preserve">Que son atribuciones del </w:t>
      </w:r>
      <w:r w:rsidRPr="007D4C61">
        <w:rPr>
          <w:rFonts w:ascii="Palatino Linotype" w:eastAsia="Palatino Linotype" w:hAnsi="Palatino Linotype" w:cs="Palatino Linotype"/>
          <w:b/>
          <w:color w:val="000000" w:themeColor="text1"/>
        </w:rPr>
        <w:t>Secretario o Secretaria Técnica del Ayuntamiento</w:t>
      </w:r>
      <w:r w:rsidRPr="007D4C61">
        <w:rPr>
          <w:rFonts w:ascii="Palatino Linotype" w:eastAsia="Palatino Linotype" w:hAnsi="Palatino Linotype" w:cs="Palatino Linotype"/>
          <w:color w:val="000000" w:themeColor="text1"/>
        </w:rPr>
        <w:t>, fungir como enlace ante el Centro Estatal de Control de Confianza y verificar que el estado de fuerza municipal y servidores públicos obligados cumplan con lo previsto en materia de control de confianza, y</w:t>
      </w:r>
    </w:p>
    <w:p w14:paraId="6E531868" w14:textId="77777777" w:rsidR="00570610" w:rsidRPr="007D4C61" w:rsidRDefault="00E91F61" w:rsidP="0024243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Que los resultados de los procesos de evaluación y los expedientes que se formen con los mismos serán confidenciales, salvo en aquellos casos en que deban presentarse en procedimientos administrativos o judiciales.</w:t>
      </w:r>
    </w:p>
    <w:p w14:paraId="04DC3B1B" w14:textId="77777777" w:rsidR="00570610" w:rsidRPr="007D4C61" w:rsidRDefault="00570610" w:rsidP="00664A7E">
      <w:pPr>
        <w:spacing w:line="360" w:lineRule="auto"/>
        <w:jc w:val="both"/>
        <w:rPr>
          <w:rFonts w:ascii="Palatino Linotype" w:eastAsia="Palatino Linotype" w:hAnsi="Palatino Linotype" w:cs="Palatino Linotype"/>
          <w:color w:val="000000" w:themeColor="text1"/>
        </w:rPr>
      </w:pPr>
    </w:p>
    <w:p w14:paraId="0FD42EE3"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7D4C61">
        <w:rPr>
          <w:rFonts w:ascii="Palatino Linotype" w:eastAsia="Palatino Linotype" w:hAnsi="Palatino Linotype" w:cs="Palatino Linotype"/>
          <w:color w:val="000000" w:themeColor="text1"/>
        </w:rPr>
        <w:t xml:space="preserve">Seguidamente para el caso en particular del Director General de Seguridad y Protección, se debe traer al análisis el artículo 22 Bis, de la Ley de Seguridad del Estado de México), precisa que para ocupar el cargo de Director de Seguridad Pública Municipal o equivalente, se deberán cumplir diversos requisitos, entre los cuales se encuentra </w:t>
      </w:r>
      <w:r w:rsidRPr="007D4C61">
        <w:rPr>
          <w:rFonts w:ascii="Palatino Linotype" w:eastAsia="Palatino Linotype" w:hAnsi="Palatino Linotype" w:cs="Palatino Linotype"/>
          <w:b/>
          <w:color w:val="000000" w:themeColor="text1"/>
        </w:rPr>
        <w:t xml:space="preserve">someterse y aprobar las evaluaciones de certificación y control de confianza, para su ingreso y permanencia, </w:t>
      </w:r>
      <w:r w:rsidRPr="007D4C61">
        <w:rPr>
          <w:rFonts w:ascii="Palatino Linotype" w:eastAsia="Palatino Linotype" w:hAnsi="Palatino Linotype" w:cs="Palatino Linotype"/>
          <w:color w:val="000000" w:themeColor="text1"/>
        </w:rPr>
        <w:t xml:space="preserve">situación por la cual se colige que el Director General de Seguridad y Protección debe de contar para su ingreso con el certificado de control de confianza. </w:t>
      </w:r>
    </w:p>
    <w:p w14:paraId="5A177728" w14:textId="77777777" w:rsidR="00570610" w:rsidRPr="007D4C61" w:rsidRDefault="00570610" w:rsidP="00664A7E">
      <w:pPr>
        <w:spacing w:line="360" w:lineRule="auto"/>
        <w:jc w:val="both"/>
        <w:rPr>
          <w:rFonts w:ascii="Palatino Linotype" w:eastAsia="Palatino Linotype" w:hAnsi="Palatino Linotype" w:cs="Palatino Linotype"/>
          <w:color w:val="000000" w:themeColor="text1"/>
        </w:rPr>
      </w:pPr>
    </w:p>
    <w:p w14:paraId="51431851"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Seguidamente, para los cargos de mandos medios y operativos se tiene que el artículo 21 fracción XIV, regula que para el ingreso, promoción o permanencia, se deberá de solicitar al Centro de Control de Confianza, las evaluaciones de control de confianza, situación de la cual se colige que es un requisito para poder desempeñar el cargo a ocupar dentro de la Dirección General de Seguridad y Protección del Ayuntamiento de Toluca.</w:t>
      </w:r>
    </w:p>
    <w:p w14:paraId="1608ACA7" w14:textId="77777777" w:rsidR="00570610" w:rsidRPr="007D4C61" w:rsidRDefault="00570610" w:rsidP="00664A7E">
      <w:pPr>
        <w:pBdr>
          <w:top w:val="nil"/>
          <w:left w:val="nil"/>
          <w:bottom w:val="nil"/>
          <w:right w:val="nil"/>
          <w:between w:val="nil"/>
        </w:pBdr>
        <w:rPr>
          <w:rFonts w:ascii="Palatino Linotype" w:eastAsia="Palatino Linotype" w:hAnsi="Palatino Linotype" w:cs="Palatino Linotype"/>
          <w:color w:val="000000" w:themeColor="text1"/>
        </w:rPr>
      </w:pPr>
    </w:p>
    <w:p w14:paraId="65D4323F"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lastRenderedPageBreak/>
        <w:t xml:space="preserve">Conforme a la normatividad citada, </w:t>
      </w:r>
      <w:r w:rsidRPr="007D4C61">
        <w:rPr>
          <w:rFonts w:ascii="Palatino Linotype" w:eastAsia="Palatino Linotype" w:hAnsi="Palatino Linotype" w:cs="Palatino Linotype"/>
          <w:b/>
          <w:color w:val="000000" w:themeColor="text1"/>
        </w:rPr>
        <w:t>se advierte que la evaluación de control de confianza es un requisito indispensable para ingresar y permanecer en el cargo de Director de Seguridad, de mando superior y del personal operativo</w:t>
      </w:r>
      <w:r w:rsidRPr="007D4C61">
        <w:rPr>
          <w:rFonts w:ascii="Palatino Linotype" w:eastAsia="Palatino Linotype" w:hAnsi="Palatino Linotype" w:cs="Palatino Linotype"/>
          <w:color w:val="000000" w:themeColor="text1"/>
        </w:rPr>
        <w:t xml:space="preserve"> y que el resultado de los procesos y los expedientes que se formen con los mismos, son confidenciales, es decir, </w:t>
      </w:r>
      <w:r w:rsidRPr="007D4C61">
        <w:rPr>
          <w:rFonts w:ascii="Palatino Linotype" w:eastAsia="Palatino Linotype" w:hAnsi="Palatino Linotype" w:cs="Palatino Linotype"/>
          <w:color w:val="000000" w:themeColor="text1"/>
          <w:u w:val="single"/>
        </w:rPr>
        <w:t>que el resultado aislado de cada etapa de examen es confidencial</w:t>
      </w:r>
      <w:r w:rsidRPr="007D4C61">
        <w:rPr>
          <w:rFonts w:ascii="Palatino Linotype" w:eastAsia="Palatino Linotype" w:hAnsi="Palatino Linotype" w:cs="Palatino Linotype"/>
          <w:color w:val="000000" w:themeColor="text1"/>
        </w:rPr>
        <w:t xml:space="preserve">; </w:t>
      </w:r>
      <w:r w:rsidRPr="007D4C61">
        <w:rPr>
          <w:rFonts w:ascii="Palatino Linotype" w:eastAsia="Palatino Linotype" w:hAnsi="Palatino Linotype" w:cs="Palatino Linotype"/>
          <w:b/>
          <w:color w:val="000000" w:themeColor="text1"/>
        </w:rPr>
        <w:t>sin embargo, el resultado global, correspondiente a que el servidor público aprobó la evaluación, en el presente caso, “Aprobado” o “No Aprobado”, guarda la naturaleza pública.</w:t>
      </w:r>
    </w:p>
    <w:p w14:paraId="189881D7" w14:textId="77777777" w:rsidR="00570610" w:rsidRPr="007D4C61" w:rsidRDefault="00570610" w:rsidP="00664A7E">
      <w:pPr>
        <w:spacing w:line="360" w:lineRule="auto"/>
        <w:jc w:val="both"/>
        <w:rPr>
          <w:rFonts w:ascii="Palatino Linotype" w:eastAsia="Palatino Linotype" w:hAnsi="Palatino Linotype" w:cs="Palatino Linotype"/>
          <w:color w:val="000000" w:themeColor="text1"/>
        </w:rPr>
      </w:pPr>
    </w:p>
    <w:p w14:paraId="2DB9DE9D"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Situación que guarda relevancia, pues en la resolución de la Acción de Inconstitucionalidad 88/2018, la Suprema Corte de Justicia de la Nación precisa que los resultados de las evaluaciones de control de confianza, es decir, los resultados de los exámenes médicos, toxicológicos, psicológicos, poligráficos y estudios socioeconómicos, guardan la naturaleza de confidencial.</w:t>
      </w:r>
    </w:p>
    <w:p w14:paraId="4E9DE7C7" w14:textId="77777777" w:rsidR="00570610" w:rsidRPr="007D4C61" w:rsidRDefault="00570610" w:rsidP="00664A7E">
      <w:pPr>
        <w:spacing w:line="360" w:lineRule="auto"/>
        <w:jc w:val="both"/>
        <w:rPr>
          <w:rFonts w:ascii="Palatino Linotype" w:eastAsia="Palatino Linotype" w:hAnsi="Palatino Linotype" w:cs="Palatino Linotype"/>
          <w:color w:val="000000" w:themeColor="text1"/>
        </w:rPr>
      </w:pPr>
    </w:p>
    <w:p w14:paraId="1AD1A6B8"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 xml:space="preserve">Además, es de referir que es de interés público de la ciudadanía, conocer que los trabajadores gubernamentales cumplen con todos los requisitos establecidos en la normatividad respectiva, sobre todo, en materia de seguridad pública, pues solo así, se puede saber, si los empleados señalados, </w:t>
      </w:r>
      <w:r w:rsidRPr="007D4C61">
        <w:rPr>
          <w:rFonts w:ascii="Palatino Linotype" w:eastAsia="Palatino Linotype" w:hAnsi="Palatino Linotype" w:cs="Palatino Linotype"/>
          <w:b/>
          <w:color w:val="000000" w:themeColor="text1"/>
        </w:rPr>
        <w:t xml:space="preserve">son aptos para ocupar determinados puestos. </w:t>
      </w:r>
    </w:p>
    <w:p w14:paraId="77F5AA1F" w14:textId="77777777" w:rsidR="00570610" w:rsidRPr="007D4C61" w:rsidRDefault="00570610" w:rsidP="00664A7E">
      <w:pPr>
        <w:spacing w:line="360" w:lineRule="auto"/>
        <w:jc w:val="both"/>
        <w:rPr>
          <w:rFonts w:ascii="Palatino Linotype" w:eastAsia="Palatino Linotype" w:hAnsi="Palatino Linotype" w:cs="Palatino Linotype"/>
          <w:color w:val="000000" w:themeColor="text1"/>
        </w:rPr>
      </w:pPr>
    </w:p>
    <w:p w14:paraId="268C59D4"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 xml:space="preserve">En esa línea, se establece que la publicidad de la información ayuda a rendir cuentas a la población, respecto a que las instituciones de seguridad cumplen con lo establecido en los ordenamientos jurídicos, ya que permite a las personas verificar que una Dependencia o Ayuntamiento, contrata a servidores públicos capaces e idóneos para </w:t>
      </w:r>
      <w:r w:rsidRPr="007D4C61">
        <w:rPr>
          <w:rFonts w:ascii="Palatino Linotype" w:eastAsia="Palatino Linotype" w:hAnsi="Palatino Linotype" w:cs="Palatino Linotype"/>
          <w:color w:val="000000" w:themeColor="text1"/>
        </w:rPr>
        <w:lastRenderedPageBreak/>
        <w:t>cumplir con sus funciones y cumplen con los requisitos respectivos, sobre todo, si se trata de trabajadores en materia de seguridad pública.</w:t>
      </w:r>
    </w:p>
    <w:p w14:paraId="715EE983" w14:textId="77777777" w:rsidR="00570610" w:rsidRPr="007D4C61" w:rsidRDefault="00570610" w:rsidP="00664A7E">
      <w:pPr>
        <w:spacing w:line="360" w:lineRule="auto"/>
        <w:jc w:val="both"/>
        <w:rPr>
          <w:rFonts w:ascii="Palatino Linotype" w:eastAsia="Palatino Linotype" w:hAnsi="Palatino Linotype" w:cs="Palatino Linotype"/>
          <w:color w:val="000000" w:themeColor="text1"/>
        </w:rPr>
      </w:pPr>
    </w:p>
    <w:p w14:paraId="61313C13"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7D4C61">
        <w:rPr>
          <w:rFonts w:ascii="Palatino Linotype" w:eastAsia="Palatino Linotype" w:hAnsi="Palatino Linotype" w:cs="Palatino Linotype"/>
          <w:color w:val="000000" w:themeColor="text1"/>
        </w:rPr>
        <w:t xml:space="preserve">Lo anterior, toma reverencia, pues el proceso de evaluación de confianza según lo establecido en la página del Sujeto Obligado, </w:t>
      </w:r>
      <w:hyperlink r:id="rId10">
        <w:r w:rsidR="00570610" w:rsidRPr="007D4C61">
          <w:rPr>
            <w:rFonts w:ascii="Palatino Linotype" w:eastAsia="Palatino Linotype" w:hAnsi="Palatino Linotype" w:cs="Palatino Linotype"/>
            <w:color w:val="000000" w:themeColor="text1"/>
          </w:rPr>
          <w:t>https://ccc.edomex.gob.mx/para_que%20sirven_evaluaciones_cc</w:t>
        </w:r>
      </w:hyperlink>
      <w:r w:rsidRPr="007D4C61">
        <w:rPr>
          <w:rFonts w:ascii="Palatino Linotype" w:eastAsia="Palatino Linotype" w:hAnsi="Palatino Linotype" w:cs="Palatino Linotype"/>
          <w:color w:val="000000" w:themeColor="text1"/>
        </w:rPr>
        <w:t xml:space="preserve">, fortalece la credibilidad, eficiencia y operatividad en las instituciones de seguridad, de conformidad con la normatividad procedimientos, objetivos y funciones aplicables en cada institución, así como la obligatoriedad de mantener niveles homogéneos de profesionalización en el desempeño de sus funciones. </w:t>
      </w:r>
    </w:p>
    <w:p w14:paraId="38DA9DEA" w14:textId="77777777" w:rsidR="00570610" w:rsidRPr="007D4C61" w:rsidRDefault="00570610" w:rsidP="00664A7E">
      <w:pPr>
        <w:spacing w:line="360" w:lineRule="auto"/>
        <w:jc w:val="both"/>
        <w:rPr>
          <w:rFonts w:ascii="Palatino Linotype" w:eastAsia="Palatino Linotype" w:hAnsi="Palatino Linotype" w:cs="Palatino Linotype"/>
          <w:color w:val="000000" w:themeColor="text1"/>
        </w:rPr>
      </w:pPr>
    </w:p>
    <w:p w14:paraId="35E8DAE6"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7D4C61">
        <w:rPr>
          <w:rFonts w:ascii="Palatino Linotype" w:eastAsia="Palatino Linotype" w:hAnsi="Palatino Linotype" w:cs="Palatino Linotype"/>
          <w:color w:val="000000" w:themeColor="text1"/>
        </w:rPr>
        <w:t xml:space="preserve">De tal suerte, toda vez que la pretensión del ahora Recurrente </w:t>
      </w:r>
      <w:r w:rsidRPr="007D4C61">
        <w:rPr>
          <w:rFonts w:ascii="Palatino Linotype" w:eastAsia="Palatino Linotype" w:hAnsi="Palatino Linotype" w:cs="Palatino Linotype"/>
          <w:b/>
          <w:color w:val="000000" w:themeColor="text1"/>
        </w:rPr>
        <w:t xml:space="preserve">es obtener el resultado global de la evaluación de control de confianza, </w:t>
      </w:r>
      <w:r w:rsidRPr="007D4C61">
        <w:rPr>
          <w:rFonts w:ascii="Palatino Linotype" w:eastAsia="Palatino Linotype" w:hAnsi="Palatino Linotype" w:cs="Palatino Linotype"/>
          <w:color w:val="000000" w:themeColor="text1"/>
        </w:rPr>
        <w:t>se considera información pública, pues con dicho dato se logra advertir que los servidores públicos adscritos a la  Dirección General de Seguridad y Protección del Ayuntamiento de Toluca, con cargo de director, mandos medios y operativos cumplen con uno de los requisitos indispensables y establecidos en la normatividad aplicable, para ocupar dicho puesto, en la institución de seguridad pública</w:t>
      </w:r>
      <w:r w:rsidRPr="007D4C61">
        <w:rPr>
          <w:rFonts w:ascii="Palatino Linotype" w:eastAsia="Palatino Linotype" w:hAnsi="Palatino Linotype" w:cs="Palatino Linotype"/>
          <w:b/>
          <w:color w:val="000000" w:themeColor="text1"/>
        </w:rPr>
        <w:t>.</w:t>
      </w:r>
    </w:p>
    <w:p w14:paraId="41226892" w14:textId="77777777" w:rsidR="00570610" w:rsidRPr="007D4C61" w:rsidRDefault="00570610" w:rsidP="00664A7E">
      <w:pPr>
        <w:spacing w:line="360" w:lineRule="auto"/>
        <w:jc w:val="both"/>
        <w:rPr>
          <w:rFonts w:ascii="Palatino Linotype" w:eastAsia="Palatino Linotype" w:hAnsi="Palatino Linotype" w:cs="Palatino Linotype"/>
          <w:b/>
          <w:color w:val="000000" w:themeColor="text1"/>
        </w:rPr>
      </w:pPr>
    </w:p>
    <w:p w14:paraId="601279A9"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 xml:space="preserve">Finalmente sobre este punto, no pasa desapercibido para este Instituto que los documentos que den cuenta de lo solicitado, pudieran contener datos o información clasificada, tal como pudiera ser la Clave Única de Identificación Permanente, la Clave Única de Registro de Población, el Registro Federal de Contribuyentes, entre otros, por </w:t>
      </w:r>
      <w:r w:rsidRPr="007D4C61">
        <w:rPr>
          <w:rFonts w:ascii="Palatino Linotype" w:eastAsia="Palatino Linotype" w:hAnsi="Palatino Linotype" w:cs="Palatino Linotype"/>
          <w:color w:val="000000" w:themeColor="text1"/>
        </w:rPr>
        <w:lastRenderedPageBreak/>
        <w:t>lo que, en el supuesto,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clasificada,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3FD23351" w14:textId="77777777" w:rsidR="00570610" w:rsidRPr="007D4C61" w:rsidRDefault="00570610" w:rsidP="00664A7E">
      <w:pPr>
        <w:spacing w:line="360" w:lineRule="auto"/>
        <w:jc w:val="both"/>
        <w:rPr>
          <w:rFonts w:ascii="Palatino Linotype" w:eastAsia="Palatino Linotype" w:hAnsi="Palatino Linotype" w:cs="Palatino Linotype"/>
          <w:color w:val="000000" w:themeColor="text1"/>
        </w:rPr>
      </w:pPr>
    </w:p>
    <w:p w14:paraId="7E078BFB"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0292090F" w14:textId="77777777" w:rsidR="00570610" w:rsidRPr="007D4C61" w:rsidRDefault="00570610" w:rsidP="00664A7E">
      <w:pPr>
        <w:pBdr>
          <w:top w:val="nil"/>
          <w:left w:val="nil"/>
          <w:bottom w:val="nil"/>
          <w:right w:val="nil"/>
          <w:between w:val="nil"/>
        </w:pBdr>
        <w:rPr>
          <w:rFonts w:ascii="Palatino Linotype" w:eastAsia="Palatino Linotype" w:hAnsi="Palatino Linotype" w:cs="Palatino Linotype"/>
          <w:color w:val="000000" w:themeColor="text1"/>
        </w:rPr>
      </w:pPr>
    </w:p>
    <w:p w14:paraId="37723514" w14:textId="3285C5AF"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 xml:space="preserve">Ahora bien, se </w:t>
      </w:r>
      <w:r w:rsidR="009273DC" w:rsidRPr="007D4C61">
        <w:rPr>
          <w:rFonts w:ascii="Palatino Linotype" w:eastAsia="Palatino Linotype" w:hAnsi="Palatino Linotype" w:cs="Palatino Linotype"/>
          <w:color w:val="000000" w:themeColor="text1"/>
        </w:rPr>
        <w:t>debe analizar</w:t>
      </w:r>
      <w:r w:rsidRPr="007D4C61">
        <w:rPr>
          <w:rFonts w:ascii="Palatino Linotype" w:eastAsia="Palatino Linotype" w:hAnsi="Palatino Linotype" w:cs="Palatino Linotype"/>
          <w:color w:val="000000" w:themeColor="text1"/>
        </w:rPr>
        <w:t xml:space="preserve"> lo siguiente en cuanto al nombre del personal operativo, que forma parte de la Dirección General de Seguridad y Protección del Ayuntamiento de Toluca. </w:t>
      </w:r>
    </w:p>
    <w:p w14:paraId="336B15B0" w14:textId="77777777" w:rsidR="00570610" w:rsidRPr="007D4C61" w:rsidRDefault="00570610" w:rsidP="00664A7E">
      <w:pPr>
        <w:spacing w:line="360" w:lineRule="auto"/>
        <w:jc w:val="both"/>
        <w:rPr>
          <w:rFonts w:ascii="Palatino Linotype" w:eastAsia="Palatino Linotype" w:hAnsi="Palatino Linotype" w:cs="Palatino Linotype"/>
          <w:color w:val="000000" w:themeColor="text1"/>
        </w:rPr>
      </w:pPr>
    </w:p>
    <w:p w14:paraId="2E2BCE1D" w14:textId="292F9B02"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 xml:space="preserve">En esa línea, se debe </w:t>
      </w:r>
      <w:r w:rsidR="009273DC" w:rsidRPr="007D4C61">
        <w:rPr>
          <w:rFonts w:ascii="Palatino Linotype" w:eastAsia="Palatino Linotype" w:hAnsi="Palatino Linotype" w:cs="Palatino Linotype"/>
          <w:color w:val="000000" w:themeColor="text1"/>
        </w:rPr>
        <w:t>de precisar</w:t>
      </w:r>
      <w:r w:rsidRPr="007D4C61">
        <w:rPr>
          <w:rFonts w:ascii="Palatino Linotype" w:eastAsia="Palatino Linotype" w:hAnsi="Palatino Linotype" w:cs="Palatino Linotype"/>
          <w:color w:val="000000" w:themeColor="text1"/>
        </w:rPr>
        <w:t xml:space="preserve">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7D4C61">
        <w:rPr>
          <w:rFonts w:ascii="Palatino Linotype" w:eastAsia="Palatino Linotype" w:hAnsi="Palatino Linotype" w:cs="Palatino Linotype"/>
          <w:i/>
          <w:color w:val="000000" w:themeColor="text1"/>
        </w:rPr>
        <w:t>per se</w:t>
      </w:r>
      <w:r w:rsidRPr="007D4C61">
        <w:rPr>
          <w:rFonts w:ascii="Palatino Linotype" w:eastAsia="Palatino Linotype" w:hAnsi="Palatino Linotype" w:cs="Palatino Linotype"/>
          <w:color w:val="000000" w:themeColor="text1"/>
        </w:rPr>
        <w:t xml:space="preserve"> es un elemento que hace a una persona física identificada o identificable.</w:t>
      </w:r>
    </w:p>
    <w:p w14:paraId="618F0BD2" w14:textId="77777777" w:rsidR="00570610" w:rsidRPr="007D4C61" w:rsidRDefault="00570610" w:rsidP="00664A7E">
      <w:pPr>
        <w:spacing w:line="360" w:lineRule="auto"/>
        <w:jc w:val="both"/>
        <w:rPr>
          <w:rFonts w:ascii="Palatino Linotype" w:eastAsia="Palatino Linotype" w:hAnsi="Palatino Linotype" w:cs="Palatino Linotype"/>
          <w:color w:val="000000" w:themeColor="text1"/>
        </w:rPr>
      </w:pPr>
    </w:p>
    <w:p w14:paraId="47C55699"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lastRenderedPageBreak/>
        <w:t>En ese contexto, es importante mencionar que si bien es cierto que el nombre de una persona es atributo de la personalidad, de conformidad con la legislación civil, al tratarse de un dato personal hace identificable a su titular, además la Ley de Transparencia y Acceso a la Información Pública del Estado de México y Municipios ha establecido un régimen de excepción tratándose de los nombres de servidores públicos, ya que la difusión de dicho dato constituye una obligación de transparencia por parte de los sujetos obligados.</w:t>
      </w:r>
    </w:p>
    <w:p w14:paraId="78980737" w14:textId="77777777" w:rsidR="00570610" w:rsidRPr="007D4C61" w:rsidRDefault="00570610" w:rsidP="00664A7E">
      <w:pPr>
        <w:spacing w:line="360" w:lineRule="auto"/>
        <w:jc w:val="both"/>
        <w:rPr>
          <w:rFonts w:ascii="Palatino Linotype" w:eastAsia="Palatino Linotype" w:hAnsi="Palatino Linotype" w:cs="Palatino Linotype"/>
          <w:color w:val="000000" w:themeColor="text1"/>
        </w:rPr>
      </w:pPr>
    </w:p>
    <w:p w14:paraId="7B59CECD"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7D4C61">
        <w:rPr>
          <w:rFonts w:ascii="Palatino Linotype" w:eastAsia="Palatino Linotype" w:hAnsi="Palatino Linotype" w:cs="Palatino Linotype"/>
          <w:color w:val="000000" w:themeColor="text1"/>
        </w:rPr>
        <w:t xml:space="preserve">Lo anterior, toma sustento con el artículo 70, fracción VII, de la Ley General de Transparencia y Acceso a la Información Pública, vigente a la fecha de la solicitud y el 92, fracción VII, de la Ley de Transparencia y Acceso a la Información Pública del Estado de México y Municipios, establece que los sujetos obligados tienen la obligación de poner a disposición del público y mantener actualizada de acuerdo con sus facultades, atribuciones, funciones u objeto social, según corresponda el directorio, que deberá incluir al menos, entre otros datos, </w:t>
      </w:r>
      <w:r w:rsidRPr="007D4C61">
        <w:rPr>
          <w:rFonts w:ascii="Palatino Linotype" w:eastAsia="Palatino Linotype" w:hAnsi="Palatino Linotype" w:cs="Palatino Linotype"/>
          <w:b/>
          <w:color w:val="000000" w:themeColor="text1"/>
        </w:rPr>
        <w:t>el nombre del servidor público.</w:t>
      </w:r>
    </w:p>
    <w:p w14:paraId="3F5F7832" w14:textId="77777777" w:rsidR="00570610" w:rsidRPr="007D4C61" w:rsidRDefault="00570610" w:rsidP="00664A7E">
      <w:pPr>
        <w:spacing w:line="360" w:lineRule="auto"/>
        <w:jc w:val="both"/>
        <w:rPr>
          <w:rFonts w:ascii="Palatino Linotype" w:eastAsia="Palatino Linotype" w:hAnsi="Palatino Linotype" w:cs="Palatino Linotype"/>
          <w:b/>
          <w:color w:val="000000" w:themeColor="text1"/>
        </w:rPr>
      </w:pPr>
    </w:p>
    <w:p w14:paraId="4C92FB64"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 xml:space="preserve">Por lo tanto, las Leyes de Transparencia, considera que </w:t>
      </w:r>
      <w:r w:rsidRPr="007D4C61">
        <w:rPr>
          <w:rFonts w:ascii="Palatino Linotype" w:eastAsia="Palatino Linotype" w:hAnsi="Palatino Linotype" w:cs="Palatino Linotype"/>
          <w:b/>
          <w:color w:val="000000" w:themeColor="text1"/>
        </w:rPr>
        <w:t xml:space="preserve">los datos, como el nombre de servidores </w:t>
      </w:r>
      <w:r w:rsidRPr="007D4C61">
        <w:rPr>
          <w:rFonts w:ascii="Palatino Linotype" w:eastAsia="Palatino Linotype" w:hAnsi="Palatino Linotype" w:cs="Palatino Linotype"/>
          <w:color w:val="000000" w:themeColor="text1"/>
        </w:rPr>
        <w:t>públicos</w:t>
      </w:r>
      <w:r w:rsidRPr="007D4C61">
        <w:rPr>
          <w:rFonts w:ascii="Palatino Linotype" w:eastAsia="Palatino Linotype" w:hAnsi="Palatino Linotype" w:cs="Palatino Linotype"/>
          <w:b/>
          <w:color w:val="000000" w:themeColor="text1"/>
        </w:rPr>
        <w:t xml:space="preserve">, por regla general, </w:t>
      </w:r>
      <w:r w:rsidRPr="007D4C61">
        <w:rPr>
          <w:rFonts w:ascii="Palatino Linotype" w:eastAsia="Palatino Linotype" w:hAnsi="Palatino Linotype" w:cs="Palatino Linotype"/>
          <w:color w:val="000000" w:themeColor="text1"/>
        </w:rPr>
        <w:t>son de naturaleza pública, ya que su publicidad orienta a cumplir los objetivos que persigue la Ley y, por lo tanto, no procede la clasificación en términos del artículo 143, fracción I, de la Ley Local.</w:t>
      </w:r>
    </w:p>
    <w:p w14:paraId="3DC31461" w14:textId="77777777" w:rsidR="00570610" w:rsidRPr="007D4C61" w:rsidRDefault="00570610" w:rsidP="00664A7E">
      <w:pPr>
        <w:spacing w:line="360" w:lineRule="auto"/>
        <w:jc w:val="both"/>
        <w:rPr>
          <w:rFonts w:ascii="Palatino Linotype" w:eastAsia="Palatino Linotype" w:hAnsi="Palatino Linotype" w:cs="Palatino Linotype"/>
          <w:color w:val="000000" w:themeColor="text1"/>
        </w:rPr>
      </w:pPr>
    </w:p>
    <w:p w14:paraId="7FF19A09"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 xml:space="preserve">Sin embargo, no pasa desapercibido para este Instituto, que de la información que se entregue, se puede remitir de servidores públicos que realicen funciones operativas en </w:t>
      </w:r>
      <w:r w:rsidRPr="007D4C61">
        <w:rPr>
          <w:rFonts w:ascii="Palatino Linotype" w:eastAsia="Palatino Linotype" w:hAnsi="Palatino Linotype" w:cs="Palatino Linotype"/>
          <w:color w:val="000000" w:themeColor="text1"/>
        </w:rPr>
        <w:lastRenderedPageBreak/>
        <w:t>materia de seguridad pública, por lo que, se procede analizar si su nombre es público o reservado; sobre el tema, el artículo 140, fracción IV, de la Ley de Transparencia y Acceso a la Información Pública del Estado de México y Municipios, homólogo a parte del artículo 113, fracción V de la Ley General de Transparencia y Acceso a la Información Pública), prevé lo siguiente:</w:t>
      </w:r>
    </w:p>
    <w:p w14:paraId="4AFA869A" w14:textId="77777777" w:rsidR="00570610" w:rsidRPr="007D4C61" w:rsidRDefault="00E91F61" w:rsidP="00664A7E">
      <w:pPr>
        <w:tabs>
          <w:tab w:val="left" w:pos="4962"/>
        </w:tabs>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w:t>
      </w:r>
      <w:r w:rsidRPr="007D4C61">
        <w:rPr>
          <w:rFonts w:ascii="Palatino Linotype" w:eastAsia="Palatino Linotype" w:hAnsi="Palatino Linotype" w:cs="Palatino Linotype"/>
          <w:b/>
          <w:i/>
          <w:color w:val="000000" w:themeColor="text1"/>
        </w:rPr>
        <w:t>Artículo 140.</w:t>
      </w:r>
      <w:r w:rsidRPr="007D4C61">
        <w:rPr>
          <w:rFonts w:ascii="Palatino Linotype" w:eastAsia="Palatino Linotype" w:hAnsi="Palatino Linotype" w:cs="Palatino Linotype"/>
          <w:i/>
          <w:color w:val="000000" w:themeColor="text1"/>
        </w:rPr>
        <w:t xml:space="preserve"> El acceso a la información pública será restringido excepcionalmente, cuando por razones de interés público, ésta sea clasificada como reservada, conforme a los criterios siguientes: </w:t>
      </w:r>
    </w:p>
    <w:p w14:paraId="080A9BCA" w14:textId="77777777" w:rsidR="00570610" w:rsidRPr="007D4C61" w:rsidRDefault="00E91F61" w:rsidP="00664A7E">
      <w:pPr>
        <w:tabs>
          <w:tab w:val="left" w:pos="4962"/>
        </w:tabs>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w:t>
      </w:r>
    </w:p>
    <w:p w14:paraId="1A073FB2" w14:textId="77777777" w:rsidR="00570610" w:rsidRPr="007D4C61" w:rsidRDefault="00E91F61" w:rsidP="00664A7E">
      <w:pPr>
        <w:tabs>
          <w:tab w:val="left" w:pos="4962"/>
        </w:tabs>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IV. Ponga en riesgo la vida, la seguridad o la salud de una persona física;</w:t>
      </w:r>
    </w:p>
    <w:p w14:paraId="232342B1" w14:textId="77777777" w:rsidR="00570610" w:rsidRPr="007D4C61" w:rsidRDefault="00E91F61" w:rsidP="00664A7E">
      <w:pPr>
        <w:tabs>
          <w:tab w:val="left" w:pos="4962"/>
        </w:tabs>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 xml:space="preserve">…” </w:t>
      </w:r>
    </w:p>
    <w:p w14:paraId="1AC24E87" w14:textId="77777777" w:rsidR="00570610" w:rsidRPr="007D4C61" w:rsidRDefault="00570610" w:rsidP="00664A7E">
      <w:pPr>
        <w:spacing w:line="360" w:lineRule="auto"/>
        <w:jc w:val="both"/>
        <w:rPr>
          <w:rFonts w:ascii="Palatino Linotype" w:eastAsia="Palatino Linotype" w:hAnsi="Palatino Linotype" w:cs="Palatino Linotype"/>
          <w:color w:val="000000" w:themeColor="text1"/>
        </w:rPr>
      </w:pPr>
    </w:p>
    <w:p w14:paraId="2B4B5CCC"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Del precepto legal anteriormente citado se desprende que como información reservada podrá clasificarse aquella cuya publicación pueda poner en riesgo la vida, seguridad o salud de una persona física; para acreditar lo anterior, los Lineamientos Generales, establecen lo siguiente:</w:t>
      </w:r>
    </w:p>
    <w:p w14:paraId="2EDC8EE0" w14:textId="77777777" w:rsidR="00570610" w:rsidRPr="007D4C61" w:rsidRDefault="00E91F61" w:rsidP="00664A7E">
      <w:pP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b/>
          <w:i/>
          <w:color w:val="000000" w:themeColor="text1"/>
        </w:rPr>
        <w:t xml:space="preserve">“Vigésimo tercero. </w:t>
      </w:r>
      <w:r w:rsidRPr="007D4C61">
        <w:rPr>
          <w:rFonts w:ascii="Palatino Linotype" w:eastAsia="Palatino Linotype" w:hAnsi="Palatino Linotype" w:cs="Palatino Linotype"/>
          <w:i/>
          <w:color w:val="000000" w:themeColor="text1"/>
        </w:rPr>
        <w:t>Para clasificar la información como reservada, de conformidad con el artículo 113, fracción V de la Ley General, será necesario acreditar un vínculo, entre la persona física y la información que pueda poner en riesgo su vida, seguridad o salud.”</w:t>
      </w:r>
    </w:p>
    <w:p w14:paraId="5E61FBE5" w14:textId="77777777" w:rsidR="00570610" w:rsidRPr="007D4C61" w:rsidRDefault="00570610" w:rsidP="00664A7E">
      <w:pPr>
        <w:spacing w:line="360" w:lineRule="auto"/>
        <w:jc w:val="both"/>
        <w:rPr>
          <w:rFonts w:ascii="Palatino Linotype" w:eastAsia="Palatino Linotype" w:hAnsi="Palatino Linotype" w:cs="Palatino Linotype"/>
          <w:i/>
          <w:color w:val="000000" w:themeColor="text1"/>
        </w:rPr>
      </w:pPr>
    </w:p>
    <w:p w14:paraId="700955D5"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Del Lineamiento referido, se desprende que para clasificar la información como reservada, será necesario acreditar</w:t>
      </w:r>
      <w:r w:rsidRPr="007D4C61">
        <w:rPr>
          <w:rFonts w:ascii="Palatino Linotype" w:eastAsia="Palatino Linotype" w:hAnsi="Palatino Linotype" w:cs="Palatino Linotype"/>
          <w:b/>
          <w:color w:val="000000" w:themeColor="text1"/>
        </w:rPr>
        <w:t xml:space="preserve"> un vínculo, entre la persona física y la información que pueda poner en riesgo su vida, seguridad o salud</w:t>
      </w:r>
      <w:r w:rsidRPr="007D4C61">
        <w:rPr>
          <w:rFonts w:ascii="Palatino Linotype" w:eastAsia="Palatino Linotype" w:hAnsi="Palatino Linotype" w:cs="Palatino Linotype"/>
          <w:color w:val="000000" w:themeColor="text1"/>
        </w:rPr>
        <w:t>.</w:t>
      </w:r>
    </w:p>
    <w:p w14:paraId="312EBDD2" w14:textId="77777777" w:rsidR="00570610" w:rsidRPr="007D4C61" w:rsidRDefault="00570610" w:rsidP="00664A7E">
      <w:pPr>
        <w:spacing w:line="360" w:lineRule="auto"/>
        <w:jc w:val="both"/>
        <w:rPr>
          <w:rFonts w:ascii="Palatino Linotype" w:eastAsia="Palatino Linotype" w:hAnsi="Palatino Linotype" w:cs="Palatino Linotype"/>
          <w:color w:val="000000" w:themeColor="text1"/>
        </w:rPr>
      </w:pPr>
    </w:p>
    <w:p w14:paraId="6934FB6D"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Además, el artículo 81, fracción III, de la Ley de Seguridad del Estado de México, establece lo siguiente:</w:t>
      </w:r>
    </w:p>
    <w:p w14:paraId="309E7225" w14:textId="77777777" w:rsidR="00570610" w:rsidRPr="007D4C61" w:rsidRDefault="00570610" w:rsidP="00664A7E">
      <w:pPr>
        <w:spacing w:line="360" w:lineRule="auto"/>
        <w:jc w:val="both"/>
        <w:rPr>
          <w:rFonts w:ascii="Palatino Linotype" w:eastAsia="Palatino Linotype" w:hAnsi="Palatino Linotype" w:cs="Palatino Linotype"/>
          <w:color w:val="000000" w:themeColor="text1"/>
        </w:rPr>
      </w:pPr>
    </w:p>
    <w:p w14:paraId="498DBE59" w14:textId="77777777" w:rsidR="00570610" w:rsidRPr="007D4C61" w:rsidRDefault="00E91F61" w:rsidP="00664A7E">
      <w:pP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b/>
          <w:i/>
          <w:color w:val="000000" w:themeColor="text1"/>
        </w:rPr>
        <w:lastRenderedPageBreak/>
        <w:t>“Artículo 81.-</w:t>
      </w:r>
      <w:r w:rsidRPr="007D4C61">
        <w:rPr>
          <w:rFonts w:ascii="Palatino Linotype" w:eastAsia="Palatino Linotype" w:hAnsi="Palatino Linotype" w:cs="Palatino Linotype"/>
          <w:i/>
          <w:color w:val="000000" w:themeColor="text1"/>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5DCC2C0E" w14:textId="77777777" w:rsidR="00570610" w:rsidRPr="007D4C61" w:rsidRDefault="00E91F61" w:rsidP="00664A7E">
      <w:pP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w:t>
      </w:r>
    </w:p>
    <w:p w14:paraId="7CC2F91D" w14:textId="77777777" w:rsidR="00570610" w:rsidRPr="007D4C61" w:rsidRDefault="00E91F61" w:rsidP="00664A7E">
      <w:pP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III. La relativa a los servidores públicos integrantes de las instituciones de seguridad pública, cuya revelación pueda poner en riesgo su vida e integridad física con motivo de sus funciones;</w:t>
      </w:r>
    </w:p>
    <w:p w14:paraId="5EDBBA2E" w14:textId="77777777" w:rsidR="00570610" w:rsidRPr="007D4C61" w:rsidRDefault="00E91F61" w:rsidP="00664A7E">
      <w:pPr>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w:t>
      </w:r>
    </w:p>
    <w:p w14:paraId="2E825F3D" w14:textId="77777777" w:rsidR="00570610" w:rsidRPr="007D4C61" w:rsidRDefault="00570610" w:rsidP="00664A7E">
      <w:pPr>
        <w:spacing w:line="360" w:lineRule="auto"/>
        <w:jc w:val="both"/>
        <w:rPr>
          <w:rFonts w:ascii="Palatino Linotype" w:eastAsia="Palatino Linotype" w:hAnsi="Palatino Linotype" w:cs="Palatino Linotype"/>
          <w:color w:val="000000" w:themeColor="text1"/>
        </w:rPr>
      </w:pPr>
    </w:p>
    <w:p w14:paraId="5A8C698C"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Conforme al citado artículo, se desprende que es reservada toda aquella información de los servidores públicos integrantes de las instituciones de seguridad pública, cuya revelación pueda poner en riesgo su vida e integridad física con motivo de sus funciones.</w:t>
      </w:r>
    </w:p>
    <w:p w14:paraId="57B9F726" w14:textId="77777777" w:rsidR="00570610" w:rsidRPr="007D4C61" w:rsidRDefault="00570610" w:rsidP="00664A7E">
      <w:pPr>
        <w:spacing w:line="360" w:lineRule="auto"/>
        <w:jc w:val="both"/>
        <w:rPr>
          <w:rFonts w:ascii="Palatino Linotype" w:eastAsia="Palatino Linotype" w:hAnsi="Palatino Linotype" w:cs="Palatino Linotype"/>
          <w:color w:val="000000" w:themeColor="text1"/>
        </w:rPr>
      </w:pPr>
    </w:p>
    <w:p w14:paraId="144B5E19"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En ese contexto, es de señalar que los datos de servidores públicos, entre los que se encuentran el nombre de los trabajadores, por regla general, son de naturaleza pública; no obstante, resulta necesario traer a colación por analogía, el Criterio 06/09, emitido por el entonces Instituto Federal de Acceso a la Información y Protección de Datos ahora Instituto Nacional de Transparencia, Acceso a la Información y Protección de Datos Personales, que establece lo siguiente:</w:t>
      </w:r>
    </w:p>
    <w:p w14:paraId="1A494D34" w14:textId="77777777" w:rsidR="00570610" w:rsidRPr="007D4C61" w:rsidRDefault="00E91F61" w:rsidP="00664A7E">
      <w:pPr>
        <w:tabs>
          <w:tab w:val="left" w:pos="4962"/>
        </w:tabs>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b/>
          <w:i/>
          <w:color w:val="000000" w:themeColor="text1"/>
        </w:rPr>
        <w:t>“Nombres de servidores públicos dedicados a actividades en materia de seguridad, por excepción pueden considerarse información reservada.</w:t>
      </w:r>
      <w:r w:rsidRPr="007D4C61">
        <w:rPr>
          <w:rFonts w:ascii="Palatino Linotype" w:eastAsia="Palatino Linotype" w:hAnsi="Palatino Linotype" w:cs="Palatino Linotype"/>
          <w:i/>
          <w:color w:val="000000" w:themeColor="text1"/>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w:t>
      </w:r>
      <w:r w:rsidRPr="007D4C61">
        <w:rPr>
          <w:rFonts w:ascii="Palatino Linotype" w:eastAsia="Palatino Linotype" w:hAnsi="Palatino Linotype" w:cs="Palatino Linotype"/>
          <w:i/>
          <w:color w:val="000000" w:themeColor="text1"/>
        </w:rPr>
        <w:lastRenderedPageBreak/>
        <w:t>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0923944B" w14:textId="77777777" w:rsidR="00570610" w:rsidRDefault="00570610" w:rsidP="00664A7E">
      <w:pPr>
        <w:jc w:val="both"/>
        <w:rPr>
          <w:rFonts w:ascii="Palatino Linotype" w:eastAsia="Palatino Linotype" w:hAnsi="Palatino Linotype" w:cs="Palatino Linotype"/>
          <w:color w:val="000000" w:themeColor="text1"/>
        </w:rPr>
      </w:pPr>
    </w:p>
    <w:p w14:paraId="722835BB" w14:textId="77777777" w:rsidR="00242433" w:rsidRPr="007D4C61" w:rsidRDefault="00242433" w:rsidP="00664A7E">
      <w:pPr>
        <w:jc w:val="both"/>
        <w:rPr>
          <w:rFonts w:ascii="Palatino Linotype" w:eastAsia="Palatino Linotype" w:hAnsi="Palatino Linotype" w:cs="Palatino Linotype"/>
          <w:color w:val="000000" w:themeColor="text1"/>
        </w:rPr>
      </w:pPr>
    </w:p>
    <w:p w14:paraId="34FCB0E7"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5D1B5579" w14:textId="77777777" w:rsidR="00570610" w:rsidRPr="007D4C61" w:rsidRDefault="00570610" w:rsidP="00664A7E">
      <w:pPr>
        <w:spacing w:line="360" w:lineRule="auto"/>
        <w:jc w:val="both"/>
        <w:rPr>
          <w:rFonts w:ascii="Palatino Linotype" w:eastAsia="Palatino Linotype" w:hAnsi="Palatino Linotype" w:cs="Palatino Linotype"/>
          <w:color w:val="000000" w:themeColor="text1"/>
        </w:rPr>
      </w:pPr>
    </w:p>
    <w:p w14:paraId="7CAAEEB3"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 xml:space="preserve">En ese orden de ideas, si bien por regla general los nombres de los trabajadores gubernamentales son información pública de oficio, existe una excepción relativa a </w:t>
      </w:r>
      <w:r w:rsidRPr="007D4C61">
        <w:rPr>
          <w:rFonts w:ascii="Palatino Linotype" w:eastAsia="Palatino Linotype" w:hAnsi="Palatino Linotype" w:cs="Palatino Linotype"/>
          <w:b/>
          <w:color w:val="000000" w:themeColor="text1"/>
        </w:rPr>
        <w:t>aquellos que realicen actividades operativas en materia de seguridad,</w:t>
      </w:r>
      <w:r w:rsidRPr="007D4C61">
        <w:rPr>
          <w:rFonts w:ascii="Palatino Linotype" w:eastAsia="Palatino Linotype" w:hAnsi="Palatino Linotype" w:cs="Palatino Linotype"/>
          <w:color w:val="000000" w:themeColor="text1"/>
        </w:rPr>
        <w:t xml:space="preserve"> como es el caso de los elementos operativos en materia de seguridad pública.</w:t>
      </w:r>
    </w:p>
    <w:p w14:paraId="449450DF" w14:textId="77777777" w:rsidR="00570610" w:rsidRPr="007D4C61" w:rsidRDefault="00570610" w:rsidP="00664A7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08EF60FE"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 xml:space="preserve">Así, se concluye que dar a conocer el nombre de las personas, vinculado con el hecho que son elementos operativos en materia de seguridad,  los vuelve identificables y </w:t>
      </w:r>
      <w:r w:rsidRPr="007D4C61">
        <w:rPr>
          <w:rFonts w:ascii="Palatino Linotype" w:eastAsia="Palatino Linotype" w:hAnsi="Palatino Linotype" w:cs="Palatino Linotype"/>
          <w:color w:val="000000" w:themeColor="text1"/>
        </w:rPr>
        <w:lastRenderedPageBreak/>
        <w:t>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 de tal situación, se considera que dar a conocer el nombre de los elementos operativos, pone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6268ABEA" w14:textId="77777777" w:rsidR="00570610" w:rsidRPr="007D4C61" w:rsidRDefault="00570610" w:rsidP="00664A7E">
      <w:pPr>
        <w:spacing w:line="360" w:lineRule="auto"/>
        <w:jc w:val="both"/>
        <w:rPr>
          <w:rFonts w:ascii="Palatino Linotype" w:eastAsia="Palatino Linotype" w:hAnsi="Palatino Linotype" w:cs="Palatino Linotype"/>
          <w:color w:val="000000" w:themeColor="text1"/>
        </w:rPr>
      </w:pPr>
    </w:p>
    <w:p w14:paraId="64982053"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60E49473" w14:textId="77777777" w:rsidR="00570610" w:rsidRPr="007D4C61" w:rsidRDefault="00E91F61" w:rsidP="00242433">
      <w:pPr>
        <w:numPr>
          <w:ilvl w:val="0"/>
          <w:numId w:val="5"/>
        </w:numPr>
        <w:spacing w:after="160"/>
        <w:ind w:left="0" w:firstLine="0"/>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La divulgación de la información representa un riesgo real, demostrable e identificable de perjuicio significativo al interés público o a la seguridad nacional.</w:t>
      </w:r>
    </w:p>
    <w:p w14:paraId="3C1FF1AB" w14:textId="77777777" w:rsidR="00570610" w:rsidRPr="007D4C61" w:rsidRDefault="00570610" w:rsidP="00242433">
      <w:pPr>
        <w:jc w:val="both"/>
        <w:rPr>
          <w:rFonts w:ascii="Palatino Linotype" w:eastAsia="Palatino Linotype" w:hAnsi="Palatino Linotype" w:cs="Palatino Linotype"/>
          <w:i/>
          <w:color w:val="000000" w:themeColor="text1"/>
        </w:rPr>
      </w:pPr>
    </w:p>
    <w:p w14:paraId="30870A8F" w14:textId="77777777" w:rsidR="00570610" w:rsidRPr="007D4C61" w:rsidRDefault="00E91F61" w:rsidP="00242433">
      <w:pPr>
        <w:numPr>
          <w:ilvl w:val="0"/>
          <w:numId w:val="5"/>
        </w:numPr>
        <w:spacing w:after="160"/>
        <w:ind w:left="0" w:firstLine="0"/>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t>El riesgo de perjuicio supera el interés público general de que se difunda.</w:t>
      </w:r>
    </w:p>
    <w:p w14:paraId="47ACD6D5" w14:textId="77777777" w:rsidR="00570610" w:rsidRPr="007D4C61" w:rsidRDefault="00570610" w:rsidP="00664A7E">
      <w:pPr>
        <w:tabs>
          <w:tab w:val="left" w:pos="4962"/>
        </w:tabs>
        <w:ind w:hanging="425"/>
        <w:jc w:val="both"/>
        <w:rPr>
          <w:rFonts w:ascii="Palatino Linotype" w:eastAsia="Palatino Linotype" w:hAnsi="Palatino Linotype" w:cs="Palatino Linotype"/>
          <w:i/>
          <w:color w:val="000000" w:themeColor="text1"/>
        </w:rPr>
      </w:pPr>
    </w:p>
    <w:p w14:paraId="4CBA7CC6" w14:textId="77777777" w:rsidR="00570610" w:rsidRPr="007D4C61" w:rsidRDefault="00E91F61" w:rsidP="00242433">
      <w:pPr>
        <w:numPr>
          <w:ilvl w:val="0"/>
          <w:numId w:val="5"/>
        </w:numPr>
        <w:spacing w:after="160"/>
        <w:ind w:left="0" w:firstLine="0"/>
        <w:jc w:val="both"/>
        <w:rPr>
          <w:rFonts w:ascii="Palatino Linotype" w:eastAsia="Palatino Linotype" w:hAnsi="Palatino Linotype" w:cs="Palatino Linotype"/>
          <w:i/>
          <w:color w:val="000000" w:themeColor="text1"/>
        </w:rPr>
      </w:pPr>
      <w:r w:rsidRPr="007D4C61">
        <w:rPr>
          <w:rFonts w:ascii="Palatino Linotype" w:eastAsia="Palatino Linotype" w:hAnsi="Palatino Linotype" w:cs="Palatino Linotype"/>
          <w:i/>
          <w:color w:val="000000" w:themeColor="text1"/>
        </w:rPr>
        <w:lastRenderedPageBreak/>
        <w:t>Que la limitación se adecua al principio de proporcionalidad y representa el medio menos restrictivo disponible para evitar el perjuicio.</w:t>
      </w:r>
    </w:p>
    <w:p w14:paraId="29519824" w14:textId="77777777" w:rsidR="00570610" w:rsidRPr="007D4C61" w:rsidRDefault="00570610" w:rsidP="00664A7E">
      <w:pPr>
        <w:spacing w:line="360" w:lineRule="auto"/>
        <w:jc w:val="both"/>
        <w:rPr>
          <w:rFonts w:ascii="Palatino Linotype" w:eastAsia="Palatino Linotype" w:hAnsi="Palatino Linotype" w:cs="Palatino Linotype"/>
          <w:color w:val="000000" w:themeColor="text1"/>
        </w:rPr>
      </w:pPr>
    </w:p>
    <w:p w14:paraId="3A46593F"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Al respecto, este Instituto advierte lo siguiente:</w:t>
      </w:r>
    </w:p>
    <w:p w14:paraId="585C9DAF" w14:textId="77777777" w:rsidR="00570610" w:rsidRPr="007D4C61" w:rsidRDefault="00E91F61" w:rsidP="00242433">
      <w:pPr>
        <w:numPr>
          <w:ilvl w:val="0"/>
          <w:numId w:val="7"/>
        </w:numP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 xml:space="preserve">Que existe un </w:t>
      </w:r>
      <w:r w:rsidRPr="007D4C61">
        <w:rPr>
          <w:rFonts w:ascii="Palatino Linotype" w:eastAsia="Palatino Linotype" w:hAnsi="Palatino Linotype" w:cs="Palatino Linotype"/>
          <w:b/>
          <w:color w:val="000000" w:themeColor="text1"/>
        </w:rPr>
        <w:t xml:space="preserve">riesgo real, demostrable e identificable, </w:t>
      </w:r>
      <w:r w:rsidRPr="007D4C61">
        <w:rPr>
          <w:rFonts w:ascii="Palatino Linotype" w:eastAsia="Palatino Linotype" w:hAnsi="Palatino Linotype" w:cs="Palatino Linotype"/>
          <w:color w:val="000000" w:themeColor="text1"/>
        </w:rPr>
        <w:t xml:space="preserve">toda vez que dar a conocer los nombres de la policía municipal, pone en riesgo su vida, salud y seguridad, dado que los hace identificables, lo cual provocaría que utilicen dicha información para amenazar, intimidar o extorsionar al servidor público, a su familia e inclusive a su entorno social. Además, que podría ocasionar que los integrantes de organizaciones criminales los contacten para presionar en entregar información, estrategias para aumentar la inseguridad y los actos ilícitos. </w:t>
      </w:r>
    </w:p>
    <w:p w14:paraId="27C6CB6F" w14:textId="77777777" w:rsidR="00570610" w:rsidRPr="007D4C61" w:rsidRDefault="00E91F61" w:rsidP="00242433">
      <w:pPr>
        <w:numPr>
          <w:ilvl w:val="0"/>
          <w:numId w:val="7"/>
        </w:numPr>
        <w:spacing w:line="360" w:lineRule="auto"/>
        <w:ind w:left="0" w:firstLine="0"/>
        <w:jc w:val="both"/>
        <w:rPr>
          <w:rFonts w:ascii="Palatino Linotype" w:eastAsia="Palatino Linotype" w:hAnsi="Palatino Linotype" w:cs="Palatino Linotype"/>
          <w:b/>
          <w:color w:val="000000" w:themeColor="text1"/>
        </w:rPr>
      </w:pPr>
      <w:r w:rsidRPr="007D4C61">
        <w:rPr>
          <w:rFonts w:ascii="Palatino Linotype" w:eastAsia="Palatino Linotype" w:hAnsi="Palatino Linotype" w:cs="Palatino Linotype"/>
          <w:b/>
          <w:color w:val="000000" w:themeColor="text1"/>
        </w:rPr>
        <w:t>Que el riesgo de perjuicio que supone la divulgación de la información supera el interés público general</w:t>
      </w:r>
      <w:r w:rsidRPr="007D4C61">
        <w:rPr>
          <w:rFonts w:ascii="Palatino Linotype" w:eastAsia="Palatino Linotype" w:hAnsi="Palatino Linotype" w:cs="Palatino Linotype"/>
          <w:color w:val="000000" w:themeColor="text1"/>
        </w:rPr>
        <w:t xml:space="preserve">, ya que individuos con pretensiones delictivas pudieran promover algún vínculo o relación directa con los elementos operativos, o bien, someterla a extorsión o amenazas con el fin de obtener información sensible sobre el modus operandi de dicha área, lo cual se traduciría en un detrimento al combate a la delincuencia y un perjuicio a la seguridad pública, </w:t>
      </w:r>
      <w:r w:rsidRPr="007D4C61">
        <w:rPr>
          <w:rFonts w:ascii="Palatino Linotype" w:eastAsia="Palatino Linotype" w:hAnsi="Palatino Linotype" w:cs="Palatino Linotype"/>
          <w:b/>
          <w:color w:val="000000" w:themeColor="text1"/>
        </w:rPr>
        <w:t>vulnerando así, el interés general.</w:t>
      </w:r>
    </w:p>
    <w:p w14:paraId="455437E7" w14:textId="77777777" w:rsidR="00570610" w:rsidRPr="007D4C61" w:rsidRDefault="00E91F61" w:rsidP="00242433">
      <w:pPr>
        <w:numPr>
          <w:ilvl w:val="0"/>
          <w:numId w:val="7"/>
        </w:numPr>
        <w:spacing w:line="360" w:lineRule="auto"/>
        <w:ind w:left="0" w:firstLine="0"/>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b/>
          <w:color w:val="000000" w:themeColor="text1"/>
        </w:rPr>
        <w:t xml:space="preserve">Que la reserva no se traduzca en un medio restrictivo al derecho de acceso a la información, </w:t>
      </w:r>
      <w:r w:rsidRPr="007D4C61">
        <w:rPr>
          <w:rFonts w:ascii="Palatino Linotype" w:eastAsia="Palatino Linotype" w:hAnsi="Palatino Linotype" w:cs="Palatino Linotype"/>
          <w:color w:val="000000" w:themeColor="text1"/>
        </w:rPr>
        <w:t xml:space="preserve">en virtud de que la misma prevalece al proteger alguno de los derechos más importantes, como lo son la vida, la salud y la seguridad de </w:t>
      </w:r>
      <w:r w:rsidRPr="007D4C61">
        <w:rPr>
          <w:rFonts w:ascii="Palatino Linotype" w:eastAsia="Palatino Linotype" w:hAnsi="Palatino Linotype" w:cs="Palatino Linotype"/>
          <w:b/>
          <w:color w:val="000000" w:themeColor="text1"/>
        </w:rPr>
        <w:t>los servidores públicos,</w:t>
      </w:r>
      <w:r w:rsidRPr="007D4C61">
        <w:rPr>
          <w:rFonts w:ascii="Palatino Linotype" w:eastAsia="Palatino Linotype" w:hAnsi="Palatino Linotype" w:cs="Palatino Linotype"/>
          <w:color w:val="000000" w:themeColor="text1"/>
        </w:rPr>
        <w:t xml:space="preserve"> sus familiares e inclusive de su entorno social, ya que la policía municipal ayuda a mantener el orden público y la paz social, así como la prevención de la comisión de cualquier delito, inhibiendo la manifestación de conductas antisociales.</w:t>
      </w:r>
    </w:p>
    <w:p w14:paraId="28FDAE7B"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7D4C61">
        <w:rPr>
          <w:rFonts w:ascii="Palatino Linotype" w:eastAsia="Palatino Linotype" w:hAnsi="Palatino Linotype" w:cs="Palatino Linotype"/>
          <w:color w:val="000000" w:themeColor="text1"/>
        </w:rPr>
        <w:lastRenderedPageBreak/>
        <w:t xml:space="preserve">Por tales consideraciones, </w:t>
      </w:r>
      <w:r w:rsidRPr="007D4C61">
        <w:rPr>
          <w:rFonts w:ascii="Palatino Linotype" w:eastAsia="Palatino Linotype" w:hAnsi="Palatino Linotype" w:cs="Palatino Linotype"/>
          <w:b/>
          <w:color w:val="000000" w:themeColor="text1"/>
        </w:rPr>
        <w:t>resulta procedente la reserva del nombre de los elementos operativos de la Dirección General de Seguridad y Protección del Ayuntamiento de Toluca, en términos del artículo 140, fracción IV, de la Ley de Transparencia y Acceso a la Información Pública del Estado de México y Municipios.</w:t>
      </w:r>
    </w:p>
    <w:p w14:paraId="271B7888" w14:textId="77777777" w:rsidR="00570610" w:rsidRPr="007D4C61" w:rsidRDefault="00570610" w:rsidP="00664A7E">
      <w:pPr>
        <w:rPr>
          <w:rFonts w:ascii="Palatino Linotype" w:eastAsia="Palatino Linotype" w:hAnsi="Palatino Linotype" w:cs="Palatino Linotype"/>
          <w:color w:val="000000" w:themeColor="text1"/>
        </w:rPr>
      </w:pPr>
    </w:p>
    <w:p w14:paraId="63EBB6B2"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7D4C61">
        <w:rPr>
          <w:rFonts w:ascii="Palatino Linotype" w:eastAsia="Palatino Linotype" w:hAnsi="Palatino Linotype" w:cs="Palatino Linotype"/>
          <w:color w:val="000000" w:themeColor="text1"/>
        </w:rPr>
        <w:t xml:space="preserve">De lo analizado, se establece que las razones o motivos de inconformidad hechos valer por el </w:t>
      </w:r>
      <w:r w:rsidRPr="007D4C61">
        <w:rPr>
          <w:rFonts w:ascii="Palatino Linotype" w:eastAsia="Palatino Linotype" w:hAnsi="Palatino Linotype" w:cs="Palatino Linotype"/>
          <w:b/>
          <w:color w:val="000000" w:themeColor="text1"/>
        </w:rPr>
        <w:t xml:space="preserve">RECURRENTE </w:t>
      </w:r>
      <w:r w:rsidRPr="007D4C61">
        <w:rPr>
          <w:rFonts w:ascii="Palatino Linotype" w:eastAsia="Palatino Linotype" w:hAnsi="Palatino Linotype" w:cs="Palatino Linotype"/>
          <w:color w:val="000000" w:themeColor="text1"/>
        </w:rPr>
        <w:t xml:space="preserve">resultan </w:t>
      </w:r>
      <w:r w:rsidRPr="007D4C61">
        <w:rPr>
          <w:rFonts w:ascii="Palatino Linotype" w:eastAsia="Palatino Linotype" w:hAnsi="Palatino Linotype" w:cs="Palatino Linotype"/>
          <w:b/>
          <w:color w:val="000000" w:themeColor="text1"/>
        </w:rPr>
        <w:t>fundadas y procedentes</w:t>
      </w:r>
      <w:r w:rsidRPr="007D4C61">
        <w:rPr>
          <w:rFonts w:ascii="Palatino Linotype" w:eastAsia="Palatino Linotype" w:hAnsi="Palatino Linotype" w:cs="Palatino Linotype"/>
          <w:color w:val="000000" w:themeColor="text1"/>
        </w:rPr>
        <w:t xml:space="preserve">, debido a que el </w:t>
      </w:r>
      <w:r w:rsidRPr="007D4C61">
        <w:rPr>
          <w:rFonts w:ascii="Palatino Linotype" w:eastAsia="Palatino Linotype" w:hAnsi="Palatino Linotype" w:cs="Palatino Linotype"/>
          <w:b/>
          <w:color w:val="000000" w:themeColor="text1"/>
        </w:rPr>
        <w:t>SUJETO OBLIGADO,</w:t>
      </w:r>
      <w:r w:rsidRPr="007D4C61">
        <w:rPr>
          <w:rFonts w:ascii="Palatino Linotype" w:eastAsia="Palatino Linotype" w:hAnsi="Palatino Linotype" w:cs="Palatino Linotype"/>
          <w:color w:val="000000" w:themeColor="text1"/>
        </w:rPr>
        <w:t xml:space="preserve"> no entregó la información solicitada en la solicitud de información </w:t>
      </w:r>
      <w:r w:rsidRPr="007D4C61">
        <w:rPr>
          <w:rFonts w:ascii="Palatino Linotype" w:eastAsia="Palatino Linotype" w:hAnsi="Palatino Linotype" w:cs="Palatino Linotype"/>
          <w:b/>
          <w:color w:val="000000" w:themeColor="text1"/>
        </w:rPr>
        <w:t>01144/TOLUCA/IP/2025</w:t>
      </w:r>
    </w:p>
    <w:p w14:paraId="64CCBAD4" w14:textId="77777777" w:rsidR="00570610" w:rsidRPr="007D4C61" w:rsidRDefault="00570610" w:rsidP="00664A7E">
      <w:pPr>
        <w:spacing w:line="360" w:lineRule="auto"/>
        <w:jc w:val="both"/>
        <w:rPr>
          <w:rFonts w:ascii="Palatino Linotype" w:hAnsi="Palatino Linotype"/>
          <w:color w:val="000000" w:themeColor="text1"/>
        </w:rPr>
      </w:pPr>
    </w:p>
    <w:p w14:paraId="1D285400" w14:textId="77777777" w:rsidR="00570610" w:rsidRPr="007D4C61" w:rsidRDefault="00E91F61" w:rsidP="00664A7E">
      <w:pPr>
        <w:keepNext/>
        <w:keepLines/>
        <w:spacing w:after="160" w:line="360" w:lineRule="auto"/>
        <w:rPr>
          <w:rFonts w:ascii="Palatino Linotype" w:eastAsia="Palatino Linotype" w:hAnsi="Palatino Linotype" w:cs="Palatino Linotype"/>
          <w:b/>
          <w:color w:val="000000" w:themeColor="text1"/>
        </w:rPr>
      </w:pPr>
      <w:r w:rsidRPr="007D4C61">
        <w:rPr>
          <w:rFonts w:ascii="Palatino Linotype" w:eastAsia="Palatino Linotype" w:hAnsi="Palatino Linotype" w:cs="Palatino Linotype"/>
          <w:b/>
          <w:color w:val="000000" w:themeColor="text1"/>
        </w:rPr>
        <w:t>QUINTO. De la versión pública.</w:t>
      </w:r>
    </w:p>
    <w:p w14:paraId="2F2B3694" w14:textId="77777777" w:rsidR="00570610" w:rsidRPr="007D4C61" w:rsidRDefault="00E91F61" w:rsidP="00664A7E">
      <w:pPr>
        <w:keepNext/>
        <w:keepLines/>
        <w:numPr>
          <w:ilvl w:val="0"/>
          <w:numId w:val="11"/>
        </w:numPr>
        <w:tabs>
          <w:tab w:val="left" w:pos="284"/>
        </w:tabs>
        <w:spacing w:after="160" w:line="360" w:lineRule="auto"/>
        <w:ind w:left="0" w:firstLine="0"/>
        <w:rPr>
          <w:rFonts w:ascii="Palatino Linotype" w:eastAsia="Palatino Linotype" w:hAnsi="Palatino Linotype" w:cs="Palatino Linotype"/>
          <w:b/>
          <w:color w:val="000000" w:themeColor="text1"/>
        </w:rPr>
      </w:pPr>
      <w:bookmarkStart w:id="15" w:name="_heading=h.lnxbz9" w:colFirst="0" w:colLast="0"/>
      <w:bookmarkEnd w:id="15"/>
      <w:r w:rsidRPr="007D4C61">
        <w:rPr>
          <w:rFonts w:ascii="Palatino Linotype" w:eastAsia="Palatino Linotype" w:hAnsi="Palatino Linotype" w:cs="Palatino Linotype"/>
          <w:b/>
          <w:color w:val="000000" w:themeColor="text1"/>
        </w:rPr>
        <w:t xml:space="preserve">Nociones generales. </w:t>
      </w:r>
    </w:p>
    <w:p w14:paraId="27D9968C"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7D4C61">
        <w:rPr>
          <w:rFonts w:ascii="Palatino Linotype" w:eastAsia="Palatino Linotype" w:hAnsi="Palatino Linotype" w:cs="Palatino Linotype"/>
          <w:color w:val="000000" w:themeColor="text1"/>
        </w:rPr>
        <w:t xml:space="preserve">Debe destacarse, que debido a la información solicitada por el </w:t>
      </w:r>
      <w:r w:rsidRPr="007D4C61">
        <w:rPr>
          <w:rFonts w:ascii="Palatino Linotype" w:eastAsia="Palatino Linotype" w:hAnsi="Palatino Linotype" w:cs="Palatino Linotype"/>
          <w:b/>
          <w:color w:val="000000" w:themeColor="text1"/>
        </w:rPr>
        <w:t xml:space="preserve">RECURRENTE, pueden obrar </w:t>
      </w:r>
      <w:r w:rsidRPr="007D4C61">
        <w:rPr>
          <w:rFonts w:ascii="Palatino Linotype" w:eastAsia="Palatino Linotype" w:hAnsi="Palatino Linotype" w:cs="Palatino Linotype"/>
          <w:color w:val="000000" w:themeColor="text1"/>
        </w:rPr>
        <w:t xml:space="preserve">datos personales susceptibles de protegerse, así como información susceptible de clasificarse como confidenciales,  por lo que el </w:t>
      </w:r>
      <w:r w:rsidRPr="007D4C61">
        <w:rPr>
          <w:rFonts w:ascii="Palatino Linotype" w:eastAsia="Palatino Linotype" w:hAnsi="Palatino Linotype" w:cs="Palatino Linotype"/>
          <w:b/>
          <w:color w:val="000000" w:themeColor="text1"/>
        </w:rPr>
        <w:t xml:space="preserve">SUJETO OBLIGADO </w:t>
      </w:r>
      <w:r w:rsidRPr="007D4C61">
        <w:rPr>
          <w:rFonts w:ascii="Palatino Linotype" w:eastAsia="Palatino Linotype" w:hAnsi="Palatino Linotype" w:cs="Palatino Linotype"/>
          <w:color w:val="000000" w:themeColor="text1"/>
        </w:rPr>
        <w:t xml:space="preserve">deberá de hacer la adecuada versión pública, protegiendo los datos que no son susceptibles de ser proporcionados. </w:t>
      </w:r>
    </w:p>
    <w:p w14:paraId="617136F9" w14:textId="77777777" w:rsidR="00570610" w:rsidRPr="007D4C61" w:rsidRDefault="00570610" w:rsidP="00664A7E">
      <w:pPr>
        <w:tabs>
          <w:tab w:val="left" w:pos="0"/>
          <w:tab w:val="left" w:pos="284"/>
        </w:tabs>
        <w:spacing w:line="360" w:lineRule="auto"/>
        <w:jc w:val="both"/>
        <w:rPr>
          <w:rFonts w:ascii="Palatino Linotype" w:eastAsia="Palatino Linotype" w:hAnsi="Palatino Linotype" w:cs="Palatino Linotype"/>
          <w:color w:val="000000" w:themeColor="text1"/>
        </w:rPr>
      </w:pPr>
    </w:p>
    <w:p w14:paraId="4F56DE8D"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7D4C61">
        <w:rPr>
          <w:rFonts w:ascii="Palatino Linotype" w:eastAsia="Palatino Linotype" w:hAnsi="Palatino Linotype" w:cs="Palatino Linotype"/>
          <w:color w:val="000000" w:themeColor="text1"/>
        </w:rPr>
        <w:t>No pasa desapercibido para este Órgano Garante que los sujetos obligados</w:t>
      </w:r>
      <w:r w:rsidRPr="007D4C61">
        <w:rPr>
          <w:rFonts w:ascii="Palatino Linotype" w:eastAsia="Palatino Linotype" w:hAnsi="Palatino Linotype" w:cs="Palatino Linotype"/>
          <w:b/>
          <w:color w:val="000000" w:themeColor="text1"/>
        </w:rPr>
        <w:t xml:space="preserve"> </w:t>
      </w:r>
      <w:r w:rsidRPr="007D4C61">
        <w:rPr>
          <w:rFonts w:ascii="Palatino Linotype" w:eastAsia="Palatino Linotype" w:hAnsi="Palatino Linotype" w:cs="Palatino Linotype"/>
          <w:color w:val="000000" w:themeColor="text1"/>
        </w:rPr>
        <w:t xml:space="preserve">serán responsables de los datos personales en su posesión y que, en caso de localizarse datos concernientes a terceros, éstos no podrán difundir, distribuir o comercializar los datos personales.  Cabe destacar que, para la realización de la clasificación de la información, </w:t>
      </w:r>
      <w:r w:rsidRPr="007D4C61">
        <w:rPr>
          <w:rFonts w:ascii="Palatino Linotype" w:eastAsia="Palatino Linotype" w:hAnsi="Palatino Linotype" w:cs="Palatino Linotype"/>
          <w:color w:val="000000" w:themeColor="text1"/>
        </w:rPr>
        <w:lastRenderedPageBreak/>
        <w:t>se deben seguir una serie de pasos y procedimientos, por lo que es menester reiterar los mismos:</w:t>
      </w:r>
    </w:p>
    <w:p w14:paraId="52A496DF" w14:textId="77777777" w:rsidR="00570610" w:rsidRPr="007D4C61" w:rsidRDefault="00570610" w:rsidP="00664A7E">
      <w:pPr>
        <w:tabs>
          <w:tab w:val="left" w:pos="284"/>
        </w:tabs>
        <w:spacing w:after="160" w:line="360" w:lineRule="auto"/>
        <w:jc w:val="both"/>
        <w:rPr>
          <w:rFonts w:ascii="Palatino Linotype" w:eastAsia="Palatino Linotype" w:hAnsi="Palatino Linotype" w:cs="Palatino Linotype"/>
          <w:color w:val="000000" w:themeColor="text1"/>
        </w:rPr>
      </w:pPr>
    </w:p>
    <w:tbl>
      <w:tblPr>
        <w:tblStyle w:val="a1"/>
        <w:tblW w:w="9209"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520"/>
      </w:tblGrid>
      <w:tr w:rsidR="001E2F15" w:rsidRPr="007D4C61" w14:paraId="0B0DADF5" w14:textId="77777777">
        <w:tc>
          <w:tcPr>
            <w:tcW w:w="2689" w:type="dxa"/>
          </w:tcPr>
          <w:p w14:paraId="0F3CC613" w14:textId="77777777" w:rsidR="00570610" w:rsidRPr="007D4C61" w:rsidRDefault="00E91F61" w:rsidP="00664A7E">
            <w:pPr>
              <w:tabs>
                <w:tab w:val="left" w:pos="284"/>
              </w:tabs>
              <w:spacing w:line="360" w:lineRule="auto"/>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a) Requisitos previos.</w:t>
            </w:r>
          </w:p>
        </w:tc>
        <w:tc>
          <w:tcPr>
            <w:tcW w:w="6520" w:type="dxa"/>
          </w:tcPr>
          <w:p w14:paraId="2987914F" w14:textId="77777777" w:rsidR="00570610" w:rsidRPr="007D4C61" w:rsidRDefault="00E91F61" w:rsidP="00664A7E">
            <w:pPr>
              <w:tabs>
                <w:tab w:val="left" w:pos="284"/>
              </w:tabs>
              <w:spacing w:line="360" w:lineRule="auto"/>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50DE4556" w14:textId="77777777" w:rsidR="00570610" w:rsidRPr="007D4C61" w:rsidRDefault="00E91F61" w:rsidP="00664A7E">
            <w:pPr>
              <w:tabs>
                <w:tab w:val="left" w:pos="284"/>
              </w:tabs>
              <w:spacing w:line="360" w:lineRule="auto"/>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Al hacerlo tienen que precisar de qué información se trata, señalando el supuesto de clasificación (confidencialidad o reserva).</w:t>
            </w:r>
          </w:p>
          <w:p w14:paraId="7A16D293" w14:textId="77777777" w:rsidR="00570610" w:rsidRPr="007D4C61" w:rsidRDefault="00E91F61" w:rsidP="00664A7E">
            <w:pPr>
              <w:tabs>
                <w:tab w:val="left" w:pos="284"/>
              </w:tabs>
              <w:spacing w:line="360" w:lineRule="auto"/>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Además, se debe señalar el procedimiento, de los tres que establecen los artículos 132 y 106 de la Ley Estatal y General, respectivamente.</w:t>
            </w:r>
          </w:p>
          <w:p w14:paraId="5899458A" w14:textId="77777777" w:rsidR="00570610" w:rsidRPr="007D4C61" w:rsidRDefault="00E91F61" w:rsidP="00664A7E">
            <w:pPr>
              <w:tabs>
                <w:tab w:val="left" w:pos="284"/>
              </w:tabs>
              <w:spacing w:line="360" w:lineRule="auto"/>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 xml:space="preserve">El último de estos requisitos previos consiste en que no se pueden emitir acuerdos de carácter general ni particular, esto es, </w:t>
            </w:r>
            <w:r w:rsidRPr="007D4C61">
              <w:rPr>
                <w:rFonts w:ascii="Palatino Linotype" w:eastAsia="Palatino Linotype" w:hAnsi="Palatino Linotype" w:cs="Palatino Linotype"/>
                <w:color w:val="000000" w:themeColor="text1"/>
                <w:u w:val="single"/>
              </w:rPr>
              <w:t>no se puede hacer un acuerdo para clasificar de manera general todos los documentos de un expediente o área, sin</w:t>
            </w:r>
            <w:r w:rsidRPr="007D4C61">
              <w:rPr>
                <w:rFonts w:ascii="Palatino Linotype" w:eastAsia="Palatino Linotype" w:hAnsi="Palatino Linotype" w:cs="Palatino Linotype"/>
                <w:color w:val="000000" w:themeColor="text1"/>
              </w:rPr>
              <w:t xml:space="preserve"> individualizar su análisis y tampoco se puede hacer un acuerdo por cada dato que se vaya a clasificar dentro de un documento con diez datos, por ejemplo, susceptibles de ser clasificados.</w:t>
            </w:r>
          </w:p>
        </w:tc>
      </w:tr>
      <w:tr w:rsidR="001E2F15" w:rsidRPr="007D4C61" w14:paraId="77609D53" w14:textId="77777777">
        <w:tc>
          <w:tcPr>
            <w:tcW w:w="2689" w:type="dxa"/>
          </w:tcPr>
          <w:p w14:paraId="26D735EB" w14:textId="77777777" w:rsidR="00570610" w:rsidRPr="007D4C61" w:rsidRDefault="00E91F61" w:rsidP="00664A7E">
            <w:pPr>
              <w:tabs>
                <w:tab w:val="left" w:pos="284"/>
              </w:tabs>
              <w:spacing w:line="360" w:lineRule="auto"/>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lastRenderedPageBreak/>
              <w:t>b) Supuestos de clasificación.</w:t>
            </w:r>
          </w:p>
        </w:tc>
        <w:tc>
          <w:tcPr>
            <w:tcW w:w="6520" w:type="dxa"/>
          </w:tcPr>
          <w:p w14:paraId="293C4EC4" w14:textId="77777777" w:rsidR="00570610" w:rsidRPr="007D4C61" w:rsidRDefault="00E91F61" w:rsidP="00664A7E">
            <w:pPr>
              <w:tabs>
                <w:tab w:val="left" w:pos="284"/>
              </w:tabs>
              <w:spacing w:line="360" w:lineRule="auto"/>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14:paraId="09A6793E" w14:textId="77777777" w:rsidR="00570610" w:rsidRPr="007D4C61" w:rsidRDefault="00E91F61" w:rsidP="00664A7E">
            <w:pPr>
              <w:tabs>
                <w:tab w:val="left" w:pos="284"/>
              </w:tabs>
              <w:spacing w:line="360" w:lineRule="auto"/>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285F04D" w14:textId="77777777" w:rsidR="00570610" w:rsidRPr="007D4C61" w:rsidRDefault="00E91F61" w:rsidP="00664A7E">
            <w:pPr>
              <w:tabs>
                <w:tab w:val="left" w:pos="284"/>
              </w:tabs>
              <w:spacing w:line="360" w:lineRule="auto"/>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 xml:space="preserve">El </w:t>
            </w:r>
            <w:r w:rsidRPr="007D4C61">
              <w:rPr>
                <w:rFonts w:ascii="Palatino Linotype" w:eastAsia="Palatino Linotype" w:hAnsi="Palatino Linotype" w:cs="Palatino Linotype"/>
                <w:b/>
                <w:color w:val="000000" w:themeColor="text1"/>
              </w:rPr>
              <w:t>Sujeto Obligado</w:t>
            </w:r>
            <w:r w:rsidRPr="007D4C61">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1E2F15" w:rsidRPr="007D4C61" w14:paraId="03B90DE4" w14:textId="77777777">
        <w:tc>
          <w:tcPr>
            <w:tcW w:w="2689" w:type="dxa"/>
          </w:tcPr>
          <w:p w14:paraId="508073CF" w14:textId="77777777" w:rsidR="00570610" w:rsidRPr="007D4C61" w:rsidRDefault="00E91F61" w:rsidP="00664A7E">
            <w:pPr>
              <w:tabs>
                <w:tab w:val="left" w:pos="284"/>
              </w:tabs>
              <w:spacing w:line="360" w:lineRule="auto"/>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c) Formalidades para emitir el acuerdo de clasificación.</w:t>
            </w:r>
          </w:p>
        </w:tc>
        <w:tc>
          <w:tcPr>
            <w:tcW w:w="6520" w:type="dxa"/>
          </w:tcPr>
          <w:p w14:paraId="6AE7B360" w14:textId="77777777" w:rsidR="00570610" w:rsidRPr="007D4C61" w:rsidRDefault="00E91F61" w:rsidP="00664A7E">
            <w:pPr>
              <w:tabs>
                <w:tab w:val="left" w:pos="284"/>
              </w:tabs>
              <w:spacing w:line="360" w:lineRule="auto"/>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14:paraId="55D94849" w14:textId="77777777" w:rsidR="00570610" w:rsidRPr="007D4C61" w:rsidRDefault="00E91F61" w:rsidP="00664A7E">
            <w:pPr>
              <w:tabs>
                <w:tab w:val="left" w:pos="284"/>
              </w:tabs>
              <w:spacing w:line="360" w:lineRule="auto"/>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lastRenderedPageBreak/>
              <w:t xml:space="preserve">Es necesario que </w:t>
            </w:r>
            <w:r w:rsidRPr="007D4C61">
              <w:rPr>
                <w:rFonts w:ascii="Palatino Linotype" w:eastAsia="Palatino Linotype" w:hAnsi="Palatino Linotype" w:cs="Palatino Linotype"/>
                <w:b/>
                <w:color w:val="000000" w:themeColor="text1"/>
                <w:u w:val="single"/>
              </w:rPr>
              <w:t>el acto reúna con los requisitos elementales</w:t>
            </w:r>
            <w:r w:rsidRPr="007D4C61">
              <w:rPr>
                <w:rFonts w:ascii="Palatino Linotype" w:eastAsia="Palatino Linotype" w:hAnsi="Palatino Linotype" w:cs="Palatino Linotype"/>
                <w:color w:val="000000" w:themeColor="text1"/>
              </w:rPr>
              <w:t>, entre ellos, que la autoridad que va a emitir el acto de autoridad sea la legalmente facultada para ello.</w:t>
            </w:r>
          </w:p>
          <w:p w14:paraId="0BB6ED44" w14:textId="77777777" w:rsidR="00570610" w:rsidRPr="007D4C61" w:rsidRDefault="00E91F61" w:rsidP="00664A7E">
            <w:pPr>
              <w:tabs>
                <w:tab w:val="left" w:pos="284"/>
              </w:tabs>
              <w:spacing w:line="360" w:lineRule="auto"/>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1E2F15" w:rsidRPr="007D4C61" w14:paraId="19344509" w14:textId="77777777">
        <w:tc>
          <w:tcPr>
            <w:tcW w:w="2689" w:type="dxa"/>
          </w:tcPr>
          <w:p w14:paraId="6D56A28A" w14:textId="77777777" w:rsidR="00570610" w:rsidRPr="007D4C61" w:rsidRDefault="00570610" w:rsidP="00664A7E">
            <w:pPr>
              <w:tabs>
                <w:tab w:val="left" w:pos="284"/>
              </w:tabs>
              <w:spacing w:line="360" w:lineRule="auto"/>
              <w:rPr>
                <w:rFonts w:ascii="Palatino Linotype" w:eastAsia="Palatino Linotype" w:hAnsi="Palatino Linotype" w:cs="Palatino Linotype"/>
                <w:color w:val="000000" w:themeColor="text1"/>
              </w:rPr>
            </w:pPr>
          </w:p>
          <w:p w14:paraId="2FA6899C" w14:textId="77777777" w:rsidR="00570610" w:rsidRPr="007D4C61" w:rsidRDefault="00E91F61" w:rsidP="00664A7E">
            <w:pPr>
              <w:tabs>
                <w:tab w:val="left" w:pos="284"/>
              </w:tabs>
              <w:spacing w:line="360" w:lineRule="auto"/>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 xml:space="preserve">d) Requisitos de fondo del acuerdo de clasificación. </w:t>
            </w:r>
          </w:p>
        </w:tc>
        <w:tc>
          <w:tcPr>
            <w:tcW w:w="6520" w:type="dxa"/>
          </w:tcPr>
          <w:p w14:paraId="22F9FAB8" w14:textId="77777777" w:rsidR="00570610" w:rsidRPr="007D4C61" w:rsidRDefault="00E91F61" w:rsidP="00664A7E">
            <w:pPr>
              <w:tabs>
                <w:tab w:val="left" w:pos="284"/>
              </w:tabs>
              <w:spacing w:line="360" w:lineRule="auto"/>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7D4C61">
              <w:rPr>
                <w:rFonts w:ascii="Palatino Linotype" w:eastAsia="Palatino Linotype" w:hAnsi="Palatino Linotype" w:cs="Palatino Linotype"/>
                <w:b/>
                <w:color w:val="000000" w:themeColor="text1"/>
              </w:rPr>
              <w:t>Sujetos Obligados</w:t>
            </w:r>
            <w:r w:rsidRPr="007D4C61">
              <w:rPr>
                <w:rFonts w:ascii="Palatino Linotype" w:eastAsia="Palatino Linotype" w:hAnsi="Palatino Linotype" w:cs="Palatino Linotype"/>
                <w:color w:val="000000" w:themeColor="text1"/>
              </w:rPr>
              <w:t xml:space="preserve">, por lo que deberán fundar y motivar debidamente la clasificación. </w:t>
            </w:r>
          </w:p>
          <w:p w14:paraId="6B141E89" w14:textId="77777777" w:rsidR="00570610" w:rsidRPr="007D4C61" w:rsidRDefault="00E91F61" w:rsidP="00664A7E">
            <w:pPr>
              <w:tabs>
                <w:tab w:val="left" w:pos="284"/>
              </w:tabs>
              <w:spacing w:line="360" w:lineRule="auto"/>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 xml:space="preserve">De lo anterior, se desprende que para una correcta </w:t>
            </w:r>
            <w:r w:rsidRPr="007D4C61">
              <w:rPr>
                <w:rFonts w:ascii="Palatino Linotype" w:eastAsia="Palatino Linotype" w:hAnsi="Palatino Linotype" w:cs="Palatino Linotype"/>
                <w:b/>
                <w:color w:val="000000" w:themeColor="text1"/>
              </w:rPr>
              <w:t>clasificación total o parcial</w:t>
            </w:r>
            <w:r w:rsidRPr="007D4C61">
              <w:rPr>
                <w:rFonts w:ascii="Palatino Linotype" w:eastAsia="Palatino Linotype" w:hAnsi="Palatino Linotype" w:cs="Palatino Linotype"/>
                <w:color w:val="000000" w:themeColor="text1"/>
              </w:rPr>
              <w:t xml:space="preserve">, esto es determinar los datos que se suprimen en las versiones públicas, es necesario </w:t>
            </w:r>
            <w:r w:rsidRPr="007D4C61">
              <w:rPr>
                <w:rFonts w:ascii="Palatino Linotype" w:eastAsia="Palatino Linotype" w:hAnsi="Palatino Linotype" w:cs="Palatino Linotype"/>
                <w:color w:val="000000" w:themeColor="text1"/>
              </w:rPr>
              <w:lastRenderedPageBreak/>
              <w:t>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DE468B9" w14:textId="77777777" w:rsidR="00570610" w:rsidRPr="007D4C61" w:rsidRDefault="00E91F61" w:rsidP="00664A7E">
            <w:pPr>
              <w:tabs>
                <w:tab w:val="left" w:pos="284"/>
              </w:tabs>
              <w:spacing w:line="360" w:lineRule="auto"/>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3E928442" w14:textId="77777777" w:rsidR="00570610" w:rsidRPr="007D4C61" w:rsidRDefault="00E91F61" w:rsidP="00664A7E">
            <w:pPr>
              <w:tabs>
                <w:tab w:val="left" w:pos="284"/>
              </w:tabs>
              <w:spacing w:line="360" w:lineRule="auto"/>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En ese mismo sentido, el numeral trigésimo tercero fracción V de los Lineamientos Generales, precisa que para motivar la clasificación se deben acreditar las circunstancias de tiempo, modo y lugar.</w:t>
            </w:r>
          </w:p>
          <w:p w14:paraId="15E8A5FB" w14:textId="77777777" w:rsidR="00570610" w:rsidRPr="007D4C61" w:rsidRDefault="00E91F61" w:rsidP="00664A7E">
            <w:pPr>
              <w:tabs>
                <w:tab w:val="left" w:pos="284"/>
              </w:tabs>
              <w:spacing w:line="360" w:lineRule="auto"/>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 xml:space="preserve">Ahora bien, </w:t>
            </w:r>
            <w:r w:rsidRPr="007D4C61">
              <w:rPr>
                <w:rFonts w:ascii="Palatino Linotype" w:eastAsia="Palatino Linotype" w:hAnsi="Palatino Linotype" w:cs="Palatino Linotype"/>
                <w:b/>
                <w:color w:val="000000" w:themeColor="text1"/>
                <w:u w:val="single"/>
              </w:rPr>
              <w:t>para cada caso además de fundar y motivar</w:t>
            </w:r>
            <w:r w:rsidRPr="007D4C61">
              <w:rPr>
                <w:rFonts w:ascii="Palatino Linotype" w:eastAsia="Palatino Linotype" w:hAnsi="Palatino Linotype" w:cs="Palatino Linotype"/>
                <w:color w:val="000000" w:themeColor="text1"/>
              </w:rPr>
              <w:t xml:space="preserve">, se debe identificar con claridad que datos contenidos en las documentales que son susceptibles de suprimirse, por ejemplo; Clave Única de Registro de Población (CURP), Registro Federal de Contribuyentes (R.F.C.), claves de seguros, préstamos o descuentos personales, secretos </w:t>
            </w:r>
            <w:r w:rsidRPr="007D4C61">
              <w:rPr>
                <w:rFonts w:ascii="Palatino Linotype" w:eastAsia="Palatino Linotype" w:hAnsi="Palatino Linotype" w:cs="Palatino Linotype"/>
                <w:color w:val="000000" w:themeColor="text1"/>
              </w:rPr>
              <w:lastRenderedPageBreak/>
              <w:t>bancario, fiduciario, industrial, comercial, fiscal, bursátil y postal, cuya titularidad corresponda a particulares, entre otros.</w:t>
            </w:r>
          </w:p>
        </w:tc>
      </w:tr>
      <w:tr w:rsidR="00570610" w:rsidRPr="007D4C61" w14:paraId="56CC9D40" w14:textId="77777777">
        <w:tc>
          <w:tcPr>
            <w:tcW w:w="2689" w:type="dxa"/>
          </w:tcPr>
          <w:p w14:paraId="05491C40" w14:textId="77777777" w:rsidR="00570610" w:rsidRPr="007D4C61" w:rsidRDefault="00E91F61" w:rsidP="00664A7E">
            <w:pPr>
              <w:tabs>
                <w:tab w:val="left" w:pos="284"/>
              </w:tabs>
              <w:spacing w:line="360" w:lineRule="auto"/>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lastRenderedPageBreak/>
              <w:t xml:space="preserve">e) Condiciones especiales de la clasificación de la información como confidencial. </w:t>
            </w:r>
          </w:p>
        </w:tc>
        <w:tc>
          <w:tcPr>
            <w:tcW w:w="6520" w:type="dxa"/>
          </w:tcPr>
          <w:p w14:paraId="60CD7CA5" w14:textId="77777777" w:rsidR="00570610" w:rsidRPr="007D4C61" w:rsidRDefault="00E91F61" w:rsidP="00664A7E">
            <w:pPr>
              <w:tabs>
                <w:tab w:val="left" w:pos="284"/>
              </w:tabs>
              <w:spacing w:line="360" w:lineRule="auto"/>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 xml:space="preserve">Los artículos 148 y 120 de la Ley Estatal y de la Ley General, respectivamente, establecen que aun tratándose de datos personales, se podrán proporcionar, incluso sin solicitar el consentimiento de su titular. </w:t>
            </w:r>
          </w:p>
          <w:p w14:paraId="4633A506" w14:textId="77777777" w:rsidR="00570610" w:rsidRPr="007D4C61" w:rsidRDefault="00E91F61" w:rsidP="00664A7E">
            <w:pPr>
              <w:tabs>
                <w:tab w:val="left" w:pos="284"/>
              </w:tabs>
              <w:spacing w:line="360" w:lineRule="auto"/>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64EC446" w14:textId="77777777" w:rsidR="00570610" w:rsidRPr="007D4C61" w:rsidRDefault="00E91F61" w:rsidP="00664A7E">
            <w:pPr>
              <w:tabs>
                <w:tab w:val="left" w:pos="284"/>
              </w:tabs>
              <w:spacing w:line="360" w:lineRule="auto"/>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color w:val="000000" w:themeColor="text1"/>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2B988B4" w14:textId="77777777" w:rsidR="00570610" w:rsidRPr="007D4C61" w:rsidRDefault="00570610" w:rsidP="00664A7E">
      <w:pPr>
        <w:tabs>
          <w:tab w:val="left" w:pos="284"/>
        </w:tabs>
        <w:spacing w:line="360" w:lineRule="auto"/>
        <w:jc w:val="both"/>
        <w:rPr>
          <w:rFonts w:ascii="Palatino Linotype" w:eastAsia="Palatino Linotype" w:hAnsi="Palatino Linotype" w:cs="Palatino Linotype"/>
          <w:color w:val="000000" w:themeColor="text1"/>
        </w:rPr>
      </w:pPr>
    </w:p>
    <w:p w14:paraId="22BE1CD0" w14:textId="77777777"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7D4C61">
        <w:rPr>
          <w:rFonts w:ascii="Palatino Linotype" w:eastAsia="Palatino Linotype" w:hAnsi="Palatino Linotype" w:cs="Palatino Linotype"/>
          <w:color w:val="000000" w:themeColor="text1"/>
        </w:rPr>
        <w:t>Si el servidor público incumple con estas formalidades y entrega la información sin proteger los datos personales incumple con lo que estipula las disposiciones legales establecidas.</w:t>
      </w:r>
    </w:p>
    <w:p w14:paraId="0344C499" w14:textId="79346FB2" w:rsidR="00570610" w:rsidRPr="007D4C61" w:rsidRDefault="00E91F61" w:rsidP="00664A7E">
      <w:pPr>
        <w:numPr>
          <w:ilvl w:val="0"/>
          <w:numId w:val="6"/>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7D4C61">
        <w:rPr>
          <w:rFonts w:ascii="Palatino Linotype" w:eastAsia="Palatino Linotype" w:hAnsi="Palatino Linotype" w:cs="Palatino Linotype"/>
          <w:color w:val="000000" w:themeColor="text1"/>
        </w:rPr>
        <w:lastRenderedPageBreak/>
        <w:t>Por lo anteriormente expuesto, este Órgano Garante considera fundadas las razones o motivos de inconformidad que plantea el</w:t>
      </w:r>
      <w:r w:rsidRPr="007D4C61">
        <w:rPr>
          <w:rFonts w:ascii="Palatino Linotype" w:eastAsia="Palatino Linotype" w:hAnsi="Palatino Linotype" w:cs="Palatino Linotype"/>
          <w:b/>
          <w:color w:val="000000" w:themeColor="text1"/>
        </w:rPr>
        <w:t xml:space="preserve"> RECURRENTE</w:t>
      </w:r>
      <w:r w:rsidRPr="007D4C61">
        <w:rPr>
          <w:rFonts w:ascii="Palatino Linotype" w:eastAsia="Palatino Linotype" w:hAnsi="Palatino Linotype" w:cs="Palatino Linotype"/>
          <w:color w:val="000000" w:themeColor="text1"/>
        </w:rPr>
        <w:t xml:space="preserve">, determinando </w:t>
      </w:r>
      <w:r w:rsidRPr="007D4C61">
        <w:rPr>
          <w:rFonts w:ascii="Palatino Linotype" w:eastAsia="Palatino Linotype" w:hAnsi="Palatino Linotype" w:cs="Palatino Linotype"/>
          <w:b/>
          <w:smallCaps/>
          <w:color w:val="000000" w:themeColor="text1"/>
        </w:rPr>
        <w:t xml:space="preserve">REVOCAR </w:t>
      </w:r>
      <w:r w:rsidRPr="007D4C61">
        <w:rPr>
          <w:rFonts w:ascii="Palatino Linotype" w:eastAsia="Palatino Linotype" w:hAnsi="Palatino Linotype" w:cs="Palatino Linotype"/>
          <w:b/>
          <w:color w:val="000000" w:themeColor="text1"/>
        </w:rPr>
        <w:t xml:space="preserve"> </w:t>
      </w:r>
      <w:r w:rsidRPr="007D4C61">
        <w:rPr>
          <w:rFonts w:ascii="Palatino Linotype" w:eastAsia="Palatino Linotype" w:hAnsi="Palatino Linotype" w:cs="Palatino Linotype"/>
          <w:color w:val="000000" w:themeColor="text1"/>
        </w:rPr>
        <w:t xml:space="preserve">la respuesta del </w:t>
      </w:r>
      <w:r w:rsidRPr="007D4C61">
        <w:rPr>
          <w:rFonts w:ascii="Palatino Linotype" w:eastAsia="Palatino Linotype" w:hAnsi="Palatino Linotype" w:cs="Palatino Linotype"/>
          <w:b/>
          <w:color w:val="000000" w:themeColor="text1"/>
        </w:rPr>
        <w:t>SUJETO OBLIGADO</w:t>
      </w:r>
      <w:r w:rsidRPr="007D4C61">
        <w:rPr>
          <w:rFonts w:ascii="Palatino Linotype" w:eastAsia="Palatino Linotype" w:hAnsi="Palatino Linotype" w:cs="Palatino Linotype"/>
          <w:color w:val="000000" w:themeColor="text1"/>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este </w:t>
      </w:r>
      <w:r w:rsidRPr="007D4C61">
        <w:rPr>
          <w:rFonts w:ascii="Palatino Linotype" w:eastAsia="Palatino Linotype" w:hAnsi="Palatino Linotype" w:cs="Palatino Linotype"/>
          <w:b/>
          <w:color w:val="000000" w:themeColor="text1"/>
        </w:rPr>
        <w:t>ÓRGANO GARANTE</w:t>
      </w:r>
      <w:r w:rsidR="00242433">
        <w:rPr>
          <w:rFonts w:ascii="Palatino Linotype" w:eastAsia="Palatino Linotype" w:hAnsi="Palatino Linotype" w:cs="Palatino Linotype"/>
          <w:color w:val="000000" w:themeColor="text1"/>
        </w:rPr>
        <w:t xml:space="preserve"> emite los siguientes:</w:t>
      </w:r>
    </w:p>
    <w:p w14:paraId="0036C1E1" w14:textId="77777777" w:rsidR="00570610" w:rsidRPr="007D4C61" w:rsidRDefault="00570610" w:rsidP="00664A7E">
      <w:pPr>
        <w:pBdr>
          <w:top w:val="nil"/>
          <w:left w:val="nil"/>
          <w:bottom w:val="nil"/>
          <w:right w:val="nil"/>
          <w:between w:val="nil"/>
        </w:pBdr>
        <w:rPr>
          <w:rFonts w:ascii="Palatino Linotype" w:eastAsia="Palatino Linotype" w:hAnsi="Palatino Linotype" w:cs="Palatino Linotype"/>
          <w:color w:val="000000" w:themeColor="text1"/>
        </w:rPr>
      </w:pPr>
    </w:p>
    <w:p w14:paraId="4FB8933B" w14:textId="77777777" w:rsidR="00570610" w:rsidRPr="007D4C61" w:rsidRDefault="00570610" w:rsidP="00664A7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p w14:paraId="76F51BA3" w14:textId="77777777" w:rsidR="00570610" w:rsidRPr="007D4C61" w:rsidRDefault="00E91F61" w:rsidP="00664A7E">
      <w:pPr>
        <w:pStyle w:val="Ttulo1"/>
        <w:spacing w:before="0" w:line="360" w:lineRule="auto"/>
        <w:jc w:val="center"/>
        <w:rPr>
          <w:rFonts w:ascii="Palatino Linotype" w:eastAsia="Palatino Linotype" w:hAnsi="Palatino Linotype" w:cs="Palatino Linotype"/>
          <w:b/>
          <w:color w:val="000000" w:themeColor="text1"/>
          <w:sz w:val="24"/>
          <w:szCs w:val="24"/>
        </w:rPr>
      </w:pPr>
      <w:r w:rsidRPr="007D4C61">
        <w:rPr>
          <w:rFonts w:ascii="Palatino Linotype" w:eastAsia="Palatino Linotype" w:hAnsi="Palatino Linotype" w:cs="Palatino Linotype"/>
          <w:b/>
          <w:color w:val="000000" w:themeColor="text1"/>
          <w:sz w:val="24"/>
          <w:szCs w:val="24"/>
        </w:rPr>
        <w:t>R E S O L U T I V O S</w:t>
      </w:r>
    </w:p>
    <w:p w14:paraId="34322AA9" w14:textId="77777777" w:rsidR="00570610" w:rsidRPr="007D4C61" w:rsidRDefault="00570610" w:rsidP="00664A7E">
      <w:pPr>
        <w:spacing w:line="360" w:lineRule="auto"/>
        <w:rPr>
          <w:rFonts w:ascii="Palatino Linotype" w:eastAsia="Palatino Linotype" w:hAnsi="Palatino Linotype" w:cs="Palatino Linotype"/>
          <w:color w:val="000000" w:themeColor="text1"/>
        </w:rPr>
      </w:pPr>
    </w:p>
    <w:p w14:paraId="039B6559" w14:textId="1A8497FB" w:rsidR="00570610" w:rsidRPr="007D4C61" w:rsidRDefault="00E91F61" w:rsidP="00664A7E">
      <w:pPr>
        <w:spacing w:line="360" w:lineRule="auto"/>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b/>
          <w:color w:val="000000" w:themeColor="text1"/>
        </w:rPr>
        <w:t>PRIMERO</w:t>
      </w:r>
      <w:r w:rsidRPr="007D4C61">
        <w:rPr>
          <w:rFonts w:ascii="Palatino Linotype" w:eastAsia="Palatino Linotype" w:hAnsi="Palatino Linotype" w:cs="Palatino Linotype"/>
          <w:color w:val="000000" w:themeColor="text1"/>
        </w:rPr>
        <w:t xml:space="preserve">. Resultan fundadas las razones o motivos de inconformidad hechos valer en el Recurso de </w:t>
      </w:r>
      <w:r w:rsidR="009273DC" w:rsidRPr="007D4C61">
        <w:rPr>
          <w:rFonts w:ascii="Palatino Linotype" w:eastAsia="Palatino Linotype" w:hAnsi="Palatino Linotype" w:cs="Palatino Linotype"/>
          <w:color w:val="000000" w:themeColor="text1"/>
        </w:rPr>
        <w:t xml:space="preserve">Revisión </w:t>
      </w:r>
      <w:r w:rsidR="009273DC" w:rsidRPr="007D4C61">
        <w:rPr>
          <w:rFonts w:ascii="Palatino Linotype" w:eastAsia="Palatino Linotype" w:hAnsi="Palatino Linotype" w:cs="Palatino Linotype"/>
          <w:b/>
          <w:color w:val="000000" w:themeColor="text1"/>
        </w:rPr>
        <w:t>03433</w:t>
      </w:r>
      <w:r w:rsidRPr="007D4C61">
        <w:rPr>
          <w:rFonts w:ascii="Palatino Linotype" w:eastAsia="Palatino Linotype" w:hAnsi="Palatino Linotype" w:cs="Palatino Linotype"/>
          <w:b/>
          <w:color w:val="000000" w:themeColor="text1"/>
        </w:rPr>
        <w:t xml:space="preserve">/INFOEM/IP/RR/2025, </w:t>
      </w:r>
      <w:r w:rsidRPr="007D4C61">
        <w:rPr>
          <w:rFonts w:ascii="Palatino Linotype" w:eastAsia="Palatino Linotype" w:hAnsi="Palatino Linotype" w:cs="Palatino Linotype"/>
          <w:color w:val="000000" w:themeColor="text1"/>
        </w:rPr>
        <w:t xml:space="preserve">en términos del Considerando </w:t>
      </w:r>
      <w:r w:rsidRPr="007D4C61">
        <w:rPr>
          <w:rFonts w:ascii="Palatino Linotype" w:eastAsia="Palatino Linotype" w:hAnsi="Palatino Linotype" w:cs="Palatino Linotype"/>
          <w:b/>
          <w:color w:val="000000" w:themeColor="text1"/>
        </w:rPr>
        <w:t xml:space="preserve">Cuarto y Quinto </w:t>
      </w:r>
      <w:r w:rsidRPr="007D4C61">
        <w:rPr>
          <w:rFonts w:ascii="Palatino Linotype" w:eastAsia="Palatino Linotype" w:hAnsi="Palatino Linotype" w:cs="Palatino Linotype"/>
          <w:color w:val="000000" w:themeColor="text1"/>
        </w:rPr>
        <w:t xml:space="preserve">de la presente resolución. </w:t>
      </w:r>
    </w:p>
    <w:p w14:paraId="7B8BB389" w14:textId="77777777" w:rsidR="00570610" w:rsidRPr="007D4C61" w:rsidRDefault="00570610" w:rsidP="00664A7E">
      <w:pPr>
        <w:spacing w:line="360" w:lineRule="auto"/>
        <w:jc w:val="both"/>
        <w:rPr>
          <w:rFonts w:ascii="Palatino Linotype" w:eastAsia="Palatino Linotype" w:hAnsi="Palatino Linotype" w:cs="Palatino Linotype"/>
          <w:color w:val="000000" w:themeColor="text1"/>
        </w:rPr>
      </w:pPr>
    </w:p>
    <w:p w14:paraId="3973956B" w14:textId="54DCAD4E" w:rsidR="00570610" w:rsidRPr="007D4C61" w:rsidRDefault="00E91F61" w:rsidP="00664A7E">
      <w:pPr>
        <w:spacing w:line="360" w:lineRule="auto"/>
        <w:jc w:val="both"/>
        <w:rPr>
          <w:rFonts w:ascii="Palatino Linotype" w:eastAsia="Palatino Linotype" w:hAnsi="Palatino Linotype" w:cs="Palatino Linotype"/>
          <w:color w:val="000000" w:themeColor="text1"/>
        </w:rPr>
      </w:pPr>
      <w:bookmarkStart w:id="16" w:name="_heading=h.1ksv4uv" w:colFirst="0" w:colLast="0"/>
      <w:bookmarkEnd w:id="16"/>
      <w:r w:rsidRPr="007D4C61">
        <w:rPr>
          <w:rFonts w:ascii="Palatino Linotype" w:eastAsia="Palatino Linotype" w:hAnsi="Palatino Linotype" w:cs="Palatino Linotype"/>
          <w:b/>
          <w:color w:val="000000" w:themeColor="text1"/>
        </w:rPr>
        <w:t xml:space="preserve">SEGUNDO. </w:t>
      </w:r>
      <w:r w:rsidRPr="007D4C61">
        <w:rPr>
          <w:rFonts w:ascii="Palatino Linotype" w:eastAsia="Palatino Linotype" w:hAnsi="Palatino Linotype" w:cs="Palatino Linotype"/>
          <w:color w:val="000000" w:themeColor="text1"/>
        </w:rPr>
        <w:t xml:space="preserve">Se </w:t>
      </w:r>
      <w:r w:rsidRPr="007D4C61">
        <w:rPr>
          <w:rFonts w:ascii="Palatino Linotype" w:eastAsia="Palatino Linotype" w:hAnsi="Palatino Linotype" w:cs="Palatino Linotype"/>
          <w:b/>
          <w:color w:val="000000" w:themeColor="text1"/>
        </w:rPr>
        <w:t xml:space="preserve">REVOCA </w:t>
      </w:r>
      <w:r w:rsidRPr="007D4C61">
        <w:rPr>
          <w:rFonts w:ascii="Palatino Linotype" w:eastAsia="Palatino Linotype" w:hAnsi="Palatino Linotype" w:cs="Palatino Linotype"/>
          <w:color w:val="000000" w:themeColor="text1"/>
        </w:rPr>
        <w:t xml:space="preserve">la respuesta emitida por el </w:t>
      </w:r>
      <w:r w:rsidRPr="007D4C61">
        <w:rPr>
          <w:rFonts w:ascii="Palatino Linotype" w:eastAsia="Palatino Linotype" w:hAnsi="Palatino Linotype" w:cs="Palatino Linotype"/>
          <w:b/>
          <w:color w:val="000000" w:themeColor="text1"/>
        </w:rPr>
        <w:t xml:space="preserve">Ayuntamiento de Toluca </w:t>
      </w:r>
      <w:r w:rsidRPr="007D4C61">
        <w:rPr>
          <w:rFonts w:ascii="Palatino Linotype" w:eastAsia="Palatino Linotype" w:hAnsi="Palatino Linotype" w:cs="Palatino Linotype"/>
          <w:color w:val="000000" w:themeColor="text1"/>
        </w:rPr>
        <w:t xml:space="preserve">y se </w:t>
      </w:r>
      <w:r w:rsidRPr="007D4C61">
        <w:rPr>
          <w:rFonts w:ascii="Palatino Linotype" w:eastAsia="Palatino Linotype" w:hAnsi="Palatino Linotype" w:cs="Palatino Linotype"/>
          <w:b/>
          <w:color w:val="000000" w:themeColor="text1"/>
        </w:rPr>
        <w:t>ORDENA</w:t>
      </w:r>
      <w:r w:rsidRPr="007D4C61">
        <w:rPr>
          <w:rFonts w:ascii="Palatino Linotype" w:eastAsia="Palatino Linotype" w:hAnsi="Palatino Linotype" w:cs="Palatino Linotype"/>
          <w:color w:val="000000" w:themeColor="text1"/>
        </w:rPr>
        <w:t xml:space="preserve"> entregar vía Sistema de Acceso a la Información, en versión pública de los servidores públicos adscritos </w:t>
      </w:r>
      <w:r w:rsidR="009273DC" w:rsidRPr="007D4C61">
        <w:rPr>
          <w:rFonts w:ascii="Palatino Linotype" w:eastAsia="Palatino Linotype" w:hAnsi="Palatino Linotype" w:cs="Palatino Linotype"/>
          <w:color w:val="000000" w:themeColor="text1"/>
        </w:rPr>
        <w:t>a la</w:t>
      </w:r>
      <w:r w:rsidRPr="007D4C61">
        <w:rPr>
          <w:rFonts w:ascii="Palatino Linotype" w:eastAsia="Palatino Linotype" w:hAnsi="Palatino Linotype" w:cs="Palatino Linotype"/>
          <w:color w:val="000000" w:themeColor="text1"/>
        </w:rPr>
        <w:t xml:space="preserve"> Dirección General de Seguridad y Protección del Ayuntamiento de Toluca:</w:t>
      </w:r>
    </w:p>
    <w:p w14:paraId="2237ED15" w14:textId="77777777" w:rsidR="00570610" w:rsidRPr="007D4C61" w:rsidRDefault="00570610" w:rsidP="00664A7E">
      <w:pPr>
        <w:spacing w:line="360" w:lineRule="auto"/>
        <w:jc w:val="both"/>
        <w:rPr>
          <w:rFonts w:ascii="Palatino Linotype" w:eastAsia="Palatino Linotype" w:hAnsi="Palatino Linotype" w:cs="Palatino Linotype"/>
          <w:color w:val="000000" w:themeColor="text1"/>
        </w:rPr>
      </w:pPr>
    </w:p>
    <w:p w14:paraId="568F15D8" w14:textId="77777777" w:rsidR="00570610" w:rsidRPr="007D4C61" w:rsidRDefault="00E91F61" w:rsidP="00664A7E">
      <w:pPr>
        <w:numPr>
          <w:ilvl w:val="0"/>
          <w:numId w:val="8"/>
        </w:numPr>
        <w:ind w:left="0" w:firstLine="0"/>
        <w:jc w:val="both"/>
        <w:rPr>
          <w:rFonts w:ascii="Palatino Linotype" w:eastAsia="Palatino Linotype" w:hAnsi="Palatino Linotype" w:cs="Palatino Linotype"/>
          <w:b/>
          <w:i/>
          <w:color w:val="000000" w:themeColor="text1"/>
        </w:rPr>
      </w:pPr>
      <w:bookmarkStart w:id="17" w:name="_heading=h.jz1sqpgtor0i" w:colFirst="0" w:colLast="0"/>
      <w:bookmarkEnd w:id="17"/>
      <w:r w:rsidRPr="007D4C61">
        <w:rPr>
          <w:rFonts w:ascii="Palatino Linotype" w:eastAsia="Palatino Linotype" w:hAnsi="Palatino Linotype" w:cs="Palatino Linotype"/>
          <w:b/>
          <w:i/>
          <w:color w:val="000000" w:themeColor="text1"/>
        </w:rPr>
        <w:t>El resultado global de la evaluación de control confianza (aprobado, no aprobado u homólogo), vigente al veinticinco de febrero de dos mil veinticinco; y</w:t>
      </w:r>
    </w:p>
    <w:p w14:paraId="4A45E9CB" w14:textId="77777777" w:rsidR="00570610" w:rsidRPr="007D4C61" w:rsidRDefault="00570610" w:rsidP="00664A7E">
      <w:pPr>
        <w:jc w:val="both"/>
        <w:rPr>
          <w:rFonts w:ascii="Palatino Linotype" w:eastAsia="Palatino Linotype" w:hAnsi="Palatino Linotype" w:cs="Palatino Linotype"/>
          <w:b/>
          <w:i/>
          <w:color w:val="000000" w:themeColor="text1"/>
        </w:rPr>
      </w:pPr>
    </w:p>
    <w:p w14:paraId="7726E0EB" w14:textId="77777777" w:rsidR="00570610" w:rsidRPr="007D4C61" w:rsidRDefault="00E91F61" w:rsidP="00664A7E">
      <w:pPr>
        <w:numPr>
          <w:ilvl w:val="0"/>
          <w:numId w:val="8"/>
        </w:numPr>
        <w:ind w:left="0" w:firstLine="0"/>
        <w:jc w:val="both"/>
        <w:rPr>
          <w:rFonts w:ascii="Palatino Linotype" w:eastAsia="Palatino Linotype" w:hAnsi="Palatino Linotype" w:cs="Palatino Linotype"/>
          <w:b/>
          <w:i/>
          <w:color w:val="000000" w:themeColor="text1"/>
        </w:rPr>
      </w:pPr>
      <w:r w:rsidRPr="007D4C61">
        <w:rPr>
          <w:rFonts w:ascii="Palatino Linotype" w:eastAsia="Palatino Linotype" w:hAnsi="Palatino Linotype" w:cs="Palatino Linotype"/>
          <w:b/>
          <w:i/>
          <w:color w:val="000000" w:themeColor="text1"/>
        </w:rPr>
        <w:lastRenderedPageBreak/>
        <w:t xml:space="preserve">Documento donde consten o se adviertan las fechas de aplicación de los exámenes de control de confianza,  al veinticinco de febrero de dos mil veinticinco. </w:t>
      </w:r>
    </w:p>
    <w:p w14:paraId="298F7ED9" w14:textId="77777777" w:rsidR="00570610" w:rsidRPr="007D4C61" w:rsidRDefault="00570610" w:rsidP="00664A7E">
      <w:pPr>
        <w:rPr>
          <w:rFonts w:ascii="Palatino Linotype" w:hAnsi="Palatino Linotype"/>
          <w:color w:val="000000" w:themeColor="text1"/>
        </w:rPr>
      </w:pPr>
    </w:p>
    <w:p w14:paraId="07C1C7AB" w14:textId="430671EE" w:rsidR="009273DC" w:rsidRPr="007D4C61" w:rsidRDefault="00E91F61" w:rsidP="00664A7E">
      <w:pPr>
        <w:tabs>
          <w:tab w:val="left" w:pos="8080"/>
        </w:tabs>
        <w:spacing w:line="360" w:lineRule="auto"/>
        <w:jc w:val="both"/>
        <w:rPr>
          <w:rFonts w:ascii="Palatino Linotype" w:eastAsia="Palatino Linotype" w:hAnsi="Palatino Linotype" w:cs="Palatino Linotype"/>
          <w:b/>
          <w:color w:val="000000" w:themeColor="text1"/>
        </w:rPr>
      </w:pPr>
      <w:r w:rsidRPr="007D4C61">
        <w:rPr>
          <w:rFonts w:ascii="Palatino Linotype" w:eastAsia="Palatino Linotype" w:hAnsi="Palatino Linotype" w:cs="Palatino Linotype"/>
          <w:color w:val="000000" w:themeColor="text1"/>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7D4C61">
        <w:rPr>
          <w:rFonts w:ascii="Palatino Linotype" w:eastAsia="Palatino Linotype" w:hAnsi="Palatino Linotype" w:cs="Palatino Linotype"/>
          <w:b/>
          <w:color w:val="000000" w:themeColor="text1"/>
        </w:rPr>
        <w:t>RECURRENTE.</w:t>
      </w:r>
    </w:p>
    <w:p w14:paraId="4965763E" w14:textId="77777777" w:rsidR="00570610" w:rsidRPr="007D4C61" w:rsidRDefault="00570610" w:rsidP="00664A7E">
      <w:pPr>
        <w:jc w:val="both"/>
        <w:rPr>
          <w:rFonts w:ascii="Palatino Linotype" w:eastAsia="Palatino Linotype" w:hAnsi="Palatino Linotype" w:cs="Palatino Linotype"/>
          <w:b/>
          <w:color w:val="000000" w:themeColor="text1"/>
        </w:rPr>
      </w:pPr>
    </w:p>
    <w:p w14:paraId="54761073" w14:textId="77777777" w:rsidR="00570610" w:rsidRPr="007D4C61" w:rsidRDefault="00E91F61" w:rsidP="00664A7E">
      <w:pPr>
        <w:tabs>
          <w:tab w:val="left" w:pos="8080"/>
        </w:tabs>
        <w:spacing w:line="360" w:lineRule="auto"/>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b/>
          <w:color w:val="000000" w:themeColor="text1"/>
        </w:rPr>
        <w:t xml:space="preserve">TERCERO. </w:t>
      </w:r>
      <w:r w:rsidRPr="007D4C61">
        <w:rPr>
          <w:rFonts w:ascii="Palatino Linotype" w:eastAsia="Palatino Linotype" w:hAnsi="Palatino Linotype" w:cs="Palatino Linotype"/>
          <w:color w:val="000000" w:themeColor="text1"/>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7D4C61">
        <w:rPr>
          <w:rFonts w:ascii="Palatino Linotype" w:eastAsia="Palatino Linotype" w:hAnsi="Palatino Linotype" w:cs="Palatino Linotype"/>
          <w:b/>
          <w:color w:val="000000" w:themeColor="text1"/>
        </w:rPr>
        <w:t xml:space="preserve">dé cumplimiento a lo ordenado dentro del plazo de diez días hábiles, </w:t>
      </w:r>
      <w:r w:rsidRPr="007D4C61">
        <w:rPr>
          <w:rFonts w:ascii="Palatino Linotype" w:eastAsia="Palatino Linotype" w:hAnsi="Palatino Linotype" w:cs="Palatino Linotype"/>
          <w:color w:val="000000" w:themeColor="text1"/>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5061EE9B" w14:textId="77777777" w:rsidR="00570610" w:rsidRPr="007D4C61" w:rsidRDefault="00570610" w:rsidP="00664A7E">
      <w:pPr>
        <w:tabs>
          <w:tab w:val="left" w:pos="8080"/>
        </w:tabs>
        <w:spacing w:line="360" w:lineRule="auto"/>
        <w:jc w:val="both"/>
        <w:rPr>
          <w:rFonts w:ascii="Palatino Linotype" w:eastAsia="Palatino Linotype" w:hAnsi="Palatino Linotype" w:cs="Palatino Linotype"/>
          <w:color w:val="000000" w:themeColor="text1"/>
        </w:rPr>
      </w:pPr>
    </w:p>
    <w:p w14:paraId="580BA08D" w14:textId="77777777" w:rsidR="00570610" w:rsidRPr="007D4C61" w:rsidRDefault="00E91F61" w:rsidP="00664A7E">
      <w:pPr>
        <w:spacing w:line="360" w:lineRule="auto"/>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b/>
          <w:color w:val="000000" w:themeColor="text1"/>
        </w:rPr>
        <w:t xml:space="preserve">CUARTO. </w:t>
      </w:r>
      <w:r w:rsidRPr="007D4C61">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Pr="007D4C61">
        <w:rPr>
          <w:rFonts w:ascii="Palatino Linotype" w:eastAsia="Palatino Linotype" w:hAnsi="Palatino Linotype" w:cs="Palatino Linotype"/>
          <w:b/>
          <w:color w:val="000000" w:themeColor="text1"/>
        </w:rPr>
        <w:t>SUJETO OBLIGADO</w:t>
      </w:r>
      <w:r w:rsidRPr="007D4C61">
        <w:rPr>
          <w:rFonts w:ascii="Palatino Linotype" w:eastAsia="Palatino Linotype" w:hAnsi="Palatino Linotype" w:cs="Palatino Linotype"/>
          <w:color w:val="000000" w:themeColor="text1"/>
        </w:rPr>
        <w:t xml:space="preserve"> de manera fundada y motivada, podrá solicitar una ampliación de plazo para el cumplimiento de la presente resolución.</w:t>
      </w:r>
    </w:p>
    <w:p w14:paraId="1879C005" w14:textId="77777777" w:rsidR="00570610" w:rsidRPr="007D4C61" w:rsidRDefault="00E91F61" w:rsidP="00664A7E">
      <w:pPr>
        <w:shd w:val="clear" w:color="auto" w:fill="FFFFFF"/>
        <w:spacing w:line="360" w:lineRule="auto"/>
        <w:jc w:val="both"/>
        <w:rPr>
          <w:rFonts w:ascii="Palatino Linotype" w:eastAsia="Palatino Linotype" w:hAnsi="Palatino Linotype" w:cs="Palatino Linotype"/>
          <w:color w:val="000000" w:themeColor="text1"/>
        </w:rPr>
      </w:pPr>
      <w:bookmarkStart w:id="18" w:name="_heading=h.2jxsxqh" w:colFirst="0" w:colLast="0"/>
      <w:bookmarkEnd w:id="18"/>
      <w:r w:rsidRPr="007D4C61">
        <w:rPr>
          <w:rFonts w:ascii="Palatino Linotype" w:eastAsia="Palatino Linotype" w:hAnsi="Palatino Linotype" w:cs="Palatino Linotype"/>
          <w:b/>
          <w:color w:val="000000" w:themeColor="text1"/>
        </w:rPr>
        <w:lastRenderedPageBreak/>
        <w:t xml:space="preserve">QUINTO. </w:t>
      </w:r>
      <w:r w:rsidRPr="007D4C61">
        <w:rPr>
          <w:rFonts w:ascii="Palatino Linotype" w:eastAsia="Palatino Linotype" w:hAnsi="Palatino Linotype" w:cs="Palatino Linotype"/>
          <w:color w:val="000000" w:themeColor="text1"/>
        </w:rPr>
        <w:t xml:space="preserve">Notifíquese a </w:t>
      </w:r>
      <w:r w:rsidRPr="007D4C61">
        <w:rPr>
          <w:rFonts w:ascii="Palatino Linotype" w:eastAsia="Palatino Linotype" w:hAnsi="Palatino Linotype" w:cs="Palatino Linotype"/>
          <w:b/>
          <w:color w:val="000000" w:themeColor="text1"/>
        </w:rPr>
        <w:t>EL RECURRENTE</w:t>
      </w:r>
      <w:r w:rsidRPr="007D4C61">
        <w:rPr>
          <w:rFonts w:ascii="Palatino Linotype" w:eastAsia="Palatino Linotype" w:hAnsi="Palatino Linotype" w:cs="Palatino Linotype"/>
          <w:color w:val="000000" w:themeColor="text1"/>
        </w:rPr>
        <w:t xml:space="preserve"> la presente resolución, vía SAIMEX.</w:t>
      </w:r>
    </w:p>
    <w:p w14:paraId="11C84AF9" w14:textId="77777777" w:rsidR="00570610" w:rsidRPr="007D4C61" w:rsidRDefault="00570610" w:rsidP="00664A7E">
      <w:pPr>
        <w:shd w:val="clear" w:color="auto" w:fill="FFFFFF"/>
        <w:spacing w:line="360" w:lineRule="auto"/>
        <w:jc w:val="both"/>
        <w:rPr>
          <w:rFonts w:ascii="Palatino Linotype" w:eastAsia="Palatino Linotype" w:hAnsi="Palatino Linotype" w:cs="Palatino Linotype"/>
          <w:color w:val="000000" w:themeColor="text1"/>
        </w:rPr>
      </w:pPr>
    </w:p>
    <w:p w14:paraId="4BF0ED0D" w14:textId="77777777" w:rsidR="00570610" w:rsidRPr="007D4C61" w:rsidRDefault="00E91F61" w:rsidP="00664A7E">
      <w:pPr>
        <w:shd w:val="clear" w:color="auto" w:fill="FFFFFF"/>
        <w:spacing w:line="360" w:lineRule="auto"/>
        <w:jc w:val="both"/>
        <w:rPr>
          <w:rFonts w:ascii="Palatino Linotype" w:eastAsia="Palatino Linotype" w:hAnsi="Palatino Linotype" w:cs="Palatino Linotype"/>
          <w:color w:val="000000" w:themeColor="text1"/>
        </w:rPr>
      </w:pPr>
      <w:r w:rsidRPr="007D4C61">
        <w:rPr>
          <w:rFonts w:ascii="Palatino Linotype" w:eastAsia="Palatino Linotype" w:hAnsi="Palatino Linotype" w:cs="Palatino Linotype"/>
          <w:b/>
          <w:color w:val="000000" w:themeColor="text1"/>
        </w:rPr>
        <w:t>SEXTO.</w:t>
      </w:r>
      <w:r w:rsidRPr="007D4C61">
        <w:rPr>
          <w:rFonts w:ascii="Palatino Linotype" w:eastAsia="Palatino Linotype" w:hAnsi="Palatino Linotype" w:cs="Palatino Linotype"/>
          <w:color w:val="000000" w:themeColor="text1"/>
        </w:rPr>
        <w:t xml:space="preserve"> Se hace del conocimiento de </w:t>
      </w:r>
      <w:r w:rsidRPr="007D4C61">
        <w:rPr>
          <w:rFonts w:ascii="Palatino Linotype" w:eastAsia="Palatino Linotype" w:hAnsi="Palatino Linotype" w:cs="Palatino Linotype"/>
          <w:b/>
          <w:color w:val="000000" w:themeColor="text1"/>
        </w:rPr>
        <w:t>EL RECURRENTE</w:t>
      </w:r>
      <w:r w:rsidRPr="007D4C61">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648468D2" w14:textId="77777777" w:rsidR="00664A7E" w:rsidRPr="007D4C61" w:rsidRDefault="00664A7E" w:rsidP="00664A7E">
      <w:pPr>
        <w:shd w:val="clear" w:color="auto" w:fill="FFFFFF"/>
        <w:spacing w:line="360" w:lineRule="auto"/>
        <w:jc w:val="both"/>
        <w:rPr>
          <w:rFonts w:ascii="Palatino Linotype" w:eastAsia="Palatino Linotype" w:hAnsi="Palatino Linotype" w:cs="Palatino Linotype"/>
          <w:color w:val="000000" w:themeColor="text1"/>
        </w:rPr>
      </w:pPr>
    </w:p>
    <w:p w14:paraId="57AA00E5" w14:textId="0DFBAAB4" w:rsidR="00664A7E" w:rsidRPr="00444783" w:rsidRDefault="00664A7E" w:rsidP="00664A7E">
      <w:pPr>
        <w:spacing w:line="360" w:lineRule="auto"/>
        <w:ind w:right="49"/>
        <w:jc w:val="both"/>
        <w:rPr>
          <w:rFonts w:ascii="Palatino Linotype" w:eastAsia="Palatino Linotype" w:hAnsi="Palatino Linotype" w:cs="Palatino Linotype"/>
        </w:rPr>
      </w:pPr>
      <w:bookmarkStart w:id="19" w:name="_heading=h.n7apk5xpaooz" w:colFirst="0" w:colLast="0"/>
      <w:bookmarkEnd w:id="19"/>
      <w:r w:rsidRPr="007D4C61">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E2739E" w:rsidRPr="007D4C61">
        <w:rPr>
          <w:rFonts w:ascii="Palatino Linotype" w:eastAsia="Palatino Linotype" w:hAnsi="Palatino Linotype" w:cs="Palatino Linotype"/>
        </w:rPr>
        <w:t xml:space="preserve"> EMITIENDO VOTO PARTICULAR</w:t>
      </w:r>
      <w:r w:rsidRPr="007D4C61">
        <w:rPr>
          <w:rFonts w:ascii="Palatino Linotype" w:eastAsia="Palatino Linotype" w:hAnsi="Palatino Linotype" w:cs="Palatino Linotype"/>
        </w:rPr>
        <w:t xml:space="preserve"> Y GUADALUPE RAMÍREZ PEÑA; EN LA TRIGÉSIMA SEGUNDA SESIÓN ORDINARIA, CELEBRADA EL DIEZ (10) DE SEPTIEMBRE DE DOS MIL VEINTICINCO, ANTE EL SECRETARIO TÉCNICO DEL PLENO ALEXIS TAPIA RAMÍREZ.</w:t>
      </w:r>
    </w:p>
    <w:p w14:paraId="742CD423" w14:textId="77777777" w:rsidR="00570610" w:rsidRPr="001E2F15" w:rsidRDefault="00570610" w:rsidP="00664A7E">
      <w:pPr>
        <w:spacing w:before="240" w:after="240" w:line="360" w:lineRule="auto"/>
        <w:jc w:val="both"/>
        <w:rPr>
          <w:rFonts w:ascii="Palatino Linotype" w:eastAsia="Palatino Linotype" w:hAnsi="Palatino Linotype" w:cs="Palatino Linotype"/>
          <w:color w:val="000000" w:themeColor="text1"/>
        </w:rPr>
      </w:pPr>
    </w:p>
    <w:p w14:paraId="76D33487" w14:textId="77777777" w:rsidR="00570610" w:rsidRPr="001E2F15" w:rsidRDefault="00570610" w:rsidP="00664A7E">
      <w:pPr>
        <w:spacing w:line="360" w:lineRule="auto"/>
        <w:jc w:val="both"/>
        <w:rPr>
          <w:rFonts w:ascii="Palatino Linotype" w:eastAsia="Palatino Linotype" w:hAnsi="Palatino Linotype" w:cs="Palatino Linotype"/>
          <w:color w:val="000000" w:themeColor="text1"/>
        </w:rPr>
      </w:pPr>
    </w:p>
    <w:p w14:paraId="1F931BF3" w14:textId="77777777" w:rsidR="00570610" w:rsidRPr="001E2F15" w:rsidRDefault="00570610" w:rsidP="00664A7E">
      <w:pPr>
        <w:keepNext/>
        <w:keepLines/>
        <w:spacing w:after="240" w:line="360" w:lineRule="auto"/>
        <w:rPr>
          <w:rFonts w:ascii="Palatino Linotype" w:hAnsi="Palatino Linotype"/>
          <w:color w:val="000000" w:themeColor="text1"/>
        </w:rPr>
      </w:pPr>
    </w:p>
    <w:p w14:paraId="69A40B52" w14:textId="77777777" w:rsidR="00570610" w:rsidRPr="001E2F15" w:rsidRDefault="00570610" w:rsidP="00664A7E">
      <w:pPr>
        <w:rPr>
          <w:rFonts w:ascii="Palatino Linotype" w:hAnsi="Palatino Linotype"/>
          <w:color w:val="000000" w:themeColor="text1"/>
        </w:rPr>
      </w:pPr>
    </w:p>
    <w:p w14:paraId="55534505" w14:textId="77777777" w:rsidR="00570610" w:rsidRPr="001E2F15" w:rsidRDefault="00570610" w:rsidP="00664A7E">
      <w:pPr>
        <w:rPr>
          <w:rFonts w:ascii="Palatino Linotype" w:hAnsi="Palatino Linotype"/>
          <w:color w:val="000000" w:themeColor="text1"/>
        </w:rPr>
      </w:pPr>
    </w:p>
    <w:p w14:paraId="768BB0CC" w14:textId="77777777" w:rsidR="00570610" w:rsidRPr="001E2F15" w:rsidRDefault="00570610" w:rsidP="00664A7E">
      <w:pPr>
        <w:rPr>
          <w:rFonts w:ascii="Palatino Linotype" w:hAnsi="Palatino Linotype"/>
          <w:color w:val="000000" w:themeColor="text1"/>
        </w:rPr>
      </w:pPr>
    </w:p>
    <w:p w14:paraId="680A7619" w14:textId="77777777" w:rsidR="00570610" w:rsidRPr="001E2F15" w:rsidRDefault="00570610" w:rsidP="00664A7E">
      <w:pPr>
        <w:rPr>
          <w:rFonts w:ascii="Palatino Linotype" w:hAnsi="Palatino Linotype"/>
          <w:color w:val="000000" w:themeColor="text1"/>
        </w:rPr>
      </w:pPr>
    </w:p>
    <w:p w14:paraId="74617DD0" w14:textId="52F858F9" w:rsidR="00664A7E" w:rsidRDefault="00664A7E" w:rsidP="00664A7E">
      <w:pPr>
        <w:rPr>
          <w:rFonts w:ascii="Palatino Linotype" w:hAnsi="Palatino Linotype"/>
          <w:color w:val="000000" w:themeColor="text1"/>
        </w:rPr>
      </w:pPr>
    </w:p>
    <w:p w14:paraId="110DA47D" w14:textId="77777777" w:rsidR="00664A7E" w:rsidRPr="00664A7E" w:rsidRDefault="00664A7E" w:rsidP="00664A7E">
      <w:pPr>
        <w:rPr>
          <w:rFonts w:ascii="Palatino Linotype" w:hAnsi="Palatino Linotype"/>
        </w:rPr>
      </w:pPr>
    </w:p>
    <w:p w14:paraId="752448B0" w14:textId="77777777" w:rsidR="00664A7E" w:rsidRPr="00664A7E" w:rsidRDefault="00664A7E" w:rsidP="00664A7E">
      <w:pPr>
        <w:rPr>
          <w:rFonts w:ascii="Palatino Linotype" w:hAnsi="Palatino Linotype"/>
        </w:rPr>
      </w:pPr>
    </w:p>
    <w:p w14:paraId="4C8F3007" w14:textId="77777777" w:rsidR="00664A7E" w:rsidRPr="00664A7E" w:rsidRDefault="00664A7E" w:rsidP="00664A7E">
      <w:pPr>
        <w:rPr>
          <w:rFonts w:ascii="Palatino Linotype" w:hAnsi="Palatino Linotype"/>
        </w:rPr>
      </w:pPr>
    </w:p>
    <w:p w14:paraId="2225DF68" w14:textId="77777777" w:rsidR="00664A7E" w:rsidRPr="00664A7E" w:rsidRDefault="00664A7E" w:rsidP="00664A7E">
      <w:pPr>
        <w:rPr>
          <w:rFonts w:ascii="Palatino Linotype" w:hAnsi="Palatino Linotype"/>
        </w:rPr>
      </w:pPr>
    </w:p>
    <w:p w14:paraId="4E1F2B50" w14:textId="77777777" w:rsidR="00664A7E" w:rsidRPr="00664A7E" w:rsidRDefault="00664A7E" w:rsidP="00664A7E">
      <w:pPr>
        <w:rPr>
          <w:rFonts w:ascii="Palatino Linotype" w:hAnsi="Palatino Linotype"/>
        </w:rPr>
      </w:pPr>
    </w:p>
    <w:p w14:paraId="0F9BA2D4" w14:textId="77777777" w:rsidR="00664A7E" w:rsidRPr="00664A7E" w:rsidRDefault="00664A7E" w:rsidP="00664A7E">
      <w:pPr>
        <w:rPr>
          <w:rFonts w:ascii="Palatino Linotype" w:hAnsi="Palatino Linotype"/>
        </w:rPr>
      </w:pPr>
    </w:p>
    <w:p w14:paraId="1AA9D486" w14:textId="77777777" w:rsidR="00664A7E" w:rsidRPr="00664A7E" w:rsidRDefault="00664A7E" w:rsidP="00664A7E">
      <w:pPr>
        <w:rPr>
          <w:rFonts w:ascii="Palatino Linotype" w:hAnsi="Palatino Linotype"/>
        </w:rPr>
      </w:pPr>
    </w:p>
    <w:p w14:paraId="53D6E60D" w14:textId="77777777" w:rsidR="00664A7E" w:rsidRPr="00664A7E" w:rsidRDefault="00664A7E" w:rsidP="00664A7E">
      <w:pPr>
        <w:rPr>
          <w:rFonts w:ascii="Palatino Linotype" w:hAnsi="Palatino Linotype"/>
        </w:rPr>
      </w:pPr>
    </w:p>
    <w:p w14:paraId="390AF296" w14:textId="77777777" w:rsidR="00664A7E" w:rsidRPr="00664A7E" w:rsidRDefault="00664A7E" w:rsidP="00664A7E">
      <w:pPr>
        <w:rPr>
          <w:rFonts w:ascii="Palatino Linotype" w:hAnsi="Palatino Linotype"/>
        </w:rPr>
      </w:pPr>
    </w:p>
    <w:p w14:paraId="1E61BA51" w14:textId="77777777" w:rsidR="00664A7E" w:rsidRPr="00664A7E" w:rsidRDefault="00664A7E" w:rsidP="00664A7E">
      <w:pPr>
        <w:rPr>
          <w:rFonts w:ascii="Palatino Linotype" w:hAnsi="Palatino Linotype"/>
        </w:rPr>
      </w:pPr>
    </w:p>
    <w:p w14:paraId="6C171FCB" w14:textId="77777777" w:rsidR="00664A7E" w:rsidRPr="00664A7E" w:rsidRDefault="00664A7E" w:rsidP="00664A7E">
      <w:pPr>
        <w:rPr>
          <w:rFonts w:ascii="Palatino Linotype" w:hAnsi="Palatino Linotype"/>
        </w:rPr>
      </w:pPr>
    </w:p>
    <w:p w14:paraId="1C7A2931" w14:textId="4E2B9120" w:rsidR="00664A7E" w:rsidRDefault="00664A7E" w:rsidP="00664A7E">
      <w:pPr>
        <w:rPr>
          <w:rFonts w:ascii="Palatino Linotype" w:hAnsi="Palatino Linotype"/>
        </w:rPr>
      </w:pPr>
    </w:p>
    <w:p w14:paraId="786B657E" w14:textId="4B21900E" w:rsidR="00570610" w:rsidRDefault="00664A7E" w:rsidP="00664A7E">
      <w:pPr>
        <w:tabs>
          <w:tab w:val="left" w:pos="5445"/>
        </w:tabs>
        <w:rPr>
          <w:rFonts w:ascii="Palatino Linotype" w:hAnsi="Palatino Linotype"/>
        </w:rPr>
      </w:pPr>
      <w:r>
        <w:rPr>
          <w:rFonts w:ascii="Palatino Linotype" w:hAnsi="Palatino Linotype"/>
        </w:rPr>
        <w:tab/>
      </w:r>
    </w:p>
    <w:p w14:paraId="61A03789" w14:textId="77777777" w:rsidR="00664A7E" w:rsidRDefault="00664A7E" w:rsidP="00664A7E">
      <w:pPr>
        <w:tabs>
          <w:tab w:val="left" w:pos="5445"/>
        </w:tabs>
        <w:rPr>
          <w:rFonts w:ascii="Palatino Linotype" w:hAnsi="Palatino Linotype"/>
        </w:rPr>
      </w:pPr>
    </w:p>
    <w:p w14:paraId="5A7F636D" w14:textId="77777777" w:rsidR="00664A7E" w:rsidRDefault="00664A7E" w:rsidP="00664A7E">
      <w:pPr>
        <w:tabs>
          <w:tab w:val="left" w:pos="5445"/>
        </w:tabs>
        <w:rPr>
          <w:rFonts w:ascii="Palatino Linotype" w:hAnsi="Palatino Linotype"/>
        </w:rPr>
      </w:pPr>
    </w:p>
    <w:p w14:paraId="64163293" w14:textId="77777777" w:rsidR="00664A7E" w:rsidRDefault="00664A7E" w:rsidP="00664A7E">
      <w:pPr>
        <w:tabs>
          <w:tab w:val="left" w:pos="5445"/>
        </w:tabs>
        <w:rPr>
          <w:rFonts w:ascii="Palatino Linotype" w:hAnsi="Palatino Linotype"/>
        </w:rPr>
      </w:pPr>
    </w:p>
    <w:p w14:paraId="429F1369" w14:textId="77777777" w:rsidR="00664A7E" w:rsidRDefault="00664A7E" w:rsidP="00664A7E">
      <w:pPr>
        <w:tabs>
          <w:tab w:val="left" w:pos="5445"/>
        </w:tabs>
        <w:rPr>
          <w:rFonts w:ascii="Palatino Linotype" w:hAnsi="Palatino Linotype"/>
        </w:rPr>
      </w:pPr>
    </w:p>
    <w:p w14:paraId="6BB86D19" w14:textId="77777777" w:rsidR="00664A7E" w:rsidRPr="00664A7E" w:rsidRDefault="00664A7E" w:rsidP="00664A7E">
      <w:pPr>
        <w:tabs>
          <w:tab w:val="left" w:pos="5445"/>
        </w:tabs>
        <w:rPr>
          <w:rFonts w:ascii="Palatino Linotype" w:hAnsi="Palatino Linotype"/>
        </w:rPr>
      </w:pPr>
    </w:p>
    <w:sectPr w:rsidR="00664A7E" w:rsidRPr="00664A7E" w:rsidSect="00242433">
      <w:headerReference w:type="default" r:id="rId11"/>
      <w:footerReference w:type="default" r:id="rId12"/>
      <w:headerReference w:type="first" r:id="rId13"/>
      <w:footerReference w:type="first" r:id="rId14"/>
      <w:pgSz w:w="12240" w:h="15840"/>
      <w:pgMar w:top="2410" w:right="1183"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CD997D" w14:textId="77777777" w:rsidR="008109BB" w:rsidRDefault="008109BB">
      <w:r>
        <w:separator/>
      </w:r>
    </w:p>
  </w:endnote>
  <w:endnote w:type="continuationSeparator" w:id="0">
    <w:p w14:paraId="41BA485A" w14:textId="77777777" w:rsidR="008109BB" w:rsidRDefault="00810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8BA2642C-41F1-4B62-AC8C-0B4C29ABF7E9}"/>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E1B6A707-12C8-4A67-A302-483E75EEEB23}"/>
    <w:embedBold r:id="rId3" w:fontKey="{D8D3A720-20E4-4786-99A4-50C76AA3E397}"/>
    <w:embedItalic r:id="rId4" w:fontKey="{45BF2478-7D4A-4CBA-A6FB-98DF88AFCEC9}"/>
    <w:embedBoldItalic r:id="rId5" w:fontKey="{E5E1E67D-F018-4441-81B3-69B71FD1E29F}"/>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B1430AF0-5643-48DD-AD41-05BBBE45491F}"/>
  </w:font>
  <w:font w:name="Calibri Light">
    <w:panose1 w:val="020F0302020204030204"/>
    <w:charset w:val="00"/>
    <w:family w:val="swiss"/>
    <w:pitch w:val="variable"/>
    <w:sig w:usb0="E4002EFF" w:usb1="C200247B" w:usb2="00000009" w:usb3="00000000" w:csb0="000001FF" w:csb1="00000000"/>
    <w:embedRegular r:id="rId7" w:fontKey="{02FD936B-4E46-4DB0-81D5-6CE0745B870F}"/>
  </w:font>
  <w:font w:name="Georgia">
    <w:panose1 w:val="02040502050405020303"/>
    <w:charset w:val="00"/>
    <w:family w:val="roman"/>
    <w:pitch w:val="variable"/>
    <w:sig w:usb0="00000287" w:usb1="00000000" w:usb2="00000000" w:usb3="00000000" w:csb0="0000009F" w:csb1="00000000"/>
    <w:embedRegular r:id="rId8" w:fontKey="{14AB8E6C-5831-4C3F-A31E-463B6719F2B2}"/>
    <w:embedItalic r:id="rId9" w:fontKey="{E156A804-930F-46C8-B568-BA18AF60BA6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DE951F" w14:textId="77777777" w:rsidR="00E91F61" w:rsidRPr="00C651E7" w:rsidRDefault="00E91F61">
    <w:pPr>
      <w:pBdr>
        <w:top w:val="nil"/>
        <w:left w:val="nil"/>
        <w:bottom w:val="nil"/>
        <w:right w:val="nil"/>
        <w:between w:val="nil"/>
      </w:pBdr>
      <w:tabs>
        <w:tab w:val="center" w:pos="4252"/>
        <w:tab w:val="right" w:pos="8504"/>
      </w:tabs>
      <w:jc w:val="right"/>
      <w:rPr>
        <w:rFonts w:ascii="Palatino Linotype" w:eastAsia="Arial" w:hAnsi="Palatino Linotype" w:cs="Arial"/>
        <w:color w:val="000000"/>
        <w:szCs w:val="20"/>
      </w:rPr>
    </w:pPr>
    <w:r w:rsidRPr="00C651E7">
      <w:rPr>
        <w:rFonts w:ascii="Palatino Linotype" w:eastAsia="Arial" w:hAnsi="Palatino Linotype" w:cs="Arial"/>
        <w:b/>
        <w:color w:val="000000"/>
        <w:szCs w:val="20"/>
      </w:rPr>
      <w:t xml:space="preserve">Página </w:t>
    </w:r>
    <w:r w:rsidRPr="00C651E7">
      <w:rPr>
        <w:rFonts w:ascii="Palatino Linotype" w:eastAsia="Arial" w:hAnsi="Palatino Linotype" w:cs="Arial"/>
        <w:b/>
        <w:color w:val="000000"/>
        <w:szCs w:val="20"/>
      </w:rPr>
      <w:fldChar w:fldCharType="begin"/>
    </w:r>
    <w:r w:rsidRPr="00C651E7">
      <w:rPr>
        <w:rFonts w:ascii="Palatino Linotype" w:eastAsia="Arial" w:hAnsi="Palatino Linotype" w:cs="Arial"/>
        <w:b/>
        <w:color w:val="000000"/>
        <w:szCs w:val="20"/>
      </w:rPr>
      <w:instrText>PAGE</w:instrText>
    </w:r>
    <w:r w:rsidRPr="00C651E7">
      <w:rPr>
        <w:rFonts w:ascii="Palatino Linotype" w:eastAsia="Arial" w:hAnsi="Palatino Linotype" w:cs="Arial"/>
        <w:b/>
        <w:color w:val="000000"/>
        <w:szCs w:val="20"/>
      </w:rPr>
      <w:fldChar w:fldCharType="separate"/>
    </w:r>
    <w:r w:rsidR="00C651E7">
      <w:rPr>
        <w:rFonts w:ascii="Palatino Linotype" w:eastAsia="Arial" w:hAnsi="Palatino Linotype" w:cs="Arial"/>
        <w:b/>
        <w:noProof/>
        <w:color w:val="000000"/>
        <w:szCs w:val="20"/>
      </w:rPr>
      <w:t>22</w:t>
    </w:r>
    <w:r w:rsidRPr="00C651E7">
      <w:rPr>
        <w:rFonts w:ascii="Palatino Linotype" w:eastAsia="Arial" w:hAnsi="Palatino Linotype" w:cs="Arial"/>
        <w:b/>
        <w:color w:val="000000"/>
        <w:szCs w:val="20"/>
      </w:rPr>
      <w:fldChar w:fldCharType="end"/>
    </w:r>
    <w:r w:rsidRPr="00C651E7">
      <w:rPr>
        <w:rFonts w:ascii="Palatino Linotype" w:eastAsia="Arial" w:hAnsi="Palatino Linotype" w:cs="Arial"/>
        <w:color w:val="000000"/>
        <w:szCs w:val="20"/>
      </w:rPr>
      <w:t xml:space="preserve"> de </w:t>
    </w:r>
    <w:r w:rsidRPr="00C651E7">
      <w:rPr>
        <w:rFonts w:ascii="Palatino Linotype" w:eastAsia="Arial" w:hAnsi="Palatino Linotype" w:cs="Arial"/>
        <w:b/>
        <w:color w:val="000000"/>
        <w:szCs w:val="20"/>
      </w:rPr>
      <w:fldChar w:fldCharType="begin"/>
    </w:r>
    <w:r w:rsidRPr="00C651E7">
      <w:rPr>
        <w:rFonts w:ascii="Palatino Linotype" w:eastAsia="Arial" w:hAnsi="Palatino Linotype" w:cs="Arial"/>
        <w:b/>
        <w:color w:val="000000"/>
        <w:szCs w:val="20"/>
      </w:rPr>
      <w:instrText>NUMPAGES</w:instrText>
    </w:r>
    <w:r w:rsidRPr="00C651E7">
      <w:rPr>
        <w:rFonts w:ascii="Palatino Linotype" w:eastAsia="Arial" w:hAnsi="Palatino Linotype" w:cs="Arial"/>
        <w:b/>
        <w:color w:val="000000"/>
        <w:szCs w:val="20"/>
      </w:rPr>
      <w:fldChar w:fldCharType="separate"/>
    </w:r>
    <w:r w:rsidR="00C651E7">
      <w:rPr>
        <w:rFonts w:ascii="Palatino Linotype" w:eastAsia="Arial" w:hAnsi="Palatino Linotype" w:cs="Arial"/>
        <w:b/>
        <w:noProof/>
        <w:color w:val="000000"/>
        <w:szCs w:val="20"/>
      </w:rPr>
      <w:t>48</w:t>
    </w:r>
    <w:r w:rsidRPr="00C651E7">
      <w:rPr>
        <w:rFonts w:ascii="Palatino Linotype" w:eastAsia="Arial" w:hAnsi="Palatino Linotype" w:cs="Arial"/>
        <w:b/>
        <w:color w:val="000000"/>
        <w:szCs w:val="20"/>
      </w:rPr>
      <w:fldChar w:fldCharType="end"/>
    </w:r>
  </w:p>
  <w:p w14:paraId="5A0BA6B1" w14:textId="77777777" w:rsidR="00E91F61" w:rsidRDefault="00E91F61">
    <w:pPr>
      <w:pBdr>
        <w:top w:val="nil"/>
        <w:left w:val="nil"/>
        <w:bottom w:val="nil"/>
        <w:right w:val="nil"/>
        <w:between w:val="nil"/>
      </w:pBdr>
      <w:tabs>
        <w:tab w:val="center" w:pos="4252"/>
        <w:tab w:val="right" w:pos="8504"/>
      </w:tabs>
      <w:rPr>
        <w:color w:val="000000"/>
      </w:rPr>
    </w:pPr>
  </w:p>
  <w:p w14:paraId="0C06CBBD" w14:textId="77777777" w:rsidR="00E91F61" w:rsidRDefault="00E91F61">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C59B52" w14:textId="77777777" w:rsidR="00E91F61" w:rsidRPr="00C651E7" w:rsidRDefault="00E91F61">
    <w:pPr>
      <w:pBdr>
        <w:top w:val="nil"/>
        <w:left w:val="nil"/>
        <w:bottom w:val="nil"/>
        <w:right w:val="nil"/>
        <w:between w:val="nil"/>
      </w:pBdr>
      <w:tabs>
        <w:tab w:val="center" w:pos="4252"/>
        <w:tab w:val="right" w:pos="8504"/>
      </w:tabs>
      <w:jc w:val="right"/>
      <w:rPr>
        <w:rFonts w:ascii="Palatino Linotype" w:eastAsia="Arial" w:hAnsi="Palatino Linotype" w:cs="Arial"/>
        <w:color w:val="000000"/>
        <w:szCs w:val="20"/>
      </w:rPr>
    </w:pPr>
    <w:r w:rsidRPr="00C651E7">
      <w:rPr>
        <w:rFonts w:ascii="Palatino Linotype" w:eastAsia="Arial" w:hAnsi="Palatino Linotype" w:cs="Arial"/>
        <w:b/>
        <w:color w:val="000000"/>
        <w:szCs w:val="20"/>
      </w:rPr>
      <w:t xml:space="preserve">Página </w:t>
    </w:r>
    <w:r w:rsidRPr="00C651E7">
      <w:rPr>
        <w:rFonts w:ascii="Palatino Linotype" w:eastAsia="Arial" w:hAnsi="Palatino Linotype" w:cs="Arial"/>
        <w:b/>
        <w:color w:val="000000"/>
        <w:szCs w:val="20"/>
      </w:rPr>
      <w:fldChar w:fldCharType="begin"/>
    </w:r>
    <w:r w:rsidRPr="00C651E7">
      <w:rPr>
        <w:rFonts w:ascii="Palatino Linotype" w:eastAsia="Arial" w:hAnsi="Palatino Linotype" w:cs="Arial"/>
        <w:b/>
        <w:color w:val="000000"/>
        <w:szCs w:val="20"/>
      </w:rPr>
      <w:instrText>PAGE</w:instrText>
    </w:r>
    <w:r w:rsidRPr="00C651E7">
      <w:rPr>
        <w:rFonts w:ascii="Palatino Linotype" w:eastAsia="Arial" w:hAnsi="Palatino Linotype" w:cs="Arial"/>
        <w:b/>
        <w:color w:val="000000"/>
        <w:szCs w:val="20"/>
      </w:rPr>
      <w:fldChar w:fldCharType="separate"/>
    </w:r>
    <w:r w:rsidR="00C651E7">
      <w:rPr>
        <w:rFonts w:ascii="Palatino Linotype" w:eastAsia="Arial" w:hAnsi="Palatino Linotype" w:cs="Arial"/>
        <w:b/>
        <w:noProof/>
        <w:color w:val="000000"/>
        <w:szCs w:val="20"/>
      </w:rPr>
      <w:t>1</w:t>
    </w:r>
    <w:r w:rsidRPr="00C651E7">
      <w:rPr>
        <w:rFonts w:ascii="Palatino Linotype" w:eastAsia="Arial" w:hAnsi="Palatino Linotype" w:cs="Arial"/>
        <w:b/>
        <w:color w:val="000000"/>
        <w:szCs w:val="20"/>
      </w:rPr>
      <w:fldChar w:fldCharType="end"/>
    </w:r>
    <w:r w:rsidRPr="00C651E7">
      <w:rPr>
        <w:rFonts w:ascii="Palatino Linotype" w:eastAsia="Arial" w:hAnsi="Palatino Linotype" w:cs="Arial"/>
        <w:color w:val="000000"/>
        <w:szCs w:val="20"/>
      </w:rPr>
      <w:t xml:space="preserve"> de </w:t>
    </w:r>
    <w:r w:rsidRPr="00C651E7">
      <w:rPr>
        <w:rFonts w:ascii="Palatino Linotype" w:eastAsia="Arial" w:hAnsi="Palatino Linotype" w:cs="Arial"/>
        <w:b/>
        <w:color w:val="000000"/>
        <w:szCs w:val="20"/>
      </w:rPr>
      <w:fldChar w:fldCharType="begin"/>
    </w:r>
    <w:r w:rsidRPr="00C651E7">
      <w:rPr>
        <w:rFonts w:ascii="Palatino Linotype" w:eastAsia="Arial" w:hAnsi="Palatino Linotype" w:cs="Arial"/>
        <w:b/>
        <w:color w:val="000000"/>
        <w:szCs w:val="20"/>
      </w:rPr>
      <w:instrText>NUMPAGES</w:instrText>
    </w:r>
    <w:r w:rsidRPr="00C651E7">
      <w:rPr>
        <w:rFonts w:ascii="Palatino Linotype" w:eastAsia="Arial" w:hAnsi="Palatino Linotype" w:cs="Arial"/>
        <w:b/>
        <w:color w:val="000000"/>
        <w:szCs w:val="20"/>
      </w:rPr>
      <w:fldChar w:fldCharType="separate"/>
    </w:r>
    <w:r w:rsidR="00C651E7">
      <w:rPr>
        <w:rFonts w:ascii="Palatino Linotype" w:eastAsia="Arial" w:hAnsi="Palatino Linotype" w:cs="Arial"/>
        <w:b/>
        <w:noProof/>
        <w:color w:val="000000"/>
        <w:szCs w:val="20"/>
      </w:rPr>
      <w:t>48</w:t>
    </w:r>
    <w:r w:rsidRPr="00C651E7">
      <w:rPr>
        <w:rFonts w:ascii="Palatino Linotype" w:eastAsia="Arial" w:hAnsi="Palatino Linotype" w:cs="Arial"/>
        <w:b/>
        <w:color w:val="000000"/>
        <w:szCs w:val="20"/>
      </w:rPr>
      <w:fldChar w:fldCharType="end"/>
    </w:r>
  </w:p>
  <w:p w14:paraId="0FE472DB" w14:textId="77777777" w:rsidR="00E91F61" w:rsidRDefault="00E91F61">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AC59AC" w14:textId="77777777" w:rsidR="008109BB" w:rsidRDefault="008109BB">
      <w:r>
        <w:separator/>
      </w:r>
    </w:p>
  </w:footnote>
  <w:footnote w:type="continuationSeparator" w:id="0">
    <w:p w14:paraId="1CD8DE6A" w14:textId="77777777" w:rsidR="008109BB" w:rsidRDefault="008109BB">
      <w:r>
        <w:continuationSeparator/>
      </w:r>
    </w:p>
  </w:footnote>
  <w:footnote w:id="1">
    <w:p w14:paraId="25089AA9" w14:textId="77777777" w:rsidR="00E91F61" w:rsidRDefault="00E91F6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14:paraId="56221C4F" w14:textId="77777777" w:rsidR="00E91F61" w:rsidRDefault="00E91F6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14:paraId="75A4F782" w14:textId="77777777" w:rsidR="00E91F61" w:rsidRDefault="00E91F6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14:paraId="54B83D3F" w14:textId="77777777" w:rsidR="00E91F61" w:rsidRDefault="00E91F6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2"/>
      <w:tblW w:w="7087" w:type="dxa"/>
      <w:tblInd w:w="3119" w:type="dxa"/>
      <w:tblLayout w:type="fixed"/>
      <w:tblLook w:val="0400" w:firstRow="0" w:lastRow="0" w:firstColumn="0" w:lastColumn="0" w:noHBand="0" w:noVBand="1"/>
    </w:tblPr>
    <w:tblGrid>
      <w:gridCol w:w="2835"/>
      <w:gridCol w:w="4252"/>
    </w:tblGrid>
    <w:tr w:rsidR="00E91F61" w14:paraId="7D901CEE" w14:textId="77777777" w:rsidTr="001E2F15">
      <w:tc>
        <w:tcPr>
          <w:tcW w:w="2835" w:type="dxa"/>
          <w:vAlign w:val="center"/>
        </w:tcPr>
        <w:p w14:paraId="5C0950D6" w14:textId="77777777" w:rsidR="00E91F61" w:rsidRPr="001E2F15" w:rsidRDefault="00E91F61" w:rsidP="001E2F15">
          <w:pPr>
            <w:rPr>
              <w:rFonts w:ascii="Palatino Linotype" w:eastAsia="Palatino Linotype" w:hAnsi="Palatino Linotype" w:cs="Palatino Linotype"/>
              <w:b/>
            </w:rPr>
          </w:pPr>
          <w:r w:rsidRPr="001E2F15">
            <w:rPr>
              <w:rFonts w:ascii="Palatino Linotype" w:eastAsia="Palatino Linotype" w:hAnsi="Palatino Linotype" w:cs="Palatino Linotype"/>
              <w:b/>
            </w:rPr>
            <w:t>Recurso de Revisión:</w:t>
          </w:r>
        </w:p>
      </w:tc>
      <w:tc>
        <w:tcPr>
          <w:tcW w:w="4252" w:type="dxa"/>
          <w:vAlign w:val="center"/>
        </w:tcPr>
        <w:p w14:paraId="6C6F1BF3" w14:textId="77777777" w:rsidR="00E91F61" w:rsidRPr="001E2F15" w:rsidRDefault="00E91F61" w:rsidP="001E2F15">
          <w:pPr>
            <w:jc w:val="both"/>
            <w:rPr>
              <w:rFonts w:ascii="Palatino Linotype" w:eastAsia="Palatino Linotype" w:hAnsi="Palatino Linotype" w:cs="Palatino Linotype"/>
            </w:rPr>
          </w:pPr>
          <w:r w:rsidRPr="001E2F15">
            <w:rPr>
              <w:rFonts w:ascii="Palatino Linotype" w:eastAsia="Palatino Linotype" w:hAnsi="Palatino Linotype" w:cs="Palatino Linotype"/>
            </w:rPr>
            <w:t>03433/INFOEM/IP/RR/2025</w:t>
          </w:r>
        </w:p>
      </w:tc>
    </w:tr>
    <w:tr w:rsidR="00E91F61" w14:paraId="0F43C967" w14:textId="77777777" w:rsidTr="001E2F15">
      <w:trPr>
        <w:trHeight w:val="228"/>
      </w:trPr>
      <w:tc>
        <w:tcPr>
          <w:tcW w:w="2835" w:type="dxa"/>
          <w:vAlign w:val="center"/>
        </w:tcPr>
        <w:p w14:paraId="1CB2C6C8" w14:textId="77777777" w:rsidR="00E91F61" w:rsidRPr="001E2F15" w:rsidRDefault="00E91F61" w:rsidP="001E2F15">
          <w:pPr>
            <w:rPr>
              <w:rFonts w:ascii="Palatino Linotype" w:eastAsia="Palatino Linotype" w:hAnsi="Palatino Linotype" w:cs="Palatino Linotype"/>
              <w:b/>
            </w:rPr>
          </w:pPr>
          <w:r w:rsidRPr="001E2F15">
            <w:rPr>
              <w:rFonts w:ascii="Palatino Linotype" w:eastAsia="Palatino Linotype" w:hAnsi="Palatino Linotype" w:cs="Palatino Linotype"/>
              <w:b/>
            </w:rPr>
            <w:t>Sujeto Obligado:</w:t>
          </w:r>
        </w:p>
      </w:tc>
      <w:tc>
        <w:tcPr>
          <w:tcW w:w="4252" w:type="dxa"/>
          <w:vAlign w:val="center"/>
        </w:tcPr>
        <w:p w14:paraId="1180A4ED" w14:textId="77777777" w:rsidR="00E91F61" w:rsidRPr="001E2F15" w:rsidRDefault="00E91F61" w:rsidP="001E2F15">
          <w:pPr>
            <w:rPr>
              <w:rFonts w:ascii="Palatino Linotype" w:eastAsia="Palatino Linotype" w:hAnsi="Palatino Linotype" w:cs="Palatino Linotype"/>
              <w:color w:val="000000"/>
            </w:rPr>
          </w:pPr>
          <w:r w:rsidRPr="001E2F15">
            <w:rPr>
              <w:rFonts w:ascii="Palatino Linotype" w:eastAsia="Palatino Linotype" w:hAnsi="Palatino Linotype" w:cs="Palatino Linotype"/>
              <w:color w:val="000000"/>
            </w:rPr>
            <w:t>Ayuntamiento de Toluca</w:t>
          </w:r>
        </w:p>
      </w:tc>
    </w:tr>
    <w:tr w:rsidR="00E91F61" w14:paraId="680EF797" w14:textId="77777777" w:rsidTr="001E2F15">
      <w:tc>
        <w:tcPr>
          <w:tcW w:w="2835" w:type="dxa"/>
          <w:vAlign w:val="center"/>
        </w:tcPr>
        <w:p w14:paraId="36923BD3" w14:textId="77777777" w:rsidR="00E91F61" w:rsidRPr="001E2F15" w:rsidRDefault="00E91F61" w:rsidP="001E2F15">
          <w:pPr>
            <w:rPr>
              <w:rFonts w:ascii="Palatino Linotype" w:eastAsia="Palatino Linotype" w:hAnsi="Palatino Linotype" w:cs="Palatino Linotype"/>
              <w:b/>
            </w:rPr>
          </w:pPr>
          <w:r w:rsidRPr="001E2F15">
            <w:rPr>
              <w:rFonts w:ascii="Palatino Linotype" w:eastAsia="Palatino Linotype" w:hAnsi="Palatino Linotype" w:cs="Palatino Linotype"/>
              <w:b/>
            </w:rPr>
            <w:t>Comisionada Ponente:</w:t>
          </w:r>
        </w:p>
      </w:tc>
      <w:tc>
        <w:tcPr>
          <w:tcW w:w="4252" w:type="dxa"/>
          <w:vAlign w:val="center"/>
        </w:tcPr>
        <w:p w14:paraId="230DEB77" w14:textId="77777777" w:rsidR="00E91F61" w:rsidRPr="001E2F15" w:rsidRDefault="00E91F61" w:rsidP="001E2F15">
          <w:pPr>
            <w:ind w:right="-533"/>
            <w:jc w:val="both"/>
            <w:rPr>
              <w:rFonts w:ascii="Palatino Linotype" w:eastAsia="Palatino Linotype" w:hAnsi="Palatino Linotype" w:cs="Palatino Linotype"/>
            </w:rPr>
          </w:pPr>
          <w:r w:rsidRPr="001E2F15">
            <w:rPr>
              <w:rFonts w:ascii="Palatino Linotype" w:eastAsia="Palatino Linotype" w:hAnsi="Palatino Linotype" w:cs="Palatino Linotype"/>
            </w:rPr>
            <w:t>María del Rosario Mejía Ayala</w:t>
          </w:r>
        </w:p>
      </w:tc>
    </w:tr>
  </w:tbl>
  <w:p w14:paraId="213D4103" w14:textId="416DAC66" w:rsidR="00E91F61" w:rsidRDefault="00E91F61">
    <w:pPr>
      <w:pBdr>
        <w:top w:val="nil"/>
        <w:left w:val="nil"/>
        <w:bottom w:val="nil"/>
        <w:right w:val="nil"/>
        <w:between w:val="nil"/>
      </w:pBdr>
      <w:tabs>
        <w:tab w:val="center" w:pos="4252"/>
        <w:tab w:val="right" w:pos="8504"/>
        <w:tab w:val="left" w:pos="3233"/>
      </w:tabs>
      <w:rPr>
        <w:rFonts w:ascii="Calibri" w:eastAsia="Calibri" w:hAnsi="Calibri" w:cs="Calibri"/>
        <w:color w:val="000000"/>
      </w:rPr>
    </w:pPr>
    <w:r>
      <w:rPr>
        <w:rFonts w:ascii="Calibri" w:eastAsia="Calibri" w:hAnsi="Calibri" w:cs="Calibri"/>
        <w:color w:val="000000"/>
      </w:rPr>
      <w:tab/>
    </w:r>
    <w:r>
      <w:rPr>
        <w:noProof/>
      </w:rPr>
      <w:drawing>
        <wp:anchor distT="0" distB="0" distL="0" distR="0" simplePos="0" relativeHeight="251658240" behindDoc="1" locked="0" layoutInCell="1" hidden="0" allowOverlap="1" wp14:anchorId="2FC9315B" wp14:editId="203D43B5">
          <wp:simplePos x="0" y="0"/>
          <wp:positionH relativeFrom="column">
            <wp:posOffset>-1213484</wp:posOffset>
          </wp:positionH>
          <wp:positionV relativeFrom="paragraph">
            <wp:posOffset>-1219834</wp:posOffset>
          </wp:positionV>
          <wp:extent cx="7813085" cy="1017000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W w:w="7087" w:type="dxa"/>
      <w:tblInd w:w="3119" w:type="dxa"/>
      <w:tblLayout w:type="fixed"/>
      <w:tblLook w:val="0400" w:firstRow="0" w:lastRow="0" w:firstColumn="0" w:lastColumn="0" w:noHBand="0" w:noVBand="1"/>
    </w:tblPr>
    <w:tblGrid>
      <w:gridCol w:w="2835"/>
      <w:gridCol w:w="4252"/>
    </w:tblGrid>
    <w:tr w:rsidR="00E91F61" w14:paraId="1DB1B840" w14:textId="77777777" w:rsidTr="001E2F15">
      <w:tc>
        <w:tcPr>
          <w:tcW w:w="2835" w:type="dxa"/>
          <w:vAlign w:val="center"/>
        </w:tcPr>
        <w:p w14:paraId="18C68266" w14:textId="6BE15A76" w:rsidR="00E91F61" w:rsidRPr="001E2F15" w:rsidRDefault="00E91F61" w:rsidP="001E2F15">
          <w:pPr>
            <w:rPr>
              <w:rFonts w:ascii="Palatino Linotype" w:eastAsia="Palatino Linotype" w:hAnsi="Palatino Linotype" w:cs="Palatino Linotype"/>
              <w:b/>
            </w:rPr>
          </w:pPr>
          <w:r w:rsidRPr="001E2F15">
            <w:rPr>
              <w:rFonts w:ascii="Palatino Linotype" w:eastAsia="Palatino Linotype" w:hAnsi="Palatino Linotype" w:cs="Palatino Linotype"/>
              <w:b/>
            </w:rPr>
            <w:t>Recurso de Revisión:</w:t>
          </w:r>
        </w:p>
      </w:tc>
      <w:tc>
        <w:tcPr>
          <w:tcW w:w="4252" w:type="dxa"/>
          <w:vAlign w:val="center"/>
        </w:tcPr>
        <w:p w14:paraId="128544EB" w14:textId="77777777" w:rsidR="00E91F61" w:rsidRPr="001E2F15" w:rsidRDefault="00E91F61" w:rsidP="001E2F15">
          <w:pPr>
            <w:jc w:val="both"/>
            <w:rPr>
              <w:rFonts w:ascii="Palatino Linotype" w:eastAsia="Palatino Linotype" w:hAnsi="Palatino Linotype" w:cs="Palatino Linotype"/>
            </w:rPr>
          </w:pPr>
          <w:r w:rsidRPr="001E2F15">
            <w:rPr>
              <w:rFonts w:ascii="Palatino Linotype" w:eastAsia="Palatino Linotype" w:hAnsi="Palatino Linotype" w:cs="Palatino Linotype"/>
            </w:rPr>
            <w:t xml:space="preserve">03433/INFOEM/IP/RR/2025 </w:t>
          </w:r>
        </w:p>
      </w:tc>
    </w:tr>
    <w:tr w:rsidR="00E91F61" w14:paraId="25A81294" w14:textId="77777777" w:rsidTr="001E2F15">
      <w:tc>
        <w:tcPr>
          <w:tcW w:w="2835" w:type="dxa"/>
          <w:vAlign w:val="center"/>
        </w:tcPr>
        <w:p w14:paraId="45F630AA" w14:textId="77777777" w:rsidR="00E91F61" w:rsidRPr="001E2F15" w:rsidRDefault="00E91F61" w:rsidP="001E2F15">
          <w:pPr>
            <w:ind w:left="35" w:hanging="35"/>
            <w:rPr>
              <w:rFonts w:ascii="Palatino Linotype" w:eastAsia="Palatino Linotype" w:hAnsi="Palatino Linotype" w:cs="Palatino Linotype"/>
              <w:b/>
            </w:rPr>
          </w:pPr>
          <w:r w:rsidRPr="001E2F15">
            <w:rPr>
              <w:rFonts w:ascii="Palatino Linotype" w:eastAsia="Palatino Linotype" w:hAnsi="Palatino Linotype" w:cs="Palatino Linotype"/>
              <w:b/>
            </w:rPr>
            <w:t>Recurrente:</w:t>
          </w:r>
        </w:p>
      </w:tc>
      <w:tc>
        <w:tcPr>
          <w:tcW w:w="4252" w:type="dxa"/>
          <w:vAlign w:val="center"/>
        </w:tcPr>
        <w:p w14:paraId="10B5B331" w14:textId="6FB60206" w:rsidR="00E91F61" w:rsidRPr="001E2F15" w:rsidRDefault="00516110" w:rsidP="001E2F15">
          <w:pPr>
            <w:rPr>
              <w:rFonts w:ascii="Palatino Linotype" w:eastAsia="Palatino Linotype" w:hAnsi="Palatino Linotype" w:cs="Palatino Linotype"/>
            </w:rPr>
          </w:pPr>
          <w:r>
            <w:rPr>
              <w:rFonts w:ascii="Palatino Linotype" w:eastAsia="Palatino Linotype" w:hAnsi="Palatino Linotype" w:cs="Palatino Linotype"/>
            </w:rPr>
            <w:t>XXXX</w:t>
          </w:r>
        </w:p>
      </w:tc>
    </w:tr>
    <w:tr w:rsidR="00E91F61" w14:paraId="52734FCC" w14:textId="77777777" w:rsidTr="001E2F15">
      <w:trPr>
        <w:trHeight w:val="228"/>
      </w:trPr>
      <w:tc>
        <w:tcPr>
          <w:tcW w:w="2835" w:type="dxa"/>
          <w:vAlign w:val="center"/>
        </w:tcPr>
        <w:p w14:paraId="3BDD7EF3" w14:textId="77777777" w:rsidR="00E91F61" w:rsidRPr="001E2F15" w:rsidRDefault="00E91F61" w:rsidP="001E2F15">
          <w:pPr>
            <w:rPr>
              <w:rFonts w:ascii="Palatino Linotype" w:eastAsia="Palatino Linotype" w:hAnsi="Palatino Linotype" w:cs="Palatino Linotype"/>
              <w:b/>
            </w:rPr>
          </w:pPr>
          <w:r w:rsidRPr="001E2F15">
            <w:rPr>
              <w:rFonts w:ascii="Palatino Linotype" w:eastAsia="Palatino Linotype" w:hAnsi="Palatino Linotype" w:cs="Palatino Linotype"/>
              <w:b/>
            </w:rPr>
            <w:t>Sujeto Obligado:</w:t>
          </w:r>
        </w:p>
      </w:tc>
      <w:tc>
        <w:tcPr>
          <w:tcW w:w="4252" w:type="dxa"/>
          <w:vAlign w:val="center"/>
        </w:tcPr>
        <w:p w14:paraId="3B5BF92F" w14:textId="77777777" w:rsidR="00E91F61" w:rsidRPr="001E2F15" w:rsidRDefault="00E91F61" w:rsidP="001E2F15">
          <w:pPr>
            <w:ind w:left="35" w:hanging="35"/>
            <w:jc w:val="both"/>
            <w:rPr>
              <w:rFonts w:ascii="Palatino Linotype" w:eastAsia="Palatino Linotype" w:hAnsi="Palatino Linotype" w:cs="Palatino Linotype"/>
            </w:rPr>
          </w:pPr>
          <w:r w:rsidRPr="001E2F15">
            <w:rPr>
              <w:rFonts w:ascii="Palatino Linotype" w:eastAsia="Palatino Linotype" w:hAnsi="Palatino Linotype" w:cs="Palatino Linotype"/>
            </w:rPr>
            <w:t>Ayuntamiento de Toluca</w:t>
          </w:r>
        </w:p>
      </w:tc>
    </w:tr>
    <w:tr w:rsidR="00E91F61" w14:paraId="674C81CB" w14:textId="77777777" w:rsidTr="001E2F15">
      <w:tc>
        <w:tcPr>
          <w:tcW w:w="2835" w:type="dxa"/>
          <w:vAlign w:val="center"/>
        </w:tcPr>
        <w:p w14:paraId="2CC92924" w14:textId="77777777" w:rsidR="00E91F61" w:rsidRPr="001E2F15" w:rsidRDefault="00E91F61" w:rsidP="001E2F15">
          <w:pPr>
            <w:rPr>
              <w:rFonts w:ascii="Palatino Linotype" w:eastAsia="Palatino Linotype" w:hAnsi="Palatino Linotype" w:cs="Palatino Linotype"/>
              <w:b/>
            </w:rPr>
          </w:pPr>
          <w:r w:rsidRPr="001E2F15">
            <w:rPr>
              <w:rFonts w:ascii="Palatino Linotype" w:eastAsia="Palatino Linotype" w:hAnsi="Palatino Linotype" w:cs="Palatino Linotype"/>
              <w:b/>
            </w:rPr>
            <w:t>Comisionada Ponente:</w:t>
          </w:r>
        </w:p>
      </w:tc>
      <w:tc>
        <w:tcPr>
          <w:tcW w:w="4252" w:type="dxa"/>
          <w:vAlign w:val="center"/>
        </w:tcPr>
        <w:p w14:paraId="3C3C105D" w14:textId="77777777" w:rsidR="00E91F61" w:rsidRPr="001E2F15" w:rsidRDefault="00E91F61" w:rsidP="001E2F15">
          <w:pPr>
            <w:ind w:right="-533"/>
            <w:jc w:val="both"/>
            <w:rPr>
              <w:rFonts w:ascii="Palatino Linotype" w:eastAsia="Palatino Linotype" w:hAnsi="Palatino Linotype" w:cs="Palatino Linotype"/>
            </w:rPr>
          </w:pPr>
          <w:r w:rsidRPr="001E2F15">
            <w:rPr>
              <w:rFonts w:ascii="Palatino Linotype" w:eastAsia="Palatino Linotype" w:hAnsi="Palatino Linotype" w:cs="Palatino Linotype"/>
            </w:rPr>
            <w:t>María del Rosario Mejía Ayala</w:t>
          </w:r>
        </w:p>
      </w:tc>
    </w:tr>
  </w:tbl>
  <w:p w14:paraId="7D1C49EB" w14:textId="3F5850F6" w:rsidR="00E91F61" w:rsidRDefault="00242433">
    <w:pPr>
      <w:pBdr>
        <w:top w:val="nil"/>
        <w:left w:val="nil"/>
        <w:bottom w:val="nil"/>
        <w:right w:val="nil"/>
        <w:between w:val="nil"/>
      </w:pBdr>
      <w:tabs>
        <w:tab w:val="center" w:pos="4252"/>
        <w:tab w:val="right" w:pos="8504"/>
      </w:tabs>
      <w:rPr>
        <w:rFonts w:ascii="Calibri" w:eastAsia="Calibri" w:hAnsi="Calibri" w:cs="Calibri"/>
        <w:color w:val="000000"/>
      </w:rPr>
    </w:pPr>
    <w:r>
      <w:rPr>
        <w:noProof/>
      </w:rPr>
      <w:drawing>
        <wp:anchor distT="0" distB="0" distL="0" distR="0" simplePos="0" relativeHeight="251659264" behindDoc="1" locked="0" layoutInCell="1" hidden="0" allowOverlap="1" wp14:anchorId="7BABF8A4" wp14:editId="5C8E7816">
          <wp:simplePos x="0" y="0"/>
          <wp:positionH relativeFrom="column">
            <wp:posOffset>-1002629</wp:posOffset>
          </wp:positionH>
          <wp:positionV relativeFrom="paragraph">
            <wp:posOffset>-1410299</wp:posOffset>
          </wp:positionV>
          <wp:extent cx="7813040" cy="10169525"/>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40" cy="1016952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263F4"/>
    <w:multiLevelType w:val="multilevel"/>
    <w:tmpl w:val="A5647B24"/>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1" w15:restartNumberingAfterBreak="0">
    <w:nsid w:val="0A2E2B21"/>
    <w:multiLevelType w:val="multilevel"/>
    <w:tmpl w:val="8F065764"/>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2" w15:restartNumberingAfterBreak="0">
    <w:nsid w:val="0FFB47C4"/>
    <w:multiLevelType w:val="multilevel"/>
    <w:tmpl w:val="CD6410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9D7229"/>
    <w:multiLevelType w:val="multilevel"/>
    <w:tmpl w:val="A18292A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CE830EE"/>
    <w:multiLevelType w:val="multilevel"/>
    <w:tmpl w:val="A204202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F476A41"/>
    <w:multiLevelType w:val="multilevel"/>
    <w:tmpl w:val="2898D3F6"/>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5D043275"/>
    <w:multiLevelType w:val="multilevel"/>
    <w:tmpl w:val="DFA087EA"/>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D30528E"/>
    <w:multiLevelType w:val="multilevel"/>
    <w:tmpl w:val="CBE4A0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0850A64"/>
    <w:multiLevelType w:val="multilevel"/>
    <w:tmpl w:val="8A4020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1A00660"/>
    <w:multiLevelType w:val="multilevel"/>
    <w:tmpl w:val="698C8EAE"/>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0" w15:restartNumberingAfterBreak="0">
    <w:nsid w:val="6E4A6187"/>
    <w:multiLevelType w:val="multilevel"/>
    <w:tmpl w:val="860851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1714564"/>
    <w:multiLevelType w:val="multilevel"/>
    <w:tmpl w:val="EB5476AA"/>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num w:numId="1">
    <w:abstractNumId w:val="11"/>
  </w:num>
  <w:num w:numId="2">
    <w:abstractNumId w:val="2"/>
  </w:num>
  <w:num w:numId="3">
    <w:abstractNumId w:val="8"/>
  </w:num>
  <w:num w:numId="4">
    <w:abstractNumId w:val="10"/>
  </w:num>
  <w:num w:numId="5">
    <w:abstractNumId w:val="6"/>
  </w:num>
  <w:num w:numId="6">
    <w:abstractNumId w:val="4"/>
  </w:num>
  <w:num w:numId="7">
    <w:abstractNumId w:val="7"/>
  </w:num>
  <w:num w:numId="8">
    <w:abstractNumId w:val="9"/>
  </w:num>
  <w:num w:numId="9">
    <w:abstractNumId w:val="0"/>
  </w:num>
  <w:num w:numId="10">
    <w:abstractNumId w:val="1"/>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610"/>
    <w:rsid w:val="000F0D87"/>
    <w:rsid w:val="0018146F"/>
    <w:rsid w:val="001E130B"/>
    <w:rsid w:val="001E2F15"/>
    <w:rsid w:val="00211ABC"/>
    <w:rsid w:val="00242433"/>
    <w:rsid w:val="00294E53"/>
    <w:rsid w:val="00340273"/>
    <w:rsid w:val="00516110"/>
    <w:rsid w:val="00570610"/>
    <w:rsid w:val="005774D0"/>
    <w:rsid w:val="005A642F"/>
    <w:rsid w:val="00611CB8"/>
    <w:rsid w:val="00664A7E"/>
    <w:rsid w:val="007D4C61"/>
    <w:rsid w:val="008109BB"/>
    <w:rsid w:val="00834286"/>
    <w:rsid w:val="00836835"/>
    <w:rsid w:val="009273DC"/>
    <w:rsid w:val="00AE253B"/>
    <w:rsid w:val="00B760B1"/>
    <w:rsid w:val="00C367D3"/>
    <w:rsid w:val="00C651E7"/>
    <w:rsid w:val="00C75E50"/>
    <w:rsid w:val="00C919F8"/>
    <w:rsid w:val="00DF1767"/>
    <w:rsid w:val="00E2739E"/>
    <w:rsid w:val="00E6621B"/>
    <w:rsid w:val="00E91F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A391FB"/>
  <w15:docId w15:val="{5E6D29E7-549A-49EA-8AC7-3442841E6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uiPriority w:val="9"/>
    <w:unhideWhenUsed/>
    <w:qFormat/>
    <w:pPr>
      <w:keepNext/>
      <w:keepLines/>
      <w:spacing w:before="40" w:line="256" w:lineRule="auto"/>
      <w:outlineLvl w:val="1"/>
    </w:pPr>
    <w:rPr>
      <w:rFonts w:ascii="Calibri" w:eastAsia="Calibri" w:hAnsi="Calibri" w:cs="Calibri"/>
      <w:color w:val="2E75B5"/>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character" w:customStyle="1" w:styleId="Ttulo1Car">
    <w:name w:val="Título 1 Car"/>
    <w:basedOn w:val="Fuentedeprrafopredeter"/>
    <w:uiPriority w:val="9"/>
    <w:rsid w:val="00BF3801"/>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uiPriority w:val="9"/>
    <w:rsid w:val="00BF3801"/>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BF3801"/>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BF3801"/>
    <w:rPr>
      <w:rFonts w:eastAsiaTheme="minorEastAsia"/>
      <w:sz w:val="24"/>
      <w:szCs w:val="24"/>
      <w:lang w:val="es-ES_tradnl" w:eastAsia="es-ES"/>
    </w:rPr>
  </w:style>
  <w:style w:type="paragraph" w:styleId="Piedepgina">
    <w:name w:val="footer"/>
    <w:basedOn w:val="Normal"/>
    <w:link w:val="PiedepginaCar"/>
    <w:uiPriority w:val="99"/>
    <w:unhideWhenUsed/>
    <w:rsid w:val="00BF3801"/>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BF3801"/>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801"/>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801"/>
    <w:pPr>
      <w:ind w:left="708"/>
    </w:pPr>
    <w:rPr>
      <w:sz w:val="22"/>
      <w:szCs w:val="22"/>
      <w:lang w:val="es-ES" w:eastAsia="en-US"/>
    </w:rPr>
  </w:style>
  <w:style w:type="character" w:styleId="Hipervnculo">
    <w:name w:val="Hyperlink"/>
    <w:basedOn w:val="Fuentedeprrafopredeter"/>
    <w:uiPriority w:val="99"/>
    <w:unhideWhenUsed/>
    <w:rsid w:val="00BF3801"/>
    <w:rPr>
      <w:color w:val="0563C1" w:themeColor="hyperlink"/>
      <w:u w:val="single"/>
    </w:rPr>
  </w:style>
  <w:style w:type="table" w:styleId="Tablaconcuadrcula">
    <w:name w:val="Table Grid"/>
    <w:basedOn w:val="Tablanormal"/>
    <w:uiPriority w:val="39"/>
    <w:rsid w:val="00BF38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unhideWhenUsed/>
    <w:rsid w:val="008D3368"/>
    <w:pPr>
      <w:spacing w:after="120"/>
      <w:ind w:left="283"/>
    </w:pPr>
    <w:rPr>
      <w:rFonts w:ascii="Calibri" w:eastAsia="Calibri" w:hAnsi="Calibri" w:cs="Calibri"/>
      <w:lang w:val="es-ES_tradnl"/>
    </w:rPr>
  </w:style>
  <w:style w:type="character" w:customStyle="1" w:styleId="SangradetextonormalCar">
    <w:name w:val="Sangría de texto normal Car"/>
    <w:basedOn w:val="Fuentedeprrafopredeter"/>
    <w:link w:val="Sangradetextonormal"/>
    <w:uiPriority w:val="99"/>
    <w:rsid w:val="008D3368"/>
    <w:rPr>
      <w:rFonts w:ascii="Calibri" w:eastAsia="Calibri" w:hAnsi="Calibri" w:cs="Calibri"/>
      <w:sz w:val="24"/>
      <w:szCs w:val="24"/>
      <w:lang w:val="es-ES_tradnl" w:eastAsia="es-MX"/>
    </w:rPr>
  </w:style>
  <w:style w:type="paragraph" w:styleId="Textoindependienteprimerasangra2">
    <w:name w:val="Body Text First Indent 2"/>
    <w:basedOn w:val="Sangradetextonormal"/>
    <w:link w:val="Textoindependienteprimerasangra2Car"/>
    <w:uiPriority w:val="99"/>
    <w:unhideWhenUsed/>
    <w:rsid w:val="008D3368"/>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D3368"/>
    <w:rPr>
      <w:rFonts w:ascii="Calibri" w:eastAsia="Calibri" w:hAnsi="Calibri" w:cs="Calibri"/>
      <w:sz w:val="24"/>
      <w:szCs w:val="24"/>
      <w:lang w:val="es-ES_tradnl" w:eastAsia="es-MX"/>
    </w:rPr>
  </w:style>
  <w:style w:type="paragraph" w:styleId="Lista">
    <w:name w:val="List"/>
    <w:basedOn w:val="Normal"/>
    <w:uiPriority w:val="99"/>
    <w:unhideWhenUsed/>
    <w:rsid w:val="003409A4"/>
    <w:pPr>
      <w:ind w:left="283" w:hanging="283"/>
      <w:contextualSpacing/>
    </w:pPr>
  </w:style>
  <w:style w:type="paragraph" w:styleId="Lista2">
    <w:name w:val="List 2"/>
    <w:basedOn w:val="Normal"/>
    <w:uiPriority w:val="99"/>
    <w:unhideWhenUsed/>
    <w:rsid w:val="003409A4"/>
    <w:pPr>
      <w:ind w:left="566" w:hanging="283"/>
      <w:contextualSpacing/>
    </w:pPr>
  </w:style>
  <w:style w:type="paragraph" w:styleId="Lista3">
    <w:name w:val="List 3"/>
    <w:basedOn w:val="Normal"/>
    <w:uiPriority w:val="99"/>
    <w:unhideWhenUsed/>
    <w:rsid w:val="003409A4"/>
    <w:pPr>
      <w:ind w:left="849" w:hanging="283"/>
      <w:contextualSpacing/>
    </w:pPr>
  </w:style>
  <w:style w:type="paragraph" w:styleId="Listaconvietas2">
    <w:name w:val="List Bullet 2"/>
    <w:basedOn w:val="Normal"/>
    <w:uiPriority w:val="99"/>
    <w:unhideWhenUsed/>
    <w:rsid w:val="003409A4"/>
    <w:pPr>
      <w:numPr>
        <w:numId w:val="12"/>
      </w:numPr>
      <w:contextualSpacing/>
    </w:pPr>
  </w:style>
  <w:style w:type="paragraph" w:styleId="Continuarlista">
    <w:name w:val="List Continue"/>
    <w:basedOn w:val="Normal"/>
    <w:uiPriority w:val="99"/>
    <w:unhideWhenUsed/>
    <w:rsid w:val="003409A4"/>
    <w:pPr>
      <w:spacing w:after="120"/>
      <w:ind w:left="283"/>
      <w:contextualSpacing/>
    </w:pPr>
  </w:style>
  <w:style w:type="paragraph" w:styleId="Textoindependiente">
    <w:name w:val="Body Text"/>
    <w:basedOn w:val="Normal"/>
    <w:link w:val="TextoindependienteCar"/>
    <w:uiPriority w:val="99"/>
    <w:unhideWhenUsed/>
    <w:rsid w:val="003409A4"/>
    <w:pPr>
      <w:spacing w:after="120"/>
    </w:pPr>
  </w:style>
  <w:style w:type="character" w:customStyle="1" w:styleId="TextoindependienteCar">
    <w:name w:val="Texto independiente Car"/>
    <w:basedOn w:val="Fuentedeprrafopredeter"/>
    <w:link w:val="Textoindependiente"/>
    <w:uiPriority w:val="99"/>
    <w:rsid w:val="003409A4"/>
    <w:rPr>
      <w:rFonts w:ascii="Times New Roman" w:eastAsia="Times New Roman" w:hAnsi="Times New Roman" w:cs="Times New Roman"/>
      <w:sz w:val="24"/>
      <w:szCs w:val="24"/>
      <w:lang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ccc.edomex.gob.mx/para_que%20sirven_evaluaciones_cc" TargetMode="External"/><Relationship Id="rId4" Type="http://schemas.openxmlformats.org/officeDocument/2006/relationships/settings" Target="settings.xml"/><Relationship Id="rId9" Type="http://schemas.openxmlformats.org/officeDocument/2006/relationships/hyperlink" Target="http://secretariadoejecutivo.gob.mx/work/models/SecretariadoEjecutivo/Resource/328/1/images/instructivo_final_edo_fuerza(1).pdf"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HVBAyhNrgdUZ2IuW+GPIw5lvRw==">CgMxLjAyDmguM3MzcXZkcWQ5bGx1Mg5oLjI5aWN1emMxdnltOTIOaC5yaWVjaW1sOWMxaHcyDmgucHFnbGZndnZrOHc2Mg5oLmJmc2s2ODgxN2dsOTIOaC4xajBudDU1MXo3M2kyDGguMW0wZXhncmo3bjIOaC5saGJjaGdoZHZrMTUyDmgudWoxdzd2a21yeXAzMg5oLmJmZ2JxNGVhYjl3eTIOaC4xcHl1MDF2cHFldXQyCWguMXQzaDVzZjIJaC40ZDM0b2c4MgloLjJzOGV5bzEyCGgubG54Yno5MgloLjFrc3Y0dXYyDmguanoxc3FwZ3RvcjBpMgloLjJqeHN4cWgyDmgubjdhcGs1eHBhb296OAByITFCdmxueGhLNWdfVmdHSDdBUldYUjBhRWFzbEVVUV85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48</Pages>
  <Words>11663</Words>
  <Characters>64151</Characters>
  <Application>Microsoft Office Word</Application>
  <DocSecurity>0</DocSecurity>
  <Lines>534</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Cuenta Microsoft</cp:lastModifiedBy>
  <cp:revision>11</cp:revision>
  <cp:lastPrinted>2025-09-11T17:34:00Z</cp:lastPrinted>
  <dcterms:created xsi:type="dcterms:W3CDTF">2025-09-02T18:09:00Z</dcterms:created>
  <dcterms:modified xsi:type="dcterms:W3CDTF">2025-09-25T23:34:00Z</dcterms:modified>
</cp:coreProperties>
</file>