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FC2" w:rsidRDefault="00B52FC2">
      <w:pPr>
        <w:widowControl w:val="0"/>
        <w:pBdr>
          <w:top w:val="nil"/>
          <w:left w:val="nil"/>
          <w:bottom w:val="nil"/>
          <w:right w:val="nil"/>
          <w:between w:val="nil"/>
        </w:pBdr>
        <w:spacing w:line="276" w:lineRule="auto"/>
      </w:pPr>
    </w:p>
    <w:p w:rsidR="00B52FC2" w:rsidRDefault="00B52FC2">
      <w:pPr>
        <w:widowControl w:val="0"/>
        <w:pBdr>
          <w:top w:val="nil"/>
          <w:left w:val="nil"/>
          <w:bottom w:val="nil"/>
          <w:right w:val="nil"/>
          <w:between w:val="nil"/>
        </w:pBdr>
        <w:spacing w:line="276" w:lineRule="auto"/>
      </w:pPr>
    </w:p>
    <w:bookmarkStart w:id="0" w:name="_heading=h.6xcioa8mwyvb" w:colFirst="0" w:colLast="0" w:displacedByCustomXml="next"/>
    <w:bookmarkEnd w:id="0" w:displacedByCustomXml="next"/>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rFonts w:ascii="Times New Roman" w:eastAsia="Times New Roman" w:hAnsi="Times New Roman" w:cs="Times New Roman"/>
          <w:b/>
          <w:bCs/>
          <w:sz w:val="20"/>
          <w:szCs w:val="20"/>
        </w:rPr>
      </w:sdtEndPr>
      <w:sdtContent>
        <w:p w:rsidR="004D1919" w:rsidRPr="001F2944" w:rsidRDefault="004D1919" w:rsidP="004D1919">
          <w:pPr>
            <w:pStyle w:val="TtulodeTDC"/>
            <w:spacing w:before="0" w:line="360" w:lineRule="auto"/>
            <w:jc w:val="center"/>
            <w:rPr>
              <w:rFonts w:ascii="Palatino Linotype" w:hAnsi="Palatino Linotype"/>
              <w:sz w:val="22"/>
              <w:szCs w:val="22"/>
            </w:rPr>
          </w:pPr>
          <w:r w:rsidRPr="001F2944">
            <w:rPr>
              <w:rFonts w:ascii="Palatino Linotype" w:hAnsi="Palatino Linotype"/>
              <w:sz w:val="22"/>
              <w:szCs w:val="22"/>
              <w:lang w:val="es-ES"/>
            </w:rPr>
            <w:t xml:space="preserve">RESOLUCIÓN DEL RECURSO DE REVISIÓN </w:t>
          </w:r>
          <w:r w:rsidRPr="001F2944">
            <w:rPr>
              <w:rFonts w:ascii="Palatino Linotype" w:hAnsi="Palatino Linotype"/>
              <w:sz w:val="22"/>
              <w:szCs w:val="22"/>
            </w:rPr>
            <w:t>06521/INFOEM/IP/RR/2025</w:t>
          </w:r>
        </w:p>
        <w:p w:rsidR="004D1919" w:rsidRPr="001F2944" w:rsidRDefault="004D1919" w:rsidP="004D1919">
          <w:pPr>
            <w:spacing w:line="360" w:lineRule="auto"/>
            <w:rPr>
              <w:color w:val="FF0000"/>
            </w:rPr>
          </w:pPr>
        </w:p>
        <w:p w:rsidR="001F2944" w:rsidRPr="001F2944" w:rsidRDefault="004D1919">
          <w:pPr>
            <w:pStyle w:val="TDC1"/>
            <w:tabs>
              <w:tab w:val="right" w:leader="dot" w:pos="8828"/>
            </w:tabs>
            <w:rPr>
              <w:rFonts w:cstheme="minorBidi"/>
              <w:noProof/>
            </w:rPr>
          </w:pPr>
          <w:r w:rsidRPr="001F2944">
            <w:rPr>
              <w:color w:val="FF0000"/>
            </w:rPr>
            <w:fldChar w:fldCharType="begin"/>
          </w:r>
          <w:r w:rsidRPr="001F2944">
            <w:rPr>
              <w:color w:val="FF0000"/>
            </w:rPr>
            <w:instrText xml:space="preserve"> TOC \o "1-3" \h \z \u </w:instrText>
          </w:r>
          <w:r w:rsidRPr="001F2944">
            <w:rPr>
              <w:color w:val="FF0000"/>
            </w:rPr>
            <w:fldChar w:fldCharType="separate"/>
          </w:r>
          <w:hyperlink w:anchor="_Toc212734456" w:history="1">
            <w:r w:rsidR="001F2944" w:rsidRPr="001F2944">
              <w:rPr>
                <w:rStyle w:val="Hipervnculo"/>
                <w:rFonts w:ascii="Palatino Linotype" w:eastAsia="Palatino Linotype" w:hAnsi="Palatino Linotype" w:cs="Palatino Linotype"/>
                <w:noProof/>
              </w:rPr>
              <w:t>A N T E C E D E N T E S</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_Toc212734456 \h </w:instrText>
            </w:r>
            <w:r w:rsidR="001F2944" w:rsidRPr="001F2944">
              <w:rPr>
                <w:noProof/>
                <w:webHidden/>
              </w:rPr>
            </w:r>
            <w:r w:rsidR="001F2944" w:rsidRPr="001F2944">
              <w:rPr>
                <w:noProof/>
                <w:webHidden/>
              </w:rPr>
              <w:fldChar w:fldCharType="separate"/>
            </w:r>
            <w:r w:rsidR="004F5D4E">
              <w:rPr>
                <w:noProof/>
                <w:webHidden/>
              </w:rPr>
              <w:t>2</w:t>
            </w:r>
            <w:r w:rsidR="001F2944" w:rsidRPr="001F2944">
              <w:rPr>
                <w:noProof/>
                <w:webHidden/>
              </w:rPr>
              <w:fldChar w:fldCharType="end"/>
            </w:r>
          </w:hyperlink>
        </w:p>
        <w:p w:rsidR="001F2944" w:rsidRPr="001F2944" w:rsidRDefault="00494E12">
          <w:pPr>
            <w:pStyle w:val="TDC2"/>
            <w:tabs>
              <w:tab w:val="right" w:leader="dot" w:pos="8828"/>
            </w:tabs>
            <w:rPr>
              <w:rFonts w:cstheme="minorBidi"/>
              <w:noProof/>
            </w:rPr>
          </w:pPr>
          <w:hyperlink w:anchor="_Toc212734457" w:history="1">
            <w:r w:rsidR="001F2944" w:rsidRPr="001F2944">
              <w:rPr>
                <w:rStyle w:val="Hipervnculo"/>
                <w:rFonts w:ascii="Palatino Linotype" w:eastAsia="Palatino Linotype" w:hAnsi="Palatino Linotype" w:cs="Palatino Linotype"/>
                <w:noProof/>
              </w:rPr>
              <w:t>I. Presentación de la solicitud de información</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_Toc212734457 \h </w:instrText>
            </w:r>
            <w:r w:rsidR="001F2944" w:rsidRPr="001F2944">
              <w:rPr>
                <w:noProof/>
                <w:webHidden/>
              </w:rPr>
            </w:r>
            <w:r w:rsidR="001F2944" w:rsidRPr="001F2944">
              <w:rPr>
                <w:noProof/>
                <w:webHidden/>
              </w:rPr>
              <w:fldChar w:fldCharType="separate"/>
            </w:r>
            <w:r w:rsidR="004F5D4E">
              <w:rPr>
                <w:noProof/>
                <w:webHidden/>
              </w:rPr>
              <w:t>2</w:t>
            </w:r>
            <w:r w:rsidR="001F2944" w:rsidRPr="001F2944">
              <w:rPr>
                <w:noProof/>
                <w:webHidden/>
              </w:rPr>
              <w:fldChar w:fldCharType="end"/>
            </w:r>
          </w:hyperlink>
        </w:p>
        <w:p w:rsidR="001F2944" w:rsidRPr="001F2944" w:rsidRDefault="00494E12">
          <w:pPr>
            <w:pStyle w:val="TDC2"/>
            <w:tabs>
              <w:tab w:val="right" w:leader="dot" w:pos="8828"/>
            </w:tabs>
            <w:rPr>
              <w:rFonts w:cstheme="minorBidi"/>
              <w:noProof/>
            </w:rPr>
          </w:pPr>
          <w:hyperlink w:anchor="_Toc212734458" w:history="1">
            <w:r w:rsidR="001F2944" w:rsidRPr="001F2944">
              <w:rPr>
                <w:rStyle w:val="Hipervnculo"/>
                <w:rFonts w:ascii="Palatino Linotype" w:eastAsia="Palatino Linotype" w:hAnsi="Palatino Linotype" w:cs="Palatino Linotype"/>
                <w:noProof/>
              </w:rPr>
              <w:t>II. Respuesta del Sujeto Obligado</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_Toc212734458 \h </w:instrText>
            </w:r>
            <w:r w:rsidR="001F2944" w:rsidRPr="001F2944">
              <w:rPr>
                <w:noProof/>
                <w:webHidden/>
              </w:rPr>
            </w:r>
            <w:r w:rsidR="001F2944" w:rsidRPr="001F2944">
              <w:rPr>
                <w:noProof/>
                <w:webHidden/>
              </w:rPr>
              <w:fldChar w:fldCharType="separate"/>
            </w:r>
            <w:r w:rsidR="004F5D4E">
              <w:rPr>
                <w:noProof/>
                <w:webHidden/>
              </w:rPr>
              <w:t>3</w:t>
            </w:r>
            <w:r w:rsidR="001F2944" w:rsidRPr="001F2944">
              <w:rPr>
                <w:noProof/>
                <w:webHidden/>
              </w:rPr>
              <w:fldChar w:fldCharType="end"/>
            </w:r>
          </w:hyperlink>
        </w:p>
        <w:p w:rsidR="001F2944" w:rsidRPr="001F2944" w:rsidRDefault="00494E12">
          <w:pPr>
            <w:pStyle w:val="TDC2"/>
            <w:tabs>
              <w:tab w:val="right" w:leader="dot" w:pos="8828"/>
            </w:tabs>
            <w:rPr>
              <w:rFonts w:cstheme="minorBidi"/>
              <w:noProof/>
            </w:rPr>
          </w:pPr>
          <w:hyperlink w:anchor="_Toc212734459" w:history="1">
            <w:r w:rsidR="001F2944" w:rsidRPr="001F2944">
              <w:rPr>
                <w:rStyle w:val="Hipervnculo"/>
                <w:rFonts w:ascii="Palatino Linotype" w:eastAsia="Palatino Linotype" w:hAnsi="Palatino Linotype" w:cs="Palatino Linotype"/>
                <w:noProof/>
              </w:rPr>
              <w:t>III. Interposición del Recurso de Revisión</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_Toc212734459 \h </w:instrText>
            </w:r>
            <w:r w:rsidR="001F2944" w:rsidRPr="001F2944">
              <w:rPr>
                <w:noProof/>
                <w:webHidden/>
              </w:rPr>
            </w:r>
            <w:r w:rsidR="001F2944" w:rsidRPr="001F2944">
              <w:rPr>
                <w:noProof/>
                <w:webHidden/>
              </w:rPr>
              <w:fldChar w:fldCharType="separate"/>
            </w:r>
            <w:r w:rsidR="004F5D4E">
              <w:rPr>
                <w:noProof/>
                <w:webHidden/>
              </w:rPr>
              <w:t>10</w:t>
            </w:r>
            <w:r w:rsidR="001F2944" w:rsidRPr="001F2944">
              <w:rPr>
                <w:noProof/>
                <w:webHidden/>
              </w:rPr>
              <w:fldChar w:fldCharType="end"/>
            </w:r>
          </w:hyperlink>
        </w:p>
        <w:p w:rsidR="001F2944" w:rsidRPr="001F2944" w:rsidRDefault="00494E12">
          <w:pPr>
            <w:pStyle w:val="TDC2"/>
            <w:tabs>
              <w:tab w:val="right" w:leader="dot" w:pos="8828"/>
            </w:tabs>
            <w:rPr>
              <w:rFonts w:cstheme="minorBidi"/>
              <w:noProof/>
            </w:rPr>
          </w:pPr>
          <w:hyperlink w:anchor="_Toc212734460" w:history="1">
            <w:r w:rsidR="001F2944" w:rsidRPr="001F2944">
              <w:rPr>
                <w:rStyle w:val="Hipervnculo"/>
                <w:rFonts w:ascii="Palatino Linotype" w:eastAsia="Palatino Linotype" w:hAnsi="Palatino Linotype" w:cs="Palatino Linotype"/>
                <w:noProof/>
              </w:rPr>
              <w:t>IV. Trámite del Recurso de Revisión ante este Instituto</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_Toc212734460 \h </w:instrText>
            </w:r>
            <w:r w:rsidR="001F2944" w:rsidRPr="001F2944">
              <w:rPr>
                <w:noProof/>
                <w:webHidden/>
              </w:rPr>
            </w:r>
            <w:r w:rsidR="001F2944" w:rsidRPr="001F2944">
              <w:rPr>
                <w:noProof/>
                <w:webHidden/>
              </w:rPr>
              <w:fldChar w:fldCharType="separate"/>
            </w:r>
            <w:r w:rsidR="004F5D4E">
              <w:rPr>
                <w:noProof/>
                <w:webHidden/>
              </w:rPr>
              <w:t>11</w:t>
            </w:r>
            <w:r w:rsidR="001F2944" w:rsidRPr="001F2944">
              <w:rPr>
                <w:noProof/>
                <w:webHidden/>
              </w:rPr>
              <w:fldChar w:fldCharType="end"/>
            </w:r>
          </w:hyperlink>
        </w:p>
        <w:p w:rsidR="001F2944" w:rsidRPr="001F2944" w:rsidRDefault="00494E12">
          <w:pPr>
            <w:pStyle w:val="TDC1"/>
            <w:tabs>
              <w:tab w:val="right" w:leader="dot" w:pos="8828"/>
            </w:tabs>
            <w:rPr>
              <w:rFonts w:cstheme="minorBidi"/>
              <w:noProof/>
            </w:rPr>
          </w:pPr>
          <w:hyperlink w:anchor="_Toc212734461" w:history="1">
            <w:r w:rsidR="001F2944" w:rsidRPr="001F2944">
              <w:rPr>
                <w:rStyle w:val="Hipervnculo"/>
                <w:rFonts w:ascii="Palatino Linotype" w:eastAsia="Palatino Linotype" w:hAnsi="Palatino Linotype" w:cs="Palatino Linotype"/>
                <w:noProof/>
              </w:rPr>
              <w:t>C O N S I D E R A N D O S</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_Toc212734461 \h </w:instrText>
            </w:r>
            <w:r w:rsidR="001F2944" w:rsidRPr="001F2944">
              <w:rPr>
                <w:noProof/>
                <w:webHidden/>
              </w:rPr>
            </w:r>
            <w:r w:rsidR="001F2944" w:rsidRPr="001F2944">
              <w:rPr>
                <w:noProof/>
                <w:webHidden/>
              </w:rPr>
              <w:fldChar w:fldCharType="separate"/>
            </w:r>
            <w:r w:rsidR="004F5D4E">
              <w:rPr>
                <w:noProof/>
                <w:webHidden/>
              </w:rPr>
              <w:t>14</w:t>
            </w:r>
            <w:r w:rsidR="001F2944" w:rsidRPr="001F2944">
              <w:rPr>
                <w:noProof/>
                <w:webHidden/>
              </w:rPr>
              <w:fldChar w:fldCharType="end"/>
            </w:r>
          </w:hyperlink>
        </w:p>
        <w:p w:rsidR="001F2944" w:rsidRPr="001F2944" w:rsidRDefault="00494E12">
          <w:pPr>
            <w:pStyle w:val="TDC2"/>
            <w:tabs>
              <w:tab w:val="right" w:leader="dot" w:pos="8828"/>
            </w:tabs>
            <w:rPr>
              <w:rFonts w:cstheme="minorBidi"/>
              <w:noProof/>
            </w:rPr>
          </w:pPr>
          <w:hyperlink w:anchor="_Toc212734462" w:history="1">
            <w:r w:rsidR="001F2944" w:rsidRPr="001F2944">
              <w:rPr>
                <w:rStyle w:val="Hipervnculo"/>
                <w:rFonts w:ascii="Palatino Linotype" w:eastAsia="Palatino Linotype" w:hAnsi="Palatino Linotype" w:cs="Palatino Linotype"/>
                <w:noProof/>
              </w:rPr>
              <w:t>PRIMERO. Competencia</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_Toc212734462 \h </w:instrText>
            </w:r>
            <w:r w:rsidR="001F2944" w:rsidRPr="001F2944">
              <w:rPr>
                <w:noProof/>
                <w:webHidden/>
              </w:rPr>
            </w:r>
            <w:r w:rsidR="001F2944" w:rsidRPr="001F2944">
              <w:rPr>
                <w:noProof/>
                <w:webHidden/>
              </w:rPr>
              <w:fldChar w:fldCharType="separate"/>
            </w:r>
            <w:r w:rsidR="004F5D4E">
              <w:rPr>
                <w:noProof/>
                <w:webHidden/>
              </w:rPr>
              <w:t>14</w:t>
            </w:r>
            <w:r w:rsidR="001F2944" w:rsidRPr="001F2944">
              <w:rPr>
                <w:noProof/>
                <w:webHidden/>
              </w:rPr>
              <w:fldChar w:fldCharType="end"/>
            </w:r>
          </w:hyperlink>
        </w:p>
        <w:p w:rsidR="001F2944" w:rsidRPr="001F2944" w:rsidRDefault="00494E12">
          <w:pPr>
            <w:pStyle w:val="TDC2"/>
            <w:tabs>
              <w:tab w:val="right" w:leader="dot" w:pos="8828"/>
            </w:tabs>
            <w:rPr>
              <w:rFonts w:cstheme="minorBidi"/>
              <w:noProof/>
            </w:rPr>
          </w:pPr>
          <w:hyperlink w:anchor="_Toc212734463" w:history="1">
            <w:r w:rsidR="001F2944" w:rsidRPr="001F2944">
              <w:rPr>
                <w:rStyle w:val="Hipervnculo"/>
                <w:rFonts w:ascii="Palatino Linotype" w:eastAsia="Palatino Linotype" w:hAnsi="Palatino Linotype" w:cs="Palatino Linotype"/>
                <w:noProof/>
              </w:rPr>
              <w:t>SEGUNDO. Causales de improcedencia y sobreseimiento</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_Toc212734463 \h </w:instrText>
            </w:r>
            <w:r w:rsidR="001F2944" w:rsidRPr="001F2944">
              <w:rPr>
                <w:noProof/>
                <w:webHidden/>
              </w:rPr>
            </w:r>
            <w:r w:rsidR="001F2944" w:rsidRPr="001F2944">
              <w:rPr>
                <w:noProof/>
                <w:webHidden/>
              </w:rPr>
              <w:fldChar w:fldCharType="separate"/>
            </w:r>
            <w:r w:rsidR="004F5D4E">
              <w:rPr>
                <w:noProof/>
                <w:webHidden/>
              </w:rPr>
              <w:t>14</w:t>
            </w:r>
            <w:r w:rsidR="001F2944" w:rsidRPr="001F2944">
              <w:rPr>
                <w:noProof/>
                <w:webHidden/>
              </w:rPr>
              <w:fldChar w:fldCharType="end"/>
            </w:r>
          </w:hyperlink>
        </w:p>
        <w:p w:rsidR="001F2944" w:rsidRPr="001F2944" w:rsidRDefault="00494E12">
          <w:pPr>
            <w:pStyle w:val="TDC2"/>
            <w:tabs>
              <w:tab w:val="right" w:leader="dot" w:pos="8828"/>
            </w:tabs>
            <w:rPr>
              <w:rFonts w:cstheme="minorBidi"/>
              <w:noProof/>
            </w:rPr>
          </w:pPr>
          <w:hyperlink w:anchor="_Toc212734464" w:history="1">
            <w:r w:rsidR="001F2944" w:rsidRPr="001F2944">
              <w:rPr>
                <w:rStyle w:val="Hipervnculo"/>
                <w:rFonts w:ascii="Palatino Linotype" w:eastAsia="Palatino Linotype" w:hAnsi="Palatino Linotype" w:cs="Palatino Linotype"/>
                <w:noProof/>
              </w:rPr>
              <w:t>CUARTO. Marco normativo aplicable en materia de transparencia y acceso a la información pública</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_Toc212734464 \h </w:instrText>
            </w:r>
            <w:r w:rsidR="001F2944" w:rsidRPr="001F2944">
              <w:rPr>
                <w:noProof/>
                <w:webHidden/>
              </w:rPr>
            </w:r>
            <w:r w:rsidR="001F2944" w:rsidRPr="001F2944">
              <w:rPr>
                <w:noProof/>
                <w:webHidden/>
              </w:rPr>
              <w:fldChar w:fldCharType="separate"/>
            </w:r>
            <w:r w:rsidR="004F5D4E">
              <w:rPr>
                <w:noProof/>
                <w:webHidden/>
              </w:rPr>
              <w:t>17</w:t>
            </w:r>
            <w:r w:rsidR="001F2944" w:rsidRPr="001F2944">
              <w:rPr>
                <w:noProof/>
                <w:webHidden/>
              </w:rPr>
              <w:fldChar w:fldCharType="end"/>
            </w:r>
          </w:hyperlink>
        </w:p>
        <w:p w:rsidR="001F2944" w:rsidRPr="001F2944" w:rsidRDefault="00494E12">
          <w:pPr>
            <w:pStyle w:val="TDC2"/>
            <w:tabs>
              <w:tab w:val="right" w:leader="dot" w:pos="8828"/>
            </w:tabs>
            <w:rPr>
              <w:rFonts w:cstheme="minorBidi"/>
              <w:noProof/>
            </w:rPr>
          </w:pPr>
          <w:hyperlink w:anchor="_Toc212734465" w:history="1">
            <w:r w:rsidR="001F2944" w:rsidRPr="001F2944">
              <w:rPr>
                <w:rStyle w:val="Hipervnculo"/>
                <w:rFonts w:ascii="Palatino Linotype" w:eastAsia="Palatino Linotype" w:hAnsi="Palatino Linotype" w:cs="Palatino Linotype"/>
                <w:noProof/>
              </w:rPr>
              <w:t>QUINTO. Estudio de Fondo</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_Toc212734465 \h </w:instrText>
            </w:r>
            <w:r w:rsidR="001F2944" w:rsidRPr="001F2944">
              <w:rPr>
                <w:noProof/>
                <w:webHidden/>
              </w:rPr>
            </w:r>
            <w:r w:rsidR="001F2944" w:rsidRPr="001F2944">
              <w:rPr>
                <w:noProof/>
                <w:webHidden/>
              </w:rPr>
              <w:fldChar w:fldCharType="separate"/>
            </w:r>
            <w:r w:rsidR="004F5D4E">
              <w:rPr>
                <w:noProof/>
                <w:webHidden/>
              </w:rPr>
              <w:t>19</w:t>
            </w:r>
            <w:r w:rsidR="001F2944" w:rsidRPr="001F2944">
              <w:rPr>
                <w:noProof/>
                <w:webHidden/>
              </w:rPr>
              <w:fldChar w:fldCharType="end"/>
            </w:r>
          </w:hyperlink>
        </w:p>
        <w:p w:rsidR="001F2944" w:rsidRPr="001F2944" w:rsidRDefault="00494E12">
          <w:pPr>
            <w:pStyle w:val="TDC2"/>
            <w:tabs>
              <w:tab w:val="right" w:leader="dot" w:pos="8828"/>
            </w:tabs>
            <w:rPr>
              <w:rFonts w:cstheme="minorBidi"/>
              <w:noProof/>
            </w:rPr>
          </w:pPr>
          <w:hyperlink w:anchor="_Toc212734466" w:history="1">
            <w:r w:rsidR="001F2944" w:rsidRPr="001F2944">
              <w:rPr>
                <w:rStyle w:val="Hipervnculo"/>
                <w:rFonts w:ascii="Palatino Linotype" w:eastAsia="Palatino Linotype" w:hAnsi="Palatino Linotype" w:cs="Palatino Linotype"/>
                <w:noProof/>
              </w:rPr>
              <w:t>SEXTO. Decisión</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_Toc212734466 \h </w:instrText>
            </w:r>
            <w:r w:rsidR="001F2944" w:rsidRPr="001F2944">
              <w:rPr>
                <w:noProof/>
                <w:webHidden/>
              </w:rPr>
            </w:r>
            <w:r w:rsidR="001F2944" w:rsidRPr="001F2944">
              <w:rPr>
                <w:noProof/>
                <w:webHidden/>
              </w:rPr>
              <w:fldChar w:fldCharType="separate"/>
            </w:r>
            <w:r w:rsidR="004F5D4E">
              <w:rPr>
                <w:noProof/>
                <w:webHidden/>
              </w:rPr>
              <w:t>30</w:t>
            </w:r>
            <w:r w:rsidR="001F2944" w:rsidRPr="001F2944">
              <w:rPr>
                <w:noProof/>
                <w:webHidden/>
              </w:rPr>
              <w:fldChar w:fldCharType="end"/>
            </w:r>
          </w:hyperlink>
        </w:p>
        <w:p w:rsidR="001F2944" w:rsidRPr="001F2944" w:rsidRDefault="00494E12">
          <w:pPr>
            <w:pStyle w:val="TDC1"/>
            <w:tabs>
              <w:tab w:val="right" w:leader="dot" w:pos="8828"/>
            </w:tabs>
            <w:rPr>
              <w:rFonts w:cstheme="minorBidi"/>
              <w:noProof/>
            </w:rPr>
          </w:pPr>
          <w:hyperlink w:anchor="_Toc212734467" w:history="1">
            <w:r w:rsidR="001F2944" w:rsidRPr="001F2944">
              <w:rPr>
                <w:rStyle w:val="Hipervnculo"/>
                <w:rFonts w:ascii="Palatino Linotype" w:eastAsia="Palatino Linotype" w:hAnsi="Palatino Linotype" w:cs="Palatino Linotype"/>
                <w:noProof/>
              </w:rPr>
              <w:t>R E S U E L V E</w:t>
            </w:r>
            <w:r w:rsidR="001F2944" w:rsidRPr="001F2944">
              <w:rPr>
                <w:noProof/>
                <w:webHidden/>
              </w:rPr>
              <w:tab/>
            </w:r>
            <w:r w:rsidR="001F2944" w:rsidRPr="001F2944">
              <w:rPr>
                <w:noProof/>
                <w:webHidden/>
              </w:rPr>
              <w:fldChar w:fldCharType="begin"/>
            </w:r>
            <w:r w:rsidR="001F2944" w:rsidRPr="001F2944">
              <w:rPr>
                <w:noProof/>
                <w:webHidden/>
              </w:rPr>
              <w:instrText xml:space="preserve"> PAGEREF _Toc212734467 \h </w:instrText>
            </w:r>
            <w:r w:rsidR="001F2944" w:rsidRPr="001F2944">
              <w:rPr>
                <w:noProof/>
                <w:webHidden/>
              </w:rPr>
            </w:r>
            <w:r w:rsidR="001F2944" w:rsidRPr="001F2944">
              <w:rPr>
                <w:noProof/>
                <w:webHidden/>
              </w:rPr>
              <w:fldChar w:fldCharType="separate"/>
            </w:r>
            <w:r w:rsidR="004F5D4E">
              <w:rPr>
                <w:noProof/>
                <w:webHidden/>
              </w:rPr>
              <w:t>31</w:t>
            </w:r>
            <w:r w:rsidR="001F2944" w:rsidRPr="001F2944">
              <w:rPr>
                <w:noProof/>
                <w:webHidden/>
              </w:rPr>
              <w:fldChar w:fldCharType="end"/>
            </w:r>
          </w:hyperlink>
        </w:p>
        <w:p w:rsidR="004D1919" w:rsidRPr="00B2261F" w:rsidRDefault="004D1919" w:rsidP="004D1919">
          <w:pPr>
            <w:spacing w:line="360" w:lineRule="auto"/>
            <w:rPr>
              <w:color w:val="FF0000"/>
            </w:rPr>
          </w:pPr>
          <w:r w:rsidRPr="001F2944">
            <w:rPr>
              <w:bCs/>
              <w:color w:val="FF0000"/>
              <w:lang w:val="es-ES"/>
            </w:rPr>
            <w:fldChar w:fldCharType="end"/>
          </w:r>
        </w:p>
      </w:sdtContent>
    </w:sdt>
    <w:p w:rsidR="004D1919" w:rsidRPr="00B2261F" w:rsidRDefault="004D1919" w:rsidP="004D1919">
      <w:pPr>
        <w:tabs>
          <w:tab w:val="left" w:pos="8931"/>
        </w:tabs>
        <w:spacing w:line="360" w:lineRule="auto"/>
        <w:rPr>
          <w:color w:val="FF0000"/>
        </w:rPr>
      </w:pPr>
    </w:p>
    <w:p w:rsidR="004D1919" w:rsidRDefault="004D1919" w:rsidP="004D1919">
      <w:pPr>
        <w:tabs>
          <w:tab w:val="left" w:pos="8931"/>
        </w:tabs>
        <w:spacing w:line="360" w:lineRule="auto"/>
        <w:rPr>
          <w:color w:val="FF0000"/>
        </w:rPr>
      </w:pPr>
    </w:p>
    <w:p w:rsidR="004D1919" w:rsidRDefault="004D1919" w:rsidP="004D1919">
      <w:pPr>
        <w:tabs>
          <w:tab w:val="left" w:pos="8931"/>
        </w:tabs>
        <w:spacing w:line="360" w:lineRule="auto"/>
        <w:rPr>
          <w:color w:val="FF0000"/>
        </w:rPr>
      </w:pPr>
    </w:p>
    <w:p w:rsidR="004D1919" w:rsidRDefault="004D1919" w:rsidP="004D1919">
      <w:pPr>
        <w:tabs>
          <w:tab w:val="left" w:pos="8931"/>
        </w:tabs>
        <w:spacing w:line="360" w:lineRule="auto"/>
        <w:rPr>
          <w:color w:val="FF0000"/>
        </w:rPr>
      </w:pPr>
    </w:p>
    <w:p w:rsidR="004D1919" w:rsidRDefault="004D1919" w:rsidP="004D1919">
      <w:pPr>
        <w:tabs>
          <w:tab w:val="left" w:pos="8931"/>
        </w:tabs>
        <w:spacing w:line="360" w:lineRule="auto"/>
        <w:rPr>
          <w:color w:val="FF0000"/>
        </w:rPr>
      </w:pPr>
    </w:p>
    <w:p w:rsidR="004D1919" w:rsidRDefault="004D1919" w:rsidP="004D1919">
      <w:pPr>
        <w:tabs>
          <w:tab w:val="left" w:pos="8931"/>
        </w:tabs>
        <w:spacing w:line="360" w:lineRule="auto"/>
        <w:rPr>
          <w:color w:val="FF0000"/>
        </w:rPr>
      </w:pPr>
    </w:p>
    <w:p w:rsidR="004D1919" w:rsidRDefault="004D1919" w:rsidP="004D1919">
      <w:pPr>
        <w:tabs>
          <w:tab w:val="left" w:pos="8931"/>
        </w:tabs>
        <w:spacing w:line="360" w:lineRule="auto"/>
        <w:rPr>
          <w:color w:val="FF0000"/>
        </w:rPr>
      </w:pPr>
    </w:p>
    <w:p w:rsidR="004D1919" w:rsidRDefault="004D1919" w:rsidP="004D1919">
      <w:pPr>
        <w:tabs>
          <w:tab w:val="left" w:pos="8931"/>
        </w:tabs>
        <w:spacing w:line="360" w:lineRule="auto"/>
        <w:rPr>
          <w:color w:val="FF0000"/>
        </w:rPr>
      </w:pPr>
    </w:p>
    <w:p w:rsidR="004D1919" w:rsidRDefault="004D1919" w:rsidP="004D1919">
      <w:pPr>
        <w:tabs>
          <w:tab w:val="left" w:pos="8931"/>
        </w:tabs>
        <w:spacing w:line="360" w:lineRule="auto"/>
        <w:rPr>
          <w:color w:val="FF0000"/>
        </w:rPr>
      </w:pPr>
    </w:p>
    <w:p w:rsidR="004D1919" w:rsidRDefault="004D1919" w:rsidP="004D1919">
      <w:pPr>
        <w:tabs>
          <w:tab w:val="left" w:pos="8931"/>
        </w:tabs>
        <w:spacing w:line="360" w:lineRule="auto"/>
        <w:rPr>
          <w:color w:val="FF0000"/>
        </w:rPr>
      </w:pPr>
    </w:p>
    <w:p w:rsidR="004D1919" w:rsidRPr="00B2261F" w:rsidRDefault="004D1919" w:rsidP="004D1919">
      <w:pPr>
        <w:tabs>
          <w:tab w:val="left" w:pos="8931"/>
        </w:tabs>
        <w:spacing w:line="360" w:lineRule="auto"/>
        <w:rPr>
          <w:color w:val="FF0000"/>
        </w:rPr>
      </w:pP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Resolución del Pleno del Instituto de Transparencia, Acceso a la Información Pública y Protección de Datos Personales del Estado de México y Municipios, con domicilio en Metepec, Estado de México, del cinco de n</w:t>
      </w:r>
      <w:r w:rsidR="00D5026A">
        <w:rPr>
          <w:rFonts w:ascii="Palatino Linotype" w:eastAsia="Palatino Linotype" w:hAnsi="Palatino Linotype" w:cs="Palatino Linotype"/>
          <w:sz w:val="22"/>
          <w:szCs w:val="22"/>
        </w:rPr>
        <w:t>oviembre de dos mil veinticinco.</w:t>
      </w:r>
      <w:bookmarkStart w:id="1" w:name="_GoBack"/>
      <w:bookmarkEnd w:id="1"/>
    </w:p>
    <w:p w:rsidR="00B52FC2" w:rsidRDefault="00B52FC2">
      <w:pPr>
        <w:spacing w:line="360" w:lineRule="auto"/>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7E73F8">
        <w:rPr>
          <w:rFonts w:ascii="Palatino Linotype" w:eastAsia="Palatino Linotype" w:hAnsi="Palatino Linotype" w:cs="Palatino Linotype"/>
          <w:b/>
          <w:sz w:val="22"/>
          <w:szCs w:val="22"/>
        </w:rPr>
        <w:t xml:space="preserve">06521/INFOEM/IP/RR/2025, 06523/INFOEM/IP/RR/2025, y 06524/INFOEM/IP/RR/2025, </w:t>
      </w:r>
      <w:r>
        <w:rPr>
          <w:rFonts w:ascii="Palatino Linotype" w:eastAsia="Palatino Linotype" w:hAnsi="Palatino Linotype" w:cs="Palatino Linotype"/>
          <w:color w:val="0D0D0D"/>
          <w:sz w:val="22"/>
          <w:szCs w:val="22"/>
        </w:rPr>
        <w:t xml:space="preserve">interpuesto por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color w:val="0D0D0D"/>
          <w:sz w:val="22"/>
          <w:szCs w:val="22"/>
        </w:rPr>
        <w:t xml:space="preserve">Recurrente o Particular, en contra de la respuesta del Sujeto Obligado, </w:t>
      </w:r>
      <w:r w:rsidRPr="007E73F8">
        <w:rPr>
          <w:rFonts w:ascii="Palatino Linotype" w:eastAsia="Palatino Linotype" w:hAnsi="Palatino Linotype" w:cs="Palatino Linotype"/>
          <w:b/>
          <w:color w:val="0D0D0D"/>
          <w:sz w:val="22"/>
          <w:szCs w:val="22"/>
        </w:rPr>
        <w:t>Ayuntamiento de Toluca</w:t>
      </w:r>
      <w:r>
        <w:rPr>
          <w:rFonts w:ascii="Palatino Linotype" w:eastAsia="Palatino Linotype" w:hAnsi="Palatino Linotype" w:cs="Palatino Linotype"/>
          <w:color w:val="0D0D0D"/>
          <w:sz w:val="22"/>
          <w:szCs w:val="22"/>
        </w:rPr>
        <w:t xml:space="preserve">, a las solicitudes de acceso a la información pública </w:t>
      </w:r>
      <w:r>
        <w:rPr>
          <w:rFonts w:ascii="Palatino Linotype" w:eastAsia="Palatino Linotype" w:hAnsi="Palatino Linotype" w:cs="Palatino Linotype"/>
          <w:sz w:val="22"/>
          <w:szCs w:val="22"/>
        </w:rPr>
        <w:t>02306/TOLUCA/IP/2025,</w:t>
      </w:r>
      <w:r>
        <w:t xml:space="preserve"> </w:t>
      </w:r>
      <w:r>
        <w:rPr>
          <w:rFonts w:ascii="Palatino Linotype" w:eastAsia="Palatino Linotype" w:hAnsi="Palatino Linotype" w:cs="Palatino Linotype"/>
          <w:sz w:val="22"/>
          <w:szCs w:val="22"/>
        </w:rPr>
        <w:t>02307/TOLUCA/IP/2025 y 02308/TOLUCA/IP/2025</w:t>
      </w:r>
      <w:r>
        <w:rPr>
          <w:rFonts w:ascii="Palatino Linotype" w:eastAsia="Palatino Linotype" w:hAnsi="Palatino Linotype" w:cs="Palatino Linotype"/>
          <w:color w:val="0D0D0D"/>
          <w:sz w:val="22"/>
          <w:szCs w:val="22"/>
        </w:rPr>
        <w:t>, se emite la presente Resolución, con base en los Antecedentes y C</w:t>
      </w:r>
      <w:r>
        <w:rPr>
          <w:rFonts w:ascii="Palatino Linotype" w:eastAsia="Palatino Linotype" w:hAnsi="Palatino Linotype" w:cs="Palatino Linotype"/>
          <w:sz w:val="22"/>
          <w:szCs w:val="22"/>
        </w:rPr>
        <w:t>onsiderandos que a continuación se exponen:</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pStyle w:val="Ttulo1"/>
        <w:spacing w:before="0" w:after="0" w:line="360" w:lineRule="auto"/>
        <w:jc w:val="center"/>
        <w:rPr>
          <w:rFonts w:ascii="Palatino Linotype" w:eastAsia="Palatino Linotype" w:hAnsi="Palatino Linotype" w:cs="Palatino Linotype"/>
          <w:b/>
          <w:color w:val="000000"/>
          <w:sz w:val="22"/>
          <w:szCs w:val="22"/>
        </w:rPr>
      </w:pPr>
      <w:bookmarkStart w:id="2" w:name="_heading=h.oo7w9yz4321p" w:colFirst="0" w:colLast="0"/>
      <w:bookmarkStart w:id="3" w:name="_Toc212734456"/>
      <w:bookmarkEnd w:id="2"/>
      <w:r>
        <w:rPr>
          <w:rFonts w:ascii="Palatino Linotype" w:eastAsia="Palatino Linotype" w:hAnsi="Palatino Linotype" w:cs="Palatino Linotype"/>
          <w:b/>
          <w:color w:val="000000"/>
          <w:sz w:val="22"/>
          <w:szCs w:val="22"/>
        </w:rPr>
        <w:t>A N T E C E D E N T E S</w:t>
      </w:r>
      <w:bookmarkEnd w:id="3"/>
    </w:p>
    <w:p w:rsidR="00B52FC2" w:rsidRDefault="00B52FC2">
      <w:pPr>
        <w:spacing w:line="360" w:lineRule="auto"/>
      </w:pPr>
    </w:p>
    <w:p w:rsidR="00B52FC2" w:rsidRDefault="00FB541F">
      <w:pPr>
        <w:pStyle w:val="Ttulo2"/>
        <w:spacing w:before="0" w:after="0" w:line="360" w:lineRule="auto"/>
        <w:rPr>
          <w:rFonts w:ascii="Palatino Linotype" w:eastAsia="Palatino Linotype" w:hAnsi="Palatino Linotype" w:cs="Palatino Linotype"/>
          <w:b/>
          <w:color w:val="000000"/>
          <w:sz w:val="22"/>
          <w:szCs w:val="22"/>
        </w:rPr>
      </w:pPr>
      <w:bookmarkStart w:id="4" w:name="_heading=h.lj3r1frqkvmx" w:colFirst="0" w:colLast="0"/>
      <w:bookmarkStart w:id="5" w:name="_Toc212734457"/>
      <w:bookmarkEnd w:id="4"/>
      <w:r>
        <w:rPr>
          <w:rFonts w:ascii="Palatino Linotype" w:eastAsia="Palatino Linotype" w:hAnsi="Palatino Linotype" w:cs="Palatino Linotype"/>
          <w:b/>
          <w:color w:val="000000"/>
          <w:sz w:val="22"/>
          <w:szCs w:val="22"/>
        </w:rPr>
        <w:t>I. Presentación de la solicitud de información</w:t>
      </w:r>
      <w:bookmarkEnd w:id="5"/>
    </w:p>
    <w:p w:rsidR="00B52FC2" w:rsidRDefault="00B52FC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B52FC2" w:rsidRDefault="00FB541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veintiuno de abril de dos mil veinticinco, (si bien se presentó el día veinte que fue inhábil, se tiene por realizada al siguiente día hábil), el Particular presentó tres solicitudes de acceso a la información pública, a través del Sistema de Acceso a la Información Mexiquense, en lo sucesivo el SAIMEX, ante el Ayuntamiento de Toluca, mediante la cual requirió lo siguiente:</w:t>
      </w:r>
    </w:p>
    <w:p w:rsidR="00B52FC2" w:rsidRDefault="00B52FC2">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color w:val="000000"/>
        </w:rPr>
      </w:pPr>
    </w:p>
    <w:tbl>
      <w:tblPr>
        <w:tblStyle w:val="a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B52FC2">
        <w:tc>
          <w:tcPr>
            <w:tcW w:w="2547" w:type="dxa"/>
            <w:tcBorders>
              <w:top w:val="single" w:sz="4" w:space="0" w:color="000000"/>
              <w:left w:val="single" w:sz="4" w:space="0" w:color="000000"/>
              <w:bottom w:val="single" w:sz="4" w:space="0" w:color="000000"/>
              <w:right w:val="single" w:sz="4" w:space="0" w:color="000000"/>
            </w:tcBorders>
            <w:shd w:val="clear" w:color="auto" w:fill="D0CECE"/>
          </w:tcPr>
          <w:p w:rsidR="00B52FC2" w:rsidRDefault="00FB541F">
            <w:pPr>
              <w:tabs>
                <w:tab w:val="left" w:pos="567"/>
              </w:tabs>
              <w:spacing w:line="360" w:lineRule="auto"/>
              <w:ind w:right="-28"/>
              <w:rPr>
                <w:b/>
              </w:rPr>
            </w:pPr>
            <w:bookmarkStart w:id="6" w:name="_heading=h.ujl6ev7fjqgr" w:colFirst="0" w:colLast="0"/>
            <w:bookmarkEnd w:id="6"/>
            <w:r>
              <w:rPr>
                <w:b/>
              </w:rPr>
              <w:t>FOLIO DE SOLICITUD</w:t>
            </w:r>
          </w:p>
        </w:tc>
        <w:tc>
          <w:tcPr>
            <w:tcW w:w="6379" w:type="dxa"/>
            <w:tcBorders>
              <w:top w:val="single" w:sz="4" w:space="0" w:color="000000"/>
              <w:left w:val="single" w:sz="4" w:space="0" w:color="000000"/>
              <w:bottom w:val="single" w:sz="4" w:space="0" w:color="000000"/>
              <w:right w:val="single" w:sz="4" w:space="0" w:color="000000"/>
            </w:tcBorders>
            <w:shd w:val="clear" w:color="auto" w:fill="D0CECE"/>
          </w:tcPr>
          <w:p w:rsidR="00B52FC2" w:rsidRDefault="00FB541F">
            <w:pPr>
              <w:tabs>
                <w:tab w:val="left" w:pos="567"/>
              </w:tabs>
              <w:spacing w:line="360" w:lineRule="auto"/>
              <w:rPr>
                <w:b/>
              </w:rPr>
            </w:pPr>
            <w:r>
              <w:rPr>
                <w:b/>
              </w:rPr>
              <w:t>‘’DESCRIPCIÓN CLARA Y PRECISA DE LA INFORMACIÓN SOLICITADA</w:t>
            </w:r>
          </w:p>
        </w:tc>
      </w:tr>
      <w:tr w:rsidR="00B52FC2">
        <w:tc>
          <w:tcPr>
            <w:tcW w:w="2547" w:type="dxa"/>
            <w:tcBorders>
              <w:top w:val="single" w:sz="4" w:space="0" w:color="000000"/>
              <w:left w:val="single" w:sz="4" w:space="0" w:color="000000"/>
              <w:bottom w:val="single" w:sz="4" w:space="0" w:color="000000"/>
              <w:right w:val="single" w:sz="4" w:space="0" w:color="000000"/>
            </w:tcBorders>
          </w:tcPr>
          <w:p w:rsidR="00B52FC2" w:rsidRDefault="00FB541F">
            <w:pPr>
              <w:spacing w:line="360" w:lineRule="auto"/>
              <w:rPr>
                <w:b/>
                <w:i/>
                <w:color w:val="FF0000"/>
              </w:rPr>
            </w:pPr>
            <w:r>
              <w:rPr>
                <w:b/>
                <w:i/>
              </w:rPr>
              <w:t>02306/TOLUCA/IP/2025</w:t>
            </w:r>
          </w:p>
        </w:tc>
        <w:tc>
          <w:tcPr>
            <w:tcW w:w="6379" w:type="dxa"/>
            <w:tcBorders>
              <w:top w:val="single" w:sz="4" w:space="0" w:color="000000"/>
              <w:left w:val="single" w:sz="4" w:space="0" w:color="000000"/>
              <w:bottom w:val="single" w:sz="4" w:space="0" w:color="000000"/>
              <w:right w:val="single" w:sz="4" w:space="0" w:color="000000"/>
            </w:tcBorders>
          </w:tcPr>
          <w:p w:rsidR="00B52FC2" w:rsidRDefault="00FB541F">
            <w:pPr>
              <w:spacing w:line="360" w:lineRule="auto"/>
              <w:jc w:val="both"/>
              <w:rPr>
                <w:i/>
                <w:color w:val="FF0000"/>
              </w:rPr>
            </w:pPr>
            <w:r>
              <w:rPr>
                <w:rFonts w:ascii="Palatino Linotype" w:eastAsia="Palatino Linotype" w:hAnsi="Palatino Linotype" w:cs="Palatino Linotype"/>
                <w:i/>
              </w:rPr>
              <w:t xml:space="preserve">Cuantos operativos de </w:t>
            </w:r>
            <w:proofErr w:type="spellStart"/>
            <w:r>
              <w:rPr>
                <w:rFonts w:ascii="Palatino Linotype" w:eastAsia="Palatino Linotype" w:hAnsi="Palatino Linotype" w:cs="Palatino Linotype"/>
                <w:i/>
              </w:rPr>
              <w:t>alcoholimetro</w:t>
            </w:r>
            <w:proofErr w:type="spellEnd"/>
            <w:r>
              <w:rPr>
                <w:rFonts w:ascii="Palatino Linotype" w:eastAsia="Palatino Linotype" w:hAnsi="Palatino Linotype" w:cs="Palatino Linotype"/>
                <w:i/>
              </w:rPr>
              <w:t xml:space="preserve"> se han realizado en el año 2023, y por mes cuantos pruebas se realizaron, </w:t>
            </w:r>
            <w:proofErr w:type="spellStart"/>
            <w:r>
              <w:rPr>
                <w:rFonts w:ascii="Palatino Linotype" w:eastAsia="Palatino Linotype" w:hAnsi="Palatino Linotype" w:cs="Palatino Linotype"/>
                <w:i/>
              </w:rPr>
              <w:t>cuantos</w:t>
            </w:r>
            <w:proofErr w:type="spellEnd"/>
            <w:r>
              <w:rPr>
                <w:rFonts w:ascii="Palatino Linotype" w:eastAsia="Palatino Linotype" w:hAnsi="Palatino Linotype" w:cs="Palatino Linotype"/>
                <w:i/>
              </w:rPr>
              <w:t xml:space="preserve"> hombres y cuantas mujeres de esos </w:t>
            </w:r>
            <w:r>
              <w:rPr>
                <w:rFonts w:ascii="Palatino Linotype" w:eastAsia="Palatino Linotype" w:hAnsi="Palatino Linotype" w:cs="Palatino Linotype"/>
                <w:i/>
              </w:rPr>
              <w:lastRenderedPageBreak/>
              <w:t>cuantos fueron positivos y las actas qué levanta la contraloría, Derechos humanos y los jueces cívicos de los presentados en versión pública.</w:t>
            </w:r>
            <w:r>
              <w:rPr>
                <w:i/>
              </w:rPr>
              <w:t>” (Sic)</w:t>
            </w:r>
          </w:p>
        </w:tc>
      </w:tr>
      <w:tr w:rsidR="00B52FC2">
        <w:tc>
          <w:tcPr>
            <w:tcW w:w="2547" w:type="dxa"/>
            <w:tcBorders>
              <w:top w:val="single" w:sz="4" w:space="0" w:color="000000"/>
              <w:left w:val="single" w:sz="4" w:space="0" w:color="000000"/>
              <w:bottom w:val="single" w:sz="4" w:space="0" w:color="000000"/>
              <w:right w:val="single" w:sz="4" w:space="0" w:color="000000"/>
            </w:tcBorders>
          </w:tcPr>
          <w:p w:rsidR="00B52FC2" w:rsidRDefault="00FB541F">
            <w:pPr>
              <w:spacing w:line="360" w:lineRule="auto"/>
              <w:rPr>
                <w:b/>
                <w:i/>
                <w:color w:val="FF0000"/>
              </w:rPr>
            </w:pPr>
            <w:r>
              <w:rPr>
                <w:b/>
                <w:i/>
              </w:rPr>
              <w:lastRenderedPageBreak/>
              <w:t>02307/TOLUCA/IP/2025</w:t>
            </w:r>
          </w:p>
        </w:tc>
        <w:tc>
          <w:tcPr>
            <w:tcW w:w="6379" w:type="dxa"/>
            <w:tcBorders>
              <w:top w:val="single" w:sz="4" w:space="0" w:color="000000"/>
              <w:left w:val="single" w:sz="4" w:space="0" w:color="000000"/>
              <w:bottom w:val="single" w:sz="4" w:space="0" w:color="000000"/>
              <w:right w:val="single" w:sz="4" w:space="0" w:color="000000"/>
            </w:tcBorders>
          </w:tcPr>
          <w:p w:rsidR="00B52FC2" w:rsidRDefault="00FB541F">
            <w:pPr>
              <w:spacing w:line="360" w:lineRule="auto"/>
              <w:jc w:val="both"/>
              <w:rPr>
                <w:color w:val="FF0000"/>
              </w:rPr>
            </w:pPr>
            <w:r>
              <w:rPr>
                <w:rFonts w:ascii="Palatino Linotype" w:eastAsia="Palatino Linotype" w:hAnsi="Palatino Linotype" w:cs="Palatino Linotype"/>
                <w:i/>
              </w:rPr>
              <w:t xml:space="preserve">Cuantos operativos de </w:t>
            </w:r>
            <w:proofErr w:type="spellStart"/>
            <w:r>
              <w:rPr>
                <w:rFonts w:ascii="Palatino Linotype" w:eastAsia="Palatino Linotype" w:hAnsi="Palatino Linotype" w:cs="Palatino Linotype"/>
                <w:i/>
              </w:rPr>
              <w:t>alcoholimetro</w:t>
            </w:r>
            <w:proofErr w:type="spellEnd"/>
            <w:r>
              <w:rPr>
                <w:rFonts w:ascii="Palatino Linotype" w:eastAsia="Palatino Linotype" w:hAnsi="Palatino Linotype" w:cs="Palatino Linotype"/>
                <w:i/>
              </w:rPr>
              <w:t xml:space="preserve"> se han realizado en el año 2024, y por mes cuantos pruebas se realizaron, </w:t>
            </w:r>
            <w:proofErr w:type="spellStart"/>
            <w:r>
              <w:rPr>
                <w:rFonts w:ascii="Palatino Linotype" w:eastAsia="Palatino Linotype" w:hAnsi="Palatino Linotype" w:cs="Palatino Linotype"/>
                <w:i/>
              </w:rPr>
              <w:t>cuantos</w:t>
            </w:r>
            <w:proofErr w:type="spellEnd"/>
            <w:r>
              <w:rPr>
                <w:rFonts w:ascii="Palatino Linotype" w:eastAsia="Palatino Linotype" w:hAnsi="Palatino Linotype" w:cs="Palatino Linotype"/>
                <w:i/>
              </w:rPr>
              <w:t xml:space="preserve"> hombres y cuantas mujeres de esos cuantos fueron positivos y las actas qué levanta la contraloría, Derechos humanos y los jueces cívicos de los presentados en versión pública.</w:t>
            </w:r>
            <w:r>
              <w:rPr>
                <w:i/>
              </w:rPr>
              <w:t>” (Sic)</w:t>
            </w:r>
          </w:p>
        </w:tc>
      </w:tr>
      <w:tr w:rsidR="00B52FC2">
        <w:tc>
          <w:tcPr>
            <w:tcW w:w="2547" w:type="dxa"/>
            <w:tcBorders>
              <w:top w:val="single" w:sz="4" w:space="0" w:color="000000"/>
              <w:left w:val="single" w:sz="4" w:space="0" w:color="000000"/>
              <w:bottom w:val="single" w:sz="4" w:space="0" w:color="000000"/>
              <w:right w:val="single" w:sz="4" w:space="0" w:color="000000"/>
            </w:tcBorders>
          </w:tcPr>
          <w:p w:rsidR="00B52FC2" w:rsidRDefault="00FB541F">
            <w:pPr>
              <w:spacing w:line="360" w:lineRule="auto"/>
              <w:rPr>
                <w:b/>
                <w:i/>
                <w:color w:val="FF0000"/>
              </w:rPr>
            </w:pPr>
            <w:r>
              <w:rPr>
                <w:b/>
                <w:i/>
              </w:rPr>
              <w:t>02308/TOLUCA/IP/2025</w:t>
            </w:r>
          </w:p>
        </w:tc>
        <w:tc>
          <w:tcPr>
            <w:tcW w:w="6379" w:type="dxa"/>
            <w:tcBorders>
              <w:top w:val="single" w:sz="4" w:space="0" w:color="000000"/>
              <w:left w:val="single" w:sz="4" w:space="0" w:color="000000"/>
              <w:bottom w:val="single" w:sz="4" w:space="0" w:color="000000"/>
              <w:right w:val="single" w:sz="4" w:space="0" w:color="000000"/>
            </w:tcBorders>
          </w:tcPr>
          <w:p w:rsidR="00B52FC2" w:rsidRDefault="00FB541F">
            <w:pPr>
              <w:spacing w:line="360" w:lineRule="auto"/>
              <w:jc w:val="both"/>
              <w:rPr>
                <w:i/>
                <w:color w:val="FF0000"/>
              </w:rPr>
            </w:pPr>
            <w:r>
              <w:rPr>
                <w:rFonts w:ascii="Palatino Linotype" w:eastAsia="Palatino Linotype" w:hAnsi="Palatino Linotype" w:cs="Palatino Linotype"/>
                <w:i/>
              </w:rPr>
              <w:t xml:space="preserve">Cuantos operativos de </w:t>
            </w:r>
            <w:proofErr w:type="spellStart"/>
            <w:r>
              <w:rPr>
                <w:rFonts w:ascii="Palatino Linotype" w:eastAsia="Palatino Linotype" w:hAnsi="Palatino Linotype" w:cs="Palatino Linotype"/>
                <w:i/>
              </w:rPr>
              <w:t>alcoholimetro</w:t>
            </w:r>
            <w:proofErr w:type="spellEnd"/>
            <w:r>
              <w:rPr>
                <w:rFonts w:ascii="Palatino Linotype" w:eastAsia="Palatino Linotype" w:hAnsi="Palatino Linotype" w:cs="Palatino Linotype"/>
                <w:i/>
              </w:rPr>
              <w:t xml:space="preserve"> se han realizado en el año 2025, y por mes cuantos pruebas se realizaron, </w:t>
            </w:r>
            <w:proofErr w:type="spellStart"/>
            <w:r>
              <w:rPr>
                <w:rFonts w:ascii="Palatino Linotype" w:eastAsia="Palatino Linotype" w:hAnsi="Palatino Linotype" w:cs="Palatino Linotype"/>
                <w:i/>
              </w:rPr>
              <w:t>cuantos</w:t>
            </w:r>
            <w:proofErr w:type="spellEnd"/>
            <w:r>
              <w:rPr>
                <w:rFonts w:ascii="Palatino Linotype" w:eastAsia="Palatino Linotype" w:hAnsi="Palatino Linotype" w:cs="Palatino Linotype"/>
                <w:i/>
              </w:rPr>
              <w:t xml:space="preserve"> hombres y cuantas mujeres de esos cuantos fueron positivos y las actas qué levanta la contraloría, Derechos humanos y los jueces cívicos de los presentados en versión pública.</w:t>
            </w:r>
            <w:r>
              <w:rPr>
                <w:i/>
              </w:rPr>
              <w:t>” (Sic)</w:t>
            </w:r>
          </w:p>
        </w:tc>
      </w:tr>
    </w:tbl>
    <w:p w:rsidR="00B52FC2" w:rsidRDefault="00B52FC2">
      <w:pPr>
        <w:tabs>
          <w:tab w:val="left" w:pos="4667"/>
        </w:tabs>
        <w:spacing w:line="360" w:lineRule="auto"/>
        <w:ind w:left="567" w:right="567"/>
        <w:jc w:val="both"/>
        <w:rPr>
          <w:rFonts w:ascii="Palatino Linotype" w:eastAsia="Palatino Linotype" w:hAnsi="Palatino Linotype" w:cs="Palatino Linotype"/>
          <w:i/>
        </w:rPr>
      </w:pPr>
    </w:p>
    <w:p w:rsidR="00B52FC2" w:rsidRDefault="00FB541F">
      <w:pPr>
        <w:tabs>
          <w:tab w:val="left" w:pos="4667"/>
        </w:tabs>
        <w:spacing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xml:space="preserve">Es de señalar que en las tres solicitudes de acceso a la información el ahora Recurrente eligió como modalidad de entrega de la información </w:t>
      </w:r>
      <w:r>
        <w:rPr>
          <w:rFonts w:ascii="Palatino Linotype" w:eastAsia="Palatino Linotype" w:hAnsi="Palatino Linotype" w:cs="Palatino Linotype"/>
          <w:i/>
          <w:sz w:val="22"/>
          <w:szCs w:val="22"/>
        </w:rPr>
        <w:t>“A través del SAIMEX”.</w:t>
      </w:r>
    </w:p>
    <w:p w:rsidR="00B52FC2" w:rsidRDefault="00B52FC2">
      <w:pPr>
        <w:tabs>
          <w:tab w:val="left" w:pos="4667"/>
        </w:tabs>
        <w:spacing w:line="360" w:lineRule="auto"/>
        <w:ind w:left="567" w:right="567"/>
        <w:jc w:val="both"/>
        <w:rPr>
          <w:rFonts w:ascii="Palatino Linotype" w:eastAsia="Palatino Linotype" w:hAnsi="Palatino Linotype" w:cs="Palatino Linotype"/>
          <w:i/>
        </w:rPr>
      </w:pPr>
    </w:p>
    <w:p w:rsidR="00B52FC2" w:rsidRDefault="00FB541F">
      <w:pPr>
        <w:pStyle w:val="Ttulo2"/>
        <w:spacing w:before="0" w:after="0" w:line="360" w:lineRule="auto"/>
        <w:rPr>
          <w:rFonts w:ascii="Palatino Linotype" w:eastAsia="Palatino Linotype" w:hAnsi="Palatino Linotype" w:cs="Palatino Linotype"/>
          <w:b/>
          <w:color w:val="000000"/>
          <w:sz w:val="22"/>
          <w:szCs w:val="22"/>
        </w:rPr>
      </w:pPr>
      <w:bookmarkStart w:id="7" w:name="_heading=h.acmfattsfqv4" w:colFirst="0" w:colLast="0"/>
      <w:bookmarkStart w:id="8" w:name="_Toc212734458"/>
      <w:bookmarkEnd w:id="7"/>
      <w:r>
        <w:rPr>
          <w:rFonts w:ascii="Palatino Linotype" w:eastAsia="Palatino Linotype" w:hAnsi="Palatino Linotype" w:cs="Palatino Linotype"/>
          <w:b/>
          <w:color w:val="000000"/>
          <w:sz w:val="22"/>
          <w:szCs w:val="22"/>
        </w:rPr>
        <w:t>II. Respuesta del Sujeto Obligado</w:t>
      </w:r>
      <w:bookmarkEnd w:id="8"/>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catorce de mayo de dos mil veinticinco, el</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Sujeto Obligado dio respuesta a las solicitudes de acceso a la información a través del SAIMEX con la digitalización de los documentos siguientes:</w:t>
      </w:r>
    </w:p>
    <w:p w:rsidR="00B52FC2" w:rsidRDefault="00B52FC2">
      <w:pPr>
        <w:spacing w:line="360" w:lineRule="auto"/>
        <w:jc w:val="both"/>
        <w:rPr>
          <w:rFonts w:ascii="Palatino Linotype" w:eastAsia="Palatino Linotype" w:hAnsi="Palatino Linotype" w:cs="Palatino Linotype"/>
          <w:sz w:val="22"/>
          <w:szCs w:val="22"/>
        </w:rPr>
      </w:pPr>
    </w:p>
    <w:tbl>
      <w:tblPr>
        <w:tblStyle w:val="a8"/>
        <w:tblW w:w="89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6696"/>
      </w:tblGrid>
      <w:tr w:rsidR="00B52FC2">
        <w:tc>
          <w:tcPr>
            <w:tcW w:w="2283" w:type="dxa"/>
            <w:tcBorders>
              <w:top w:val="single" w:sz="4" w:space="0" w:color="000000"/>
              <w:left w:val="single" w:sz="4" w:space="0" w:color="000000"/>
              <w:bottom w:val="single" w:sz="4" w:space="0" w:color="000000"/>
              <w:right w:val="single" w:sz="4" w:space="0" w:color="000000"/>
            </w:tcBorders>
            <w:shd w:val="clear" w:color="auto" w:fill="D0CECE"/>
          </w:tcPr>
          <w:p w:rsidR="00B52FC2" w:rsidRDefault="00FB541F">
            <w:pPr>
              <w:tabs>
                <w:tab w:val="left" w:pos="567"/>
              </w:tabs>
              <w:spacing w:line="360" w:lineRule="auto"/>
              <w:ind w:right="-28"/>
              <w:rPr>
                <w:b/>
              </w:rPr>
            </w:pPr>
            <w:r>
              <w:rPr>
                <w:b/>
              </w:rPr>
              <w:t>FOLIO DE SOLICITUD</w:t>
            </w:r>
          </w:p>
        </w:tc>
        <w:tc>
          <w:tcPr>
            <w:tcW w:w="6696" w:type="dxa"/>
            <w:tcBorders>
              <w:top w:val="single" w:sz="4" w:space="0" w:color="000000"/>
              <w:left w:val="single" w:sz="4" w:space="0" w:color="000000"/>
              <w:bottom w:val="single" w:sz="4" w:space="0" w:color="000000"/>
              <w:right w:val="single" w:sz="4" w:space="0" w:color="000000"/>
            </w:tcBorders>
            <w:shd w:val="clear" w:color="auto" w:fill="D0CECE"/>
          </w:tcPr>
          <w:p w:rsidR="00B52FC2" w:rsidRDefault="00FB541F">
            <w:pPr>
              <w:tabs>
                <w:tab w:val="left" w:pos="567"/>
              </w:tabs>
              <w:spacing w:line="360" w:lineRule="auto"/>
              <w:jc w:val="both"/>
              <w:rPr>
                <w:b/>
              </w:rPr>
            </w:pPr>
            <w:r>
              <w:rPr>
                <w:b/>
              </w:rPr>
              <w:t>RESPUESTA</w:t>
            </w:r>
          </w:p>
        </w:tc>
      </w:tr>
      <w:tr w:rsidR="00B52FC2">
        <w:tc>
          <w:tcPr>
            <w:tcW w:w="2283" w:type="dxa"/>
            <w:tcBorders>
              <w:top w:val="single" w:sz="4" w:space="0" w:color="000000"/>
              <w:left w:val="single" w:sz="4" w:space="0" w:color="000000"/>
              <w:bottom w:val="single" w:sz="4" w:space="0" w:color="000000"/>
              <w:right w:val="single" w:sz="4" w:space="0" w:color="000000"/>
            </w:tcBorders>
          </w:tcPr>
          <w:p w:rsidR="00B52FC2" w:rsidRDefault="00FB541F">
            <w:pPr>
              <w:spacing w:line="360" w:lineRule="auto"/>
              <w:rPr>
                <w:b/>
                <w:i/>
                <w:color w:val="FF0000"/>
              </w:rPr>
            </w:pPr>
            <w:r>
              <w:rPr>
                <w:b/>
                <w:i/>
              </w:rPr>
              <w:t>02306/TOLUCA/IP/2025</w:t>
            </w:r>
          </w:p>
        </w:tc>
        <w:tc>
          <w:tcPr>
            <w:tcW w:w="6696" w:type="dxa"/>
            <w:tcBorders>
              <w:top w:val="single" w:sz="4" w:space="0" w:color="000000"/>
              <w:left w:val="single" w:sz="4" w:space="0" w:color="000000"/>
              <w:bottom w:val="single" w:sz="4" w:space="0" w:color="000000"/>
              <w:right w:val="single" w:sz="4" w:space="0" w:color="000000"/>
            </w:tcBorders>
          </w:tcPr>
          <w:p w:rsidR="00B52FC2" w:rsidRDefault="00FB541F">
            <w:pPr>
              <w:tabs>
                <w:tab w:val="left" w:pos="567"/>
              </w:tabs>
              <w:spacing w:line="360" w:lineRule="auto"/>
              <w:jc w:val="both"/>
            </w:pPr>
            <w:r>
              <w:t xml:space="preserve">i) </w:t>
            </w:r>
            <w:r>
              <w:rPr>
                <w:rFonts w:ascii="Palatino Linotype" w:eastAsia="Palatino Linotype" w:hAnsi="Palatino Linotype" w:cs="Palatino Linotype"/>
                <w:sz w:val="22"/>
                <w:szCs w:val="22"/>
              </w:rPr>
              <w:t>Oficio número SA/CJ/CJM/JCA-3/014/2025 de fecha de veintitrés de abril de dos mil veinticinco, suscrito por el juez cívico especializado en alcoholímetro y dirigido al Consejero Jurídico, en los siguientes términos</w:t>
            </w:r>
            <w:r>
              <w:t>:</w:t>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r>
              <w:rPr>
                <w:rFonts w:ascii="Palatino Linotype" w:eastAsia="Palatino Linotype" w:hAnsi="Palatino Linotype" w:cs="Palatino Linotype"/>
                <w:i/>
                <w:color w:val="000000"/>
              </w:rPr>
              <w:t xml:space="preserve">Respecto de su solicitud le informo que este Juzgado desconoce de dicha información ya que la dirección encargada de realizar y coordinar los operativos de alcoholímetro, así como de la contabilización del total de las pruebas realizadas y del porcentaje tanto en hombres como mujeres es la DIRECCION DE SUSTENTABILIDAD VIAL. Respecto a las actas levantadas por dependencias de Derechos Humanos y Contraloría son propias de cada área sin que a este juzgado remitan o dejen copia de las mismas.” </w:t>
            </w:r>
          </w:p>
          <w:p w:rsidR="00B52FC2" w:rsidRDefault="00B52FC2">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p>
          <w:p w:rsidR="00B52FC2" w:rsidRDefault="00FB541F">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ii) </w:t>
            </w:r>
            <w:r>
              <w:rPr>
                <w:rFonts w:ascii="Palatino Linotype" w:eastAsia="Palatino Linotype" w:hAnsi="Palatino Linotype" w:cs="Palatino Linotype"/>
                <w:sz w:val="22"/>
                <w:szCs w:val="22"/>
              </w:rPr>
              <w:t>Oficio número 203010000/01789/2025, de fecha seis de mayo de dos mil veinticinco, suscrito por el Titular del Órgano de Control y dirigido al solicitante en donde refiere lo siguiente:</w:t>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Me permito informarle que lo solicitado no puede ser atendido, toda vez que referente a las preguntas subjetivas no pueden ser atendidas como un derecho de acceso.”</w:t>
            </w:r>
          </w:p>
          <w:p w:rsidR="00B52FC2" w:rsidRDefault="00B52FC2">
            <w:pPr>
              <w:tabs>
                <w:tab w:val="left" w:pos="567"/>
              </w:tabs>
              <w:spacing w:line="360" w:lineRule="auto"/>
              <w:jc w:val="both"/>
              <w:rPr>
                <w:rFonts w:ascii="Palatino Linotype" w:eastAsia="Palatino Linotype" w:hAnsi="Palatino Linotype" w:cs="Palatino Linotype"/>
              </w:rPr>
            </w:pPr>
          </w:p>
          <w:p w:rsidR="00B52FC2" w:rsidRDefault="00FB541F">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iii) </w:t>
            </w:r>
            <w:r>
              <w:rPr>
                <w:rFonts w:ascii="Palatino Linotype" w:eastAsia="Palatino Linotype" w:hAnsi="Palatino Linotype" w:cs="Palatino Linotype"/>
                <w:sz w:val="22"/>
                <w:szCs w:val="22"/>
              </w:rPr>
              <w:t>Oficio sin número de fecha veinticinco de abril de dos mil veinticinco, suscrito por el Director de Sustentabilidad Vial y dirigido a la Directora Jurídica de seguridad y protección en los siguientes términos:</w:t>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rPr>
              <w:t>Al respecto y después de una búsqueda exhaustiva se encuentra el operativo “Alcoholímetro”, que comprende el año 2023 obteniendo lo siguientes resultados.”</w:t>
            </w:r>
          </w:p>
          <w:p w:rsidR="00B52FC2" w:rsidRDefault="00FB541F">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4161196" cy="1815667"/>
                  <wp:effectExtent l="0" t="0" r="0" b="0"/>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161196" cy="1815667"/>
                          </a:xfrm>
                          <a:prstGeom prst="rect">
                            <a:avLst/>
                          </a:prstGeom>
                          <a:ln/>
                        </pic:spPr>
                      </pic:pic>
                    </a:graphicData>
                  </a:graphic>
                </wp:inline>
              </w:drawing>
            </w:r>
          </w:p>
          <w:p w:rsidR="00B52FC2" w:rsidRDefault="00FB541F">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iv) Oficio número 200E00000/212/2025, de fecha catorce de mayo de dos mil veinticinco, suscrito por la defensora municipal y dirigido al titular de la unidad de transparencia donde refiere lo siguiente:</w:t>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rPr>
              <w:t>En atención después de una búsqueda realizada que se resguardan en esta defensoría del 2023,  se localizó la siguiente información relacionada con la participación de los servidores públicos de esta defensoría en 195 puntos de revisión en el programa “</w:t>
            </w:r>
            <w:r>
              <w:rPr>
                <w:rFonts w:ascii="Palatino Linotype" w:eastAsia="Palatino Linotype" w:hAnsi="Palatino Linotype" w:cs="Palatino Linotype"/>
                <w:b/>
                <w:i/>
                <w:color w:val="000000"/>
              </w:rPr>
              <w:t>conduce sin alcohol</w:t>
            </w:r>
            <w:r>
              <w:rPr>
                <w:rFonts w:ascii="Palatino Linotype" w:eastAsia="Palatino Linotype" w:hAnsi="Palatino Linotype" w:cs="Palatino Linotype"/>
                <w:i/>
                <w:color w:val="000000"/>
              </w:rPr>
              <w:t xml:space="preserve">” implementado por la Dirección General de Seguridad y Protección” </w:t>
            </w:r>
          </w:p>
          <w:p w:rsidR="00B52FC2" w:rsidRDefault="00B52FC2">
            <w:pPr>
              <w:tabs>
                <w:tab w:val="left" w:pos="567"/>
              </w:tabs>
              <w:spacing w:line="360" w:lineRule="auto"/>
              <w:jc w:val="both"/>
              <w:rPr>
                <w:rFonts w:ascii="Palatino Linotype" w:eastAsia="Palatino Linotype" w:hAnsi="Palatino Linotype" w:cs="Palatino Linotype"/>
                <w:sz w:val="22"/>
                <w:szCs w:val="22"/>
              </w:rPr>
            </w:pPr>
          </w:p>
          <w:p w:rsidR="00B52FC2" w:rsidRDefault="00FB541F">
            <w:pPr>
              <w:tabs>
                <w:tab w:val="left" w:pos="567"/>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3803983" cy="1830067"/>
                  <wp:effectExtent l="0" t="0" r="0" b="0"/>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3803983" cy="1830067"/>
                          </a:xfrm>
                          <a:prstGeom prst="rect">
                            <a:avLst/>
                          </a:prstGeom>
                          <a:ln/>
                        </pic:spPr>
                      </pic:pic>
                    </a:graphicData>
                  </a:graphic>
                </wp:inline>
              </w:drawing>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Por cuanto hace a las actas levantadas, me permito hacer de su conocimiento que después de realizar una búsqueda exhaustiva y </w:t>
            </w:r>
            <w:r>
              <w:rPr>
                <w:rFonts w:ascii="Palatino Linotype" w:eastAsia="Palatino Linotype" w:hAnsi="Palatino Linotype" w:cs="Palatino Linotype"/>
                <w:i/>
                <w:color w:val="000000"/>
              </w:rPr>
              <w:lastRenderedPageBreak/>
              <w:t>minuciosa en las documentales que resguarda este órgano autónomo no se localizó archivo o documento relativo a lo solicitado</w:t>
            </w:r>
          </w:p>
        </w:tc>
      </w:tr>
      <w:tr w:rsidR="00B52FC2">
        <w:tc>
          <w:tcPr>
            <w:tcW w:w="2283" w:type="dxa"/>
            <w:tcBorders>
              <w:top w:val="single" w:sz="4" w:space="0" w:color="000000"/>
              <w:left w:val="single" w:sz="4" w:space="0" w:color="000000"/>
              <w:bottom w:val="single" w:sz="4" w:space="0" w:color="000000"/>
              <w:right w:val="single" w:sz="4" w:space="0" w:color="000000"/>
            </w:tcBorders>
          </w:tcPr>
          <w:p w:rsidR="00B52FC2" w:rsidRDefault="00FB541F">
            <w:pPr>
              <w:spacing w:line="360" w:lineRule="auto"/>
              <w:rPr>
                <w:b/>
                <w:i/>
                <w:color w:val="FF0000"/>
              </w:rPr>
            </w:pPr>
            <w:r>
              <w:rPr>
                <w:b/>
                <w:i/>
              </w:rPr>
              <w:lastRenderedPageBreak/>
              <w:t>02307/TOLUCA/IP/2025</w:t>
            </w:r>
          </w:p>
        </w:tc>
        <w:tc>
          <w:tcPr>
            <w:tcW w:w="6696" w:type="dxa"/>
            <w:tcBorders>
              <w:top w:val="single" w:sz="4" w:space="0" w:color="000000"/>
              <w:left w:val="single" w:sz="4" w:space="0" w:color="000000"/>
              <w:bottom w:val="single" w:sz="4" w:space="0" w:color="000000"/>
              <w:right w:val="single" w:sz="4" w:space="0" w:color="000000"/>
            </w:tcBorders>
          </w:tcPr>
          <w:p w:rsidR="00B52FC2" w:rsidRDefault="00FB541F">
            <w:pPr>
              <w:tabs>
                <w:tab w:val="left" w:pos="567"/>
              </w:tabs>
              <w:spacing w:line="360" w:lineRule="auto"/>
              <w:jc w:val="both"/>
            </w:pPr>
            <w:r>
              <w:t xml:space="preserve">i) </w:t>
            </w:r>
            <w:r>
              <w:rPr>
                <w:rFonts w:ascii="Palatino Linotype" w:eastAsia="Palatino Linotype" w:hAnsi="Palatino Linotype" w:cs="Palatino Linotype"/>
                <w:sz w:val="22"/>
                <w:szCs w:val="22"/>
              </w:rPr>
              <w:t>Oficio número SA/CJ/CJM/JCA-3/015/2025 de fecha de veintitrés de abril de dos mil veinticinco, suscrito por el juez cívico especializado en alcoholímetro y dirigido al Consejero Jurídico, en los siguientes términos</w:t>
            </w:r>
            <w:r>
              <w:t>:</w:t>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 xml:space="preserve">Respecto de su solicitud le informo que este Juzgado desconoce de dicha información ya que la dirección encargada de realizar y coordinar los operativos de alcoholímetro, así como de la contabilización del total de las pruebas realizadas y del porcentaje tanto en hombres como mujeres es la DIRECCION DE SUSTENTABILIDAD VIAL. Respecto a las actas levantadas por dependencias de Derechos Humanos y Contraloría son propias de cada área sin que a este juzgado remitan o dejen copia de las mismas.” </w:t>
            </w:r>
          </w:p>
          <w:p w:rsidR="00B52FC2" w:rsidRDefault="00B52FC2">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p>
          <w:p w:rsidR="00B52FC2" w:rsidRDefault="00FB541F">
            <w:pPr>
              <w:tabs>
                <w:tab w:val="left" w:pos="567"/>
              </w:tabs>
              <w:spacing w:line="360" w:lineRule="auto"/>
              <w:jc w:val="both"/>
              <w:rPr>
                <w:rFonts w:ascii="Palatino Linotype" w:eastAsia="Palatino Linotype" w:hAnsi="Palatino Linotype" w:cs="Palatino Linotype"/>
                <w:sz w:val="22"/>
                <w:szCs w:val="22"/>
              </w:rPr>
            </w:pPr>
            <w:r>
              <w:t xml:space="preserve">ii) </w:t>
            </w:r>
            <w:r>
              <w:rPr>
                <w:rFonts w:ascii="Palatino Linotype" w:eastAsia="Palatino Linotype" w:hAnsi="Palatino Linotype" w:cs="Palatino Linotype"/>
                <w:sz w:val="22"/>
                <w:szCs w:val="22"/>
              </w:rPr>
              <w:t>Oficio número 203010000/01790/2025, de fecha seis de mayo de dos mil veinticinco, suscrito por el Titular del Órgano de Control y dirigido al solicitante en donde refiere lo siguiente:</w:t>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Me permito informarle que lo solicitado no puede ser atendido, toda vez que referente a las preguntas subjetivas no pueden ser atendidas como un derecho de acceso.”</w:t>
            </w:r>
          </w:p>
          <w:p w:rsidR="00B52FC2" w:rsidRDefault="00B52FC2">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p>
          <w:p w:rsidR="00B52FC2" w:rsidRDefault="00FB541F">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iii) </w:t>
            </w:r>
            <w:r>
              <w:rPr>
                <w:rFonts w:ascii="Palatino Linotype" w:eastAsia="Palatino Linotype" w:hAnsi="Palatino Linotype" w:cs="Palatino Linotype"/>
                <w:sz w:val="22"/>
                <w:szCs w:val="22"/>
              </w:rPr>
              <w:t>Oficio sin número de fecha veinticinco de abril de dos mil veinticinco, suscrito por el Director de Sustentabilidad Vial y dirigido a la Directora Jurídica de seguridad y protección en los siguientes términos:</w:t>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w:t>
            </w:r>
            <w:r>
              <w:rPr>
                <w:rFonts w:ascii="Palatino Linotype" w:eastAsia="Palatino Linotype" w:hAnsi="Palatino Linotype" w:cs="Palatino Linotype"/>
                <w:i/>
                <w:color w:val="000000"/>
              </w:rPr>
              <w:t>Al respecto y después de una búsqueda exhaustiva se encuentra el operativo “Alcoholímetro”, que comprende el año 2024 de enero a mayo, únicamente los días viernes y sábados de cada semana, obteniendo lo siguientes resultados.”</w:t>
            </w:r>
          </w:p>
          <w:p w:rsidR="00B52FC2" w:rsidRDefault="00B52FC2">
            <w:pPr>
              <w:tabs>
                <w:tab w:val="left" w:pos="567"/>
              </w:tabs>
              <w:spacing w:line="360" w:lineRule="auto"/>
              <w:jc w:val="both"/>
              <w:rPr>
                <w:rFonts w:ascii="Palatino Linotype" w:eastAsia="Palatino Linotype" w:hAnsi="Palatino Linotype" w:cs="Palatino Linotype"/>
              </w:rPr>
            </w:pPr>
          </w:p>
          <w:p w:rsidR="00B52FC2" w:rsidRDefault="00FB541F">
            <w:pPr>
              <w:tabs>
                <w:tab w:val="left" w:pos="567"/>
              </w:tabs>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006956" cy="949374"/>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006956" cy="949374"/>
                          </a:xfrm>
                          <a:prstGeom prst="rect">
                            <a:avLst/>
                          </a:prstGeom>
                          <a:ln/>
                        </pic:spPr>
                      </pic:pic>
                    </a:graphicData>
                  </a:graphic>
                </wp:inline>
              </w:drawing>
            </w:r>
          </w:p>
          <w:p w:rsidR="00B52FC2" w:rsidRDefault="00B52FC2">
            <w:pPr>
              <w:tabs>
                <w:tab w:val="left" w:pos="567"/>
              </w:tabs>
              <w:spacing w:line="360" w:lineRule="auto"/>
              <w:jc w:val="both"/>
              <w:rPr>
                <w:rFonts w:ascii="Palatino Linotype" w:eastAsia="Palatino Linotype" w:hAnsi="Palatino Linotype" w:cs="Palatino Linotype"/>
              </w:rPr>
            </w:pPr>
          </w:p>
          <w:p w:rsidR="00B52FC2" w:rsidRDefault="00B52FC2">
            <w:pPr>
              <w:tabs>
                <w:tab w:val="left" w:pos="567"/>
              </w:tabs>
              <w:spacing w:line="360" w:lineRule="auto"/>
              <w:jc w:val="both"/>
              <w:rPr>
                <w:rFonts w:ascii="Palatino Linotype" w:eastAsia="Palatino Linotype" w:hAnsi="Palatino Linotype" w:cs="Palatino Linotype"/>
              </w:rPr>
            </w:pPr>
          </w:p>
          <w:p w:rsidR="00B52FC2" w:rsidRDefault="00FB541F">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iv) </w:t>
            </w:r>
            <w:r>
              <w:rPr>
                <w:rFonts w:ascii="Palatino Linotype" w:eastAsia="Palatino Linotype" w:hAnsi="Palatino Linotype" w:cs="Palatino Linotype"/>
                <w:sz w:val="22"/>
                <w:szCs w:val="22"/>
              </w:rPr>
              <w:t>Oficio número 200E00000/216/2025, de fecha catorce de mayo de dos mil veinticinco, suscrito por la defensora municipal y dirigido al titular de la unidad de transparencia donde refiere lo siguiente:</w:t>
            </w:r>
          </w:p>
          <w:p w:rsidR="00B52FC2" w:rsidRDefault="00B52FC2">
            <w:pPr>
              <w:tabs>
                <w:tab w:val="left" w:pos="567"/>
              </w:tabs>
              <w:spacing w:line="360" w:lineRule="auto"/>
              <w:jc w:val="both"/>
              <w:rPr>
                <w:rFonts w:ascii="Palatino Linotype" w:eastAsia="Palatino Linotype" w:hAnsi="Palatino Linotype" w:cs="Palatino Linotype"/>
                <w:sz w:val="22"/>
                <w:szCs w:val="22"/>
              </w:rPr>
            </w:pP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rPr>
              <w:t xml:space="preserve">En atención después de una búsqueda realizada que se resguardan en esta defensoría del 2023,  se localizó la siguiente información relacionada con la participación de los servidores públicos de esta defensoría en 84  puntos de revisión en el programa “conduce sin alcohol” implementado por la Dirección General de Seguridad y Protección” </w:t>
            </w:r>
          </w:p>
          <w:p w:rsidR="00B52FC2" w:rsidRDefault="00B52FC2">
            <w:pPr>
              <w:tabs>
                <w:tab w:val="left" w:pos="567"/>
              </w:tabs>
              <w:spacing w:line="360" w:lineRule="auto"/>
              <w:jc w:val="both"/>
              <w:rPr>
                <w:rFonts w:ascii="Palatino Linotype" w:eastAsia="Palatino Linotype" w:hAnsi="Palatino Linotype" w:cs="Palatino Linotype"/>
              </w:rPr>
            </w:pPr>
          </w:p>
          <w:p w:rsidR="00B52FC2" w:rsidRDefault="00FB541F">
            <w:pPr>
              <w:tabs>
                <w:tab w:val="left" w:pos="567"/>
              </w:tabs>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extent cx="3790922" cy="1846858"/>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790922" cy="1846858"/>
                          </a:xfrm>
                          <a:prstGeom prst="rect">
                            <a:avLst/>
                          </a:prstGeom>
                          <a:ln/>
                        </pic:spPr>
                      </pic:pic>
                    </a:graphicData>
                  </a:graphic>
                </wp:inline>
              </w:drawing>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Por cuanto hace a las actas levantadas, me permito hacer de su conocimiento que después de realizar una búsqueda exhaustiva y minuciosa en las documentales que resguarda este órgano autónomo no se localizó archivo o documento relativo a lo solicitado.</w:t>
            </w:r>
          </w:p>
          <w:p w:rsidR="00B52FC2" w:rsidRDefault="00B52FC2">
            <w:pPr>
              <w:tabs>
                <w:tab w:val="left" w:pos="567"/>
              </w:tabs>
              <w:spacing w:line="360" w:lineRule="auto"/>
              <w:jc w:val="both"/>
              <w:rPr>
                <w:rFonts w:ascii="Palatino Linotype" w:eastAsia="Palatino Linotype" w:hAnsi="Palatino Linotype" w:cs="Palatino Linotype"/>
              </w:rPr>
            </w:pPr>
          </w:p>
          <w:p w:rsidR="00B52FC2" w:rsidRDefault="00B52FC2">
            <w:pPr>
              <w:tabs>
                <w:tab w:val="left" w:pos="1222"/>
              </w:tabs>
              <w:spacing w:line="360" w:lineRule="auto"/>
              <w:jc w:val="both"/>
            </w:pPr>
          </w:p>
        </w:tc>
      </w:tr>
      <w:tr w:rsidR="00B52FC2">
        <w:tc>
          <w:tcPr>
            <w:tcW w:w="2283" w:type="dxa"/>
            <w:tcBorders>
              <w:top w:val="single" w:sz="4" w:space="0" w:color="000000"/>
              <w:left w:val="single" w:sz="4" w:space="0" w:color="000000"/>
              <w:bottom w:val="single" w:sz="4" w:space="0" w:color="000000"/>
              <w:right w:val="single" w:sz="4" w:space="0" w:color="000000"/>
            </w:tcBorders>
          </w:tcPr>
          <w:p w:rsidR="00B52FC2" w:rsidRDefault="00FB541F">
            <w:pPr>
              <w:spacing w:line="360" w:lineRule="auto"/>
              <w:rPr>
                <w:b/>
                <w:i/>
              </w:rPr>
            </w:pPr>
            <w:r>
              <w:rPr>
                <w:b/>
                <w:i/>
              </w:rPr>
              <w:lastRenderedPageBreak/>
              <w:t>02308/TOLUCA/IP/2025</w:t>
            </w:r>
          </w:p>
        </w:tc>
        <w:tc>
          <w:tcPr>
            <w:tcW w:w="6696" w:type="dxa"/>
            <w:tcBorders>
              <w:top w:val="single" w:sz="4" w:space="0" w:color="000000"/>
              <w:left w:val="single" w:sz="4" w:space="0" w:color="000000"/>
              <w:bottom w:val="single" w:sz="4" w:space="0" w:color="000000"/>
              <w:right w:val="single" w:sz="4" w:space="0" w:color="000000"/>
            </w:tcBorders>
          </w:tcPr>
          <w:p w:rsidR="00B52FC2" w:rsidRDefault="00FB541F">
            <w:pPr>
              <w:tabs>
                <w:tab w:val="left" w:pos="567"/>
              </w:tabs>
              <w:spacing w:line="360" w:lineRule="auto"/>
              <w:jc w:val="both"/>
            </w:pPr>
            <w:r>
              <w:t xml:space="preserve">i) </w:t>
            </w:r>
            <w:r>
              <w:rPr>
                <w:rFonts w:ascii="Palatino Linotype" w:eastAsia="Palatino Linotype" w:hAnsi="Palatino Linotype" w:cs="Palatino Linotype"/>
                <w:sz w:val="22"/>
                <w:szCs w:val="22"/>
              </w:rPr>
              <w:t>Oficio número SA/CJ/CJM/JCA-2/005/2025 de fecha de veinticuatro de abril de dos mil veinticinco, suscrito por el juez cívico especializado en alcoholímetro y dirigido al Consejero Jurídico, en los siguientes términos</w:t>
            </w:r>
            <w:r>
              <w:t>:</w:t>
            </w:r>
          </w:p>
          <w:p w:rsidR="00B52FC2" w:rsidRDefault="00B52FC2">
            <w:pPr>
              <w:tabs>
                <w:tab w:val="left" w:pos="567"/>
              </w:tabs>
              <w:spacing w:line="360" w:lineRule="auto"/>
              <w:jc w:val="both"/>
            </w:pPr>
          </w:p>
          <w:p w:rsidR="00B52FC2" w:rsidRDefault="00FB541F">
            <w:pPr>
              <w:numPr>
                <w:ilvl w:val="0"/>
                <w:numId w:val="1"/>
              </w:numPr>
              <w:pBdr>
                <w:top w:val="nil"/>
                <w:left w:val="nil"/>
                <w:bottom w:val="nil"/>
                <w:right w:val="nil"/>
                <w:between w:val="nil"/>
              </w:pBdr>
              <w:tabs>
                <w:tab w:val="left" w:pos="567"/>
              </w:tabs>
              <w:spacing w:line="360" w:lineRule="auto"/>
              <w:jc w:val="both"/>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Respecto de su solicitud le informo lo siguiente”</w:t>
            </w:r>
          </w:p>
          <w:p w:rsidR="00B52FC2" w:rsidRDefault="00B52FC2">
            <w:pPr>
              <w:tabs>
                <w:tab w:val="left" w:pos="567"/>
              </w:tabs>
              <w:spacing w:line="360" w:lineRule="auto"/>
              <w:jc w:val="both"/>
            </w:pPr>
          </w:p>
          <w:p w:rsidR="00B52FC2" w:rsidRDefault="00FB541F">
            <w:pPr>
              <w:tabs>
                <w:tab w:val="left" w:pos="567"/>
              </w:tabs>
              <w:spacing w:line="360" w:lineRule="auto"/>
              <w:jc w:val="center"/>
            </w:pPr>
            <w:r>
              <w:rPr>
                <w:noProof/>
              </w:rPr>
              <w:drawing>
                <wp:inline distT="0" distB="0" distL="0" distR="0">
                  <wp:extent cx="3421997" cy="976752"/>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421997" cy="976752"/>
                          </a:xfrm>
                          <a:prstGeom prst="rect">
                            <a:avLst/>
                          </a:prstGeom>
                          <a:ln/>
                        </pic:spPr>
                      </pic:pic>
                    </a:graphicData>
                  </a:graphic>
                </wp:inline>
              </w:drawing>
            </w:r>
          </w:p>
          <w:p w:rsidR="00B52FC2" w:rsidRDefault="00B52FC2">
            <w:pPr>
              <w:tabs>
                <w:tab w:val="left" w:pos="567"/>
              </w:tabs>
              <w:spacing w:line="360" w:lineRule="auto"/>
              <w:jc w:val="center"/>
            </w:pPr>
          </w:p>
          <w:p w:rsidR="00B52FC2" w:rsidRDefault="00FB541F">
            <w:pPr>
              <w:pBdr>
                <w:top w:val="nil"/>
                <w:left w:val="nil"/>
                <w:bottom w:val="nil"/>
                <w:right w:val="nil"/>
                <w:between w:val="nil"/>
              </w:pBdr>
              <w:tabs>
                <w:tab w:val="left" w:pos="567"/>
              </w:tabs>
              <w:spacing w:line="360" w:lineRule="auto"/>
              <w:ind w:left="720"/>
              <w:jc w:val="both"/>
              <w:rPr>
                <w:color w:val="000000"/>
              </w:rPr>
            </w:pPr>
            <w:r>
              <w:rPr>
                <w:rFonts w:ascii="Palatino Linotype" w:eastAsia="Palatino Linotype" w:hAnsi="Palatino Linotype" w:cs="Palatino Linotype"/>
                <w:i/>
                <w:color w:val="000000"/>
              </w:rPr>
              <w:t xml:space="preserve">“Cabe mencionar que por lo que hace al total de pruebas realizadas, durante los operativos, se debe requerir dicha información a la Dirección </w:t>
            </w:r>
            <w:r>
              <w:rPr>
                <w:rFonts w:ascii="Palatino Linotype" w:eastAsia="Palatino Linotype" w:hAnsi="Palatino Linotype" w:cs="Palatino Linotype"/>
                <w:i/>
                <w:color w:val="000000"/>
              </w:rPr>
              <w:lastRenderedPageBreak/>
              <w:t>de Sustentabilidad vial, por cuanto a las actas levantadas es información propia de dichas áreas.”</w:t>
            </w:r>
          </w:p>
          <w:p w:rsidR="00B52FC2" w:rsidRDefault="00B52FC2">
            <w:pPr>
              <w:tabs>
                <w:tab w:val="left" w:pos="567"/>
              </w:tabs>
              <w:spacing w:line="360" w:lineRule="auto"/>
              <w:ind w:left="360"/>
              <w:jc w:val="both"/>
            </w:pPr>
          </w:p>
          <w:p w:rsidR="00B52FC2" w:rsidRDefault="00FB541F">
            <w:pPr>
              <w:tabs>
                <w:tab w:val="left" w:pos="567"/>
              </w:tabs>
              <w:spacing w:line="360" w:lineRule="auto"/>
              <w:jc w:val="both"/>
              <w:rPr>
                <w:rFonts w:ascii="Palatino Linotype" w:eastAsia="Palatino Linotype" w:hAnsi="Palatino Linotype" w:cs="Palatino Linotype"/>
                <w:sz w:val="22"/>
                <w:szCs w:val="22"/>
              </w:rPr>
            </w:pPr>
            <w:r>
              <w:t xml:space="preserve">ii) </w:t>
            </w:r>
            <w:r>
              <w:rPr>
                <w:rFonts w:ascii="Palatino Linotype" w:eastAsia="Palatino Linotype" w:hAnsi="Palatino Linotype" w:cs="Palatino Linotype"/>
                <w:sz w:val="22"/>
                <w:szCs w:val="22"/>
              </w:rPr>
              <w:t>Oficio número 203010000/01791/2025, de fecha seis de mayo de dos mil veinticinco, suscrito por el Titular del Órgano de Control y dirigido al solicitante en donde refiere lo siguiente:</w:t>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Me permito informarle que lo solicitado no puede ser atendido, toda vez que referente a las preguntas subjetivas no pueden ser atendidas como un derecho de acceso.”</w:t>
            </w:r>
          </w:p>
          <w:p w:rsidR="00B52FC2" w:rsidRDefault="00B52FC2">
            <w:pPr>
              <w:tabs>
                <w:tab w:val="left" w:pos="567"/>
              </w:tabs>
              <w:spacing w:line="360" w:lineRule="auto"/>
              <w:jc w:val="both"/>
              <w:rPr>
                <w:rFonts w:ascii="Palatino Linotype" w:eastAsia="Palatino Linotype" w:hAnsi="Palatino Linotype" w:cs="Palatino Linotype"/>
                <w:sz w:val="22"/>
                <w:szCs w:val="22"/>
              </w:rPr>
            </w:pPr>
          </w:p>
          <w:p w:rsidR="00B52FC2" w:rsidRDefault="00FB541F">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iii) Oficio sin número de fecha veinticinco de abril de dos mil veinticinco, suscrito por el Director de Sustentabilidad Vial y dirigido a la Directora Jurídica de seguridad y protección en los siguientes términos:</w:t>
            </w: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rPr>
              <w:t>Al respecto le comento que conforme a lo establecido por el bando municipal, derivado del programa “conduce sin alcohol”, a partir del día 15 de marzo del año en curso a la fecha, por lo que esta dirección ha coadyuvado en los operativos únicamente los fines de semana”</w:t>
            </w:r>
          </w:p>
          <w:p w:rsidR="00B52FC2" w:rsidRDefault="00B52FC2">
            <w:pPr>
              <w:pBdr>
                <w:top w:val="nil"/>
                <w:left w:val="nil"/>
                <w:bottom w:val="nil"/>
                <w:right w:val="nil"/>
                <w:between w:val="nil"/>
              </w:pBdr>
              <w:tabs>
                <w:tab w:val="left" w:pos="567"/>
              </w:tabs>
              <w:spacing w:line="360" w:lineRule="auto"/>
              <w:ind w:left="720"/>
              <w:rPr>
                <w:rFonts w:ascii="Palatino Linotype" w:eastAsia="Palatino Linotype" w:hAnsi="Palatino Linotype" w:cs="Palatino Linotype"/>
                <w:i/>
                <w:color w:val="000000"/>
              </w:rPr>
            </w:pPr>
          </w:p>
          <w:p w:rsidR="00B52FC2" w:rsidRDefault="00B52FC2">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i/>
                <w:color w:val="000000"/>
              </w:rPr>
            </w:pPr>
          </w:p>
          <w:p w:rsidR="00B52FC2" w:rsidRDefault="00FB541F">
            <w:pPr>
              <w:pBdr>
                <w:top w:val="nil"/>
                <w:left w:val="nil"/>
                <w:bottom w:val="nil"/>
                <w:right w:val="nil"/>
                <w:between w:val="nil"/>
              </w:pBdr>
              <w:tabs>
                <w:tab w:val="left" w:pos="567"/>
              </w:tabs>
              <w:spacing w:line="360" w:lineRule="auto"/>
              <w:ind w:left="720"/>
              <w:jc w:val="center"/>
              <w:rPr>
                <w:rFonts w:ascii="Palatino Linotype" w:eastAsia="Palatino Linotype" w:hAnsi="Palatino Linotype" w:cs="Palatino Linotype"/>
                <w:i/>
                <w:color w:val="000000"/>
              </w:rPr>
            </w:pPr>
            <w:r>
              <w:rPr>
                <w:rFonts w:ascii="Palatino Linotype" w:eastAsia="Palatino Linotype" w:hAnsi="Palatino Linotype" w:cs="Palatino Linotype"/>
                <w:i/>
                <w:noProof/>
                <w:color w:val="000000"/>
              </w:rPr>
              <w:drawing>
                <wp:inline distT="0" distB="0" distL="0" distR="0">
                  <wp:extent cx="3647269" cy="834016"/>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647269" cy="834016"/>
                          </a:xfrm>
                          <a:prstGeom prst="rect">
                            <a:avLst/>
                          </a:prstGeom>
                          <a:ln/>
                        </pic:spPr>
                      </pic:pic>
                    </a:graphicData>
                  </a:graphic>
                </wp:inline>
              </w:drawing>
            </w:r>
          </w:p>
          <w:p w:rsidR="00B52FC2" w:rsidRDefault="00B52FC2">
            <w:pPr>
              <w:pBdr>
                <w:top w:val="nil"/>
                <w:left w:val="nil"/>
                <w:bottom w:val="nil"/>
                <w:right w:val="nil"/>
                <w:between w:val="nil"/>
              </w:pBdr>
              <w:tabs>
                <w:tab w:val="left" w:pos="567"/>
              </w:tabs>
              <w:spacing w:line="360" w:lineRule="auto"/>
              <w:ind w:left="720"/>
              <w:rPr>
                <w:rFonts w:ascii="Palatino Linotype" w:eastAsia="Palatino Linotype" w:hAnsi="Palatino Linotype" w:cs="Palatino Linotype"/>
                <w:i/>
                <w:color w:val="000000"/>
              </w:rPr>
            </w:pPr>
          </w:p>
          <w:p w:rsidR="00B52FC2" w:rsidRDefault="00FB541F">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iv) Oficio número 200E00000/221/2025, de fecha trece de mayo de dos mil veinticinco, suscrito por la defensora municipal y dirigido al titular de la unidad de transparencia donde refiere lo siguiente:</w:t>
            </w:r>
          </w:p>
          <w:p w:rsidR="00B52FC2" w:rsidRDefault="00B52FC2">
            <w:pPr>
              <w:tabs>
                <w:tab w:val="left" w:pos="567"/>
              </w:tabs>
              <w:spacing w:line="360" w:lineRule="auto"/>
              <w:jc w:val="both"/>
              <w:rPr>
                <w:rFonts w:ascii="Palatino Linotype" w:eastAsia="Palatino Linotype" w:hAnsi="Palatino Linotype" w:cs="Palatino Linotype"/>
                <w:sz w:val="22"/>
                <w:szCs w:val="22"/>
              </w:rPr>
            </w:pP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rPr>
              <w:t xml:space="preserve">En atención después de una búsqueda realizada que se resguardan en esta defensoría del periodo comprendido, 1°de enero al 21 de abril de 2025, se localizó la siguiente información relacionada con la participación de los servidores públicos de esta defensoría en 9  puntos de revisión en el programa “conduce sin alcohol” implementado por la Dirección General de Seguridad y Protección” </w:t>
            </w:r>
          </w:p>
          <w:p w:rsidR="00B52FC2" w:rsidRDefault="00B52FC2">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i/>
                <w:color w:val="000000"/>
              </w:rPr>
            </w:pPr>
          </w:p>
          <w:p w:rsidR="00B52FC2" w:rsidRDefault="00FB541F">
            <w:pPr>
              <w:pBdr>
                <w:top w:val="nil"/>
                <w:left w:val="nil"/>
                <w:bottom w:val="nil"/>
                <w:right w:val="nil"/>
                <w:between w:val="nil"/>
              </w:pBdr>
              <w:tabs>
                <w:tab w:val="left" w:pos="567"/>
              </w:tabs>
              <w:spacing w:line="360" w:lineRule="auto"/>
              <w:ind w:left="720"/>
              <w:jc w:val="center"/>
              <w:rPr>
                <w:rFonts w:ascii="Palatino Linotype" w:eastAsia="Palatino Linotype" w:hAnsi="Palatino Linotype" w:cs="Palatino Linotype"/>
                <w:i/>
                <w:color w:val="000000"/>
              </w:rPr>
            </w:pPr>
            <w:r>
              <w:rPr>
                <w:rFonts w:ascii="Palatino Linotype" w:eastAsia="Palatino Linotype" w:hAnsi="Palatino Linotype" w:cs="Palatino Linotype"/>
                <w:i/>
                <w:noProof/>
                <w:color w:val="000000"/>
              </w:rPr>
              <w:drawing>
                <wp:inline distT="0" distB="0" distL="0" distR="0">
                  <wp:extent cx="3155725" cy="811821"/>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155725" cy="811821"/>
                          </a:xfrm>
                          <a:prstGeom prst="rect">
                            <a:avLst/>
                          </a:prstGeom>
                          <a:ln/>
                        </pic:spPr>
                      </pic:pic>
                    </a:graphicData>
                  </a:graphic>
                </wp:inline>
              </w:drawing>
            </w:r>
          </w:p>
          <w:p w:rsidR="00B52FC2" w:rsidRDefault="00B52FC2">
            <w:pPr>
              <w:pBdr>
                <w:top w:val="nil"/>
                <w:left w:val="nil"/>
                <w:bottom w:val="nil"/>
                <w:right w:val="nil"/>
                <w:between w:val="nil"/>
              </w:pBdr>
              <w:tabs>
                <w:tab w:val="left" w:pos="567"/>
              </w:tabs>
              <w:spacing w:line="360" w:lineRule="auto"/>
              <w:ind w:left="720"/>
              <w:jc w:val="center"/>
              <w:rPr>
                <w:rFonts w:ascii="Palatino Linotype" w:eastAsia="Palatino Linotype" w:hAnsi="Palatino Linotype" w:cs="Palatino Linotype"/>
                <w:i/>
                <w:color w:val="000000"/>
              </w:rPr>
            </w:pPr>
          </w:p>
          <w:p w:rsidR="00B52FC2" w:rsidRDefault="00FB541F">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Por cuanto hace a las actas levantadas, me permito hacer de su conocimiento que después de realizar una búsqueda exhaustiva y minuciosa en las documentales que resguarda este órgano autónomo no se localizó archivo o documento relativo a lo solicitado.</w:t>
            </w:r>
          </w:p>
        </w:tc>
      </w:tr>
    </w:tbl>
    <w:p w:rsidR="00B52FC2" w:rsidRDefault="00B52FC2">
      <w:pPr>
        <w:tabs>
          <w:tab w:val="left" w:pos="4667"/>
        </w:tabs>
        <w:spacing w:line="360" w:lineRule="auto"/>
        <w:jc w:val="both"/>
        <w:rPr>
          <w:rFonts w:ascii="Palatino Linotype" w:eastAsia="Palatino Linotype" w:hAnsi="Palatino Linotype" w:cs="Palatino Linotype"/>
          <w:i/>
        </w:rPr>
      </w:pPr>
    </w:p>
    <w:p w:rsidR="00B52FC2" w:rsidRDefault="00B52FC2">
      <w:pPr>
        <w:tabs>
          <w:tab w:val="left" w:pos="4667"/>
        </w:tabs>
        <w:spacing w:line="360" w:lineRule="auto"/>
        <w:jc w:val="both"/>
        <w:rPr>
          <w:rFonts w:ascii="Palatino Linotype" w:eastAsia="Palatino Linotype" w:hAnsi="Palatino Linotype" w:cs="Palatino Linotype"/>
          <w:sz w:val="22"/>
          <w:szCs w:val="22"/>
        </w:rPr>
      </w:pPr>
    </w:p>
    <w:p w:rsidR="00B52FC2" w:rsidRDefault="00B52FC2">
      <w:pPr>
        <w:tabs>
          <w:tab w:val="left" w:pos="4667"/>
        </w:tabs>
        <w:spacing w:line="360" w:lineRule="auto"/>
        <w:jc w:val="both"/>
        <w:rPr>
          <w:rFonts w:ascii="Palatino Linotype" w:eastAsia="Palatino Linotype" w:hAnsi="Palatino Linotype" w:cs="Palatino Linotype"/>
          <w:sz w:val="22"/>
          <w:szCs w:val="22"/>
        </w:rPr>
      </w:pPr>
    </w:p>
    <w:p w:rsidR="00B52FC2" w:rsidRDefault="00FB541F">
      <w:pPr>
        <w:pStyle w:val="Ttulo2"/>
        <w:spacing w:before="0" w:after="0" w:line="360" w:lineRule="auto"/>
        <w:rPr>
          <w:rFonts w:ascii="Palatino Linotype" w:eastAsia="Palatino Linotype" w:hAnsi="Palatino Linotype" w:cs="Palatino Linotype"/>
          <w:b/>
          <w:color w:val="000000"/>
          <w:sz w:val="22"/>
          <w:szCs w:val="22"/>
        </w:rPr>
      </w:pPr>
      <w:bookmarkStart w:id="9" w:name="_heading=h.mwb7ixtg2p74" w:colFirst="0" w:colLast="0"/>
      <w:bookmarkStart w:id="10" w:name="_Toc212734459"/>
      <w:bookmarkEnd w:id="9"/>
      <w:r>
        <w:rPr>
          <w:rFonts w:ascii="Palatino Linotype" w:eastAsia="Palatino Linotype" w:hAnsi="Palatino Linotype" w:cs="Palatino Linotype"/>
          <w:b/>
          <w:color w:val="000000"/>
          <w:sz w:val="22"/>
          <w:szCs w:val="22"/>
        </w:rPr>
        <w:t>III. Interposición del Recurso de Revisión</w:t>
      </w:r>
      <w:bookmarkEnd w:id="10"/>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tres de junio de dos mil veinticinco, de dos mil veinticinco, se recibió en este Instituto, a través del Sistema de Acceso a la Información Mexiquense (SAIMEX), tres Recursos de Revisión interpuestos por la persona Recurrente, en contra de las respuestas del Sujeto Obligado, en los términos similares de conformidad con lo siguiente:</w:t>
      </w:r>
    </w:p>
    <w:p w:rsidR="00B52FC2" w:rsidRDefault="00B52FC2">
      <w:pPr>
        <w:spacing w:line="360" w:lineRule="auto"/>
        <w:jc w:val="both"/>
        <w:rPr>
          <w:rFonts w:ascii="Palatino Linotype" w:eastAsia="Palatino Linotype" w:hAnsi="Palatino Linotype" w:cs="Palatino Linotype"/>
          <w:b/>
          <w:sz w:val="22"/>
          <w:szCs w:val="22"/>
        </w:rPr>
      </w:pPr>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FOLIO DE LA SOLICITUD</w:t>
      </w:r>
      <w:r>
        <w:rPr>
          <w:rFonts w:ascii="Palatino Linotype" w:eastAsia="Palatino Linotype" w:hAnsi="Palatino Linotype" w:cs="Palatino Linotype"/>
          <w:i/>
        </w:rPr>
        <w:t xml:space="preserve">: </w:t>
      </w:r>
      <w:r>
        <w:rPr>
          <w:b/>
          <w:i/>
        </w:rPr>
        <w:t>02306/TOLUCA/IP/2025</w:t>
      </w:r>
    </w:p>
    <w:p w:rsidR="00B52FC2" w:rsidRDefault="00FB541F">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ACTO IMPUGNADO</w:t>
      </w:r>
    </w:p>
    <w:p w:rsidR="00B52FC2" w:rsidRDefault="00FB541F">
      <w:pPr>
        <w:ind w:firstLine="567"/>
        <w:jc w:val="both"/>
        <w:rPr>
          <w:rFonts w:ascii="Palatino Linotype" w:eastAsia="Palatino Linotype" w:hAnsi="Palatino Linotype" w:cs="Palatino Linotype"/>
          <w:i/>
        </w:rPr>
      </w:pPr>
      <w:r>
        <w:rPr>
          <w:rFonts w:ascii="Palatino Linotype" w:eastAsia="Palatino Linotype" w:hAnsi="Palatino Linotype" w:cs="Palatino Linotype"/>
          <w:i/>
        </w:rPr>
        <w:t xml:space="preserve">“La </w:t>
      </w:r>
      <w:proofErr w:type="spellStart"/>
      <w:r>
        <w:rPr>
          <w:rFonts w:ascii="Palatino Linotype" w:eastAsia="Palatino Linotype" w:hAnsi="Palatino Linotype" w:cs="Palatino Linotype"/>
          <w:i/>
        </w:rPr>
        <w:t>respesuta</w:t>
      </w:r>
      <w:proofErr w:type="spellEnd"/>
      <w:r>
        <w:rPr>
          <w:rFonts w:ascii="Palatino Linotype" w:eastAsia="Palatino Linotype" w:hAnsi="Palatino Linotype" w:cs="Palatino Linotype"/>
          <w:i/>
        </w:rPr>
        <w:t xml:space="preserve"> es incongruente dicen no </w:t>
      </w:r>
      <w:proofErr w:type="spellStart"/>
      <w:r>
        <w:rPr>
          <w:rFonts w:ascii="Palatino Linotype" w:eastAsia="Palatino Linotype" w:hAnsi="Palatino Linotype" w:cs="Palatino Linotype"/>
          <w:i/>
        </w:rPr>
        <w:t>no</w:t>
      </w:r>
      <w:proofErr w:type="spellEnd"/>
      <w:r>
        <w:rPr>
          <w:rFonts w:ascii="Palatino Linotype" w:eastAsia="Palatino Linotype" w:hAnsi="Palatino Linotype" w:cs="Palatino Linotype"/>
          <w:i/>
        </w:rPr>
        <w:t xml:space="preserve"> lo tiene o que son preguntas</w:t>
      </w:r>
      <w:r>
        <w:rPr>
          <w:rFonts w:ascii="Palatino Linotype" w:eastAsia="Palatino Linotype" w:hAnsi="Palatino Linotype" w:cs="Palatino Linotype"/>
          <w:i/>
          <w:color w:val="000000"/>
        </w:rPr>
        <w:t>.</w:t>
      </w:r>
      <w:r>
        <w:rPr>
          <w:rFonts w:ascii="Palatino Linotype" w:eastAsia="Palatino Linotype" w:hAnsi="Palatino Linotype" w:cs="Palatino Linotype"/>
          <w:i/>
        </w:rPr>
        <w:t xml:space="preserve">” </w:t>
      </w:r>
    </w:p>
    <w:p w:rsidR="00B52FC2" w:rsidRDefault="00B52FC2">
      <w:pPr>
        <w:spacing w:line="360" w:lineRule="auto"/>
        <w:ind w:left="567" w:right="567"/>
        <w:jc w:val="both"/>
        <w:rPr>
          <w:rFonts w:ascii="Palatino Linotype" w:eastAsia="Palatino Linotype" w:hAnsi="Palatino Linotype" w:cs="Palatino Linotype"/>
          <w:i/>
        </w:rPr>
      </w:pPr>
    </w:p>
    <w:p w:rsidR="00B52FC2" w:rsidRDefault="00FB541F">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rsidR="00B52FC2" w:rsidRDefault="00FB541F">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“existe expresión documental y se </w:t>
      </w:r>
      <w:proofErr w:type="spellStart"/>
      <w:r>
        <w:rPr>
          <w:rFonts w:ascii="Palatino Linotype" w:eastAsia="Palatino Linotype" w:hAnsi="Palatino Linotype" w:cs="Palatino Linotype"/>
          <w:i/>
          <w:color w:val="000000"/>
        </w:rPr>
        <w:t>solciita</w:t>
      </w:r>
      <w:proofErr w:type="spellEnd"/>
      <w:r>
        <w:rPr>
          <w:rFonts w:ascii="Palatino Linotype" w:eastAsia="Palatino Linotype" w:hAnsi="Palatino Linotype" w:cs="Palatino Linotype"/>
          <w:i/>
          <w:color w:val="000000"/>
        </w:rPr>
        <w:t xml:space="preserve"> se entregue.</w:t>
      </w:r>
      <w:r>
        <w:rPr>
          <w:rFonts w:ascii="Palatino Linotype" w:eastAsia="Palatino Linotype" w:hAnsi="Palatino Linotype" w:cs="Palatino Linotype"/>
          <w:i/>
        </w:rPr>
        <w:t xml:space="preserve">”  </w:t>
      </w:r>
    </w:p>
    <w:p w:rsidR="00B52FC2" w:rsidRDefault="00B52FC2">
      <w:pPr>
        <w:spacing w:line="360" w:lineRule="auto"/>
        <w:ind w:left="567" w:right="567"/>
        <w:jc w:val="both"/>
        <w:rPr>
          <w:rFonts w:ascii="Palatino Linotype" w:eastAsia="Palatino Linotype" w:hAnsi="Palatino Linotype" w:cs="Palatino Linotype"/>
          <w:i/>
        </w:rPr>
      </w:pPr>
    </w:p>
    <w:p w:rsidR="00B52FC2" w:rsidRDefault="00B52FC2">
      <w:pPr>
        <w:spacing w:line="360" w:lineRule="auto"/>
        <w:ind w:right="567"/>
        <w:jc w:val="both"/>
        <w:rPr>
          <w:rFonts w:ascii="Palatino Linotype" w:eastAsia="Palatino Linotype" w:hAnsi="Palatino Linotype" w:cs="Palatino Linotype"/>
          <w:i/>
        </w:rPr>
      </w:pPr>
    </w:p>
    <w:p w:rsidR="00B52FC2" w:rsidRDefault="00FB541F">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FOLIO DE LA SOLICITUD</w:t>
      </w:r>
      <w:r>
        <w:rPr>
          <w:rFonts w:ascii="Palatino Linotype" w:eastAsia="Palatino Linotype" w:hAnsi="Palatino Linotype" w:cs="Palatino Linotype"/>
          <w:i/>
        </w:rPr>
        <w:t>:</w:t>
      </w:r>
      <w:r>
        <w:rPr>
          <w:rFonts w:ascii="Palatino Linotype" w:eastAsia="Palatino Linotype" w:hAnsi="Palatino Linotype" w:cs="Palatino Linotype"/>
          <w:b/>
          <w:i/>
        </w:rPr>
        <w:t xml:space="preserve"> </w:t>
      </w:r>
      <w:r>
        <w:rPr>
          <w:b/>
          <w:i/>
        </w:rPr>
        <w:t>02307/TOLUCA/IP/2025</w:t>
      </w:r>
    </w:p>
    <w:p w:rsidR="00B52FC2" w:rsidRDefault="00FB541F">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ACTO IMPUGNADO</w:t>
      </w:r>
    </w:p>
    <w:p w:rsidR="00B52FC2" w:rsidRDefault="00FB541F">
      <w:pPr>
        <w:pBdr>
          <w:top w:val="nil"/>
          <w:left w:val="nil"/>
          <w:bottom w:val="nil"/>
          <w:right w:val="nil"/>
          <w:between w:val="nil"/>
        </w:pBdr>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respuesta es incongruente unos dicen que </w:t>
      </w:r>
      <w:proofErr w:type="spellStart"/>
      <w:r>
        <w:rPr>
          <w:rFonts w:ascii="Palatino Linotype" w:eastAsia="Palatino Linotype" w:hAnsi="Palatino Linotype" w:cs="Palatino Linotype"/>
          <w:i/>
          <w:color w:val="000000"/>
        </w:rPr>
        <w:t>si</w:t>
      </w:r>
      <w:proofErr w:type="spellEnd"/>
      <w:r>
        <w:rPr>
          <w:rFonts w:ascii="Palatino Linotype" w:eastAsia="Palatino Linotype" w:hAnsi="Palatino Linotype" w:cs="Palatino Linotype"/>
          <w:i/>
          <w:color w:val="000000"/>
        </w:rPr>
        <w:t xml:space="preserve"> y la </w:t>
      </w:r>
      <w:proofErr w:type="spellStart"/>
      <w:r>
        <w:rPr>
          <w:rFonts w:ascii="Palatino Linotype" w:eastAsia="Palatino Linotype" w:hAnsi="Palatino Linotype" w:cs="Palatino Linotype"/>
          <w:i/>
          <w:color w:val="000000"/>
        </w:rPr>
        <w:t>contraloria</w:t>
      </w:r>
      <w:proofErr w:type="spellEnd"/>
      <w:r>
        <w:rPr>
          <w:rFonts w:ascii="Palatino Linotype" w:eastAsia="Palatino Linotype" w:hAnsi="Palatino Linotype" w:cs="Palatino Linotype"/>
          <w:i/>
          <w:color w:val="000000"/>
        </w:rPr>
        <w:t xml:space="preserve"> dice que son preguntas hay evidencia  de los operativos por lo que debe existir la </w:t>
      </w:r>
      <w:proofErr w:type="spellStart"/>
      <w:r>
        <w:rPr>
          <w:rFonts w:ascii="Palatino Linotype" w:eastAsia="Palatino Linotype" w:hAnsi="Palatino Linotype" w:cs="Palatino Linotype"/>
          <w:i/>
          <w:color w:val="000000"/>
        </w:rPr>
        <w:t>expresion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docuemntal</w:t>
      </w:r>
      <w:proofErr w:type="spellEnd"/>
      <w:r>
        <w:rPr>
          <w:rFonts w:ascii="Palatino Linotype" w:eastAsia="Palatino Linotype" w:hAnsi="Palatino Linotype" w:cs="Palatino Linotype"/>
          <w:i/>
          <w:color w:val="000000"/>
        </w:rPr>
        <w:t xml:space="preserve"> no se equivoque” </w:t>
      </w:r>
    </w:p>
    <w:p w:rsidR="00B52FC2" w:rsidRDefault="00B52FC2">
      <w:pPr>
        <w:spacing w:line="360" w:lineRule="auto"/>
        <w:ind w:left="567" w:right="567"/>
        <w:jc w:val="both"/>
        <w:rPr>
          <w:rFonts w:ascii="Palatino Linotype" w:eastAsia="Palatino Linotype" w:hAnsi="Palatino Linotype" w:cs="Palatino Linotype"/>
          <w:i/>
        </w:rPr>
      </w:pPr>
    </w:p>
    <w:p w:rsidR="00B52FC2" w:rsidRDefault="00FB541F">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rsidR="00B52FC2" w:rsidRDefault="00FB541F">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“se </w:t>
      </w:r>
      <w:proofErr w:type="spellStart"/>
      <w:r>
        <w:rPr>
          <w:rFonts w:ascii="Palatino Linotype" w:eastAsia="Palatino Linotype" w:hAnsi="Palatino Linotype" w:cs="Palatino Linotype"/>
          <w:i/>
          <w:color w:val="000000"/>
        </w:rPr>
        <w:t>olciita</w:t>
      </w:r>
      <w:proofErr w:type="spellEnd"/>
      <w:r>
        <w:rPr>
          <w:rFonts w:ascii="Palatino Linotype" w:eastAsia="Palatino Linotype" w:hAnsi="Palatino Linotype" w:cs="Palatino Linotype"/>
          <w:i/>
          <w:color w:val="000000"/>
        </w:rPr>
        <w:t xml:space="preserve"> la expresión </w:t>
      </w:r>
      <w:proofErr w:type="spellStart"/>
      <w:r>
        <w:rPr>
          <w:rFonts w:ascii="Palatino Linotype" w:eastAsia="Palatino Linotype" w:hAnsi="Palatino Linotype" w:cs="Palatino Linotype"/>
          <w:i/>
          <w:color w:val="000000"/>
        </w:rPr>
        <w:t>doceumntal</w:t>
      </w:r>
      <w:proofErr w:type="spellEnd"/>
      <w:r>
        <w:rPr>
          <w:rFonts w:ascii="Palatino Linotype" w:eastAsia="Palatino Linotype" w:hAnsi="Palatino Linotype" w:cs="Palatino Linotype"/>
          <w:i/>
          <w:color w:val="000000"/>
        </w:rPr>
        <w:t xml:space="preserve"> de los operativos.</w:t>
      </w:r>
      <w:r>
        <w:rPr>
          <w:rFonts w:ascii="Palatino Linotype" w:eastAsia="Palatino Linotype" w:hAnsi="Palatino Linotype" w:cs="Palatino Linotype"/>
          <w:i/>
        </w:rPr>
        <w:t xml:space="preserve">”  </w:t>
      </w:r>
    </w:p>
    <w:p w:rsidR="00B52FC2" w:rsidRDefault="00B52FC2">
      <w:pPr>
        <w:spacing w:line="360" w:lineRule="auto"/>
        <w:ind w:left="567" w:right="567"/>
        <w:jc w:val="both"/>
        <w:rPr>
          <w:rFonts w:ascii="Palatino Linotype" w:eastAsia="Palatino Linotype" w:hAnsi="Palatino Linotype" w:cs="Palatino Linotype"/>
          <w:i/>
        </w:rPr>
      </w:pPr>
    </w:p>
    <w:p w:rsidR="00B52FC2" w:rsidRDefault="00B52FC2">
      <w:pPr>
        <w:spacing w:line="360" w:lineRule="auto"/>
        <w:ind w:left="567" w:right="567"/>
        <w:jc w:val="both"/>
        <w:rPr>
          <w:rFonts w:ascii="Palatino Linotype" w:eastAsia="Palatino Linotype" w:hAnsi="Palatino Linotype" w:cs="Palatino Linotype"/>
          <w:i/>
        </w:rPr>
      </w:pPr>
    </w:p>
    <w:p w:rsidR="00B52FC2" w:rsidRDefault="00FB541F">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FOLIO DE LA SOLICITUD</w:t>
      </w:r>
      <w:r>
        <w:rPr>
          <w:rFonts w:ascii="Palatino Linotype" w:eastAsia="Palatino Linotype" w:hAnsi="Palatino Linotype" w:cs="Palatino Linotype"/>
          <w:i/>
        </w:rPr>
        <w:t>:</w:t>
      </w:r>
      <w:r>
        <w:rPr>
          <w:rFonts w:ascii="Palatino Linotype" w:eastAsia="Palatino Linotype" w:hAnsi="Palatino Linotype" w:cs="Palatino Linotype"/>
          <w:b/>
          <w:i/>
        </w:rPr>
        <w:t xml:space="preserve"> </w:t>
      </w:r>
      <w:r>
        <w:rPr>
          <w:b/>
          <w:i/>
        </w:rPr>
        <w:t>02308/TOLUCA/IP/2025</w:t>
      </w:r>
    </w:p>
    <w:p w:rsidR="00B52FC2" w:rsidRDefault="00FB541F">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ACTO IMPUGNADO</w:t>
      </w:r>
    </w:p>
    <w:p w:rsidR="00B52FC2" w:rsidRDefault="00FB541F">
      <w:pPr>
        <w:ind w:firstLine="567"/>
        <w:jc w:val="both"/>
        <w:rPr>
          <w:rFonts w:ascii="Palatino Linotype" w:eastAsia="Palatino Linotype" w:hAnsi="Palatino Linotype" w:cs="Palatino Linotype"/>
          <w:i/>
        </w:rPr>
      </w:pPr>
      <w:r>
        <w:rPr>
          <w:rFonts w:ascii="Palatino Linotype" w:eastAsia="Palatino Linotype" w:hAnsi="Palatino Linotype" w:cs="Palatino Linotype"/>
          <w:i/>
        </w:rPr>
        <w:t xml:space="preserve">“La </w:t>
      </w:r>
      <w:proofErr w:type="spellStart"/>
      <w:r>
        <w:rPr>
          <w:rFonts w:ascii="Palatino Linotype" w:eastAsia="Palatino Linotype" w:hAnsi="Palatino Linotype" w:cs="Palatino Linotype"/>
          <w:i/>
        </w:rPr>
        <w:t>respeusta</w:t>
      </w:r>
      <w:proofErr w:type="spellEnd"/>
      <w:r>
        <w:rPr>
          <w:rFonts w:ascii="Palatino Linotype" w:eastAsia="Palatino Linotype" w:hAnsi="Palatino Linotype" w:cs="Palatino Linotype"/>
          <w:i/>
        </w:rPr>
        <w:t xml:space="preserve"> es incongruente no son preguntas existe </w:t>
      </w:r>
      <w:proofErr w:type="spellStart"/>
      <w:r>
        <w:rPr>
          <w:rFonts w:ascii="Palatino Linotype" w:eastAsia="Palatino Linotype" w:hAnsi="Palatino Linotype" w:cs="Palatino Linotype"/>
          <w:i/>
        </w:rPr>
        <w:t>expresion</w:t>
      </w:r>
      <w:proofErr w:type="spellEnd"/>
      <w:r>
        <w:rPr>
          <w:rFonts w:ascii="Palatino Linotype" w:eastAsia="Palatino Linotype" w:hAnsi="Palatino Linotype" w:cs="Palatino Linotype"/>
          <w:i/>
        </w:rPr>
        <w:t xml:space="preserve"> documental</w:t>
      </w:r>
      <w:r>
        <w:rPr>
          <w:rFonts w:ascii="Palatino Linotype" w:eastAsia="Palatino Linotype" w:hAnsi="Palatino Linotype" w:cs="Palatino Linotype"/>
          <w:i/>
          <w:color w:val="000000"/>
        </w:rPr>
        <w:t>.</w:t>
      </w:r>
      <w:r>
        <w:rPr>
          <w:rFonts w:ascii="Palatino Linotype" w:eastAsia="Palatino Linotype" w:hAnsi="Palatino Linotype" w:cs="Palatino Linotype"/>
          <w:i/>
        </w:rPr>
        <w:t xml:space="preserve">” </w:t>
      </w:r>
    </w:p>
    <w:p w:rsidR="00B52FC2" w:rsidRDefault="00B52FC2">
      <w:pPr>
        <w:spacing w:line="360" w:lineRule="auto"/>
        <w:ind w:left="567" w:right="567"/>
        <w:jc w:val="both"/>
        <w:rPr>
          <w:rFonts w:ascii="Palatino Linotype" w:eastAsia="Palatino Linotype" w:hAnsi="Palatino Linotype" w:cs="Palatino Linotype"/>
          <w:i/>
        </w:rPr>
      </w:pPr>
    </w:p>
    <w:p w:rsidR="00B52FC2" w:rsidRDefault="00B52FC2">
      <w:pPr>
        <w:spacing w:line="360" w:lineRule="auto"/>
        <w:ind w:left="567" w:right="567"/>
        <w:jc w:val="both"/>
        <w:rPr>
          <w:rFonts w:ascii="Palatino Linotype" w:eastAsia="Palatino Linotype" w:hAnsi="Palatino Linotype" w:cs="Palatino Linotype"/>
          <w:i/>
        </w:rPr>
      </w:pPr>
    </w:p>
    <w:p w:rsidR="00B52FC2" w:rsidRDefault="00FB541F">
      <w:pPr>
        <w:spacing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RAZONES O MOTIVOS DE LA INCONFORMIDAD</w:t>
      </w:r>
    </w:p>
    <w:p w:rsidR="00B52FC2" w:rsidRDefault="00FB541F">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“se </w:t>
      </w:r>
      <w:proofErr w:type="spellStart"/>
      <w:r>
        <w:rPr>
          <w:rFonts w:ascii="Palatino Linotype" w:eastAsia="Palatino Linotype" w:hAnsi="Palatino Linotype" w:cs="Palatino Linotype"/>
          <w:i/>
          <w:color w:val="000000"/>
        </w:rPr>
        <w:t>solciita</w:t>
      </w:r>
      <w:proofErr w:type="spellEnd"/>
      <w:r>
        <w:rPr>
          <w:rFonts w:ascii="Palatino Linotype" w:eastAsia="Palatino Linotype" w:hAnsi="Palatino Linotype" w:cs="Palatino Linotype"/>
          <w:i/>
          <w:color w:val="000000"/>
        </w:rPr>
        <w:t xml:space="preserve"> se entregue la expresión documental.</w:t>
      </w:r>
      <w:r>
        <w:rPr>
          <w:rFonts w:ascii="Palatino Linotype" w:eastAsia="Palatino Linotype" w:hAnsi="Palatino Linotype" w:cs="Palatino Linotype"/>
          <w:i/>
        </w:rPr>
        <w:t xml:space="preserve">”  </w:t>
      </w:r>
    </w:p>
    <w:p w:rsidR="00B52FC2" w:rsidRDefault="00B52FC2">
      <w:pPr>
        <w:spacing w:line="360" w:lineRule="auto"/>
        <w:ind w:left="567" w:right="567"/>
        <w:jc w:val="both"/>
        <w:rPr>
          <w:rFonts w:ascii="Palatino Linotype" w:eastAsia="Palatino Linotype" w:hAnsi="Palatino Linotype" w:cs="Palatino Linotype"/>
          <w:i/>
        </w:rPr>
      </w:pPr>
    </w:p>
    <w:p w:rsidR="00B52FC2" w:rsidRDefault="00B52FC2">
      <w:pPr>
        <w:spacing w:line="360" w:lineRule="auto"/>
        <w:ind w:right="567"/>
        <w:jc w:val="both"/>
        <w:rPr>
          <w:rFonts w:ascii="Palatino Linotype" w:eastAsia="Palatino Linotype" w:hAnsi="Palatino Linotype" w:cs="Palatino Linotype"/>
          <w:i/>
        </w:rPr>
      </w:pPr>
    </w:p>
    <w:p w:rsidR="00B52FC2" w:rsidRDefault="00FB541F">
      <w:pPr>
        <w:pStyle w:val="Ttulo2"/>
        <w:spacing w:before="0" w:after="0" w:line="360" w:lineRule="auto"/>
        <w:rPr>
          <w:rFonts w:ascii="Palatino Linotype" w:eastAsia="Palatino Linotype" w:hAnsi="Palatino Linotype" w:cs="Palatino Linotype"/>
          <w:b/>
          <w:color w:val="000000"/>
          <w:sz w:val="22"/>
          <w:szCs w:val="22"/>
        </w:rPr>
      </w:pPr>
      <w:bookmarkStart w:id="11" w:name="_heading=h.nih0in6b3c4" w:colFirst="0" w:colLast="0"/>
      <w:bookmarkStart w:id="12" w:name="_Toc212734460"/>
      <w:bookmarkEnd w:id="11"/>
      <w:r>
        <w:rPr>
          <w:rFonts w:ascii="Palatino Linotype" w:eastAsia="Palatino Linotype" w:hAnsi="Palatino Linotype" w:cs="Palatino Linotype"/>
          <w:b/>
          <w:color w:val="000000"/>
          <w:sz w:val="22"/>
          <w:szCs w:val="22"/>
        </w:rPr>
        <w:t>IV. Trámite del Recurso de Revisión ante este Instituto</w:t>
      </w:r>
      <w:bookmarkEnd w:id="12"/>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a) Turno del Recurso de Revisión. </w:t>
      </w:r>
      <w:r>
        <w:rPr>
          <w:rFonts w:ascii="Palatino Linotype" w:eastAsia="Palatino Linotype" w:hAnsi="Palatino Linotype" w:cs="Palatino Linotype"/>
          <w:sz w:val="22"/>
          <w:szCs w:val="22"/>
        </w:rPr>
        <w:t>El tres de junio de dos mil veinticinco, el Sistema de Acceso a la Información Mexiquense (SAIMEX), asignó los números de expedientes 06521/INFOEM/IP/RR/2025, 06523/INFOEM/IP/RR/2025, y 06524/INFOEM/IP/RR/2025, a los Medios de Impugnación que nos ocupan, con base en el sistema aprobado por el Pleno de este Organismo Garante y los turnó al Comisionado, Luis Gustavo Parra Noriega, para los efectos del artículo 185, fracción I de la Ley de Transparencia y Acceso a la Información Pública del Estado de México y Municipios.</w:t>
      </w:r>
    </w:p>
    <w:p w:rsidR="00B52FC2" w:rsidRDefault="00B52FC2">
      <w:pPr>
        <w:spacing w:line="360" w:lineRule="auto"/>
        <w:jc w:val="both"/>
        <w:rPr>
          <w:rFonts w:ascii="Palatino Linotype" w:eastAsia="Palatino Linotype" w:hAnsi="Palatino Linotype" w:cs="Palatino Linotype"/>
          <w:b/>
          <w:sz w:val="22"/>
          <w:szCs w:val="22"/>
        </w:rPr>
      </w:pPr>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b) Admisión del Recurso de Revisión. </w:t>
      </w:r>
      <w:r>
        <w:rPr>
          <w:rFonts w:ascii="Palatino Linotype" w:eastAsia="Palatino Linotype" w:hAnsi="Palatino Linotype" w:cs="Palatino Linotype"/>
          <w:sz w:val="22"/>
          <w:szCs w:val="22"/>
        </w:rPr>
        <w:t>El cuatro, seis y nueve de junio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 Informe Justificado. </w:t>
      </w:r>
      <w:r>
        <w:rPr>
          <w:rFonts w:ascii="Palatino Linotype" w:eastAsia="Palatino Linotype" w:hAnsi="Palatino Linotype" w:cs="Palatino Linotype"/>
          <w:sz w:val="22"/>
          <w:szCs w:val="22"/>
        </w:rPr>
        <w:t>El trece y diecisiete de junio todos de dos mil veinticinco, se recibió, a través del SAIMEX, el informe justificado</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por medio del cual ratifica medularmente su respuesta inicial.</w:t>
      </w:r>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d) Vista del informe justificado. </w:t>
      </w:r>
      <w:r>
        <w:rPr>
          <w:rFonts w:ascii="Palatino Linotype" w:eastAsia="Palatino Linotype" w:hAnsi="Palatino Linotype" w:cs="Palatino Linotype"/>
          <w:sz w:val="22"/>
          <w:szCs w:val="22"/>
        </w:rPr>
        <w:t xml:space="preserve">El veintiuno de octubre de dos mil veinticinco, se dictó acuerdo mediante el cual se puso a la vista del Particular de forma parcial, el Informe Justificado entregados por el Sujeto Obligado, el cual fue notificado, a través del SAIMEX, el mismo día. </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e) Acumulación de los asuntos. </w:t>
      </w:r>
      <w:r>
        <w:rPr>
          <w:rFonts w:ascii="Palatino Linotype" w:eastAsia="Palatino Linotype" w:hAnsi="Palatino Linotype" w:cs="Palatino Linotype"/>
          <w:sz w:val="22"/>
          <w:szCs w:val="22"/>
        </w:rPr>
        <w:t xml:space="preserve">El dieciocho de junio de dos mil veinticinco, el Pleno del Instituto de Transparencia, Acceso a la Información Pública y Protección de Datos Personales del Estado de México y Municipios, durante la Vigésima Segunda Sesión Ordinaria,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decretó la acumulación de los Recursos de Revisión </w:t>
      </w:r>
      <w:r>
        <w:rPr>
          <w:rFonts w:ascii="Palatino Linotype" w:eastAsia="Palatino Linotype" w:hAnsi="Palatino Linotype" w:cs="Palatino Linotype"/>
          <w:b/>
          <w:sz w:val="22"/>
          <w:szCs w:val="22"/>
        </w:rPr>
        <w:t>06523/INFOEM/IP/RR/2025, y 06524/INFOEM/IP/RR/2025</w:t>
      </w:r>
      <w:r>
        <w:rPr>
          <w:rFonts w:ascii="Palatino Linotype" w:eastAsia="Palatino Linotype" w:hAnsi="Palatino Linotype" w:cs="Palatino Linotype"/>
          <w:sz w:val="22"/>
          <w:szCs w:val="22"/>
        </w:rPr>
        <w:t xml:space="preserve">, al diverso </w:t>
      </w:r>
      <w:r>
        <w:rPr>
          <w:rFonts w:ascii="Palatino Linotype" w:eastAsia="Palatino Linotype" w:hAnsi="Palatino Linotype" w:cs="Palatino Linotype"/>
          <w:b/>
          <w:sz w:val="22"/>
          <w:szCs w:val="22"/>
        </w:rPr>
        <w:t>06521/INFOEM/IP/RR/2025,</w:t>
      </w:r>
      <w:r>
        <w:rPr>
          <w:rFonts w:ascii="Palatino Linotype" w:eastAsia="Palatino Linotype" w:hAnsi="Palatino Linotype" w:cs="Palatino Linotype"/>
          <w:sz w:val="22"/>
          <w:szCs w:val="22"/>
        </w:rPr>
        <w:t xml:space="preserve"> por ser este último el más antiguo, sustanciado bajo el índice de esta Ponencia.</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b/>
          <w:sz w:val="22"/>
          <w:szCs w:val="22"/>
        </w:rPr>
      </w:pPr>
      <w:bookmarkStart w:id="13" w:name="_heading=h.pbkzu1b4xeh8" w:colFirst="0" w:colLast="0"/>
      <w:bookmarkEnd w:id="13"/>
      <w:r>
        <w:rPr>
          <w:rFonts w:ascii="Palatino Linotype" w:eastAsia="Palatino Linotype" w:hAnsi="Palatino Linotype" w:cs="Palatino Linotype"/>
          <w:b/>
          <w:sz w:val="22"/>
          <w:szCs w:val="22"/>
        </w:rPr>
        <w:t xml:space="preserve">f) Ampliación de plazo para resolver. </w:t>
      </w:r>
      <w:r>
        <w:rPr>
          <w:rFonts w:ascii="Palatino Linotype" w:eastAsia="Palatino Linotype" w:hAnsi="Palatino Linotype" w:cs="Palatino Linotype"/>
          <w:sz w:val="22"/>
          <w:szCs w:val="22"/>
        </w:rPr>
        <w:t>El veintiuno de octubre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g) Cierre de instrucción.</w:t>
      </w:r>
      <w:r>
        <w:rPr>
          <w:rFonts w:ascii="Palatino Linotype" w:eastAsia="Palatino Linotype" w:hAnsi="Palatino Linotype" w:cs="Palatino Linotype"/>
          <w:sz w:val="22"/>
          <w:szCs w:val="22"/>
        </w:rPr>
        <w:t xml:space="preserve"> El treinta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catorce de dicho mes y año.</w:t>
      </w:r>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razón de que fue debidamente sustanciado el expediente electrónico y no existe diligencia pendiente de desahogo, se emite la resolución que conforme a Derecho proceda, de acuerdo a los siguientes: </w:t>
      </w:r>
    </w:p>
    <w:p w:rsidR="00B52FC2" w:rsidRDefault="00B52FC2">
      <w:pPr>
        <w:pStyle w:val="Ttulo1"/>
        <w:spacing w:before="0" w:after="0" w:line="360" w:lineRule="auto"/>
        <w:jc w:val="center"/>
        <w:rPr>
          <w:rFonts w:ascii="Palatino Linotype" w:eastAsia="Palatino Linotype" w:hAnsi="Palatino Linotype" w:cs="Palatino Linotype"/>
          <w:b/>
          <w:color w:val="000000"/>
          <w:sz w:val="14"/>
          <w:szCs w:val="14"/>
        </w:rPr>
      </w:pPr>
    </w:p>
    <w:p w:rsidR="00B52FC2" w:rsidRDefault="00B52FC2"/>
    <w:p w:rsidR="00B52FC2" w:rsidRDefault="00FB541F">
      <w:pPr>
        <w:pStyle w:val="Ttulo1"/>
        <w:spacing w:before="0" w:after="0" w:line="360" w:lineRule="auto"/>
        <w:jc w:val="center"/>
        <w:rPr>
          <w:rFonts w:ascii="Palatino Linotype" w:eastAsia="Palatino Linotype" w:hAnsi="Palatino Linotype" w:cs="Palatino Linotype"/>
          <w:b/>
          <w:color w:val="000000"/>
          <w:sz w:val="22"/>
          <w:szCs w:val="22"/>
        </w:rPr>
      </w:pPr>
      <w:bookmarkStart w:id="14" w:name="_heading=h.242pxvxxtidf" w:colFirst="0" w:colLast="0"/>
      <w:bookmarkStart w:id="15" w:name="_Toc212734461"/>
      <w:bookmarkEnd w:id="14"/>
      <w:r>
        <w:rPr>
          <w:rFonts w:ascii="Palatino Linotype" w:eastAsia="Palatino Linotype" w:hAnsi="Palatino Linotype" w:cs="Palatino Linotype"/>
          <w:b/>
          <w:color w:val="000000"/>
          <w:sz w:val="22"/>
          <w:szCs w:val="22"/>
        </w:rPr>
        <w:t>C O N S I D E R A N D O S</w:t>
      </w:r>
      <w:bookmarkEnd w:id="15"/>
    </w:p>
    <w:p w:rsidR="00B52FC2" w:rsidRDefault="00B52FC2">
      <w:pPr>
        <w:spacing w:line="360" w:lineRule="auto"/>
      </w:pPr>
    </w:p>
    <w:p w:rsidR="00437DC3" w:rsidRDefault="00FB541F" w:rsidP="00437DC3">
      <w:pPr>
        <w:pStyle w:val="Ttulo2"/>
        <w:spacing w:before="0" w:after="0" w:line="360" w:lineRule="auto"/>
        <w:rPr>
          <w:rFonts w:ascii="Palatino Linotype" w:eastAsia="Palatino Linotype" w:hAnsi="Palatino Linotype" w:cs="Palatino Linotype"/>
          <w:b/>
          <w:color w:val="000000"/>
          <w:sz w:val="22"/>
          <w:szCs w:val="22"/>
        </w:rPr>
      </w:pPr>
      <w:bookmarkStart w:id="16" w:name="_heading=h.agrxbs69eb1h" w:colFirst="0" w:colLast="0"/>
      <w:bookmarkStart w:id="17" w:name="_Toc212734462"/>
      <w:bookmarkEnd w:id="16"/>
      <w:r>
        <w:rPr>
          <w:rFonts w:ascii="Palatino Linotype" w:eastAsia="Palatino Linotype" w:hAnsi="Palatino Linotype" w:cs="Palatino Linotype"/>
          <w:b/>
          <w:color w:val="000000"/>
          <w:sz w:val="22"/>
          <w:szCs w:val="22"/>
        </w:rPr>
        <w:t>PRIMERO. Competencia</w:t>
      </w:r>
      <w:bookmarkEnd w:id="17"/>
    </w:p>
    <w:p w:rsidR="00437DC3" w:rsidRPr="00437DC3" w:rsidRDefault="00437DC3" w:rsidP="00437DC3"/>
    <w:p w:rsidR="00437DC3" w:rsidRPr="00437DC3" w:rsidRDefault="00437DC3" w:rsidP="00437DC3">
      <w:pPr>
        <w:spacing w:line="360" w:lineRule="auto"/>
        <w:contextualSpacing/>
        <w:jc w:val="both"/>
        <w:rPr>
          <w:rFonts w:ascii="Palatino Linotype" w:hAnsi="Palatino Linotype" w:cs="Tahoma"/>
          <w:color w:val="000000"/>
          <w:sz w:val="22"/>
          <w:szCs w:val="22"/>
          <w:lang w:eastAsia="es-ES"/>
        </w:rPr>
      </w:pPr>
      <w:r w:rsidRPr="00437DC3">
        <w:rPr>
          <w:rFonts w:ascii="Palatino Linotype" w:hAnsi="Palatino Linotype" w:cs="Tahoma"/>
          <w:color w:val="000000"/>
          <w:sz w:val="22"/>
          <w:szCs w:val="22"/>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pStyle w:val="Ttulo2"/>
        <w:spacing w:before="0" w:after="0" w:line="360" w:lineRule="auto"/>
        <w:rPr>
          <w:rFonts w:ascii="Palatino Linotype" w:eastAsia="Palatino Linotype" w:hAnsi="Palatino Linotype" w:cs="Palatino Linotype"/>
          <w:b/>
          <w:color w:val="000000"/>
          <w:sz w:val="22"/>
          <w:szCs w:val="22"/>
        </w:rPr>
      </w:pPr>
      <w:bookmarkStart w:id="18" w:name="_heading=h.qcev0w2704xf" w:colFirst="0" w:colLast="0"/>
      <w:bookmarkStart w:id="19" w:name="_Toc212734463"/>
      <w:bookmarkEnd w:id="18"/>
      <w:r>
        <w:rPr>
          <w:rFonts w:ascii="Palatino Linotype" w:eastAsia="Palatino Linotype" w:hAnsi="Palatino Linotype" w:cs="Palatino Linotype"/>
          <w:b/>
          <w:color w:val="000000"/>
          <w:sz w:val="22"/>
          <w:szCs w:val="22"/>
        </w:rPr>
        <w:t>SEGUNDO. Causales de improcedencia y sobreseimiento</w:t>
      </w:r>
      <w:bookmarkEnd w:id="19"/>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B52FC2" w:rsidRDefault="00B52FC2">
      <w:pPr>
        <w:spacing w:line="360" w:lineRule="auto"/>
        <w:jc w:val="both"/>
        <w:rPr>
          <w:rFonts w:ascii="Palatino Linotype" w:eastAsia="Palatino Linotype" w:hAnsi="Palatino Linotype" w:cs="Palatino Linotype"/>
          <w:b/>
          <w:color w:val="000000"/>
          <w:sz w:val="22"/>
          <w:szCs w:val="22"/>
        </w:rPr>
      </w:pPr>
    </w:p>
    <w:p w:rsidR="00B52FC2" w:rsidRDefault="00FB541F">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Causales de improcedencia</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I y VI de la Ley de Transparencia y Acceso a la Información Pública del Estado de México y Municipios, referente a la negativa de información y la entrega que no corresponde con lo solicitado.</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Causales de sobreseimiento</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ser de previo y especial pronunciamiento, este Instituto analiza si se actualiza alguna causal de sobreseimiento.</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B52FC2" w:rsidRDefault="00B52FC2">
      <w:pPr>
        <w:spacing w:line="360" w:lineRule="auto"/>
        <w:jc w:val="both"/>
        <w:rPr>
          <w:rFonts w:ascii="Palatino Linotype" w:eastAsia="Palatino Linotype" w:hAnsi="Palatino Linotype" w:cs="Palatino Linotype"/>
          <w:sz w:val="22"/>
          <w:szCs w:val="22"/>
        </w:rPr>
      </w:pP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B52FC2" w:rsidRDefault="00B52FC2">
      <w:pPr>
        <w:tabs>
          <w:tab w:val="left" w:pos="4962"/>
        </w:tabs>
        <w:spacing w:line="360" w:lineRule="auto"/>
        <w:jc w:val="both"/>
        <w:rPr>
          <w:rFonts w:ascii="Palatino Linotype" w:eastAsia="Palatino Linotype" w:hAnsi="Palatino Linotype" w:cs="Palatino Linotype"/>
          <w:sz w:val="22"/>
          <w:szCs w:val="22"/>
        </w:rPr>
      </w:pPr>
    </w:p>
    <w:p w:rsidR="00B52FC2" w:rsidRDefault="00FB541F">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TERCERO. Determinación de la Controversia</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Una vez realizado el estudio de las constancias que integran el expediente en que se actúa, se desprende que el Particular requirió de los Operativos de Alcoholímetros realizados de dos mil veintitrés a dos mil veinticinco por el Ayuntamiento de Toluca lo siguiente:</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Cuantos operativos se han realizado por mes.</w:t>
      </w:r>
    </w:p>
    <w:p w:rsidR="00B52FC2" w:rsidRDefault="00FB541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Cuantos fueron hombres y mujeres.</w:t>
      </w:r>
    </w:p>
    <w:p w:rsidR="00B52FC2" w:rsidRDefault="00FB541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Cuantos fueron positivos.</w:t>
      </w:r>
    </w:p>
    <w:p w:rsidR="00B52FC2" w:rsidRDefault="00FB541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Actas qué levanta la Contraloría, Derechos Humanos y los Jueces Cívicos.</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lastRenderedPageBreak/>
        <w:t xml:space="preserve">En respuesta, la Contraloría manifestó que derivado de las preguntas subjetivas estas no representan un derecho de acceso por lo que se ven imposibilitados de proporcionar dicha información, mientras que la Dirección de Sustentabilidad Vial, proporcionó diversas relaciones de operativos derivados del </w:t>
      </w:r>
      <w:proofErr w:type="spellStart"/>
      <w:r>
        <w:rPr>
          <w:rFonts w:ascii="Palatino Linotype" w:eastAsia="Palatino Linotype" w:hAnsi="Palatino Linotype" w:cs="Palatino Linotype"/>
          <w:color w:val="000000"/>
          <w:sz w:val="22"/>
          <w:szCs w:val="22"/>
        </w:rPr>
        <w:t>alcoholimetro</w:t>
      </w:r>
      <w:proofErr w:type="spellEnd"/>
      <w:r>
        <w:rPr>
          <w:rFonts w:ascii="Palatino Linotype" w:eastAsia="Palatino Linotype" w:hAnsi="Palatino Linotype" w:cs="Palatino Linotype"/>
          <w:color w:val="000000"/>
          <w:sz w:val="22"/>
          <w:szCs w:val="22"/>
        </w:rPr>
        <w:t xml:space="preserve"> por mes, casos positivos, totales y si fueron hombres o mujeres correspondientes a dos mil veintitrés, veinticuatro y veinticinco, así mismo, la Defensoría Municipal y los Jueces Cívicos precisaron que no había localizado información correspondientes a las actas, solamente para el caso de dos mil veinticinco fue donde remitieron una lista de casos como anteriormente se refirió; ante dicha circunstancia, el Particular se inconformó </w:t>
      </w:r>
      <w:r>
        <w:rPr>
          <w:rFonts w:ascii="Palatino Linotype" w:eastAsia="Palatino Linotype" w:hAnsi="Palatino Linotype" w:cs="Palatino Linotype"/>
          <w:sz w:val="22"/>
          <w:szCs w:val="22"/>
        </w:rPr>
        <w:t>referente a la negativa de información y la entrega que no corresponde con lo solicitado</w:t>
      </w:r>
      <w:r>
        <w:rPr>
          <w:rFonts w:ascii="Palatino Linotype" w:eastAsia="Palatino Linotype" w:hAnsi="Palatino Linotype" w:cs="Palatino Linotype"/>
          <w:color w:val="000000"/>
          <w:sz w:val="22"/>
          <w:szCs w:val="22"/>
        </w:rPr>
        <w:t xml:space="preserve">, lo cual actualiza las causales de procedencia previstas en las fracciones I y VI, del artículo 179 de la Ley de Transparencia y Acceso a la Información Pública del Estado de México y Municipios. Así las cosas, una </w:t>
      </w:r>
      <w:proofErr w:type="spellStart"/>
      <w:r>
        <w:rPr>
          <w:rFonts w:ascii="Palatino Linotype" w:eastAsia="Palatino Linotype" w:hAnsi="Palatino Linotype" w:cs="Palatino Linotype"/>
          <w:color w:val="000000"/>
          <w:sz w:val="22"/>
          <w:szCs w:val="22"/>
        </w:rPr>
        <w:t>ves</w:t>
      </w:r>
      <w:proofErr w:type="spellEnd"/>
      <w:r>
        <w:rPr>
          <w:rFonts w:ascii="Palatino Linotype" w:eastAsia="Palatino Linotype" w:hAnsi="Palatino Linotype" w:cs="Palatino Linotype"/>
          <w:color w:val="000000"/>
          <w:sz w:val="22"/>
          <w:szCs w:val="22"/>
        </w:rPr>
        <w:t xml:space="preserve"> admitido y notificado a las partes </w:t>
      </w:r>
      <w:proofErr w:type="gramStart"/>
      <w:r>
        <w:rPr>
          <w:rFonts w:ascii="Palatino Linotype" w:eastAsia="Palatino Linotype" w:hAnsi="Palatino Linotype" w:cs="Palatino Linotype"/>
          <w:color w:val="000000"/>
          <w:sz w:val="22"/>
          <w:szCs w:val="22"/>
        </w:rPr>
        <w:t>los</w:t>
      </w:r>
      <w:proofErr w:type="gramEnd"/>
      <w:r>
        <w:rPr>
          <w:rFonts w:ascii="Palatino Linotype" w:eastAsia="Palatino Linotype" w:hAnsi="Palatino Linotype" w:cs="Palatino Linotype"/>
          <w:color w:val="000000"/>
          <w:sz w:val="22"/>
          <w:szCs w:val="22"/>
        </w:rPr>
        <w:t xml:space="preserve"> Medio de Impugnación, el Sujeto Obligado ratificó la respuesta inicial.</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proporcionada,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r>
        <w:rPr>
          <w:rFonts w:ascii="Palatino Linotype" w:eastAsia="Palatino Linotype" w:hAnsi="Palatino Linotype" w:cs="Palatino Linotype"/>
          <w:b/>
          <w:sz w:val="22"/>
          <w:szCs w:val="22"/>
        </w:rPr>
        <w:t xml:space="preserve"> </w:t>
      </w:r>
    </w:p>
    <w:p w:rsidR="00B52FC2" w:rsidRDefault="00B52FC2">
      <w:pPr>
        <w:tabs>
          <w:tab w:val="left" w:pos="4962"/>
        </w:tabs>
        <w:spacing w:line="360" w:lineRule="auto"/>
        <w:jc w:val="both"/>
        <w:rPr>
          <w:rFonts w:ascii="Palatino Linotype" w:eastAsia="Palatino Linotype" w:hAnsi="Palatino Linotype" w:cs="Palatino Linotype"/>
          <w:sz w:val="22"/>
          <w:szCs w:val="22"/>
        </w:rPr>
      </w:pPr>
    </w:p>
    <w:p w:rsidR="00B52FC2" w:rsidRDefault="00FB541F">
      <w:pPr>
        <w:pStyle w:val="Ttulo2"/>
        <w:spacing w:before="0" w:after="0" w:line="360" w:lineRule="auto"/>
        <w:jc w:val="both"/>
        <w:rPr>
          <w:rFonts w:ascii="Palatino Linotype" w:eastAsia="Palatino Linotype" w:hAnsi="Palatino Linotype" w:cs="Palatino Linotype"/>
          <w:b/>
          <w:color w:val="000000"/>
          <w:sz w:val="22"/>
          <w:szCs w:val="22"/>
        </w:rPr>
      </w:pPr>
      <w:bookmarkStart w:id="20" w:name="_heading=h.henjo7vbcmso" w:colFirst="0" w:colLast="0"/>
      <w:bookmarkStart w:id="21" w:name="_Toc212734464"/>
      <w:bookmarkEnd w:id="20"/>
      <w:r>
        <w:rPr>
          <w:rFonts w:ascii="Palatino Linotype" w:eastAsia="Palatino Linotype" w:hAnsi="Palatino Linotype" w:cs="Palatino Linotype"/>
          <w:b/>
          <w:color w:val="000000"/>
          <w:sz w:val="22"/>
          <w:szCs w:val="22"/>
        </w:rPr>
        <w:t>CUARTO. Marco normativo aplicable en materia de transparencia y acceso a la información pública</w:t>
      </w:r>
      <w:bookmarkEnd w:id="21"/>
    </w:p>
    <w:p w:rsidR="00B52FC2" w:rsidRDefault="00B52FC2">
      <w:pPr>
        <w:widowControl w:val="0"/>
        <w:spacing w:line="360" w:lineRule="auto"/>
        <w:jc w:val="both"/>
        <w:rPr>
          <w:rFonts w:ascii="Palatino Linotype" w:eastAsia="Palatino Linotype" w:hAnsi="Palatino Linotype" w:cs="Palatino Linotype"/>
          <w:sz w:val="22"/>
          <w:szCs w:val="22"/>
        </w:rPr>
      </w:pPr>
    </w:p>
    <w:p w:rsidR="00B52FC2" w:rsidRDefault="00FB541F">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6°, Apartado A), fracción I, de la Constitución Política de los Estados Unidos Mexicanos, establece que toda la información en posesión de cualquier autoridad, es pública </w:t>
      </w:r>
      <w:r>
        <w:rPr>
          <w:rFonts w:ascii="Palatino Linotype" w:eastAsia="Palatino Linotype" w:hAnsi="Palatino Linotype" w:cs="Palatino Linotype"/>
          <w:sz w:val="22"/>
          <w:szCs w:val="22"/>
        </w:rPr>
        <w:lastRenderedPageBreak/>
        <w:t>y sólo podrá ser reservada temporalmente por razones de interés público.</w:t>
      </w:r>
    </w:p>
    <w:p w:rsidR="00B52FC2" w:rsidRDefault="00B52FC2">
      <w:pPr>
        <w:widowControl w:val="0"/>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52FC2" w:rsidRDefault="00B52FC2">
      <w:pPr>
        <w:widowControl w:val="0"/>
        <w:spacing w:line="360" w:lineRule="auto"/>
        <w:jc w:val="both"/>
        <w:rPr>
          <w:rFonts w:ascii="Palatino Linotype" w:eastAsia="Palatino Linotype" w:hAnsi="Palatino Linotype" w:cs="Palatino Linotype"/>
          <w:sz w:val="22"/>
          <w:szCs w:val="22"/>
        </w:rPr>
      </w:pPr>
    </w:p>
    <w:p w:rsidR="00B52FC2" w:rsidRDefault="00FB541F">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B52FC2" w:rsidRDefault="00B52FC2">
      <w:pPr>
        <w:widowControl w:val="0"/>
        <w:spacing w:line="360" w:lineRule="auto"/>
        <w:jc w:val="both"/>
        <w:rPr>
          <w:rFonts w:ascii="Palatino Linotype" w:eastAsia="Palatino Linotype" w:hAnsi="Palatino Linotype" w:cs="Palatino Linotype"/>
          <w:sz w:val="22"/>
          <w:szCs w:val="22"/>
        </w:rPr>
      </w:pPr>
    </w:p>
    <w:p w:rsidR="00B52FC2" w:rsidRDefault="00FB541F">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B52FC2" w:rsidRDefault="00B52FC2">
      <w:pPr>
        <w:widowControl w:val="0"/>
        <w:spacing w:line="360" w:lineRule="auto"/>
        <w:jc w:val="both"/>
        <w:rPr>
          <w:rFonts w:ascii="Palatino Linotype" w:eastAsia="Palatino Linotype" w:hAnsi="Palatino Linotype" w:cs="Palatino Linotype"/>
          <w:sz w:val="22"/>
          <w:szCs w:val="22"/>
        </w:rPr>
      </w:pPr>
    </w:p>
    <w:p w:rsidR="00B52FC2" w:rsidRDefault="00FB541F">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B52FC2" w:rsidRDefault="00B52FC2">
      <w:pPr>
        <w:widowControl w:val="0"/>
        <w:spacing w:line="360" w:lineRule="auto"/>
        <w:jc w:val="both"/>
        <w:rPr>
          <w:rFonts w:ascii="Palatino Linotype" w:eastAsia="Palatino Linotype" w:hAnsi="Palatino Linotype" w:cs="Palatino Linotype"/>
          <w:sz w:val="22"/>
          <w:szCs w:val="22"/>
        </w:rPr>
      </w:pPr>
    </w:p>
    <w:p w:rsidR="00B52FC2" w:rsidRDefault="00FB541F">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B52FC2" w:rsidRDefault="00B52FC2">
      <w:pPr>
        <w:tabs>
          <w:tab w:val="left" w:pos="4962"/>
        </w:tabs>
        <w:spacing w:line="360" w:lineRule="auto"/>
        <w:jc w:val="both"/>
        <w:rPr>
          <w:rFonts w:ascii="Palatino Linotype" w:eastAsia="Palatino Linotype" w:hAnsi="Palatino Linotype" w:cs="Palatino Linotype"/>
          <w:sz w:val="22"/>
          <w:szCs w:val="22"/>
        </w:rPr>
      </w:pPr>
    </w:p>
    <w:p w:rsidR="00B52FC2" w:rsidRDefault="00FB541F">
      <w:pPr>
        <w:pStyle w:val="Ttulo2"/>
        <w:spacing w:before="0" w:after="0" w:line="360" w:lineRule="auto"/>
        <w:rPr>
          <w:rFonts w:ascii="Palatino Linotype" w:eastAsia="Palatino Linotype" w:hAnsi="Palatino Linotype" w:cs="Palatino Linotype"/>
          <w:b/>
          <w:color w:val="000000"/>
          <w:sz w:val="22"/>
          <w:szCs w:val="22"/>
        </w:rPr>
      </w:pPr>
      <w:bookmarkStart w:id="22" w:name="_heading=h.6juzzez4qky8" w:colFirst="0" w:colLast="0"/>
      <w:bookmarkStart w:id="23" w:name="_Toc212734465"/>
      <w:bookmarkEnd w:id="22"/>
      <w:r>
        <w:rPr>
          <w:rFonts w:ascii="Palatino Linotype" w:eastAsia="Palatino Linotype" w:hAnsi="Palatino Linotype" w:cs="Palatino Linotype"/>
          <w:b/>
          <w:color w:val="000000"/>
          <w:sz w:val="22"/>
          <w:szCs w:val="22"/>
        </w:rPr>
        <w:lastRenderedPageBreak/>
        <w:t>QUINTO. Estudio de Fondo</w:t>
      </w:r>
      <w:bookmarkEnd w:id="23"/>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Expuestas las posturas de las partes, se procede a realizar el análisis del agravio hecho valer por el ahora Recurrente; </w:t>
      </w:r>
      <w:r>
        <w:rPr>
          <w:rFonts w:ascii="Palatino Linotype" w:eastAsia="Palatino Linotype" w:hAnsi="Palatino Linotype" w:cs="Palatino Linotype"/>
          <w:color w:val="000000"/>
          <w:sz w:val="22"/>
          <w:szCs w:val="22"/>
        </w:rPr>
        <w:t xml:space="preserve">al respecto se debe tener en consideración que de conformidad con lo dispuesto en el artículo 36 de la Ley de Transparencia y Acceso a la información pública del Estado de México y Municipios prevé que el Instituto de Transparencia, Acceso a la Información Pública y Protección de Datos Personales del Estado de México y Municipios, es el encargado de conocer y resolver los recursos de revisión que son interpuestos por Particulares en contra de lo emitido por los sujetos obligados.  </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B52FC2" w:rsidRDefault="00B52FC2">
      <w:pPr>
        <w:spacing w:line="360" w:lineRule="auto"/>
        <w:jc w:val="both"/>
        <w:rPr>
          <w:rFonts w:ascii="Palatino Linotype" w:eastAsia="Palatino Linotype" w:hAnsi="Palatino Linotype" w:cs="Palatino Linotype"/>
          <w:b/>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dentro del Bando Municipal de Toluca dos mil veinticinco en su artículo 131 refiere que existe un Programa denominado Conduce Sin Alcohol, mismo que consta de que las y los conductores de los vehículos automotores que circulan dentro de las vialidades  de responsabilidad directa o que están inmersas en el territorio del Municipio de Toluca  tienen las siguientes obligaciones en materia de alcoholimetría:</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No exceder la cantidad de 0.25 miligramos de alcohol por litro de aire pulmonar espirado (0.25 mg/l), de acuerdo con prueba practicada mediante equipo de examinación especializado; </w:t>
      </w:r>
    </w:p>
    <w:p w:rsidR="00B52FC2" w:rsidRDefault="00FB541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las personas que conduzcan motocicletas queda prohibido hacerlo con una alcoholemia superior a 0.1 mg/L en aire espirado;</w:t>
      </w:r>
    </w:p>
    <w:p w:rsidR="00B52FC2" w:rsidRDefault="00FB541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Tratándose de vehículos destinados al servicio de transporte de pasajeros o de carga, los conductores no deben presentar ninguna cantidad de alcohol en aire pulmonar espirado (0.00 mg/l), ni síntomas simples de aliento alcohólico, de estar bajo el influjo de enervantes, estupefacientes o sustancias psicotrópicas o tóxicas;</w:t>
      </w:r>
    </w:p>
    <w:p w:rsidR="00B52FC2" w:rsidRDefault="00FB541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Reducir la velocidad y en su caso detener la marcha del vehículo cuando la autoridad lo indique durante la implementación de los puntos de revisión preventiva  de conducción bajo influjo de alcohol u otras sustancias tóxicas; y</w:t>
      </w:r>
    </w:p>
    <w:p w:rsidR="00B52FC2" w:rsidRDefault="00FB541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Proporcionar la muestra de aire pulmonar para determinar la ingesta o no de alcohol y en su caso determinar el grado de intoxicación.</w:t>
      </w:r>
    </w:p>
    <w:p w:rsidR="00B52FC2" w:rsidRDefault="00B52FC2">
      <w:pPr>
        <w:spacing w:line="360" w:lineRule="auto"/>
        <w:jc w:val="both"/>
        <w:rPr>
          <w:rFonts w:ascii="Palatino Linotype" w:eastAsia="Palatino Linotype" w:hAnsi="Palatino Linotype" w:cs="Palatino Linotype"/>
          <w:b/>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Dado lo anterior, el conductor que incurra en cualquiera de los siguientes supuestos:</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Sobrepase los niveles de alcohol en aire pulmonar estipulados;</w:t>
      </w:r>
    </w:p>
    <w:p w:rsidR="00B52FC2" w:rsidRDefault="00FB541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Intente huir a pie o a bordo de su vehículo para evadir la prueba;</w:t>
      </w:r>
    </w:p>
    <w:p w:rsidR="00B52FC2" w:rsidRDefault="00FB541F">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Oponga resistencia a proporcionar la prueba o la realice de forma deficiente o fingiendo realizarla hasta en tres intentos</w:t>
      </w:r>
    </w:p>
    <w:p w:rsidR="00B52FC2" w:rsidRDefault="00B52FC2">
      <w:pPr>
        <w:pBdr>
          <w:top w:val="nil"/>
          <w:left w:val="nil"/>
          <w:bottom w:val="nil"/>
          <w:right w:val="nil"/>
          <w:between w:val="nil"/>
        </w:pBdr>
        <w:spacing w:line="360" w:lineRule="auto"/>
        <w:ind w:left="420"/>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Deberá ser puesto a disposición del Juez Cívico en materia de Alcoholimetría en turno para su respectiva sanción, la cual consistirá en un arresto inconmutable desde 12 y hasta 36 horas, temporalidad que se determinará según el grado de alcohol determinado por el equipo de examinación especializado y la actitud que muestre el ciudadano ante el Juez Cívico. </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caso de reincidencia, la persona conductora deberá acudir a las sesiones de terapia de rehabilitación para personas alcohólicas, las cuales se realizarán en el Juzgado Cívico; de no presentarse a terapia la persona infractora, se aplicarán las medidas de apremio previstas en el presente Bando. De igual modo el personal operativo de la Dirección General de Seguridad y Protección, en su calidad de  primer respondiente ante denuncia ciudadana o captación en flagrancia de la presunta  conducción bajo efectos del alcohol de algún ciudadano o ciudadana, podrán indicar  detenga la marcha del vehículo, dando inmediato aviso a sus superiores para coordinar  las acciones de resguardo del vehículo y traslado de quien conduce al Juzgado Cívico  correspondiente, para determinar el nivel de alcohol en </w:t>
      </w:r>
      <w:r>
        <w:rPr>
          <w:rFonts w:ascii="Palatino Linotype" w:eastAsia="Palatino Linotype" w:hAnsi="Palatino Linotype" w:cs="Palatino Linotype"/>
          <w:color w:val="000000"/>
          <w:sz w:val="22"/>
          <w:szCs w:val="22"/>
        </w:rPr>
        <w:lastRenderedPageBreak/>
        <w:t>aire pulmonar del mismo y, en  caso de superar el límite legal permitido, proceder con la penalidad que amerita la falta.</w:t>
      </w:r>
    </w:p>
    <w:p w:rsidR="00B52FC2" w:rsidRDefault="00B52FC2">
      <w:pPr>
        <w:spacing w:line="360" w:lineRule="auto"/>
        <w:jc w:val="both"/>
        <w:rPr>
          <w:rFonts w:ascii="Palatino Linotype" w:eastAsia="Palatino Linotype" w:hAnsi="Palatino Linotype" w:cs="Palatino Linotype"/>
          <w:b/>
          <w:color w:val="000000"/>
          <w:sz w:val="22"/>
          <w:szCs w:val="22"/>
        </w:rPr>
      </w:pPr>
    </w:p>
    <w:p w:rsidR="00B52FC2" w:rsidRDefault="00FB541F">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Conforme a lo anterior, se logra vislumbrar que la pretensión de la persona Recurrente es obtener de los Operativos realizados por el Ayuntamiento de Toluca, cuantos se han realizado en total, por mes, cuantas pruebas, cuantos fueron hombres y mujeres, cuantos fueron positivos y las actas que levanta la contraloría, Derechos Humanos y Jueces Cívicos;</w:t>
      </w:r>
      <w:r>
        <w:rPr>
          <w:rFonts w:ascii="Palatino Linotype" w:eastAsia="Palatino Linotype" w:hAnsi="Palatino Linotype" w:cs="Palatino Linotype"/>
          <w:color w:val="000000"/>
          <w:sz w:val="22"/>
          <w:szCs w:val="22"/>
        </w:rPr>
        <w:t xml:space="preserve"> además, que el Sujeto obligado debe conocer de dicha información.</w:t>
      </w:r>
    </w:p>
    <w:p w:rsidR="00B52FC2" w:rsidRDefault="00B52FC2">
      <w:pPr>
        <w:widowControl w:val="0"/>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Establecida dicha circunstancia, se procede analizar la respuesta entregada, para lo cual, es de señalar que la Dirección de Sustentabilidad Vial, Defensoría Municipal, y Contraloría fueron las áreas que dieron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B52FC2" w:rsidRDefault="00B52FC2">
      <w:pPr>
        <w:spacing w:line="360" w:lineRule="auto"/>
        <w:ind w:right="-28"/>
        <w:jc w:val="both"/>
        <w:rPr>
          <w:rFonts w:ascii="Palatino Linotype" w:eastAsia="Palatino Linotype" w:hAnsi="Palatino Linotype" w:cs="Palatino Linotype"/>
          <w:sz w:val="22"/>
          <w:szCs w:val="22"/>
        </w:rPr>
      </w:pPr>
    </w:p>
    <w:p w:rsidR="00B52FC2" w:rsidRDefault="00FB541F">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es necesario traer al estudio el artículo 3.39 bis, fracción VII, del Código Reglamentario de Toluca, dos mil veinticinco, en el que se establece que el Sujeto Obligado contará con la Dirección de Sustentabilidad Vial, </w:t>
      </w:r>
      <w:r>
        <w:rPr>
          <w:rFonts w:ascii="Palatino Linotype" w:eastAsia="Palatino Linotype" w:hAnsi="Palatino Linotype" w:cs="Palatino Linotype"/>
          <w:b/>
          <w:sz w:val="22"/>
          <w:szCs w:val="22"/>
          <w:u w:val="single"/>
        </w:rPr>
        <w:t>es la encargada de Implementar el programa “Conduce Sin Alcohol” en el territorio municipal en  coordinación con las áreas que colaboran en ellos</w:t>
      </w:r>
      <w:r>
        <w:rPr>
          <w:rFonts w:ascii="Palatino Linotype" w:eastAsia="Palatino Linotype" w:hAnsi="Palatino Linotype" w:cs="Palatino Linotype"/>
          <w:sz w:val="22"/>
          <w:szCs w:val="22"/>
        </w:rPr>
        <w:t xml:space="preserve">, así como capacitar a las y los  participantes en la implementación segura y eficiente de los mismos y la aplicación  de pruebas, bajo un esquema de mejora </w:t>
      </w:r>
      <w:r>
        <w:rPr>
          <w:rFonts w:ascii="Palatino Linotype" w:eastAsia="Palatino Linotype" w:hAnsi="Palatino Linotype" w:cs="Palatino Linotype"/>
          <w:sz w:val="22"/>
          <w:szCs w:val="22"/>
        </w:rPr>
        <w:lastRenderedPageBreak/>
        <w:t>continua, al igual que compartir la  experiencia y conocimientos generados con autoridades y organizaciones para el  beneficio de la población; al igual analiza y propone las alternativas de mejora para los operativos, acciones y  planes orientados a la mejora de la seguridad vial en el municipio, incluidas las  reformas normativas relativas y proyectos tecnológicos.</w:t>
      </w:r>
    </w:p>
    <w:p w:rsidR="00B52FC2" w:rsidRDefault="00B52FC2">
      <w:pPr>
        <w:spacing w:line="360" w:lineRule="auto"/>
        <w:ind w:right="-28"/>
        <w:jc w:val="both"/>
        <w:rPr>
          <w:rFonts w:ascii="Palatino Linotype" w:eastAsia="Palatino Linotype" w:hAnsi="Palatino Linotype" w:cs="Palatino Linotype"/>
          <w:sz w:val="22"/>
          <w:szCs w:val="22"/>
        </w:rPr>
      </w:pPr>
    </w:p>
    <w:p w:rsidR="00B52FC2" w:rsidRDefault="00FB541F">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dentro de la misma normativa en su artículo 3.25 fracción XXX refiere que la </w:t>
      </w:r>
      <w:r>
        <w:rPr>
          <w:rFonts w:ascii="Palatino Linotype" w:eastAsia="Palatino Linotype" w:hAnsi="Palatino Linotype" w:cs="Palatino Linotype"/>
          <w:b/>
          <w:sz w:val="22"/>
          <w:szCs w:val="22"/>
          <w:u w:val="single"/>
        </w:rPr>
        <w:t>contraloría se encargara medularmente de determinar la abstención de iniciar el procedimiento de responsabilidad administrativa, o de imponer sanciones a las o los servidores públicos municipales</w:t>
      </w:r>
      <w:r>
        <w:rPr>
          <w:rFonts w:ascii="Palatino Linotype" w:eastAsia="Palatino Linotype" w:hAnsi="Palatino Linotype" w:cs="Palatino Linotype"/>
          <w:sz w:val="22"/>
          <w:szCs w:val="22"/>
        </w:rPr>
        <w:t>, cuando se acredite que no existió daño ni perjuicio a la Hacienda Pública Estatal o Municipal o al patrimonio de los entes públicos.</w:t>
      </w:r>
    </w:p>
    <w:p w:rsidR="00B52FC2" w:rsidRDefault="00B52FC2">
      <w:pPr>
        <w:spacing w:line="360" w:lineRule="auto"/>
        <w:ind w:right="-28"/>
        <w:jc w:val="both"/>
        <w:rPr>
          <w:rFonts w:ascii="Palatino Linotype" w:eastAsia="Palatino Linotype" w:hAnsi="Palatino Linotype" w:cs="Palatino Linotype"/>
          <w:sz w:val="22"/>
          <w:szCs w:val="22"/>
        </w:rPr>
      </w:pPr>
    </w:p>
    <w:p w:rsidR="00B52FC2" w:rsidRDefault="00FB541F">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que hace a la Defensoría Municipal en el artículo 3.65 de la misma normativa menciona que </w:t>
      </w:r>
      <w:r>
        <w:rPr>
          <w:rFonts w:ascii="Palatino Linotype" w:eastAsia="Palatino Linotype" w:hAnsi="Palatino Linotype" w:cs="Palatino Linotype"/>
          <w:b/>
          <w:sz w:val="22"/>
          <w:szCs w:val="22"/>
          <w:u w:val="single"/>
        </w:rPr>
        <w:t>participara en acompañamientos para operar el Programa Alcoholímetro, así como en los operativos de verificación o inspección que requieran decomisos o desalojos</w:t>
      </w:r>
      <w:r>
        <w:rPr>
          <w:rFonts w:ascii="Palatino Linotype" w:eastAsia="Palatino Linotype" w:hAnsi="Palatino Linotype" w:cs="Palatino Linotype"/>
          <w:sz w:val="22"/>
          <w:szCs w:val="22"/>
        </w:rPr>
        <w:t>.</w:t>
      </w:r>
    </w:p>
    <w:p w:rsidR="00B52FC2" w:rsidRDefault="00B52FC2">
      <w:pPr>
        <w:spacing w:line="360" w:lineRule="auto"/>
        <w:ind w:right="-28"/>
        <w:jc w:val="both"/>
        <w:rPr>
          <w:rFonts w:ascii="Palatino Linotype" w:eastAsia="Palatino Linotype" w:hAnsi="Palatino Linotype" w:cs="Palatino Linotype"/>
          <w:sz w:val="22"/>
          <w:szCs w:val="22"/>
        </w:rPr>
      </w:pPr>
    </w:p>
    <w:p w:rsidR="00B52FC2" w:rsidRDefault="00FB541F">
      <w:pPr>
        <w:spacing w:line="360" w:lineRule="auto"/>
        <w:ind w:right="-28"/>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sz w:val="22"/>
          <w:szCs w:val="22"/>
        </w:rPr>
        <w:t xml:space="preserve">Lo que hace a los </w:t>
      </w:r>
      <w:r>
        <w:rPr>
          <w:rFonts w:ascii="Palatino Linotype" w:eastAsia="Palatino Linotype" w:hAnsi="Palatino Linotype" w:cs="Palatino Linotype"/>
          <w:b/>
          <w:sz w:val="22"/>
          <w:szCs w:val="22"/>
          <w:u w:val="single"/>
        </w:rPr>
        <w:t>Jueces Cívicos anteriormente se refirió que en caso de incurrir en algún supuesto que vaya en contra la seguridad vial, o que presuntamente conduzca bajo efectos del  alcohol, sus acompañantes o cualquier otro ciudadano durante el desarrollo de los  puntos de control preventivo de alcoholimetría, incurra en faltas administrativas como  alteración al orden, agresión verbal o física, o cualquier otra que infrinja lo establecido  en este Bando sin incurrir en un delito, se le pondrá a disposición del Juez Cívico correspondiente quien definirá la respectiva sanción.</w:t>
      </w:r>
    </w:p>
    <w:p w:rsidR="00B52FC2" w:rsidRDefault="00FB541F">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B52FC2" w:rsidRDefault="00FB541F">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advierte que fueron diversas áreas en su calidad de habilitadas que dicho esto son competentes para conocer de lo requerido, al ver las cuestiones relacionadas con los </w:t>
      </w:r>
      <w:r>
        <w:rPr>
          <w:rFonts w:ascii="Palatino Linotype" w:eastAsia="Palatino Linotype" w:hAnsi="Palatino Linotype" w:cs="Palatino Linotype"/>
          <w:sz w:val="22"/>
          <w:szCs w:val="22"/>
        </w:rPr>
        <w:lastRenderedPageBreak/>
        <w:t xml:space="preserve">Operativos por motivo del Alcoholímetro, así como vigilar la ejecución de programas, proyectos, acciones en materia de seguridad pública y salvaguardad la integridad de la comunidad de Toluca; </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Ahora bien, en respuestas dichas área proporcionaron diversas relaciones de operativos realizados por motivo del Alcoholímetro y Conduce sin alcohol, correspondientes de dos mil veintitrés a dos mil veinticinco, por este Organismo Garante, además de señalar que lo referente a las actas, no se contó con dichos documentales a pesar de haber realizado una búsqueda exhaustiva en sus archivos de resguardo</w:t>
      </w:r>
      <w:r>
        <w:rPr>
          <w:rFonts w:ascii="Palatino Linotype" w:eastAsia="Palatino Linotype" w:hAnsi="Palatino Linotype" w:cs="Palatino Linotype"/>
          <w:color w:val="000000"/>
          <w:sz w:val="22"/>
          <w:szCs w:val="22"/>
        </w:rPr>
        <w:t>, tal como se muestra a continuación:</w:t>
      </w:r>
    </w:p>
    <w:p w:rsidR="00B52FC2" w:rsidRDefault="00B52FC2">
      <w:pPr>
        <w:tabs>
          <w:tab w:val="left" w:pos="7080"/>
        </w:tabs>
        <w:spacing w:line="360" w:lineRule="auto"/>
        <w:jc w:val="both"/>
        <w:rPr>
          <w:rFonts w:ascii="Palatino Linotype" w:eastAsia="Palatino Linotype" w:hAnsi="Palatino Linotype" w:cs="Palatino Linotype"/>
          <w:color w:val="000000"/>
          <w:sz w:val="22"/>
          <w:szCs w:val="22"/>
        </w:rPr>
      </w:pPr>
    </w:p>
    <w:p w:rsidR="00B52FC2" w:rsidRDefault="00FB541F">
      <w:pPr>
        <w:tabs>
          <w:tab w:val="left" w:pos="7080"/>
        </w:tabs>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2023</w:t>
      </w:r>
    </w:p>
    <w:p w:rsidR="00B52FC2" w:rsidRDefault="00FB541F">
      <w:pPr>
        <w:tabs>
          <w:tab w:val="left" w:pos="7080"/>
        </w:tabs>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Alcoholímetro</w:t>
      </w:r>
    </w:p>
    <w:p w:rsidR="00B52FC2" w:rsidRDefault="00FB541F">
      <w:pPr>
        <w:tabs>
          <w:tab w:val="left" w:pos="7080"/>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3810531" cy="1438475"/>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810531" cy="1438475"/>
                    </a:xfrm>
                    <a:prstGeom prst="rect">
                      <a:avLst/>
                    </a:prstGeom>
                    <a:ln/>
                  </pic:spPr>
                </pic:pic>
              </a:graphicData>
            </a:graphic>
          </wp:inline>
        </w:drawing>
      </w:r>
    </w:p>
    <w:p w:rsidR="00B52FC2" w:rsidRDefault="00FB541F">
      <w:pPr>
        <w:tabs>
          <w:tab w:val="left" w:pos="7080"/>
        </w:tabs>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Conduce sin Alcohol</w:t>
      </w:r>
    </w:p>
    <w:p w:rsidR="00B52FC2" w:rsidRDefault="00FB541F">
      <w:pPr>
        <w:tabs>
          <w:tab w:val="left" w:pos="7080"/>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4176091" cy="1974862"/>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176091" cy="1974862"/>
                    </a:xfrm>
                    <a:prstGeom prst="rect">
                      <a:avLst/>
                    </a:prstGeom>
                    <a:ln/>
                  </pic:spPr>
                </pic:pic>
              </a:graphicData>
            </a:graphic>
          </wp:inline>
        </w:drawing>
      </w:r>
    </w:p>
    <w:p w:rsidR="00B52FC2" w:rsidRDefault="00FB541F">
      <w:pPr>
        <w:tabs>
          <w:tab w:val="left" w:pos="7080"/>
        </w:tabs>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2024</w:t>
      </w:r>
    </w:p>
    <w:p w:rsidR="00B52FC2" w:rsidRDefault="00FB541F">
      <w:pPr>
        <w:tabs>
          <w:tab w:val="left" w:pos="7080"/>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5234223" cy="1219539"/>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234223" cy="1219539"/>
                    </a:xfrm>
                    <a:prstGeom prst="rect">
                      <a:avLst/>
                    </a:prstGeom>
                    <a:ln/>
                  </pic:spPr>
                </pic:pic>
              </a:graphicData>
            </a:graphic>
          </wp:inline>
        </w:drawing>
      </w:r>
    </w:p>
    <w:p w:rsidR="00B52FC2" w:rsidRDefault="00FB541F">
      <w:pPr>
        <w:tabs>
          <w:tab w:val="left" w:pos="7080"/>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4382118" cy="1724268"/>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382118" cy="1724268"/>
                    </a:xfrm>
                    <a:prstGeom prst="rect">
                      <a:avLst/>
                    </a:prstGeom>
                    <a:ln/>
                  </pic:spPr>
                </pic:pic>
              </a:graphicData>
            </a:graphic>
          </wp:inline>
        </w:drawing>
      </w:r>
    </w:p>
    <w:p w:rsidR="00B52FC2" w:rsidRDefault="00FB541F">
      <w:pPr>
        <w:tabs>
          <w:tab w:val="left" w:pos="7080"/>
        </w:tabs>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2025</w:t>
      </w:r>
    </w:p>
    <w:p w:rsidR="00B52FC2" w:rsidRDefault="00FB541F">
      <w:pPr>
        <w:tabs>
          <w:tab w:val="left" w:pos="7080"/>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4115282" cy="904981"/>
            <wp:effectExtent l="0" t="0" r="0"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115282" cy="904981"/>
                    </a:xfrm>
                    <a:prstGeom prst="rect">
                      <a:avLst/>
                    </a:prstGeom>
                    <a:ln/>
                  </pic:spPr>
                </pic:pic>
              </a:graphicData>
            </a:graphic>
          </wp:inline>
        </w:drawing>
      </w:r>
    </w:p>
    <w:p w:rsidR="00B52FC2" w:rsidRDefault="00FB541F">
      <w:pPr>
        <w:tabs>
          <w:tab w:val="left" w:pos="7080"/>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4784465" cy="1086493"/>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784465" cy="1086493"/>
                    </a:xfrm>
                    <a:prstGeom prst="rect">
                      <a:avLst/>
                    </a:prstGeom>
                    <a:ln/>
                  </pic:spPr>
                </pic:pic>
              </a:graphicData>
            </a:graphic>
          </wp:inline>
        </w:drawing>
      </w:r>
    </w:p>
    <w:p w:rsidR="00B52FC2" w:rsidRDefault="00FB541F">
      <w:pPr>
        <w:tabs>
          <w:tab w:val="left" w:pos="7080"/>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4915586" cy="1267002"/>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915586" cy="1267002"/>
                    </a:xfrm>
                    <a:prstGeom prst="rect">
                      <a:avLst/>
                    </a:prstGeom>
                    <a:ln/>
                  </pic:spPr>
                </pic:pic>
              </a:graphicData>
            </a:graphic>
          </wp:inline>
        </w:drawing>
      </w:r>
    </w:p>
    <w:p w:rsidR="00B52FC2" w:rsidRDefault="00FB541F">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lastRenderedPageBreak/>
        <w:t xml:space="preserve">En ese contexto, </w:t>
      </w:r>
      <w:r>
        <w:rPr>
          <w:rFonts w:ascii="Palatino Linotype" w:eastAsia="Palatino Linotype" w:hAnsi="Palatino Linotype" w:cs="Palatino Linotype"/>
          <w:sz w:val="22"/>
          <w:szCs w:val="22"/>
        </w:rPr>
        <w:t>después de lo analizado, se tiene por colmado los puntos referentes a los datos estadísticos operativos, dado que proporcionó la información del programa alcoholímetro y conduce sin alcohol, los cuales fueron aplicados durante el periodo solicitado en el Municipio de Toluca, por lo que dio la información que obraba en sus archivos y daba cuenta de lo peticionado, con lo cual dio cumplimiento a los artículos 12 y 160 de la Ley de Transparencia y Acceso a la Información Pública del Estado de México y Municipios.</w:t>
      </w:r>
    </w:p>
    <w:p w:rsidR="00B52FC2" w:rsidRDefault="00B52FC2">
      <w:pPr>
        <w:tabs>
          <w:tab w:val="left" w:pos="7080"/>
        </w:tabs>
        <w:spacing w:line="360" w:lineRule="auto"/>
        <w:jc w:val="both"/>
        <w:rPr>
          <w:rFonts w:ascii="Palatino Linotype" w:eastAsia="Palatino Linotype" w:hAnsi="Palatino Linotype" w:cs="Palatino Linotype"/>
          <w:sz w:val="22"/>
          <w:szCs w:val="22"/>
        </w:rPr>
      </w:pPr>
    </w:p>
    <w:p w:rsidR="00B52FC2" w:rsidRDefault="00FB541F">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este Instituto localizo en notas periodísticas donde se advierte que al realizar estos operativos se reitera el compromiso con la seguridad en la capital mexiquense, (consultada en la liga electrónica, </w:t>
      </w:r>
      <w:hyperlink r:id="rId22">
        <w:r>
          <w:rPr>
            <w:rFonts w:ascii="Palatino Linotype" w:eastAsia="Palatino Linotype" w:hAnsi="Palatino Linotype" w:cs="Palatino Linotype"/>
            <w:color w:val="1155CC"/>
            <w:sz w:val="22"/>
            <w:szCs w:val="22"/>
            <w:u w:val="single"/>
          </w:rPr>
          <w:t>https://cumbreinformativa.com/alcoholimetro-en-toluca-intensifican-operativos-y-exhortan-a-no-manejar-ebrio/</w:t>
        </w:r>
      </w:hyperlink>
      <w:r>
        <w:rPr>
          <w:rFonts w:ascii="Palatino Linotype" w:eastAsia="Palatino Linotype" w:hAnsi="Palatino Linotype" w:cs="Palatino Linotype"/>
          <w:sz w:val="22"/>
          <w:szCs w:val="22"/>
        </w:rPr>
        <w:t xml:space="preserve"> )  tal como se muestra a continuación:</w:t>
      </w:r>
    </w:p>
    <w:p w:rsidR="00B52FC2" w:rsidRDefault="00B52FC2">
      <w:pPr>
        <w:tabs>
          <w:tab w:val="left" w:pos="7080"/>
        </w:tabs>
        <w:spacing w:line="360" w:lineRule="auto"/>
        <w:jc w:val="both"/>
        <w:rPr>
          <w:rFonts w:ascii="Palatino Linotype" w:eastAsia="Palatino Linotype" w:hAnsi="Palatino Linotype" w:cs="Palatino Linotype"/>
          <w:sz w:val="22"/>
          <w:szCs w:val="22"/>
        </w:rPr>
      </w:pPr>
    </w:p>
    <w:p w:rsidR="00B52FC2" w:rsidRDefault="00FB541F">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114300" distB="114300" distL="114300" distR="114300">
            <wp:extent cx="2972108" cy="2857796"/>
            <wp:effectExtent l="0" t="0" r="0" b="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972108" cy="2857796"/>
                    </a:xfrm>
                    <a:prstGeom prst="rect">
                      <a:avLst/>
                    </a:prstGeom>
                    <a:ln/>
                  </pic:spPr>
                </pic:pic>
              </a:graphicData>
            </a:graphic>
          </wp:inline>
        </w:drawing>
      </w:r>
    </w:p>
    <w:p w:rsidR="00B52FC2" w:rsidRDefault="00B52FC2">
      <w:pPr>
        <w:tabs>
          <w:tab w:val="left" w:pos="7080"/>
        </w:tabs>
        <w:spacing w:line="360" w:lineRule="auto"/>
        <w:jc w:val="both"/>
        <w:rPr>
          <w:rFonts w:ascii="Palatino Linotype" w:eastAsia="Palatino Linotype" w:hAnsi="Palatino Linotype" w:cs="Palatino Linotype"/>
          <w:sz w:val="22"/>
          <w:szCs w:val="22"/>
        </w:rPr>
      </w:pPr>
    </w:p>
    <w:p w:rsidR="00B52FC2" w:rsidRDefault="00FB541F">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rFonts w:ascii="Palatino Linotype" w:eastAsia="Palatino Linotype" w:hAnsi="Palatino Linotype" w:cs="Palatino Linotype"/>
          <w:b/>
          <w:i/>
          <w:sz w:val="22"/>
          <w:szCs w:val="22"/>
        </w:rPr>
        <w:t>“NOTAS PERIODISTICAS, EL CONOCIMIENTO QUE DE ELLAS SE OBTIENE NO CONSTITUYE ‘UN HECHO PUBLICO Y NOTORIO’”</w:t>
      </w:r>
      <w:r>
        <w:rPr>
          <w:rFonts w:ascii="Palatino Linotype" w:eastAsia="Palatino Linotype" w:hAnsi="Palatino Linotype" w:cs="Palatino Linotype"/>
          <w:i/>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r>
        <w:rPr>
          <w:rFonts w:ascii="Palatino Linotype" w:eastAsia="Palatino Linotype" w:hAnsi="Palatino Linotype" w:cs="Palatino Linotype"/>
          <w:sz w:val="22"/>
          <w:szCs w:val="22"/>
        </w:rPr>
        <w:t xml:space="preserve">. De tal situación, lo consignado en las notas periodísticas no constituye un hecho público o notorio, sino que es una opinión de su autor, por lo que sólo se pueden tomar como indicios. </w:t>
      </w:r>
    </w:p>
    <w:p w:rsidR="00B52FC2" w:rsidRDefault="00B52FC2">
      <w:pPr>
        <w:tabs>
          <w:tab w:val="left" w:pos="7080"/>
        </w:tabs>
        <w:spacing w:line="360" w:lineRule="auto"/>
        <w:jc w:val="both"/>
        <w:rPr>
          <w:rFonts w:ascii="Palatino Linotype" w:eastAsia="Palatino Linotype" w:hAnsi="Palatino Linotype" w:cs="Palatino Linotype"/>
          <w:sz w:val="22"/>
          <w:szCs w:val="22"/>
        </w:rPr>
      </w:pPr>
    </w:p>
    <w:p w:rsidR="00B52FC2" w:rsidRDefault="00FB541F">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si bien de la nota periodística señalada, contiene información que guarda relación con lo solicitado, a saber, de los operativos del Alcoholímetro en el Municipio, lo cierto es que no constituyen prueba plena, al ser una opinión privada realizada por parte de un particular; sin embargo, en el presente caso, sirven de indicio para robustecer lo encontrado en las redes sociales del Sujeto Obligado.</w:t>
      </w:r>
    </w:p>
    <w:p w:rsidR="00B52FC2" w:rsidRDefault="00B52FC2">
      <w:pPr>
        <w:tabs>
          <w:tab w:val="left" w:pos="7080"/>
        </w:tabs>
        <w:spacing w:line="360" w:lineRule="auto"/>
        <w:jc w:val="both"/>
        <w:rPr>
          <w:rFonts w:ascii="Palatino Linotype" w:eastAsia="Palatino Linotype" w:hAnsi="Palatino Linotype" w:cs="Palatino Linotype"/>
          <w:sz w:val="22"/>
          <w:szCs w:val="22"/>
        </w:rPr>
      </w:pPr>
    </w:p>
    <w:p w:rsidR="00B52FC2" w:rsidRDefault="00FB541F">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Ahora bien a lo referente con las actas levantadas por parte de la contraloría, defensoría municipal y jueces cívicos, cabe mencionar que si bien en párrafos anteriores se delimito sus atribuciones y competencia, resulta de importancia mencionar que en cuanto a la contraloría no tiene facultades para conocer sobre los operativos ya que dicha dirección se enfoca generalmente a las sanciones de los Servidores públicos por faltas administrativas, por lo que hace a la defensoría y jueces cívicos dichas áreas, son competentes para conocer de las </w:t>
      </w:r>
      <w:r>
        <w:rPr>
          <w:rFonts w:ascii="Palatino Linotype" w:eastAsia="Palatino Linotype" w:hAnsi="Palatino Linotype" w:cs="Palatino Linotype"/>
          <w:sz w:val="22"/>
          <w:szCs w:val="22"/>
        </w:rPr>
        <w:lastRenderedPageBreak/>
        <w:t>actas, dado que dentro de sus atribuciones refieren coadyuvar en dichos operativos por lo que es procedente ordenar la entrega de actas correspondientes a los operativos remitidos en respuesta.</w:t>
      </w:r>
    </w:p>
    <w:p w:rsidR="00B52FC2" w:rsidRDefault="00B52FC2">
      <w:pPr>
        <w:tabs>
          <w:tab w:val="left" w:pos="7080"/>
        </w:tabs>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 suerte, que este Instituto no tiene certeza si la Defensoría y Jueces Cívicos realizaron una búsqueda exhaustiva y razonable en sus archivos, pues como ya se refirió proporcionó información de manera incompleta, lo cual da como resultado que el agravio sea </w:t>
      </w:r>
      <w:r>
        <w:rPr>
          <w:rFonts w:ascii="Palatino Linotype" w:eastAsia="Palatino Linotype" w:hAnsi="Palatino Linotype" w:cs="Palatino Linotype"/>
          <w:b/>
          <w:sz w:val="22"/>
          <w:szCs w:val="22"/>
        </w:rPr>
        <w:t>FUNDADO</w:t>
      </w:r>
      <w:r>
        <w:rPr>
          <w:rFonts w:ascii="Palatino Linotype" w:eastAsia="Palatino Linotype" w:hAnsi="Palatino Linotype" w:cs="Palatino Linotype"/>
          <w:sz w:val="22"/>
          <w:szCs w:val="22"/>
        </w:rPr>
        <w:t>.</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aún y cuando se pronunciaron las unidades administrativas competentes y esta señaló que realizó una búsqueda exhaustiva y razonable en sus archivos, no acreditó lo siguiente:</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Tipo de archivos buscados (físicos o electrónicos);</w:t>
      </w:r>
    </w:p>
    <w:p w:rsidR="00B52FC2" w:rsidRDefault="00FB541F">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criterios de búsqueda utilizados, y </w:t>
      </w:r>
    </w:p>
    <w:p w:rsidR="00B52FC2" w:rsidRDefault="00FB541F">
      <w:pPr>
        <w:numPr>
          <w:ilvl w:val="0"/>
          <w:numId w:val="2"/>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circunstancias que fueron tomadas en cuenta.</w:t>
      </w:r>
      <w:r>
        <w:rPr>
          <w:rFonts w:ascii="Palatino Linotype" w:eastAsia="Palatino Linotype" w:hAnsi="Palatino Linotype" w:cs="Palatino Linotype"/>
          <w:color w:val="000000"/>
          <w:sz w:val="22"/>
          <w:szCs w:val="22"/>
        </w:rPr>
        <w:tab/>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el Sujeto Obligado no acreditó que haya realizado una búsqueda exhaustiva y razonable en sus archivos y por lo tanto, no acreditó si la información faltante obraba o no en sus archivos.</w:t>
      </w:r>
    </w:p>
    <w:p w:rsidR="00B52FC2" w:rsidRDefault="00B52FC2">
      <w:pPr>
        <w:spacing w:line="360" w:lineRule="auto"/>
        <w:jc w:val="center"/>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Por lo que este Instituto considera que, para atender el requerimiento de información, el Sujeto Obligado deberá realizar una búsqueda exhaustiva y razonable en las áreas competentes, a efecto de que proporcione las actas levantadas con motivo de los operativos remitidos en respuesta; </w:t>
      </w:r>
      <w:r>
        <w:rPr>
          <w:rFonts w:ascii="Palatino Linotype" w:eastAsia="Palatino Linotype" w:hAnsi="Palatino Linotype" w:cs="Palatino Linotype"/>
          <w:sz w:val="22"/>
          <w:szCs w:val="22"/>
        </w:rPr>
        <w:t xml:space="preserve">dicha situación toma sustento en el artículo 12 de la Ley de Transparencia y Acceso a la Información Pública del Estado de México y Municipios, que </w:t>
      </w:r>
      <w:r>
        <w:rPr>
          <w:rFonts w:ascii="Palatino Linotype" w:eastAsia="Palatino Linotype" w:hAnsi="Palatino Linotype" w:cs="Palatino Linotype"/>
          <w:sz w:val="22"/>
          <w:szCs w:val="22"/>
        </w:rPr>
        <w:lastRenderedPageBreak/>
        <w:t>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sz w:val="22"/>
          <w:szCs w:val="22"/>
        </w:rPr>
        <w:t>ad hoc</w:t>
      </w:r>
      <w:r>
        <w:rPr>
          <w:rFonts w:ascii="Palatino Linotype" w:eastAsia="Palatino Linotype" w:hAnsi="Palatino Linotype" w:cs="Palatino Linotype"/>
          <w:sz w:val="22"/>
          <w:szCs w:val="22"/>
        </w:rPr>
        <w:t>; lo cual, de conformidad con en el artículo 160 de la Ley de Transparencia y Acceso a la Información Pública del Estado de México y Municipios, el cual refiere que los sujetos obligados deberán entregar la información que obre en sus archivos.</w:t>
      </w:r>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 requerido.</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tabs>
          <w:tab w:val="left" w:pos="3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Ahora bien, toda vez que fue procedente la versión pública, el artículo 168 de la Ley de Transparencia y Acceso a la Información Pública del Estado de México y Municipios, que precisa que</w:t>
      </w:r>
      <w:r>
        <w:rPr>
          <w:rFonts w:ascii="Arial" w:eastAsia="Arial" w:hAnsi="Arial" w:cs="Arial"/>
          <w:color w:val="000000"/>
          <w:sz w:val="24"/>
          <w:szCs w:val="24"/>
        </w:rPr>
        <w:t xml:space="preserve"> </w:t>
      </w:r>
      <w:r>
        <w:rPr>
          <w:rFonts w:ascii="Palatino Linotype" w:eastAsia="Palatino Linotype" w:hAnsi="Palatino Linotype" w:cs="Palatino Linotype"/>
          <w:color w:val="000000"/>
          <w:sz w:val="22"/>
          <w:szCs w:val="22"/>
        </w:rPr>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rsidR="00B52FC2" w:rsidRDefault="00B52FC2">
      <w:pPr>
        <w:tabs>
          <w:tab w:val="left" w:pos="3962"/>
        </w:tabs>
        <w:spacing w:line="360" w:lineRule="auto"/>
        <w:jc w:val="both"/>
        <w:rPr>
          <w:rFonts w:ascii="Palatino Linotype" w:eastAsia="Palatino Linotype" w:hAnsi="Palatino Linotype" w:cs="Palatino Linotype"/>
          <w:color w:val="000000"/>
          <w:sz w:val="22"/>
          <w:szCs w:val="22"/>
        </w:rPr>
      </w:pPr>
    </w:p>
    <w:p w:rsidR="00B52FC2" w:rsidRDefault="00FB541F">
      <w:pPr>
        <w:numPr>
          <w:ilvl w:val="0"/>
          <w:numId w:val="3"/>
        </w:numPr>
        <w:tabs>
          <w:tab w:val="left" w:pos="3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Confirmar la clasificación;</w:t>
      </w:r>
    </w:p>
    <w:p w:rsidR="00B52FC2" w:rsidRDefault="00FB541F">
      <w:pPr>
        <w:numPr>
          <w:ilvl w:val="0"/>
          <w:numId w:val="3"/>
        </w:numPr>
        <w:tabs>
          <w:tab w:val="left" w:pos="3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Modificar la clasificación y, otorgar total o parcialmente el acceso a la información, o</w:t>
      </w:r>
    </w:p>
    <w:p w:rsidR="00B52FC2" w:rsidRDefault="00FB541F">
      <w:pPr>
        <w:numPr>
          <w:ilvl w:val="0"/>
          <w:numId w:val="3"/>
        </w:numPr>
        <w:tabs>
          <w:tab w:val="left" w:pos="3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Revocar la clasificación y conceder el acceso a la información.</w:t>
      </w:r>
    </w:p>
    <w:p w:rsidR="00B52FC2" w:rsidRDefault="00B52FC2">
      <w:pPr>
        <w:tabs>
          <w:tab w:val="left" w:pos="3962"/>
        </w:tabs>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cual no aconteció pues el Sujeto Obligado no remitió el Acuerdo de Clasificación de los datos testados en las Resoluciones; por lo cual, para atender el requerimiento de información, deberá proporcionar la determinación del Comité de Transparencia.</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no pasa desapercibido para este Instituto que las actas pudieran contener datos como el nombre de particulares;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pStyle w:val="Ttulo2"/>
        <w:spacing w:before="0" w:after="0" w:line="360" w:lineRule="auto"/>
        <w:jc w:val="both"/>
        <w:rPr>
          <w:rFonts w:ascii="Palatino Linotype" w:eastAsia="Palatino Linotype" w:hAnsi="Palatino Linotype" w:cs="Palatino Linotype"/>
          <w:b/>
          <w:color w:val="000000"/>
          <w:sz w:val="22"/>
          <w:szCs w:val="22"/>
        </w:rPr>
      </w:pPr>
      <w:bookmarkStart w:id="24" w:name="_heading=h.whwzyoncdqgz" w:colFirst="0" w:colLast="0"/>
      <w:bookmarkStart w:id="25" w:name="_Toc212734466"/>
      <w:bookmarkEnd w:id="24"/>
      <w:r>
        <w:rPr>
          <w:rFonts w:ascii="Palatino Linotype" w:eastAsia="Palatino Linotype" w:hAnsi="Palatino Linotype" w:cs="Palatino Linotype"/>
          <w:b/>
          <w:color w:val="000000"/>
          <w:sz w:val="22"/>
          <w:szCs w:val="22"/>
        </w:rPr>
        <w:t>SEXTO. Decisión</w:t>
      </w:r>
      <w:bookmarkEnd w:id="25"/>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color w:val="000000"/>
          <w:sz w:val="22"/>
          <w:szCs w:val="22"/>
        </w:rPr>
        <w:t xml:space="preserve">MODIFICAR </w:t>
      </w:r>
      <w:r>
        <w:rPr>
          <w:rFonts w:ascii="Palatino Linotype" w:eastAsia="Palatino Linotype" w:hAnsi="Palatino Linotype" w:cs="Palatino Linotype"/>
          <w:color w:val="000000"/>
          <w:sz w:val="22"/>
          <w:szCs w:val="22"/>
        </w:rPr>
        <w:t xml:space="preserve">las respuestas otorgadas por el Sujeto Obligado a las solicitudes de </w:t>
      </w:r>
      <w:r>
        <w:rPr>
          <w:rFonts w:ascii="Palatino Linotype" w:eastAsia="Palatino Linotype" w:hAnsi="Palatino Linotype" w:cs="Palatino Linotype"/>
          <w:color w:val="000000"/>
          <w:sz w:val="22"/>
          <w:szCs w:val="22"/>
        </w:rPr>
        <w:lastRenderedPageBreak/>
        <w:t xml:space="preserve">información </w:t>
      </w:r>
      <w:r>
        <w:rPr>
          <w:rFonts w:ascii="Palatino Linotype" w:eastAsia="Palatino Linotype" w:hAnsi="Palatino Linotype" w:cs="Palatino Linotype"/>
          <w:sz w:val="22"/>
          <w:szCs w:val="22"/>
        </w:rPr>
        <w:t>02306/TOLUCA/IP/2025,</w:t>
      </w:r>
      <w:r>
        <w:t xml:space="preserve"> </w:t>
      </w:r>
      <w:r>
        <w:rPr>
          <w:rFonts w:ascii="Palatino Linotype" w:eastAsia="Palatino Linotype" w:hAnsi="Palatino Linotype" w:cs="Palatino Linotype"/>
          <w:sz w:val="22"/>
          <w:szCs w:val="22"/>
        </w:rPr>
        <w:t>02307/TOLUCA/IP/2025 y 02308/TOLUCA/IP/2025</w:t>
      </w:r>
      <w:r>
        <w:rPr>
          <w:rFonts w:ascii="Palatino Linotype" w:eastAsia="Palatino Linotype" w:hAnsi="Palatino Linotype" w:cs="Palatino Linotype"/>
          <w:color w:val="000000"/>
          <w:sz w:val="22"/>
          <w:szCs w:val="22"/>
        </w:rPr>
        <w:t>, referente al recurso de revisión 06521/INFOEM/IP/RR/2025 y acumulados, efecto de que entregue la información solicitada faltante.</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Términos de la Resolución para conocimiento del Particular</w:t>
      </w:r>
    </w:p>
    <w:p w:rsidR="00B52FC2" w:rsidRDefault="00B52FC2">
      <w:pPr>
        <w:spacing w:line="360" w:lineRule="auto"/>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le hace del conocimiento a la persona Recurrente que, en el presente asunto, se le da la razón, pues el Sujeto Obligado omitió entregar la </w:t>
      </w:r>
      <w:r>
        <w:rPr>
          <w:rFonts w:ascii="Palatino Linotype" w:eastAsia="Palatino Linotype" w:hAnsi="Palatino Linotype" w:cs="Palatino Linotype"/>
          <w:sz w:val="22"/>
          <w:szCs w:val="22"/>
        </w:rPr>
        <w:t>totalidad de la información</w:t>
      </w:r>
      <w:r>
        <w:rPr>
          <w:rFonts w:ascii="Palatino Linotype" w:eastAsia="Palatino Linotype" w:hAnsi="Palatino Linotype" w:cs="Palatino Linotype"/>
          <w:color w:val="000000"/>
          <w:sz w:val="22"/>
          <w:szCs w:val="22"/>
        </w:rPr>
        <w:t xml:space="preserve"> solicitada, por lo que, deberá hacer la entrega de manera completa y en versión pública.</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labor del Instituto es apoyar a la población a acceder a la información pública y garantizar la protección de sus datos personales.</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rsidR="00B52FC2" w:rsidRDefault="00B52FC2">
      <w:pPr>
        <w:spacing w:line="360" w:lineRule="auto"/>
        <w:jc w:val="both"/>
        <w:rPr>
          <w:rFonts w:ascii="Palatino Linotype" w:eastAsia="Palatino Linotype" w:hAnsi="Palatino Linotype" w:cs="Palatino Linotype"/>
          <w:sz w:val="22"/>
          <w:szCs w:val="22"/>
        </w:rPr>
      </w:pPr>
    </w:p>
    <w:p w:rsidR="00B52FC2" w:rsidRDefault="00FB541F">
      <w:pPr>
        <w:pStyle w:val="Ttulo1"/>
        <w:spacing w:before="0" w:after="0" w:line="360" w:lineRule="auto"/>
        <w:jc w:val="center"/>
        <w:rPr>
          <w:rFonts w:ascii="Palatino Linotype" w:eastAsia="Palatino Linotype" w:hAnsi="Palatino Linotype" w:cs="Palatino Linotype"/>
          <w:b/>
          <w:color w:val="000000"/>
          <w:sz w:val="22"/>
          <w:szCs w:val="22"/>
        </w:rPr>
      </w:pPr>
      <w:bookmarkStart w:id="26" w:name="_heading=h.dzipzfjq8dxv" w:colFirst="0" w:colLast="0"/>
      <w:bookmarkStart w:id="27" w:name="_Toc212734467"/>
      <w:bookmarkEnd w:id="26"/>
      <w:r>
        <w:rPr>
          <w:rFonts w:ascii="Palatino Linotype" w:eastAsia="Palatino Linotype" w:hAnsi="Palatino Linotype" w:cs="Palatino Linotype"/>
          <w:b/>
          <w:color w:val="000000"/>
          <w:sz w:val="22"/>
          <w:szCs w:val="22"/>
        </w:rPr>
        <w:t>R E S U E L V E</w:t>
      </w:r>
      <w:bookmarkEnd w:id="27"/>
    </w:p>
    <w:p w:rsidR="00B52FC2" w:rsidRDefault="00B52FC2">
      <w:pPr>
        <w:spacing w:line="360" w:lineRule="auto"/>
        <w:ind w:right="-91"/>
        <w:jc w:val="both"/>
        <w:rPr>
          <w:rFonts w:ascii="Palatino Linotype" w:eastAsia="Palatino Linotype" w:hAnsi="Palatino Linotype" w:cs="Palatino Linotype"/>
          <w:b/>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PRIMERO. Se MODIFICA </w:t>
      </w:r>
      <w:r>
        <w:rPr>
          <w:rFonts w:ascii="Palatino Linotype" w:eastAsia="Palatino Linotype" w:hAnsi="Palatino Linotype" w:cs="Palatino Linotype"/>
          <w:color w:val="000000"/>
          <w:sz w:val="22"/>
          <w:szCs w:val="22"/>
        </w:rPr>
        <w:t xml:space="preserve">la respuesta entregada por el </w:t>
      </w:r>
      <w:r w:rsidR="00767035">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t xml:space="preserve">miento de Toluca, a las solicitudes de información </w:t>
      </w:r>
      <w:r>
        <w:rPr>
          <w:rFonts w:ascii="Palatino Linotype" w:eastAsia="Palatino Linotype" w:hAnsi="Palatino Linotype" w:cs="Palatino Linotype"/>
          <w:b/>
          <w:sz w:val="22"/>
          <w:szCs w:val="22"/>
        </w:rPr>
        <w:t>02306/TOLUCA/IP/2025, 02307/TOLUCA/IP/2025 y 02308/TOLUCA/IP/2025</w:t>
      </w:r>
      <w:r>
        <w:rPr>
          <w:rFonts w:ascii="Palatino Linotype" w:eastAsia="Palatino Linotype" w:hAnsi="Palatino Linotype" w:cs="Palatino Linotype"/>
          <w:color w:val="000000"/>
          <w:sz w:val="22"/>
          <w:szCs w:val="22"/>
        </w:rPr>
        <w:t xml:space="preserve">, por resultar </w:t>
      </w:r>
      <w:r>
        <w:rPr>
          <w:rFonts w:ascii="Palatino Linotype" w:eastAsia="Palatino Linotype" w:hAnsi="Palatino Linotype" w:cs="Palatino Linotype"/>
          <w:b/>
          <w:color w:val="000000"/>
          <w:sz w:val="22"/>
          <w:szCs w:val="22"/>
        </w:rPr>
        <w:t>FUNDADAS</w:t>
      </w:r>
      <w:r>
        <w:rPr>
          <w:rFonts w:ascii="Palatino Linotype" w:eastAsia="Palatino Linotype" w:hAnsi="Palatino Linotype" w:cs="Palatino Linotype"/>
          <w:color w:val="000000"/>
          <w:sz w:val="22"/>
          <w:szCs w:val="22"/>
        </w:rPr>
        <w:t xml:space="preserve"> las razones o motivos de inconformidad hechos valer por la persona Recurrente, en términos de los considerandos </w:t>
      </w:r>
      <w:r>
        <w:rPr>
          <w:rFonts w:ascii="Palatino Linotype" w:eastAsia="Palatino Linotype" w:hAnsi="Palatino Linotype" w:cs="Palatino Linotype"/>
          <w:b/>
          <w:color w:val="000000"/>
          <w:sz w:val="22"/>
          <w:szCs w:val="22"/>
        </w:rPr>
        <w:t>QUINTO y SEXTO</w:t>
      </w:r>
      <w:r>
        <w:rPr>
          <w:rFonts w:ascii="Palatino Linotype" w:eastAsia="Palatino Linotype" w:hAnsi="Palatino Linotype" w:cs="Palatino Linotype"/>
          <w:color w:val="000000"/>
          <w:sz w:val="22"/>
          <w:szCs w:val="22"/>
        </w:rPr>
        <w:t xml:space="preserve"> de la presente Resolución.</w:t>
      </w:r>
    </w:p>
    <w:p w:rsidR="00B52FC2" w:rsidRDefault="00B52FC2">
      <w:pPr>
        <w:spacing w:line="360" w:lineRule="auto"/>
        <w:jc w:val="both"/>
        <w:rPr>
          <w:rFonts w:ascii="Palatino Linotype" w:eastAsia="Palatino Linotype" w:hAnsi="Palatino Linotype" w:cs="Palatino Linotype"/>
          <w:b/>
          <w:color w:val="000000"/>
          <w:sz w:val="22"/>
          <w:szCs w:val="22"/>
        </w:rPr>
      </w:pPr>
    </w:p>
    <w:p w:rsidR="00B52FC2" w:rsidRDefault="00FB541F">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SEGUNDO. </w:t>
      </w:r>
      <w:r>
        <w:rPr>
          <w:rFonts w:ascii="Palatino Linotype" w:eastAsia="Palatino Linotype" w:hAnsi="Palatino Linotype" w:cs="Palatino Linotype"/>
          <w:color w:val="000000"/>
          <w:sz w:val="22"/>
          <w:szCs w:val="22"/>
        </w:rPr>
        <w:t>Se</w:t>
      </w:r>
      <w:r>
        <w:rPr>
          <w:rFonts w:ascii="Palatino Linotype" w:eastAsia="Palatino Linotype" w:hAnsi="Palatino Linotype" w:cs="Palatino Linotype"/>
          <w:b/>
          <w:color w:val="000000"/>
          <w:sz w:val="22"/>
          <w:szCs w:val="22"/>
        </w:rPr>
        <w:t xml:space="preserve"> ORDENA </w:t>
      </w:r>
      <w:r>
        <w:rPr>
          <w:rFonts w:ascii="Palatino Linotype" w:eastAsia="Palatino Linotype" w:hAnsi="Palatino Linotype" w:cs="Palatino Linotype"/>
          <w:color w:val="000000"/>
          <w:sz w:val="22"/>
          <w:szCs w:val="22"/>
        </w:rPr>
        <w:t xml:space="preserve">al Sujeto Obligado, a efecto de que previa búsqueda exhaustiva y razonable en los archivos de las unidades administrativas competentes, entregue a través </w:t>
      </w:r>
      <w:r>
        <w:rPr>
          <w:rFonts w:ascii="Palatino Linotype" w:eastAsia="Palatino Linotype" w:hAnsi="Palatino Linotype" w:cs="Palatino Linotype"/>
          <w:color w:val="000000"/>
          <w:sz w:val="22"/>
          <w:szCs w:val="22"/>
        </w:rPr>
        <w:lastRenderedPageBreak/>
        <w:t>del Sistema de Acceso a la Información Mexiquense (SAIMEX), en su caso, en versión pública, los documentos donde conste lo siguiente:</w:t>
      </w:r>
    </w:p>
    <w:p w:rsidR="00B52FC2" w:rsidRDefault="00FB541F">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b/>
      </w:r>
    </w:p>
    <w:p w:rsidR="00B52FC2" w:rsidRDefault="00FB541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Las Actas levantadas con motivo de los operativos remitidos en respuesta.</w:t>
      </w:r>
    </w:p>
    <w:p w:rsidR="00B52FC2" w:rsidRDefault="00B52FC2">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la materia.</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el supuesto, de haberse generado la información, que no cuente con alguna acta levantada por motivo de los operativos, por haber causado baja documental, deberá proporcionar el Acuerdo emitido por el Comité de Transparencia, donde confirme la inexistencia de la información, de conformidad con lo previsto en los artículos 19, párrafo tercero, 169 y 170 de la Ley de Transparencia y Acceso a la Información Pública del Estado de México y Municipios.</w:t>
      </w:r>
    </w:p>
    <w:p w:rsidR="00B52FC2" w:rsidRDefault="00B52FC2">
      <w:pPr>
        <w:spacing w:line="360" w:lineRule="auto"/>
        <w:jc w:val="both"/>
        <w:rPr>
          <w:rFonts w:ascii="Palatino Linotype" w:eastAsia="Palatino Linotype" w:hAnsi="Palatino Linotype" w:cs="Palatino Linotype"/>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Para el caso de que la Defensoría Municipal no haya levantado actas por motivo de los operativos, en parte del periodo, deberá de hacerlo del conocimiento de la persona recurrente de manera precisa y clara.</w:t>
      </w:r>
    </w:p>
    <w:p w:rsidR="00B52FC2" w:rsidRDefault="00B52FC2">
      <w:pPr>
        <w:spacing w:line="360" w:lineRule="auto"/>
        <w:jc w:val="both"/>
        <w:rPr>
          <w:rFonts w:ascii="Palatino Linotype" w:eastAsia="Palatino Linotype" w:hAnsi="Palatino Linotype" w:cs="Palatino Linotype"/>
          <w:b/>
          <w:color w:val="000000"/>
          <w:sz w:val="22"/>
          <w:szCs w:val="22"/>
        </w:rPr>
      </w:pPr>
    </w:p>
    <w:p w:rsidR="00B52FC2" w:rsidRDefault="00FB541F">
      <w:pPr>
        <w:spacing w:line="360" w:lineRule="auto"/>
        <w:ind w:right="-28"/>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 xml:space="preserve">TERCERO. </w:t>
      </w:r>
      <w:r>
        <w:rPr>
          <w:rFonts w:ascii="Palatino Linotype" w:eastAsia="Palatino Linotype" w:hAnsi="Palatino Linotype" w:cs="Palatino Linotype"/>
          <w:b/>
          <w:sz w:val="22"/>
          <w:szCs w:val="22"/>
        </w:rPr>
        <w:t xml:space="preserve">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w:t>
      </w:r>
      <w:r>
        <w:rPr>
          <w:rFonts w:ascii="Palatino Linotype" w:eastAsia="Palatino Linotype" w:hAnsi="Palatino Linotype" w:cs="Palatino Linotype"/>
          <w:sz w:val="22"/>
          <w:szCs w:val="22"/>
        </w:rPr>
        <w:lastRenderedPageBreak/>
        <w:t xml:space="preserve">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B52FC2" w:rsidRDefault="00B52FC2">
      <w:pPr>
        <w:spacing w:line="360" w:lineRule="auto"/>
        <w:ind w:right="-28"/>
        <w:jc w:val="both"/>
        <w:rPr>
          <w:rFonts w:ascii="Palatino Linotype" w:eastAsia="Palatino Linotype" w:hAnsi="Palatino Linotype" w:cs="Palatino Linotype"/>
          <w:sz w:val="22"/>
          <w:szCs w:val="22"/>
        </w:rPr>
      </w:pPr>
    </w:p>
    <w:p w:rsidR="00B52FC2" w:rsidRDefault="00FB541F">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rsidR="00B52FC2" w:rsidRDefault="00B52FC2">
      <w:pPr>
        <w:spacing w:line="360" w:lineRule="auto"/>
        <w:jc w:val="both"/>
        <w:rPr>
          <w:rFonts w:ascii="Palatino Linotype" w:eastAsia="Palatino Linotype" w:hAnsi="Palatino Linotype" w:cs="Palatino Linotype"/>
          <w:b/>
          <w:color w:val="000000"/>
          <w:sz w:val="22"/>
          <w:szCs w:val="22"/>
        </w:rPr>
      </w:pPr>
    </w:p>
    <w:p w:rsidR="00B52FC2" w:rsidRDefault="00FB541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CUARTO. NOTIFÍQUESE POR SAIMEX </w:t>
      </w:r>
      <w:r>
        <w:rPr>
          <w:rFonts w:ascii="Palatino Linotype" w:eastAsia="Palatino Linotype" w:hAnsi="Palatino Linotype" w:cs="Palatino Linotype"/>
          <w:color w:val="000000"/>
          <w:sz w:val="22"/>
          <w:szCs w:val="22"/>
        </w:rPr>
        <w:t xml:space="preserve">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B52FC2" w:rsidRDefault="00B52FC2">
      <w:pPr>
        <w:spacing w:line="360" w:lineRule="auto"/>
        <w:jc w:val="both"/>
        <w:rPr>
          <w:rFonts w:ascii="Palatino Linotype" w:eastAsia="Palatino Linotype" w:hAnsi="Palatino Linotype" w:cs="Palatino Linotype"/>
          <w:b/>
          <w:color w:val="000000"/>
          <w:sz w:val="22"/>
          <w:szCs w:val="22"/>
        </w:rPr>
      </w:pPr>
    </w:p>
    <w:p w:rsidR="00B52FC2" w:rsidRDefault="00FB541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ASÍ LO RESUELVE, POR </w:t>
      </w:r>
      <w:r>
        <w:rPr>
          <w:rFonts w:ascii="Palatino Linotype" w:eastAsia="Palatino Linotype" w:hAnsi="Palatino Linotype" w:cs="Palatino Linotype"/>
          <w:b/>
          <w:color w:val="000000"/>
          <w:sz w:val="22"/>
          <w:szCs w:val="22"/>
        </w:rPr>
        <w:t>UNANIMIDAD</w:t>
      </w:r>
      <w:r>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DC1ABA">
        <w:rPr>
          <w:rFonts w:ascii="Palatino Linotype" w:eastAsia="Palatino Linotype" w:hAnsi="Palatino Linotype" w:cs="Palatino Linotype"/>
          <w:color w:val="000000"/>
          <w:sz w:val="22"/>
          <w:szCs w:val="22"/>
        </w:rPr>
        <w:t xml:space="preserve"> (AUSENCIA JUSTIFICADA)</w:t>
      </w:r>
      <w:r>
        <w:rPr>
          <w:rFonts w:ascii="Palatino Linotype" w:eastAsia="Palatino Linotype" w:hAnsi="Palatino Linotype" w:cs="Palatino Linotype"/>
          <w:color w:val="000000"/>
          <w:sz w:val="22"/>
          <w:szCs w:val="22"/>
        </w:rPr>
        <w:t xml:space="preserve">, SHARON CRISTINA MORALES MARTÍNEZ, LUIS GUSTAVO PARRA NORIEGA Y GUADALUPE RAMÍREZ PEÑA, EN LA </w:t>
      </w:r>
      <w:r>
        <w:rPr>
          <w:rFonts w:ascii="Palatino Linotype" w:eastAsia="Palatino Linotype" w:hAnsi="Palatino Linotype" w:cs="Palatino Linotype"/>
          <w:sz w:val="22"/>
          <w:szCs w:val="22"/>
        </w:rPr>
        <w:t>TRIGÉSIMA</w:t>
      </w:r>
      <w:r>
        <w:rPr>
          <w:rFonts w:ascii="Palatino Linotype" w:eastAsia="Palatino Linotype" w:hAnsi="Palatino Linotype" w:cs="Palatino Linotype"/>
          <w:color w:val="000000"/>
          <w:sz w:val="22"/>
          <w:szCs w:val="22"/>
        </w:rPr>
        <w:t xml:space="preserve"> NOVENA SESIÓN ORDINARIA, CELEBRADA EL </w:t>
      </w:r>
      <w:r>
        <w:rPr>
          <w:rFonts w:ascii="Palatino Linotype" w:eastAsia="Palatino Linotype" w:hAnsi="Palatino Linotype" w:cs="Palatino Linotype"/>
          <w:sz w:val="22"/>
          <w:szCs w:val="22"/>
        </w:rPr>
        <w:t>CINCO DE NOVIEMBRE</w:t>
      </w:r>
      <w:r>
        <w:rPr>
          <w:rFonts w:ascii="Palatino Linotype" w:eastAsia="Palatino Linotype" w:hAnsi="Palatino Linotype" w:cs="Palatino Linotype"/>
          <w:color w:val="000000"/>
          <w:sz w:val="22"/>
          <w:szCs w:val="22"/>
        </w:rPr>
        <w:t xml:space="preserve"> DE DOS MIL VEINTICINCO, ANTE EL SECRETARIO TÉCNICO DEL PLENO, ALEXIS TAPIA RAMÍREZ.</w:t>
      </w: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rPr>
          <w:rFonts w:ascii="Palatino Linotype" w:eastAsia="Palatino Linotype" w:hAnsi="Palatino Linotype" w:cs="Palatino Linotype"/>
        </w:rPr>
      </w:pPr>
    </w:p>
    <w:p w:rsidR="00B52FC2" w:rsidRDefault="00B52FC2">
      <w:pPr>
        <w:spacing w:line="360" w:lineRule="auto"/>
      </w:pPr>
    </w:p>
    <w:p w:rsidR="00B52FC2" w:rsidRDefault="00B52FC2">
      <w:pPr>
        <w:spacing w:line="360" w:lineRule="auto"/>
      </w:pPr>
    </w:p>
    <w:p w:rsidR="00B52FC2" w:rsidRDefault="00B52FC2">
      <w:pPr>
        <w:spacing w:line="360" w:lineRule="auto"/>
      </w:pPr>
    </w:p>
    <w:p w:rsidR="00B52FC2" w:rsidRDefault="00B52FC2">
      <w:pPr>
        <w:spacing w:line="360" w:lineRule="auto"/>
      </w:pPr>
    </w:p>
    <w:p w:rsidR="00B52FC2" w:rsidRDefault="00B52FC2">
      <w:pPr>
        <w:spacing w:line="360" w:lineRule="auto"/>
      </w:pPr>
    </w:p>
    <w:p w:rsidR="00B52FC2" w:rsidRDefault="00B52FC2">
      <w:pPr>
        <w:spacing w:line="360" w:lineRule="auto"/>
      </w:pPr>
    </w:p>
    <w:p w:rsidR="00B52FC2" w:rsidRDefault="00B52FC2">
      <w:pPr>
        <w:spacing w:line="360" w:lineRule="auto"/>
      </w:pPr>
    </w:p>
    <w:p w:rsidR="00B52FC2" w:rsidRDefault="00B52FC2">
      <w:bookmarkStart w:id="28" w:name="_heading=h.ooaq51vw2rky" w:colFirst="0" w:colLast="0"/>
      <w:bookmarkEnd w:id="28"/>
    </w:p>
    <w:p w:rsidR="00B52FC2" w:rsidRDefault="00B52FC2"/>
    <w:sectPr w:rsidR="00B52FC2">
      <w:headerReference w:type="even" r:id="rId24"/>
      <w:headerReference w:type="default" r:id="rId25"/>
      <w:footerReference w:type="even" r:id="rId26"/>
      <w:footerReference w:type="default" r:id="rId27"/>
      <w:headerReference w:type="first" r:id="rId28"/>
      <w:footerReference w:type="first" r:id="rId2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E12" w:rsidRDefault="00494E12">
      <w:r>
        <w:separator/>
      </w:r>
    </w:p>
  </w:endnote>
  <w:endnote w:type="continuationSeparator" w:id="0">
    <w:p w:rsidR="00494E12" w:rsidRDefault="0049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A2A1F5B3-AF39-4BAD-B7CE-8678FEF7B849}"/>
  </w:font>
  <w:font w:name="Calibri">
    <w:panose1 w:val="020F0502020204030204"/>
    <w:charset w:val="00"/>
    <w:family w:val="swiss"/>
    <w:pitch w:val="variable"/>
    <w:sig w:usb0="E4002EFF" w:usb1="C200247B" w:usb2="00000009" w:usb3="00000000" w:csb0="000001FF" w:csb1="00000000"/>
    <w:embedRegular r:id="rId2" w:fontKey="{69B4B5D6-10A8-4F56-84C8-55E6FAA77D26}"/>
  </w:font>
  <w:font w:name="Calibri Light">
    <w:panose1 w:val="020F0302020204030204"/>
    <w:charset w:val="00"/>
    <w:family w:val="swiss"/>
    <w:pitch w:val="variable"/>
    <w:sig w:usb0="E4002EFF" w:usb1="C200247B" w:usb2="00000009" w:usb3="00000000" w:csb0="000001FF" w:csb1="00000000"/>
    <w:embedRegular r:id="rId3" w:fontKey="{64E885FE-2B18-4531-8C74-9992DCCC8F69}"/>
  </w:font>
  <w:font w:name="Segoe UI">
    <w:panose1 w:val="020B0502040204020203"/>
    <w:charset w:val="00"/>
    <w:family w:val="swiss"/>
    <w:pitch w:val="variable"/>
    <w:sig w:usb0="E4002EFF" w:usb1="C000E47F" w:usb2="00000009" w:usb3="00000000" w:csb0="000001FF" w:csb1="00000000"/>
    <w:embedRegular r:id="rId4" w:fontKey="{1258E5FB-BFE1-4BD6-88A6-90DE769E2F9F}"/>
  </w:font>
  <w:font w:name="Georgia">
    <w:panose1 w:val="02040502050405020303"/>
    <w:charset w:val="00"/>
    <w:family w:val="roman"/>
    <w:pitch w:val="variable"/>
    <w:sig w:usb0="00000287" w:usb1="00000000" w:usb2="00000000" w:usb3="00000000" w:csb0="0000009F" w:csb1="00000000"/>
    <w:embedRegular r:id="rId5" w:fontKey="{ADC56C9B-6DA4-4D8B-B6A7-06F1683715C7}"/>
    <w:embedItalic r:id="rId6" w:fontKey="{7A645894-DBE3-4CE1-A131-ECE1D0B04D94}"/>
  </w:font>
  <w:font w:name="Palatino Linotype">
    <w:panose1 w:val="02040502050505030304"/>
    <w:charset w:val="00"/>
    <w:family w:val="roman"/>
    <w:pitch w:val="variable"/>
    <w:sig w:usb0="E0000287" w:usb1="40000013" w:usb2="00000000" w:usb3="00000000" w:csb0="0000019F" w:csb1="00000000"/>
    <w:embedRegular r:id="rId7" w:fontKey="{DE0DC748-C0D0-4AC4-927B-5055C28440E9}"/>
    <w:embedBold r:id="rId8" w:fontKey="{E8E61E05-2B55-4EDD-8C6A-FCE8A138B945}"/>
    <w:embedItalic r:id="rId9" w:fontKey="{782BBBA4-5258-4B0B-BAA9-2A1431ECA699}"/>
    <w:embedBoldItalic r:id="rId10" w:fontKey="{ECFD8FAC-2374-41F6-87BD-E497A432B05B}"/>
  </w:font>
  <w:font w:name="Tahoma">
    <w:panose1 w:val="020B0604030504040204"/>
    <w:charset w:val="00"/>
    <w:family w:val="swiss"/>
    <w:pitch w:val="variable"/>
    <w:sig w:usb0="E1002EFF" w:usb1="C000605B" w:usb2="00000029" w:usb3="00000000" w:csb0="000101FF" w:csb1="00000000"/>
    <w:embedRegular r:id="rId11" w:fontKey="{51F87CA2-0089-47C3-B1F2-671419047DC2}"/>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2" w:fontKey="{5B00E744-C7A0-4AF8-A38B-27FA59FCB4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C2" w:rsidRDefault="00FB541F">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4F5D4E">
      <w:rPr>
        <w:rFonts w:ascii="Palatino Linotype" w:eastAsia="Palatino Linotype" w:hAnsi="Palatino Linotype" w:cs="Palatino Linotype"/>
        <w:b/>
        <w:noProof/>
        <w:color w:val="000000"/>
        <w:sz w:val="22"/>
        <w:szCs w:val="22"/>
      </w:rPr>
      <w:t>34</w:t>
    </w:r>
    <w:r>
      <w:rPr>
        <w:rFonts w:ascii="Palatino Linotype" w:eastAsia="Palatino Linotype" w:hAnsi="Palatino Linotype" w:cs="Palatino Linotype"/>
        <w:b/>
        <w:color w:val="000000"/>
        <w:sz w:val="22"/>
        <w:szCs w:val="22"/>
      </w:rPr>
      <w:fldChar w:fldCharType="end"/>
    </w:r>
  </w:p>
  <w:p w:rsidR="00B52FC2" w:rsidRDefault="00B52FC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C2" w:rsidRDefault="00FB541F">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D5026A">
      <w:rPr>
        <w:rFonts w:ascii="Palatino Linotype" w:eastAsia="Palatino Linotype" w:hAnsi="Palatino Linotype" w:cs="Palatino Linotype"/>
        <w:b/>
        <w:noProof/>
        <w:color w:val="000000"/>
        <w:sz w:val="22"/>
        <w:szCs w:val="22"/>
      </w:rPr>
      <w:t>22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D5026A">
      <w:rPr>
        <w:rFonts w:ascii="Palatino Linotype" w:eastAsia="Palatino Linotype" w:hAnsi="Palatino Linotype" w:cs="Palatino Linotype"/>
        <w:b/>
        <w:noProof/>
        <w:color w:val="000000"/>
        <w:sz w:val="22"/>
        <w:szCs w:val="22"/>
      </w:rPr>
      <w:t>34</w:t>
    </w:r>
    <w:r>
      <w:rPr>
        <w:rFonts w:ascii="Palatino Linotype" w:eastAsia="Palatino Linotype" w:hAnsi="Palatino Linotype" w:cs="Palatino Linotype"/>
        <w:b/>
        <w:color w:val="000000"/>
        <w:sz w:val="22"/>
        <w:szCs w:val="22"/>
      </w:rPr>
      <w:fldChar w:fldCharType="end"/>
    </w:r>
  </w:p>
  <w:p w:rsidR="00B52FC2" w:rsidRDefault="00B52FC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C2" w:rsidRDefault="00FB541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D5026A">
      <w:rPr>
        <w:rFonts w:ascii="Palatino Linotype" w:eastAsia="Palatino Linotype" w:hAnsi="Palatino Linotype" w:cs="Palatino Linotype"/>
        <w:b/>
        <w:noProof/>
        <w:color w:val="000000"/>
        <w:sz w:val="22"/>
        <w:szCs w:val="22"/>
      </w:rPr>
      <w:t>1</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D5026A">
      <w:rPr>
        <w:rFonts w:ascii="Palatino Linotype" w:eastAsia="Palatino Linotype" w:hAnsi="Palatino Linotype" w:cs="Palatino Linotype"/>
        <w:b/>
        <w:noProof/>
        <w:color w:val="000000"/>
        <w:sz w:val="22"/>
        <w:szCs w:val="22"/>
      </w:rPr>
      <w:t>34</w:t>
    </w:r>
    <w:r>
      <w:rPr>
        <w:rFonts w:ascii="Palatino Linotype" w:eastAsia="Palatino Linotype" w:hAnsi="Palatino Linotype" w:cs="Palatino Linotype"/>
        <w:b/>
        <w:color w:val="000000"/>
        <w:sz w:val="22"/>
        <w:szCs w:val="22"/>
      </w:rPr>
      <w:fldChar w:fldCharType="end"/>
    </w:r>
  </w:p>
  <w:p w:rsidR="00B52FC2" w:rsidRDefault="00B52FC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E12" w:rsidRDefault="00494E12">
      <w:r>
        <w:separator/>
      </w:r>
    </w:p>
  </w:footnote>
  <w:footnote w:type="continuationSeparator" w:id="0">
    <w:p w:rsidR="00494E12" w:rsidRDefault="00494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C2" w:rsidRDefault="00B52FC2">
    <w:pPr>
      <w:widowControl w:val="0"/>
      <w:pBdr>
        <w:top w:val="nil"/>
        <w:left w:val="nil"/>
        <w:bottom w:val="nil"/>
        <w:right w:val="nil"/>
        <w:between w:val="nil"/>
      </w:pBdr>
      <w:spacing w:line="276" w:lineRule="auto"/>
    </w:pPr>
  </w:p>
  <w:tbl>
    <w:tblPr>
      <w:tblStyle w:val="a9"/>
      <w:tblW w:w="9705" w:type="dxa"/>
      <w:tblInd w:w="0" w:type="dxa"/>
      <w:tblLayout w:type="fixed"/>
      <w:tblLook w:val="0400" w:firstRow="0" w:lastRow="0" w:firstColumn="0" w:lastColumn="0" w:noHBand="0" w:noVBand="1"/>
    </w:tblPr>
    <w:tblGrid>
      <w:gridCol w:w="2972"/>
      <w:gridCol w:w="6733"/>
    </w:tblGrid>
    <w:tr w:rsidR="00B52FC2">
      <w:trPr>
        <w:trHeight w:val="1435"/>
      </w:trPr>
      <w:tc>
        <w:tcPr>
          <w:tcW w:w="0" w:type="auto"/>
        </w:tcPr>
        <w:p w:rsidR="00B52FC2" w:rsidRDefault="00B52FC2">
          <w:pPr>
            <w:tabs>
              <w:tab w:val="right" w:pos="4273"/>
            </w:tabs>
            <w:spacing w:line="256" w:lineRule="auto"/>
            <w:rPr>
              <w:rFonts w:ascii="Garamond" w:eastAsia="Garamond" w:hAnsi="Garamond" w:cs="Garamond"/>
              <w:sz w:val="22"/>
              <w:szCs w:val="22"/>
            </w:rPr>
          </w:pPr>
        </w:p>
      </w:tc>
      <w:tc>
        <w:tcPr>
          <w:tcW w:w="0" w:type="auto"/>
        </w:tcPr>
        <w:p w:rsidR="00B52FC2" w:rsidRDefault="00B52FC2">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a"/>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B52FC2">
            <w:trPr>
              <w:trHeight w:val="144"/>
            </w:trPr>
            <w:tc>
              <w:tcPr>
                <w:tcW w:w="0" w:type="auto"/>
              </w:tcPr>
              <w:p w:rsidR="00B52FC2" w:rsidRDefault="00FB541F">
                <w:pPr>
                  <w:tabs>
                    <w:tab w:val="right" w:pos="8838"/>
                  </w:tabs>
                  <w:ind w:left="-69"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0" w:type="auto"/>
              </w:tcPr>
              <w:p w:rsidR="00B52FC2" w:rsidRDefault="00FB541F">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B52FC2">
            <w:trPr>
              <w:trHeight w:val="283"/>
            </w:trPr>
            <w:tc>
              <w:tcPr>
                <w:tcW w:w="0" w:type="auto"/>
              </w:tcPr>
              <w:p w:rsidR="00B52FC2" w:rsidRDefault="00FB541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0" w:type="auto"/>
              </w:tcPr>
              <w:p w:rsidR="00B52FC2" w:rsidRDefault="00FB541F">
                <w:pPr>
                  <w:tabs>
                    <w:tab w:val="left" w:pos="2834"/>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Ayuntamiento de San Antonio la Isla</w:t>
                </w:r>
              </w:p>
            </w:tc>
          </w:tr>
          <w:tr w:rsidR="00B52FC2">
            <w:trPr>
              <w:trHeight w:val="283"/>
            </w:trPr>
            <w:tc>
              <w:tcPr>
                <w:tcW w:w="0" w:type="auto"/>
              </w:tcPr>
              <w:p w:rsidR="00B52FC2" w:rsidRDefault="00FB541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0" w:type="auto"/>
              </w:tcPr>
              <w:p w:rsidR="00B52FC2" w:rsidRDefault="00FB541F">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B52FC2" w:rsidRDefault="00B52FC2">
                <w:pPr>
                  <w:tabs>
                    <w:tab w:val="right" w:pos="8838"/>
                  </w:tabs>
                  <w:ind w:left="-74" w:right="-105"/>
                  <w:jc w:val="both"/>
                  <w:rPr>
                    <w:rFonts w:ascii="Palatino Linotype" w:eastAsia="Palatino Linotype" w:hAnsi="Palatino Linotype" w:cs="Palatino Linotype"/>
                    <w:b/>
                    <w:sz w:val="22"/>
                    <w:szCs w:val="22"/>
                  </w:rPr>
                </w:pPr>
              </w:p>
            </w:tc>
          </w:tr>
        </w:tbl>
        <w:p w:rsidR="00B52FC2" w:rsidRDefault="00B52FC2">
          <w:pPr>
            <w:tabs>
              <w:tab w:val="right" w:pos="8838"/>
            </w:tabs>
            <w:spacing w:line="256" w:lineRule="auto"/>
            <w:ind w:left="-28"/>
            <w:jc w:val="both"/>
            <w:rPr>
              <w:rFonts w:ascii="Arial" w:eastAsia="Arial" w:hAnsi="Arial" w:cs="Arial"/>
              <w:b/>
              <w:sz w:val="22"/>
              <w:szCs w:val="22"/>
            </w:rPr>
          </w:pPr>
        </w:p>
      </w:tc>
    </w:tr>
  </w:tbl>
  <w:p w:rsidR="00B52FC2" w:rsidRDefault="00FB541F">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simplePos x="0" y="0"/>
          <wp:positionH relativeFrom="margin">
            <wp:posOffset>-1381123</wp:posOffset>
          </wp:positionH>
          <wp:positionV relativeFrom="margin">
            <wp:posOffset>-1611628</wp:posOffset>
          </wp:positionV>
          <wp:extent cx="5612130" cy="7308215"/>
          <wp:effectExtent l="0" t="0" r="0" b="0"/>
          <wp:wrapNone/>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C2" w:rsidRDefault="00B52FC2">
    <w:pPr>
      <w:widowControl w:val="0"/>
      <w:pBdr>
        <w:top w:val="nil"/>
        <w:left w:val="nil"/>
        <w:bottom w:val="nil"/>
        <w:right w:val="nil"/>
        <w:between w:val="nil"/>
      </w:pBdr>
      <w:spacing w:line="276" w:lineRule="auto"/>
      <w:rPr>
        <w:color w:val="000000"/>
      </w:rPr>
    </w:pPr>
  </w:p>
  <w:tbl>
    <w:tblPr>
      <w:tblStyle w:val="ab"/>
      <w:tblW w:w="9356" w:type="dxa"/>
      <w:tblInd w:w="0" w:type="dxa"/>
      <w:tblLayout w:type="fixed"/>
      <w:tblLook w:val="0400" w:firstRow="0" w:lastRow="0" w:firstColumn="0" w:lastColumn="0" w:noHBand="0" w:noVBand="1"/>
    </w:tblPr>
    <w:tblGrid>
      <w:gridCol w:w="1985"/>
      <w:gridCol w:w="7371"/>
    </w:tblGrid>
    <w:tr w:rsidR="00B52FC2">
      <w:trPr>
        <w:trHeight w:val="1435"/>
      </w:trPr>
      <w:tc>
        <w:tcPr>
          <w:tcW w:w="1985" w:type="dxa"/>
        </w:tcPr>
        <w:p w:rsidR="00B52FC2" w:rsidRDefault="00B52FC2">
          <w:pPr>
            <w:tabs>
              <w:tab w:val="right" w:pos="4273"/>
            </w:tabs>
            <w:spacing w:line="256" w:lineRule="auto"/>
            <w:rPr>
              <w:rFonts w:ascii="Garamond" w:eastAsia="Garamond" w:hAnsi="Garamond" w:cs="Garamond"/>
              <w:sz w:val="22"/>
              <w:szCs w:val="22"/>
            </w:rPr>
          </w:pPr>
        </w:p>
      </w:tc>
      <w:tc>
        <w:tcPr>
          <w:tcW w:w="7371" w:type="dxa"/>
        </w:tcPr>
        <w:p w:rsidR="00B52FC2" w:rsidRDefault="00B52FC2">
          <w:pPr>
            <w:rPr>
              <w:sz w:val="28"/>
              <w:szCs w:val="28"/>
            </w:rPr>
          </w:pPr>
        </w:p>
        <w:tbl>
          <w:tblPr>
            <w:tblStyle w:val="ac"/>
            <w:tblW w:w="8071" w:type="dxa"/>
            <w:tblInd w:w="1161" w:type="dxa"/>
            <w:tblBorders>
              <w:top w:val="nil"/>
              <w:left w:val="nil"/>
              <w:bottom w:val="nil"/>
              <w:right w:val="nil"/>
              <w:insideH w:val="nil"/>
              <w:insideV w:val="nil"/>
            </w:tblBorders>
            <w:tblLayout w:type="fixed"/>
            <w:tblLook w:val="0400" w:firstRow="0" w:lastRow="0" w:firstColumn="0" w:lastColumn="0" w:noHBand="0" w:noVBand="1"/>
          </w:tblPr>
          <w:tblGrid>
            <w:gridCol w:w="2840"/>
            <w:gridCol w:w="2977"/>
            <w:gridCol w:w="2254"/>
          </w:tblGrid>
          <w:tr w:rsidR="00B52FC2">
            <w:trPr>
              <w:trHeight w:val="194"/>
            </w:trPr>
            <w:tc>
              <w:tcPr>
                <w:tcW w:w="2840" w:type="dxa"/>
              </w:tcPr>
              <w:p w:rsidR="00B52FC2" w:rsidRDefault="00FB541F">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977" w:type="dxa"/>
              </w:tcPr>
              <w:p w:rsidR="00B52FC2" w:rsidRDefault="00FB541F">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06521/INFOEM/IP/RR/2025 y acumulados</w:t>
                </w:r>
              </w:p>
            </w:tc>
            <w:tc>
              <w:tcPr>
                <w:tcW w:w="2254" w:type="dxa"/>
              </w:tcPr>
              <w:p w:rsidR="00B52FC2" w:rsidRDefault="00B52FC2">
                <w:pPr>
                  <w:tabs>
                    <w:tab w:val="right" w:pos="8838"/>
                  </w:tabs>
                  <w:ind w:left="-114" w:right="-105"/>
                  <w:jc w:val="both"/>
                  <w:rPr>
                    <w:rFonts w:ascii="Palatino Linotype" w:eastAsia="Palatino Linotype" w:hAnsi="Palatino Linotype" w:cs="Palatino Linotype"/>
                    <w:sz w:val="22"/>
                    <w:szCs w:val="22"/>
                  </w:rPr>
                </w:pPr>
              </w:p>
            </w:tc>
          </w:tr>
          <w:tr w:rsidR="00B52FC2">
            <w:trPr>
              <w:trHeight w:val="88"/>
            </w:trPr>
            <w:tc>
              <w:tcPr>
                <w:tcW w:w="2840" w:type="dxa"/>
              </w:tcPr>
              <w:p w:rsidR="00B52FC2" w:rsidRDefault="00FB541F">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977" w:type="dxa"/>
              </w:tcPr>
              <w:p w:rsidR="00B52FC2" w:rsidRDefault="00FB541F">
                <w:pPr>
                  <w:tabs>
                    <w:tab w:val="left" w:pos="2834"/>
                    <w:tab w:val="right" w:pos="8838"/>
                  </w:tabs>
                  <w:ind w:left="-114"/>
                  <w:jc w:val="both"/>
                  <w:rPr>
                    <w:rFonts w:ascii="Palatino Linotype" w:eastAsia="Palatino Linotype" w:hAnsi="Palatino Linotype" w:cs="Palatino Linotype"/>
                    <w:b/>
                    <w:sz w:val="32"/>
                    <w:szCs w:val="32"/>
                  </w:rPr>
                </w:pPr>
                <w:r>
                  <w:rPr>
                    <w:rFonts w:ascii="Palatino Linotype" w:eastAsia="Palatino Linotype" w:hAnsi="Palatino Linotype" w:cs="Palatino Linotype"/>
                    <w:sz w:val="22"/>
                    <w:szCs w:val="22"/>
                  </w:rPr>
                  <w:t>Ayuntamiento de Toluca</w:t>
                </w:r>
              </w:p>
            </w:tc>
            <w:tc>
              <w:tcPr>
                <w:tcW w:w="2254" w:type="dxa"/>
              </w:tcPr>
              <w:p w:rsidR="00B52FC2" w:rsidRDefault="00B52FC2">
                <w:pPr>
                  <w:tabs>
                    <w:tab w:val="left" w:pos="2834"/>
                    <w:tab w:val="right" w:pos="8838"/>
                  </w:tabs>
                  <w:ind w:left="-114"/>
                  <w:jc w:val="both"/>
                  <w:rPr>
                    <w:rFonts w:ascii="Palatino Linotype" w:eastAsia="Palatino Linotype" w:hAnsi="Palatino Linotype" w:cs="Palatino Linotype"/>
                    <w:sz w:val="22"/>
                    <w:szCs w:val="22"/>
                  </w:rPr>
                </w:pPr>
              </w:p>
            </w:tc>
          </w:tr>
          <w:tr w:rsidR="00B52FC2">
            <w:trPr>
              <w:trHeight w:val="383"/>
            </w:trPr>
            <w:tc>
              <w:tcPr>
                <w:tcW w:w="2840" w:type="dxa"/>
              </w:tcPr>
              <w:p w:rsidR="00B52FC2" w:rsidRDefault="00FB541F">
                <w:pPr>
                  <w:tabs>
                    <w:tab w:val="right" w:pos="8838"/>
                  </w:tabs>
                  <w:ind w:left="-11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2977" w:type="dxa"/>
              </w:tcPr>
              <w:p w:rsidR="00B52FC2" w:rsidRDefault="00FB541F">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254" w:type="dxa"/>
              </w:tcPr>
              <w:p w:rsidR="00B52FC2" w:rsidRDefault="00B52FC2">
                <w:pPr>
                  <w:tabs>
                    <w:tab w:val="right" w:pos="8838"/>
                  </w:tabs>
                  <w:ind w:left="-114" w:right="-105"/>
                  <w:jc w:val="both"/>
                  <w:rPr>
                    <w:rFonts w:ascii="Palatino Linotype" w:eastAsia="Palatino Linotype" w:hAnsi="Palatino Linotype" w:cs="Palatino Linotype"/>
                    <w:sz w:val="22"/>
                    <w:szCs w:val="22"/>
                  </w:rPr>
                </w:pPr>
              </w:p>
            </w:tc>
          </w:tr>
        </w:tbl>
        <w:p w:rsidR="00B52FC2" w:rsidRDefault="00B52FC2">
          <w:pPr>
            <w:tabs>
              <w:tab w:val="right" w:pos="8838"/>
            </w:tabs>
            <w:spacing w:line="256" w:lineRule="auto"/>
            <w:ind w:left="-28"/>
            <w:jc w:val="both"/>
            <w:rPr>
              <w:rFonts w:ascii="Arial" w:eastAsia="Arial" w:hAnsi="Arial" w:cs="Arial"/>
              <w:b/>
              <w:sz w:val="22"/>
              <w:szCs w:val="22"/>
            </w:rPr>
          </w:pPr>
        </w:p>
      </w:tc>
    </w:tr>
  </w:tbl>
  <w:p w:rsidR="00B52FC2" w:rsidRDefault="00FB541F">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simplePos x="0" y="0"/>
          <wp:positionH relativeFrom="margin">
            <wp:posOffset>-1153157</wp:posOffset>
          </wp:positionH>
          <wp:positionV relativeFrom="margin">
            <wp:posOffset>-1539238</wp:posOffset>
          </wp:positionV>
          <wp:extent cx="7835900" cy="10203815"/>
          <wp:effectExtent l="0" t="0" r="0" b="0"/>
          <wp:wrapNone/>
          <wp:docPr id="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C2" w:rsidRDefault="00B52FC2">
    <w:pPr>
      <w:widowControl w:val="0"/>
      <w:pBdr>
        <w:top w:val="nil"/>
        <w:left w:val="nil"/>
        <w:bottom w:val="nil"/>
        <w:right w:val="nil"/>
        <w:between w:val="nil"/>
      </w:pBdr>
      <w:spacing w:line="276" w:lineRule="auto"/>
      <w:rPr>
        <w:color w:val="000000"/>
      </w:rPr>
    </w:pPr>
  </w:p>
  <w:tbl>
    <w:tblPr>
      <w:tblStyle w:val="ad"/>
      <w:tblW w:w="9214" w:type="dxa"/>
      <w:tblInd w:w="0" w:type="dxa"/>
      <w:tblLayout w:type="fixed"/>
      <w:tblLook w:val="0400" w:firstRow="0" w:lastRow="0" w:firstColumn="0" w:lastColumn="0" w:noHBand="0" w:noVBand="1"/>
    </w:tblPr>
    <w:tblGrid>
      <w:gridCol w:w="1560"/>
      <w:gridCol w:w="7654"/>
    </w:tblGrid>
    <w:tr w:rsidR="00B52FC2">
      <w:trPr>
        <w:trHeight w:val="1435"/>
      </w:trPr>
      <w:tc>
        <w:tcPr>
          <w:tcW w:w="1560" w:type="dxa"/>
        </w:tcPr>
        <w:p w:rsidR="00B52FC2" w:rsidRDefault="00B52FC2">
          <w:pPr>
            <w:tabs>
              <w:tab w:val="right" w:pos="4273"/>
            </w:tabs>
            <w:spacing w:line="256" w:lineRule="auto"/>
            <w:rPr>
              <w:rFonts w:ascii="Garamond" w:eastAsia="Garamond" w:hAnsi="Garamond" w:cs="Garamond"/>
              <w:sz w:val="22"/>
              <w:szCs w:val="22"/>
            </w:rPr>
          </w:pPr>
        </w:p>
      </w:tc>
      <w:tc>
        <w:tcPr>
          <w:tcW w:w="7654" w:type="dxa"/>
        </w:tcPr>
        <w:p w:rsidR="00B52FC2" w:rsidRDefault="00B52FC2">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e"/>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17"/>
            <w:gridCol w:w="2835"/>
            <w:gridCol w:w="459"/>
          </w:tblGrid>
          <w:tr w:rsidR="00B52FC2">
            <w:trPr>
              <w:gridAfter w:val="1"/>
              <w:wAfter w:w="459" w:type="dxa"/>
              <w:trHeight w:val="132"/>
            </w:trPr>
            <w:tc>
              <w:tcPr>
                <w:tcW w:w="3817" w:type="dxa"/>
              </w:tcPr>
              <w:p w:rsidR="00B52FC2" w:rsidRDefault="00FB541F">
                <w:pPr>
                  <w:tabs>
                    <w:tab w:val="right" w:pos="8838"/>
                  </w:tabs>
                  <w:ind w:left="-69"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2835" w:type="dxa"/>
              </w:tcPr>
              <w:p w:rsidR="00B52FC2" w:rsidRDefault="00FB541F">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06521/INFOEM/IP/RR/2025 y acumulados </w:t>
                </w:r>
              </w:p>
            </w:tc>
          </w:tr>
          <w:tr w:rsidR="00B52FC2">
            <w:trPr>
              <w:gridAfter w:val="1"/>
              <w:wAfter w:w="459" w:type="dxa"/>
              <w:trHeight w:val="132"/>
            </w:trPr>
            <w:tc>
              <w:tcPr>
                <w:tcW w:w="3817" w:type="dxa"/>
              </w:tcPr>
              <w:p w:rsidR="00B52FC2" w:rsidRDefault="00FB541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2835" w:type="dxa"/>
              </w:tcPr>
              <w:p w:rsidR="00B52FC2" w:rsidRDefault="00B52FC2">
                <w:pPr>
                  <w:tabs>
                    <w:tab w:val="left" w:pos="3122"/>
                    <w:tab w:val="right" w:pos="8838"/>
                  </w:tabs>
                  <w:ind w:left="-74" w:right="-105"/>
                  <w:jc w:val="both"/>
                  <w:rPr>
                    <w:rFonts w:ascii="Palatino Linotype" w:eastAsia="Palatino Linotype" w:hAnsi="Palatino Linotype" w:cs="Palatino Linotype"/>
                    <w:sz w:val="22"/>
                    <w:szCs w:val="22"/>
                  </w:rPr>
                </w:pPr>
              </w:p>
            </w:tc>
          </w:tr>
          <w:tr w:rsidR="00B52FC2">
            <w:trPr>
              <w:gridAfter w:val="1"/>
              <w:wAfter w:w="459" w:type="dxa"/>
              <w:trHeight w:val="261"/>
            </w:trPr>
            <w:tc>
              <w:tcPr>
                <w:tcW w:w="3817" w:type="dxa"/>
              </w:tcPr>
              <w:p w:rsidR="00B52FC2" w:rsidRDefault="00FB541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2835" w:type="dxa"/>
              </w:tcPr>
              <w:p w:rsidR="00B52FC2" w:rsidRDefault="00FB541F">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Toluca </w:t>
                </w:r>
              </w:p>
            </w:tc>
          </w:tr>
          <w:tr w:rsidR="00B52FC2">
            <w:trPr>
              <w:trHeight w:val="261"/>
            </w:trPr>
            <w:tc>
              <w:tcPr>
                <w:tcW w:w="3817" w:type="dxa"/>
              </w:tcPr>
              <w:p w:rsidR="00B52FC2" w:rsidRDefault="00FB541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294" w:type="dxa"/>
                <w:gridSpan w:val="2"/>
              </w:tcPr>
              <w:p w:rsidR="00B52FC2" w:rsidRDefault="00FB541F">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B52FC2" w:rsidRDefault="00B52FC2">
          <w:pPr>
            <w:tabs>
              <w:tab w:val="right" w:pos="8838"/>
            </w:tabs>
            <w:spacing w:line="256" w:lineRule="auto"/>
            <w:ind w:left="-28"/>
            <w:jc w:val="both"/>
            <w:rPr>
              <w:rFonts w:ascii="Arial" w:eastAsia="Arial" w:hAnsi="Arial" w:cs="Arial"/>
              <w:b/>
              <w:sz w:val="22"/>
              <w:szCs w:val="22"/>
            </w:rPr>
          </w:pPr>
        </w:p>
      </w:tc>
    </w:tr>
  </w:tbl>
  <w:p w:rsidR="00B52FC2" w:rsidRDefault="00494E12">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05pt;margin-top:-121.35pt;width:663.5pt;height:12in;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415C"/>
    <w:multiLevelType w:val="multilevel"/>
    <w:tmpl w:val="3BFCAE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564EB9"/>
    <w:multiLevelType w:val="multilevel"/>
    <w:tmpl w:val="C8B8BD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7D6D23"/>
    <w:multiLevelType w:val="multilevel"/>
    <w:tmpl w:val="6F0C9D2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38691F"/>
    <w:multiLevelType w:val="multilevel"/>
    <w:tmpl w:val="2F08AED2"/>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15:restartNumberingAfterBreak="0">
    <w:nsid w:val="6C0008DD"/>
    <w:multiLevelType w:val="multilevel"/>
    <w:tmpl w:val="93A0C9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4C01CA"/>
    <w:multiLevelType w:val="multilevel"/>
    <w:tmpl w:val="ACE69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FC2"/>
    <w:rsid w:val="001F2944"/>
    <w:rsid w:val="00317352"/>
    <w:rsid w:val="003436AD"/>
    <w:rsid w:val="00437DC3"/>
    <w:rsid w:val="00494E12"/>
    <w:rsid w:val="004D1919"/>
    <w:rsid w:val="004F5D4E"/>
    <w:rsid w:val="00767035"/>
    <w:rsid w:val="007E73F8"/>
    <w:rsid w:val="00B52FC2"/>
    <w:rsid w:val="00C4600B"/>
    <w:rsid w:val="00D5026A"/>
    <w:rsid w:val="00DC1ABA"/>
    <w:rsid w:val="00E32FF1"/>
    <w:rsid w:val="00FB541F"/>
    <w:rsid w:val="00FC00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7E26D3E-C4A9-4F02-82CE-70ED124E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deTDC">
    <w:name w:val="TOC Heading"/>
    <w:next w:val="Normal"/>
    <w:uiPriority w:val="39"/>
    <w:unhideWhenUsed/>
    <w:qFormat/>
    <w:rsid w:val="00473E86"/>
    <w:pPr>
      <w:spacing w:before="240"/>
    </w:pPr>
    <w:rPr>
      <w:sz w:val="32"/>
      <w:szCs w:val="32"/>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rPr>
  </w:style>
  <w:style w:type="paragraph" w:styleId="Textodeglobo">
    <w:name w:val="Balloon Text"/>
    <w:basedOn w:val="Normal"/>
    <w:link w:val="TextodegloboCar"/>
    <w:uiPriority w:val="99"/>
    <w:semiHidden/>
    <w:unhideWhenUsed/>
    <w:rsid w:val="003D00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0000"/>
    <w:rPr>
      <w:rFonts w:ascii="Segoe UI" w:eastAsia="Times New Roman" w:hAnsi="Segoe UI" w:cs="Segoe UI"/>
      <w:sz w:val="18"/>
      <w:szCs w:val="18"/>
      <w:lang w:eastAsia="es-ES"/>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umbreinformativa.com/alcoholimetro-en-toluca-intensifican-operativos-y-exhortan-a-no-manejar-ebrio/"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tVOyoRuAQ9Cmo0ohGjkMOddDfQ==">CgMxLjAyDmguNnhjaW9hOG13eXZiMg5oLm9vN3c5eXo0MzIxcDIOaC5sajNyMWZycWt2bXgyDmgudWpsNmV2N2ZqcWdyMg5oLmFjbWZhdHRzZnF2NDIOaC5td2I3aXh0ZzJwNzQyDWgubmloMGluNmIzYzQyDmgucGJrenUxYjR4ZWg4Mg5oLjI0MnB4dnh4dGlkZjIOaC5hZ3J4YnM2OWViMWgyDmgucWNldjB3MjcwNHhmMg5oLmhlbmpvN3ZiY21zbzIOaC42anV6emV6NHFreTgyDmgud2h3enlvbmNkcWd6Mg5oLmR6aXB6ZmpxOGR4djIOaC5vb2FxNTF2dzJya3k4AHIhMThjb1UtVVQwRWZhb0NEQUk3aTRzY3lGVHd4ajd2dj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6959</Words>
  <Characters>38275</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5</cp:revision>
  <cp:lastPrinted>2025-11-07T00:34:00Z</cp:lastPrinted>
  <dcterms:created xsi:type="dcterms:W3CDTF">2025-11-07T00:34:00Z</dcterms:created>
  <dcterms:modified xsi:type="dcterms:W3CDTF">2025-12-09T00:31:00Z</dcterms:modified>
</cp:coreProperties>
</file>