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9517" w14:textId="722B2134" w:rsidR="00286EFA" w:rsidRPr="00E60AC1" w:rsidRDefault="00286EFA" w:rsidP="005D202C">
      <w:pPr>
        <w:widowControl w:val="0"/>
        <w:pBdr>
          <w:top w:val="nil"/>
          <w:left w:val="nil"/>
          <w:bottom w:val="nil"/>
          <w:right w:val="nil"/>
          <w:between w:val="nil"/>
        </w:pBdr>
        <w:spacing w:line="360" w:lineRule="auto"/>
        <w:rPr>
          <w:color w:val="FF0000"/>
        </w:rPr>
      </w:pPr>
    </w:p>
    <w:p w14:paraId="725C7882" w14:textId="77777777" w:rsidR="00286EFA" w:rsidRPr="00E60AC1" w:rsidRDefault="00286EFA" w:rsidP="005D202C">
      <w:pPr>
        <w:spacing w:line="360" w:lineRule="auto"/>
        <w:ind w:right="-28"/>
        <w:jc w:val="both"/>
        <w:rPr>
          <w:rFonts w:ascii="Palatino Linotype" w:eastAsia="Palatino Linotype" w:hAnsi="Palatino Linotype" w:cs="Palatino Linotype"/>
          <w:sz w:val="22"/>
          <w:szCs w:val="22"/>
        </w:rPr>
      </w:pPr>
    </w:p>
    <w:p w14:paraId="6087F54E" w14:textId="143B9EB7" w:rsidR="00286EFA" w:rsidRPr="00E60AC1" w:rsidRDefault="00FA61F8" w:rsidP="005D202C">
      <w:pPr>
        <w:keepNext/>
        <w:keepLines/>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E60AC1">
        <w:rPr>
          <w:rFonts w:ascii="Palatino Linotype" w:eastAsia="Palatino Linotype" w:hAnsi="Palatino Linotype" w:cs="Palatino Linotype"/>
          <w:sz w:val="22"/>
          <w:szCs w:val="22"/>
        </w:rPr>
        <w:t>RESOLUC</w:t>
      </w:r>
      <w:r w:rsidR="002D623A" w:rsidRPr="00E60AC1">
        <w:rPr>
          <w:rFonts w:ascii="Palatino Linotype" w:eastAsia="Palatino Linotype" w:hAnsi="Palatino Linotype" w:cs="Palatino Linotype"/>
          <w:sz w:val="22"/>
          <w:szCs w:val="22"/>
        </w:rPr>
        <w:t>I</w:t>
      </w:r>
      <w:r w:rsidR="00E60AC1" w:rsidRPr="00E60AC1">
        <w:rPr>
          <w:rFonts w:ascii="Palatino Linotype" w:eastAsia="Palatino Linotype" w:hAnsi="Palatino Linotype" w:cs="Palatino Linotype"/>
          <w:sz w:val="22"/>
          <w:szCs w:val="22"/>
        </w:rPr>
        <w:t xml:space="preserve">ÓN DEL RECURSO DE REVISIÓN </w:t>
      </w:r>
      <w:r w:rsidR="00B67A71">
        <w:rPr>
          <w:rFonts w:ascii="Palatino Linotype" w:eastAsia="Palatino Linotype" w:hAnsi="Palatino Linotype" w:cs="Palatino Linotype"/>
          <w:sz w:val="22"/>
          <w:szCs w:val="22"/>
        </w:rPr>
        <w:t>13251</w:t>
      </w:r>
      <w:r w:rsidRPr="00E60AC1">
        <w:rPr>
          <w:rFonts w:ascii="Palatino Linotype" w:eastAsia="Palatino Linotype" w:hAnsi="Palatino Linotype" w:cs="Palatino Linotype"/>
          <w:sz w:val="22"/>
          <w:szCs w:val="22"/>
        </w:rPr>
        <w:t>/INFOEM/IP/RR/2025</w:t>
      </w:r>
    </w:p>
    <w:sdt>
      <w:sdtPr>
        <w:rPr>
          <w:rFonts w:ascii="Times New Roman" w:eastAsia="Times New Roman" w:hAnsi="Times New Roman" w:cs="Times New Roman"/>
          <w:color w:val="auto"/>
          <w:sz w:val="20"/>
          <w:szCs w:val="20"/>
          <w:lang w:val="es-ES" w:eastAsia="es-ES"/>
        </w:rPr>
        <w:id w:val="-1743871448"/>
        <w:docPartObj>
          <w:docPartGallery w:val="Table of Contents"/>
          <w:docPartUnique/>
        </w:docPartObj>
      </w:sdtPr>
      <w:sdtEndPr>
        <w:rPr>
          <w:b/>
          <w:bCs/>
        </w:rPr>
      </w:sdtEndPr>
      <w:sdtContent>
        <w:p w14:paraId="2217FA58" w14:textId="43446B32" w:rsidR="00B67A71" w:rsidRDefault="00B67A71">
          <w:pPr>
            <w:pStyle w:val="TtuloTDC"/>
          </w:pPr>
        </w:p>
        <w:p w14:paraId="67509385" w14:textId="134BC74F" w:rsidR="00B67A71" w:rsidRPr="00CC52AF" w:rsidRDefault="00B67A71">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r>
            <w:fldChar w:fldCharType="begin"/>
          </w:r>
          <w:r>
            <w:instrText xml:space="preserve"> TOC \o "1-3" \h \z \u </w:instrText>
          </w:r>
          <w:r>
            <w:fldChar w:fldCharType="separate"/>
          </w:r>
          <w:hyperlink w:anchor="_Toc216261251" w:history="1">
            <w:r w:rsidRPr="00CC52AF">
              <w:rPr>
                <w:rStyle w:val="Hipervnculo"/>
                <w:rFonts w:ascii="Palatino Linotype" w:eastAsia="Palatino Linotype" w:hAnsi="Palatino Linotype"/>
                <w:noProof/>
              </w:rPr>
              <w:t>A N T E C E D E N T E S</w:t>
            </w:r>
            <w:r w:rsidRPr="00CC52AF">
              <w:rPr>
                <w:noProof/>
                <w:webHidden/>
              </w:rPr>
              <w:tab/>
            </w:r>
            <w:r w:rsidRPr="00CC52AF">
              <w:rPr>
                <w:noProof/>
                <w:webHidden/>
              </w:rPr>
              <w:fldChar w:fldCharType="begin"/>
            </w:r>
            <w:r w:rsidRPr="00CC52AF">
              <w:rPr>
                <w:noProof/>
                <w:webHidden/>
              </w:rPr>
              <w:instrText xml:space="preserve"> PAGEREF _Toc216261251 \h </w:instrText>
            </w:r>
            <w:r w:rsidRPr="00CC52AF">
              <w:rPr>
                <w:noProof/>
                <w:webHidden/>
              </w:rPr>
            </w:r>
            <w:r w:rsidRPr="00CC52AF">
              <w:rPr>
                <w:noProof/>
                <w:webHidden/>
              </w:rPr>
              <w:fldChar w:fldCharType="separate"/>
            </w:r>
            <w:r w:rsidR="004710B7">
              <w:rPr>
                <w:noProof/>
                <w:webHidden/>
              </w:rPr>
              <w:t>2</w:t>
            </w:r>
            <w:r w:rsidRPr="00CC52AF">
              <w:rPr>
                <w:noProof/>
                <w:webHidden/>
              </w:rPr>
              <w:fldChar w:fldCharType="end"/>
            </w:r>
          </w:hyperlink>
        </w:p>
        <w:p w14:paraId="19384F61" w14:textId="7E415A79" w:rsidR="00B67A71" w:rsidRPr="00CC52AF" w:rsidRDefault="00B67A7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52" w:history="1">
            <w:r w:rsidRPr="00CC52AF">
              <w:rPr>
                <w:rStyle w:val="Hipervnculo"/>
                <w:rFonts w:ascii="Palatino Linotype" w:eastAsia="Palatino Linotype" w:hAnsi="Palatino Linotype"/>
                <w:noProof/>
              </w:rPr>
              <w:t>I. Presentación de la solicitud de información</w:t>
            </w:r>
            <w:r w:rsidRPr="00CC52AF">
              <w:rPr>
                <w:noProof/>
                <w:webHidden/>
              </w:rPr>
              <w:tab/>
            </w:r>
            <w:r w:rsidRPr="00CC52AF">
              <w:rPr>
                <w:noProof/>
                <w:webHidden/>
              </w:rPr>
              <w:fldChar w:fldCharType="begin"/>
            </w:r>
            <w:r w:rsidRPr="00CC52AF">
              <w:rPr>
                <w:noProof/>
                <w:webHidden/>
              </w:rPr>
              <w:instrText xml:space="preserve"> PAGEREF _Toc216261252 \h </w:instrText>
            </w:r>
            <w:r w:rsidRPr="00CC52AF">
              <w:rPr>
                <w:noProof/>
                <w:webHidden/>
              </w:rPr>
            </w:r>
            <w:r w:rsidRPr="00CC52AF">
              <w:rPr>
                <w:noProof/>
                <w:webHidden/>
              </w:rPr>
              <w:fldChar w:fldCharType="separate"/>
            </w:r>
            <w:r w:rsidR="004710B7">
              <w:rPr>
                <w:noProof/>
                <w:webHidden/>
              </w:rPr>
              <w:t>2</w:t>
            </w:r>
            <w:r w:rsidRPr="00CC52AF">
              <w:rPr>
                <w:noProof/>
                <w:webHidden/>
              </w:rPr>
              <w:fldChar w:fldCharType="end"/>
            </w:r>
          </w:hyperlink>
        </w:p>
        <w:p w14:paraId="2049EB98" w14:textId="7CF5F8E1" w:rsidR="00B67A71" w:rsidRPr="00CC52AF" w:rsidRDefault="00B67A7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53" w:history="1">
            <w:r w:rsidRPr="00CC52AF">
              <w:rPr>
                <w:rStyle w:val="Hipervnculo"/>
                <w:rFonts w:ascii="Palatino Linotype" w:eastAsia="Palatino Linotype" w:hAnsi="Palatino Linotype"/>
                <w:noProof/>
              </w:rPr>
              <w:t>II. Respuesta del Sujeto Obligado</w:t>
            </w:r>
            <w:r w:rsidRPr="00CC52AF">
              <w:rPr>
                <w:noProof/>
                <w:webHidden/>
              </w:rPr>
              <w:tab/>
            </w:r>
            <w:r w:rsidRPr="00CC52AF">
              <w:rPr>
                <w:noProof/>
                <w:webHidden/>
              </w:rPr>
              <w:fldChar w:fldCharType="begin"/>
            </w:r>
            <w:r w:rsidRPr="00CC52AF">
              <w:rPr>
                <w:noProof/>
                <w:webHidden/>
              </w:rPr>
              <w:instrText xml:space="preserve"> PAGEREF _Toc216261253 \h </w:instrText>
            </w:r>
            <w:r w:rsidRPr="00CC52AF">
              <w:rPr>
                <w:noProof/>
                <w:webHidden/>
              </w:rPr>
            </w:r>
            <w:r w:rsidRPr="00CC52AF">
              <w:rPr>
                <w:noProof/>
                <w:webHidden/>
              </w:rPr>
              <w:fldChar w:fldCharType="separate"/>
            </w:r>
            <w:r w:rsidR="004710B7">
              <w:rPr>
                <w:noProof/>
                <w:webHidden/>
              </w:rPr>
              <w:t>3</w:t>
            </w:r>
            <w:r w:rsidRPr="00CC52AF">
              <w:rPr>
                <w:noProof/>
                <w:webHidden/>
              </w:rPr>
              <w:fldChar w:fldCharType="end"/>
            </w:r>
          </w:hyperlink>
        </w:p>
        <w:p w14:paraId="4EDFF844" w14:textId="713DD688" w:rsidR="00B67A71" w:rsidRPr="00CC52AF" w:rsidRDefault="00B67A7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54" w:history="1">
            <w:r w:rsidRPr="00CC52AF">
              <w:rPr>
                <w:rStyle w:val="Hipervnculo"/>
                <w:rFonts w:ascii="Palatino Linotype" w:eastAsia="Palatino Linotype" w:hAnsi="Palatino Linotype"/>
                <w:noProof/>
              </w:rPr>
              <w:t>III. Interposición del Recurso de Revisión</w:t>
            </w:r>
            <w:r w:rsidRPr="00CC52AF">
              <w:rPr>
                <w:noProof/>
                <w:webHidden/>
              </w:rPr>
              <w:tab/>
            </w:r>
            <w:r w:rsidRPr="00CC52AF">
              <w:rPr>
                <w:noProof/>
                <w:webHidden/>
              </w:rPr>
              <w:fldChar w:fldCharType="begin"/>
            </w:r>
            <w:r w:rsidRPr="00CC52AF">
              <w:rPr>
                <w:noProof/>
                <w:webHidden/>
              </w:rPr>
              <w:instrText xml:space="preserve"> PAGEREF _Toc216261254 \h </w:instrText>
            </w:r>
            <w:r w:rsidRPr="00CC52AF">
              <w:rPr>
                <w:noProof/>
                <w:webHidden/>
              </w:rPr>
            </w:r>
            <w:r w:rsidRPr="00CC52AF">
              <w:rPr>
                <w:noProof/>
                <w:webHidden/>
              </w:rPr>
              <w:fldChar w:fldCharType="separate"/>
            </w:r>
            <w:r w:rsidR="004710B7">
              <w:rPr>
                <w:noProof/>
                <w:webHidden/>
              </w:rPr>
              <w:t>3</w:t>
            </w:r>
            <w:r w:rsidRPr="00CC52AF">
              <w:rPr>
                <w:noProof/>
                <w:webHidden/>
              </w:rPr>
              <w:fldChar w:fldCharType="end"/>
            </w:r>
          </w:hyperlink>
        </w:p>
        <w:p w14:paraId="01441E93" w14:textId="61B3A6FB" w:rsidR="00B67A71" w:rsidRPr="00CC52AF" w:rsidRDefault="00B67A7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55" w:history="1">
            <w:r w:rsidRPr="00CC52AF">
              <w:rPr>
                <w:rStyle w:val="Hipervnculo"/>
                <w:rFonts w:ascii="Palatino Linotype" w:eastAsia="Palatino Linotype" w:hAnsi="Palatino Linotype"/>
                <w:noProof/>
              </w:rPr>
              <w:t>IV. Trámite del Recurso de Revisión ante el Instituto</w:t>
            </w:r>
            <w:r w:rsidRPr="00CC52AF">
              <w:rPr>
                <w:noProof/>
                <w:webHidden/>
              </w:rPr>
              <w:tab/>
            </w:r>
            <w:r w:rsidRPr="00CC52AF">
              <w:rPr>
                <w:noProof/>
                <w:webHidden/>
              </w:rPr>
              <w:fldChar w:fldCharType="begin"/>
            </w:r>
            <w:r w:rsidRPr="00CC52AF">
              <w:rPr>
                <w:noProof/>
                <w:webHidden/>
              </w:rPr>
              <w:instrText xml:space="preserve"> PAGEREF _Toc216261255 \h </w:instrText>
            </w:r>
            <w:r w:rsidRPr="00CC52AF">
              <w:rPr>
                <w:noProof/>
                <w:webHidden/>
              </w:rPr>
            </w:r>
            <w:r w:rsidRPr="00CC52AF">
              <w:rPr>
                <w:noProof/>
                <w:webHidden/>
              </w:rPr>
              <w:fldChar w:fldCharType="separate"/>
            </w:r>
            <w:r w:rsidR="004710B7">
              <w:rPr>
                <w:noProof/>
                <w:webHidden/>
              </w:rPr>
              <w:t>4</w:t>
            </w:r>
            <w:r w:rsidRPr="00CC52AF">
              <w:rPr>
                <w:noProof/>
                <w:webHidden/>
              </w:rPr>
              <w:fldChar w:fldCharType="end"/>
            </w:r>
          </w:hyperlink>
        </w:p>
        <w:p w14:paraId="2D55A706" w14:textId="587BA12D" w:rsidR="00B67A71" w:rsidRPr="00CC52AF" w:rsidRDefault="00B67A71">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56" w:history="1">
            <w:r w:rsidRPr="00CC52AF">
              <w:rPr>
                <w:rStyle w:val="Hipervnculo"/>
                <w:rFonts w:ascii="Palatino Linotype" w:eastAsiaTheme="majorEastAsia" w:hAnsi="Palatino Linotype"/>
                <w:noProof/>
              </w:rPr>
              <w:t>a) Turno del Recurso de Revisión.</w:t>
            </w:r>
            <w:r w:rsidRPr="00CC52AF">
              <w:rPr>
                <w:noProof/>
                <w:webHidden/>
              </w:rPr>
              <w:tab/>
            </w:r>
            <w:r w:rsidRPr="00CC52AF">
              <w:rPr>
                <w:noProof/>
                <w:webHidden/>
              </w:rPr>
              <w:fldChar w:fldCharType="begin"/>
            </w:r>
            <w:r w:rsidRPr="00CC52AF">
              <w:rPr>
                <w:noProof/>
                <w:webHidden/>
              </w:rPr>
              <w:instrText xml:space="preserve"> PAGEREF _Toc216261256 \h </w:instrText>
            </w:r>
            <w:r w:rsidRPr="00CC52AF">
              <w:rPr>
                <w:noProof/>
                <w:webHidden/>
              </w:rPr>
            </w:r>
            <w:r w:rsidRPr="00CC52AF">
              <w:rPr>
                <w:noProof/>
                <w:webHidden/>
              </w:rPr>
              <w:fldChar w:fldCharType="separate"/>
            </w:r>
            <w:r w:rsidR="004710B7">
              <w:rPr>
                <w:noProof/>
                <w:webHidden/>
              </w:rPr>
              <w:t>4</w:t>
            </w:r>
            <w:r w:rsidRPr="00CC52AF">
              <w:rPr>
                <w:noProof/>
                <w:webHidden/>
              </w:rPr>
              <w:fldChar w:fldCharType="end"/>
            </w:r>
          </w:hyperlink>
        </w:p>
        <w:p w14:paraId="49F55ECE" w14:textId="10C635D6" w:rsidR="00B67A71" w:rsidRPr="00CC52AF" w:rsidRDefault="00B67A71">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57" w:history="1">
            <w:r w:rsidRPr="00CC52AF">
              <w:rPr>
                <w:rStyle w:val="Hipervnculo"/>
                <w:rFonts w:ascii="Palatino Linotype" w:eastAsiaTheme="majorEastAsia" w:hAnsi="Palatino Linotype"/>
                <w:noProof/>
              </w:rPr>
              <w:t>b) Admisión del Recurso de Revisión.</w:t>
            </w:r>
            <w:r w:rsidRPr="00CC52AF">
              <w:rPr>
                <w:noProof/>
                <w:webHidden/>
              </w:rPr>
              <w:tab/>
            </w:r>
            <w:r w:rsidRPr="00CC52AF">
              <w:rPr>
                <w:noProof/>
                <w:webHidden/>
              </w:rPr>
              <w:fldChar w:fldCharType="begin"/>
            </w:r>
            <w:r w:rsidRPr="00CC52AF">
              <w:rPr>
                <w:noProof/>
                <w:webHidden/>
              </w:rPr>
              <w:instrText xml:space="preserve"> PAGEREF _Toc216261257 \h </w:instrText>
            </w:r>
            <w:r w:rsidRPr="00CC52AF">
              <w:rPr>
                <w:noProof/>
                <w:webHidden/>
              </w:rPr>
            </w:r>
            <w:r w:rsidRPr="00CC52AF">
              <w:rPr>
                <w:noProof/>
                <w:webHidden/>
              </w:rPr>
              <w:fldChar w:fldCharType="separate"/>
            </w:r>
            <w:r w:rsidR="004710B7">
              <w:rPr>
                <w:noProof/>
                <w:webHidden/>
              </w:rPr>
              <w:t>4</w:t>
            </w:r>
            <w:r w:rsidRPr="00CC52AF">
              <w:rPr>
                <w:noProof/>
                <w:webHidden/>
              </w:rPr>
              <w:fldChar w:fldCharType="end"/>
            </w:r>
          </w:hyperlink>
        </w:p>
        <w:p w14:paraId="6542F111" w14:textId="715A37E4" w:rsidR="00B67A71" w:rsidRPr="00CC52AF" w:rsidRDefault="00B67A71">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58" w:history="1">
            <w:r w:rsidRPr="00CC52AF">
              <w:rPr>
                <w:rStyle w:val="Hipervnculo"/>
                <w:rFonts w:ascii="Palatino Linotype" w:eastAsiaTheme="majorEastAsia" w:hAnsi="Palatino Linotype"/>
                <w:noProof/>
              </w:rPr>
              <w:t>f) Cierre de instrucción.</w:t>
            </w:r>
            <w:r w:rsidRPr="00CC52AF">
              <w:rPr>
                <w:noProof/>
                <w:webHidden/>
              </w:rPr>
              <w:tab/>
            </w:r>
            <w:r w:rsidRPr="00CC52AF">
              <w:rPr>
                <w:noProof/>
                <w:webHidden/>
              </w:rPr>
              <w:fldChar w:fldCharType="begin"/>
            </w:r>
            <w:r w:rsidRPr="00CC52AF">
              <w:rPr>
                <w:noProof/>
                <w:webHidden/>
              </w:rPr>
              <w:instrText xml:space="preserve"> PAGEREF _Toc216261258 \h </w:instrText>
            </w:r>
            <w:r w:rsidRPr="00CC52AF">
              <w:rPr>
                <w:noProof/>
                <w:webHidden/>
              </w:rPr>
            </w:r>
            <w:r w:rsidRPr="00CC52AF">
              <w:rPr>
                <w:noProof/>
                <w:webHidden/>
              </w:rPr>
              <w:fldChar w:fldCharType="separate"/>
            </w:r>
            <w:r w:rsidR="004710B7">
              <w:rPr>
                <w:noProof/>
                <w:webHidden/>
              </w:rPr>
              <w:t>5</w:t>
            </w:r>
            <w:r w:rsidRPr="00CC52AF">
              <w:rPr>
                <w:noProof/>
                <w:webHidden/>
              </w:rPr>
              <w:fldChar w:fldCharType="end"/>
            </w:r>
          </w:hyperlink>
        </w:p>
        <w:p w14:paraId="542714CE" w14:textId="56EFA6D1" w:rsidR="00B67A71" w:rsidRPr="00CC52AF" w:rsidRDefault="00B67A71">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59" w:history="1">
            <w:r w:rsidRPr="00CC52AF">
              <w:rPr>
                <w:rStyle w:val="Hipervnculo"/>
                <w:rFonts w:ascii="Palatino Linotype" w:eastAsia="Palatino Linotype" w:hAnsi="Palatino Linotype"/>
                <w:noProof/>
              </w:rPr>
              <w:t>PRIMERO. Competencia</w:t>
            </w:r>
            <w:r w:rsidRPr="00CC52AF">
              <w:rPr>
                <w:noProof/>
                <w:webHidden/>
              </w:rPr>
              <w:tab/>
            </w:r>
            <w:r w:rsidRPr="00CC52AF">
              <w:rPr>
                <w:noProof/>
                <w:webHidden/>
              </w:rPr>
              <w:fldChar w:fldCharType="begin"/>
            </w:r>
            <w:r w:rsidRPr="00CC52AF">
              <w:rPr>
                <w:noProof/>
                <w:webHidden/>
              </w:rPr>
              <w:instrText xml:space="preserve"> PAGEREF _Toc216261259 \h </w:instrText>
            </w:r>
            <w:r w:rsidRPr="00CC52AF">
              <w:rPr>
                <w:noProof/>
                <w:webHidden/>
              </w:rPr>
            </w:r>
            <w:r w:rsidRPr="00CC52AF">
              <w:rPr>
                <w:noProof/>
                <w:webHidden/>
              </w:rPr>
              <w:fldChar w:fldCharType="separate"/>
            </w:r>
            <w:r w:rsidR="004710B7">
              <w:rPr>
                <w:noProof/>
                <w:webHidden/>
              </w:rPr>
              <w:t>5</w:t>
            </w:r>
            <w:r w:rsidRPr="00CC52AF">
              <w:rPr>
                <w:noProof/>
                <w:webHidden/>
              </w:rPr>
              <w:fldChar w:fldCharType="end"/>
            </w:r>
          </w:hyperlink>
        </w:p>
        <w:p w14:paraId="7A5617CC" w14:textId="7AF0DF48" w:rsidR="00B67A71" w:rsidRPr="00CC52AF" w:rsidRDefault="00B67A71">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60" w:history="1">
            <w:r w:rsidRPr="00CC52AF">
              <w:rPr>
                <w:rStyle w:val="Hipervnculo"/>
                <w:rFonts w:ascii="Palatino Linotype" w:eastAsia="Palatino Linotype" w:hAnsi="Palatino Linotype"/>
                <w:noProof/>
              </w:rPr>
              <w:t>SEGUNDO. Causales de improcedencia y sobreseimiento</w:t>
            </w:r>
            <w:r w:rsidRPr="00CC52AF">
              <w:rPr>
                <w:noProof/>
                <w:webHidden/>
              </w:rPr>
              <w:tab/>
            </w:r>
            <w:r w:rsidRPr="00CC52AF">
              <w:rPr>
                <w:noProof/>
                <w:webHidden/>
              </w:rPr>
              <w:fldChar w:fldCharType="begin"/>
            </w:r>
            <w:r w:rsidRPr="00CC52AF">
              <w:rPr>
                <w:noProof/>
                <w:webHidden/>
              </w:rPr>
              <w:instrText xml:space="preserve"> PAGEREF _Toc216261260 \h </w:instrText>
            </w:r>
            <w:r w:rsidRPr="00CC52AF">
              <w:rPr>
                <w:noProof/>
                <w:webHidden/>
              </w:rPr>
            </w:r>
            <w:r w:rsidRPr="00CC52AF">
              <w:rPr>
                <w:noProof/>
                <w:webHidden/>
              </w:rPr>
              <w:fldChar w:fldCharType="separate"/>
            </w:r>
            <w:r w:rsidR="004710B7">
              <w:rPr>
                <w:noProof/>
                <w:webHidden/>
              </w:rPr>
              <w:t>6</w:t>
            </w:r>
            <w:r w:rsidRPr="00CC52AF">
              <w:rPr>
                <w:noProof/>
                <w:webHidden/>
              </w:rPr>
              <w:fldChar w:fldCharType="end"/>
            </w:r>
          </w:hyperlink>
        </w:p>
        <w:p w14:paraId="53DBDBB4" w14:textId="578A7855" w:rsidR="00B67A71" w:rsidRPr="00CC52AF" w:rsidRDefault="00B67A71">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61" w:history="1">
            <w:r w:rsidRPr="00CC52AF">
              <w:rPr>
                <w:rStyle w:val="Hipervnculo"/>
                <w:rFonts w:ascii="Palatino Linotype" w:eastAsia="Palatino Linotype" w:hAnsi="Palatino Linotype"/>
                <w:noProof/>
              </w:rPr>
              <w:t>TERCERO. Determinación de la Controversia</w:t>
            </w:r>
            <w:r w:rsidRPr="00CC52AF">
              <w:rPr>
                <w:noProof/>
                <w:webHidden/>
              </w:rPr>
              <w:tab/>
            </w:r>
            <w:r w:rsidRPr="00CC52AF">
              <w:rPr>
                <w:noProof/>
                <w:webHidden/>
              </w:rPr>
              <w:fldChar w:fldCharType="begin"/>
            </w:r>
            <w:r w:rsidRPr="00CC52AF">
              <w:rPr>
                <w:noProof/>
                <w:webHidden/>
              </w:rPr>
              <w:instrText xml:space="preserve"> PAGEREF _Toc216261261 \h </w:instrText>
            </w:r>
            <w:r w:rsidRPr="00CC52AF">
              <w:rPr>
                <w:noProof/>
                <w:webHidden/>
              </w:rPr>
            </w:r>
            <w:r w:rsidRPr="00CC52AF">
              <w:rPr>
                <w:noProof/>
                <w:webHidden/>
              </w:rPr>
              <w:fldChar w:fldCharType="separate"/>
            </w:r>
            <w:r w:rsidR="004710B7">
              <w:rPr>
                <w:noProof/>
                <w:webHidden/>
              </w:rPr>
              <w:t>8</w:t>
            </w:r>
            <w:r w:rsidRPr="00CC52AF">
              <w:rPr>
                <w:noProof/>
                <w:webHidden/>
              </w:rPr>
              <w:fldChar w:fldCharType="end"/>
            </w:r>
          </w:hyperlink>
        </w:p>
        <w:p w14:paraId="34886620" w14:textId="4A46D363" w:rsidR="00B67A71" w:rsidRPr="00CC52AF" w:rsidRDefault="00B67A71">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62" w:history="1">
            <w:r w:rsidRPr="00CC52AF">
              <w:rPr>
                <w:rStyle w:val="Hipervnculo"/>
                <w:rFonts w:ascii="Palatino Linotype" w:eastAsia="Palatino Linotype" w:hAnsi="Palatino Linotype"/>
                <w:noProof/>
              </w:rPr>
              <w:t>CUARTO. Marco normativo aplicable en materia de transparencia y acceso a la información pública</w:t>
            </w:r>
            <w:r w:rsidRPr="00CC52AF">
              <w:rPr>
                <w:noProof/>
                <w:webHidden/>
              </w:rPr>
              <w:tab/>
            </w:r>
            <w:r w:rsidRPr="00CC52AF">
              <w:rPr>
                <w:noProof/>
                <w:webHidden/>
              </w:rPr>
              <w:fldChar w:fldCharType="begin"/>
            </w:r>
            <w:r w:rsidRPr="00CC52AF">
              <w:rPr>
                <w:noProof/>
                <w:webHidden/>
              </w:rPr>
              <w:instrText xml:space="preserve"> PAGEREF _Toc216261262 \h </w:instrText>
            </w:r>
            <w:r w:rsidRPr="00CC52AF">
              <w:rPr>
                <w:noProof/>
                <w:webHidden/>
              </w:rPr>
            </w:r>
            <w:r w:rsidRPr="00CC52AF">
              <w:rPr>
                <w:noProof/>
                <w:webHidden/>
              </w:rPr>
              <w:fldChar w:fldCharType="separate"/>
            </w:r>
            <w:r w:rsidR="004710B7">
              <w:rPr>
                <w:noProof/>
                <w:webHidden/>
              </w:rPr>
              <w:t>9</w:t>
            </w:r>
            <w:r w:rsidRPr="00CC52AF">
              <w:rPr>
                <w:noProof/>
                <w:webHidden/>
              </w:rPr>
              <w:fldChar w:fldCharType="end"/>
            </w:r>
          </w:hyperlink>
        </w:p>
        <w:p w14:paraId="6FC2BC61" w14:textId="74C3B385" w:rsidR="00B67A71" w:rsidRPr="00CC52AF" w:rsidRDefault="00B67A71">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63" w:history="1">
            <w:r w:rsidRPr="00CC52AF">
              <w:rPr>
                <w:rStyle w:val="Hipervnculo"/>
                <w:rFonts w:ascii="Palatino Linotype" w:eastAsia="Palatino Linotype" w:hAnsi="Palatino Linotype"/>
                <w:noProof/>
              </w:rPr>
              <w:t>QUINTO. Estudio de Fondo</w:t>
            </w:r>
            <w:r w:rsidRPr="00CC52AF">
              <w:rPr>
                <w:noProof/>
                <w:webHidden/>
              </w:rPr>
              <w:tab/>
            </w:r>
            <w:r w:rsidRPr="00CC52AF">
              <w:rPr>
                <w:noProof/>
                <w:webHidden/>
              </w:rPr>
              <w:fldChar w:fldCharType="begin"/>
            </w:r>
            <w:r w:rsidRPr="00CC52AF">
              <w:rPr>
                <w:noProof/>
                <w:webHidden/>
              </w:rPr>
              <w:instrText xml:space="preserve"> PAGEREF _Toc216261263 \h </w:instrText>
            </w:r>
            <w:r w:rsidRPr="00CC52AF">
              <w:rPr>
                <w:noProof/>
                <w:webHidden/>
              </w:rPr>
            </w:r>
            <w:r w:rsidRPr="00CC52AF">
              <w:rPr>
                <w:noProof/>
                <w:webHidden/>
              </w:rPr>
              <w:fldChar w:fldCharType="separate"/>
            </w:r>
            <w:r w:rsidR="004710B7">
              <w:rPr>
                <w:noProof/>
                <w:webHidden/>
              </w:rPr>
              <w:t>10</w:t>
            </w:r>
            <w:r w:rsidRPr="00CC52AF">
              <w:rPr>
                <w:noProof/>
                <w:webHidden/>
              </w:rPr>
              <w:fldChar w:fldCharType="end"/>
            </w:r>
          </w:hyperlink>
        </w:p>
        <w:p w14:paraId="1CC1BE84" w14:textId="6FEC3BE3" w:rsidR="00B67A71" w:rsidRPr="00CC52AF" w:rsidRDefault="00B67A71">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64" w:history="1">
            <w:r w:rsidRPr="00CC52AF">
              <w:rPr>
                <w:rStyle w:val="Hipervnculo"/>
                <w:rFonts w:ascii="Palatino Linotype" w:eastAsia="Calibri" w:hAnsi="Palatino Linotype"/>
                <w:noProof/>
                <w:lang w:eastAsia="en-US"/>
              </w:rPr>
              <w:t>SEXTO. Decisión</w:t>
            </w:r>
            <w:r w:rsidRPr="00CC52AF">
              <w:rPr>
                <w:noProof/>
                <w:webHidden/>
              </w:rPr>
              <w:tab/>
            </w:r>
            <w:r w:rsidRPr="00CC52AF">
              <w:rPr>
                <w:noProof/>
                <w:webHidden/>
              </w:rPr>
              <w:fldChar w:fldCharType="begin"/>
            </w:r>
            <w:r w:rsidRPr="00CC52AF">
              <w:rPr>
                <w:noProof/>
                <w:webHidden/>
              </w:rPr>
              <w:instrText xml:space="preserve"> PAGEREF _Toc216261264 \h </w:instrText>
            </w:r>
            <w:r w:rsidRPr="00CC52AF">
              <w:rPr>
                <w:noProof/>
                <w:webHidden/>
              </w:rPr>
            </w:r>
            <w:r w:rsidRPr="00CC52AF">
              <w:rPr>
                <w:noProof/>
                <w:webHidden/>
              </w:rPr>
              <w:fldChar w:fldCharType="separate"/>
            </w:r>
            <w:r w:rsidR="004710B7">
              <w:rPr>
                <w:noProof/>
                <w:webHidden/>
              </w:rPr>
              <w:t>32</w:t>
            </w:r>
            <w:r w:rsidRPr="00CC52AF">
              <w:rPr>
                <w:noProof/>
                <w:webHidden/>
              </w:rPr>
              <w:fldChar w:fldCharType="end"/>
            </w:r>
          </w:hyperlink>
        </w:p>
        <w:p w14:paraId="4FB6895F" w14:textId="581DD78B" w:rsidR="00B67A71" w:rsidRPr="00CC52AF" w:rsidRDefault="00B67A71">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261265" w:history="1">
            <w:r w:rsidRPr="00CC52AF">
              <w:rPr>
                <w:rStyle w:val="Hipervnculo"/>
                <w:rFonts w:ascii="Palatino Linotype" w:eastAsia="Calibri" w:hAnsi="Palatino Linotype"/>
                <w:noProof/>
                <w:lang w:eastAsia="en-US"/>
              </w:rPr>
              <w:t>R E S U E L V E</w:t>
            </w:r>
            <w:r w:rsidRPr="00CC52AF">
              <w:rPr>
                <w:noProof/>
                <w:webHidden/>
              </w:rPr>
              <w:tab/>
            </w:r>
            <w:r w:rsidRPr="00CC52AF">
              <w:rPr>
                <w:noProof/>
                <w:webHidden/>
              </w:rPr>
              <w:fldChar w:fldCharType="begin"/>
            </w:r>
            <w:r w:rsidRPr="00CC52AF">
              <w:rPr>
                <w:noProof/>
                <w:webHidden/>
              </w:rPr>
              <w:instrText xml:space="preserve"> PAGEREF _Toc216261265 \h </w:instrText>
            </w:r>
            <w:r w:rsidRPr="00CC52AF">
              <w:rPr>
                <w:noProof/>
                <w:webHidden/>
              </w:rPr>
            </w:r>
            <w:r w:rsidRPr="00CC52AF">
              <w:rPr>
                <w:noProof/>
                <w:webHidden/>
              </w:rPr>
              <w:fldChar w:fldCharType="separate"/>
            </w:r>
            <w:r w:rsidR="004710B7">
              <w:rPr>
                <w:noProof/>
                <w:webHidden/>
              </w:rPr>
              <w:t>33</w:t>
            </w:r>
            <w:r w:rsidRPr="00CC52AF">
              <w:rPr>
                <w:noProof/>
                <w:webHidden/>
              </w:rPr>
              <w:fldChar w:fldCharType="end"/>
            </w:r>
          </w:hyperlink>
        </w:p>
        <w:p w14:paraId="0CEBCEC6" w14:textId="23C09824" w:rsidR="00B67A71" w:rsidRDefault="00B67A71">
          <w:r>
            <w:rPr>
              <w:b/>
              <w:bCs/>
              <w:lang w:val="es-ES"/>
            </w:rPr>
            <w:fldChar w:fldCharType="end"/>
          </w:r>
        </w:p>
      </w:sdtContent>
    </w:sdt>
    <w:p w14:paraId="65DDF204" w14:textId="77777777" w:rsidR="00816E87" w:rsidRPr="00E60AC1" w:rsidRDefault="00FA61F8" w:rsidP="005D202C">
      <w:pPr>
        <w:spacing w:line="360" w:lineRule="auto"/>
        <w:ind w:right="-28"/>
        <w:jc w:val="both"/>
        <w:rPr>
          <w:color w:val="FF0000"/>
        </w:rPr>
      </w:pPr>
      <w:r w:rsidRPr="00E60AC1">
        <w:rPr>
          <w:color w:val="FF0000"/>
        </w:rPr>
        <w:br w:type="column"/>
      </w:r>
    </w:p>
    <w:p w14:paraId="51381ED2" w14:textId="58F2B0BA" w:rsidR="00286EFA" w:rsidRPr="00E60AC1" w:rsidRDefault="00FA61F8" w:rsidP="005D202C">
      <w:pPr>
        <w:spacing w:line="360" w:lineRule="auto"/>
        <w:ind w:right="-28"/>
        <w:jc w:val="both"/>
        <w:rPr>
          <w:rFonts w:ascii="Palatino Linotype" w:eastAsia="Palatino Linotype" w:hAnsi="Palatino Linotype" w:cs="Palatino Linotype"/>
          <w:sz w:val="22"/>
          <w:szCs w:val="22"/>
        </w:rPr>
      </w:pPr>
      <w:r w:rsidRPr="00E60AC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B67A71">
        <w:rPr>
          <w:rFonts w:ascii="Palatino Linotype" w:eastAsia="Palatino Linotype" w:hAnsi="Palatino Linotype" w:cs="Palatino Linotype"/>
          <w:sz w:val="22"/>
          <w:szCs w:val="22"/>
        </w:rPr>
        <w:t>diecisiete</w:t>
      </w:r>
      <w:r w:rsidR="003760EC">
        <w:rPr>
          <w:rFonts w:ascii="Palatino Linotype" w:eastAsia="Palatino Linotype" w:hAnsi="Palatino Linotype" w:cs="Palatino Linotype"/>
          <w:sz w:val="22"/>
          <w:szCs w:val="22"/>
        </w:rPr>
        <w:t xml:space="preserve"> de diciembre</w:t>
      </w:r>
      <w:r w:rsidR="00E60AC1" w:rsidRPr="00E60AC1">
        <w:rPr>
          <w:rFonts w:ascii="Palatino Linotype" w:eastAsia="Palatino Linotype" w:hAnsi="Palatino Linotype" w:cs="Palatino Linotype"/>
          <w:sz w:val="22"/>
          <w:szCs w:val="22"/>
        </w:rPr>
        <w:t xml:space="preserve"> de dos mil veinticinco.</w:t>
      </w:r>
    </w:p>
    <w:p w14:paraId="710330DB" w14:textId="77777777" w:rsidR="00286EFA" w:rsidRPr="00E60AC1" w:rsidRDefault="00286EFA" w:rsidP="005D202C">
      <w:pPr>
        <w:spacing w:line="360" w:lineRule="auto"/>
        <w:ind w:right="-28"/>
        <w:jc w:val="both"/>
        <w:rPr>
          <w:rFonts w:ascii="Palatino Linotype" w:eastAsia="Palatino Linotype" w:hAnsi="Palatino Linotype" w:cs="Palatino Linotype"/>
          <w:color w:val="FF0000"/>
          <w:sz w:val="22"/>
          <w:szCs w:val="22"/>
        </w:rPr>
      </w:pPr>
    </w:p>
    <w:p w14:paraId="22764835" w14:textId="78C1C4B2" w:rsidR="00286EFA" w:rsidRPr="00E60AC1" w:rsidRDefault="00FA61F8" w:rsidP="005D202C">
      <w:pPr>
        <w:spacing w:line="360" w:lineRule="auto"/>
        <w:ind w:right="-28"/>
        <w:jc w:val="both"/>
        <w:rPr>
          <w:rFonts w:ascii="Palatino Linotype" w:eastAsia="Palatino Linotype" w:hAnsi="Palatino Linotype" w:cs="Palatino Linotype"/>
          <w:sz w:val="22"/>
          <w:szCs w:val="22"/>
        </w:rPr>
      </w:pPr>
      <w:r w:rsidRPr="003760EC">
        <w:rPr>
          <w:rFonts w:ascii="Palatino Linotype" w:eastAsia="Palatino Linotype" w:hAnsi="Palatino Linotype" w:cs="Palatino Linotype"/>
          <w:b/>
          <w:sz w:val="22"/>
          <w:szCs w:val="22"/>
        </w:rPr>
        <w:t>VISTO</w:t>
      </w:r>
      <w:r w:rsidRPr="007715D3">
        <w:rPr>
          <w:rFonts w:ascii="Palatino Linotype" w:eastAsia="Palatino Linotype" w:hAnsi="Palatino Linotype" w:cs="Palatino Linotype"/>
          <w:bCs/>
          <w:sz w:val="22"/>
          <w:szCs w:val="22"/>
        </w:rPr>
        <w:t xml:space="preserve"> el expediente conformado con motivo del Recurso de Revisión </w:t>
      </w:r>
      <w:r w:rsidR="00B67A71" w:rsidRPr="00F41530">
        <w:rPr>
          <w:rFonts w:ascii="Palatino Linotype" w:eastAsia="Palatino Linotype" w:hAnsi="Palatino Linotype" w:cs="Palatino Linotype"/>
          <w:b/>
          <w:bCs/>
          <w:sz w:val="22"/>
          <w:szCs w:val="22"/>
        </w:rPr>
        <w:t>13251</w:t>
      </w:r>
      <w:r w:rsidRPr="00F41530">
        <w:rPr>
          <w:rFonts w:ascii="Palatino Linotype" w:eastAsia="Palatino Linotype" w:hAnsi="Palatino Linotype" w:cs="Palatino Linotype"/>
          <w:b/>
          <w:bCs/>
          <w:sz w:val="22"/>
          <w:szCs w:val="22"/>
        </w:rPr>
        <w:t>/INFOEM/IP/RR/2025</w:t>
      </w:r>
      <w:r w:rsidRPr="007715D3">
        <w:rPr>
          <w:rFonts w:ascii="Palatino Linotype" w:eastAsia="Palatino Linotype" w:hAnsi="Palatino Linotype" w:cs="Palatino Linotype"/>
          <w:bCs/>
          <w:sz w:val="22"/>
          <w:szCs w:val="22"/>
        </w:rPr>
        <w:t xml:space="preserve">, interpuesto por </w:t>
      </w:r>
      <w:r w:rsidR="0089515A" w:rsidRPr="0089515A">
        <w:rPr>
          <w:rFonts w:ascii="Palatino Linotype" w:eastAsia="Palatino Linotype" w:hAnsi="Palatino Linotype" w:cs="Palatino Linotype"/>
          <w:b/>
          <w:sz w:val="22"/>
          <w:szCs w:val="22"/>
          <w:highlight w:val="black"/>
        </w:rPr>
        <w:t>XXXXXXXXXXXXXXXXXXXXXXXXXXXXXX</w:t>
      </w:r>
      <w:r w:rsidR="00341842" w:rsidRPr="00F41530">
        <w:rPr>
          <w:rFonts w:ascii="Palatino Linotype" w:eastAsia="Palatino Linotype" w:hAnsi="Palatino Linotype" w:cs="Palatino Linotype"/>
          <w:b/>
          <w:sz w:val="22"/>
          <w:szCs w:val="22"/>
        </w:rPr>
        <w:t xml:space="preserve"> </w:t>
      </w:r>
      <w:r w:rsidR="0089515A" w:rsidRPr="0089515A">
        <w:rPr>
          <w:rFonts w:ascii="Palatino Linotype" w:eastAsia="Palatino Linotype" w:hAnsi="Palatino Linotype" w:cs="Palatino Linotype"/>
          <w:b/>
          <w:sz w:val="22"/>
          <w:szCs w:val="22"/>
          <w:highlight w:val="black"/>
        </w:rPr>
        <w:t>XXXXXXXXXX</w:t>
      </w:r>
      <w:r w:rsidR="00341842">
        <w:rPr>
          <w:rFonts w:ascii="Palatino Linotype" w:eastAsia="Palatino Linotype" w:hAnsi="Palatino Linotype" w:cs="Palatino Linotype"/>
          <w:bCs/>
          <w:sz w:val="22"/>
          <w:szCs w:val="22"/>
        </w:rPr>
        <w:t xml:space="preserve">, en lo sucesivo </w:t>
      </w:r>
      <w:r w:rsidR="007715D3" w:rsidRPr="007715D3">
        <w:rPr>
          <w:rFonts w:ascii="Palatino Linotype" w:eastAsia="Palatino Linotype" w:hAnsi="Palatino Linotype" w:cs="Palatino Linotype"/>
          <w:bCs/>
          <w:sz w:val="22"/>
          <w:szCs w:val="22"/>
        </w:rPr>
        <w:t>la</w:t>
      </w:r>
      <w:r w:rsidR="00D80923" w:rsidRPr="007715D3">
        <w:rPr>
          <w:rFonts w:ascii="Palatino Linotype" w:eastAsia="Palatino Linotype" w:hAnsi="Palatino Linotype" w:cs="Palatino Linotype"/>
          <w:bCs/>
          <w:sz w:val="22"/>
          <w:szCs w:val="22"/>
        </w:rPr>
        <w:t xml:space="preserve"> persona</w:t>
      </w:r>
      <w:r w:rsidRPr="007715D3">
        <w:rPr>
          <w:rFonts w:ascii="Palatino Linotype" w:eastAsia="Palatino Linotype" w:hAnsi="Palatino Linotype" w:cs="Palatino Linotype"/>
          <w:bCs/>
          <w:sz w:val="22"/>
          <w:szCs w:val="22"/>
        </w:rPr>
        <w:t xml:space="preserve"> Recurrente o Particular, en contra de la respuesta del Sujeto Obligado, </w:t>
      </w:r>
      <w:r w:rsidR="00806B08" w:rsidRPr="00F41530">
        <w:rPr>
          <w:rFonts w:ascii="Palatino Linotype" w:eastAsia="Palatino Linotype" w:hAnsi="Palatino Linotype" w:cs="Palatino Linotype"/>
          <w:b/>
          <w:bCs/>
          <w:sz w:val="22"/>
          <w:szCs w:val="22"/>
        </w:rPr>
        <w:t>Ayuntamiento de</w:t>
      </w:r>
      <w:r w:rsidR="007470C1" w:rsidRPr="00F41530">
        <w:rPr>
          <w:rFonts w:ascii="Palatino Linotype" w:eastAsia="Palatino Linotype" w:hAnsi="Palatino Linotype" w:cs="Palatino Linotype"/>
          <w:b/>
          <w:bCs/>
          <w:sz w:val="22"/>
          <w:szCs w:val="22"/>
        </w:rPr>
        <w:t xml:space="preserve"> </w:t>
      </w:r>
      <w:r w:rsidR="007470C1" w:rsidRPr="00F41530">
        <w:rPr>
          <w:rFonts w:ascii="Palatino Linotype" w:eastAsia="Palatino Linotype" w:hAnsi="Palatino Linotype" w:cs="Palatino Linotype"/>
          <w:b/>
          <w:sz w:val="22"/>
          <w:szCs w:val="22"/>
        </w:rPr>
        <w:t>Toluca</w:t>
      </w:r>
      <w:r w:rsidRPr="00B67A71">
        <w:rPr>
          <w:rFonts w:ascii="Palatino Linotype" w:eastAsia="Palatino Linotype" w:hAnsi="Palatino Linotype" w:cs="Palatino Linotype"/>
          <w:sz w:val="22"/>
          <w:szCs w:val="22"/>
        </w:rPr>
        <w:t>,</w:t>
      </w:r>
      <w:r w:rsidRPr="00E60AC1">
        <w:rPr>
          <w:rFonts w:ascii="Palatino Linotype" w:eastAsia="Palatino Linotype" w:hAnsi="Palatino Linotype" w:cs="Palatino Linotype"/>
          <w:sz w:val="22"/>
          <w:szCs w:val="22"/>
        </w:rPr>
        <w:t xml:space="preserve"> a la solicitud de acceso a la información pública con número de folio</w:t>
      </w:r>
      <w:r w:rsidR="00E60AC1" w:rsidRPr="00E60AC1">
        <w:rPr>
          <w:rFonts w:ascii="Palatino Linotype" w:eastAsia="Palatino Linotype" w:hAnsi="Palatino Linotype" w:cs="Palatino Linotype"/>
          <w:sz w:val="22"/>
          <w:szCs w:val="22"/>
        </w:rPr>
        <w:t xml:space="preserve"> 0</w:t>
      </w:r>
      <w:r w:rsidR="00B67A71">
        <w:rPr>
          <w:rFonts w:ascii="Palatino Linotype" w:eastAsia="Palatino Linotype" w:hAnsi="Palatino Linotype" w:cs="Palatino Linotype"/>
          <w:sz w:val="22"/>
          <w:szCs w:val="22"/>
        </w:rPr>
        <w:t>4974</w:t>
      </w:r>
      <w:r w:rsidR="00E60AC1" w:rsidRPr="00E60AC1">
        <w:rPr>
          <w:rFonts w:ascii="Palatino Linotype" w:eastAsia="Palatino Linotype" w:hAnsi="Palatino Linotype" w:cs="Palatino Linotype"/>
          <w:sz w:val="22"/>
          <w:szCs w:val="22"/>
        </w:rPr>
        <w:t>/TOLUCA/IP/2025</w:t>
      </w:r>
      <w:r w:rsidRPr="00E60AC1">
        <w:rPr>
          <w:rFonts w:ascii="Palatino Linotype" w:eastAsia="Palatino Linotype" w:hAnsi="Palatino Linotype" w:cs="Palatino Linotype"/>
          <w:sz w:val="22"/>
          <w:szCs w:val="22"/>
        </w:rPr>
        <w:t>, se emite la presente Resolución, con base en los Antecedentes y Considerandos que se exponen a continuación:</w:t>
      </w:r>
    </w:p>
    <w:p w14:paraId="01E6E48B" w14:textId="77777777" w:rsidR="00D80923" w:rsidRPr="00E60AC1" w:rsidRDefault="00D80923" w:rsidP="005D202C">
      <w:pPr>
        <w:spacing w:line="360" w:lineRule="auto"/>
        <w:ind w:right="-28"/>
        <w:jc w:val="both"/>
        <w:rPr>
          <w:rFonts w:ascii="Palatino Linotype" w:eastAsia="Palatino Linotype" w:hAnsi="Palatino Linotype" w:cs="Palatino Linotype"/>
          <w:color w:val="FF0000"/>
          <w:sz w:val="22"/>
          <w:szCs w:val="22"/>
        </w:rPr>
      </w:pPr>
    </w:p>
    <w:p w14:paraId="1E629873" w14:textId="77777777" w:rsidR="00286EFA" w:rsidRPr="00E60AC1" w:rsidRDefault="00FA61F8" w:rsidP="005D202C">
      <w:pPr>
        <w:pStyle w:val="Ttulo1"/>
        <w:spacing w:before="0" w:after="0" w:line="360" w:lineRule="auto"/>
        <w:jc w:val="center"/>
        <w:rPr>
          <w:rFonts w:ascii="Palatino Linotype" w:eastAsia="Palatino Linotype" w:hAnsi="Palatino Linotype"/>
          <w:b/>
          <w:color w:val="auto"/>
          <w:sz w:val="22"/>
          <w:szCs w:val="22"/>
        </w:rPr>
      </w:pPr>
      <w:bookmarkStart w:id="0" w:name="_Toc216261251"/>
      <w:r w:rsidRPr="00E60AC1">
        <w:rPr>
          <w:rFonts w:ascii="Palatino Linotype" w:eastAsia="Palatino Linotype" w:hAnsi="Palatino Linotype"/>
          <w:b/>
          <w:color w:val="auto"/>
          <w:sz w:val="22"/>
          <w:szCs w:val="22"/>
        </w:rPr>
        <w:t>A N T E C E D E N T E S</w:t>
      </w:r>
      <w:bookmarkEnd w:id="0"/>
    </w:p>
    <w:p w14:paraId="477F37BD" w14:textId="77777777" w:rsidR="00286EFA" w:rsidRPr="00E60AC1" w:rsidRDefault="00286EFA" w:rsidP="005D202C">
      <w:pPr>
        <w:tabs>
          <w:tab w:val="center" w:pos="4522"/>
          <w:tab w:val="left" w:pos="7245"/>
          <w:tab w:val="right" w:pos="9044"/>
        </w:tabs>
        <w:spacing w:line="360" w:lineRule="auto"/>
        <w:ind w:right="-28"/>
        <w:rPr>
          <w:rFonts w:ascii="Palatino Linotype" w:eastAsia="Palatino Linotype" w:hAnsi="Palatino Linotype" w:cs="Palatino Linotype"/>
          <w:b/>
          <w:color w:val="FF0000"/>
          <w:sz w:val="22"/>
          <w:szCs w:val="22"/>
        </w:rPr>
      </w:pPr>
    </w:p>
    <w:p w14:paraId="768A1DD5" w14:textId="77777777" w:rsidR="00286EFA" w:rsidRPr="00E60AC1" w:rsidRDefault="00FA61F8" w:rsidP="005D202C">
      <w:pPr>
        <w:pStyle w:val="Ttulo2"/>
        <w:spacing w:before="0" w:after="0" w:line="360" w:lineRule="auto"/>
        <w:rPr>
          <w:rFonts w:ascii="Palatino Linotype" w:eastAsia="Palatino Linotype" w:hAnsi="Palatino Linotype"/>
          <w:b/>
          <w:color w:val="FF0000"/>
          <w:sz w:val="22"/>
          <w:szCs w:val="22"/>
        </w:rPr>
      </w:pPr>
      <w:bookmarkStart w:id="1" w:name="_Toc216261252"/>
      <w:r w:rsidRPr="00E60AC1">
        <w:rPr>
          <w:rFonts w:ascii="Palatino Linotype" w:eastAsia="Palatino Linotype" w:hAnsi="Palatino Linotype"/>
          <w:b/>
          <w:color w:val="auto"/>
          <w:sz w:val="22"/>
          <w:szCs w:val="22"/>
        </w:rPr>
        <w:t>I. Presentación de la solicitud de información</w:t>
      </w:r>
      <w:bookmarkEnd w:id="1"/>
    </w:p>
    <w:p w14:paraId="2BA75BDB" w14:textId="77777777" w:rsidR="00286EFA" w:rsidRPr="00E60AC1" w:rsidRDefault="00286EFA" w:rsidP="005D202C">
      <w:pPr>
        <w:spacing w:line="360" w:lineRule="auto"/>
        <w:jc w:val="both"/>
        <w:rPr>
          <w:rFonts w:ascii="Palatino Linotype" w:eastAsia="Palatino Linotype" w:hAnsi="Palatino Linotype" w:cs="Palatino Linotype"/>
          <w:color w:val="FF0000"/>
          <w:sz w:val="22"/>
          <w:szCs w:val="22"/>
        </w:rPr>
      </w:pPr>
    </w:p>
    <w:p w14:paraId="4E7BB48D" w14:textId="45093550" w:rsidR="00286EFA" w:rsidRPr="00E60AC1" w:rsidRDefault="00DE74B6" w:rsidP="005D202C">
      <w:pPr>
        <w:spacing w:line="360" w:lineRule="auto"/>
        <w:jc w:val="both"/>
        <w:rPr>
          <w:rFonts w:ascii="Palatino Linotype" w:eastAsia="Palatino Linotype" w:hAnsi="Palatino Linotype" w:cs="Palatino Linotype"/>
          <w:sz w:val="22"/>
          <w:szCs w:val="22"/>
        </w:rPr>
      </w:pPr>
      <w:r w:rsidRPr="00E60AC1">
        <w:rPr>
          <w:rFonts w:ascii="Palatino Linotype" w:eastAsia="Palatino Linotype" w:hAnsi="Palatino Linotype" w:cs="Palatino Linotype"/>
          <w:sz w:val="22"/>
          <w:szCs w:val="22"/>
        </w:rPr>
        <w:t xml:space="preserve">El </w:t>
      </w:r>
      <w:r w:rsidR="00B67A71">
        <w:rPr>
          <w:rFonts w:ascii="Palatino Linotype" w:eastAsia="Palatino Linotype" w:hAnsi="Palatino Linotype" w:cs="Palatino Linotype"/>
          <w:sz w:val="22"/>
          <w:szCs w:val="22"/>
        </w:rPr>
        <w:t>trece de octubre</w:t>
      </w:r>
      <w:r w:rsidR="00E60AC1" w:rsidRPr="00E60AC1">
        <w:rPr>
          <w:rFonts w:ascii="Palatino Linotype" w:eastAsia="Palatino Linotype" w:hAnsi="Palatino Linotype" w:cs="Palatino Linotype"/>
          <w:sz w:val="22"/>
          <w:szCs w:val="22"/>
        </w:rPr>
        <w:t xml:space="preserve"> de dos </w:t>
      </w:r>
      <w:r w:rsidR="007470C1" w:rsidRPr="00E60AC1">
        <w:rPr>
          <w:rFonts w:ascii="Palatino Linotype" w:eastAsia="Palatino Linotype" w:hAnsi="Palatino Linotype" w:cs="Palatino Linotype"/>
          <w:sz w:val="22"/>
          <w:szCs w:val="22"/>
        </w:rPr>
        <w:t xml:space="preserve">mil veinticinco, </w:t>
      </w:r>
      <w:r w:rsidR="00FA61F8" w:rsidRPr="00E60AC1">
        <w:rPr>
          <w:rFonts w:ascii="Palatino Linotype" w:eastAsia="Palatino Linotype" w:hAnsi="Palatino Linotype" w:cs="Palatino Linotype"/>
          <w:sz w:val="22"/>
          <w:szCs w:val="22"/>
        </w:rPr>
        <w:t>el Particular presentó una solicitud de acceso a la información pública, a través del Sistema de Acceso a la Información Mexiquense (SAIMEX), ante el</w:t>
      </w:r>
      <w:r w:rsidR="00806B08" w:rsidRPr="00E60AC1">
        <w:rPr>
          <w:rFonts w:ascii="Palatino Linotype" w:eastAsia="Palatino Linotype" w:hAnsi="Palatino Linotype" w:cs="Palatino Linotype"/>
          <w:sz w:val="22"/>
          <w:szCs w:val="22"/>
        </w:rPr>
        <w:t xml:space="preserve"> Ayuntamiento de </w:t>
      </w:r>
      <w:r w:rsidR="007470C1" w:rsidRPr="00E60AC1">
        <w:rPr>
          <w:rFonts w:ascii="Palatino Linotype" w:eastAsia="Palatino Linotype" w:hAnsi="Palatino Linotype" w:cs="Palatino Linotype"/>
          <w:sz w:val="22"/>
          <w:szCs w:val="22"/>
        </w:rPr>
        <w:t xml:space="preserve">Toluca, </w:t>
      </w:r>
      <w:r w:rsidR="00FA61F8" w:rsidRPr="00E60AC1">
        <w:rPr>
          <w:rFonts w:ascii="Palatino Linotype" w:eastAsia="Palatino Linotype" w:hAnsi="Palatino Linotype" w:cs="Palatino Linotype"/>
          <w:sz w:val="22"/>
          <w:szCs w:val="22"/>
        </w:rPr>
        <w:t>mediante la cual requirió lo siguiente:</w:t>
      </w:r>
    </w:p>
    <w:p w14:paraId="7ACA76D0" w14:textId="77777777" w:rsidR="00286EFA" w:rsidRPr="00E60AC1" w:rsidRDefault="00286EFA" w:rsidP="005D202C">
      <w:pPr>
        <w:tabs>
          <w:tab w:val="left" w:pos="4667"/>
        </w:tabs>
        <w:spacing w:line="360" w:lineRule="auto"/>
        <w:ind w:right="567"/>
        <w:jc w:val="both"/>
        <w:rPr>
          <w:rFonts w:ascii="Palatino Linotype" w:eastAsia="Palatino Linotype" w:hAnsi="Palatino Linotype" w:cs="Palatino Linotype"/>
          <w:b/>
          <w:i/>
        </w:rPr>
      </w:pPr>
    </w:p>
    <w:p w14:paraId="443CF17D" w14:textId="77777777" w:rsidR="00286EFA" w:rsidRPr="00E60AC1" w:rsidRDefault="00FA61F8" w:rsidP="005D202C">
      <w:pPr>
        <w:tabs>
          <w:tab w:val="left" w:pos="4667"/>
        </w:tabs>
        <w:spacing w:line="360" w:lineRule="auto"/>
        <w:ind w:left="567" w:right="567"/>
        <w:jc w:val="both"/>
        <w:rPr>
          <w:rFonts w:ascii="Palatino Linotype" w:eastAsia="Palatino Linotype" w:hAnsi="Palatino Linotype" w:cs="Palatino Linotype"/>
          <w:b/>
          <w:i/>
        </w:rPr>
      </w:pPr>
      <w:bookmarkStart w:id="2" w:name="_heading=h.gjdgxs" w:colFirst="0" w:colLast="0"/>
      <w:bookmarkEnd w:id="2"/>
      <w:r w:rsidRPr="00E60AC1">
        <w:rPr>
          <w:rFonts w:ascii="Palatino Linotype" w:eastAsia="Palatino Linotype" w:hAnsi="Palatino Linotype" w:cs="Palatino Linotype"/>
          <w:b/>
          <w:i/>
        </w:rPr>
        <w:t>“DESCRIPCIÓN CLARA Y PRECISA DE LA INFORMACIÓN SOLICITADA:</w:t>
      </w:r>
    </w:p>
    <w:p w14:paraId="0617C710" w14:textId="532C8CBE" w:rsidR="00286EFA" w:rsidRPr="00E60AC1" w:rsidRDefault="00B67A71" w:rsidP="005D202C">
      <w:pPr>
        <w:tabs>
          <w:tab w:val="left" w:pos="567"/>
        </w:tabs>
        <w:spacing w:line="360" w:lineRule="auto"/>
        <w:ind w:left="567" w:right="567"/>
        <w:jc w:val="both"/>
        <w:rPr>
          <w:rFonts w:ascii="Palatino Linotype" w:eastAsia="Palatino Linotype" w:hAnsi="Palatino Linotype" w:cs="Palatino Linotype"/>
          <w:i/>
        </w:rPr>
      </w:pPr>
      <w:r w:rsidRPr="00B67A71">
        <w:rPr>
          <w:rFonts w:ascii="Palatino Linotype" w:eastAsia="Palatino Linotype" w:hAnsi="Palatino Linotype" w:cs="Palatino Linotype"/>
          <w:i/>
        </w:rPr>
        <w:t>SOLICITO EL RECIBO DE NOMINA Y/O SIMILAR O ANALOGO DE JUAN ELMER HERNANDEZ ROJAS, AL DESEMPEÑAR EMPLEO CARGO O COMISION DENTRO DEL H. AYUNTAMIENTO DE TOLUCA</w:t>
      </w:r>
      <w:r w:rsidR="00E60AC1" w:rsidRPr="00E60AC1">
        <w:rPr>
          <w:rFonts w:ascii="Palatino Linotype" w:eastAsia="Palatino Linotype" w:hAnsi="Palatino Linotype" w:cs="Palatino Linotype"/>
          <w:i/>
        </w:rPr>
        <w:t xml:space="preserve">” </w:t>
      </w:r>
    </w:p>
    <w:p w14:paraId="7AF3361D" w14:textId="77777777" w:rsidR="007470C1" w:rsidRPr="00E60AC1" w:rsidRDefault="007470C1" w:rsidP="005D202C">
      <w:pPr>
        <w:tabs>
          <w:tab w:val="left" w:pos="4667"/>
        </w:tabs>
        <w:spacing w:line="360" w:lineRule="auto"/>
        <w:ind w:left="567" w:right="567"/>
        <w:jc w:val="both"/>
        <w:rPr>
          <w:rFonts w:ascii="Palatino Linotype" w:eastAsia="Palatino Linotype" w:hAnsi="Palatino Linotype" w:cs="Palatino Linotype"/>
          <w:b/>
          <w:i/>
        </w:rPr>
      </w:pPr>
    </w:p>
    <w:p w14:paraId="593C74C5" w14:textId="77777777" w:rsidR="00286EFA" w:rsidRPr="00E60AC1" w:rsidRDefault="00FA61F8" w:rsidP="005D202C">
      <w:pPr>
        <w:tabs>
          <w:tab w:val="left" w:pos="4667"/>
        </w:tabs>
        <w:spacing w:line="360" w:lineRule="auto"/>
        <w:ind w:left="567" w:right="567"/>
        <w:jc w:val="both"/>
        <w:rPr>
          <w:rFonts w:ascii="Palatino Linotype" w:eastAsia="Palatino Linotype" w:hAnsi="Palatino Linotype" w:cs="Palatino Linotype"/>
          <w:b/>
          <w:i/>
        </w:rPr>
      </w:pPr>
      <w:r w:rsidRPr="00E60AC1">
        <w:rPr>
          <w:rFonts w:ascii="Palatino Linotype" w:eastAsia="Palatino Linotype" w:hAnsi="Palatino Linotype" w:cs="Palatino Linotype"/>
          <w:b/>
          <w:i/>
        </w:rPr>
        <w:t xml:space="preserve">“Modalidad de Entrega: </w:t>
      </w:r>
    </w:p>
    <w:p w14:paraId="7F58A019" w14:textId="77777777" w:rsidR="00286EFA" w:rsidRPr="00E60AC1" w:rsidRDefault="00FA61F8" w:rsidP="005D202C">
      <w:pPr>
        <w:tabs>
          <w:tab w:val="left" w:pos="567"/>
        </w:tabs>
        <w:spacing w:line="360" w:lineRule="auto"/>
        <w:ind w:left="567" w:right="567"/>
        <w:jc w:val="both"/>
        <w:rPr>
          <w:rFonts w:ascii="Palatino Linotype" w:eastAsia="Palatino Linotype" w:hAnsi="Palatino Linotype" w:cs="Palatino Linotype"/>
          <w:i/>
        </w:rPr>
      </w:pPr>
      <w:r w:rsidRPr="00E60AC1">
        <w:rPr>
          <w:rFonts w:ascii="Palatino Linotype" w:eastAsia="Palatino Linotype" w:hAnsi="Palatino Linotype" w:cs="Palatino Linotype"/>
          <w:b/>
          <w:i/>
        </w:rPr>
        <w:t xml:space="preserve"> </w:t>
      </w:r>
      <w:r w:rsidRPr="00E60AC1">
        <w:rPr>
          <w:rFonts w:ascii="Palatino Linotype" w:eastAsia="Palatino Linotype" w:hAnsi="Palatino Linotype" w:cs="Palatino Linotype"/>
          <w:i/>
        </w:rPr>
        <w:t xml:space="preserve">A través de SAIMEX”  </w:t>
      </w:r>
    </w:p>
    <w:p w14:paraId="0602ECED" w14:textId="77777777" w:rsidR="00286EFA" w:rsidRPr="00E60AC1" w:rsidRDefault="00286EFA" w:rsidP="005D202C">
      <w:pPr>
        <w:spacing w:line="360" w:lineRule="auto"/>
        <w:rPr>
          <w:rFonts w:ascii="Palatino Linotype" w:eastAsia="Palatino Linotype" w:hAnsi="Palatino Linotype" w:cs="Palatino Linotype"/>
          <w:b/>
          <w:color w:val="FF0000"/>
          <w:sz w:val="22"/>
          <w:szCs w:val="22"/>
        </w:rPr>
      </w:pPr>
      <w:bookmarkStart w:id="3" w:name="_heading=h.30j0zll" w:colFirst="0" w:colLast="0"/>
      <w:bookmarkEnd w:id="3"/>
    </w:p>
    <w:p w14:paraId="3947EDBB" w14:textId="77777777" w:rsidR="00286EFA" w:rsidRPr="00E60AC1" w:rsidRDefault="00FA61F8" w:rsidP="005D202C">
      <w:pPr>
        <w:pStyle w:val="Ttulo2"/>
        <w:spacing w:before="0" w:after="0" w:line="360" w:lineRule="auto"/>
        <w:rPr>
          <w:rFonts w:ascii="Palatino Linotype" w:eastAsia="Palatino Linotype" w:hAnsi="Palatino Linotype"/>
          <w:b/>
          <w:color w:val="auto"/>
          <w:sz w:val="22"/>
          <w:szCs w:val="22"/>
        </w:rPr>
      </w:pPr>
      <w:bookmarkStart w:id="4" w:name="_Toc216261253"/>
      <w:r w:rsidRPr="00E60AC1">
        <w:rPr>
          <w:rFonts w:ascii="Palatino Linotype" w:eastAsia="Palatino Linotype" w:hAnsi="Palatino Linotype"/>
          <w:b/>
          <w:color w:val="auto"/>
          <w:sz w:val="22"/>
          <w:szCs w:val="22"/>
        </w:rPr>
        <w:t>II. Respuesta del Sujeto Obligado</w:t>
      </w:r>
      <w:bookmarkEnd w:id="4"/>
    </w:p>
    <w:p w14:paraId="1777EA2A" w14:textId="77777777" w:rsidR="00286EFA" w:rsidRPr="00E60AC1" w:rsidRDefault="00286EFA" w:rsidP="005D202C">
      <w:pPr>
        <w:tabs>
          <w:tab w:val="left" w:pos="4667"/>
        </w:tabs>
        <w:spacing w:line="360" w:lineRule="auto"/>
        <w:ind w:right="567"/>
        <w:jc w:val="both"/>
        <w:rPr>
          <w:rFonts w:ascii="Palatino Linotype" w:eastAsia="Palatino Linotype" w:hAnsi="Palatino Linotype" w:cs="Palatino Linotype"/>
          <w:b/>
          <w:color w:val="FF0000"/>
          <w:sz w:val="22"/>
          <w:szCs w:val="22"/>
        </w:rPr>
      </w:pPr>
    </w:p>
    <w:p w14:paraId="3325D872" w14:textId="01B7DF6B" w:rsidR="00E60AC1" w:rsidRDefault="00A77369" w:rsidP="005D202C">
      <w:pPr>
        <w:spacing w:line="360" w:lineRule="auto"/>
        <w:jc w:val="both"/>
        <w:rPr>
          <w:rFonts w:ascii="Palatino Linotype" w:eastAsia="Palatino Linotype" w:hAnsi="Palatino Linotype" w:cs="Palatino Linotype"/>
          <w:sz w:val="22"/>
          <w:szCs w:val="22"/>
        </w:rPr>
      </w:pPr>
      <w:r w:rsidRPr="00E60AC1">
        <w:rPr>
          <w:rFonts w:ascii="Palatino Linotype" w:eastAsia="Palatino Linotype" w:hAnsi="Palatino Linotype" w:cs="Palatino Linotype"/>
          <w:sz w:val="22"/>
          <w:szCs w:val="22"/>
        </w:rPr>
        <w:t>El</w:t>
      </w:r>
      <w:r w:rsidR="00FA61F8" w:rsidRPr="00E60AC1">
        <w:rPr>
          <w:rFonts w:ascii="Palatino Linotype" w:eastAsia="Palatino Linotype" w:hAnsi="Palatino Linotype" w:cs="Palatino Linotype"/>
          <w:sz w:val="22"/>
          <w:szCs w:val="22"/>
        </w:rPr>
        <w:t xml:space="preserve"> </w:t>
      </w:r>
      <w:r w:rsidR="00B67A71">
        <w:rPr>
          <w:rFonts w:ascii="Palatino Linotype" w:eastAsia="Palatino Linotype" w:hAnsi="Palatino Linotype" w:cs="Palatino Linotype"/>
          <w:sz w:val="22"/>
          <w:szCs w:val="22"/>
        </w:rPr>
        <w:t>treinta y uno de octubre</w:t>
      </w:r>
      <w:r w:rsidR="00E60AC1" w:rsidRPr="00E60AC1">
        <w:rPr>
          <w:rFonts w:ascii="Palatino Linotype" w:eastAsia="Palatino Linotype" w:hAnsi="Palatino Linotype" w:cs="Palatino Linotype"/>
          <w:sz w:val="22"/>
          <w:szCs w:val="22"/>
        </w:rPr>
        <w:t xml:space="preserve"> de dos mil veinticinco, </w:t>
      </w:r>
      <w:r w:rsidR="00FA61F8" w:rsidRPr="00E60AC1">
        <w:rPr>
          <w:rFonts w:ascii="Palatino Linotype" w:eastAsia="Palatino Linotype" w:hAnsi="Palatino Linotype" w:cs="Palatino Linotype"/>
          <w:sz w:val="22"/>
          <w:szCs w:val="22"/>
        </w:rPr>
        <w:t>el</w:t>
      </w:r>
      <w:r w:rsidR="00FA61F8" w:rsidRPr="00E60AC1">
        <w:rPr>
          <w:rFonts w:ascii="Palatino Linotype" w:eastAsia="Palatino Linotype" w:hAnsi="Palatino Linotype" w:cs="Palatino Linotype"/>
          <w:b/>
          <w:sz w:val="22"/>
          <w:szCs w:val="22"/>
        </w:rPr>
        <w:t xml:space="preserve"> </w:t>
      </w:r>
      <w:r w:rsidR="006866C8" w:rsidRPr="00E60AC1">
        <w:rPr>
          <w:rFonts w:ascii="Palatino Linotype" w:eastAsia="Palatino Linotype" w:hAnsi="Palatino Linotype" w:cs="Palatino Linotype"/>
          <w:sz w:val="22"/>
          <w:szCs w:val="22"/>
        </w:rPr>
        <w:t>Sujeto Obligado dio</w:t>
      </w:r>
      <w:r w:rsidR="00FA61F8" w:rsidRPr="00E60AC1">
        <w:rPr>
          <w:rFonts w:ascii="Palatino Linotype" w:eastAsia="Palatino Linotype" w:hAnsi="Palatino Linotype" w:cs="Palatino Linotype"/>
          <w:sz w:val="22"/>
          <w:szCs w:val="22"/>
        </w:rPr>
        <w:t xml:space="preserve"> respuesta a la solicitud de acceso a la información a través del Sistema de Acceso a la Información Mexiquense (SAIMEX), por medio</w:t>
      </w:r>
      <w:r w:rsidR="006866C8" w:rsidRPr="00E60AC1">
        <w:rPr>
          <w:rFonts w:ascii="Palatino Linotype" w:eastAsia="Palatino Linotype" w:hAnsi="Palatino Linotype" w:cs="Palatino Linotype"/>
          <w:sz w:val="22"/>
          <w:szCs w:val="22"/>
        </w:rPr>
        <w:t xml:space="preserve"> de</w:t>
      </w:r>
      <w:r w:rsidR="00E60AC1">
        <w:rPr>
          <w:rFonts w:ascii="Palatino Linotype" w:eastAsia="Palatino Linotype" w:hAnsi="Palatino Linotype" w:cs="Palatino Linotype"/>
          <w:sz w:val="22"/>
          <w:szCs w:val="22"/>
        </w:rPr>
        <w:t xml:space="preserve"> la digitalización de los siguientes documentos:</w:t>
      </w:r>
    </w:p>
    <w:p w14:paraId="5BA28553" w14:textId="77777777" w:rsidR="00E60AC1" w:rsidRDefault="00E60AC1" w:rsidP="005D202C">
      <w:pPr>
        <w:spacing w:line="360" w:lineRule="auto"/>
        <w:jc w:val="both"/>
        <w:rPr>
          <w:rFonts w:ascii="Palatino Linotype" w:eastAsia="Palatino Linotype" w:hAnsi="Palatino Linotype" w:cs="Palatino Linotype"/>
          <w:sz w:val="22"/>
          <w:szCs w:val="22"/>
        </w:rPr>
      </w:pPr>
    </w:p>
    <w:p w14:paraId="59212E60" w14:textId="3286E01E" w:rsidR="003760EC" w:rsidRPr="003760EC" w:rsidRDefault="003760EC" w:rsidP="005D202C">
      <w:pPr>
        <w:spacing w:line="360" w:lineRule="auto"/>
        <w:jc w:val="both"/>
        <w:rPr>
          <w:rFonts w:ascii="Palatino Linotype" w:eastAsia="Palatino Linotype" w:hAnsi="Palatino Linotype" w:cs="Palatino Linotype"/>
          <w:sz w:val="22"/>
          <w:szCs w:val="22"/>
        </w:rPr>
      </w:pPr>
      <w:r w:rsidRPr="003760EC">
        <w:rPr>
          <w:rFonts w:ascii="Palatino Linotype" w:eastAsia="Palatino Linotype" w:hAnsi="Palatino Linotype" w:cs="Palatino Linotype"/>
          <w:sz w:val="22"/>
          <w:szCs w:val="22"/>
        </w:rPr>
        <w:t>i) Oficios número 206010000/</w:t>
      </w:r>
      <w:r w:rsidR="00B67A71">
        <w:rPr>
          <w:rFonts w:ascii="Palatino Linotype" w:eastAsia="Palatino Linotype" w:hAnsi="Palatino Linotype" w:cs="Palatino Linotype"/>
          <w:sz w:val="22"/>
          <w:szCs w:val="22"/>
        </w:rPr>
        <w:t>6258</w:t>
      </w:r>
      <w:r w:rsidRPr="003760EC">
        <w:rPr>
          <w:rFonts w:ascii="Palatino Linotype" w:eastAsia="Palatino Linotype" w:hAnsi="Palatino Linotype" w:cs="Palatino Linotype"/>
          <w:sz w:val="22"/>
          <w:szCs w:val="22"/>
        </w:rPr>
        <w:t xml:space="preserve">/2025, del </w:t>
      </w:r>
      <w:r w:rsidR="00B67A71">
        <w:rPr>
          <w:rFonts w:ascii="Palatino Linotype" w:eastAsia="Palatino Linotype" w:hAnsi="Palatino Linotype" w:cs="Palatino Linotype"/>
          <w:sz w:val="22"/>
          <w:szCs w:val="22"/>
        </w:rPr>
        <w:t>dieciséis de octubre</w:t>
      </w:r>
      <w:r w:rsidRPr="003760EC">
        <w:rPr>
          <w:rFonts w:ascii="Palatino Linotype" w:eastAsia="Palatino Linotype" w:hAnsi="Palatino Linotype" w:cs="Palatino Linotype"/>
          <w:sz w:val="22"/>
          <w:szCs w:val="22"/>
        </w:rPr>
        <w:t xml:space="preserve"> de dos mil veinticinco, suscritos por la Directora General de Administración y dirigido a la persona Solicitante, por medio del cual remite la respuesta emitida por la Dirección de Recursos Humanos.</w:t>
      </w:r>
    </w:p>
    <w:p w14:paraId="68FCF047" w14:textId="77777777" w:rsidR="003760EC" w:rsidRPr="003760EC" w:rsidRDefault="003760EC" w:rsidP="005D202C">
      <w:pPr>
        <w:spacing w:line="360" w:lineRule="auto"/>
        <w:jc w:val="both"/>
        <w:rPr>
          <w:rFonts w:ascii="Palatino Linotype" w:eastAsia="Palatino Linotype" w:hAnsi="Palatino Linotype" w:cs="Palatino Linotype"/>
          <w:sz w:val="22"/>
          <w:szCs w:val="22"/>
        </w:rPr>
      </w:pPr>
    </w:p>
    <w:p w14:paraId="4A9ABC64" w14:textId="4C505BF0" w:rsidR="003760EC" w:rsidRPr="003760EC" w:rsidRDefault="003760EC" w:rsidP="005D202C">
      <w:pPr>
        <w:spacing w:line="360" w:lineRule="auto"/>
        <w:jc w:val="both"/>
        <w:rPr>
          <w:rFonts w:ascii="Palatino Linotype" w:eastAsia="Palatino Linotype" w:hAnsi="Palatino Linotype" w:cs="Palatino Linotype"/>
          <w:sz w:val="22"/>
          <w:szCs w:val="22"/>
        </w:rPr>
      </w:pPr>
      <w:r w:rsidRPr="003760EC">
        <w:rPr>
          <w:rFonts w:ascii="Palatino Linotype" w:eastAsia="Palatino Linotype" w:hAnsi="Palatino Linotype" w:cs="Palatino Linotype"/>
          <w:sz w:val="22"/>
          <w:szCs w:val="22"/>
        </w:rPr>
        <w:t xml:space="preserve">ii) Nota informativa con número </w:t>
      </w:r>
      <w:r w:rsidR="00B67A71">
        <w:rPr>
          <w:rFonts w:ascii="Palatino Linotype" w:eastAsia="Palatino Linotype" w:hAnsi="Palatino Linotype" w:cs="Palatino Linotype"/>
          <w:sz w:val="22"/>
          <w:szCs w:val="22"/>
        </w:rPr>
        <w:t>1080</w:t>
      </w:r>
      <w:r w:rsidRPr="003760EC">
        <w:rPr>
          <w:rFonts w:ascii="Palatino Linotype" w:eastAsia="Palatino Linotype" w:hAnsi="Palatino Linotype" w:cs="Palatino Linotype"/>
          <w:sz w:val="22"/>
          <w:szCs w:val="22"/>
        </w:rPr>
        <w:t xml:space="preserve">/25, </w:t>
      </w:r>
      <w:r>
        <w:rPr>
          <w:rFonts w:ascii="Palatino Linotype" w:eastAsia="Palatino Linotype" w:hAnsi="Palatino Linotype" w:cs="Palatino Linotype"/>
          <w:sz w:val="22"/>
          <w:szCs w:val="22"/>
        </w:rPr>
        <w:t xml:space="preserve">del </w:t>
      </w:r>
      <w:r w:rsidR="00B67A71">
        <w:rPr>
          <w:rFonts w:ascii="Palatino Linotype" w:eastAsia="Palatino Linotype" w:hAnsi="Palatino Linotype" w:cs="Palatino Linotype"/>
          <w:sz w:val="22"/>
          <w:szCs w:val="22"/>
        </w:rPr>
        <w:t>quince de octubre</w:t>
      </w:r>
      <w:r w:rsidRPr="003760EC">
        <w:rPr>
          <w:rFonts w:ascii="Palatino Linotype" w:eastAsia="Palatino Linotype" w:hAnsi="Palatino Linotype" w:cs="Palatino Linotype"/>
          <w:sz w:val="22"/>
          <w:szCs w:val="22"/>
        </w:rPr>
        <w:t xml:space="preserve"> de dos mil veinticinco, suscritos por la Directora de Recursos Humanos y dirigidos a la Directora General de Administración, por medio del cual menciona que la información se puede localizar en un vínculo electrónico.</w:t>
      </w:r>
    </w:p>
    <w:p w14:paraId="578ED3B2" w14:textId="77777777" w:rsidR="007F4D8B" w:rsidRPr="00E60AC1" w:rsidRDefault="007F4D8B" w:rsidP="005D202C">
      <w:pPr>
        <w:spacing w:line="360" w:lineRule="auto"/>
        <w:jc w:val="both"/>
        <w:rPr>
          <w:rFonts w:ascii="Palatino Linotype" w:eastAsia="Palatino Linotype" w:hAnsi="Palatino Linotype" w:cs="Palatino Linotype"/>
          <w:color w:val="FF0000"/>
          <w:sz w:val="22"/>
          <w:szCs w:val="22"/>
        </w:rPr>
      </w:pPr>
    </w:p>
    <w:p w14:paraId="1D5C34B3" w14:textId="77777777" w:rsidR="00286EFA" w:rsidRPr="003840A8" w:rsidRDefault="00FA61F8" w:rsidP="005D202C">
      <w:pPr>
        <w:pStyle w:val="Ttulo2"/>
        <w:spacing w:before="0" w:after="0" w:line="360" w:lineRule="auto"/>
        <w:rPr>
          <w:rFonts w:ascii="Palatino Linotype" w:eastAsia="Palatino Linotype" w:hAnsi="Palatino Linotype"/>
          <w:b/>
          <w:color w:val="auto"/>
          <w:sz w:val="22"/>
          <w:szCs w:val="22"/>
        </w:rPr>
      </w:pPr>
      <w:bookmarkStart w:id="5" w:name="_Toc216261254"/>
      <w:r w:rsidRPr="003840A8">
        <w:rPr>
          <w:rFonts w:ascii="Palatino Linotype" w:eastAsia="Palatino Linotype" w:hAnsi="Palatino Linotype"/>
          <w:b/>
          <w:color w:val="auto"/>
          <w:sz w:val="22"/>
          <w:szCs w:val="22"/>
        </w:rPr>
        <w:t>III. Interposición del Recurso de Revisión</w:t>
      </w:r>
      <w:bookmarkEnd w:id="5"/>
    </w:p>
    <w:p w14:paraId="755E731E" w14:textId="77777777" w:rsidR="00286EFA" w:rsidRPr="00E60AC1" w:rsidRDefault="00286EFA" w:rsidP="005D202C">
      <w:pPr>
        <w:spacing w:line="360" w:lineRule="auto"/>
        <w:ind w:right="-28"/>
        <w:jc w:val="both"/>
        <w:rPr>
          <w:rFonts w:ascii="Palatino Linotype" w:eastAsia="Palatino Linotype" w:hAnsi="Palatino Linotype" w:cs="Palatino Linotype"/>
          <w:color w:val="FF0000"/>
          <w:sz w:val="22"/>
          <w:szCs w:val="22"/>
        </w:rPr>
      </w:pPr>
    </w:p>
    <w:p w14:paraId="437339AA" w14:textId="6794E79C" w:rsidR="00286EFA" w:rsidRPr="00031526" w:rsidRDefault="003840A8" w:rsidP="005D202C">
      <w:pPr>
        <w:spacing w:line="360" w:lineRule="auto"/>
        <w:jc w:val="both"/>
        <w:rPr>
          <w:rFonts w:ascii="Palatino Linotype" w:eastAsia="Palatino Linotype" w:hAnsi="Palatino Linotype" w:cs="Palatino Linotype"/>
          <w:sz w:val="22"/>
          <w:szCs w:val="22"/>
        </w:rPr>
      </w:pPr>
      <w:r w:rsidRPr="00031526">
        <w:rPr>
          <w:rFonts w:ascii="Palatino Linotype" w:eastAsia="Palatino Linotype" w:hAnsi="Palatino Linotype" w:cs="Palatino Linotype"/>
          <w:sz w:val="22"/>
          <w:szCs w:val="22"/>
        </w:rPr>
        <w:t xml:space="preserve">El </w:t>
      </w:r>
      <w:r w:rsidR="00B67A71">
        <w:rPr>
          <w:rFonts w:ascii="Palatino Linotype" w:eastAsia="Palatino Linotype" w:hAnsi="Palatino Linotype" w:cs="Palatino Linotype"/>
          <w:sz w:val="22"/>
          <w:szCs w:val="22"/>
        </w:rPr>
        <w:t>veinticuatro de noviembre</w:t>
      </w:r>
      <w:r w:rsidRPr="00031526">
        <w:rPr>
          <w:rFonts w:ascii="Palatino Linotype" w:eastAsia="Palatino Linotype" w:hAnsi="Palatino Linotype" w:cs="Palatino Linotype"/>
          <w:sz w:val="22"/>
          <w:szCs w:val="22"/>
        </w:rPr>
        <w:t xml:space="preserve"> de dos mil veinticinco</w:t>
      </w:r>
      <w:r w:rsidR="007F4D8B" w:rsidRPr="00031526">
        <w:rPr>
          <w:rFonts w:ascii="Palatino Linotype" w:eastAsia="Palatino Linotype" w:hAnsi="Palatino Linotype" w:cs="Palatino Linotype"/>
          <w:sz w:val="22"/>
          <w:szCs w:val="22"/>
        </w:rPr>
        <w:t xml:space="preserve">, </w:t>
      </w:r>
      <w:r w:rsidR="00FA61F8" w:rsidRPr="00031526">
        <w:rPr>
          <w:rFonts w:ascii="Palatino Linotype" w:eastAsia="Palatino Linotype" w:hAnsi="Palatino Linotype" w:cs="Palatino Linotype"/>
          <w:sz w:val="22"/>
          <w:szCs w:val="22"/>
        </w:rPr>
        <w:t>se recibió en este Instituto, a través del Sistema de Acceso a la Información Mexiquense (SAIMEX), el Recurso de Revisión interpuesto por la parte Recurrente, en contra de la respuesta del Sujeto Obligado</w:t>
      </w:r>
      <w:r w:rsidR="00FA61F8" w:rsidRPr="00031526">
        <w:rPr>
          <w:rFonts w:ascii="Palatino Linotype" w:eastAsia="Palatino Linotype" w:hAnsi="Palatino Linotype" w:cs="Palatino Linotype"/>
          <w:b/>
          <w:sz w:val="22"/>
          <w:szCs w:val="22"/>
        </w:rPr>
        <w:t xml:space="preserve">, </w:t>
      </w:r>
      <w:r w:rsidR="00FA61F8" w:rsidRPr="00031526">
        <w:rPr>
          <w:rFonts w:ascii="Palatino Linotype" w:eastAsia="Palatino Linotype" w:hAnsi="Palatino Linotype" w:cs="Palatino Linotype"/>
          <w:sz w:val="22"/>
          <w:szCs w:val="22"/>
        </w:rPr>
        <w:t>en los siguientes términos:</w:t>
      </w:r>
    </w:p>
    <w:p w14:paraId="4B3C8EC9" w14:textId="77777777" w:rsidR="00C735E2" w:rsidRPr="00E60AC1" w:rsidRDefault="00C735E2" w:rsidP="005D202C">
      <w:pPr>
        <w:spacing w:line="360" w:lineRule="auto"/>
        <w:jc w:val="both"/>
        <w:rPr>
          <w:rFonts w:ascii="Palatino Linotype" w:eastAsia="Palatino Linotype" w:hAnsi="Palatino Linotype" w:cs="Palatino Linotype"/>
          <w:color w:val="FF0000"/>
          <w:sz w:val="22"/>
          <w:szCs w:val="22"/>
        </w:rPr>
      </w:pPr>
    </w:p>
    <w:p w14:paraId="33D7FF4F" w14:textId="77777777" w:rsidR="00286EFA" w:rsidRPr="00031526" w:rsidRDefault="00FA61F8" w:rsidP="005D202C">
      <w:pPr>
        <w:tabs>
          <w:tab w:val="left" w:pos="4667"/>
        </w:tabs>
        <w:spacing w:line="360" w:lineRule="auto"/>
        <w:ind w:left="567" w:right="567"/>
        <w:jc w:val="both"/>
        <w:rPr>
          <w:rFonts w:ascii="Palatino Linotype" w:eastAsia="Palatino Linotype" w:hAnsi="Palatino Linotype" w:cs="Palatino Linotype"/>
          <w:b/>
          <w:i/>
        </w:rPr>
      </w:pPr>
      <w:r w:rsidRPr="00031526">
        <w:rPr>
          <w:rFonts w:ascii="Palatino Linotype" w:eastAsia="Palatino Linotype" w:hAnsi="Palatino Linotype" w:cs="Palatino Linotype"/>
          <w:b/>
          <w:i/>
        </w:rPr>
        <w:t>“ACTO IMPUGNADO</w:t>
      </w:r>
    </w:p>
    <w:p w14:paraId="09E5A8E1" w14:textId="25689A8E" w:rsidR="00286EFA" w:rsidRPr="00031526" w:rsidRDefault="00B67A71" w:rsidP="005D202C">
      <w:pPr>
        <w:spacing w:line="360" w:lineRule="auto"/>
        <w:ind w:left="567" w:right="567"/>
        <w:jc w:val="both"/>
        <w:rPr>
          <w:rFonts w:ascii="Palatino Linotype" w:hAnsi="Palatino Linotype"/>
          <w:i/>
        </w:rPr>
      </w:pPr>
      <w:r w:rsidRPr="00B67A71">
        <w:rPr>
          <w:rFonts w:ascii="Palatino Linotype" w:hAnsi="Palatino Linotype"/>
          <w:i/>
        </w:rPr>
        <w:t>LA RESPUESTA DEL SUJETO OBLIGADO</w:t>
      </w:r>
      <w:r w:rsidR="003D15EF" w:rsidRPr="00031526">
        <w:rPr>
          <w:rFonts w:ascii="Palatino Linotype" w:hAnsi="Palatino Linotype"/>
          <w:i/>
        </w:rPr>
        <w:t>” (Sic)</w:t>
      </w:r>
    </w:p>
    <w:p w14:paraId="511F0B34" w14:textId="77777777" w:rsidR="003D15EF" w:rsidRPr="00031526" w:rsidRDefault="003D15EF" w:rsidP="005D202C">
      <w:pPr>
        <w:tabs>
          <w:tab w:val="left" w:pos="4667"/>
        </w:tabs>
        <w:spacing w:line="360" w:lineRule="auto"/>
        <w:ind w:right="567"/>
        <w:jc w:val="both"/>
        <w:rPr>
          <w:rFonts w:ascii="Palatino Linotype" w:eastAsia="Palatino Linotype" w:hAnsi="Palatino Linotype" w:cs="Palatino Linotype"/>
          <w:i/>
        </w:rPr>
      </w:pPr>
    </w:p>
    <w:p w14:paraId="4A8C67FA" w14:textId="77777777" w:rsidR="00286EFA" w:rsidRPr="00031526" w:rsidRDefault="00FA61F8" w:rsidP="005D202C">
      <w:pPr>
        <w:tabs>
          <w:tab w:val="left" w:pos="4667"/>
        </w:tabs>
        <w:spacing w:line="360" w:lineRule="auto"/>
        <w:ind w:left="567" w:right="567"/>
        <w:jc w:val="both"/>
        <w:rPr>
          <w:rFonts w:ascii="Palatino Linotype" w:eastAsia="Palatino Linotype" w:hAnsi="Palatino Linotype" w:cs="Palatino Linotype"/>
          <w:b/>
          <w:i/>
        </w:rPr>
      </w:pPr>
      <w:r w:rsidRPr="00031526">
        <w:rPr>
          <w:rFonts w:ascii="Palatino Linotype" w:eastAsia="Palatino Linotype" w:hAnsi="Palatino Linotype" w:cs="Palatino Linotype"/>
          <w:b/>
          <w:i/>
        </w:rPr>
        <w:t>“RAZONES O MOTIVOS DE LA INCONFORMIDAD</w:t>
      </w:r>
    </w:p>
    <w:p w14:paraId="7CAACE91" w14:textId="7AB1D99B" w:rsidR="00286EFA" w:rsidRDefault="00B67A71" w:rsidP="005D202C">
      <w:pPr>
        <w:spacing w:line="360" w:lineRule="auto"/>
        <w:ind w:left="567" w:right="567"/>
        <w:jc w:val="both"/>
        <w:rPr>
          <w:rFonts w:ascii="Palatino Linotype" w:hAnsi="Palatino Linotype"/>
          <w:i/>
        </w:rPr>
      </w:pPr>
      <w:r w:rsidRPr="00B67A71">
        <w:rPr>
          <w:rFonts w:ascii="Palatino Linotype" w:hAnsi="Palatino Linotype"/>
          <w:i/>
        </w:rPr>
        <w:lastRenderedPageBreak/>
        <w:t>NO ENTREGA LA EXPRESION DOCUMETAL</w:t>
      </w:r>
      <w:r w:rsidR="003D15EF" w:rsidRPr="00031526">
        <w:rPr>
          <w:rFonts w:ascii="Palatino Linotype" w:hAnsi="Palatino Linotype"/>
          <w:i/>
        </w:rPr>
        <w:t>” (Sic)</w:t>
      </w:r>
    </w:p>
    <w:p w14:paraId="61A40793" w14:textId="77777777" w:rsidR="00B67A71" w:rsidRPr="00031526" w:rsidRDefault="00B67A71" w:rsidP="005D202C">
      <w:pPr>
        <w:spacing w:line="360" w:lineRule="auto"/>
        <w:ind w:left="567" w:right="567"/>
        <w:jc w:val="both"/>
        <w:rPr>
          <w:rFonts w:ascii="Palatino Linotype" w:hAnsi="Palatino Linotype"/>
          <w:i/>
        </w:rPr>
      </w:pPr>
    </w:p>
    <w:p w14:paraId="3FC3838B" w14:textId="77777777" w:rsidR="00286EFA" w:rsidRPr="00031526" w:rsidRDefault="00FA61F8" w:rsidP="005D202C">
      <w:pPr>
        <w:pStyle w:val="Ttulo2"/>
        <w:spacing w:before="0" w:after="0" w:line="360" w:lineRule="auto"/>
        <w:rPr>
          <w:rFonts w:ascii="Palatino Linotype" w:eastAsia="Palatino Linotype" w:hAnsi="Palatino Linotype"/>
          <w:b/>
          <w:color w:val="auto"/>
          <w:sz w:val="22"/>
          <w:szCs w:val="22"/>
        </w:rPr>
      </w:pPr>
      <w:bookmarkStart w:id="6" w:name="_Toc216261255"/>
      <w:r w:rsidRPr="00031526">
        <w:rPr>
          <w:rFonts w:ascii="Palatino Linotype" w:eastAsia="Palatino Linotype" w:hAnsi="Palatino Linotype"/>
          <w:b/>
          <w:color w:val="auto"/>
          <w:sz w:val="22"/>
          <w:szCs w:val="22"/>
        </w:rPr>
        <w:t>IV. Trámite del Recurso de Revisión ante el Instituto</w:t>
      </w:r>
      <w:bookmarkEnd w:id="6"/>
    </w:p>
    <w:p w14:paraId="4A9A3081" w14:textId="77777777" w:rsidR="00286EFA" w:rsidRPr="00E60AC1" w:rsidRDefault="00286EFA" w:rsidP="005D202C">
      <w:pPr>
        <w:spacing w:line="360" w:lineRule="auto"/>
        <w:ind w:right="-28"/>
        <w:jc w:val="both"/>
        <w:rPr>
          <w:rFonts w:ascii="Palatino Linotype" w:eastAsia="Palatino Linotype" w:hAnsi="Palatino Linotype" w:cs="Palatino Linotype"/>
          <w:b/>
          <w:color w:val="FF0000"/>
          <w:sz w:val="22"/>
          <w:szCs w:val="22"/>
        </w:rPr>
      </w:pPr>
    </w:p>
    <w:p w14:paraId="1843A9DF" w14:textId="4AC5147C" w:rsidR="00286EFA" w:rsidRPr="00031526" w:rsidRDefault="00FA61F8" w:rsidP="005D202C">
      <w:pPr>
        <w:spacing w:line="360" w:lineRule="auto"/>
        <w:ind w:right="-28"/>
        <w:jc w:val="both"/>
        <w:rPr>
          <w:rFonts w:ascii="Palatino Linotype" w:eastAsia="Palatino Linotype" w:hAnsi="Palatino Linotype" w:cs="Palatino Linotype"/>
          <w:sz w:val="22"/>
          <w:szCs w:val="22"/>
        </w:rPr>
      </w:pPr>
      <w:bookmarkStart w:id="7" w:name="_Toc216261256"/>
      <w:r w:rsidRPr="00031526">
        <w:rPr>
          <w:rStyle w:val="Ttulo3Car"/>
          <w:rFonts w:ascii="Palatino Linotype" w:hAnsi="Palatino Linotype"/>
          <w:b/>
          <w:color w:val="auto"/>
          <w:sz w:val="22"/>
          <w:szCs w:val="22"/>
        </w:rPr>
        <w:t>a) Turno del Recurso de Revisión.</w:t>
      </w:r>
      <w:bookmarkEnd w:id="7"/>
      <w:r w:rsidRPr="00031526">
        <w:rPr>
          <w:rFonts w:ascii="Palatino Linotype" w:eastAsia="Palatino Linotype" w:hAnsi="Palatino Linotype" w:cs="Palatino Linotype"/>
          <w:b/>
          <w:sz w:val="22"/>
          <w:szCs w:val="22"/>
        </w:rPr>
        <w:t xml:space="preserve"> </w:t>
      </w:r>
      <w:r w:rsidRPr="00031526">
        <w:rPr>
          <w:rFonts w:ascii="Palatino Linotype" w:eastAsia="Palatino Linotype" w:hAnsi="Palatino Linotype" w:cs="Palatino Linotype"/>
          <w:sz w:val="22"/>
          <w:szCs w:val="22"/>
        </w:rPr>
        <w:t xml:space="preserve">El </w:t>
      </w:r>
      <w:r w:rsidR="00B67A71">
        <w:rPr>
          <w:rFonts w:ascii="Palatino Linotype" w:eastAsia="Palatino Linotype" w:hAnsi="Palatino Linotype" w:cs="Palatino Linotype"/>
          <w:sz w:val="22"/>
          <w:szCs w:val="22"/>
        </w:rPr>
        <w:t>veinticuatro de noviembre</w:t>
      </w:r>
      <w:r w:rsidR="003760EC">
        <w:rPr>
          <w:rFonts w:ascii="Palatino Linotype" w:eastAsia="Palatino Linotype" w:hAnsi="Palatino Linotype" w:cs="Palatino Linotype"/>
          <w:sz w:val="22"/>
          <w:szCs w:val="22"/>
        </w:rPr>
        <w:t xml:space="preserve"> </w:t>
      </w:r>
      <w:r w:rsidR="003D15EF" w:rsidRPr="00031526">
        <w:rPr>
          <w:rFonts w:ascii="Palatino Linotype" w:eastAsia="Palatino Linotype" w:hAnsi="Palatino Linotype" w:cs="Palatino Linotype"/>
          <w:sz w:val="22"/>
          <w:szCs w:val="22"/>
        </w:rPr>
        <w:t xml:space="preserve">de dos mil veinticinco, </w:t>
      </w:r>
      <w:r w:rsidRPr="00031526">
        <w:rPr>
          <w:rFonts w:ascii="Palatino Linotype" w:eastAsia="Palatino Linotype" w:hAnsi="Palatino Linotype" w:cs="Palatino Linotype"/>
          <w:sz w:val="22"/>
          <w:szCs w:val="22"/>
        </w:rPr>
        <w:t xml:space="preserve">el Sistema de Acceso a la Información Mexiquense (SAIMEX), asignó el número de expediente </w:t>
      </w:r>
      <w:r w:rsidR="00B67A71">
        <w:rPr>
          <w:rFonts w:ascii="Palatino Linotype" w:eastAsia="Palatino Linotype" w:hAnsi="Palatino Linotype" w:cs="Palatino Linotype"/>
          <w:b/>
          <w:sz w:val="22"/>
          <w:szCs w:val="22"/>
        </w:rPr>
        <w:t>13251</w:t>
      </w:r>
      <w:r w:rsidRPr="00031526">
        <w:rPr>
          <w:rFonts w:ascii="Palatino Linotype" w:eastAsia="Palatino Linotype" w:hAnsi="Palatino Linotype" w:cs="Palatino Linotype"/>
          <w:b/>
          <w:sz w:val="22"/>
          <w:szCs w:val="22"/>
        </w:rPr>
        <w:t xml:space="preserve">/INFOEM/IP/RR/2025, </w:t>
      </w:r>
      <w:r w:rsidRPr="00031526">
        <w:rPr>
          <w:rFonts w:ascii="Palatino Linotype" w:eastAsia="Palatino Linotype" w:hAnsi="Palatino Linotype" w:cs="Palatino Linotype"/>
          <w:sz w:val="22"/>
          <w:szCs w:val="22"/>
        </w:rPr>
        <w:t xml:space="preserve">al Recurso de Revisión y lo turnó al Comisionado Ponente </w:t>
      </w:r>
      <w:r w:rsidRPr="00031526">
        <w:rPr>
          <w:rFonts w:ascii="Palatino Linotype" w:eastAsia="Palatino Linotype" w:hAnsi="Palatino Linotype" w:cs="Palatino Linotype"/>
          <w:b/>
          <w:sz w:val="22"/>
          <w:szCs w:val="22"/>
        </w:rPr>
        <w:t>Luis Gustavo Parra Noriega</w:t>
      </w:r>
      <w:r w:rsidRPr="00031526">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76D87DCA" w14:textId="77777777" w:rsidR="00286EFA" w:rsidRPr="00E60AC1" w:rsidRDefault="00286EFA" w:rsidP="005D202C">
      <w:pPr>
        <w:spacing w:line="360" w:lineRule="auto"/>
        <w:ind w:right="-28"/>
        <w:jc w:val="both"/>
        <w:rPr>
          <w:rFonts w:ascii="Palatino Linotype" w:eastAsia="Palatino Linotype" w:hAnsi="Palatino Linotype" w:cs="Palatino Linotype"/>
          <w:color w:val="FF0000"/>
          <w:sz w:val="22"/>
          <w:szCs w:val="22"/>
        </w:rPr>
      </w:pPr>
    </w:p>
    <w:p w14:paraId="6A5EADE9" w14:textId="2D996B74" w:rsidR="00286EFA" w:rsidRPr="00C72D00" w:rsidRDefault="00FA61F8" w:rsidP="005D202C">
      <w:pPr>
        <w:spacing w:line="360" w:lineRule="auto"/>
        <w:jc w:val="both"/>
        <w:rPr>
          <w:rFonts w:ascii="Palatino Linotype" w:eastAsia="Palatino Linotype" w:hAnsi="Palatino Linotype" w:cs="Palatino Linotype"/>
          <w:sz w:val="22"/>
          <w:szCs w:val="22"/>
        </w:rPr>
      </w:pPr>
      <w:bookmarkStart w:id="8" w:name="_Toc216261257"/>
      <w:r w:rsidRPr="00C72D00">
        <w:rPr>
          <w:rStyle w:val="Ttulo3Car"/>
          <w:rFonts w:ascii="Palatino Linotype" w:hAnsi="Palatino Linotype"/>
          <w:b/>
          <w:color w:val="auto"/>
          <w:sz w:val="22"/>
          <w:szCs w:val="22"/>
        </w:rPr>
        <w:t>b) Admisión del Recurso de Revisión.</w:t>
      </w:r>
      <w:bookmarkEnd w:id="8"/>
      <w:r w:rsidRPr="00C72D00">
        <w:rPr>
          <w:rFonts w:ascii="Palatino Linotype" w:eastAsia="Palatino Linotype" w:hAnsi="Palatino Linotype" w:cs="Palatino Linotype"/>
          <w:b/>
          <w:sz w:val="22"/>
          <w:szCs w:val="22"/>
        </w:rPr>
        <w:t xml:space="preserve"> </w:t>
      </w:r>
      <w:r w:rsidRPr="00C72D00">
        <w:rPr>
          <w:rFonts w:ascii="Palatino Linotype" w:eastAsia="Palatino Linotype" w:hAnsi="Palatino Linotype" w:cs="Palatino Linotype"/>
          <w:sz w:val="22"/>
          <w:szCs w:val="22"/>
        </w:rPr>
        <w:t xml:space="preserve">El </w:t>
      </w:r>
      <w:r w:rsidR="00CF343A" w:rsidRPr="00C72D00">
        <w:rPr>
          <w:rFonts w:ascii="Palatino Linotype" w:eastAsia="Palatino Linotype" w:hAnsi="Palatino Linotype" w:cs="Palatino Linotype"/>
          <w:sz w:val="22"/>
          <w:szCs w:val="22"/>
        </w:rPr>
        <w:t xml:space="preserve"> </w:t>
      </w:r>
      <w:r w:rsidR="00B67A71">
        <w:rPr>
          <w:rFonts w:ascii="Palatino Linotype" w:eastAsia="Palatino Linotype" w:hAnsi="Palatino Linotype" w:cs="Palatino Linotype"/>
          <w:sz w:val="22"/>
          <w:szCs w:val="22"/>
        </w:rPr>
        <w:t>veintisiete de noviembre</w:t>
      </w:r>
      <w:r w:rsidR="00C72D00" w:rsidRPr="00C72D00">
        <w:rPr>
          <w:rFonts w:ascii="Palatino Linotype" w:eastAsia="Palatino Linotype" w:hAnsi="Palatino Linotype" w:cs="Palatino Linotype"/>
          <w:sz w:val="22"/>
          <w:szCs w:val="22"/>
        </w:rPr>
        <w:t xml:space="preserve"> de dos mil veinticinco, </w:t>
      </w:r>
      <w:r w:rsidRPr="00C72D00">
        <w:rPr>
          <w:rFonts w:ascii="Palatino Linotype" w:eastAsia="Palatino Linotype" w:hAnsi="Palatino Linotype" w:cs="Palatino Linotype"/>
          <w:sz w:val="22"/>
          <w:szCs w:val="22"/>
        </w:rPr>
        <w:t>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7F4D8B" w:rsidRPr="00C72D00">
        <w:rPr>
          <w:rFonts w:ascii="Palatino Linotype" w:eastAsia="Palatino Linotype" w:hAnsi="Palatino Linotype" w:cs="Palatino Linotype"/>
          <w:sz w:val="22"/>
          <w:szCs w:val="22"/>
        </w:rPr>
        <w:t xml:space="preserve"> mismo día</w:t>
      </w:r>
      <w:r w:rsidRPr="00C72D00">
        <w:rPr>
          <w:rFonts w:ascii="Palatino Linotype" w:eastAsia="Palatino Linotype" w:hAnsi="Palatino Linotype" w:cs="Palatino Linotype"/>
          <w:sz w:val="22"/>
          <w:szCs w:val="22"/>
        </w:rPr>
        <w:t>, a través del Sistema de Acceso a la Información Mexiquense (SAIMEX), en el que se les otorgó un plazo de siete días hábiles posteriores a la misma, para que manifestaran lo que a su derecho conviniera y formularan alegatos.</w:t>
      </w:r>
    </w:p>
    <w:p w14:paraId="4D42A37A" w14:textId="77777777" w:rsidR="00286EFA" w:rsidRPr="00E60AC1" w:rsidRDefault="00286EFA" w:rsidP="005D202C">
      <w:pPr>
        <w:spacing w:line="360" w:lineRule="auto"/>
        <w:jc w:val="both"/>
        <w:rPr>
          <w:rFonts w:ascii="Palatino Linotype" w:eastAsia="Palatino Linotype" w:hAnsi="Palatino Linotype" w:cs="Palatino Linotype"/>
          <w:color w:val="FF0000"/>
          <w:sz w:val="22"/>
          <w:szCs w:val="22"/>
        </w:rPr>
      </w:pPr>
    </w:p>
    <w:p w14:paraId="2D6F5541" w14:textId="7E01011D" w:rsidR="00CF343A" w:rsidRPr="00C72D00" w:rsidRDefault="00CF343A" w:rsidP="005D202C">
      <w:pPr>
        <w:spacing w:line="360" w:lineRule="auto"/>
        <w:jc w:val="both"/>
        <w:rPr>
          <w:rFonts w:ascii="Palatino Linotype" w:hAnsi="Palatino Linotype"/>
          <w:sz w:val="22"/>
          <w:szCs w:val="22"/>
          <w:lang w:eastAsia="en-US"/>
        </w:rPr>
      </w:pPr>
      <w:bookmarkStart w:id="9" w:name="_Toc190871542"/>
      <w:bookmarkStart w:id="10" w:name="_Toc191567857"/>
      <w:r w:rsidRPr="00C72D00">
        <w:rPr>
          <w:rFonts w:ascii="Palatino Linotype" w:hAnsi="Palatino Linotype"/>
          <w:b/>
          <w:sz w:val="22"/>
          <w:szCs w:val="24"/>
          <w:lang w:eastAsia="en-US"/>
        </w:rPr>
        <w:t>c) Informe Justificado</w:t>
      </w:r>
      <w:bookmarkEnd w:id="9"/>
      <w:bookmarkEnd w:id="10"/>
      <w:r w:rsidRPr="00C72D00">
        <w:rPr>
          <w:rFonts w:ascii="Palatino Linotype" w:hAnsi="Palatino Linotype"/>
          <w:b/>
          <w:sz w:val="22"/>
          <w:szCs w:val="22"/>
          <w:lang w:eastAsia="en-US"/>
        </w:rPr>
        <w:t>.</w:t>
      </w:r>
      <w:r w:rsidR="00C72D00" w:rsidRPr="00C72D00">
        <w:rPr>
          <w:rFonts w:ascii="Palatino Linotype" w:hAnsi="Palatino Linotype"/>
          <w:sz w:val="22"/>
          <w:szCs w:val="22"/>
          <w:lang w:eastAsia="en-US"/>
        </w:rPr>
        <w:t xml:space="preserve"> El </w:t>
      </w:r>
      <w:r w:rsidR="00B67A71">
        <w:rPr>
          <w:rFonts w:ascii="Palatino Linotype" w:hAnsi="Palatino Linotype"/>
          <w:sz w:val="22"/>
          <w:szCs w:val="22"/>
          <w:lang w:eastAsia="en-US"/>
        </w:rPr>
        <w:t>cinco y ocho de noviembre</w:t>
      </w:r>
      <w:r w:rsidRPr="00C72D00">
        <w:rPr>
          <w:rFonts w:ascii="Palatino Linotype" w:hAnsi="Palatino Linotype"/>
          <w:sz w:val="22"/>
          <w:szCs w:val="22"/>
          <w:lang w:eastAsia="en-US"/>
        </w:rPr>
        <w:t xml:space="preserve"> de </w:t>
      </w:r>
      <w:r w:rsidR="009C4764" w:rsidRPr="00C72D00">
        <w:rPr>
          <w:rFonts w:ascii="Palatino Linotype" w:hAnsi="Palatino Linotype"/>
          <w:sz w:val="22"/>
          <w:szCs w:val="22"/>
          <w:lang w:eastAsia="en-US"/>
        </w:rPr>
        <w:t>dos mil</w:t>
      </w:r>
      <w:r w:rsidRPr="00C72D00">
        <w:rPr>
          <w:rFonts w:ascii="Palatino Linotype" w:hAnsi="Palatino Linotype"/>
          <w:sz w:val="22"/>
          <w:szCs w:val="22"/>
          <w:lang w:eastAsia="en-US"/>
        </w:rPr>
        <w:t xml:space="preserve"> veinticinco, el Sujeto Obligado a través del </w:t>
      </w:r>
      <w:r w:rsidR="009C4764" w:rsidRPr="00031526">
        <w:rPr>
          <w:rFonts w:ascii="Palatino Linotype" w:eastAsia="Palatino Linotype" w:hAnsi="Palatino Linotype" w:cs="Palatino Linotype"/>
          <w:sz w:val="22"/>
          <w:szCs w:val="22"/>
        </w:rPr>
        <w:t>Sistema de Acceso a la Información Mexiquense (SAIMEX)</w:t>
      </w:r>
      <w:r w:rsidRPr="00C72D00">
        <w:rPr>
          <w:rFonts w:ascii="Palatino Linotype" w:hAnsi="Palatino Linotype"/>
          <w:sz w:val="22"/>
          <w:szCs w:val="22"/>
          <w:lang w:eastAsia="en-US"/>
        </w:rPr>
        <w:t xml:space="preserve">, presentó </w:t>
      </w:r>
      <w:r w:rsidR="009C4764">
        <w:rPr>
          <w:rFonts w:ascii="Palatino Linotype" w:hAnsi="Palatino Linotype"/>
          <w:sz w:val="22"/>
          <w:szCs w:val="22"/>
          <w:lang w:eastAsia="en-US"/>
        </w:rPr>
        <w:t>su</w:t>
      </w:r>
      <w:r w:rsidRPr="00C72D00">
        <w:rPr>
          <w:rFonts w:ascii="Palatino Linotype" w:hAnsi="Palatino Linotype"/>
          <w:sz w:val="22"/>
          <w:szCs w:val="22"/>
          <w:lang w:eastAsia="en-US"/>
        </w:rPr>
        <w:t xml:space="preserve"> Informe Justificado, por medio de la digitalización de los siguientes documentos:</w:t>
      </w:r>
    </w:p>
    <w:p w14:paraId="589F952C" w14:textId="77777777" w:rsidR="00CF343A" w:rsidRPr="00E60AC1" w:rsidRDefault="00CF343A" w:rsidP="005D202C">
      <w:pPr>
        <w:spacing w:line="360" w:lineRule="auto"/>
        <w:jc w:val="both"/>
        <w:rPr>
          <w:rFonts w:ascii="Palatino Linotype" w:hAnsi="Palatino Linotype"/>
          <w:color w:val="FF0000"/>
          <w:sz w:val="22"/>
          <w:szCs w:val="22"/>
          <w:lang w:eastAsia="en-US"/>
        </w:rPr>
      </w:pPr>
    </w:p>
    <w:p w14:paraId="7705150F" w14:textId="26909E17" w:rsidR="00C72D00" w:rsidRPr="007715D3" w:rsidRDefault="007715D3" w:rsidP="005D202C">
      <w:pPr>
        <w:spacing w:line="360" w:lineRule="auto"/>
        <w:jc w:val="both"/>
        <w:rPr>
          <w:rFonts w:ascii="Palatino Linotype" w:hAnsi="Palatino Linotype"/>
          <w:sz w:val="22"/>
          <w:szCs w:val="22"/>
          <w:lang w:eastAsia="en-US"/>
        </w:rPr>
      </w:pPr>
      <w:r>
        <w:rPr>
          <w:rFonts w:ascii="Palatino Linotype" w:hAnsi="Palatino Linotype"/>
          <w:sz w:val="22"/>
          <w:szCs w:val="22"/>
          <w:lang w:eastAsia="en-US"/>
        </w:rPr>
        <w:t xml:space="preserve">i) </w:t>
      </w:r>
      <w:r w:rsidR="00C2591A" w:rsidRPr="007715D3">
        <w:rPr>
          <w:rFonts w:ascii="Palatino Linotype" w:hAnsi="Palatino Linotype"/>
          <w:sz w:val="22"/>
          <w:szCs w:val="22"/>
          <w:lang w:eastAsia="en-US"/>
        </w:rPr>
        <w:t xml:space="preserve">Escrito del </w:t>
      </w:r>
      <w:r w:rsidR="00B67A71">
        <w:rPr>
          <w:rFonts w:ascii="Palatino Linotype" w:hAnsi="Palatino Linotype"/>
          <w:sz w:val="22"/>
          <w:szCs w:val="22"/>
          <w:lang w:eastAsia="en-US"/>
        </w:rPr>
        <w:t>ocho de diciembre</w:t>
      </w:r>
      <w:r w:rsidR="009C4764">
        <w:rPr>
          <w:rFonts w:ascii="Palatino Linotype" w:hAnsi="Palatino Linotype"/>
          <w:sz w:val="22"/>
          <w:szCs w:val="22"/>
          <w:lang w:eastAsia="en-US"/>
        </w:rPr>
        <w:t xml:space="preserve"> </w:t>
      </w:r>
      <w:r w:rsidR="00C72D00" w:rsidRPr="007715D3">
        <w:rPr>
          <w:rFonts w:ascii="Palatino Linotype" w:hAnsi="Palatino Linotype"/>
          <w:sz w:val="22"/>
          <w:szCs w:val="22"/>
          <w:lang w:eastAsia="en-US"/>
        </w:rPr>
        <w:t xml:space="preserve">de dos mil veinticinco </w:t>
      </w:r>
      <w:r w:rsidR="009C4764">
        <w:rPr>
          <w:rFonts w:ascii="Palatino Linotype" w:hAnsi="Palatino Linotype"/>
          <w:sz w:val="22"/>
          <w:szCs w:val="22"/>
          <w:lang w:eastAsia="en-US"/>
        </w:rPr>
        <w:t>emitido</w:t>
      </w:r>
      <w:r w:rsidR="00C72D00" w:rsidRPr="007715D3">
        <w:rPr>
          <w:rFonts w:ascii="Palatino Linotype" w:hAnsi="Palatino Linotype"/>
          <w:sz w:val="22"/>
          <w:szCs w:val="22"/>
          <w:lang w:eastAsia="en-US"/>
        </w:rPr>
        <w:t xml:space="preserve"> por el Titular de la Unidad de Transparencia, por medio del cual ratifico la respuesta emitida por la Dirección </w:t>
      </w:r>
      <w:r w:rsidR="009C4764" w:rsidRPr="007715D3">
        <w:rPr>
          <w:rFonts w:ascii="Palatino Linotype" w:hAnsi="Palatino Linotype"/>
          <w:sz w:val="22"/>
          <w:szCs w:val="22"/>
          <w:lang w:eastAsia="en-US"/>
        </w:rPr>
        <w:t>General</w:t>
      </w:r>
      <w:r w:rsidR="00C72D00" w:rsidRPr="007715D3">
        <w:rPr>
          <w:rFonts w:ascii="Palatino Linotype" w:hAnsi="Palatino Linotype"/>
          <w:sz w:val="22"/>
          <w:szCs w:val="22"/>
          <w:lang w:eastAsia="en-US"/>
        </w:rPr>
        <w:t xml:space="preserve"> de Administración</w:t>
      </w:r>
      <w:r w:rsidR="00B67A71">
        <w:rPr>
          <w:rFonts w:ascii="Palatino Linotype" w:hAnsi="Palatino Linotype"/>
          <w:sz w:val="22"/>
          <w:szCs w:val="22"/>
          <w:lang w:eastAsia="en-US"/>
        </w:rPr>
        <w:t xml:space="preserve"> y el Instituto Municipal de la Mujer.</w:t>
      </w:r>
    </w:p>
    <w:p w14:paraId="2BE9FB79" w14:textId="733C9FA9" w:rsidR="00A50EAB" w:rsidRPr="00E60AC1" w:rsidRDefault="00A50EAB" w:rsidP="005D202C">
      <w:pPr>
        <w:pStyle w:val="Prrafodelista"/>
        <w:tabs>
          <w:tab w:val="left" w:pos="2625"/>
        </w:tabs>
        <w:spacing w:line="360" w:lineRule="auto"/>
        <w:ind w:left="1080" w:firstLine="1545"/>
        <w:jc w:val="both"/>
        <w:rPr>
          <w:rFonts w:ascii="Palatino Linotype" w:hAnsi="Palatino Linotype"/>
          <w:color w:val="FF0000"/>
          <w:sz w:val="22"/>
          <w:szCs w:val="22"/>
          <w:lang w:eastAsia="en-US"/>
        </w:rPr>
      </w:pPr>
    </w:p>
    <w:p w14:paraId="7AA6F12F" w14:textId="262A2A2D" w:rsidR="006025C0" w:rsidRDefault="007715D3" w:rsidP="005D202C">
      <w:pPr>
        <w:spacing w:line="360" w:lineRule="auto"/>
        <w:jc w:val="both"/>
        <w:rPr>
          <w:rFonts w:ascii="Palatino Linotype" w:hAnsi="Palatino Linotype"/>
          <w:sz w:val="22"/>
          <w:szCs w:val="22"/>
          <w:lang w:eastAsia="en-US"/>
        </w:rPr>
      </w:pPr>
      <w:r>
        <w:rPr>
          <w:rFonts w:ascii="Palatino Linotype" w:hAnsi="Palatino Linotype"/>
          <w:sz w:val="22"/>
          <w:szCs w:val="22"/>
          <w:lang w:eastAsia="en-US"/>
        </w:rPr>
        <w:lastRenderedPageBreak/>
        <w:t xml:space="preserve">ii) </w:t>
      </w:r>
      <w:r w:rsidR="00A50EAB" w:rsidRPr="007715D3">
        <w:rPr>
          <w:rFonts w:ascii="Palatino Linotype" w:hAnsi="Palatino Linotype"/>
          <w:sz w:val="22"/>
          <w:szCs w:val="22"/>
          <w:lang w:eastAsia="en-US"/>
        </w:rPr>
        <w:t xml:space="preserve">Oficio </w:t>
      </w:r>
      <w:r w:rsidR="00B67A71">
        <w:rPr>
          <w:rFonts w:ascii="Palatino Linotype" w:hAnsi="Palatino Linotype"/>
          <w:sz w:val="22"/>
          <w:szCs w:val="22"/>
          <w:lang w:eastAsia="en-US"/>
        </w:rPr>
        <w:t xml:space="preserve">número </w:t>
      </w:r>
      <w:r w:rsidR="00B67A71" w:rsidRPr="00B67A71">
        <w:rPr>
          <w:rFonts w:ascii="Palatino Linotype" w:hAnsi="Palatino Linotype"/>
          <w:sz w:val="22"/>
          <w:szCs w:val="22"/>
          <w:lang w:eastAsia="en-US"/>
        </w:rPr>
        <w:t>200F10000/3374/2025</w:t>
      </w:r>
      <w:r w:rsidR="009C4764">
        <w:rPr>
          <w:rFonts w:ascii="Palatino Linotype" w:hAnsi="Palatino Linotype"/>
          <w:sz w:val="22"/>
          <w:szCs w:val="22"/>
          <w:lang w:eastAsia="en-US"/>
        </w:rPr>
        <w:t>,</w:t>
      </w:r>
      <w:r w:rsidR="006025C0" w:rsidRPr="007715D3">
        <w:rPr>
          <w:rFonts w:ascii="Palatino Linotype" w:hAnsi="Palatino Linotype"/>
          <w:sz w:val="22"/>
          <w:szCs w:val="22"/>
          <w:lang w:eastAsia="en-US"/>
        </w:rPr>
        <w:t xml:space="preserve"> del </w:t>
      </w:r>
      <w:r w:rsidR="00B67A71">
        <w:rPr>
          <w:rFonts w:ascii="Palatino Linotype" w:hAnsi="Palatino Linotype"/>
          <w:sz w:val="22"/>
          <w:szCs w:val="22"/>
          <w:lang w:eastAsia="en-US"/>
        </w:rPr>
        <w:t>tres de diciembre</w:t>
      </w:r>
      <w:r w:rsidR="006025C0" w:rsidRPr="007715D3">
        <w:rPr>
          <w:rFonts w:ascii="Palatino Linotype" w:hAnsi="Palatino Linotype"/>
          <w:sz w:val="22"/>
          <w:szCs w:val="22"/>
          <w:lang w:eastAsia="en-US"/>
        </w:rPr>
        <w:t xml:space="preserve"> de dos mil veinticinco, suscrito por la Directora General </w:t>
      </w:r>
      <w:r w:rsidR="00B67A71">
        <w:rPr>
          <w:rFonts w:ascii="Palatino Linotype" w:hAnsi="Palatino Linotype"/>
          <w:sz w:val="22"/>
          <w:szCs w:val="22"/>
          <w:lang w:eastAsia="en-US"/>
        </w:rPr>
        <w:t>del Instituto Municipal de la Mujer</w:t>
      </w:r>
      <w:r w:rsidR="006025C0" w:rsidRPr="007715D3">
        <w:rPr>
          <w:rFonts w:ascii="Palatino Linotype" w:hAnsi="Palatino Linotype"/>
          <w:sz w:val="22"/>
          <w:szCs w:val="22"/>
          <w:lang w:eastAsia="en-US"/>
        </w:rPr>
        <w:t xml:space="preserve">, dirigido al Titular de la Unidad de Transparencia, por medio del cual </w:t>
      </w:r>
      <w:r w:rsidR="00B67A71">
        <w:rPr>
          <w:rFonts w:ascii="Palatino Linotype" w:hAnsi="Palatino Linotype"/>
          <w:sz w:val="22"/>
          <w:szCs w:val="22"/>
          <w:lang w:eastAsia="en-US"/>
        </w:rPr>
        <w:t>se declara incompetente para conocer de lo solicitado, al señalar que la persona solicitada, no labora</w:t>
      </w:r>
      <w:r w:rsidR="00274896">
        <w:rPr>
          <w:rFonts w:ascii="Palatino Linotype" w:hAnsi="Palatino Linotype"/>
          <w:sz w:val="22"/>
          <w:szCs w:val="22"/>
          <w:lang w:eastAsia="en-US"/>
        </w:rPr>
        <w:t>, ni ha desempeñado funciones para dicha dependencia.</w:t>
      </w:r>
    </w:p>
    <w:p w14:paraId="44A8D151" w14:textId="77777777" w:rsidR="00B67A71" w:rsidRPr="007715D3" w:rsidRDefault="00B67A71" w:rsidP="005D202C">
      <w:pPr>
        <w:spacing w:line="360" w:lineRule="auto"/>
        <w:jc w:val="both"/>
        <w:rPr>
          <w:rFonts w:ascii="Palatino Linotype" w:hAnsi="Palatino Linotype"/>
          <w:sz w:val="22"/>
          <w:szCs w:val="22"/>
          <w:lang w:eastAsia="en-US"/>
        </w:rPr>
      </w:pPr>
    </w:p>
    <w:p w14:paraId="6B3B5E1F" w14:textId="3DDFC59F" w:rsidR="00CF343A" w:rsidRDefault="00CF343A" w:rsidP="005D202C">
      <w:pPr>
        <w:spacing w:line="360" w:lineRule="auto"/>
        <w:jc w:val="both"/>
        <w:rPr>
          <w:rFonts w:ascii="Palatino Linotype" w:hAnsi="Palatino Linotype"/>
          <w:sz w:val="22"/>
          <w:szCs w:val="22"/>
          <w:lang w:eastAsia="en-US"/>
        </w:rPr>
      </w:pPr>
      <w:bookmarkStart w:id="11" w:name="_Toc190871543"/>
      <w:bookmarkStart w:id="12" w:name="_Toc191567858"/>
      <w:r w:rsidRPr="00E80098">
        <w:rPr>
          <w:rFonts w:ascii="Palatino Linotype" w:hAnsi="Palatino Linotype"/>
          <w:b/>
          <w:sz w:val="22"/>
          <w:szCs w:val="24"/>
          <w:lang w:eastAsia="en-US"/>
        </w:rPr>
        <w:t>d) Vista al Informe Justificado</w:t>
      </w:r>
      <w:bookmarkEnd w:id="11"/>
      <w:bookmarkEnd w:id="12"/>
      <w:r w:rsidRPr="00E80098">
        <w:rPr>
          <w:rFonts w:ascii="Palatino Linotype" w:hAnsi="Palatino Linotype"/>
          <w:b/>
          <w:sz w:val="22"/>
          <w:szCs w:val="22"/>
          <w:lang w:eastAsia="en-US"/>
        </w:rPr>
        <w:t xml:space="preserve">. </w:t>
      </w:r>
      <w:r w:rsidRPr="00E80098">
        <w:rPr>
          <w:rFonts w:ascii="Palatino Linotype" w:hAnsi="Palatino Linotype"/>
          <w:sz w:val="22"/>
          <w:szCs w:val="22"/>
          <w:lang w:eastAsia="en-US"/>
        </w:rPr>
        <w:t xml:space="preserve">El </w:t>
      </w:r>
      <w:r w:rsidR="00274896">
        <w:rPr>
          <w:rFonts w:ascii="Palatino Linotype" w:hAnsi="Palatino Linotype"/>
          <w:sz w:val="22"/>
          <w:szCs w:val="22"/>
          <w:lang w:eastAsia="en-US"/>
        </w:rPr>
        <w:t>diez</w:t>
      </w:r>
      <w:r w:rsidR="009C4764">
        <w:rPr>
          <w:rFonts w:ascii="Palatino Linotype" w:hAnsi="Palatino Linotype"/>
          <w:sz w:val="22"/>
          <w:szCs w:val="22"/>
          <w:lang w:eastAsia="en-US"/>
        </w:rPr>
        <w:t xml:space="preserve"> de diciembre</w:t>
      </w:r>
      <w:r w:rsidR="00E80098" w:rsidRPr="00E80098">
        <w:rPr>
          <w:rFonts w:ascii="Palatino Linotype" w:hAnsi="Palatino Linotype"/>
          <w:sz w:val="22"/>
          <w:szCs w:val="22"/>
          <w:lang w:eastAsia="en-US"/>
        </w:rPr>
        <w:t xml:space="preserve"> de dos mil </w:t>
      </w:r>
      <w:r w:rsidR="00CA4304" w:rsidRPr="00E80098">
        <w:rPr>
          <w:rFonts w:ascii="Palatino Linotype" w:hAnsi="Palatino Linotype"/>
          <w:sz w:val="22"/>
          <w:szCs w:val="22"/>
          <w:lang w:eastAsia="en-US"/>
        </w:rPr>
        <w:t xml:space="preserve">veinticinco, </w:t>
      </w:r>
      <w:r w:rsidRPr="00E80098">
        <w:rPr>
          <w:rFonts w:ascii="Palatino Linotype" w:hAnsi="Palatino Linotype"/>
          <w:sz w:val="22"/>
          <w:szCs w:val="22"/>
          <w:lang w:eastAsia="en-US"/>
        </w:rPr>
        <w:t>se notificó a través del SAIMEX, el acuerdo mediante el cual se puso a la vista del Particular el Informe Justificado, proveído por el cual se le otorgó a este último, un término de tres días hábiles contados a partir del día siguiente a la notificación, a fin de emitir las manifestaciones que conforme a sus intereses convinieran.</w:t>
      </w:r>
    </w:p>
    <w:p w14:paraId="1643908F" w14:textId="77777777" w:rsidR="00B26431" w:rsidRDefault="00B26431" w:rsidP="005D202C">
      <w:pPr>
        <w:spacing w:line="360" w:lineRule="auto"/>
        <w:jc w:val="both"/>
        <w:rPr>
          <w:rFonts w:ascii="Palatino Linotype" w:hAnsi="Palatino Linotype"/>
          <w:sz w:val="22"/>
          <w:szCs w:val="22"/>
          <w:lang w:eastAsia="en-US"/>
        </w:rPr>
      </w:pPr>
    </w:p>
    <w:p w14:paraId="0EEBD67D" w14:textId="50B03EBF" w:rsidR="00286EFA" w:rsidRPr="00B26431" w:rsidRDefault="00B26431" w:rsidP="005D202C">
      <w:pPr>
        <w:spacing w:line="360" w:lineRule="auto"/>
        <w:jc w:val="both"/>
        <w:rPr>
          <w:rFonts w:ascii="Palatino Linotype" w:eastAsia="Palatino Linotype" w:hAnsi="Palatino Linotype" w:cs="Palatino Linotype"/>
          <w:sz w:val="22"/>
          <w:szCs w:val="22"/>
        </w:rPr>
      </w:pPr>
      <w:r>
        <w:rPr>
          <w:rFonts w:ascii="Palatino Linotype" w:hAnsi="Palatino Linotype"/>
          <w:b/>
          <w:sz w:val="22"/>
          <w:szCs w:val="22"/>
          <w:lang w:eastAsia="en-US"/>
        </w:rPr>
        <w:t>e</w:t>
      </w:r>
      <w:r w:rsidRPr="00B26431">
        <w:rPr>
          <w:rFonts w:ascii="Palatino Linotype" w:hAnsi="Palatino Linotype"/>
          <w:b/>
          <w:sz w:val="22"/>
          <w:szCs w:val="22"/>
          <w:lang w:eastAsia="en-US"/>
        </w:rPr>
        <w:t xml:space="preserve">) </w:t>
      </w:r>
      <w:bookmarkStart w:id="13" w:name="_Toc216261258"/>
      <w:r w:rsidR="00FA61F8" w:rsidRPr="00B26431">
        <w:rPr>
          <w:rStyle w:val="Ttulo2Car"/>
          <w:rFonts w:ascii="Palatino Linotype" w:hAnsi="Palatino Linotype"/>
          <w:b/>
          <w:color w:val="auto"/>
          <w:sz w:val="22"/>
          <w:szCs w:val="22"/>
        </w:rPr>
        <w:t>Cierre de instrucción.</w:t>
      </w:r>
      <w:bookmarkEnd w:id="13"/>
      <w:r w:rsidR="00FA61F8" w:rsidRPr="00B26431">
        <w:rPr>
          <w:rFonts w:ascii="Palatino Linotype" w:eastAsia="Palatino Linotype" w:hAnsi="Palatino Linotype" w:cs="Palatino Linotype"/>
          <w:b/>
          <w:sz w:val="22"/>
          <w:szCs w:val="22"/>
        </w:rPr>
        <w:t xml:space="preserve"> </w:t>
      </w:r>
      <w:r w:rsidR="00FA61F8" w:rsidRPr="00B26431">
        <w:rPr>
          <w:rFonts w:ascii="Palatino Linotype" w:eastAsia="Palatino Linotype" w:hAnsi="Palatino Linotype" w:cs="Palatino Linotype"/>
          <w:sz w:val="22"/>
          <w:szCs w:val="22"/>
        </w:rPr>
        <w:t>El</w:t>
      </w:r>
      <w:r w:rsidR="00915B27" w:rsidRPr="00B26431">
        <w:rPr>
          <w:rFonts w:ascii="Palatino Linotype" w:eastAsia="Palatino Linotype" w:hAnsi="Palatino Linotype" w:cs="Palatino Linotype"/>
          <w:sz w:val="22"/>
          <w:szCs w:val="22"/>
        </w:rPr>
        <w:t xml:space="preserve"> </w:t>
      </w:r>
      <w:r w:rsidRPr="00B26431">
        <w:rPr>
          <w:rFonts w:ascii="Palatino Linotype" w:eastAsia="Palatino Linotype" w:hAnsi="Palatino Linotype" w:cs="Palatino Linotype"/>
          <w:sz w:val="22"/>
          <w:szCs w:val="22"/>
        </w:rPr>
        <w:t xml:space="preserve"> </w:t>
      </w:r>
      <w:r w:rsidR="00274896">
        <w:rPr>
          <w:rFonts w:ascii="Palatino Linotype" w:eastAsia="Palatino Linotype" w:hAnsi="Palatino Linotype" w:cs="Palatino Linotype"/>
          <w:sz w:val="22"/>
          <w:szCs w:val="22"/>
        </w:rPr>
        <w:t>dieciséis</w:t>
      </w:r>
      <w:r w:rsidR="009C4764">
        <w:rPr>
          <w:rFonts w:ascii="Palatino Linotype" w:eastAsia="Palatino Linotype" w:hAnsi="Palatino Linotype" w:cs="Palatino Linotype"/>
          <w:sz w:val="22"/>
          <w:szCs w:val="22"/>
        </w:rPr>
        <w:t xml:space="preserve"> de diciembre</w:t>
      </w:r>
      <w:r w:rsidRPr="00B26431">
        <w:rPr>
          <w:rFonts w:ascii="Palatino Linotype" w:eastAsia="Palatino Linotype" w:hAnsi="Palatino Linotype" w:cs="Palatino Linotype"/>
          <w:sz w:val="22"/>
          <w:szCs w:val="22"/>
        </w:rPr>
        <w:t xml:space="preserve"> </w:t>
      </w:r>
      <w:r w:rsidR="00A4159A" w:rsidRPr="00B26431">
        <w:rPr>
          <w:rFonts w:ascii="Palatino Linotype" w:eastAsia="Palatino Linotype" w:hAnsi="Palatino Linotype" w:cs="Palatino Linotype"/>
          <w:sz w:val="22"/>
          <w:szCs w:val="22"/>
        </w:rPr>
        <w:t xml:space="preserve">de </w:t>
      </w:r>
      <w:r w:rsidR="00CA4304" w:rsidRPr="00B26431">
        <w:rPr>
          <w:rFonts w:ascii="Palatino Linotype" w:eastAsia="Palatino Linotype" w:hAnsi="Palatino Linotype" w:cs="Palatino Linotype"/>
          <w:sz w:val="22"/>
          <w:szCs w:val="22"/>
        </w:rPr>
        <w:t xml:space="preserve"> dos mil veinticinco, </w:t>
      </w:r>
      <w:r w:rsidR="00FA61F8" w:rsidRPr="00B26431">
        <w:rPr>
          <w:rFonts w:ascii="Palatino Linotype" w:eastAsia="Palatino Linotype" w:hAnsi="Palatino Linotype" w:cs="Palatino Linotype"/>
          <w:sz w:val="22"/>
          <w:szCs w:val="22"/>
        </w:rPr>
        <w:t>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w:t>
      </w:r>
      <w:r w:rsidR="007F4D8B" w:rsidRPr="00B26431">
        <w:rPr>
          <w:rFonts w:ascii="Palatino Linotype" w:eastAsia="Palatino Linotype" w:hAnsi="Palatino Linotype" w:cs="Palatino Linotype"/>
          <w:sz w:val="22"/>
          <w:szCs w:val="22"/>
        </w:rPr>
        <w:t xml:space="preserve"> las partes el mismo día</w:t>
      </w:r>
      <w:r w:rsidR="00FA61F8" w:rsidRPr="00B26431">
        <w:rPr>
          <w:rFonts w:ascii="Palatino Linotype" w:eastAsia="Palatino Linotype" w:hAnsi="Palatino Linotype" w:cs="Palatino Linotype"/>
          <w:sz w:val="22"/>
          <w:szCs w:val="22"/>
        </w:rPr>
        <w:t>, a través del Sistema de Acceso a la Información Mexiquense (SAIMEX).</w:t>
      </w:r>
    </w:p>
    <w:p w14:paraId="08903F3F" w14:textId="77777777" w:rsidR="00286EFA" w:rsidRPr="00E60AC1" w:rsidRDefault="00286EFA" w:rsidP="005D202C">
      <w:pPr>
        <w:spacing w:line="360" w:lineRule="auto"/>
        <w:ind w:right="-28"/>
        <w:jc w:val="both"/>
        <w:rPr>
          <w:rFonts w:ascii="Palatino Linotype" w:eastAsia="Palatino Linotype" w:hAnsi="Palatino Linotype" w:cs="Palatino Linotype"/>
          <w:color w:val="FF0000"/>
          <w:sz w:val="22"/>
          <w:szCs w:val="22"/>
        </w:rPr>
      </w:pPr>
    </w:p>
    <w:p w14:paraId="20D71274" w14:textId="77777777" w:rsidR="00286EFA" w:rsidRDefault="00FA61F8" w:rsidP="005D202C">
      <w:pPr>
        <w:spacing w:line="360" w:lineRule="auto"/>
        <w:ind w:right="-28"/>
        <w:jc w:val="both"/>
        <w:rPr>
          <w:rFonts w:ascii="Palatino Linotype" w:eastAsia="Palatino Linotype" w:hAnsi="Palatino Linotype" w:cs="Palatino Linotype"/>
          <w:sz w:val="22"/>
          <w:szCs w:val="22"/>
        </w:rPr>
      </w:pPr>
      <w:r w:rsidRPr="00B26431">
        <w:rPr>
          <w:rFonts w:ascii="Palatino Linotype" w:eastAsia="Palatino Linotype" w:hAnsi="Palatino Linotype" w:cs="Palatino Linotype"/>
          <w:sz w:val="22"/>
          <w:szCs w:val="22"/>
        </w:rPr>
        <w:t>En razón de que fue debidamente sustanciado el expediente electrónico y no existe diligencia pendiente de desahogo, se emite la resolución que conforme a Derecho proceda, de acuerdo a los siguientes:</w:t>
      </w:r>
    </w:p>
    <w:p w14:paraId="347B243B" w14:textId="77777777" w:rsidR="007715D3" w:rsidRPr="00B26431" w:rsidRDefault="007715D3" w:rsidP="005D202C">
      <w:pPr>
        <w:spacing w:line="360" w:lineRule="auto"/>
        <w:ind w:right="-28"/>
        <w:jc w:val="both"/>
        <w:rPr>
          <w:rFonts w:ascii="Palatino Linotype" w:eastAsia="Palatino Linotype" w:hAnsi="Palatino Linotype" w:cs="Palatino Linotype"/>
          <w:sz w:val="22"/>
          <w:szCs w:val="22"/>
        </w:rPr>
      </w:pPr>
    </w:p>
    <w:p w14:paraId="6F3135B5" w14:textId="77777777" w:rsidR="00286EFA" w:rsidRPr="00B26431" w:rsidRDefault="00FA61F8" w:rsidP="005D202C">
      <w:pPr>
        <w:spacing w:line="360" w:lineRule="auto"/>
        <w:ind w:right="-28"/>
        <w:jc w:val="center"/>
        <w:rPr>
          <w:rFonts w:ascii="Palatino Linotype" w:eastAsia="Palatino Linotype" w:hAnsi="Palatino Linotype" w:cs="Palatino Linotype"/>
          <w:b/>
          <w:sz w:val="22"/>
          <w:szCs w:val="22"/>
        </w:rPr>
      </w:pPr>
      <w:r w:rsidRPr="00B26431">
        <w:rPr>
          <w:rFonts w:ascii="Palatino Linotype" w:eastAsia="Palatino Linotype" w:hAnsi="Palatino Linotype" w:cs="Palatino Linotype"/>
          <w:b/>
          <w:sz w:val="22"/>
          <w:szCs w:val="22"/>
        </w:rPr>
        <w:t>C O N S I D E R A N D O S</w:t>
      </w:r>
    </w:p>
    <w:p w14:paraId="4DE66680" w14:textId="77777777" w:rsidR="00286EFA" w:rsidRPr="00B26431" w:rsidRDefault="00286EFA" w:rsidP="005D202C">
      <w:pPr>
        <w:spacing w:line="360" w:lineRule="auto"/>
        <w:ind w:right="-28"/>
        <w:jc w:val="center"/>
        <w:rPr>
          <w:rFonts w:ascii="Palatino Linotype" w:eastAsia="Palatino Linotype" w:hAnsi="Palatino Linotype" w:cs="Palatino Linotype"/>
          <w:b/>
          <w:sz w:val="22"/>
          <w:szCs w:val="22"/>
        </w:rPr>
      </w:pPr>
    </w:p>
    <w:p w14:paraId="1AF71F2F" w14:textId="77777777" w:rsidR="00286EFA" w:rsidRPr="00B26431" w:rsidRDefault="00FA61F8" w:rsidP="005D202C">
      <w:pPr>
        <w:pStyle w:val="Ttulo1"/>
        <w:spacing w:before="0" w:after="0" w:line="360" w:lineRule="auto"/>
        <w:rPr>
          <w:rFonts w:ascii="Palatino Linotype" w:eastAsia="Palatino Linotype" w:hAnsi="Palatino Linotype"/>
          <w:b/>
          <w:color w:val="auto"/>
          <w:sz w:val="22"/>
          <w:szCs w:val="22"/>
        </w:rPr>
      </w:pPr>
      <w:bookmarkStart w:id="14" w:name="_Toc216261259"/>
      <w:r w:rsidRPr="00B26431">
        <w:rPr>
          <w:rFonts w:ascii="Palatino Linotype" w:eastAsia="Palatino Linotype" w:hAnsi="Palatino Linotype"/>
          <w:b/>
          <w:color w:val="auto"/>
          <w:sz w:val="22"/>
          <w:szCs w:val="22"/>
        </w:rPr>
        <w:t>PRIMERO. Competencia</w:t>
      </w:r>
      <w:bookmarkEnd w:id="14"/>
    </w:p>
    <w:p w14:paraId="15740A05" w14:textId="77777777" w:rsidR="00286EFA" w:rsidRPr="00B26431" w:rsidRDefault="00286EFA" w:rsidP="005D202C">
      <w:pPr>
        <w:spacing w:line="360" w:lineRule="auto"/>
        <w:ind w:right="-28"/>
        <w:jc w:val="both"/>
        <w:rPr>
          <w:rFonts w:ascii="Palatino Linotype" w:eastAsia="Palatino Linotype" w:hAnsi="Palatino Linotype" w:cs="Palatino Linotype"/>
          <w:b/>
          <w:sz w:val="22"/>
          <w:szCs w:val="22"/>
        </w:rPr>
      </w:pPr>
    </w:p>
    <w:p w14:paraId="63601619" w14:textId="77777777" w:rsidR="009C4764" w:rsidRPr="009C4764" w:rsidRDefault="009C4764" w:rsidP="005D202C">
      <w:pPr>
        <w:spacing w:line="360" w:lineRule="auto"/>
        <w:contextualSpacing/>
        <w:jc w:val="both"/>
        <w:rPr>
          <w:rFonts w:ascii="Palatino Linotype" w:hAnsi="Palatino Linotype" w:cs="Tahoma"/>
          <w:bCs/>
          <w:color w:val="000000"/>
          <w:sz w:val="22"/>
          <w:szCs w:val="22"/>
        </w:rPr>
      </w:pPr>
      <w:r w:rsidRPr="009C4764">
        <w:rPr>
          <w:rFonts w:ascii="Palatino Linotype" w:hAnsi="Palatino Linotype" w:cs="Tahoma"/>
          <w:bCs/>
          <w:color w:val="000000"/>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9569B39" w14:textId="77777777" w:rsidR="00286EFA" w:rsidRPr="00E60AC1" w:rsidRDefault="00286EFA" w:rsidP="005D202C">
      <w:pPr>
        <w:spacing w:line="360" w:lineRule="auto"/>
        <w:ind w:right="-28"/>
        <w:jc w:val="both"/>
        <w:rPr>
          <w:rFonts w:ascii="Palatino Linotype" w:eastAsia="Palatino Linotype" w:hAnsi="Palatino Linotype" w:cs="Palatino Linotype"/>
          <w:color w:val="FF0000"/>
          <w:sz w:val="22"/>
          <w:szCs w:val="22"/>
        </w:rPr>
      </w:pPr>
    </w:p>
    <w:p w14:paraId="3A8DD244" w14:textId="77777777" w:rsidR="00286EFA" w:rsidRPr="00353FF1" w:rsidRDefault="00FA61F8" w:rsidP="005D202C">
      <w:pPr>
        <w:pStyle w:val="Ttulo1"/>
        <w:spacing w:before="0" w:after="0" w:line="360" w:lineRule="auto"/>
        <w:rPr>
          <w:rFonts w:ascii="Palatino Linotype" w:eastAsia="Palatino Linotype" w:hAnsi="Palatino Linotype"/>
          <w:b/>
          <w:color w:val="auto"/>
          <w:sz w:val="22"/>
          <w:szCs w:val="22"/>
        </w:rPr>
      </w:pPr>
      <w:bookmarkStart w:id="15" w:name="_Toc216261260"/>
      <w:r w:rsidRPr="00353FF1">
        <w:rPr>
          <w:rFonts w:ascii="Palatino Linotype" w:eastAsia="Palatino Linotype" w:hAnsi="Palatino Linotype"/>
          <w:b/>
          <w:color w:val="auto"/>
          <w:sz w:val="22"/>
          <w:szCs w:val="22"/>
        </w:rPr>
        <w:t>SEGUNDO. Causales de improcedencia y sobreseimiento</w:t>
      </w:r>
      <w:bookmarkEnd w:id="15"/>
    </w:p>
    <w:p w14:paraId="6DC85E81" w14:textId="77777777" w:rsidR="00286EFA" w:rsidRPr="00353FF1" w:rsidRDefault="00286EFA" w:rsidP="005D202C">
      <w:pPr>
        <w:spacing w:line="360" w:lineRule="auto"/>
        <w:jc w:val="both"/>
        <w:rPr>
          <w:rFonts w:ascii="Palatino Linotype" w:eastAsia="Palatino Linotype" w:hAnsi="Palatino Linotype" w:cs="Palatino Linotype"/>
          <w:sz w:val="22"/>
          <w:szCs w:val="22"/>
        </w:rPr>
      </w:pPr>
    </w:p>
    <w:p w14:paraId="3ADE78F8" w14:textId="77777777" w:rsidR="00286EFA" w:rsidRP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sidRPr="00353FF1">
        <w:rPr>
          <w:rFonts w:ascii="Palatino Linotype" w:eastAsia="Palatino Linotype" w:hAnsi="Palatino Linotype" w:cs="Palatino Linotype"/>
          <w:i/>
          <w:sz w:val="22"/>
          <w:szCs w:val="22"/>
        </w:rPr>
        <w:t>litis</w:t>
      </w:r>
      <w:r w:rsidRPr="00353FF1">
        <w:rPr>
          <w:rFonts w:ascii="Palatino Linotype" w:eastAsia="Palatino Linotype" w:hAnsi="Palatino Linotype" w:cs="Palatino Linotype"/>
          <w:sz w:val="22"/>
          <w:szCs w:val="22"/>
        </w:rPr>
        <w:t>, es necesario estudiar las causales de improcedencia, para determinar lo que en Derecho proceda.</w:t>
      </w:r>
    </w:p>
    <w:p w14:paraId="03D3908C" w14:textId="77777777" w:rsidR="00286EFA" w:rsidRPr="00E60AC1" w:rsidRDefault="00286EFA" w:rsidP="005D202C">
      <w:pPr>
        <w:spacing w:line="360" w:lineRule="auto"/>
        <w:jc w:val="both"/>
        <w:rPr>
          <w:rFonts w:ascii="Palatino Linotype" w:eastAsia="Palatino Linotype" w:hAnsi="Palatino Linotype" w:cs="Palatino Linotype"/>
          <w:b/>
          <w:color w:val="FF0000"/>
          <w:sz w:val="22"/>
          <w:szCs w:val="22"/>
        </w:rPr>
      </w:pPr>
    </w:p>
    <w:p w14:paraId="665D0527" w14:textId="77777777" w:rsidR="00286EFA" w:rsidRPr="00353FF1" w:rsidRDefault="00FA61F8" w:rsidP="005D202C">
      <w:pPr>
        <w:spacing w:line="360" w:lineRule="auto"/>
        <w:jc w:val="both"/>
        <w:rPr>
          <w:rFonts w:ascii="Palatino Linotype" w:eastAsia="Palatino Linotype" w:hAnsi="Palatino Linotype" w:cs="Palatino Linotype"/>
          <w:b/>
          <w:sz w:val="22"/>
          <w:szCs w:val="22"/>
        </w:rPr>
      </w:pPr>
      <w:r w:rsidRPr="00353FF1">
        <w:rPr>
          <w:rFonts w:ascii="Palatino Linotype" w:eastAsia="Palatino Linotype" w:hAnsi="Palatino Linotype" w:cs="Palatino Linotype"/>
          <w:b/>
          <w:sz w:val="22"/>
          <w:szCs w:val="22"/>
        </w:rPr>
        <w:t>Causales de improcedencia</w:t>
      </w:r>
    </w:p>
    <w:p w14:paraId="199B8F26" w14:textId="77777777" w:rsidR="00286EFA" w:rsidRPr="00353FF1" w:rsidRDefault="00286EFA" w:rsidP="005D202C">
      <w:pPr>
        <w:spacing w:line="360" w:lineRule="auto"/>
        <w:jc w:val="both"/>
        <w:rPr>
          <w:rFonts w:ascii="Palatino Linotype" w:eastAsia="Palatino Linotype" w:hAnsi="Palatino Linotype" w:cs="Palatino Linotype"/>
          <w:sz w:val="22"/>
          <w:szCs w:val="22"/>
        </w:rPr>
      </w:pPr>
    </w:p>
    <w:p w14:paraId="7FCF6072" w14:textId="77777777" w:rsidR="00286EFA" w:rsidRPr="00353FF1" w:rsidRDefault="00FA61F8" w:rsidP="005D202C">
      <w:pPr>
        <w:spacing w:line="360" w:lineRule="auto"/>
        <w:ind w:right="-28"/>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 xml:space="preserve">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353FF1">
        <w:rPr>
          <w:rFonts w:ascii="Palatino Linotype" w:eastAsia="Palatino Linotype" w:hAnsi="Palatino Linotype" w:cs="Palatino Linotype"/>
          <w:sz w:val="22"/>
          <w:szCs w:val="22"/>
        </w:rPr>
        <w:lastRenderedPageBreak/>
        <w:t>supuestos establecidos en el artículo 191 de la Ley de Transparencia y Acceso a la Información Pública del Estado de México y Municipios, por ser improcedente.</w:t>
      </w:r>
    </w:p>
    <w:p w14:paraId="51B3E5BB" w14:textId="77777777" w:rsidR="00286EFA" w:rsidRPr="00353FF1" w:rsidRDefault="00286EFA" w:rsidP="005D202C">
      <w:pPr>
        <w:spacing w:line="360" w:lineRule="auto"/>
        <w:ind w:right="-28"/>
        <w:jc w:val="both"/>
        <w:rPr>
          <w:rFonts w:ascii="Palatino Linotype" w:eastAsia="Palatino Linotype" w:hAnsi="Palatino Linotype" w:cs="Palatino Linotype"/>
          <w:sz w:val="22"/>
          <w:szCs w:val="22"/>
        </w:rPr>
      </w:pPr>
    </w:p>
    <w:p w14:paraId="7D811B8F" w14:textId="77777777" w:rsidR="00286EFA" w:rsidRP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En el presente caso, </w:t>
      </w:r>
      <w:r w:rsidRPr="00353FF1">
        <w:rPr>
          <w:rFonts w:ascii="Palatino Linotype" w:eastAsia="Palatino Linotype" w:hAnsi="Palatino Linotype" w:cs="Palatino Linotype"/>
          <w:b/>
          <w:sz w:val="22"/>
          <w:szCs w:val="22"/>
        </w:rPr>
        <w:t>no se actualiza ninguna de las causales de improcedencia</w:t>
      </w:r>
      <w:r w:rsidRPr="00353FF1">
        <w:rPr>
          <w:rFonts w:ascii="Palatino Linotype" w:eastAsia="Palatino Linotype" w:hAnsi="Palatino Linotype" w:cs="Palatino Linotype"/>
          <w:sz w:val="22"/>
          <w:szCs w:val="22"/>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además de que el medio de impugnación fue presentado en tiempo.</w:t>
      </w:r>
    </w:p>
    <w:p w14:paraId="5D0B3AFA" w14:textId="77777777" w:rsidR="00286EFA" w:rsidRPr="00E60AC1" w:rsidRDefault="00286EFA" w:rsidP="005D202C">
      <w:pPr>
        <w:spacing w:line="360" w:lineRule="auto"/>
        <w:jc w:val="both"/>
        <w:rPr>
          <w:rFonts w:ascii="Palatino Linotype" w:eastAsia="Palatino Linotype" w:hAnsi="Palatino Linotype" w:cs="Palatino Linotype"/>
          <w:color w:val="FF0000"/>
          <w:sz w:val="22"/>
          <w:szCs w:val="22"/>
        </w:rPr>
      </w:pPr>
    </w:p>
    <w:p w14:paraId="12E276BE" w14:textId="77777777" w:rsidR="00286EFA" w:rsidRPr="00353FF1" w:rsidRDefault="00FA61F8" w:rsidP="005D202C">
      <w:pPr>
        <w:widowControl w:val="0"/>
        <w:spacing w:line="360" w:lineRule="auto"/>
        <w:jc w:val="both"/>
        <w:rPr>
          <w:rFonts w:ascii="Palatino Linotype" w:eastAsia="Palatino Linotype" w:hAnsi="Palatino Linotype" w:cs="Palatino Linotype"/>
          <w:sz w:val="22"/>
          <w:szCs w:val="22"/>
        </w:rPr>
      </w:pPr>
      <w:bookmarkStart w:id="16" w:name="_heading=h.1fob9te" w:colFirst="0" w:colLast="0"/>
      <w:bookmarkEnd w:id="16"/>
      <w:r w:rsidRPr="00353FF1">
        <w:rPr>
          <w:rFonts w:ascii="Palatino Linotype" w:eastAsia="Palatino Linotype" w:hAnsi="Palatino Linotype" w:cs="Palatino Linotype"/>
          <w:sz w:val="22"/>
          <w:szCs w:val="22"/>
        </w:rPr>
        <w:t>Asimismo, se actualiza la causal de procedencia del Recurso de Revisión señalada en el artículo 179, fracción</w:t>
      </w:r>
      <w:r w:rsidR="000F69AE" w:rsidRPr="00353FF1">
        <w:rPr>
          <w:rFonts w:ascii="Palatino Linotype" w:eastAsia="Palatino Linotype" w:hAnsi="Palatino Linotype" w:cs="Palatino Linotype"/>
          <w:sz w:val="22"/>
          <w:szCs w:val="22"/>
        </w:rPr>
        <w:t xml:space="preserve"> VI</w:t>
      </w:r>
      <w:r w:rsidRPr="00353FF1">
        <w:rPr>
          <w:rFonts w:ascii="Palatino Linotype" w:eastAsia="Palatino Linotype" w:hAnsi="Palatino Linotype" w:cs="Palatino Linotype"/>
          <w:sz w:val="22"/>
          <w:szCs w:val="22"/>
        </w:rPr>
        <w:t xml:space="preserve">, de la Ley en cita, pues el Recurrente se inconformó con </w:t>
      </w:r>
      <w:r w:rsidR="000F69AE" w:rsidRPr="00353FF1">
        <w:rPr>
          <w:rFonts w:ascii="Palatino Linotype" w:eastAsia="Palatino Linotype" w:hAnsi="Palatino Linotype" w:cs="Palatino Linotype"/>
          <w:sz w:val="22"/>
          <w:szCs w:val="22"/>
        </w:rPr>
        <w:t>la entrega de información que no corresponde con lo solicitado.</w:t>
      </w:r>
    </w:p>
    <w:p w14:paraId="14F21C69" w14:textId="77777777" w:rsidR="00286EFA" w:rsidRPr="00353FF1" w:rsidRDefault="00286EFA" w:rsidP="005D202C">
      <w:pPr>
        <w:widowControl w:val="0"/>
        <w:spacing w:line="360" w:lineRule="auto"/>
        <w:jc w:val="both"/>
        <w:rPr>
          <w:rFonts w:ascii="Palatino Linotype" w:eastAsia="Palatino Linotype" w:hAnsi="Palatino Linotype" w:cs="Palatino Linotype"/>
          <w:b/>
          <w:sz w:val="22"/>
          <w:szCs w:val="22"/>
        </w:rPr>
      </w:pPr>
    </w:p>
    <w:p w14:paraId="2738A344" w14:textId="77777777" w:rsidR="00286EFA" w:rsidRP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b/>
          <w:sz w:val="22"/>
          <w:szCs w:val="22"/>
        </w:rPr>
        <w:t>Causales de sobreseimiento</w:t>
      </w:r>
    </w:p>
    <w:p w14:paraId="42DC273E" w14:textId="77777777" w:rsidR="00286EFA" w:rsidRPr="00353FF1" w:rsidRDefault="00286EFA" w:rsidP="005D202C">
      <w:pPr>
        <w:spacing w:line="360" w:lineRule="auto"/>
        <w:jc w:val="both"/>
        <w:rPr>
          <w:rFonts w:ascii="Palatino Linotype" w:eastAsia="Palatino Linotype" w:hAnsi="Palatino Linotype" w:cs="Palatino Linotype"/>
          <w:sz w:val="22"/>
          <w:szCs w:val="22"/>
        </w:rPr>
      </w:pPr>
    </w:p>
    <w:p w14:paraId="12DA5090" w14:textId="77777777" w:rsidR="00286EFA" w:rsidRP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Por ser de previo y especial pronunciamiento, este Instituto analiza si se actualiza alguna causal de sobreseimiento.</w:t>
      </w:r>
    </w:p>
    <w:p w14:paraId="5C517263" w14:textId="77777777" w:rsidR="00286EFA" w:rsidRPr="00353FF1" w:rsidRDefault="00286EFA" w:rsidP="005D202C">
      <w:pPr>
        <w:spacing w:line="360" w:lineRule="auto"/>
        <w:jc w:val="both"/>
        <w:rPr>
          <w:rFonts w:ascii="Palatino Linotype" w:eastAsia="Palatino Linotype" w:hAnsi="Palatino Linotype" w:cs="Palatino Linotype"/>
          <w:sz w:val="22"/>
          <w:szCs w:val="22"/>
        </w:rPr>
      </w:pPr>
    </w:p>
    <w:p w14:paraId="3B9E2425" w14:textId="77777777" w:rsidR="00286EFA" w:rsidRP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353FF1">
        <w:rPr>
          <w:rFonts w:ascii="Palatino Linotype" w:eastAsia="Palatino Linotype" w:hAnsi="Palatino Linotype" w:cs="Palatino Linotype"/>
          <w:sz w:val="22"/>
          <w:szCs w:val="22"/>
        </w:rPr>
        <w:lastRenderedPageBreak/>
        <w:t>fallecido, sobreviniera alguna causal de improcedencia, que el Sujeto Obligado hubiese modificado o revocado el acto impugnado o bien, haya quedado sin materia.</w:t>
      </w:r>
    </w:p>
    <w:p w14:paraId="3CDD73A9" w14:textId="77777777" w:rsidR="00286EFA" w:rsidRPr="00353FF1" w:rsidRDefault="00286EFA" w:rsidP="005D202C">
      <w:pPr>
        <w:spacing w:line="360" w:lineRule="auto"/>
        <w:jc w:val="both"/>
        <w:rPr>
          <w:rFonts w:ascii="Palatino Linotype" w:eastAsia="Palatino Linotype" w:hAnsi="Palatino Linotype" w:cs="Palatino Linotype"/>
          <w:sz w:val="22"/>
          <w:szCs w:val="22"/>
        </w:rPr>
      </w:pPr>
    </w:p>
    <w:p w14:paraId="16AAFA88" w14:textId="77777777" w:rsidR="00286EFA" w:rsidRPr="00353FF1" w:rsidRDefault="00FA61F8" w:rsidP="005D202C">
      <w:pPr>
        <w:tabs>
          <w:tab w:val="left" w:pos="4962"/>
        </w:tabs>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 xml:space="preserve">Por tales motivos, se considera procedente entrar al fondo del presente asunto. </w:t>
      </w:r>
    </w:p>
    <w:p w14:paraId="3859E89B" w14:textId="77777777" w:rsidR="00286EFA" w:rsidRPr="00353FF1" w:rsidRDefault="00286EFA" w:rsidP="005D202C">
      <w:pPr>
        <w:tabs>
          <w:tab w:val="left" w:pos="4962"/>
        </w:tabs>
        <w:spacing w:line="360" w:lineRule="auto"/>
        <w:jc w:val="both"/>
        <w:rPr>
          <w:rFonts w:ascii="Palatino Linotype" w:eastAsia="Palatino Linotype" w:hAnsi="Palatino Linotype" w:cs="Palatino Linotype"/>
          <w:sz w:val="22"/>
          <w:szCs w:val="22"/>
        </w:rPr>
      </w:pPr>
    </w:p>
    <w:p w14:paraId="6C3D5ACC" w14:textId="77777777" w:rsidR="00286EFA" w:rsidRPr="00353FF1" w:rsidRDefault="00FA61F8" w:rsidP="005D202C">
      <w:pPr>
        <w:pStyle w:val="Ttulo1"/>
        <w:spacing w:before="0" w:after="0" w:line="360" w:lineRule="auto"/>
        <w:rPr>
          <w:rFonts w:ascii="Palatino Linotype" w:eastAsia="Palatino Linotype" w:hAnsi="Palatino Linotype"/>
          <w:b/>
          <w:color w:val="auto"/>
          <w:sz w:val="22"/>
          <w:szCs w:val="22"/>
        </w:rPr>
      </w:pPr>
      <w:bookmarkStart w:id="17" w:name="_Toc216261261"/>
      <w:r w:rsidRPr="00353FF1">
        <w:rPr>
          <w:rFonts w:ascii="Palatino Linotype" w:eastAsia="Palatino Linotype" w:hAnsi="Palatino Linotype"/>
          <w:b/>
          <w:color w:val="auto"/>
          <w:sz w:val="22"/>
          <w:szCs w:val="22"/>
        </w:rPr>
        <w:t>TERCERO. Determinación de la Controversia</w:t>
      </w:r>
      <w:bookmarkEnd w:id="17"/>
    </w:p>
    <w:p w14:paraId="08D131CF" w14:textId="77777777" w:rsidR="00286EFA" w:rsidRPr="00E60AC1" w:rsidRDefault="00286EFA" w:rsidP="005D202C">
      <w:pPr>
        <w:tabs>
          <w:tab w:val="left" w:pos="4962"/>
        </w:tabs>
        <w:spacing w:line="360" w:lineRule="auto"/>
        <w:jc w:val="both"/>
        <w:rPr>
          <w:rFonts w:ascii="Palatino Linotype" w:eastAsia="Palatino Linotype" w:hAnsi="Palatino Linotype" w:cs="Palatino Linotype"/>
          <w:b/>
          <w:color w:val="FF0000"/>
          <w:sz w:val="22"/>
          <w:szCs w:val="22"/>
        </w:rPr>
      </w:pPr>
    </w:p>
    <w:p w14:paraId="3AEAA270" w14:textId="6E5BECC2" w:rsidR="00353FF1" w:rsidRDefault="00FA61F8" w:rsidP="005D202C">
      <w:pPr>
        <w:spacing w:line="360" w:lineRule="auto"/>
        <w:jc w:val="both"/>
        <w:rPr>
          <w:rFonts w:ascii="Palatino Linotype" w:eastAsia="Palatino Linotype" w:hAnsi="Palatino Linotype" w:cs="Palatino Linotype"/>
          <w:sz w:val="22"/>
          <w:szCs w:val="22"/>
        </w:rPr>
      </w:pPr>
      <w:r w:rsidRPr="00353FF1">
        <w:rPr>
          <w:rFonts w:ascii="Palatino Linotype" w:eastAsia="Palatino Linotype" w:hAnsi="Palatino Linotype" w:cs="Palatino Linotype"/>
          <w:sz w:val="22"/>
          <w:szCs w:val="22"/>
        </w:rPr>
        <w:t>Una vez realizado el estudio de las constancias que integran el expediente en que se actúa, se desprende que el Particular requirió</w:t>
      </w:r>
      <w:r w:rsidR="00CA4304" w:rsidRPr="00353FF1">
        <w:rPr>
          <w:rFonts w:ascii="Palatino Linotype" w:eastAsia="Palatino Linotype" w:hAnsi="Palatino Linotype" w:cs="Palatino Linotype"/>
          <w:sz w:val="22"/>
          <w:szCs w:val="22"/>
        </w:rPr>
        <w:t xml:space="preserve"> </w:t>
      </w:r>
      <w:r w:rsidR="00274896">
        <w:rPr>
          <w:rFonts w:ascii="Palatino Linotype" w:eastAsia="Palatino Linotype" w:hAnsi="Palatino Linotype" w:cs="Palatino Linotype"/>
          <w:sz w:val="22"/>
          <w:szCs w:val="22"/>
        </w:rPr>
        <w:t>el recibo de nómina o similar de la persona señalada en la solicitud.</w:t>
      </w:r>
    </w:p>
    <w:p w14:paraId="5EBA6FF9" w14:textId="77777777" w:rsidR="00A805BA" w:rsidRDefault="00A805BA" w:rsidP="005D202C">
      <w:pPr>
        <w:spacing w:line="360" w:lineRule="auto"/>
        <w:jc w:val="both"/>
        <w:rPr>
          <w:rFonts w:ascii="Palatino Linotype" w:eastAsia="Palatino Linotype" w:hAnsi="Palatino Linotype" w:cs="Palatino Linotype"/>
          <w:sz w:val="22"/>
          <w:szCs w:val="22"/>
        </w:rPr>
      </w:pPr>
    </w:p>
    <w:p w14:paraId="0591FDAC" w14:textId="7C82645A" w:rsidR="00A805BA" w:rsidRDefault="00A805BA" w:rsidP="005D202C">
      <w:pPr>
        <w:spacing w:line="360" w:lineRule="auto"/>
        <w:jc w:val="both"/>
        <w:rPr>
          <w:rFonts w:ascii="Palatino Linotype" w:eastAsia="Palatino Linotype" w:hAnsi="Palatino Linotype" w:cs="Palatino Linotype"/>
          <w:sz w:val="22"/>
          <w:szCs w:val="22"/>
          <w:lang w:eastAsia="en-US"/>
        </w:rPr>
      </w:pPr>
      <w:r>
        <w:rPr>
          <w:rFonts w:ascii="Palatino Linotype" w:eastAsia="Palatino Linotype" w:hAnsi="Palatino Linotype" w:cs="Palatino Linotype"/>
          <w:sz w:val="22"/>
          <w:szCs w:val="22"/>
        </w:rPr>
        <w:t xml:space="preserve">En </w:t>
      </w:r>
      <w:r w:rsidRPr="0037315B">
        <w:rPr>
          <w:rFonts w:ascii="Palatino Linotype" w:eastAsia="Palatino Linotype" w:hAnsi="Palatino Linotype" w:cs="Palatino Linotype"/>
          <w:sz w:val="22"/>
          <w:szCs w:val="22"/>
        </w:rPr>
        <w:t xml:space="preserve">respuesta, el Sujeto Obligado, a través de la </w:t>
      </w:r>
      <w:r w:rsidRPr="00A805BA">
        <w:rPr>
          <w:rFonts w:ascii="Palatino Linotype" w:eastAsia="Palatino Linotype" w:hAnsi="Palatino Linotype" w:cs="Palatino Linotype"/>
          <w:sz w:val="22"/>
          <w:szCs w:val="22"/>
          <w:lang w:eastAsia="en-US"/>
        </w:rPr>
        <w:t xml:space="preserve">Dirección General de Administración, </w:t>
      </w:r>
      <w:r w:rsidRPr="0037315B">
        <w:rPr>
          <w:rFonts w:ascii="Palatino Linotype" w:eastAsia="Palatino Linotype" w:hAnsi="Palatino Linotype" w:cs="Palatino Linotype"/>
          <w:sz w:val="22"/>
          <w:szCs w:val="22"/>
          <w:lang w:eastAsia="en-US"/>
        </w:rPr>
        <w:t xml:space="preserve">refirió que </w:t>
      </w:r>
      <w:r w:rsidR="0037315B" w:rsidRPr="0037315B">
        <w:rPr>
          <w:rFonts w:ascii="Palatino Linotype" w:eastAsia="Palatino Linotype" w:hAnsi="Palatino Linotype" w:cs="Palatino Linotype"/>
          <w:sz w:val="22"/>
          <w:szCs w:val="22"/>
          <w:lang w:eastAsia="en-US"/>
        </w:rPr>
        <w:t>después de haber realizado la búsqueda exhaustiva y razonable en los archivos</w:t>
      </w:r>
      <w:r w:rsidR="0037315B">
        <w:rPr>
          <w:rFonts w:ascii="Palatino Linotype" w:eastAsia="Palatino Linotype" w:hAnsi="Palatino Linotype" w:cs="Palatino Linotype"/>
          <w:sz w:val="22"/>
          <w:szCs w:val="22"/>
          <w:lang w:eastAsia="en-US"/>
        </w:rPr>
        <w:t xml:space="preserve">, la información solicitada </w:t>
      </w:r>
      <w:r w:rsidR="007715D3">
        <w:rPr>
          <w:rFonts w:ascii="Palatino Linotype" w:eastAsia="Palatino Linotype" w:hAnsi="Palatino Linotype" w:cs="Palatino Linotype"/>
          <w:sz w:val="22"/>
          <w:szCs w:val="22"/>
          <w:lang w:eastAsia="en-US"/>
        </w:rPr>
        <w:t>podía</w:t>
      </w:r>
      <w:r w:rsidR="0037315B">
        <w:rPr>
          <w:rFonts w:ascii="Palatino Linotype" w:eastAsia="Palatino Linotype" w:hAnsi="Palatino Linotype" w:cs="Palatino Linotype"/>
          <w:sz w:val="22"/>
          <w:szCs w:val="22"/>
          <w:lang w:eastAsia="en-US"/>
        </w:rPr>
        <w:t xml:space="preserve"> consultarse a través de una liga </w:t>
      </w:r>
      <w:r w:rsidR="007715D3">
        <w:rPr>
          <w:rFonts w:ascii="Palatino Linotype" w:eastAsia="Palatino Linotype" w:hAnsi="Palatino Linotype" w:cs="Palatino Linotype"/>
          <w:sz w:val="22"/>
          <w:szCs w:val="22"/>
          <w:lang w:eastAsia="en-US"/>
        </w:rPr>
        <w:t>electrónica</w:t>
      </w:r>
      <w:r w:rsidR="0037315B" w:rsidRPr="0037315B">
        <w:rPr>
          <w:rFonts w:ascii="Palatino Linotype" w:eastAsia="Palatino Linotype" w:hAnsi="Palatino Linotype" w:cs="Palatino Linotype"/>
          <w:sz w:val="22"/>
          <w:szCs w:val="22"/>
          <w:lang w:eastAsia="en-US"/>
        </w:rPr>
        <w:t xml:space="preserve">; </w:t>
      </w:r>
      <w:r w:rsidRPr="00A805BA">
        <w:rPr>
          <w:rFonts w:ascii="Palatino Linotype" w:eastAsia="Palatino Linotype" w:hAnsi="Palatino Linotype" w:cs="Palatino Linotype"/>
          <w:sz w:val="22"/>
          <w:szCs w:val="22"/>
          <w:lang w:eastAsia="en-US"/>
        </w:rPr>
        <w:t xml:space="preserve">ante dicha respuesta por parte del Ente Recurrido, el Particular, se inconformó de </w:t>
      </w:r>
      <w:r w:rsidR="0037315B">
        <w:rPr>
          <w:rFonts w:ascii="Palatino Linotype" w:eastAsia="Palatino Linotype" w:hAnsi="Palatino Linotype" w:cs="Palatino Linotype"/>
          <w:sz w:val="22"/>
          <w:szCs w:val="22"/>
          <w:lang w:eastAsia="en-US"/>
        </w:rPr>
        <w:t>entrega de información que no corresponde con lo solicitado</w:t>
      </w:r>
      <w:r w:rsidR="007715D3">
        <w:rPr>
          <w:rFonts w:ascii="Palatino Linotype" w:eastAsia="Palatino Linotype" w:hAnsi="Palatino Linotype" w:cs="Palatino Linotype"/>
          <w:sz w:val="22"/>
          <w:szCs w:val="22"/>
          <w:lang w:eastAsia="en-US"/>
        </w:rPr>
        <w:t xml:space="preserve">, al señalar </w:t>
      </w:r>
      <w:r w:rsidR="00274896">
        <w:rPr>
          <w:rFonts w:ascii="Palatino Linotype" w:eastAsia="Palatino Linotype" w:hAnsi="Palatino Linotype" w:cs="Palatino Linotype"/>
          <w:sz w:val="22"/>
          <w:szCs w:val="22"/>
          <w:lang w:eastAsia="en-US"/>
        </w:rPr>
        <w:t>que no le entregaban la expresión documental requerida</w:t>
      </w:r>
      <w:r w:rsidR="008529C8">
        <w:rPr>
          <w:rFonts w:ascii="Palatino Linotype" w:eastAsia="Palatino Linotype" w:hAnsi="Palatino Linotype" w:cs="Palatino Linotype"/>
          <w:sz w:val="22"/>
          <w:szCs w:val="22"/>
          <w:lang w:eastAsia="en-US"/>
        </w:rPr>
        <w:t>,</w:t>
      </w:r>
      <w:r w:rsidRPr="00A805BA">
        <w:rPr>
          <w:rFonts w:ascii="Palatino Linotype" w:eastAsia="Palatino Linotype" w:hAnsi="Palatino Linotype" w:cs="Palatino Linotype"/>
          <w:sz w:val="22"/>
          <w:szCs w:val="22"/>
          <w:lang w:eastAsia="en-US"/>
        </w:rPr>
        <w:t xml:space="preserve"> lo cual actualiza el supuesto previsto en el artículo 179, fracción V</w:t>
      </w:r>
      <w:r w:rsidR="0037315B">
        <w:rPr>
          <w:rFonts w:ascii="Palatino Linotype" w:eastAsia="Palatino Linotype" w:hAnsi="Palatino Linotype" w:cs="Palatino Linotype"/>
          <w:sz w:val="22"/>
          <w:szCs w:val="22"/>
          <w:lang w:eastAsia="en-US"/>
        </w:rPr>
        <w:t>I</w:t>
      </w:r>
      <w:r w:rsidRPr="00A805BA">
        <w:rPr>
          <w:rFonts w:ascii="Palatino Linotype" w:eastAsia="Palatino Linotype" w:hAnsi="Palatino Linotype" w:cs="Palatino Linotype"/>
          <w:sz w:val="22"/>
          <w:szCs w:val="22"/>
          <w:lang w:eastAsia="en-US"/>
        </w:rPr>
        <w:t>, de la Ley de Transparencia y Acceso a la Información Pública del Estado de México y Municipios. Así las cosas, una vez admitido y notificado el Recurso de Revisión a las partes, el Sujeto Obligado ratificó su respuesta</w:t>
      </w:r>
      <w:r w:rsidR="00274896">
        <w:rPr>
          <w:rFonts w:ascii="Palatino Linotype" w:eastAsia="Palatino Linotype" w:hAnsi="Palatino Linotype" w:cs="Palatino Linotype"/>
          <w:sz w:val="22"/>
          <w:szCs w:val="22"/>
          <w:lang w:eastAsia="en-US"/>
        </w:rPr>
        <w:t xml:space="preserve"> y el Instituto Municipal de la Mujer de Toluca refirió que era incompetente, pues la persona referida no había laborado, ni laboraba para la Dependencia.</w:t>
      </w:r>
    </w:p>
    <w:p w14:paraId="30A715F9" w14:textId="77777777" w:rsidR="0037315B" w:rsidRPr="00A805BA" w:rsidRDefault="0037315B" w:rsidP="005D202C">
      <w:pPr>
        <w:spacing w:line="360" w:lineRule="auto"/>
        <w:jc w:val="both"/>
        <w:rPr>
          <w:rFonts w:ascii="Palatino Linotype" w:eastAsia="Palatino Linotype" w:hAnsi="Palatino Linotype" w:cs="Palatino Linotype"/>
          <w:sz w:val="22"/>
          <w:szCs w:val="22"/>
          <w:lang w:eastAsia="en-US"/>
        </w:rPr>
      </w:pPr>
    </w:p>
    <w:p w14:paraId="4CBD52ED" w14:textId="70A581D5" w:rsidR="00A805BA" w:rsidRPr="00A805BA" w:rsidRDefault="00A805BA" w:rsidP="005D202C">
      <w:pPr>
        <w:tabs>
          <w:tab w:val="left" w:pos="4962"/>
        </w:tabs>
        <w:spacing w:line="360" w:lineRule="auto"/>
        <w:jc w:val="both"/>
        <w:rPr>
          <w:rFonts w:ascii="Palatino Linotype" w:eastAsia="Palatino Linotype" w:hAnsi="Palatino Linotype" w:cs="Palatino Linotype"/>
          <w:sz w:val="22"/>
          <w:szCs w:val="22"/>
          <w:lang w:eastAsia="en-US"/>
        </w:rPr>
      </w:pPr>
      <w:r w:rsidRPr="00A805BA">
        <w:rPr>
          <w:rFonts w:ascii="Palatino Linotype" w:eastAsia="Palatino Linotype" w:hAnsi="Palatino Linotype" w:cs="Palatino Linotype"/>
          <w:sz w:val="22"/>
          <w:szCs w:val="22"/>
          <w:lang w:eastAsia="en-US"/>
        </w:rPr>
        <w:t xml:space="preserve">Lo anterior, se desprende de las documentales que obran en el expediente de referencia, materia de la presente resolución, consistente en: la solicitud de acceso a la información, la </w:t>
      </w:r>
      <w:r w:rsidR="00341842" w:rsidRPr="00A805BA">
        <w:rPr>
          <w:rFonts w:ascii="Palatino Linotype" w:eastAsia="Palatino Linotype" w:hAnsi="Palatino Linotype" w:cs="Palatino Linotype"/>
          <w:sz w:val="22"/>
          <w:szCs w:val="22"/>
          <w:lang w:eastAsia="en-US"/>
        </w:rPr>
        <w:t>respuesta, el</w:t>
      </w:r>
      <w:r w:rsidRPr="00A805BA">
        <w:rPr>
          <w:rFonts w:ascii="Palatino Linotype" w:eastAsia="Palatino Linotype" w:hAnsi="Palatino Linotype" w:cs="Palatino Linotype"/>
          <w:sz w:val="22"/>
          <w:szCs w:val="22"/>
          <w:lang w:eastAsia="en-US"/>
        </w:rPr>
        <w:t xml:space="preserve"> escrito recursal y el informe justificado; instrumentales que se toman en cuenta a efecto de resolver el presente medio de impugnación, conforme a lo dispuesto por el artículo </w:t>
      </w:r>
      <w:r w:rsidRPr="00A805BA">
        <w:rPr>
          <w:rFonts w:ascii="Palatino Linotype" w:eastAsia="Palatino Linotype" w:hAnsi="Palatino Linotype" w:cs="Palatino Linotype"/>
          <w:sz w:val="22"/>
          <w:szCs w:val="22"/>
          <w:lang w:eastAsia="en-US"/>
        </w:rPr>
        <w:lastRenderedPageBreak/>
        <w:t>185, fracción IV, de la Ley de Transparencia y Acceso a la Información Pública del Estado de México y Municipios.</w:t>
      </w:r>
    </w:p>
    <w:p w14:paraId="330F9FF7" w14:textId="77777777" w:rsidR="00306613" w:rsidRPr="00E60AC1" w:rsidRDefault="00306613" w:rsidP="005D202C">
      <w:pPr>
        <w:spacing w:line="360" w:lineRule="auto"/>
        <w:jc w:val="both"/>
        <w:rPr>
          <w:rFonts w:ascii="Palatino Linotype" w:eastAsia="Palatino Linotype" w:hAnsi="Palatino Linotype" w:cs="Palatino Linotype"/>
          <w:color w:val="FF0000"/>
          <w:sz w:val="22"/>
          <w:szCs w:val="22"/>
        </w:rPr>
      </w:pPr>
    </w:p>
    <w:p w14:paraId="797882AC" w14:textId="77777777" w:rsidR="00286EFA" w:rsidRPr="0037315B" w:rsidRDefault="00FA61F8" w:rsidP="005D202C">
      <w:pPr>
        <w:pStyle w:val="Ttulo1"/>
        <w:spacing w:before="0" w:after="0" w:line="360" w:lineRule="auto"/>
        <w:jc w:val="both"/>
        <w:rPr>
          <w:rFonts w:ascii="Palatino Linotype" w:eastAsia="Palatino Linotype" w:hAnsi="Palatino Linotype"/>
          <w:b/>
          <w:color w:val="auto"/>
          <w:sz w:val="22"/>
          <w:szCs w:val="22"/>
        </w:rPr>
      </w:pPr>
      <w:bookmarkStart w:id="18" w:name="_Toc216261262"/>
      <w:r w:rsidRPr="0037315B">
        <w:rPr>
          <w:rFonts w:ascii="Palatino Linotype" w:eastAsia="Palatino Linotype" w:hAnsi="Palatino Linotype"/>
          <w:b/>
          <w:color w:val="auto"/>
          <w:sz w:val="22"/>
          <w:szCs w:val="22"/>
        </w:rPr>
        <w:t>CUARTO. Marco normativo aplicable en materia de transparencia y acceso a la información pública</w:t>
      </w:r>
      <w:bookmarkEnd w:id="18"/>
    </w:p>
    <w:p w14:paraId="1F39E650" w14:textId="77777777" w:rsidR="00286EFA" w:rsidRPr="0037315B" w:rsidRDefault="00286EFA" w:rsidP="005D202C">
      <w:pPr>
        <w:spacing w:line="360" w:lineRule="auto"/>
        <w:jc w:val="both"/>
        <w:rPr>
          <w:rFonts w:ascii="Palatino Linotype" w:eastAsia="Palatino Linotype" w:hAnsi="Palatino Linotype" w:cs="Palatino Linotype"/>
          <w:b/>
          <w:sz w:val="22"/>
          <w:szCs w:val="22"/>
        </w:rPr>
      </w:pPr>
    </w:p>
    <w:p w14:paraId="299E246C"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2E817AE"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p>
    <w:p w14:paraId="0CE13CE4"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7E99FAA"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p>
    <w:p w14:paraId="189F1660"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2A2A1DA5"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p>
    <w:p w14:paraId="2CC00255"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65A6C103" w14:textId="77777777" w:rsidR="002A577A" w:rsidRDefault="002A577A" w:rsidP="005D202C">
      <w:pPr>
        <w:spacing w:line="360" w:lineRule="auto"/>
        <w:jc w:val="both"/>
        <w:rPr>
          <w:rFonts w:ascii="Palatino Linotype" w:eastAsia="Palatino Linotype" w:hAnsi="Palatino Linotype" w:cs="Palatino Linotype"/>
          <w:sz w:val="22"/>
          <w:szCs w:val="22"/>
        </w:rPr>
      </w:pPr>
    </w:p>
    <w:p w14:paraId="200ACA81"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90773EE"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p>
    <w:p w14:paraId="0DF74CBA" w14:textId="77777777" w:rsidR="0083520D" w:rsidRPr="0037315B" w:rsidRDefault="0083520D" w:rsidP="005D202C">
      <w:pPr>
        <w:spacing w:line="360" w:lineRule="auto"/>
        <w:jc w:val="both"/>
        <w:rPr>
          <w:rFonts w:ascii="Palatino Linotype" w:eastAsia="Palatino Linotype" w:hAnsi="Palatino Linotype" w:cs="Palatino Linotype"/>
          <w:sz w:val="22"/>
          <w:szCs w:val="22"/>
        </w:rPr>
      </w:pPr>
      <w:r w:rsidRPr="0037315B">
        <w:rPr>
          <w:rFonts w:ascii="Palatino Linotype" w:eastAsia="Palatino Linotype" w:hAnsi="Palatino Linotype" w:cs="Palatino Linotype"/>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23000D7" w14:textId="77777777" w:rsidR="00286EFA" w:rsidRPr="0037315B" w:rsidRDefault="00FA61F8" w:rsidP="005D202C">
      <w:pPr>
        <w:pStyle w:val="Ttulo1"/>
        <w:spacing w:before="0" w:after="0" w:line="360" w:lineRule="auto"/>
        <w:rPr>
          <w:rFonts w:ascii="Palatino Linotype" w:eastAsia="Palatino Linotype" w:hAnsi="Palatino Linotype"/>
          <w:b/>
          <w:color w:val="auto"/>
          <w:sz w:val="22"/>
          <w:szCs w:val="22"/>
        </w:rPr>
      </w:pPr>
      <w:bookmarkStart w:id="19" w:name="_Toc216261263"/>
      <w:r w:rsidRPr="0037315B">
        <w:rPr>
          <w:rFonts w:ascii="Palatino Linotype" w:eastAsia="Palatino Linotype" w:hAnsi="Palatino Linotype"/>
          <w:b/>
          <w:color w:val="auto"/>
          <w:sz w:val="22"/>
          <w:szCs w:val="22"/>
        </w:rPr>
        <w:t>QUINTO. Estudio de Fondo</w:t>
      </w:r>
      <w:bookmarkEnd w:id="19"/>
    </w:p>
    <w:p w14:paraId="369D3A1B" w14:textId="77777777" w:rsidR="00286EFA" w:rsidRPr="00E60AC1" w:rsidRDefault="00286EFA" w:rsidP="005D202C">
      <w:pPr>
        <w:spacing w:line="360" w:lineRule="auto"/>
        <w:jc w:val="both"/>
        <w:rPr>
          <w:rFonts w:ascii="Palatino Linotype" w:eastAsia="Palatino Linotype" w:hAnsi="Palatino Linotype" w:cs="Palatino Linotype"/>
          <w:color w:val="FF0000"/>
          <w:sz w:val="22"/>
          <w:szCs w:val="22"/>
        </w:rPr>
      </w:pPr>
    </w:p>
    <w:p w14:paraId="48CAFD58" w14:textId="77777777" w:rsidR="00286EFA" w:rsidRPr="00961619" w:rsidRDefault="00FA61F8" w:rsidP="005D202C">
      <w:pPr>
        <w:widowControl w:val="0"/>
        <w:spacing w:line="360" w:lineRule="auto"/>
        <w:jc w:val="both"/>
        <w:rPr>
          <w:rFonts w:ascii="Palatino Linotype" w:eastAsia="Palatino Linotype" w:hAnsi="Palatino Linotype" w:cs="Palatino Linotype"/>
          <w:sz w:val="22"/>
          <w:szCs w:val="22"/>
        </w:rPr>
      </w:pPr>
      <w:r w:rsidRPr="00961619">
        <w:rPr>
          <w:rFonts w:ascii="Palatino Linotype" w:eastAsia="Palatino Linotype" w:hAnsi="Palatino Linotype" w:cs="Palatino Linotype"/>
          <w:sz w:val="22"/>
          <w:szCs w:val="22"/>
        </w:rPr>
        <w:t>Expuestas las posturas de las partes, se procede a realizar el análisis del agravio hecho valer por el ahora Recurrente, concerniente a la</w:t>
      </w:r>
      <w:r w:rsidR="00E1577D" w:rsidRPr="00961619">
        <w:rPr>
          <w:rFonts w:ascii="Palatino Linotype" w:eastAsia="Palatino Linotype" w:hAnsi="Palatino Linotype" w:cs="Palatino Linotype"/>
          <w:sz w:val="22"/>
          <w:szCs w:val="22"/>
        </w:rPr>
        <w:t xml:space="preserve"> entrega de información que no corresponde con lo solicitado, por lo que, en principio es necesario contextualizar la solicitud de información.</w:t>
      </w:r>
    </w:p>
    <w:p w14:paraId="2E65E326" w14:textId="77777777" w:rsidR="00286EFA" w:rsidRPr="00E60AC1" w:rsidRDefault="00286EFA" w:rsidP="005D202C">
      <w:pPr>
        <w:widowControl w:val="0"/>
        <w:spacing w:line="360" w:lineRule="auto"/>
        <w:jc w:val="both"/>
        <w:rPr>
          <w:rFonts w:ascii="Palatino Linotype" w:eastAsia="Palatino Linotype" w:hAnsi="Palatino Linotype" w:cs="Palatino Linotype"/>
          <w:color w:val="FF0000"/>
          <w:sz w:val="22"/>
          <w:szCs w:val="22"/>
        </w:rPr>
      </w:pPr>
    </w:p>
    <w:p w14:paraId="6ADE1430" w14:textId="3EDD1AA0" w:rsidR="00961619" w:rsidRPr="00961619" w:rsidRDefault="00A7624F" w:rsidP="005D202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w:t>
      </w:r>
      <w:r w:rsidRPr="00A7624F">
        <w:rPr>
          <w:rFonts w:ascii="Palatino Linotype" w:eastAsia="Palatino Linotype" w:hAnsi="Palatino Linotype" w:cs="Palatino Linotype"/>
          <w:sz w:val="22"/>
          <w:szCs w:val="22"/>
        </w:rPr>
        <w:t>el artículo 108 de la Constitución Política de los Estados Unidos Mexicanos, con relación al diverso 130 de la Constitución Política del Estado Libre y Soberano de México, establecen que se considera como servidor público 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14:paraId="35CF7532" w14:textId="77777777" w:rsidR="00961619" w:rsidRDefault="00961619" w:rsidP="005D202C">
      <w:pPr>
        <w:spacing w:line="360" w:lineRule="auto"/>
        <w:jc w:val="both"/>
        <w:rPr>
          <w:rFonts w:ascii="Palatino Linotype" w:eastAsia="Palatino Linotype" w:hAnsi="Palatino Linotype" w:cs="Palatino Linotype"/>
          <w:color w:val="FF0000"/>
          <w:sz w:val="22"/>
          <w:szCs w:val="22"/>
        </w:rPr>
      </w:pPr>
    </w:p>
    <w:p w14:paraId="2E278F30" w14:textId="1E7E6D29" w:rsidR="00B635E1" w:rsidRDefault="00B635E1" w:rsidP="005D202C">
      <w:pPr>
        <w:spacing w:line="360" w:lineRule="auto"/>
        <w:jc w:val="both"/>
        <w:rPr>
          <w:rFonts w:ascii="Palatino Linotype" w:eastAsia="Palatino Linotype" w:hAnsi="Palatino Linotype" w:cs="Palatino Linotype"/>
          <w:sz w:val="22"/>
          <w:szCs w:val="22"/>
        </w:rPr>
      </w:pPr>
      <w:r w:rsidRPr="00B635E1">
        <w:rPr>
          <w:rFonts w:ascii="Palatino Linotype" w:eastAsia="Palatino Linotype" w:hAnsi="Palatino Linotype" w:cs="Palatino Linotype"/>
          <w:sz w:val="22"/>
          <w:szCs w:val="22"/>
        </w:rPr>
        <w:t>En principio, el artículo 4°, fracción VI, de la Ley del Trabajo de los Servidores Públicos del Estado y Municipios, establece que un servidor público es toda persona física que preste a una institución pública un trabajo personal subordinado de carácter material o intelectual, o de ambos géneros, mediante el pago de un sueldo.</w:t>
      </w:r>
    </w:p>
    <w:p w14:paraId="251C6DA9" w14:textId="77777777" w:rsidR="009C4764" w:rsidRDefault="009C4764" w:rsidP="005D202C">
      <w:pPr>
        <w:spacing w:line="360" w:lineRule="auto"/>
        <w:jc w:val="both"/>
        <w:rPr>
          <w:rFonts w:ascii="Palatino Linotype" w:eastAsia="Palatino Linotype" w:hAnsi="Palatino Linotype" w:cs="Palatino Linotype"/>
          <w:sz w:val="22"/>
          <w:szCs w:val="22"/>
        </w:rPr>
      </w:pPr>
    </w:p>
    <w:p w14:paraId="1E4415E3" w14:textId="77777777" w:rsidR="00274896" w:rsidRPr="00274896" w:rsidRDefault="00274896" w:rsidP="00274896">
      <w:pPr>
        <w:spacing w:line="360" w:lineRule="auto"/>
        <w:jc w:val="both"/>
        <w:rPr>
          <w:rFonts w:ascii="Palatino Linotype" w:eastAsia="Calibri" w:hAnsi="Palatino Linotype" w:cs="Tahoma"/>
          <w:bCs/>
          <w:color w:val="000000"/>
          <w:sz w:val="22"/>
          <w:szCs w:val="22"/>
          <w:lang w:val="es-ES" w:eastAsia="en-US"/>
        </w:rPr>
      </w:pPr>
      <w:r w:rsidRPr="00274896">
        <w:rPr>
          <w:rFonts w:ascii="Palatino Linotype" w:eastAsia="Calibri" w:hAnsi="Palatino Linotype" w:cs="Tahoma"/>
          <w:bCs/>
          <w:color w:val="000000"/>
          <w:sz w:val="22"/>
          <w:szCs w:val="22"/>
          <w:lang w:val="es-ES" w:eastAsia="en-US"/>
        </w:rPr>
        <w:t xml:space="preserve">Ahora bien, sobre los datos solicitados, el artículo 92, fracción VIII, de la Ley de Transparencia y Acceso a la Información Pública del Estado de México y Municipios, que establece que los sujetos obligados deben proporcionar </w:t>
      </w:r>
      <w:r w:rsidRPr="00274896">
        <w:rPr>
          <w:rFonts w:ascii="Palatino Linotype" w:eastAsia="Calibri" w:hAnsi="Palatino Linotype" w:cs="Tahoma"/>
          <w:bCs/>
          <w:color w:val="000000"/>
          <w:sz w:val="22"/>
          <w:szCs w:val="22"/>
          <w:lang w:eastAsia="en-US"/>
        </w:rPr>
        <w:t xml:space="preserve">a remuneración bruta y neta de todos los servidores públicos de base o de confianza, de todas las percepciones, incluyendo sueldos, prestaciones, </w:t>
      </w:r>
      <w:r w:rsidRPr="00274896">
        <w:rPr>
          <w:rFonts w:ascii="Palatino Linotype" w:eastAsia="Calibri" w:hAnsi="Palatino Linotype" w:cs="Tahoma"/>
          <w:bCs/>
          <w:color w:val="000000"/>
          <w:sz w:val="22"/>
          <w:szCs w:val="22"/>
          <w:lang w:eastAsia="en-US"/>
        </w:rPr>
        <w:lastRenderedPageBreak/>
        <w:t>gratificaciones, primas, comisiones, dietas, bonos, estímulos, ingresos y sistemas de compensación, señalando la periodicidad de dicha remuneración</w:t>
      </w:r>
      <w:r w:rsidRPr="00274896">
        <w:rPr>
          <w:rFonts w:ascii="Palatino Linotype" w:eastAsia="Calibri" w:hAnsi="Palatino Linotype" w:cs="Tahoma"/>
          <w:bCs/>
          <w:color w:val="000000"/>
          <w:sz w:val="22"/>
          <w:szCs w:val="22"/>
          <w:lang w:val="es-ES" w:eastAsia="en-US"/>
        </w:rPr>
        <w:t>.</w:t>
      </w:r>
    </w:p>
    <w:p w14:paraId="35085831" w14:textId="77777777" w:rsidR="00274896" w:rsidRPr="00274896" w:rsidRDefault="00274896" w:rsidP="00274896">
      <w:pPr>
        <w:spacing w:line="360" w:lineRule="auto"/>
        <w:jc w:val="both"/>
        <w:rPr>
          <w:rFonts w:ascii="Palatino Linotype" w:eastAsia="Calibri" w:hAnsi="Palatino Linotype" w:cs="Tahoma"/>
          <w:bCs/>
          <w:color w:val="000000"/>
          <w:sz w:val="22"/>
          <w:szCs w:val="22"/>
          <w:lang w:val="es-ES" w:eastAsia="en-US"/>
        </w:rPr>
      </w:pPr>
    </w:p>
    <w:p w14:paraId="1C2C2885" w14:textId="77777777" w:rsidR="00274896" w:rsidRPr="00274896" w:rsidRDefault="00274896" w:rsidP="00274896">
      <w:pPr>
        <w:spacing w:line="360" w:lineRule="auto"/>
        <w:jc w:val="both"/>
        <w:rPr>
          <w:rFonts w:ascii="Palatino Linotype" w:eastAsia="Calibri" w:hAnsi="Palatino Linotype"/>
          <w:color w:val="000000"/>
          <w:sz w:val="22"/>
          <w:szCs w:val="22"/>
          <w:lang w:eastAsia="en-US"/>
        </w:rPr>
      </w:pPr>
      <w:r w:rsidRPr="00274896">
        <w:rPr>
          <w:rFonts w:ascii="Palatino Linotype" w:eastAsia="Calibri" w:hAnsi="Palatino Linotype" w:cs="Tahoma"/>
          <w:bCs/>
          <w:color w:val="000000"/>
          <w:sz w:val="22"/>
          <w:szCs w:val="22"/>
          <w:lang w:val="es-ES" w:eastAsia="en-US"/>
        </w:rPr>
        <w:t xml:space="preserve">Por otra parte, respecto a los recibos de pago, </w:t>
      </w:r>
      <w:r w:rsidRPr="00274896">
        <w:rPr>
          <w:rFonts w:ascii="Palatino Linotype" w:eastAsia="Calibri" w:hAnsi="Palatino Linotype"/>
          <w:color w:val="000000"/>
          <w:sz w:val="22"/>
          <w:szCs w:val="22"/>
          <w:lang w:eastAsia="en-US"/>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51B2C30" w14:textId="77777777" w:rsidR="00274896" w:rsidRPr="00274896" w:rsidRDefault="00274896" w:rsidP="00274896">
      <w:pPr>
        <w:spacing w:line="360" w:lineRule="auto"/>
        <w:jc w:val="both"/>
        <w:rPr>
          <w:rFonts w:ascii="Palatino Linotype" w:eastAsia="Calibri" w:hAnsi="Palatino Linotype"/>
          <w:color w:val="000000"/>
          <w:sz w:val="22"/>
          <w:szCs w:val="22"/>
          <w:lang w:eastAsia="en-US"/>
        </w:rPr>
      </w:pPr>
    </w:p>
    <w:p w14:paraId="5E7B1E47" w14:textId="77777777" w:rsidR="00274896" w:rsidRPr="00274896" w:rsidRDefault="00274896" w:rsidP="00274896">
      <w:pPr>
        <w:spacing w:line="360" w:lineRule="auto"/>
        <w:jc w:val="both"/>
        <w:rPr>
          <w:rFonts w:ascii="Palatino Linotype" w:eastAsia="Calibri" w:hAnsi="Palatino Linotype"/>
          <w:color w:val="000000"/>
          <w:sz w:val="22"/>
          <w:szCs w:val="22"/>
          <w:lang w:eastAsia="en-US"/>
        </w:rPr>
      </w:pPr>
      <w:r w:rsidRPr="00274896">
        <w:rPr>
          <w:rFonts w:ascii="Palatino Linotype" w:eastAsia="Calibri" w:hAnsi="Palatino Linotype"/>
          <w:color w:val="000000"/>
          <w:sz w:val="22"/>
          <w:szCs w:val="22"/>
          <w:lang w:eastAsia="en-US"/>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344578C3" w14:textId="77777777" w:rsidR="00274896" w:rsidRPr="00274896" w:rsidRDefault="00274896" w:rsidP="00274896">
      <w:pPr>
        <w:spacing w:line="360" w:lineRule="auto"/>
        <w:jc w:val="both"/>
        <w:rPr>
          <w:rFonts w:ascii="Palatino Linotype" w:eastAsia="Calibri" w:hAnsi="Palatino Linotype"/>
          <w:color w:val="000000"/>
          <w:sz w:val="22"/>
          <w:szCs w:val="22"/>
          <w:lang w:eastAsia="en-US"/>
        </w:rPr>
      </w:pPr>
    </w:p>
    <w:p w14:paraId="6836AB0D" w14:textId="77777777" w:rsidR="00274896" w:rsidRPr="00274896" w:rsidRDefault="00274896" w:rsidP="00274896">
      <w:pPr>
        <w:spacing w:line="360" w:lineRule="auto"/>
        <w:jc w:val="both"/>
        <w:rPr>
          <w:rFonts w:ascii="Palatino Linotype" w:eastAsia="Calibri" w:hAnsi="Palatino Linotype"/>
          <w:color w:val="000000"/>
          <w:sz w:val="22"/>
          <w:szCs w:val="22"/>
          <w:lang w:eastAsia="en-US"/>
        </w:rPr>
      </w:pPr>
      <w:r w:rsidRPr="00274896">
        <w:rPr>
          <w:rFonts w:ascii="Palatino Linotype" w:eastAsia="Calibri" w:hAnsi="Palatino Linotype"/>
          <w:color w:val="000000"/>
          <w:sz w:val="22"/>
          <w:szCs w:val="22"/>
          <w:lang w:eastAsia="en-U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144D063D" w14:textId="77777777" w:rsidR="00274896" w:rsidRPr="00274896" w:rsidRDefault="00274896" w:rsidP="00274896">
      <w:pPr>
        <w:widowControl w:val="0"/>
        <w:spacing w:line="360" w:lineRule="auto"/>
        <w:jc w:val="both"/>
        <w:rPr>
          <w:rFonts w:ascii="Palatino Linotype" w:eastAsia="Calibri" w:hAnsi="Palatino Linotype"/>
          <w:color w:val="000000"/>
          <w:sz w:val="22"/>
          <w:szCs w:val="22"/>
          <w:lang w:eastAsia="en-US"/>
        </w:rPr>
      </w:pPr>
    </w:p>
    <w:p w14:paraId="69F516F1" w14:textId="77777777" w:rsidR="00274896" w:rsidRPr="00274896" w:rsidRDefault="00274896" w:rsidP="00274896">
      <w:pPr>
        <w:spacing w:line="360" w:lineRule="auto"/>
        <w:jc w:val="both"/>
        <w:rPr>
          <w:rFonts w:ascii="Palatino Linotype" w:eastAsia="Calibri" w:hAnsi="Palatino Linotype"/>
          <w:b/>
          <w:color w:val="000000"/>
          <w:sz w:val="22"/>
          <w:szCs w:val="22"/>
          <w:lang w:eastAsia="en-US"/>
        </w:rPr>
      </w:pPr>
      <w:r w:rsidRPr="00274896">
        <w:rPr>
          <w:rFonts w:ascii="Palatino Linotype" w:eastAsia="Calibri" w:hAnsi="Palatino Linotype"/>
          <w:color w:val="000000"/>
          <w:sz w:val="22"/>
          <w:szCs w:val="22"/>
          <w:lang w:eastAsia="en-US"/>
        </w:rPr>
        <w:t xml:space="preserve">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w:t>
      </w:r>
      <w:r w:rsidRPr="00274896">
        <w:rPr>
          <w:rFonts w:ascii="Palatino Linotype" w:eastAsia="Calibri" w:hAnsi="Palatino Linotype"/>
          <w:b/>
          <w:color w:val="000000"/>
          <w:sz w:val="22"/>
          <w:szCs w:val="22"/>
          <w:lang w:eastAsia="en-US"/>
        </w:rPr>
        <w:t>1000 Servicios Personales</w:t>
      </w:r>
      <w:r w:rsidRPr="00274896">
        <w:rPr>
          <w:rFonts w:ascii="Palatino Linotype" w:eastAsia="Calibri" w:hAnsi="Palatino Linotype"/>
          <w:color w:val="000000"/>
          <w:sz w:val="22"/>
          <w:szCs w:val="22"/>
          <w:lang w:eastAsia="en-US"/>
        </w:rPr>
        <w:t>,</w:t>
      </w:r>
      <w:r w:rsidRPr="00274896">
        <w:rPr>
          <w:rFonts w:ascii="Palatino Linotype" w:eastAsia="Calibri" w:hAnsi="Palatino Linotype"/>
          <w:b/>
          <w:color w:val="000000"/>
          <w:sz w:val="22"/>
          <w:szCs w:val="22"/>
          <w:lang w:eastAsia="en-US"/>
        </w:rPr>
        <w:t xml:space="preserve"> que agrupa las remuneraciones del personal al </w:t>
      </w:r>
      <w:r w:rsidRPr="00274896">
        <w:rPr>
          <w:rFonts w:ascii="Palatino Linotype" w:eastAsia="Calibri" w:hAnsi="Palatino Linotype"/>
          <w:b/>
          <w:color w:val="000000"/>
          <w:sz w:val="22"/>
          <w:szCs w:val="22"/>
          <w:lang w:eastAsia="en-US"/>
        </w:rPr>
        <w:lastRenderedPageBreak/>
        <w:t>servicio de los entes públicos, tales como el sueldo, salarios, dietas, honorarios, prestaciones, aguinaldo, obligaciones laborales, entre otras.</w:t>
      </w:r>
    </w:p>
    <w:p w14:paraId="7A7E1202" w14:textId="77777777" w:rsidR="00274896" w:rsidRPr="00274896" w:rsidRDefault="00274896" w:rsidP="00274896">
      <w:pPr>
        <w:spacing w:line="360" w:lineRule="auto"/>
        <w:jc w:val="both"/>
        <w:rPr>
          <w:rFonts w:ascii="Palatino Linotype" w:eastAsia="Calibri" w:hAnsi="Palatino Linotype"/>
          <w:b/>
          <w:color w:val="000000"/>
          <w:sz w:val="22"/>
          <w:szCs w:val="22"/>
          <w:lang w:eastAsia="en-US"/>
        </w:rPr>
      </w:pPr>
    </w:p>
    <w:p w14:paraId="5185DD99" w14:textId="77777777" w:rsidR="00274896" w:rsidRPr="00274896" w:rsidRDefault="00274896" w:rsidP="00274896">
      <w:pPr>
        <w:spacing w:line="360" w:lineRule="auto"/>
        <w:jc w:val="both"/>
        <w:rPr>
          <w:rFonts w:ascii="Palatino Linotype" w:eastAsia="Calibri" w:hAnsi="Palatino Linotype"/>
          <w:color w:val="000000"/>
          <w:sz w:val="22"/>
          <w:szCs w:val="22"/>
          <w:lang w:eastAsia="en-US"/>
        </w:rPr>
      </w:pPr>
      <w:r w:rsidRPr="00274896">
        <w:rPr>
          <w:rFonts w:ascii="Palatino Linotype" w:eastAsia="Calibri" w:hAnsi="Palatino Linotype"/>
          <w:color w:val="000000"/>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17930EA0" w14:textId="77777777" w:rsidR="00274896" w:rsidRPr="00274896" w:rsidRDefault="00274896" w:rsidP="00274896">
      <w:pPr>
        <w:spacing w:line="360" w:lineRule="auto"/>
        <w:jc w:val="both"/>
        <w:rPr>
          <w:rFonts w:ascii="Palatino Linotype" w:eastAsia="Calibri" w:hAnsi="Palatino Linotype"/>
          <w:color w:val="000000"/>
          <w:sz w:val="22"/>
          <w:szCs w:val="22"/>
          <w:lang w:eastAsia="en-US"/>
        </w:rPr>
      </w:pPr>
    </w:p>
    <w:p w14:paraId="7FA4D402" w14:textId="77777777" w:rsidR="00274896" w:rsidRPr="00274896" w:rsidRDefault="00274896" w:rsidP="00274896">
      <w:pPr>
        <w:spacing w:line="360" w:lineRule="auto"/>
        <w:ind w:left="567" w:right="567"/>
        <w:jc w:val="both"/>
        <w:rPr>
          <w:rFonts w:ascii="Palatino Linotype" w:eastAsia="Calibri" w:hAnsi="Palatino Linotype"/>
          <w:i/>
          <w:color w:val="000000"/>
          <w:lang w:eastAsia="en-US"/>
        </w:rPr>
      </w:pPr>
      <w:r w:rsidRPr="00274896">
        <w:rPr>
          <w:rFonts w:ascii="Palatino Linotype" w:eastAsia="Calibri" w:hAnsi="Palatino Linotype"/>
          <w:b/>
          <w:i/>
          <w:color w:val="000000"/>
          <w:lang w:eastAsia="en-US"/>
        </w:rPr>
        <w:t>“RECIBOS DE PAGO</w:t>
      </w:r>
      <w:r w:rsidRPr="00274896">
        <w:rPr>
          <w:rFonts w:ascii="Palatino Linotype" w:eastAsia="Calibri" w:hAnsi="Palatino Linotype"/>
          <w:i/>
          <w:color w:val="000000"/>
          <w:lang w:eastAsia="en-US"/>
        </w:rPr>
        <w:t xml:space="preserve"> </w:t>
      </w:r>
      <w:r w:rsidRPr="00274896">
        <w:rPr>
          <w:rFonts w:ascii="Palatino Linotype" w:eastAsia="Calibri" w:hAnsi="Palatino Linotype"/>
          <w:b/>
          <w:i/>
          <w:color w:val="000000"/>
          <w:lang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274896">
        <w:rPr>
          <w:rFonts w:ascii="Palatino Linotype" w:eastAsia="Calibri" w:hAnsi="Palatino Linotype"/>
          <w:i/>
          <w:color w:val="000000"/>
          <w:lang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7166404B" w14:textId="77777777" w:rsidR="00274896" w:rsidRPr="00274896" w:rsidRDefault="00274896" w:rsidP="00274896">
      <w:pPr>
        <w:spacing w:line="360" w:lineRule="auto"/>
        <w:jc w:val="both"/>
        <w:rPr>
          <w:rFonts w:ascii="Palatino Linotype" w:eastAsia="Calibri" w:hAnsi="Palatino Linotype"/>
          <w:b/>
          <w:i/>
          <w:color w:val="000000"/>
          <w:sz w:val="22"/>
          <w:szCs w:val="22"/>
          <w:lang w:eastAsia="en-US"/>
        </w:rPr>
      </w:pPr>
    </w:p>
    <w:p w14:paraId="7ABD68EA" w14:textId="77777777" w:rsidR="00274896" w:rsidRPr="00274896" w:rsidRDefault="00274896" w:rsidP="00274896">
      <w:pPr>
        <w:spacing w:line="360" w:lineRule="auto"/>
        <w:jc w:val="both"/>
        <w:rPr>
          <w:rFonts w:ascii="Palatino Linotype" w:eastAsia="Calibri" w:hAnsi="Palatino Linotype"/>
          <w:color w:val="000000"/>
          <w:sz w:val="22"/>
          <w:szCs w:val="22"/>
          <w:lang w:eastAsia="en-US"/>
        </w:rPr>
      </w:pPr>
      <w:r w:rsidRPr="00274896">
        <w:rPr>
          <w:rFonts w:ascii="Palatino Linotype" w:eastAsia="Calibri" w:hAnsi="Palatino Linotype"/>
          <w:color w:val="000000"/>
          <w:sz w:val="22"/>
          <w:szCs w:val="22"/>
          <w:lang w:eastAsia="en-US"/>
        </w:rPr>
        <w:t xml:space="preserve">De la tesis transcrita, se desprende que en materia burocrática los recibos de pago acreditan los conceptos y montos que en ellos se insertan y constituyen prueba para demostrar las percepciones y montos que reciben los servidores públicos. </w:t>
      </w:r>
    </w:p>
    <w:p w14:paraId="4F6ED9F5" w14:textId="77777777" w:rsidR="00274896" w:rsidRPr="00274896" w:rsidRDefault="00274896" w:rsidP="00274896">
      <w:pPr>
        <w:spacing w:line="360" w:lineRule="auto"/>
        <w:jc w:val="both"/>
        <w:rPr>
          <w:rFonts w:ascii="Palatino Linotype" w:eastAsia="Calibri" w:hAnsi="Palatino Linotype"/>
          <w:color w:val="000000"/>
          <w:sz w:val="22"/>
          <w:szCs w:val="22"/>
          <w:lang w:eastAsia="en-US"/>
        </w:rPr>
      </w:pPr>
    </w:p>
    <w:p w14:paraId="6AAC7D12" w14:textId="5DE9B876" w:rsidR="00274896" w:rsidRPr="00274896" w:rsidRDefault="00274896" w:rsidP="00274896">
      <w:pPr>
        <w:spacing w:line="360" w:lineRule="auto"/>
        <w:jc w:val="both"/>
        <w:rPr>
          <w:rFonts w:ascii="Palatino Linotype" w:eastAsia="Palatino Linotype" w:hAnsi="Palatino Linotype" w:cs="Palatino Linotype"/>
          <w:sz w:val="22"/>
          <w:szCs w:val="22"/>
          <w:lang w:eastAsia="en-US"/>
        </w:rPr>
      </w:pPr>
      <w:r w:rsidRPr="00274896">
        <w:rPr>
          <w:rFonts w:ascii="Palatino Linotype" w:eastAsia="Palatino Linotype" w:hAnsi="Palatino Linotype" w:cs="Palatino Linotype"/>
          <w:sz w:val="22"/>
          <w:szCs w:val="22"/>
          <w:lang w:eastAsia="en-US"/>
        </w:rPr>
        <w:lastRenderedPageBreak/>
        <w:t xml:space="preserve">En ese contexto, los Lineamientos para la integración y presentación de los Informes Trimestrales Estatales y Municipales del Ejercicio Fiscal 2025, emitidos por el Órgano Superior de Fiscalización del Estado de México, el cual precisa que los Ayuntamientos deben de proporcionar, para su fiscalización, diversos documentos, entre los cuales se encuentran aquellos del </w:t>
      </w:r>
      <w:r w:rsidRPr="00274896">
        <w:rPr>
          <w:rFonts w:ascii="Palatino Linotype" w:eastAsia="Palatino Linotype" w:hAnsi="Palatino Linotype" w:cs="Palatino Linotype"/>
          <w:b/>
          <w:sz w:val="22"/>
          <w:szCs w:val="22"/>
          <w:lang w:eastAsia="en-US"/>
        </w:rPr>
        <w:t>Módulo 1</w:t>
      </w:r>
      <w:r w:rsidRPr="00274896">
        <w:rPr>
          <w:rFonts w:ascii="Palatino Linotype" w:eastAsia="Palatino Linotype" w:hAnsi="Palatino Linotype" w:cs="Palatino Linotype"/>
          <w:sz w:val="22"/>
          <w:szCs w:val="22"/>
          <w:lang w:eastAsia="en-US"/>
        </w:rPr>
        <w:t>, que contienen los Comprobantes Fiscales Digitales por Internet por concepto de nómina (recibos de nómina)</w:t>
      </w:r>
      <w:r w:rsidRPr="00274896">
        <w:rPr>
          <w:rFonts w:ascii="Palatino Linotype" w:eastAsia="Palatino Linotype" w:hAnsi="Palatino Linotype" w:cs="Palatino Linotype"/>
          <w:b/>
          <w:sz w:val="22"/>
          <w:szCs w:val="22"/>
          <w:lang w:eastAsia="en-US"/>
        </w:rPr>
        <w:t>.</w:t>
      </w:r>
      <w:r w:rsidRPr="00274896">
        <w:rPr>
          <w:rFonts w:ascii="Palatino Linotype" w:eastAsia="Palatino Linotype" w:hAnsi="Palatino Linotype" w:cs="Palatino Linotype"/>
          <w:sz w:val="22"/>
          <w:szCs w:val="22"/>
          <w:lang w:eastAsia="en-US"/>
        </w:rPr>
        <w:t xml:space="preserve"> </w:t>
      </w:r>
    </w:p>
    <w:p w14:paraId="0AE90C45" w14:textId="77777777" w:rsidR="00B635E1" w:rsidRDefault="00B635E1" w:rsidP="005D202C">
      <w:pPr>
        <w:spacing w:line="360" w:lineRule="auto"/>
        <w:jc w:val="both"/>
        <w:rPr>
          <w:rFonts w:ascii="Palatino Linotype" w:eastAsia="Palatino Linotype" w:hAnsi="Palatino Linotype" w:cs="Palatino Linotype"/>
          <w:sz w:val="22"/>
          <w:szCs w:val="22"/>
        </w:rPr>
      </w:pPr>
    </w:p>
    <w:p w14:paraId="00482C97" w14:textId="4A8BA639" w:rsidR="00274896" w:rsidRDefault="00274896" w:rsidP="005D202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respecto al servidor público solicitado, es necesario señalar que este Instituto revisó el Portal de Información Pública de Oficio Mexiquense del Sujeto Obligado y localizó que </w:t>
      </w:r>
      <w:r w:rsidR="004159E5">
        <w:rPr>
          <w:rFonts w:ascii="Palatino Linotype" w:eastAsia="Palatino Linotype" w:hAnsi="Palatino Linotype" w:cs="Palatino Linotype"/>
          <w:sz w:val="22"/>
          <w:szCs w:val="22"/>
        </w:rPr>
        <w:t>Juan Elmer Hernández Rojas, es Especialista “A”, adscrito a la Secretaría del Ayuntamiento, tal como se muestra a continuación:</w:t>
      </w:r>
    </w:p>
    <w:p w14:paraId="19AA99C4" w14:textId="77777777" w:rsidR="004159E5" w:rsidRDefault="004159E5" w:rsidP="005D202C">
      <w:pPr>
        <w:spacing w:line="360" w:lineRule="auto"/>
        <w:jc w:val="both"/>
        <w:rPr>
          <w:rFonts w:ascii="Palatino Linotype" w:eastAsia="Palatino Linotype" w:hAnsi="Palatino Linotype" w:cs="Palatino Linotype"/>
          <w:sz w:val="22"/>
          <w:szCs w:val="22"/>
        </w:rPr>
      </w:pPr>
    </w:p>
    <w:p w14:paraId="07716261" w14:textId="1F9043B4" w:rsidR="00274896" w:rsidRDefault="004159E5" w:rsidP="005D202C">
      <w:pPr>
        <w:spacing w:line="360" w:lineRule="auto"/>
        <w:jc w:val="both"/>
        <w:rPr>
          <w:rFonts w:ascii="Palatino Linotype" w:eastAsia="Palatino Linotype" w:hAnsi="Palatino Linotype" w:cs="Palatino Linotype"/>
          <w:sz w:val="22"/>
          <w:szCs w:val="22"/>
        </w:rPr>
      </w:pPr>
      <w:r w:rsidRPr="004159E5">
        <w:rPr>
          <w:rFonts w:ascii="Palatino Linotype" w:eastAsia="Palatino Linotype" w:hAnsi="Palatino Linotype" w:cs="Palatino Linotype"/>
          <w:noProof/>
          <w:sz w:val="22"/>
          <w:szCs w:val="22"/>
          <w:lang w:eastAsia="es-MX"/>
        </w:rPr>
        <w:drawing>
          <wp:inline distT="0" distB="0" distL="0" distR="0" wp14:anchorId="7C820DFA" wp14:editId="3DDFC5A5">
            <wp:extent cx="5742940" cy="3002280"/>
            <wp:effectExtent l="0" t="0" r="0" b="7620"/>
            <wp:docPr id="321342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42322" name=""/>
                    <pic:cNvPicPr/>
                  </pic:nvPicPr>
                  <pic:blipFill>
                    <a:blip r:embed="rId9"/>
                    <a:stretch>
                      <a:fillRect/>
                    </a:stretch>
                  </pic:blipFill>
                  <pic:spPr>
                    <a:xfrm>
                      <a:off x="0" y="0"/>
                      <a:ext cx="5742940" cy="3002280"/>
                    </a:xfrm>
                    <a:prstGeom prst="rect">
                      <a:avLst/>
                    </a:prstGeom>
                  </pic:spPr>
                </pic:pic>
              </a:graphicData>
            </a:graphic>
          </wp:inline>
        </w:drawing>
      </w:r>
    </w:p>
    <w:p w14:paraId="2B073423" w14:textId="77777777" w:rsidR="00274896" w:rsidRDefault="00274896" w:rsidP="005D202C">
      <w:pPr>
        <w:spacing w:line="360" w:lineRule="auto"/>
        <w:jc w:val="both"/>
        <w:rPr>
          <w:rFonts w:ascii="Palatino Linotype" w:eastAsia="Palatino Linotype" w:hAnsi="Palatino Linotype" w:cs="Palatino Linotype"/>
          <w:sz w:val="22"/>
          <w:szCs w:val="22"/>
        </w:rPr>
      </w:pPr>
    </w:p>
    <w:p w14:paraId="10205D1F" w14:textId="13E5F46F" w:rsidR="00D515D0" w:rsidRDefault="00D515D0" w:rsidP="005D202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el Particular refirió que requería un solo recibo de nómina, al indicar </w:t>
      </w:r>
      <w:r w:rsidR="00CC312D">
        <w:rPr>
          <w:rFonts w:ascii="Palatino Linotype" w:eastAsia="Palatino Linotype" w:hAnsi="Palatino Linotype" w:cs="Palatino Linotype"/>
          <w:sz w:val="22"/>
          <w:szCs w:val="22"/>
        </w:rPr>
        <w:t>dicho documental</w:t>
      </w:r>
      <w:r>
        <w:rPr>
          <w:rFonts w:ascii="Palatino Linotype" w:eastAsia="Palatino Linotype" w:hAnsi="Palatino Linotype" w:cs="Palatino Linotype"/>
          <w:sz w:val="22"/>
          <w:szCs w:val="22"/>
        </w:rPr>
        <w:t xml:space="preserve"> de manera singular, lo cual se traduce al último pagado a la fecha de la solicitud; </w:t>
      </w:r>
      <w:r>
        <w:rPr>
          <w:rFonts w:ascii="Palatino Linotype" w:eastAsia="Palatino Linotype" w:hAnsi="Palatino Linotype" w:cs="Palatino Linotype"/>
          <w:sz w:val="22"/>
          <w:szCs w:val="22"/>
        </w:rPr>
        <w:lastRenderedPageBreak/>
        <w:t>sobre el tema, el Manual de Procedimientos de la Dirección General de Administración, precisa que el pago por concepto de nómina se realizará de manera quincenal.</w:t>
      </w:r>
    </w:p>
    <w:p w14:paraId="77DC9BB2" w14:textId="77777777" w:rsidR="00D515D0" w:rsidRDefault="00D515D0" w:rsidP="005D202C">
      <w:pPr>
        <w:spacing w:line="360" w:lineRule="auto"/>
        <w:jc w:val="both"/>
        <w:rPr>
          <w:rFonts w:ascii="Palatino Linotype" w:eastAsia="Palatino Linotype" w:hAnsi="Palatino Linotype" w:cs="Palatino Linotype"/>
          <w:sz w:val="22"/>
          <w:szCs w:val="22"/>
        </w:rPr>
      </w:pPr>
    </w:p>
    <w:p w14:paraId="405357F0" w14:textId="7CA8C733" w:rsidR="00324975" w:rsidRDefault="009C4764" w:rsidP="005D202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w:t>
      </w:r>
      <w:r w:rsidR="0031661F" w:rsidRPr="0031661F">
        <w:rPr>
          <w:rFonts w:ascii="Palatino Linotype" w:eastAsia="Palatino Linotype" w:hAnsi="Palatino Linotype" w:cs="Palatino Linotype"/>
          <w:sz w:val="22"/>
          <w:szCs w:val="22"/>
        </w:rPr>
        <w:t xml:space="preserve">onforme a lo anterior, se logra vislumbrar que la pretensión del ahora Recurrente es obtener el </w:t>
      </w:r>
      <w:r w:rsidR="00D515D0">
        <w:rPr>
          <w:rFonts w:ascii="Palatino Linotype" w:eastAsia="Palatino Linotype" w:hAnsi="Palatino Linotype" w:cs="Palatino Linotype"/>
          <w:sz w:val="22"/>
          <w:szCs w:val="22"/>
        </w:rPr>
        <w:t>Recibo o Comprobante Fiscal Digital por Internet por concepto de nómina de la segunda quincena de septiembre de dos mil veinticinco (última pagada al trece de octubre de dos mil veinticinco), de Juan Elmer Hernández Rojas, Especialista “A”, adscrito a la Secretaría del Ayuntamiento.</w:t>
      </w:r>
    </w:p>
    <w:p w14:paraId="0786C39B" w14:textId="77777777" w:rsidR="00D515D0" w:rsidRDefault="00D515D0" w:rsidP="005D202C">
      <w:pPr>
        <w:spacing w:line="360" w:lineRule="auto"/>
        <w:jc w:val="both"/>
        <w:rPr>
          <w:rFonts w:ascii="Palatino Linotype" w:eastAsia="Palatino Linotype" w:hAnsi="Palatino Linotype" w:cs="Palatino Linotype"/>
          <w:sz w:val="22"/>
          <w:szCs w:val="22"/>
        </w:rPr>
      </w:pPr>
    </w:p>
    <w:p w14:paraId="586156AC" w14:textId="35ED2A5B" w:rsidR="00324975" w:rsidRPr="00324975" w:rsidRDefault="00324975" w:rsidP="005D202C">
      <w:pPr>
        <w:spacing w:line="360" w:lineRule="auto"/>
        <w:jc w:val="both"/>
        <w:rPr>
          <w:rFonts w:ascii="Palatino Linotype" w:eastAsia="Palatino Linotype" w:hAnsi="Palatino Linotype" w:cs="Palatino Linotype"/>
          <w:b/>
          <w:sz w:val="22"/>
          <w:szCs w:val="22"/>
        </w:rPr>
      </w:pPr>
      <w:r w:rsidRPr="00324975">
        <w:rPr>
          <w:rFonts w:ascii="Palatino Linotype" w:eastAsia="Palatino Linotype" w:hAnsi="Palatino Linotype" w:cs="Palatino Linotype"/>
          <w:sz w:val="22"/>
          <w:szCs w:val="22"/>
        </w:rPr>
        <w:t xml:space="preserve">Ante dicha circunstancia, es necesario precisar que de </w:t>
      </w:r>
      <w:r>
        <w:rPr>
          <w:rFonts w:ascii="Palatino Linotype" w:eastAsia="Palatino Linotype" w:hAnsi="Palatino Linotype" w:cs="Palatino Linotype"/>
          <w:sz w:val="22"/>
          <w:szCs w:val="22"/>
        </w:rPr>
        <w:t xml:space="preserve">las constancias que obran en el </w:t>
      </w:r>
      <w:r w:rsidRPr="00324975">
        <w:rPr>
          <w:rFonts w:ascii="Palatino Linotype" w:eastAsia="Palatino Linotype" w:hAnsi="Palatino Linotype" w:cs="Palatino Linotype"/>
          <w:sz w:val="22"/>
          <w:szCs w:val="22"/>
        </w:rPr>
        <w:t>expediente electrónico, se logra advertir que el Sujeto</w:t>
      </w:r>
      <w:r>
        <w:rPr>
          <w:rFonts w:ascii="Palatino Linotype" w:eastAsia="Palatino Linotype" w:hAnsi="Palatino Linotype" w:cs="Palatino Linotype"/>
          <w:sz w:val="22"/>
          <w:szCs w:val="22"/>
        </w:rPr>
        <w:t xml:space="preserve"> Obligado turnó la solicitud de </w:t>
      </w:r>
      <w:r w:rsidRPr="00324975">
        <w:rPr>
          <w:rFonts w:ascii="Palatino Linotype" w:eastAsia="Palatino Linotype" w:hAnsi="Palatino Linotype" w:cs="Palatino Linotype"/>
          <w:sz w:val="22"/>
          <w:szCs w:val="22"/>
        </w:rPr>
        <w:t xml:space="preserve">información a la </w:t>
      </w:r>
      <w:r w:rsidRPr="008529C8">
        <w:rPr>
          <w:rFonts w:ascii="Palatino Linotype" w:eastAsia="Palatino Linotype" w:hAnsi="Palatino Linotype" w:cs="Palatino Linotype"/>
          <w:bCs/>
          <w:sz w:val="22"/>
          <w:szCs w:val="22"/>
        </w:rPr>
        <w:t xml:space="preserve">Dirección General de Administración, por lo que, resulta necesario hacer referencia al procedimiento de búsqueda que deben seguir los Sujetos Obligados para localizar la información, el </w:t>
      </w:r>
      <w:r w:rsidRPr="00324975">
        <w:rPr>
          <w:rFonts w:ascii="Palatino Linotype" w:eastAsia="Palatino Linotype" w:hAnsi="Palatino Linotype" w:cs="Palatino Linotype"/>
          <w:sz w:val="22"/>
          <w:szCs w:val="22"/>
        </w:rPr>
        <w:t xml:space="preserve">cual se encuentra previsto </w:t>
      </w:r>
      <w:r>
        <w:rPr>
          <w:rFonts w:ascii="Palatino Linotype" w:eastAsia="Palatino Linotype" w:hAnsi="Palatino Linotype" w:cs="Palatino Linotype"/>
          <w:sz w:val="22"/>
          <w:szCs w:val="22"/>
        </w:rPr>
        <w:t xml:space="preserve">en el artículo 162 de la Ley de </w:t>
      </w:r>
      <w:r w:rsidRPr="00324975">
        <w:rPr>
          <w:rFonts w:ascii="Palatino Linotype" w:eastAsia="Palatino Linotype" w:hAnsi="Palatino Linotype" w:cs="Palatino Linotype"/>
          <w:sz w:val="22"/>
          <w:szCs w:val="22"/>
        </w:rPr>
        <w:t>Transparencia y Acceso a la Información Pública del Es</w:t>
      </w:r>
      <w:r>
        <w:rPr>
          <w:rFonts w:ascii="Palatino Linotype" w:eastAsia="Palatino Linotype" w:hAnsi="Palatino Linotype" w:cs="Palatino Linotype"/>
          <w:sz w:val="22"/>
          <w:szCs w:val="22"/>
        </w:rPr>
        <w:t xml:space="preserve">tado de México y Municipios, el </w:t>
      </w:r>
      <w:r w:rsidRPr="00324975">
        <w:rPr>
          <w:rFonts w:ascii="Palatino Linotype" w:eastAsia="Palatino Linotype" w:hAnsi="Palatino Linotype" w:cs="Palatino Linotype"/>
          <w:sz w:val="22"/>
          <w:szCs w:val="22"/>
        </w:rPr>
        <w:t>cual establece que las Unidades de Transparencia garantizarán que las solicitudes de</w:t>
      </w:r>
      <w:r>
        <w:rPr>
          <w:rFonts w:ascii="Palatino Linotype" w:eastAsia="Palatino Linotype" w:hAnsi="Palatino Linotype" w:cs="Palatino Linotype"/>
          <w:sz w:val="22"/>
          <w:szCs w:val="22"/>
        </w:rPr>
        <w:t xml:space="preserve"> </w:t>
      </w:r>
      <w:r w:rsidRPr="00324975">
        <w:rPr>
          <w:rFonts w:ascii="Palatino Linotype" w:eastAsia="Palatino Linotype" w:hAnsi="Palatino Linotype" w:cs="Palatino Linotype"/>
          <w:sz w:val="22"/>
          <w:szCs w:val="22"/>
        </w:rPr>
        <w:t>acceso a la información se turnen a todas las áreas competentes que cuenten con la</w:t>
      </w:r>
      <w:r w:rsidRPr="00324975">
        <w:t xml:space="preserve"> </w:t>
      </w:r>
      <w:r w:rsidRPr="00324975">
        <w:rPr>
          <w:rFonts w:ascii="Palatino Linotype" w:eastAsia="Palatino Linotype" w:hAnsi="Palatino Linotype" w:cs="Palatino Linotype"/>
          <w:sz w:val="22"/>
          <w:szCs w:val="22"/>
        </w:rPr>
        <w:t>información o deban tenerla de acuerdo con las facultades,</w:t>
      </w:r>
      <w:r>
        <w:rPr>
          <w:rFonts w:ascii="Palatino Linotype" w:eastAsia="Palatino Linotype" w:hAnsi="Palatino Linotype" w:cs="Palatino Linotype"/>
          <w:sz w:val="22"/>
          <w:szCs w:val="22"/>
        </w:rPr>
        <w:t xml:space="preserve"> competencias y funciones-, con </w:t>
      </w:r>
      <w:r w:rsidRPr="00324975">
        <w:rPr>
          <w:rFonts w:ascii="Palatino Linotype" w:eastAsia="Palatino Linotype" w:hAnsi="Palatino Linotype" w:cs="Palatino Linotype"/>
          <w:sz w:val="22"/>
          <w:szCs w:val="22"/>
        </w:rPr>
        <w:t>el objeto de que dichas áreas realicen una búsque</w:t>
      </w:r>
      <w:r>
        <w:rPr>
          <w:rFonts w:ascii="Palatino Linotype" w:eastAsia="Palatino Linotype" w:hAnsi="Palatino Linotype" w:cs="Palatino Linotype"/>
          <w:sz w:val="22"/>
          <w:szCs w:val="22"/>
        </w:rPr>
        <w:t xml:space="preserve">da exhaustiva y razonable de la </w:t>
      </w:r>
      <w:r w:rsidRPr="00324975">
        <w:rPr>
          <w:rFonts w:ascii="Palatino Linotype" w:eastAsia="Palatino Linotype" w:hAnsi="Palatino Linotype" w:cs="Palatino Linotype"/>
          <w:sz w:val="22"/>
          <w:szCs w:val="22"/>
        </w:rPr>
        <w:t>información requerida.</w:t>
      </w:r>
    </w:p>
    <w:p w14:paraId="41EF4916" w14:textId="77777777" w:rsidR="00324975" w:rsidRDefault="00324975" w:rsidP="005D202C">
      <w:pPr>
        <w:spacing w:line="360" w:lineRule="auto"/>
        <w:jc w:val="both"/>
        <w:rPr>
          <w:rFonts w:ascii="Palatino Linotype" w:eastAsia="Palatino Linotype" w:hAnsi="Palatino Linotype" w:cs="Palatino Linotype"/>
          <w:sz w:val="22"/>
          <w:szCs w:val="22"/>
        </w:rPr>
      </w:pPr>
    </w:p>
    <w:p w14:paraId="6EBBE3B9" w14:textId="32F227E7" w:rsidR="006F6050" w:rsidRDefault="008529C8" w:rsidP="005D202C">
      <w:pPr>
        <w:widowControl w:val="0"/>
        <w:spacing w:line="360" w:lineRule="auto"/>
        <w:jc w:val="both"/>
        <w:rPr>
          <w:rFonts w:ascii="Palatino Linotype" w:eastAsia="Palatino Linotype" w:hAnsi="Palatino Linotype" w:cs="Palatino Linotype"/>
          <w:sz w:val="22"/>
          <w:szCs w:val="22"/>
        </w:rPr>
      </w:pPr>
      <w:r w:rsidRPr="008529C8">
        <w:rPr>
          <w:rFonts w:ascii="Palatino Linotype" w:eastAsia="Palatino Linotype" w:hAnsi="Palatino Linotype" w:cs="Palatino Linotype"/>
          <w:sz w:val="22"/>
          <w:szCs w:val="22"/>
        </w:rPr>
        <w:t xml:space="preserve">En ese sentido, los artículos 90 y 92, del Bando Municipal de Toluca, dos mil veinticinco, así como, los diversos 3.43, 3.44 y 3.45, del Código Reglamentario Municipal de Toluca, con relación con el Manual de Organización de la Dirección General de Administración, que establecen que el Sujeto Obligado cuenta con la Dirección General de Administración, que por medio de su Dirección de Recursos Humanos se encarga de la elaboración y distribución oportuna de la nómina para el pago al personal que labora en el Ayuntamiento, </w:t>
      </w:r>
      <w:r>
        <w:rPr>
          <w:rFonts w:ascii="Palatino Linotype" w:eastAsia="Palatino Linotype" w:hAnsi="Palatino Linotype" w:cs="Palatino Linotype"/>
          <w:sz w:val="22"/>
          <w:szCs w:val="22"/>
        </w:rPr>
        <w:t>así como, de la administración del personal</w:t>
      </w:r>
    </w:p>
    <w:p w14:paraId="761F2E4C" w14:textId="77777777" w:rsidR="00D515D0" w:rsidRDefault="00D515D0" w:rsidP="005D202C">
      <w:pPr>
        <w:widowControl w:val="0"/>
        <w:spacing w:line="360" w:lineRule="auto"/>
        <w:jc w:val="both"/>
        <w:rPr>
          <w:rFonts w:ascii="Palatino Linotype" w:eastAsia="Palatino Linotype" w:hAnsi="Palatino Linotype" w:cs="Palatino Linotype"/>
          <w:sz w:val="22"/>
          <w:szCs w:val="22"/>
        </w:rPr>
      </w:pPr>
    </w:p>
    <w:p w14:paraId="7FAA2027" w14:textId="7783565A" w:rsidR="00FE5BC5" w:rsidRDefault="006D3555" w:rsidP="005D202C">
      <w:pPr>
        <w:spacing w:line="360" w:lineRule="auto"/>
        <w:jc w:val="both"/>
        <w:rPr>
          <w:rFonts w:ascii="Palatino Linotype" w:eastAsia="Palatino Linotype" w:hAnsi="Palatino Linotype" w:cs="Palatino Linotype"/>
          <w:sz w:val="22"/>
          <w:szCs w:val="22"/>
        </w:rPr>
      </w:pPr>
      <w:r w:rsidRPr="00F9617B">
        <w:rPr>
          <w:rFonts w:ascii="Palatino Linotype" w:eastAsia="Palatino Linotype" w:hAnsi="Palatino Linotype" w:cs="Palatino Linotype"/>
          <w:sz w:val="22"/>
          <w:szCs w:val="22"/>
        </w:rPr>
        <w:t xml:space="preserve">Así y de lo plasmado en párrafos anteriores, se logra colegir que el Sujeto Obligado cumplió con el procedimiento de búsqueda establecido en la Ley de Transparencia y Acceso a la Información Pública del Estado de México y Municipios, toda vez, que </w:t>
      </w:r>
      <w:r w:rsidR="000B6207" w:rsidRPr="00F9617B">
        <w:rPr>
          <w:rFonts w:ascii="Palatino Linotype" w:eastAsia="Palatino Linotype" w:hAnsi="Palatino Linotype" w:cs="Palatino Linotype"/>
          <w:sz w:val="22"/>
          <w:szCs w:val="22"/>
        </w:rPr>
        <w:t>turnó la solicitud de información al área encargada de generar la plantilla de personal.</w:t>
      </w:r>
    </w:p>
    <w:p w14:paraId="08030592" w14:textId="77777777" w:rsidR="00F9617B" w:rsidRDefault="00F9617B" w:rsidP="005D202C">
      <w:pPr>
        <w:widowControl w:val="0"/>
        <w:spacing w:line="360" w:lineRule="auto"/>
        <w:jc w:val="both"/>
        <w:rPr>
          <w:rFonts w:ascii="Palatino Linotype" w:eastAsia="Palatino Linotype" w:hAnsi="Palatino Linotype" w:cs="Palatino Linotype"/>
          <w:sz w:val="22"/>
          <w:szCs w:val="22"/>
        </w:rPr>
      </w:pPr>
    </w:p>
    <w:p w14:paraId="65254BA4" w14:textId="6427F2B0" w:rsidR="009C4764" w:rsidRPr="009C4764" w:rsidRDefault="00F9617B" w:rsidP="005D202C">
      <w:pPr>
        <w:spacing w:line="360" w:lineRule="auto"/>
        <w:jc w:val="both"/>
        <w:rPr>
          <w:rFonts w:ascii="Palatino Linotype" w:eastAsia="Calibri" w:hAnsi="Palatino Linotype"/>
          <w:color w:val="000000"/>
          <w:sz w:val="22"/>
          <w:szCs w:val="22"/>
          <w:lang w:eastAsia="es-MX"/>
        </w:rPr>
      </w:pPr>
      <w:r w:rsidRPr="00F9617B">
        <w:rPr>
          <w:rFonts w:ascii="Palatino Linotype" w:eastAsia="Palatino Linotype" w:hAnsi="Palatino Linotype" w:cs="Palatino Linotype"/>
          <w:sz w:val="22"/>
          <w:szCs w:val="22"/>
        </w:rPr>
        <w:t xml:space="preserve">Ahora bien, </w:t>
      </w:r>
      <w:r w:rsidRPr="00341842">
        <w:rPr>
          <w:rFonts w:ascii="Palatino Linotype" w:eastAsia="Palatino Linotype" w:hAnsi="Palatino Linotype" w:cs="Palatino Linotype"/>
          <w:sz w:val="22"/>
          <w:szCs w:val="22"/>
        </w:rPr>
        <w:t>dicha área</w:t>
      </w:r>
      <w:r w:rsidR="00CC312D" w:rsidRPr="00341842">
        <w:rPr>
          <w:rFonts w:ascii="Palatino Linotype" w:eastAsia="Palatino Linotype" w:hAnsi="Palatino Linotype" w:cs="Palatino Linotype"/>
          <w:sz w:val="22"/>
          <w:szCs w:val="22"/>
        </w:rPr>
        <w:t xml:space="preserve">  </w:t>
      </w:r>
      <w:r w:rsidRPr="00341842">
        <w:rPr>
          <w:rFonts w:ascii="Palatino Linotype" w:eastAsia="Palatino Linotype" w:hAnsi="Palatino Linotype" w:cs="Palatino Linotype"/>
          <w:sz w:val="22"/>
          <w:szCs w:val="22"/>
        </w:rPr>
        <w:t>en respuesta, proporcionó una liga</w:t>
      </w:r>
      <w:r>
        <w:rPr>
          <w:rFonts w:ascii="Palatino Linotype" w:eastAsia="Palatino Linotype" w:hAnsi="Palatino Linotype" w:cs="Palatino Linotype"/>
          <w:sz w:val="22"/>
          <w:szCs w:val="22"/>
        </w:rPr>
        <w:t xml:space="preserve"> electrónica</w:t>
      </w:r>
      <w:r w:rsidR="008529C8">
        <w:rPr>
          <w:rFonts w:ascii="Palatino Linotype" w:eastAsia="Palatino Linotype" w:hAnsi="Palatino Linotype" w:cs="Palatino Linotype"/>
          <w:sz w:val="22"/>
          <w:szCs w:val="22"/>
        </w:rPr>
        <w:t xml:space="preserve">, </w:t>
      </w:r>
      <w:r w:rsidR="009C4764" w:rsidRPr="009C4764">
        <w:rPr>
          <w:rFonts w:ascii="Palatino Linotype" w:eastAsia="Calibri" w:hAnsi="Palatino Linotype"/>
          <w:color w:val="000000"/>
          <w:sz w:val="22"/>
          <w:szCs w:val="22"/>
          <w:lang w:eastAsia="es-MX"/>
        </w:rPr>
        <w:t>de cuya revisión se logra vislumbrar que se encuentra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2D3BE06"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702DD826"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r w:rsidRPr="009C4764">
        <w:rPr>
          <w:rFonts w:ascii="Palatino Linotype" w:eastAsia="Calibri" w:hAnsi="Palatino Linotype"/>
          <w:color w:val="000000"/>
          <w:sz w:val="22"/>
          <w:szCs w:val="22"/>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29CA2031"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4A41D157"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r w:rsidRPr="009C4764">
        <w:rPr>
          <w:rFonts w:ascii="Palatino Linotype" w:eastAsia="Calibri" w:hAnsi="Palatino Linotype"/>
          <w:color w:val="000000"/>
          <w:sz w:val="22"/>
          <w:szCs w:val="22"/>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A08D2C4"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1F8A9314" w14:textId="77777777" w:rsidR="009C4764" w:rsidRPr="009C4764" w:rsidRDefault="009C4764" w:rsidP="005D202C">
      <w:pPr>
        <w:numPr>
          <w:ilvl w:val="0"/>
          <w:numId w:val="29"/>
        </w:numPr>
        <w:spacing w:line="360" w:lineRule="auto"/>
        <w:jc w:val="both"/>
        <w:rPr>
          <w:rFonts w:ascii="Palatino Linotype" w:eastAsia="Calibri" w:hAnsi="Palatino Linotype"/>
          <w:color w:val="000000"/>
          <w:sz w:val="22"/>
          <w:szCs w:val="24"/>
        </w:rPr>
      </w:pPr>
      <w:r w:rsidRPr="009C4764">
        <w:rPr>
          <w:rFonts w:ascii="Palatino Linotype" w:eastAsia="Calibri" w:hAnsi="Palatino Linotype"/>
          <w:b/>
          <w:bCs/>
          <w:color w:val="000000"/>
          <w:sz w:val="22"/>
          <w:szCs w:val="24"/>
        </w:rPr>
        <w:t>Dato abierto:</w:t>
      </w:r>
      <w:r w:rsidRPr="009C4764">
        <w:rPr>
          <w:rFonts w:ascii="Palatino Linotype" w:eastAsia="Calibri" w:hAnsi="Palatino Linotype"/>
          <w:color w:val="000000"/>
          <w:sz w:val="22"/>
          <w:szCs w:val="24"/>
        </w:rPr>
        <w:t xml:space="preserve"> Datos digitales de carácter público que son accesibles en línea que pueden ser usados, reutilizados y redistribuidos por cualquier persona, mismos que </w:t>
      </w:r>
      <w:r w:rsidRPr="009C4764">
        <w:rPr>
          <w:rFonts w:ascii="Palatino Linotype" w:eastAsia="Calibri" w:hAnsi="Palatino Linotype"/>
          <w:color w:val="000000"/>
          <w:sz w:val="22"/>
          <w:szCs w:val="24"/>
        </w:rPr>
        <w:lastRenderedPageBreak/>
        <w:t>se conforman de diversas características, entre las cuales se encuentra que se encuentren en formatos abiertos.</w:t>
      </w:r>
    </w:p>
    <w:p w14:paraId="223932FF" w14:textId="77777777" w:rsidR="009C4764" w:rsidRPr="009C4764" w:rsidRDefault="009C4764" w:rsidP="005D202C">
      <w:pPr>
        <w:spacing w:line="360" w:lineRule="auto"/>
        <w:jc w:val="both"/>
        <w:rPr>
          <w:rFonts w:ascii="Palatino Linotype" w:eastAsia="Palatino Linotype" w:hAnsi="Palatino Linotype" w:cs="Palatino Linotype"/>
          <w:sz w:val="22"/>
          <w:szCs w:val="22"/>
          <w:lang w:eastAsia="es-MX"/>
        </w:rPr>
      </w:pPr>
    </w:p>
    <w:p w14:paraId="00CC897C" w14:textId="77777777" w:rsidR="00CC312D" w:rsidRDefault="009C4764" w:rsidP="005D202C">
      <w:pPr>
        <w:numPr>
          <w:ilvl w:val="0"/>
          <w:numId w:val="29"/>
        </w:numPr>
        <w:spacing w:line="360" w:lineRule="auto"/>
        <w:jc w:val="both"/>
        <w:rPr>
          <w:rFonts w:ascii="Palatino Linotype" w:eastAsia="Calibri" w:hAnsi="Palatino Linotype"/>
          <w:color w:val="000000"/>
          <w:sz w:val="22"/>
          <w:szCs w:val="24"/>
        </w:rPr>
      </w:pPr>
      <w:r w:rsidRPr="009C4764">
        <w:rPr>
          <w:rFonts w:ascii="Palatino Linotype" w:eastAsia="Calibri" w:hAnsi="Palatino Linotype"/>
          <w:b/>
          <w:bCs/>
          <w:color w:val="000000"/>
          <w:sz w:val="22"/>
          <w:szCs w:val="24"/>
        </w:rPr>
        <w:t>Formato accesible:</w:t>
      </w:r>
      <w:r w:rsidRPr="009C4764">
        <w:rPr>
          <w:rFonts w:ascii="Palatino Linotype" w:eastAsia="Calibri" w:hAnsi="Palatino Linotype"/>
          <w:color w:val="000000"/>
          <w:sz w:val="22"/>
          <w:szCs w:val="24"/>
        </w:rPr>
        <w:t xml:space="preserve"> Conjunto de características técnicas y de presentación de la información que corresponden a la estructura lógica usada para almacenar datos de </w:t>
      </w:r>
    </w:p>
    <w:p w14:paraId="41C31D08" w14:textId="77777777" w:rsidR="00CC312D" w:rsidRDefault="00CC312D" w:rsidP="00CC312D">
      <w:pPr>
        <w:pStyle w:val="Prrafodelista"/>
        <w:rPr>
          <w:rFonts w:ascii="Palatino Linotype" w:eastAsia="Calibri" w:hAnsi="Palatino Linotype"/>
          <w:color w:val="000000"/>
          <w:sz w:val="22"/>
          <w:szCs w:val="24"/>
        </w:rPr>
      </w:pPr>
    </w:p>
    <w:p w14:paraId="0766141E" w14:textId="4DFD12F1" w:rsidR="009C4764" w:rsidRPr="009C4764" w:rsidRDefault="009C4764" w:rsidP="005D202C">
      <w:pPr>
        <w:numPr>
          <w:ilvl w:val="0"/>
          <w:numId w:val="29"/>
        </w:numPr>
        <w:spacing w:line="360" w:lineRule="auto"/>
        <w:jc w:val="both"/>
        <w:rPr>
          <w:rFonts w:ascii="Palatino Linotype" w:eastAsia="Calibri" w:hAnsi="Palatino Linotype"/>
          <w:color w:val="000000"/>
          <w:sz w:val="22"/>
          <w:szCs w:val="24"/>
        </w:rPr>
      </w:pPr>
      <w:r w:rsidRPr="009C4764">
        <w:rPr>
          <w:rFonts w:ascii="Palatino Linotype" w:eastAsia="Calibri" w:hAnsi="Palatino Linotype"/>
          <w:color w:val="000000"/>
          <w:sz w:val="22"/>
          <w:szCs w:val="24"/>
        </w:rPr>
        <w:t>forma integral y facilitan su procesamiento digital, cuyas especificaciones estás disponibles públicamente y que permite el acceso sin restricción de uso por parte de los usuarios.</w:t>
      </w:r>
    </w:p>
    <w:p w14:paraId="721E6E34"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1476C0A5"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r w:rsidRPr="009C4764">
        <w:rPr>
          <w:rFonts w:ascii="Palatino Linotype" w:eastAsia="Calibri" w:hAnsi="Palatino Linotype"/>
          <w:color w:val="000000"/>
          <w:sz w:val="22"/>
          <w:szCs w:val="22"/>
          <w:lang w:eastAsia="es-MX"/>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2AC9483E"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06E54540"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r w:rsidRPr="009C4764">
        <w:rPr>
          <w:rFonts w:ascii="Palatino Linotype" w:eastAsia="Calibri" w:hAnsi="Palatino Linotype"/>
          <w:color w:val="000000"/>
          <w:sz w:val="22"/>
          <w:szCs w:val="22"/>
          <w:lang w:eastAsia="es-MX"/>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249E49BF" w14:textId="77777777" w:rsidR="009C4764" w:rsidRPr="009C4764" w:rsidRDefault="009C4764" w:rsidP="005D202C">
      <w:pPr>
        <w:spacing w:line="360" w:lineRule="auto"/>
        <w:jc w:val="both"/>
        <w:rPr>
          <w:rFonts w:ascii="Palatino Linotype" w:eastAsia="Calibri" w:hAnsi="Palatino Linotype"/>
          <w:color w:val="000000"/>
          <w:sz w:val="22"/>
          <w:szCs w:val="22"/>
          <w:lang w:eastAsia="es-MX"/>
        </w:rPr>
      </w:pPr>
    </w:p>
    <w:p w14:paraId="677FDF47" w14:textId="77777777" w:rsidR="009C4764" w:rsidRPr="009C4764" w:rsidRDefault="009C4764" w:rsidP="005D202C">
      <w:pPr>
        <w:spacing w:line="360" w:lineRule="auto"/>
        <w:ind w:right="-93"/>
        <w:jc w:val="both"/>
        <w:rPr>
          <w:rFonts w:ascii="Palatino Linotype" w:eastAsia="Calibri" w:hAnsi="Palatino Linotype"/>
          <w:color w:val="000000"/>
          <w:sz w:val="22"/>
          <w:szCs w:val="22"/>
          <w:lang w:eastAsia="es-MX"/>
        </w:rPr>
      </w:pPr>
      <w:r w:rsidRPr="009C4764">
        <w:rPr>
          <w:rFonts w:ascii="Palatino Linotype" w:eastAsia="Calibri" w:hAnsi="Palatino Linotype"/>
          <w:color w:val="000000"/>
          <w:sz w:val="22"/>
          <w:szCs w:val="22"/>
          <w:lang w:eastAsia="es-MX"/>
        </w:rPr>
        <w:t xml:space="preserve">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por lo que, se </w:t>
      </w:r>
      <w:r w:rsidRPr="009C4764">
        <w:rPr>
          <w:rFonts w:ascii="Palatino Linotype" w:eastAsia="Calibri" w:hAnsi="Palatino Linotype"/>
          <w:color w:val="000000"/>
          <w:sz w:val="22"/>
          <w:szCs w:val="22"/>
          <w:lang w:eastAsia="es-MX"/>
        </w:rPr>
        <w:lastRenderedPageBreak/>
        <w:t xml:space="preserve">considera que incumplió con lo establecido en el artículo 161 de la Ley de Transparencia y Acceso a la Información Pública del Estado de México y Municipios. </w:t>
      </w:r>
    </w:p>
    <w:p w14:paraId="2FA59E28" w14:textId="77777777" w:rsidR="009C4764" w:rsidRPr="009C4764" w:rsidRDefault="009C4764" w:rsidP="005D202C">
      <w:pPr>
        <w:spacing w:line="360" w:lineRule="auto"/>
        <w:ind w:right="-93"/>
        <w:jc w:val="both"/>
        <w:rPr>
          <w:rFonts w:ascii="Palatino Linotype" w:eastAsia="Calibri" w:hAnsi="Palatino Linotype" w:cs="Tahoma"/>
          <w:iCs/>
          <w:sz w:val="22"/>
          <w:szCs w:val="22"/>
          <w:lang w:eastAsia="es-ES_tradnl"/>
        </w:rPr>
      </w:pPr>
    </w:p>
    <w:p w14:paraId="7FB12591" w14:textId="55C5C22B" w:rsidR="009C4764" w:rsidRPr="009C4764" w:rsidRDefault="009C4764" w:rsidP="005D202C">
      <w:pPr>
        <w:spacing w:line="360" w:lineRule="auto"/>
        <w:jc w:val="both"/>
        <w:rPr>
          <w:rFonts w:ascii="Palatino Linotype" w:eastAsia="Palatino Linotype" w:hAnsi="Palatino Linotype" w:cs="Palatino Linotype"/>
          <w:b/>
          <w:bCs/>
          <w:sz w:val="22"/>
          <w:szCs w:val="22"/>
        </w:rPr>
      </w:pPr>
      <w:r w:rsidRPr="009C4764">
        <w:rPr>
          <w:rFonts w:ascii="Palatino Linotype" w:eastAsia="Palatino Linotype" w:hAnsi="Palatino Linotype" w:cs="Palatino Linotype"/>
          <w:sz w:val="22"/>
          <w:szCs w:val="22"/>
        </w:rPr>
        <w:t>No obstante, del texto de la liga se puede advertir que corresponde al IPOMEX del Sujeto Obligado en el apartado de remuneraciones, por lo que no es el documento solicitado por el Particular</w:t>
      </w:r>
      <w:r>
        <w:rPr>
          <w:rFonts w:ascii="Palatino Linotype" w:eastAsia="Palatino Linotype" w:hAnsi="Palatino Linotype" w:cs="Palatino Linotype"/>
          <w:sz w:val="22"/>
          <w:szCs w:val="22"/>
        </w:rPr>
        <w:t xml:space="preserve">, </w:t>
      </w:r>
      <w:r w:rsidRPr="009C4764">
        <w:rPr>
          <w:rFonts w:ascii="Palatino Linotype" w:eastAsia="Palatino Linotype" w:hAnsi="Palatino Linotype" w:cs="Palatino Linotype"/>
          <w:sz w:val="22"/>
          <w:szCs w:val="22"/>
        </w:rPr>
        <w:t xml:space="preserve">lo cual da como resultado que el agravio sea </w:t>
      </w:r>
      <w:r w:rsidRPr="009C4764">
        <w:rPr>
          <w:rFonts w:ascii="Palatino Linotype" w:eastAsia="Palatino Linotype" w:hAnsi="Palatino Linotype" w:cs="Palatino Linotype"/>
          <w:b/>
          <w:bCs/>
          <w:sz w:val="22"/>
          <w:szCs w:val="22"/>
        </w:rPr>
        <w:t>FUNDADO.</w:t>
      </w:r>
    </w:p>
    <w:p w14:paraId="535F6AC4" w14:textId="77777777" w:rsidR="009C4764" w:rsidRDefault="009C4764" w:rsidP="005D202C">
      <w:pPr>
        <w:widowControl w:val="0"/>
        <w:spacing w:line="360" w:lineRule="auto"/>
        <w:jc w:val="both"/>
        <w:rPr>
          <w:rFonts w:ascii="Palatino Linotype" w:eastAsia="Palatino Linotype" w:hAnsi="Palatino Linotype" w:cs="Palatino Linotype"/>
          <w:sz w:val="22"/>
          <w:szCs w:val="22"/>
        </w:rPr>
      </w:pPr>
    </w:p>
    <w:p w14:paraId="7B912181" w14:textId="3000D0ED" w:rsidR="00CC312D" w:rsidRDefault="00CC312D" w:rsidP="005D202C">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durante la sustanciación del Medio de Impugnación, se pronunció el Instituto Municipal de la Mujer de Toluca y se declaró incompetente para conocer de lo solicitado, lo cual es correcto, pues como se refirió en párrafos anteriores, la persona señalada en la solicitud, se encuentra adscrita a la Secretaría del Ayuntamiento, por lo que, por dichas razones la información no obra en sus archivos.</w:t>
      </w:r>
    </w:p>
    <w:p w14:paraId="0D995275" w14:textId="77777777" w:rsidR="00CC312D" w:rsidRDefault="00CC312D" w:rsidP="005D202C">
      <w:pPr>
        <w:widowControl w:val="0"/>
        <w:spacing w:line="360" w:lineRule="auto"/>
        <w:jc w:val="both"/>
        <w:rPr>
          <w:rFonts w:ascii="Palatino Linotype" w:eastAsia="Palatino Linotype" w:hAnsi="Palatino Linotype" w:cs="Palatino Linotype"/>
          <w:sz w:val="22"/>
          <w:szCs w:val="22"/>
        </w:rPr>
      </w:pPr>
    </w:p>
    <w:p w14:paraId="28F8FF66" w14:textId="160144C7" w:rsidR="008529C8" w:rsidRDefault="00CC312D" w:rsidP="005D202C">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w:t>
      </w:r>
      <w:r w:rsidR="00EE1CB1" w:rsidRPr="00EE1CB1">
        <w:rPr>
          <w:rFonts w:ascii="Palatino Linotype" w:eastAsia="Palatino Linotype" w:hAnsi="Palatino Linotype" w:cs="Palatino Linotype"/>
          <w:sz w:val="22"/>
          <w:szCs w:val="22"/>
        </w:rPr>
        <w:t xml:space="preserve">sí, este Instituto considera </w:t>
      </w:r>
      <w:r w:rsidR="00F76300" w:rsidRPr="00EE1CB1">
        <w:rPr>
          <w:rFonts w:ascii="Palatino Linotype" w:eastAsia="Palatino Linotype" w:hAnsi="Palatino Linotype" w:cs="Palatino Linotype"/>
          <w:sz w:val="22"/>
          <w:szCs w:val="22"/>
        </w:rPr>
        <w:t>que,</w:t>
      </w:r>
      <w:r w:rsidR="00EE1CB1" w:rsidRPr="00EE1CB1">
        <w:rPr>
          <w:rFonts w:ascii="Palatino Linotype" w:eastAsia="Palatino Linotype" w:hAnsi="Palatino Linotype" w:cs="Palatino Linotype"/>
          <w:sz w:val="22"/>
          <w:szCs w:val="22"/>
        </w:rPr>
        <w:t xml:space="preserve"> para atender el requerimiento de información, el Sujeto Obligado deberá realizar una búsqueda exhaustiva y razonable en todas las áreas competentes, entre las cuales no podrá omitir </w:t>
      </w:r>
      <w:r w:rsidR="00EE1CB1">
        <w:rPr>
          <w:rFonts w:ascii="Palatino Linotype" w:eastAsia="Palatino Linotype" w:hAnsi="Palatino Linotype" w:cs="Palatino Linotype"/>
          <w:sz w:val="22"/>
          <w:szCs w:val="22"/>
        </w:rPr>
        <w:t xml:space="preserve">el Departamento de Nóminas de la Dirección General de </w:t>
      </w:r>
      <w:r w:rsidR="008529C8">
        <w:rPr>
          <w:rFonts w:ascii="Palatino Linotype" w:eastAsia="Palatino Linotype" w:hAnsi="Palatino Linotype" w:cs="Palatino Linotype"/>
          <w:sz w:val="22"/>
          <w:szCs w:val="22"/>
        </w:rPr>
        <w:t>Administración, en</w:t>
      </w:r>
      <w:r w:rsidR="00EE1CB1" w:rsidRPr="00EE1CB1">
        <w:rPr>
          <w:rFonts w:ascii="Palatino Linotype" w:eastAsia="Palatino Linotype" w:hAnsi="Palatino Linotype" w:cs="Palatino Linotype"/>
          <w:sz w:val="22"/>
          <w:szCs w:val="22"/>
        </w:rPr>
        <w:t xml:space="preserve"> términos del artículo 162 de la Ley de Transparencia y Acceso a la Información Pública del Estado de México y Municipios, a efecto de que proporcione el </w:t>
      </w:r>
      <w:r>
        <w:rPr>
          <w:rFonts w:ascii="Palatino Linotype" w:eastAsia="Palatino Linotype" w:hAnsi="Palatino Linotype" w:cs="Palatino Linotype"/>
          <w:sz w:val="22"/>
          <w:szCs w:val="22"/>
        </w:rPr>
        <w:t>recibo de nómina solicitado.</w:t>
      </w:r>
    </w:p>
    <w:p w14:paraId="5DFB049E" w14:textId="77777777" w:rsidR="008529C8" w:rsidRDefault="008529C8" w:rsidP="005D202C">
      <w:pPr>
        <w:widowControl w:val="0"/>
        <w:spacing w:line="360" w:lineRule="auto"/>
        <w:jc w:val="both"/>
        <w:rPr>
          <w:rFonts w:ascii="Palatino Linotype" w:eastAsia="Palatino Linotype" w:hAnsi="Palatino Linotype" w:cs="Palatino Linotype"/>
          <w:sz w:val="22"/>
          <w:szCs w:val="22"/>
        </w:rPr>
      </w:pPr>
    </w:p>
    <w:p w14:paraId="2A7B72B0" w14:textId="45148160" w:rsidR="004701E0" w:rsidRDefault="00007F54" w:rsidP="005D202C">
      <w:pPr>
        <w:widowControl w:val="0"/>
        <w:spacing w:line="360" w:lineRule="auto"/>
        <w:jc w:val="both"/>
        <w:rPr>
          <w:rFonts w:ascii="Palatino Linotype" w:eastAsia="Palatino Linotype" w:hAnsi="Palatino Linotype" w:cs="Palatino Linotype"/>
          <w:sz w:val="22"/>
          <w:szCs w:val="22"/>
        </w:rPr>
      </w:pPr>
      <w:r w:rsidRPr="00007F54">
        <w:rPr>
          <w:rFonts w:ascii="Palatino Linotype" w:eastAsia="Palatino Linotype" w:hAnsi="Palatino Linotype" w:cs="Palatino Linotype"/>
          <w:sz w:val="22"/>
          <w:szCs w:val="22"/>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432921B" w14:textId="77777777" w:rsidR="00007F54" w:rsidRDefault="00007F54" w:rsidP="005D202C">
      <w:pPr>
        <w:widowControl w:val="0"/>
        <w:spacing w:line="360" w:lineRule="auto"/>
        <w:jc w:val="both"/>
        <w:rPr>
          <w:rFonts w:ascii="Palatino Linotype" w:eastAsia="Palatino Linotype" w:hAnsi="Palatino Linotype" w:cs="Palatino Linotype"/>
          <w:sz w:val="22"/>
          <w:szCs w:val="22"/>
        </w:rPr>
      </w:pPr>
    </w:p>
    <w:p w14:paraId="031BF6EB" w14:textId="7DB0912F" w:rsidR="00007F54" w:rsidRDefault="00007F54" w:rsidP="005D202C">
      <w:pPr>
        <w:widowControl w:val="0"/>
        <w:spacing w:line="360" w:lineRule="auto"/>
        <w:jc w:val="both"/>
        <w:rPr>
          <w:rFonts w:ascii="Palatino Linotype" w:eastAsia="Palatino Linotype" w:hAnsi="Palatino Linotype" w:cs="Palatino Linotype"/>
          <w:sz w:val="22"/>
          <w:szCs w:val="22"/>
        </w:rPr>
      </w:pPr>
      <w:r w:rsidRPr="00007F54">
        <w:rPr>
          <w:rFonts w:ascii="Palatino Linotype" w:eastAsia="Palatino Linotype" w:hAnsi="Palatino Linotype" w:cs="Palatino Linotype"/>
          <w:sz w:val="22"/>
          <w:szCs w:val="22"/>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007F54">
        <w:rPr>
          <w:rFonts w:ascii="Palatino Linotype" w:eastAsia="Palatino Linotype" w:hAnsi="Palatino Linotype" w:cs="Palatino Linotype"/>
          <w:i/>
          <w:sz w:val="22"/>
          <w:szCs w:val="22"/>
        </w:rPr>
        <w:t>ad hoc</w:t>
      </w:r>
      <w:r w:rsidRPr="00007F54">
        <w:rPr>
          <w:rFonts w:ascii="Palatino Linotype" w:eastAsia="Palatino Linotype" w:hAnsi="Palatino Linotype" w:cs="Palatino Linotype"/>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r>
        <w:rPr>
          <w:rFonts w:ascii="Palatino Linotype" w:eastAsia="Palatino Linotype" w:hAnsi="Palatino Linotype" w:cs="Palatino Linotype"/>
          <w:sz w:val="22"/>
          <w:szCs w:val="22"/>
        </w:rPr>
        <w:t>.</w:t>
      </w:r>
    </w:p>
    <w:p w14:paraId="338054EE" w14:textId="77777777" w:rsidR="00CC312D" w:rsidRDefault="00CC312D" w:rsidP="005D202C">
      <w:pPr>
        <w:widowControl w:val="0"/>
        <w:spacing w:line="360" w:lineRule="auto"/>
        <w:jc w:val="both"/>
        <w:rPr>
          <w:rFonts w:ascii="Palatino Linotype" w:eastAsia="Palatino Linotype" w:hAnsi="Palatino Linotype" w:cs="Palatino Linotype"/>
          <w:sz w:val="22"/>
          <w:szCs w:val="22"/>
        </w:rPr>
      </w:pPr>
    </w:p>
    <w:p w14:paraId="2656DA9B" w14:textId="6CEC740F" w:rsidR="00007F54" w:rsidRDefault="00007F54" w:rsidP="005D202C">
      <w:pPr>
        <w:widowControl w:val="0"/>
        <w:spacing w:line="360" w:lineRule="auto"/>
        <w:jc w:val="both"/>
        <w:rPr>
          <w:rFonts w:ascii="Palatino Linotype" w:eastAsia="Palatino Linotype" w:hAnsi="Palatino Linotype" w:cs="Palatino Linotype"/>
          <w:sz w:val="22"/>
          <w:szCs w:val="22"/>
        </w:rPr>
      </w:pPr>
      <w:r w:rsidRPr="00007F54">
        <w:rPr>
          <w:rFonts w:ascii="Palatino Linotype" w:eastAsia="Palatino Linotype" w:hAnsi="Palatino Linotype" w:cs="Palatino Linotype"/>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requerida </w:t>
      </w:r>
      <w:r w:rsidR="00CC312D">
        <w:rPr>
          <w:rFonts w:ascii="Palatino Linotype" w:eastAsia="Palatino Linotype" w:hAnsi="Palatino Linotype" w:cs="Palatino Linotype"/>
          <w:sz w:val="22"/>
          <w:szCs w:val="22"/>
        </w:rPr>
        <w:t>de la persona señalada en la solicitud, al ser un servidor público adscrito a la Secretaría del Ayuntamiento.</w:t>
      </w:r>
    </w:p>
    <w:p w14:paraId="783A1A49" w14:textId="77777777" w:rsidR="008D23B1" w:rsidRDefault="008D23B1" w:rsidP="005D202C">
      <w:pPr>
        <w:widowControl w:val="0"/>
        <w:spacing w:line="360" w:lineRule="auto"/>
        <w:jc w:val="both"/>
        <w:rPr>
          <w:rFonts w:ascii="Palatino Linotype" w:eastAsia="Palatino Linotype" w:hAnsi="Palatino Linotype" w:cs="Palatino Linotype"/>
          <w:b/>
          <w:color w:val="FF0000"/>
          <w:sz w:val="22"/>
          <w:szCs w:val="22"/>
        </w:rPr>
      </w:pPr>
    </w:p>
    <w:p w14:paraId="31CF6A34" w14:textId="77777777" w:rsidR="00CC312D" w:rsidRPr="00CC312D" w:rsidRDefault="00CC312D" w:rsidP="00CC312D">
      <w:pPr>
        <w:spacing w:line="360" w:lineRule="auto"/>
        <w:jc w:val="both"/>
        <w:rPr>
          <w:rFonts w:ascii="Palatino Linotype" w:hAnsi="Palatino Linotype" w:cs="Tahoma"/>
          <w:bCs/>
          <w:iCs/>
          <w:sz w:val="22"/>
          <w:szCs w:val="22"/>
          <w:lang w:eastAsia="es-MX"/>
        </w:rPr>
      </w:pPr>
      <w:r w:rsidRPr="00CC312D">
        <w:rPr>
          <w:rFonts w:ascii="Palatino Linotype" w:hAnsi="Palatino Linotype"/>
          <w:sz w:val="22"/>
          <w:szCs w:val="22"/>
        </w:rPr>
        <w:t xml:space="preserve">Ahora bien, dentro de la información que se ordena entregar, la misma pudiera contener diversa información susceptible de ser clasificada, por lo que de manera oficiosa, se procede a analizar de forma enunciativa, diversos datos que pudieran contener los recibos de nómina; sobre el tema, </w:t>
      </w:r>
      <w:r w:rsidRPr="00CC312D">
        <w:rPr>
          <w:rFonts w:ascii="Palatino Linotype" w:hAnsi="Palatino Linotype" w:cs="Tahoma"/>
          <w:bCs/>
          <w:iCs/>
          <w:sz w:val="22"/>
          <w:szCs w:val="22"/>
          <w:lang w:eastAsia="es-MX"/>
        </w:rPr>
        <w:t>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7D2A13EB"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p>
    <w:p w14:paraId="524B2611"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w:t>
      </w:r>
      <w:r w:rsidRPr="00CC312D">
        <w:rPr>
          <w:rFonts w:ascii="Palatino Linotype" w:hAnsi="Palatino Linotype" w:cs="Tahoma"/>
          <w:bCs/>
          <w:iCs/>
          <w:sz w:val="22"/>
          <w:szCs w:val="22"/>
          <w:lang w:eastAsia="es-MX"/>
        </w:rPr>
        <w:lastRenderedPageBreak/>
        <w:t>judicial, iv) por razones de seguridad nacional y salubridad general o v) para proteger los derechos de terceros o cuando se transmita entre sujetos obligados en términos de los tratados y los acuerdos interinstitucionales.</w:t>
      </w:r>
    </w:p>
    <w:p w14:paraId="28003238"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p>
    <w:p w14:paraId="2A93523B"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En términos de lo expuesto, la documentación y aquellos datos que se consideren confidenciales, serán una limitante del derecho de acceso a la información, siempre y cuando:</w:t>
      </w:r>
    </w:p>
    <w:p w14:paraId="70C66AA3"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p>
    <w:p w14:paraId="06F5DAD1" w14:textId="77777777" w:rsidR="00CC312D" w:rsidRPr="00CC312D" w:rsidRDefault="00CC312D" w:rsidP="00CC312D">
      <w:pPr>
        <w:numPr>
          <w:ilvl w:val="0"/>
          <w:numId w:val="33"/>
        </w:numPr>
        <w:spacing w:after="160"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 xml:space="preserve">Se trate de datos personales o información privada; esto es, información concerniente a una persona física o jurídico colectiva y que esta sea identificada o identificable. </w:t>
      </w:r>
    </w:p>
    <w:p w14:paraId="20D8311C" w14:textId="77777777" w:rsidR="00CC312D" w:rsidRPr="00CC312D" w:rsidRDefault="00CC312D" w:rsidP="00CC312D">
      <w:pPr>
        <w:numPr>
          <w:ilvl w:val="0"/>
          <w:numId w:val="33"/>
        </w:numPr>
        <w:spacing w:after="160"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 xml:space="preserve">Para la difusión de los datos, se requiera el consentimiento del titular. </w:t>
      </w:r>
    </w:p>
    <w:p w14:paraId="20E0C6F5"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p>
    <w:p w14:paraId="6A3D58ED"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E897794" w14:textId="77777777" w:rsidR="00CC312D" w:rsidRPr="00CC312D" w:rsidRDefault="00CC312D" w:rsidP="00CC312D">
      <w:pPr>
        <w:spacing w:line="360" w:lineRule="auto"/>
        <w:jc w:val="both"/>
        <w:rPr>
          <w:rFonts w:ascii="Palatino Linotype" w:eastAsia="Calibri" w:hAnsi="Palatino Linotype" w:cs="Tahoma"/>
          <w:sz w:val="22"/>
        </w:rPr>
      </w:pPr>
    </w:p>
    <w:p w14:paraId="0ABD4FCC"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color w:val="000000"/>
          <w:sz w:val="22"/>
          <w:szCs w:val="22"/>
          <w:lang w:val="es-ES" w:eastAsia="es-MX"/>
        </w:rPr>
        <w:t xml:space="preserve">Al respecto,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w:t>
      </w:r>
      <w:r w:rsidRPr="00CC312D">
        <w:rPr>
          <w:rFonts w:ascii="Palatino Linotype" w:hAnsi="Palatino Linotype" w:cs="Tahoma"/>
          <w:bCs/>
          <w:color w:val="000000"/>
          <w:sz w:val="22"/>
          <w:szCs w:val="22"/>
          <w:lang w:val="es-ES" w:eastAsia="es-MX"/>
        </w:rPr>
        <w:lastRenderedPageBreak/>
        <w:t>la cual establecerá los supuestos de excepción a los principios que</w:t>
      </w:r>
      <w:r w:rsidRPr="00CC312D">
        <w:rPr>
          <w:rFonts w:ascii="Palatino Linotype" w:hAnsi="Palatino Linotype" w:cs="Tahoma"/>
          <w:bCs/>
          <w:iCs/>
          <w:sz w:val="22"/>
          <w:szCs w:val="22"/>
          <w:lang w:eastAsia="es-MX"/>
        </w:rPr>
        <w:t xml:space="preserve"> rijan el tratamiento de datos, por razones de seguridad nacional, disposiciones de orden público, seguridad y salud públicas o para proteger los derechos de terceros.</w:t>
      </w:r>
    </w:p>
    <w:p w14:paraId="1BAAEF39" w14:textId="77777777" w:rsidR="00CC312D" w:rsidRPr="00CC312D" w:rsidRDefault="00CC312D" w:rsidP="00CC312D">
      <w:pPr>
        <w:tabs>
          <w:tab w:val="left" w:pos="4962"/>
        </w:tabs>
        <w:spacing w:line="360" w:lineRule="auto"/>
        <w:contextualSpacing/>
        <w:jc w:val="both"/>
        <w:rPr>
          <w:rFonts w:ascii="Palatino Linotype" w:hAnsi="Palatino Linotype" w:cs="Tahoma"/>
          <w:bCs/>
          <w:color w:val="000000"/>
          <w:sz w:val="22"/>
          <w:szCs w:val="22"/>
          <w:lang w:eastAsia="es-MX"/>
        </w:rPr>
      </w:pPr>
    </w:p>
    <w:p w14:paraId="07A81455"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620C450" w14:textId="77777777" w:rsidR="00CC312D" w:rsidRPr="00CC312D" w:rsidRDefault="00CC312D" w:rsidP="00CC312D">
      <w:pPr>
        <w:tabs>
          <w:tab w:val="left" w:pos="2145"/>
        </w:tabs>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ab/>
      </w:r>
    </w:p>
    <w:p w14:paraId="42181D2F"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2247209"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p>
    <w:p w14:paraId="3B379491"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E4B5B96"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p>
    <w:p w14:paraId="0C056C53"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7197608"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p>
    <w:p w14:paraId="36D1EE7E"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CC312D">
        <w:rPr>
          <w:rFonts w:ascii="Palatino Linotype" w:hAnsi="Palatino Linotype" w:cs="Tahoma"/>
          <w:bCs/>
          <w:iCs/>
          <w:sz w:val="22"/>
          <w:szCs w:val="22"/>
          <w:lang w:eastAsia="es-MX"/>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EB72C98"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p>
    <w:p w14:paraId="44368E5F"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En términos de lo expuesto, la documentación y aquellos datos que se consideren confidenciales, serán una limitante del derecho de acceso a la información, siempre y cuando:</w:t>
      </w:r>
    </w:p>
    <w:p w14:paraId="7C00B377"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p>
    <w:p w14:paraId="41F1DE15" w14:textId="77777777" w:rsidR="00CC312D" w:rsidRPr="00CC312D" w:rsidRDefault="00CC312D" w:rsidP="00CC312D">
      <w:pPr>
        <w:numPr>
          <w:ilvl w:val="0"/>
          <w:numId w:val="34"/>
        </w:numPr>
        <w:spacing w:after="160"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 xml:space="preserve">Se trate de datos personales o información privada; esto es, información concerniente a una persona física o jurídico colectiva y que esta sea identificada o identificable. </w:t>
      </w:r>
    </w:p>
    <w:p w14:paraId="76E19D39" w14:textId="77777777" w:rsidR="00CC312D" w:rsidRPr="00CC312D" w:rsidRDefault="00CC312D" w:rsidP="00CC312D">
      <w:pPr>
        <w:numPr>
          <w:ilvl w:val="0"/>
          <w:numId w:val="34"/>
        </w:numPr>
        <w:spacing w:after="160"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 xml:space="preserve">Para la difusión de los datos, se requiera el consentimiento del titular. </w:t>
      </w:r>
    </w:p>
    <w:p w14:paraId="48598C7E"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p>
    <w:p w14:paraId="2E6F901F" w14:textId="77777777" w:rsidR="00CC312D" w:rsidRPr="00CC312D" w:rsidRDefault="00CC312D" w:rsidP="00CC312D">
      <w:pPr>
        <w:spacing w:line="360" w:lineRule="auto"/>
        <w:contextualSpacing/>
        <w:jc w:val="both"/>
        <w:rPr>
          <w:rFonts w:ascii="Palatino Linotype" w:hAnsi="Palatino Linotype" w:cs="Tahoma"/>
          <w:bCs/>
          <w:iCs/>
          <w:sz w:val="22"/>
          <w:szCs w:val="22"/>
          <w:lang w:eastAsia="es-MX"/>
        </w:rPr>
      </w:pPr>
      <w:r w:rsidRPr="00CC312D">
        <w:rPr>
          <w:rFonts w:ascii="Palatino Linotype" w:hAnsi="Palatino Linotype" w:cs="Tahoma"/>
          <w:bCs/>
          <w:iCs/>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8F8C0A5" w14:textId="77777777" w:rsidR="00CC312D" w:rsidRPr="00CC312D" w:rsidRDefault="00CC312D" w:rsidP="00CC312D">
      <w:pPr>
        <w:spacing w:line="360" w:lineRule="auto"/>
        <w:jc w:val="both"/>
        <w:rPr>
          <w:rFonts w:ascii="Palatino Linotype" w:eastAsia="Palatino Linotype" w:hAnsi="Palatino Linotype" w:cs="Tahoma"/>
          <w:bCs/>
          <w:iCs/>
          <w:color w:val="000000"/>
          <w:sz w:val="22"/>
          <w:szCs w:val="22"/>
          <w:lang w:eastAsia="es-MX"/>
        </w:rPr>
      </w:pPr>
    </w:p>
    <w:p w14:paraId="4A032314" w14:textId="77777777" w:rsidR="00CC312D" w:rsidRPr="00CC312D" w:rsidRDefault="00CC312D" w:rsidP="00CC312D">
      <w:pPr>
        <w:numPr>
          <w:ilvl w:val="0"/>
          <w:numId w:val="10"/>
        </w:numPr>
        <w:spacing w:after="160" w:line="360" w:lineRule="auto"/>
        <w:contextualSpacing/>
        <w:jc w:val="both"/>
        <w:rPr>
          <w:rFonts w:ascii="Palatino Linotype" w:hAnsi="Palatino Linotype" w:cs="Tahoma"/>
          <w:b/>
          <w:bCs/>
          <w:iCs/>
          <w:sz w:val="22"/>
          <w:szCs w:val="22"/>
          <w:lang w:val="es-ES_tradnl" w:eastAsia="es-MX"/>
        </w:rPr>
      </w:pPr>
      <w:r w:rsidRPr="00CC312D">
        <w:rPr>
          <w:rFonts w:ascii="Palatino Linotype" w:eastAsia="Calibri" w:hAnsi="Palatino Linotype" w:cs="Tahoma"/>
          <w:b/>
          <w:bCs/>
          <w:iCs/>
          <w:sz w:val="22"/>
          <w:szCs w:val="22"/>
          <w:lang w:eastAsia="es-MX"/>
        </w:rPr>
        <w:t>C</w:t>
      </w:r>
      <w:r w:rsidRPr="00CC312D">
        <w:rPr>
          <w:rFonts w:ascii="Palatino Linotype" w:eastAsia="Calibri" w:hAnsi="Palatino Linotype" w:cs="Tahoma"/>
          <w:b/>
          <w:bCs/>
          <w:iCs/>
          <w:sz w:val="22"/>
          <w:szCs w:val="22"/>
          <w:lang w:val="es-ES_tradnl" w:eastAsia="es-MX"/>
        </w:rPr>
        <w:t>lave Única de Registro de Población (CURP)</w:t>
      </w:r>
    </w:p>
    <w:p w14:paraId="75658563"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52BB1FF9"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w:t>
      </w:r>
      <w:r w:rsidRPr="00CC312D">
        <w:rPr>
          <w:rFonts w:ascii="Palatino Linotype" w:eastAsia="Calibri" w:hAnsi="Palatino Linotype" w:cs="Tahoma"/>
          <w:bCs/>
          <w:iCs/>
          <w:sz w:val="22"/>
          <w:szCs w:val="22"/>
          <w:lang w:eastAsia="es-MX"/>
        </w:rPr>
        <w:lastRenderedPageBreak/>
        <w:t>Gobernación el registro y acreditación de la identidad de todas las personas residentes en el país y de los nacionales que residan en el extranjero.</w:t>
      </w:r>
    </w:p>
    <w:p w14:paraId="6FC67AC8"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2C613701"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887EE04"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01C2E254"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C312D">
        <w:rPr>
          <w:rFonts w:ascii="Palatino Linotype" w:eastAsia="Calibri" w:hAnsi="Palatino Linotype" w:cs="Tahoma"/>
          <w:b/>
          <w:bCs/>
          <w:iCs/>
          <w:sz w:val="22"/>
          <w:szCs w:val="22"/>
          <w:lang w:eastAsia="es-MX"/>
        </w:rPr>
        <w:t>se generan a partir de los datos contenidos en el documento probatorio de la identidad</w:t>
      </w:r>
      <w:r w:rsidRPr="00CC312D">
        <w:rPr>
          <w:rFonts w:ascii="Palatino Linotype" w:eastAsia="Calibri" w:hAnsi="Palatino Linotype" w:cs="Tahoma"/>
          <w:bCs/>
          <w:iCs/>
          <w:sz w:val="22"/>
          <w:szCs w:val="22"/>
          <w:lang w:eastAsia="es-MX"/>
        </w:rPr>
        <w:t xml:space="preserve"> </w:t>
      </w:r>
      <w:r w:rsidRPr="00CC312D">
        <w:rPr>
          <w:rFonts w:ascii="Palatino Linotype" w:eastAsia="Calibri" w:hAnsi="Palatino Linotype" w:cs="Tahoma"/>
          <w:b/>
          <w:bCs/>
          <w:iCs/>
          <w:sz w:val="22"/>
          <w:szCs w:val="22"/>
          <w:lang w:eastAsia="es-MX"/>
        </w:rPr>
        <w:t xml:space="preserve">del interesado </w:t>
      </w:r>
      <w:r w:rsidRPr="00CC312D">
        <w:rPr>
          <w:rFonts w:ascii="Palatino Linotype" w:eastAsia="Calibri" w:hAnsi="Palatino Linotype" w:cs="Tahoma"/>
          <w:bCs/>
          <w:iCs/>
          <w:sz w:val="22"/>
          <w:szCs w:val="22"/>
          <w:lang w:eastAsia="es-MX"/>
        </w:rPr>
        <w:t>(acta de nacimiento, carta de naturalización o documento migratorio) de la siguiente forma:</w:t>
      </w:r>
    </w:p>
    <w:p w14:paraId="2C715FF2"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147A9FEF" w14:textId="77777777" w:rsidR="00CC312D" w:rsidRPr="00CC312D" w:rsidRDefault="00CC312D" w:rsidP="00CC312D">
      <w:pPr>
        <w:numPr>
          <w:ilvl w:val="0"/>
          <w:numId w:val="35"/>
        </w:numPr>
        <w:spacing w:after="160"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El primero y segundo apellidos, así como al nombre de pila;</w:t>
      </w:r>
    </w:p>
    <w:p w14:paraId="3F565636" w14:textId="77777777" w:rsidR="00CC312D" w:rsidRPr="00CC312D" w:rsidRDefault="00CC312D" w:rsidP="00CC312D">
      <w:pPr>
        <w:numPr>
          <w:ilvl w:val="0"/>
          <w:numId w:val="35"/>
        </w:numPr>
        <w:spacing w:after="160"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La fecha de nacimiento;</w:t>
      </w:r>
    </w:p>
    <w:p w14:paraId="6E362CE8" w14:textId="77777777" w:rsidR="00CC312D" w:rsidRPr="00CC312D" w:rsidRDefault="00CC312D" w:rsidP="00CC312D">
      <w:pPr>
        <w:numPr>
          <w:ilvl w:val="0"/>
          <w:numId w:val="35"/>
        </w:numPr>
        <w:spacing w:after="160"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El sexo, y</w:t>
      </w:r>
    </w:p>
    <w:p w14:paraId="2F65B193" w14:textId="77777777" w:rsidR="00CC312D" w:rsidRPr="00CC312D" w:rsidRDefault="00CC312D" w:rsidP="00CC312D">
      <w:pPr>
        <w:numPr>
          <w:ilvl w:val="0"/>
          <w:numId w:val="35"/>
        </w:numPr>
        <w:spacing w:after="160"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La entidad federativa de nacimiento.</w:t>
      </w:r>
    </w:p>
    <w:p w14:paraId="6B5A2074"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7B9BE9FD"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Los dos últimos elementos de la Clave Única de Registro de Población evitan la duplicidad de la Clave y garantizan su correcta integración.</w:t>
      </w:r>
    </w:p>
    <w:p w14:paraId="276C85D3"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0956AD52"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6E1D43B" w14:textId="77777777" w:rsidR="00F76300" w:rsidRPr="00CC312D" w:rsidRDefault="00F76300" w:rsidP="00CC312D">
      <w:pPr>
        <w:spacing w:line="360" w:lineRule="auto"/>
        <w:jc w:val="both"/>
        <w:rPr>
          <w:rFonts w:ascii="Palatino Linotype" w:eastAsia="Calibri" w:hAnsi="Palatino Linotype" w:cs="Tahoma"/>
          <w:bCs/>
          <w:iCs/>
          <w:sz w:val="22"/>
          <w:szCs w:val="22"/>
          <w:lang w:eastAsia="es-MX"/>
        </w:rPr>
      </w:pPr>
    </w:p>
    <w:p w14:paraId="11513FEB"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 xml:space="preserve">Situación que se robustece, con el </w:t>
      </w:r>
      <w:r w:rsidRPr="00CC312D">
        <w:rPr>
          <w:rFonts w:ascii="Palatino Linotype" w:eastAsia="Calibri" w:hAnsi="Palatino Linotype" w:cs="Tahoma"/>
          <w:bCs/>
          <w:iCs/>
          <w:sz w:val="22"/>
          <w:szCs w:val="22"/>
          <w:lang w:val="es-ES" w:eastAsia="en-US"/>
        </w:rPr>
        <w:t xml:space="preserve">Criterio Orientador, de la Segunda Época, con número de registro </w:t>
      </w:r>
      <w:r w:rsidRPr="00CC312D">
        <w:rPr>
          <w:rFonts w:ascii="Palatino Linotype" w:eastAsia="Calibri" w:hAnsi="Palatino Linotype" w:cs="Tahoma"/>
          <w:bCs/>
          <w:iCs/>
          <w:sz w:val="22"/>
          <w:szCs w:val="22"/>
          <w:lang w:eastAsia="en-US"/>
        </w:rPr>
        <w:t>SO/018/2017</w:t>
      </w:r>
      <w:r w:rsidRPr="00CC312D">
        <w:rPr>
          <w:rFonts w:ascii="Palatino Linotype" w:eastAsia="Calibri" w:hAnsi="Palatino Linotype" w:cs="Tahoma"/>
          <w:bCs/>
          <w:iCs/>
          <w:sz w:val="22"/>
          <w:szCs w:val="22"/>
          <w:lang w:eastAsia="es-MX"/>
        </w:rPr>
        <w:t>, emitido por el entonces Instituto Nacional de Transparencia, Acceso a la Información y Protección de Datos Personales, que establece lo siguiente:</w:t>
      </w:r>
    </w:p>
    <w:p w14:paraId="750DCED1"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2DC42DD3" w14:textId="77777777" w:rsidR="00CC312D" w:rsidRPr="00CC312D" w:rsidRDefault="00CC312D" w:rsidP="00CC312D">
      <w:pPr>
        <w:spacing w:line="360" w:lineRule="auto"/>
        <w:ind w:left="567" w:right="567"/>
        <w:contextualSpacing/>
        <w:jc w:val="both"/>
        <w:rPr>
          <w:rFonts w:ascii="Palatino Linotype" w:eastAsia="Calibri" w:hAnsi="Palatino Linotype" w:cs="Tahoma"/>
          <w:bCs/>
          <w:i/>
          <w:iCs/>
          <w:sz w:val="18"/>
          <w:szCs w:val="18"/>
          <w:lang w:eastAsia="es-MX"/>
        </w:rPr>
      </w:pPr>
      <w:r w:rsidRPr="00CC312D">
        <w:rPr>
          <w:rFonts w:ascii="Palatino Linotype" w:eastAsia="Calibri" w:hAnsi="Palatino Linotype" w:cs="Tahoma"/>
          <w:b/>
          <w:bCs/>
          <w:i/>
          <w:iCs/>
          <w:lang w:eastAsia="es-MX"/>
        </w:rPr>
        <w:t xml:space="preserve">“Clave Única de Registro de Población (CURP). </w:t>
      </w:r>
      <w:r w:rsidRPr="00CC312D">
        <w:rPr>
          <w:rFonts w:ascii="Palatino Linotype" w:eastAsia="Calibri" w:hAnsi="Palatino Linotype" w:cs="Tahoma"/>
          <w:bCs/>
          <w:i/>
          <w:iCs/>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A1EC1E8" w14:textId="77777777" w:rsidR="00CC312D" w:rsidRPr="00CC312D" w:rsidRDefault="00CC312D" w:rsidP="00CC312D">
      <w:pPr>
        <w:spacing w:line="360" w:lineRule="auto"/>
        <w:jc w:val="both"/>
        <w:rPr>
          <w:rFonts w:ascii="Palatino Linotype" w:eastAsia="Calibri" w:hAnsi="Palatino Linotype" w:cs="Tahoma"/>
          <w:bCs/>
          <w:i/>
          <w:iCs/>
          <w:sz w:val="22"/>
          <w:szCs w:val="22"/>
          <w:lang w:eastAsia="es-MX"/>
        </w:rPr>
      </w:pPr>
    </w:p>
    <w:p w14:paraId="6901BB58"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 xml:space="preserve">De acuerdo con lo anterior, resulta procedente la clasificación de </w:t>
      </w:r>
      <w:r w:rsidRPr="00CC312D">
        <w:rPr>
          <w:rFonts w:ascii="Palatino Linotype" w:eastAsia="Calibri" w:hAnsi="Palatino Linotype" w:cs="Tahoma"/>
          <w:b/>
          <w:bCs/>
          <w:iCs/>
          <w:sz w:val="22"/>
          <w:szCs w:val="22"/>
          <w:lang w:eastAsia="es-MX"/>
        </w:rPr>
        <w:t>la Clave Única de Registro de Población</w:t>
      </w:r>
      <w:r w:rsidRPr="00CC312D">
        <w:rPr>
          <w:rFonts w:ascii="Palatino Linotype" w:eastAsia="Calibri" w:hAnsi="Palatino Linotype" w:cs="Tahoma"/>
          <w:bCs/>
          <w:iCs/>
          <w:sz w:val="22"/>
          <w:szCs w:val="22"/>
          <w:lang w:eastAsia="es-MX"/>
        </w:rPr>
        <w:t xml:space="preserve">, por tratarse de un dato personal confidencial, en términos del artículo 143, fracción I, de la Ley de Transparencia y Acceso a la Información Pública del Estado de México y Municipios. </w:t>
      </w:r>
    </w:p>
    <w:p w14:paraId="027D058D"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114A98E4" w14:textId="77777777" w:rsidR="00CC312D" w:rsidRPr="00CC312D" w:rsidRDefault="00CC312D" w:rsidP="00CC312D">
      <w:pPr>
        <w:numPr>
          <w:ilvl w:val="0"/>
          <w:numId w:val="10"/>
        </w:numPr>
        <w:spacing w:after="160" w:line="360" w:lineRule="auto"/>
        <w:contextualSpacing/>
        <w:jc w:val="both"/>
        <w:rPr>
          <w:rFonts w:ascii="Palatino Linotype" w:eastAsia="Calibri" w:hAnsi="Palatino Linotype" w:cs="Tahoma"/>
          <w:b/>
          <w:bCs/>
          <w:iCs/>
          <w:sz w:val="22"/>
          <w:szCs w:val="22"/>
          <w:lang w:val="es-ES_tradnl" w:eastAsia="es-MX"/>
        </w:rPr>
      </w:pPr>
      <w:r w:rsidRPr="00CC312D">
        <w:rPr>
          <w:rFonts w:ascii="Palatino Linotype" w:eastAsia="Calibri" w:hAnsi="Palatino Linotype" w:cs="Tahoma"/>
          <w:b/>
          <w:bCs/>
          <w:iCs/>
          <w:sz w:val="22"/>
          <w:szCs w:val="22"/>
          <w:lang w:val="es-ES_tradnl" w:eastAsia="es-MX"/>
        </w:rPr>
        <w:t>Registro Federal de Contribuyentes (RFC)</w:t>
      </w:r>
    </w:p>
    <w:p w14:paraId="75D80BD0"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7C4A291D"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w:t>
      </w:r>
      <w:r w:rsidRPr="00CC312D">
        <w:rPr>
          <w:rFonts w:ascii="Palatino Linotype" w:eastAsia="Calibri" w:hAnsi="Palatino Linotype" w:cs="Tahoma"/>
          <w:bCs/>
          <w:iCs/>
          <w:sz w:val="22"/>
          <w:szCs w:val="22"/>
          <w:lang w:eastAsia="es-MX"/>
        </w:rPr>
        <w:lastRenderedPageBreak/>
        <w:t>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41835CC"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6FD49B1D"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CC312D">
        <w:rPr>
          <w:rFonts w:ascii="Palatino Linotype" w:eastAsia="Calibri" w:hAnsi="Palatino Linotype" w:cs="Tahoma"/>
          <w:bCs/>
          <w:iCs/>
          <w:sz w:val="22"/>
          <w:szCs w:val="22"/>
          <w:lang w:eastAsia="es-MX"/>
        </w:rPr>
        <w:t>homoclave</w:t>
      </w:r>
      <w:proofErr w:type="spellEnd"/>
      <w:r w:rsidRPr="00CC312D">
        <w:rPr>
          <w:rFonts w:ascii="Palatino Linotype" w:eastAsia="Calibri" w:hAnsi="Palatino Linotype" w:cs="Tahoma"/>
          <w:bCs/>
          <w:iCs/>
          <w:sz w:val="22"/>
          <w:szCs w:val="22"/>
          <w:lang w:eastAsia="es-MX"/>
        </w:rPr>
        <w:t xml:space="preserve"> que establece el sistema automático del Servicio de Administración Tributaria.</w:t>
      </w:r>
    </w:p>
    <w:p w14:paraId="4A4F96BA"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6A564CB0"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BC8E417"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34E30C44"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55A523E"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7511B736"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 xml:space="preserve">Lo anterior, resulta congruente con el </w:t>
      </w:r>
      <w:r w:rsidRPr="00CC312D">
        <w:rPr>
          <w:rFonts w:ascii="Palatino Linotype" w:eastAsia="Calibri" w:hAnsi="Palatino Linotype" w:cs="Tahoma"/>
          <w:bCs/>
          <w:iCs/>
          <w:sz w:val="22"/>
          <w:szCs w:val="22"/>
          <w:lang w:val="es-ES" w:eastAsia="en-US"/>
        </w:rPr>
        <w:t xml:space="preserve">Criterio Orientador, de la Segunda Época, con número de registro </w:t>
      </w:r>
      <w:r w:rsidRPr="00CC312D">
        <w:rPr>
          <w:rFonts w:ascii="Palatino Linotype" w:eastAsia="Calibri" w:hAnsi="Palatino Linotype" w:cs="Tahoma"/>
          <w:bCs/>
          <w:iCs/>
          <w:sz w:val="22"/>
          <w:szCs w:val="22"/>
          <w:lang w:eastAsia="en-US"/>
        </w:rPr>
        <w:t xml:space="preserve">SO/019/2017, </w:t>
      </w:r>
      <w:r w:rsidRPr="00CC312D">
        <w:rPr>
          <w:rFonts w:ascii="Palatino Linotype" w:eastAsia="Calibri" w:hAnsi="Palatino Linotype" w:cs="Tahoma"/>
          <w:bCs/>
          <w:iCs/>
          <w:sz w:val="22"/>
          <w:szCs w:val="22"/>
          <w:lang w:eastAsia="es-MX"/>
        </w:rPr>
        <w:t>emitido por el entonces Instituto Nacional de Transparencia, Acceso a la Información y Protección de Datos Personales, en el cual se señala lo siguiente:</w:t>
      </w:r>
    </w:p>
    <w:p w14:paraId="43AE96A4"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1BD5ED85" w14:textId="77777777" w:rsidR="00CC312D" w:rsidRPr="00CC312D" w:rsidRDefault="00CC312D" w:rsidP="00CC312D">
      <w:pPr>
        <w:spacing w:line="360" w:lineRule="auto"/>
        <w:ind w:left="567" w:right="567"/>
        <w:contextualSpacing/>
        <w:jc w:val="both"/>
        <w:rPr>
          <w:rFonts w:ascii="Palatino Linotype" w:eastAsia="Calibri" w:hAnsi="Palatino Linotype" w:cs="Tahoma"/>
          <w:bCs/>
          <w:i/>
          <w:iCs/>
          <w:sz w:val="18"/>
          <w:szCs w:val="18"/>
          <w:lang w:eastAsia="es-MX"/>
        </w:rPr>
      </w:pPr>
      <w:r w:rsidRPr="00CC312D">
        <w:rPr>
          <w:rFonts w:ascii="Palatino Linotype" w:eastAsia="Calibri" w:hAnsi="Palatino Linotype" w:cs="Tahoma"/>
          <w:b/>
          <w:bCs/>
          <w:i/>
          <w:iCs/>
          <w:lang w:eastAsia="es-MX"/>
        </w:rPr>
        <w:lastRenderedPageBreak/>
        <w:t>“Registro Federal de Contribuyentes (RFC) de personas físicas.</w:t>
      </w:r>
      <w:r w:rsidRPr="00CC312D">
        <w:rPr>
          <w:rFonts w:ascii="Palatino Linotype" w:eastAsia="Calibri" w:hAnsi="Palatino Linotype" w:cs="Tahoma"/>
          <w:bCs/>
          <w:i/>
          <w:iCs/>
          <w:lang w:eastAsia="es-MX"/>
        </w:rPr>
        <w:t xml:space="preserve"> El RFC es una clave de carácter fiscal, única e irrepetible, que permite identificar al titular, su edad y fecha de nacimiento, por lo que es un dato personal de carácter confidencial.”</w:t>
      </w:r>
    </w:p>
    <w:p w14:paraId="7905B5EB"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6B20F7D2"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AD03271" w14:textId="77777777" w:rsidR="00CC312D" w:rsidRPr="00CC312D" w:rsidRDefault="00CC312D" w:rsidP="00CC312D">
      <w:pPr>
        <w:spacing w:line="360" w:lineRule="auto"/>
        <w:jc w:val="both"/>
        <w:rPr>
          <w:rFonts w:ascii="Palatino Linotype" w:eastAsia="Calibri" w:hAnsi="Palatino Linotype" w:cs="Tahoma"/>
          <w:bCs/>
          <w:iCs/>
          <w:color w:val="FF0000"/>
          <w:sz w:val="22"/>
          <w:szCs w:val="22"/>
          <w:lang w:eastAsia="es-MX"/>
        </w:rPr>
      </w:pPr>
    </w:p>
    <w:p w14:paraId="502BFC55" w14:textId="77777777" w:rsidR="00CC312D" w:rsidRPr="00CC312D" w:rsidRDefault="00CC312D" w:rsidP="00CC312D">
      <w:pPr>
        <w:numPr>
          <w:ilvl w:val="0"/>
          <w:numId w:val="10"/>
        </w:numPr>
        <w:spacing w:after="160" w:line="360" w:lineRule="auto"/>
        <w:contextualSpacing/>
        <w:jc w:val="both"/>
        <w:rPr>
          <w:rFonts w:ascii="Palatino Linotype" w:eastAsia="Calibri" w:hAnsi="Palatino Linotype" w:cs="Tahoma"/>
          <w:b/>
          <w:bCs/>
          <w:iCs/>
          <w:sz w:val="22"/>
          <w:szCs w:val="22"/>
          <w:lang w:eastAsia="en-US"/>
        </w:rPr>
      </w:pPr>
      <w:r w:rsidRPr="00CC312D">
        <w:rPr>
          <w:rFonts w:ascii="Palatino Linotype" w:eastAsia="Calibri" w:hAnsi="Palatino Linotype" w:cs="Tahoma"/>
          <w:b/>
          <w:bCs/>
          <w:iCs/>
          <w:sz w:val="22"/>
          <w:szCs w:val="22"/>
          <w:lang w:eastAsia="en-US"/>
        </w:rPr>
        <w:t xml:space="preserve">Código bidimensional o </w:t>
      </w:r>
      <w:proofErr w:type="spellStart"/>
      <w:r w:rsidRPr="00CC312D">
        <w:rPr>
          <w:rFonts w:ascii="Palatino Linotype" w:eastAsia="Calibri" w:hAnsi="Palatino Linotype" w:cs="Tahoma"/>
          <w:b/>
          <w:bCs/>
          <w:iCs/>
          <w:sz w:val="22"/>
          <w:szCs w:val="22"/>
          <w:lang w:eastAsia="en-US"/>
        </w:rPr>
        <w:t>Qr</w:t>
      </w:r>
      <w:proofErr w:type="spellEnd"/>
    </w:p>
    <w:p w14:paraId="427C1648" w14:textId="77777777" w:rsidR="00CC312D" w:rsidRPr="00CC312D" w:rsidRDefault="00CC312D" w:rsidP="00CC312D">
      <w:pPr>
        <w:spacing w:line="360" w:lineRule="auto"/>
        <w:jc w:val="both"/>
        <w:rPr>
          <w:rFonts w:ascii="Palatino Linotype" w:eastAsia="Calibri" w:hAnsi="Palatino Linotype" w:cs="Tahoma"/>
          <w:b/>
          <w:bCs/>
          <w:iCs/>
          <w:sz w:val="22"/>
          <w:szCs w:val="22"/>
          <w:lang w:eastAsia="en-US"/>
        </w:rPr>
      </w:pPr>
    </w:p>
    <w:p w14:paraId="2D6F93FC" w14:textId="77777777" w:rsidR="00CC312D" w:rsidRPr="00CC312D" w:rsidRDefault="00CC312D" w:rsidP="00CC312D">
      <w:pPr>
        <w:spacing w:line="360" w:lineRule="auto"/>
        <w:jc w:val="both"/>
        <w:rPr>
          <w:rFonts w:ascii="Palatino Linotype" w:eastAsia="Calibri" w:hAnsi="Palatino Linotype" w:cs="Tahoma"/>
          <w:bCs/>
          <w:sz w:val="22"/>
          <w:szCs w:val="22"/>
          <w:lang w:eastAsia="en-US"/>
        </w:rPr>
      </w:pPr>
      <w:r w:rsidRPr="00CC312D">
        <w:rPr>
          <w:rFonts w:ascii="Palatino Linotype" w:eastAsia="Calibri" w:hAnsi="Palatino Linotype" w:cs="Tahoma"/>
          <w:bCs/>
          <w:sz w:val="22"/>
          <w:szCs w:val="22"/>
          <w:lang w:eastAsia="en-US"/>
        </w:rPr>
        <w:t xml:space="preserve">En principio, resulta necesario señalar que los comprobantes fiscales digitales por Internet, deben de incluir un código bidimensional conforme al formato </w:t>
      </w:r>
      <w:r w:rsidRPr="00CC312D">
        <w:rPr>
          <w:rFonts w:ascii="Palatino Linotype" w:eastAsia="Calibri" w:hAnsi="Palatino Linotype" w:cs="Tahoma"/>
          <w:bCs/>
          <w:i/>
          <w:sz w:val="22"/>
          <w:szCs w:val="22"/>
          <w:lang w:eastAsia="en-US"/>
        </w:rPr>
        <w:t>QR Code (Quick Response Code)</w:t>
      </w:r>
      <w:r w:rsidRPr="00CC312D">
        <w:rPr>
          <w:rFonts w:ascii="Palatino Linotype" w:eastAsia="Calibri" w:hAnsi="Palatino Linotype" w:cs="Tahoma"/>
          <w:bCs/>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CC312D">
          <w:rPr>
            <w:rFonts w:ascii="Palatino Linotype" w:eastAsia="Calibri" w:hAnsi="Palatino Linotype" w:cs="Tahoma"/>
            <w:bCs/>
            <w:sz w:val="22"/>
            <w:szCs w:val="22"/>
            <w:u w:val="single"/>
            <w:lang w:eastAsia="en-US"/>
          </w:rPr>
          <w:t>http://dof.gob.mx/nota_detalle.php?codigo=5492254&amp;fecha=28/07/2017</w:t>
        </w:r>
      </w:hyperlink>
      <w:r w:rsidRPr="00CC312D">
        <w:rPr>
          <w:rFonts w:ascii="Palatino Linotype" w:eastAsia="Calibri" w:hAnsi="Palatino Linotype" w:cs="Tahoma"/>
          <w:bCs/>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2C8CFD7E" w14:textId="77777777" w:rsidR="00CC312D" w:rsidRPr="00CC312D" w:rsidRDefault="00CC312D" w:rsidP="00CC312D">
      <w:pPr>
        <w:spacing w:line="360" w:lineRule="auto"/>
        <w:jc w:val="both"/>
        <w:rPr>
          <w:rFonts w:ascii="Palatino Linotype" w:eastAsia="Calibri" w:hAnsi="Palatino Linotype" w:cs="Tahoma"/>
          <w:bCs/>
          <w:sz w:val="22"/>
          <w:szCs w:val="22"/>
          <w:lang w:eastAsia="en-US"/>
        </w:rPr>
      </w:pPr>
    </w:p>
    <w:p w14:paraId="37E5A789" w14:textId="77777777" w:rsidR="00CC312D" w:rsidRPr="00CC312D" w:rsidRDefault="00CC312D" w:rsidP="00CC312D">
      <w:pPr>
        <w:spacing w:line="360" w:lineRule="auto"/>
        <w:jc w:val="both"/>
        <w:rPr>
          <w:rFonts w:ascii="Palatino Linotype" w:eastAsia="Calibri" w:hAnsi="Palatino Linotype" w:cs="Tahoma"/>
          <w:bCs/>
          <w:sz w:val="22"/>
          <w:szCs w:val="22"/>
          <w:lang w:eastAsia="en-US"/>
        </w:rPr>
      </w:pPr>
      <w:r w:rsidRPr="00CC312D">
        <w:rPr>
          <w:rFonts w:ascii="Palatino Linotype" w:eastAsia="Calibri" w:hAnsi="Palatino Linotype" w:cs="Tahoma"/>
          <w:bCs/>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005907AB" w14:textId="77777777" w:rsidR="00CC312D" w:rsidRPr="00CC312D" w:rsidRDefault="00CC312D" w:rsidP="00CC312D">
      <w:pPr>
        <w:spacing w:line="360" w:lineRule="auto"/>
        <w:jc w:val="both"/>
        <w:rPr>
          <w:rFonts w:ascii="Palatino Linotype" w:eastAsia="Calibri" w:hAnsi="Palatino Linotype" w:cs="Tahoma"/>
          <w:bCs/>
          <w:color w:val="FF0000"/>
          <w:sz w:val="22"/>
          <w:szCs w:val="22"/>
          <w:lang w:eastAsia="en-US"/>
        </w:rPr>
      </w:pPr>
    </w:p>
    <w:p w14:paraId="7287D6E0" w14:textId="77777777" w:rsidR="00CC312D" w:rsidRPr="00CC312D" w:rsidRDefault="00CC312D" w:rsidP="00CC312D">
      <w:pPr>
        <w:numPr>
          <w:ilvl w:val="0"/>
          <w:numId w:val="10"/>
        </w:numPr>
        <w:spacing w:after="160" w:line="360" w:lineRule="auto"/>
        <w:contextualSpacing/>
        <w:jc w:val="both"/>
        <w:rPr>
          <w:rFonts w:ascii="Palatino Linotype" w:hAnsi="Palatino Linotype" w:cs="Tahoma"/>
          <w:b/>
          <w:bCs/>
          <w:iCs/>
          <w:sz w:val="22"/>
          <w:szCs w:val="22"/>
          <w:lang w:eastAsia="es-MX"/>
        </w:rPr>
      </w:pPr>
      <w:r w:rsidRPr="00CC312D">
        <w:rPr>
          <w:rFonts w:ascii="Palatino Linotype" w:eastAsia="Calibri" w:hAnsi="Palatino Linotype" w:cs="Tahoma"/>
          <w:b/>
          <w:bCs/>
          <w:iCs/>
          <w:sz w:val="22"/>
          <w:szCs w:val="22"/>
          <w:lang w:eastAsia="es-MX"/>
        </w:rPr>
        <w:lastRenderedPageBreak/>
        <w:t>Número de seguridad social del Instituto de Seguridad Social del Estado de México y Municipios.</w:t>
      </w:r>
    </w:p>
    <w:p w14:paraId="604B5293" w14:textId="77777777" w:rsidR="00CC312D" w:rsidRPr="00CC312D" w:rsidRDefault="00CC312D" w:rsidP="00CC312D">
      <w:pPr>
        <w:spacing w:line="360" w:lineRule="auto"/>
        <w:jc w:val="both"/>
        <w:rPr>
          <w:rFonts w:ascii="Palatino Linotype" w:eastAsia="Calibri" w:hAnsi="Palatino Linotype" w:cs="Tahoma"/>
          <w:b/>
          <w:bCs/>
          <w:iCs/>
          <w:sz w:val="22"/>
          <w:szCs w:val="22"/>
          <w:lang w:eastAsia="es-MX"/>
        </w:rPr>
      </w:pPr>
    </w:p>
    <w:p w14:paraId="44ABBBBA"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B4D9EBF"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3BCFC680"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CC312D">
        <w:rPr>
          <w:rFonts w:ascii="Palatino Linotype" w:eastAsia="Calibri" w:hAnsi="Palatino Linotype" w:cs="Tahoma"/>
          <w:b/>
          <w:bCs/>
          <w:iCs/>
          <w:sz w:val="22"/>
          <w:szCs w:val="22"/>
          <w:lang w:eastAsia="es-MX"/>
        </w:rPr>
        <w:t>y se le asigna una clave para hacer identificable al trabajador con el objetivo de poder proporcionar los servicios que brinda el Instituto de Seguridad Social del Estado de México y Municipios.</w:t>
      </w:r>
    </w:p>
    <w:p w14:paraId="2CFEF06C"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4B5A237E"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C1084D2"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p>
    <w:p w14:paraId="00C44349" w14:textId="77777777" w:rsidR="00CC312D" w:rsidRPr="00CC312D" w:rsidRDefault="00CC312D" w:rsidP="00CC312D">
      <w:pPr>
        <w:spacing w:line="360" w:lineRule="auto"/>
        <w:jc w:val="both"/>
        <w:rPr>
          <w:rFonts w:ascii="Palatino Linotype" w:eastAsia="Calibri" w:hAnsi="Palatino Linotype" w:cs="Tahoma"/>
          <w:bCs/>
          <w:iCs/>
          <w:sz w:val="22"/>
          <w:szCs w:val="22"/>
          <w:lang w:eastAsia="es-MX"/>
        </w:rPr>
      </w:pPr>
      <w:r w:rsidRPr="00CC312D">
        <w:rPr>
          <w:rFonts w:ascii="Palatino Linotype" w:eastAsia="Calibri" w:hAnsi="Palatino Linotype" w:cs="Tahoma"/>
          <w:bCs/>
          <w:iCs/>
          <w:sz w:val="22"/>
          <w:szCs w:val="22"/>
          <w:lang w:eastAsia="es-MX"/>
        </w:rP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6995589" w14:textId="77777777" w:rsidR="00F76300" w:rsidRPr="00CC312D" w:rsidRDefault="00F76300" w:rsidP="00CC312D">
      <w:pPr>
        <w:spacing w:line="360" w:lineRule="auto"/>
        <w:jc w:val="both"/>
        <w:rPr>
          <w:rFonts w:ascii="Palatino Linotype" w:eastAsia="Palatino Linotype" w:hAnsi="Palatino Linotype" w:cs="Tahoma"/>
          <w:b/>
          <w:color w:val="000000"/>
          <w:sz w:val="22"/>
          <w:szCs w:val="22"/>
          <w:lang w:eastAsia="es-MX"/>
        </w:rPr>
      </w:pPr>
    </w:p>
    <w:p w14:paraId="769AA7C2" w14:textId="77777777" w:rsidR="00CC312D" w:rsidRPr="00CC312D" w:rsidRDefault="00CC312D" w:rsidP="00CC312D">
      <w:pPr>
        <w:numPr>
          <w:ilvl w:val="0"/>
          <w:numId w:val="36"/>
        </w:numPr>
        <w:spacing w:after="160" w:line="360" w:lineRule="auto"/>
        <w:jc w:val="both"/>
        <w:rPr>
          <w:rFonts w:ascii="Palatino Linotype" w:eastAsia="Calibri" w:hAnsi="Palatino Linotype"/>
          <w:b/>
          <w:color w:val="000000"/>
          <w:sz w:val="22"/>
          <w:szCs w:val="22"/>
          <w:lang w:eastAsia="en-US"/>
        </w:rPr>
      </w:pPr>
      <w:r w:rsidRPr="00CC312D">
        <w:rPr>
          <w:rFonts w:ascii="Palatino Linotype" w:eastAsia="Calibri" w:hAnsi="Palatino Linotype"/>
          <w:b/>
          <w:color w:val="000000"/>
          <w:sz w:val="22"/>
          <w:szCs w:val="22"/>
          <w:lang w:eastAsia="en-US"/>
        </w:rPr>
        <w:t>Deducciones personales</w:t>
      </w:r>
    </w:p>
    <w:p w14:paraId="2622B6A3" w14:textId="77777777" w:rsidR="00CC312D" w:rsidRPr="00CC312D" w:rsidRDefault="00CC312D" w:rsidP="00CC312D">
      <w:pPr>
        <w:spacing w:line="360" w:lineRule="auto"/>
        <w:ind w:left="720"/>
        <w:jc w:val="both"/>
        <w:rPr>
          <w:rFonts w:ascii="Palatino Linotype" w:eastAsia="Calibri" w:hAnsi="Palatino Linotype"/>
          <w:b/>
          <w:color w:val="000000"/>
          <w:sz w:val="22"/>
          <w:szCs w:val="22"/>
          <w:lang w:eastAsia="en-US"/>
        </w:rPr>
      </w:pPr>
    </w:p>
    <w:p w14:paraId="1CC55A1E" w14:textId="77777777" w:rsidR="00CC312D" w:rsidRPr="00CC312D" w:rsidRDefault="00CC312D" w:rsidP="00CC312D">
      <w:pPr>
        <w:spacing w:line="360" w:lineRule="auto"/>
        <w:jc w:val="both"/>
        <w:rPr>
          <w:rFonts w:ascii="Palatino Linotype" w:eastAsia="Calibri" w:hAnsi="Palatino Linotype"/>
          <w:color w:val="000000"/>
          <w:sz w:val="22"/>
          <w:szCs w:val="22"/>
          <w:lang w:eastAsia="en-US"/>
        </w:rPr>
      </w:pPr>
      <w:r w:rsidRPr="00CC312D">
        <w:rPr>
          <w:rFonts w:ascii="Palatino Linotype" w:eastAsia="Calibri" w:hAnsi="Palatino Linotype"/>
          <w:color w:val="000000"/>
          <w:sz w:val="22"/>
          <w:szCs w:val="22"/>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5A1EEEA3" w14:textId="77777777" w:rsidR="00CC312D" w:rsidRPr="00CC312D" w:rsidRDefault="00CC312D" w:rsidP="00CC312D">
      <w:pPr>
        <w:spacing w:line="360" w:lineRule="auto"/>
        <w:jc w:val="both"/>
        <w:rPr>
          <w:rFonts w:ascii="Palatino Linotype" w:eastAsia="Calibri" w:hAnsi="Palatino Linotype"/>
          <w:color w:val="000000"/>
          <w:sz w:val="22"/>
          <w:szCs w:val="22"/>
          <w:lang w:eastAsia="en-US"/>
        </w:rPr>
      </w:pPr>
    </w:p>
    <w:p w14:paraId="6FB5D6D4" w14:textId="77777777" w:rsidR="00CC312D" w:rsidRPr="00CC312D" w:rsidRDefault="00CC312D" w:rsidP="00CC312D">
      <w:pPr>
        <w:spacing w:line="360" w:lineRule="auto"/>
        <w:jc w:val="both"/>
        <w:rPr>
          <w:rFonts w:ascii="Palatino Linotype" w:eastAsia="Calibri" w:hAnsi="Palatino Linotype"/>
          <w:color w:val="000000"/>
          <w:sz w:val="22"/>
          <w:szCs w:val="22"/>
          <w:lang w:eastAsia="en-US"/>
        </w:rPr>
      </w:pPr>
      <w:r w:rsidRPr="00CC312D">
        <w:rPr>
          <w:rFonts w:ascii="Palatino Linotype" w:eastAsia="Calibri" w:hAnsi="Palatino Linotype"/>
          <w:color w:val="000000"/>
          <w:sz w:val="22"/>
          <w:szCs w:val="22"/>
          <w:lang w:eastAsia="en-US"/>
        </w:rPr>
        <w:t xml:space="preserve">Asimismo, hay otras que se generan con motivo de una sentencia judicial, como es la pensión alimenticia que periódicamente se retira de la cuenta de un empleado, a efecto de que sea entregado a un tercero.  </w:t>
      </w:r>
    </w:p>
    <w:p w14:paraId="2DFF6745" w14:textId="77777777" w:rsidR="00CC312D" w:rsidRPr="00CC312D" w:rsidRDefault="00CC312D" w:rsidP="00CC312D">
      <w:pPr>
        <w:spacing w:line="360" w:lineRule="auto"/>
        <w:jc w:val="both"/>
        <w:rPr>
          <w:rFonts w:ascii="Palatino Linotype" w:eastAsia="Calibri" w:hAnsi="Palatino Linotype"/>
          <w:color w:val="000000"/>
          <w:sz w:val="22"/>
          <w:szCs w:val="22"/>
          <w:lang w:eastAsia="en-US"/>
        </w:rPr>
      </w:pPr>
    </w:p>
    <w:p w14:paraId="3A299D68" w14:textId="77777777" w:rsidR="00CC312D" w:rsidRPr="00CC312D" w:rsidRDefault="00CC312D" w:rsidP="00CC312D">
      <w:pPr>
        <w:spacing w:line="360" w:lineRule="auto"/>
        <w:jc w:val="both"/>
        <w:rPr>
          <w:rFonts w:ascii="Palatino Linotype" w:eastAsia="Calibri" w:hAnsi="Palatino Linotype"/>
          <w:color w:val="000000"/>
          <w:sz w:val="22"/>
          <w:szCs w:val="22"/>
          <w:lang w:eastAsia="en-US"/>
        </w:rPr>
      </w:pPr>
      <w:r w:rsidRPr="00CC312D">
        <w:rPr>
          <w:rFonts w:ascii="Palatino Linotype" w:eastAsia="Calibri" w:hAnsi="Palatino Linotype"/>
          <w:color w:val="000000"/>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988625D" w14:textId="77777777" w:rsidR="00CC312D" w:rsidRPr="00CC312D" w:rsidRDefault="00CC312D" w:rsidP="00CC312D">
      <w:pPr>
        <w:spacing w:line="360" w:lineRule="auto"/>
        <w:jc w:val="both"/>
        <w:rPr>
          <w:rFonts w:ascii="Palatino Linotype" w:eastAsia="Calibri" w:hAnsi="Palatino Linotype"/>
          <w:color w:val="000000"/>
          <w:sz w:val="22"/>
          <w:szCs w:val="22"/>
          <w:lang w:eastAsia="en-US"/>
        </w:rPr>
      </w:pPr>
    </w:p>
    <w:p w14:paraId="303283D8" w14:textId="77777777" w:rsidR="00CC312D" w:rsidRPr="00CC312D" w:rsidRDefault="00CC312D" w:rsidP="00CC312D">
      <w:pPr>
        <w:spacing w:line="360" w:lineRule="auto"/>
        <w:jc w:val="both"/>
        <w:rPr>
          <w:rFonts w:ascii="Palatino Linotype" w:eastAsia="Calibri" w:hAnsi="Palatino Linotype"/>
          <w:b/>
          <w:bCs/>
          <w:color w:val="000000"/>
          <w:sz w:val="22"/>
          <w:szCs w:val="22"/>
          <w:lang w:eastAsia="en-US"/>
        </w:rPr>
      </w:pPr>
      <w:r w:rsidRPr="00CC312D">
        <w:rPr>
          <w:rFonts w:ascii="Palatino Linotype" w:eastAsia="Calibri" w:hAnsi="Palatino Linotype"/>
          <w:color w:val="000000"/>
          <w:sz w:val="22"/>
          <w:szCs w:val="22"/>
          <w:lang w:eastAsia="en-US"/>
        </w:rPr>
        <w:lastRenderedPageBreak/>
        <w:t>Así, dichas deducciones reflejan el destino que un servidor público da a su patrimonio y, por lo tanto, resulta procedente clasificar el monto y concepto de las deducciones personales, en términos del artículo 143, fracción I, de la Ley de Transparencia y Acceso a la Información Pública del Estado de México y Municipios.</w:t>
      </w:r>
    </w:p>
    <w:p w14:paraId="1CF8CB30" w14:textId="77777777" w:rsidR="00CC312D" w:rsidRDefault="00CC312D" w:rsidP="00CC312D">
      <w:pPr>
        <w:spacing w:line="360" w:lineRule="auto"/>
        <w:jc w:val="both"/>
        <w:rPr>
          <w:rFonts w:ascii="Palatino Linotype" w:eastAsia="Palatino Linotype" w:hAnsi="Palatino Linotype" w:cs="Tahoma"/>
          <w:b/>
          <w:color w:val="000000"/>
          <w:sz w:val="22"/>
          <w:szCs w:val="22"/>
          <w:lang w:eastAsia="es-MX"/>
        </w:rPr>
      </w:pPr>
    </w:p>
    <w:p w14:paraId="0F97C27D" w14:textId="77777777" w:rsidR="00CC312D" w:rsidRPr="00CC312D" w:rsidRDefault="00CC312D" w:rsidP="00CC312D">
      <w:pPr>
        <w:numPr>
          <w:ilvl w:val="0"/>
          <w:numId w:val="32"/>
        </w:numPr>
        <w:spacing w:after="160" w:line="360" w:lineRule="auto"/>
        <w:contextualSpacing/>
        <w:jc w:val="both"/>
        <w:rPr>
          <w:rFonts w:ascii="Palatino Linotype" w:hAnsi="Palatino Linotype" w:cs="Tahoma"/>
          <w:b/>
          <w:color w:val="000000"/>
          <w:sz w:val="22"/>
          <w:szCs w:val="22"/>
        </w:rPr>
      </w:pPr>
      <w:r w:rsidRPr="00CC312D">
        <w:rPr>
          <w:rFonts w:ascii="Palatino Linotype" w:hAnsi="Palatino Linotype" w:cs="Tahoma"/>
          <w:b/>
          <w:bCs/>
          <w:color w:val="000000"/>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y folio fiscal.</w:t>
      </w:r>
    </w:p>
    <w:p w14:paraId="4C0CE4EA" w14:textId="77777777" w:rsidR="00CC312D" w:rsidRPr="00CC312D" w:rsidRDefault="00CC312D" w:rsidP="00CC312D">
      <w:pPr>
        <w:spacing w:line="360" w:lineRule="auto"/>
        <w:ind w:right="-93"/>
        <w:jc w:val="both"/>
        <w:rPr>
          <w:rFonts w:ascii="Palatino Linotype" w:eastAsia="Palatino Linotype" w:hAnsi="Palatino Linotype" w:cs="Tahoma"/>
          <w:b/>
          <w:color w:val="000000"/>
          <w:sz w:val="22"/>
          <w:szCs w:val="22"/>
          <w:lang w:eastAsia="es-MX"/>
        </w:rPr>
      </w:pPr>
    </w:p>
    <w:p w14:paraId="25B6C4FE" w14:textId="77777777" w:rsidR="00CC312D" w:rsidRPr="00CC312D" w:rsidRDefault="00CC312D" w:rsidP="00CC312D">
      <w:pPr>
        <w:spacing w:line="360" w:lineRule="auto"/>
        <w:ind w:right="-91"/>
        <w:jc w:val="both"/>
        <w:rPr>
          <w:rFonts w:ascii="Palatino Linotype" w:eastAsia="Calibri" w:hAnsi="Palatino Linotype" w:cs="Tahoma"/>
          <w:bCs/>
          <w:color w:val="000000"/>
          <w:sz w:val="22"/>
          <w:szCs w:val="22"/>
          <w:lang w:val="es-ES" w:eastAsia="en-US"/>
        </w:rPr>
      </w:pPr>
      <w:r w:rsidRPr="00CC312D">
        <w:rPr>
          <w:rFonts w:ascii="Palatino Linotype" w:eastAsia="Calibri" w:hAnsi="Palatino Linotype" w:cs="Tahoma"/>
          <w:bCs/>
          <w:color w:val="000000"/>
          <w:sz w:val="22"/>
          <w:szCs w:val="22"/>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FB011E6" w14:textId="77777777" w:rsidR="00CC312D" w:rsidRPr="00CC312D" w:rsidRDefault="00CC312D" w:rsidP="00CC312D">
      <w:pPr>
        <w:spacing w:line="360" w:lineRule="auto"/>
        <w:ind w:right="-91"/>
        <w:jc w:val="both"/>
        <w:rPr>
          <w:rFonts w:ascii="Palatino Linotype" w:eastAsia="Calibri" w:hAnsi="Palatino Linotype" w:cs="Tahoma"/>
          <w:bCs/>
          <w:color w:val="000000"/>
          <w:sz w:val="22"/>
          <w:szCs w:val="22"/>
          <w:lang w:val="es-ES" w:eastAsia="en-US"/>
        </w:rPr>
      </w:pPr>
    </w:p>
    <w:p w14:paraId="50AB8549" w14:textId="77777777" w:rsidR="00CC312D" w:rsidRPr="00CC312D" w:rsidRDefault="00CC312D" w:rsidP="00CC312D">
      <w:pPr>
        <w:spacing w:line="360" w:lineRule="auto"/>
        <w:ind w:right="-91"/>
        <w:jc w:val="both"/>
        <w:rPr>
          <w:rFonts w:ascii="Palatino Linotype" w:eastAsia="Calibri" w:hAnsi="Palatino Linotype" w:cs="Tahoma"/>
          <w:bCs/>
          <w:color w:val="000000"/>
          <w:sz w:val="22"/>
          <w:szCs w:val="22"/>
          <w:lang w:val="es-ES" w:eastAsia="en-US"/>
        </w:rPr>
      </w:pPr>
      <w:r w:rsidRPr="00CC312D">
        <w:rPr>
          <w:rFonts w:ascii="Palatino Linotype" w:eastAsia="Calibri" w:hAnsi="Palatino Linotype" w:cs="Tahoma"/>
          <w:bCs/>
          <w:color w:val="000000"/>
          <w:sz w:val="22"/>
          <w:szCs w:val="22"/>
          <w:lang w:val="es-ES" w:eastAsia="en-US"/>
        </w:rPr>
        <w:t xml:space="preserve">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w:t>
      </w:r>
      <w:r w:rsidRPr="00CC312D">
        <w:rPr>
          <w:rFonts w:ascii="Palatino Linotype" w:eastAsia="Calibri" w:hAnsi="Palatino Linotype" w:cs="Tahoma"/>
          <w:bCs/>
          <w:color w:val="000000"/>
          <w:sz w:val="22"/>
          <w:szCs w:val="22"/>
          <w:lang w:val="es-ES" w:eastAsia="en-US"/>
        </w:rPr>
        <w:lastRenderedPageBreak/>
        <w:t>que se componen los elementos de seguridad y se puntualiza que dicha información está encriptada.</w:t>
      </w:r>
    </w:p>
    <w:p w14:paraId="5F252E8A" w14:textId="77777777" w:rsidR="00CC312D" w:rsidRPr="00CC312D" w:rsidRDefault="00CC312D" w:rsidP="00CC312D">
      <w:pPr>
        <w:spacing w:line="360" w:lineRule="auto"/>
        <w:ind w:right="-91"/>
        <w:jc w:val="both"/>
        <w:rPr>
          <w:rFonts w:ascii="Palatino Linotype" w:eastAsia="Calibri" w:hAnsi="Palatino Linotype" w:cs="Tahoma"/>
          <w:bCs/>
          <w:color w:val="000000"/>
          <w:sz w:val="22"/>
          <w:szCs w:val="22"/>
          <w:lang w:val="es-ES" w:eastAsia="en-US"/>
        </w:rPr>
      </w:pPr>
    </w:p>
    <w:p w14:paraId="307748FD" w14:textId="77777777" w:rsidR="00CC312D" w:rsidRDefault="00CC312D" w:rsidP="00CC312D">
      <w:pPr>
        <w:spacing w:line="360" w:lineRule="auto"/>
        <w:ind w:left="567" w:right="539"/>
        <w:jc w:val="both"/>
        <w:rPr>
          <w:rFonts w:ascii="Palatino Linotype" w:eastAsia="Calibri" w:hAnsi="Palatino Linotype" w:cs="Tahoma"/>
          <w:bCs/>
          <w:i/>
          <w:color w:val="000000"/>
          <w:lang w:val="es-ES" w:eastAsia="en-US"/>
        </w:rPr>
      </w:pPr>
      <w:r w:rsidRPr="00CC312D">
        <w:rPr>
          <w:rFonts w:ascii="Palatino Linotype" w:eastAsia="Calibri" w:hAnsi="Palatino Linotype" w:cs="Tahoma"/>
          <w:bCs/>
          <w:i/>
          <w:color w:val="000000"/>
          <w:lang w:val="es-ES" w:eastAsia="en-US"/>
        </w:rPr>
        <w:t>“Elementos utilizados en la generación de Sellos Digitales:</w:t>
      </w:r>
    </w:p>
    <w:p w14:paraId="6B37D81E" w14:textId="77777777" w:rsidR="00CC312D" w:rsidRPr="00CC312D" w:rsidRDefault="00CC312D" w:rsidP="00CC312D">
      <w:pPr>
        <w:spacing w:line="360" w:lineRule="auto"/>
        <w:ind w:left="567" w:right="539"/>
        <w:jc w:val="both"/>
        <w:rPr>
          <w:rFonts w:ascii="Palatino Linotype" w:eastAsia="Calibri" w:hAnsi="Palatino Linotype" w:cs="Tahoma"/>
          <w:bCs/>
          <w:i/>
          <w:color w:val="000000"/>
          <w:lang w:val="es-ES" w:eastAsia="en-US"/>
        </w:rPr>
      </w:pPr>
      <w:r w:rsidRPr="00CC312D">
        <w:rPr>
          <w:rFonts w:ascii="Palatino Linotype" w:eastAsia="Calibri" w:hAnsi="Palatino Linotype" w:cs="Tahoma"/>
          <w:bCs/>
          <w:i/>
          <w:color w:val="000000"/>
          <w:lang w:val="es-ES" w:eastAsia="en-US"/>
        </w:rPr>
        <w:t>•</w:t>
      </w:r>
      <w:r w:rsidRPr="00CC312D">
        <w:rPr>
          <w:rFonts w:ascii="Palatino Linotype" w:eastAsia="Calibri" w:hAnsi="Palatino Linotype" w:cs="Tahoma"/>
          <w:bCs/>
          <w:i/>
          <w:color w:val="000000"/>
          <w:lang w:val="es-ES" w:eastAsia="en-US"/>
        </w:rPr>
        <w:tab/>
        <w:t>Cadena Original, el elemento a sellar, en este caso de un comprobante fiscal digital a través de Internet.</w:t>
      </w:r>
    </w:p>
    <w:p w14:paraId="586AD84E" w14:textId="77777777" w:rsidR="00CC312D" w:rsidRPr="00CC312D" w:rsidRDefault="00CC312D" w:rsidP="00CC312D">
      <w:pPr>
        <w:spacing w:line="360" w:lineRule="auto"/>
        <w:ind w:left="567" w:right="539"/>
        <w:jc w:val="both"/>
        <w:rPr>
          <w:rFonts w:ascii="Palatino Linotype" w:eastAsia="Calibri" w:hAnsi="Palatino Linotype" w:cs="Tahoma"/>
          <w:bCs/>
          <w:i/>
          <w:color w:val="000000"/>
          <w:lang w:val="es-ES" w:eastAsia="en-US"/>
        </w:rPr>
      </w:pPr>
      <w:r w:rsidRPr="00CC312D">
        <w:rPr>
          <w:rFonts w:ascii="Palatino Linotype" w:eastAsia="Calibri" w:hAnsi="Palatino Linotype" w:cs="Tahoma"/>
          <w:bCs/>
          <w:i/>
          <w:color w:val="000000"/>
          <w:lang w:val="es-ES" w:eastAsia="en-US"/>
        </w:rPr>
        <w:t>•</w:t>
      </w:r>
      <w:r w:rsidRPr="00CC312D">
        <w:rPr>
          <w:rFonts w:ascii="Palatino Linotype" w:eastAsia="Calibri" w:hAnsi="Palatino Linotype" w:cs="Tahoma"/>
          <w:bCs/>
          <w:i/>
          <w:color w:val="000000"/>
          <w:lang w:val="es-ES" w:eastAsia="en-US"/>
        </w:rPr>
        <w:tab/>
        <w:t>Certificado de Sello Digital y su correspondiente clave privada.</w:t>
      </w:r>
    </w:p>
    <w:p w14:paraId="15F90746" w14:textId="77777777" w:rsidR="00CC312D" w:rsidRPr="00CC312D" w:rsidRDefault="00CC312D" w:rsidP="00CC312D">
      <w:pPr>
        <w:spacing w:line="360" w:lineRule="auto"/>
        <w:ind w:left="567" w:right="539"/>
        <w:jc w:val="both"/>
        <w:rPr>
          <w:rFonts w:ascii="Palatino Linotype" w:eastAsia="Calibri" w:hAnsi="Palatino Linotype" w:cs="Tahoma"/>
          <w:bCs/>
          <w:i/>
          <w:color w:val="000000"/>
          <w:lang w:val="es-ES" w:eastAsia="en-US"/>
        </w:rPr>
      </w:pPr>
      <w:r w:rsidRPr="00CC312D">
        <w:rPr>
          <w:rFonts w:ascii="Palatino Linotype" w:eastAsia="Calibri" w:hAnsi="Palatino Linotype" w:cs="Tahoma"/>
          <w:bCs/>
          <w:i/>
          <w:color w:val="000000"/>
          <w:lang w:val="es-ES" w:eastAsia="en-US"/>
        </w:rPr>
        <w:t>•</w:t>
      </w:r>
      <w:r w:rsidRPr="00CC312D">
        <w:rPr>
          <w:rFonts w:ascii="Palatino Linotype" w:eastAsia="Calibri" w:hAnsi="Palatino Linotype" w:cs="Tahoma"/>
          <w:bCs/>
          <w:i/>
          <w:color w:val="000000"/>
          <w:lang w:val="es-ES" w:eastAsia="en-US"/>
        </w:rPr>
        <w:tab/>
        <w:t>Algoritmos de criptografía de clave pública para firma electrónica avanzada.</w:t>
      </w:r>
    </w:p>
    <w:p w14:paraId="0D98C13B" w14:textId="77777777" w:rsidR="00CC312D" w:rsidRPr="00CC312D" w:rsidRDefault="00CC312D" w:rsidP="00CC312D">
      <w:pPr>
        <w:spacing w:line="360" w:lineRule="auto"/>
        <w:ind w:left="567" w:right="539"/>
        <w:jc w:val="both"/>
        <w:rPr>
          <w:rFonts w:ascii="Palatino Linotype" w:eastAsia="Calibri" w:hAnsi="Palatino Linotype" w:cs="Tahoma"/>
          <w:bCs/>
          <w:i/>
          <w:color w:val="000000"/>
          <w:lang w:val="es-ES" w:eastAsia="en-US"/>
        </w:rPr>
      </w:pPr>
      <w:r w:rsidRPr="00CC312D">
        <w:rPr>
          <w:rFonts w:ascii="Palatino Linotype" w:eastAsia="Calibri" w:hAnsi="Palatino Linotype" w:cs="Tahoma"/>
          <w:bCs/>
          <w:i/>
          <w:color w:val="000000"/>
          <w:lang w:val="es-ES" w:eastAsia="en-US"/>
        </w:rPr>
        <w:t>•</w:t>
      </w:r>
      <w:r w:rsidRPr="00CC312D">
        <w:rPr>
          <w:rFonts w:ascii="Palatino Linotype" w:eastAsia="Calibri" w:hAnsi="Palatino Linotype" w:cs="Tahoma"/>
          <w:bCs/>
          <w:i/>
          <w:color w:val="000000"/>
          <w:lang w:val="es-ES" w:eastAsia="en-US"/>
        </w:rPr>
        <w:tab/>
        <w:t>Especificaciones de conversión de la firma electrónica avanzada a Base 64.</w:t>
      </w:r>
    </w:p>
    <w:p w14:paraId="38399BC6" w14:textId="77777777" w:rsidR="00CC312D" w:rsidRPr="00CC312D" w:rsidRDefault="00CC312D" w:rsidP="00CC312D">
      <w:pPr>
        <w:spacing w:line="360" w:lineRule="auto"/>
        <w:ind w:left="567" w:right="539"/>
        <w:jc w:val="both"/>
        <w:rPr>
          <w:rFonts w:ascii="Palatino Linotype" w:eastAsia="Calibri" w:hAnsi="Palatino Linotype" w:cs="Tahoma"/>
          <w:bCs/>
          <w:i/>
          <w:color w:val="000000"/>
          <w:lang w:val="es-ES" w:eastAsia="en-US"/>
        </w:rPr>
      </w:pPr>
      <w:r w:rsidRPr="00CC312D">
        <w:rPr>
          <w:rFonts w:ascii="Palatino Linotype" w:eastAsia="Calibri" w:hAnsi="Palatino Linotype" w:cs="Tahoma"/>
          <w:bCs/>
          <w:i/>
          <w:color w:val="000000"/>
          <w:lang w:val="es-ES" w:eastAsia="en-US"/>
        </w:rPr>
        <w:t>Para la generación de sellos digitales se utiliza criptografía de clave pública aplicada a una cadena original.</w:t>
      </w:r>
    </w:p>
    <w:p w14:paraId="1519BC45" w14:textId="77777777" w:rsidR="00CC312D" w:rsidRPr="00CC312D" w:rsidRDefault="00CC312D" w:rsidP="00CC312D">
      <w:pPr>
        <w:spacing w:line="360" w:lineRule="auto"/>
        <w:ind w:left="567" w:right="539"/>
        <w:jc w:val="both"/>
        <w:rPr>
          <w:rFonts w:ascii="Palatino Linotype" w:eastAsia="Calibri" w:hAnsi="Palatino Linotype" w:cs="Tahoma"/>
          <w:bCs/>
          <w:i/>
          <w:color w:val="000000"/>
          <w:lang w:val="es-ES" w:eastAsia="en-US"/>
        </w:rPr>
      </w:pPr>
    </w:p>
    <w:p w14:paraId="17586588" w14:textId="77777777" w:rsidR="00CC312D" w:rsidRPr="00CC312D" w:rsidRDefault="00CC312D" w:rsidP="00CC312D">
      <w:pPr>
        <w:spacing w:line="360" w:lineRule="auto"/>
        <w:ind w:left="567" w:right="539"/>
        <w:jc w:val="both"/>
        <w:rPr>
          <w:rFonts w:ascii="Palatino Linotype" w:eastAsia="Calibri" w:hAnsi="Palatino Linotype" w:cs="Tahoma"/>
          <w:bCs/>
          <w:i/>
          <w:color w:val="000000"/>
          <w:lang w:val="es-ES" w:eastAsia="en-US"/>
        </w:rPr>
      </w:pPr>
      <w:r w:rsidRPr="00CC312D">
        <w:rPr>
          <w:rFonts w:ascii="Palatino Linotype" w:eastAsia="Calibri" w:hAnsi="Palatino Linotype" w:cs="Tahoma"/>
          <w:bCs/>
          <w:i/>
          <w:color w:val="000000"/>
          <w:lang w:val="es-ES" w:eastAsia="en-US"/>
        </w:rPr>
        <w:t>Criptografía de la Clave Pública</w:t>
      </w:r>
    </w:p>
    <w:p w14:paraId="353BCA4E" w14:textId="77777777" w:rsidR="00CC312D" w:rsidRPr="00CC312D" w:rsidRDefault="00CC312D" w:rsidP="00CC312D">
      <w:pPr>
        <w:spacing w:line="360" w:lineRule="auto"/>
        <w:ind w:left="567" w:right="539"/>
        <w:jc w:val="both"/>
        <w:rPr>
          <w:rFonts w:ascii="Palatino Linotype" w:eastAsia="Calibri" w:hAnsi="Palatino Linotype" w:cs="Tahoma"/>
          <w:bCs/>
          <w:i/>
          <w:color w:val="000000"/>
          <w:lang w:val="es-ES" w:eastAsia="en-US"/>
        </w:rPr>
      </w:pPr>
      <w:r w:rsidRPr="00CC312D">
        <w:rPr>
          <w:rFonts w:ascii="Palatino Linotype" w:eastAsia="Calibri" w:hAnsi="Palatino Linotype" w:cs="Tahoma"/>
          <w:bCs/>
          <w:i/>
          <w:color w:val="000000"/>
          <w:lang w:val="es-ES" w:eastAsia="en-US"/>
        </w:rPr>
        <w:t xml:space="preserve">La criptografía de Clave Pública se basa en la generación de una pareja de números muy grandes relacionados íntimamente entre sí, de tal manera que una operación de </w:t>
      </w:r>
      <w:proofErr w:type="spellStart"/>
      <w:r w:rsidRPr="00CC312D">
        <w:rPr>
          <w:rFonts w:ascii="Palatino Linotype" w:eastAsia="Calibri" w:hAnsi="Palatino Linotype" w:cs="Tahoma"/>
          <w:bCs/>
          <w:i/>
          <w:color w:val="000000"/>
          <w:lang w:val="es-ES" w:eastAsia="en-US"/>
        </w:rPr>
        <w:t>encripción</w:t>
      </w:r>
      <w:proofErr w:type="spellEnd"/>
      <w:r w:rsidRPr="00CC312D">
        <w:rPr>
          <w:rFonts w:ascii="Palatino Linotype" w:eastAsia="Calibri" w:hAnsi="Palatino Linotype" w:cs="Tahoma"/>
          <w:bCs/>
          <w:i/>
          <w:color w:val="000000"/>
          <w:lang w:val="es-ES" w:eastAsia="en-US"/>
        </w:rPr>
        <w:t xml:space="preserve"> sobre un mensaje tomando como clave de </w:t>
      </w:r>
      <w:proofErr w:type="spellStart"/>
      <w:r w:rsidRPr="00CC312D">
        <w:rPr>
          <w:rFonts w:ascii="Palatino Linotype" w:eastAsia="Calibri" w:hAnsi="Palatino Linotype" w:cs="Tahoma"/>
          <w:bCs/>
          <w:i/>
          <w:color w:val="000000"/>
          <w:lang w:val="es-ES" w:eastAsia="en-US"/>
        </w:rPr>
        <w:t>encripción</w:t>
      </w:r>
      <w:proofErr w:type="spellEnd"/>
      <w:r w:rsidRPr="00CC312D">
        <w:rPr>
          <w:rFonts w:ascii="Palatino Linotype" w:eastAsia="Calibri" w:hAnsi="Palatino Linotype" w:cs="Tahoma"/>
          <w:bCs/>
          <w:i/>
          <w:color w:val="000000"/>
          <w:lang w:val="es-ES" w:eastAsia="en-US"/>
        </w:rPr>
        <w:t xml:space="preserve"> a uno de los dos números, produce un mensaje alterado en su significado que solo puede ser devuelto a su estado original mediante la operación de descripción correspondiente tomando como clave de descripción al otro número de la pareja.”</w:t>
      </w:r>
    </w:p>
    <w:p w14:paraId="3AB32CDE" w14:textId="77777777" w:rsidR="00CC312D" w:rsidRPr="00CC312D" w:rsidRDefault="00CC312D" w:rsidP="00CC312D">
      <w:pPr>
        <w:spacing w:line="360" w:lineRule="auto"/>
        <w:ind w:right="-91"/>
        <w:jc w:val="both"/>
        <w:rPr>
          <w:rFonts w:ascii="Palatino Linotype" w:eastAsia="Calibri" w:hAnsi="Palatino Linotype" w:cs="Tahoma"/>
          <w:bCs/>
          <w:color w:val="000000"/>
          <w:sz w:val="22"/>
          <w:szCs w:val="22"/>
          <w:lang w:val="es-ES" w:eastAsia="en-US"/>
        </w:rPr>
      </w:pPr>
    </w:p>
    <w:p w14:paraId="06CD24FB" w14:textId="77777777" w:rsidR="00CC312D" w:rsidRPr="00CC312D" w:rsidRDefault="00CC312D" w:rsidP="00CC312D">
      <w:pPr>
        <w:spacing w:line="360" w:lineRule="auto"/>
        <w:jc w:val="both"/>
        <w:rPr>
          <w:rFonts w:ascii="Palatino Linotype" w:eastAsia="Calibri" w:hAnsi="Palatino Linotype" w:cs="Tahoma"/>
          <w:bCs/>
          <w:color w:val="000000"/>
          <w:sz w:val="22"/>
          <w:szCs w:val="22"/>
          <w:lang w:val="es-ES" w:eastAsia="en-US"/>
        </w:rPr>
      </w:pPr>
      <w:r w:rsidRPr="00CC312D">
        <w:rPr>
          <w:rFonts w:ascii="Palatino Linotype" w:eastAsia="Calibri" w:hAnsi="Palatino Linotype" w:cs="Tahoma"/>
          <w:bCs/>
          <w:color w:val="000000"/>
          <w:sz w:val="22"/>
          <w:szCs w:val="22"/>
          <w:lang w:val="es-ES"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7106CFB" w14:textId="77777777" w:rsidR="00CC312D" w:rsidRPr="00CC312D" w:rsidRDefault="00CC312D" w:rsidP="00CC312D">
      <w:pPr>
        <w:spacing w:line="360" w:lineRule="auto"/>
        <w:jc w:val="both"/>
        <w:rPr>
          <w:rFonts w:ascii="Palatino Linotype" w:eastAsia="Calibri" w:hAnsi="Palatino Linotype" w:cs="Tahoma"/>
          <w:bCs/>
          <w:color w:val="000000"/>
          <w:sz w:val="22"/>
          <w:szCs w:val="22"/>
          <w:lang w:val="es-ES" w:eastAsia="en-US"/>
        </w:rPr>
      </w:pPr>
    </w:p>
    <w:p w14:paraId="1C318AB7" w14:textId="77777777" w:rsidR="00CC312D" w:rsidRPr="00CC312D" w:rsidRDefault="00CC312D" w:rsidP="00CC312D">
      <w:pPr>
        <w:spacing w:line="360" w:lineRule="auto"/>
        <w:jc w:val="both"/>
        <w:rPr>
          <w:rFonts w:ascii="Palatino Linotype" w:eastAsia="Palatino Linotype" w:hAnsi="Palatino Linotype" w:cs="Palatino Linotype"/>
          <w:color w:val="000000"/>
          <w:sz w:val="22"/>
          <w:szCs w:val="22"/>
          <w:lang w:eastAsia="es-MX"/>
        </w:rPr>
      </w:pPr>
      <w:r w:rsidRPr="00CC312D">
        <w:rPr>
          <w:rFonts w:ascii="Palatino Linotype" w:eastAsia="Palatino Linotype" w:hAnsi="Palatino Linotype" w:cs="Palatino Linotype"/>
          <w:color w:val="000000"/>
          <w:sz w:val="22"/>
          <w:szCs w:val="22"/>
          <w:lang w:eastAsia="es-MX"/>
        </w:rPr>
        <w:t xml:space="preserve">Cabe señalar que, en algunos casos, las cadenas originales y sellos digitales, se pueden conformar de datos confidenciales, tales como el Registro Federal de Contribuyentes o la Clave Única de Registro de Población o las deducciones personales; por lo que, en su caso </w:t>
      </w:r>
      <w:r w:rsidRPr="00CC312D">
        <w:rPr>
          <w:rFonts w:ascii="Palatino Linotype" w:eastAsia="Palatino Linotype" w:hAnsi="Palatino Linotype" w:cs="Palatino Linotype"/>
          <w:color w:val="000000"/>
          <w:sz w:val="22"/>
          <w:szCs w:val="22"/>
          <w:lang w:eastAsia="es-MX"/>
        </w:rPr>
        <w:lastRenderedPageBreak/>
        <w:t>actualizarían actualiza la clasificación, en términos del artículo 143, fracción I, de la Ley de la materia.</w:t>
      </w:r>
    </w:p>
    <w:p w14:paraId="33A3446E" w14:textId="77777777" w:rsidR="00CC312D" w:rsidRPr="00CC312D" w:rsidRDefault="00CC312D" w:rsidP="00CC312D">
      <w:pPr>
        <w:spacing w:line="360" w:lineRule="auto"/>
        <w:jc w:val="both"/>
        <w:rPr>
          <w:rFonts w:ascii="Palatino Linotype" w:eastAsia="Calibri" w:hAnsi="Palatino Linotype" w:cs="Tahoma"/>
          <w:bCs/>
          <w:color w:val="000000"/>
          <w:sz w:val="22"/>
          <w:szCs w:val="22"/>
          <w:lang w:val="es-ES" w:eastAsia="en-US"/>
        </w:rPr>
      </w:pPr>
    </w:p>
    <w:p w14:paraId="19850169" w14:textId="77777777" w:rsidR="00CC312D" w:rsidRPr="00CC312D" w:rsidRDefault="00CC312D" w:rsidP="00CC312D">
      <w:pPr>
        <w:spacing w:line="360" w:lineRule="auto"/>
        <w:jc w:val="both"/>
        <w:rPr>
          <w:rFonts w:ascii="Palatino Linotype" w:eastAsia="Calibri" w:hAnsi="Palatino Linotype" w:cs="Tahoma"/>
          <w:bCs/>
          <w:color w:val="000000"/>
          <w:sz w:val="22"/>
          <w:szCs w:val="22"/>
          <w:lang w:val="es-ES" w:eastAsia="en-US"/>
        </w:rPr>
      </w:pPr>
      <w:r w:rsidRPr="00CC312D">
        <w:rPr>
          <w:rFonts w:ascii="Palatino Linotype" w:eastAsia="Calibri" w:hAnsi="Palatino Linotype" w:cs="Tahoma"/>
          <w:bCs/>
          <w:color w:val="000000"/>
          <w:sz w:val="22"/>
          <w:szCs w:val="22"/>
          <w:lang w:val="es-ES" w:eastAsia="en-U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entonces Instituto Nacional electoral (página electrónica </w:t>
      </w:r>
      <w:hyperlink r:id="rId11" w:history="1">
        <w:r w:rsidRPr="00CC312D">
          <w:rPr>
            <w:rFonts w:ascii="Palatino Linotype" w:eastAsia="Calibri" w:hAnsi="Palatino Linotype" w:cs="Tahoma"/>
            <w:bCs/>
            <w:color w:val="0563C1"/>
            <w:sz w:val="22"/>
            <w:szCs w:val="22"/>
            <w:u w:val="single"/>
            <w:lang w:eastAsia="en-US"/>
          </w:rPr>
          <w:t>https://portalanterior.ine.mx/archivos2/tutoriales/sistemas/ApoyoInstitucional/SIF/docs/candidatos/folioFiscalFactura.pdf</w:t>
        </w:r>
      </w:hyperlink>
      <w:r w:rsidRPr="00CC312D">
        <w:rPr>
          <w:rFonts w:ascii="Palatino Linotype" w:eastAsia="Calibri" w:hAnsi="Palatino Linotype" w:cs="Tahoma"/>
          <w:bCs/>
          <w:color w:val="000000"/>
          <w:sz w:val="22"/>
          <w:szCs w:val="22"/>
          <w:lang w:val="es-ES" w:eastAsia="en-US"/>
        </w:rPr>
        <w:t>), en la cual se advierte que únicamente se encuentra conformado por números, se muestra a continuación:</w:t>
      </w:r>
    </w:p>
    <w:p w14:paraId="1E93DDA2" w14:textId="77777777" w:rsidR="00CC312D" w:rsidRPr="00CC312D" w:rsidRDefault="00CC312D" w:rsidP="00CC312D">
      <w:pPr>
        <w:spacing w:line="360" w:lineRule="auto"/>
        <w:jc w:val="both"/>
        <w:rPr>
          <w:rFonts w:ascii="Palatino Linotype" w:eastAsia="Calibri" w:hAnsi="Palatino Linotype" w:cs="Tahoma"/>
          <w:bCs/>
          <w:color w:val="000000"/>
          <w:sz w:val="22"/>
          <w:szCs w:val="22"/>
          <w:lang w:val="es-ES" w:eastAsia="en-US"/>
        </w:rPr>
      </w:pPr>
    </w:p>
    <w:p w14:paraId="29AA4414" w14:textId="77777777" w:rsidR="00CC312D" w:rsidRPr="00CC312D" w:rsidRDefault="00CC312D" w:rsidP="00F76300">
      <w:pPr>
        <w:spacing w:line="360" w:lineRule="auto"/>
        <w:jc w:val="center"/>
        <w:rPr>
          <w:rFonts w:ascii="Palatino Linotype" w:eastAsia="Calibri" w:hAnsi="Palatino Linotype" w:cs="Tahoma"/>
          <w:bCs/>
          <w:color w:val="000000"/>
          <w:sz w:val="22"/>
          <w:szCs w:val="22"/>
          <w:lang w:val="es-ES" w:eastAsia="en-US"/>
        </w:rPr>
      </w:pPr>
      <w:r w:rsidRPr="00CC312D">
        <w:rPr>
          <w:rFonts w:ascii="Palatino Linotype" w:eastAsia="Palatino Linotype" w:hAnsi="Palatino Linotype" w:cs="Palatino Linotype"/>
          <w:noProof/>
          <w:color w:val="000000"/>
          <w:sz w:val="22"/>
          <w:szCs w:val="22"/>
          <w:lang w:eastAsia="es-MX"/>
        </w:rPr>
        <mc:AlternateContent>
          <mc:Choice Requires="wps">
            <w:drawing>
              <wp:anchor distT="0" distB="0" distL="114300" distR="114300" simplePos="0" relativeHeight="251659264" behindDoc="0" locked="0" layoutInCell="1" allowOverlap="1" wp14:anchorId="5A32EF80" wp14:editId="1783AD4D">
                <wp:simplePos x="0" y="0"/>
                <wp:positionH relativeFrom="column">
                  <wp:posOffset>286385</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308C1" id="Rectángulo 19" o:spid="_x0000_s1026" style="position:absolute;margin-left:22.5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" filled="f" strokecolor="windowText" strokeweight="2.25pt"/>
            </w:pict>
          </mc:Fallback>
        </mc:AlternateContent>
      </w:r>
      <w:r w:rsidRPr="00CC312D">
        <w:rPr>
          <w:rFonts w:ascii="Palatino Linotype" w:eastAsia="Palatino Linotype" w:hAnsi="Palatino Linotype" w:cs="Palatino Linotype"/>
          <w:noProof/>
          <w:color w:val="000000"/>
          <w:sz w:val="22"/>
          <w:szCs w:val="22"/>
          <w:lang w:eastAsia="es-MX"/>
        </w:rPr>
        <w:drawing>
          <wp:inline distT="0" distB="0" distL="0" distR="0" wp14:anchorId="74C7697A" wp14:editId="21266C07">
            <wp:extent cx="5437410" cy="10572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56959" cy="1061076"/>
                    </a:xfrm>
                    <a:prstGeom prst="rect">
                      <a:avLst/>
                    </a:prstGeom>
                  </pic:spPr>
                </pic:pic>
              </a:graphicData>
            </a:graphic>
          </wp:inline>
        </w:drawing>
      </w:r>
    </w:p>
    <w:p w14:paraId="04027DE6" w14:textId="77777777" w:rsidR="00CC312D" w:rsidRPr="00CC312D" w:rsidRDefault="00CC312D" w:rsidP="00CC312D">
      <w:pPr>
        <w:spacing w:line="360" w:lineRule="auto"/>
        <w:jc w:val="both"/>
        <w:rPr>
          <w:rFonts w:ascii="Palatino Linotype" w:eastAsia="Calibri" w:hAnsi="Palatino Linotype" w:cs="Tahoma"/>
          <w:bCs/>
          <w:color w:val="000000"/>
          <w:sz w:val="22"/>
          <w:szCs w:val="22"/>
          <w:lang w:val="es-ES" w:eastAsia="en-US"/>
        </w:rPr>
      </w:pPr>
    </w:p>
    <w:p w14:paraId="6EA490BB" w14:textId="77777777" w:rsidR="00CC312D" w:rsidRPr="00CC312D" w:rsidRDefault="00CC312D" w:rsidP="00CC312D">
      <w:pPr>
        <w:spacing w:line="360" w:lineRule="auto"/>
        <w:jc w:val="both"/>
        <w:rPr>
          <w:rFonts w:ascii="Palatino Linotype" w:eastAsia="Calibri" w:hAnsi="Palatino Linotype" w:cs="Tahoma"/>
          <w:bCs/>
          <w:color w:val="000000"/>
          <w:sz w:val="22"/>
          <w:szCs w:val="22"/>
          <w:lang w:val="es-ES" w:eastAsia="en-US"/>
        </w:rPr>
      </w:pPr>
      <w:r w:rsidRPr="00CC312D">
        <w:rPr>
          <w:rFonts w:ascii="Palatino Linotype" w:eastAsia="Calibri" w:hAnsi="Palatino Linotype" w:cs="Tahoma"/>
          <w:bCs/>
          <w:color w:val="000000"/>
          <w:sz w:val="22"/>
          <w:szCs w:val="22"/>
          <w:lang w:val="es-ES" w:eastAsia="en-U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CC312D">
        <w:rPr>
          <w:rFonts w:ascii="Palatino Linotype" w:eastAsia="Calibri" w:hAnsi="Palatino Linotype" w:cs="Tahoma"/>
          <w:b/>
          <w:bCs/>
          <w:color w:val="000000"/>
          <w:sz w:val="22"/>
          <w:szCs w:val="22"/>
          <w:lang w:val="es-ES" w:eastAsia="en-US"/>
        </w:rPr>
        <w:t>Máxime que permite corroborar la legitimidad a la factura, pues amparan la utilización de los certificados de sellos digitales válidos.</w:t>
      </w:r>
    </w:p>
    <w:p w14:paraId="3A514E45" w14:textId="77777777" w:rsidR="00CC312D" w:rsidRPr="00CC312D" w:rsidRDefault="00CC312D" w:rsidP="00CC312D">
      <w:pPr>
        <w:spacing w:line="360" w:lineRule="auto"/>
        <w:jc w:val="both"/>
        <w:rPr>
          <w:rFonts w:ascii="Palatino Linotype" w:eastAsia="Calibri" w:hAnsi="Palatino Linotype" w:cs="Tahoma"/>
          <w:bCs/>
          <w:color w:val="000000"/>
          <w:sz w:val="22"/>
          <w:szCs w:val="22"/>
          <w:lang w:val="es-ES" w:eastAsia="en-US"/>
        </w:rPr>
      </w:pPr>
    </w:p>
    <w:p w14:paraId="5C347C1D" w14:textId="77777777" w:rsidR="00CC312D" w:rsidRPr="00CC312D" w:rsidRDefault="00CC312D" w:rsidP="00CC312D">
      <w:pPr>
        <w:spacing w:line="360" w:lineRule="auto"/>
        <w:jc w:val="both"/>
        <w:rPr>
          <w:rFonts w:ascii="Palatino Linotype" w:eastAsia="Calibri" w:hAnsi="Palatino Linotype" w:cs="Tahoma"/>
          <w:bCs/>
          <w:color w:val="000000"/>
          <w:sz w:val="22"/>
          <w:szCs w:val="22"/>
          <w:lang w:val="es-ES" w:eastAsia="en-US"/>
        </w:rPr>
      </w:pPr>
      <w:r w:rsidRPr="00CC312D">
        <w:rPr>
          <w:rFonts w:ascii="Palatino Linotype" w:eastAsia="Calibri" w:hAnsi="Palatino Linotype" w:cs="Tahoma"/>
          <w:bCs/>
          <w:color w:val="000000"/>
          <w:sz w:val="22"/>
          <w:szCs w:val="22"/>
          <w:lang w:val="es-ES" w:eastAsia="en-US"/>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48A5693" w14:textId="77777777" w:rsidR="00CC312D" w:rsidRPr="00CC312D" w:rsidRDefault="00CC312D" w:rsidP="00CC312D">
      <w:pPr>
        <w:spacing w:line="360" w:lineRule="auto"/>
        <w:jc w:val="both"/>
        <w:rPr>
          <w:rFonts w:ascii="Palatino Linotype" w:eastAsia="Calibri" w:hAnsi="Palatino Linotype" w:cs="Tahoma"/>
          <w:bCs/>
          <w:color w:val="000000"/>
          <w:sz w:val="22"/>
          <w:szCs w:val="22"/>
          <w:lang w:val="es-ES" w:eastAsia="en-US"/>
        </w:rPr>
      </w:pPr>
    </w:p>
    <w:p w14:paraId="2A2830C7" w14:textId="77777777" w:rsidR="00CC312D" w:rsidRPr="00CC312D" w:rsidRDefault="00CC312D" w:rsidP="00341842">
      <w:pPr>
        <w:spacing w:line="360" w:lineRule="auto"/>
        <w:jc w:val="center"/>
        <w:rPr>
          <w:rFonts w:ascii="Palatino Linotype" w:eastAsia="Calibri" w:hAnsi="Palatino Linotype" w:cs="Tahoma"/>
          <w:bCs/>
          <w:color w:val="000000"/>
          <w:sz w:val="22"/>
          <w:szCs w:val="22"/>
          <w:lang w:val="es-ES" w:eastAsia="en-US"/>
        </w:rPr>
      </w:pPr>
      <w:r w:rsidRPr="00CC312D">
        <w:rPr>
          <w:rFonts w:ascii="Palatino Linotype" w:eastAsia="Palatino Linotype" w:hAnsi="Palatino Linotype" w:cs="Palatino Linotype"/>
          <w:noProof/>
          <w:color w:val="000000"/>
          <w:sz w:val="22"/>
          <w:szCs w:val="22"/>
          <w:lang w:eastAsia="es-MX"/>
        </w:rPr>
        <w:drawing>
          <wp:inline distT="0" distB="0" distL="0" distR="0" wp14:anchorId="5A0B0203" wp14:editId="765B07C2">
            <wp:extent cx="4810125" cy="137672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2787"/>
                    <a:stretch/>
                  </pic:blipFill>
                  <pic:spPr bwMode="auto">
                    <a:xfrm>
                      <a:off x="0" y="0"/>
                      <a:ext cx="4826281" cy="1381344"/>
                    </a:xfrm>
                    <a:prstGeom prst="rect">
                      <a:avLst/>
                    </a:prstGeom>
                    <a:ln>
                      <a:noFill/>
                    </a:ln>
                    <a:extLst>
                      <a:ext uri="{53640926-AAD7-44D8-BBD7-CCE9431645EC}">
                        <a14:shadowObscured xmlns:a14="http://schemas.microsoft.com/office/drawing/2010/main"/>
                      </a:ext>
                    </a:extLst>
                  </pic:spPr>
                </pic:pic>
              </a:graphicData>
            </a:graphic>
          </wp:inline>
        </w:drawing>
      </w:r>
    </w:p>
    <w:p w14:paraId="62E400EE" w14:textId="77777777" w:rsidR="00CC312D" w:rsidRPr="00CC312D" w:rsidRDefault="00CC312D" w:rsidP="00CC312D">
      <w:pPr>
        <w:spacing w:line="360" w:lineRule="auto"/>
        <w:jc w:val="both"/>
        <w:rPr>
          <w:rFonts w:ascii="Palatino Linotype" w:eastAsia="Palatino Linotype" w:hAnsi="Palatino Linotype" w:cs="Palatino Linotype"/>
          <w:b/>
          <w:color w:val="000000"/>
          <w:sz w:val="22"/>
          <w:szCs w:val="22"/>
          <w:u w:val="single"/>
          <w:lang w:val="es-ES" w:eastAsia="es-MX"/>
        </w:rPr>
      </w:pPr>
    </w:p>
    <w:p w14:paraId="6004A4F8" w14:textId="77777777" w:rsidR="00CC312D" w:rsidRPr="00CC312D" w:rsidRDefault="00CC312D" w:rsidP="00CC312D">
      <w:pPr>
        <w:spacing w:line="360" w:lineRule="auto"/>
        <w:jc w:val="both"/>
        <w:rPr>
          <w:rFonts w:ascii="Palatino Linotype" w:eastAsia="Palatino Linotype" w:hAnsi="Palatino Linotype" w:cs="Palatino Linotype"/>
          <w:color w:val="000000"/>
          <w:sz w:val="22"/>
          <w:szCs w:val="22"/>
          <w:lang w:val="es-ES" w:eastAsia="es-MX"/>
        </w:rPr>
      </w:pPr>
      <w:r w:rsidRPr="00CC312D">
        <w:rPr>
          <w:rFonts w:ascii="Palatino Linotype" w:eastAsia="Palatino Linotype" w:hAnsi="Palatino Linotype" w:cs="Palatino Linotype"/>
          <w:color w:val="000000"/>
          <w:sz w:val="22"/>
          <w:szCs w:val="22"/>
          <w:lang w:val="es-ES"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2D399743" w14:textId="77777777" w:rsidR="00CC312D" w:rsidRPr="00CC312D" w:rsidRDefault="00CC312D" w:rsidP="00CC312D">
      <w:pPr>
        <w:spacing w:line="360" w:lineRule="auto"/>
        <w:contextualSpacing/>
        <w:jc w:val="both"/>
        <w:rPr>
          <w:rFonts w:ascii="Palatino Linotype" w:eastAsia="Palatino Linotype" w:hAnsi="Palatino Linotype" w:cs="Tahoma"/>
          <w:bCs/>
          <w:iCs/>
          <w:color w:val="000000"/>
          <w:sz w:val="22"/>
          <w:szCs w:val="22"/>
          <w:lang w:val="es-ES_tradnl" w:eastAsia="es-MX"/>
        </w:rPr>
      </w:pPr>
    </w:p>
    <w:p w14:paraId="156C9EAA" w14:textId="77777777" w:rsidR="00CC312D" w:rsidRPr="00CC312D" w:rsidRDefault="00CC312D" w:rsidP="00CC312D">
      <w:pPr>
        <w:spacing w:line="360" w:lineRule="auto"/>
        <w:contextualSpacing/>
        <w:jc w:val="both"/>
        <w:rPr>
          <w:rFonts w:ascii="Palatino Linotype" w:eastAsia="Palatino Linotype" w:hAnsi="Palatino Linotype" w:cs="Tahoma"/>
          <w:bCs/>
          <w:iCs/>
          <w:color w:val="000000"/>
          <w:sz w:val="22"/>
          <w:szCs w:val="22"/>
          <w:lang w:val="es-ES" w:eastAsia="es-MX"/>
        </w:rPr>
      </w:pPr>
      <w:r w:rsidRPr="00CC312D">
        <w:rPr>
          <w:rFonts w:ascii="Palatino Linotype" w:eastAsia="Palatino Linotype" w:hAnsi="Palatino Linotype" w:cs="Tahoma"/>
          <w:bCs/>
          <w:iCs/>
          <w:color w:val="000000"/>
          <w:sz w:val="22"/>
          <w:szCs w:val="22"/>
          <w:lang w:val="es-ES_tradnl" w:eastAsia="es-MX"/>
        </w:rPr>
        <w:t>Conforme a lo anterior, deberá entregar los documentos en versión pública, tomando en consideración el análisis realizado en párrafos anteriores; a</w:t>
      </w:r>
      <w:r w:rsidRPr="00CC312D">
        <w:rPr>
          <w:rFonts w:ascii="Palatino Linotype" w:eastAsia="Palatino Linotype" w:hAnsi="Palatino Linotype" w:cs="Tahoma"/>
          <w:bCs/>
          <w:iCs/>
          <w:color w:val="000000"/>
          <w:sz w:val="22"/>
          <w:szCs w:val="22"/>
          <w:lang w:val="es-ES" w:eastAsia="es-MX"/>
        </w:rPr>
        <w:t xml:space="preserve">l respecto, conforme al artículo 3°, fracción XLV, relacionado con el 137, ambos de la Ley de Transparencia y Acceso a la Información Pública del Estado de México y Municipios, cuando un documento contenga </w:t>
      </w:r>
      <w:r w:rsidRPr="00CC312D">
        <w:rPr>
          <w:rFonts w:ascii="Palatino Linotype" w:eastAsia="Palatino Linotype" w:hAnsi="Palatino Linotype" w:cs="Tahoma"/>
          <w:bCs/>
          <w:iCs/>
          <w:color w:val="000000"/>
          <w:sz w:val="22"/>
          <w:szCs w:val="22"/>
          <w:lang w:val="es-ES" w:eastAsia="es-MX"/>
        </w:rPr>
        <w:lastRenderedPageBreak/>
        <w:t xml:space="preserve">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30F9184" w14:textId="77777777" w:rsidR="00CC312D" w:rsidRPr="00CC312D" w:rsidRDefault="00CC312D" w:rsidP="00CC312D">
      <w:pPr>
        <w:spacing w:line="360" w:lineRule="auto"/>
        <w:contextualSpacing/>
        <w:jc w:val="both"/>
        <w:rPr>
          <w:rFonts w:ascii="Palatino Linotype" w:eastAsia="Palatino Linotype" w:hAnsi="Palatino Linotype" w:cs="Tahoma"/>
          <w:bCs/>
          <w:iCs/>
          <w:color w:val="000000"/>
          <w:sz w:val="22"/>
          <w:szCs w:val="22"/>
          <w:lang w:val="es-ES" w:eastAsia="es-MX"/>
        </w:rPr>
      </w:pPr>
    </w:p>
    <w:p w14:paraId="074E1972" w14:textId="77777777" w:rsidR="00CC312D" w:rsidRPr="00CC312D" w:rsidRDefault="00CC312D" w:rsidP="00CC312D">
      <w:pPr>
        <w:spacing w:line="360" w:lineRule="auto"/>
        <w:contextualSpacing/>
        <w:jc w:val="both"/>
        <w:rPr>
          <w:rFonts w:ascii="Palatino Linotype" w:eastAsia="Calibri" w:hAnsi="Palatino Linotype" w:cs="Palatino Linotype"/>
          <w:color w:val="000000"/>
          <w:sz w:val="22"/>
          <w:szCs w:val="22"/>
          <w:lang w:eastAsia="es-MX"/>
        </w:rPr>
      </w:pPr>
      <w:r w:rsidRPr="00CC312D">
        <w:rPr>
          <w:rFonts w:ascii="Palatino Linotype" w:eastAsia="Palatino Linotype" w:hAnsi="Palatino Linotype" w:cs="Tahoma"/>
          <w:bCs/>
          <w:iCs/>
          <w:color w:val="000000"/>
          <w:sz w:val="22"/>
          <w:szCs w:val="22"/>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766D1C5" w14:textId="77777777" w:rsidR="00CC312D" w:rsidRDefault="00CC312D" w:rsidP="005D202C">
      <w:pPr>
        <w:widowControl w:val="0"/>
        <w:spacing w:line="360" w:lineRule="auto"/>
        <w:jc w:val="both"/>
        <w:rPr>
          <w:rFonts w:ascii="Palatino Linotype" w:eastAsia="Palatino Linotype" w:hAnsi="Palatino Linotype" w:cs="Palatino Linotype"/>
          <w:b/>
          <w:color w:val="FF0000"/>
          <w:sz w:val="22"/>
          <w:szCs w:val="22"/>
        </w:rPr>
      </w:pPr>
    </w:p>
    <w:p w14:paraId="6E3F8810" w14:textId="77777777" w:rsidR="008F029F" w:rsidRPr="00D75476" w:rsidRDefault="008F029F" w:rsidP="005D202C">
      <w:pPr>
        <w:pStyle w:val="Ttulo1"/>
        <w:spacing w:before="0" w:after="0" w:line="360" w:lineRule="auto"/>
        <w:rPr>
          <w:rFonts w:ascii="Palatino Linotype" w:eastAsia="Calibri" w:hAnsi="Palatino Linotype"/>
          <w:b/>
          <w:color w:val="auto"/>
          <w:sz w:val="22"/>
          <w:szCs w:val="22"/>
          <w:lang w:eastAsia="en-US"/>
        </w:rPr>
      </w:pPr>
      <w:bookmarkStart w:id="20" w:name="_Toc190350441"/>
      <w:bookmarkStart w:id="21" w:name="_Toc216261264"/>
      <w:r w:rsidRPr="00D75476">
        <w:rPr>
          <w:rFonts w:ascii="Palatino Linotype" w:eastAsia="Calibri" w:hAnsi="Palatino Linotype"/>
          <w:b/>
          <w:color w:val="auto"/>
          <w:sz w:val="22"/>
          <w:szCs w:val="22"/>
          <w:lang w:eastAsia="en-US"/>
        </w:rPr>
        <w:t>SEXTO. Decisión</w:t>
      </w:r>
      <w:bookmarkEnd w:id="20"/>
      <w:bookmarkEnd w:id="21"/>
    </w:p>
    <w:p w14:paraId="1653D12A" w14:textId="77777777" w:rsidR="008F029F" w:rsidRPr="00E60AC1" w:rsidRDefault="008F029F" w:rsidP="005D202C">
      <w:pPr>
        <w:spacing w:line="360" w:lineRule="auto"/>
        <w:jc w:val="both"/>
        <w:rPr>
          <w:rFonts w:ascii="Palatino Linotype" w:eastAsia="Calibri" w:hAnsi="Palatino Linotype" w:cs="Tahoma"/>
          <w:b/>
          <w:color w:val="FF0000"/>
          <w:sz w:val="22"/>
          <w:szCs w:val="22"/>
          <w:lang w:eastAsia="en-US"/>
        </w:rPr>
      </w:pPr>
    </w:p>
    <w:p w14:paraId="5009BFB0" w14:textId="646BF109" w:rsidR="008D23B1" w:rsidRDefault="008D23B1" w:rsidP="005D202C">
      <w:pPr>
        <w:spacing w:line="360" w:lineRule="auto"/>
        <w:jc w:val="both"/>
        <w:rPr>
          <w:rFonts w:ascii="Palatino Linotype" w:eastAsia="Calibri" w:hAnsi="Palatino Linotype" w:cs="Tahoma"/>
          <w:sz w:val="22"/>
          <w:szCs w:val="22"/>
          <w:lang w:eastAsia="en-US"/>
        </w:rPr>
      </w:pPr>
      <w:r w:rsidRPr="00D75476">
        <w:rPr>
          <w:rFonts w:ascii="Palatino Linotype" w:eastAsia="Calibri" w:hAnsi="Palatino Linotype" w:cs="Tahoma"/>
          <w:sz w:val="22"/>
          <w:szCs w:val="22"/>
          <w:lang w:eastAsia="en-US"/>
        </w:rPr>
        <w:t xml:space="preserve">Con fundamento en el artículo 186, fracción III, de la Ley de Transparencia y Acceso a la Información Pública del Estado de México y Municipios, este Instituto considera procedente </w:t>
      </w:r>
      <w:r w:rsidR="00D75476" w:rsidRPr="00D75476">
        <w:rPr>
          <w:rFonts w:ascii="Palatino Linotype" w:eastAsia="Calibri" w:hAnsi="Palatino Linotype"/>
          <w:b/>
          <w:bCs/>
          <w:sz w:val="22"/>
          <w:szCs w:val="22"/>
          <w:lang w:eastAsia="en-US"/>
        </w:rPr>
        <w:t xml:space="preserve">REVOCAR </w:t>
      </w:r>
      <w:r w:rsidRPr="00D75476">
        <w:rPr>
          <w:rFonts w:ascii="Palatino Linotype" w:eastAsia="Calibri" w:hAnsi="Palatino Linotype" w:cs="Tahoma"/>
          <w:sz w:val="22"/>
          <w:szCs w:val="22"/>
          <w:lang w:eastAsia="en-US"/>
        </w:rPr>
        <w:t>la respuesta otorgada por el Sujeto Obligado a la solicitud de información, a efecto de que entregue</w:t>
      </w:r>
      <w:r w:rsidR="00683C56" w:rsidRPr="00D75476">
        <w:rPr>
          <w:rFonts w:ascii="Palatino Linotype" w:eastAsia="Calibri" w:hAnsi="Palatino Linotype" w:cs="Tahoma"/>
          <w:sz w:val="22"/>
          <w:szCs w:val="22"/>
          <w:lang w:eastAsia="en-US"/>
        </w:rPr>
        <w:t xml:space="preserve"> en su caso en versión pública, </w:t>
      </w:r>
      <w:r w:rsidR="00CC312D">
        <w:rPr>
          <w:rFonts w:ascii="Palatino Linotype" w:eastAsia="Calibri" w:hAnsi="Palatino Linotype" w:cs="Tahoma"/>
          <w:sz w:val="22"/>
          <w:szCs w:val="22"/>
          <w:lang w:eastAsia="en-US"/>
        </w:rPr>
        <w:t>el documento que da</w:t>
      </w:r>
      <w:r w:rsidR="00D75476">
        <w:rPr>
          <w:rFonts w:ascii="Palatino Linotype" w:eastAsia="Calibri" w:hAnsi="Palatino Linotype" w:cs="Tahoma"/>
          <w:sz w:val="22"/>
          <w:szCs w:val="22"/>
          <w:lang w:eastAsia="en-US"/>
        </w:rPr>
        <w:t xml:space="preserve"> cuenta de lo solicitado.</w:t>
      </w:r>
    </w:p>
    <w:p w14:paraId="50E76DE7" w14:textId="77777777" w:rsidR="00CC312D" w:rsidRPr="00D75476" w:rsidRDefault="00CC312D" w:rsidP="005D202C">
      <w:pPr>
        <w:spacing w:line="360" w:lineRule="auto"/>
        <w:jc w:val="both"/>
        <w:rPr>
          <w:rFonts w:ascii="Palatino Linotype" w:eastAsia="Calibri" w:hAnsi="Palatino Linotype" w:cs="Tahoma"/>
          <w:sz w:val="22"/>
          <w:szCs w:val="22"/>
          <w:lang w:eastAsia="en-US"/>
        </w:rPr>
      </w:pPr>
    </w:p>
    <w:p w14:paraId="34DAF416" w14:textId="77777777" w:rsidR="008F029F" w:rsidRPr="00D75476" w:rsidRDefault="008F029F" w:rsidP="005D202C">
      <w:pPr>
        <w:spacing w:line="360" w:lineRule="auto"/>
        <w:jc w:val="both"/>
        <w:rPr>
          <w:rFonts w:ascii="Palatino Linotype" w:eastAsia="Calibri" w:hAnsi="Palatino Linotype" w:cs="Tahoma"/>
          <w:b/>
          <w:bCs/>
          <w:sz w:val="22"/>
          <w:szCs w:val="22"/>
          <w:lang w:eastAsia="en-US"/>
        </w:rPr>
      </w:pPr>
      <w:r w:rsidRPr="00D75476">
        <w:rPr>
          <w:rFonts w:ascii="Palatino Linotype" w:eastAsia="Calibri" w:hAnsi="Palatino Linotype" w:cs="Tahoma"/>
          <w:b/>
          <w:bCs/>
          <w:sz w:val="22"/>
          <w:szCs w:val="22"/>
          <w:lang w:eastAsia="en-US"/>
        </w:rPr>
        <w:t>Términos de la Resolución para conocimiento del Particular</w:t>
      </w:r>
    </w:p>
    <w:p w14:paraId="383ADFC0" w14:textId="77777777" w:rsidR="008D23B1" w:rsidRPr="00E60AC1" w:rsidRDefault="008D23B1" w:rsidP="005D202C">
      <w:pPr>
        <w:spacing w:line="360" w:lineRule="auto"/>
        <w:jc w:val="both"/>
        <w:rPr>
          <w:rFonts w:ascii="Palatino Linotype" w:eastAsia="Calibri" w:hAnsi="Palatino Linotype" w:cs="Tahoma"/>
          <w:b/>
          <w:bCs/>
          <w:color w:val="FF0000"/>
          <w:sz w:val="22"/>
          <w:szCs w:val="22"/>
          <w:lang w:eastAsia="en-US"/>
        </w:rPr>
      </w:pPr>
    </w:p>
    <w:p w14:paraId="3B8D0C3D" w14:textId="77777777" w:rsidR="00F76300" w:rsidRDefault="00D75476" w:rsidP="005D202C">
      <w:pPr>
        <w:spacing w:line="360" w:lineRule="auto"/>
        <w:jc w:val="both"/>
        <w:rPr>
          <w:rFonts w:ascii="Palatino Linotype" w:eastAsia="Calibri" w:hAnsi="Palatino Linotype" w:cs="Tahoma"/>
          <w:sz w:val="22"/>
          <w:szCs w:val="22"/>
          <w:lang w:eastAsia="en-US"/>
        </w:rPr>
      </w:pPr>
      <w:r w:rsidRPr="00D75476">
        <w:rPr>
          <w:rFonts w:ascii="Palatino Linotype" w:eastAsia="Calibri" w:hAnsi="Palatino Linotype" w:cs="Tahoma"/>
          <w:sz w:val="22"/>
          <w:szCs w:val="22"/>
          <w:lang w:eastAsia="en-US"/>
        </w:rPr>
        <w:t>Se le hace del conocimiento a la Particular, que, en el presente caso, se le concede la razón, toda vez que el Sujeto Obligado no le propo</w:t>
      </w:r>
      <w:r>
        <w:rPr>
          <w:rFonts w:ascii="Palatino Linotype" w:eastAsia="Calibri" w:hAnsi="Palatino Linotype" w:cs="Tahoma"/>
          <w:sz w:val="22"/>
          <w:szCs w:val="22"/>
          <w:lang w:eastAsia="en-US"/>
        </w:rPr>
        <w:t>rcionó la información requerida</w:t>
      </w:r>
      <w:r w:rsidRPr="00D75476">
        <w:rPr>
          <w:rFonts w:ascii="Palatino Linotype" w:eastAsia="Calibri" w:hAnsi="Palatino Linotype" w:cs="Tahoma"/>
          <w:sz w:val="22"/>
          <w:szCs w:val="22"/>
          <w:lang w:eastAsia="en-US"/>
        </w:rPr>
        <w:t xml:space="preserve">; por lo que, deberá entregarle </w:t>
      </w:r>
      <w:r w:rsidR="00CC312D">
        <w:rPr>
          <w:rFonts w:ascii="Palatino Linotype" w:eastAsia="Calibri" w:hAnsi="Palatino Linotype" w:cs="Tahoma"/>
          <w:sz w:val="22"/>
          <w:szCs w:val="22"/>
          <w:lang w:eastAsia="en-US"/>
        </w:rPr>
        <w:t>el recibo de nómina solicitado</w:t>
      </w:r>
      <w:r w:rsidRPr="00D75476">
        <w:rPr>
          <w:rFonts w:ascii="Palatino Linotype" w:eastAsia="Calibri" w:hAnsi="Palatino Linotype" w:cs="Tahoma"/>
          <w:sz w:val="22"/>
          <w:szCs w:val="22"/>
          <w:lang w:eastAsia="en-US"/>
        </w:rPr>
        <w:t>.</w:t>
      </w:r>
      <w:r w:rsidR="002A577A">
        <w:rPr>
          <w:rFonts w:ascii="Palatino Linotype" w:eastAsia="Calibri" w:hAnsi="Palatino Linotype" w:cs="Tahoma"/>
          <w:sz w:val="22"/>
          <w:szCs w:val="22"/>
          <w:lang w:eastAsia="en-US"/>
        </w:rPr>
        <w:t xml:space="preserve"> </w:t>
      </w:r>
    </w:p>
    <w:p w14:paraId="0D474474" w14:textId="77777777" w:rsidR="00F76300" w:rsidRDefault="00F76300" w:rsidP="005D202C">
      <w:pPr>
        <w:spacing w:line="360" w:lineRule="auto"/>
        <w:jc w:val="both"/>
        <w:rPr>
          <w:rFonts w:ascii="Palatino Linotype" w:eastAsia="Calibri" w:hAnsi="Palatino Linotype" w:cs="Tahoma"/>
          <w:sz w:val="22"/>
          <w:szCs w:val="22"/>
          <w:lang w:eastAsia="en-US"/>
        </w:rPr>
      </w:pPr>
    </w:p>
    <w:p w14:paraId="7437BE23" w14:textId="2D1B598D" w:rsidR="00D75476" w:rsidRPr="00D75476" w:rsidRDefault="00D75476" w:rsidP="005D202C">
      <w:pPr>
        <w:spacing w:line="360" w:lineRule="auto"/>
        <w:jc w:val="both"/>
        <w:rPr>
          <w:rFonts w:ascii="Palatino Linotype" w:eastAsia="Calibri" w:hAnsi="Palatino Linotype" w:cs="Tahoma"/>
          <w:sz w:val="22"/>
          <w:szCs w:val="22"/>
          <w:lang w:eastAsia="en-US"/>
        </w:rPr>
      </w:pPr>
      <w:r w:rsidRPr="00D75476">
        <w:rPr>
          <w:rFonts w:ascii="Palatino Linotype" w:eastAsia="Calibri" w:hAnsi="Palatino Linotype" w:cs="Tahoma"/>
          <w:sz w:val="22"/>
          <w:szCs w:val="22"/>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D0A6EA8" w14:textId="77777777" w:rsidR="008F029F" w:rsidRPr="00D75476" w:rsidRDefault="008F029F" w:rsidP="005D202C">
      <w:pPr>
        <w:spacing w:line="360" w:lineRule="auto"/>
        <w:jc w:val="both"/>
        <w:rPr>
          <w:rFonts w:ascii="Palatino Linotype" w:eastAsia="Calibri" w:hAnsi="Palatino Linotype" w:cs="Tahoma"/>
          <w:bCs/>
          <w:sz w:val="22"/>
          <w:szCs w:val="22"/>
          <w:lang w:eastAsia="en-US"/>
        </w:rPr>
      </w:pPr>
      <w:r w:rsidRPr="00D75476">
        <w:rPr>
          <w:rFonts w:ascii="Palatino Linotype" w:eastAsia="Calibri" w:hAnsi="Palatino Linotype" w:cs="Tahoma"/>
          <w:bCs/>
          <w:sz w:val="22"/>
          <w:szCs w:val="22"/>
          <w:lang w:eastAsia="en-US"/>
        </w:rPr>
        <w:lastRenderedPageBreak/>
        <w:t>Por lo expuesto y fundado, este Pleno:</w:t>
      </w:r>
    </w:p>
    <w:p w14:paraId="14441560" w14:textId="77777777" w:rsidR="008F029F" w:rsidRPr="00E60AC1" w:rsidRDefault="008F029F" w:rsidP="005D202C">
      <w:pPr>
        <w:spacing w:line="360" w:lineRule="auto"/>
        <w:jc w:val="both"/>
        <w:rPr>
          <w:rFonts w:ascii="Palatino Linotype" w:eastAsia="Calibri" w:hAnsi="Palatino Linotype" w:cs="Tahoma"/>
          <w:bCs/>
          <w:color w:val="FF0000"/>
          <w:sz w:val="22"/>
          <w:szCs w:val="22"/>
          <w:lang w:eastAsia="en-US"/>
        </w:rPr>
      </w:pPr>
    </w:p>
    <w:p w14:paraId="12F4BE8C" w14:textId="77777777" w:rsidR="008F029F" w:rsidRPr="00D75476" w:rsidRDefault="008F029F" w:rsidP="005D202C">
      <w:pPr>
        <w:pStyle w:val="Ttulo1"/>
        <w:spacing w:before="0" w:after="0" w:line="360" w:lineRule="auto"/>
        <w:jc w:val="center"/>
        <w:rPr>
          <w:rFonts w:ascii="Palatino Linotype" w:eastAsia="Calibri" w:hAnsi="Palatino Linotype"/>
          <w:b/>
          <w:color w:val="auto"/>
          <w:sz w:val="22"/>
          <w:szCs w:val="22"/>
          <w:lang w:eastAsia="en-US"/>
        </w:rPr>
      </w:pPr>
      <w:bookmarkStart w:id="22" w:name="_Toc190350442"/>
      <w:bookmarkStart w:id="23" w:name="_Toc216261265"/>
      <w:r w:rsidRPr="00D75476">
        <w:rPr>
          <w:rFonts w:ascii="Palatino Linotype" w:eastAsia="Calibri" w:hAnsi="Palatino Linotype"/>
          <w:b/>
          <w:color w:val="auto"/>
          <w:sz w:val="22"/>
          <w:szCs w:val="22"/>
          <w:lang w:eastAsia="en-US"/>
        </w:rPr>
        <w:t>R E S U E L V E</w:t>
      </w:r>
      <w:bookmarkEnd w:id="22"/>
      <w:bookmarkEnd w:id="23"/>
    </w:p>
    <w:p w14:paraId="523EBCF3" w14:textId="77777777" w:rsidR="008F029F" w:rsidRPr="00E60AC1" w:rsidRDefault="008F029F" w:rsidP="005D202C">
      <w:pPr>
        <w:spacing w:line="360" w:lineRule="auto"/>
        <w:ind w:right="-91"/>
        <w:jc w:val="center"/>
        <w:rPr>
          <w:rFonts w:ascii="Palatino Linotype" w:eastAsia="Calibri" w:hAnsi="Palatino Linotype" w:cs="Tahoma"/>
          <w:b/>
          <w:bCs/>
          <w:color w:val="FF0000"/>
          <w:sz w:val="22"/>
          <w:szCs w:val="22"/>
          <w:lang w:eastAsia="en-US"/>
        </w:rPr>
      </w:pPr>
    </w:p>
    <w:p w14:paraId="7DAC0BED" w14:textId="3C54A512" w:rsidR="00377980" w:rsidRPr="00D75476" w:rsidRDefault="008F029F" w:rsidP="005D202C">
      <w:pPr>
        <w:spacing w:line="360" w:lineRule="auto"/>
        <w:contextualSpacing/>
        <w:jc w:val="both"/>
        <w:rPr>
          <w:rFonts w:ascii="Palatino Linotype" w:eastAsia="Calibri" w:hAnsi="Palatino Linotype"/>
          <w:sz w:val="22"/>
          <w:szCs w:val="22"/>
          <w:lang w:eastAsia="en-US"/>
        </w:rPr>
      </w:pPr>
      <w:r w:rsidRPr="00D75476">
        <w:rPr>
          <w:rFonts w:ascii="Palatino Linotype" w:eastAsia="Calibri" w:hAnsi="Palatino Linotype" w:cs="Tahoma"/>
          <w:b/>
          <w:bCs/>
          <w:iCs/>
          <w:sz w:val="22"/>
          <w:szCs w:val="22"/>
          <w:lang w:eastAsia="en-US"/>
        </w:rPr>
        <w:t xml:space="preserve">PRIMERO. </w:t>
      </w:r>
      <w:r w:rsidRPr="00D75476">
        <w:rPr>
          <w:rFonts w:ascii="Palatino Linotype" w:eastAsia="Calibri" w:hAnsi="Palatino Linotype" w:cs="Tahoma"/>
          <w:bCs/>
          <w:iCs/>
          <w:sz w:val="22"/>
          <w:szCs w:val="22"/>
          <w:lang w:eastAsia="en-US"/>
        </w:rPr>
        <w:t xml:space="preserve">Se </w:t>
      </w:r>
      <w:r w:rsidR="00D75476" w:rsidRPr="00D75476">
        <w:rPr>
          <w:rFonts w:ascii="Palatino Linotype" w:eastAsia="Calibri" w:hAnsi="Palatino Linotype"/>
          <w:b/>
          <w:sz w:val="22"/>
          <w:szCs w:val="22"/>
          <w:lang w:eastAsia="en-US"/>
        </w:rPr>
        <w:t>REVOCA</w:t>
      </w:r>
      <w:r w:rsidR="00377980" w:rsidRPr="00D75476">
        <w:rPr>
          <w:rFonts w:ascii="Palatino Linotype" w:eastAsia="Calibri" w:hAnsi="Palatino Linotype"/>
          <w:b/>
          <w:sz w:val="22"/>
          <w:szCs w:val="22"/>
          <w:lang w:eastAsia="en-US"/>
        </w:rPr>
        <w:t xml:space="preserve"> </w:t>
      </w:r>
      <w:r w:rsidR="00377980" w:rsidRPr="00D75476">
        <w:rPr>
          <w:rFonts w:ascii="Palatino Linotype" w:eastAsia="Calibri" w:hAnsi="Palatino Linotype"/>
          <w:sz w:val="22"/>
          <w:szCs w:val="22"/>
          <w:lang w:eastAsia="en-US"/>
        </w:rPr>
        <w:t xml:space="preserve">la respuesta entregada por el </w:t>
      </w:r>
      <w:r w:rsidR="0023135E" w:rsidRPr="00D75476">
        <w:rPr>
          <w:rFonts w:ascii="Palatino Linotype" w:eastAsia="Palatino Linotype" w:hAnsi="Palatino Linotype" w:cs="Palatino Linotype"/>
          <w:sz w:val="22"/>
          <w:szCs w:val="22"/>
        </w:rPr>
        <w:t>Sujeto Obligado</w:t>
      </w:r>
      <w:r w:rsidR="00377980" w:rsidRPr="00D75476">
        <w:rPr>
          <w:rFonts w:ascii="Palatino Linotype" w:eastAsia="Calibri" w:hAnsi="Palatino Linotype"/>
          <w:sz w:val="22"/>
          <w:szCs w:val="22"/>
          <w:lang w:eastAsia="en-US"/>
        </w:rPr>
        <w:t xml:space="preserve">, a la solicitud de información </w:t>
      </w:r>
      <w:r w:rsidR="00D75476" w:rsidRPr="00D75476">
        <w:rPr>
          <w:rFonts w:ascii="Palatino Linotype" w:hAnsi="Palatino Linotype" w:cs="Tahoma"/>
          <w:bCs/>
          <w:sz w:val="22"/>
          <w:szCs w:val="22"/>
        </w:rPr>
        <w:t>0</w:t>
      </w:r>
      <w:r w:rsidR="00B67A71">
        <w:rPr>
          <w:rFonts w:ascii="Palatino Linotype" w:hAnsi="Palatino Linotype" w:cs="Tahoma"/>
          <w:bCs/>
          <w:sz w:val="22"/>
          <w:szCs w:val="22"/>
        </w:rPr>
        <w:t>4974</w:t>
      </w:r>
      <w:r w:rsidR="00D75476" w:rsidRPr="00D75476">
        <w:rPr>
          <w:rFonts w:ascii="Palatino Linotype" w:hAnsi="Palatino Linotype" w:cs="Tahoma"/>
          <w:bCs/>
          <w:sz w:val="22"/>
          <w:szCs w:val="22"/>
        </w:rPr>
        <w:t>/TOLUCA/IP/2025</w:t>
      </w:r>
      <w:r w:rsidR="00377980" w:rsidRPr="00D75476">
        <w:rPr>
          <w:rFonts w:ascii="Palatino Linotype" w:eastAsia="Calibri" w:hAnsi="Palatino Linotype"/>
          <w:sz w:val="22"/>
          <w:szCs w:val="22"/>
          <w:lang w:eastAsia="en-US"/>
        </w:rPr>
        <w:t xml:space="preserve">, por resultar </w:t>
      </w:r>
      <w:r w:rsidR="00377980" w:rsidRPr="00D75476">
        <w:rPr>
          <w:rFonts w:ascii="Palatino Linotype" w:eastAsia="Calibri" w:hAnsi="Palatino Linotype"/>
          <w:b/>
          <w:bCs/>
          <w:sz w:val="22"/>
          <w:szCs w:val="22"/>
          <w:lang w:eastAsia="en-US"/>
        </w:rPr>
        <w:t>FUNDADAS</w:t>
      </w:r>
      <w:r w:rsidR="00377980" w:rsidRPr="00D75476">
        <w:rPr>
          <w:rFonts w:ascii="Palatino Linotype" w:eastAsia="Calibri" w:hAnsi="Palatino Linotype"/>
          <w:b/>
          <w:sz w:val="22"/>
          <w:szCs w:val="22"/>
          <w:lang w:eastAsia="en-US"/>
        </w:rPr>
        <w:t xml:space="preserve"> </w:t>
      </w:r>
      <w:r w:rsidR="00377980" w:rsidRPr="00D75476">
        <w:rPr>
          <w:rFonts w:ascii="Palatino Linotype" w:eastAsia="Calibri" w:hAnsi="Palatino Linotype"/>
          <w:sz w:val="22"/>
          <w:szCs w:val="22"/>
          <w:lang w:eastAsia="en-US"/>
        </w:rPr>
        <w:t>las razones o motivos de inconformidad hechos valer por la persona Recurrente, en términos de los considerandos QUINTO y SEXTO de la presente Resolución.</w:t>
      </w:r>
    </w:p>
    <w:p w14:paraId="4C527AC2" w14:textId="77777777" w:rsidR="00377980" w:rsidRPr="00E60AC1" w:rsidRDefault="00377980" w:rsidP="005D202C">
      <w:pPr>
        <w:spacing w:line="360" w:lineRule="auto"/>
        <w:jc w:val="both"/>
        <w:rPr>
          <w:rFonts w:ascii="Palatino Linotype" w:eastAsia="Calibri" w:hAnsi="Palatino Linotype"/>
          <w:color w:val="FF0000"/>
          <w:sz w:val="22"/>
          <w:szCs w:val="22"/>
          <w:lang w:eastAsia="en-US"/>
        </w:rPr>
      </w:pPr>
    </w:p>
    <w:p w14:paraId="206EB6CE" w14:textId="1404A252" w:rsidR="00D70CAB" w:rsidRDefault="00377980" w:rsidP="005D202C">
      <w:pPr>
        <w:spacing w:line="360" w:lineRule="auto"/>
        <w:jc w:val="both"/>
        <w:rPr>
          <w:rFonts w:ascii="Palatino Linotype" w:eastAsia="Calibri" w:hAnsi="Palatino Linotype"/>
          <w:sz w:val="22"/>
          <w:szCs w:val="22"/>
          <w:lang w:eastAsia="en-US"/>
        </w:rPr>
      </w:pPr>
      <w:r w:rsidRPr="00D75476">
        <w:rPr>
          <w:rFonts w:ascii="Palatino Linotype" w:eastAsia="Calibri" w:hAnsi="Palatino Linotype"/>
          <w:b/>
          <w:sz w:val="22"/>
          <w:szCs w:val="22"/>
          <w:lang w:eastAsia="en-US"/>
        </w:rPr>
        <w:t xml:space="preserve">SEGUNDO. </w:t>
      </w:r>
      <w:r w:rsidRPr="00D75476">
        <w:rPr>
          <w:rFonts w:ascii="Palatino Linotype" w:eastAsia="Calibri" w:hAnsi="Palatino Linotype"/>
          <w:sz w:val="22"/>
          <w:szCs w:val="22"/>
          <w:lang w:eastAsia="en-US"/>
        </w:rPr>
        <w:t xml:space="preserve">Se </w:t>
      </w:r>
      <w:r w:rsidRPr="00D75476">
        <w:rPr>
          <w:rFonts w:ascii="Palatino Linotype" w:eastAsia="Calibri" w:hAnsi="Palatino Linotype"/>
          <w:b/>
          <w:sz w:val="22"/>
          <w:szCs w:val="22"/>
          <w:lang w:eastAsia="en-US"/>
        </w:rPr>
        <w:t>ORDENA</w:t>
      </w:r>
      <w:r w:rsidRPr="00D75476">
        <w:rPr>
          <w:rFonts w:ascii="Palatino Linotype" w:eastAsia="Calibri" w:hAnsi="Palatino Linotype"/>
          <w:sz w:val="22"/>
          <w:szCs w:val="22"/>
          <w:lang w:eastAsia="en-US"/>
        </w:rPr>
        <w:t xml:space="preserve"> al Sujeto Obligado</w:t>
      </w:r>
      <w:r w:rsidRPr="00D75476">
        <w:rPr>
          <w:rFonts w:ascii="Palatino Linotype" w:eastAsia="Calibri" w:hAnsi="Palatino Linotype"/>
          <w:b/>
          <w:sz w:val="22"/>
          <w:szCs w:val="22"/>
          <w:lang w:eastAsia="en-US"/>
        </w:rPr>
        <w:t xml:space="preserve">, </w:t>
      </w:r>
      <w:r w:rsidRPr="00D75476">
        <w:rPr>
          <w:rFonts w:ascii="Palatino Linotype" w:eastAsia="Calibri" w:hAnsi="Palatino Linotype"/>
          <w:sz w:val="22"/>
          <w:szCs w:val="22"/>
          <w:lang w:eastAsia="en-US"/>
        </w:rPr>
        <w:t xml:space="preserve">a efecto de que </w:t>
      </w:r>
      <w:r w:rsidR="005D202C">
        <w:rPr>
          <w:rFonts w:ascii="Palatino Linotype" w:eastAsia="Calibri" w:hAnsi="Palatino Linotype"/>
          <w:sz w:val="22"/>
          <w:szCs w:val="22"/>
          <w:lang w:eastAsia="en-US"/>
        </w:rPr>
        <w:t xml:space="preserve">previa búsqueda exhaustiva y razonable en las unidades administrativas competentes, </w:t>
      </w:r>
      <w:r w:rsidRPr="00D75476">
        <w:rPr>
          <w:rFonts w:ascii="Palatino Linotype" w:eastAsia="Calibri" w:hAnsi="Palatino Linotype"/>
          <w:sz w:val="22"/>
          <w:szCs w:val="22"/>
          <w:lang w:eastAsia="en-US"/>
        </w:rPr>
        <w:t xml:space="preserve">entregue a través del Sistema de Acceso a la Información Mexiquense (SAIMEX), </w:t>
      </w:r>
      <w:r w:rsidR="00D75476" w:rsidRPr="00D75476">
        <w:rPr>
          <w:rFonts w:ascii="Palatino Linotype" w:eastAsia="Calibri" w:hAnsi="Palatino Linotype"/>
          <w:sz w:val="22"/>
          <w:szCs w:val="22"/>
          <w:lang w:eastAsia="en-US"/>
        </w:rPr>
        <w:t>en versión pública</w:t>
      </w:r>
      <w:r w:rsidR="00D75476">
        <w:rPr>
          <w:rFonts w:ascii="Palatino Linotype" w:eastAsia="Calibri" w:hAnsi="Palatino Linotype"/>
          <w:sz w:val="22"/>
          <w:szCs w:val="22"/>
          <w:lang w:eastAsia="en-US"/>
        </w:rPr>
        <w:t xml:space="preserve">, </w:t>
      </w:r>
      <w:r w:rsidR="00D70CAB">
        <w:rPr>
          <w:rFonts w:ascii="Palatino Linotype" w:eastAsia="Calibri" w:hAnsi="Palatino Linotype"/>
          <w:sz w:val="22"/>
          <w:szCs w:val="22"/>
          <w:lang w:eastAsia="en-US"/>
        </w:rPr>
        <w:t>lo siguiente:</w:t>
      </w:r>
    </w:p>
    <w:p w14:paraId="09A835AB" w14:textId="77777777" w:rsidR="00377980" w:rsidRPr="005B0F6A" w:rsidRDefault="00377980" w:rsidP="005D202C">
      <w:pPr>
        <w:spacing w:line="360" w:lineRule="auto"/>
        <w:ind w:right="-30"/>
        <w:jc w:val="both"/>
        <w:textAlignment w:val="baseline"/>
        <w:rPr>
          <w:rFonts w:ascii="Palatino Linotype" w:hAnsi="Palatino Linotype"/>
          <w:sz w:val="22"/>
          <w:szCs w:val="22"/>
          <w:lang w:eastAsia="en-US"/>
        </w:rPr>
      </w:pPr>
    </w:p>
    <w:p w14:paraId="45FD3830" w14:textId="1488FB43" w:rsidR="00B217F2" w:rsidRPr="00CC312D" w:rsidRDefault="00CC312D" w:rsidP="00CC312D">
      <w:pPr>
        <w:pStyle w:val="Prrafodelista"/>
        <w:widowControl w:val="0"/>
        <w:numPr>
          <w:ilvl w:val="0"/>
          <w:numId w:val="28"/>
        </w:numPr>
        <w:spacing w:line="360" w:lineRule="auto"/>
        <w:jc w:val="both"/>
        <w:rPr>
          <w:rFonts w:ascii="Palatino Linotype" w:eastAsia="Calibri" w:hAnsi="Palatino Linotype"/>
          <w:b/>
          <w:sz w:val="22"/>
          <w:szCs w:val="22"/>
          <w:lang w:eastAsia="es-MX"/>
        </w:rPr>
      </w:pPr>
      <w:r>
        <w:rPr>
          <w:rFonts w:ascii="Palatino Linotype" w:eastAsia="Palatino Linotype" w:hAnsi="Palatino Linotype" w:cs="Palatino Linotype"/>
          <w:sz w:val="22"/>
          <w:szCs w:val="22"/>
        </w:rPr>
        <w:t>El recibo de nómina o Comprobante Fiscal Digital por Internet por concepto de nómina de la segunda quincena de septiembre de dos mil veinticinco, del Especialista “A” adscrito a la Secretaría del Ayuntamiento, referido en la solicitud</w:t>
      </w:r>
      <w:r w:rsidR="00D70CAB" w:rsidRPr="00CC312D">
        <w:rPr>
          <w:rFonts w:ascii="Palatino Linotype" w:eastAsia="Palatino Linotype" w:hAnsi="Palatino Linotype" w:cs="Palatino Linotype"/>
          <w:sz w:val="22"/>
          <w:szCs w:val="22"/>
        </w:rPr>
        <w:t>.</w:t>
      </w:r>
    </w:p>
    <w:p w14:paraId="0E690DA9" w14:textId="77777777" w:rsidR="005B0F6A" w:rsidRPr="00E60AC1" w:rsidRDefault="005B0F6A" w:rsidP="005D202C">
      <w:pPr>
        <w:pStyle w:val="Prrafodelista"/>
        <w:widowControl w:val="0"/>
        <w:spacing w:line="360" w:lineRule="auto"/>
        <w:jc w:val="both"/>
        <w:rPr>
          <w:rFonts w:ascii="Palatino Linotype" w:eastAsia="Calibri" w:hAnsi="Palatino Linotype"/>
          <w:b/>
          <w:color w:val="FF0000"/>
          <w:sz w:val="22"/>
          <w:szCs w:val="22"/>
          <w:lang w:eastAsia="es-MX"/>
        </w:rPr>
      </w:pPr>
    </w:p>
    <w:p w14:paraId="482733E8" w14:textId="7B896F99" w:rsidR="005478C4" w:rsidRPr="005B0F6A" w:rsidRDefault="004A4C2E" w:rsidP="005D202C">
      <w:pPr>
        <w:spacing w:line="360" w:lineRule="auto"/>
        <w:jc w:val="both"/>
        <w:rPr>
          <w:rFonts w:ascii="Palatino Linotype" w:hAnsi="Palatino Linotype" w:cs="Tahoma"/>
          <w:bCs/>
          <w:sz w:val="22"/>
          <w:szCs w:val="22"/>
          <w:lang w:eastAsia="es-MX"/>
        </w:rPr>
      </w:pPr>
      <w:r w:rsidRPr="005B0F6A">
        <w:rPr>
          <w:rFonts w:ascii="Palatino Linotype" w:hAnsi="Palatino Linotype" w:cs="Tahoma"/>
          <w:bCs/>
          <w:sz w:val="22"/>
          <w:szCs w:val="22"/>
          <w:lang w:eastAsia="es-MX"/>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BE4FB66" w14:textId="29184394" w:rsidR="005478C4" w:rsidRPr="00E60AC1" w:rsidRDefault="005478C4" w:rsidP="005D202C">
      <w:pPr>
        <w:spacing w:line="360" w:lineRule="auto"/>
        <w:jc w:val="both"/>
        <w:rPr>
          <w:rFonts w:ascii="Palatino Linotype" w:hAnsi="Palatino Linotype" w:cs="Tahoma"/>
          <w:bCs/>
          <w:color w:val="FF0000"/>
          <w:sz w:val="22"/>
          <w:szCs w:val="22"/>
          <w:lang w:eastAsia="es-MX"/>
        </w:rPr>
      </w:pPr>
    </w:p>
    <w:p w14:paraId="1CD65484" w14:textId="38F12F2D" w:rsidR="00377980" w:rsidRPr="005B0F6A" w:rsidRDefault="00377980" w:rsidP="005D202C">
      <w:pPr>
        <w:widowControl w:val="0"/>
        <w:spacing w:line="360" w:lineRule="auto"/>
        <w:jc w:val="both"/>
        <w:rPr>
          <w:rFonts w:ascii="Palatino Linotype" w:eastAsia="Calibri" w:hAnsi="Palatino Linotype"/>
          <w:b/>
          <w:sz w:val="22"/>
          <w:szCs w:val="22"/>
          <w:lang w:eastAsia="es-MX"/>
        </w:rPr>
      </w:pPr>
      <w:r w:rsidRPr="005B0F6A">
        <w:rPr>
          <w:rFonts w:ascii="Palatino Linotype" w:eastAsia="Calibri" w:hAnsi="Palatino Linotype"/>
          <w:b/>
          <w:sz w:val="22"/>
          <w:szCs w:val="22"/>
          <w:lang w:eastAsia="es-MX"/>
        </w:rPr>
        <w:t xml:space="preserve">TERCERO. NOTIFÍQUESE POR SAIMEX </w:t>
      </w:r>
      <w:r w:rsidRPr="005B0F6A">
        <w:rPr>
          <w:rFonts w:ascii="Palatino Linotype" w:eastAsia="Calibri" w:hAnsi="Palatino Linotype"/>
          <w:sz w:val="22"/>
          <w:szCs w:val="22"/>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5B0F6A">
        <w:rPr>
          <w:rFonts w:ascii="Palatino Linotype" w:eastAsia="Calibri" w:hAnsi="Palatino Linotype"/>
          <w:sz w:val="22"/>
          <w:szCs w:val="22"/>
          <w:lang w:eastAsia="es-MX"/>
        </w:rPr>
        <w:lastRenderedPageBreak/>
        <w:t xml:space="preserve">cumplimiento dado a la presente, se le apercibe que en caso de negarse a cumplir la presente resolución o hacerlo de manera parcial, se le impondrá una medida de apremio de conformidad con lo previsto en los artículos 198, 200, fracción III, 214, 215 y 216 de la </w:t>
      </w:r>
      <w:r w:rsidR="00F76300" w:rsidRPr="005B0F6A">
        <w:rPr>
          <w:rFonts w:ascii="Palatino Linotype" w:hAnsi="Palatino Linotype" w:cs="Tahoma"/>
          <w:bCs/>
          <w:sz w:val="22"/>
          <w:szCs w:val="22"/>
          <w:lang w:eastAsia="es-MX"/>
        </w:rPr>
        <w:t>Ley de Transparencia y Acceso a la Información Pública del Estado de México y Municipios</w:t>
      </w:r>
      <w:r w:rsidRPr="005B0F6A">
        <w:rPr>
          <w:rFonts w:ascii="Palatino Linotype" w:eastAsia="Calibri" w:hAnsi="Palatino Linotype"/>
          <w:sz w:val="22"/>
          <w:szCs w:val="22"/>
          <w:lang w:eastAsia="es-MX"/>
        </w:rPr>
        <w:t>.</w:t>
      </w:r>
    </w:p>
    <w:p w14:paraId="657511B6" w14:textId="77777777" w:rsidR="00377980" w:rsidRPr="005B0F6A" w:rsidRDefault="00377980" w:rsidP="005D202C">
      <w:pPr>
        <w:spacing w:line="360" w:lineRule="auto"/>
        <w:ind w:right="-28"/>
        <w:jc w:val="both"/>
        <w:rPr>
          <w:rFonts w:ascii="Palatino Linotype" w:eastAsia="Calibri" w:hAnsi="Palatino Linotype"/>
          <w:sz w:val="22"/>
          <w:szCs w:val="22"/>
          <w:lang w:eastAsia="es-MX"/>
        </w:rPr>
      </w:pPr>
    </w:p>
    <w:p w14:paraId="57355114" w14:textId="311233C1" w:rsidR="00377980" w:rsidRPr="005B0F6A" w:rsidRDefault="00377980" w:rsidP="005D202C">
      <w:pPr>
        <w:spacing w:line="360" w:lineRule="auto"/>
        <w:jc w:val="both"/>
        <w:rPr>
          <w:rFonts w:ascii="Palatino Linotype" w:eastAsia="Calibri" w:hAnsi="Palatino Linotype"/>
          <w:sz w:val="22"/>
          <w:szCs w:val="22"/>
          <w:lang w:eastAsia="es-MX"/>
        </w:rPr>
      </w:pPr>
      <w:r w:rsidRPr="005B0F6A">
        <w:rPr>
          <w:rFonts w:ascii="Palatino Linotype" w:eastAsia="Calibri" w:hAnsi="Palatino Linotype"/>
          <w:sz w:val="22"/>
          <w:szCs w:val="22"/>
          <w:lang w:eastAsia="es-MX"/>
        </w:rPr>
        <w:t xml:space="preserve">De conformidad con el artículo 198 de la </w:t>
      </w:r>
      <w:r w:rsidR="00F76300" w:rsidRPr="005B0F6A">
        <w:rPr>
          <w:rFonts w:ascii="Palatino Linotype" w:hAnsi="Palatino Linotype" w:cs="Tahoma"/>
          <w:bCs/>
          <w:sz w:val="22"/>
          <w:szCs w:val="22"/>
          <w:lang w:eastAsia="es-MX"/>
        </w:rPr>
        <w:t>Ley de Transparencia y Acceso a la Información Pública del Estado de México y Municipios</w:t>
      </w:r>
      <w:r w:rsidRPr="005B0F6A">
        <w:rPr>
          <w:rFonts w:ascii="Palatino Linotype" w:eastAsia="Calibri" w:hAnsi="Palatino Linotype"/>
          <w:sz w:val="22"/>
          <w:szCs w:val="22"/>
          <w:lang w:eastAsia="es-MX"/>
        </w:rPr>
        <w:t>, de considerarlo procedente, el Sujeto Obligado de manera fundada y motivada, podrá solicitar una ampliación de plazo para el cumplimiento de la presente resolución.</w:t>
      </w:r>
    </w:p>
    <w:p w14:paraId="33743D90" w14:textId="77777777" w:rsidR="00377980" w:rsidRPr="005B0F6A" w:rsidRDefault="00377980" w:rsidP="005D202C">
      <w:pPr>
        <w:spacing w:line="360" w:lineRule="auto"/>
        <w:jc w:val="both"/>
        <w:rPr>
          <w:rFonts w:ascii="Palatino Linotype" w:eastAsia="Calibri" w:hAnsi="Palatino Linotype"/>
          <w:sz w:val="22"/>
          <w:szCs w:val="22"/>
          <w:lang w:eastAsia="es-MX"/>
        </w:rPr>
      </w:pPr>
    </w:p>
    <w:p w14:paraId="0D6A9A3A" w14:textId="77777777" w:rsidR="00377980" w:rsidRPr="005B0F6A" w:rsidRDefault="00377980" w:rsidP="005D202C">
      <w:pPr>
        <w:spacing w:line="360" w:lineRule="auto"/>
        <w:contextualSpacing/>
        <w:jc w:val="both"/>
        <w:rPr>
          <w:rFonts w:ascii="Palatino Linotype" w:eastAsia="Calibri" w:hAnsi="Palatino Linotype"/>
          <w:sz w:val="22"/>
          <w:szCs w:val="22"/>
          <w:lang w:eastAsia="en-US"/>
        </w:rPr>
      </w:pPr>
      <w:r w:rsidRPr="005B0F6A">
        <w:rPr>
          <w:rFonts w:ascii="Palatino Linotype" w:eastAsia="Calibri" w:hAnsi="Palatino Linotype"/>
          <w:b/>
          <w:bCs/>
          <w:sz w:val="22"/>
          <w:szCs w:val="22"/>
          <w:lang w:eastAsia="en-US"/>
        </w:rPr>
        <w:t xml:space="preserve">CUARTO. </w:t>
      </w:r>
      <w:r w:rsidRPr="005B0F6A">
        <w:rPr>
          <w:rFonts w:ascii="Palatino Linotype" w:eastAsia="Calibri" w:hAnsi="Palatino Linotype"/>
          <w:b/>
          <w:sz w:val="22"/>
          <w:szCs w:val="22"/>
          <w:lang w:eastAsia="es-MX"/>
        </w:rPr>
        <w:t>NOTIFÍQUESE POR SAIMEX</w:t>
      </w:r>
      <w:r w:rsidRPr="005B0F6A">
        <w:rPr>
          <w:rFonts w:ascii="Palatino Linotype" w:eastAsia="Calibri" w:hAnsi="Palatino Linotype"/>
          <w:sz w:val="22"/>
          <w:szCs w:val="22"/>
          <w:lang w:eastAsia="en-US"/>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263EFEE6" w14:textId="77777777" w:rsidR="00377980" w:rsidRPr="005B0F6A" w:rsidRDefault="00377980" w:rsidP="005D202C">
      <w:pPr>
        <w:spacing w:line="360" w:lineRule="auto"/>
        <w:jc w:val="both"/>
        <w:rPr>
          <w:rFonts w:ascii="Palatino Linotype" w:hAnsi="Palatino Linotype" w:cs="Arial"/>
          <w:b/>
          <w:bCs/>
          <w:sz w:val="22"/>
          <w:szCs w:val="22"/>
        </w:rPr>
      </w:pPr>
    </w:p>
    <w:p w14:paraId="1F1280E6" w14:textId="7C556FA2" w:rsidR="008F029F" w:rsidRPr="005B0F6A" w:rsidRDefault="008F029F" w:rsidP="005D202C">
      <w:pPr>
        <w:spacing w:line="360" w:lineRule="auto"/>
        <w:jc w:val="both"/>
        <w:rPr>
          <w:rFonts w:ascii="Palatino Linotype" w:eastAsia="Calibri" w:hAnsi="Palatino Linotype" w:cs="Tahoma"/>
          <w:bCs/>
          <w:sz w:val="22"/>
          <w:szCs w:val="22"/>
          <w:lang w:eastAsia="en-US"/>
        </w:rPr>
      </w:pPr>
      <w:r w:rsidRPr="005B0F6A">
        <w:rPr>
          <w:rFonts w:ascii="Palatino Linotype" w:eastAsia="Calibri" w:hAnsi="Palatino Linotype" w:cs="Tahoma"/>
          <w:bCs/>
          <w:sz w:val="22"/>
          <w:szCs w:val="22"/>
          <w:lang w:eastAsia="en-US"/>
        </w:rPr>
        <w:t>ASÍ LO RESUELVE, POR </w:t>
      </w:r>
      <w:r w:rsidRPr="005B0F6A">
        <w:rPr>
          <w:rFonts w:ascii="Palatino Linotype" w:eastAsia="Calibri" w:hAnsi="Palatino Linotype" w:cs="Tahoma"/>
          <w:b/>
          <w:bCs/>
          <w:sz w:val="22"/>
          <w:szCs w:val="22"/>
          <w:lang w:eastAsia="en-US"/>
        </w:rPr>
        <w:t>UNANIMIDAD</w:t>
      </w:r>
      <w:r w:rsidRPr="005B0F6A">
        <w:rPr>
          <w:rFonts w:ascii="Palatino Linotype" w:eastAsia="Calibri" w:hAnsi="Palatino Linotype"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00816E87" w:rsidRPr="005B0F6A">
        <w:rPr>
          <w:rFonts w:ascii="Palatino Linotype" w:eastAsia="Calibri" w:hAnsi="Palatino Linotype" w:cs="Tahoma"/>
          <w:bCs/>
          <w:sz w:val="22"/>
          <w:szCs w:val="22"/>
          <w:lang w:eastAsia="en-US"/>
        </w:rPr>
        <w:t>SHARON CRISTINA MORALES MARTÍNEZ</w:t>
      </w:r>
      <w:r w:rsidRPr="005B0F6A">
        <w:rPr>
          <w:rFonts w:ascii="Palatino Linotype" w:eastAsia="Calibri" w:hAnsi="Palatino Linotype" w:cs="Tahoma"/>
          <w:bCs/>
          <w:sz w:val="22"/>
          <w:szCs w:val="22"/>
          <w:lang w:eastAsia="en-US"/>
        </w:rPr>
        <w:t>, LUIS GUSTAVO PARRA NORIEGA Y GUADALUPE RAMÍREZ PEÑA</w:t>
      </w:r>
      <w:r w:rsidR="00341842">
        <w:rPr>
          <w:rFonts w:ascii="Palatino Linotype" w:eastAsia="Calibri" w:hAnsi="Palatino Linotype" w:cs="Tahoma"/>
          <w:bCs/>
          <w:sz w:val="22"/>
          <w:szCs w:val="22"/>
          <w:lang w:eastAsia="en-US"/>
        </w:rPr>
        <w:t xml:space="preserve"> (AUSENCIA JUSTIFICA)</w:t>
      </w:r>
      <w:r w:rsidRPr="005B0F6A">
        <w:rPr>
          <w:rFonts w:ascii="Palatino Linotype" w:eastAsia="Calibri" w:hAnsi="Palatino Linotype" w:cs="Tahoma"/>
          <w:bCs/>
          <w:sz w:val="22"/>
          <w:szCs w:val="22"/>
          <w:lang w:eastAsia="en-US"/>
        </w:rPr>
        <w:t xml:space="preserve">, EN LA </w:t>
      </w:r>
      <w:r w:rsidR="00F41530">
        <w:rPr>
          <w:rFonts w:ascii="Palatino Linotype" w:eastAsia="Calibri" w:hAnsi="Palatino Linotype" w:cs="Tahoma"/>
          <w:bCs/>
          <w:sz w:val="22"/>
          <w:szCs w:val="22"/>
          <w:lang w:eastAsia="en-US"/>
        </w:rPr>
        <w:t>CUADRAGÉSIMA QUINTA</w:t>
      </w:r>
      <w:r w:rsidR="005B0F6A">
        <w:rPr>
          <w:rFonts w:ascii="Palatino Linotype" w:eastAsia="Calibri" w:hAnsi="Palatino Linotype" w:cs="Tahoma"/>
          <w:bCs/>
          <w:sz w:val="22"/>
          <w:szCs w:val="22"/>
          <w:lang w:eastAsia="en-US"/>
        </w:rPr>
        <w:t xml:space="preserve"> </w:t>
      </w:r>
      <w:r w:rsidRPr="005B0F6A">
        <w:rPr>
          <w:rFonts w:ascii="Palatino Linotype" w:eastAsia="Calibri" w:hAnsi="Palatino Linotype" w:cs="Tahoma"/>
          <w:bCs/>
          <w:sz w:val="22"/>
          <w:szCs w:val="22"/>
          <w:lang w:eastAsia="en-US"/>
        </w:rPr>
        <w:t xml:space="preserve">SESIÓN ORDINARIA, CELEBRADA EL </w:t>
      </w:r>
      <w:r w:rsidR="00CC312D">
        <w:rPr>
          <w:rFonts w:ascii="Palatino Linotype" w:eastAsia="Calibri" w:hAnsi="Palatino Linotype" w:cs="Tahoma"/>
          <w:bCs/>
          <w:sz w:val="22"/>
          <w:szCs w:val="22"/>
          <w:lang w:eastAsia="en-US"/>
        </w:rPr>
        <w:t>DIECISIETE DE DICIEMBRE</w:t>
      </w:r>
      <w:r w:rsidR="005B0F6A">
        <w:rPr>
          <w:rFonts w:ascii="Palatino Linotype" w:eastAsia="Calibri" w:hAnsi="Palatino Linotype" w:cs="Tahoma"/>
          <w:bCs/>
          <w:sz w:val="22"/>
          <w:szCs w:val="22"/>
          <w:lang w:eastAsia="en-US"/>
        </w:rPr>
        <w:t xml:space="preserve"> </w:t>
      </w:r>
      <w:r w:rsidRPr="005B0F6A">
        <w:rPr>
          <w:rFonts w:ascii="Palatino Linotype" w:eastAsia="Calibri" w:hAnsi="Palatino Linotype" w:cs="Tahoma"/>
          <w:bCs/>
          <w:sz w:val="22"/>
          <w:szCs w:val="22"/>
          <w:lang w:eastAsia="en-US"/>
        </w:rPr>
        <w:t>DE DOS MIL VEINTICINCO, ANTE EL SECRETARIO TÉCNICO DEL PLENO, ALEXIS TAPIA RAMÍREZ.</w:t>
      </w:r>
    </w:p>
    <w:p w14:paraId="23E7B081" w14:textId="77777777" w:rsidR="008F029F" w:rsidRPr="00E60AC1" w:rsidRDefault="008F029F" w:rsidP="005D202C">
      <w:pPr>
        <w:widowControl w:val="0"/>
        <w:spacing w:line="360" w:lineRule="auto"/>
        <w:jc w:val="both"/>
        <w:rPr>
          <w:rFonts w:ascii="Palatino Linotype" w:eastAsia="Palatino Linotype" w:hAnsi="Palatino Linotype" w:cs="Palatino Linotype"/>
          <w:color w:val="FF0000"/>
          <w:sz w:val="22"/>
          <w:szCs w:val="22"/>
        </w:rPr>
      </w:pPr>
    </w:p>
    <w:p w14:paraId="0A6AFA24" w14:textId="77777777" w:rsidR="00286EFA" w:rsidRPr="00E60AC1" w:rsidRDefault="00286EFA" w:rsidP="005D202C">
      <w:pPr>
        <w:spacing w:line="360" w:lineRule="auto"/>
        <w:rPr>
          <w:rFonts w:ascii="Palatino Linotype" w:eastAsia="Palatino Linotype" w:hAnsi="Palatino Linotype" w:cs="Palatino Linotype"/>
          <w:color w:val="FF0000"/>
        </w:rPr>
      </w:pPr>
    </w:p>
    <w:p w14:paraId="450AF02C" w14:textId="77777777" w:rsidR="00286EFA" w:rsidRPr="00E60AC1" w:rsidRDefault="00286EFA" w:rsidP="005D202C">
      <w:pPr>
        <w:spacing w:line="360" w:lineRule="auto"/>
        <w:rPr>
          <w:rFonts w:ascii="Palatino Linotype" w:eastAsia="Palatino Linotype" w:hAnsi="Palatino Linotype" w:cs="Palatino Linotype"/>
          <w:color w:val="FF0000"/>
        </w:rPr>
      </w:pPr>
    </w:p>
    <w:p w14:paraId="4FACB18F" w14:textId="77777777" w:rsidR="00286EFA" w:rsidRPr="00E60AC1" w:rsidRDefault="00286EFA" w:rsidP="005D202C">
      <w:pPr>
        <w:spacing w:line="360" w:lineRule="auto"/>
        <w:rPr>
          <w:rFonts w:ascii="Palatino Linotype" w:eastAsia="Palatino Linotype" w:hAnsi="Palatino Linotype" w:cs="Palatino Linotype"/>
          <w:color w:val="FF0000"/>
        </w:rPr>
      </w:pPr>
    </w:p>
    <w:p w14:paraId="2F24922B" w14:textId="77777777" w:rsidR="00286EFA" w:rsidRPr="00E60AC1" w:rsidRDefault="00286EFA" w:rsidP="005D202C">
      <w:pPr>
        <w:spacing w:line="360" w:lineRule="auto"/>
        <w:rPr>
          <w:rFonts w:ascii="Palatino Linotype" w:eastAsia="Palatino Linotype" w:hAnsi="Palatino Linotype" w:cs="Palatino Linotype"/>
          <w:color w:val="FF0000"/>
        </w:rPr>
      </w:pPr>
    </w:p>
    <w:p w14:paraId="29083F95" w14:textId="77777777" w:rsidR="00286EFA" w:rsidRPr="00E60AC1" w:rsidRDefault="00286EFA" w:rsidP="005D202C">
      <w:pPr>
        <w:spacing w:line="360" w:lineRule="auto"/>
        <w:rPr>
          <w:rFonts w:ascii="Palatino Linotype" w:eastAsia="Palatino Linotype" w:hAnsi="Palatino Linotype" w:cs="Palatino Linotype"/>
          <w:color w:val="FF0000"/>
        </w:rPr>
      </w:pPr>
    </w:p>
    <w:p w14:paraId="3C7C074D" w14:textId="77777777" w:rsidR="00286EFA" w:rsidRPr="00E60AC1" w:rsidRDefault="00286EFA" w:rsidP="005D202C">
      <w:pPr>
        <w:spacing w:line="360" w:lineRule="auto"/>
        <w:rPr>
          <w:rFonts w:ascii="Palatino Linotype" w:eastAsia="Palatino Linotype" w:hAnsi="Palatino Linotype" w:cs="Palatino Linotype"/>
          <w:color w:val="FF0000"/>
        </w:rPr>
      </w:pPr>
    </w:p>
    <w:p w14:paraId="7D30FC72" w14:textId="77777777" w:rsidR="00286EFA" w:rsidRPr="00E60AC1" w:rsidRDefault="00286EFA" w:rsidP="005D202C">
      <w:pPr>
        <w:spacing w:line="360" w:lineRule="auto"/>
        <w:rPr>
          <w:rFonts w:ascii="Palatino Linotype" w:eastAsia="Palatino Linotype" w:hAnsi="Palatino Linotype" w:cs="Palatino Linotype"/>
          <w:color w:val="FF0000"/>
        </w:rPr>
      </w:pPr>
    </w:p>
    <w:p w14:paraId="5B519BB2" w14:textId="77777777" w:rsidR="00286EFA" w:rsidRPr="00E60AC1" w:rsidRDefault="00286EFA" w:rsidP="005D202C">
      <w:pPr>
        <w:spacing w:line="360" w:lineRule="auto"/>
        <w:rPr>
          <w:rFonts w:ascii="Palatino Linotype" w:eastAsia="Palatino Linotype" w:hAnsi="Palatino Linotype" w:cs="Palatino Linotype"/>
          <w:color w:val="FF0000"/>
        </w:rPr>
      </w:pPr>
    </w:p>
    <w:p w14:paraId="64CEE649" w14:textId="77777777" w:rsidR="00B20606" w:rsidRPr="00E60AC1" w:rsidRDefault="00B20606" w:rsidP="005D202C">
      <w:pPr>
        <w:spacing w:line="360" w:lineRule="auto"/>
        <w:rPr>
          <w:rFonts w:ascii="Palatino Linotype" w:eastAsia="Palatino Linotype" w:hAnsi="Palatino Linotype" w:cs="Palatino Linotype"/>
          <w:color w:val="FF0000"/>
        </w:rPr>
      </w:pPr>
    </w:p>
    <w:p w14:paraId="70656A90" w14:textId="77777777" w:rsidR="00B20606" w:rsidRPr="00E60AC1" w:rsidRDefault="00B20606" w:rsidP="005D202C">
      <w:pPr>
        <w:spacing w:line="360" w:lineRule="auto"/>
        <w:rPr>
          <w:rFonts w:ascii="Palatino Linotype" w:eastAsia="Palatino Linotype" w:hAnsi="Palatino Linotype" w:cs="Palatino Linotype"/>
          <w:color w:val="FF0000"/>
        </w:rPr>
      </w:pPr>
    </w:p>
    <w:p w14:paraId="7DB613AA" w14:textId="77777777" w:rsidR="00B20606" w:rsidRPr="00E60AC1" w:rsidRDefault="00B20606" w:rsidP="005D202C">
      <w:pPr>
        <w:spacing w:line="360" w:lineRule="auto"/>
        <w:rPr>
          <w:rFonts w:ascii="Palatino Linotype" w:eastAsia="Palatino Linotype" w:hAnsi="Palatino Linotype" w:cs="Palatino Linotype"/>
          <w:color w:val="FF0000"/>
        </w:rPr>
      </w:pPr>
    </w:p>
    <w:p w14:paraId="4D1D5C9D" w14:textId="77777777" w:rsidR="00B20606" w:rsidRPr="00E60AC1" w:rsidRDefault="00B20606" w:rsidP="005D202C">
      <w:pPr>
        <w:spacing w:line="360" w:lineRule="auto"/>
        <w:rPr>
          <w:rFonts w:ascii="Palatino Linotype" w:eastAsia="Palatino Linotype" w:hAnsi="Palatino Linotype" w:cs="Palatino Linotype"/>
          <w:color w:val="FF0000"/>
        </w:rPr>
      </w:pPr>
    </w:p>
    <w:p w14:paraId="7A76D69D" w14:textId="77777777" w:rsidR="00B20606" w:rsidRPr="00E60AC1" w:rsidRDefault="00B20606" w:rsidP="005D202C">
      <w:pPr>
        <w:spacing w:line="360" w:lineRule="auto"/>
        <w:rPr>
          <w:rFonts w:ascii="Palatino Linotype" w:eastAsia="Palatino Linotype" w:hAnsi="Palatino Linotype" w:cs="Palatino Linotype"/>
          <w:color w:val="FF0000"/>
        </w:rPr>
      </w:pPr>
    </w:p>
    <w:p w14:paraId="3C142E3C" w14:textId="77777777" w:rsidR="00B20606" w:rsidRPr="00E60AC1" w:rsidRDefault="00B20606" w:rsidP="005D202C">
      <w:pPr>
        <w:spacing w:line="360" w:lineRule="auto"/>
        <w:rPr>
          <w:rFonts w:ascii="Palatino Linotype" w:eastAsia="Palatino Linotype" w:hAnsi="Palatino Linotype" w:cs="Palatino Linotype"/>
          <w:color w:val="FF0000"/>
        </w:rPr>
      </w:pPr>
    </w:p>
    <w:p w14:paraId="6D3E8E88" w14:textId="77777777" w:rsidR="00B20606" w:rsidRPr="00E60AC1" w:rsidRDefault="00B20606" w:rsidP="005D202C">
      <w:pPr>
        <w:spacing w:line="360" w:lineRule="auto"/>
        <w:rPr>
          <w:rFonts w:ascii="Palatino Linotype" w:eastAsia="Palatino Linotype" w:hAnsi="Palatino Linotype" w:cs="Palatino Linotype"/>
          <w:color w:val="FF0000"/>
        </w:rPr>
      </w:pPr>
    </w:p>
    <w:p w14:paraId="13EEF656" w14:textId="77777777" w:rsidR="00B20606" w:rsidRPr="00E60AC1" w:rsidRDefault="00B20606" w:rsidP="005D202C">
      <w:pPr>
        <w:spacing w:line="360" w:lineRule="auto"/>
        <w:rPr>
          <w:rFonts w:ascii="Palatino Linotype" w:eastAsia="Palatino Linotype" w:hAnsi="Palatino Linotype" w:cs="Palatino Linotype"/>
          <w:color w:val="FF0000"/>
        </w:rPr>
      </w:pPr>
    </w:p>
    <w:p w14:paraId="516D0FB1" w14:textId="77777777" w:rsidR="00B20606" w:rsidRPr="00E60AC1" w:rsidRDefault="00B20606" w:rsidP="005D202C">
      <w:pPr>
        <w:spacing w:line="360" w:lineRule="auto"/>
        <w:rPr>
          <w:rFonts w:ascii="Palatino Linotype" w:eastAsia="Palatino Linotype" w:hAnsi="Palatino Linotype" w:cs="Palatino Linotype"/>
          <w:color w:val="FF0000"/>
        </w:rPr>
      </w:pPr>
    </w:p>
    <w:p w14:paraId="5FFFD9F5" w14:textId="77777777" w:rsidR="00B20606" w:rsidRPr="00E60AC1" w:rsidRDefault="00B20606" w:rsidP="005D202C">
      <w:pPr>
        <w:spacing w:line="360" w:lineRule="auto"/>
        <w:rPr>
          <w:rFonts w:ascii="Palatino Linotype" w:eastAsia="Palatino Linotype" w:hAnsi="Palatino Linotype" w:cs="Palatino Linotype"/>
          <w:color w:val="FF0000"/>
        </w:rPr>
      </w:pPr>
    </w:p>
    <w:p w14:paraId="755971FA" w14:textId="77777777" w:rsidR="00B20606" w:rsidRPr="00E60AC1" w:rsidRDefault="00B20606" w:rsidP="005D202C">
      <w:pPr>
        <w:spacing w:line="360" w:lineRule="auto"/>
        <w:rPr>
          <w:rFonts w:ascii="Palatino Linotype" w:eastAsia="Palatino Linotype" w:hAnsi="Palatino Linotype" w:cs="Palatino Linotype"/>
          <w:color w:val="FF0000"/>
        </w:rPr>
      </w:pPr>
    </w:p>
    <w:p w14:paraId="03768C32" w14:textId="77777777" w:rsidR="00B20606" w:rsidRPr="00E60AC1" w:rsidRDefault="00B20606" w:rsidP="005D202C">
      <w:pPr>
        <w:spacing w:line="360" w:lineRule="auto"/>
        <w:rPr>
          <w:rFonts w:ascii="Palatino Linotype" w:eastAsia="Palatino Linotype" w:hAnsi="Palatino Linotype" w:cs="Palatino Linotype"/>
          <w:color w:val="FF0000"/>
        </w:rPr>
      </w:pPr>
    </w:p>
    <w:p w14:paraId="75ECFDC1" w14:textId="77777777" w:rsidR="00B20606" w:rsidRPr="00E60AC1" w:rsidRDefault="00B20606" w:rsidP="005D202C">
      <w:pPr>
        <w:spacing w:line="360" w:lineRule="auto"/>
        <w:rPr>
          <w:rFonts w:ascii="Palatino Linotype" w:eastAsia="Palatino Linotype" w:hAnsi="Palatino Linotype" w:cs="Palatino Linotype"/>
          <w:color w:val="FF0000"/>
        </w:rPr>
      </w:pPr>
    </w:p>
    <w:p w14:paraId="1FCFB9AB" w14:textId="77777777" w:rsidR="00B20606" w:rsidRPr="00E60AC1" w:rsidRDefault="00B20606" w:rsidP="005D202C">
      <w:pPr>
        <w:spacing w:line="360" w:lineRule="auto"/>
        <w:rPr>
          <w:rFonts w:ascii="Palatino Linotype" w:eastAsia="Palatino Linotype" w:hAnsi="Palatino Linotype" w:cs="Palatino Linotype"/>
          <w:color w:val="FF0000"/>
        </w:rPr>
      </w:pPr>
    </w:p>
    <w:sectPr w:rsidR="00B20606" w:rsidRPr="00E60AC1">
      <w:headerReference w:type="even" r:id="rId14"/>
      <w:headerReference w:type="default" r:id="rId15"/>
      <w:footerReference w:type="default" r:id="rId16"/>
      <w:headerReference w:type="first" r:id="rId17"/>
      <w:footerReference w:type="first" r:id="rId18"/>
      <w:pgSz w:w="12240" w:h="15840"/>
      <w:pgMar w:top="80" w:right="1608" w:bottom="1134" w:left="1588" w:header="850" w:footer="6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CEE3" w14:textId="77777777" w:rsidR="00E27157" w:rsidRDefault="00E27157">
      <w:r>
        <w:separator/>
      </w:r>
    </w:p>
  </w:endnote>
  <w:endnote w:type="continuationSeparator" w:id="0">
    <w:p w14:paraId="577A782B" w14:textId="77777777" w:rsidR="00E27157" w:rsidRDefault="00E2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FBDB" w14:textId="77777777" w:rsidR="004701E0" w:rsidRDefault="004701E0">
    <w:pPr>
      <w:pBdr>
        <w:top w:val="nil"/>
        <w:left w:val="nil"/>
        <w:bottom w:val="nil"/>
        <w:right w:val="nil"/>
        <w:between w:val="nil"/>
      </w:pBdr>
      <w:tabs>
        <w:tab w:val="center" w:pos="4419"/>
        <w:tab w:val="right" w:pos="8838"/>
      </w:tabs>
      <w:jc w:val="right"/>
      <w:rPr>
        <w:color w:val="000000"/>
        <w:sz w:val="26"/>
        <w:szCs w:val="26"/>
      </w:rPr>
    </w:pPr>
  </w:p>
  <w:p w14:paraId="559FE0EA" w14:textId="77777777" w:rsidR="004701E0" w:rsidRDefault="004701E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710B7">
      <w:rPr>
        <w:b/>
        <w:noProof/>
        <w:color w:val="000000"/>
        <w:sz w:val="24"/>
        <w:szCs w:val="24"/>
      </w:rPr>
      <w:t>34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710B7">
      <w:rPr>
        <w:b/>
        <w:noProof/>
        <w:color w:val="000000"/>
        <w:sz w:val="24"/>
        <w:szCs w:val="24"/>
      </w:rPr>
      <w:t>35</w:t>
    </w:r>
    <w:r>
      <w:rPr>
        <w:b/>
        <w:color w:val="000000"/>
        <w:sz w:val="24"/>
        <w:szCs w:val="24"/>
      </w:rPr>
      <w:fldChar w:fldCharType="end"/>
    </w:r>
  </w:p>
  <w:p w14:paraId="71846179" w14:textId="77777777" w:rsidR="004701E0" w:rsidRDefault="004701E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5764" w14:textId="77777777" w:rsidR="004701E0" w:rsidRDefault="004701E0">
    <w:pPr>
      <w:pBdr>
        <w:top w:val="nil"/>
        <w:left w:val="nil"/>
        <w:bottom w:val="nil"/>
        <w:right w:val="nil"/>
        <w:between w:val="nil"/>
      </w:pBdr>
      <w:tabs>
        <w:tab w:val="center" w:pos="4419"/>
        <w:tab w:val="right" w:pos="8838"/>
      </w:tabs>
      <w:jc w:val="right"/>
      <w:rPr>
        <w:color w:val="000000"/>
      </w:rPr>
    </w:pPr>
  </w:p>
  <w:p w14:paraId="03B4403E" w14:textId="77777777" w:rsidR="004701E0" w:rsidRDefault="004701E0">
    <w:pPr>
      <w:pBdr>
        <w:top w:val="nil"/>
        <w:left w:val="nil"/>
        <w:bottom w:val="nil"/>
        <w:right w:val="nil"/>
        <w:between w:val="nil"/>
      </w:pBdr>
      <w:tabs>
        <w:tab w:val="center" w:pos="4419"/>
        <w:tab w:val="right" w:pos="8838"/>
      </w:tabs>
      <w:jc w:val="right"/>
      <w:rPr>
        <w:color w:val="000000"/>
      </w:rPr>
    </w:pPr>
  </w:p>
  <w:p w14:paraId="351144BE" w14:textId="77777777" w:rsidR="004701E0" w:rsidRDefault="004701E0">
    <w:pPr>
      <w:pBdr>
        <w:top w:val="nil"/>
        <w:left w:val="nil"/>
        <w:bottom w:val="nil"/>
        <w:right w:val="nil"/>
        <w:between w:val="nil"/>
      </w:pBdr>
      <w:tabs>
        <w:tab w:val="center" w:pos="4419"/>
        <w:tab w:val="right" w:pos="8838"/>
      </w:tabs>
      <w:jc w:val="right"/>
      <w:rPr>
        <w:color w:val="000000"/>
      </w:rPr>
    </w:pPr>
  </w:p>
  <w:p w14:paraId="72870C08" w14:textId="77777777" w:rsidR="004701E0" w:rsidRDefault="004701E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710B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710B7">
      <w:rPr>
        <w:b/>
        <w:noProof/>
        <w:color w:val="000000"/>
        <w:sz w:val="24"/>
        <w:szCs w:val="24"/>
      </w:rPr>
      <w:t>35</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6AC9" w14:textId="77777777" w:rsidR="00E27157" w:rsidRDefault="00E27157">
      <w:r>
        <w:separator/>
      </w:r>
    </w:p>
  </w:footnote>
  <w:footnote w:type="continuationSeparator" w:id="0">
    <w:p w14:paraId="735EDC8E" w14:textId="77777777" w:rsidR="00E27157" w:rsidRDefault="00E2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3683" w14:textId="77777777" w:rsidR="004701E0" w:rsidRDefault="00000000">
    <w:pPr>
      <w:pBdr>
        <w:top w:val="nil"/>
        <w:left w:val="nil"/>
        <w:bottom w:val="nil"/>
        <w:right w:val="nil"/>
        <w:between w:val="nil"/>
      </w:pBdr>
      <w:tabs>
        <w:tab w:val="center" w:pos="4419"/>
        <w:tab w:val="right" w:pos="8838"/>
      </w:tabs>
      <w:rPr>
        <w:color w:val="000000"/>
      </w:rPr>
    </w:pPr>
    <w:r>
      <w:rPr>
        <w:color w:val="000000"/>
      </w:rPr>
      <w:pict w14:anchorId="77E88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aguaINFOEM" style="position:absolute;margin-left:0;margin-top:0;width:663.5pt;height:12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68D6" w14:textId="77777777" w:rsidR="004701E0" w:rsidRDefault="00000000">
    <w:pPr>
      <w:tabs>
        <w:tab w:val="left" w:pos="3416"/>
      </w:tabs>
      <w:rPr>
        <w:sz w:val="22"/>
        <w:szCs w:val="22"/>
      </w:rPr>
    </w:pPr>
    <w:r>
      <w:rPr>
        <w:sz w:val="14"/>
        <w:szCs w:val="14"/>
      </w:rPr>
      <w:pict w14:anchorId="2E144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aguaINFOEM" style="position:absolute;margin-left:-100.7pt;margin-top:-126.25pt;width:663.5pt;height:12in;z-index:-251659776;mso-position-horizontal-relative:margin;mso-position-vertical-relative:margin">
          <v:imagedata r:id="rId1" o:title="image5"/>
          <w10:wrap anchorx="margin" anchory="margin"/>
        </v:shape>
      </w:pict>
    </w:r>
  </w:p>
  <w:tbl>
    <w:tblPr>
      <w:tblStyle w:val="3"/>
      <w:tblW w:w="9461" w:type="dxa"/>
      <w:tblInd w:w="0" w:type="dxa"/>
      <w:tblLayout w:type="fixed"/>
      <w:tblLook w:val="0400" w:firstRow="0" w:lastRow="0" w:firstColumn="0" w:lastColumn="0" w:noHBand="0" w:noVBand="1"/>
    </w:tblPr>
    <w:tblGrid>
      <w:gridCol w:w="2268"/>
      <w:gridCol w:w="7193"/>
    </w:tblGrid>
    <w:tr w:rsidR="004701E0" w14:paraId="0F736EE8" w14:textId="77777777">
      <w:trPr>
        <w:trHeight w:val="70"/>
      </w:trPr>
      <w:tc>
        <w:tcPr>
          <w:tcW w:w="2268" w:type="dxa"/>
        </w:tcPr>
        <w:p w14:paraId="28DDDF7E" w14:textId="77777777" w:rsidR="004701E0" w:rsidRDefault="004701E0">
          <w:pPr>
            <w:tabs>
              <w:tab w:val="right" w:pos="4273"/>
            </w:tabs>
            <w:rPr>
              <w:rFonts w:ascii="Garamond" w:eastAsia="Garamond" w:hAnsi="Garamond" w:cs="Garamond"/>
              <w:sz w:val="16"/>
              <w:szCs w:val="16"/>
            </w:rPr>
          </w:pPr>
        </w:p>
      </w:tc>
      <w:tc>
        <w:tcPr>
          <w:tcW w:w="7193" w:type="dxa"/>
        </w:tcPr>
        <w:p w14:paraId="62D3A117" w14:textId="77777777" w:rsidR="004701E0" w:rsidRDefault="004701E0">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2"/>
            <w:tblW w:w="79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713"/>
            <w:gridCol w:w="4225"/>
          </w:tblGrid>
          <w:tr w:rsidR="004701E0" w14:paraId="152E2CDB" w14:textId="77777777">
            <w:trPr>
              <w:trHeight w:val="128"/>
            </w:trPr>
            <w:tc>
              <w:tcPr>
                <w:tcW w:w="3713" w:type="dxa"/>
                <w:vAlign w:val="bottom"/>
              </w:tcPr>
              <w:p w14:paraId="6BD7D1A9"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4225" w:type="dxa"/>
              </w:tcPr>
              <w:p w14:paraId="51932639" w14:textId="35162236" w:rsidR="004701E0" w:rsidRDefault="00B67A71">
                <w:pPr>
                  <w:tabs>
                    <w:tab w:val="right" w:pos="8838"/>
                  </w:tabs>
                  <w:ind w:left="-28" w:right="683"/>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13251</w:t>
                </w:r>
                <w:r w:rsidR="004701E0">
                  <w:rPr>
                    <w:rFonts w:ascii="Palatino Linotype" w:eastAsia="Palatino Linotype" w:hAnsi="Palatino Linotype" w:cs="Palatino Linotype"/>
                    <w:sz w:val="22"/>
                    <w:szCs w:val="22"/>
                  </w:rPr>
                  <w:t>/INFOEM/IP/RR/2025</w:t>
                </w:r>
              </w:p>
            </w:tc>
          </w:tr>
          <w:tr w:rsidR="004701E0" w14:paraId="4121F6F4" w14:textId="77777777">
            <w:trPr>
              <w:trHeight w:val="251"/>
            </w:trPr>
            <w:tc>
              <w:tcPr>
                <w:tcW w:w="3713" w:type="dxa"/>
              </w:tcPr>
              <w:p w14:paraId="277B805D"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4225" w:type="dxa"/>
              </w:tcPr>
              <w:p w14:paraId="164DC8ED" w14:textId="7D63203D" w:rsidR="004701E0" w:rsidRDefault="004701E0" w:rsidP="007470C1">
                <w:pPr>
                  <w:tabs>
                    <w:tab w:val="right" w:pos="8838"/>
                  </w:tabs>
                  <w:ind w:left="-28" w:right="-32"/>
                  <w:rPr>
                    <w:rFonts w:ascii="Palatino Linotype" w:eastAsia="Palatino Linotype" w:hAnsi="Palatino Linotype" w:cs="Palatino Linotype"/>
                    <w:sz w:val="22"/>
                    <w:szCs w:val="22"/>
                  </w:rPr>
                </w:pPr>
                <w:r w:rsidRPr="00A71A61">
                  <w:rPr>
                    <w:rFonts w:ascii="Palatino Linotype" w:eastAsia="Palatino Linotype" w:hAnsi="Palatino Linotype" w:cs="Palatino Linotype"/>
                    <w:sz w:val="22"/>
                    <w:szCs w:val="22"/>
                  </w:rPr>
                  <w:t xml:space="preserve">Ayuntamiento de </w:t>
                </w:r>
                <w:r>
                  <w:rPr>
                    <w:rFonts w:ascii="Palatino Linotype" w:eastAsia="Palatino Linotype" w:hAnsi="Palatino Linotype" w:cs="Palatino Linotype"/>
                    <w:sz w:val="22"/>
                    <w:szCs w:val="22"/>
                  </w:rPr>
                  <w:t>Toluca</w:t>
                </w:r>
              </w:p>
            </w:tc>
          </w:tr>
          <w:tr w:rsidR="004701E0" w14:paraId="41AC30BC" w14:textId="77777777">
            <w:trPr>
              <w:trHeight w:val="251"/>
            </w:trPr>
            <w:tc>
              <w:tcPr>
                <w:tcW w:w="3713" w:type="dxa"/>
              </w:tcPr>
              <w:p w14:paraId="4F0BB3B9"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225" w:type="dxa"/>
              </w:tcPr>
              <w:p w14:paraId="0EFAAC2F" w14:textId="77777777" w:rsidR="004701E0" w:rsidRDefault="004701E0">
                <w:pPr>
                  <w:tabs>
                    <w:tab w:val="right" w:pos="8838"/>
                  </w:tabs>
                  <w:ind w:left="-28" w:right="-32"/>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Luis Gustavo Parra Noriega</w:t>
                </w:r>
              </w:p>
            </w:tc>
          </w:tr>
        </w:tbl>
        <w:p w14:paraId="05D675D7" w14:textId="77777777" w:rsidR="004701E0" w:rsidRDefault="004701E0">
          <w:pPr>
            <w:tabs>
              <w:tab w:val="right" w:pos="8838"/>
            </w:tabs>
            <w:ind w:left="-28"/>
            <w:rPr>
              <w:rFonts w:ascii="Arial" w:eastAsia="Arial" w:hAnsi="Arial" w:cs="Arial"/>
              <w:b/>
            </w:rPr>
          </w:pPr>
        </w:p>
      </w:tc>
    </w:tr>
  </w:tbl>
  <w:p w14:paraId="5A727DCA" w14:textId="77777777" w:rsidR="004701E0" w:rsidRDefault="004701E0">
    <w:pPr>
      <w:pBdr>
        <w:top w:val="nil"/>
        <w:left w:val="nil"/>
        <w:bottom w:val="nil"/>
        <w:right w:val="nil"/>
        <w:between w:val="nil"/>
      </w:pBdr>
      <w:tabs>
        <w:tab w:val="center" w:pos="4419"/>
        <w:tab w:val="right" w:pos="8838"/>
      </w:tabs>
      <w:rPr>
        <w:color w:val="000000"/>
        <w:sz w:val="14"/>
        <w:szCs w:val="14"/>
      </w:rPr>
    </w:pPr>
  </w:p>
  <w:p w14:paraId="7550A178" w14:textId="77777777" w:rsidR="004701E0" w:rsidRDefault="004701E0">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13C" w14:textId="77777777" w:rsidR="004701E0" w:rsidRDefault="004701E0">
    <w:pPr>
      <w:widowControl w:val="0"/>
      <w:pBdr>
        <w:top w:val="nil"/>
        <w:left w:val="nil"/>
        <w:bottom w:val="nil"/>
        <w:right w:val="nil"/>
        <w:between w:val="nil"/>
      </w:pBdr>
      <w:spacing w:line="276" w:lineRule="auto"/>
      <w:rPr>
        <w:color w:val="000000"/>
        <w:sz w:val="14"/>
        <w:szCs w:val="14"/>
      </w:rPr>
    </w:pPr>
  </w:p>
  <w:tbl>
    <w:tblPr>
      <w:tblStyle w:val="1"/>
      <w:tblW w:w="7513" w:type="dxa"/>
      <w:tblInd w:w="1701" w:type="dxa"/>
      <w:tblBorders>
        <w:top w:val="nil"/>
        <w:left w:val="nil"/>
        <w:bottom w:val="nil"/>
        <w:right w:val="nil"/>
        <w:insideH w:val="nil"/>
        <w:insideV w:val="nil"/>
      </w:tblBorders>
      <w:tblLayout w:type="fixed"/>
      <w:tblLook w:val="0400" w:firstRow="0" w:lastRow="0" w:firstColumn="0" w:lastColumn="0" w:noHBand="0" w:noVBand="1"/>
    </w:tblPr>
    <w:tblGrid>
      <w:gridCol w:w="3828"/>
      <w:gridCol w:w="3685"/>
    </w:tblGrid>
    <w:tr w:rsidR="004701E0" w14:paraId="6B33F388" w14:textId="77777777" w:rsidTr="00B67A71">
      <w:trPr>
        <w:trHeight w:val="302"/>
      </w:trPr>
      <w:tc>
        <w:tcPr>
          <w:tcW w:w="3828" w:type="dxa"/>
        </w:tcPr>
        <w:p w14:paraId="291DD727"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685" w:type="dxa"/>
        </w:tcPr>
        <w:p w14:paraId="78D3AA2A" w14:textId="716D9400" w:rsidR="004701E0" w:rsidRDefault="00B67A71">
          <w:pPr>
            <w:tabs>
              <w:tab w:val="right" w:pos="8838"/>
            </w:tabs>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13251</w:t>
          </w:r>
          <w:r w:rsidR="004701E0" w:rsidRPr="00D455BB">
            <w:rPr>
              <w:rFonts w:ascii="Palatino Linotype" w:eastAsia="Palatino Linotype" w:hAnsi="Palatino Linotype" w:cs="Palatino Linotype"/>
              <w:color w:val="000000"/>
              <w:sz w:val="22"/>
              <w:szCs w:val="22"/>
            </w:rPr>
            <w:t>/INFOEM/IP/RR/2025</w:t>
          </w:r>
        </w:p>
      </w:tc>
    </w:tr>
    <w:tr w:rsidR="004701E0" w14:paraId="321C9283" w14:textId="77777777" w:rsidTr="00B67A71">
      <w:trPr>
        <w:trHeight w:val="110"/>
      </w:trPr>
      <w:tc>
        <w:tcPr>
          <w:tcW w:w="3828" w:type="dxa"/>
        </w:tcPr>
        <w:p w14:paraId="4312A65C"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685" w:type="dxa"/>
        </w:tcPr>
        <w:p w14:paraId="3D84FE4D" w14:textId="6FD1DFF5" w:rsidR="004701E0" w:rsidRPr="00B67A71" w:rsidRDefault="0089515A" w:rsidP="00E60AC1">
          <w:pPr>
            <w:tabs>
              <w:tab w:val="right" w:pos="8838"/>
            </w:tabs>
            <w:jc w:val="both"/>
            <w:rPr>
              <w:rFonts w:ascii="Palatino Linotype" w:eastAsia="Palatino Linotype" w:hAnsi="Palatino Linotype" w:cs="Palatino Linotype"/>
              <w:sz w:val="22"/>
              <w:szCs w:val="22"/>
            </w:rPr>
          </w:pPr>
          <w:r w:rsidRPr="0089515A">
            <w:rPr>
              <w:rFonts w:ascii="Palatino Linotype" w:eastAsia="Palatino Linotype" w:hAnsi="Palatino Linotype" w:cs="Palatino Linotype"/>
              <w:sz w:val="22"/>
              <w:szCs w:val="22"/>
              <w:highlight w:val="black"/>
            </w:rPr>
            <w:t>XXXXXXXXXXXXXXXXXXXXXXXXXXXXXXXXXXXXXXXXXXXX</w:t>
          </w:r>
        </w:p>
      </w:tc>
    </w:tr>
    <w:tr w:rsidR="004701E0" w14:paraId="6A219D9A" w14:textId="77777777" w:rsidTr="00B67A71">
      <w:trPr>
        <w:trHeight w:val="248"/>
      </w:trPr>
      <w:tc>
        <w:tcPr>
          <w:tcW w:w="3828" w:type="dxa"/>
        </w:tcPr>
        <w:p w14:paraId="0D2D6A75"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685" w:type="dxa"/>
        </w:tcPr>
        <w:p w14:paraId="2259CD31" w14:textId="0278FB2D" w:rsidR="004701E0" w:rsidRDefault="004701E0">
          <w:pPr>
            <w:tabs>
              <w:tab w:val="right" w:pos="8838"/>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4701E0" w14:paraId="4D732D85" w14:textId="77777777" w:rsidTr="00B67A71">
      <w:trPr>
        <w:trHeight w:val="248"/>
      </w:trPr>
      <w:tc>
        <w:tcPr>
          <w:tcW w:w="3828" w:type="dxa"/>
        </w:tcPr>
        <w:p w14:paraId="26A7FDC1" w14:textId="77777777" w:rsidR="004701E0" w:rsidRDefault="004701E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685" w:type="dxa"/>
        </w:tcPr>
        <w:p w14:paraId="15BEA2AB" w14:textId="77777777" w:rsidR="004701E0" w:rsidRDefault="004701E0">
          <w:pPr>
            <w:tabs>
              <w:tab w:val="right" w:pos="8838"/>
            </w:tabs>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56A63862" w14:textId="77777777" w:rsidR="004701E0" w:rsidRDefault="00000000">
    <w:pPr>
      <w:ind w:right="-312"/>
    </w:pPr>
    <w:r>
      <w:pict w14:anchorId="5B79F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aguaINFOEM" style="position:absolute;margin-left:-92.55pt;margin-top:-120.95pt;width:663.5pt;height:12in;z-index:-251658752;mso-position-horizontal-relative:margin;mso-position-vertical-relative:margin">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5E0703"/>
    <w:multiLevelType w:val="hybridMultilevel"/>
    <w:tmpl w:val="7B04B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393E4D"/>
    <w:multiLevelType w:val="multilevel"/>
    <w:tmpl w:val="86FE66C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1B095133"/>
    <w:multiLevelType w:val="hybridMultilevel"/>
    <w:tmpl w:val="B78631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2C2FCD"/>
    <w:multiLevelType w:val="hybridMultilevel"/>
    <w:tmpl w:val="E1EE0F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E5598A"/>
    <w:multiLevelType w:val="hybridMultilevel"/>
    <w:tmpl w:val="B6AA0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942195"/>
    <w:multiLevelType w:val="hybridMultilevel"/>
    <w:tmpl w:val="38C66D02"/>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A71209"/>
    <w:multiLevelType w:val="hybridMultilevel"/>
    <w:tmpl w:val="38C66D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185540"/>
    <w:multiLevelType w:val="hybridMultilevel"/>
    <w:tmpl w:val="9286B8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1225E0"/>
    <w:multiLevelType w:val="hybridMultilevel"/>
    <w:tmpl w:val="6B7CFF5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E40B49"/>
    <w:multiLevelType w:val="hybridMultilevel"/>
    <w:tmpl w:val="3E42F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9653E8"/>
    <w:multiLevelType w:val="multilevel"/>
    <w:tmpl w:val="759C6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B630282"/>
    <w:multiLevelType w:val="hybridMultilevel"/>
    <w:tmpl w:val="C9E4D67A"/>
    <w:lvl w:ilvl="0" w:tplc="F72A9DA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CE253F"/>
    <w:multiLevelType w:val="hybridMultilevel"/>
    <w:tmpl w:val="57D4CC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B17046"/>
    <w:multiLevelType w:val="hybridMultilevel"/>
    <w:tmpl w:val="DC44C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1153E8"/>
    <w:multiLevelType w:val="hybridMultilevel"/>
    <w:tmpl w:val="53C872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E3B79BE"/>
    <w:multiLevelType w:val="hybridMultilevel"/>
    <w:tmpl w:val="D94825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5A7460"/>
    <w:multiLevelType w:val="hybridMultilevel"/>
    <w:tmpl w:val="C352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687F71"/>
    <w:multiLevelType w:val="hybridMultilevel"/>
    <w:tmpl w:val="34DAE1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6BDE6470"/>
    <w:multiLevelType w:val="multilevel"/>
    <w:tmpl w:val="ADF62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3C2E07"/>
    <w:multiLevelType w:val="hybridMultilevel"/>
    <w:tmpl w:val="0B088EB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E162C3"/>
    <w:multiLevelType w:val="hybridMultilevel"/>
    <w:tmpl w:val="B19E9CC4"/>
    <w:lvl w:ilvl="0" w:tplc="C8F8450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5C0DA4"/>
    <w:multiLevelType w:val="hybridMultilevel"/>
    <w:tmpl w:val="02E2F7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3" w15:restartNumberingAfterBreak="0">
    <w:nsid w:val="7BFF3072"/>
    <w:multiLevelType w:val="multilevel"/>
    <w:tmpl w:val="86E47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D708CC"/>
    <w:multiLevelType w:val="hybridMultilevel"/>
    <w:tmpl w:val="64F80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5030220">
    <w:abstractNumId w:val="28"/>
  </w:num>
  <w:num w:numId="2" w16cid:durableId="111824321">
    <w:abstractNumId w:val="33"/>
  </w:num>
  <w:num w:numId="3" w16cid:durableId="1141535190">
    <w:abstractNumId w:val="15"/>
  </w:num>
  <w:num w:numId="4" w16cid:durableId="1368874624">
    <w:abstractNumId w:val="3"/>
  </w:num>
  <w:num w:numId="5" w16cid:durableId="1361778994">
    <w:abstractNumId w:val="21"/>
  </w:num>
  <w:num w:numId="6" w16cid:durableId="49770170">
    <w:abstractNumId w:val="31"/>
  </w:num>
  <w:num w:numId="7" w16cid:durableId="1646734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287595">
    <w:abstractNumId w:val="1"/>
  </w:num>
  <w:num w:numId="9" w16cid:durableId="1423917623">
    <w:abstractNumId w:val="5"/>
  </w:num>
  <w:num w:numId="10" w16cid:durableId="1867522450">
    <w:abstractNumId w:val="7"/>
  </w:num>
  <w:num w:numId="11" w16cid:durableId="1636596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4528231">
    <w:abstractNumId w:val="2"/>
  </w:num>
  <w:num w:numId="13" w16cid:durableId="462381209">
    <w:abstractNumId w:val="6"/>
  </w:num>
  <w:num w:numId="14" w16cid:durableId="8027863">
    <w:abstractNumId w:val="14"/>
  </w:num>
  <w:num w:numId="15" w16cid:durableId="30696050">
    <w:abstractNumId w:val="30"/>
  </w:num>
  <w:num w:numId="16" w16cid:durableId="1163931518">
    <w:abstractNumId w:val="19"/>
  </w:num>
  <w:num w:numId="17" w16cid:durableId="2054965043">
    <w:abstractNumId w:val="8"/>
  </w:num>
  <w:num w:numId="18" w16cid:durableId="1814254664">
    <w:abstractNumId w:val="9"/>
  </w:num>
  <w:num w:numId="19" w16cid:durableId="1886092170">
    <w:abstractNumId w:val="34"/>
  </w:num>
  <w:num w:numId="20" w16cid:durableId="330375906">
    <w:abstractNumId w:val="22"/>
  </w:num>
  <w:num w:numId="21" w16cid:durableId="1667977067">
    <w:abstractNumId w:val="10"/>
  </w:num>
  <w:num w:numId="22" w16cid:durableId="2054422597">
    <w:abstractNumId w:val="11"/>
  </w:num>
  <w:num w:numId="23" w16cid:durableId="1553955211">
    <w:abstractNumId w:val="18"/>
  </w:num>
  <w:num w:numId="24" w16cid:durableId="1664354004">
    <w:abstractNumId w:val="13"/>
  </w:num>
  <w:num w:numId="25" w16cid:durableId="1619994846">
    <w:abstractNumId w:val="17"/>
  </w:num>
  <w:num w:numId="26" w16cid:durableId="1875539239">
    <w:abstractNumId w:val="4"/>
  </w:num>
  <w:num w:numId="27" w16cid:durableId="1125152457">
    <w:abstractNumId w:val="26"/>
  </w:num>
  <w:num w:numId="28" w16cid:durableId="1368216613">
    <w:abstractNumId w:val="29"/>
  </w:num>
  <w:num w:numId="29" w16cid:durableId="252205932">
    <w:abstractNumId w:val="16"/>
  </w:num>
  <w:num w:numId="30" w16cid:durableId="1556699280">
    <w:abstractNumId w:val="32"/>
  </w:num>
  <w:num w:numId="31" w16cid:durableId="18889504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8138082">
    <w:abstractNumId w:val="25"/>
  </w:num>
  <w:num w:numId="33" w16cid:durableId="14270020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6044053">
    <w:abstractNumId w:val="20"/>
  </w:num>
  <w:num w:numId="35" w16cid:durableId="1594195414">
    <w:abstractNumId w:val="0"/>
  </w:num>
  <w:num w:numId="36" w16cid:durableId="5854607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EFA"/>
    <w:rsid w:val="00007F54"/>
    <w:rsid w:val="00021161"/>
    <w:rsid w:val="00031526"/>
    <w:rsid w:val="0004046E"/>
    <w:rsid w:val="00045FF4"/>
    <w:rsid w:val="000652DF"/>
    <w:rsid w:val="00073EFC"/>
    <w:rsid w:val="0009046B"/>
    <w:rsid w:val="000B6207"/>
    <w:rsid w:val="000B69DE"/>
    <w:rsid w:val="000C4075"/>
    <w:rsid w:val="000D7B56"/>
    <w:rsid w:val="000F69AE"/>
    <w:rsid w:val="00100170"/>
    <w:rsid w:val="00111873"/>
    <w:rsid w:val="001168A8"/>
    <w:rsid w:val="00125436"/>
    <w:rsid w:val="00133F8C"/>
    <w:rsid w:val="00137B34"/>
    <w:rsid w:val="00146DB4"/>
    <w:rsid w:val="00157D97"/>
    <w:rsid w:val="00164C6D"/>
    <w:rsid w:val="001829FD"/>
    <w:rsid w:val="001848A7"/>
    <w:rsid w:val="00192086"/>
    <w:rsid w:val="0019232B"/>
    <w:rsid w:val="001A3D96"/>
    <w:rsid w:val="001B6711"/>
    <w:rsid w:val="001B6DA4"/>
    <w:rsid w:val="001C37DA"/>
    <w:rsid w:val="001C47AF"/>
    <w:rsid w:val="001C627C"/>
    <w:rsid w:val="001E3538"/>
    <w:rsid w:val="001E72D6"/>
    <w:rsid w:val="002228D6"/>
    <w:rsid w:val="00222C07"/>
    <w:rsid w:val="00230AFA"/>
    <w:rsid w:val="0023135E"/>
    <w:rsid w:val="00232B9A"/>
    <w:rsid w:val="00240B5C"/>
    <w:rsid w:val="00254DCE"/>
    <w:rsid w:val="00257586"/>
    <w:rsid w:val="00262AF7"/>
    <w:rsid w:val="00274896"/>
    <w:rsid w:val="00281BA9"/>
    <w:rsid w:val="00286EFA"/>
    <w:rsid w:val="00291AC0"/>
    <w:rsid w:val="00294FED"/>
    <w:rsid w:val="00296ECE"/>
    <w:rsid w:val="002A3857"/>
    <w:rsid w:val="002A5351"/>
    <w:rsid w:val="002A5587"/>
    <w:rsid w:val="002A577A"/>
    <w:rsid w:val="002B5457"/>
    <w:rsid w:val="002C1A4A"/>
    <w:rsid w:val="002C2A40"/>
    <w:rsid w:val="002C48E4"/>
    <w:rsid w:val="002D623A"/>
    <w:rsid w:val="002E49D9"/>
    <w:rsid w:val="002F00B3"/>
    <w:rsid w:val="002F0577"/>
    <w:rsid w:val="002F57B9"/>
    <w:rsid w:val="00300B97"/>
    <w:rsid w:val="003029BB"/>
    <w:rsid w:val="00306613"/>
    <w:rsid w:val="0031661F"/>
    <w:rsid w:val="00324975"/>
    <w:rsid w:val="00341842"/>
    <w:rsid w:val="00353FF1"/>
    <w:rsid w:val="003621B7"/>
    <w:rsid w:val="00362873"/>
    <w:rsid w:val="0037315B"/>
    <w:rsid w:val="003757B3"/>
    <w:rsid w:val="003760EC"/>
    <w:rsid w:val="00377980"/>
    <w:rsid w:val="00383388"/>
    <w:rsid w:val="003840A8"/>
    <w:rsid w:val="00384112"/>
    <w:rsid w:val="00387921"/>
    <w:rsid w:val="0039301C"/>
    <w:rsid w:val="00395AC3"/>
    <w:rsid w:val="00397C6B"/>
    <w:rsid w:val="003C0B48"/>
    <w:rsid w:val="003C2307"/>
    <w:rsid w:val="003D0DB4"/>
    <w:rsid w:val="003D15EF"/>
    <w:rsid w:val="003D390F"/>
    <w:rsid w:val="003E45CC"/>
    <w:rsid w:val="003E667D"/>
    <w:rsid w:val="003F4F6B"/>
    <w:rsid w:val="004112F6"/>
    <w:rsid w:val="004129F3"/>
    <w:rsid w:val="004159E5"/>
    <w:rsid w:val="00415E30"/>
    <w:rsid w:val="0042045C"/>
    <w:rsid w:val="00424616"/>
    <w:rsid w:val="004261C2"/>
    <w:rsid w:val="004334B3"/>
    <w:rsid w:val="00435317"/>
    <w:rsid w:val="00436D9C"/>
    <w:rsid w:val="00437D41"/>
    <w:rsid w:val="004411DB"/>
    <w:rsid w:val="00447B17"/>
    <w:rsid w:val="00453731"/>
    <w:rsid w:val="00457FE3"/>
    <w:rsid w:val="00460F16"/>
    <w:rsid w:val="00461568"/>
    <w:rsid w:val="004645A1"/>
    <w:rsid w:val="004701E0"/>
    <w:rsid w:val="004710B7"/>
    <w:rsid w:val="004717A5"/>
    <w:rsid w:val="00490AFE"/>
    <w:rsid w:val="004A3773"/>
    <w:rsid w:val="004A4C2E"/>
    <w:rsid w:val="004A67C0"/>
    <w:rsid w:val="004B0982"/>
    <w:rsid w:val="004B4E13"/>
    <w:rsid w:val="004B6BD8"/>
    <w:rsid w:val="004D5D45"/>
    <w:rsid w:val="004D71F5"/>
    <w:rsid w:val="004E56C4"/>
    <w:rsid w:val="004E5F56"/>
    <w:rsid w:val="004E7062"/>
    <w:rsid w:val="00504827"/>
    <w:rsid w:val="00512251"/>
    <w:rsid w:val="00521598"/>
    <w:rsid w:val="0054364F"/>
    <w:rsid w:val="00547827"/>
    <w:rsid w:val="005478C4"/>
    <w:rsid w:val="00562103"/>
    <w:rsid w:val="00573D85"/>
    <w:rsid w:val="00574406"/>
    <w:rsid w:val="005912A9"/>
    <w:rsid w:val="00596A6A"/>
    <w:rsid w:val="005A442B"/>
    <w:rsid w:val="005B0F6A"/>
    <w:rsid w:val="005B3135"/>
    <w:rsid w:val="005B7D13"/>
    <w:rsid w:val="005C3C6B"/>
    <w:rsid w:val="005C54F4"/>
    <w:rsid w:val="005D202C"/>
    <w:rsid w:val="005D2AD0"/>
    <w:rsid w:val="005F3A57"/>
    <w:rsid w:val="006025C0"/>
    <w:rsid w:val="0060320F"/>
    <w:rsid w:val="006161E2"/>
    <w:rsid w:val="0061799F"/>
    <w:rsid w:val="006305E1"/>
    <w:rsid w:val="00633869"/>
    <w:rsid w:val="00640D4B"/>
    <w:rsid w:val="006426E7"/>
    <w:rsid w:val="0066022D"/>
    <w:rsid w:val="00662536"/>
    <w:rsid w:val="00665ADF"/>
    <w:rsid w:val="00665EF9"/>
    <w:rsid w:val="00671CA9"/>
    <w:rsid w:val="00683C56"/>
    <w:rsid w:val="006866C8"/>
    <w:rsid w:val="0069376E"/>
    <w:rsid w:val="006A44C8"/>
    <w:rsid w:val="006C691E"/>
    <w:rsid w:val="006D173B"/>
    <w:rsid w:val="006D3555"/>
    <w:rsid w:val="006D736D"/>
    <w:rsid w:val="006E1B72"/>
    <w:rsid w:val="006F1B90"/>
    <w:rsid w:val="006F6050"/>
    <w:rsid w:val="007022D9"/>
    <w:rsid w:val="00703B1E"/>
    <w:rsid w:val="0070460D"/>
    <w:rsid w:val="00704D41"/>
    <w:rsid w:val="0070790B"/>
    <w:rsid w:val="007143A1"/>
    <w:rsid w:val="007246BA"/>
    <w:rsid w:val="00735388"/>
    <w:rsid w:val="007416A6"/>
    <w:rsid w:val="00744796"/>
    <w:rsid w:val="007470C1"/>
    <w:rsid w:val="00756409"/>
    <w:rsid w:val="007650B5"/>
    <w:rsid w:val="007715D3"/>
    <w:rsid w:val="00796BB4"/>
    <w:rsid w:val="007C510A"/>
    <w:rsid w:val="007C698C"/>
    <w:rsid w:val="007D65A6"/>
    <w:rsid w:val="007E0C53"/>
    <w:rsid w:val="007F4984"/>
    <w:rsid w:val="007F4D8B"/>
    <w:rsid w:val="008065E6"/>
    <w:rsid w:val="00806B08"/>
    <w:rsid w:val="00807086"/>
    <w:rsid w:val="008142C2"/>
    <w:rsid w:val="00816E87"/>
    <w:rsid w:val="00820399"/>
    <w:rsid w:val="008248A7"/>
    <w:rsid w:val="008275BF"/>
    <w:rsid w:val="0082763E"/>
    <w:rsid w:val="00834F0C"/>
    <w:rsid w:val="0083520D"/>
    <w:rsid w:val="008420F0"/>
    <w:rsid w:val="00846F84"/>
    <w:rsid w:val="00847409"/>
    <w:rsid w:val="00850FCA"/>
    <w:rsid w:val="008512E2"/>
    <w:rsid w:val="008529C8"/>
    <w:rsid w:val="0085501F"/>
    <w:rsid w:val="008646D1"/>
    <w:rsid w:val="00876D5F"/>
    <w:rsid w:val="008831CA"/>
    <w:rsid w:val="0089322B"/>
    <w:rsid w:val="0089515A"/>
    <w:rsid w:val="0089637B"/>
    <w:rsid w:val="008A62A4"/>
    <w:rsid w:val="008B53C4"/>
    <w:rsid w:val="008B6198"/>
    <w:rsid w:val="008B6589"/>
    <w:rsid w:val="008C7FC6"/>
    <w:rsid w:val="008D23B1"/>
    <w:rsid w:val="008D417D"/>
    <w:rsid w:val="008D5E70"/>
    <w:rsid w:val="008E7D61"/>
    <w:rsid w:val="008F029F"/>
    <w:rsid w:val="008F5595"/>
    <w:rsid w:val="008F74F3"/>
    <w:rsid w:val="00904208"/>
    <w:rsid w:val="00915B27"/>
    <w:rsid w:val="009160FF"/>
    <w:rsid w:val="00940F38"/>
    <w:rsid w:val="00952D37"/>
    <w:rsid w:val="00961619"/>
    <w:rsid w:val="00962F06"/>
    <w:rsid w:val="009658DC"/>
    <w:rsid w:val="00971112"/>
    <w:rsid w:val="00976D67"/>
    <w:rsid w:val="00992827"/>
    <w:rsid w:val="009A2F30"/>
    <w:rsid w:val="009A5933"/>
    <w:rsid w:val="009A5BC8"/>
    <w:rsid w:val="009B0BE0"/>
    <w:rsid w:val="009B346D"/>
    <w:rsid w:val="009B7E0B"/>
    <w:rsid w:val="009C4764"/>
    <w:rsid w:val="009D1D54"/>
    <w:rsid w:val="009E5BA1"/>
    <w:rsid w:val="00A00E2C"/>
    <w:rsid w:val="00A0311A"/>
    <w:rsid w:val="00A032AA"/>
    <w:rsid w:val="00A0459F"/>
    <w:rsid w:val="00A04FD9"/>
    <w:rsid w:val="00A15BEE"/>
    <w:rsid w:val="00A22D1A"/>
    <w:rsid w:val="00A2478E"/>
    <w:rsid w:val="00A330E1"/>
    <w:rsid w:val="00A4159A"/>
    <w:rsid w:val="00A42370"/>
    <w:rsid w:val="00A50EAB"/>
    <w:rsid w:val="00A61E21"/>
    <w:rsid w:val="00A71A61"/>
    <w:rsid w:val="00A73C71"/>
    <w:rsid w:val="00A747AD"/>
    <w:rsid w:val="00A7624F"/>
    <w:rsid w:val="00A77369"/>
    <w:rsid w:val="00A805BA"/>
    <w:rsid w:val="00A806C9"/>
    <w:rsid w:val="00A91DD9"/>
    <w:rsid w:val="00AB1059"/>
    <w:rsid w:val="00AB5703"/>
    <w:rsid w:val="00AD7683"/>
    <w:rsid w:val="00B062F5"/>
    <w:rsid w:val="00B12380"/>
    <w:rsid w:val="00B12C4F"/>
    <w:rsid w:val="00B12EEF"/>
    <w:rsid w:val="00B14D92"/>
    <w:rsid w:val="00B20606"/>
    <w:rsid w:val="00B217F2"/>
    <w:rsid w:val="00B26431"/>
    <w:rsid w:val="00B33836"/>
    <w:rsid w:val="00B433E5"/>
    <w:rsid w:val="00B60D1E"/>
    <w:rsid w:val="00B635E1"/>
    <w:rsid w:val="00B67A71"/>
    <w:rsid w:val="00B70CF8"/>
    <w:rsid w:val="00B7112E"/>
    <w:rsid w:val="00B71797"/>
    <w:rsid w:val="00B75965"/>
    <w:rsid w:val="00BB48D3"/>
    <w:rsid w:val="00BE069D"/>
    <w:rsid w:val="00C003BF"/>
    <w:rsid w:val="00C02D40"/>
    <w:rsid w:val="00C03DFB"/>
    <w:rsid w:val="00C03FA2"/>
    <w:rsid w:val="00C107CE"/>
    <w:rsid w:val="00C226D6"/>
    <w:rsid w:val="00C232C7"/>
    <w:rsid w:val="00C2591A"/>
    <w:rsid w:val="00C43719"/>
    <w:rsid w:val="00C46E55"/>
    <w:rsid w:val="00C507B5"/>
    <w:rsid w:val="00C72D00"/>
    <w:rsid w:val="00C735E2"/>
    <w:rsid w:val="00C73925"/>
    <w:rsid w:val="00C81F2C"/>
    <w:rsid w:val="00C84778"/>
    <w:rsid w:val="00C935C1"/>
    <w:rsid w:val="00CA2589"/>
    <w:rsid w:val="00CA3DCA"/>
    <w:rsid w:val="00CA4304"/>
    <w:rsid w:val="00CA44DA"/>
    <w:rsid w:val="00CB64A6"/>
    <w:rsid w:val="00CC312D"/>
    <w:rsid w:val="00CC484D"/>
    <w:rsid w:val="00CC52AF"/>
    <w:rsid w:val="00CE2437"/>
    <w:rsid w:val="00CE641B"/>
    <w:rsid w:val="00CE697A"/>
    <w:rsid w:val="00CF343A"/>
    <w:rsid w:val="00CF6509"/>
    <w:rsid w:val="00D04090"/>
    <w:rsid w:val="00D052E5"/>
    <w:rsid w:val="00D05BB7"/>
    <w:rsid w:val="00D165E5"/>
    <w:rsid w:val="00D214EC"/>
    <w:rsid w:val="00D243FD"/>
    <w:rsid w:val="00D2758A"/>
    <w:rsid w:val="00D455BB"/>
    <w:rsid w:val="00D515D0"/>
    <w:rsid w:val="00D53BD3"/>
    <w:rsid w:val="00D66AAD"/>
    <w:rsid w:val="00D70CAB"/>
    <w:rsid w:val="00D75476"/>
    <w:rsid w:val="00D80923"/>
    <w:rsid w:val="00D82E08"/>
    <w:rsid w:val="00DA091B"/>
    <w:rsid w:val="00DA30B0"/>
    <w:rsid w:val="00DA67BE"/>
    <w:rsid w:val="00DA6C9B"/>
    <w:rsid w:val="00DD3C61"/>
    <w:rsid w:val="00DE74B6"/>
    <w:rsid w:val="00DF0E4D"/>
    <w:rsid w:val="00E02751"/>
    <w:rsid w:val="00E1452A"/>
    <w:rsid w:val="00E156EB"/>
    <w:rsid w:val="00E1577D"/>
    <w:rsid w:val="00E22B60"/>
    <w:rsid w:val="00E23937"/>
    <w:rsid w:val="00E27157"/>
    <w:rsid w:val="00E4774F"/>
    <w:rsid w:val="00E508C7"/>
    <w:rsid w:val="00E55FBE"/>
    <w:rsid w:val="00E60AC1"/>
    <w:rsid w:val="00E6361B"/>
    <w:rsid w:val="00E67D9D"/>
    <w:rsid w:val="00E71A54"/>
    <w:rsid w:val="00E75E42"/>
    <w:rsid w:val="00E80098"/>
    <w:rsid w:val="00E83E72"/>
    <w:rsid w:val="00EA7D47"/>
    <w:rsid w:val="00EB1B7F"/>
    <w:rsid w:val="00EC2A2A"/>
    <w:rsid w:val="00EC4E0D"/>
    <w:rsid w:val="00EE1CB1"/>
    <w:rsid w:val="00F16A91"/>
    <w:rsid w:val="00F2123A"/>
    <w:rsid w:val="00F233BB"/>
    <w:rsid w:val="00F31D7D"/>
    <w:rsid w:val="00F41530"/>
    <w:rsid w:val="00F47896"/>
    <w:rsid w:val="00F7425F"/>
    <w:rsid w:val="00F7560A"/>
    <w:rsid w:val="00F76300"/>
    <w:rsid w:val="00F765DF"/>
    <w:rsid w:val="00F8759A"/>
    <w:rsid w:val="00F9617B"/>
    <w:rsid w:val="00FA42F0"/>
    <w:rsid w:val="00FA61F8"/>
    <w:rsid w:val="00FC3352"/>
    <w:rsid w:val="00FC47E3"/>
    <w:rsid w:val="00FC68F9"/>
    <w:rsid w:val="00FD0821"/>
    <w:rsid w:val="00FD3CB7"/>
    <w:rsid w:val="00FE0B8F"/>
    <w:rsid w:val="00FE5BC5"/>
    <w:rsid w:val="00FF26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83907"/>
  <w15:docId w15:val="{0C9A46A0-19CA-4A4B-9D19-D018B0A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90"/>
    <w:rPr>
      <w:lang w:eastAsia="es-ES"/>
    </w:rPr>
  </w:style>
  <w:style w:type="paragraph" w:styleId="Ttulo1">
    <w:name w:val="heading 1"/>
    <w:basedOn w:val="Normal"/>
    <w:next w:val="Normal"/>
    <w:link w:val="Ttulo1Car"/>
    <w:uiPriority w:val="9"/>
    <w:qFormat/>
    <w:rsid w:val="007916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7916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9169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9169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9169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916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16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16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169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91690"/>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79169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79169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9169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9169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9169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916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16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16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1690"/>
    <w:rPr>
      <w:rFonts w:eastAsiaTheme="majorEastAsia" w:cstheme="majorBidi"/>
      <w:color w:val="272727" w:themeColor="text1" w:themeTint="D8"/>
    </w:rPr>
  </w:style>
  <w:style w:type="character" w:customStyle="1" w:styleId="TtuloCar">
    <w:name w:val="Título Car"/>
    <w:basedOn w:val="Fuentedeprrafopredeter"/>
    <w:link w:val="Ttulo"/>
    <w:uiPriority w:val="10"/>
    <w:rsid w:val="007916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7916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1690"/>
    <w:pPr>
      <w:spacing w:before="160"/>
      <w:jc w:val="center"/>
    </w:pPr>
    <w:rPr>
      <w:i/>
      <w:iCs/>
      <w:color w:val="404040" w:themeColor="text1" w:themeTint="BF"/>
    </w:rPr>
  </w:style>
  <w:style w:type="character" w:customStyle="1" w:styleId="CitaCar">
    <w:name w:val="Cita Car"/>
    <w:basedOn w:val="Fuentedeprrafopredeter"/>
    <w:link w:val="Cita"/>
    <w:uiPriority w:val="29"/>
    <w:rsid w:val="0079169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690"/>
    <w:pPr>
      <w:ind w:left="720"/>
      <w:contextualSpacing/>
    </w:pPr>
  </w:style>
  <w:style w:type="character" w:styleId="nfasisintenso">
    <w:name w:val="Intense Emphasis"/>
    <w:basedOn w:val="Fuentedeprrafopredeter"/>
    <w:uiPriority w:val="21"/>
    <w:qFormat/>
    <w:rsid w:val="00791690"/>
    <w:rPr>
      <w:i/>
      <w:iCs/>
      <w:color w:val="2F5496" w:themeColor="accent1" w:themeShade="BF"/>
    </w:rPr>
  </w:style>
  <w:style w:type="paragraph" w:styleId="Citadestacada">
    <w:name w:val="Intense Quote"/>
    <w:basedOn w:val="Normal"/>
    <w:next w:val="Normal"/>
    <w:link w:val="CitadestacadaCar"/>
    <w:uiPriority w:val="30"/>
    <w:qFormat/>
    <w:rsid w:val="00791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91690"/>
    <w:rPr>
      <w:i/>
      <w:iCs/>
      <w:color w:val="2F5496" w:themeColor="accent1" w:themeShade="BF"/>
    </w:rPr>
  </w:style>
  <w:style w:type="character" w:styleId="Referenciaintensa">
    <w:name w:val="Intense Reference"/>
    <w:basedOn w:val="Fuentedeprrafopredeter"/>
    <w:uiPriority w:val="32"/>
    <w:qFormat/>
    <w:rsid w:val="00791690"/>
    <w:rPr>
      <w:b/>
      <w:bCs/>
      <w:smallCaps/>
      <w:color w:val="2F5496" w:themeColor="accent1" w:themeShade="BF"/>
      <w:spacing w:val="5"/>
    </w:rPr>
  </w:style>
  <w:style w:type="paragraph" w:styleId="Encabezado">
    <w:name w:val="header"/>
    <w:basedOn w:val="Normal"/>
    <w:link w:val="EncabezadoCar"/>
    <w:uiPriority w:val="99"/>
    <w:unhideWhenUsed/>
    <w:rsid w:val="00791690"/>
    <w:pPr>
      <w:tabs>
        <w:tab w:val="center" w:pos="4419"/>
        <w:tab w:val="right" w:pos="8838"/>
      </w:tabs>
    </w:pPr>
  </w:style>
  <w:style w:type="character" w:customStyle="1" w:styleId="EncabezadoCar">
    <w:name w:val="Encabezado Car"/>
    <w:basedOn w:val="Fuentedeprrafopredeter"/>
    <w:link w:val="Encabezado"/>
    <w:uiPriority w:val="99"/>
    <w:rsid w:val="0079169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791690"/>
    <w:pPr>
      <w:tabs>
        <w:tab w:val="center" w:pos="4419"/>
        <w:tab w:val="right" w:pos="8838"/>
      </w:tabs>
    </w:pPr>
  </w:style>
  <w:style w:type="character" w:customStyle="1" w:styleId="PiedepginaCar">
    <w:name w:val="Pie de página Car"/>
    <w:basedOn w:val="Fuentedeprrafopredeter"/>
    <w:link w:val="Piedepgina"/>
    <w:uiPriority w:val="99"/>
    <w:rsid w:val="0079169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91690"/>
  </w:style>
  <w:style w:type="table" w:styleId="Tablaconcuadrcula">
    <w:name w:val="Table Grid"/>
    <w:basedOn w:val="Tablanormal"/>
    <w:uiPriority w:val="39"/>
    <w:rsid w:val="00791690"/>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91690"/>
    <w:pPr>
      <w:spacing w:before="100" w:beforeAutospacing="1" w:after="100" w:afterAutospacing="1"/>
    </w:pPr>
    <w:rPr>
      <w:sz w:val="24"/>
      <w:szCs w:val="24"/>
      <w:lang w:eastAsia="es-MX"/>
    </w:rPr>
  </w:style>
  <w:style w:type="character" w:styleId="Hipervnculo">
    <w:name w:val="Hyperlink"/>
    <w:basedOn w:val="Fuentedeprrafopredeter"/>
    <w:uiPriority w:val="99"/>
    <w:unhideWhenUsed/>
    <w:rsid w:val="00791690"/>
    <w:rPr>
      <w:color w:val="0563C1" w:themeColor="hyperlink"/>
      <w:u w:val="single"/>
    </w:rPr>
  </w:style>
  <w:style w:type="paragraph" w:styleId="TtuloTDC">
    <w:name w:val="TOC Heading"/>
    <w:basedOn w:val="Ttulo1"/>
    <w:next w:val="Normal"/>
    <w:uiPriority w:val="39"/>
    <w:unhideWhenUsed/>
    <w:qFormat/>
    <w:rsid w:val="00791690"/>
    <w:pPr>
      <w:spacing w:before="240" w:after="0"/>
      <w:outlineLvl w:val="9"/>
    </w:pPr>
    <w:rPr>
      <w:sz w:val="32"/>
      <w:szCs w:val="32"/>
      <w:lang w:eastAsia="es-MX"/>
    </w:rPr>
  </w:style>
  <w:style w:type="paragraph" w:styleId="TDC1">
    <w:name w:val="toc 1"/>
    <w:basedOn w:val="Normal"/>
    <w:next w:val="Normal"/>
    <w:autoRedefine/>
    <w:uiPriority w:val="39"/>
    <w:unhideWhenUsed/>
    <w:rsid w:val="00791690"/>
    <w:pPr>
      <w:spacing w:after="100"/>
    </w:pPr>
  </w:style>
  <w:style w:type="paragraph" w:styleId="TDC2">
    <w:name w:val="toc 2"/>
    <w:basedOn w:val="Normal"/>
    <w:next w:val="Normal"/>
    <w:autoRedefine/>
    <w:uiPriority w:val="39"/>
    <w:unhideWhenUsed/>
    <w:rsid w:val="00791690"/>
    <w:pPr>
      <w:spacing w:after="100"/>
      <w:ind w:left="200"/>
    </w:p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08" w:type="dxa"/>
        <w:right w:w="108" w:type="dxa"/>
      </w:tblCellMar>
    </w:tblPr>
  </w:style>
  <w:style w:type="paragraph" w:styleId="TDC3">
    <w:name w:val="toc 3"/>
    <w:basedOn w:val="Normal"/>
    <w:next w:val="Normal"/>
    <w:autoRedefine/>
    <w:uiPriority w:val="39"/>
    <w:unhideWhenUsed/>
    <w:rsid w:val="002F57B9"/>
    <w:pPr>
      <w:spacing w:after="100"/>
      <w:ind w:left="400"/>
    </w:pPr>
  </w:style>
  <w:style w:type="character" w:styleId="Refdecomentario">
    <w:name w:val="annotation reference"/>
    <w:basedOn w:val="Fuentedeprrafopredeter"/>
    <w:uiPriority w:val="99"/>
    <w:semiHidden/>
    <w:unhideWhenUsed/>
    <w:rsid w:val="00E156EB"/>
    <w:rPr>
      <w:sz w:val="16"/>
      <w:szCs w:val="16"/>
    </w:rPr>
  </w:style>
  <w:style w:type="paragraph" w:styleId="Textocomentario">
    <w:name w:val="annotation text"/>
    <w:basedOn w:val="Normal"/>
    <w:link w:val="TextocomentarioCar"/>
    <w:uiPriority w:val="99"/>
    <w:semiHidden/>
    <w:unhideWhenUsed/>
    <w:rsid w:val="00E156EB"/>
  </w:style>
  <w:style w:type="character" w:customStyle="1" w:styleId="TextocomentarioCar">
    <w:name w:val="Texto comentario Car"/>
    <w:basedOn w:val="Fuentedeprrafopredeter"/>
    <w:link w:val="Textocomentario"/>
    <w:uiPriority w:val="99"/>
    <w:semiHidden/>
    <w:rsid w:val="00E156EB"/>
    <w:rPr>
      <w:lang w:eastAsia="es-ES"/>
    </w:rPr>
  </w:style>
  <w:style w:type="paragraph" w:styleId="Asuntodelcomentario">
    <w:name w:val="annotation subject"/>
    <w:basedOn w:val="Textocomentario"/>
    <w:next w:val="Textocomentario"/>
    <w:link w:val="AsuntodelcomentarioCar"/>
    <w:uiPriority w:val="99"/>
    <w:semiHidden/>
    <w:unhideWhenUsed/>
    <w:rsid w:val="00E156EB"/>
    <w:rPr>
      <w:b/>
      <w:bCs/>
    </w:rPr>
  </w:style>
  <w:style w:type="character" w:customStyle="1" w:styleId="AsuntodelcomentarioCar">
    <w:name w:val="Asunto del comentario Car"/>
    <w:basedOn w:val="TextocomentarioCar"/>
    <w:link w:val="Asuntodelcomentario"/>
    <w:uiPriority w:val="99"/>
    <w:semiHidden/>
    <w:rsid w:val="00E156EB"/>
    <w:rPr>
      <w:b/>
      <w:bCs/>
      <w:lang w:eastAsia="es-ES"/>
    </w:rPr>
  </w:style>
  <w:style w:type="character" w:customStyle="1" w:styleId="Mencinsinresolver1">
    <w:name w:val="Mención sin resolver1"/>
    <w:basedOn w:val="Fuentedeprrafopredeter"/>
    <w:uiPriority w:val="99"/>
    <w:semiHidden/>
    <w:unhideWhenUsed/>
    <w:rsid w:val="008B6198"/>
    <w:rPr>
      <w:color w:val="605E5C"/>
      <w:shd w:val="clear" w:color="auto" w:fill="E1DFDD"/>
    </w:rPr>
  </w:style>
  <w:style w:type="character" w:styleId="Hipervnculovisitado">
    <w:name w:val="FollowedHyperlink"/>
    <w:basedOn w:val="Fuentedeprrafopredeter"/>
    <w:uiPriority w:val="99"/>
    <w:semiHidden/>
    <w:unhideWhenUsed/>
    <w:rsid w:val="00616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977">
      <w:bodyDiv w:val="1"/>
      <w:marLeft w:val="0"/>
      <w:marRight w:val="0"/>
      <w:marTop w:val="0"/>
      <w:marBottom w:val="0"/>
      <w:divBdr>
        <w:top w:val="none" w:sz="0" w:space="0" w:color="auto"/>
        <w:left w:val="none" w:sz="0" w:space="0" w:color="auto"/>
        <w:bottom w:val="none" w:sz="0" w:space="0" w:color="auto"/>
        <w:right w:val="none" w:sz="0" w:space="0" w:color="auto"/>
      </w:divBdr>
    </w:div>
    <w:div w:id="145361652">
      <w:bodyDiv w:val="1"/>
      <w:marLeft w:val="0"/>
      <w:marRight w:val="0"/>
      <w:marTop w:val="0"/>
      <w:marBottom w:val="0"/>
      <w:divBdr>
        <w:top w:val="none" w:sz="0" w:space="0" w:color="auto"/>
        <w:left w:val="none" w:sz="0" w:space="0" w:color="auto"/>
        <w:bottom w:val="none" w:sz="0" w:space="0" w:color="auto"/>
        <w:right w:val="none" w:sz="0" w:space="0" w:color="auto"/>
      </w:divBdr>
    </w:div>
    <w:div w:id="329065959">
      <w:bodyDiv w:val="1"/>
      <w:marLeft w:val="0"/>
      <w:marRight w:val="0"/>
      <w:marTop w:val="0"/>
      <w:marBottom w:val="0"/>
      <w:divBdr>
        <w:top w:val="none" w:sz="0" w:space="0" w:color="auto"/>
        <w:left w:val="none" w:sz="0" w:space="0" w:color="auto"/>
        <w:bottom w:val="none" w:sz="0" w:space="0" w:color="auto"/>
        <w:right w:val="none" w:sz="0" w:space="0" w:color="auto"/>
      </w:divBdr>
    </w:div>
    <w:div w:id="410279071">
      <w:bodyDiv w:val="1"/>
      <w:marLeft w:val="0"/>
      <w:marRight w:val="0"/>
      <w:marTop w:val="0"/>
      <w:marBottom w:val="0"/>
      <w:divBdr>
        <w:top w:val="none" w:sz="0" w:space="0" w:color="auto"/>
        <w:left w:val="none" w:sz="0" w:space="0" w:color="auto"/>
        <w:bottom w:val="none" w:sz="0" w:space="0" w:color="auto"/>
        <w:right w:val="none" w:sz="0" w:space="0" w:color="auto"/>
      </w:divBdr>
    </w:div>
    <w:div w:id="660430106">
      <w:bodyDiv w:val="1"/>
      <w:marLeft w:val="0"/>
      <w:marRight w:val="0"/>
      <w:marTop w:val="0"/>
      <w:marBottom w:val="0"/>
      <w:divBdr>
        <w:top w:val="none" w:sz="0" w:space="0" w:color="auto"/>
        <w:left w:val="none" w:sz="0" w:space="0" w:color="auto"/>
        <w:bottom w:val="none" w:sz="0" w:space="0" w:color="auto"/>
        <w:right w:val="none" w:sz="0" w:space="0" w:color="auto"/>
      </w:divBdr>
    </w:div>
    <w:div w:id="807740790">
      <w:bodyDiv w:val="1"/>
      <w:marLeft w:val="0"/>
      <w:marRight w:val="0"/>
      <w:marTop w:val="0"/>
      <w:marBottom w:val="0"/>
      <w:divBdr>
        <w:top w:val="none" w:sz="0" w:space="0" w:color="auto"/>
        <w:left w:val="none" w:sz="0" w:space="0" w:color="auto"/>
        <w:bottom w:val="none" w:sz="0" w:space="0" w:color="auto"/>
        <w:right w:val="none" w:sz="0" w:space="0" w:color="auto"/>
      </w:divBdr>
    </w:div>
    <w:div w:id="872037294">
      <w:bodyDiv w:val="1"/>
      <w:marLeft w:val="0"/>
      <w:marRight w:val="0"/>
      <w:marTop w:val="0"/>
      <w:marBottom w:val="0"/>
      <w:divBdr>
        <w:top w:val="none" w:sz="0" w:space="0" w:color="auto"/>
        <w:left w:val="none" w:sz="0" w:space="0" w:color="auto"/>
        <w:bottom w:val="none" w:sz="0" w:space="0" w:color="auto"/>
        <w:right w:val="none" w:sz="0" w:space="0" w:color="auto"/>
      </w:divBdr>
    </w:div>
    <w:div w:id="919019312">
      <w:bodyDiv w:val="1"/>
      <w:marLeft w:val="0"/>
      <w:marRight w:val="0"/>
      <w:marTop w:val="0"/>
      <w:marBottom w:val="0"/>
      <w:divBdr>
        <w:top w:val="none" w:sz="0" w:space="0" w:color="auto"/>
        <w:left w:val="none" w:sz="0" w:space="0" w:color="auto"/>
        <w:bottom w:val="none" w:sz="0" w:space="0" w:color="auto"/>
        <w:right w:val="none" w:sz="0" w:space="0" w:color="auto"/>
      </w:divBdr>
    </w:div>
    <w:div w:id="975456147">
      <w:bodyDiv w:val="1"/>
      <w:marLeft w:val="0"/>
      <w:marRight w:val="0"/>
      <w:marTop w:val="0"/>
      <w:marBottom w:val="0"/>
      <w:divBdr>
        <w:top w:val="none" w:sz="0" w:space="0" w:color="auto"/>
        <w:left w:val="none" w:sz="0" w:space="0" w:color="auto"/>
        <w:bottom w:val="none" w:sz="0" w:space="0" w:color="auto"/>
        <w:right w:val="none" w:sz="0" w:space="0" w:color="auto"/>
      </w:divBdr>
    </w:div>
    <w:div w:id="1119375562">
      <w:bodyDiv w:val="1"/>
      <w:marLeft w:val="0"/>
      <w:marRight w:val="0"/>
      <w:marTop w:val="0"/>
      <w:marBottom w:val="0"/>
      <w:divBdr>
        <w:top w:val="none" w:sz="0" w:space="0" w:color="auto"/>
        <w:left w:val="none" w:sz="0" w:space="0" w:color="auto"/>
        <w:bottom w:val="none" w:sz="0" w:space="0" w:color="auto"/>
        <w:right w:val="none" w:sz="0" w:space="0" w:color="auto"/>
      </w:divBdr>
    </w:div>
    <w:div w:id="1218738735">
      <w:bodyDiv w:val="1"/>
      <w:marLeft w:val="0"/>
      <w:marRight w:val="0"/>
      <w:marTop w:val="0"/>
      <w:marBottom w:val="0"/>
      <w:divBdr>
        <w:top w:val="none" w:sz="0" w:space="0" w:color="auto"/>
        <w:left w:val="none" w:sz="0" w:space="0" w:color="auto"/>
        <w:bottom w:val="none" w:sz="0" w:space="0" w:color="auto"/>
        <w:right w:val="none" w:sz="0" w:space="0" w:color="auto"/>
      </w:divBdr>
    </w:div>
    <w:div w:id="1711682061">
      <w:bodyDiv w:val="1"/>
      <w:marLeft w:val="0"/>
      <w:marRight w:val="0"/>
      <w:marTop w:val="0"/>
      <w:marBottom w:val="0"/>
      <w:divBdr>
        <w:top w:val="none" w:sz="0" w:space="0" w:color="auto"/>
        <w:left w:val="none" w:sz="0" w:space="0" w:color="auto"/>
        <w:bottom w:val="none" w:sz="0" w:space="0" w:color="auto"/>
        <w:right w:val="none" w:sz="0" w:space="0" w:color="auto"/>
      </w:divBdr>
    </w:div>
    <w:div w:id="2098088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dof.gob.mx/nota_detalle.php?codigo=5492254&amp;fecha=28/07/201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XUG3pZWvcw6BYkYwGufCHfVmA==">CgMxLjAyCGguZ2pkZ3hzMgloLjMwajB6bGwyCWguMWZvYjl0ZTgAciExMXIyRkotRTNhcUJLMmNMM1hnb3FUTGRTY0poUGdkbE0=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198140-0263-48A7-B37B-73484483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9065</Words>
  <Characters>48321</Characters>
  <Application>Microsoft Office Word</Application>
  <DocSecurity>0</DocSecurity>
  <Lines>929</Lines>
  <Paragraphs>225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cp:lastModifiedBy>Roxana Lechuga</cp:lastModifiedBy>
  <cp:revision>4</cp:revision>
  <cp:lastPrinted>2025-12-19T16:55:00Z</cp:lastPrinted>
  <dcterms:created xsi:type="dcterms:W3CDTF">2025-12-19T16:55:00Z</dcterms:created>
  <dcterms:modified xsi:type="dcterms:W3CDTF">2026-02-24T03:19:00Z</dcterms:modified>
</cp:coreProperties>
</file>