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736" w:rsidRPr="00C067E9" w:rsidRDefault="00344535">
      <w:pPr>
        <w:tabs>
          <w:tab w:val="left" w:pos="3465"/>
        </w:tabs>
        <w:spacing w:line="360" w:lineRule="auto"/>
        <w:jc w:val="both"/>
        <w:rPr>
          <w:rFonts w:ascii="Palatino Linotype" w:eastAsia="Palatino Linotype" w:hAnsi="Palatino Linotype" w:cs="Palatino Linotype"/>
        </w:rPr>
      </w:pPr>
      <w:r w:rsidRPr="00C067E9">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veintinueve (29) de enero de dos mil veinticinco.</w:t>
      </w:r>
    </w:p>
    <w:p w:rsidR="00434736" w:rsidRPr="00C067E9" w:rsidRDefault="00434736">
      <w:pPr>
        <w:tabs>
          <w:tab w:val="left" w:pos="3465"/>
        </w:tabs>
        <w:spacing w:line="360" w:lineRule="auto"/>
        <w:jc w:val="both"/>
        <w:rPr>
          <w:rFonts w:ascii="Palatino Linotype" w:eastAsia="Palatino Linotype" w:hAnsi="Palatino Linotype" w:cs="Palatino Linotype"/>
        </w:rPr>
      </w:pPr>
    </w:p>
    <w:p w:rsidR="00434736" w:rsidRPr="00C067E9" w:rsidRDefault="00344535">
      <w:pPr>
        <w:spacing w:line="360" w:lineRule="auto"/>
        <w:jc w:val="both"/>
        <w:rPr>
          <w:rFonts w:ascii="Palatino Linotype" w:eastAsia="Palatino Linotype" w:hAnsi="Palatino Linotype" w:cs="Palatino Linotype"/>
        </w:rPr>
      </w:pPr>
      <w:r w:rsidRPr="00C067E9">
        <w:rPr>
          <w:rFonts w:ascii="Palatino Linotype" w:eastAsia="Palatino Linotype" w:hAnsi="Palatino Linotype" w:cs="Palatino Linotype"/>
          <w:b/>
        </w:rPr>
        <w:t xml:space="preserve">VISTAS </w:t>
      </w:r>
      <w:r w:rsidRPr="00C067E9">
        <w:rPr>
          <w:rFonts w:ascii="Palatino Linotype" w:eastAsia="Palatino Linotype" w:hAnsi="Palatino Linotype" w:cs="Palatino Linotype"/>
        </w:rPr>
        <w:t xml:space="preserve">las constancias para resolver el Recurso de Revisión </w:t>
      </w:r>
      <w:r w:rsidRPr="00C067E9">
        <w:rPr>
          <w:rFonts w:ascii="Palatino Linotype" w:eastAsia="Palatino Linotype" w:hAnsi="Palatino Linotype" w:cs="Palatino Linotype"/>
          <w:b/>
        </w:rPr>
        <w:t>06653/INFOEM/IP/RR/2024,</w:t>
      </w:r>
      <w:r w:rsidRPr="00C067E9">
        <w:rPr>
          <w:rFonts w:ascii="Palatino Linotype" w:eastAsia="Palatino Linotype" w:hAnsi="Palatino Linotype" w:cs="Palatino Linotype"/>
        </w:rPr>
        <w:t xml:space="preserve"> presentado por </w:t>
      </w:r>
      <w:r w:rsidR="00C067E9" w:rsidRPr="00C067E9">
        <w:rPr>
          <w:rFonts w:ascii="Palatino Linotype" w:eastAsia="Palatino Linotype" w:hAnsi="Palatino Linotype" w:cs="Palatino Linotype"/>
          <w:color w:val="000000"/>
          <w:sz w:val="22"/>
          <w:szCs w:val="22"/>
        </w:rPr>
        <w:t>XXXXXXXXXX</w:t>
      </w:r>
      <w:r w:rsidRPr="00C067E9">
        <w:rPr>
          <w:rFonts w:ascii="Palatino Linotype" w:eastAsia="Palatino Linotype" w:hAnsi="Palatino Linotype" w:cs="Palatino Linotype"/>
          <w:b/>
        </w:rPr>
        <w:t xml:space="preserve">, </w:t>
      </w:r>
      <w:r w:rsidRPr="00C067E9">
        <w:rPr>
          <w:rFonts w:ascii="Palatino Linotype" w:eastAsia="Palatino Linotype" w:hAnsi="Palatino Linotype" w:cs="Palatino Linotype"/>
        </w:rPr>
        <w:t xml:space="preserve">a quien en lo sucesivo se denominará como </w:t>
      </w:r>
      <w:r w:rsidRPr="00C067E9">
        <w:rPr>
          <w:rFonts w:ascii="Palatino Linotype" w:eastAsia="Palatino Linotype" w:hAnsi="Palatino Linotype" w:cs="Palatino Linotype"/>
          <w:b/>
        </w:rPr>
        <w:t>RECURRENTE</w:t>
      </w:r>
      <w:r w:rsidRPr="00C067E9">
        <w:rPr>
          <w:rFonts w:ascii="Palatino Linotype" w:eastAsia="Palatino Linotype" w:hAnsi="Palatino Linotype" w:cs="Palatino Linotype"/>
        </w:rPr>
        <w:t xml:space="preserve">, en contra de la respuesta otorgada a la solicitud de información con número de folio </w:t>
      </w:r>
      <w:r w:rsidRPr="00C067E9">
        <w:rPr>
          <w:rFonts w:ascii="Palatino Linotype" w:eastAsia="Palatino Linotype" w:hAnsi="Palatino Linotype" w:cs="Palatino Linotype"/>
          <w:b/>
        </w:rPr>
        <w:t>00078/JOSERIN/IP/2024</w:t>
      </w:r>
      <w:r w:rsidRPr="00C067E9">
        <w:rPr>
          <w:rFonts w:ascii="Palatino Linotype" w:eastAsia="Palatino Linotype" w:hAnsi="Palatino Linotype" w:cs="Palatino Linotype"/>
        </w:rPr>
        <w:t xml:space="preserve">, por parte del </w:t>
      </w:r>
      <w:r w:rsidRPr="00C067E9">
        <w:rPr>
          <w:rFonts w:ascii="Palatino Linotype" w:eastAsia="Palatino Linotype" w:hAnsi="Palatino Linotype" w:cs="Palatino Linotype"/>
          <w:b/>
        </w:rPr>
        <w:t xml:space="preserve">Ayuntamiento de San José del Rincón, </w:t>
      </w:r>
      <w:r w:rsidRPr="00C067E9">
        <w:rPr>
          <w:rFonts w:ascii="Palatino Linotype" w:eastAsia="Palatino Linotype" w:hAnsi="Palatino Linotype" w:cs="Palatino Linotype"/>
        </w:rPr>
        <w:t xml:space="preserve">en adelante el </w:t>
      </w:r>
      <w:r w:rsidRPr="00C067E9">
        <w:rPr>
          <w:rFonts w:ascii="Palatino Linotype" w:eastAsia="Palatino Linotype" w:hAnsi="Palatino Linotype" w:cs="Palatino Linotype"/>
          <w:b/>
        </w:rPr>
        <w:t>SUJETO OBLIGADO</w:t>
      </w:r>
      <w:r w:rsidRPr="00C067E9">
        <w:rPr>
          <w:rFonts w:ascii="Palatino Linotype" w:eastAsia="Palatino Linotype" w:hAnsi="Palatino Linotype" w:cs="Palatino Linotype"/>
        </w:rPr>
        <w:t>, se emite la presente resolución con base en los siguientes:</w:t>
      </w:r>
    </w:p>
    <w:p w:rsidR="00434736" w:rsidRPr="00C067E9" w:rsidRDefault="00434736">
      <w:pPr>
        <w:spacing w:line="360" w:lineRule="auto"/>
        <w:jc w:val="both"/>
        <w:rPr>
          <w:rFonts w:ascii="Palatino Linotype" w:eastAsia="Palatino Linotype" w:hAnsi="Palatino Linotype" w:cs="Palatino Linotype"/>
        </w:rPr>
      </w:pPr>
    </w:p>
    <w:p w:rsidR="00434736" w:rsidRPr="00C067E9" w:rsidRDefault="00344535">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C067E9">
        <w:rPr>
          <w:rFonts w:ascii="Palatino Linotype" w:eastAsia="Palatino Linotype" w:hAnsi="Palatino Linotype" w:cs="Palatino Linotype"/>
          <w:b/>
          <w:color w:val="000000"/>
          <w:sz w:val="24"/>
          <w:szCs w:val="24"/>
        </w:rPr>
        <w:t>A N T E C E D E N T E S</w:t>
      </w:r>
    </w:p>
    <w:p w:rsidR="00434736" w:rsidRPr="00C067E9" w:rsidRDefault="00434736">
      <w:p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p>
    <w:p w:rsidR="00434736" w:rsidRPr="00C067E9" w:rsidRDefault="00344535">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El día</w:t>
      </w:r>
      <w:r w:rsidRPr="00C067E9">
        <w:rPr>
          <w:rFonts w:ascii="Palatino Linotype" w:eastAsia="Palatino Linotype" w:hAnsi="Palatino Linotype" w:cs="Palatino Linotype"/>
          <w:b/>
          <w:color w:val="000000"/>
        </w:rPr>
        <w:t xml:space="preserve"> veinte de septiembre de dos mil veinticuatro</w:t>
      </w:r>
      <w:r w:rsidRPr="00C067E9">
        <w:rPr>
          <w:rFonts w:ascii="Palatino Linotype" w:eastAsia="Palatino Linotype" w:hAnsi="Palatino Linotype" w:cs="Palatino Linotype"/>
          <w:color w:val="000000"/>
        </w:rPr>
        <w:t>,</w:t>
      </w:r>
      <w:r w:rsidRPr="00C067E9">
        <w:rPr>
          <w:rFonts w:ascii="Palatino Linotype" w:eastAsia="Palatino Linotype" w:hAnsi="Palatino Linotype" w:cs="Palatino Linotype"/>
          <w:b/>
          <w:color w:val="000000"/>
        </w:rPr>
        <w:t xml:space="preserve"> </w:t>
      </w:r>
      <w:r w:rsidRPr="00C067E9">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rsidR="00434736" w:rsidRPr="00C067E9" w:rsidRDefault="0043473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34736" w:rsidRPr="00C067E9" w:rsidRDefault="00344535">
      <w:pPr>
        <w:pBdr>
          <w:top w:val="nil"/>
          <w:left w:val="nil"/>
          <w:bottom w:val="nil"/>
          <w:right w:val="nil"/>
          <w:between w:val="nil"/>
        </w:pBdr>
        <w:spacing w:line="360" w:lineRule="auto"/>
        <w:ind w:left="425" w:right="474"/>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i/>
          <w:color w:val="000000"/>
        </w:rPr>
        <w:t xml:space="preserve">“Por medio del presente le solicito su ayuda para transparentar el apoyo social de los calentadores solares que se otorgaron a la Comunidad de Cedro de la Manzana, toda vez que fueron a tomar datos a las personas que serían candidatas al beneficio y el Delegado de dicha comunidad de nombre Francisco Martínez Vicente les condiciono el apoyo si no le daban $3,000.00 pesos para recibirlo. Con fundamento </w:t>
      </w:r>
      <w:r w:rsidRPr="00C067E9">
        <w:rPr>
          <w:rFonts w:ascii="Palatino Linotype" w:eastAsia="Palatino Linotype" w:hAnsi="Palatino Linotype" w:cs="Palatino Linotype"/>
          <w:i/>
          <w:color w:val="000000"/>
        </w:rPr>
        <w:lastRenderedPageBreak/>
        <w:t>en el artículo 8 de la Constitución Política de los Estados Unidos Mexicanos hago valer mi derecho de petición para que se me envíe la lista de las personas beneficiadas de dicho programa.”</w:t>
      </w:r>
    </w:p>
    <w:p w:rsidR="00434736" w:rsidRPr="00C067E9" w:rsidRDefault="00434736">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rPr>
      </w:pPr>
    </w:p>
    <w:p w:rsidR="00434736" w:rsidRPr="00C067E9" w:rsidRDefault="00344535">
      <w:pPr>
        <w:numPr>
          <w:ilvl w:val="0"/>
          <w:numId w:val="2"/>
        </w:num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Se eligió como modalidad de entrega de la información: A través del </w:t>
      </w:r>
      <w:r w:rsidRPr="00C067E9">
        <w:rPr>
          <w:rFonts w:ascii="Palatino Linotype" w:eastAsia="Palatino Linotype" w:hAnsi="Palatino Linotype" w:cs="Palatino Linotype"/>
          <w:b/>
          <w:color w:val="000000"/>
        </w:rPr>
        <w:t>SAIMEX.</w:t>
      </w:r>
    </w:p>
    <w:p w:rsidR="00434736" w:rsidRPr="00C067E9" w:rsidRDefault="00434736">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u w:val="single"/>
        </w:rPr>
      </w:pPr>
    </w:p>
    <w:p w:rsidR="00434736" w:rsidRPr="00C067E9" w:rsidRDefault="00344535">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rPr>
      </w:pPr>
      <w:r w:rsidRPr="00C067E9">
        <w:rPr>
          <w:rFonts w:ascii="Palatino Linotype" w:eastAsia="Palatino Linotype" w:hAnsi="Palatino Linotype" w:cs="Palatino Linotype"/>
          <w:color w:val="000000"/>
        </w:rPr>
        <w:t xml:space="preserve">El </w:t>
      </w:r>
      <w:r w:rsidRPr="00C067E9">
        <w:rPr>
          <w:rFonts w:ascii="Palatino Linotype" w:eastAsia="Palatino Linotype" w:hAnsi="Palatino Linotype" w:cs="Palatino Linotype"/>
          <w:b/>
          <w:color w:val="000000"/>
        </w:rPr>
        <w:t>once de octubre de dos mil veinticuatro</w:t>
      </w:r>
      <w:r w:rsidRPr="00C067E9">
        <w:rPr>
          <w:rFonts w:ascii="Palatino Linotype" w:eastAsia="Palatino Linotype" w:hAnsi="Palatino Linotype" w:cs="Palatino Linotype"/>
          <w:color w:val="000000"/>
        </w:rPr>
        <w:t>, el Sujeto Obligado</w:t>
      </w:r>
      <w:r w:rsidRPr="00C067E9">
        <w:rPr>
          <w:rFonts w:ascii="Palatino Linotype" w:eastAsia="Palatino Linotype" w:hAnsi="Palatino Linotype" w:cs="Palatino Linotype"/>
          <w:b/>
          <w:color w:val="000000"/>
        </w:rPr>
        <w:t>,</w:t>
      </w:r>
      <w:r w:rsidRPr="00C067E9">
        <w:rPr>
          <w:rFonts w:ascii="Palatino Linotype" w:eastAsia="Palatino Linotype" w:hAnsi="Palatino Linotype" w:cs="Palatino Linotype"/>
          <w:color w:val="000000"/>
        </w:rPr>
        <w:t xml:space="preserve"> dio respuesta a través del archivo denominado </w:t>
      </w:r>
      <w:r w:rsidRPr="00C067E9">
        <w:rPr>
          <w:rFonts w:ascii="Palatino Linotype" w:eastAsia="Palatino Linotype" w:hAnsi="Palatino Linotype" w:cs="Palatino Linotype"/>
          <w:b/>
          <w:i/>
          <w:color w:val="000000"/>
        </w:rPr>
        <w:t>RESPUESTA SOLICITUD 0078.pdf</w:t>
      </w:r>
      <w:r w:rsidRPr="00C067E9">
        <w:rPr>
          <w:rFonts w:ascii="Palatino Linotype" w:eastAsia="Palatino Linotype" w:hAnsi="Palatino Linotype" w:cs="Palatino Linotype"/>
          <w:color w:val="000000"/>
        </w:rPr>
        <w:t xml:space="preserve">, cuyo contenido corresponde a un oficio signado por el Director de Obras </w:t>
      </w:r>
      <w:r w:rsidRPr="00C067E9">
        <w:rPr>
          <w:rFonts w:ascii="Palatino Linotype" w:eastAsia="Palatino Linotype" w:hAnsi="Palatino Linotype" w:cs="Palatino Linotype"/>
        </w:rPr>
        <w:t>Públicas</w:t>
      </w:r>
      <w:r w:rsidRPr="00C067E9">
        <w:rPr>
          <w:rFonts w:ascii="Palatino Linotype" w:eastAsia="Palatino Linotype" w:hAnsi="Palatino Linotype" w:cs="Palatino Linotype"/>
          <w:color w:val="000000"/>
        </w:rPr>
        <w:t xml:space="preserve"> y Desarrollo Urbano, mediante el cual informa, que se proporciona en versión </w:t>
      </w:r>
      <w:r w:rsidRPr="00C067E9">
        <w:rPr>
          <w:rFonts w:ascii="Palatino Linotype" w:eastAsia="Palatino Linotype" w:hAnsi="Palatino Linotype" w:cs="Palatino Linotype"/>
        </w:rPr>
        <w:t>pública</w:t>
      </w:r>
      <w:r w:rsidRPr="00C067E9">
        <w:rPr>
          <w:rFonts w:ascii="Palatino Linotype" w:eastAsia="Palatino Linotype" w:hAnsi="Palatino Linotype" w:cs="Palatino Linotype"/>
          <w:color w:val="000000"/>
        </w:rPr>
        <w:t xml:space="preserve"> por referirse a información concerniente a datos personales, al tiempo que remite dicho anexo.</w:t>
      </w:r>
    </w:p>
    <w:p w:rsidR="00434736" w:rsidRPr="00C067E9" w:rsidRDefault="00434736">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u w:val="single"/>
        </w:rPr>
      </w:pPr>
    </w:p>
    <w:p w:rsidR="00434736" w:rsidRPr="00C067E9" w:rsidRDefault="00344535">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El</w:t>
      </w:r>
      <w:r w:rsidRPr="00C067E9">
        <w:rPr>
          <w:rFonts w:ascii="Palatino Linotype" w:eastAsia="Palatino Linotype" w:hAnsi="Palatino Linotype" w:cs="Palatino Linotype"/>
          <w:b/>
          <w:color w:val="000000"/>
        </w:rPr>
        <w:t xml:space="preserve"> veinticinco de octubre dos mil veinticuatro</w:t>
      </w:r>
      <w:r w:rsidRPr="00C067E9">
        <w:rPr>
          <w:rFonts w:ascii="Palatino Linotype" w:eastAsia="Palatino Linotype" w:hAnsi="Palatino Linotype" w:cs="Palatino Linotype"/>
          <w:color w:val="000000"/>
        </w:rPr>
        <w:t>, el particular interpuso el recurso de revisión en contra de la respuesta, realizando las siguientes manifestaciones:</w:t>
      </w:r>
    </w:p>
    <w:p w:rsidR="00434736" w:rsidRPr="00C067E9" w:rsidRDefault="00344535">
      <w:pPr>
        <w:numPr>
          <w:ilvl w:val="0"/>
          <w:numId w:val="9"/>
        </w:numPr>
        <w:pBdr>
          <w:top w:val="nil"/>
          <w:left w:val="nil"/>
          <w:bottom w:val="nil"/>
          <w:right w:val="nil"/>
          <w:between w:val="nil"/>
        </w:pBdr>
        <w:spacing w:line="360" w:lineRule="auto"/>
        <w:ind w:right="474" w:hanging="359"/>
        <w:jc w:val="both"/>
        <w:rPr>
          <w:rFonts w:ascii="Palatino Linotype" w:eastAsia="Palatino Linotype" w:hAnsi="Palatino Linotype" w:cs="Palatino Linotype"/>
          <w:i/>
          <w:color w:val="000000"/>
        </w:rPr>
      </w:pPr>
      <w:bookmarkStart w:id="1" w:name="_heading=h.30j0zll" w:colFirst="0" w:colLast="0"/>
      <w:bookmarkEnd w:id="1"/>
      <w:r w:rsidRPr="00C067E9">
        <w:rPr>
          <w:rFonts w:ascii="Palatino Linotype" w:eastAsia="Palatino Linotype" w:hAnsi="Palatino Linotype" w:cs="Palatino Linotype"/>
          <w:b/>
          <w:color w:val="000000"/>
        </w:rPr>
        <w:t xml:space="preserve">ACTO IMPUGNADO: </w:t>
      </w:r>
      <w:r w:rsidRPr="00C067E9">
        <w:rPr>
          <w:rFonts w:ascii="Palatino Linotype" w:eastAsia="Palatino Linotype" w:hAnsi="Palatino Linotype" w:cs="Palatino Linotype"/>
          <w:i/>
          <w:color w:val="000000"/>
        </w:rPr>
        <w:t>“Se solicita una lista de beneficiarios para cotejar que efectivamente les fueron entregados los apoyos sociales.”</w:t>
      </w:r>
    </w:p>
    <w:p w:rsidR="00434736" w:rsidRPr="00C067E9" w:rsidRDefault="00344535">
      <w:pPr>
        <w:numPr>
          <w:ilvl w:val="0"/>
          <w:numId w:val="9"/>
        </w:numPr>
        <w:pBdr>
          <w:top w:val="nil"/>
          <w:left w:val="nil"/>
          <w:bottom w:val="nil"/>
          <w:right w:val="nil"/>
          <w:between w:val="nil"/>
        </w:pBdr>
        <w:spacing w:line="360" w:lineRule="auto"/>
        <w:ind w:right="474" w:hanging="359"/>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b/>
          <w:color w:val="000000"/>
        </w:rPr>
        <w:t xml:space="preserve">RAZONES O MOTIVOS DE LA INCONFORMIDAD: </w:t>
      </w:r>
      <w:r w:rsidRPr="00C067E9">
        <w:rPr>
          <w:rFonts w:ascii="Palatino Linotype" w:eastAsia="Palatino Linotype" w:hAnsi="Palatino Linotype" w:cs="Palatino Linotype"/>
          <w:i/>
          <w:color w:val="000000"/>
        </w:rPr>
        <w:t xml:space="preserve">“Teniendo como antecedente la solicitud 00078/JOSERIN/IP/2024 en donde se solicita ayuda para transparentar el apoyo social otorgado a la Comunidad de Cedro de la Manzana, toda vez que fue condicionado y derivado de la información que se </w:t>
      </w:r>
      <w:proofErr w:type="spellStart"/>
      <w:r w:rsidRPr="00C067E9">
        <w:rPr>
          <w:rFonts w:ascii="Palatino Linotype" w:eastAsia="Palatino Linotype" w:hAnsi="Palatino Linotype" w:cs="Palatino Linotype"/>
          <w:i/>
          <w:color w:val="000000"/>
        </w:rPr>
        <w:t>adjunto</w:t>
      </w:r>
      <w:proofErr w:type="spellEnd"/>
      <w:r w:rsidRPr="00C067E9">
        <w:rPr>
          <w:rFonts w:ascii="Palatino Linotype" w:eastAsia="Palatino Linotype" w:hAnsi="Palatino Linotype" w:cs="Palatino Linotype"/>
          <w:i/>
          <w:color w:val="000000"/>
        </w:rPr>
        <w:t xml:space="preserve"> como respuesta en donde solo se puede visualizar que, en efecto, fue el </w:t>
      </w:r>
      <w:r w:rsidRPr="00C067E9">
        <w:rPr>
          <w:rFonts w:ascii="Palatino Linotype" w:eastAsia="Palatino Linotype" w:hAnsi="Palatino Linotype" w:cs="Palatino Linotype"/>
          <w:i/>
          <w:color w:val="000000"/>
        </w:rPr>
        <w:lastRenderedPageBreak/>
        <w:t>apoyo de calentador solar (COSA QUE YA SE SABE). Hasta el momento siguen surgiendo las mismas interrogantes: ¿Cómo saber que alguien fue beneficiario (a) y no recibió el apoyo? ¿Qué medida tomará el ayuntamiento en contra de los titulares de las delegaciones que siguen fomentando este tipo de prácticas y que da a entender a la población que el apoyo es condicionado desde arriba (municipio)? Entiendo que realizan un informe en donde deben adjuntar evidencia del apoyo entregado. Por eso solicito que la información sea más veraz o que me indiquen quien puede darme una verdadera solución.”</w:t>
      </w:r>
    </w:p>
    <w:p w:rsidR="00434736" w:rsidRPr="00C067E9" w:rsidRDefault="00434736">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u w:val="single"/>
        </w:rPr>
      </w:pP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sidRPr="00C067E9">
        <w:rPr>
          <w:rFonts w:ascii="Palatino Linotype" w:eastAsia="Palatino Linotype" w:hAnsi="Palatino Linotype" w:cs="Palatino Linotype"/>
        </w:rPr>
        <w:t>manifiesta</w:t>
      </w:r>
      <w:r w:rsidRPr="00C067E9">
        <w:rPr>
          <w:rFonts w:ascii="Palatino Linotype" w:eastAsia="Palatino Linotype" w:hAnsi="Palatino Linotype" w:cs="Palatino Linotype"/>
          <w:color w:val="000000"/>
        </w:rPr>
        <w:t xml:space="preserve"> lo que a su derecho conviniera, </w:t>
      </w:r>
      <w:r w:rsidRPr="00C067E9">
        <w:rPr>
          <w:rFonts w:ascii="Palatino Linotype" w:eastAsia="Palatino Linotype" w:hAnsi="Palatino Linotype" w:cs="Palatino Linotype"/>
        </w:rPr>
        <w:t>ofreciera</w:t>
      </w:r>
      <w:r w:rsidRPr="00C067E9">
        <w:rPr>
          <w:rFonts w:ascii="Palatino Linotype" w:eastAsia="Palatino Linotype" w:hAnsi="Palatino Linotype" w:cs="Palatino Linotype"/>
          <w:color w:val="000000"/>
        </w:rPr>
        <w:t xml:space="preserve"> pruebas y alegatos, y el Sujeto Obligado presentará el Informe Justificado.</w:t>
      </w:r>
    </w:p>
    <w:p w:rsidR="00434736" w:rsidRPr="00C067E9" w:rsidRDefault="0043473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El Recurrente</w:t>
      </w:r>
      <w:r w:rsidRPr="00C067E9">
        <w:rPr>
          <w:rFonts w:ascii="Palatino Linotype" w:eastAsia="Palatino Linotype" w:hAnsi="Palatino Linotype" w:cs="Palatino Linotype"/>
          <w:b/>
          <w:color w:val="000000"/>
        </w:rPr>
        <w:t xml:space="preserve"> </w:t>
      </w:r>
      <w:r w:rsidRPr="00C067E9">
        <w:rPr>
          <w:rFonts w:ascii="Palatino Linotype" w:eastAsia="Palatino Linotype" w:hAnsi="Palatino Linotype" w:cs="Palatino Linotype"/>
          <w:color w:val="000000"/>
        </w:rPr>
        <w:t xml:space="preserve">dejó de realizar manifestaciones que a su derecho conviniera y asistiera. Por su parte el Sujeto Obligado, rindió su informe justificado mediante oficio signado por el Director de Obras </w:t>
      </w:r>
      <w:r w:rsidRPr="00C067E9">
        <w:rPr>
          <w:rFonts w:ascii="Palatino Linotype" w:eastAsia="Palatino Linotype" w:hAnsi="Palatino Linotype" w:cs="Palatino Linotype"/>
        </w:rPr>
        <w:t>Públicas</w:t>
      </w:r>
      <w:r w:rsidRPr="00C067E9">
        <w:rPr>
          <w:rFonts w:ascii="Palatino Linotype" w:eastAsia="Palatino Linotype" w:hAnsi="Palatino Linotype" w:cs="Palatino Linotype"/>
          <w:color w:val="000000"/>
        </w:rPr>
        <w:t xml:space="preserve"> y Desarrollo Urbano, mediante el cual confirma su respuesta inicial y agrega que la presentación de quejas o denuncias relacionadas con irregularidades cometidas por servidores públicos en el desempeño de sus funciones, se realizan ante la Contraloría Interna Municipal.</w:t>
      </w:r>
    </w:p>
    <w:p w:rsidR="00434736" w:rsidRPr="00C067E9" w:rsidRDefault="00434736">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2" w:name="_heading=h.1fob9te" w:colFirst="0" w:colLast="0"/>
      <w:bookmarkEnd w:id="2"/>
      <w:r w:rsidRPr="00C067E9">
        <w:rPr>
          <w:rFonts w:ascii="Palatino Linotype" w:eastAsia="Palatino Linotype" w:hAnsi="Palatino Linotype" w:cs="Palatino Linotype"/>
          <w:color w:val="000000"/>
        </w:rPr>
        <w:t xml:space="preserve">Se amplió el término para resolver el Recurso de Revisión por un periodo de quince días hábiles adicionales al lapso ordinario. Al respecto este Organismo Garante no pasa por alto justificar, que el plazo para emitir la resolución en el </w:t>
      </w:r>
      <w:r w:rsidRPr="00C067E9">
        <w:rPr>
          <w:rFonts w:ascii="Palatino Linotype" w:eastAsia="Palatino Linotype" w:hAnsi="Palatino Linotype" w:cs="Palatino Linotype"/>
          <w:color w:val="000000"/>
        </w:rPr>
        <w:lastRenderedPageBreak/>
        <w:t xml:space="preserve">presente asunto encuentra justificación en el alto número de recursos de revisión recibidos, circunstancia atípica que ha rebasado las capacidades técnicas y humanas del personal encargado de la proyección de las resoluciones a dichos medios de impugnación. </w:t>
      </w:r>
    </w:p>
    <w:p w:rsidR="00434736" w:rsidRPr="00C067E9" w:rsidRDefault="0043473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rsidR="00434736" w:rsidRPr="00C067E9" w:rsidRDefault="00434736">
      <w:pPr>
        <w:pBdr>
          <w:top w:val="nil"/>
          <w:left w:val="nil"/>
          <w:bottom w:val="nil"/>
          <w:right w:val="nil"/>
          <w:between w:val="nil"/>
        </w:pBdr>
        <w:ind w:left="720"/>
        <w:rPr>
          <w:rFonts w:ascii="Palatino Linotype" w:eastAsia="Palatino Linotype" w:hAnsi="Palatino Linotype" w:cs="Palatino Linotype"/>
          <w:color w:val="000000"/>
        </w:rPr>
      </w:pP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rsidR="00434736" w:rsidRPr="00C067E9" w:rsidRDefault="0043473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434736" w:rsidRPr="00C067E9" w:rsidRDefault="00434736">
      <w:pPr>
        <w:pBdr>
          <w:top w:val="nil"/>
          <w:left w:val="nil"/>
          <w:bottom w:val="nil"/>
          <w:right w:val="nil"/>
          <w:between w:val="nil"/>
        </w:pBdr>
        <w:ind w:left="720"/>
        <w:rPr>
          <w:rFonts w:ascii="Palatino Linotype" w:eastAsia="Palatino Linotype" w:hAnsi="Palatino Linotype" w:cs="Palatino Linotype"/>
          <w:color w:val="000000"/>
        </w:rPr>
      </w:pP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lastRenderedPageBreak/>
        <w:t xml:space="preserve">Por ello, excepcionalmente, si un asunto es resuelto con posterioridad a los plazos señalados por la norma debe analizarse la razonabilidad del tiempo necesario para su resolución, atentos a los siguientes criterios: </w:t>
      </w:r>
    </w:p>
    <w:p w:rsidR="00434736" w:rsidRPr="00C067E9" w:rsidRDefault="00434736">
      <w:pPr>
        <w:pBdr>
          <w:top w:val="nil"/>
          <w:left w:val="nil"/>
          <w:bottom w:val="nil"/>
          <w:right w:val="nil"/>
          <w:between w:val="nil"/>
        </w:pBdr>
        <w:ind w:left="720"/>
        <w:rPr>
          <w:rFonts w:ascii="Palatino Linotype" w:eastAsia="Palatino Linotype" w:hAnsi="Palatino Linotype" w:cs="Palatino Linotype"/>
          <w:color w:val="000000"/>
        </w:rPr>
      </w:pPr>
    </w:p>
    <w:p w:rsidR="00434736" w:rsidRPr="00C067E9" w:rsidRDefault="00344535">
      <w:pPr>
        <w:spacing w:line="360" w:lineRule="auto"/>
        <w:ind w:left="708"/>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a) Complejidad del </w:t>
      </w:r>
      <w:r w:rsidRPr="00C067E9">
        <w:rPr>
          <w:rFonts w:ascii="Palatino Linotype" w:eastAsia="Palatino Linotype" w:hAnsi="Palatino Linotype" w:cs="Palatino Linotype"/>
        </w:rPr>
        <w:t>asunto</w:t>
      </w:r>
      <w:r w:rsidRPr="00C067E9">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434736" w:rsidRPr="00C067E9" w:rsidRDefault="00344535">
      <w:pPr>
        <w:spacing w:line="360" w:lineRule="auto"/>
        <w:ind w:left="708"/>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b) Actividad Procesal del interesado. Acciones u omisiones del interesado.</w:t>
      </w:r>
    </w:p>
    <w:p w:rsidR="00434736" w:rsidRPr="00C067E9" w:rsidRDefault="00344535">
      <w:pPr>
        <w:spacing w:line="360" w:lineRule="auto"/>
        <w:ind w:left="708"/>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c) Conducta de la Autoridad: Las Acciones u omisiones realizadas en el procedimiento. Así como si la autoridad actuó con la debida diligencia. </w:t>
      </w:r>
    </w:p>
    <w:p w:rsidR="00434736" w:rsidRPr="00C067E9" w:rsidRDefault="00344535">
      <w:pPr>
        <w:spacing w:line="360" w:lineRule="auto"/>
        <w:ind w:left="708"/>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d) La afectación generada en la situación jurídica de la persona involucrada en el proceso: Violación a sus derechos humanos. </w:t>
      </w:r>
    </w:p>
    <w:p w:rsidR="00434736" w:rsidRPr="00C067E9" w:rsidRDefault="00434736">
      <w:pPr>
        <w:spacing w:line="360" w:lineRule="auto"/>
        <w:jc w:val="both"/>
        <w:rPr>
          <w:rFonts w:ascii="Palatino Linotype" w:eastAsia="Palatino Linotype" w:hAnsi="Palatino Linotype" w:cs="Palatino Linotype"/>
          <w:color w:val="000000"/>
        </w:rPr>
      </w:pP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w:t>
      </w:r>
    </w:p>
    <w:p w:rsidR="00434736" w:rsidRPr="00C067E9" w:rsidRDefault="00434736">
      <w:pPr>
        <w:spacing w:line="360" w:lineRule="auto"/>
        <w:jc w:val="both"/>
        <w:rPr>
          <w:rFonts w:ascii="Palatino Linotype" w:eastAsia="Palatino Linotype" w:hAnsi="Palatino Linotype" w:cs="Palatino Linotype"/>
          <w:color w:val="000000"/>
        </w:rPr>
      </w:pP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Argumento que encuentra sustento en la jurisprudencia P</w:t>
      </w:r>
      <w:proofErr w:type="gramStart"/>
      <w:r w:rsidRPr="00C067E9">
        <w:rPr>
          <w:rFonts w:ascii="Palatino Linotype" w:eastAsia="Palatino Linotype" w:hAnsi="Palatino Linotype" w:cs="Palatino Linotype"/>
          <w:color w:val="000000"/>
        </w:rPr>
        <w:t>./</w:t>
      </w:r>
      <w:proofErr w:type="gramEnd"/>
      <w:r w:rsidRPr="00C067E9">
        <w:rPr>
          <w:rFonts w:ascii="Palatino Linotype" w:eastAsia="Palatino Linotype" w:hAnsi="Palatino Linotype" w:cs="Palatino Linotype"/>
          <w:color w:val="000000"/>
        </w:rPr>
        <w:t xml:space="preserve">J. 32/92 emitida por el Pleno de la Suprema Corte de Justicia de la Nación </w:t>
      </w:r>
      <w:r w:rsidRPr="00C067E9">
        <w:rPr>
          <w:rFonts w:ascii="Palatino Linotype" w:eastAsia="Palatino Linotype" w:hAnsi="Palatino Linotype" w:cs="Palatino Linotype"/>
        </w:rPr>
        <w:t>del rubro</w:t>
      </w:r>
      <w:r w:rsidRPr="00C067E9">
        <w:rPr>
          <w:rFonts w:ascii="Palatino Linotype" w:eastAsia="Palatino Linotype" w:hAnsi="Palatino Linotype" w:cs="Palatino Linotype"/>
          <w:color w:val="000000"/>
        </w:rPr>
        <w:t xml:space="preserve"> “TÉRMINOS PROCESALES. PARA DETERMINAR SI UN FUNCIONARIO JUDICIAL ACTUÓ INDEBIDAMENTE POR NO RESPETARLOS SE DEBE ATENDER AL </w:t>
      </w:r>
      <w:r w:rsidRPr="00C067E9">
        <w:rPr>
          <w:rFonts w:ascii="Palatino Linotype" w:eastAsia="Palatino Linotype" w:hAnsi="Palatino Linotype" w:cs="Palatino Linotype"/>
          <w:color w:val="000000"/>
        </w:rPr>
        <w:lastRenderedPageBreak/>
        <w:t xml:space="preserve">PRESUPUESTO QUE CONSIDERÓ EL LEGISLADOR AL FIJARLOS Y LAS CARACTERÍSTICAS DEL CASO.”, visible en la Gaceta del </w:t>
      </w:r>
      <w:r w:rsidRPr="00C067E9">
        <w:rPr>
          <w:rFonts w:ascii="Palatino Linotype" w:eastAsia="Palatino Linotype" w:hAnsi="Palatino Linotype" w:cs="Palatino Linotype"/>
        </w:rPr>
        <w:t>Semanario</w:t>
      </w:r>
      <w:r w:rsidRPr="00C067E9">
        <w:rPr>
          <w:rFonts w:ascii="Palatino Linotype" w:eastAsia="Palatino Linotype" w:hAnsi="Palatino Linotype" w:cs="Palatino Linotype"/>
          <w:color w:val="000000"/>
        </w:rPr>
        <w:t xml:space="preserve"> Judicial de la Federación con el registro digital 205635. </w:t>
      </w:r>
    </w:p>
    <w:p w:rsidR="00434736" w:rsidRPr="00C067E9" w:rsidRDefault="00434736">
      <w:pPr>
        <w:spacing w:line="360" w:lineRule="auto"/>
        <w:jc w:val="both"/>
        <w:rPr>
          <w:rFonts w:ascii="Palatino Linotype" w:eastAsia="Palatino Linotype" w:hAnsi="Palatino Linotype" w:cs="Palatino Linotype"/>
          <w:color w:val="000000"/>
        </w:rPr>
      </w:pP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rsidR="00434736" w:rsidRPr="00C067E9" w:rsidRDefault="00434736">
      <w:pPr>
        <w:spacing w:line="360" w:lineRule="auto"/>
        <w:jc w:val="both"/>
        <w:rPr>
          <w:rFonts w:ascii="Palatino Linotype" w:eastAsia="Palatino Linotype" w:hAnsi="Palatino Linotype" w:cs="Palatino Linotype"/>
          <w:color w:val="000000"/>
        </w:rPr>
      </w:pP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434736" w:rsidRPr="00C067E9" w:rsidRDefault="00344535">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“PLAZO RAZONABLE PARA RESOLVER. DIMENSIÓN Y EFECTOS DE ESTE CONCEPTO CUANDO SE ADUCE EXCESIVA CARGA DE TRABAJO.” consultable en el Sem</w:t>
      </w:r>
      <w:r w:rsidRPr="00C067E9">
        <w:rPr>
          <w:rFonts w:ascii="Palatino Linotype" w:eastAsia="Palatino Linotype" w:hAnsi="Palatino Linotype" w:cs="Palatino Linotype"/>
          <w:i/>
        </w:rPr>
        <w:t>a</w:t>
      </w:r>
      <w:r w:rsidRPr="00C067E9">
        <w:rPr>
          <w:rFonts w:ascii="Palatino Linotype" w:eastAsia="Palatino Linotype" w:hAnsi="Palatino Linotype" w:cs="Palatino Linotype"/>
          <w:i/>
          <w:color w:val="000000"/>
        </w:rPr>
        <w:t xml:space="preserve">nario Judicial de la Federación y su gaceta, con el registro digital 2002351. </w:t>
      </w:r>
    </w:p>
    <w:p w:rsidR="00434736" w:rsidRPr="00C067E9" w:rsidRDefault="00434736">
      <w:pPr>
        <w:spacing w:line="360" w:lineRule="auto"/>
        <w:ind w:left="567"/>
        <w:jc w:val="both"/>
        <w:rPr>
          <w:rFonts w:ascii="Palatino Linotype" w:eastAsia="Palatino Linotype" w:hAnsi="Palatino Linotype" w:cs="Palatino Linotype"/>
          <w:i/>
          <w:color w:val="000000"/>
        </w:rPr>
      </w:pPr>
    </w:p>
    <w:p w:rsidR="00434736" w:rsidRPr="00C067E9" w:rsidRDefault="00344535">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lastRenderedPageBreak/>
        <w:t>“PLAZO RAZONABLE PARA RESOLVER. CONCEPTO Y ELEMENTOS QUE LO INTEGRAN A LA LUZ DEL DERECHO INTERNACIONAL DE LOS DERECHOS HUMANOS.”, visible en el Sem</w:t>
      </w:r>
      <w:r w:rsidRPr="00C067E9">
        <w:rPr>
          <w:rFonts w:ascii="Palatino Linotype" w:eastAsia="Palatino Linotype" w:hAnsi="Palatino Linotype" w:cs="Palatino Linotype"/>
          <w:i/>
        </w:rPr>
        <w:t>a</w:t>
      </w:r>
      <w:r w:rsidRPr="00C067E9">
        <w:rPr>
          <w:rFonts w:ascii="Palatino Linotype" w:eastAsia="Palatino Linotype" w:hAnsi="Palatino Linotype" w:cs="Palatino Linotype"/>
          <w:i/>
          <w:color w:val="000000"/>
        </w:rPr>
        <w:t xml:space="preserve">nario Judicial de la Federación y su gaceta, con el registro digital 2002350. </w:t>
      </w:r>
    </w:p>
    <w:p w:rsidR="00434736" w:rsidRPr="00C067E9" w:rsidRDefault="00434736">
      <w:pPr>
        <w:spacing w:line="360" w:lineRule="auto"/>
        <w:ind w:left="567"/>
        <w:jc w:val="both"/>
        <w:rPr>
          <w:rFonts w:ascii="Palatino Linotype" w:eastAsia="Palatino Linotype" w:hAnsi="Palatino Linotype" w:cs="Palatino Linotype"/>
          <w:i/>
          <w:color w:val="000000"/>
        </w:rPr>
      </w:pP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Por ello, este Organismo Garante comprometido con la tutela de los derechos humanos confiados, señala que este exceso del plazo legal para resolver el presente asunto, resulta de carácter excepcional. </w:t>
      </w:r>
    </w:p>
    <w:p w:rsidR="00434736" w:rsidRPr="00C067E9" w:rsidRDefault="0043473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C067E9">
        <w:rPr>
          <w:rFonts w:ascii="Palatino Linotype" w:eastAsia="Palatino Linotype" w:hAnsi="Palatino Linotype" w:cs="Palatino Linotype"/>
        </w:rPr>
        <w:t xml:space="preserve">Seguidamente mediante acuerdo de día </w:t>
      </w:r>
      <w:r w:rsidRPr="00C067E9">
        <w:rPr>
          <w:rFonts w:ascii="Palatino Linotype" w:eastAsia="Palatino Linotype" w:hAnsi="Palatino Linotype" w:cs="Palatino Linotype"/>
          <w:b/>
          <w:color w:val="000000"/>
        </w:rPr>
        <w:t>veintiocho del mismo mes y año</w:t>
      </w:r>
      <w:r w:rsidRPr="00C067E9">
        <w:rPr>
          <w:rFonts w:ascii="Palatino Linotype" w:eastAsia="Palatino Linotype" w:hAnsi="Palatino Linotype" w:cs="Palatino Linotype"/>
        </w:rPr>
        <w:t xml:space="preserve">, la Comisionada Ponente dictó el cierre del periodo de </w:t>
      </w:r>
      <w:r w:rsidRPr="00C067E9">
        <w:rPr>
          <w:rFonts w:ascii="Palatino Linotype" w:eastAsia="Palatino Linotype" w:hAnsi="Palatino Linotype" w:cs="Palatino Linotype"/>
          <w:color w:val="000000"/>
        </w:rPr>
        <w:t>instrucción</w:t>
      </w:r>
      <w:r w:rsidRPr="00C067E9">
        <w:rPr>
          <w:rFonts w:ascii="Palatino Linotype" w:eastAsia="Palatino Linotype" w:hAnsi="Palatino Linotype" w:cs="Palatino Linotype"/>
        </w:rPr>
        <w:t xml:space="preserve"> y, ordenó la resolución que conforme a Derecho proceda, de acuerdo a las siguientes:</w:t>
      </w:r>
    </w:p>
    <w:p w:rsidR="00434736" w:rsidRPr="00C067E9" w:rsidRDefault="00434736">
      <w:pPr>
        <w:pBdr>
          <w:top w:val="nil"/>
          <w:left w:val="nil"/>
          <w:bottom w:val="nil"/>
          <w:right w:val="nil"/>
          <w:between w:val="nil"/>
        </w:pBdr>
        <w:spacing w:line="360" w:lineRule="auto"/>
        <w:ind w:left="720"/>
        <w:rPr>
          <w:rFonts w:ascii="Palatino Linotype" w:eastAsia="Palatino Linotype" w:hAnsi="Palatino Linotype" w:cs="Palatino Linotype"/>
          <w:b/>
          <w:color w:val="000000"/>
        </w:rPr>
      </w:pPr>
    </w:p>
    <w:p w:rsidR="00434736" w:rsidRPr="00C067E9" w:rsidRDefault="00344535">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C067E9">
        <w:rPr>
          <w:rFonts w:ascii="Palatino Linotype" w:eastAsia="Palatino Linotype" w:hAnsi="Palatino Linotype" w:cs="Palatino Linotype"/>
          <w:b/>
          <w:color w:val="000000"/>
        </w:rPr>
        <w:t>C O N S I D E R A C I O N E S</w:t>
      </w:r>
    </w:p>
    <w:p w:rsidR="00434736" w:rsidRPr="00C067E9" w:rsidRDefault="00434736">
      <w:pPr>
        <w:pBdr>
          <w:top w:val="nil"/>
          <w:left w:val="nil"/>
          <w:bottom w:val="nil"/>
          <w:right w:val="nil"/>
          <w:between w:val="nil"/>
        </w:pBdr>
        <w:spacing w:line="360" w:lineRule="auto"/>
        <w:jc w:val="center"/>
        <w:rPr>
          <w:rFonts w:ascii="Palatino Linotype" w:eastAsia="Palatino Linotype" w:hAnsi="Palatino Linotype" w:cs="Palatino Linotype"/>
          <w:b/>
        </w:rPr>
      </w:pPr>
    </w:p>
    <w:p w:rsidR="00434736" w:rsidRPr="00C067E9" w:rsidRDefault="00344535">
      <w:pPr>
        <w:pStyle w:val="Ttulo2"/>
        <w:spacing w:before="0" w:line="360" w:lineRule="auto"/>
        <w:rPr>
          <w:rFonts w:ascii="Palatino Linotype" w:eastAsia="Palatino Linotype" w:hAnsi="Palatino Linotype" w:cs="Palatino Linotype"/>
          <w:b/>
          <w:color w:val="000000"/>
          <w:sz w:val="24"/>
          <w:szCs w:val="24"/>
        </w:rPr>
      </w:pPr>
      <w:bookmarkStart w:id="3" w:name="_heading=h.3znysh7" w:colFirst="0" w:colLast="0"/>
      <w:bookmarkEnd w:id="3"/>
      <w:r w:rsidRPr="00C067E9">
        <w:rPr>
          <w:rFonts w:ascii="Palatino Linotype" w:eastAsia="Palatino Linotype" w:hAnsi="Palatino Linotype" w:cs="Palatino Linotype"/>
          <w:b/>
          <w:color w:val="000000"/>
          <w:sz w:val="24"/>
          <w:szCs w:val="24"/>
        </w:rPr>
        <w:t>PRIMERA. Competencia</w:t>
      </w: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w:t>
      </w:r>
      <w:r w:rsidRPr="00C067E9">
        <w:rPr>
          <w:rFonts w:ascii="Palatino Linotype" w:eastAsia="Palatino Linotype" w:hAnsi="Palatino Linotype" w:cs="Palatino Linotype"/>
          <w:color w:val="000000"/>
        </w:rPr>
        <w:lastRenderedPageBreak/>
        <w:t>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434736" w:rsidRPr="00C067E9" w:rsidRDefault="0043473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34736" w:rsidRPr="00C067E9" w:rsidRDefault="00344535">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C067E9">
        <w:rPr>
          <w:rFonts w:ascii="Palatino Linotype" w:eastAsia="Palatino Linotype" w:hAnsi="Palatino Linotype" w:cs="Palatino Linotype"/>
          <w:b/>
          <w:color w:val="000000"/>
          <w:sz w:val="24"/>
          <w:szCs w:val="24"/>
        </w:rPr>
        <w:t>SEGUNDA. Procedencia.</w:t>
      </w: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 xml:space="preserve">Este Órgano Garante considera que el medio de impugnación reúne los requisitos de </w:t>
      </w:r>
      <w:r w:rsidRPr="00C067E9">
        <w:rPr>
          <w:rFonts w:ascii="Palatino Linotype" w:eastAsia="Palatino Linotype" w:hAnsi="Palatino Linotype" w:cs="Palatino Linotype"/>
          <w:color w:val="000000"/>
        </w:rPr>
        <w:t>procedencia</w:t>
      </w:r>
      <w:r w:rsidRPr="00C067E9">
        <w:rPr>
          <w:rFonts w:ascii="Palatino Linotype" w:eastAsia="Palatino Linotype" w:hAnsi="Palatino Linotype" w:cs="Palatino Linotype"/>
        </w:rPr>
        <w:t xml:space="preserve"> </w:t>
      </w:r>
      <w:r w:rsidRPr="00C067E9">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434736" w:rsidRPr="00C067E9" w:rsidRDefault="00434736">
      <w:pPr>
        <w:spacing w:line="360" w:lineRule="auto"/>
        <w:ind w:left="360"/>
        <w:jc w:val="both"/>
        <w:rPr>
          <w:rFonts w:ascii="Palatino Linotype" w:eastAsia="Palatino Linotype" w:hAnsi="Palatino Linotype" w:cs="Palatino Linotype"/>
        </w:rPr>
      </w:pP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434736" w:rsidRPr="00C067E9" w:rsidRDefault="00344535">
      <w:pPr>
        <w:spacing w:line="360" w:lineRule="auto"/>
        <w:ind w:left="709" w:right="616"/>
        <w:jc w:val="both"/>
        <w:rPr>
          <w:rFonts w:ascii="Palatino Linotype" w:eastAsia="Palatino Linotype" w:hAnsi="Palatino Linotype" w:cs="Palatino Linotype"/>
          <w:i/>
        </w:rPr>
      </w:pPr>
      <w:r w:rsidRPr="00C067E9">
        <w:rPr>
          <w:rFonts w:ascii="Palatino Linotype" w:eastAsia="Palatino Linotype" w:hAnsi="Palatino Linotype" w:cs="Palatino Linotype"/>
          <w:i/>
        </w:rPr>
        <w:t>"</w:t>
      </w:r>
      <w:r w:rsidRPr="00C067E9">
        <w:rPr>
          <w:rFonts w:ascii="Palatino Linotype" w:eastAsia="Palatino Linotype" w:hAnsi="Palatino Linotype" w:cs="Palatino Linotype"/>
          <w:b/>
          <w:i/>
        </w:rPr>
        <w:t>Las solicitudes anónimas</w:t>
      </w:r>
      <w:r w:rsidRPr="00C067E9">
        <w:rPr>
          <w:rFonts w:ascii="Palatino Linotype" w:eastAsia="Palatino Linotype" w:hAnsi="Palatino Linotype" w:cs="Palatino Linotype"/>
          <w:i/>
        </w:rPr>
        <w:t xml:space="preserve">, con nombre incompleto o seudónimo </w:t>
      </w:r>
      <w:r w:rsidRPr="00C067E9">
        <w:rPr>
          <w:rFonts w:ascii="Palatino Linotype" w:eastAsia="Palatino Linotype" w:hAnsi="Palatino Linotype" w:cs="Palatino Linotype"/>
          <w:b/>
          <w:i/>
        </w:rPr>
        <w:t xml:space="preserve">serán procedentes para su trámite por parte del sujeto obligado ante quien se </w:t>
      </w:r>
      <w:r w:rsidRPr="00C067E9">
        <w:rPr>
          <w:rFonts w:ascii="Palatino Linotype" w:eastAsia="Palatino Linotype" w:hAnsi="Palatino Linotype" w:cs="Palatino Linotype"/>
          <w:b/>
          <w:i/>
        </w:rPr>
        <w:lastRenderedPageBreak/>
        <w:t>presente</w:t>
      </w:r>
      <w:r w:rsidRPr="00C067E9">
        <w:rPr>
          <w:rFonts w:ascii="Palatino Linotype" w:eastAsia="Palatino Linotype" w:hAnsi="Palatino Linotype" w:cs="Palatino Linotype"/>
          <w:i/>
        </w:rPr>
        <w:t>. No podrá requerirse información adicional con motivo del nombre proporcionado por el solicitante."</w:t>
      </w:r>
    </w:p>
    <w:p w:rsidR="00434736" w:rsidRPr="00C067E9" w:rsidRDefault="00434736">
      <w:pPr>
        <w:spacing w:line="360" w:lineRule="auto"/>
        <w:jc w:val="both"/>
        <w:rPr>
          <w:rFonts w:ascii="Palatino Linotype" w:eastAsia="Palatino Linotype" w:hAnsi="Palatino Linotype" w:cs="Palatino Linotype"/>
        </w:rPr>
      </w:pP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rsidR="00434736" w:rsidRPr="00C067E9" w:rsidRDefault="00344535">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w:t>
      </w:r>
      <w:r w:rsidRPr="00C067E9">
        <w:rPr>
          <w:rFonts w:ascii="Palatino Linotype" w:eastAsia="Palatino Linotype" w:hAnsi="Palatino Linotype" w:cs="Palatino Linotype"/>
          <w:b/>
          <w:i/>
          <w:color w:val="000000"/>
        </w:rPr>
        <w:t>Artículo 6.-</w:t>
      </w:r>
      <w:r w:rsidRPr="00C067E9">
        <w:rPr>
          <w:rFonts w:ascii="Palatino Linotype" w:eastAsia="Palatino Linotype" w:hAnsi="Palatino Linotype" w:cs="Palatino Linotype"/>
          <w:i/>
          <w:color w:val="00000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434736" w:rsidRPr="00C067E9" w:rsidRDefault="00344535">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Para efectos de lo dispuesto en el presente artículo se observará lo siguiente:</w:t>
      </w:r>
    </w:p>
    <w:p w:rsidR="00434736" w:rsidRPr="00C067E9" w:rsidRDefault="00344535">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A. Para el ejercicio del derecho de acceso a la información, la Federación, los Estados y el Distrito Federal, en el ámbito de sus respectivas competencias, se regirán por los siguientes principios y bases:</w:t>
      </w:r>
    </w:p>
    <w:p w:rsidR="00434736" w:rsidRPr="00C067E9" w:rsidRDefault="00344535">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 xml:space="preserve">III. Toda persona, sin necesidad de acreditar interés alguno o justificar su utilización, tendrá acceso gratuito a la información pública, a sus datos personales o a la rectificación de éstos.” </w:t>
      </w:r>
    </w:p>
    <w:p w:rsidR="00434736" w:rsidRPr="00C067E9" w:rsidRDefault="00434736">
      <w:pPr>
        <w:spacing w:line="360" w:lineRule="auto"/>
        <w:ind w:left="567"/>
        <w:jc w:val="both"/>
        <w:rPr>
          <w:rFonts w:ascii="Palatino Linotype" w:eastAsia="Palatino Linotype" w:hAnsi="Palatino Linotype" w:cs="Palatino Linotype"/>
          <w:i/>
        </w:rPr>
      </w:pP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rsidR="00434736" w:rsidRPr="00C067E9" w:rsidRDefault="00434736">
      <w:pPr>
        <w:spacing w:line="360" w:lineRule="auto"/>
        <w:jc w:val="both"/>
        <w:rPr>
          <w:rFonts w:ascii="Palatino Linotype" w:eastAsia="Palatino Linotype" w:hAnsi="Palatino Linotype" w:cs="Palatino Linotype"/>
        </w:rPr>
      </w:pPr>
    </w:p>
    <w:p w:rsidR="00434736" w:rsidRPr="00C067E9" w:rsidRDefault="00344535">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lastRenderedPageBreak/>
        <w:t>"</w:t>
      </w:r>
      <w:r w:rsidRPr="00C067E9">
        <w:rPr>
          <w:rFonts w:ascii="Palatino Linotype" w:eastAsia="Palatino Linotype" w:hAnsi="Palatino Linotype" w:cs="Palatino Linotype"/>
          <w:b/>
          <w:i/>
          <w:color w:val="000000"/>
        </w:rPr>
        <w:t>Artículo 5.-</w:t>
      </w:r>
      <w:r w:rsidRPr="00C067E9">
        <w:rPr>
          <w:rFonts w:ascii="Palatino Linotype" w:eastAsia="Palatino Linotype" w:hAnsi="Palatino Linotype" w:cs="Palatino Linotype"/>
          <w:i/>
          <w:color w:val="000000"/>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434736" w:rsidRPr="00C067E9" w:rsidRDefault="00344535">
      <w:pPr>
        <w:spacing w:line="360" w:lineRule="auto"/>
        <w:ind w:left="1134"/>
        <w:jc w:val="both"/>
        <w:rPr>
          <w:rFonts w:ascii="Palatino Linotype" w:eastAsia="Palatino Linotype" w:hAnsi="Palatino Linotype" w:cs="Palatino Linotype"/>
          <w:i/>
        </w:rPr>
      </w:pPr>
      <w:r w:rsidRPr="00C067E9">
        <w:rPr>
          <w:rFonts w:ascii="Palatino Linotype" w:eastAsia="Palatino Linotype" w:hAnsi="Palatino Linotype" w:cs="Palatino Linotype"/>
          <w:i/>
        </w:rPr>
        <w:t>…</w:t>
      </w:r>
    </w:p>
    <w:p w:rsidR="00434736" w:rsidRPr="00C067E9" w:rsidRDefault="00344535">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Toda persona en el Estado de México, tiene derecho al libre acceso a la información plural y oportuna, así como a buscar recibir y difundir información e ideas de toda índole por cualquier medio de expresión.</w:t>
      </w:r>
    </w:p>
    <w:p w:rsidR="00434736" w:rsidRPr="00C067E9" w:rsidRDefault="00344535">
      <w:pPr>
        <w:spacing w:line="360" w:lineRule="auto"/>
        <w:ind w:left="1134"/>
        <w:jc w:val="both"/>
        <w:rPr>
          <w:rFonts w:ascii="Palatino Linotype" w:eastAsia="Palatino Linotype" w:hAnsi="Palatino Linotype" w:cs="Palatino Linotype"/>
          <w:i/>
        </w:rPr>
      </w:pPr>
      <w:r w:rsidRPr="00C067E9">
        <w:rPr>
          <w:rFonts w:ascii="Palatino Linotype" w:eastAsia="Palatino Linotype" w:hAnsi="Palatino Linotype" w:cs="Palatino Linotype"/>
          <w:i/>
        </w:rPr>
        <w:t>...</w:t>
      </w:r>
    </w:p>
    <w:p w:rsidR="00434736" w:rsidRPr="00C067E9" w:rsidRDefault="00344535">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El derecho a la información será garantizado por el Estado. La ley establecerá las previsiones que permitan asegurar la protección, el respeto y la difusión de este derecho.</w:t>
      </w:r>
    </w:p>
    <w:p w:rsidR="00434736" w:rsidRPr="00C067E9" w:rsidRDefault="00344535">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434736" w:rsidRPr="00C067E9" w:rsidRDefault="00344535">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rsidR="00434736" w:rsidRPr="00C067E9" w:rsidRDefault="00344535">
      <w:pPr>
        <w:spacing w:line="360" w:lineRule="auto"/>
        <w:ind w:left="1134"/>
        <w:jc w:val="both"/>
        <w:rPr>
          <w:rFonts w:ascii="Palatino Linotype" w:eastAsia="Palatino Linotype" w:hAnsi="Palatino Linotype" w:cs="Palatino Linotype"/>
          <w:i/>
        </w:rPr>
      </w:pPr>
      <w:r w:rsidRPr="00C067E9">
        <w:rPr>
          <w:rFonts w:ascii="Palatino Linotype" w:eastAsia="Palatino Linotype" w:hAnsi="Palatino Linotype" w:cs="Palatino Linotype"/>
          <w:i/>
        </w:rPr>
        <w:t>...</w:t>
      </w:r>
    </w:p>
    <w:p w:rsidR="00434736" w:rsidRPr="00C067E9" w:rsidRDefault="00344535">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lastRenderedPageBreak/>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w:t>
      </w:r>
    </w:p>
    <w:p w:rsidR="00434736" w:rsidRPr="00C067E9" w:rsidRDefault="00434736">
      <w:pPr>
        <w:spacing w:line="360" w:lineRule="auto"/>
        <w:ind w:left="426"/>
        <w:jc w:val="both"/>
        <w:rPr>
          <w:rFonts w:ascii="Palatino Linotype" w:eastAsia="Palatino Linotype" w:hAnsi="Palatino Linotype" w:cs="Palatino Linotype"/>
          <w:i/>
        </w:rPr>
      </w:pP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Por otra parte, del contenido del artículo 1 de la Constitución Política de los Estados Unidos mexicanos, se destaca lo siguiente:</w:t>
      </w:r>
    </w:p>
    <w:p w:rsidR="00434736" w:rsidRPr="00C067E9" w:rsidRDefault="00344535">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w:t>
      </w:r>
      <w:r w:rsidRPr="00C067E9">
        <w:rPr>
          <w:rFonts w:ascii="Palatino Linotype" w:eastAsia="Palatino Linotype" w:hAnsi="Palatino Linotype" w:cs="Palatino Linotype"/>
          <w:b/>
          <w:i/>
          <w:color w:val="000000"/>
        </w:rPr>
        <w:t>Artículo 1</w:t>
      </w:r>
      <w:r w:rsidRPr="00C067E9">
        <w:rPr>
          <w:rFonts w:ascii="Palatino Linotype" w:eastAsia="Palatino Linotype" w:hAnsi="Palatino Linotype" w:cs="Palatino Linotype"/>
          <w:i/>
          <w:color w:val="000000"/>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434736" w:rsidRPr="00C067E9" w:rsidRDefault="00344535">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Las normas relativas a los derechos humanos se interpretarán de conformidad con esta Constitución y con los tratados internacionales de la materia favoreciendo en todo tiempo a las personas la protección más amplia.</w:t>
      </w:r>
    </w:p>
    <w:p w:rsidR="00434736" w:rsidRPr="00C067E9" w:rsidRDefault="00344535">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434736" w:rsidRPr="00C067E9" w:rsidRDefault="00434736">
      <w:pPr>
        <w:spacing w:line="360" w:lineRule="auto"/>
        <w:ind w:right="474"/>
        <w:jc w:val="both"/>
        <w:rPr>
          <w:rFonts w:ascii="Palatino Linotype" w:eastAsia="Palatino Linotype" w:hAnsi="Palatino Linotype" w:cs="Palatino Linotype"/>
        </w:rPr>
      </w:pP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lastRenderedPageBreak/>
        <w:t xml:space="preserve">Esto es, que el derecho humano de acceso a la información pública, se aprecia que toda persona, sin necesidad de acreditar interés alguno o justificar su interposición, deberá tener acceso a la información pública, es decir, dicho </w:t>
      </w:r>
      <w:r w:rsidRPr="00C067E9">
        <w:rPr>
          <w:rFonts w:ascii="Palatino Linotype" w:eastAsia="Palatino Linotype" w:hAnsi="Palatino Linotype" w:cs="Palatino Linotype"/>
          <w:i/>
        </w:rPr>
        <w:t>derecho fundamental exime a quien lo ejerce</w:t>
      </w:r>
      <w:r w:rsidRPr="00C067E9">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434736" w:rsidRPr="00C067E9" w:rsidRDefault="00434736">
      <w:pPr>
        <w:spacing w:line="360" w:lineRule="auto"/>
        <w:jc w:val="both"/>
        <w:rPr>
          <w:rFonts w:ascii="Palatino Linotype" w:eastAsia="Palatino Linotype" w:hAnsi="Palatino Linotype" w:cs="Palatino Linotype"/>
        </w:rPr>
      </w:pP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 xml:space="preserve">En consecuencia, dado lo expuesto y fundado con anterioridad, se estima que el requisito relativo al nombre del </w:t>
      </w:r>
      <w:r w:rsidRPr="00C067E9">
        <w:rPr>
          <w:rFonts w:ascii="Palatino Linotype" w:eastAsia="Palatino Linotype" w:hAnsi="Palatino Linotype" w:cs="Palatino Linotype"/>
          <w:b/>
        </w:rPr>
        <w:t>RECURRENTE</w:t>
      </w:r>
      <w:r w:rsidRPr="00C067E9">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434736" w:rsidRPr="00C067E9" w:rsidRDefault="0043473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Consecuencia de lo anterior, este Órgano Garante advierte que el escrito contiene las </w:t>
      </w:r>
      <w:r w:rsidRPr="00C067E9">
        <w:rPr>
          <w:rFonts w:ascii="Palatino Linotype" w:eastAsia="Palatino Linotype" w:hAnsi="Palatino Linotype" w:cs="Palatino Linotype"/>
        </w:rPr>
        <w:t>formalidades</w:t>
      </w:r>
      <w:r w:rsidRPr="00C067E9">
        <w:rPr>
          <w:rFonts w:ascii="Palatino Linotype" w:eastAsia="Palatino Linotype" w:hAnsi="Palatino Linotype" w:cs="Palatino Linotype"/>
          <w:color w:val="000000"/>
        </w:rPr>
        <w:t xml:space="preserve"> previstas por el artículo 180 último párrafo de la Ley de </w:t>
      </w:r>
      <w:r w:rsidRPr="00C067E9">
        <w:rPr>
          <w:rFonts w:ascii="Palatino Linotype" w:eastAsia="Palatino Linotype" w:hAnsi="Palatino Linotype" w:cs="Palatino Linotype"/>
          <w:color w:val="000000"/>
        </w:rPr>
        <w:lastRenderedPageBreak/>
        <w:t xml:space="preserve">Transparencia y Acceso a la </w:t>
      </w:r>
      <w:r w:rsidRPr="00C067E9">
        <w:rPr>
          <w:rFonts w:ascii="Palatino Linotype" w:eastAsia="Palatino Linotype" w:hAnsi="Palatino Linotype" w:cs="Palatino Linotype"/>
        </w:rPr>
        <w:t>Información</w:t>
      </w:r>
      <w:r w:rsidRPr="00C067E9">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Protección de Datos Personales del Estado de México y Municipios, conozca y resuelva el presente recurso.</w:t>
      </w:r>
    </w:p>
    <w:p w:rsidR="00434736" w:rsidRPr="00C067E9" w:rsidRDefault="00434736">
      <w:pPr>
        <w:spacing w:line="360" w:lineRule="auto"/>
        <w:jc w:val="both"/>
        <w:rPr>
          <w:rFonts w:ascii="Palatino Linotype" w:eastAsia="Palatino Linotype" w:hAnsi="Palatino Linotype" w:cs="Palatino Linotype"/>
        </w:rPr>
      </w:pP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Finalmente, el escrito contiene las formalidades previstas por el artículo 180 último párrafo de la citada Ley de la materia, por lo que es procedente que este Instituto conozca y resuelva el presente Recurso de Revisión.</w:t>
      </w:r>
    </w:p>
    <w:p w:rsidR="00434736" w:rsidRPr="00C067E9" w:rsidRDefault="00434736">
      <w:pPr>
        <w:pBdr>
          <w:top w:val="nil"/>
          <w:left w:val="nil"/>
          <w:bottom w:val="nil"/>
          <w:right w:val="nil"/>
          <w:between w:val="nil"/>
        </w:pBdr>
        <w:spacing w:line="360" w:lineRule="auto"/>
        <w:rPr>
          <w:rFonts w:ascii="Palatino Linotype" w:eastAsia="Palatino Linotype" w:hAnsi="Palatino Linotype" w:cs="Palatino Linotype"/>
          <w:color w:val="000000"/>
        </w:rPr>
      </w:pPr>
    </w:p>
    <w:p w:rsidR="00434736" w:rsidRPr="00C067E9" w:rsidRDefault="00344535">
      <w:pPr>
        <w:pStyle w:val="Ttulo1"/>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C067E9">
        <w:rPr>
          <w:rFonts w:ascii="Palatino Linotype" w:eastAsia="Palatino Linotype" w:hAnsi="Palatino Linotype" w:cs="Palatino Linotype"/>
          <w:b/>
          <w:color w:val="000000"/>
          <w:sz w:val="24"/>
          <w:szCs w:val="24"/>
        </w:rPr>
        <w:t>TERCERA. Descripción de hechos y planteamiento de la controversia.</w:t>
      </w:r>
    </w:p>
    <w:p w:rsidR="00434736" w:rsidRPr="00C067E9" w:rsidRDefault="0034453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Se solicitó tener acceso, a la información que a continuación se simplifica:</w:t>
      </w:r>
    </w:p>
    <w:p w:rsidR="004419B4" w:rsidRPr="00C067E9" w:rsidRDefault="004419B4" w:rsidP="004419B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34736" w:rsidRPr="00C067E9" w:rsidRDefault="00344535">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C067E9">
        <w:rPr>
          <w:rFonts w:ascii="Palatino Linotype" w:eastAsia="Palatino Linotype" w:hAnsi="Palatino Linotype" w:cs="Palatino Linotype"/>
          <w:b/>
          <w:color w:val="000000"/>
        </w:rPr>
        <w:t xml:space="preserve">Lista de personas </w:t>
      </w:r>
      <w:r w:rsidRPr="00C067E9">
        <w:rPr>
          <w:rFonts w:ascii="Palatino Linotype" w:eastAsia="Palatino Linotype" w:hAnsi="Palatino Linotype" w:cs="Palatino Linotype"/>
          <w:b/>
        </w:rPr>
        <w:t>beneficiarias</w:t>
      </w:r>
      <w:r w:rsidRPr="00C067E9">
        <w:rPr>
          <w:rFonts w:ascii="Palatino Linotype" w:eastAsia="Palatino Linotype" w:hAnsi="Palatino Linotype" w:cs="Palatino Linotype"/>
          <w:b/>
          <w:color w:val="000000"/>
        </w:rPr>
        <w:t xml:space="preserve"> del apoyo social de calentadores solares en la Comunidad de Cedro de la Manzana.</w:t>
      </w:r>
    </w:p>
    <w:p w:rsidR="00434736" w:rsidRPr="00C067E9" w:rsidRDefault="00434736">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rPr>
        <w:t>En respuesta, el Sujeto Obligado</w:t>
      </w:r>
      <w:r w:rsidRPr="00C067E9">
        <w:rPr>
          <w:rFonts w:ascii="Palatino Linotype" w:eastAsia="Palatino Linotype" w:hAnsi="Palatino Linotype" w:cs="Palatino Linotype"/>
          <w:b/>
        </w:rPr>
        <w:t xml:space="preserve"> </w:t>
      </w:r>
      <w:r w:rsidRPr="00C067E9">
        <w:rPr>
          <w:rFonts w:ascii="Palatino Linotype" w:eastAsia="Palatino Linotype" w:hAnsi="Palatino Linotype" w:cs="Palatino Linotype"/>
        </w:rPr>
        <w:t>remitió el oficio ya descrito en el párrafo 2. Inconforme con la respuesta, se interpuso recurso de revisión argumentando de manera general la entrega de la información incompleta.</w:t>
      </w:r>
    </w:p>
    <w:p w:rsidR="00434736" w:rsidRPr="00C067E9" w:rsidRDefault="00434736">
      <w:pPr>
        <w:spacing w:line="360" w:lineRule="auto"/>
        <w:jc w:val="both"/>
        <w:rPr>
          <w:rFonts w:ascii="Palatino Linotype" w:eastAsia="Palatino Linotype" w:hAnsi="Palatino Linotype" w:cs="Palatino Linotype"/>
          <w:i/>
          <w:color w:val="000000"/>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V</w:t>
      </w:r>
      <w:r w:rsidRPr="00C067E9">
        <w:rPr>
          <w:rFonts w:ascii="Palatino Linotype" w:eastAsia="Palatino Linotype" w:hAnsi="Palatino Linotype" w:cs="Palatino Linotype"/>
          <w:b/>
        </w:rPr>
        <w:t xml:space="preserve"> </w:t>
      </w:r>
      <w:r w:rsidRPr="00C067E9">
        <w:rPr>
          <w:rFonts w:ascii="Palatino Linotype" w:eastAsia="Palatino Linotype" w:hAnsi="Palatino Linotype" w:cs="Palatino Linotype"/>
        </w:rPr>
        <w:t>de la Ley de Transparencia y Acceso a la Información Pública del Estado de</w:t>
      </w:r>
      <w:r w:rsidRPr="00C067E9">
        <w:rPr>
          <w:rFonts w:ascii="Palatino Linotype" w:eastAsia="Palatino Linotype" w:hAnsi="Palatino Linotype" w:cs="Palatino Linotype"/>
          <w:b/>
        </w:rPr>
        <w:t xml:space="preserve"> </w:t>
      </w:r>
      <w:r w:rsidRPr="00C067E9">
        <w:rPr>
          <w:rFonts w:ascii="Palatino Linotype" w:eastAsia="Palatino Linotype" w:hAnsi="Palatino Linotype" w:cs="Palatino Linotype"/>
        </w:rPr>
        <w:t>México</w:t>
      </w:r>
      <w:r w:rsidRPr="00C067E9">
        <w:rPr>
          <w:rFonts w:ascii="Palatino Linotype" w:eastAsia="Palatino Linotype" w:hAnsi="Palatino Linotype" w:cs="Palatino Linotype"/>
          <w:b/>
        </w:rPr>
        <w:t xml:space="preserve"> </w:t>
      </w:r>
      <w:r w:rsidRPr="00C067E9">
        <w:rPr>
          <w:rFonts w:ascii="Palatino Linotype" w:eastAsia="Palatino Linotype" w:hAnsi="Palatino Linotype" w:cs="Palatino Linotype"/>
        </w:rPr>
        <w:t>y</w:t>
      </w:r>
      <w:r w:rsidRPr="00C067E9">
        <w:rPr>
          <w:rFonts w:ascii="Palatino Linotype" w:eastAsia="Palatino Linotype" w:hAnsi="Palatino Linotype" w:cs="Palatino Linotype"/>
          <w:b/>
        </w:rPr>
        <w:t xml:space="preserve"> </w:t>
      </w:r>
      <w:r w:rsidRPr="00C067E9">
        <w:rPr>
          <w:rFonts w:ascii="Palatino Linotype" w:eastAsia="Palatino Linotype" w:hAnsi="Palatino Linotype" w:cs="Palatino Linotype"/>
        </w:rPr>
        <w:t xml:space="preserve">Municipios; </w:t>
      </w:r>
      <w:r w:rsidRPr="00C067E9">
        <w:rPr>
          <w:rFonts w:ascii="Palatino Linotype" w:eastAsia="Palatino Linotype" w:hAnsi="Palatino Linotype" w:cs="Palatino Linotype"/>
          <w:color w:val="000000"/>
        </w:rPr>
        <w:t>fracción que determina la hipótesis relativa a la entrega de información incompleta</w:t>
      </w:r>
      <w:r w:rsidRPr="00C067E9">
        <w:rPr>
          <w:rFonts w:ascii="Palatino Linotype" w:eastAsia="Palatino Linotype" w:hAnsi="Palatino Linotype" w:cs="Palatino Linotype"/>
        </w:rPr>
        <w:t>.</w:t>
      </w:r>
      <w:r w:rsidRPr="00C067E9">
        <w:rPr>
          <w:rFonts w:ascii="Palatino Linotype" w:eastAsia="Palatino Linotype" w:hAnsi="Palatino Linotype" w:cs="Palatino Linotype"/>
          <w:color w:val="000000"/>
        </w:rPr>
        <w:t xml:space="preserve"> De modo tal que el presente recurso de revisión </w:t>
      </w:r>
      <w:r w:rsidRPr="00C067E9">
        <w:rPr>
          <w:rFonts w:ascii="Palatino Linotype" w:eastAsia="Palatino Linotype" w:hAnsi="Palatino Linotype" w:cs="Palatino Linotype"/>
          <w:color w:val="000000"/>
        </w:rPr>
        <w:lastRenderedPageBreak/>
        <w:t xml:space="preserve">se </w:t>
      </w:r>
      <w:r w:rsidRPr="00C067E9">
        <w:rPr>
          <w:rFonts w:ascii="Palatino Linotype" w:eastAsia="Palatino Linotype" w:hAnsi="Palatino Linotype" w:cs="Palatino Linotype"/>
        </w:rPr>
        <w:t>abocará</w:t>
      </w:r>
      <w:r w:rsidRPr="00C067E9">
        <w:rPr>
          <w:rFonts w:ascii="Palatino Linotype" w:eastAsia="Palatino Linotype" w:hAnsi="Palatino Linotype" w:cs="Palatino Linotype"/>
          <w:color w:val="000000"/>
        </w:rPr>
        <w:t xml:space="preserve"> en determinar si el Sujeto Obligado con su respuesta ciertamente actualiza la causal de procedencia</w:t>
      </w:r>
      <w:r w:rsidRPr="00C067E9">
        <w:rPr>
          <w:rFonts w:ascii="Palatino Linotype" w:eastAsia="Palatino Linotype" w:hAnsi="Palatino Linotype" w:cs="Palatino Linotype"/>
          <w:b/>
          <w:color w:val="000000"/>
        </w:rPr>
        <w:t xml:space="preserve"> </w:t>
      </w:r>
      <w:r w:rsidRPr="00C067E9">
        <w:rPr>
          <w:rFonts w:ascii="Palatino Linotype" w:eastAsia="Palatino Linotype" w:hAnsi="Palatino Linotype" w:cs="Palatino Linotype"/>
          <w:color w:val="000000"/>
        </w:rPr>
        <w:t xml:space="preserve">señalada. </w:t>
      </w:r>
    </w:p>
    <w:p w:rsidR="004419B4" w:rsidRPr="00C067E9" w:rsidRDefault="004419B4" w:rsidP="004419B4">
      <w:pPr>
        <w:pStyle w:val="Prrafodelista"/>
        <w:rPr>
          <w:rFonts w:ascii="Palatino Linotype" w:eastAsia="Palatino Linotype" w:hAnsi="Palatino Linotype" w:cs="Palatino Linotype"/>
        </w:rPr>
      </w:pPr>
    </w:p>
    <w:p w:rsidR="00434736" w:rsidRPr="00C067E9" w:rsidRDefault="00344535">
      <w:pPr>
        <w:pStyle w:val="Ttulo2"/>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C067E9">
        <w:rPr>
          <w:rFonts w:ascii="Palatino Linotype" w:eastAsia="Palatino Linotype" w:hAnsi="Palatino Linotype" w:cs="Palatino Linotype"/>
          <w:b/>
          <w:color w:val="000000"/>
          <w:sz w:val="24"/>
          <w:szCs w:val="24"/>
        </w:rPr>
        <w:t>CUARTA. Del estudio y resolución.</w:t>
      </w:r>
    </w:p>
    <w:p w:rsidR="00434736" w:rsidRPr="00C067E9" w:rsidRDefault="00434736">
      <w:pPr>
        <w:spacing w:line="360" w:lineRule="auto"/>
        <w:rPr>
          <w:rFonts w:ascii="Palatino Linotype" w:eastAsia="Palatino Linotype" w:hAnsi="Palatino Linotype" w:cs="Palatino Linotype"/>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434736" w:rsidRPr="00C067E9" w:rsidRDefault="00434736">
      <w:pPr>
        <w:spacing w:line="360" w:lineRule="auto"/>
        <w:jc w:val="both"/>
        <w:rPr>
          <w:rFonts w:ascii="Palatino Linotype" w:eastAsia="Palatino Linotype" w:hAnsi="Palatino Linotype" w:cs="Palatino Linotype"/>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434736" w:rsidRPr="00C067E9" w:rsidRDefault="0043473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 xml:space="preserve">Los artículos antes citados, refieren que el derecho de acceso a la información pública es un derecho humano que abarca el solicitar, investigar, difundir y buscar </w:t>
      </w:r>
      <w:r w:rsidRPr="00C067E9">
        <w:rPr>
          <w:rFonts w:ascii="Palatino Linotype" w:eastAsia="Palatino Linotype" w:hAnsi="Palatino Linotype" w:cs="Palatino Linotype"/>
        </w:rPr>
        <w:lastRenderedPageBreak/>
        <w:t>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434736" w:rsidRPr="00C067E9" w:rsidRDefault="0043473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 xml:space="preserve">Acotado lo anterior, es dable primeramente recordar el motivo de inconformidad; toda vez que este es tendiente a impugnar la versión pública de la información remitida; sin embargo también se agrega el siguiente contenido: </w:t>
      </w:r>
      <w:r w:rsidRPr="00C067E9">
        <w:rPr>
          <w:rFonts w:ascii="Palatino Linotype" w:eastAsia="Palatino Linotype" w:hAnsi="Palatino Linotype" w:cs="Palatino Linotype"/>
          <w:i/>
        </w:rPr>
        <w:t>"Qué medida tomará el ayuntamiento en contra de los titulares de las delegaciones que siguen fomentando este tipo de prácticas y que da a entender a la población que el apoyo es condicionado desde arriba (municipio)</w:t>
      </w:r>
      <w:proofErr w:type="gramStart"/>
      <w:r w:rsidRPr="00C067E9">
        <w:rPr>
          <w:rFonts w:ascii="Palatino Linotype" w:eastAsia="Palatino Linotype" w:hAnsi="Palatino Linotype" w:cs="Palatino Linotype"/>
          <w:i/>
        </w:rPr>
        <w:t>?</w:t>
      </w:r>
      <w:proofErr w:type="gramEnd"/>
      <w:r w:rsidRPr="00C067E9">
        <w:rPr>
          <w:rFonts w:ascii="Palatino Linotype" w:eastAsia="Palatino Linotype" w:hAnsi="Palatino Linotype" w:cs="Palatino Linotype"/>
          <w:i/>
        </w:rPr>
        <w:t xml:space="preserve"> Entiendo que realizan un informe en donde deben adjuntar evidencia del apoyo entregado..."</w:t>
      </w:r>
    </w:p>
    <w:p w:rsidR="00434736" w:rsidRPr="00C067E9" w:rsidRDefault="00434736">
      <w:pPr>
        <w:spacing w:line="360" w:lineRule="auto"/>
        <w:ind w:left="284" w:right="474"/>
        <w:jc w:val="both"/>
        <w:rPr>
          <w:rFonts w:ascii="Palatino Linotype" w:eastAsia="Palatino Linotype" w:hAnsi="Palatino Linotype" w:cs="Palatino Linotype"/>
          <w:i/>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Ello resulta relevante; toda vez el</w:t>
      </w:r>
      <w:r w:rsidRPr="00C067E9">
        <w:rPr>
          <w:rFonts w:ascii="Palatino Linotype" w:eastAsia="Palatino Linotype" w:hAnsi="Palatino Linotype" w:cs="Palatino Linotype"/>
          <w:b/>
        </w:rPr>
        <w:t xml:space="preserve"> RECURRENTE </w:t>
      </w:r>
      <w:r w:rsidRPr="00C067E9">
        <w:rPr>
          <w:rFonts w:ascii="Palatino Linotype" w:eastAsia="Palatino Linotype" w:hAnsi="Palatino Linotype" w:cs="Palatino Linotype"/>
        </w:rPr>
        <w:t xml:space="preserve">añade nuevos puntos a su solicitud de información y se aleja de la materia que dio origen a la respuesta de </w:t>
      </w:r>
      <w:r w:rsidRPr="00C067E9">
        <w:rPr>
          <w:rFonts w:ascii="Palatino Linotype" w:eastAsia="Palatino Linotype" w:hAnsi="Palatino Linotype" w:cs="Palatino Linotype"/>
          <w:b/>
        </w:rPr>
        <w:t>EL SUJETO OBLIGADO.</w:t>
      </w:r>
      <w:r w:rsidRPr="00C067E9">
        <w:rPr>
          <w:rFonts w:ascii="Palatino Linotype" w:eastAsia="Palatino Linotype" w:hAnsi="Palatino Linotype" w:cs="Palatino Linotype"/>
        </w:rPr>
        <w:t xml:space="preserve"> A mayor abundamiento, los nuevos puntos de la solicitud son considerados “</w:t>
      </w:r>
      <w:r w:rsidRPr="00C067E9">
        <w:rPr>
          <w:rFonts w:ascii="Palatino Linotype" w:eastAsia="Palatino Linotype" w:hAnsi="Palatino Linotype" w:cs="Palatino Linotype"/>
          <w:b/>
          <w:i/>
        </w:rPr>
        <w:t xml:space="preserve">plus </w:t>
      </w:r>
      <w:proofErr w:type="spellStart"/>
      <w:r w:rsidRPr="00C067E9">
        <w:rPr>
          <w:rFonts w:ascii="Palatino Linotype" w:eastAsia="Palatino Linotype" w:hAnsi="Palatino Linotype" w:cs="Palatino Linotype"/>
          <w:b/>
          <w:i/>
        </w:rPr>
        <w:t>petitio</w:t>
      </w:r>
      <w:proofErr w:type="spellEnd"/>
      <w:r w:rsidRPr="00C067E9">
        <w:rPr>
          <w:rFonts w:ascii="Palatino Linotype" w:eastAsia="Palatino Linotype" w:hAnsi="Palatino Linotype" w:cs="Palatino Linotype"/>
          <w:b/>
          <w:i/>
        </w:rPr>
        <w:t>”</w:t>
      </w:r>
      <w:r w:rsidRPr="00C067E9">
        <w:rPr>
          <w:rFonts w:ascii="Palatino Linotype" w:eastAsia="Palatino Linotype" w:hAnsi="Palatino Linotype" w:cs="Palatino Linotype"/>
          <w:i/>
        </w:rPr>
        <w:t xml:space="preserve"> </w:t>
      </w:r>
      <w:r w:rsidRPr="00C067E9">
        <w:rPr>
          <w:rFonts w:ascii="Palatino Linotype" w:eastAsia="Palatino Linotype" w:hAnsi="Palatino Linotype" w:cs="Palatino Linotype"/>
        </w:rPr>
        <w:t xml:space="preserve">y no son susceptibles de ser valorados, destacando que el primero de ellos se trata de hechos futuros. </w:t>
      </w:r>
    </w:p>
    <w:p w:rsidR="00434736" w:rsidRPr="00C067E9" w:rsidRDefault="00434736">
      <w:pPr>
        <w:tabs>
          <w:tab w:val="left" w:pos="7088"/>
        </w:tabs>
        <w:spacing w:line="360" w:lineRule="auto"/>
        <w:jc w:val="both"/>
        <w:rPr>
          <w:rFonts w:ascii="Palatino Linotype" w:eastAsia="Palatino Linotype" w:hAnsi="Palatino Linotype" w:cs="Palatino Linotype"/>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lastRenderedPageBreak/>
        <w:t xml:space="preserve">Viene a colación, el artículo 36 fracción II de la Ley de Transparencia y Acceso a la Información Pública del Estado de México y Municipios, por el cual este Instituto no está facultado para resolver con respecto a ampliaciones a solicitudes de información presentadas por medios distintos a los que señala el artículo 155 del multicitado ordenamiento, por lo que el recurso de revisión no constituye un medio válido para solicitar información adicional.  </w:t>
      </w:r>
    </w:p>
    <w:p w:rsidR="00434736" w:rsidRPr="00C067E9" w:rsidRDefault="00434736">
      <w:pPr>
        <w:tabs>
          <w:tab w:val="left" w:pos="7088"/>
        </w:tabs>
        <w:spacing w:line="360" w:lineRule="auto"/>
        <w:jc w:val="both"/>
        <w:rPr>
          <w:rFonts w:ascii="Palatino Linotype" w:eastAsia="Palatino Linotype" w:hAnsi="Palatino Linotype" w:cs="Palatino Linotype"/>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Sirve de apoyo a lo anterior por analogía, la Jurisprudencia No. 29 visible a foja 19 del Apéndice al Semanario Judicial de la Federación 1917-1995, Tomo IV, Materia Común, Primera Parte, Tesis de la Suprema Corte de Justicia, que señala:</w:t>
      </w:r>
    </w:p>
    <w:p w:rsidR="00434736" w:rsidRPr="00C067E9" w:rsidRDefault="00344535">
      <w:pPr>
        <w:ind w:left="567" w:right="616"/>
        <w:jc w:val="both"/>
        <w:rPr>
          <w:rFonts w:ascii="Palatino Linotype" w:eastAsia="Palatino Linotype" w:hAnsi="Palatino Linotype" w:cs="Palatino Linotype"/>
          <w:b/>
          <w:i/>
        </w:rPr>
      </w:pPr>
      <w:r w:rsidRPr="00C067E9">
        <w:rPr>
          <w:rFonts w:ascii="Palatino Linotype" w:eastAsia="Palatino Linotype" w:hAnsi="Palatino Linotype" w:cs="Palatino Linotype"/>
          <w:b/>
          <w:i/>
        </w:rPr>
        <w:t>“AGRAVIOS EN LA REVISIÓN. DEBEN ESTAR EN RELACIÓN DIRECTA CON LOS FUNDAMENTOS Y CONSIDERACIONES DE LA SENTENCIA</w:t>
      </w:r>
    </w:p>
    <w:p w:rsidR="00434736" w:rsidRPr="00C067E9" w:rsidRDefault="00434736">
      <w:pPr>
        <w:tabs>
          <w:tab w:val="left" w:pos="7797"/>
        </w:tabs>
        <w:ind w:left="567" w:right="616"/>
        <w:jc w:val="both"/>
        <w:rPr>
          <w:rFonts w:ascii="Palatino Linotype" w:eastAsia="Palatino Linotype" w:hAnsi="Palatino Linotype" w:cs="Palatino Linotype"/>
          <w:b/>
          <w:i/>
          <w:u w:val="single"/>
        </w:rPr>
      </w:pPr>
    </w:p>
    <w:p w:rsidR="00434736" w:rsidRPr="00C067E9" w:rsidRDefault="00344535">
      <w:pPr>
        <w:tabs>
          <w:tab w:val="left" w:pos="7797"/>
        </w:tabs>
        <w:ind w:left="567" w:right="616"/>
        <w:jc w:val="both"/>
        <w:rPr>
          <w:rFonts w:ascii="Palatino Linotype" w:eastAsia="Palatino Linotype" w:hAnsi="Palatino Linotype" w:cs="Palatino Linotype"/>
          <w:i/>
        </w:rPr>
      </w:pPr>
      <w:r w:rsidRPr="00C067E9">
        <w:rPr>
          <w:rFonts w:ascii="Palatino Linotype" w:eastAsia="Palatino Linotype" w:hAnsi="Palatino Linotype" w:cs="Palatino Linotype"/>
          <w:b/>
          <w:i/>
          <w:u w:val="single"/>
        </w:rPr>
        <w:t>Los agravios deben estar en relación directa e inmediata con los fundamentos contenidos en la sentencia que se recurre</w:t>
      </w:r>
      <w:r w:rsidRPr="00C067E9">
        <w:rPr>
          <w:rFonts w:ascii="Palatino Linotype" w:eastAsia="Palatino Linotype" w:hAnsi="Palatino Linotype" w:cs="Palatino Linotype"/>
          <w:i/>
        </w:rPr>
        <w:t>,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p>
    <w:p w:rsidR="00434736" w:rsidRPr="00C067E9" w:rsidRDefault="00434736">
      <w:pPr>
        <w:tabs>
          <w:tab w:val="left" w:pos="7088"/>
          <w:tab w:val="left" w:pos="7230"/>
        </w:tabs>
        <w:spacing w:line="360" w:lineRule="auto"/>
        <w:jc w:val="both"/>
        <w:rPr>
          <w:rFonts w:ascii="Palatino Linotype" w:eastAsia="Palatino Linotype" w:hAnsi="Palatino Linotype" w:cs="Palatino Linotype"/>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 xml:space="preserve">Por lo anterior, se establece que dentro del recurso de revisión presentado por </w:t>
      </w:r>
      <w:r w:rsidRPr="00C067E9">
        <w:rPr>
          <w:rFonts w:ascii="Palatino Linotype" w:eastAsia="Palatino Linotype" w:hAnsi="Palatino Linotype" w:cs="Palatino Linotype"/>
          <w:b/>
        </w:rPr>
        <w:t xml:space="preserve">La Recurrente </w:t>
      </w:r>
      <w:r w:rsidRPr="00C067E9">
        <w:rPr>
          <w:rFonts w:ascii="Palatino Linotype" w:eastAsia="Palatino Linotype" w:hAnsi="Palatino Linotype" w:cs="Palatino Linotype"/>
        </w:rPr>
        <w:t xml:space="preserve">no debe variar el fondo de </w:t>
      </w:r>
      <w:r w:rsidRPr="00C067E9">
        <w:rPr>
          <w:rFonts w:ascii="Palatino Linotype" w:eastAsia="Palatino Linotype" w:hAnsi="Palatino Linotype" w:cs="Palatino Linotype"/>
          <w:i/>
        </w:rPr>
        <w:t>la Litis,</w:t>
      </w:r>
      <w:r w:rsidRPr="00C067E9">
        <w:rPr>
          <w:rFonts w:ascii="Palatino Linotype" w:eastAsia="Palatino Linotype" w:hAnsi="Palatino Linotype" w:cs="Palatino Linotype"/>
        </w:rPr>
        <w:t xml:space="preserve"> de tal manera que la manifestación a que se ha hecho referencia y que fue vertida en sus motivos de inconformidad, resulta notoriamente improcedente, pues este Órgano Garante se encuentra </w:t>
      </w:r>
      <w:r w:rsidRPr="00C067E9">
        <w:rPr>
          <w:rFonts w:ascii="Palatino Linotype" w:eastAsia="Palatino Linotype" w:hAnsi="Palatino Linotype" w:cs="Palatino Linotype"/>
        </w:rPr>
        <w:lastRenderedPageBreak/>
        <w:t xml:space="preserve">imposibilitado para satisfacer requerimientos que no fueron formulados en tiempo y forma. </w:t>
      </w:r>
    </w:p>
    <w:p w:rsidR="00434736" w:rsidRPr="00C067E9" w:rsidRDefault="00434736">
      <w:pPr>
        <w:tabs>
          <w:tab w:val="left" w:pos="7088"/>
          <w:tab w:val="left" w:pos="7230"/>
        </w:tabs>
        <w:spacing w:line="360" w:lineRule="auto"/>
        <w:jc w:val="both"/>
        <w:rPr>
          <w:rFonts w:ascii="Palatino Linotype" w:eastAsia="Palatino Linotype" w:hAnsi="Palatino Linotype" w:cs="Palatino Linotype"/>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De igual manera, tiene aplicación al respecto por analogía, la tesis aislada número I.8o.A.136 A, de la Novena Época, publicada en el Semanario Oficial de la Federación y su Gaceta Tomo XXIX, Marzo de 2009, página 2887, con número de registro 167607, que lleva por rubro y texto los siguientes:</w:t>
      </w:r>
    </w:p>
    <w:p w:rsidR="00434736" w:rsidRPr="00C067E9" w:rsidRDefault="00344535">
      <w:pPr>
        <w:tabs>
          <w:tab w:val="left" w:pos="6237"/>
        </w:tabs>
        <w:ind w:left="567" w:right="616"/>
        <w:jc w:val="both"/>
        <w:rPr>
          <w:rFonts w:ascii="Palatino Linotype" w:eastAsia="Palatino Linotype" w:hAnsi="Palatino Linotype" w:cs="Palatino Linotype"/>
          <w:b/>
          <w:i/>
          <w:u w:val="single"/>
        </w:rPr>
      </w:pPr>
      <w:r w:rsidRPr="00C067E9">
        <w:rPr>
          <w:rFonts w:ascii="Palatino Linotype" w:eastAsia="Palatino Linotype" w:hAnsi="Palatino Linotype" w:cs="Palatino Linotype"/>
          <w:b/>
          <w:i/>
        </w:rPr>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w:t>
      </w:r>
      <w:r w:rsidRPr="00C067E9">
        <w:rPr>
          <w:rFonts w:ascii="Palatino Linotype" w:eastAsia="Palatino Linotype" w:hAnsi="Palatino Linotype" w:cs="Palatino Linotype"/>
          <w:b/>
          <w:i/>
          <w:u w:val="single"/>
        </w:rPr>
        <w:t xml:space="preserve">O SEAN DISTINTOS A LOS DE SU PETICIÓN INICIAL. </w:t>
      </w:r>
    </w:p>
    <w:p w:rsidR="00434736" w:rsidRPr="00C067E9" w:rsidRDefault="00434736">
      <w:pPr>
        <w:tabs>
          <w:tab w:val="left" w:pos="6237"/>
        </w:tabs>
        <w:ind w:left="567" w:right="616"/>
        <w:jc w:val="both"/>
        <w:rPr>
          <w:rFonts w:ascii="Palatino Linotype" w:eastAsia="Palatino Linotype" w:hAnsi="Palatino Linotype" w:cs="Palatino Linotype"/>
          <w:i/>
        </w:rPr>
      </w:pPr>
    </w:p>
    <w:p w:rsidR="00434736" w:rsidRPr="00C067E9" w:rsidRDefault="00344535">
      <w:pPr>
        <w:tabs>
          <w:tab w:val="left" w:pos="6237"/>
        </w:tabs>
        <w:ind w:left="567" w:right="616"/>
        <w:jc w:val="both"/>
        <w:rPr>
          <w:rFonts w:ascii="Palatino Linotype" w:eastAsia="Palatino Linotype" w:hAnsi="Palatino Linotype" w:cs="Palatino Linotype"/>
          <w:b/>
          <w:i/>
        </w:rPr>
      </w:pPr>
      <w:r w:rsidRPr="00C067E9">
        <w:rPr>
          <w:rFonts w:ascii="Palatino Linotype" w:eastAsia="Palatino Linotype" w:hAnsi="Palatino Linotype" w:cs="Palatino Linotype"/>
          <w:i/>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sidRPr="00C067E9">
        <w:rPr>
          <w:rFonts w:ascii="Palatino Linotype" w:eastAsia="Palatino Linotype" w:hAnsi="Palatino Linotype" w:cs="Palatino Linotype"/>
          <w:b/>
          <w:i/>
          <w:u w:val="single"/>
        </w:rPr>
        <w:t>el precepto 6 de la propia legislación prevé el principio de máxima publicidad y disponibilidad de la información en posesión de los sujetos obligados;</w:t>
      </w:r>
      <w:r w:rsidRPr="00C067E9">
        <w:rPr>
          <w:rFonts w:ascii="Palatino Linotype" w:eastAsia="Palatino Linotype" w:hAnsi="Palatino Linotype" w:cs="Palatino Linotype"/>
          <w:i/>
        </w:rPr>
        <w:t xml:space="preserve"> también lo es que ello no implica que tales numerales deban interpretarse en el sentido de permitir al gobernado que a su arbitrio solicite copia de documentos que no obren en los expedientes de los sujetos obligados</w:t>
      </w:r>
      <w:r w:rsidRPr="00C067E9">
        <w:rPr>
          <w:rFonts w:ascii="Palatino Linotype" w:eastAsia="Palatino Linotype" w:hAnsi="Palatino Linotype" w:cs="Palatino Linotype"/>
          <w:b/>
          <w:i/>
        </w:rPr>
        <w:t xml:space="preserve">, </w:t>
      </w:r>
      <w:r w:rsidRPr="00C067E9">
        <w:rPr>
          <w:rFonts w:ascii="Palatino Linotype" w:eastAsia="Palatino Linotype" w:hAnsi="Palatino Linotype" w:cs="Palatino Linotype"/>
          <w:b/>
          <w:i/>
          <w:u w:val="single"/>
        </w:rPr>
        <w:t xml:space="preserve">o sean distintos a los de su petición inicial, pues ello contravendría el artículo 42 de la citada ley, que señala que las dependencias y entidades sólo estarán obligadas a entregar los documentos que se encuentran en sus archivos –los solicitados- y que la obligación de acceso a la información se dará por cumplida cuando se </w:t>
      </w:r>
      <w:r w:rsidRPr="00C067E9">
        <w:rPr>
          <w:rFonts w:ascii="Palatino Linotype" w:eastAsia="Palatino Linotype" w:hAnsi="Palatino Linotype" w:cs="Palatino Linotype"/>
          <w:b/>
          <w:i/>
          <w:u w:val="single"/>
        </w:rPr>
        <w:lastRenderedPageBreak/>
        <w:t>pongan a disposición del solicitante para consulta en el sitio donde se encuentren.</w:t>
      </w:r>
    </w:p>
    <w:p w:rsidR="00434736" w:rsidRPr="00C067E9" w:rsidRDefault="00434736">
      <w:pPr>
        <w:tabs>
          <w:tab w:val="left" w:pos="6237"/>
        </w:tabs>
        <w:ind w:left="567" w:right="616"/>
        <w:jc w:val="both"/>
        <w:rPr>
          <w:rFonts w:ascii="Palatino Linotype" w:eastAsia="Palatino Linotype" w:hAnsi="Palatino Linotype" w:cs="Palatino Linotype"/>
          <w:i/>
        </w:rPr>
      </w:pPr>
    </w:p>
    <w:p w:rsidR="00434736" w:rsidRPr="00C067E9" w:rsidRDefault="00344535">
      <w:pPr>
        <w:tabs>
          <w:tab w:val="left" w:pos="6237"/>
        </w:tabs>
        <w:ind w:left="567" w:right="616"/>
        <w:jc w:val="both"/>
        <w:rPr>
          <w:rFonts w:ascii="Palatino Linotype" w:eastAsia="Palatino Linotype" w:hAnsi="Palatino Linotype" w:cs="Palatino Linotype"/>
          <w:i/>
        </w:rPr>
      </w:pPr>
      <w:r w:rsidRPr="00C067E9">
        <w:rPr>
          <w:rFonts w:ascii="Palatino Linotype" w:eastAsia="Palatino Linotype" w:hAnsi="Palatino Linotype" w:cs="Palatino Linotype"/>
          <w:i/>
        </w:rPr>
        <w:t>OCTAVO TRIBUNAL COLEGIADO EN MATERIA ADMINISTRATIVA DEL PRIMER CIRCUITO.”</w:t>
      </w:r>
    </w:p>
    <w:p w:rsidR="00434736" w:rsidRPr="00C067E9" w:rsidRDefault="00434736">
      <w:pPr>
        <w:tabs>
          <w:tab w:val="left" w:pos="6237"/>
        </w:tabs>
        <w:ind w:left="567" w:right="616"/>
        <w:jc w:val="both"/>
        <w:rPr>
          <w:rFonts w:ascii="Palatino Linotype" w:eastAsia="Palatino Linotype" w:hAnsi="Palatino Linotype" w:cs="Palatino Linotype"/>
          <w:i/>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 xml:space="preserve">De manera complementaria, el Instituto Nacional de Transparencia, Acceso a la Información y Protección de Datos Personales ha sostenido la improcedencia de ampliar las solicitudes de información pública o de datos personales a través de la interposición del recurso de revisión, como se estima acontece en el anterior asunto. Lo anterior de conformidad con el criterio 27/10; por lo que este Órgano Garante insiste en la imposibilidad de entrar al estudio de información novedosa. Criterio que es de la literalidad siguiente: </w:t>
      </w:r>
    </w:p>
    <w:p w:rsidR="00434736" w:rsidRPr="00C067E9" w:rsidRDefault="00344535">
      <w:pPr>
        <w:tabs>
          <w:tab w:val="left" w:pos="7513"/>
        </w:tabs>
        <w:spacing w:line="360" w:lineRule="auto"/>
        <w:ind w:left="567" w:right="618"/>
        <w:jc w:val="both"/>
        <w:rPr>
          <w:rFonts w:ascii="Palatino Linotype" w:eastAsia="Palatino Linotype" w:hAnsi="Palatino Linotype" w:cs="Palatino Linotype"/>
          <w:b/>
          <w:i/>
        </w:rPr>
      </w:pPr>
      <w:r w:rsidRPr="00C067E9">
        <w:rPr>
          <w:rFonts w:ascii="Palatino Linotype" w:eastAsia="Palatino Linotype" w:hAnsi="Palatino Linotype" w:cs="Palatino Linotype"/>
          <w:b/>
          <w:i/>
        </w:rPr>
        <w:t>“ES IMPROCEDENTE AMPLIAR LAS SOLICITUDES DE ACCESO A INFORMACIÓN PÚBLICA O DATOS PERSONALES, A TRAVÉS DE LA INTERPOSICIÓN DEL RECURSO DE REVISIÓN</w:t>
      </w:r>
    </w:p>
    <w:p w:rsidR="00434736" w:rsidRPr="00C067E9" w:rsidRDefault="00434736">
      <w:pPr>
        <w:tabs>
          <w:tab w:val="left" w:pos="7513"/>
        </w:tabs>
        <w:spacing w:line="360" w:lineRule="auto"/>
        <w:ind w:left="567" w:right="618"/>
        <w:jc w:val="both"/>
        <w:rPr>
          <w:rFonts w:ascii="Palatino Linotype" w:eastAsia="Palatino Linotype" w:hAnsi="Palatino Linotype" w:cs="Palatino Linotype"/>
          <w:b/>
          <w:i/>
          <w:u w:val="single"/>
        </w:rPr>
      </w:pPr>
    </w:p>
    <w:p w:rsidR="00434736" w:rsidRPr="00C067E9" w:rsidRDefault="00344535">
      <w:pPr>
        <w:tabs>
          <w:tab w:val="left" w:pos="7513"/>
        </w:tabs>
        <w:spacing w:line="360" w:lineRule="auto"/>
        <w:ind w:left="567" w:right="618"/>
        <w:jc w:val="both"/>
        <w:rPr>
          <w:rFonts w:ascii="Palatino Linotype" w:eastAsia="Palatino Linotype" w:hAnsi="Palatino Linotype" w:cs="Palatino Linotype"/>
          <w:i/>
        </w:rPr>
      </w:pPr>
      <w:r w:rsidRPr="00C067E9">
        <w:rPr>
          <w:rFonts w:ascii="Palatino Linotype" w:eastAsia="Palatino Linotype" w:hAnsi="Palatino Linotype" w:cs="Palatino Linotype"/>
          <w:b/>
          <w:i/>
          <w:u w:val="single"/>
        </w:rPr>
        <w:t>En aquellos casos en los que los recurrentes amplíen los alcances de la solicitud de información o acceso a datos personales a través de un recurso de revisión, esta</w:t>
      </w:r>
      <w:r w:rsidRPr="00C067E9">
        <w:rPr>
          <w:rFonts w:ascii="Palatino Linotype" w:eastAsia="Palatino Linotype" w:hAnsi="Palatino Linotype" w:cs="Palatino Linotype"/>
          <w:i/>
          <w:u w:val="single"/>
        </w:rPr>
        <w:t xml:space="preserve"> </w:t>
      </w:r>
      <w:r w:rsidRPr="00C067E9">
        <w:rPr>
          <w:rFonts w:ascii="Palatino Linotype" w:eastAsia="Palatino Linotype" w:hAnsi="Palatino Linotype" w:cs="Palatino Linotype"/>
          <w:b/>
          <w:i/>
          <w:u w:val="single"/>
        </w:rPr>
        <w:t>ampliación no podrá constituir materia del procedimiento a sustanciarse</w:t>
      </w:r>
      <w:r w:rsidRPr="00C067E9">
        <w:rPr>
          <w:rFonts w:ascii="Palatino Linotype" w:eastAsia="Palatino Linotype" w:hAnsi="Palatino Linotype" w:cs="Palatino Linotype"/>
          <w:i/>
        </w:rPr>
        <w:t xml:space="preserve"> por el Instituto Federal de Acceso a la Información y Protección de Datos. Lo anterior, sin perjuicio de que los recurrentes puedan ejercer su derecho a realizar una nueva solicitud en términos de la Ley de la materia. </w:t>
      </w:r>
    </w:p>
    <w:p w:rsidR="00434736" w:rsidRPr="00C067E9" w:rsidRDefault="00434736">
      <w:pPr>
        <w:tabs>
          <w:tab w:val="left" w:pos="7513"/>
        </w:tabs>
        <w:spacing w:line="360" w:lineRule="auto"/>
        <w:ind w:left="567" w:right="618"/>
        <w:jc w:val="both"/>
        <w:rPr>
          <w:rFonts w:ascii="Palatino Linotype" w:eastAsia="Palatino Linotype" w:hAnsi="Palatino Linotype" w:cs="Palatino Linotype"/>
          <w:i/>
        </w:rPr>
      </w:pPr>
    </w:p>
    <w:p w:rsidR="00434736" w:rsidRPr="00C067E9" w:rsidRDefault="00344535">
      <w:pPr>
        <w:tabs>
          <w:tab w:val="left" w:pos="7513"/>
        </w:tabs>
        <w:spacing w:line="360" w:lineRule="auto"/>
        <w:ind w:left="567" w:right="618"/>
        <w:jc w:val="both"/>
        <w:rPr>
          <w:rFonts w:ascii="Palatino Linotype" w:eastAsia="Palatino Linotype" w:hAnsi="Palatino Linotype" w:cs="Palatino Linotype"/>
          <w:i/>
        </w:rPr>
      </w:pPr>
      <w:r w:rsidRPr="00C067E9">
        <w:rPr>
          <w:rFonts w:ascii="Palatino Linotype" w:eastAsia="Palatino Linotype" w:hAnsi="Palatino Linotype" w:cs="Palatino Linotype"/>
          <w:i/>
        </w:rPr>
        <w:lastRenderedPageBreak/>
        <w:t xml:space="preserve">Expedientes: 5871/08 Secretaría de Educación Pública –Alonso Gómez- Robledo Verduzco 3468/09 Instituto de Seguridad y Servicios Sociales de los Trabajadores del Estado – Ángel Trinidad Zaldívar 5417/09 Procuraduría General de la República  - María </w:t>
      </w:r>
      <w:proofErr w:type="spellStart"/>
      <w:r w:rsidRPr="00C067E9">
        <w:rPr>
          <w:rFonts w:ascii="Palatino Linotype" w:eastAsia="Palatino Linotype" w:hAnsi="Palatino Linotype" w:cs="Palatino Linotype"/>
          <w:i/>
        </w:rPr>
        <w:t>Marván</w:t>
      </w:r>
      <w:proofErr w:type="spellEnd"/>
      <w:r w:rsidRPr="00C067E9">
        <w:rPr>
          <w:rFonts w:ascii="Palatino Linotype" w:eastAsia="Palatino Linotype" w:hAnsi="Palatino Linotype" w:cs="Palatino Linotype"/>
          <w:i/>
        </w:rPr>
        <w:t xml:space="preserve"> Laborde1523 1006/10 Instituto Mexicano del Seguro Social – Sigrid </w:t>
      </w:r>
      <w:proofErr w:type="spellStart"/>
      <w:r w:rsidRPr="00C067E9">
        <w:rPr>
          <w:rFonts w:ascii="Palatino Linotype" w:eastAsia="Palatino Linotype" w:hAnsi="Palatino Linotype" w:cs="Palatino Linotype"/>
          <w:i/>
        </w:rPr>
        <w:t>Arzt</w:t>
      </w:r>
      <w:proofErr w:type="spellEnd"/>
      <w:r w:rsidRPr="00C067E9">
        <w:rPr>
          <w:rFonts w:ascii="Palatino Linotype" w:eastAsia="Palatino Linotype" w:hAnsi="Palatino Linotype" w:cs="Palatino Linotype"/>
          <w:i/>
        </w:rPr>
        <w:t xml:space="preserve"> Colunga 1378/10 Instituto de Seguridad y Servicios Sociales de los Trabajadores del Estado – María Elena Pérez-Jaén Zermeño.”</w:t>
      </w:r>
    </w:p>
    <w:p w:rsidR="00434736" w:rsidRPr="00C067E9" w:rsidRDefault="00434736">
      <w:pPr>
        <w:spacing w:line="360" w:lineRule="auto"/>
        <w:jc w:val="both"/>
        <w:rPr>
          <w:rFonts w:ascii="Palatino Linotype" w:eastAsia="Palatino Linotype" w:hAnsi="Palatino Linotype" w:cs="Palatino Linotype"/>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 xml:space="preserve">Acotado lo anterior es necesario traer a contexto la respuesta emitida en relación a la lista de beneficiarios, de la cual primeramente se desprende que el </w:t>
      </w:r>
      <w:r w:rsidRPr="00C067E9">
        <w:rPr>
          <w:rFonts w:ascii="Palatino Linotype" w:eastAsia="Palatino Linotype" w:hAnsi="Palatino Linotype" w:cs="Palatino Linotype"/>
          <w:b/>
        </w:rPr>
        <w:t>SUJETO OBLIGADO</w:t>
      </w:r>
      <w:r w:rsidRPr="00C067E9">
        <w:rPr>
          <w:rFonts w:ascii="Palatino Linotype" w:eastAsia="Palatino Linotype" w:hAnsi="Palatino Linotype" w:cs="Palatino Linotype"/>
        </w:rPr>
        <w:t xml:space="preserve"> acepta que si género, posee y administra lo solicitado, de modo tal que se omite un análisis al respecto para comprobar la existencia del apoyo de referencia.</w:t>
      </w:r>
    </w:p>
    <w:p w:rsidR="00434736" w:rsidRPr="00C067E9" w:rsidRDefault="00434736">
      <w:pPr>
        <w:spacing w:line="360" w:lineRule="auto"/>
        <w:jc w:val="both"/>
        <w:rPr>
          <w:rFonts w:ascii="Palatino Linotype" w:eastAsia="Palatino Linotype" w:hAnsi="Palatino Linotype" w:cs="Palatino Linotype"/>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 xml:space="preserve">Ahora bien, respecto de los nombres de las personas beneficiarias, si bien es cierto corresponden a personas que no tienen el carácter de servidores públicos; también lo es que al ser beneficiarios de apoyos o recursos públicos, su nombre es susceptible de ser conocido toda vez que los nombres de los beneficiarios de un programa social suelen ser públicos (exceptuando cuando se trata de grupos vulnerables) debido a los principios de transparencia y rendición de cuentas; toda vez que los programas sociales se financian con dinero público, por lo que es importante que los ciudadanos puedan verificar quiénes son los beneficiarios y cómo se distribuyen los recursos, hacer públicos los datos dificulta que recursos sean </w:t>
      </w:r>
      <w:r w:rsidRPr="00C067E9">
        <w:rPr>
          <w:rFonts w:ascii="Palatino Linotype" w:eastAsia="Palatino Linotype" w:hAnsi="Palatino Linotype" w:cs="Palatino Linotype"/>
        </w:rPr>
        <w:lastRenderedPageBreak/>
        <w:t>asignados a personas que no cumplen con los requisitos o que no deberían ser beneficiarios.</w:t>
      </w:r>
    </w:p>
    <w:p w:rsidR="00434736" w:rsidRPr="00C067E9" w:rsidRDefault="00434736">
      <w:pPr>
        <w:spacing w:line="360" w:lineRule="auto"/>
        <w:jc w:val="both"/>
        <w:rPr>
          <w:rFonts w:ascii="Palatino Linotype" w:eastAsia="Palatino Linotype" w:hAnsi="Palatino Linotype" w:cs="Palatino Linotype"/>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Es por ello que se encuentra contemplado en las obligaciones de transparencia común, dentro de la Ley de Transparencia y Acceso a la Información Pública del Estado de México y Municipios en el artículo 92, a saber:</w:t>
      </w:r>
    </w:p>
    <w:p w:rsidR="00434736" w:rsidRPr="00C067E9" w:rsidRDefault="00344535">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434736" w:rsidRPr="00C067E9" w:rsidRDefault="00344535">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w:t>
      </w:r>
    </w:p>
    <w:p w:rsidR="00434736" w:rsidRPr="00C067E9" w:rsidRDefault="00344535">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XIV. La información de los programas de subsidios, estímulos y apoyos, en el que se deberá informar respecto de los programas de transferencia, de servicios, de infraestructura social y de subsidio, en los que se deberá contener lo siguiente:</w:t>
      </w:r>
    </w:p>
    <w:p w:rsidR="00434736" w:rsidRPr="00C067E9" w:rsidRDefault="00344535">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w:t>
      </w:r>
    </w:p>
    <w:p w:rsidR="00434736" w:rsidRPr="00C067E9" w:rsidRDefault="00344535">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f) Población beneficiada estimada;</w:t>
      </w:r>
    </w:p>
    <w:p w:rsidR="00434736" w:rsidRPr="00C067E9" w:rsidRDefault="00344535">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w:t>
      </w:r>
    </w:p>
    <w:p w:rsidR="00434736" w:rsidRPr="00C067E9" w:rsidRDefault="00344535">
      <w:pPr>
        <w:pBdr>
          <w:top w:val="nil"/>
          <w:left w:val="nil"/>
          <w:bottom w:val="nil"/>
          <w:right w:val="nil"/>
          <w:between w:val="nil"/>
        </w:pBdr>
        <w:spacing w:line="360" w:lineRule="auto"/>
        <w:ind w:left="567" w:right="567"/>
        <w:jc w:val="both"/>
        <w:rPr>
          <w:rFonts w:ascii="Palatino Linotype" w:eastAsia="Palatino Linotype" w:hAnsi="Palatino Linotype" w:cs="Palatino Linotype"/>
          <w:b/>
          <w:i/>
          <w:color w:val="000000"/>
        </w:rPr>
      </w:pPr>
      <w:r w:rsidRPr="00C067E9">
        <w:rPr>
          <w:rFonts w:ascii="Palatino Linotype" w:eastAsia="Palatino Linotype" w:hAnsi="Palatino Linotype" w:cs="Palatino Linotype"/>
          <w:b/>
          <w:i/>
          <w:color w:val="000000"/>
        </w:rPr>
        <w:t xml:space="preserve">p) Padrón de beneficiarios mismo que deberá contener los siguientes datos: nombre de la persona física o denominación social de las personas jurídicas colectivas beneficiadas, el monto, recurso, beneficio o apoyo otorgado para cada una de ellas, </w:t>
      </w:r>
      <w:r w:rsidRPr="00C067E9">
        <w:rPr>
          <w:rFonts w:ascii="Palatino Linotype" w:eastAsia="Palatino Linotype" w:hAnsi="Palatino Linotype" w:cs="Palatino Linotype"/>
          <w:b/>
          <w:i/>
          <w:color w:val="000000"/>
          <w:u w:val="single"/>
        </w:rPr>
        <w:t>unidad territorial</w:t>
      </w:r>
      <w:r w:rsidRPr="00C067E9">
        <w:rPr>
          <w:rFonts w:ascii="Palatino Linotype" w:eastAsia="Palatino Linotype" w:hAnsi="Palatino Linotype" w:cs="Palatino Linotype"/>
          <w:b/>
          <w:i/>
          <w:color w:val="000000"/>
        </w:rPr>
        <w:t>, en su caso, edad y sexo.</w:t>
      </w:r>
    </w:p>
    <w:p w:rsidR="00434736" w:rsidRPr="00C067E9" w:rsidRDefault="00434736">
      <w:pPr>
        <w:spacing w:line="360" w:lineRule="auto"/>
        <w:ind w:right="567"/>
        <w:jc w:val="both"/>
        <w:rPr>
          <w:rFonts w:ascii="Palatino Linotype" w:eastAsia="Palatino Linotype" w:hAnsi="Palatino Linotype" w:cs="Palatino Linotype"/>
          <w:i/>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lastRenderedPageBreak/>
        <w:t>En materia de transparencia se determina que es pública aquella información relativa a los beneficiarios de programas de apoyo, subsidios, estímulos o apoyos, dicho padrón debe contener información como nombre, monto, recurso, edad y sexo.</w:t>
      </w:r>
    </w:p>
    <w:p w:rsidR="00434736" w:rsidRPr="00C067E9" w:rsidRDefault="00434736">
      <w:pPr>
        <w:spacing w:line="360" w:lineRule="auto"/>
        <w:jc w:val="both"/>
        <w:rPr>
          <w:rFonts w:ascii="Palatino Linotype" w:eastAsia="Palatino Linotype" w:hAnsi="Palatino Linotype" w:cs="Palatino Linotype"/>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Por su parte, la Ley General de Transparencia y Acceso a la Información Pública en el artículo 70, fracción XV establece lo siguiente:</w:t>
      </w:r>
    </w:p>
    <w:p w:rsidR="00434736" w:rsidRPr="00C067E9" w:rsidRDefault="00344535">
      <w:pPr>
        <w:spacing w:line="360" w:lineRule="auto"/>
        <w:ind w:left="567" w:right="822"/>
        <w:jc w:val="both"/>
        <w:rPr>
          <w:rFonts w:ascii="Palatino Linotype" w:eastAsia="Palatino Linotype" w:hAnsi="Palatino Linotype" w:cs="Palatino Linotype"/>
          <w:i/>
        </w:rPr>
      </w:pPr>
      <w:r w:rsidRPr="00C067E9">
        <w:rPr>
          <w:rFonts w:ascii="Palatino Linotype" w:eastAsia="Palatino Linotype" w:hAnsi="Palatino Linotype" w:cs="Palatino Linotype"/>
          <w:i/>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rsidR="00434736" w:rsidRPr="00C067E9" w:rsidRDefault="0043473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 xml:space="preserve">XV. La información de los programas de subsidios, estímulos y apoyos, en el que se deberá informar respecto de los programas de transferencia, de servicios, de infraestructura social y de subsidio, en los que se deberá contener lo siguiente: </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 xml:space="preserve">a) Área; </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 xml:space="preserve">b) Denominación del programa; </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 xml:space="preserve">c) Periodo de vigencia; </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 xml:space="preserve">d) Diseño, objetivos y alcances; </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 xml:space="preserve">e) Metas físicas; </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 xml:space="preserve">f) Población beneficiada estimada; </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lastRenderedPageBreak/>
        <w:t xml:space="preserve">g) Monto aprobado, modificado y ejercido, así como los calendarios de su programación presupuestal; </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 xml:space="preserve">h) Requisitos y procedimientos de acceso; </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i) Procedimiento de queja o inconformidad ciudadana;</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 xml:space="preserve">j) Mecanismos de exigibilidad; </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 xml:space="preserve">k) Mecanismos de evaluación, informes de evaluación y seguimiento de recomendaciones; </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 xml:space="preserve">l) Indicadores con nombre, definición, método de cálculo, unidad de medida, dimensión, frecuencia de medición, nombre de las bases de datos utilizadas para su cálculo; </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 xml:space="preserve">m) Formas de participación social; </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 xml:space="preserve">n) Articulación con otros programas sociales; </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 xml:space="preserve">o) Vínculo a las reglas de operación o Documento equivalente; </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 xml:space="preserve">p) Informes periódicos sobre la ejecución y los resultados de las evaluaciones realizadas, y </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b/>
          <w:i/>
          <w:color w:val="000000"/>
        </w:rPr>
      </w:pPr>
      <w:r w:rsidRPr="00C067E9">
        <w:rPr>
          <w:rFonts w:ascii="Palatino Linotype" w:eastAsia="Palatino Linotype" w:hAnsi="Palatino Linotype" w:cs="Palatino Linotype"/>
          <w:b/>
          <w:i/>
          <w:color w:val="000000"/>
        </w:rPr>
        <w:t>q) Padrón de beneficiarios mismo que deberá contener los siguientes datos: nombre de la persona física o denominación social de las personas morales beneficiarias, el monto, recurso, beneficio o apoyo otorgado para cada una de ellas, unidad territorial, en su caso, edad y sexo;</w:t>
      </w:r>
    </w:p>
    <w:p w:rsidR="00434736" w:rsidRPr="00C067E9" w:rsidRDefault="0043473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 xml:space="preserve">Los </w:t>
      </w:r>
      <w:r w:rsidRPr="00C067E9">
        <w:rPr>
          <w:rFonts w:ascii="Palatino Linotype" w:eastAsia="Palatino Linotype" w:hAnsi="Palatino Linotype" w:cs="Palatino Linotype"/>
          <w:i/>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w:t>
      </w:r>
      <w:r w:rsidRPr="00C067E9">
        <w:rPr>
          <w:rFonts w:ascii="Palatino Linotype" w:eastAsia="Palatino Linotype" w:hAnsi="Palatino Linotype" w:cs="Palatino Linotype"/>
          <w:i/>
        </w:rPr>
        <w:lastRenderedPageBreak/>
        <w:t>Pública, que deben de difundir los sujetos obligados en los portales de Internet y en la Plataforma Nacional de Transparencia</w:t>
      </w:r>
      <w:r w:rsidRPr="00C067E9">
        <w:rPr>
          <w:rFonts w:ascii="Palatino Linotype" w:eastAsia="Palatino Linotype" w:hAnsi="Palatino Linotype" w:cs="Palatino Linotype"/>
          <w:i/>
          <w:vertAlign w:val="superscript"/>
        </w:rPr>
        <w:footnoteReference w:id="1"/>
      </w:r>
      <w:r w:rsidRPr="00C067E9">
        <w:rPr>
          <w:rFonts w:ascii="Palatino Linotype" w:eastAsia="Palatino Linotype" w:hAnsi="Palatino Linotype" w:cs="Palatino Linotype"/>
        </w:rPr>
        <w:t>al respecto establecen lo siguiente:</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Por cada programa se publicará en formatos explotables el padrón de participantes o beneficiarios actualizado (salvaguardando los datos personales), e información sobre los recursos económicos o en especie entregados:</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Criterio 51    Hipervínculo al padrón de beneficiarios o participantes. Deberá publicarse en un documento explotable y constituido con los siguientes campos:</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b/>
          <w:i/>
          <w:color w:val="000000"/>
        </w:rPr>
      </w:pPr>
      <w:r w:rsidRPr="00C067E9">
        <w:rPr>
          <w:rFonts w:ascii="Palatino Linotype" w:eastAsia="Palatino Linotype" w:hAnsi="Palatino Linotype" w:cs="Palatino Linotype"/>
          <w:b/>
          <w:i/>
          <w:color w:val="000000"/>
        </w:rPr>
        <w:t>Criterio 52    Nombre de la persona física (nombre[s], primer apellido, segundo apellido), denominación social de las personas morales beneficiarias o denominación (en su caso) de un grupo constituido por varias personas físicas o morales, de acuerdo con la identificación que el sujeto obligado le otorgue(32)</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b/>
          <w:i/>
          <w:color w:val="000000"/>
        </w:rPr>
      </w:pPr>
      <w:r w:rsidRPr="00C067E9">
        <w:rPr>
          <w:rFonts w:ascii="Palatino Linotype" w:eastAsia="Palatino Linotype" w:hAnsi="Palatino Linotype" w:cs="Palatino Linotype"/>
          <w:b/>
          <w:i/>
          <w:color w:val="000000"/>
        </w:rPr>
        <w:t>Criterio 53    Monto (en pesos), recurso, beneficio o apoyo (en dinero o en especie) otorgado a cada una de las personas físicas, morales o grupos que el sujeto obligado determine</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b/>
          <w:i/>
          <w:color w:val="000000"/>
        </w:rPr>
      </w:pPr>
      <w:r w:rsidRPr="00C067E9">
        <w:rPr>
          <w:rFonts w:ascii="Palatino Linotype" w:eastAsia="Palatino Linotype" w:hAnsi="Palatino Linotype" w:cs="Palatino Linotype"/>
          <w:i/>
          <w:color w:val="000000"/>
        </w:rPr>
        <w:t xml:space="preserve">Se incluirán los siguientes datos, únicamente cuando formen parte de los criterios y requisitos de elegibilidad previstos en los programas de desarrollo social, </w:t>
      </w:r>
      <w:r w:rsidRPr="00C067E9">
        <w:rPr>
          <w:rFonts w:ascii="Palatino Linotype" w:eastAsia="Palatino Linotype" w:hAnsi="Palatino Linotype" w:cs="Palatino Linotype"/>
          <w:b/>
          <w:i/>
          <w:color w:val="000000"/>
        </w:rPr>
        <w:t>excepto aquellos casos en el que el beneficiario directo sea un(a) niño(a), adolescente (33) o víctima del delito:</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lastRenderedPageBreak/>
        <w:t>Criterio 54    Unidad territorial (34) (colonia, municipio, delegación, estado y/o país)</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Criterio 55    Edad (en su caso)</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Criterio 56    Sexo (en su caso)</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Respecto a la información estadística de programas que sean abiertos a la población en general y de los cuales no se genere un padrón de beneficiarios, se publicará:</w:t>
      </w:r>
    </w:p>
    <w:p w:rsidR="00434736" w:rsidRPr="00C067E9" w:rsidRDefault="0034453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Criterio 57    Hipervínculo a información estadística general de las personas beneficiadas por el programa (35)</w:t>
      </w:r>
    </w:p>
    <w:p w:rsidR="00434736" w:rsidRPr="00C067E9" w:rsidRDefault="0043473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Asimismo, proporciona el formato 15 b LGT_Art_70_Fr_XV, el cual contiene lo siguiente:</w:t>
      </w:r>
    </w:p>
    <w:p w:rsidR="00434736" w:rsidRPr="00C067E9" w:rsidRDefault="00344535">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noProof/>
          <w:color w:val="000000"/>
          <w:lang w:val="es-MX" w:eastAsia="es-MX"/>
        </w:rPr>
        <w:drawing>
          <wp:inline distT="0" distB="0" distL="0" distR="0">
            <wp:extent cx="5700400" cy="150763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4312" t="14448" r="9775" b="45155"/>
                    <a:stretch>
                      <a:fillRect/>
                    </a:stretch>
                  </pic:blipFill>
                  <pic:spPr>
                    <a:xfrm>
                      <a:off x="0" y="0"/>
                      <a:ext cx="5700400" cy="1507635"/>
                    </a:xfrm>
                    <a:prstGeom prst="rect">
                      <a:avLst/>
                    </a:prstGeom>
                    <a:ln/>
                  </pic:spPr>
                </pic:pic>
              </a:graphicData>
            </a:graphic>
          </wp:inline>
        </w:drawing>
      </w:r>
    </w:p>
    <w:p w:rsidR="00434736" w:rsidRPr="00C067E9" w:rsidRDefault="0043473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Es así que, conforma lo que establece la normatividad antes referida, la información relativa al padrón de beneficiarios de programas sociales, debe ser pública y debe contener al menos lo siguiente:</w:t>
      </w:r>
    </w:p>
    <w:p w:rsidR="00434736" w:rsidRPr="00C067E9" w:rsidRDefault="0043473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34736" w:rsidRPr="00C067E9" w:rsidRDefault="00344535">
      <w:pPr>
        <w:numPr>
          <w:ilvl w:val="0"/>
          <w:numId w:val="4"/>
        </w:numPr>
        <w:pBdr>
          <w:top w:val="nil"/>
          <w:left w:val="nil"/>
          <w:bottom w:val="nil"/>
          <w:right w:val="nil"/>
          <w:between w:val="nil"/>
        </w:pBdr>
        <w:spacing w:line="360" w:lineRule="auto"/>
        <w:ind w:left="567"/>
        <w:jc w:val="both"/>
        <w:rPr>
          <w:rFonts w:ascii="Palatino Linotype" w:eastAsia="Palatino Linotype" w:hAnsi="Palatino Linotype" w:cs="Palatino Linotype"/>
          <w:b/>
          <w:i/>
          <w:color w:val="000000"/>
        </w:rPr>
      </w:pPr>
      <w:r w:rsidRPr="00C067E9">
        <w:rPr>
          <w:rFonts w:ascii="Palatino Linotype" w:eastAsia="Palatino Linotype" w:hAnsi="Palatino Linotype" w:cs="Palatino Linotype"/>
          <w:b/>
          <w:i/>
          <w:color w:val="000000"/>
        </w:rPr>
        <w:lastRenderedPageBreak/>
        <w:t>Nombre de la persona física o denominación social de las personas morales beneficiarias;</w:t>
      </w:r>
    </w:p>
    <w:p w:rsidR="00434736" w:rsidRPr="00C067E9" w:rsidRDefault="00344535">
      <w:pPr>
        <w:numPr>
          <w:ilvl w:val="0"/>
          <w:numId w:val="4"/>
        </w:numPr>
        <w:pBdr>
          <w:top w:val="nil"/>
          <w:left w:val="nil"/>
          <w:bottom w:val="nil"/>
          <w:right w:val="nil"/>
          <w:between w:val="nil"/>
        </w:pBdr>
        <w:spacing w:line="360" w:lineRule="auto"/>
        <w:ind w:left="567"/>
        <w:jc w:val="both"/>
        <w:rPr>
          <w:rFonts w:ascii="Palatino Linotype" w:eastAsia="Palatino Linotype" w:hAnsi="Palatino Linotype" w:cs="Palatino Linotype"/>
          <w:b/>
          <w:i/>
          <w:color w:val="000000"/>
        </w:rPr>
      </w:pPr>
      <w:r w:rsidRPr="00C067E9">
        <w:rPr>
          <w:rFonts w:ascii="Palatino Linotype" w:eastAsia="Palatino Linotype" w:hAnsi="Palatino Linotype" w:cs="Palatino Linotype"/>
          <w:b/>
          <w:i/>
          <w:color w:val="000000"/>
        </w:rPr>
        <w:t>Monto;</w:t>
      </w:r>
    </w:p>
    <w:p w:rsidR="00434736" w:rsidRPr="00C067E9" w:rsidRDefault="00344535">
      <w:pPr>
        <w:numPr>
          <w:ilvl w:val="0"/>
          <w:numId w:val="4"/>
        </w:numPr>
        <w:pBdr>
          <w:top w:val="nil"/>
          <w:left w:val="nil"/>
          <w:bottom w:val="nil"/>
          <w:right w:val="nil"/>
          <w:between w:val="nil"/>
        </w:pBdr>
        <w:spacing w:line="360" w:lineRule="auto"/>
        <w:ind w:left="567"/>
        <w:jc w:val="both"/>
        <w:rPr>
          <w:rFonts w:ascii="Palatino Linotype" w:eastAsia="Palatino Linotype" w:hAnsi="Palatino Linotype" w:cs="Palatino Linotype"/>
          <w:b/>
          <w:i/>
          <w:color w:val="000000"/>
        </w:rPr>
      </w:pPr>
      <w:r w:rsidRPr="00C067E9">
        <w:rPr>
          <w:rFonts w:ascii="Palatino Linotype" w:eastAsia="Palatino Linotype" w:hAnsi="Palatino Linotype" w:cs="Palatino Linotype"/>
          <w:b/>
          <w:i/>
          <w:color w:val="000000"/>
        </w:rPr>
        <w:t>Recurso, beneficio o apoyo otorgado para cada una de ellas; y,</w:t>
      </w:r>
    </w:p>
    <w:p w:rsidR="00434736" w:rsidRPr="00C067E9" w:rsidRDefault="00344535">
      <w:pPr>
        <w:numPr>
          <w:ilvl w:val="0"/>
          <w:numId w:val="4"/>
        </w:numPr>
        <w:pBdr>
          <w:top w:val="nil"/>
          <w:left w:val="nil"/>
          <w:bottom w:val="nil"/>
          <w:right w:val="nil"/>
          <w:between w:val="nil"/>
        </w:pBdr>
        <w:spacing w:line="360" w:lineRule="auto"/>
        <w:ind w:left="567"/>
        <w:jc w:val="both"/>
        <w:rPr>
          <w:rFonts w:ascii="Palatino Linotype" w:eastAsia="Palatino Linotype" w:hAnsi="Palatino Linotype" w:cs="Palatino Linotype"/>
          <w:b/>
          <w:i/>
          <w:color w:val="000000"/>
        </w:rPr>
      </w:pPr>
      <w:r w:rsidRPr="00C067E9">
        <w:rPr>
          <w:rFonts w:ascii="Palatino Linotype" w:eastAsia="Palatino Linotype" w:hAnsi="Palatino Linotype" w:cs="Palatino Linotype"/>
          <w:b/>
          <w:i/>
          <w:color w:val="000000"/>
        </w:rPr>
        <w:t>Unidad territorial, en su caso, edad y sexo.</w:t>
      </w:r>
    </w:p>
    <w:p w:rsidR="00434736" w:rsidRPr="00C067E9" w:rsidRDefault="0043473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 xml:space="preserve">No obstante, la información pública se encuentra sujeta a un régimen estricto de restricción, y una de sus causas, es el Derecho a la Protección de Datos Personales, lo cual es contemplado por la los lineamientos antes citados, que indican que no debe ser pública de los beneficiarios que sean </w:t>
      </w:r>
      <w:r w:rsidRPr="00C067E9">
        <w:rPr>
          <w:rFonts w:ascii="Palatino Linotype" w:eastAsia="Palatino Linotype" w:hAnsi="Palatino Linotype" w:cs="Palatino Linotype"/>
          <w:b/>
          <w:i/>
        </w:rPr>
        <w:t xml:space="preserve">un(a) niño(a), adolescente o víctima del delito. </w:t>
      </w:r>
      <w:r w:rsidRPr="00C067E9">
        <w:rPr>
          <w:rFonts w:ascii="Palatino Linotype" w:eastAsia="Palatino Linotype" w:hAnsi="Palatino Linotype" w:cs="Palatino Linotype"/>
          <w:b/>
        </w:rPr>
        <w:t xml:space="preserve">En esos casos, debe prevalecer la confidencialidad de la información que identifique o haga identificable a la persona, conforme a lo que establecen </w:t>
      </w:r>
      <w:r w:rsidRPr="00C067E9">
        <w:rPr>
          <w:rFonts w:ascii="Palatino Linotype" w:eastAsia="Palatino Linotype" w:hAnsi="Palatino Linotype" w:cs="Palatino Linotype"/>
        </w:rPr>
        <w:t>los artículos 3 fracción IX, 143 fracción I, de la Ley de Transparencia y Acceso a la Información Pública del Estado de México y Municipios, así como el artículo 4, fracción XI y XII de la Ley de Protección de Datos Personales en Posesión de los Sujetos Obligados del Estado de México y Municipios, los cuales disponen lo siguiente:</w:t>
      </w:r>
    </w:p>
    <w:p w:rsidR="00434736" w:rsidRPr="00C067E9" w:rsidRDefault="00434736">
      <w:pPr>
        <w:pBdr>
          <w:top w:val="nil"/>
          <w:left w:val="nil"/>
          <w:bottom w:val="nil"/>
          <w:right w:val="nil"/>
          <w:between w:val="nil"/>
        </w:pBdr>
        <w:ind w:left="720"/>
        <w:rPr>
          <w:rFonts w:ascii="Palatino Linotype" w:eastAsia="Palatino Linotype" w:hAnsi="Palatino Linotype" w:cs="Palatino Linotype"/>
          <w:color w:val="000000"/>
        </w:rPr>
      </w:pPr>
    </w:p>
    <w:p w:rsidR="00434736" w:rsidRPr="00C067E9" w:rsidRDefault="00344535">
      <w:pPr>
        <w:numPr>
          <w:ilvl w:val="0"/>
          <w:numId w:val="5"/>
        </w:numPr>
        <w:pBdr>
          <w:top w:val="nil"/>
          <w:left w:val="nil"/>
          <w:bottom w:val="nil"/>
          <w:right w:val="nil"/>
          <w:between w:val="nil"/>
        </w:pBdr>
        <w:ind w:left="426" w:hanging="425"/>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Ley de Transparencia y Acceso a la Información Pública del Estado de México y Municipios</w:t>
      </w:r>
    </w:p>
    <w:p w:rsidR="00434736" w:rsidRPr="00C067E9" w:rsidRDefault="00434736">
      <w:pPr>
        <w:pBdr>
          <w:top w:val="nil"/>
          <w:left w:val="nil"/>
          <w:bottom w:val="nil"/>
          <w:right w:val="nil"/>
          <w:between w:val="nil"/>
        </w:pBdr>
        <w:ind w:left="720"/>
        <w:rPr>
          <w:rFonts w:ascii="Palatino Linotype" w:eastAsia="Palatino Linotype" w:hAnsi="Palatino Linotype" w:cs="Palatino Linotype"/>
          <w:color w:val="000000"/>
        </w:rPr>
      </w:pPr>
    </w:p>
    <w:p w:rsidR="00434736" w:rsidRPr="00C067E9" w:rsidRDefault="00344535">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Artículo 3. Para los efectos de la presente Ley se entenderá por:</w:t>
      </w:r>
    </w:p>
    <w:p w:rsidR="00434736" w:rsidRPr="00C067E9" w:rsidRDefault="00344535">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w:t>
      </w:r>
    </w:p>
    <w:p w:rsidR="00434736" w:rsidRPr="00C067E9" w:rsidRDefault="00344535">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lastRenderedPageBreak/>
        <w:t>IX. Datos personales: La información concerniente a una persona, identificada o identificable según lo dispuesto por la Ley de Protección de Datos Personales del Estado de México;</w:t>
      </w:r>
    </w:p>
    <w:p w:rsidR="00434736" w:rsidRPr="00C067E9" w:rsidRDefault="00434736">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p>
    <w:p w:rsidR="00434736" w:rsidRPr="00C067E9" w:rsidRDefault="00344535">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Artículo 143. Para los efectos de esta Ley se considera información confidencial, la clasificada como tal, de manera permanente, por su naturaleza, cuando:</w:t>
      </w:r>
    </w:p>
    <w:p w:rsidR="00434736" w:rsidRPr="00C067E9" w:rsidRDefault="00434736">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p>
    <w:p w:rsidR="00434736" w:rsidRPr="00C067E9" w:rsidRDefault="00344535">
      <w:pPr>
        <w:numPr>
          <w:ilvl w:val="1"/>
          <w:numId w:val="3"/>
        </w:numPr>
        <w:pBdr>
          <w:top w:val="nil"/>
          <w:left w:val="nil"/>
          <w:bottom w:val="nil"/>
          <w:right w:val="nil"/>
          <w:between w:val="nil"/>
        </w:pBdr>
        <w:spacing w:line="360" w:lineRule="auto"/>
        <w:ind w:left="851" w:right="567" w:hanging="382"/>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Se refiera a la información privada y los datos personales concernientes a una persona física o jurídico colectiva identificada o identificable;</w:t>
      </w:r>
    </w:p>
    <w:p w:rsidR="00434736" w:rsidRPr="00C067E9" w:rsidRDefault="00434736">
      <w:pPr>
        <w:pBdr>
          <w:top w:val="nil"/>
          <w:left w:val="nil"/>
          <w:bottom w:val="nil"/>
          <w:right w:val="nil"/>
          <w:between w:val="nil"/>
        </w:pBdr>
        <w:spacing w:line="360" w:lineRule="auto"/>
        <w:ind w:left="851" w:right="567"/>
        <w:jc w:val="both"/>
        <w:rPr>
          <w:rFonts w:ascii="Palatino Linotype" w:eastAsia="Palatino Linotype" w:hAnsi="Palatino Linotype" w:cs="Palatino Linotype"/>
          <w:i/>
          <w:color w:val="000000"/>
        </w:rPr>
      </w:pPr>
    </w:p>
    <w:p w:rsidR="00434736" w:rsidRPr="00C067E9" w:rsidRDefault="00344535">
      <w:pPr>
        <w:numPr>
          <w:ilvl w:val="0"/>
          <w:numId w:val="5"/>
        </w:num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color w:val="000000"/>
        </w:rPr>
        <w:t>Ley de Protección de Datos Personales en Posesión de los Sujetos Obligados del Estado de México y Municipios</w:t>
      </w:r>
    </w:p>
    <w:p w:rsidR="00434736" w:rsidRPr="00C067E9" w:rsidRDefault="00434736">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p>
    <w:p w:rsidR="00434736" w:rsidRPr="00C067E9" w:rsidRDefault="00344535">
      <w:pPr>
        <w:spacing w:line="360" w:lineRule="auto"/>
        <w:ind w:left="567" w:right="567"/>
        <w:jc w:val="both"/>
        <w:rPr>
          <w:rFonts w:ascii="Palatino Linotype" w:eastAsia="Palatino Linotype" w:hAnsi="Palatino Linotype" w:cs="Palatino Linotype"/>
          <w:i/>
        </w:rPr>
      </w:pPr>
      <w:r w:rsidRPr="00C067E9">
        <w:rPr>
          <w:rFonts w:ascii="Palatino Linotype" w:eastAsia="Palatino Linotype" w:hAnsi="Palatino Linotype" w:cs="Palatino Linotype"/>
          <w:i/>
        </w:rPr>
        <w:t>Artículo 4. Para los efectos de esta Ley se entenderá por:</w:t>
      </w:r>
    </w:p>
    <w:p w:rsidR="00434736" w:rsidRPr="00C067E9" w:rsidRDefault="00344535">
      <w:pPr>
        <w:spacing w:line="360" w:lineRule="auto"/>
        <w:ind w:left="567" w:right="567"/>
        <w:jc w:val="both"/>
        <w:rPr>
          <w:rFonts w:ascii="Palatino Linotype" w:eastAsia="Palatino Linotype" w:hAnsi="Palatino Linotype" w:cs="Palatino Linotype"/>
          <w:i/>
        </w:rPr>
      </w:pPr>
      <w:r w:rsidRPr="00C067E9">
        <w:rPr>
          <w:rFonts w:ascii="Palatino Linotype" w:eastAsia="Palatino Linotype" w:hAnsi="Palatino Linotype" w:cs="Palatino Linotype"/>
          <w:i/>
        </w:rPr>
        <w:t>…</w:t>
      </w:r>
    </w:p>
    <w:p w:rsidR="00434736" w:rsidRPr="00C067E9" w:rsidRDefault="00344535">
      <w:pPr>
        <w:spacing w:line="360" w:lineRule="auto"/>
        <w:ind w:left="567" w:right="567"/>
        <w:jc w:val="both"/>
        <w:rPr>
          <w:rFonts w:ascii="Palatino Linotype" w:eastAsia="Palatino Linotype" w:hAnsi="Palatino Linotype" w:cs="Palatino Linotype"/>
          <w:i/>
        </w:rPr>
      </w:pPr>
      <w:r w:rsidRPr="00C067E9">
        <w:rPr>
          <w:rFonts w:ascii="Palatino Linotype" w:eastAsia="Palatino Linotype" w:hAnsi="Palatino Linotype" w:cs="Palatino Linotype"/>
          <w:i/>
        </w:rPr>
        <w:t xml:space="preserve">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 </w:t>
      </w:r>
    </w:p>
    <w:p w:rsidR="00434736" w:rsidRPr="00C067E9" w:rsidRDefault="00434736">
      <w:pPr>
        <w:spacing w:line="360" w:lineRule="auto"/>
        <w:ind w:left="567" w:right="567"/>
        <w:jc w:val="both"/>
        <w:rPr>
          <w:rFonts w:ascii="Palatino Linotype" w:eastAsia="Palatino Linotype" w:hAnsi="Palatino Linotype" w:cs="Palatino Linotype"/>
          <w:i/>
        </w:rPr>
      </w:pPr>
    </w:p>
    <w:p w:rsidR="00434736" w:rsidRPr="00C067E9" w:rsidRDefault="00344535">
      <w:pPr>
        <w:spacing w:line="360" w:lineRule="auto"/>
        <w:ind w:left="567" w:right="567"/>
        <w:jc w:val="both"/>
        <w:rPr>
          <w:rFonts w:ascii="Palatino Linotype" w:eastAsia="Palatino Linotype" w:hAnsi="Palatino Linotype" w:cs="Palatino Linotype"/>
          <w:b/>
          <w:i/>
        </w:rPr>
      </w:pPr>
      <w:r w:rsidRPr="00C067E9">
        <w:rPr>
          <w:rFonts w:ascii="Palatino Linotype" w:eastAsia="Palatino Linotype" w:hAnsi="Palatino Linotype" w:cs="Palatino Linotype"/>
          <w:i/>
        </w:rPr>
        <w:t xml:space="preserve">XII. Datos personales sensibles: </w:t>
      </w:r>
      <w:r w:rsidRPr="00C067E9">
        <w:rPr>
          <w:rFonts w:ascii="Palatino Linotype" w:eastAsia="Palatino Linotype" w:hAnsi="Palatino Linotype" w:cs="Palatino Linotype"/>
          <w:b/>
          <w:i/>
        </w:rPr>
        <w:t xml:space="preserve">a las referentes de la esfera de su titular cuya utilización indebida pueda dar origen a discriminación o conlleve un riesgo grave para éste. De manera enunciativa más no limitativa, se </w:t>
      </w:r>
      <w:r w:rsidRPr="00C067E9">
        <w:rPr>
          <w:rFonts w:ascii="Palatino Linotype" w:eastAsia="Palatino Linotype" w:hAnsi="Palatino Linotype" w:cs="Palatino Linotype"/>
          <w:b/>
          <w:i/>
        </w:rPr>
        <w:lastRenderedPageBreak/>
        <w:t>consideran sensibles los datos personales que puedan revelar aspectos como origen racial o étnico, estado de salud física o mental, presente o futura, información genética, creencias religiosas, filosóficas y morales, opiniones políticas y preferencia sexual.</w:t>
      </w:r>
    </w:p>
    <w:p w:rsidR="00434736" w:rsidRPr="00C067E9" w:rsidRDefault="00344535">
      <w:pPr>
        <w:spacing w:line="360" w:lineRule="auto"/>
        <w:ind w:left="567" w:right="567"/>
        <w:jc w:val="both"/>
        <w:rPr>
          <w:rFonts w:ascii="Palatino Linotype" w:eastAsia="Palatino Linotype" w:hAnsi="Palatino Linotype" w:cs="Palatino Linotype"/>
          <w:b/>
        </w:rPr>
      </w:pPr>
      <w:r w:rsidRPr="00C067E9">
        <w:rPr>
          <w:rFonts w:ascii="Palatino Linotype" w:eastAsia="Palatino Linotype" w:hAnsi="Palatino Linotype" w:cs="Palatino Linotype"/>
        </w:rPr>
        <w:t>(Énfasis añadido)</w:t>
      </w:r>
    </w:p>
    <w:p w:rsidR="00434736" w:rsidRPr="00C067E9" w:rsidRDefault="00434736">
      <w:pPr>
        <w:rPr>
          <w:rFonts w:ascii="Palatino Linotype" w:eastAsia="Palatino Linotype" w:hAnsi="Palatino Linotype" w:cs="Palatino Linotype"/>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Es así que, si bien hay una normatividad que establece la publicidad de la información relativa a los beneficiarios de estímulos, apoyos o subsidios, pero también lo es que, en los casos en que los beneficiarios correspondan a, niños, adolescentes o víctimas de delitos, debe prevalecer la protección de datos personales, así como de las personas de la tercera edad, personas discapacitadas y/o de grupos vulnerables, puesto que en estos casos, se refiere a datos personales sensibles, dado a que su utilización indebida puede dar origen a discriminación.</w:t>
      </w:r>
    </w:p>
    <w:p w:rsidR="00434736" w:rsidRPr="00C067E9" w:rsidRDefault="0043473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rPr>
      </w:pPr>
      <w:r w:rsidRPr="00C067E9">
        <w:rPr>
          <w:rFonts w:ascii="Palatino Linotype" w:eastAsia="Palatino Linotype" w:hAnsi="Palatino Linotype" w:cs="Palatino Linotype"/>
        </w:rPr>
        <w:t>Sirve de sustento el criterio 04/19 del Instituto de Transparencia, Acceso a la Información Pública y Protección de Datos Personales del Estado de México y Municipios:</w:t>
      </w:r>
    </w:p>
    <w:p w:rsidR="00434736" w:rsidRPr="00C067E9" w:rsidRDefault="00344535">
      <w:pPr>
        <w:spacing w:line="360" w:lineRule="auto"/>
        <w:ind w:left="567" w:right="567"/>
        <w:jc w:val="both"/>
        <w:rPr>
          <w:rFonts w:ascii="Palatino Linotype" w:eastAsia="Palatino Linotype" w:hAnsi="Palatino Linotype" w:cs="Palatino Linotype"/>
          <w:i/>
        </w:rPr>
      </w:pPr>
      <w:r w:rsidRPr="00C067E9">
        <w:rPr>
          <w:rFonts w:ascii="Palatino Linotype" w:eastAsia="Palatino Linotype" w:hAnsi="Palatino Linotype" w:cs="Palatino Linotype"/>
          <w:b/>
          <w:i/>
        </w:rPr>
        <w:t xml:space="preserve">“PADRÓN DE BENEFICIARIOS EN POSESIÓN DE SUJETOS OBLIGADOS. EXCEPCIONES PARA LA PUBLICACIÓN DE DATOS PERSONALES CONTENIDOS EN AQUÉL. </w:t>
      </w:r>
      <w:r w:rsidRPr="00C067E9">
        <w:rPr>
          <w:rFonts w:ascii="Palatino Linotype" w:eastAsia="Palatino Linotype" w:hAnsi="Palatino Linotype" w:cs="Palatino Linotype"/>
          <w:i/>
        </w:rPr>
        <w:t xml:space="preserve">De conformidad con el artículo 1º, párrafo segundo de la Constitución Política de los Estados Unidos Mexicanos, las normas de derechos humanos se interpretarán de conformidad con dicha Constitución y los Tratados Internaciones de la materia, favoreciendo en todo tiempo a las personas la protección más amplia. En ese tenor, si bien el numeral </w:t>
      </w:r>
      <w:r w:rsidRPr="00C067E9">
        <w:rPr>
          <w:rFonts w:ascii="Palatino Linotype" w:eastAsia="Palatino Linotype" w:hAnsi="Palatino Linotype" w:cs="Palatino Linotype"/>
          <w:i/>
        </w:rPr>
        <w:lastRenderedPageBreak/>
        <w:t xml:space="preserve">92, fracción XIV, inciso p) de la Ley de Transparencia y Acceso a la Información Pública del Estado de México y Municipios establece como obligación de transparencia común, la publicación de manera permanente y actualizada de los programas de subsidios, estímulos y apoyos, así como el padrón de los beneficiarios, dentro del cual se contienen en esencia, datos personales como el nombre de la persona física o denominación de la persona jurídica colectiva beneficiada, lo cierto es que, esta disposición normativa debe ser interpretada con los principios y derechos establecidos en nuestra Constitución general, como aquellos previstos en los artículos 1º, párrafo quinto, 4°, párrafo noveno, y 16, párrafo segundo; el primero de ellos relativo al principio de no discriminación, el cual prohíbe toda anulación o menoscabo de los derechos y libertades de las personas motivada, entre otras cosas, por origen étnico, el género, la edad, las discapacidades, la condición social, las condiciones de salud o cualquier otra que atente contra la dignidad humana; el segundo relativo al interés superior de la niñez, mandatando que en todas las decisiones y actuaciones del Estado se velará y cumplirá aquél, garantizando de manera plena sus derechos; y finalmente, el derecho a la protección de datos personales, mismo que se reconoce a toda persona, en los términos que fije la ley, en la cual se establecerán los supuestos de excepción a los principios que rijan el tratamiento de datos. Bajo esas directrices, el dispositivo legal en cita de la Ley de Transparencia, debe interpretarse a la luz de los principios y derechos de referencia, a fin de excluir los nombres de las personas menores de edad y las de capacidades diferentes, contenidos en los padrones de beneficiarios en posesión de los Sujetos Obligados, toda vez que la publicidad de estos datos personales puede revelar condiciones sociales, culturales y su plena </w:t>
      </w:r>
      <w:r w:rsidRPr="00C067E9">
        <w:rPr>
          <w:rFonts w:ascii="Palatino Linotype" w:eastAsia="Palatino Linotype" w:hAnsi="Palatino Linotype" w:cs="Palatino Linotype"/>
          <w:i/>
        </w:rPr>
        <w:lastRenderedPageBreak/>
        <w:t>identidad, que por regla general corresponden a grupos vulnerables o grupos sociales en condiciones de desventaja y que naturalmente representan datos sensibles que pueden afectar irreparablemente a su titular, los cuales requieren de una mayor protección, dado que de hacerse públicos generarían un riesgo o afectación que atenta contra la dignidad, la no discriminación y especialmente a la protección de los datos personales, con la única excepción de que, a través de un test de interés público se justifique de manera razonable, la publicidad de dichos datos personales; por tanto, los referidos datos personales deberán clasificarse como confidenciales, en términos de lo dispuesto por los dispositivos Constitucionales previamente invocados y los diversos 3, fracciones IX, XX, XXI, XXIII, XXXII; 8; 6; 137 y 143, fracción I de la Ley de Transparencia y Acceso a la Información Pública del Estado de México y Municipios así como 4, fracciones XI y XII; 6; 7; 8 y 10, de la Ley de Protección de Datos Personales en Posesión de Sujetos Obligados del Estado de México y Municipios.”</w:t>
      </w:r>
    </w:p>
    <w:p w:rsidR="00434736" w:rsidRPr="00C067E9" w:rsidRDefault="00434736">
      <w:pPr>
        <w:spacing w:line="360" w:lineRule="auto"/>
        <w:jc w:val="both"/>
        <w:rPr>
          <w:rFonts w:ascii="Palatino Linotype" w:eastAsia="Palatino Linotype" w:hAnsi="Palatino Linotype" w:cs="Palatino Linotype"/>
        </w:rPr>
      </w:pPr>
    </w:p>
    <w:p w:rsidR="004419B4" w:rsidRPr="00C067E9" w:rsidRDefault="004419B4" w:rsidP="004419B4">
      <w:pPr>
        <w:numPr>
          <w:ilvl w:val="0"/>
          <w:numId w:val="1"/>
        </w:numP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Finalmente, como se desprende del citado artículo 19 de la Ley de Transparencia y Acceso a la Información Pública del Estado de México y Municipios y de los </w:t>
      </w:r>
      <w:r w:rsidRPr="00C067E9">
        <w:rPr>
          <w:rFonts w:ascii="Palatino Linotype" w:eastAsia="Palatino Linotype" w:hAnsi="Palatino Linotype" w:cs="Palatino Linotype"/>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Pr="00C067E9">
        <w:rPr>
          <w:rFonts w:ascii="Palatino Linotype" w:eastAsia="Palatino Linotype" w:hAnsi="Palatino Linotype" w:cs="Palatino Linotype"/>
          <w:u w:val="single"/>
        </w:rPr>
        <w:t>ambos ya transcritos</w:t>
      </w:r>
      <w:r w:rsidRPr="00C067E9">
        <w:rPr>
          <w:rFonts w:ascii="Palatino Linotype" w:eastAsia="Palatino Linotype" w:hAnsi="Palatino Linotype" w:cs="Palatino Linotype"/>
          <w:color w:val="000000"/>
        </w:rPr>
        <w:t xml:space="preserve">, debe ser publica la unidad territorial, esto a colación de que en el documento remitido se testo el rubro de </w:t>
      </w:r>
      <w:r w:rsidRPr="00C067E9">
        <w:rPr>
          <w:rFonts w:ascii="Palatino Linotype" w:eastAsia="Palatino Linotype" w:hAnsi="Palatino Linotype" w:cs="Palatino Linotype"/>
          <w:b/>
          <w:color w:val="000000"/>
        </w:rPr>
        <w:t>comunidad</w:t>
      </w:r>
      <w:r w:rsidRPr="00C067E9">
        <w:rPr>
          <w:rFonts w:ascii="Palatino Linotype" w:eastAsia="Palatino Linotype" w:hAnsi="Palatino Linotype" w:cs="Palatino Linotype"/>
          <w:color w:val="000000"/>
        </w:rPr>
        <w:t xml:space="preserve">, mismo que –además– fuera </w:t>
      </w:r>
      <w:r w:rsidRPr="00C067E9">
        <w:rPr>
          <w:rFonts w:ascii="Palatino Linotype" w:eastAsia="Palatino Linotype" w:hAnsi="Palatino Linotype" w:cs="Palatino Linotype"/>
          <w:color w:val="000000"/>
        </w:rPr>
        <w:lastRenderedPageBreak/>
        <w:t>solicitado de manera textual debía corresponder a la comunidad de  Cedro de la Manzana. Luego entonces el rubro referido en la ley de la materia debe ser público en la inteligencia que por unidad territorial se entiende aquella porción de territorio que se organiza y define para fines administrativos, políticos, económicos, sociales o geográficos dentro del Municipio.</w:t>
      </w:r>
    </w:p>
    <w:p w:rsidR="004419B4" w:rsidRPr="00C067E9" w:rsidRDefault="004419B4" w:rsidP="004419B4">
      <w:pPr>
        <w:spacing w:line="360" w:lineRule="auto"/>
        <w:jc w:val="both"/>
        <w:rPr>
          <w:rFonts w:ascii="Palatino Linotype" w:eastAsia="Palatino Linotype" w:hAnsi="Palatino Linotype" w:cs="Palatino Linotype"/>
          <w:color w:val="000000"/>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Con la determinación anterior, se estima </w:t>
      </w:r>
      <w:r w:rsidRPr="00C067E9">
        <w:rPr>
          <w:rFonts w:ascii="Palatino Linotype" w:eastAsia="Palatino Linotype" w:hAnsi="Palatino Linotype" w:cs="Palatino Linotype"/>
        </w:rPr>
        <w:t>quedará</w:t>
      </w:r>
      <w:r w:rsidRPr="00C067E9">
        <w:rPr>
          <w:rFonts w:ascii="Palatino Linotype" w:eastAsia="Palatino Linotype" w:hAnsi="Palatino Linotype" w:cs="Palatino Linotype"/>
          <w:color w:val="000000"/>
        </w:rPr>
        <w:t xml:space="preserve"> por colmado el derecho de acceso a la </w:t>
      </w:r>
      <w:r w:rsidRPr="00C067E9">
        <w:rPr>
          <w:rFonts w:ascii="Palatino Linotype" w:eastAsia="Palatino Linotype" w:hAnsi="Palatino Linotype" w:cs="Palatino Linotype"/>
        </w:rPr>
        <w:t>información</w:t>
      </w:r>
      <w:r w:rsidRPr="00C067E9">
        <w:rPr>
          <w:rFonts w:ascii="Palatino Linotype" w:eastAsia="Palatino Linotype" w:hAnsi="Palatino Linotype" w:cs="Palatino Linotype"/>
          <w:color w:val="000000"/>
        </w:rPr>
        <w:t xml:space="preserve"> del ahora Recurrente; toda vez que el Derecho que tutela este Órgano Garante corresponde a la  </w:t>
      </w:r>
      <w:r w:rsidRPr="00C067E9">
        <w:rPr>
          <w:rFonts w:ascii="Palatino Linotype" w:eastAsia="Palatino Linotype" w:hAnsi="Palatino Linotype" w:cs="Palatino Linotype"/>
          <w:i/>
          <w:color w:val="000000"/>
        </w:rPr>
        <w:t>igualdad de oportunidades para recibir, buscar e impartir información</w:t>
      </w:r>
      <w:r w:rsidRPr="00C067E9">
        <w:rPr>
          <w:rFonts w:ascii="Palatino Linotype" w:eastAsia="Palatino Linotype" w:hAnsi="Palatino Linotype" w:cs="Palatino Linotype"/>
          <w:i/>
          <w:color w:val="000000"/>
          <w:vertAlign w:val="superscript"/>
        </w:rPr>
        <w:footnoteReference w:id="2"/>
      </w:r>
      <w:r w:rsidRPr="00C067E9">
        <w:rPr>
          <w:rFonts w:ascii="Palatino Linotype" w:eastAsia="Palatino Linotype" w:hAnsi="Palatino Linotype" w:cs="Palatino Linotype"/>
          <w:i/>
          <w:color w:val="000000"/>
        </w:rPr>
        <w:t xml:space="preserve"> en posesión de cualquier autoridad, entidad, órgano y organismo de los </w:t>
      </w:r>
      <w:r w:rsidRPr="00C067E9">
        <w:rPr>
          <w:rFonts w:ascii="Palatino Linotype" w:eastAsia="Palatino Linotype" w:hAnsi="Palatino Linotype" w:cs="Palatino Linotype"/>
          <w:color w:val="000000"/>
        </w:rPr>
        <w:t>poderes</w:t>
      </w:r>
      <w:r w:rsidRPr="00C067E9">
        <w:rPr>
          <w:rFonts w:ascii="Palatino Linotype" w:eastAsia="Palatino Linotype" w:hAnsi="Palatino Linotype" w:cs="Palatino Linotype"/>
          <w:i/>
          <w:color w:val="000000"/>
        </w:rPr>
        <w:t xml:space="preserve"> Ejecutivo, Legislativo y Judicial, órganos autónomos, partidos políticos, </w:t>
      </w:r>
      <w:r w:rsidRPr="00C067E9">
        <w:rPr>
          <w:rFonts w:ascii="Palatino Linotype" w:eastAsia="Palatino Linotype" w:hAnsi="Palatino Linotype" w:cs="Palatino Linotype"/>
        </w:rPr>
        <w:t>fideicomisos</w:t>
      </w:r>
      <w:r w:rsidRPr="00C067E9">
        <w:rPr>
          <w:rFonts w:ascii="Palatino Linotype" w:eastAsia="Palatino Linotype" w:hAnsi="Palatino Linotype" w:cs="Palatino Linotype"/>
          <w:i/>
          <w:color w:val="000000"/>
        </w:rPr>
        <w:t>, y fondos públicos, así como de cualquier persona física, moral o sindicato que reciba y ejerza recursos públicos o realice actos de autoridad en el ámbito federal, estatal y municipal</w:t>
      </w:r>
      <w:r w:rsidRPr="00C067E9">
        <w:rPr>
          <w:rFonts w:ascii="Palatino Linotype" w:eastAsia="Palatino Linotype" w:hAnsi="Palatino Linotype" w:cs="Palatino Linotype"/>
          <w:color w:val="000000"/>
          <w:vertAlign w:val="superscript"/>
        </w:rPr>
        <w:footnoteReference w:id="3"/>
      </w:r>
      <w:r w:rsidRPr="00C067E9">
        <w:rPr>
          <w:rFonts w:ascii="Palatino Linotype" w:eastAsia="Palatino Linotype" w:hAnsi="Palatino Linotype" w:cs="Palatino Linotype"/>
          <w:i/>
          <w:color w:val="000000"/>
        </w:rPr>
        <w:t xml:space="preserve"> </w:t>
      </w:r>
      <w:r w:rsidRPr="00C067E9">
        <w:rPr>
          <w:rFonts w:ascii="Palatino Linotype" w:eastAsia="Palatino Linotype" w:hAnsi="Palatino Linotype" w:cs="Palatino Linotype"/>
          <w:color w:val="000000"/>
        </w:rPr>
        <w:t xml:space="preserve">que se constituye como una herramienta fundamental para </w:t>
      </w:r>
      <w:r w:rsidRPr="00C067E9">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sidRPr="00C067E9">
        <w:rPr>
          <w:rFonts w:ascii="Palatino Linotype" w:eastAsia="Palatino Linotype" w:hAnsi="Palatino Linotype" w:cs="Palatino Linotype"/>
          <w:i/>
          <w:color w:val="000000"/>
          <w:vertAlign w:val="superscript"/>
        </w:rPr>
        <w:footnoteReference w:id="4"/>
      </w:r>
      <w:r w:rsidRPr="00C067E9">
        <w:rPr>
          <w:rFonts w:ascii="Palatino Linotype" w:eastAsia="Palatino Linotype" w:hAnsi="Palatino Linotype" w:cs="Palatino Linotype"/>
          <w:color w:val="000000"/>
        </w:rPr>
        <w:t>fomentando</w:t>
      </w:r>
      <w:r w:rsidRPr="00C067E9">
        <w:rPr>
          <w:rFonts w:ascii="Palatino Linotype" w:eastAsia="Palatino Linotype" w:hAnsi="Palatino Linotype" w:cs="Palatino Linotype"/>
          <w:i/>
          <w:color w:val="000000"/>
        </w:rPr>
        <w:t xml:space="preserve"> la transparencia de las actividades estatales y</w:t>
      </w:r>
      <w:r w:rsidRPr="00C067E9">
        <w:rPr>
          <w:rFonts w:ascii="Palatino Linotype" w:eastAsia="Palatino Linotype" w:hAnsi="Palatino Linotype" w:cs="Palatino Linotype"/>
          <w:color w:val="000000"/>
        </w:rPr>
        <w:t xml:space="preserve"> promoviendo</w:t>
      </w:r>
      <w:r w:rsidRPr="00C067E9">
        <w:rPr>
          <w:rFonts w:ascii="Palatino Linotype" w:eastAsia="Palatino Linotype" w:hAnsi="Palatino Linotype" w:cs="Palatino Linotype"/>
          <w:i/>
          <w:color w:val="000000"/>
        </w:rPr>
        <w:t xml:space="preserve"> la responsabilidad de los funcionarios sobre su gestión pública</w:t>
      </w:r>
      <w:r w:rsidRPr="00C067E9">
        <w:rPr>
          <w:rFonts w:ascii="Palatino Linotype" w:eastAsia="Palatino Linotype" w:hAnsi="Palatino Linotype" w:cs="Palatino Linotype"/>
          <w:i/>
          <w:color w:val="000000"/>
          <w:vertAlign w:val="superscript"/>
        </w:rPr>
        <w:footnoteReference w:id="5"/>
      </w:r>
      <w:r w:rsidRPr="00C067E9">
        <w:rPr>
          <w:rFonts w:ascii="Palatino Linotype" w:eastAsia="Palatino Linotype" w:hAnsi="Palatino Linotype" w:cs="Palatino Linotype"/>
          <w:i/>
          <w:color w:val="000000"/>
        </w:rPr>
        <w:t xml:space="preserve"> </w:t>
      </w:r>
      <w:r w:rsidRPr="00C067E9">
        <w:rPr>
          <w:rFonts w:ascii="Palatino Linotype" w:eastAsia="Palatino Linotype" w:hAnsi="Palatino Linotype" w:cs="Palatino Linotype"/>
          <w:color w:val="000000"/>
        </w:rPr>
        <w:t>que permite</w:t>
      </w:r>
      <w:r w:rsidRPr="00C067E9">
        <w:rPr>
          <w:rFonts w:ascii="Palatino Linotype" w:eastAsia="Palatino Linotype" w:hAnsi="Palatino Linotype" w:cs="Palatino Linotype"/>
          <w:i/>
          <w:color w:val="000000"/>
        </w:rPr>
        <w:t xml:space="preserve"> saber qué están </w:t>
      </w:r>
      <w:r w:rsidRPr="00C067E9">
        <w:rPr>
          <w:rFonts w:ascii="Palatino Linotype" w:eastAsia="Palatino Linotype" w:hAnsi="Palatino Linotype" w:cs="Palatino Linotype"/>
          <w:i/>
          <w:color w:val="000000"/>
        </w:rPr>
        <w:lastRenderedPageBreak/>
        <w:t>haciendo los gobiernos por sus pueblos, sin lo cual la verdad languidecería y la participación en el gobierno permanecería fragmentada.</w:t>
      </w:r>
      <w:r w:rsidRPr="00C067E9">
        <w:rPr>
          <w:rFonts w:ascii="Palatino Linotype" w:eastAsia="Palatino Linotype" w:hAnsi="Palatino Linotype" w:cs="Palatino Linotype"/>
          <w:i/>
          <w:color w:val="000000"/>
          <w:vertAlign w:val="superscript"/>
        </w:rPr>
        <w:footnoteReference w:id="6"/>
      </w:r>
      <w:r w:rsidRPr="00C067E9">
        <w:rPr>
          <w:rFonts w:ascii="Palatino Linotype" w:eastAsia="Palatino Linotype" w:hAnsi="Palatino Linotype" w:cs="Palatino Linotype"/>
          <w:color w:val="000000"/>
        </w:rPr>
        <w:t xml:space="preserve"> ” </w:t>
      </w:r>
    </w:p>
    <w:p w:rsidR="00434736" w:rsidRPr="00C067E9" w:rsidRDefault="00434736">
      <w:pPr>
        <w:spacing w:line="360" w:lineRule="auto"/>
        <w:ind w:left="360"/>
        <w:jc w:val="both"/>
        <w:rPr>
          <w:rFonts w:ascii="Palatino Linotype" w:eastAsia="Palatino Linotype" w:hAnsi="Palatino Linotype" w:cs="Palatino Linotype"/>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434736" w:rsidRPr="00C067E9" w:rsidRDefault="00344535">
      <w:pPr>
        <w:spacing w:line="360" w:lineRule="auto"/>
        <w:ind w:left="426" w:right="115"/>
        <w:jc w:val="both"/>
        <w:rPr>
          <w:rFonts w:ascii="Palatino Linotype" w:eastAsia="Palatino Linotype" w:hAnsi="Palatino Linotype" w:cs="Palatino Linotype"/>
          <w:b/>
          <w:i/>
          <w:color w:val="000000"/>
        </w:rPr>
      </w:pPr>
      <w:r w:rsidRPr="00C067E9">
        <w:rPr>
          <w:rFonts w:ascii="Palatino Linotype" w:eastAsia="Palatino Linotype" w:hAnsi="Palatino Linotype" w:cs="Palatino Linotype"/>
          <w:b/>
          <w:i/>
          <w:color w:val="000000"/>
        </w:rPr>
        <w:t>“CRITERIO 0002-11</w:t>
      </w:r>
    </w:p>
    <w:p w:rsidR="00434736" w:rsidRPr="00C067E9" w:rsidRDefault="00344535">
      <w:pPr>
        <w:spacing w:line="360" w:lineRule="auto"/>
        <w:ind w:left="425" w:right="115"/>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b/>
          <w:i/>
          <w:color w:val="000000"/>
        </w:rPr>
        <w:t>INFORMACIÓN PÚBLICA, CONCEPTO DE, EN MATERIA DE TRANSPARENCIA. INTERPRETACIÓN TEMÁTICA DE LOS ARTÍCULOS 2, FRACCIÓN V, XV, Y XVI, 3, 4,11 Y 41.</w:t>
      </w:r>
      <w:r w:rsidRPr="00C067E9">
        <w:rPr>
          <w:rFonts w:ascii="Palatino Linotype" w:eastAsia="Palatino Linotype" w:hAnsi="Palatino Linotype" w:cs="Palatino Linotype"/>
          <w:i/>
          <w:color w:val="00000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434736" w:rsidRPr="00C067E9" w:rsidRDefault="00344535">
      <w:pPr>
        <w:spacing w:line="360" w:lineRule="auto"/>
        <w:ind w:left="425" w:right="115"/>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En consecuencia el acceso a la información se refiere a que se cumplan cualquiera de los siguientes tres supuestos:</w:t>
      </w:r>
    </w:p>
    <w:p w:rsidR="00434736" w:rsidRPr="00C067E9" w:rsidRDefault="00344535">
      <w:pPr>
        <w:spacing w:line="360" w:lineRule="auto"/>
        <w:ind w:left="425" w:right="115"/>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lastRenderedPageBreak/>
        <w:t>Que se trate de información registrada en cualquier soporte documental, que en ejercicio de las atribuciones conferidas, sea generada por los Sujetos Obligados;</w:t>
      </w:r>
    </w:p>
    <w:p w:rsidR="00434736" w:rsidRPr="00C067E9" w:rsidRDefault="00344535">
      <w:pPr>
        <w:spacing w:line="360" w:lineRule="auto"/>
        <w:ind w:left="425" w:right="115"/>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Que se trate de información registrada en cualquier soporte documental, que en ejercicio de las atribuciones conferidas, sea administrada por los Sujetos Obligados, y</w:t>
      </w:r>
    </w:p>
    <w:p w:rsidR="00434736" w:rsidRPr="00C067E9" w:rsidRDefault="00344535">
      <w:pPr>
        <w:spacing w:line="360" w:lineRule="auto"/>
        <w:ind w:left="425" w:right="115"/>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Que se trate de información registrada en cualquier soporte documental, que en ejercicio de las atribuciones conferidas, se encuentre en posesión de los Sujetos Obligados.”</w:t>
      </w:r>
    </w:p>
    <w:p w:rsidR="00434736" w:rsidRPr="00C067E9" w:rsidRDefault="00434736">
      <w:pPr>
        <w:spacing w:line="360" w:lineRule="auto"/>
        <w:ind w:right="115"/>
        <w:jc w:val="both"/>
        <w:rPr>
          <w:rFonts w:ascii="Palatino Linotype" w:eastAsia="Palatino Linotype" w:hAnsi="Palatino Linotype" w:cs="Palatino Linotype"/>
          <w:color w:val="000000"/>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Es así que, todos los actos de autoridad que realicen los Sujetos Obligados </w:t>
      </w:r>
      <w:r w:rsidRPr="00C067E9">
        <w:rPr>
          <w:rFonts w:ascii="Palatino Linotype" w:eastAsia="Palatino Linotype" w:hAnsi="Palatino Linotype" w:cs="Palatino Linotype"/>
          <w:b/>
          <w:color w:val="000000"/>
        </w:rPr>
        <w:t xml:space="preserve">deben estar </w:t>
      </w:r>
      <w:r w:rsidRPr="00C067E9">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rsidR="00434736" w:rsidRPr="00C067E9" w:rsidRDefault="0043473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rsidR="00434736" w:rsidRPr="00C067E9" w:rsidRDefault="00344535">
      <w:pPr>
        <w:spacing w:line="360" w:lineRule="auto"/>
        <w:ind w:left="425" w:right="257"/>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b/>
          <w:i/>
          <w:color w:val="000000"/>
        </w:rPr>
        <w:t xml:space="preserve">“Artículo 4. </w:t>
      </w:r>
      <w:r w:rsidRPr="00C067E9">
        <w:rPr>
          <w:rFonts w:ascii="Palatino Linotype" w:eastAsia="Palatino Linotype" w:hAnsi="Palatino Linotype" w:cs="Palatino Linotype"/>
          <w:i/>
          <w:color w:val="000000"/>
        </w:rPr>
        <w:t>El derecho humano de acceso a la información pública es la prerrogativa de las personas para buscar, difundir, investigar, recabar, recibir y solicitar información pública, sin necesidad de acreditar personalidad ni interés jurídico.</w:t>
      </w:r>
    </w:p>
    <w:p w:rsidR="00434736" w:rsidRPr="00C067E9" w:rsidRDefault="00344535">
      <w:pPr>
        <w:spacing w:line="360" w:lineRule="auto"/>
        <w:ind w:left="426" w:right="257"/>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b/>
          <w:i/>
          <w:color w:val="000000"/>
        </w:rPr>
        <w:t>Toda la información</w:t>
      </w:r>
      <w:r w:rsidRPr="00C067E9">
        <w:rPr>
          <w:rFonts w:ascii="Palatino Linotype" w:eastAsia="Palatino Linotype" w:hAnsi="Palatino Linotype" w:cs="Palatino Linotype"/>
          <w:i/>
          <w:color w:val="000000"/>
        </w:rPr>
        <w:t xml:space="preserve"> generada, obtenida, adquirida, transformada, administrada o </w:t>
      </w:r>
      <w:r w:rsidRPr="00C067E9">
        <w:rPr>
          <w:rFonts w:ascii="Palatino Linotype" w:eastAsia="Palatino Linotype" w:hAnsi="Palatino Linotype" w:cs="Palatino Linotype"/>
          <w:b/>
          <w:i/>
          <w:color w:val="000000"/>
        </w:rPr>
        <w:t>en posesión de los sujetos obligados es pública</w:t>
      </w:r>
      <w:r w:rsidRPr="00C067E9">
        <w:rPr>
          <w:rFonts w:ascii="Palatino Linotype" w:eastAsia="Palatino Linotype" w:hAnsi="Palatino Linotype" w:cs="Palatino Linotype"/>
          <w:i/>
          <w:color w:val="000000"/>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w:t>
      </w:r>
      <w:r w:rsidRPr="00C067E9">
        <w:rPr>
          <w:rFonts w:ascii="Palatino Linotype" w:eastAsia="Palatino Linotype" w:hAnsi="Palatino Linotype" w:cs="Palatino Linotype"/>
          <w:i/>
          <w:color w:val="000000"/>
        </w:rPr>
        <w:lastRenderedPageBreak/>
        <w:t>reservada temporalmente por razones de interés público, en los términos de las causas legítimas y estrictamente necesarias previstas por esta Ley.</w:t>
      </w:r>
    </w:p>
    <w:p w:rsidR="00434736" w:rsidRPr="00C067E9" w:rsidRDefault="00344535">
      <w:pPr>
        <w:spacing w:line="360" w:lineRule="auto"/>
        <w:ind w:left="426" w:right="257"/>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i/>
          <w:color w:val="000000"/>
        </w:rPr>
        <w:t>Los sujetos obligados deben poner en práctica, políticas y programas de acceso a la información que se apeguen a criterios de publicidad, veracidad, oportunidad, precisión y suficiencia en beneficio de los solicitantes.”</w:t>
      </w:r>
    </w:p>
    <w:p w:rsidR="00434736" w:rsidRPr="00C067E9" w:rsidRDefault="00434736">
      <w:pPr>
        <w:spacing w:line="360" w:lineRule="auto"/>
        <w:ind w:right="-592"/>
        <w:jc w:val="both"/>
        <w:rPr>
          <w:rFonts w:ascii="Palatino Linotype" w:eastAsia="Palatino Linotype" w:hAnsi="Palatino Linotype" w:cs="Palatino Linotype"/>
          <w:color w:val="000000"/>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C067E9">
        <w:rPr>
          <w:rFonts w:ascii="Palatino Linotype" w:eastAsia="Palatino Linotype" w:hAnsi="Palatino Linotype" w:cs="Palatino Linotype"/>
          <w:color w:val="000000"/>
          <w:vertAlign w:val="superscript"/>
        </w:rPr>
        <w:footnoteReference w:id="7"/>
      </w:r>
      <w:r w:rsidRPr="00C067E9">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434736" w:rsidRPr="00C067E9" w:rsidRDefault="00434736">
      <w:pPr>
        <w:spacing w:line="360" w:lineRule="auto"/>
        <w:ind w:right="-592"/>
        <w:jc w:val="both"/>
        <w:rPr>
          <w:rFonts w:ascii="Palatino Linotype" w:eastAsia="Palatino Linotype" w:hAnsi="Palatino Linotype" w:cs="Palatino Linotype"/>
          <w:color w:val="000000"/>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w:t>
      </w:r>
      <w:r w:rsidRPr="00C067E9">
        <w:rPr>
          <w:rFonts w:ascii="Palatino Linotype" w:eastAsia="Palatino Linotype" w:hAnsi="Palatino Linotype" w:cs="Palatino Linotype"/>
        </w:rPr>
        <w:t>a</w:t>
      </w:r>
      <w:r w:rsidRPr="00C067E9">
        <w:rPr>
          <w:rFonts w:ascii="Palatino Linotype" w:eastAsia="Palatino Linotype" w:hAnsi="Palatino Linotype" w:cs="Palatino Linotype"/>
          <w:color w:val="000000"/>
        </w:rPr>
        <w:t>nario Judicial de la Federación y su Gaceta en el libro XVIII, Marzo 2013, Página 1899.</w:t>
      </w:r>
    </w:p>
    <w:p w:rsidR="00434736" w:rsidRPr="00C067E9" w:rsidRDefault="00344535">
      <w:pPr>
        <w:pBdr>
          <w:top w:val="nil"/>
          <w:left w:val="nil"/>
          <w:bottom w:val="nil"/>
          <w:right w:val="nil"/>
          <w:between w:val="nil"/>
        </w:pBdr>
        <w:tabs>
          <w:tab w:val="left" w:pos="851"/>
        </w:tabs>
        <w:spacing w:line="360" w:lineRule="auto"/>
        <w:ind w:left="425" w:right="257"/>
        <w:jc w:val="both"/>
        <w:rPr>
          <w:rFonts w:ascii="Palatino Linotype" w:eastAsia="Palatino Linotype" w:hAnsi="Palatino Linotype" w:cs="Palatino Linotype"/>
          <w:i/>
          <w:color w:val="000000"/>
        </w:rPr>
      </w:pPr>
      <w:r w:rsidRPr="00C067E9">
        <w:rPr>
          <w:rFonts w:ascii="Palatino Linotype" w:eastAsia="Palatino Linotype" w:hAnsi="Palatino Linotype" w:cs="Palatino Linotype"/>
          <w:b/>
          <w:i/>
          <w:color w:val="000000"/>
        </w:rPr>
        <w:t>“ACCESO A LA INFORMACIÓN. IMPLICACIÓN DEL PRINCIPIO DE MÁXIMA PUBLICIDAD EN EL DERECHO FUNDAMENTAL RELATIVO.</w:t>
      </w:r>
      <w:r w:rsidRPr="00C067E9">
        <w:rPr>
          <w:rFonts w:ascii="Palatino Linotype" w:eastAsia="Palatino Linotype" w:hAnsi="Palatino Linotype" w:cs="Palatino Linotype"/>
          <w:i/>
          <w:color w:val="000000"/>
        </w:rPr>
        <w:t xml:space="preserve"> </w:t>
      </w:r>
      <w:r w:rsidRPr="00C067E9">
        <w:rPr>
          <w:rFonts w:ascii="Palatino Linotype" w:eastAsia="Palatino Linotype" w:hAnsi="Palatino Linotype" w:cs="Palatino Linotype"/>
          <w:i/>
          <w:color w:val="000000"/>
        </w:rPr>
        <w:lastRenderedPageBreak/>
        <w:t>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434736" w:rsidRPr="00C067E9" w:rsidRDefault="00434736">
      <w:pPr>
        <w:pBdr>
          <w:top w:val="nil"/>
          <w:left w:val="nil"/>
          <w:bottom w:val="nil"/>
          <w:right w:val="nil"/>
          <w:between w:val="nil"/>
        </w:pBdr>
        <w:tabs>
          <w:tab w:val="left" w:pos="851"/>
        </w:tabs>
        <w:spacing w:line="360" w:lineRule="auto"/>
        <w:ind w:right="257"/>
        <w:jc w:val="both"/>
        <w:rPr>
          <w:rFonts w:ascii="Palatino Linotype" w:eastAsia="Palatino Linotype" w:hAnsi="Palatino Linotype" w:cs="Palatino Linotype"/>
          <w:i/>
          <w:color w:val="000000"/>
        </w:rPr>
      </w:pPr>
    </w:p>
    <w:p w:rsidR="00434736" w:rsidRPr="00C067E9" w:rsidRDefault="00344535">
      <w:pPr>
        <w:pStyle w:val="Ttulo2"/>
        <w:spacing w:before="0" w:line="360" w:lineRule="auto"/>
        <w:rPr>
          <w:rFonts w:ascii="Palatino Linotype" w:eastAsia="Palatino Linotype" w:hAnsi="Palatino Linotype" w:cs="Palatino Linotype"/>
          <w:b/>
          <w:color w:val="000000"/>
          <w:sz w:val="24"/>
          <w:szCs w:val="24"/>
        </w:rPr>
      </w:pPr>
      <w:r w:rsidRPr="00C067E9">
        <w:rPr>
          <w:rFonts w:ascii="Palatino Linotype" w:eastAsia="Palatino Linotype" w:hAnsi="Palatino Linotype" w:cs="Palatino Linotype"/>
          <w:b/>
          <w:color w:val="000000"/>
          <w:sz w:val="24"/>
          <w:szCs w:val="24"/>
        </w:rPr>
        <w:lastRenderedPageBreak/>
        <w:t>QUINTA. De la versión pública</w:t>
      </w:r>
    </w:p>
    <w:p w:rsidR="00434736" w:rsidRPr="00C067E9" w:rsidRDefault="00344535">
      <w:pPr>
        <w:pStyle w:val="Ttulo1"/>
        <w:numPr>
          <w:ilvl w:val="0"/>
          <w:numId w:val="6"/>
        </w:numPr>
        <w:spacing w:before="0" w:line="360" w:lineRule="auto"/>
        <w:rPr>
          <w:rFonts w:ascii="Palatino Linotype" w:eastAsia="Palatino Linotype" w:hAnsi="Palatino Linotype" w:cs="Palatino Linotype"/>
          <w:b/>
          <w:color w:val="000000"/>
          <w:sz w:val="24"/>
          <w:szCs w:val="24"/>
        </w:rPr>
      </w:pPr>
      <w:r w:rsidRPr="00C067E9">
        <w:rPr>
          <w:rFonts w:ascii="Palatino Linotype" w:eastAsia="Palatino Linotype" w:hAnsi="Palatino Linotype" w:cs="Palatino Linotype"/>
          <w:b/>
          <w:color w:val="000000"/>
          <w:sz w:val="24"/>
          <w:szCs w:val="24"/>
        </w:rPr>
        <w:t xml:space="preserve">Nociones generales. </w:t>
      </w: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Debe destacarse que, debido a la naturaleza de la información solicitada</w:t>
      </w:r>
      <w:r w:rsidRPr="00C067E9">
        <w:rPr>
          <w:rFonts w:ascii="Palatino Linotype" w:eastAsia="Palatino Linotype" w:hAnsi="Palatino Linotype" w:cs="Palatino Linotype"/>
          <w:b/>
          <w:color w:val="000000"/>
        </w:rPr>
        <w:t xml:space="preserve">, </w:t>
      </w:r>
      <w:r w:rsidRPr="00C067E9">
        <w:rPr>
          <w:rFonts w:ascii="Palatino Linotype" w:eastAsia="Palatino Linotype" w:hAnsi="Palatino Linotype" w:cs="Palatino Linotype"/>
          <w:color w:val="000000"/>
        </w:rPr>
        <w:t xml:space="preserve">eventualmente pudiera obrar datos personales susceptibles de protegerse, el </w:t>
      </w:r>
      <w:r w:rsidRPr="00C067E9">
        <w:rPr>
          <w:rFonts w:ascii="Palatino Linotype" w:eastAsia="Palatino Linotype" w:hAnsi="Palatino Linotype" w:cs="Palatino Linotype"/>
          <w:b/>
          <w:color w:val="000000"/>
        </w:rPr>
        <w:t xml:space="preserve">Sujeto Obligado </w:t>
      </w:r>
      <w:r w:rsidRPr="00C067E9">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434736" w:rsidRPr="00C067E9" w:rsidRDefault="00434736">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No pasa desapercibido para este Órgano Garante que los </w:t>
      </w:r>
      <w:r w:rsidRPr="00C067E9">
        <w:rPr>
          <w:rFonts w:ascii="Palatino Linotype" w:eastAsia="Palatino Linotype" w:hAnsi="Palatino Linotype" w:cs="Palatino Linotype"/>
          <w:b/>
          <w:color w:val="000000"/>
        </w:rPr>
        <w:t xml:space="preserve">Sujetos Obligados </w:t>
      </w:r>
      <w:r w:rsidRPr="00C067E9">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434736" w:rsidRPr="00C067E9" w:rsidRDefault="00434736">
      <w:pPr>
        <w:spacing w:line="360" w:lineRule="auto"/>
        <w:ind w:right="49"/>
        <w:jc w:val="both"/>
        <w:rPr>
          <w:rFonts w:ascii="Palatino Linotype" w:eastAsia="Palatino Linotype" w:hAnsi="Palatino Linotype" w:cs="Palatino Linotype"/>
          <w:color w:val="000000"/>
        </w:rPr>
      </w:pPr>
    </w:p>
    <w:tbl>
      <w:tblPr>
        <w:tblStyle w:val="a2"/>
        <w:tblW w:w="958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45"/>
        <w:gridCol w:w="7740"/>
      </w:tblGrid>
      <w:tr w:rsidR="00434736" w:rsidRPr="00C067E9" w:rsidTr="004347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Pr>
          <w:p w:rsidR="00434736" w:rsidRPr="00C067E9" w:rsidRDefault="00344535">
            <w:pPr>
              <w:spacing w:line="360" w:lineRule="auto"/>
              <w:rPr>
                <w:rFonts w:ascii="Palatino Linotype" w:eastAsia="Palatino Linotype" w:hAnsi="Palatino Linotype" w:cs="Palatino Linotype"/>
              </w:rPr>
            </w:pPr>
            <w:r w:rsidRPr="00C067E9">
              <w:rPr>
                <w:rFonts w:ascii="Palatino Linotype" w:eastAsia="Palatino Linotype" w:hAnsi="Palatino Linotype" w:cs="Palatino Linotype"/>
              </w:rPr>
              <w:t>a) Requisitos previos.</w:t>
            </w:r>
          </w:p>
        </w:tc>
        <w:tc>
          <w:tcPr>
            <w:tcW w:w="7740" w:type="dxa"/>
          </w:tcPr>
          <w:p w:rsidR="00434736" w:rsidRPr="00C067E9" w:rsidRDefault="00344535">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C067E9">
              <w:rPr>
                <w:rFonts w:ascii="Palatino Linotype" w:eastAsia="Palatino Linotype" w:hAnsi="Palatino Linotype" w:cs="Palatino Linotype"/>
                <w:b w:val="0"/>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434736" w:rsidRPr="00C067E9" w:rsidRDefault="00344535">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C067E9">
              <w:rPr>
                <w:rFonts w:ascii="Palatino Linotype" w:eastAsia="Palatino Linotype" w:hAnsi="Palatino Linotype" w:cs="Palatino Linotype"/>
                <w:b w:val="0"/>
                <w:color w:val="000000"/>
              </w:rPr>
              <w:t>Al hacerlo tienen que precisar de qué información se trata, señalando el supuesto de clasificación (confidencialidad o reserva).</w:t>
            </w:r>
          </w:p>
          <w:p w:rsidR="00434736" w:rsidRPr="00C067E9" w:rsidRDefault="00344535">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C067E9">
              <w:rPr>
                <w:rFonts w:ascii="Palatino Linotype" w:eastAsia="Palatino Linotype" w:hAnsi="Palatino Linotype" w:cs="Palatino Linotype"/>
                <w:b w:val="0"/>
                <w:color w:val="000000"/>
              </w:rPr>
              <w:t>Además, se debe señalar el procedimiento, de los tres que establecen los artículos 132 y 106 de la Ley Estatal y General, respectivamente.</w:t>
            </w:r>
          </w:p>
          <w:p w:rsidR="00434736" w:rsidRPr="00C067E9" w:rsidRDefault="00344535">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C067E9">
              <w:rPr>
                <w:rFonts w:ascii="Palatino Linotype" w:eastAsia="Palatino Linotype" w:hAnsi="Palatino Linotype" w:cs="Palatino Linotype"/>
                <w:b w:val="0"/>
                <w:color w:val="000000"/>
              </w:rPr>
              <w:lastRenderedPageBreak/>
              <w:t xml:space="preserve">El último de estos requisitos previos consiste en que no se pueden emitir acuerdos de carácter general ni particular, esto es, </w:t>
            </w:r>
            <w:r w:rsidRPr="00C067E9">
              <w:rPr>
                <w:rFonts w:ascii="Palatino Linotype" w:eastAsia="Palatino Linotype" w:hAnsi="Palatino Linotype" w:cs="Palatino Linotype"/>
                <w:b w:val="0"/>
                <w:color w:val="000000"/>
                <w:u w:val="single"/>
              </w:rPr>
              <w:t>no se puede hacer un acuerdo para clasificar de manera general todos los documentos de un expediente o área, sin</w:t>
            </w:r>
            <w:r w:rsidRPr="00C067E9">
              <w:rPr>
                <w:rFonts w:ascii="Palatino Linotype" w:eastAsia="Palatino Linotype" w:hAnsi="Palatino Linotype" w:cs="Palatino Linotype"/>
                <w:b w:val="0"/>
                <w:color w:val="000000"/>
              </w:rPr>
              <w:t xml:space="preserve"> individualizar su análisis y tampoco se puede hacer un acuerdo por cada dato que se vaya a clasificar dentro de un documento con diez datos, por ejemplo, susceptibles de ser clasificados.</w:t>
            </w:r>
          </w:p>
        </w:tc>
      </w:tr>
      <w:tr w:rsidR="00434736" w:rsidRPr="00C067E9" w:rsidTr="00434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Pr>
          <w:p w:rsidR="00434736" w:rsidRPr="00C067E9" w:rsidRDefault="00344535">
            <w:pPr>
              <w:spacing w:line="360" w:lineRule="auto"/>
              <w:rPr>
                <w:rFonts w:ascii="Palatino Linotype" w:eastAsia="Palatino Linotype" w:hAnsi="Palatino Linotype" w:cs="Palatino Linotype"/>
              </w:rPr>
            </w:pPr>
            <w:r w:rsidRPr="00C067E9">
              <w:rPr>
                <w:rFonts w:ascii="Palatino Linotype" w:eastAsia="Palatino Linotype" w:hAnsi="Palatino Linotype" w:cs="Palatino Linotype"/>
              </w:rPr>
              <w:lastRenderedPageBreak/>
              <w:t>b) Supuestos de clasificación.</w:t>
            </w:r>
          </w:p>
        </w:tc>
        <w:tc>
          <w:tcPr>
            <w:tcW w:w="7740" w:type="dxa"/>
          </w:tcPr>
          <w:p w:rsidR="00434736" w:rsidRPr="00C067E9" w:rsidRDefault="00344535">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434736" w:rsidRPr="00C067E9" w:rsidRDefault="00344535">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434736" w:rsidRPr="00C067E9" w:rsidRDefault="00344535">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C067E9">
              <w:rPr>
                <w:rFonts w:ascii="Palatino Linotype" w:eastAsia="Palatino Linotype" w:hAnsi="Palatino Linotype" w:cs="Palatino Linotype"/>
                <w:color w:val="000000"/>
              </w:rPr>
              <w:t xml:space="preserve">El </w:t>
            </w:r>
            <w:r w:rsidRPr="00C067E9">
              <w:rPr>
                <w:rFonts w:ascii="Palatino Linotype" w:eastAsia="Palatino Linotype" w:hAnsi="Palatino Linotype" w:cs="Palatino Linotype"/>
                <w:b/>
                <w:color w:val="000000"/>
              </w:rPr>
              <w:t>Sujeto Obligado</w:t>
            </w:r>
            <w:r w:rsidRPr="00C067E9">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34736" w:rsidRPr="00C067E9" w:rsidTr="00434736">
        <w:tc>
          <w:tcPr>
            <w:cnfStyle w:val="001000000000" w:firstRow="0" w:lastRow="0" w:firstColumn="1" w:lastColumn="0" w:oddVBand="0" w:evenVBand="0" w:oddHBand="0" w:evenHBand="0" w:firstRowFirstColumn="0" w:firstRowLastColumn="0" w:lastRowFirstColumn="0" w:lastRowLastColumn="0"/>
            <w:tcW w:w="1845" w:type="dxa"/>
          </w:tcPr>
          <w:p w:rsidR="00434736" w:rsidRPr="00C067E9" w:rsidRDefault="00344535">
            <w:pPr>
              <w:spacing w:line="360" w:lineRule="auto"/>
              <w:rPr>
                <w:rFonts w:ascii="Palatino Linotype" w:eastAsia="Palatino Linotype" w:hAnsi="Palatino Linotype" w:cs="Palatino Linotype"/>
              </w:rPr>
            </w:pPr>
            <w:r w:rsidRPr="00C067E9">
              <w:rPr>
                <w:rFonts w:ascii="Palatino Linotype" w:eastAsia="Palatino Linotype" w:hAnsi="Palatino Linotype" w:cs="Palatino Linotype"/>
              </w:rPr>
              <w:lastRenderedPageBreak/>
              <w:t>c) Formalidades para emitir el acuerdo de clasificación.</w:t>
            </w:r>
          </w:p>
        </w:tc>
        <w:tc>
          <w:tcPr>
            <w:tcW w:w="7740" w:type="dxa"/>
          </w:tcPr>
          <w:p w:rsidR="00434736" w:rsidRPr="00C067E9" w:rsidRDefault="00344535">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434736" w:rsidRPr="00C067E9" w:rsidRDefault="00344535">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Es necesario que </w:t>
            </w:r>
            <w:r w:rsidRPr="00C067E9">
              <w:rPr>
                <w:rFonts w:ascii="Palatino Linotype" w:eastAsia="Palatino Linotype" w:hAnsi="Palatino Linotype" w:cs="Palatino Linotype"/>
                <w:b/>
                <w:color w:val="000000"/>
                <w:u w:val="single"/>
              </w:rPr>
              <w:t>el acto reúna con los requisitos elementales</w:t>
            </w:r>
            <w:r w:rsidRPr="00C067E9">
              <w:rPr>
                <w:rFonts w:ascii="Palatino Linotype" w:eastAsia="Palatino Linotype" w:hAnsi="Palatino Linotype" w:cs="Palatino Linotype"/>
                <w:color w:val="000000"/>
              </w:rPr>
              <w:t>, entre ellos, que la autoridad que va a emitir el acto de autoridad sea la legalmente facultada para ello.</w:t>
            </w:r>
          </w:p>
          <w:p w:rsidR="00434736" w:rsidRPr="00C067E9" w:rsidRDefault="00344535">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C067E9">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w:t>
            </w:r>
            <w:r w:rsidRPr="00C067E9">
              <w:rPr>
                <w:rFonts w:ascii="Palatino Linotype" w:eastAsia="Palatino Linotype" w:hAnsi="Palatino Linotype" w:cs="Palatino Linotype"/>
              </w:rPr>
              <w:t>El área</w:t>
            </w:r>
            <w:r w:rsidRPr="00C067E9">
              <w:rPr>
                <w:rFonts w:ascii="Palatino Linotype" w:eastAsia="Palatino Linotype" w:hAnsi="Palatino Linotype" w:cs="Palatino Linotype"/>
                <w:color w:val="000000"/>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34736" w:rsidRPr="00C067E9" w:rsidTr="00434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Pr>
          <w:p w:rsidR="00434736" w:rsidRPr="00C067E9" w:rsidRDefault="00434736">
            <w:pPr>
              <w:spacing w:line="360" w:lineRule="auto"/>
              <w:rPr>
                <w:rFonts w:ascii="Palatino Linotype" w:eastAsia="Palatino Linotype" w:hAnsi="Palatino Linotype" w:cs="Palatino Linotype"/>
              </w:rPr>
            </w:pPr>
          </w:p>
          <w:p w:rsidR="00434736" w:rsidRPr="00C067E9" w:rsidRDefault="00344535">
            <w:pPr>
              <w:spacing w:line="360" w:lineRule="auto"/>
              <w:jc w:val="both"/>
              <w:rPr>
                <w:rFonts w:ascii="Palatino Linotype" w:eastAsia="Palatino Linotype" w:hAnsi="Palatino Linotype" w:cs="Palatino Linotype"/>
              </w:rPr>
            </w:pPr>
            <w:r w:rsidRPr="00C067E9">
              <w:rPr>
                <w:rFonts w:ascii="Palatino Linotype" w:eastAsia="Palatino Linotype" w:hAnsi="Palatino Linotype" w:cs="Palatino Linotype"/>
                <w:color w:val="000000"/>
              </w:rPr>
              <w:t xml:space="preserve">d) Requisitos de fondo del acuerdo de clasificación. </w:t>
            </w:r>
          </w:p>
        </w:tc>
        <w:tc>
          <w:tcPr>
            <w:tcW w:w="7740" w:type="dxa"/>
          </w:tcPr>
          <w:p w:rsidR="00434736" w:rsidRPr="00C067E9" w:rsidRDefault="00344535">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C067E9">
              <w:rPr>
                <w:rFonts w:ascii="Palatino Linotype" w:eastAsia="Palatino Linotype" w:hAnsi="Palatino Linotype" w:cs="Palatino Linotype"/>
                <w:b/>
                <w:color w:val="000000"/>
              </w:rPr>
              <w:t>Sujetos Obligados</w:t>
            </w:r>
            <w:r w:rsidRPr="00C067E9">
              <w:rPr>
                <w:rFonts w:ascii="Palatino Linotype" w:eastAsia="Palatino Linotype" w:hAnsi="Palatino Linotype" w:cs="Palatino Linotype"/>
                <w:color w:val="000000"/>
              </w:rPr>
              <w:t xml:space="preserve">, por lo que deberán fundar y motivar debidamente la clasificación. </w:t>
            </w:r>
          </w:p>
          <w:p w:rsidR="00434736" w:rsidRPr="00C067E9" w:rsidRDefault="00344535">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De lo anterior, se desprende que para una correcta </w:t>
            </w:r>
            <w:r w:rsidRPr="00C067E9">
              <w:rPr>
                <w:rFonts w:ascii="Palatino Linotype" w:eastAsia="Palatino Linotype" w:hAnsi="Palatino Linotype" w:cs="Palatino Linotype"/>
                <w:b/>
                <w:color w:val="000000"/>
              </w:rPr>
              <w:t>clasificación total o parcial</w:t>
            </w:r>
            <w:r w:rsidRPr="00C067E9">
              <w:rPr>
                <w:rFonts w:ascii="Palatino Linotype" w:eastAsia="Palatino Linotype" w:hAnsi="Palatino Linotype" w:cs="Palatino Linotype"/>
                <w:color w:val="000000"/>
              </w:rPr>
              <w:t xml:space="preserve">, esto es determinar los datos que se suprimen en las versiones </w:t>
            </w:r>
            <w:r w:rsidRPr="00C067E9">
              <w:rPr>
                <w:rFonts w:ascii="Palatino Linotype" w:eastAsia="Palatino Linotype" w:hAnsi="Palatino Linotype" w:cs="Palatino Linotype"/>
                <w:color w:val="000000"/>
              </w:rPr>
              <w:lastRenderedPageBreak/>
              <w:t>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434736" w:rsidRPr="00C067E9" w:rsidRDefault="00344535">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434736" w:rsidRPr="00C067E9" w:rsidRDefault="00344535">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434736" w:rsidRPr="00C067E9" w:rsidRDefault="00344535">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Ahora bien, </w:t>
            </w:r>
            <w:r w:rsidRPr="00C067E9">
              <w:rPr>
                <w:rFonts w:ascii="Palatino Linotype" w:eastAsia="Palatino Linotype" w:hAnsi="Palatino Linotype" w:cs="Palatino Linotype"/>
                <w:b/>
                <w:color w:val="000000"/>
                <w:u w:val="single"/>
              </w:rPr>
              <w:t>para cada caso además de fundar y motivar</w:t>
            </w:r>
            <w:r w:rsidRPr="00C067E9">
              <w:rPr>
                <w:rFonts w:ascii="Palatino Linotype" w:eastAsia="Palatino Linotype" w:hAnsi="Palatino Linotype" w:cs="Palatino Linotype"/>
                <w:color w:val="000000"/>
              </w:rPr>
              <w:t xml:space="preserve">, se debe identificar con claridad </w:t>
            </w:r>
            <w:r w:rsidRPr="00C067E9">
              <w:rPr>
                <w:rFonts w:ascii="Palatino Linotype" w:eastAsia="Palatino Linotype" w:hAnsi="Palatino Linotype" w:cs="Palatino Linotype"/>
              </w:rPr>
              <w:t>qué</w:t>
            </w:r>
            <w:r w:rsidRPr="00C067E9">
              <w:rPr>
                <w:rFonts w:ascii="Palatino Linotype" w:eastAsia="Palatino Linotype" w:hAnsi="Palatino Linotype" w:cs="Palatino Linotype"/>
                <w:color w:val="000000"/>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34736" w:rsidRPr="00C067E9" w:rsidTr="00434736">
        <w:tc>
          <w:tcPr>
            <w:cnfStyle w:val="001000000000" w:firstRow="0" w:lastRow="0" w:firstColumn="1" w:lastColumn="0" w:oddVBand="0" w:evenVBand="0" w:oddHBand="0" w:evenHBand="0" w:firstRowFirstColumn="0" w:firstRowLastColumn="0" w:lastRowFirstColumn="0" w:lastRowLastColumn="0"/>
            <w:tcW w:w="1845" w:type="dxa"/>
          </w:tcPr>
          <w:p w:rsidR="00434736" w:rsidRPr="00C067E9" w:rsidRDefault="00344535">
            <w:pPr>
              <w:spacing w:line="360" w:lineRule="auto"/>
              <w:ind w:right="49"/>
              <w:jc w:val="both"/>
              <w:rPr>
                <w:rFonts w:ascii="Palatino Linotype" w:eastAsia="Palatino Linotype" w:hAnsi="Palatino Linotype" w:cs="Palatino Linotype"/>
              </w:rPr>
            </w:pPr>
            <w:r w:rsidRPr="00C067E9">
              <w:rPr>
                <w:rFonts w:ascii="Palatino Linotype" w:eastAsia="Palatino Linotype" w:hAnsi="Palatino Linotype" w:cs="Palatino Linotype"/>
                <w:b w:val="0"/>
              </w:rPr>
              <w:lastRenderedPageBreak/>
              <w:t>e</w:t>
            </w:r>
            <w:r w:rsidRPr="00C067E9">
              <w:rPr>
                <w:rFonts w:ascii="Palatino Linotype" w:eastAsia="Palatino Linotype" w:hAnsi="Palatino Linotype" w:cs="Palatino Linotype"/>
              </w:rPr>
              <w:t xml:space="preserve">) Condiciones especiales de la clasificación de la información como confidencial. </w:t>
            </w:r>
          </w:p>
        </w:tc>
        <w:tc>
          <w:tcPr>
            <w:tcW w:w="7740" w:type="dxa"/>
          </w:tcPr>
          <w:p w:rsidR="00434736" w:rsidRPr="00C067E9" w:rsidRDefault="00344535">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rsidR="00434736" w:rsidRPr="00C067E9" w:rsidRDefault="00344535">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C067E9">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434736" w:rsidRPr="00C067E9" w:rsidRDefault="00344535">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C067E9">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434736" w:rsidRPr="00C067E9" w:rsidRDefault="00434736">
      <w:pPr>
        <w:spacing w:line="360" w:lineRule="auto"/>
        <w:ind w:right="49"/>
        <w:jc w:val="both"/>
        <w:rPr>
          <w:rFonts w:ascii="Palatino Linotype" w:eastAsia="Palatino Linotype" w:hAnsi="Palatino Linotype" w:cs="Palatino Linotype"/>
          <w:color w:val="000000"/>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rPr>
        <w:t xml:space="preserve">Si el servidor público incumple con estas formalidades y entrega la información sin </w:t>
      </w:r>
      <w:r w:rsidRPr="00C067E9">
        <w:rPr>
          <w:rFonts w:ascii="Palatino Linotype" w:eastAsia="Palatino Linotype" w:hAnsi="Palatino Linotype" w:cs="Palatino Linotype"/>
          <w:color w:val="000000"/>
        </w:rPr>
        <w:t>proteger</w:t>
      </w:r>
      <w:r w:rsidRPr="00C067E9">
        <w:rPr>
          <w:rFonts w:ascii="Palatino Linotype" w:eastAsia="Palatino Linotype" w:hAnsi="Palatino Linotype" w:cs="Palatino Linotype"/>
        </w:rPr>
        <w:t xml:space="preserve"> los datos personales incumple con lo que estipula las disposiciones legales establecidas, asimismo que si entrega un documento testado sin el debido acuerdo de clasificación.</w:t>
      </w:r>
    </w:p>
    <w:p w:rsidR="00434736" w:rsidRPr="00C067E9" w:rsidRDefault="00434736">
      <w:pPr>
        <w:spacing w:line="360" w:lineRule="auto"/>
        <w:jc w:val="both"/>
        <w:rPr>
          <w:rFonts w:ascii="Palatino Linotype" w:eastAsia="Palatino Linotype" w:hAnsi="Palatino Linotype" w:cs="Palatino Linotype"/>
          <w:i/>
          <w:color w:val="000000"/>
        </w:rPr>
      </w:pPr>
    </w:p>
    <w:p w:rsidR="00434736" w:rsidRPr="00C067E9" w:rsidRDefault="00344535">
      <w:pPr>
        <w:numPr>
          <w:ilvl w:val="0"/>
          <w:numId w:val="1"/>
        </w:numPr>
        <w:spacing w:line="360" w:lineRule="auto"/>
        <w:ind w:left="0" w:firstLine="0"/>
        <w:jc w:val="both"/>
        <w:rPr>
          <w:rFonts w:ascii="Palatino Linotype" w:eastAsia="Palatino Linotype" w:hAnsi="Palatino Linotype" w:cs="Palatino Linotype"/>
          <w:color w:val="000000"/>
        </w:rPr>
      </w:pPr>
      <w:r w:rsidRPr="00C067E9">
        <w:rPr>
          <w:rFonts w:ascii="Palatino Linotype" w:eastAsia="Palatino Linotype" w:hAnsi="Palatino Linotype" w:cs="Palatino Linotype"/>
        </w:rPr>
        <w:t>Por</w:t>
      </w:r>
      <w:r w:rsidRPr="00C067E9">
        <w:rPr>
          <w:rFonts w:ascii="Palatino Linotype" w:eastAsia="Palatino Linotype" w:hAnsi="Palatino Linotype" w:cs="Palatino Linotype"/>
          <w:color w:val="222222"/>
        </w:rPr>
        <w:t xml:space="preserve"> lo </w:t>
      </w:r>
      <w:r w:rsidRPr="00C067E9">
        <w:rPr>
          <w:rFonts w:ascii="Palatino Linotype" w:eastAsia="Palatino Linotype" w:hAnsi="Palatino Linotype" w:cs="Palatino Linotype"/>
        </w:rPr>
        <w:t>anteriormente</w:t>
      </w:r>
      <w:r w:rsidRPr="00C067E9">
        <w:rPr>
          <w:rFonts w:ascii="Palatino Linotype" w:eastAsia="Palatino Linotype" w:hAnsi="Palatino Linotype" w:cs="Palatino Linotype"/>
          <w:color w:val="222222"/>
        </w:rPr>
        <w:t xml:space="preserve"> expuesto y fundado, este </w:t>
      </w:r>
      <w:r w:rsidRPr="00C067E9">
        <w:rPr>
          <w:rFonts w:ascii="Palatino Linotype" w:eastAsia="Palatino Linotype" w:hAnsi="Palatino Linotype" w:cs="Palatino Linotype"/>
          <w:b/>
          <w:color w:val="222222"/>
        </w:rPr>
        <w:t>ÓRGANO GARANTE</w:t>
      </w:r>
      <w:r w:rsidRPr="00C067E9">
        <w:rPr>
          <w:rFonts w:ascii="Palatino Linotype" w:eastAsia="Palatino Linotype" w:hAnsi="Palatino Linotype" w:cs="Palatino Linotype"/>
          <w:color w:val="222222"/>
        </w:rPr>
        <w:t xml:space="preserve"> emite los </w:t>
      </w:r>
      <w:r w:rsidRPr="00C067E9">
        <w:rPr>
          <w:rFonts w:ascii="Palatino Linotype" w:eastAsia="Palatino Linotype" w:hAnsi="Palatino Linotype" w:cs="Palatino Linotype"/>
          <w:color w:val="000000"/>
        </w:rPr>
        <w:t>siguientes</w:t>
      </w:r>
      <w:r w:rsidRPr="00C067E9">
        <w:rPr>
          <w:rFonts w:ascii="Palatino Linotype" w:eastAsia="Palatino Linotype" w:hAnsi="Palatino Linotype" w:cs="Palatino Linotype"/>
          <w:color w:val="222222"/>
        </w:rPr>
        <w:t xml:space="preserve">: </w:t>
      </w:r>
    </w:p>
    <w:p w:rsidR="00434736" w:rsidRPr="00C067E9" w:rsidRDefault="00434736">
      <w:pPr>
        <w:spacing w:line="360" w:lineRule="auto"/>
        <w:rPr>
          <w:rFonts w:ascii="Palatino Linotype" w:eastAsia="Palatino Linotype" w:hAnsi="Palatino Linotype" w:cs="Palatino Linotype"/>
        </w:rPr>
      </w:pPr>
      <w:bookmarkStart w:id="7" w:name="_heading=h.4d34og8" w:colFirst="0" w:colLast="0"/>
      <w:bookmarkEnd w:id="7"/>
    </w:p>
    <w:p w:rsidR="00434736" w:rsidRPr="00C067E9" w:rsidRDefault="00344535">
      <w:pPr>
        <w:pStyle w:val="Ttulo1"/>
        <w:spacing w:before="0" w:line="360" w:lineRule="auto"/>
        <w:jc w:val="center"/>
        <w:rPr>
          <w:rFonts w:ascii="Palatino Linotype" w:eastAsia="Palatino Linotype" w:hAnsi="Palatino Linotype" w:cs="Palatino Linotype"/>
          <w:b/>
          <w:color w:val="000000"/>
          <w:sz w:val="24"/>
          <w:szCs w:val="24"/>
        </w:rPr>
      </w:pPr>
      <w:r w:rsidRPr="00C067E9">
        <w:rPr>
          <w:rFonts w:ascii="Palatino Linotype" w:eastAsia="Palatino Linotype" w:hAnsi="Palatino Linotype" w:cs="Palatino Linotype"/>
          <w:b/>
          <w:color w:val="000000"/>
          <w:sz w:val="24"/>
          <w:szCs w:val="24"/>
        </w:rPr>
        <w:lastRenderedPageBreak/>
        <w:t>R E S O L U T I V O S</w:t>
      </w:r>
    </w:p>
    <w:p w:rsidR="00434736" w:rsidRPr="00C067E9" w:rsidRDefault="00434736">
      <w:pPr>
        <w:spacing w:line="360" w:lineRule="auto"/>
        <w:rPr>
          <w:rFonts w:ascii="Palatino Linotype" w:eastAsia="Palatino Linotype" w:hAnsi="Palatino Linotype" w:cs="Palatino Linotype"/>
        </w:rPr>
      </w:pPr>
    </w:p>
    <w:p w:rsidR="00434736" w:rsidRPr="00C067E9" w:rsidRDefault="00344535">
      <w:pPr>
        <w:spacing w:line="360" w:lineRule="auto"/>
        <w:ind w:right="-592"/>
        <w:jc w:val="both"/>
        <w:rPr>
          <w:rFonts w:ascii="Palatino Linotype" w:eastAsia="Palatino Linotype" w:hAnsi="Palatino Linotype" w:cs="Palatino Linotype"/>
        </w:rPr>
      </w:pPr>
      <w:bookmarkStart w:id="8" w:name="_heading=h.1t3h5sf" w:colFirst="0" w:colLast="0"/>
      <w:bookmarkEnd w:id="8"/>
      <w:r w:rsidRPr="00C067E9">
        <w:rPr>
          <w:rFonts w:ascii="Palatino Linotype" w:eastAsia="Palatino Linotype" w:hAnsi="Palatino Linotype" w:cs="Palatino Linotype"/>
          <w:b/>
        </w:rPr>
        <w:t xml:space="preserve">PRIMERO. </w:t>
      </w:r>
      <w:r w:rsidRPr="00C067E9">
        <w:rPr>
          <w:rFonts w:ascii="Palatino Linotype" w:eastAsia="Palatino Linotype" w:hAnsi="Palatino Linotype" w:cs="Palatino Linotype"/>
        </w:rPr>
        <w:t>Resultan fundadas las</w:t>
      </w:r>
      <w:r w:rsidRPr="00C067E9">
        <w:rPr>
          <w:rFonts w:ascii="Palatino Linotype" w:eastAsia="Palatino Linotype" w:hAnsi="Palatino Linotype" w:cs="Palatino Linotype"/>
          <w:b/>
        </w:rPr>
        <w:t xml:space="preserve"> </w:t>
      </w:r>
      <w:r w:rsidRPr="00C067E9">
        <w:rPr>
          <w:rFonts w:ascii="Palatino Linotype" w:eastAsia="Palatino Linotype" w:hAnsi="Palatino Linotype" w:cs="Palatino Linotype"/>
        </w:rPr>
        <w:t xml:space="preserve">razones o motivos de inconformidad hechos valer en el Recurso de Revisión </w:t>
      </w:r>
      <w:r w:rsidRPr="00C067E9">
        <w:rPr>
          <w:rFonts w:ascii="Palatino Linotype" w:eastAsia="Palatino Linotype" w:hAnsi="Palatino Linotype" w:cs="Palatino Linotype"/>
          <w:b/>
          <w:color w:val="000000"/>
        </w:rPr>
        <w:t>06653/INFOEM/IP/RR/2024</w:t>
      </w:r>
      <w:r w:rsidRPr="00C067E9">
        <w:rPr>
          <w:rFonts w:ascii="Palatino Linotype" w:eastAsia="Palatino Linotype" w:hAnsi="Palatino Linotype" w:cs="Palatino Linotype"/>
          <w:b/>
        </w:rPr>
        <w:t xml:space="preserve">, </w:t>
      </w:r>
      <w:r w:rsidRPr="00C067E9">
        <w:rPr>
          <w:rFonts w:ascii="Palatino Linotype" w:eastAsia="Palatino Linotype" w:hAnsi="Palatino Linotype" w:cs="Palatino Linotype"/>
        </w:rPr>
        <w:t>en términos de los</w:t>
      </w:r>
      <w:r w:rsidRPr="00C067E9">
        <w:rPr>
          <w:rFonts w:ascii="Palatino Linotype" w:eastAsia="Palatino Linotype" w:hAnsi="Palatino Linotype" w:cs="Palatino Linotype"/>
          <w:b/>
        </w:rPr>
        <w:t xml:space="preserve"> Considerandos</w:t>
      </w:r>
      <w:r w:rsidRPr="00C067E9">
        <w:rPr>
          <w:rFonts w:ascii="Palatino Linotype" w:eastAsia="Palatino Linotype" w:hAnsi="Palatino Linotype" w:cs="Palatino Linotype"/>
        </w:rPr>
        <w:t xml:space="preserve"> </w:t>
      </w:r>
      <w:r w:rsidRPr="00C067E9">
        <w:rPr>
          <w:rFonts w:ascii="Palatino Linotype" w:eastAsia="Palatino Linotype" w:hAnsi="Palatino Linotype" w:cs="Palatino Linotype"/>
          <w:b/>
        </w:rPr>
        <w:t>Cuarto</w:t>
      </w:r>
      <w:r w:rsidRPr="00C067E9">
        <w:rPr>
          <w:rFonts w:ascii="Palatino Linotype" w:eastAsia="Palatino Linotype" w:hAnsi="Palatino Linotype" w:cs="Palatino Linotype"/>
        </w:rPr>
        <w:t xml:space="preserve"> y </w:t>
      </w:r>
      <w:r w:rsidRPr="00C067E9">
        <w:rPr>
          <w:rFonts w:ascii="Palatino Linotype" w:eastAsia="Palatino Linotype" w:hAnsi="Palatino Linotype" w:cs="Palatino Linotype"/>
          <w:b/>
        </w:rPr>
        <w:t xml:space="preserve">Quinto </w:t>
      </w:r>
      <w:r w:rsidRPr="00C067E9">
        <w:rPr>
          <w:rFonts w:ascii="Palatino Linotype" w:eastAsia="Palatino Linotype" w:hAnsi="Palatino Linotype" w:cs="Palatino Linotype"/>
        </w:rPr>
        <w:t>de la presente Resolución.</w:t>
      </w:r>
    </w:p>
    <w:p w:rsidR="00434736" w:rsidRPr="00C067E9" w:rsidRDefault="00434736">
      <w:pPr>
        <w:spacing w:line="360" w:lineRule="auto"/>
        <w:ind w:right="-592"/>
        <w:jc w:val="both"/>
        <w:rPr>
          <w:rFonts w:ascii="Palatino Linotype" w:eastAsia="Palatino Linotype" w:hAnsi="Palatino Linotype" w:cs="Palatino Linotype"/>
        </w:rPr>
      </w:pPr>
    </w:p>
    <w:p w:rsidR="00434736" w:rsidRPr="00C067E9" w:rsidRDefault="00344535">
      <w:pPr>
        <w:spacing w:line="360" w:lineRule="auto"/>
        <w:ind w:right="-592"/>
        <w:jc w:val="both"/>
        <w:rPr>
          <w:rFonts w:ascii="Palatino Linotype" w:eastAsia="Palatino Linotype" w:hAnsi="Palatino Linotype" w:cs="Palatino Linotype"/>
        </w:rPr>
      </w:pPr>
      <w:r w:rsidRPr="00C067E9">
        <w:rPr>
          <w:rFonts w:ascii="Palatino Linotype" w:eastAsia="Palatino Linotype" w:hAnsi="Palatino Linotype" w:cs="Palatino Linotype"/>
          <w:b/>
        </w:rPr>
        <w:t>SEGUNDO.</w:t>
      </w:r>
      <w:r w:rsidRPr="00C067E9">
        <w:rPr>
          <w:rFonts w:ascii="Palatino Linotype" w:eastAsia="Palatino Linotype" w:hAnsi="Palatino Linotype" w:cs="Palatino Linotype"/>
          <w:color w:val="2F5496"/>
        </w:rPr>
        <w:t xml:space="preserve"> </w:t>
      </w:r>
      <w:r w:rsidRPr="00C067E9">
        <w:rPr>
          <w:rFonts w:ascii="Palatino Linotype" w:eastAsia="Palatino Linotype" w:hAnsi="Palatino Linotype" w:cs="Palatino Linotype"/>
        </w:rPr>
        <w:t>Se</w:t>
      </w:r>
      <w:r w:rsidRPr="00C067E9">
        <w:rPr>
          <w:rFonts w:ascii="Palatino Linotype" w:eastAsia="Palatino Linotype" w:hAnsi="Palatino Linotype" w:cs="Palatino Linotype"/>
          <w:b/>
        </w:rPr>
        <w:t xml:space="preserve"> MODIFICA </w:t>
      </w:r>
      <w:r w:rsidRPr="00C067E9">
        <w:rPr>
          <w:rFonts w:ascii="Palatino Linotype" w:eastAsia="Palatino Linotype" w:hAnsi="Palatino Linotype" w:cs="Palatino Linotype"/>
        </w:rPr>
        <w:t xml:space="preserve">la respuesta emitida por el </w:t>
      </w:r>
      <w:r w:rsidRPr="00C067E9">
        <w:rPr>
          <w:rFonts w:ascii="Palatino Linotype" w:eastAsia="Palatino Linotype" w:hAnsi="Palatino Linotype" w:cs="Palatino Linotype"/>
          <w:b/>
          <w:color w:val="000000"/>
        </w:rPr>
        <w:t>Ayuntamiento de San José del Rincón</w:t>
      </w:r>
      <w:r w:rsidRPr="00C067E9">
        <w:rPr>
          <w:rFonts w:ascii="Palatino Linotype" w:eastAsia="Palatino Linotype" w:hAnsi="Palatino Linotype" w:cs="Palatino Linotype"/>
        </w:rPr>
        <w:t xml:space="preserve"> a la solicitud de información </w:t>
      </w:r>
      <w:r w:rsidRPr="00C067E9">
        <w:rPr>
          <w:rFonts w:ascii="Palatino Linotype" w:eastAsia="Palatino Linotype" w:hAnsi="Palatino Linotype" w:cs="Palatino Linotype"/>
          <w:b/>
          <w:color w:val="000000"/>
        </w:rPr>
        <w:t xml:space="preserve">00078/JOSERIN/IP/2024 </w:t>
      </w:r>
      <w:r w:rsidRPr="00C067E9">
        <w:rPr>
          <w:rFonts w:ascii="Palatino Linotype" w:eastAsia="Palatino Linotype" w:hAnsi="Palatino Linotype" w:cs="Palatino Linotype"/>
        </w:rPr>
        <w:t>a efecto de</w:t>
      </w:r>
      <w:r w:rsidRPr="00C067E9">
        <w:rPr>
          <w:rFonts w:ascii="Palatino Linotype" w:eastAsia="Palatino Linotype" w:hAnsi="Palatino Linotype" w:cs="Palatino Linotype"/>
          <w:b/>
        </w:rPr>
        <w:t xml:space="preserve"> ORDENAR </w:t>
      </w:r>
      <w:r w:rsidRPr="00C067E9">
        <w:rPr>
          <w:rFonts w:ascii="Palatino Linotype" w:eastAsia="Palatino Linotype" w:hAnsi="Palatino Linotype" w:cs="Palatino Linotype"/>
        </w:rPr>
        <w:t xml:space="preserve">entregar vía Sistema de Accesos a la Información Mexiquense </w:t>
      </w:r>
      <w:r w:rsidRPr="00C067E9">
        <w:rPr>
          <w:rFonts w:ascii="Palatino Linotype" w:eastAsia="Palatino Linotype" w:hAnsi="Palatino Linotype" w:cs="Palatino Linotype"/>
          <w:b/>
        </w:rPr>
        <w:t>(SAIMEX)</w:t>
      </w:r>
      <w:r w:rsidRPr="00C067E9">
        <w:rPr>
          <w:rFonts w:ascii="Palatino Linotype" w:eastAsia="Palatino Linotype" w:hAnsi="Palatino Linotype" w:cs="Palatino Linotype"/>
        </w:rPr>
        <w:t xml:space="preserve">, </w:t>
      </w:r>
      <w:r w:rsidR="00DC0514" w:rsidRPr="00C067E9">
        <w:rPr>
          <w:rFonts w:ascii="Palatino Linotype" w:eastAsia="Palatino Linotype" w:hAnsi="Palatino Linotype" w:cs="Palatino Linotype"/>
        </w:rPr>
        <w:t>de ser el caso</w:t>
      </w:r>
      <w:r w:rsidRPr="00C067E9">
        <w:rPr>
          <w:rFonts w:ascii="Palatino Linotype" w:eastAsia="Palatino Linotype" w:hAnsi="Palatino Linotype" w:cs="Palatino Linotype"/>
        </w:rPr>
        <w:t xml:space="preserve"> </w:t>
      </w:r>
      <w:r w:rsidR="00807920" w:rsidRPr="00C067E9">
        <w:rPr>
          <w:rFonts w:ascii="Palatino Linotype" w:eastAsia="Palatino Linotype" w:hAnsi="Palatino Linotype" w:cs="Palatino Linotype"/>
        </w:rPr>
        <w:t xml:space="preserve">en </w:t>
      </w:r>
      <w:r w:rsidRPr="00C067E9">
        <w:rPr>
          <w:rFonts w:ascii="Palatino Linotype" w:eastAsia="Palatino Linotype" w:hAnsi="Palatino Linotype" w:cs="Palatino Linotype"/>
        </w:rPr>
        <w:t>versión pública, la siguiente información:</w:t>
      </w:r>
    </w:p>
    <w:p w:rsidR="00434736" w:rsidRPr="00C067E9" w:rsidRDefault="00434736">
      <w:pPr>
        <w:spacing w:line="360" w:lineRule="auto"/>
        <w:ind w:right="-592"/>
        <w:jc w:val="both"/>
        <w:rPr>
          <w:rFonts w:ascii="Palatino Linotype" w:eastAsia="Palatino Linotype" w:hAnsi="Palatino Linotype" w:cs="Palatino Linotype"/>
        </w:rPr>
      </w:pPr>
    </w:p>
    <w:p w:rsidR="00434736" w:rsidRPr="00C067E9" w:rsidRDefault="00344535">
      <w:pPr>
        <w:numPr>
          <w:ilvl w:val="0"/>
          <w:numId w:val="8"/>
        </w:numPr>
        <w:pBdr>
          <w:top w:val="nil"/>
          <w:left w:val="nil"/>
          <w:bottom w:val="nil"/>
          <w:right w:val="nil"/>
          <w:between w:val="nil"/>
        </w:pBdr>
        <w:spacing w:line="360" w:lineRule="auto"/>
        <w:ind w:left="993" w:right="539"/>
        <w:jc w:val="both"/>
        <w:rPr>
          <w:rFonts w:ascii="Palatino Linotype" w:eastAsia="Palatino Linotype" w:hAnsi="Palatino Linotype" w:cs="Palatino Linotype"/>
          <w:b/>
          <w:color w:val="000000"/>
        </w:rPr>
      </w:pPr>
      <w:r w:rsidRPr="00C067E9">
        <w:rPr>
          <w:rFonts w:ascii="Palatino Linotype" w:eastAsia="Palatino Linotype" w:hAnsi="Palatino Linotype" w:cs="Palatino Linotype"/>
          <w:b/>
          <w:color w:val="000000"/>
        </w:rPr>
        <w:t>Lista de beneficiarios de la entrega de calentadores solares en la Comunidad de Cedro de la Manzana, entregado en respuesta.</w:t>
      </w:r>
    </w:p>
    <w:p w:rsidR="00434736" w:rsidRPr="00C067E9" w:rsidRDefault="00434736">
      <w:pPr>
        <w:pBdr>
          <w:top w:val="nil"/>
          <w:left w:val="nil"/>
          <w:bottom w:val="nil"/>
          <w:right w:val="nil"/>
          <w:between w:val="nil"/>
        </w:pBdr>
        <w:spacing w:line="360" w:lineRule="auto"/>
        <w:ind w:right="539"/>
        <w:jc w:val="both"/>
        <w:rPr>
          <w:rFonts w:ascii="Palatino Linotype" w:eastAsia="Palatino Linotype" w:hAnsi="Palatino Linotype" w:cs="Palatino Linotype"/>
          <w:b/>
          <w:color w:val="000000"/>
        </w:rPr>
      </w:pPr>
    </w:p>
    <w:p w:rsidR="00434736" w:rsidRPr="00C067E9" w:rsidRDefault="00344535">
      <w:pPr>
        <w:spacing w:line="360" w:lineRule="auto"/>
        <w:jc w:val="both"/>
        <w:rPr>
          <w:rFonts w:ascii="Palatino Linotype" w:eastAsia="Palatino Linotype" w:hAnsi="Palatino Linotype" w:cs="Palatino Linotype"/>
        </w:rPr>
      </w:pPr>
      <w:r w:rsidRPr="00C067E9">
        <w:rPr>
          <w:rFonts w:ascii="Palatino Linotype" w:eastAsia="Palatino Linotype" w:hAnsi="Palatino Linotype" w:cs="Palatino Linotype"/>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434736" w:rsidRPr="00C067E9" w:rsidRDefault="00434736">
      <w:pPr>
        <w:pBdr>
          <w:top w:val="nil"/>
          <w:left w:val="nil"/>
          <w:bottom w:val="nil"/>
          <w:right w:val="nil"/>
          <w:between w:val="nil"/>
        </w:pBdr>
        <w:spacing w:line="360" w:lineRule="auto"/>
        <w:ind w:right="539"/>
        <w:jc w:val="both"/>
        <w:rPr>
          <w:rFonts w:ascii="Palatino Linotype" w:eastAsia="Palatino Linotype" w:hAnsi="Palatino Linotype" w:cs="Palatino Linotype"/>
          <w:b/>
          <w:color w:val="000000"/>
        </w:rPr>
      </w:pPr>
    </w:p>
    <w:p w:rsidR="00434736" w:rsidRPr="00C067E9" w:rsidRDefault="00344535">
      <w:pPr>
        <w:spacing w:line="360" w:lineRule="auto"/>
        <w:ind w:right="-592"/>
        <w:jc w:val="both"/>
        <w:rPr>
          <w:rFonts w:ascii="Palatino Linotype" w:eastAsia="Palatino Linotype" w:hAnsi="Palatino Linotype" w:cs="Palatino Linotype"/>
        </w:rPr>
      </w:pPr>
      <w:r w:rsidRPr="00C067E9">
        <w:rPr>
          <w:rFonts w:ascii="Palatino Linotype" w:eastAsia="Palatino Linotype" w:hAnsi="Palatino Linotype" w:cs="Palatino Linotype"/>
          <w:b/>
        </w:rPr>
        <w:t xml:space="preserve">TERCERO. Notifíquese </w:t>
      </w:r>
      <w:r w:rsidRPr="00C067E9">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C067E9">
        <w:rPr>
          <w:rFonts w:ascii="Palatino Linotype" w:eastAsia="Palatino Linotype" w:hAnsi="Palatino Linotype" w:cs="Palatino Linotype"/>
          <w:b/>
        </w:rPr>
        <w:t xml:space="preserve">dé cumplimiento a lo ordenado dentro del plazo de diez </w:t>
      </w:r>
      <w:r w:rsidRPr="00C067E9">
        <w:rPr>
          <w:rFonts w:ascii="Palatino Linotype" w:eastAsia="Palatino Linotype" w:hAnsi="Palatino Linotype" w:cs="Palatino Linotype"/>
          <w:b/>
        </w:rPr>
        <w:lastRenderedPageBreak/>
        <w:t>días hábiles,</w:t>
      </w:r>
      <w:r w:rsidRPr="00C067E9">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434736" w:rsidRPr="00C067E9" w:rsidRDefault="00434736">
      <w:pPr>
        <w:spacing w:line="360" w:lineRule="auto"/>
        <w:ind w:right="-592"/>
        <w:jc w:val="both"/>
        <w:rPr>
          <w:rFonts w:ascii="Palatino Linotype" w:eastAsia="Palatino Linotype" w:hAnsi="Palatino Linotype" w:cs="Palatino Linotype"/>
        </w:rPr>
      </w:pPr>
    </w:p>
    <w:p w:rsidR="00434736" w:rsidRPr="00C067E9" w:rsidRDefault="00344535">
      <w:pPr>
        <w:tabs>
          <w:tab w:val="left" w:pos="2756"/>
        </w:tabs>
        <w:spacing w:line="360" w:lineRule="auto"/>
        <w:ind w:right="-592"/>
        <w:jc w:val="both"/>
        <w:rPr>
          <w:rFonts w:ascii="Palatino Linotype" w:eastAsia="Palatino Linotype" w:hAnsi="Palatino Linotype" w:cs="Palatino Linotype"/>
        </w:rPr>
      </w:pPr>
      <w:r w:rsidRPr="00C067E9">
        <w:rPr>
          <w:rFonts w:ascii="Palatino Linotype" w:eastAsia="Palatino Linotype" w:hAnsi="Palatino Linotype" w:cs="Palatino Linotype"/>
          <w:b/>
        </w:rPr>
        <w:t xml:space="preserve">CUARTO. </w:t>
      </w:r>
      <w:r w:rsidRPr="00C067E9">
        <w:rPr>
          <w:rFonts w:ascii="Palatino Linotype" w:eastAsia="Palatino Linotype" w:hAnsi="Palatino Linotype" w:cs="Palatino Linotype"/>
        </w:rPr>
        <w:t>De conformidad con el artículo 198</w:t>
      </w:r>
      <w:r w:rsidR="00715AA3" w:rsidRPr="00C067E9">
        <w:rPr>
          <w:rFonts w:ascii="Palatino Linotype" w:eastAsia="Palatino Linotype" w:hAnsi="Palatino Linotype" w:cs="Palatino Linotype"/>
        </w:rPr>
        <w:t>,</w:t>
      </w:r>
      <w:r w:rsidRPr="00C067E9">
        <w:rPr>
          <w:rFonts w:ascii="Palatino Linotype" w:eastAsia="Palatino Linotype" w:hAnsi="Palatino Linotype" w:cs="Palatino Linotype"/>
        </w:rPr>
        <w:t xml:space="preserve"> de la Ley de Transparencia y Acceso a la Información Pública del Estado de México y Municipios, de considerarlo procedente, el </w:t>
      </w:r>
      <w:r w:rsidRPr="00C067E9">
        <w:rPr>
          <w:rFonts w:ascii="Palatino Linotype" w:eastAsia="Palatino Linotype" w:hAnsi="Palatino Linotype" w:cs="Palatino Linotype"/>
          <w:b/>
        </w:rPr>
        <w:t>SUJETO OBLIGADO</w:t>
      </w:r>
      <w:r w:rsidRPr="00C067E9">
        <w:rPr>
          <w:rFonts w:ascii="Palatino Linotype" w:eastAsia="Palatino Linotype" w:hAnsi="Palatino Linotype" w:cs="Palatino Linotype"/>
        </w:rPr>
        <w:t xml:space="preserve"> de manera fundada y motivada, podrá solicitar una ampliación de plazo para el cumplimiento de la presente Resolución.</w:t>
      </w:r>
    </w:p>
    <w:p w:rsidR="00434736" w:rsidRPr="00C067E9" w:rsidRDefault="00434736">
      <w:pPr>
        <w:spacing w:line="360" w:lineRule="auto"/>
        <w:ind w:right="-592"/>
        <w:jc w:val="both"/>
        <w:rPr>
          <w:rFonts w:ascii="Palatino Linotype" w:eastAsia="Palatino Linotype" w:hAnsi="Palatino Linotype" w:cs="Palatino Linotype"/>
        </w:rPr>
      </w:pPr>
    </w:p>
    <w:p w:rsidR="00434736" w:rsidRPr="00C067E9" w:rsidRDefault="00344535">
      <w:pPr>
        <w:tabs>
          <w:tab w:val="left" w:pos="8080"/>
        </w:tabs>
        <w:spacing w:line="360" w:lineRule="auto"/>
        <w:ind w:right="-592"/>
        <w:jc w:val="both"/>
        <w:rPr>
          <w:rFonts w:ascii="Palatino Linotype" w:eastAsia="Palatino Linotype" w:hAnsi="Palatino Linotype" w:cs="Palatino Linotype"/>
        </w:rPr>
      </w:pPr>
      <w:bookmarkStart w:id="9" w:name="_heading=h.1ksv4uv" w:colFirst="0" w:colLast="0"/>
      <w:bookmarkEnd w:id="9"/>
      <w:r w:rsidRPr="00C067E9">
        <w:rPr>
          <w:rFonts w:ascii="Palatino Linotype" w:eastAsia="Palatino Linotype" w:hAnsi="Palatino Linotype" w:cs="Palatino Linotype"/>
          <w:b/>
        </w:rPr>
        <w:t xml:space="preserve">QUINTO. </w:t>
      </w:r>
      <w:r w:rsidRPr="00C067E9">
        <w:rPr>
          <w:rFonts w:ascii="Palatino Linotype" w:eastAsia="Palatino Linotype" w:hAnsi="Palatino Linotype" w:cs="Palatino Linotype"/>
        </w:rPr>
        <w:t xml:space="preserve">Notifíquese al </w:t>
      </w:r>
      <w:r w:rsidRPr="00C067E9">
        <w:rPr>
          <w:rFonts w:ascii="Palatino Linotype" w:eastAsia="Palatino Linotype" w:hAnsi="Palatino Linotype" w:cs="Palatino Linotype"/>
          <w:b/>
        </w:rPr>
        <w:t>RECURRENTE</w:t>
      </w:r>
      <w:r w:rsidRPr="00C067E9">
        <w:rPr>
          <w:rFonts w:ascii="Palatino Linotype" w:eastAsia="Palatino Linotype" w:hAnsi="Palatino Linotype" w:cs="Palatino Linotype"/>
        </w:rPr>
        <w:t xml:space="preserve"> la presente Resolución, vía </w:t>
      </w:r>
      <w:r w:rsidRPr="00C067E9">
        <w:rPr>
          <w:rFonts w:ascii="Palatino Linotype" w:eastAsia="Palatino Linotype" w:hAnsi="Palatino Linotype" w:cs="Palatino Linotype"/>
          <w:b/>
        </w:rPr>
        <w:t>SAIMEX</w:t>
      </w:r>
      <w:r w:rsidRPr="00C067E9">
        <w:rPr>
          <w:rFonts w:ascii="Palatino Linotype" w:eastAsia="Palatino Linotype" w:hAnsi="Palatino Linotype" w:cs="Palatino Linotype"/>
        </w:rPr>
        <w:t>.</w:t>
      </w:r>
    </w:p>
    <w:p w:rsidR="00434736" w:rsidRPr="00C067E9" w:rsidRDefault="00434736">
      <w:pPr>
        <w:tabs>
          <w:tab w:val="left" w:pos="8080"/>
        </w:tabs>
        <w:spacing w:line="360" w:lineRule="auto"/>
        <w:ind w:right="-592"/>
        <w:jc w:val="both"/>
        <w:rPr>
          <w:rFonts w:ascii="Palatino Linotype" w:eastAsia="Palatino Linotype" w:hAnsi="Palatino Linotype" w:cs="Palatino Linotype"/>
        </w:rPr>
      </w:pPr>
    </w:p>
    <w:p w:rsidR="00434736" w:rsidRPr="00C067E9" w:rsidRDefault="00344535">
      <w:pPr>
        <w:shd w:val="clear" w:color="auto" w:fill="FFFFFF"/>
        <w:spacing w:line="360" w:lineRule="auto"/>
        <w:ind w:right="-592"/>
        <w:jc w:val="both"/>
        <w:rPr>
          <w:rFonts w:ascii="Palatino Linotype" w:eastAsia="Palatino Linotype" w:hAnsi="Palatino Linotype" w:cs="Palatino Linotype"/>
        </w:rPr>
      </w:pPr>
      <w:r w:rsidRPr="00C067E9">
        <w:rPr>
          <w:rFonts w:ascii="Palatino Linotype" w:eastAsia="Palatino Linotype" w:hAnsi="Palatino Linotype" w:cs="Palatino Linotype"/>
          <w:b/>
        </w:rPr>
        <w:t xml:space="preserve">SEXTO. </w:t>
      </w:r>
      <w:r w:rsidRPr="00C067E9">
        <w:rPr>
          <w:rFonts w:ascii="Palatino Linotype" w:eastAsia="Palatino Linotype" w:hAnsi="Palatino Linotype" w:cs="Palatino Linotype"/>
        </w:rPr>
        <w:t>Se hace del conocimiento del</w:t>
      </w:r>
      <w:r w:rsidRPr="00C067E9">
        <w:rPr>
          <w:rFonts w:ascii="Palatino Linotype" w:eastAsia="Palatino Linotype" w:hAnsi="Palatino Linotype" w:cs="Palatino Linotype"/>
          <w:b/>
        </w:rPr>
        <w:t xml:space="preserve"> RECURRENTE </w:t>
      </w:r>
      <w:r w:rsidRPr="00C067E9">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434736" w:rsidRPr="00C067E9" w:rsidRDefault="00434736">
      <w:pPr>
        <w:shd w:val="clear" w:color="auto" w:fill="FFFFFF"/>
        <w:spacing w:line="360" w:lineRule="auto"/>
        <w:jc w:val="both"/>
        <w:rPr>
          <w:rFonts w:ascii="Palatino Linotype" w:eastAsia="Palatino Linotype" w:hAnsi="Palatino Linotype" w:cs="Palatino Linotype"/>
        </w:rPr>
      </w:pPr>
    </w:p>
    <w:p w:rsidR="00715AA3" w:rsidRPr="003C7186" w:rsidRDefault="00715AA3" w:rsidP="00715AA3">
      <w:pPr>
        <w:spacing w:line="360" w:lineRule="auto"/>
        <w:ind w:left="-142" w:right="-660" w:firstLine="1"/>
        <w:jc w:val="both"/>
        <w:rPr>
          <w:rFonts w:ascii="Palatino Linotype" w:hAnsi="Palatino Linotype"/>
        </w:rPr>
      </w:pPr>
      <w:r w:rsidRPr="00C067E9">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Pr="00C067E9">
        <w:rPr>
          <w:rFonts w:ascii="Palatino Linotype" w:hAnsi="Palatino Linotype"/>
        </w:rPr>
        <w:lastRenderedPageBreak/>
        <w:t>AYALA; SHARON CRISTINA MORALES MARTÍNEZ; LUIS GUSTAVO PARRA NORIEGA Y GUADALUPE RAMÍREZ PEÑA; EN LA TERCERA SESIÓN ORDINARIA CELEBRADA EL VEINTINUEVE (29) DE ENERO DE DOS MIL VEINTICINCO, ANTE EL SECRETARIO TÉCNICO DEL PLENO ALEXIS TAPIA RAMÍREZ.</w:t>
      </w:r>
      <w:bookmarkStart w:id="10" w:name="_GoBack"/>
      <w:bookmarkEnd w:id="10"/>
      <w:r w:rsidRPr="003C7186">
        <w:rPr>
          <w:rFonts w:ascii="Palatino Linotype" w:hAnsi="Palatino Linotype"/>
        </w:rPr>
        <w:t xml:space="preserve"> </w:t>
      </w:r>
    </w:p>
    <w:p w:rsidR="00715AA3" w:rsidRPr="00902BA4" w:rsidRDefault="00715AA3" w:rsidP="00715AA3">
      <w:pPr>
        <w:widowControl w:val="0"/>
        <w:autoSpaceDE w:val="0"/>
        <w:autoSpaceDN w:val="0"/>
        <w:adjustRightInd w:val="0"/>
        <w:spacing w:after="200" w:line="276" w:lineRule="auto"/>
        <w:ind w:left="-142" w:right="-660"/>
      </w:pPr>
    </w:p>
    <w:p w:rsidR="00434736" w:rsidRDefault="00434736" w:rsidP="00715AA3">
      <w:pPr>
        <w:spacing w:line="360" w:lineRule="auto"/>
        <w:ind w:right="-660"/>
        <w:jc w:val="both"/>
        <w:rPr>
          <w:rFonts w:ascii="Palatino Linotype" w:eastAsia="Palatino Linotype" w:hAnsi="Palatino Linotype" w:cs="Palatino Linotype"/>
        </w:rPr>
      </w:pPr>
    </w:p>
    <w:p w:rsidR="00434736" w:rsidRDefault="00434736" w:rsidP="00715AA3">
      <w:pPr>
        <w:spacing w:line="360" w:lineRule="auto"/>
        <w:ind w:right="-660"/>
        <w:rPr>
          <w:rFonts w:ascii="Palatino Linotype" w:eastAsia="Palatino Linotype" w:hAnsi="Palatino Linotype" w:cs="Palatino Linotype"/>
        </w:rPr>
      </w:pPr>
    </w:p>
    <w:p w:rsidR="00434736" w:rsidRDefault="00434736">
      <w:pPr>
        <w:spacing w:line="360" w:lineRule="auto"/>
        <w:rPr>
          <w:rFonts w:ascii="Palatino Linotype" w:eastAsia="Palatino Linotype" w:hAnsi="Palatino Linotype" w:cs="Palatino Linotype"/>
        </w:rPr>
      </w:pPr>
    </w:p>
    <w:p w:rsidR="00434736" w:rsidRDefault="00434736">
      <w:pPr>
        <w:spacing w:line="360" w:lineRule="auto"/>
        <w:rPr>
          <w:rFonts w:ascii="Palatino Linotype" w:eastAsia="Palatino Linotype" w:hAnsi="Palatino Linotype" w:cs="Palatino Linotype"/>
        </w:rPr>
      </w:pPr>
    </w:p>
    <w:p w:rsidR="00434736" w:rsidRDefault="00434736">
      <w:pPr>
        <w:spacing w:line="360" w:lineRule="auto"/>
        <w:rPr>
          <w:rFonts w:ascii="Palatino Linotype" w:eastAsia="Palatino Linotype" w:hAnsi="Palatino Linotype" w:cs="Palatino Linotype"/>
        </w:rPr>
      </w:pPr>
    </w:p>
    <w:p w:rsidR="00434736" w:rsidRDefault="00434736">
      <w:pPr>
        <w:spacing w:line="360" w:lineRule="auto"/>
        <w:rPr>
          <w:rFonts w:ascii="Palatino Linotype" w:eastAsia="Palatino Linotype" w:hAnsi="Palatino Linotype" w:cs="Palatino Linotype"/>
        </w:rPr>
      </w:pPr>
    </w:p>
    <w:p w:rsidR="00434736" w:rsidRDefault="00434736">
      <w:pPr>
        <w:spacing w:line="360" w:lineRule="auto"/>
        <w:rPr>
          <w:rFonts w:ascii="Palatino Linotype" w:eastAsia="Palatino Linotype" w:hAnsi="Palatino Linotype" w:cs="Palatino Linotype"/>
        </w:rPr>
      </w:pPr>
    </w:p>
    <w:p w:rsidR="00434736" w:rsidRDefault="00434736">
      <w:pPr>
        <w:spacing w:line="360" w:lineRule="auto"/>
        <w:rPr>
          <w:rFonts w:ascii="Palatino Linotype" w:eastAsia="Palatino Linotype" w:hAnsi="Palatino Linotype" w:cs="Palatino Linotype"/>
        </w:rPr>
      </w:pPr>
    </w:p>
    <w:p w:rsidR="00434736" w:rsidRDefault="00344535">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rsidR="00434736" w:rsidRDefault="00434736">
      <w:pPr>
        <w:tabs>
          <w:tab w:val="left" w:pos="3374"/>
        </w:tabs>
        <w:spacing w:line="360" w:lineRule="auto"/>
        <w:rPr>
          <w:rFonts w:ascii="Palatino Linotype" w:eastAsia="Palatino Linotype" w:hAnsi="Palatino Linotype" w:cs="Palatino Linotype"/>
        </w:rPr>
      </w:pPr>
    </w:p>
    <w:p w:rsidR="00434736" w:rsidRDefault="00434736">
      <w:pPr>
        <w:tabs>
          <w:tab w:val="left" w:pos="3374"/>
        </w:tabs>
        <w:spacing w:line="360" w:lineRule="auto"/>
        <w:rPr>
          <w:rFonts w:ascii="Palatino Linotype" w:eastAsia="Palatino Linotype" w:hAnsi="Palatino Linotype" w:cs="Palatino Linotype"/>
        </w:rPr>
      </w:pPr>
    </w:p>
    <w:p w:rsidR="00434736" w:rsidRDefault="00434736">
      <w:pPr>
        <w:tabs>
          <w:tab w:val="left" w:pos="3374"/>
        </w:tabs>
        <w:spacing w:line="360" w:lineRule="auto"/>
        <w:rPr>
          <w:rFonts w:ascii="Palatino Linotype" w:eastAsia="Palatino Linotype" w:hAnsi="Palatino Linotype" w:cs="Palatino Linotype"/>
        </w:rPr>
      </w:pPr>
    </w:p>
    <w:p w:rsidR="00434736" w:rsidRDefault="00434736">
      <w:pPr>
        <w:tabs>
          <w:tab w:val="left" w:pos="3374"/>
        </w:tabs>
        <w:spacing w:line="360" w:lineRule="auto"/>
        <w:rPr>
          <w:rFonts w:ascii="Palatino Linotype" w:eastAsia="Palatino Linotype" w:hAnsi="Palatino Linotype" w:cs="Palatino Linotype"/>
        </w:rPr>
      </w:pPr>
    </w:p>
    <w:p w:rsidR="00434736" w:rsidRDefault="00434736">
      <w:pPr>
        <w:tabs>
          <w:tab w:val="left" w:pos="3374"/>
        </w:tabs>
        <w:spacing w:line="360" w:lineRule="auto"/>
        <w:rPr>
          <w:rFonts w:ascii="Palatino Linotype" w:eastAsia="Palatino Linotype" w:hAnsi="Palatino Linotype" w:cs="Palatino Linotype"/>
        </w:rPr>
      </w:pPr>
    </w:p>
    <w:p w:rsidR="00434736" w:rsidRDefault="00434736">
      <w:pPr>
        <w:tabs>
          <w:tab w:val="left" w:pos="3374"/>
        </w:tabs>
        <w:spacing w:line="360" w:lineRule="auto"/>
        <w:rPr>
          <w:rFonts w:ascii="Palatino Linotype" w:eastAsia="Palatino Linotype" w:hAnsi="Palatino Linotype" w:cs="Palatino Linotype"/>
        </w:rPr>
      </w:pPr>
    </w:p>
    <w:p w:rsidR="00434736" w:rsidRDefault="00434736">
      <w:pPr>
        <w:tabs>
          <w:tab w:val="left" w:pos="3374"/>
        </w:tabs>
        <w:spacing w:line="360" w:lineRule="auto"/>
        <w:rPr>
          <w:rFonts w:ascii="Palatino Linotype" w:eastAsia="Palatino Linotype" w:hAnsi="Palatino Linotype" w:cs="Palatino Linotype"/>
        </w:rPr>
      </w:pPr>
    </w:p>
    <w:p w:rsidR="00434736" w:rsidRDefault="00434736">
      <w:pPr>
        <w:tabs>
          <w:tab w:val="left" w:pos="3374"/>
        </w:tabs>
        <w:spacing w:line="360" w:lineRule="auto"/>
        <w:rPr>
          <w:rFonts w:ascii="Palatino Linotype" w:eastAsia="Palatino Linotype" w:hAnsi="Palatino Linotype" w:cs="Palatino Linotype"/>
        </w:rPr>
      </w:pPr>
    </w:p>
    <w:p w:rsidR="00434736" w:rsidRDefault="00434736">
      <w:pPr>
        <w:tabs>
          <w:tab w:val="left" w:pos="3374"/>
        </w:tabs>
        <w:spacing w:line="360" w:lineRule="auto"/>
        <w:rPr>
          <w:rFonts w:ascii="Palatino Linotype" w:eastAsia="Palatino Linotype" w:hAnsi="Palatino Linotype" w:cs="Palatino Linotype"/>
        </w:rPr>
      </w:pPr>
    </w:p>
    <w:p w:rsidR="00434736" w:rsidRDefault="00434736">
      <w:pPr>
        <w:tabs>
          <w:tab w:val="left" w:pos="3374"/>
        </w:tabs>
        <w:spacing w:line="360" w:lineRule="auto"/>
        <w:rPr>
          <w:rFonts w:ascii="Palatino Linotype" w:eastAsia="Palatino Linotype" w:hAnsi="Palatino Linotype" w:cs="Palatino Linotype"/>
        </w:rPr>
      </w:pPr>
    </w:p>
    <w:p w:rsidR="00434736" w:rsidRDefault="00434736">
      <w:pPr>
        <w:tabs>
          <w:tab w:val="left" w:pos="3374"/>
        </w:tabs>
        <w:spacing w:line="360" w:lineRule="auto"/>
        <w:rPr>
          <w:rFonts w:ascii="Palatino Linotype" w:eastAsia="Palatino Linotype" w:hAnsi="Palatino Linotype" w:cs="Palatino Linotype"/>
        </w:rPr>
      </w:pPr>
    </w:p>
    <w:p w:rsidR="00434736" w:rsidRDefault="00434736">
      <w:pPr>
        <w:spacing w:line="360" w:lineRule="auto"/>
        <w:rPr>
          <w:rFonts w:ascii="Palatino Linotype" w:eastAsia="Palatino Linotype" w:hAnsi="Palatino Linotype" w:cs="Palatino Linotype"/>
        </w:rPr>
      </w:pPr>
    </w:p>
    <w:sectPr w:rsidR="00434736">
      <w:headerReference w:type="even" r:id="rId9"/>
      <w:headerReference w:type="default" r:id="rId10"/>
      <w:footerReference w:type="default" r:id="rId11"/>
      <w:headerReference w:type="first" r:id="rId12"/>
      <w:footerReference w:type="first" r:id="rId13"/>
      <w:pgSz w:w="12240" w:h="15840"/>
      <w:pgMar w:top="2268" w:right="170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966" w:rsidRDefault="00E97966">
      <w:r>
        <w:separator/>
      </w:r>
    </w:p>
  </w:endnote>
  <w:endnote w:type="continuationSeparator" w:id="0">
    <w:p w:rsidR="00E97966" w:rsidRDefault="00E9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736" w:rsidRDefault="00344535">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067E9">
      <w:rPr>
        <w:rFonts w:ascii="Palatino Linotype" w:eastAsia="Palatino Linotype" w:hAnsi="Palatino Linotype" w:cs="Palatino Linotype"/>
        <w:noProof/>
        <w:color w:val="000000"/>
        <w:sz w:val="20"/>
        <w:szCs w:val="20"/>
      </w:rPr>
      <w:t>41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067E9">
      <w:rPr>
        <w:rFonts w:ascii="Palatino Linotype" w:eastAsia="Palatino Linotype" w:hAnsi="Palatino Linotype" w:cs="Palatino Linotype"/>
        <w:noProof/>
        <w:color w:val="000000"/>
        <w:sz w:val="20"/>
        <w:szCs w:val="20"/>
      </w:rPr>
      <w:t>43</w:t>
    </w:r>
    <w:r>
      <w:rPr>
        <w:rFonts w:ascii="Palatino Linotype" w:eastAsia="Palatino Linotype" w:hAnsi="Palatino Linotype" w:cs="Palatino Linotype"/>
        <w:color w:val="000000"/>
        <w:sz w:val="20"/>
        <w:szCs w:val="20"/>
      </w:rPr>
      <w:fldChar w:fldCharType="end"/>
    </w:r>
  </w:p>
  <w:p w:rsidR="00434736" w:rsidRDefault="0043473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736" w:rsidRDefault="00344535">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067E9">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067E9">
      <w:rPr>
        <w:rFonts w:ascii="Palatino Linotype" w:eastAsia="Palatino Linotype" w:hAnsi="Palatino Linotype" w:cs="Palatino Linotype"/>
        <w:noProof/>
        <w:color w:val="000000"/>
        <w:sz w:val="20"/>
        <w:szCs w:val="20"/>
      </w:rPr>
      <w:t>43</w:t>
    </w:r>
    <w:r>
      <w:rPr>
        <w:rFonts w:ascii="Palatino Linotype" w:eastAsia="Palatino Linotype" w:hAnsi="Palatino Linotype" w:cs="Palatino Linotype"/>
        <w:color w:val="000000"/>
        <w:sz w:val="20"/>
        <w:szCs w:val="20"/>
      </w:rPr>
      <w:fldChar w:fldCharType="end"/>
    </w:r>
  </w:p>
  <w:p w:rsidR="00434736" w:rsidRDefault="0043473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966" w:rsidRDefault="00E97966">
      <w:r>
        <w:separator/>
      </w:r>
    </w:p>
  </w:footnote>
  <w:footnote w:type="continuationSeparator" w:id="0">
    <w:p w:rsidR="00E97966" w:rsidRDefault="00E97966">
      <w:r>
        <w:continuationSeparator/>
      </w:r>
    </w:p>
  </w:footnote>
  <w:footnote w:id="1">
    <w:p w:rsidR="00434736" w:rsidRDefault="00344535">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Disponible para su consulta en </w:t>
      </w:r>
      <w:hyperlink r:id="rId1">
        <w:r>
          <w:rPr>
            <w:rFonts w:eastAsia="Calibri"/>
            <w:color w:val="0563C1"/>
            <w:sz w:val="20"/>
            <w:szCs w:val="20"/>
            <w:u w:val="single"/>
          </w:rPr>
          <w:t>https://www.dof.gob.mx/nota_detalle.php?codigo=5436072&amp;fecha=04/05/2016</w:t>
        </w:r>
      </w:hyperlink>
    </w:p>
    <w:p w:rsidR="00434736" w:rsidRDefault="00434736">
      <w:pPr>
        <w:pBdr>
          <w:top w:val="nil"/>
          <w:left w:val="nil"/>
          <w:bottom w:val="nil"/>
          <w:right w:val="nil"/>
          <w:between w:val="nil"/>
        </w:pBdr>
        <w:rPr>
          <w:rFonts w:eastAsia="Calibri"/>
          <w:color w:val="000000"/>
          <w:sz w:val="20"/>
          <w:szCs w:val="20"/>
        </w:rPr>
      </w:pPr>
    </w:p>
  </w:footnote>
  <w:footnote w:id="2">
    <w:p w:rsidR="00434736" w:rsidRDefault="00344535">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3">
    <w:p w:rsidR="00434736" w:rsidRDefault="00344535">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4">
    <w:p w:rsidR="00434736" w:rsidRDefault="00344535">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5">
    <w:p w:rsidR="00434736" w:rsidRDefault="00344535">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6">
    <w:p w:rsidR="00434736" w:rsidRDefault="00344535">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2">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7">
    <w:p w:rsidR="00434736" w:rsidRDefault="00344535">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rsidR="00434736" w:rsidRDefault="00344535">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rsidR="00434736" w:rsidRDefault="00344535">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736" w:rsidRDefault="00E97966">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736" w:rsidRDefault="00434736">
    <w:pPr>
      <w:widowControl w:val="0"/>
      <w:pBdr>
        <w:top w:val="nil"/>
        <w:left w:val="nil"/>
        <w:bottom w:val="nil"/>
        <w:right w:val="nil"/>
        <w:between w:val="nil"/>
      </w:pBdr>
      <w:spacing w:line="276" w:lineRule="auto"/>
      <w:rPr>
        <w:color w:val="000000"/>
      </w:rPr>
    </w:pPr>
  </w:p>
  <w:tbl>
    <w:tblPr>
      <w:tblStyle w:val="a3"/>
      <w:tblW w:w="7230" w:type="dxa"/>
      <w:tblInd w:w="2694" w:type="dxa"/>
      <w:tblLayout w:type="fixed"/>
      <w:tblLook w:val="0400" w:firstRow="0" w:lastRow="0" w:firstColumn="0" w:lastColumn="0" w:noHBand="0" w:noVBand="1"/>
    </w:tblPr>
    <w:tblGrid>
      <w:gridCol w:w="2970"/>
      <w:gridCol w:w="4260"/>
    </w:tblGrid>
    <w:tr w:rsidR="00434736">
      <w:trPr>
        <w:trHeight w:val="227"/>
      </w:trPr>
      <w:tc>
        <w:tcPr>
          <w:tcW w:w="2970" w:type="dxa"/>
          <w:vAlign w:val="center"/>
        </w:tcPr>
        <w:p w:rsidR="00434736" w:rsidRDefault="0034453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60" w:type="dxa"/>
          <w:vAlign w:val="center"/>
        </w:tcPr>
        <w:p w:rsidR="00434736" w:rsidRDefault="00344535">
          <w:pPr>
            <w:pBdr>
              <w:top w:val="nil"/>
              <w:left w:val="nil"/>
              <w:bottom w:val="nil"/>
              <w:right w:val="nil"/>
              <w:between w:val="nil"/>
            </w:pBdr>
            <w:tabs>
              <w:tab w:val="center" w:pos="4419"/>
              <w:tab w:val="right" w:pos="8838"/>
            </w:tabs>
            <w:ind w:right="-100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06653/INFOEM/IP/RR/2024</w:t>
          </w:r>
        </w:p>
      </w:tc>
    </w:tr>
    <w:tr w:rsidR="00434736">
      <w:trPr>
        <w:trHeight w:val="242"/>
      </w:trPr>
      <w:tc>
        <w:tcPr>
          <w:tcW w:w="2970" w:type="dxa"/>
          <w:vAlign w:val="center"/>
        </w:tcPr>
        <w:p w:rsidR="00434736" w:rsidRDefault="0034453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60" w:type="dxa"/>
          <w:vAlign w:val="center"/>
        </w:tcPr>
        <w:p w:rsidR="00434736" w:rsidRDefault="00344535">
          <w:pPr>
            <w:pBdr>
              <w:top w:val="nil"/>
              <w:left w:val="nil"/>
              <w:bottom w:val="nil"/>
              <w:right w:val="nil"/>
              <w:between w:val="nil"/>
            </w:pBdr>
            <w:tabs>
              <w:tab w:val="center" w:pos="4419"/>
              <w:tab w:val="right" w:pos="8838"/>
            </w:tabs>
            <w:ind w:right="-100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San José del Rincón</w:t>
          </w:r>
        </w:p>
      </w:tc>
    </w:tr>
    <w:tr w:rsidR="00434736">
      <w:trPr>
        <w:trHeight w:val="342"/>
      </w:trPr>
      <w:tc>
        <w:tcPr>
          <w:tcW w:w="2970" w:type="dxa"/>
          <w:vAlign w:val="center"/>
        </w:tcPr>
        <w:p w:rsidR="00434736" w:rsidRDefault="0034453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60" w:type="dxa"/>
          <w:vAlign w:val="center"/>
        </w:tcPr>
        <w:p w:rsidR="00434736" w:rsidRDefault="00344535">
          <w:pPr>
            <w:pBdr>
              <w:top w:val="nil"/>
              <w:left w:val="nil"/>
              <w:bottom w:val="nil"/>
              <w:right w:val="nil"/>
              <w:between w:val="nil"/>
            </w:pBdr>
            <w:tabs>
              <w:tab w:val="center" w:pos="4419"/>
              <w:tab w:val="right" w:pos="8838"/>
            </w:tabs>
            <w:ind w:right="-100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434736" w:rsidRDefault="00E97966">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736" w:rsidRDefault="00434736">
    <w:pPr>
      <w:widowControl w:val="0"/>
      <w:pBdr>
        <w:top w:val="nil"/>
        <w:left w:val="nil"/>
        <w:bottom w:val="nil"/>
        <w:right w:val="nil"/>
        <w:between w:val="nil"/>
      </w:pBdr>
      <w:spacing w:line="276" w:lineRule="auto"/>
      <w:rPr>
        <w:color w:val="000000"/>
        <w:sz w:val="14"/>
        <w:szCs w:val="14"/>
      </w:rPr>
    </w:pPr>
  </w:p>
  <w:tbl>
    <w:tblPr>
      <w:tblStyle w:val="a4"/>
      <w:tblW w:w="7305" w:type="dxa"/>
      <w:tblInd w:w="2552" w:type="dxa"/>
      <w:tblLayout w:type="fixed"/>
      <w:tblLook w:val="0400" w:firstRow="0" w:lastRow="0" w:firstColumn="0" w:lastColumn="0" w:noHBand="0" w:noVBand="1"/>
    </w:tblPr>
    <w:tblGrid>
      <w:gridCol w:w="2970"/>
      <w:gridCol w:w="4335"/>
    </w:tblGrid>
    <w:tr w:rsidR="00434736">
      <w:trPr>
        <w:trHeight w:val="227"/>
      </w:trPr>
      <w:tc>
        <w:tcPr>
          <w:tcW w:w="2970" w:type="dxa"/>
          <w:vAlign w:val="center"/>
        </w:tcPr>
        <w:p w:rsidR="00434736" w:rsidRDefault="0034453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35" w:type="dxa"/>
          <w:vAlign w:val="center"/>
        </w:tcPr>
        <w:p w:rsidR="00434736" w:rsidRDefault="00344535">
          <w:pPr>
            <w:pBdr>
              <w:top w:val="nil"/>
              <w:left w:val="nil"/>
              <w:bottom w:val="nil"/>
              <w:right w:val="nil"/>
              <w:between w:val="nil"/>
            </w:pBdr>
            <w:tabs>
              <w:tab w:val="center" w:pos="4419"/>
              <w:tab w:val="right" w:pos="8838"/>
            </w:tabs>
            <w:ind w:right="-71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06653/INFOEM/IP/RR/2024</w:t>
          </w:r>
        </w:p>
      </w:tc>
    </w:tr>
    <w:tr w:rsidR="00434736">
      <w:trPr>
        <w:trHeight w:val="242"/>
      </w:trPr>
      <w:tc>
        <w:tcPr>
          <w:tcW w:w="2970" w:type="dxa"/>
          <w:vAlign w:val="center"/>
        </w:tcPr>
        <w:p w:rsidR="00434736" w:rsidRDefault="0034453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35" w:type="dxa"/>
        </w:tcPr>
        <w:p w:rsidR="00434736" w:rsidRDefault="00C067E9">
          <w:pPr>
            <w:pBdr>
              <w:top w:val="nil"/>
              <w:left w:val="nil"/>
              <w:bottom w:val="nil"/>
              <w:right w:val="nil"/>
              <w:between w:val="nil"/>
            </w:pBdr>
            <w:tabs>
              <w:tab w:val="center" w:pos="4419"/>
              <w:tab w:val="right" w:pos="8838"/>
              <w:tab w:val="left" w:pos="521"/>
            </w:tabs>
            <w:ind w:right="-71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XXXXXXXXXXXX</w:t>
          </w:r>
        </w:p>
      </w:tc>
    </w:tr>
    <w:tr w:rsidR="00434736">
      <w:trPr>
        <w:trHeight w:val="342"/>
      </w:trPr>
      <w:tc>
        <w:tcPr>
          <w:tcW w:w="2970" w:type="dxa"/>
          <w:vAlign w:val="center"/>
        </w:tcPr>
        <w:p w:rsidR="00434736" w:rsidRDefault="0034453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35" w:type="dxa"/>
          <w:vAlign w:val="center"/>
        </w:tcPr>
        <w:p w:rsidR="00434736" w:rsidRDefault="00344535">
          <w:pPr>
            <w:pBdr>
              <w:top w:val="nil"/>
              <w:left w:val="nil"/>
              <w:bottom w:val="nil"/>
              <w:right w:val="nil"/>
              <w:between w:val="nil"/>
            </w:pBdr>
            <w:tabs>
              <w:tab w:val="center" w:pos="4419"/>
              <w:tab w:val="right" w:pos="8838"/>
            </w:tabs>
            <w:ind w:right="-71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San José del Rincón</w:t>
          </w:r>
        </w:p>
      </w:tc>
    </w:tr>
    <w:tr w:rsidR="00434736">
      <w:trPr>
        <w:trHeight w:val="342"/>
      </w:trPr>
      <w:tc>
        <w:tcPr>
          <w:tcW w:w="2970" w:type="dxa"/>
          <w:vAlign w:val="center"/>
        </w:tcPr>
        <w:p w:rsidR="00434736" w:rsidRDefault="0034453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35" w:type="dxa"/>
          <w:vAlign w:val="center"/>
        </w:tcPr>
        <w:p w:rsidR="00434736" w:rsidRDefault="00344535">
          <w:pPr>
            <w:pBdr>
              <w:top w:val="nil"/>
              <w:left w:val="nil"/>
              <w:bottom w:val="nil"/>
              <w:right w:val="nil"/>
              <w:between w:val="nil"/>
            </w:pBdr>
            <w:tabs>
              <w:tab w:val="center" w:pos="4419"/>
              <w:tab w:val="right" w:pos="8838"/>
            </w:tabs>
            <w:ind w:right="-711"/>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434736" w:rsidRDefault="00E97966">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5D6F"/>
    <w:multiLevelType w:val="multilevel"/>
    <w:tmpl w:val="59E2B208"/>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C300E"/>
    <w:multiLevelType w:val="multilevel"/>
    <w:tmpl w:val="88BABFC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550B04"/>
    <w:multiLevelType w:val="multilevel"/>
    <w:tmpl w:val="A4F6DEF2"/>
    <w:lvl w:ilvl="0">
      <w:start w:val="1"/>
      <w:numFmt w:val="bullet"/>
      <w:lvlText w:val="●"/>
      <w:lvlJc w:val="left"/>
      <w:pPr>
        <w:ind w:left="709" w:hanging="358"/>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3" w15:restartNumberingAfterBreak="0">
    <w:nsid w:val="0DEB3185"/>
    <w:multiLevelType w:val="multilevel"/>
    <w:tmpl w:val="EDA8F0BC"/>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3A1F003B"/>
    <w:multiLevelType w:val="multilevel"/>
    <w:tmpl w:val="2CA4D3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5977D5D"/>
    <w:multiLevelType w:val="multilevel"/>
    <w:tmpl w:val="6BAC3F0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6" w15:restartNumberingAfterBreak="0">
    <w:nsid w:val="5A135A15"/>
    <w:multiLevelType w:val="multilevel"/>
    <w:tmpl w:val="4DA42162"/>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7" w15:restartNumberingAfterBreak="0">
    <w:nsid w:val="6A1E553B"/>
    <w:multiLevelType w:val="multilevel"/>
    <w:tmpl w:val="16F062C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15:restartNumberingAfterBreak="0">
    <w:nsid w:val="709D0D19"/>
    <w:multiLevelType w:val="multilevel"/>
    <w:tmpl w:val="55E6AFA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6"/>
  </w:num>
  <w:num w:numId="3">
    <w:abstractNumId w:val="0"/>
  </w:num>
  <w:num w:numId="4">
    <w:abstractNumId w:val="4"/>
  </w:num>
  <w:num w:numId="5">
    <w:abstractNumId w:val="7"/>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36"/>
    <w:rsid w:val="00172F20"/>
    <w:rsid w:val="002E3833"/>
    <w:rsid w:val="00344535"/>
    <w:rsid w:val="00434736"/>
    <w:rsid w:val="004419B4"/>
    <w:rsid w:val="00713F0E"/>
    <w:rsid w:val="00715AA3"/>
    <w:rsid w:val="007A5383"/>
    <w:rsid w:val="00807920"/>
    <w:rsid w:val="009A4C38"/>
    <w:rsid w:val="00A94027"/>
    <w:rsid w:val="00C067E9"/>
    <w:rsid w:val="00DC0514"/>
    <w:rsid w:val="00DE209E"/>
    <w:rsid w:val="00E979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5FC82C0-2A1D-49A7-B5C9-2049B6C4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uiPriority w:val="22"/>
    <w:qFormat/>
    <w:rsid w:val="003F5071"/>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paragraph" w:customStyle="1" w:styleId="Citas">
    <w:name w:val="Citas"/>
    <w:basedOn w:val="Normal"/>
    <w:qFormat/>
    <w:rsid w:val="00E803AA"/>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CitasINFOEM">
    <w:name w:val="Citas INFOEM"/>
    <w:basedOn w:val="Normal"/>
    <w:qFormat/>
    <w:rsid w:val="00F37A04"/>
    <w:pPr>
      <w:spacing w:before="240" w:after="160" w:line="360" w:lineRule="auto"/>
      <w:ind w:left="851" w:right="851"/>
      <w:jc w:val="both"/>
    </w:pPr>
    <w:rPr>
      <w:rFonts w:ascii="Palatino Linotype" w:eastAsia="Times New Roman" w:hAnsi="Palatino Linotype" w:cs="Times New Roman"/>
      <w:i/>
      <w:sz w:val="22"/>
      <w:lang w:val="es-MX" w:eastAsia="en-US"/>
    </w:rPr>
  </w:style>
  <w:style w:type="table" w:customStyle="1" w:styleId="a2">
    <w:basedOn w:val="TableNormal0"/>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expresion/documentos_basicos/declaraciones.asp" TargetMode="External"/><Relationship Id="rId1" Type="http://schemas.openxmlformats.org/officeDocument/2006/relationships/hyperlink" Target="https://www.dof.gob.mx/nota_detalle.php?codigo=5436072&amp;fecha=04/05/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OshejzGI9HDKkW40Fc6v05lPeA==">CgMxLjAyCGguZ2pkZ3hzMgloLjMwajB6bGwyCWguMWZvYjl0ZTIJaC4zem55c2g3MgloLjJldDkycDAyCGgudHlqY3d0MgloLjNkeTZ2a20yCWguNGQzNG9nODIJaC4xdDNoNXNmMgloLjFrc3Y0dXY4AHIhMXVRaXhxV0NzbmpqOUwyam8zUzVkZWc2SXpOaERGTnN3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43</Pages>
  <Words>9118</Words>
  <Characters>50149</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10</cp:revision>
  <dcterms:created xsi:type="dcterms:W3CDTF">2025-01-27T18:28:00Z</dcterms:created>
  <dcterms:modified xsi:type="dcterms:W3CDTF">2025-02-11T01:47:00Z</dcterms:modified>
</cp:coreProperties>
</file>