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2ACA4" w14:textId="77777777" w:rsidR="00BB4212" w:rsidRDefault="00BB4212" w:rsidP="00F71A2A">
      <w:pPr>
        <w:tabs>
          <w:tab w:val="left" w:pos="8931"/>
        </w:tabs>
        <w:spacing w:after="0" w:line="360" w:lineRule="auto"/>
        <w:rPr>
          <w:rFonts w:cs="Tahoma"/>
          <w:bCs/>
          <w:color w:val="auto"/>
        </w:rPr>
      </w:pPr>
    </w:p>
    <w:p w14:paraId="2A45AFE0" w14:textId="77777777" w:rsidR="00BB4212" w:rsidRDefault="00BB4212" w:rsidP="00F71A2A">
      <w:pPr>
        <w:tabs>
          <w:tab w:val="left" w:pos="8931"/>
        </w:tabs>
        <w:spacing w:after="0" w:line="360" w:lineRule="auto"/>
        <w:rPr>
          <w:rFonts w:cs="Tahoma"/>
          <w:bCs/>
          <w:color w:val="auto"/>
        </w:rPr>
      </w:pPr>
    </w:p>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2DF23AF0" w14:textId="22444990" w:rsidR="00BB4212" w:rsidRPr="00B4543B" w:rsidRDefault="00BB4212" w:rsidP="00F71A2A">
          <w:pPr>
            <w:pStyle w:val="TtulodeTDC"/>
            <w:spacing w:before="0" w:line="360" w:lineRule="auto"/>
            <w:jc w:val="center"/>
            <w:rPr>
              <w:rFonts w:ascii="Palatino Linotype" w:hAnsi="Palatino Linotype"/>
              <w:color w:val="000000" w:themeColor="text1"/>
              <w:sz w:val="22"/>
              <w:szCs w:val="22"/>
            </w:rPr>
          </w:pPr>
          <w:r w:rsidRPr="00B4543B">
            <w:rPr>
              <w:rFonts w:ascii="Palatino Linotype" w:hAnsi="Palatino Linotype"/>
              <w:color w:val="000000" w:themeColor="text1"/>
              <w:sz w:val="22"/>
              <w:szCs w:val="22"/>
              <w:lang w:val="es-ES"/>
            </w:rPr>
            <w:t xml:space="preserve">RESOLUCIÓN DEL RECURSO DE REVISIÓN </w:t>
          </w:r>
          <w:r w:rsidR="007963A0" w:rsidRPr="00B4543B">
            <w:rPr>
              <w:rFonts w:ascii="Palatino Linotype" w:eastAsia="Calibri" w:hAnsi="Palatino Linotype" w:cs="Tahoma"/>
              <w:color w:val="auto"/>
              <w:sz w:val="22"/>
              <w:szCs w:val="22"/>
            </w:rPr>
            <w:t>01561</w:t>
          </w:r>
          <w:r w:rsidRPr="00B4543B">
            <w:rPr>
              <w:rFonts w:ascii="Palatino Linotype" w:eastAsia="Calibri" w:hAnsi="Palatino Linotype" w:cs="Tahoma"/>
              <w:color w:val="auto"/>
              <w:sz w:val="22"/>
              <w:szCs w:val="22"/>
            </w:rPr>
            <w:t>/INFOEM/IP/RR/2025</w:t>
          </w:r>
        </w:p>
        <w:p w14:paraId="6990D7BA" w14:textId="77777777" w:rsidR="00B4543B" w:rsidRPr="00B4543B" w:rsidRDefault="00BB4212">
          <w:pPr>
            <w:pStyle w:val="TDC1"/>
            <w:rPr>
              <w:rFonts w:asciiTheme="minorHAnsi" w:eastAsiaTheme="minorEastAsia" w:hAnsiTheme="minorHAnsi" w:cstheme="minorBidi"/>
              <w:noProof/>
              <w:sz w:val="22"/>
              <w:szCs w:val="22"/>
              <w:lang w:eastAsia="es-MX"/>
            </w:rPr>
          </w:pPr>
          <w:r w:rsidRPr="00B4543B">
            <w:rPr>
              <w:rFonts w:ascii="Palatino Linotype" w:hAnsi="Palatino Linotype"/>
              <w:sz w:val="22"/>
              <w:szCs w:val="22"/>
            </w:rPr>
            <w:fldChar w:fldCharType="begin"/>
          </w:r>
          <w:r w:rsidRPr="00B4543B">
            <w:rPr>
              <w:rFonts w:ascii="Palatino Linotype" w:hAnsi="Palatino Linotype"/>
              <w:sz w:val="22"/>
              <w:szCs w:val="22"/>
            </w:rPr>
            <w:instrText xml:space="preserve"> TOC \o "1-3" \h \z \u </w:instrText>
          </w:r>
          <w:r w:rsidRPr="00B4543B">
            <w:rPr>
              <w:rFonts w:ascii="Palatino Linotype" w:hAnsi="Palatino Linotype"/>
              <w:sz w:val="22"/>
              <w:szCs w:val="22"/>
            </w:rPr>
            <w:fldChar w:fldCharType="separate"/>
          </w:r>
          <w:hyperlink w:anchor="_Toc193969451" w:history="1">
            <w:r w:rsidR="00B4543B" w:rsidRPr="00B4543B">
              <w:rPr>
                <w:rStyle w:val="Hipervnculo"/>
                <w:rFonts w:ascii="Palatino Linotype" w:eastAsia="Calibri" w:hAnsi="Palatino Linotype"/>
                <w:noProof/>
                <w:sz w:val="22"/>
                <w:szCs w:val="22"/>
                <w:lang w:val="es-ES"/>
              </w:rPr>
              <w:t>A N T E C E D E N T E S</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_Toc193969451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2</w:t>
            </w:r>
            <w:r w:rsidR="00B4543B" w:rsidRPr="00B4543B">
              <w:rPr>
                <w:noProof/>
                <w:webHidden/>
                <w:sz w:val="22"/>
                <w:szCs w:val="22"/>
              </w:rPr>
              <w:fldChar w:fldCharType="end"/>
            </w:r>
          </w:hyperlink>
        </w:p>
        <w:p w14:paraId="74B0F29A"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52" w:history="1">
            <w:r w:rsidR="00B4543B" w:rsidRPr="00B4543B">
              <w:rPr>
                <w:rStyle w:val="Hipervnculo"/>
                <w:rFonts w:ascii="Palatino Linotype" w:eastAsia="Calibri" w:hAnsi="Palatino Linotype"/>
                <w:noProof/>
                <w:sz w:val="22"/>
                <w:szCs w:val="22"/>
                <w:lang w:val="es-ES"/>
              </w:rPr>
              <w:t>I. Presentación de la solicitud de información</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_Toc193969452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2</w:t>
            </w:r>
            <w:r w:rsidR="00B4543B" w:rsidRPr="00B4543B">
              <w:rPr>
                <w:noProof/>
                <w:webHidden/>
                <w:sz w:val="22"/>
                <w:szCs w:val="22"/>
              </w:rPr>
              <w:fldChar w:fldCharType="end"/>
            </w:r>
          </w:hyperlink>
        </w:p>
        <w:p w14:paraId="4357FDB3"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53" w:history="1">
            <w:r w:rsidR="00B4543B" w:rsidRPr="00B4543B">
              <w:rPr>
                <w:rStyle w:val="Hipervnculo"/>
                <w:rFonts w:ascii="Palatino Linotype" w:hAnsi="Palatino Linotype"/>
                <w:noProof/>
                <w:sz w:val="22"/>
                <w:szCs w:val="22"/>
              </w:rPr>
              <w:t>II. Respuesta del Sujeto Obligado</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_Toc193969453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3</w:t>
            </w:r>
            <w:r w:rsidR="00B4543B" w:rsidRPr="00B4543B">
              <w:rPr>
                <w:noProof/>
                <w:webHidden/>
                <w:sz w:val="22"/>
                <w:szCs w:val="22"/>
              </w:rPr>
              <w:fldChar w:fldCharType="end"/>
            </w:r>
          </w:hyperlink>
        </w:p>
        <w:p w14:paraId="21AC8A54"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54" w:history="1">
            <w:r w:rsidR="00B4543B" w:rsidRPr="00B4543B">
              <w:rPr>
                <w:rStyle w:val="Hipervnculo"/>
                <w:rFonts w:ascii="Palatino Linotype" w:eastAsia="Calibri" w:hAnsi="Palatino Linotype"/>
                <w:noProof/>
                <w:sz w:val="22"/>
                <w:szCs w:val="22"/>
              </w:rPr>
              <w:t>III. Interposición del Recurso de Revisión</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_Toc193969454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4</w:t>
            </w:r>
            <w:r w:rsidR="00B4543B" w:rsidRPr="00B4543B">
              <w:rPr>
                <w:noProof/>
                <w:webHidden/>
                <w:sz w:val="22"/>
                <w:szCs w:val="22"/>
              </w:rPr>
              <w:fldChar w:fldCharType="end"/>
            </w:r>
          </w:hyperlink>
        </w:p>
        <w:p w14:paraId="73438B3C"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55" w:history="1">
            <w:r w:rsidR="00B4543B" w:rsidRPr="00B4543B">
              <w:rPr>
                <w:rStyle w:val="Hipervnculo"/>
                <w:rFonts w:ascii="Palatino Linotype" w:eastAsia="Calibri" w:hAnsi="Palatino Linotype"/>
                <w:noProof/>
                <w:sz w:val="22"/>
                <w:szCs w:val="22"/>
              </w:rPr>
              <w:t xml:space="preserve">IV. </w:t>
            </w:r>
            <w:r w:rsidR="00B4543B" w:rsidRPr="00B4543B">
              <w:rPr>
                <w:rStyle w:val="Hipervnculo"/>
                <w:rFonts w:ascii="Palatino Linotype" w:eastAsia="Batang" w:hAnsi="Palatino Linotype"/>
                <w:noProof/>
                <w:sz w:val="22"/>
                <w:szCs w:val="22"/>
              </w:rPr>
              <w:t>Trámite del Recurso de Revisión</w:t>
            </w:r>
            <w:r w:rsidR="00B4543B" w:rsidRPr="00B4543B">
              <w:rPr>
                <w:rStyle w:val="Hipervnculo"/>
                <w:rFonts w:ascii="Palatino Linotype" w:eastAsia="Calibri" w:hAnsi="Palatino Linotype"/>
                <w:noProof/>
                <w:sz w:val="22"/>
                <w:szCs w:val="22"/>
              </w:rPr>
              <w:t xml:space="preserve"> </w:t>
            </w:r>
            <w:r w:rsidR="00B4543B" w:rsidRPr="00B4543B">
              <w:rPr>
                <w:rStyle w:val="Hipervnculo"/>
                <w:rFonts w:ascii="Palatino Linotype" w:eastAsia="Batang" w:hAnsi="Palatino Linotype"/>
                <w:noProof/>
                <w:sz w:val="22"/>
                <w:szCs w:val="22"/>
              </w:rPr>
              <w:t>ante este Instituto</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_Toc193969455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4</w:t>
            </w:r>
            <w:r w:rsidR="00B4543B" w:rsidRPr="00B4543B">
              <w:rPr>
                <w:noProof/>
                <w:webHidden/>
                <w:sz w:val="22"/>
                <w:szCs w:val="22"/>
              </w:rPr>
              <w:fldChar w:fldCharType="end"/>
            </w:r>
          </w:hyperlink>
        </w:p>
        <w:p w14:paraId="01416B05" w14:textId="77777777" w:rsidR="00B4543B" w:rsidRPr="00B4543B" w:rsidRDefault="00910C14">
          <w:pPr>
            <w:pStyle w:val="TDC2"/>
            <w:tabs>
              <w:tab w:val="right" w:leader="dot" w:pos="8921"/>
            </w:tabs>
            <w:rPr>
              <w:rFonts w:asciiTheme="minorHAnsi" w:eastAsiaTheme="minorEastAsia" w:hAnsiTheme="minorHAnsi" w:cstheme="minorBidi"/>
              <w:noProof/>
              <w:sz w:val="22"/>
              <w:szCs w:val="22"/>
              <w:lang w:eastAsia="es-MX"/>
            </w:rPr>
          </w:pPr>
          <w:hyperlink w:anchor="_Toc193969456" w:history="1">
            <w:r w:rsidR="00B4543B" w:rsidRPr="00B4543B">
              <w:rPr>
                <w:rStyle w:val="Hipervnculo"/>
                <w:rFonts w:ascii="Palatino Linotype" w:hAnsi="Palatino Linotype"/>
                <w:noProof/>
                <w:sz w:val="22"/>
                <w:szCs w:val="22"/>
              </w:rPr>
              <w:t>a) Turno del Medio de Impugnación.</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_Toc193969456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4</w:t>
            </w:r>
            <w:r w:rsidR="00B4543B" w:rsidRPr="00B4543B">
              <w:rPr>
                <w:noProof/>
                <w:webHidden/>
                <w:sz w:val="22"/>
                <w:szCs w:val="22"/>
              </w:rPr>
              <w:fldChar w:fldCharType="end"/>
            </w:r>
          </w:hyperlink>
        </w:p>
        <w:p w14:paraId="45B359C9" w14:textId="023D4414" w:rsidR="00B4543B" w:rsidRPr="00B4543B" w:rsidRDefault="00910C14">
          <w:pPr>
            <w:pStyle w:val="TDC2"/>
            <w:tabs>
              <w:tab w:val="right" w:leader="dot" w:pos="8921"/>
            </w:tabs>
            <w:rPr>
              <w:rFonts w:asciiTheme="minorHAnsi" w:eastAsiaTheme="minorEastAsia" w:hAnsiTheme="minorHAnsi" w:cstheme="minorBidi"/>
              <w:noProof/>
              <w:sz w:val="22"/>
              <w:szCs w:val="22"/>
              <w:lang w:eastAsia="es-MX"/>
            </w:rPr>
          </w:pPr>
          <w:hyperlink w:anchor="_Toc193969457" w:history="1">
            <w:r w:rsidR="00B4543B" w:rsidRPr="00B4543B">
              <w:rPr>
                <w:rStyle w:val="Hipervnculo"/>
                <w:rFonts w:ascii="Palatino Linotype" w:hAnsi="Palatino Linotype"/>
                <w:noProof/>
                <w:sz w:val="22"/>
                <w:szCs w:val="22"/>
              </w:rPr>
              <w:t>b) Admisión del Recurso de Revisión.</w:t>
            </w:r>
            <w:r w:rsidR="00B4543B" w:rsidRPr="00B4543B">
              <w:rPr>
                <w:rStyle w:val="Hipervnculo"/>
                <w:rFonts w:ascii="Palatino Linotype" w:hAnsi="Palatino Linotype" w:cs="Tahoma"/>
                <w:bCs/>
                <w:noProof/>
                <w:sz w:val="22"/>
                <w:szCs w:val="22"/>
                <w:lang w:val="es-ES"/>
              </w:rPr>
              <w:t>.</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_Toc193969457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5</w:t>
            </w:r>
            <w:r w:rsidR="00B4543B" w:rsidRPr="00B4543B">
              <w:rPr>
                <w:noProof/>
                <w:webHidden/>
                <w:sz w:val="22"/>
                <w:szCs w:val="22"/>
              </w:rPr>
              <w:fldChar w:fldCharType="end"/>
            </w:r>
          </w:hyperlink>
        </w:p>
        <w:p w14:paraId="0C884BFD" w14:textId="77777777" w:rsidR="00B4543B" w:rsidRPr="00B4543B" w:rsidRDefault="00910C14">
          <w:pPr>
            <w:pStyle w:val="TDC2"/>
            <w:tabs>
              <w:tab w:val="right" w:leader="dot" w:pos="8921"/>
            </w:tabs>
            <w:rPr>
              <w:rFonts w:asciiTheme="minorHAnsi" w:eastAsiaTheme="minorEastAsia" w:hAnsiTheme="minorHAnsi" w:cstheme="minorBidi"/>
              <w:noProof/>
              <w:sz w:val="22"/>
              <w:szCs w:val="22"/>
              <w:lang w:eastAsia="es-MX"/>
            </w:rPr>
          </w:pPr>
          <w:hyperlink w:anchor="_Toc193969458" w:history="1">
            <w:r w:rsidR="00B4543B" w:rsidRPr="00B4543B">
              <w:rPr>
                <w:rStyle w:val="Hipervnculo"/>
                <w:rFonts w:ascii="Palatino Linotype" w:hAnsi="Palatino Linotype"/>
                <w:noProof/>
                <w:sz w:val="22"/>
                <w:szCs w:val="22"/>
              </w:rPr>
              <w:t>c) Informe Justificado.</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_Toc193969458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5</w:t>
            </w:r>
            <w:r w:rsidR="00B4543B" w:rsidRPr="00B4543B">
              <w:rPr>
                <w:noProof/>
                <w:webHidden/>
                <w:sz w:val="22"/>
                <w:szCs w:val="22"/>
              </w:rPr>
              <w:fldChar w:fldCharType="end"/>
            </w:r>
          </w:hyperlink>
        </w:p>
        <w:p w14:paraId="63D7F14A" w14:textId="77777777" w:rsidR="00B4543B" w:rsidRPr="00B4543B" w:rsidRDefault="00910C14">
          <w:pPr>
            <w:pStyle w:val="TDC2"/>
            <w:tabs>
              <w:tab w:val="right" w:leader="dot" w:pos="8921"/>
            </w:tabs>
            <w:rPr>
              <w:rFonts w:asciiTheme="minorHAnsi" w:eastAsiaTheme="minorEastAsia" w:hAnsiTheme="minorHAnsi" w:cstheme="minorBidi"/>
              <w:noProof/>
              <w:sz w:val="22"/>
              <w:szCs w:val="22"/>
              <w:lang w:eastAsia="es-MX"/>
            </w:rPr>
          </w:pPr>
          <w:hyperlink w:anchor="_Toc193969459" w:history="1">
            <w:r w:rsidR="00B4543B" w:rsidRPr="00B4543B">
              <w:rPr>
                <w:rStyle w:val="Hipervnculo"/>
                <w:rFonts w:ascii="Palatino Linotype" w:hAnsi="Palatino Linotype"/>
                <w:noProof/>
                <w:sz w:val="22"/>
                <w:szCs w:val="22"/>
              </w:rPr>
              <w:t>d) Manifestaciones por parte del Particular.</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_Toc193969459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6</w:t>
            </w:r>
            <w:r w:rsidR="00B4543B" w:rsidRPr="00B4543B">
              <w:rPr>
                <w:noProof/>
                <w:webHidden/>
                <w:sz w:val="22"/>
                <w:szCs w:val="22"/>
              </w:rPr>
              <w:fldChar w:fldCharType="end"/>
            </w:r>
          </w:hyperlink>
        </w:p>
        <w:p w14:paraId="6E508F8D" w14:textId="77777777" w:rsidR="00B4543B" w:rsidRPr="00B4543B" w:rsidRDefault="00910C14">
          <w:pPr>
            <w:pStyle w:val="TDC2"/>
            <w:tabs>
              <w:tab w:val="right" w:leader="dot" w:pos="8921"/>
            </w:tabs>
            <w:rPr>
              <w:rFonts w:asciiTheme="minorHAnsi" w:eastAsiaTheme="minorEastAsia" w:hAnsiTheme="minorHAnsi" w:cstheme="minorBidi"/>
              <w:noProof/>
              <w:sz w:val="22"/>
              <w:szCs w:val="22"/>
              <w:lang w:eastAsia="es-MX"/>
            </w:rPr>
          </w:pPr>
          <w:hyperlink w:anchor="_Toc193969460" w:history="1">
            <w:r w:rsidR="00B4543B" w:rsidRPr="00B4543B">
              <w:rPr>
                <w:rStyle w:val="Hipervnculo"/>
                <w:rFonts w:ascii="Palatino Linotype" w:hAnsi="Palatino Linotype"/>
                <w:noProof/>
                <w:sz w:val="22"/>
                <w:szCs w:val="22"/>
              </w:rPr>
              <w:t>e) Vista del Informe Justificado</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_Toc193969460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6</w:t>
            </w:r>
            <w:r w:rsidR="00B4543B" w:rsidRPr="00B4543B">
              <w:rPr>
                <w:noProof/>
                <w:webHidden/>
                <w:sz w:val="22"/>
                <w:szCs w:val="22"/>
              </w:rPr>
              <w:fldChar w:fldCharType="end"/>
            </w:r>
          </w:hyperlink>
        </w:p>
        <w:p w14:paraId="23A0151A" w14:textId="77777777" w:rsidR="00B4543B" w:rsidRPr="00B4543B" w:rsidRDefault="00910C14">
          <w:pPr>
            <w:pStyle w:val="TDC2"/>
            <w:tabs>
              <w:tab w:val="right" w:leader="dot" w:pos="8921"/>
            </w:tabs>
            <w:rPr>
              <w:rFonts w:asciiTheme="minorHAnsi" w:eastAsiaTheme="minorEastAsia" w:hAnsiTheme="minorHAnsi" w:cstheme="minorBidi"/>
              <w:noProof/>
              <w:sz w:val="22"/>
              <w:szCs w:val="22"/>
              <w:lang w:eastAsia="es-MX"/>
            </w:rPr>
          </w:pPr>
          <w:hyperlink w:anchor="_Toc193969461" w:history="1">
            <w:r w:rsidR="00B4543B" w:rsidRPr="00B4543B">
              <w:rPr>
                <w:rStyle w:val="Hipervnculo"/>
                <w:rFonts w:ascii="Palatino Linotype" w:hAnsi="Palatino Linotype"/>
                <w:noProof/>
                <w:sz w:val="22"/>
                <w:szCs w:val="22"/>
              </w:rPr>
              <w:t>f) Cierre de instrucción</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_Toc193969461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7</w:t>
            </w:r>
            <w:r w:rsidR="00B4543B" w:rsidRPr="00B4543B">
              <w:rPr>
                <w:noProof/>
                <w:webHidden/>
                <w:sz w:val="22"/>
                <w:szCs w:val="22"/>
              </w:rPr>
              <w:fldChar w:fldCharType="end"/>
            </w:r>
          </w:hyperlink>
        </w:p>
        <w:p w14:paraId="4F564A1B"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62" w:history="1">
            <w:r w:rsidR="00B4543B" w:rsidRPr="00B4543B">
              <w:rPr>
                <w:rStyle w:val="Hipervnculo"/>
                <w:rFonts w:ascii="Palatino Linotype" w:hAnsi="Palatino Linotype"/>
                <w:noProof/>
                <w:sz w:val="22"/>
                <w:szCs w:val="22"/>
                <w:lang w:val="es-ES"/>
              </w:rPr>
              <w:t>C O N S I D E R A N D O S</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_Toc193969462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7</w:t>
            </w:r>
            <w:r w:rsidR="00B4543B" w:rsidRPr="00B4543B">
              <w:rPr>
                <w:noProof/>
                <w:webHidden/>
                <w:sz w:val="22"/>
                <w:szCs w:val="22"/>
              </w:rPr>
              <w:fldChar w:fldCharType="end"/>
            </w:r>
          </w:hyperlink>
        </w:p>
        <w:p w14:paraId="3C65C879"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63" w:history="1">
            <w:r w:rsidR="00B4543B" w:rsidRPr="00B4543B">
              <w:rPr>
                <w:rStyle w:val="Hipervnculo"/>
                <w:rFonts w:ascii="Palatino Linotype" w:eastAsia="Calibri" w:hAnsi="Palatino Linotype"/>
                <w:noProof/>
                <w:sz w:val="22"/>
                <w:szCs w:val="22"/>
                <w:lang w:val="es-ES" w:eastAsia="es-MX"/>
              </w:rPr>
              <w:t xml:space="preserve">PRIMERO. </w:t>
            </w:r>
            <w:r w:rsidR="00B4543B" w:rsidRPr="00B4543B">
              <w:rPr>
                <w:rStyle w:val="Hipervnculo"/>
                <w:rFonts w:ascii="Palatino Linotype" w:hAnsi="Palatino Linotype"/>
                <w:noProof/>
                <w:sz w:val="22"/>
                <w:szCs w:val="22"/>
                <w:lang w:val="es-ES"/>
              </w:rPr>
              <w:t>Competencia</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_Toc193969463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7</w:t>
            </w:r>
            <w:r w:rsidR="00B4543B" w:rsidRPr="00B4543B">
              <w:rPr>
                <w:noProof/>
                <w:webHidden/>
                <w:sz w:val="22"/>
                <w:szCs w:val="22"/>
              </w:rPr>
              <w:fldChar w:fldCharType="end"/>
            </w:r>
          </w:hyperlink>
        </w:p>
        <w:p w14:paraId="27C89B8E"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64" w:history="1">
            <w:r w:rsidR="00B4543B" w:rsidRPr="00B4543B">
              <w:rPr>
                <w:rStyle w:val="Hipervnculo"/>
                <w:rFonts w:ascii="Palatino Linotype" w:eastAsia="Calibri" w:hAnsi="Palatino Linotype" w:cs="Tahoma"/>
                <w:noProof/>
                <w:sz w:val="22"/>
                <w:szCs w:val="22"/>
                <w:lang w:val="es-ES" w:eastAsia="es-MX"/>
              </w:rPr>
              <w:t xml:space="preserve">SEGUNDO. </w:t>
            </w:r>
            <w:r w:rsidR="00B4543B" w:rsidRPr="00B4543B">
              <w:rPr>
                <w:rStyle w:val="Hipervnculo"/>
                <w:rFonts w:ascii="Palatino Linotype" w:hAnsi="Palatino Linotype" w:cs="Tahoma"/>
                <w:noProof/>
                <w:sz w:val="22"/>
                <w:szCs w:val="22"/>
                <w:lang w:val="es-ES"/>
              </w:rPr>
              <w:t>Causales de improcedencia</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_Toc193969464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8</w:t>
            </w:r>
            <w:r w:rsidR="00B4543B" w:rsidRPr="00B4543B">
              <w:rPr>
                <w:noProof/>
                <w:webHidden/>
                <w:sz w:val="22"/>
                <w:szCs w:val="22"/>
              </w:rPr>
              <w:fldChar w:fldCharType="end"/>
            </w:r>
          </w:hyperlink>
        </w:p>
        <w:p w14:paraId="56046902" w14:textId="77777777" w:rsidR="00B4543B" w:rsidRPr="00B4543B" w:rsidRDefault="00910C14">
          <w:pPr>
            <w:pStyle w:val="TDC1"/>
            <w:rPr>
              <w:rFonts w:asciiTheme="minorHAnsi" w:eastAsiaTheme="minorEastAsia" w:hAnsiTheme="minorHAnsi" w:cstheme="minorBidi"/>
              <w:noProof/>
              <w:sz w:val="22"/>
              <w:szCs w:val="22"/>
              <w:lang w:eastAsia="es-MX"/>
            </w:rPr>
          </w:pPr>
          <w:hyperlink w:anchor="_Toc193969465" w:history="1">
            <w:r w:rsidR="00B4543B" w:rsidRPr="00B4543B">
              <w:rPr>
                <w:rStyle w:val="Hipervnculo"/>
                <w:rFonts w:ascii="Palatino Linotype" w:hAnsi="Palatino Linotype"/>
                <w:noProof/>
                <w:sz w:val="22"/>
                <w:szCs w:val="22"/>
              </w:rPr>
              <w:t>R E S U E L V E</w:t>
            </w:r>
            <w:r w:rsidR="00B4543B" w:rsidRPr="00B4543B">
              <w:rPr>
                <w:noProof/>
                <w:webHidden/>
                <w:sz w:val="22"/>
                <w:szCs w:val="22"/>
              </w:rPr>
              <w:tab/>
            </w:r>
            <w:r w:rsidR="00B4543B" w:rsidRPr="00B4543B">
              <w:rPr>
                <w:noProof/>
                <w:webHidden/>
                <w:sz w:val="22"/>
                <w:szCs w:val="22"/>
              </w:rPr>
              <w:fldChar w:fldCharType="begin"/>
            </w:r>
            <w:r w:rsidR="00B4543B" w:rsidRPr="00B4543B">
              <w:rPr>
                <w:noProof/>
                <w:webHidden/>
                <w:sz w:val="22"/>
                <w:szCs w:val="22"/>
              </w:rPr>
              <w:instrText xml:space="preserve"> PAGEREF _Toc193969465 \h </w:instrText>
            </w:r>
            <w:r w:rsidR="00B4543B" w:rsidRPr="00B4543B">
              <w:rPr>
                <w:noProof/>
                <w:webHidden/>
                <w:sz w:val="22"/>
                <w:szCs w:val="22"/>
              </w:rPr>
            </w:r>
            <w:r w:rsidR="00B4543B" w:rsidRPr="00B4543B">
              <w:rPr>
                <w:noProof/>
                <w:webHidden/>
                <w:sz w:val="22"/>
                <w:szCs w:val="22"/>
              </w:rPr>
              <w:fldChar w:fldCharType="separate"/>
            </w:r>
            <w:r w:rsidR="002A68AB">
              <w:rPr>
                <w:noProof/>
                <w:webHidden/>
                <w:sz w:val="22"/>
                <w:szCs w:val="22"/>
              </w:rPr>
              <w:t>17</w:t>
            </w:r>
            <w:r w:rsidR="00B4543B" w:rsidRPr="00B4543B">
              <w:rPr>
                <w:noProof/>
                <w:webHidden/>
                <w:sz w:val="22"/>
                <w:szCs w:val="22"/>
              </w:rPr>
              <w:fldChar w:fldCharType="end"/>
            </w:r>
          </w:hyperlink>
        </w:p>
        <w:p w14:paraId="3B417C37" w14:textId="77777777" w:rsidR="00CF5D11" w:rsidRPr="00B4543B" w:rsidRDefault="00BB4212" w:rsidP="00CF5D11">
          <w:pPr>
            <w:spacing w:after="0" w:line="360" w:lineRule="auto"/>
            <w:rPr>
              <w:lang w:val="es-ES"/>
            </w:rPr>
          </w:pPr>
          <w:r w:rsidRPr="00B4543B">
            <w:rPr>
              <w:lang w:val="es-ES"/>
            </w:rPr>
            <w:fldChar w:fldCharType="end"/>
          </w:r>
        </w:p>
        <w:p w14:paraId="742AD87F" w14:textId="77777777" w:rsidR="00CF5D11" w:rsidRPr="00B4543B" w:rsidRDefault="00CF5D11" w:rsidP="00CF5D11">
          <w:pPr>
            <w:spacing w:after="0" w:line="360" w:lineRule="auto"/>
            <w:rPr>
              <w:lang w:val="es-ES"/>
            </w:rPr>
          </w:pPr>
        </w:p>
        <w:p w14:paraId="3361F9E0" w14:textId="77777777" w:rsidR="00CF5D11" w:rsidRPr="00B4543B" w:rsidRDefault="00CF5D11" w:rsidP="00CF5D11">
          <w:pPr>
            <w:spacing w:after="0" w:line="360" w:lineRule="auto"/>
            <w:rPr>
              <w:lang w:val="es-ES"/>
            </w:rPr>
          </w:pPr>
        </w:p>
        <w:p w14:paraId="4FD52F56" w14:textId="77777777" w:rsidR="00CF5D11" w:rsidRPr="00B4543B" w:rsidRDefault="00CF5D11" w:rsidP="00CF5D11">
          <w:pPr>
            <w:spacing w:after="0" w:line="360" w:lineRule="auto"/>
            <w:rPr>
              <w:lang w:val="es-ES"/>
            </w:rPr>
          </w:pPr>
        </w:p>
        <w:p w14:paraId="0EA4305C" w14:textId="50BBCDDB" w:rsidR="00BB4212" w:rsidRPr="00B4543B" w:rsidRDefault="00910C14" w:rsidP="00CF5D11">
          <w:pPr>
            <w:spacing w:after="0" w:line="360" w:lineRule="auto"/>
            <w:rPr>
              <w:lang w:val="es-ES"/>
            </w:rPr>
          </w:pPr>
        </w:p>
      </w:sdtContent>
    </w:sdt>
    <w:p w14:paraId="4D2F2685" w14:textId="77777777" w:rsidR="00BB4212" w:rsidRPr="00B4543B" w:rsidRDefault="00BB4212" w:rsidP="00F71A2A">
      <w:pPr>
        <w:tabs>
          <w:tab w:val="left" w:pos="8931"/>
        </w:tabs>
        <w:spacing w:after="0" w:line="360" w:lineRule="auto"/>
        <w:rPr>
          <w:rFonts w:cs="Tahoma"/>
          <w:bCs/>
          <w:color w:val="auto"/>
        </w:rPr>
      </w:pPr>
    </w:p>
    <w:p w14:paraId="63E834DF" w14:textId="21243A79" w:rsidR="00EC77D9" w:rsidRPr="00B4543B" w:rsidRDefault="00EC77D9" w:rsidP="00F71A2A">
      <w:pPr>
        <w:tabs>
          <w:tab w:val="left" w:pos="8931"/>
        </w:tabs>
        <w:spacing w:after="0" w:line="360" w:lineRule="auto"/>
        <w:rPr>
          <w:rFonts w:eastAsia="Calibri" w:cs="Tahoma"/>
          <w:color w:val="auto"/>
          <w:lang w:val="es-ES"/>
        </w:rPr>
      </w:pPr>
      <w:r w:rsidRPr="00B4543B">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B4543B">
        <w:rPr>
          <w:rFonts w:eastAsia="Calibri" w:cs="Tahoma"/>
          <w:color w:val="auto"/>
          <w:lang w:val="es-ES"/>
        </w:rPr>
        <w:t xml:space="preserve">Estado de México, de fecha </w:t>
      </w:r>
      <w:r w:rsidR="007963A0" w:rsidRPr="00B4543B">
        <w:rPr>
          <w:rFonts w:eastAsia="Calibri" w:cs="Tahoma"/>
          <w:color w:val="auto"/>
          <w:lang w:val="es-ES"/>
        </w:rPr>
        <w:t>veintiséis</w:t>
      </w:r>
      <w:r w:rsidR="008063AC" w:rsidRPr="00B4543B">
        <w:rPr>
          <w:rFonts w:eastAsia="Calibri" w:cs="Tahoma"/>
          <w:color w:val="auto"/>
          <w:lang w:val="es-ES"/>
        </w:rPr>
        <w:t xml:space="preserve"> </w:t>
      </w:r>
      <w:r w:rsidR="00C672B0" w:rsidRPr="00B4543B">
        <w:rPr>
          <w:rFonts w:eastAsia="Calibri" w:cs="Tahoma"/>
          <w:color w:val="auto"/>
          <w:lang w:val="es-ES"/>
        </w:rPr>
        <w:t>de</w:t>
      </w:r>
      <w:r w:rsidR="00B92024" w:rsidRPr="00B4543B">
        <w:rPr>
          <w:rFonts w:eastAsia="Calibri" w:cs="Tahoma"/>
          <w:color w:val="auto"/>
          <w:lang w:val="es-ES"/>
        </w:rPr>
        <w:t xml:space="preserve"> marzo de dos mil veinticinco.</w:t>
      </w:r>
      <w:r w:rsidR="00C672B0" w:rsidRPr="00B4543B">
        <w:rPr>
          <w:rFonts w:eastAsia="Calibri" w:cs="Tahoma"/>
          <w:color w:val="auto"/>
          <w:lang w:val="es-ES"/>
        </w:rPr>
        <w:t xml:space="preserve"> </w:t>
      </w:r>
    </w:p>
    <w:p w14:paraId="5E4128C6" w14:textId="31091B34" w:rsidR="00EC77D9" w:rsidRPr="00B4543B" w:rsidRDefault="004F0E43" w:rsidP="00F71A2A">
      <w:pPr>
        <w:tabs>
          <w:tab w:val="left" w:pos="5580"/>
        </w:tabs>
        <w:spacing w:after="0" w:line="360" w:lineRule="auto"/>
        <w:rPr>
          <w:rFonts w:eastAsia="Calibri" w:cs="Tahoma"/>
          <w:b/>
          <w:bCs/>
          <w:color w:val="auto"/>
          <w:lang w:val="es-ES"/>
        </w:rPr>
      </w:pPr>
      <w:r w:rsidRPr="00B4543B">
        <w:rPr>
          <w:rFonts w:eastAsia="Calibri" w:cs="Tahoma"/>
          <w:b/>
          <w:bCs/>
          <w:color w:val="auto"/>
          <w:lang w:val="es-ES"/>
        </w:rPr>
        <w:tab/>
      </w:r>
    </w:p>
    <w:p w14:paraId="40862826" w14:textId="10096A25" w:rsidR="00EC77D9" w:rsidRPr="00B4543B" w:rsidRDefault="00EC77D9" w:rsidP="00F71A2A">
      <w:pPr>
        <w:spacing w:after="0" w:line="360" w:lineRule="auto"/>
        <w:rPr>
          <w:rFonts w:ascii="Verdana" w:hAnsi="Verdana"/>
          <w:b/>
          <w:bCs/>
          <w:color w:val="auto"/>
        </w:rPr>
      </w:pPr>
      <w:r w:rsidRPr="00B4543B">
        <w:rPr>
          <w:rFonts w:eastAsia="Calibri" w:cs="Tahoma"/>
          <w:b/>
          <w:bCs/>
          <w:color w:val="auto"/>
          <w:lang w:val="es-ES"/>
        </w:rPr>
        <w:t xml:space="preserve">VISTO </w:t>
      </w:r>
      <w:r w:rsidRPr="00B4543B">
        <w:rPr>
          <w:rFonts w:eastAsia="Calibri" w:cs="Tahoma"/>
          <w:color w:val="auto"/>
          <w:lang w:val="es-ES"/>
        </w:rPr>
        <w:t>el expediente conformado con motivo del Recurso de Revisión</w:t>
      </w:r>
      <w:r w:rsidR="00B92024" w:rsidRPr="00B4543B">
        <w:rPr>
          <w:rFonts w:eastAsia="Calibri" w:cs="Tahoma"/>
          <w:color w:val="auto"/>
          <w:lang w:val="es-ES"/>
        </w:rPr>
        <w:t xml:space="preserve"> </w:t>
      </w:r>
      <w:r w:rsidR="007963A0" w:rsidRPr="00B331C5">
        <w:rPr>
          <w:b/>
          <w:color w:val="auto"/>
        </w:rPr>
        <w:t>01561</w:t>
      </w:r>
      <w:r w:rsidR="00B92024" w:rsidRPr="00B331C5">
        <w:rPr>
          <w:b/>
          <w:color w:val="auto"/>
        </w:rPr>
        <w:t>/INFOEM/IP/RR/2025</w:t>
      </w:r>
      <w:r w:rsidRPr="00B4543B">
        <w:rPr>
          <w:rFonts w:eastAsia="Calibri" w:cs="Tahoma"/>
          <w:b/>
          <w:bCs/>
          <w:color w:val="auto"/>
        </w:rPr>
        <w:t>,</w:t>
      </w:r>
      <w:r w:rsidRPr="00B4543B">
        <w:rPr>
          <w:rFonts w:eastAsia="Calibri" w:cs="Tahoma"/>
          <w:color w:val="auto"/>
        </w:rPr>
        <w:t xml:space="preserve"> interpuesto</w:t>
      </w:r>
      <w:r w:rsidR="007963A0" w:rsidRPr="00B4543B">
        <w:rPr>
          <w:rFonts w:eastAsia="Calibri" w:cs="Tahoma"/>
          <w:color w:val="auto"/>
        </w:rPr>
        <w:t xml:space="preserve"> por</w:t>
      </w:r>
      <w:r w:rsidR="002D0B56" w:rsidRPr="002D0B56">
        <w:t xml:space="preserve"> </w:t>
      </w:r>
      <w:r w:rsidR="002D0B56" w:rsidRPr="002D0B56">
        <w:rPr>
          <w:highlight w:val="black"/>
        </w:rPr>
        <w:t>XXXXXXXXXXXXXXX</w:t>
      </w:r>
      <w:r w:rsidR="002D0B56" w:rsidRPr="002D0B56">
        <w:rPr>
          <w:highlight w:val="black"/>
        </w:rPr>
        <w:t>X</w:t>
      </w:r>
      <w:r w:rsidR="007963A0" w:rsidRPr="00B331C5">
        <w:rPr>
          <w:rFonts w:cs="Tahoma"/>
          <w:b/>
          <w:color w:val="auto"/>
        </w:rPr>
        <w:t xml:space="preserve">, </w:t>
      </w:r>
      <w:r w:rsidR="007963A0" w:rsidRPr="00B4543B">
        <w:rPr>
          <w:rFonts w:cs="Tahoma"/>
          <w:color w:val="auto"/>
        </w:rPr>
        <w:t xml:space="preserve">en lo sucesivo </w:t>
      </w:r>
      <w:r w:rsidR="00C67EF9" w:rsidRPr="00B4543B">
        <w:rPr>
          <w:rFonts w:eastAsia="Calibri" w:cs="Tahoma"/>
          <w:color w:val="auto"/>
        </w:rPr>
        <w:t>la persona</w:t>
      </w:r>
      <w:r w:rsidRPr="00B4543B">
        <w:rPr>
          <w:rFonts w:cs="Tahoma"/>
          <w:color w:val="auto"/>
        </w:rPr>
        <w:t xml:space="preserve"> Recurrente o Particular, en contra</w:t>
      </w:r>
      <w:r w:rsidR="00C67EF9" w:rsidRPr="00B4543B">
        <w:rPr>
          <w:rFonts w:cs="Tahoma"/>
          <w:color w:val="auto"/>
        </w:rPr>
        <w:t xml:space="preserve"> </w:t>
      </w:r>
      <w:r w:rsidRPr="00B4543B">
        <w:rPr>
          <w:rFonts w:cs="Tahoma"/>
          <w:color w:val="auto"/>
        </w:rPr>
        <w:t xml:space="preserve">de </w:t>
      </w:r>
      <w:r w:rsidR="00C67EF9" w:rsidRPr="00B4543B">
        <w:rPr>
          <w:rFonts w:cs="Tahoma"/>
          <w:color w:val="auto"/>
        </w:rPr>
        <w:t xml:space="preserve">la </w:t>
      </w:r>
      <w:r w:rsidRPr="00B4543B">
        <w:rPr>
          <w:rFonts w:cs="Tahoma"/>
          <w:color w:val="auto"/>
        </w:rPr>
        <w:t xml:space="preserve">respuesta del Sujeto Obligado, </w:t>
      </w:r>
      <w:r w:rsidR="007963A0" w:rsidRPr="00B331C5">
        <w:rPr>
          <w:b/>
          <w:color w:val="auto"/>
        </w:rPr>
        <w:t>Ayuntamiento de Calimaya</w:t>
      </w:r>
      <w:r w:rsidR="00C672B0" w:rsidRPr="00B4543B">
        <w:rPr>
          <w:color w:val="auto"/>
        </w:rPr>
        <w:t xml:space="preserve">, </w:t>
      </w:r>
      <w:r w:rsidRPr="00B4543B">
        <w:rPr>
          <w:color w:val="auto"/>
        </w:rPr>
        <w:t>a la solicitud de acceso a la información pública</w:t>
      </w:r>
      <w:r w:rsidR="00C672B0" w:rsidRPr="00B4543B">
        <w:rPr>
          <w:color w:val="auto"/>
        </w:rPr>
        <w:t xml:space="preserve"> </w:t>
      </w:r>
      <w:r w:rsidR="007963A0" w:rsidRPr="00B4543B">
        <w:rPr>
          <w:color w:val="auto"/>
        </w:rPr>
        <w:t>00096/CALIMAYA/IP/2025</w:t>
      </w:r>
      <w:r w:rsidRPr="00B4543B">
        <w:rPr>
          <w:rFonts w:cs="Tahoma"/>
          <w:iCs/>
          <w:color w:val="auto"/>
        </w:rPr>
        <w:t>,</w:t>
      </w:r>
      <w:r w:rsidRPr="00B4543B">
        <w:rPr>
          <w:rFonts w:cs="Tahoma"/>
          <w:color w:val="auto"/>
        </w:rPr>
        <w:t xml:space="preserve"> se emite</w:t>
      </w:r>
      <w:r w:rsidRPr="00B4543B">
        <w:rPr>
          <w:rFonts w:cs="Tahoma"/>
          <w:bCs/>
          <w:color w:val="auto"/>
        </w:rPr>
        <w:t xml:space="preserve"> la presente Resolución, con base en los Antecedentes y Considerandos que se exponen a continuación:</w:t>
      </w:r>
      <w:bookmarkStart w:id="0" w:name="_GoBack"/>
      <w:bookmarkEnd w:id="0"/>
    </w:p>
    <w:p w14:paraId="4BF98042" w14:textId="77777777" w:rsidR="00846FE3" w:rsidRPr="00B4543B" w:rsidRDefault="00846FE3" w:rsidP="00F71A2A">
      <w:pPr>
        <w:spacing w:after="0" w:line="360" w:lineRule="auto"/>
        <w:rPr>
          <w:rFonts w:ascii="Verdana" w:hAnsi="Verdana"/>
          <w:b/>
          <w:bCs/>
          <w:color w:val="auto"/>
        </w:rPr>
      </w:pPr>
    </w:p>
    <w:p w14:paraId="75BF07A7" w14:textId="1B1A449D" w:rsidR="00EC77D9" w:rsidRPr="00B4543B" w:rsidRDefault="00EC77D9" w:rsidP="00F71A2A">
      <w:pPr>
        <w:pStyle w:val="Ttulo1"/>
        <w:spacing w:before="0" w:line="360" w:lineRule="auto"/>
        <w:jc w:val="center"/>
        <w:rPr>
          <w:rFonts w:ascii="Palatino Linotype" w:eastAsia="Calibri" w:hAnsi="Palatino Linotype"/>
          <w:b/>
          <w:color w:val="auto"/>
          <w:sz w:val="22"/>
          <w:szCs w:val="22"/>
          <w:lang w:val="es-ES"/>
        </w:rPr>
      </w:pPr>
      <w:bookmarkStart w:id="1" w:name="_Toc193969451"/>
      <w:r w:rsidRPr="00B4543B">
        <w:rPr>
          <w:rFonts w:ascii="Palatino Linotype" w:eastAsia="Calibri" w:hAnsi="Palatino Linotype"/>
          <w:b/>
          <w:color w:val="auto"/>
          <w:sz w:val="22"/>
          <w:szCs w:val="22"/>
          <w:lang w:val="es-ES"/>
        </w:rPr>
        <w:t>A N T E C E D E N T E S</w:t>
      </w:r>
      <w:bookmarkEnd w:id="1"/>
    </w:p>
    <w:p w14:paraId="3C95874E" w14:textId="77777777" w:rsidR="00EC77D9" w:rsidRPr="00B4543B" w:rsidRDefault="00EC77D9" w:rsidP="00F71A2A">
      <w:pPr>
        <w:spacing w:after="0" w:line="360" w:lineRule="auto"/>
        <w:rPr>
          <w:color w:val="FF0000"/>
          <w:lang w:val="es-ES"/>
        </w:rPr>
      </w:pPr>
    </w:p>
    <w:p w14:paraId="4F749C11" w14:textId="16E58D7E" w:rsidR="00EC77D9" w:rsidRPr="00B4543B" w:rsidRDefault="00EC77D9" w:rsidP="00F71A2A">
      <w:pPr>
        <w:pStyle w:val="Ttulo1"/>
        <w:spacing w:before="0" w:line="360" w:lineRule="auto"/>
        <w:rPr>
          <w:rFonts w:ascii="Palatino Linotype" w:eastAsia="Calibri" w:hAnsi="Palatino Linotype"/>
          <w:b/>
          <w:color w:val="auto"/>
          <w:sz w:val="22"/>
          <w:szCs w:val="22"/>
          <w:lang w:val="es-ES"/>
        </w:rPr>
      </w:pPr>
      <w:bookmarkStart w:id="2" w:name="_Toc193969452"/>
      <w:r w:rsidRPr="00B4543B">
        <w:rPr>
          <w:rFonts w:ascii="Palatino Linotype" w:eastAsia="Calibri" w:hAnsi="Palatino Linotype"/>
          <w:b/>
          <w:color w:val="auto"/>
          <w:sz w:val="22"/>
          <w:szCs w:val="22"/>
          <w:lang w:val="es-ES"/>
        </w:rPr>
        <w:t>I. Presentación</w:t>
      </w:r>
      <w:r w:rsidR="00C672B0" w:rsidRPr="00B4543B">
        <w:rPr>
          <w:rFonts w:ascii="Palatino Linotype" w:eastAsia="Calibri" w:hAnsi="Palatino Linotype"/>
          <w:b/>
          <w:color w:val="auto"/>
          <w:sz w:val="22"/>
          <w:szCs w:val="22"/>
          <w:lang w:val="es-ES"/>
        </w:rPr>
        <w:t xml:space="preserve"> de la solicitud de información</w:t>
      </w:r>
      <w:bookmarkEnd w:id="2"/>
    </w:p>
    <w:p w14:paraId="2856D2CB" w14:textId="77777777" w:rsidR="000F08D4" w:rsidRPr="00B4543B" w:rsidRDefault="000F08D4" w:rsidP="00F71A2A">
      <w:pPr>
        <w:spacing w:after="0" w:line="360" w:lineRule="auto"/>
        <w:rPr>
          <w:rFonts w:cs="Tahoma"/>
          <w:color w:val="FF0000"/>
        </w:rPr>
      </w:pPr>
    </w:p>
    <w:p w14:paraId="46A55CEB" w14:textId="7E8F5FFE" w:rsidR="00D17D14" w:rsidRPr="00B4543B" w:rsidRDefault="00EA79A8" w:rsidP="00F71A2A">
      <w:pPr>
        <w:spacing w:after="0" w:line="360" w:lineRule="auto"/>
        <w:rPr>
          <w:rFonts w:eastAsia="Calibri" w:cs="Tahoma"/>
          <w:color w:val="auto"/>
          <w:lang w:val="es-ES"/>
        </w:rPr>
      </w:pPr>
      <w:r w:rsidRPr="00B4543B">
        <w:rPr>
          <w:rFonts w:eastAsia="Calibri" w:cs="Tahoma"/>
          <w:color w:val="auto"/>
        </w:rPr>
        <w:t>El</w:t>
      </w:r>
      <w:r w:rsidR="000F08D4" w:rsidRPr="00B4543B">
        <w:rPr>
          <w:rFonts w:eastAsia="Calibri" w:cs="Tahoma"/>
          <w:color w:val="auto"/>
          <w:lang w:val="es-ES"/>
        </w:rPr>
        <w:t xml:space="preserve"> </w:t>
      </w:r>
      <w:r w:rsidR="007963A0" w:rsidRPr="00B4543B">
        <w:rPr>
          <w:rFonts w:eastAsia="Calibri" w:cs="Tahoma"/>
          <w:color w:val="auto"/>
          <w:lang w:val="es-ES"/>
        </w:rPr>
        <w:t xml:space="preserve">trece de febrero </w:t>
      </w:r>
      <w:r w:rsidR="00B92024" w:rsidRPr="00B4543B">
        <w:rPr>
          <w:rFonts w:eastAsia="Calibri" w:cs="Tahoma"/>
          <w:color w:val="auto"/>
          <w:lang w:val="es-ES"/>
        </w:rPr>
        <w:t xml:space="preserve">de dos mil veinticinco, </w:t>
      </w:r>
      <w:r w:rsidR="000F08D4" w:rsidRPr="00B4543B">
        <w:rPr>
          <w:rFonts w:eastAsia="Calibri" w:cs="Tahoma"/>
          <w:color w:val="auto"/>
          <w:lang w:val="es-ES"/>
        </w:rPr>
        <w:t xml:space="preserve">se presentó una solicitud de información </w:t>
      </w:r>
      <w:r w:rsidR="009C1D2E" w:rsidRPr="00B4543B">
        <w:rPr>
          <w:rFonts w:eastAsia="Calibri" w:cs="Tahoma"/>
          <w:color w:val="auto"/>
          <w:lang w:val="es-ES"/>
        </w:rPr>
        <w:t>por la persona Recurrente</w:t>
      </w:r>
      <w:r w:rsidR="000F08D4" w:rsidRPr="00B4543B">
        <w:rPr>
          <w:rFonts w:eastAsia="Calibri" w:cs="Tahoma"/>
          <w:color w:val="auto"/>
          <w:lang w:val="es-ES"/>
        </w:rPr>
        <w:t>, a través del Sistema de Acceso a la Información Mexiquense (SAIMEX),</w:t>
      </w:r>
      <w:r w:rsidR="000F08D4" w:rsidRPr="00B4543B">
        <w:rPr>
          <w:rFonts w:eastAsia="Calibri" w:cs="Times New Roman"/>
          <w:b/>
          <w:bCs/>
          <w:color w:val="auto"/>
        </w:rPr>
        <w:t xml:space="preserve"> </w:t>
      </w:r>
      <w:r w:rsidR="000F08D4" w:rsidRPr="00B4543B">
        <w:rPr>
          <w:rFonts w:eastAsia="Calibri" w:cs="Tahoma"/>
          <w:color w:val="auto"/>
          <w:lang w:val="es-ES"/>
        </w:rPr>
        <w:t>ante</w:t>
      </w:r>
      <w:r w:rsidR="00C573A0" w:rsidRPr="00B4543B">
        <w:rPr>
          <w:rFonts w:eastAsia="Calibri" w:cs="Tahoma"/>
          <w:color w:val="auto"/>
          <w:lang w:val="es-ES"/>
        </w:rPr>
        <w:t xml:space="preserve"> el </w:t>
      </w:r>
      <w:r w:rsidR="007963A0" w:rsidRPr="00B4543B">
        <w:rPr>
          <w:rFonts w:eastAsia="Calibri" w:cs="Tahoma"/>
          <w:color w:val="auto"/>
          <w:lang w:val="es-ES"/>
        </w:rPr>
        <w:t>Ayuntamiento de Calimaya</w:t>
      </w:r>
      <w:r w:rsidR="000F08D4" w:rsidRPr="00B4543B">
        <w:rPr>
          <w:rFonts w:eastAsia="Calibri" w:cs="Tahoma"/>
          <w:color w:val="auto"/>
        </w:rPr>
        <w:t xml:space="preserve">, </w:t>
      </w:r>
      <w:r w:rsidR="000F08D4" w:rsidRPr="00B4543B">
        <w:rPr>
          <w:rFonts w:cs="Tahoma"/>
          <w:color w:val="auto"/>
        </w:rPr>
        <w:t>en los siguientes términos</w:t>
      </w:r>
      <w:r w:rsidR="002736F9" w:rsidRPr="00B4543B">
        <w:rPr>
          <w:rFonts w:cs="Tahoma"/>
          <w:color w:val="auto"/>
        </w:rPr>
        <w:t>:</w:t>
      </w:r>
    </w:p>
    <w:p w14:paraId="50EA853A" w14:textId="77777777" w:rsidR="00D17D14" w:rsidRPr="00B4543B" w:rsidRDefault="00D17D14" w:rsidP="00F71A2A">
      <w:pPr>
        <w:spacing w:after="0" w:line="360" w:lineRule="auto"/>
        <w:rPr>
          <w:rFonts w:cs="Tahoma"/>
          <w:color w:val="FF0000"/>
        </w:rPr>
      </w:pPr>
    </w:p>
    <w:p w14:paraId="3C749962" w14:textId="77777777" w:rsidR="00EC77D9" w:rsidRPr="00B4543B" w:rsidRDefault="00EC77D9" w:rsidP="00F71A2A">
      <w:pPr>
        <w:tabs>
          <w:tab w:val="left" w:pos="4667"/>
        </w:tabs>
        <w:spacing w:after="0" w:line="360" w:lineRule="auto"/>
        <w:ind w:left="567" w:right="567"/>
        <w:rPr>
          <w:rFonts w:cs="Tahoma"/>
          <w:b/>
          <w:bCs/>
          <w:i/>
          <w:color w:val="auto"/>
          <w:sz w:val="20"/>
          <w:szCs w:val="20"/>
        </w:rPr>
      </w:pPr>
      <w:r w:rsidRPr="00B4543B">
        <w:rPr>
          <w:rFonts w:cs="Tahoma"/>
          <w:b/>
          <w:bCs/>
          <w:i/>
          <w:color w:val="auto"/>
          <w:sz w:val="20"/>
          <w:szCs w:val="20"/>
        </w:rPr>
        <w:t>“DESCRIPCIÓN CLARA Y PRECISA DE LA INFORMACIÓN SOLICITADA</w:t>
      </w:r>
    </w:p>
    <w:p w14:paraId="58218D87" w14:textId="71366C2B" w:rsidR="00E90E82" w:rsidRPr="00B4543B" w:rsidRDefault="007963A0" w:rsidP="007963A0">
      <w:pPr>
        <w:spacing w:after="0" w:line="360" w:lineRule="auto"/>
        <w:ind w:left="567" w:right="567"/>
        <w:rPr>
          <w:rFonts w:eastAsia="Times New Roman" w:cs="Arial"/>
          <w:bCs/>
          <w:i/>
          <w:iCs/>
          <w:color w:val="auto"/>
          <w:sz w:val="20"/>
          <w:szCs w:val="20"/>
          <w:lang w:eastAsia="es-ES"/>
        </w:rPr>
      </w:pPr>
      <w:r w:rsidRPr="00B4543B">
        <w:rPr>
          <w:rFonts w:eastAsia="Times New Roman" w:cs="Arial"/>
          <w:bCs/>
          <w:i/>
          <w:iCs/>
          <w:color w:val="auto"/>
          <w:sz w:val="20"/>
          <w:szCs w:val="20"/>
          <w:lang w:eastAsia="es-ES"/>
        </w:rPr>
        <w:t xml:space="preserve">Quiero saber si la construcción que se encuentra en la Calle Prolongación Independencia 19, en el calvario cuenta con os permisos necesarios, licencia de construcción, planos arquitectónicos y estructurales así como la debida firma de un director responsable de obra (DRO) para poder ejecutar la obra, ya que lleva una construcción avanzada al cuarto piso. esto lo solicito con fundamento en los artículos 8 y 35 fracción V; articulo XXIV de la Declaración Americana de los Deberes y Derechos de los Hombres; y por lo que respetuosamente solicito de manera clara y precisa y completa la información pública antes mencionada.” </w:t>
      </w:r>
      <w:r w:rsidR="00A62148" w:rsidRPr="00B4543B">
        <w:rPr>
          <w:rFonts w:eastAsia="Times New Roman" w:cs="Arial"/>
          <w:bCs/>
          <w:i/>
          <w:iCs/>
          <w:color w:val="auto"/>
          <w:sz w:val="20"/>
          <w:szCs w:val="20"/>
          <w:lang w:eastAsia="es-ES"/>
        </w:rPr>
        <w:t xml:space="preserve"> </w:t>
      </w:r>
      <w:r w:rsidR="00EC77D9" w:rsidRPr="00B4543B">
        <w:rPr>
          <w:rFonts w:eastAsia="Times New Roman" w:cs="Arial"/>
          <w:bCs/>
          <w:i/>
          <w:iCs/>
          <w:color w:val="auto"/>
          <w:sz w:val="20"/>
          <w:szCs w:val="20"/>
          <w:lang w:eastAsia="es-ES"/>
        </w:rPr>
        <w:t>(Sic)</w:t>
      </w:r>
    </w:p>
    <w:p w14:paraId="3F4037DA" w14:textId="0A19B38F" w:rsidR="00EC77D9" w:rsidRPr="00B4543B" w:rsidRDefault="00EC77D9" w:rsidP="00F71A2A">
      <w:pPr>
        <w:tabs>
          <w:tab w:val="left" w:pos="4667"/>
        </w:tabs>
        <w:spacing w:after="0" w:line="360" w:lineRule="auto"/>
        <w:ind w:left="567" w:right="567"/>
        <w:rPr>
          <w:rFonts w:cs="Tahoma"/>
          <w:bCs/>
          <w:i/>
          <w:color w:val="auto"/>
          <w:sz w:val="20"/>
          <w:szCs w:val="20"/>
        </w:rPr>
      </w:pPr>
      <w:bookmarkStart w:id="3" w:name="_Hlk168055945"/>
    </w:p>
    <w:p w14:paraId="1DAB7206" w14:textId="0AAF1ECD" w:rsidR="00EC77D9" w:rsidRPr="00B4543B" w:rsidRDefault="00EC77D9" w:rsidP="00F71A2A">
      <w:pPr>
        <w:tabs>
          <w:tab w:val="left" w:pos="4667"/>
        </w:tabs>
        <w:spacing w:after="0" w:line="360" w:lineRule="auto"/>
        <w:ind w:left="567" w:right="567"/>
        <w:rPr>
          <w:rFonts w:eastAsia="Times New Roman" w:cs="Tahoma"/>
          <w:b/>
          <w:bCs/>
          <w:i/>
          <w:iCs/>
          <w:color w:val="auto"/>
          <w:sz w:val="20"/>
          <w:szCs w:val="20"/>
          <w:lang w:eastAsia="es-ES"/>
        </w:rPr>
      </w:pPr>
      <w:r w:rsidRPr="00B4543B">
        <w:rPr>
          <w:rFonts w:eastAsia="Times New Roman" w:cs="Tahoma"/>
          <w:b/>
          <w:bCs/>
          <w:i/>
          <w:iCs/>
          <w:color w:val="auto"/>
          <w:sz w:val="20"/>
          <w:szCs w:val="20"/>
          <w:lang w:eastAsia="es-ES"/>
        </w:rPr>
        <w:t>“MODALIDAD DE ENTREGA</w:t>
      </w:r>
    </w:p>
    <w:p w14:paraId="44D2076E" w14:textId="7883C4C0" w:rsidR="00E161BB" w:rsidRPr="00B4543B" w:rsidRDefault="00EC77D9" w:rsidP="00F71A2A">
      <w:pPr>
        <w:spacing w:after="0" w:line="360" w:lineRule="auto"/>
        <w:ind w:left="567" w:right="567"/>
        <w:rPr>
          <w:rFonts w:eastAsia="Times New Roman" w:cs="Arial"/>
          <w:bCs/>
          <w:i/>
          <w:iCs/>
          <w:color w:val="auto"/>
          <w:sz w:val="20"/>
          <w:szCs w:val="20"/>
          <w:lang w:eastAsia="es-ES"/>
        </w:rPr>
      </w:pPr>
      <w:r w:rsidRPr="00B4543B">
        <w:rPr>
          <w:rFonts w:eastAsia="Times New Roman" w:cs="Arial"/>
          <w:bCs/>
          <w:i/>
          <w:iCs/>
          <w:color w:val="auto"/>
          <w:sz w:val="20"/>
          <w:szCs w:val="20"/>
          <w:lang w:eastAsia="es-ES"/>
        </w:rPr>
        <w:t>A través del SAIMEX” (Sic</w:t>
      </w:r>
      <w:bookmarkEnd w:id="3"/>
      <w:r w:rsidR="006F06EF" w:rsidRPr="00B4543B">
        <w:rPr>
          <w:rFonts w:eastAsia="Times New Roman" w:cs="Arial"/>
          <w:bCs/>
          <w:i/>
          <w:iCs/>
          <w:color w:val="auto"/>
          <w:sz w:val="20"/>
          <w:szCs w:val="20"/>
          <w:lang w:eastAsia="es-ES"/>
        </w:rPr>
        <w:t>)</w:t>
      </w:r>
    </w:p>
    <w:p w14:paraId="695EE75B" w14:textId="77777777" w:rsidR="00F71A2A" w:rsidRPr="00B4543B" w:rsidRDefault="00F71A2A" w:rsidP="00F71A2A">
      <w:pPr>
        <w:spacing w:after="0" w:line="360" w:lineRule="auto"/>
        <w:ind w:left="567" w:right="567"/>
        <w:rPr>
          <w:rFonts w:eastAsia="Times New Roman" w:cs="Arial"/>
          <w:bCs/>
          <w:i/>
          <w:iCs/>
          <w:color w:val="FF0000"/>
          <w:lang w:eastAsia="es-ES"/>
        </w:rPr>
      </w:pPr>
    </w:p>
    <w:p w14:paraId="34F9ADE6" w14:textId="07B1A34A" w:rsidR="001756F2" w:rsidRPr="00B4543B" w:rsidRDefault="00A05C78" w:rsidP="00F71A2A">
      <w:pPr>
        <w:pStyle w:val="Ttulo1"/>
        <w:spacing w:before="0" w:line="360" w:lineRule="auto"/>
        <w:rPr>
          <w:rFonts w:ascii="Palatino Linotype" w:eastAsia="Times New Roman" w:hAnsi="Palatino Linotype"/>
          <w:b/>
          <w:color w:val="auto"/>
          <w:sz w:val="22"/>
          <w:szCs w:val="22"/>
          <w:lang w:eastAsia="es-ES"/>
        </w:rPr>
      </w:pPr>
      <w:bookmarkStart w:id="4" w:name="_Toc193969453"/>
      <w:r w:rsidRPr="00B4543B">
        <w:rPr>
          <w:rFonts w:ascii="Palatino Linotype" w:eastAsia="Times New Roman" w:hAnsi="Palatino Linotype"/>
          <w:b/>
          <w:color w:val="auto"/>
          <w:sz w:val="22"/>
          <w:szCs w:val="22"/>
          <w:lang w:eastAsia="es-ES"/>
        </w:rPr>
        <w:t>I</w:t>
      </w:r>
      <w:r w:rsidR="00265193" w:rsidRPr="00B4543B">
        <w:rPr>
          <w:rFonts w:ascii="Palatino Linotype" w:eastAsia="Times New Roman" w:hAnsi="Palatino Linotype"/>
          <w:b/>
          <w:color w:val="auto"/>
          <w:sz w:val="22"/>
          <w:szCs w:val="22"/>
          <w:lang w:eastAsia="es-ES"/>
        </w:rPr>
        <w:t>I</w:t>
      </w:r>
      <w:r w:rsidR="001756F2" w:rsidRPr="00B4543B">
        <w:rPr>
          <w:rFonts w:ascii="Palatino Linotype" w:eastAsia="Times New Roman" w:hAnsi="Palatino Linotype"/>
          <w:b/>
          <w:color w:val="auto"/>
          <w:sz w:val="22"/>
          <w:szCs w:val="22"/>
          <w:lang w:eastAsia="es-ES"/>
        </w:rPr>
        <w:t>. Respuesta</w:t>
      </w:r>
      <w:r w:rsidR="00E161BB" w:rsidRPr="00B4543B">
        <w:rPr>
          <w:rFonts w:ascii="Palatino Linotype" w:eastAsia="Times New Roman" w:hAnsi="Palatino Linotype"/>
          <w:b/>
          <w:color w:val="auto"/>
          <w:sz w:val="22"/>
          <w:szCs w:val="22"/>
          <w:lang w:eastAsia="es-ES"/>
        </w:rPr>
        <w:t xml:space="preserve"> del Sujeto Obligado</w:t>
      </w:r>
      <w:bookmarkEnd w:id="4"/>
    </w:p>
    <w:p w14:paraId="13FDC87E" w14:textId="77777777" w:rsidR="008E4F87" w:rsidRPr="00B4543B" w:rsidRDefault="008E4F87" w:rsidP="00F71A2A">
      <w:pPr>
        <w:autoSpaceDE w:val="0"/>
        <w:autoSpaceDN w:val="0"/>
        <w:adjustRightInd w:val="0"/>
        <w:spacing w:after="0" w:line="360" w:lineRule="auto"/>
        <w:rPr>
          <w:rFonts w:eastAsia="Calibri" w:cs="Tahoma"/>
          <w:color w:val="FF0000"/>
        </w:rPr>
      </w:pPr>
    </w:p>
    <w:p w14:paraId="42FA4969" w14:textId="6589DE29" w:rsidR="00E161BB" w:rsidRPr="00B4543B" w:rsidRDefault="00E6783D" w:rsidP="00F71A2A">
      <w:pPr>
        <w:autoSpaceDE w:val="0"/>
        <w:autoSpaceDN w:val="0"/>
        <w:adjustRightInd w:val="0"/>
        <w:spacing w:after="0" w:line="360" w:lineRule="auto"/>
        <w:contextualSpacing/>
        <w:rPr>
          <w:rFonts w:eastAsia="Times New Roman" w:cs="Tahoma"/>
          <w:color w:val="FF0000"/>
          <w:lang w:eastAsia="es-ES"/>
        </w:rPr>
      </w:pPr>
      <w:bookmarkStart w:id="5" w:name="_Hlk170906280"/>
      <w:r w:rsidRPr="00B4543B">
        <w:rPr>
          <w:rFonts w:eastAsia="Calibri" w:cs="Tahoma"/>
          <w:color w:val="auto"/>
        </w:rPr>
        <w:t xml:space="preserve">El </w:t>
      </w:r>
      <w:r w:rsidR="007963A0" w:rsidRPr="00B4543B">
        <w:rPr>
          <w:rFonts w:eastAsia="Calibri" w:cs="Tahoma"/>
          <w:color w:val="auto"/>
        </w:rPr>
        <w:t>diecisiete</w:t>
      </w:r>
      <w:r w:rsidR="00B92024" w:rsidRPr="00B4543B">
        <w:rPr>
          <w:rFonts w:eastAsia="Calibri" w:cs="Tahoma"/>
          <w:color w:val="auto"/>
        </w:rPr>
        <w:t xml:space="preserve"> de febrero de dos mil veinticinco, </w:t>
      </w:r>
      <w:r w:rsidRPr="00B4543B">
        <w:rPr>
          <w:rFonts w:eastAsia="Calibri" w:cs="Tahoma"/>
          <w:color w:val="auto"/>
        </w:rPr>
        <w:t xml:space="preserve">el Sujeto Obligado notificó al Particular, mediante el </w:t>
      </w:r>
      <w:r w:rsidRPr="00B4543B">
        <w:rPr>
          <w:rFonts w:eastAsia="Times New Roman" w:cs="Tahoma"/>
          <w:color w:val="auto"/>
          <w:lang w:eastAsia="es-ES"/>
        </w:rPr>
        <w:t xml:space="preserve">Sistema de Acceso a la Información Mexiquense (SAIMEX), la respuesta a la solicitud de acceso a la información, </w:t>
      </w:r>
      <w:r w:rsidR="007963A0" w:rsidRPr="00B4543B">
        <w:rPr>
          <w:rFonts w:eastAsia="Times New Roman" w:cs="Tahoma"/>
          <w:color w:val="auto"/>
          <w:lang w:eastAsia="es-ES"/>
        </w:rPr>
        <w:t xml:space="preserve">en los siguientes términos: </w:t>
      </w:r>
    </w:p>
    <w:p w14:paraId="08232A82" w14:textId="77777777" w:rsidR="000B5614" w:rsidRPr="00B4543B" w:rsidRDefault="000B5614" w:rsidP="007963A0">
      <w:pPr>
        <w:spacing w:after="0" w:line="360" w:lineRule="auto"/>
        <w:ind w:left="567" w:right="567"/>
        <w:rPr>
          <w:rFonts w:eastAsia="Times New Roman" w:cs="Arial"/>
          <w:bCs/>
          <w:i/>
          <w:iCs/>
          <w:color w:val="FF0000"/>
          <w:sz w:val="20"/>
          <w:szCs w:val="20"/>
          <w:lang w:eastAsia="es-ES"/>
        </w:rPr>
      </w:pPr>
    </w:p>
    <w:p w14:paraId="1DFDC7DE" w14:textId="27B55590" w:rsidR="0020058C" w:rsidRPr="00B4543B" w:rsidRDefault="00BC05D7" w:rsidP="00F71A2A">
      <w:pPr>
        <w:spacing w:after="0" w:line="360" w:lineRule="auto"/>
        <w:ind w:left="567" w:right="567"/>
        <w:rPr>
          <w:rFonts w:eastAsia="Times New Roman" w:cs="Arial"/>
          <w:bCs/>
          <w:i/>
          <w:iCs/>
          <w:color w:val="auto"/>
          <w:sz w:val="20"/>
          <w:szCs w:val="20"/>
          <w:lang w:eastAsia="es-ES"/>
        </w:rPr>
      </w:pPr>
      <w:r w:rsidRPr="00B4543B">
        <w:rPr>
          <w:rFonts w:eastAsia="Times New Roman" w:cs="Arial"/>
          <w:bCs/>
          <w:i/>
          <w:iCs/>
          <w:color w:val="auto"/>
          <w:sz w:val="20"/>
          <w:szCs w:val="20"/>
          <w:lang w:eastAsia="es-ES"/>
        </w:rPr>
        <w:t>“…</w:t>
      </w:r>
      <w:r w:rsidR="007963A0" w:rsidRPr="00B4543B">
        <w:rPr>
          <w:rFonts w:eastAsia="Times New Roman" w:cs="Arial"/>
          <w:bCs/>
          <w:i/>
          <w:iCs/>
          <w:color w:val="auto"/>
          <w:sz w:val="20"/>
          <w:szCs w:val="20"/>
          <w:lang w:eastAsia="es-ES"/>
        </w:rPr>
        <w:t>ESTIMADO SOLICITANTE: EN ATENCIÓN A SU SOLICITUD DE INFORMACIÓN CON NÚMERO DE FOLIO 00096/CALIMAYA/IP/2025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LOS OFICIOS NÚMERO PMC/DOP/62/2025 (DIRECTORA DE OBRAS PÚBLICAS) Y PMC/DDU/045/2025 (DIRECCIÓN DE DESARROLLO URBANO), SE DIÓ RESPUESTA A LA SOLICITUD CON NÚMERO DE FOLIO 00096/CALIMAYA/IP/2025, SE ADJUNTAN LOS OFICIOS DE RESPUESTA PARA MAYOR REFERENCIA.” SIN OTRO ASUNTO, DEJANDO A SALVO SUS PRERROGATIVAS DE INCONFORMIDAD ESTABLECIDAS EN EL TÍTULO OCTAVO DE LA LEY DE TRANSPARENCIA Y ACCESO A LA INFORMACIÓN PÚBLICA DEL ESTADO DE MÉXICO Y MUNICIPIOS, INFORMANDO QUE CUENTA, EN SU CASO, CON 15 DÍAS PARA PROMOVERLA, QUEDO DE USTED…” (Sic)</w:t>
      </w:r>
    </w:p>
    <w:p w14:paraId="74B5C630" w14:textId="77777777" w:rsidR="007B0D14" w:rsidRPr="00B4543B" w:rsidRDefault="007B0D14" w:rsidP="00F71A2A">
      <w:pPr>
        <w:spacing w:after="0" w:line="360" w:lineRule="auto"/>
        <w:ind w:left="567" w:right="567"/>
        <w:rPr>
          <w:rFonts w:eastAsia="Times New Roman" w:cs="Arial"/>
          <w:bCs/>
          <w:i/>
          <w:iCs/>
          <w:color w:val="FF0000"/>
          <w:sz w:val="20"/>
          <w:szCs w:val="20"/>
          <w:lang w:eastAsia="es-ES"/>
        </w:rPr>
      </w:pPr>
    </w:p>
    <w:p w14:paraId="56912486" w14:textId="54653D4D" w:rsidR="00EC77D9" w:rsidRPr="00B4543B" w:rsidRDefault="00EC77D9" w:rsidP="00F71A2A">
      <w:pPr>
        <w:pStyle w:val="Ttulo1"/>
        <w:spacing w:before="0" w:line="360" w:lineRule="auto"/>
        <w:rPr>
          <w:rFonts w:ascii="Palatino Linotype" w:eastAsia="Calibri" w:hAnsi="Palatino Linotype"/>
          <w:b/>
          <w:color w:val="auto"/>
          <w:sz w:val="22"/>
          <w:szCs w:val="22"/>
        </w:rPr>
      </w:pPr>
      <w:bookmarkStart w:id="6" w:name="_Toc193969454"/>
      <w:bookmarkEnd w:id="5"/>
      <w:r w:rsidRPr="00B4543B">
        <w:rPr>
          <w:rFonts w:ascii="Palatino Linotype" w:eastAsia="Calibri" w:hAnsi="Palatino Linotype"/>
          <w:b/>
          <w:color w:val="auto"/>
          <w:sz w:val="22"/>
          <w:szCs w:val="22"/>
        </w:rPr>
        <w:t>I</w:t>
      </w:r>
      <w:r w:rsidR="007B0D14" w:rsidRPr="00B4543B">
        <w:rPr>
          <w:rFonts w:ascii="Palatino Linotype" w:eastAsia="Calibri" w:hAnsi="Palatino Linotype"/>
          <w:b/>
          <w:color w:val="auto"/>
          <w:sz w:val="22"/>
          <w:szCs w:val="22"/>
        </w:rPr>
        <w:t>II</w:t>
      </w:r>
      <w:r w:rsidRPr="00B4543B">
        <w:rPr>
          <w:rFonts w:ascii="Palatino Linotype" w:eastAsia="Calibri" w:hAnsi="Palatino Linotype"/>
          <w:b/>
          <w:color w:val="auto"/>
          <w:sz w:val="22"/>
          <w:szCs w:val="22"/>
        </w:rPr>
        <w:t>. Interpo</w:t>
      </w:r>
      <w:r w:rsidR="007B0D14" w:rsidRPr="00B4543B">
        <w:rPr>
          <w:rFonts w:ascii="Palatino Linotype" w:eastAsia="Calibri" w:hAnsi="Palatino Linotype"/>
          <w:b/>
          <w:color w:val="auto"/>
          <w:sz w:val="22"/>
          <w:szCs w:val="22"/>
        </w:rPr>
        <w:t>sición del Recurso de Revisión</w:t>
      </w:r>
      <w:bookmarkEnd w:id="6"/>
    </w:p>
    <w:p w14:paraId="193305E5" w14:textId="77777777" w:rsidR="00EC77D9" w:rsidRPr="00B4543B" w:rsidRDefault="00EC77D9" w:rsidP="00F71A2A">
      <w:pPr>
        <w:spacing w:after="0" w:line="360" w:lineRule="auto"/>
        <w:rPr>
          <w:rFonts w:eastAsia="Times New Roman" w:cs="Tahoma"/>
          <w:bCs/>
          <w:color w:val="FF0000"/>
          <w:lang w:eastAsia="es-ES"/>
        </w:rPr>
      </w:pPr>
    </w:p>
    <w:p w14:paraId="24595562" w14:textId="78317B86" w:rsidR="00EC77D9" w:rsidRPr="00B4543B" w:rsidRDefault="00F1768D" w:rsidP="00F71A2A">
      <w:pPr>
        <w:spacing w:after="0" w:line="360" w:lineRule="auto"/>
        <w:rPr>
          <w:rFonts w:eastAsia="Times New Roman" w:cs="Tahoma"/>
          <w:bCs/>
          <w:color w:val="auto"/>
          <w:lang w:val="es-ES" w:eastAsia="es-ES"/>
        </w:rPr>
      </w:pPr>
      <w:r w:rsidRPr="00B4543B">
        <w:rPr>
          <w:rFonts w:eastAsia="Times New Roman" w:cs="Tahoma"/>
          <w:bCs/>
          <w:color w:val="auto"/>
          <w:lang w:val="es-ES" w:eastAsia="es-ES"/>
        </w:rPr>
        <w:t xml:space="preserve">El </w:t>
      </w:r>
      <w:r w:rsidR="00EA7813" w:rsidRPr="00B4543B">
        <w:rPr>
          <w:rFonts w:eastAsia="Times New Roman" w:cs="Tahoma"/>
          <w:bCs/>
          <w:color w:val="auto"/>
          <w:lang w:val="es-ES" w:eastAsia="es-ES"/>
        </w:rPr>
        <w:t xml:space="preserve">dieciocho </w:t>
      </w:r>
      <w:r w:rsidR="008C1E91" w:rsidRPr="00B4543B">
        <w:rPr>
          <w:rFonts w:eastAsia="Times New Roman" w:cs="Tahoma"/>
          <w:bCs/>
          <w:color w:val="auto"/>
          <w:lang w:val="es-ES" w:eastAsia="es-ES"/>
        </w:rPr>
        <w:t xml:space="preserve">de febrero de dos mil veinticinco, </w:t>
      </w:r>
      <w:r w:rsidR="00EE6AAF" w:rsidRPr="00B4543B">
        <w:rPr>
          <w:rFonts w:eastAsia="Times New Roman" w:cs="Tahoma"/>
          <w:bCs/>
          <w:color w:val="auto"/>
          <w:lang w:eastAsia="es-ES"/>
        </w:rPr>
        <w:t xml:space="preserve">se recibió en este Instituto, a través del </w:t>
      </w:r>
      <w:r w:rsidR="00EE6AAF" w:rsidRPr="00B4543B">
        <w:rPr>
          <w:rFonts w:eastAsia="Times New Roman" w:cs="Tahoma"/>
          <w:bCs/>
          <w:color w:val="auto"/>
          <w:lang w:val="es-ES" w:eastAsia="es-ES"/>
        </w:rPr>
        <w:t>Sistema de Acceso a la Información Mexiquense (SAIMEX)</w:t>
      </w:r>
      <w:r w:rsidR="00EE6AAF" w:rsidRPr="00B4543B">
        <w:rPr>
          <w:rFonts w:eastAsia="Times New Roman" w:cs="Tahoma"/>
          <w:bCs/>
          <w:color w:val="auto"/>
          <w:lang w:eastAsia="es-ES"/>
        </w:rPr>
        <w:t>, el Recurso de Revisión interpuesto por la p</w:t>
      </w:r>
      <w:r w:rsidR="00D55E2F" w:rsidRPr="00B4543B">
        <w:rPr>
          <w:rFonts w:eastAsia="Times New Roman" w:cs="Tahoma"/>
          <w:bCs/>
          <w:color w:val="auto"/>
          <w:lang w:eastAsia="es-ES"/>
        </w:rPr>
        <w:t>ersona</w:t>
      </w:r>
      <w:r w:rsidR="00EE6AAF" w:rsidRPr="00B4543B">
        <w:rPr>
          <w:rFonts w:eastAsia="Times New Roman" w:cs="Tahoma"/>
          <w:bCs/>
          <w:color w:val="auto"/>
          <w:lang w:eastAsia="es-ES"/>
        </w:rPr>
        <w:t xml:space="preserve"> Recurrente, en contra</w:t>
      </w:r>
      <w:r w:rsidR="0068447E" w:rsidRPr="00B4543B">
        <w:rPr>
          <w:rFonts w:eastAsia="Times New Roman" w:cs="Tahoma"/>
          <w:bCs/>
          <w:color w:val="auto"/>
          <w:lang w:eastAsia="es-ES"/>
        </w:rPr>
        <w:t xml:space="preserve"> </w:t>
      </w:r>
      <w:r w:rsidR="00EE6AAF" w:rsidRPr="00B4543B">
        <w:rPr>
          <w:rFonts w:eastAsia="Times New Roman" w:cs="Tahoma"/>
          <w:bCs/>
          <w:color w:val="auto"/>
          <w:lang w:eastAsia="es-ES"/>
        </w:rPr>
        <w:t>de</w:t>
      </w:r>
      <w:r w:rsidR="0068447E" w:rsidRPr="00B4543B">
        <w:rPr>
          <w:rFonts w:eastAsia="Times New Roman" w:cs="Tahoma"/>
          <w:bCs/>
          <w:color w:val="auto"/>
          <w:lang w:eastAsia="es-ES"/>
        </w:rPr>
        <w:t xml:space="preserve"> la</w:t>
      </w:r>
      <w:r w:rsidR="007B0D14" w:rsidRPr="00B4543B">
        <w:rPr>
          <w:rFonts w:eastAsia="Times New Roman" w:cs="Tahoma"/>
          <w:bCs/>
          <w:color w:val="auto"/>
          <w:lang w:eastAsia="es-ES"/>
        </w:rPr>
        <w:t xml:space="preserve"> respuesta del Sujeto Obligado</w:t>
      </w:r>
      <w:r w:rsidR="00B90EF8" w:rsidRPr="00B4543B">
        <w:rPr>
          <w:rFonts w:eastAsia="Calibri" w:cs="Times New Roman"/>
          <w:color w:val="auto"/>
        </w:rPr>
        <w:t xml:space="preserve">, </w:t>
      </w:r>
      <w:r w:rsidR="00EE6AAF" w:rsidRPr="00B4543B">
        <w:rPr>
          <w:rFonts w:eastAsia="Times New Roman" w:cs="Tahoma"/>
          <w:bCs/>
          <w:color w:val="auto"/>
          <w:lang w:eastAsia="es-ES"/>
        </w:rPr>
        <w:t>en los siguientes términos:</w:t>
      </w:r>
    </w:p>
    <w:p w14:paraId="04DCB522" w14:textId="77777777" w:rsidR="007B0D14" w:rsidRPr="00B4543B" w:rsidRDefault="007B0D14" w:rsidP="00F71A2A">
      <w:pPr>
        <w:spacing w:after="0" w:line="360" w:lineRule="auto"/>
        <w:rPr>
          <w:rFonts w:eastAsia="Times New Roman" w:cs="Tahoma"/>
          <w:b/>
          <w:bCs/>
          <w:color w:val="FF0000"/>
          <w:lang w:val="es-ES" w:eastAsia="es-ES"/>
        </w:rPr>
      </w:pPr>
    </w:p>
    <w:p w14:paraId="122D4953" w14:textId="77777777" w:rsidR="00EC77D9" w:rsidRPr="00B4543B" w:rsidRDefault="00EC77D9" w:rsidP="00F71A2A">
      <w:pPr>
        <w:spacing w:after="0" w:line="360" w:lineRule="auto"/>
        <w:ind w:left="567" w:right="567"/>
        <w:rPr>
          <w:rFonts w:eastAsia="Times New Roman" w:cs="Tahoma"/>
          <w:b/>
          <w:bCs/>
          <w:i/>
          <w:iCs/>
          <w:color w:val="auto"/>
          <w:sz w:val="20"/>
          <w:szCs w:val="20"/>
          <w:lang w:eastAsia="es-ES"/>
        </w:rPr>
      </w:pPr>
      <w:r w:rsidRPr="00B4543B">
        <w:rPr>
          <w:rFonts w:eastAsia="Times New Roman" w:cs="Tahoma"/>
          <w:b/>
          <w:bCs/>
          <w:i/>
          <w:iCs/>
          <w:color w:val="auto"/>
          <w:sz w:val="20"/>
          <w:szCs w:val="20"/>
          <w:lang w:eastAsia="es-ES"/>
        </w:rPr>
        <w:t>“ACTO IMPUGNADO</w:t>
      </w:r>
    </w:p>
    <w:p w14:paraId="6E62BBE2" w14:textId="68F46B3A" w:rsidR="00EC77D9" w:rsidRPr="00B4543B" w:rsidRDefault="002F634F" w:rsidP="00F71A2A">
      <w:pPr>
        <w:spacing w:after="0" w:line="360" w:lineRule="auto"/>
        <w:ind w:left="567" w:right="567"/>
        <w:rPr>
          <w:rFonts w:eastAsia="Times New Roman" w:cs="Tahoma"/>
          <w:bCs/>
          <w:i/>
          <w:color w:val="auto"/>
          <w:sz w:val="20"/>
          <w:szCs w:val="20"/>
          <w:lang w:eastAsia="es-ES"/>
        </w:rPr>
      </w:pPr>
      <w:r w:rsidRPr="00B4543B">
        <w:rPr>
          <w:rFonts w:eastAsia="Times New Roman" w:cs="Tahoma"/>
          <w:bCs/>
          <w:i/>
          <w:color w:val="auto"/>
          <w:sz w:val="20"/>
          <w:szCs w:val="20"/>
          <w:lang w:eastAsia="es-ES"/>
        </w:rPr>
        <w:t>La persona servidora pública Mtra. Mari Toña Olmedo Carmona en calidad de Responsable de la Unidad de Información del Ayuntamiento de Calimaya en su respuesta al Folio solicitud: 00096/CALIMAYA/IP/202 hace mención que a la letra dice que SE ADJUNTAN LOS OFICIOS DE RESPUESTA PARA MAYOR REFERENCIA.” CON NÚMERO DE OFICIOS PMC/DOP/62/2025 (DIRECTORA DE OBRAS PÚBLICAS) Y PMC/DDU/045/2025 (DIRECCIÓN DE DESARROLLO URBANO). En la respuesta que nos dirigen en este sistema de acceso a la información no se adjunta ni ve visualiza la documentación mencionada por la Servidora Pública Municipal.” (Sic)</w:t>
      </w:r>
    </w:p>
    <w:p w14:paraId="5CCEB8EC" w14:textId="200EAB7C" w:rsidR="00EC77D9" w:rsidRPr="00B4543B" w:rsidRDefault="00EC77D9" w:rsidP="00F71A2A">
      <w:pPr>
        <w:spacing w:after="0" w:line="360" w:lineRule="auto"/>
        <w:ind w:left="567" w:right="567"/>
        <w:rPr>
          <w:rFonts w:eastAsia="Times New Roman" w:cs="Tahoma"/>
          <w:bCs/>
          <w:i/>
          <w:color w:val="FF0000"/>
          <w:sz w:val="20"/>
          <w:szCs w:val="20"/>
          <w:lang w:eastAsia="es-ES"/>
        </w:rPr>
      </w:pPr>
    </w:p>
    <w:p w14:paraId="01991E43" w14:textId="7A969951" w:rsidR="00EC77D9" w:rsidRPr="00B4543B" w:rsidRDefault="00EC77D9" w:rsidP="00F71A2A">
      <w:pPr>
        <w:spacing w:after="0" w:line="360" w:lineRule="auto"/>
        <w:ind w:left="567" w:right="567"/>
        <w:rPr>
          <w:rFonts w:eastAsia="Times New Roman" w:cs="Tahoma"/>
          <w:b/>
          <w:bCs/>
          <w:i/>
          <w:color w:val="auto"/>
          <w:sz w:val="20"/>
          <w:szCs w:val="20"/>
          <w:lang w:eastAsia="es-ES"/>
        </w:rPr>
      </w:pPr>
      <w:r w:rsidRPr="00B4543B">
        <w:rPr>
          <w:rFonts w:eastAsia="Times New Roman" w:cs="Tahoma"/>
          <w:b/>
          <w:bCs/>
          <w:i/>
          <w:color w:val="auto"/>
          <w:sz w:val="20"/>
          <w:szCs w:val="20"/>
          <w:lang w:eastAsia="es-ES"/>
        </w:rPr>
        <w:t>“RAZONES O MOTIVOS DE LA INCONFORMIDAD</w:t>
      </w:r>
    </w:p>
    <w:p w14:paraId="47CDC813" w14:textId="207CC949" w:rsidR="00683FC3" w:rsidRPr="00B4543B" w:rsidRDefault="002F634F" w:rsidP="002F634F">
      <w:pPr>
        <w:spacing w:after="0" w:line="360" w:lineRule="auto"/>
        <w:ind w:left="567" w:right="567"/>
        <w:rPr>
          <w:rFonts w:eastAsia="Times New Roman" w:cs="Tahoma"/>
          <w:bCs/>
          <w:i/>
          <w:color w:val="auto"/>
          <w:sz w:val="20"/>
          <w:szCs w:val="20"/>
          <w:lang w:eastAsia="es-ES"/>
        </w:rPr>
      </w:pPr>
      <w:r w:rsidRPr="00B4543B">
        <w:rPr>
          <w:rFonts w:eastAsia="Times New Roman" w:cs="Tahoma"/>
          <w:bCs/>
          <w:i/>
          <w:color w:val="auto"/>
          <w:sz w:val="20"/>
          <w:szCs w:val="20"/>
          <w:lang w:eastAsia="es-ES"/>
        </w:rPr>
        <w:t>Falacia a la respuesta ya que no cuanta con el archivo adjunto mencionado por la Servidora Pública Municipal.” (Sic)</w:t>
      </w:r>
    </w:p>
    <w:p w14:paraId="5F0F887C" w14:textId="77777777" w:rsidR="00555E1E" w:rsidRPr="00B4543B" w:rsidRDefault="00555E1E" w:rsidP="002F634F">
      <w:pPr>
        <w:spacing w:after="0" w:line="360" w:lineRule="auto"/>
        <w:ind w:left="567" w:right="567"/>
        <w:rPr>
          <w:rFonts w:eastAsia="Times New Roman" w:cs="Tahoma"/>
          <w:bCs/>
          <w:i/>
          <w:color w:val="auto"/>
          <w:sz w:val="20"/>
          <w:szCs w:val="20"/>
          <w:lang w:eastAsia="es-ES"/>
        </w:rPr>
      </w:pPr>
    </w:p>
    <w:p w14:paraId="32EBD4AE" w14:textId="51EA325E" w:rsidR="00EC77D9" w:rsidRPr="00B4543B" w:rsidRDefault="007B0D14" w:rsidP="00F71A2A">
      <w:pPr>
        <w:pStyle w:val="Ttulo1"/>
        <w:spacing w:before="0" w:line="360" w:lineRule="auto"/>
        <w:rPr>
          <w:rFonts w:ascii="Palatino Linotype" w:eastAsia="Batang" w:hAnsi="Palatino Linotype"/>
          <w:b/>
          <w:color w:val="auto"/>
          <w:sz w:val="22"/>
          <w:szCs w:val="22"/>
        </w:rPr>
      </w:pPr>
      <w:bookmarkStart w:id="7" w:name="_Toc193969455"/>
      <w:r w:rsidRPr="00B4543B">
        <w:rPr>
          <w:rFonts w:ascii="Palatino Linotype" w:eastAsia="Calibri" w:hAnsi="Palatino Linotype"/>
          <w:b/>
          <w:color w:val="auto"/>
          <w:sz w:val="22"/>
          <w:szCs w:val="22"/>
        </w:rPr>
        <w:t>I</w:t>
      </w:r>
      <w:r w:rsidR="00EC77D9" w:rsidRPr="00B4543B">
        <w:rPr>
          <w:rFonts w:ascii="Palatino Linotype" w:eastAsia="Calibri" w:hAnsi="Palatino Linotype"/>
          <w:b/>
          <w:color w:val="auto"/>
          <w:sz w:val="22"/>
          <w:szCs w:val="22"/>
        </w:rPr>
        <w:t xml:space="preserve">V. </w:t>
      </w:r>
      <w:r w:rsidR="00EC77D9" w:rsidRPr="00B4543B">
        <w:rPr>
          <w:rFonts w:ascii="Palatino Linotype" w:eastAsia="Batang" w:hAnsi="Palatino Linotype"/>
          <w:b/>
          <w:color w:val="auto"/>
          <w:sz w:val="22"/>
          <w:szCs w:val="22"/>
        </w:rPr>
        <w:t>Trámite del Recurso de Revisión</w:t>
      </w:r>
      <w:r w:rsidR="00EC77D9" w:rsidRPr="00B4543B">
        <w:rPr>
          <w:rFonts w:ascii="Palatino Linotype" w:eastAsia="Calibri" w:hAnsi="Palatino Linotype"/>
          <w:b/>
          <w:color w:val="auto"/>
          <w:sz w:val="22"/>
          <w:szCs w:val="22"/>
        </w:rPr>
        <w:t xml:space="preserve"> </w:t>
      </w:r>
      <w:r w:rsidRPr="00B4543B">
        <w:rPr>
          <w:rFonts w:ascii="Palatino Linotype" w:eastAsia="Batang" w:hAnsi="Palatino Linotype"/>
          <w:b/>
          <w:color w:val="auto"/>
          <w:sz w:val="22"/>
          <w:szCs w:val="22"/>
        </w:rPr>
        <w:t>ante este Instituto</w:t>
      </w:r>
      <w:bookmarkEnd w:id="7"/>
    </w:p>
    <w:p w14:paraId="1C4ADB40" w14:textId="77777777" w:rsidR="00EC77D9" w:rsidRPr="00B4543B" w:rsidRDefault="00EC77D9" w:rsidP="00F71A2A">
      <w:pPr>
        <w:spacing w:after="0" w:line="360" w:lineRule="auto"/>
        <w:rPr>
          <w:rFonts w:eastAsia="Batang" w:cs="Tahoma"/>
          <w:bCs/>
          <w:color w:val="FF0000"/>
        </w:rPr>
      </w:pPr>
    </w:p>
    <w:p w14:paraId="7EC9EE07" w14:textId="56CE6B12" w:rsidR="00EC77D9" w:rsidRPr="00B4543B" w:rsidRDefault="00EC77D9" w:rsidP="00F71A2A">
      <w:pPr>
        <w:spacing w:after="0" w:line="360" w:lineRule="auto"/>
        <w:rPr>
          <w:rFonts w:eastAsia="Times New Roman" w:cs="Tahoma"/>
          <w:bCs/>
          <w:color w:val="auto"/>
          <w:lang w:val="es-ES" w:eastAsia="es-ES"/>
        </w:rPr>
      </w:pPr>
      <w:bookmarkStart w:id="8" w:name="_Toc193969456"/>
      <w:r w:rsidRPr="00B4543B">
        <w:rPr>
          <w:rStyle w:val="Ttulo2Car"/>
          <w:rFonts w:ascii="Palatino Linotype" w:hAnsi="Palatino Linotype"/>
          <w:b/>
          <w:color w:val="auto"/>
          <w:sz w:val="22"/>
          <w:szCs w:val="22"/>
        </w:rPr>
        <w:t>a) Turno del Medio de Impugnación.</w:t>
      </w:r>
      <w:bookmarkEnd w:id="8"/>
      <w:r w:rsidR="00824195" w:rsidRPr="00B4543B">
        <w:rPr>
          <w:rFonts w:eastAsia="Batang" w:cs="Tahoma"/>
          <w:bCs/>
          <w:color w:val="auto"/>
        </w:rPr>
        <w:t xml:space="preserve"> </w:t>
      </w:r>
      <w:r w:rsidR="00824195" w:rsidRPr="00B4543B">
        <w:rPr>
          <w:rFonts w:eastAsia="Times New Roman" w:cs="Tahoma"/>
          <w:bCs/>
          <w:color w:val="auto"/>
          <w:lang w:val="es-ES" w:eastAsia="es-ES"/>
        </w:rPr>
        <w:t>El</w:t>
      </w:r>
      <w:r w:rsidR="00555E1E" w:rsidRPr="00B4543B">
        <w:rPr>
          <w:rFonts w:eastAsia="Times New Roman" w:cs="Tahoma"/>
          <w:bCs/>
          <w:color w:val="auto"/>
          <w:lang w:val="es-ES" w:eastAsia="es-ES"/>
        </w:rPr>
        <w:t xml:space="preserve"> dieciocho </w:t>
      </w:r>
      <w:r w:rsidR="00DA5EED" w:rsidRPr="00B4543B">
        <w:rPr>
          <w:rFonts w:eastAsia="Times New Roman" w:cs="Tahoma"/>
          <w:bCs/>
          <w:color w:val="auto"/>
          <w:lang w:val="es-ES" w:eastAsia="es-ES"/>
        </w:rPr>
        <w:t>de febrero de dos mil veinticinco</w:t>
      </w:r>
      <w:r w:rsidR="007B0D14" w:rsidRPr="00B4543B">
        <w:rPr>
          <w:rFonts w:eastAsia="Times New Roman" w:cs="Tahoma"/>
          <w:bCs/>
          <w:color w:val="auto"/>
          <w:lang w:val="es-ES" w:eastAsia="es-ES"/>
        </w:rPr>
        <w:t xml:space="preserve">,  </w:t>
      </w:r>
      <w:r w:rsidRPr="00B4543B">
        <w:rPr>
          <w:rFonts w:eastAsia="Batang" w:cs="Tahoma"/>
          <w:bCs/>
          <w:color w:val="auto"/>
        </w:rPr>
        <w:t xml:space="preserve">el </w:t>
      </w:r>
      <w:r w:rsidRPr="00B4543B">
        <w:rPr>
          <w:rFonts w:eastAsia="Calibri" w:cs="Tahoma"/>
          <w:color w:val="auto"/>
          <w:lang w:val="es-ES"/>
        </w:rPr>
        <w:t>Sistema de Acceso a la Información Mexiquense (SAIMEX),</w:t>
      </w:r>
      <w:r w:rsidRPr="00B4543B">
        <w:rPr>
          <w:rFonts w:eastAsia="Batang" w:cs="Tahoma"/>
          <w:bCs/>
          <w:color w:val="auto"/>
        </w:rPr>
        <w:t xml:space="preserve"> asignó el número de expediente</w:t>
      </w:r>
      <w:r w:rsidR="00394EBC" w:rsidRPr="00B4543B">
        <w:rPr>
          <w:color w:val="auto"/>
        </w:rPr>
        <w:t xml:space="preserve"> </w:t>
      </w:r>
      <w:r w:rsidR="00394EBC" w:rsidRPr="00B4543B">
        <w:rPr>
          <w:rFonts w:eastAsia="Calibri" w:cs="Tahoma"/>
          <w:b/>
          <w:bCs/>
          <w:color w:val="auto"/>
        </w:rPr>
        <w:t>0</w:t>
      </w:r>
      <w:r w:rsidR="00555E1E" w:rsidRPr="00B4543B">
        <w:rPr>
          <w:rFonts w:eastAsia="Calibri" w:cs="Tahoma"/>
          <w:b/>
          <w:bCs/>
          <w:color w:val="auto"/>
        </w:rPr>
        <w:t>1561</w:t>
      </w:r>
      <w:r w:rsidR="007B0D14" w:rsidRPr="00B4543B">
        <w:rPr>
          <w:rFonts w:eastAsia="Calibri" w:cs="Tahoma"/>
          <w:b/>
          <w:bCs/>
          <w:color w:val="auto"/>
        </w:rPr>
        <w:t>/INFOEM/IP/RR/2025</w:t>
      </w:r>
      <w:r w:rsidRPr="00B4543B">
        <w:rPr>
          <w:rFonts w:eastAsia="Batang" w:cs="Tahoma"/>
          <w:bCs/>
          <w:color w:val="auto"/>
        </w:rPr>
        <w:t xml:space="preserve">, al Medio de Impugnación que nos ocupa, con base en el sistema aprobado por el Pleno de este </w:t>
      </w:r>
      <w:r w:rsidR="00394EBC" w:rsidRPr="00B4543B">
        <w:rPr>
          <w:rFonts w:eastAsia="Batang" w:cs="Tahoma"/>
          <w:bCs/>
          <w:color w:val="auto"/>
        </w:rPr>
        <w:t>Organismo</w:t>
      </w:r>
      <w:r w:rsidRPr="00B4543B">
        <w:rPr>
          <w:rFonts w:eastAsia="Batang" w:cs="Tahoma"/>
          <w:bCs/>
          <w:color w:val="auto"/>
        </w:rPr>
        <w:t xml:space="preserve"> Garante y lo turnó al Comisionado Ponente Luis </w:t>
      </w:r>
      <w:r w:rsidRPr="00B4543B">
        <w:rPr>
          <w:rFonts w:eastAsia="Batang" w:cs="Tahoma"/>
          <w:bCs/>
          <w:color w:val="auto"/>
        </w:rPr>
        <w:lastRenderedPageBreak/>
        <w:t>Gustavo Parra Noriega, para los efectos del artículo 185, fracción I de la Ley de Transparencia y Acceso a la Información Pública del Estado de México y Municipios.</w:t>
      </w:r>
    </w:p>
    <w:p w14:paraId="23BD8332" w14:textId="77777777" w:rsidR="00EC77D9" w:rsidRPr="00B4543B" w:rsidRDefault="00EC77D9" w:rsidP="00F71A2A">
      <w:pPr>
        <w:pStyle w:val="Ttulo2"/>
        <w:spacing w:before="0" w:line="360" w:lineRule="auto"/>
        <w:rPr>
          <w:rFonts w:ascii="Palatino Linotype" w:hAnsi="Palatino Linotype"/>
          <w:b/>
          <w:color w:val="FF0000"/>
          <w:sz w:val="22"/>
          <w:szCs w:val="22"/>
        </w:rPr>
      </w:pPr>
    </w:p>
    <w:p w14:paraId="2E948D3C" w14:textId="434D9385" w:rsidR="003D0B51" w:rsidRPr="00B4543B" w:rsidRDefault="00EC77D9" w:rsidP="00F71A2A">
      <w:pPr>
        <w:pStyle w:val="Ttulo2"/>
        <w:spacing w:before="0" w:line="360" w:lineRule="auto"/>
        <w:rPr>
          <w:rFonts w:ascii="Palatino Linotype" w:eastAsia="Times New Roman" w:hAnsi="Palatino Linotype" w:cs="Tahoma"/>
          <w:bCs/>
          <w:color w:val="auto"/>
          <w:sz w:val="22"/>
          <w:szCs w:val="22"/>
          <w:lang w:val="es-ES" w:eastAsia="es-ES"/>
        </w:rPr>
      </w:pPr>
      <w:bookmarkStart w:id="9" w:name="_Toc193969457"/>
      <w:r w:rsidRPr="00B4543B">
        <w:rPr>
          <w:rStyle w:val="Ttulo1Car"/>
          <w:rFonts w:ascii="Palatino Linotype" w:hAnsi="Palatino Linotype"/>
          <w:b/>
          <w:color w:val="auto"/>
          <w:sz w:val="22"/>
          <w:szCs w:val="22"/>
        </w:rPr>
        <w:t>b) Admisión del Recurso de Revisión.</w:t>
      </w:r>
      <w:r w:rsidRPr="00B4543B">
        <w:rPr>
          <w:rFonts w:eastAsia="Times New Roman"/>
          <w:b/>
          <w:color w:val="auto"/>
          <w:lang w:val="es-ES_tradnl" w:eastAsia="es-ES"/>
        </w:rPr>
        <w:t xml:space="preserve"> </w:t>
      </w:r>
      <w:r w:rsidRPr="00B4543B">
        <w:rPr>
          <w:rFonts w:ascii="Palatino Linotype" w:eastAsia="Times New Roman" w:hAnsi="Palatino Linotype" w:cs="Tahoma"/>
          <w:bCs/>
          <w:color w:val="auto"/>
          <w:sz w:val="22"/>
          <w:szCs w:val="22"/>
          <w:lang w:val="es-ES" w:eastAsia="es-ES"/>
        </w:rPr>
        <w:t>El</w:t>
      </w:r>
      <w:r w:rsidR="00A37D74" w:rsidRPr="00B4543B">
        <w:rPr>
          <w:rFonts w:ascii="Palatino Linotype" w:eastAsia="Times New Roman" w:hAnsi="Palatino Linotype" w:cs="Tahoma"/>
          <w:bCs/>
          <w:color w:val="auto"/>
          <w:sz w:val="22"/>
          <w:szCs w:val="22"/>
          <w:lang w:val="es-ES" w:eastAsia="es-ES"/>
        </w:rPr>
        <w:t xml:space="preserve"> </w:t>
      </w:r>
      <w:r w:rsidR="00555E1E" w:rsidRPr="00B4543B">
        <w:rPr>
          <w:rFonts w:ascii="Palatino Linotype" w:eastAsia="Times New Roman" w:hAnsi="Palatino Linotype" w:cs="Tahoma"/>
          <w:bCs/>
          <w:color w:val="auto"/>
          <w:sz w:val="22"/>
          <w:szCs w:val="22"/>
          <w:lang w:val="es-ES" w:eastAsia="es-ES"/>
        </w:rPr>
        <w:t xml:space="preserve">veintiuno de </w:t>
      </w:r>
      <w:r w:rsidR="00DA5EED" w:rsidRPr="00B4543B">
        <w:rPr>
          <w:rFonts w:ascii="Palatino Linotype" w:eastAsia="Times New Roman" w:hAnsi="Palatino Linotype" w:cs="Tahoma"/>
          <w:bCs/>
          <w:color w:val="auto"/>
          <w:sz w:val="22"/>
          <w:szCs w:val="22"/>
          <w:lang w:val="es-ES" w:eastAsia="es-ES"/>
        </w:rPr>
        <w:t xml:space="preserve">febrero de dos mil veinticinco, </w:t>
      </w:r>
      <w:r w:rsidRPr="00B4543B">
        <w:rPr>
          <w:rFonts w:ascii="Palatino Linotype" w:eastAsia="Times New Roman" w:hAnsi="Palatino Linotype" w:cs="Tahoma"/>
          <w:bCs/>
          <w:color w:val="auto"/>
          <w:sz w:val="22"/>
          <w:szCs w:val="22"/>
          <w:lang w:val="es-ES" w:eastAsia="es-ES"/>
        </w:rPr>
        <w:t xml:space="preserve">se acordó la admisión del Recurso de Revisión interpuesto por </w:t>
      </w:r>
      <w:r w:rsidR="00B064A4" w:rsidRPr="00B4543B">
        <w:rPr>
          <w:rFonts w:ascii="Palatino Linotype" w:eastAsia="Times New Roman" w:hAnsi="Palatino Linotype" w:cs="Tahoma"/>
          <w:bCs/>
          <w:color w:val="auto"/>
          <w:sz w:val="22"/>
          <w:szCs w:val="22"/>
          <w:lang w:val="es-ES" w:eastAsia="es-ES"/>
        </w:rPr>
        <w:t>la persona</w:t>
      </w:r>
      <w:r w:rsidRPr="00B4543B">
        <w:rPr>
          <w:rFonts w:ascii="Palatino Linotype" w:eastAsia="Times New Roman" w:hAnsi="Palatino Linotype" w:cs="Tahoma"/>
          <w:bCs/>
          <w:color w:val="auto"/>
          <w:sz w:val="22"/>
          <w:szCs w:val="22"/>
          <w:lang w:val="es-ES"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B4543B">
        <w:rPr>
          <w:rFonts w:ascii="Palatino Linotype" w:eastAsia="Times New Roman" w:hAnsi="Palatino Linotype" w:cs="Tahoma"/>
          <w:bCs/>
          <w:color w:val="auto"/>
          <w:sz w:val="22"/>
          <w:szCs w:val="22"/>
          <w:lang w:val="es-ES" w:eastAsia="es-ES"/>
        </w:rPr>
        <w:t xml:space="preserve"> </w:t>
      </w:r>
      <w:r w:rsidR="001756F2" w:rsidRPr="00B4543B">
        <w:rPr>
          <w:rFonts w:ascii="Palatino Linotype" w:eastAsia="Times New Roman" w:hAnsi="Palatino Linotype" w:cs="Tahoma"/>
          <w:bCs/>
          <w:color w:val="auto"/>
          <w:sz w:val="22"/>
          <w:szCs w:val="22"/>
          <w:lang w:val="es-ES" w:eastAsia="es-ES"/>
        </w:rPr>
        <w:t>el</w:t>
      </w:r>
      <w:r w:rsidR="00DA5EED" w:rsidRPr="00B4543B">
        <w:rPr>
          <w:rFonts w:ascii="Palatino Linotype" w:eastAsia="Times New Roman" w:hAnsi="Palatino Linotype" w:cs="Tahoma"/>
          <w:bCs/>
          <w:color w:val="auto"/>
          <w:sz w:val="22"/>
          <w:szCs w:val="22"/>
          <w:lang w:val="es-ES" w:eastAsia="es-ES"/>
        </w:rPr>
        <w:t xml:space="preserve"> mismo día</w:t>
      </w:r>
      <w:r w:rsidR="00CB7980" w:rsidRPr="00B4543B">
        <w:rPr>
          <w:rFonts w:ascii="Palatino Linotype" w:eastAsia="Times New Roman" w:hAnsi="Palatino Linotype" w:cs="Tahoma"/>
          <w:bCs/>
          <w:color w:val="auto"/>
          <w:sz w:val="22"/>
          <w:szCs w:val="22"/>
          <w:lang w:val="es-ES" w:eastAsia="es-ES"/>
        </w:rPr>
        <w:t xml:space="preserve">, </w:t>
      </w:r>
      <w:r w:rsidRPr="00B4543B">
        <w:rPr>
          <w:rFonts w:ascii="Palatino Linotype" w:eastAsia="Times New Roman" w:hAnsi="Palatino Linotype" w:cs="Tahoma"/>
          <w:bCs/>
          <w:color w:val="auto"/>
          <w:sz w:val="22"/>
          <w:szCs w:val="22"/>
          <w:lang w:val="es-ES" w:eastAsia="es-ES"/>
        </w:rPr>
        <w:t>a través del Sistema de Acceso a la Información Mexiquense (SAIMEX), en el que se les otorgó un plazo de siete días hábiles posteriores a la misma, para que manifestaran lo que a su derecho conviniera y formularan alegatos.</w:t>
      </w:r>
      <w:bookmarkEnd w:id="9"/>
      <w:r w:rsidRPr="00B4543B">
        <w:rPr>
          <w:rFonts w:eastAsia="Times New Roman"/>
          <w:color w:val="auto"/>
          <w:lang w:val="es-ES_tradnl" w:eastAsia="es-ES"/>
        </w:rPr>
        <w:t xml:space="preserve"> </w:t>
      </w:r>
    </w:p>
    <w:p w14:paraId="15054E53" w14:textId="77777777" w:rsidR="00AE3612" w:rsidRPr="00B4543B" w:rsidRDefault="00AE3612" w:rsidP="00F71A2A">
      <w:pPr>
        <w:widowControl w:val="0"/>
        <w:spacing w:after="0" w:line="360" w:lineRule="auto"/>
        <w:rPr>
          <w:rFonts w:eastAsia="Times New Roman" w:cs="Tahoma"/>
          <w:b/>
          <w:color w:val="FF0000"/>
          <w:lang w:eastAsia="es-ES"/>
        </w:rPr>
      </w:pPr>
    </w:p>
    <w:p w14:paraId="3239CCB0" w14:textId="70CF72BE" w:rsidR="00AE3612" w:rsidRPr="00B4543B" w:rsidRDefault="00AE3612" w:rsidP="00F71A2A">
      <w:pPr>
        <w:spacing w:after="0" w:line="360" w:lineRule="auto"/>
        <w:rPr>
          <w:rFonts w:eastAsia="Calibri" w:cs="Times New Roman"/>
          <w:color w:val="auto"/>
        </w:rPr>
      </w:pPr>
      <w:bookmarkStart w:id="10" w:name="_Toc193969458"/>
      <w:r w:rsidRPr="00B4543B">
        <w:rPr>
          <w:rStyle w:val="Ttulo2Car"/>
          <w:rFonts w:ascii="Palatino Linotype" w:hAnsi="Palatino Linotype"/>
          <w:b/>
          <w:color w:val="auto"/>
          <w:sz w:val="22"/>
          <w:szCs w:val="22"/>
        </w:rPr>
        <w:t>c) Informe Justificado.</w:t>
      </w:r>
      <w:bookmarkEnd w:id="10"/>
      <w:r w:rsidRPr="00B4543B">
        <w:rPr>
          <w:rFonts w:eastAsia="Calibri" w:cs="Times New Roman"/>
          <w:color w:val="auto"/>
        </w:rPr>
        <w:t xml:space="preserve"> El </w:t>
      </w:r>
      <w:r w:rsidR="00555E1E" w:rsidRPr="00B4543B">
        <w:rPr>
          <w:rFonts w:eastAsia="Calibri" w:cs="Times New Roman"/>
          <w:color w:val="auto"/>
        </w:rPr>
        <w:t>veintiuno</w:t>
      </w:r>
      <w:r w:rsidRPr="00B4543B">
        <w:rPr>
          <w:rFonts w:eastAsia="Calibri" w:cs="Times New Roman"/>
          <w:color w:val="auto"/>
        </w:rPr>
        <w:t xml:space="preserve"> de febrero de dos mil veinticinco, a través del Sistema de Acceso a la Información Mexiquense (SAIMEX), se recibió en este Instituto el informe justificado por parte del Sujeto Obligado, a través de la digitalización </w:t>
      </w:r>
      <w:r w:rsidR="00267134" w:rsidRPr="00B4543B">
        <w:rPr>
          <w:rFonts w:eastAsia="Calibri" w:cs="Times New Roman"/>
          <w:color w:val="auto"/>
        </w:rPr>
        <w:t>de los siguientes documentos:</w:t>
      </w:r>
    </w:p>
    <w:p w14:paraId="11FF0840" w14:textId="77777777" w:rsidR="00A62148" w:rsidRPr="00B4543B" w:rsidRDefault="00A62148" w:rsidP="00F71A2A">
      <w:pPr>
        <w:spacing w:after="0" w:line="360" w:lineRule="auto"/>
        <w:rPr>
          <w:rFonts w:eastAsia="Calibri" w:cs="Times New Roman"/>
          <w:color w:val="auto"/>
        </w:rPr>
      </w:pPr>
    </w:p>
    <w:p w14:paraId="1C936811" w14:textId="0349067B" w:rsidR="00267134" w:rsidRPr="00B4543B" w:rsidRDefault="00267134" w:rsidP="00F71A2A">
      <w:pPr>
        <w:spacing w:after="0" w:line="360" w:lineRule="auto"/>
        <w:rPr>
          <w:rFonts w:eastAsia="Calibri" w:cs="Times New Roman"/>
          <w:color w:val="auto"/>
        </w:rPr>
      </w:pPr>
      <w:bookmarkStart w:id="11" w:name="_Hlk193285344"/>
      <w:r w:rsidRPr="00B4543B">
        <w:rPr>
          <w:rFonts w:eastAsia="Calibri" w:cs="Times New Roman"/>
          <w:color w:val="auto"/>
        </w:rPr>
        <w:t>i</w:t>
      </w:r>
      <w:r w:rsidR="00555E1E" w:rsidRPr="00B4543B">
        <w:rPr>
          <w:rFonts w:eastAsia="Calibri" w:cs="Times New Roman"/>
          <w:color w:val="auto"/>
        </w:rPr>
        <w:t xml:space="preserve">) Oficio del PMC/DOP/62/2025 del trece de febrero de dos mil veinticinco, suscrito por la Titular de la Dirección de Obras Públicas y dirigido a la Titular de la Unidad de Transparencia, </w:t>
      </w:r>
      <w:r w:rsidR="00273BFF" w:rsidRPr="00B4543B">
        <w:rPr>
          <w:rFonts w:eastAsia="Calibri" w:cs="Times New Roman"/>
          <w:color w:val="auto"/>
        </w:rPr>
        <w:t xml:space="preserve">por medio del cual </w:t>
      </w:r>
      <w:r w:rsidR="00555E1E" w:rsidRPr="00B4543B">
        <w:rPr>
          <w:rFonts w:eastAsia="Calibri" w:cs="Times New Roman"/>
          <w:color w:val="auto"/>
        </w:rPr>
        <w:t>se menciona lo siguiente:</w:t>
      </w:r>
    </w:p>
    <w:p w14:paraId="105C64B8" w14:textId="77777777" w:rsidR="00555E1E" w:rsidRPr="00B4543B" w:rsidRDefault="00555E1E" w:rsidP="00555E1E">
      <w:pPr>
        <w:spacing w:after="0" w:line="360" w:lineRule="auto"/>
        <w:ind w:left="567" w:right="567"/>
        <w:rPr>
          <w:rFonts w:eastAsia="Times New Roman" w:cs="Arial"/>
          <w:bCs/>
          <w:i/>
          <w:iCs/>
          <w:color w:val="FF0000"/>
          <w:sz w:val="20"/>
          <w:szCs w:val="20"/>
          <w:lang w:eastAsia="es-ES"/>
        </w:rPr>
      </w:pPr>
    </w:p>
    <w:p w14:paraId="1EEFFFFA" w14:textId="53D9EC0C" w:rsidR="00634FB3" w:rsidRPr="00B4543B" w:rsidRDefault="00555E1E" w:rsidP="002142EE">
      <w:pPr>
        <w:spacing w:after="0" w:line="360" w:lineRule="auto"/>
        <w:ind w:left="567" w:right="567"/>
        <w:rPr>
          <w:rFonts w:eastAsia="Times New Roman" w:cs="Arial"/>
          <w:bCs/>
          <w:i/>
          <w:iCs/>
          <w:color w:val="auto"/>
          <w:sz w:val="20"/>
          <w:szCs w:val="20"/>
          <w:lang w:eastAsia="es-ES"/>
        </w:rPr>
      </w:pPr>
      <w:r w:rsidRPr="00B4543B">
        <w:rPr>
          <w:rFonts w:eastAsia="Times New Roman" w:cs="Arial"/>
          <w:bCs/>
          <w:i/>
          <w:iCs/>
          <w:color w:val="auto"/>
          <w:sz w:val="20"/>
          <w:szCs w:val="20"/>
          <w:lang w:eastAsia="es-ES"/>
        </w:rPr>
        <w:t>“…</w:t>
      </w:r>
      <w:r w:rsidR="00DB2C9F" w:rsidRPr="00B4543B">
        <w:rPr>
          <w:rFonts w:eastAsia="Times New Roman" w:cs="Arial"/>
          <w:bCs/>
          <w:i/>
          <w:iCs/>
          <w:color w:val="auto"/>
          <w:sz w:val="20"/>
          <w:szCs w:val="20"/>
          <w:lang w:eastAsia="es-ES"/>
        </w:rPr>
        <w:t>Al respecto, le informo que en el tenor de las funciones de la Dirección de Obras Públicas NO está el de otorgar permisos de construcción</w:t>
      </w:r>
      <w:r w:rsidR="00F63A76" w:rsidRPr="00B4543B">
        <w:rPr>
          <w:rFonts w:eastAsia="Times New Roman" w:cs="Arial"/>
          <w:bCs/>
          <w:i/>
          <w:iCs/>
          <w:color w:val="auto"/>
          <w:sz w:val="20"/>
          <w:szCs w:val="20"/>
          <w:lang w:eastAsia="es-ES"/>
        </w:rPr>
        <w:t>, supervisión de construcciones particulares, ni otorgar permisos para lo anterior; por lo tanto, informo a Usted con el debido respeto, que esta Dirección no contamos con ningún documento relacionado a dicha solicitud…”</w:t>
      </w:r>
    </w:p>
    <w:p w14:paraId="19D13AE3" w14:textId="77777777" w:rsidR="007E09EB" w:rsidRPr="00B4543B" w:rsidRDefault="007E09EB" w:rsidP="00F71A2A">
      <w:pPr>
        <w:spacing w:after="0" w:line="360" w:lineRule="auto"/>
        <w:rPr>
          <w:rFonts w:eastAsia="Calibri" w:cs="Times New Roman"/>
          <w:color w:val="auto"/>
        </w:rPr>
      </w:pPr>
    </w:p>
    <w:p w14:paraId="11FDA0F2" w14:textId="0464605B" w:rsidR="00CC200C" w:rsidRPr="00B4543B" w:rsidRDefault="00634FB3" w:rsidP="00F71A2A">
      <w:pPr>
        <w:spacing w:after="0" w:line="360" w:lineRule="auto"/>
        <w:rPr>
          <w:rFonts w:eastAsia="Calibri" w:cs="Times New Roman"/>
          <w:color w:val="auto"/>
        </w:rPr>
      </w:pPr>
      <w:r w:rsidRPr="00B4543B">
        <w:rPr>
          <w:rFonts w:eastAsia="Calibri" w:cs="Times New Roman"/>
          <w:color w:val="auto"/>
        </w:rPr>
        <w:lastRenderedPageBreak/>
        <w:t xml:space="preserve">ii) </w:t>
      </w:r>
      <w:r w:rsidR="00CC200C" w:rsidRPr="00B4543B">
        <w:rPr>
          <w:rFonts w:eastAsia="Calibri" w:cs="Times New Roman"/>
          <w:color w:val="auto"/>
        </w:rPr>
        <w:t>Oficio PMC/DDU/045/2025 del diecisiete de febrero de dos mil veinticinco, suscrito por el Encargado de Despacho de la Dirección de Servicio Urbano y dirigido al Solicitante, por medio del cual se menciona lo siguiente:</w:t>
      </w:r>
    </w:p>
    <w:p w14:paraId="342CEDF5" w14:textId="77777777" w:rsidR="00CC200C" w:rsidRPr="00B4543B" w:rsidRDefault="00CC200C" w:rsidP="00F71A2A">
      <w:pPr>
        <w:spacing w:after="0" w:line="360" w:lineRule="auto"/>
        <w:rPr>
          <w:rFonts w:eastAsia="Calibri" w:cs="Times New Roman"/>
          <w:color w:val="auto"/>
        </w:rPr>
      </w:pPr>
    </w:p>
    <w:p w14:paraId="1558FA49" w14:textId="60124450" w:rsidR="00CC200C" w:rsidRPr="00B4543B" w:rsidRDefault="00CC200C" w:rsidP="00CC200C">
      <w:pPr>
        <w:spacing w:after="0" w:line="360" w:lineRule="auto"/>
        <w:ind w:left="567" w:right="567"/>
        <w:rPr>
          <w:rFonts w:eastAsia="Times New Roman" w:cs="Arial"/>
          <w:bCs/>
          <w:i/>
          <w:iCs/>
          <w:color w:val="auto"/>
          <w:sz w:val="20"/>
          <w:szCs w:val="20"/>
          <w:lang w:eastAsia="es-ES"/>
        </w:rPr>
      </w:pPr>
      <w:r w:rsidRPr="00B4543B">
        <w:rPr>
          <w:rFonts w:eastAsia="Times New Roman" w:cs="Arial"/>
          <w:bCs/>
          <w:i/>
          <w:iCs/>
          <w:color w:val="auto"/>
          <w:sz w:val="20"/>
          <w:szCs w:val="20"/>
          <w:lang w:eastAsia="es-ES"/>
        </w:rPr>
        <w:t>“…En cuanto a su solicitud, se hace de su conocimiento y de acuerdo a la búsqueda realizada en los archivos documentales que Administra esta Dirección, se observó lo siguiente:</w:t>
      </w:r>
      <w:r w:rsidR="00FE6854" w:rsidRPr="00B4543B">
        <w:rPr>
          <w:rFonts w:eastAsia="Times New Roman" w:cs="Arial"/>
          <w:bCs/>
          <w:i/>
          <w:iCs/>
          <w:color w:val="auto"/>
          <w:sz w:val="20"/>
          <w:szCs w:val="20"/>
          <w:lang w:eastAsia="es-ES"/>
        </w:rPr>
        <w:t xml:space="preserve"> No se encuentra información que coincida con la calle y numero mencionados con respecto a su solicitud, lo anterior para su conocimiento…”</w:t>
      </w:r>
      <w:r w:rsidR="005F7DB2" w:rsidRPr="00B4543B">
        <w:rPr>
          <w:rFonts w:eastAsia="Times New Roman" w:cs="Arial"/>
          <w:bCs/>
          <w:i/>
          <w:iCs/>
          <w:color w:val="auto"/>
          <w:sz w:val="20"/>
          <w:szCs w:val="20"/>
          <w:lang w:eastAsia="es-ES"/>
        </w:rPr>
        <w:t xml:space="preserve"> </w:t>
      </w:r>
    </w:p>
    <w:p w14:paraId="5431F564" w14:textId="77777777" w:rsidR="00CC200C" w:rsidRPr="00B4543B" w:rsidRDefault="00CC200C" w:rsidP="00F71A2A">
      <w:pPr>
        <w:spacing w:after="0" w:line="360" w:lineRule="auto"/>
        <w:rPr>
          <w:rFonts w:eastAsia="Calibri" w:cs="Times New Roman"/>
          <w:color w:val="FF0000"/>
        </w:rPr>
      </w:pPr>
    </w:p>
    <w:p w14:paraId="2905FFCF" w14:textId="192064F6" w:rsidR="0038413D" w:rsidRPr="00B4543B" w:rsidRDefault="0038413D" w:rsidP="00F71A2A">
      <w:pPr>
        <w:spacing w:after="0" w:line="360" w:lineRule="auto"/>
        <w:rPr>
          <w:rFonts w:eastAsia="Calibri" w:cs="Times New Roman"/>
          <w:color w:val="auto"/>
        </w:rPr>
      </w:pPr>
      <w:r w:rsidRPr="00B4543B">
        <w:rPr>
          <w:rFonts w:eastAsia="Calibri" w:cs="Times New Roman"/>
          <w:color w:val="auto"/>
        </w:rPr>
        <w:t>i) Oficio PMC/UT/187/2025 del veintiuno de febrero de dos mil veinticinco, suscrito por la Titular de la Unidad de Transparencia, dirigido al Pleno de este Instituto, por medio del cual se menciona lo siguiente:</w:t>
      </w:r>
    </w:p>
    <w:p w14:paraId="4C35DF6A" w14:textId="77777777" w:rsidR="00EC5F9E" w:rsidRPr="00B4543B" w:rsidRDefault="00EC5F9E" w:rsidP="00F71A2A">
      <w:pPr>
        <w:spacing w:after="0" w:line="360" w:lineRule="auto"/>
        <w:rPr>
          <w:rFonts w:eastAsia="Calibri" w:cs="Times New Roman"/>
          <w:color w:val="auto"/>
        </w:rPr>
      </w:pPr>
    </w:p>
    <w:p w14:paraId="0ACDE752" w14:textId="7CDD2DE0" w:rsidR="0038413D" w:rsidRPr="00B4543B" w:rsidRDefault="0038413D" w:rsidP="0038413D">
      <w:pPr>
        <w:spacing w:after="0" w:line="360" w:lineRule="auto"/>
        <w:ind w:left="567" w:right="567"/>
        <w:rPr>
          <w:rFonts w:eastAsia="Times New Roman" w:cs="Arial"/>
          <w:bCs/>
          <w:i/>
          <w:iCs/>
          <w:color w:val="auto"/>
          <w:sz w:val="20"/>
          <w:szCs w:val="20"/>
          <w:lang w:eastAsia="es-ES"/>
        </w:rPr>
      </w:pPr>
      <w:r w:rsidRPr="00B4543B">
        <w:rPr>
          <w:rFonts w:eastAsia="Times New Roman" w:cs="Arial"/>
          <w:bCs/>
          <w:i/>
          <w:iCs/>
          <w:color w:val="auto"/>
          <w:sz w:val="20"/>
          <w:szCs w:val="20"/>
          <w:lang w:eastAsia="es-ES"/>
        </w:rPr>
        <w:t xml:space="preserve">“…en fecha </w:t>
      </w:r>
      <w:r w:rsidRPr="00B4543B">
        <w:rPr>
          <w:rFonts w:eastAsia="Times New Roman" w:cs="Arial"/>
          <w:b/>
          <w:bCs/>
          <w:i/>
          <w:iCs/>
          <w:color w:val="auto"/>
          <w:sz w:val="20"/>
          <w:szCs w:val="20"/>
          <w:lang w:eastAsia="es-ES"/>
        </w:rPr>
        <w:t>17 de febrero de 2025,</w:t>
      </w:r>
      <w:r w:rsidRPr="00B4543B">
        <w:rPr>
          <w:rFonts w:eastAsia="Times New Roman" w:cs="Arial"/>
          <w:bCs/>
          <w:i/>
          <w:iCs/>
          <w:color w:val="auto"/>
          <w:sz w:val="20"/>
          <w:szCs w:val="20"/>
          <w:lang w:eastAsia="es-ES"/>
        </w:rPr>
        <w:t xml:space="preserve"> se entregó respuesta; sin embargo, debido a un error ajeno y no advertido hasta la interposición del recurso de revisión en el SAIMEX, se advirtió que los archivos </w:t>
      </w:r>
      <w:r w:rsidR="00EC5F9E" w:rsidRPr="00B4543B">
        <w:rPr>
          <w:rFonts w:eastAsia="Times New Roman" w:cs="Arial"/>
          <w:b/>
          <w:bCs/>
          <w:i/>
          <w:iCs/>
          <w:color w:val="auto"/>
          <w:sz w:val="20"/>
          <w:szCs w:val="20"/>
          <w:lang w:eastAsia="es-ES"/>
        </w:rPr>
        <w:t>PCM-DOP-62-2025 y RESPUESTA 96</w:t>
      </w:r>
      <w:r w:rsidR="00EC5F9E" w:rsidRPr="00B4543B">
        <w:rPr>
          <w:rFonts w:eastAsia="Times New Roman" w:cs="Arial"/>
          <w:bCs/>
          <w:i/>
          <w:iCs/>
          <w:color w:val="auto"/>
          <w:sz w:val="20"/>
          <w:szCs w:val="20"/>
          <w:lang w:eastAsia="es-ES"/>
        </w:rPr>
        <w:t xml:space="preserve"> no se adjuntaron a la respuesta integrada por esta Unidad de Transparencia, por lo que se entrega nuevamente en estatus de manifestaciones para resolver conforme a lo señalado en las documentales que se adjuntan…” (Sic)</w:t>
      </w:r>
    </w:p>
    <w:p w14:paraId="3194CD3D" w14:textId="77777777" w:rsidR="0035655F" w:rsidRPr="00B4543B" w:rsidRDefault="0035655F" w:rsidP="00F71A2A">
      <w:pPr>
        <w:spacing w:after="0" w:line="360" w:lineRule="auto"/>
        <w:jc w:val="center"/>
        <w:rPr>
          <w:rFonts w:ascii="Calibri" w:eastAsia="Calibri" w:hAnsi="Calibri" w:cs="Times New Roman"/>
          <w:color w:val="FF0000"/>
        </w:rPr>
      </w:pPr>
    </w:p>
    <w:p w14:paraId="6D0F28BC" w14:textId="5EDFD4E2" w:rsidR="00CE593A" w:rsidRPr="00B4543B" w:rsidRDefault="0042333E" w:rsidP="00F71A2A">
      <w:pPr>
        <w:spacing w:after="0" w:line="360" w:lineRule="auto"/>
        <w:rPr>
          <w:rStyle w:val="Ttulo2Car"/>
          <w:rFonts w:ascii="Palatino Linotype" w:eastAsia="Calibri" w:hAnsi="Palatino Linotype" w:cs="Times New Roman"/>
          <w:color w:val="auto"/>
          <w:sz w:val="22"/>
          <w:szCs w:val="22"/>
        </w:rPr>
      </w:pPr>
      <w:bookmarkStart w:id="12" w:name="_Toc193969459"/>
      <w:bookmarkEnd w:id="11"/>
      <w:r w:rsidRPr="00B4543B">
        <w:rPr>
          <w:rStyle w:val="Ttulo2Car"/>
          <w:rFonts w:ascii="Palatino Linotype" w:hAnsi="Palatino Linotype"/>
          <w:b/>
          <w:color w:val="auto"/>
          <w:sz w:val="22"/>
          <w:szCs w:val="22"/>
        </w:rPr>
        <w:t>d</w:t>
      </w:r>
      <w:r w:rsidR="00CE593A" w:rsidRPr="00B4543B">
        <w:rPr>
          <w:rStyle w:val="Ttulo2Car"/>
          <w:rFonts w:ascii="Palatino Linotype" w:hAnsi="Palatino Linotype"/>
          <w:b/>
          <w:color w:val="auto"/>
          <w:sz w:val="22"/>
          <w:szCs w:val="22"/>
        </w:rPr>
        <w:t>) Manifestaciones por parte del Particular.</w:t>
      </w:r>
      <w:bookmarkEnd w:id="12"/>
      <w:r w:rsidR="00CE593A" w:rsidRPr="00B4543B">
        <w:rPr>
          <w:rFonts w:eastAsia="Calibri" w:cs="Times New Roman"/>
          <w:color w:val="auto"/>
        </w:rPr>
        <w:t xml:space="preserve"> El </w:t>
      </w:r>
      <w:r w:rsidR="00EB21B2" w:rsidRPr="00B4543B">
        <w:rPr>
          <w:rFonts w:eastAsia="Calibri" w:cs="Times New Roman"/>
          <w:color w:val="auto"/>
        </w:rPr>
        <w:t xml:space="preserve">cuatro marzo de dos mil veinticinco, </w:t>
      </w:r>
      <w:r w:rsidR="00CE593A" w:rsidRPr="00B4543B">
        <w:rPr>
          <w:rFonts w:eastAsia="Calibri" w:cs="Times New Roman"/>
          <w:color w:val="auto"/>
        </w:rPr>
        <w:t xml:space="preserve">a través del Sistema de Acceso a la Información Mexiquense (SAIMEX), </w:t>
      </w:r>
      <w:r w:rsidR="00EB21B2" w:rsidRPr="00B4543B">
        <w:rPr>
          <w:rFonts w:eastAsia="Calibri" w:cs="Times New Roman"/>
          <w:color w:val="auto"/>
        </w:rPr>
        <w:t>se recibió en este Instituto las manifestaciones realizadas por parte del Particular</w:t>
      </w:r>
      <w:r w:rsidR="00CE593A" w:rsidRPr="00B4543B">
        <w:rPr>
          <w:rFonts w:eastAsia="Calibri" w:cs="Times New Roman"/>
          <w:color w:val="auto"/>
        </w:rPr>
        <w:t xml:space="preserve">, a través de </w:t>
      </w:r>
      <w:r w:rsidR="009F0402" w:rsidRPr="00B4543B">
        <w:rPr>
          <w:rFonts w:eastAsia="Calibri" w:cs="Times New Roman"/>
          <w:color w:val="auto"/>
        </w:rPr>
        <w:t>las cuales remitió la respuesta proporcionada por el Sujeto Obligado.</w:t>
      </w:r>
    </w:p>
    <w:p w14:paraId="799A9D7E" w14:textId="77777777" w:rsidR="00CE593A" w:rsidRPr="00B4543B" w:rsidRDefault="00CE593A" w:rsidP="00F71A2A">
      <w:pPr>
        <w:spacing w:after="0" w:line="360" w:lineRule="auto"/>
        <w:rPr>
          <w:rStyle w:val="Ttulo2Car"/>
          <w:rFonts w:ascii="Palatino Linotype" w:hAnsi="Palatino Linotype"/>
          <w:b/>
          <w:color w:val="auto"/>
          <w:sz w:val="22"/>
          <w:szCs w:val="22"/>
        </w:rPr>
      </w:pPr>
    </w:p>
    <w:p w14:paraId="1A8FBCF3" w14:textId="3207B749" w:rsidR="00AE3612" w:rsidRPr="00B4543B" w:rsidRDefault="00CE593A" w:rsidP="00F71A2A">
      <w:pPr>
        <w:spacing w:after="0" w:line="360" w:lineRule="auto"/>
        <w:rPr>
          <w:rFonts w:eastAsia="Calibri" w:cs="Times New Roman"/>
          <w:b/>
          <w:bCs/>
          <w:color w:val="auto"/>
        </w:rPr>
      </w:pPr>
      <w:bookmarkStart w:id="13" w:name="_Toc193969460"/>
      <w:r w:rsidRPr="00B4543B">
        <w:rPr>
          <w:rStyle w:val="Ttulo2Car"/>
          <w:rFonts w:ascii="Palatino Linotype" w:hAnsi="Palatino Linotype"/>
          <w:b/>
          <w:color w:val="auto"/>
          <w:sz w:val="22"/>
          <w:szCs w:val="22"/>
        </w:rPr>
        <w:t>e</w:t>
      </w:r>
      <w:r w:rsidR="00AE3612" w:rsidRPr="00B4543B">
        <w:rPr>
          <w:rStyle w:val="Ttulo2Car"/>
          <w:rFonts w:ascii="Palatino Linotype" w:hAnsi="Palatino Linotype"/>
          <w:b/>
          <w:color w:val="auto"/>
          <w:sz w:val="22"/>
          <w:szCs w:val="22"/>
        </w:rPr>
        <w:t>) Vista del Informe Justificado</w:t>
      </w:r>
      <w:bookmarkEnd w:id="13"/>
      <w:r w:rsidR="00AE3612" w:rsidRPr="00B4543B">
        <w:rPr>
          <w:rStyle w:val="Ttulo1Car"/>
          <w:rFonts w:ascii="Palatino Linotype" w:hAnsi="Palatino Linotype"/>
          <w:b/>
          <w:color w:val="auto"/>
          <w:sz w:val="22"/>
          <w:szCs w:val="22"/>
        </w:rPr>
        <w:t>.</w:t>
      </w:r>
      <w:r w:rsidR="00AE3612" w:rsidRPr="00B4543B">
        <w:rPr>
          <w:rFonts w:eastAsia="Calibri" w:cs="Times New Roman"/>
          <w:b/>
          <w:color w:val="auto"/>
        </w:rPr>
        <w:t xml:space="preserve"> </w:t>
      </w:r>
      <w:r w:rsidR="00AE3612" w:rsidRPr="00B4543B">
        <w:rPr>
          <w:rFonts w:eastAsia="Calibri" w:cs="Times New Roman"/>
          <w:color w:val="auto"/>
        </w:rPr>
        <w:t xml:space="preserve">El </w:t>
      </w:r>
      <w:r w:rsidRPr="00B4543B">
        <w:rPr>
          <w:rFonts w:eastAsia="Calibri" w:cs="Times New Roman"/>
          <w:color w:val="auto"/>
        </w:rPr>
        <w:t>diecinueve</w:t>
      </w:r>
      <w:r w:rsidR="00FE0BB7" w:rsidRPr="00B4543B">
        <w:rPr>
          <w:rFonts w:eastAsia="Calibri" w:cs="Times New Roman"/>
          <w:color w:val="auto"/>
        </w:rPr>
        <w:t xml:space="preserve"> de marzo </w:t>
      </w:r>
      <w:r w:rsidR="00AE3612" w:rsidRPr="00B4543B">
        <w:rPr>
          <w:rFonts w:eastAsia="Calibri" w:cs="Times New Roman"/>
          <w:color w:val="auto"/>
        </w:rPr>
        <w:t xml:space="preserve">de dos mil veinticinco, se notificó a través del Sistema de Acceso a la Información Mexiquense (SAIMEX), el acuerdo mediante el cual se puso a la vista del Particular el Informe Justificado del Recurso de Revisión, </w:t>
      </w:r>
      <w:r w:rsidR="00AE3612" w:rsidRPr="00B4543B">
        <w:rPr>
          <w:rFonts w:eastAsia="Calibri" w:cs="Times New Roman"/>
          <w:color w:val="auto"/>
        </w:rPr>
        <w:lastRenderedPageBreak/>
        <w:t xml:space="preserve">proveído por el cual se le otorgó un término de tres días hábiles contados a partir del día siguiente a la notificación, a fin de emitir las manifestaciones que conforme a sus intereses convinieran. </w:t>
      </w:r>
    </w:p>
    <w:p w14:paraId="079A72E3" w14:textId="77777777" w:rsidR="00AE3612" w:rsidRPr="00B4543B" w:rsidRDefault="00AE3612" w:rsidP="00F71A2A">
      <w:pPr>
        <w:widowControl w:val="0"/>
        <w:spacing w:after="0" w:line="360" w:lineRule="auto"/>
        <w:rPr>
          <w:rFonts w:eastAsia="Times New Roman" w:cs="Tahoma"/>
          <w:b/>
          <w:color w:val="FF0000"/>
          <w:lang w:eastAsia="es-ES"/>
        </w:rPr>
      </w:pPr>
    </w:p>
    <w:p w14:paraId="35AAACA3" w14:textId="67AD61C7" w:rsidR="00EC77D9" w:rsidRPr="00B4543B" w:rsidRDefault="00AE3612" w:rsidP="00F71A2A">
      <w:pPr>
        <w:widowControl w:val="0"/>
        <w:spacing w:after="0" w:line="360" w:lineRule="auto"/>
        <w:rPr>
          <w:rFonts w:eastAsia="Times New Roman" w:cs="Tahoma"/>
          <w:color w:val="auto"/>
          <w:lang w:eastAsia="es-ES"/>
        </w:rPr>
      </w:pPr>
      <w:bookmarkStart w:id="14" w:name="_Toc193969461"/>
      <w:r w:rsidRPr="00B4543B">
        <w:rPr>
          <w:rStyle w:val="Ttulo2Car"/>
          <w:rFonts w:ascii="Palatino Linotype" w:hAnsi="Palatino Linotype"/>
          <w:b/>
          <w:color w:val="auto"/>
          <w:sz w:val="22"/>
          <w:szCs w:val="22"/>
        </w:rPr>
        <w:t>f</w:t>
      </w:r>
      <w:r w:rsidR="00EC77D9" w:rsidRPr="00B4543B">
        <w:rPr>
          <w:rStyle w:val="Ttulo2Car"/>
          <w:rFonts w:ascii="Palatino Linotype" w:hAnsi="Palatino Linotype"/>
          <w:b/>
          <w:color w:val="auto"/>
          <w:sz w:val="22"/>
          <w:szCs w:val="22"/>
        </w:rPr>
        <w:t>) Cierre de instrucción</w:t>
      </w:r>
      <w:bookmarkEnd w:id="14"/>
      <w:r w:rsidR="00EC77D9" w:rsidRPr="00B4543B">
        <w:rPr>
          <w:rStyle w:val="Ttulo1Car"/>
          <w:rFonts w:ascii="Palatino Linotype" w:hAnsi="Palatino Linotype"/>
          <w:b/>
          <w:color w:val="auto"/>
          <w:sz w:val="22"/>
          <w:szCs w:val="22"/>
        </w:rPr>
        <w:t>.</w:t>
      </w:r>
      <w:r w:rsidR="00EC77D9" w:rsidRPr="00B4543B">
        <w:rPr>
          <w:rFonts w:eastAsia="Times New Roman" w:cs="Tahoma"/>
          <w:color w:val="auto"/>
          <w:lang w:eastAsia="es-ES"/>
        </w:rPr>
        <w:t xml:space="preserve"> El </w:t>
      </w:r>
      <w:r w:rsidR="00FE0BB7" w:rsidRPr="00B4543B">
        <w:rPr>
          <w:rFonts w:eastAsia="Times New Roman" w:cs="Tahoma"/>
          <w:color w:val="auto"/>
          <w:lang w:eastAsia="es-ES"/>
        </w:rPr>
        <w:t xml:space="preserve"> </w:t>
      </w:r>
      <w:r w:rsidR="0042333E" w:rsidRPr="00B4543B">
        <w:rPr>
          <w:rFonts w:eastAsia="Times New Roman" w:cs="Tahoma"/>
          <w:color w:val="auto"/>
          <w:lang w:eastAsia="es-ES"/>
        </w:rPr>
        <w:t xml:space="preserve">veinticinco </w:t>
      </w:r>
      <w:r w:rsidR="00FE0BB7" w:rsidRPr="00B4543B">
        <w:rPr>
          <w:rFonts w:eastAsia="Times New Roman" w:cs="Tahoma"/>
          <w:color w:val="auto"/>
          <w:lang w:eastAsia="es-ES"/>
        </w:rPr>
        <w:t xml:space="preserve">de marzo </w:t>
      </w:r>
      <w:r w:rsidR="00EC77D9" w:rsidRPr="00B4543B">
        <w:rPr>
          <w:rFonts w:eastAsia="Times New Roman" w:cs="Tahoma"/>
          <w:color w:val="auto"/>
          <w:lang w:eastAsia="es-ES"/>
        </w:rPr>
        <w:t>de dos mil veinti</w:t>
      </w:r>
      <w:r w:rsidR="007B0D14" w:rsidRPr="00B4543B">
        <w:rPr>
          <w:rFonts w:eastAsia="Times New Roman" w:cs="Tahoma"/>
          <w:color w:val="auto"/>
          <w:lang w:eastAsia="es-ES"/>
        </w:rPr>
        <w:t>cinco</w:t>
      </w:r>
      <w:r w:rsidR="00EC77D9" w:rsidRPr="00B4543B">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B4543B">
        <w:rPr>
          <w:rFonts w:eastAsia="Times New Roman" w:cs="Tahoma"/>
          <w:color w:val="auto"/>
          <w:lang w:eastAsia="es-ES"/>
        </w:rPr>
        <w:t>mismo día</w:t>
      </w:r>
      <w:r w:rsidR="00EC77D9" w:rsidRPr="00B4543B">
        <w:rPr>
          <w:rFonts w:eastAsia="Times New Roman" w:cs="Tahoma"/>
          <w:color w:val="auto"/>
          <w:lang w:eastAsia="es-ES"/>
        </w:rPr>
        <w:t xml:space="preserve">, a través del </w:t>
      </w:r>
      <w:r w:rsidR="00EC77D9" w:rsidRPr="00B4543B">
        <w:rPr>
          <w:rFonts w:eastAsia="Times New Roman" w:cs="Tahoma"/>
          <w:color w:val="auto"/>
          <w:lang w:val="es-ES" w:eastAsia="es-ES"/>
        </w:rPr>
        <w:t>Sistema de Acceso a la Información Mexiquense (SAIMEX)</w:t>
      </w:r>
      <w:r w:rsidR="00EC77D9" w:rsidRPr="00B4543B">
        <w:rPr>
          <w:rFonts w:eastAsia="Times New Roman" w:cs="Tahoma"/>
          <w:color w:val="auto"/>
          <w:lang w:eastAsia="es-ES"/>
        </w:rPr>
        <w:t xml:space="preserve">. </w:t>
      </w:r>
    </w:p>
    <w:p w14:paraId="5AB5C251" w14:textId="77777777" w:rsidR="00232DCC" w:rsidRPr="00B4543B" w:rsidRDefault="00232DCC" w:rsidP="00F71A2A">
      <w:pPr>
        <w:spacing w:after="0" w:line="360" w:lineRule="auto"/>
        <w:rPr>
          <w:rFonts w:eastAsia="Times New Roman" w:cs="Tahoma"/>
          <w:color w:val="auto"/>
          <w:lang w:eastAsia="es-ES"/>
        </w:rPr>
      </w:pPr>
    </w:p>
    <w:p w14:paraId="77C7A5C4" w14:textId="77777777" w:rsidR="00EC77D9" w:rsidRPr="00B4543B" w:rsidRDefault="00EC77D9" w:rsidP="00F71A2A">
      <w:pPr>
        <w:spacing w:after="0" w:line="360" w:lineRule="auto"/>
        <w:rPr>
          <w:rFonts w:eastAsia="Times New Roman" w:cs="Tahoma"/>
          <w:color w:val="auto"/>
          <w:lang w:eastAsia="es-ES"/>
        </w:rPr>
      </w:pPr>
      <w:r w:rsidRPr="00B4543B">
        <w:rPr>
          <w:rFonts w:eastAsia="Times New Roman" w:cs="Tahoma"/>
          <w:color w:val="auto"/>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B4543B" w:rsidRDefault="008E4F87" w:rsidP="00F71A2A">
      <w:pPr>
        <w:spacing w:after="0" w:line="360" w:lineRule="auto"/>
        <w:rPr>
          <w:rFonts w:eastAsia="Times New Roman" w:cs="Tahoma"/>
          <w:bCs/>
          <w:iCs/>
          <w:color w:val="FF0000"/>
          <w:lang w:val="es-ES" w:eastAsia="es-ES"/>
        </w:rPr>
      </w:pPr>
    </w:p>
    <w:p w14:paraId="4B442488" w14:textId="652AEB0D" w:rsidR="00EC77D9" w:rsidRPr="00B4543B" w:rsidRDefault="007B0D14" w:rsidP="00F71A2A">
      <w:pPr>
        <w:pStyle w:val="Ttulo1"/>
        <w:spacing w:before="0" w:line="360" w:lineRule="auto"/>
        <w:jc w:val="center"/>
        <w:rPr>
          <w:rFonts w:ascii="Palatino Linotype" w:eastAsia="Times New Roman" w:hAnsi="Palatino Linotype"/>
          <w:b/>
          <w:color w:val="auto"/>
          <w:sz w:val="22"/>
          <w:szCs w:val="22"/>
          <w:lang w:val="es-ES" w:eastAsia="es-ES"/>
        </w:rPr>
      </w:pPr>
      <w:bookmarkStart w:id="15" w:name="_Toc193969462"/>
      <w:r w:rsidRPr="00B4543B">
        <w:rPr>
          <w:rFonts w:ascii="Palatino Linotype" w:eastAsia="Times New Roman" w:hAnsi="Palatino Linotype"/>
          <w:b/>
          <w:color w:val="auto"/>
          <w:sz w:val="22"/>
          <w:szCs w:val="22"/>
          <w:lang w:val="es-ES" w:eastAsia="es-ES"/>
        </w:rPr>
        <w:t>C O N S I D E R A N D O S</w:t>
      </w:r>
      <w:bookmarkEnd w:id="15"/>
    </w:p>
    <w:p w14:paraId="7A8CFE1B" w14:textId="77777777" w:rsidR="008E4F87" w:rsidRPr="00B4543B" w:rsidRDefault="008E4F87" w:rsidP="00F71A2A">
      <w:pPr>
        <w:spacing w:after="0" w:line="360" w:lineRule="auto"/>
        <w:jc w:val="center"/>
        <w:rPr>
          <w:rFonts w:eastAsia="Times New Roman" w:cs="Tahoma"/>
          <w:b/>
          <w:color w:val="auto"/>
          <w:lang w:val="es-ES" w:eastAsia="es-ES"/>
        </w:rPr>
      </w:pPr>
    </w:p>
    <w:p w14:paraId="2B2C70F6" w14:textId="5C1317CA" w:rsidR="00EC77D9" w:rsidRPr="00B4543B" w:rsidRDefault="00EC77D9" w:rsidP="00F71A2A">
      <w:pPr>
        <w:pStyle w:val="Ttulo1"/>
        <w:spacing w:before="0" w:line="360" w:lineRule="auto"/>
        <w:rPr>
          <w:rFonts w:ascii="Palatino Linotype" w:eastAsia="Times New Roman" w:hAnsi="Palatino Linotype"/>
          <w:b/>
          <w:color w:val="auto"/>
          <w:sz w:val="22"/>
          <w:szCs w:val="22"/>
          <w:lang w:val="es-ES" w:eastAsia="es-ES"/>
        </w:rPr>
      </w:pPr>
      <w:bookmarkStart w:id="16" w:name="_Toc193969463"/>
      <w:r w:rsidRPr="00B4543B">
        <w:rPr>
          <w:rFonts w:ascii="Palatino Linotype" w:eastAsia="Calibri" w:hAnsi="Palatino Linotype"/>
          <w:b/>
          <w:color w:val="auto"/>
          <w:sz w:val="22"/>
          <w:szCs w:val="22"/>
          <w:lang w:val="es-ES" w:eastAsia="es-MX"/>
        </w:rPr>
        <w:t xml:space="preserve">PRIMERO. </w:t>
      </w:r>
      <w:r w:rsidR="007B0D14" w:rsidRPr="00B4543B">
        <w:rPr>
          <w:rFonts w:ascii="Palatino Linotype" w:eastAsia="Times New Roman" w:hAnsi="Palatino Linotype"/>
          <w:b/>
          <w:color w:val="auto"/>
          <w:sz w:val="22"/>
          <w:szCs w:val="22"/>
          <w:lang w:val="es-ES" w:eastAsia="es-ES"/>
        </w:rPr>
        <w:t>Competencia</w:t>
      </w:r>
      <w:bookmarkEnd w:id="16"/>
    </w:p>
    <w:p w14:paraId="62F65765" w14:textId="77777777" w:rsidR="00EC77D9" w:rsidRPr="00B4543B" w:rsidRDefault="00EC77D9" w:rsidP="00F71A2A">
      <w:pPr>
        <w:autoSpaceDE w:val="0"/>
        <w:autoSpaceDN w:val="0"/>
        <w:adjustRightInd w:val="0"/>
        <w:spacing w:after="0" w:line="360" w:lineRule="auto"/>
        <w:rPr>
          <w:rFonts w:eastAsia="Times New Roman" w:cs="Tahoma"/>
          <w:b/>
          <w:color w:val="auto"/>
          <w:lang w:val="es-ES" w:eastAsia="es-ES"/>
        </w:rPr>
      </w:pPr>
    </w:p>
    <w:p w14:paraId="1F83A937" w14:textId="2B7E4870" w:rsidR="00EC77D9" w:rsidRPr="00B4543B" w:rsidRDefault="00EC77D9" w:rsidP="00F71A2A">
      <w:pPr>
        <w:spacing w:after="0" w:line="360" w:lineRule="auto"/>
        <w:rPr>
          <w:rFonts w:eastAsia="Times New Roman" w:cs="Tahoma"/>
          <w:bCs/>
          <w:color w:val="auto"/>
          <w:lang w:eastAsia="es-ES"/>
        </w:rPr>
      </w:pPr>
      <w:bookmarkStart w:id="17" w:name="_Hlk63334754"/>
      <w:r w:rsidRPr="00B4543B">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B4543B">
        <w:rPr>
          <w:rFonts w:eastAsia="Times New Roman" w:cs="Tahoma"/>
          <w:bCs/>
          <w:color w:val="auto"/>
          <w:lang w:eastAsia="es-ES"/>
        </w:rPr>
        <w:t>ersona</w:t>
      </w:r>
      <w:r w:rsidRPr="00B4543B">
        <w:rPr>
          <w:rFonts w:eastAsia="Times New Roman" w:cs="Tahoma"/>
          <w:bCs/>
          <w:color w:val="auto"/>
          <w:lang w:eastAsia="es-ES"/>
        </w:rPr>
        <w:t xml:space="preserve"> recurrente, conforme a lo dispuesto en los artículos 5°, párrafos</w:t>
      </w:r>
      <w:r w:rsidR="00B12193" w:rsidRPr="00B4543B">
        <w:rPr>
          <w:rFonts w:eastAsia="Times New Roman" w:cs="Tahoma"/>
          <w:bCs/>
          <w:color w:val="auto"/>
          <w:lang w:eastAsia="es-ES"/>
        </w:rPr>
        <w:t xml:space="preserve"> trigésimo </w:t>
      </w:r>
      <w:r w:rsidR="00FC7B26" w:rsidRPr="00B4543B">
        <w:rPr>
          <w:rFonts w:eastAsia="Times New Roman" w:cs="Tahoma"/>
          <w:bCs/>
          <w:color w:val="auto"/>
          <w:lang w:eastAsia="es-ES"/>
        </w:rPr>
        <w:t>séptimo</w:t>
      </w:r>
      <w:r w:rsidR="00B12193" w:rsidRPr="00B4543B">
        <w:rPr>
          <w:rFonts w:eastAsia="Times New Roman" w:cs="Tahoma"/>
          <w:bCs/>
          <w:color w:val="auto"/>
          <w:lang w:eastAsia="es-ES"/>
        </w:rPr>
        <w:t xml:space="preserve">, trigésimo </w:t>
      </w:r>
      <w:r w:rsidR="00FC7B26" w:rsidRPr="00B4543B">
        <w:rPr>
          <w:rFonts w:eastAsia="Times New Roman" w:cs="Tahoma"/>
          <w:bCs/>
          <w:color w:val="auto"/>
          <w:lang w:eastAsia="es-ES"/>
        </w:rPr>
        <w:t>octavo</w:t>
      </w:r>
      <w:r w:rsidR="00B12193" w:rsidRPr="00B4543B">
        <w:rPr>
          <w:rFonts w:eastAsia="Times New Roman" w:cs="Tahoma"/>
          <w:bCs/>
          <w:color w:val="auto"/>
          <w:lang w:eastAsia="es-ES"/>
        </w:rPr>
        <w:t xml:space="preserve"> y trigésimo </w:t>
      </w:r>
      <w:r w:rsidR="00FC7B26" w:rsidRPr="00B4543B">
        <w:rPr>
          <w:rFonts w:eastAsia="Times New Roman" w:cs="Tahoma"/>
          <w:bCs/>
          <w:color w:val="auto"/>
          <w:lang w:eastAsia="es-ES"/>
        </w:rPr>
        <w:t>noveno</w:t>
      </w:r>
      <w:r w:rsidRPr="00B4543B">
        <w:rPr>
          <w:rFonts w:eastAsia="Times New Roman" w:cs="Tahoma"/>
          <w:bCs/>
          <w:color w:val="auto"/>
          <w:lang w:eastAsia="es-ES"/>
        </w:rPr>
        <w:t xml:space="preserve">, fracciones I, II, III, IV y V de la Constitución Política del Estado Libre y Soberano de México; 1°, 2°, fracciones II y IV; 13, 29, 36, fracciones I y II; 176, 178, 179, 181 párrafo tercero, 185, 188 y 189 de la Ley Transparencia y Acceso a la Información Pública del Estado de México y </w:t>
      </w:r>
      <w:r w:rsidRPr="00B4543B">
        <w:rPr>
          <w:rFonts w:eastAsia="Times New Roman" w:cs="Tahoma"/>
          <w:bCs/>
          <w:color w:val="auto"/>
          <w:lang w:eastAsia="es-ES"/>
        </w:rPr>
        <w:lastRenderedPageBreak/>
        <w:t>Municipios;</w:t>
      </w:r>
      <w:r w:rsidRPr="00B4543B">
        <w:rPr>
          <w:rFonts w:eastAsia="Times New Roman" w:cs="Times New Roman"/>
          <w:bCs/>
          <w:color w:val="auto"/>
          <w:lang w:eastAsia="es-ES"/>
        </w:rPr>
        <w:t xml:space="preserve"> 7°, </w:t>
      </w:r>
      <w:r w:rsidR="00ED609B" w:rsidRPr="00B4543B">
        <w:rPr>
          <w:rFonts w:eastAsia="Times New Roman" w:cs="Tahoma"/>
          <w:bCs/>
          <w:color w:val="auto"/>
          <w:lang w:eastAsia="es-ES"/>
        </w:rPr>
        <w:t>9°, fracciones I y XXIII</w:t>
      </w:r>
      <w:r w:rsidRPr="00B4543B">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17"/>
    </w:p>
    <w:p w14:paraId="18FF6F8F" w14:textId="77777777" w:rsidR="00EC77D9" w:rsidRPr="00B4543B" w:rsidRDefault="00EC77D9" w:rsidP="00F71A2A">
      <w:pPr>
        <w:pStyle w:val="Ttulo1"/>
        <w:spacing w:before="0" w:line="360" w:lineRule="auto"/>
        <w:rPr>
          <w:rFonts w:ascii="Palatino Linotype" w:hAnsi="Palatino Linotype"/>
          <w:b/>
          <w:color w:val="auto"/>
          <w:sz w:val="22"/>
          <w:szCs w:val="22"/>
        </w:rPr>
      </w:pPr>
    </w:p>
    <w:p w14:paraId="1A678CDB" w14:textId="1AB54BAB" w:rsidR="00EC77D9" w:rsidRPr="00B4543B" w:rsidRDefault="00EC77D9" w:rsidP="00F71A2A">
      <w:pPr>
        <w:pStyle w:val="Ttulo1"/>
        <w:spacing w:before="0" w:line="360" w:lineRule="auto"/>
        <w:rPr>
          <w:rFonts w:ascii="Palatino Linotype" w:eastAsia="Times New Roman" w:hAnsi="Palatino Linotype" w:cs="Tahoma"/>
          <w:b/>
          <w:color w:val="auto"/>
          <w:sz w:val="22"/>
          <w:szCs w:val="22"/>
          <w:lang w:val="es-ES" w:eastAsia="es-ES"/>
        </w:rPr>
      </w:pPr>
      <w:bookmarkStart w:id="18" w:name="_Toc193969464"/>
      <w:r w:rsidRPr="00B4543B">
        <w:rPr>
          <w:rFonts w:ascii="Palatino Linotype" w:eastAsia="Calibri" w:hAnsi="Palatino Linotype" w:cs="Tahoma"/>
          <w:b/>
          <w:color w:val="auto"/>
          <w:sz w:val="22"/>
          <w:szCs w:val="22"/>
          <w:lang w:val="es-ES" w:eastAsia="es-MX"/>
        </w:rPr>
        <w:t xml:space="preserve">SEGUNDO. </w:t>
      </w:r>
      <w:r w:rsidRPr="00B4543B">
        <w:rPr>
          <w:rFonts w:ascii="Palatino Linotype" w:eastAsia="Times New Roman" w:hAnsi="Palatino Linotype" w:cs="Tahoma"/>
          <w:b/>
          <w:color w:val="auto"/>
          <w:sz w:val="22"/>
          <w:szCs w:val="22"/>
          <w:lang w:val="es-ES" w:eastAsia="es-ES"/>
        </w:rPr>
        <w:t>Causales de</w:t>
      </w:r>
      <w:r w:rsidR="007B0D14" w:rsidRPr="00B4543B">
        <w:rPr>
          <w:rFonts w:ascii="Palatino Linotype" w:eastAsia="Times New Roman" w:hAnsi="Palatino Linotype" w:cs="Tahoma"/>
          <w:b/>
          <w:color w:val="auto"/>
          <w:sz w:val="22"/>
          <w:szCs w:val="22"/>
          <w:lang w:val="es-ES" w:eastAsia="es-ES"/>
        </w:rPr>
        <w:t xml:space="preserve"> improcedencia</w:t>
      </w:r>
      <w:bookmarkEnd w:id="18"/>
      <w:r w:rsidR="007B0D14" w:rsidRPr="00B4543B">
        <w:rPr>
          <w:rFonts w:ascii="Palatino Linotype" w:eastAsia="Times New Roman" w:hAnsi="Palatino Linotype" w:cs="Tahoma"/>
          <w:b/>
          <w:color w:val="auto"/>
          <w:sz w:val="22"/>
          <w:szCs w:val="22"/>
          <w:lang w:val="es-ES" w:eastAsia="es-ES"/>
        </w:rPr>
        <w:t xml:space="preserve"> </w:t>
      </w:r>
    </w:p>
    <w:p w14:paraId="53A4CC85" w14:textId="77777777" w:rsidR="007F20F1" w:rsidRPr="00B4543B" w:rsidRDefault="007F20F1" w:rsidP="00F71A2A">
      <w:pPr>
        <w:autoSpaceDE w:val="0"/>
        <w:autoSpaceDN w:val="0"/>
        <w:adjustRightInd w:val="0"/>
        <w:spacing w:after="0" w:line="360" w:lineRule="auto"/>
        <w:rPr>
          <w:rFonts w:eastAsia="Times New Roman" w:cs="Tahoma"/>
          <w:color w:val="auto"/>
          <w:lang w:val="es-ES" w:eastAsia="es-ES"/>
        </w:rPr>
      </w:pPr>
    </w:p>
    <w:p w14:paraId="16D4B38A" w14:textId="77777777" w:rsidR="00EC1C03" w:rsidRPr="00B4543B" w:rsidRDefault="00EC1C03" w:rsidP="00F71A2A">
      <w:pPr>
        <w:spacing w:after="0" w:line="360" w:lineRule="auto"/>
        <w:rPr>
          <w:color w:val="auto"/>
        </w:rPr>
      </w:pPr>
      <w:r w:rsidRPr="00B4543B">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B4543B" w:rsidRDefault="00EC1C03" w:rsidP="00F71A2A">
      <w:pPr>
        <w:spacing w:after="0" w:line="360" w:lineRule="auto"/>
        <w:rPr>
          <w:color w:val="auto"/>
        </w:rPr>
      </w:pPr>
    </w:p>
    <w:p w14:paraId="6DA990A4" w14:textId="77777777" w:rsidR="00EC1C03" w:rsidRPr="00B4543B" w:rsidRDefault="00EC1C03" w:rsidP="00F71A2A">
      <w:pPr>
        <w:spacing w:after="0" w:line="360" w:lineRule="auto"/>
        <w:rPr>
          <w:color w:val="auto"/>
        </w:rPr>
      </w:pPr>
      <w:r w:rsidRPr="00B4543B">
        <w:rPr>
          <w:color w:val="auto"/>
        </w:rPr>
        <w:t>En el presente caso, </w:t>
      </w:r>
      <w:r w:rsidRPr="00B4543B">
        <w:rPr>
          <w:b/>
          <w:color w:val="auto"/>
        </w:rPr>
        <w:t>no se actualiza ninguna de las causales de improcedencia</w:t>
      </w:r>
      <w:r w:rsidRPr="00B4543B">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B4543B" w:rsidRDefault="00EC1C03" w:rsidP="00F71A2A">
      <w:pPr>
        <w:spacing w:after="0" w:line="360" w:lineRule="auto"/>
        <w:rPr>
          <w:color w:val="auto"/>
        </w:rPr>
      </w:pPr>
    </w:p>
    <w:p w14:paraId="087490CC" w14:textId="045D2FD0" w:rsidR="00EC1C03" w:rsidRPr="00B4543B" w:rsidRDefault="00FE0BB7" w:rsidP="00F71A2A">
      <w:pPr>
        <w:spacing w:after="0" w:line="360" w:lineRule="auto"/>
        <w:rPr>
          <w:color w:val="auto"/>
        </w:rPr>
      </w:pPr>
      <w:r w:rsidRPr="00B4543B">
        <w:rPr>
          <w:color w:val="auto"/>
        </w:rPr>
        <w:t>Asimismo, se actualiza la causal de procedencia del Recurso de Revisión señalada en el artículo 179, fracción</w:t>
      </w:r>
      <w:r w:rsidR="0042333E" w:rsidRPr="00B4543B">
        <w:rPr>
          <w:color w:val="auto"/>
        </w:rPr>
        <w:t xml:space="preserve"> VI</w:t>
      </w:r>
      <w:r w:rsidRPr="00B4543B">
        <w:rPr>
          <w:color w:val="auto"/>
        </w:rPr>
        <w:t xml:space="preserve">, de la Ley en cita, pues la persona Recurrente se inconformó con la </w:t>
      </w:r>
      <w:r w:rsidR="0042333E" w:rsidRPr="00B4543B">
        <w:rPr>
          <w:color w:val="auto"/>
        </w:rPr>
        <w:t>entrega de información que no corresponde con lo solicitado.</w:t>
      </w:r>
    </w:p>
    <w:p w14:paraId="4705FA8B" w14:textId="77777777" w:rsidR="00FE0BB7" w:rsidRPr="00B4543B" w:rsidRDefault="00FE0BB7" w:rsidP="00F71A2A">
      <w:pPr>
        <w:spacing w:after="0" w:line="360" w:lineRule="auto"/>
        <w:rPr>
          <w:rFonts w:eastAsia="Calibri" w:cs="Tahoma"/>
          <w:color w:val="FF0000"/>
        </w:rPr>
      </w:pPr>
    </w:p>
    <w:p w14:paraId="2B6F03FB" w14:textId="301E01F0" w:rsidR="0042333E" w:rsidRPr="00B4543B" w:rsidRDefault="0042333E" w:rsidP="00F71A2A">
      <w:pPr>
        <w:spacing w:after="0" w:line="360" w:lineRule="auto"/>
        <w:rPr>
          <w:rFonts w:eastAsia="Times New Roman" w:cs="Tahoma"/>
          <w:b/>
          <w:bCs/>
          <w:color w:val="auto"/>
          <w:lang w:eastAsia="es-ES"/>
        </w:rPr>
      </w:pPr>
      <w:bookmarkStart w:id="19" w:name="_Hlk193307493"/>
      <w:r w:rsidRPr="00B4543B">
        <w:rPr>
          <w:rFonts w:eastAsia="Times New Roman" w:cs="Tahoma"/>
          <w:b/>
          <w:bCs/>
          <w:color w:val="auto"/>
          <w:lang w:eastAsia="es-ES"/>
        </w:rPr>
        <w:lastRenderedPageBreak/>
        <w:t xml:space="preserve">TERCERO. </w:t>
      </w:r>
      <w:r w:rsidR="001E50A6" w:rsidRPr="00B4543B">
        <w:rPr>
          <w:rFonts w:eastAsia="Times New Roman" w:cs="Tahoma"/>
          <w:b/>
          <w:bCs/>
          <w:color w:val="auto"/>
          <w:lang w:eastAsia="es-ES"/>
        </w:rPr>
        <w:t>Causales de sobreseimiento</w:t>
      </w:r>
    </w:p>
    <w:bookmarkEnd w:id="19"/>
    <w:p w14:paraId="0A3D227E" w14:textId="77777777" w:rsidR="001E50A6" w:rsidRPr="00B4543B" w:rsidRDefault="001E50A6" w:rsidP="00F71A2A">
      <w:pPr>
        <w:spacing w:after="0" w:line="360" w:lineRule="auto"/>
        <w:rPr>
          <w:rFonts w:eastAsia="Times New Roman" w:cs="Tahoma"/>
          <w:b/>
          <w:bCs/>
          <w:color w:val="auto"/>
          <w:lang w:eastAsia="es-ES"/>
        </w:rPr>
      </w:pPr>
    </w:p>
    <w:p w14:paraId="63CB641D" w14:textId="21D3BF0F" w:rsidR="006607EA" w:rsidRPr="00B4543B" w:rsidRDefault="00EC77D9" w:rsidP="00F71A2A">
      <w:pPr>
        <w:spacing w:after="0" w:line="360" w:lineRule="auto"/>
        <w:rPr>
          <w:rFonts w:eastAsia="Times New Roman" w:cs="Tahoma"/>
          <w:bCs/>
          <w:color w:val="auto"/>
          <w:lang w:eastAsia="es-ES"/>
        </w:rPr>
      </w:pPr>
      <w:r w:rsidRPr="00B4543B">
        <w:rPr>
          <w:rFonts w:eastAsia="Times New Roman" w:cs="Tahoma"/>
          <w:bCs/>
          <w:color w:val="auto"/>
          <w:lang w:eastAsia="es-ES"/>
        </w:rPr>
        <w:t>Por ser de previo y especial pronunciamiento, este Instituto analiza si se actualiza alguna causal de sobreseimiento.</w:t>
      </w:r>
      <w:r w:rsidR="00B61BF0" w:rsidRPr="00B4543B">
        <w:rPr>
          <w:rFonts w:eastAsia="Times New Roman" w:cs="Tahoma"/>
          <w:bCs/>
          <w:color w:val="auto"/>
          <w:lang w:eastAsia="es-ES"/>
        </w:rPr>
        <w:t xml:space="preserve"> </w:t>
      </w:r>
    </w:p>
    <w:p w14:paraId="1DA7DE69" w14:textId="77777777" w:rsidR="006607EA" w:rsidRPr="00B4543B" w:rsidRDefault="006607EA" w:rsidP="00F71A2A">
      <w:pPr>
        <w:spacing w:after="0" w:line="360" w:lineRule="auto"/>
        <w:rPr>
          <w:rFonts w:eastAsia="Times New Roman" w:cs="Tahoma"/>
          <w:bCs/>
          <w:color w:val="FF0000"/>
          <w:lang w:eastAsia="es-ES"/>
        </w:rPr>
      </w:pPr>
    </w:p>
    <w:p w14:paraId="6660E821" w14:textId="0F40A06F" w:rsidR="001E50A6" w:rsidRPr="00B4543B" w:rsidRDefault="001E50A6" w:rsidP="00F71A2A">
      <w:pPr>
        <w:spacing w:after="0" w:line="360" w:lineRule="auto"/>
        <w:rPr>
          <w:rFonts w:eastAsia="Times New Roman" w:cs="Tahoma"/>
          <w:bCs/>
          <w:color w:val="FF0000"/>
          <w:lang w:eastAsia="es-ES"/>
        </w:rPr>
      </w:pPr>
      <w:bookmarkStart w:id="20" w:name="_Hlk193307501"/>
      <w:r w:rsidRPr="00B4543B">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w:t>
      </w:r>
      <w:r w:rsidRPr="00B4543B">
        <w:rPr>
          <w:b/>
        </w:rPr>
        <w:t>I, II, IV y V</w:t>
      </w:r>
      <w:r w:rsidRPr="00B4543B">
        <w:t>, toda vez que no hay constancias en el expediente en que se actúa, de que el recurrente se haya desistido del recurso, haya fallecido, actualice alguna causal de improcedencia o bien, haya quedado sin materia.</w:t>
      </w:r>
    </w:p>
    <w:p w14:paraId="1D315A83" w14:textId="77777777" w:rsidR="001E50A6" w:rsidRPr="00B4543B" w:rsidRDefault="001E50A6" w:rsidP="00F71A2A">
      <w:pPr>
        <w:spacing w:after="0" w:line="360" w:lineRule="auto"/>
        <w:rPr>
          <w:rFonts w:eastAsia="Times New Roman" w:cs="Tahoma"/>
          <w:bCs/>
          <w:color w:val="FF0000"/>
          <w:lang w:eastAsia="es-ES"/>
        </w:rPr>
      </w:pPr>
    </w:p>
    <w:p w14:paraId="096A2497" w14:textId="7965F281" w:rsidR="001E50A6" w:rsidRPr="00B4543B" w:rsidRDefault="001E50A6" w:rsidP="00F71A2A">
      <w:pPr>
        <w:spacing w:after="0" w:line="360" w:lineRule="auto"/>
      </w:pPr>
      <w:r w:rsidRPr="00B4543B">
        <w:t>Ahora bien, toda vez que durante la sustanciación del Recurso de Revisión 01561/INFOEM/IP/RR/2024, el Ayuntamiento de Calimaya, modificó su respuesta a través de su Informe Justificado, se estima procedente entrar al estudio de la causal de sobreseimiento prevista en la fracción III del precepto legal previamente señalado; para lo cual, es necesario precisar que el Particular requirió el Registro Estatal de Unidades Económicas en el Estado de México.</w:t>
      </w:r>
    </w:p>
    <w:p w14:paraId="737BF782" w14:textId="77777777" w:rsidR="00FC7B26" w:rsidRPr="00B4543B" w:rsidRDefault="00FC7B26" w:rsidP="00F71A2A">
      <w:pPr>
        <w:spacing w:after="0" w:line="360" w:lineRule="auto"/>
        <w:rPr>
          <w:rFonts w:eastAsia="Times New Roman" w:cs="Tahoma"/>
          <w:bCs/>
          <w:color w:val="FF0000"/>
          <w:lang w:eastAsia="es-ES"/>
        </w:rPr>
      </w:pPr>
    </w:p>
    <w:p w14:paraId="54599F24" w14:textId="77024D4D" w:rsidR="001E50A6" w:rsidRPr="00B4543B" w:rsidRDefault="005758CC" w:rsidP="00F71A2A">
      <w:pPr>
        <w:spacing w:after="0" w:line="360" w:lineRule="auto"/>
      </w:pPr>
      <w:r w:rsidRPr="00B4543B">
        <w:t xml:space="preserve">En respuesta, el Sujeto Obligado, señaló que </w:t>
      </w:r>
      <w:bookmarkEnd w:id="20"/>
      <w:r w:rsidRPr="00B4543B">
        <w:t>Dirección de Obras Públicas y la Dirección Desarrollo Urbano dieron respuesta a la solicitud de información, por lo que adjuntaban las respuestas, sin anexar nada; ante dicha circunstancia, el Particular se agravió con la entrega de información que no corresponde con lo solicitado, lo cual, actualiza la causal de procedencia prevista en la fracción VI, del artículo 179 de la Ley de Transparencia y Acceso a la Información Pública del Estado de México y Municipios</w:t>
      </w:r>
      <w:r w:rsidR="005B5DC4" w:rsidRPr="00B4543B">
        <w:t>.</w:t>
      </w:r>
    </w:p>
    <w:p w14:paraId="49B3A0F6" w14:textId="4C8A3FE4" w:rsidR="00657E91" w:rsidRPr="00B4543B" w:rsidRDefault="00430074" w:rsidP="00657E91">
      <w:pPr>
        <w:spacing w:after="0" w:line="360" w:lineRule="auto"/>
      </w:pPr>
      <w:r w:rsidRPr="00B4543B">
        <w:lastRenderedPageBreak/>
        <w:t>Así las cosas, una vez admitido y notificado el Recurso de Revisión a las partes, el Sujeto Obligado, a través de la Dirección de Obras Públicas señaló que dentro de las funciones que realiza dicha dirección no esta el otorgar permisos de construcción, supervisión de construcciones particulares, ni otorgar permisos, por lo que no se cuenta con ningún documento relacionado con lo solicitado.</w:t>
      </w:r>
      <w:r w:rsidR="009B1D8B" w:rsidRPr="00B4543B">
        <w:t xml:space="preserve"> Por su parte, la </w:t>
      </w:r>
      <w:r w:rsidR="009B1D8B" w:rsidRPr="00B4543B">
        <w:rPr>
          <w:rFonts w:eastAsia="Calibri" w:cs="Times New Roman"/>
          <w:color w:val="auto"/>
        </w:rPr>
        <w:t xml:space="preserve">Dirección de Servicio Urbano señaló que después de realizar la búsqueda en los archivos de la dirección no se encontró información que coincida con la calle y </w:t>
      </w:r>
      <w:r w:rsidR="00383F1D" w:rsidRPr="00B4543B">
        <w:rPr>
          <w:rFonts w:eastAsia="Calibri" w:cs="Times New Roman"/>
          <w:color w:val="auto"/>
        </w:rPr>
        <w:t>número mencionados</w:t>
      </w:r>
      <w:r w:rsidR="009B1D8B" w:rsidRPr="00B4543B">
        <w:rPr>
          <w:rFonts w:eastAsia="Calibri" w:cs="Times New Roman"/>
          <w:color w:val="auto"/>
        </w:rPr>
        <w:t xml:space="preserve"> en su solicitud.</w:t>
      </w:r>
    </w:p>
    <w:p w14:paraId="043B27B2" w14:textId="77777777" w:rsidR="009B1D8B" w:rsidRPr="00B4543B" w:rsidRDefault="009B1D8B" w:rsidP="00657E91">
      <w:pPr>
        <w:spacing w:after="0" w:line="360" w:lineRule="auto"/>
        <w:rPr>
          <w:rFonts w:eastAsia="Times New Roman" w:cs="Tahoma"/>
          <w:bCs/>
          <w:color w:val="FF0000"/>
          <w:lang w:eastAsia="es-ES"/>
        </w:rPr>
      </w:pPr>
    </w:p>
    <w:p w14:paraId="57143819" w14:textId="798AA481" w:rsidR="005B5DC4" w:rsidRPr="00B4543B" w:rsidRDefault="00383F1D" w:rsidP="00657E91">
      <w:pPr>
        <w:spacing w:line="360" w:lineRule="auto"/>
        <w:rPr>
          <w:rFonts w:eastAsia="Times New Roman" w:cs="Tahoma"/>
          <w:bCs/>
          <w:color w:val="FF0000"/>
          <w:lang w:eastAsia="es-ES"/>
        </w:rPr>
      </w:pPr>
      <w:r w:rsidRPr="00B4543B">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0D3B16D3" w14:textId="77777777" w:rsidR="001E50A6" w:rsidRPr="00B4543B" w:rsidRDefault="001E50A6" w:rsidP="00F71A2A">
      <w:pPr>
        <w:spacing w:after="0" w:line="360" w:lineRule="auto"/>
        <w:rPr>
          <w:rFonts w:eastAsia="Times New Roman" w:cs="Tahoma"/>
          <w:bCs/>
          <w:color w:val="FF0000"/>
          <w:lang w:eastAsia="es-ES"/>
        </w:rPr>
      </w:pPr>
    </w:p>
    <w:p w14:paraId="436BBC47" w14:textId="2156A85E" w:rsidR="005758CC" w:rsidRPr="00B4543B" w:rsidRDefault="00383F1D" w:rsidP="00F71A2A">
      <w:pPr>
        <w:spacing w:after="0" w:line="360" w:lineRule="auto"/>
      </w:pPr>
      <w:r w:rsidRPr="00B4543B">
        <w:t>Establecido lo anterior, se procede a contextualizar la solicitud de información, al respecto, Eduardo López Sosa, Natalia López Sosa. (2014). “Derecho Administrativo Mexicano”. (p. 262), establece que la autorización, la licencia, o el permiso es el acto administrativo por medio de los cuales se otorga a un particular, por un órgano administrativo, la facultad o el derecho para realizar una actividad o para hacer alguna cosa.</w:t>
      </w:r>
    </w:p>
    <w:p w14:paraId="5A4C1E00" w14:textId="77777777" w:rsidR="00383F1D" w:rsidRPr="00B4543B" w:rsidRDefault="00383F1D" w:rsidP="00F71A2A">
      <w:pPr>
        <w:spacing w:after="0" w:line="360" w:lineRule="auto"/>
      </w:pPr>
    </w:p>
    <w:p w14:paraId="534D51E0" w14:textId="6CEA2777" w:rsidR="00383F1D" w:rsidRPr="00B4543B" w:rsidRDefault="00312EAC" w:rsidP="00F71A2A">
      <w:pPr>
        <w:spacing w:after="0" w:line="360" w:lineRule="auto"/>
      </w:pPr>
      <w:r w:rsidRPr="00B4543B">
        <w:t>En ese contexto, el artículo 18.20 del Código Administrativo del Estado de México el cual establece que las licencias de construcción tienen por objeto autorizar:</w:t>
      </w:r>
    </w:p>
    <w:p w14:paraId="01073073" w14:textId="77777777" w:rsidR="007E09EB" w:rsidRPr="00B4543B" w:rsidRDefault="007E09EB" w:rsidP="00F71A2A">
      <w:pPr>
        <w:spacing w:after="0" w:line="360" w:lineRule="auto"/>
      </w:pPr>
    </w:p>
    <w:p w14:paraId="1C863976" w14:textId="77777777" w:rsidR="00312EAC" w:rsidRPr="00B4543B" w:rsidRDefault="00312EAC" w:rsidP="00312EAC">
      <w:pPr>
        <w:pStyle w:val="Prrafodelista"/>
        <w:numPr>
          <w:ilvl w:val="0"/>
          <w:numId w:val="31"/>
        </w:numPr>
        <w:spacing w:after="0" w:line="360" w:lineRule="auto"/>
        <w:rPr>
          <w:color w:val="auto"/>
        </w:rPr>
      </w:pPr>
      <w:r w:rsidRPr="00B4543B">
        <w:rPr>
          <w:color w:val="auto"/>
        </w:rPr>
        <w:t xml:space="preserve">Obra nueva; </w:t>
      </w:r>
    </w:p>
    <w:p w14:paraId="54EA58EE" w14:textId="77777777" w:rsidR="00312EAC" w:rsidRPr="00B4543B" w:rsidRDefault="00312EAC" w:rsidP="00312EAC">
      <w:pPr>
        <w:pStyle w:val="Prrafodelista"/>
        <w:numPr>
          <w:ilvl w:val="0"/>
          <w:numId w:val="31"/>
        </w:numPr>
        <w:spacing w:after="0" w:line="360" w:lineRule="auto"/>
        <w:rPr>
          <w:color w:val="auto"/>
        </w:rPr>
      </w:pPr>
      <w:r w:rsidRPr="00B4543B">
        <w:rPr>
          <w:color w:val="auto"/>
        </w:rPr>
        <w:lastRenderedPageBreak/>
        <w:t xml:space="preserve">Ampliación, modificación o reparación que afecte elementos estructurales de la obra existente; </w:t>
      </w:r>
    </w:p>
    <w:p w14:paraId="53A75E0B" w14:textId="77777777" w:rsidR="00312EAC" w:rsidRPr="00B4543B" w:rsidRDefault="00312EAC" w:rsidP="00312EAC">
      <w:pPr>
        <w:pStyle w:val="Prrafodelista"/>
        <w:numPr>
          <w:ilvl w:val="0"/>
          <w:numId w:val="31"/>
        </w:numPr>
        <w:spacing w:after="0" w:line="360" w:lineRule="auto"/>
        <w:rPr>
          <w:color w:val="auto"/>
        </w:rPr>
      </w:pPr>
      <w:r w:rsidRPr="00B4543B">
        <w:rPr>
          <w:color w:val="auto"/>
        </w:rPr>
        <w:t>Demolición parcial o total;</w:t>
      </w:r>
    </w:p>
    <w:p w14:paraId="39B7446F" w14:textId="7FDBAF15" w:rsidR="00312EAC" w:rsidRPr="00B4543B" w:rsidRDefault="00312EAC" w:rsidP="00312EAC">
      <w:pPr>
        <w:pStyle w:val="Prrafodelista"/>
        <w:numPr>
          <w:ilvl w:val="0"/>
          <w:numId w:val="31"/>
        </w:numPr>
        <w:spacing w:after="0" w:line="360" w:lineRule="auto"/>
        <w:rPr>
          <w:color w:val="auto"/>
        </w:rPr>
      </w:pPr>
      <w:r w:rsidRPr="00B4543B">
        <w:rPr>
          <w:color w:val="auto"/>
        </w:rPr>
        <w:t xml:space="preserve">Excavación o relleno; </w:t>
      </w:r>
    </w:p>
    <w:p w14:paraId="05B4F780" w14:textId="77777777" w:rsidR="00312EAC" w:rsidRPr="00B4543B" w:rsidRDefault="00312EAC" w:rsidP="00312EAC">
      <w:pPr>
        <w:pStyle w:val="Prrafodelista"/>
        <w:numPr>
          <w:ilvl w:val="0"/>
          <w:numId w:val="31"/>
        </w:numPr>
        <w:spacing w:after="0" w:line="360" w:lineRule="auto"/>
        <w:rPr>
          <w:color w:val="auto"/>
        </w:rPr>
      </w:pPr>
      <w:r w:rsidRPr="00B4543B">
        <w:rPr>
          <w:color w:val="auto"/>
        </w:rPr>
        <w:t>Construcción de bardas;</w:t>
      </w:r>
    </w:p>
    <w:p w14:paraId="69F8718D" w14:textId="77777777" w:rsidR="00312EAC" w:rsidRPr="00B4543B" w:rsidRDefault="00312EAC" w:rsidP="00312EAC">
      <w:pPr>
        <w:pStyle w:val="Prrafodelista"/>
        <w:numPr>
          <w:ilvl w:val="0"/>
          <w:numId w:val="31"/>
        </w:numPr>
        <w:spacing w:after="0" w:line="360" w:lineRule="auto"/>
        <w:rPr>
          <w:color w:val="auto"/>
        </w:rPr>
      </w:pPr>
      <w:r w:rsidRPr="00B4543B">
        <w:rPr>
          <w:color w:val="auto"/>
        </w:rPr>
        <w:t xml:space="preserve">Obras de conexión a las redes de agua potable y drenaje; </w:t>
      </w:r>
    </w:p>
    <w:p w14:paraId="6F556744" w14:textId="77777777" w:rsidR="00312EAC" w:rsidRPr="00B4543B" w:rsidRDefault="00312EAC" w:rsidP="00312EAC">
      <w:pPr>
        <w:pStyle w:val="Prrafodelista"/>
        <w:numPr>
          <w:ilvl w:val="0"/>
          <w:numId w:val="31"/>
        </w:numPr>
        <w:spacing w:after="0" w:line="360" w:lineRule="auto"/>
        <w:rPr>
          <w:color w:val="auto"/>
        </w:rPr>
      </w:pPr>
      <w:r w:rsidRPr="00B4543B">
        <w:rPr>
          <w:color w:val="auto"/>
        </w:rPr>
        <w:t xml:space="preserve">Modificación del proyecto de una obra autorizada; </w:t>
      </w:r>
    </w:p>
    <w:p w14:paraId="1D9FFA7E" w14:textId="77777777" w:rsidR="00312EAC" w:rsidRPr="00B4543B" w:rsidRDefault="00312EAC" w:rsidP="00312EAC">
      <w:pPr>
        <w:pStyle w:val="Prrafodelista"/>
        <w:numPr>
          <w:ilvl w:val="0"/>
          <w:numId w:val="31"/>
        </w:numPr>
        <w:spacing w:after="0" w:line="360" w:lineRule="auto"/>
        <w:rPr>
          <w:color w:val="auto"/>
        </w:rPr>
      </w:pPr>
      <w:r w:rsidRPr="00B4543B">
        <w:rPr>
          <w:color w:val="auto"/>
        </w:rPr>
        <w:t xml:space="preserve">Construcción e instalación de estaciones repetidoras y antenas para radiotelecomunicaciones; </w:t>
      </w:r>
    </w:p>
    <w:p w14:paraId="6FC058F9" w14:textId="77777777" w:rsidR="00312EAC" w:rsidRPr="00B4543B" w:rsidRDefault="00312EAC" w:rsidP="00312EAC">
      <w:pPr>
        <w:pStyle w:val="Prrafodelista"/>
        <w:numPr>
          <w:ilvl w:val="0"/>
          <w:numId w:val="31"/>
        </w:numPr>
        <w:spacing w:after="0" w:line="360" w:lineRule="auto"/>
        <w:rPr>
          <w:color w:val="auto"/>
        </w:rPr>
      </w:pPr>
      <w:r w:rsidRPr="00B4543B">
        <w:rPr>
          <w:color w:val="auto"/>
        </w:rPr>
        <w:t xml:space="preserve">Anuncios publicitarios que requieran de elementos estructurales; y </w:t>
      </w:r>
    </w:p>
    <w:p w14:paraId="08F5C64D" w14:textId="0D617B35" w:rsidR="00312EAC" w:rsidRPr="00B4543B" w:rsidRDefault="00312EAC" w:rsidP="00312EAC">
      <w:pPr>
        <w:pStyle w:val="Prrafodelista"/>
        <w:numPr>
          <w:ilvl w:val="0"/>
          <w:numId w:val="31"/>
        </w:numPr>
        <w:spacing w:after="0" w:line="360" w:lineRule="auto"/>
        <w:rPr>
          <w:rFonts w:eastAsia="Times New Roman" w:cs="Tahoma"/>
          <w:bCs/>
          <w:color w:val="auto"/>
          <w:lang w:eastAsia="es-ES"/>
        </w:rPr>
      </w:pPr>
      <w:r w:rsidRPr="00B4543B">
        <w:rPr>
          <w:color w:val="auto"/>
        </w:rPr>
        <w:t>Instalaciones o modificaciones de ascensores para personas, montacargas, escaleras mecánicas o cualquier otro mecanismo de transporte electromecánico</w:t>
      </w:r>
    </w:p>
    <w:p w14:paraId="488C3C8E" w14:textId="77777777" w:rsidR="005758CC" w:rsidRPr="00B4543B" w:rsidRDefault="005758CC" w:rsidP="00F71A2A">
      <w:pPr>
        <w:spacing w:after="0" w:line="360" w:lineRule="auto"/>
        <w:rPr>
          <w:rFonts w:eastAsia="Times New Roman" w:cs="Tahoma"/>
          <w:bCs/>
          <w:color w:val="FF0000"/>
          <w:lang w:eastAsia="es-ES"/>
        </w:rPr>
      </w:pPr>
    </w:p>
    <w:p w14:paraId="560D1436" w14:textId="38AC6A2D" w:rsidR="00D40EEF" w:rsidRPr="00B4543B" w:rsidRDefault="00F85F35" w:rsidP="00F71A2A">
      <w:pPr>
        <w:spacing w:after="0" w:line="360" w:lineRule="auto"/>
      </w:pPr>
      <w:r w:rsidRPr="00B4543B">
        <w:t>Además, refiere que la autoridad municipal que emita la licencia de construcción deberá revisar que en el proyecto que autoriza se observen las disposiciones de este Libro, las Normas Técnicas y demás disposiciones jurídicas aplicables y deberá otorgar o negar la misma.</w:t>
      </w:r>
    </w:p>
    <w:p w14:paraId="4167AA21" w14:textId="77777777" w:rsidR="00F85F35" w:rsidRPr="00B4543B" w:rsidRDefault="00F85F35" w:rsidP="00F71A2A">
      <w:pPr>
        <w:spacing w:after="0" w:line="360" w:lineRule="auto"/>
      </w:pPr>
    </w:p>
    <w:p w14:paraId="4FD3CDDC" w14:textId="14F18F55" w:rsidR="00F85F35" w:rsidRPr="00B4543B" w:rsidRDefault="00F85F35" w:rsidP="00F71A2A">
      <w:pPr>
        <w:spacing w:after="0" w:line="360" w:lineRule="auto"/>
      </w:pPr>
      <w:r w:rsidRPr="00B4543B">
        <w:t>En ese mismo orden de ideas, el artículo 96 sexies de la Ley Orgánica Municipal del Estado de México, establece que el Director de Desarrollo Urbano o el Titular de la Unidad Administrativa equivalente, dentro de sus atribuciones tiene la de analizar las cédulas informativas de zonificación, licencias de uso de suelo y licencias de construcción.</w:t>
      </w:r>
    </w:p>
    <w:p w14:paraId="085F72B2" w14:textId="77777777" w:rsidR="00EF403B" w:rsidRPr="00B4543B" w:rsidRDefault="00EF403B" w:rsidP="00F71A2A">
      <w:pPr>
        <w:spacing w:after="0" w:line="360" w:lineRule="auto"/>
      </w:pPr>
    </w:p>
    <w:p w14:paraId="3A383EA1" w14:textId="77777777" w:rsidR="00EF403B" w:rsidRPr="00B4543B" w:rsidRDefault="00EF403B" w:rsidP="00F71A2A">
      <w:pPr>
        <w:spacing w:after="0" w:line="360" w:lineRule="auto"/>
      </w:pPr>
      <w:r w:rsidRPr="00B4543B">
        <w:t xml:space="preserve">En esa misma consecución de ideas, el artículo 71 del Bando Municipal de Calimaya dos mil veinticinco, señala que la Dirección de Desarrollo Urbano a través de su encargado promueve y realizar acciones para la conservación, mejoramiento y crecimiento de los centros de </w:t>
      </w:r>
      <w:r w:rsidRPr="00B4543B">
        <w:lastRenderedPageBreak/>
        <w:t>población ubicados en el territorio municipal, de conformidad con los planes o programas de desarrollo urbano, con la finalidad de regular el ordenamiento territorial; sus atribuciones están conferidas dentro del artículo 96Sexies de la Ley Orgánica Municipal.</w:t>
      </w:r>
    </w:p>
    <w:p w14:paraId="7BFF1CFF" w14:textId="77777777" w:rsidR="008F790A" w:rsidRPr="00B4543B" w:rsidRDefault="008F790A" w:rsidP="00F71A2A">
      <w:pPr>
        <w:spacing w:after="0" w:line="360" w:lineRule="auto"/>
      </w:pPr>
    </w:p>
    <w:p w14:paraId="39BF7181" w14:textId="4B7B77B0" w:rsidR="006F2347" w:rsidRPr="00B4543B" w:rsidRDefault="008F790A" w:rsidP="00F71A2A">
      <w:pPr>
        <w:spacing w:after="0" w:line="360" w:lineRule="auto"/>
      </w:pPr>
      <w:r w:rsidRPr="00B4543B">
        <w:t>Al respecto, este instituto localiz</w:t>
      </w:r>
      <w:r w:rsidR="006F2347" w:rsidRPr="00B4543B">
        <w:t>ó los requisitos que el ayuntamiento solicita para la expedición de licencias de construcción tal como se muestra a continuación:</w:t>
      </w:r>
    </w:p>
    <w:p w14:paraId="0191669A" w14:textId="77777777" w:rsidR="006F2347" w:rsidRPr="00B4543B" w:rsidRDefault="006F2347" w:rsidP="00F71A2A">
      <w:pPr>
        <w:spacing w:after="0" w:line="360" w:lineRule="auto"/>
      </w:pPr>
    </w:p>
    <w:p w14:paraId="3C691195" w14:textId="3C444404" w:rsidR="006F2347" w:rsidRPr="00B4543B" w:rsidRDefault="006F2347" w:rsidP="006F2347">
      <w:pPr>
        <w:pStyle w:val="Prrafodelista"/>
        <w:numPr>
          <w:ilvl w:val="0"/>
          <w:numId w:val="32"/>
        </w:numPr>
        <w:spacing w:after="0" w:line="360" w:lineRule="auto"/>
        <w:rPr>
          <w:b/>
          <w:bCs/>
        </w:rPr>
      </w:pPr>
      <w:r w:rsidRPr="00B4543B">
        <w:rPr>
          <w:b/>
          <w:bCs/>
        </w:rPr>
        <w:t>Licencia de Construcción de 20 a 60m2</w:t>
      </w:r>
    </w:p>
    <w:p w14:paraId="52FDF85D" w14:textId="21256274" w:rsidR="007E09EB" w:rsidRPr="00B4543B" w:rsidRDefault="007E09EB" w:rsidP="007E09EB">
      <w:pPr>
        <w:pStyle w:val="Prrafodelista"/>
        <w:spacing w:after="0" w:line="360" w:lineRule="auto"/>
        <w:rPr>
          <w:b/>
          <w:bCs/>
        </w:rPr>
      </w:pPr>
    </w:p>
    <w:p w14:paraId="63166BB1" w14:textId="5FF12FA2" w:rsidR="006F2347" w:rsidRPr="00B4543B" w:rsidRDefault="006F2347" w:rsidP="00FC7B26">
      <w:pPr>
        <w:spacing w:after="0" w:line="360" w:lineRule="auto"/>
        <w:jc w:val="center"/>
        <w:rPr>
          <w:b/>
          <w:bCs/>
        </w:rPr>
      </w:pPr>
      <w:r w:rsidRPr="00B4543B">
        <w:rPr>
          <w:b/>
          <w:bCs/>
          <w:noProof/>
          <w:lang w:eastAsia="es-MX"/>
        </w:rPr>
        <w:drawing>
          <wp:inline distT="0" distB="0" distL="0" distR="0" wp14:anchorId="42BD3258" wp14:editId="54133D27">
            <wp:extent cx="4048125" cy="1646718"/>
            <wp:effectExtent l="0" t="0" r="0" b="0"/>
            <wp:docPr id="1364220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20003" name=""/>
                    <pic:cNvPicPr/>
                  </pic:nvPicPr>
                  <pic:blipFill>
                    <a:blip r:embed="rId8"/>
                    <a:stretch>
                      <a:fillRect/>
                    </a:stretch>
                  </pic:blipFill>
                  <pic:spPr>
                    <a:xfrm>
                      <a:off x="0" y="0"/>
                      <a:ext cx="4056614" cy="1650171"/>
                    </a:xfrm>
                    <a:prstGeom prst="rect">
                      <a:avLst/>
                    </a:prstGeom>
                  </pic:spPr>
                </pic:pic>
              </a:graphicData>
            </a:graphic>
          </wp:inline>
        </w:drawing>
      </w:r>
    </w:p>
    <w:p w14:paraId="16E26F76" w14:textId="77777777" w:rsidR="006F2347" w:rsidRPr="00B4543B" w:rsidRDefault="00EF403B" w:rsidP="006F2347">
      <w:pPr>
        <w:spacing w:after="0" w:line="360" w:lineRule="auto"/>
      </w:pPr>
      <w:r w:rsidRPr="00B4543B">
        <w:t xml:space="preserve"> </w:t>
      </w:r>
    </w:p>
    <w:p w14:paraId="07DAD09F" w14:textId="6DB49E42" w:rsidR="006F2347" w:rsidRPr="00B4543B" w:rsidRDefault="006F2347" w:rsidP="006F2347">
      <w:pPr>
        <w:pStyle w:val="Prrafodelista"/>
        <w:numPr>
          <w:ilvl w:val="0"/>
          <w:numId w:val="32"/>
        </w:numPr>
        <w:spacing w:after="0" w:line="360" w:lineRule="auto"/>
        <w:rPr>
          <w:b/>
          <w:bCs/>
        </w:rPr>
      </w:pPr>
      <w:r w:rsidRPr="00B4543B">
        <w:rPr>
          <w:b/>
          <w:bCs/>
        </w:rPr>
        <w:t>Licencia de Construcción mayor de 60m2</w:t>
      </w:r>
    </w:p>
    <w:p w14:paraId="2C0079C2" w14:textId="77777777" w:rsidR="007E09EB" w:rsidRPr="00B4543B" w:rsidRDefault="007E09EB" w:rsidP="007E09EB">
      <w:pPr>
        <w:pStyle w:val="Prrafodelista"/>
        <w:spacing w:after="0" w:line="360" w:lineRule="auto"/>
        <w:rPr>
          <w:b/>
          <w:bCs/>
        </w:rPr>
      </w:pPr>
    </w:p>
    <w:p w14:paraId="33DE0D77" w14:textId="2E98AB46" w:rsidR="006F2347" w:rsidRPr="00B4543B" w:rsidRDefault="00A201EE" w:rsidP="00A201EE">
      <w:pPr>
        <w:spacing w:after="0" w:line="360" w:lineRule="auto"/>
        <w:jc w:val="center"/>
        <w:rPr>
          <w:b/>
          <w:bCs/>
        </w:rPr>
      </w:pPr>
      <w:r w:rsidRPr="00B4543B">
        <w:rPr>
          <w:b/>
          <w:bCs/>
          <w:noProof/>
          <w:lang w:eastAsia="es-MX"/>
        </w:rPr>
        <w:drawing>
          <wp:inline distT="0" distB="0" distL="0" distR="0" wp14:anchorId="31EF7466" wp14:editId="06C6CD7A">
            <wp:extent cx="3638404" cy="2152650"/>
            <wp:effectExtent l="0" t="0" r="635" b="0"/>
            <wp:docPr id="1694936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36693" name=""/>
                    <pic:cNvPicPr/>
                  </pic:nvPicPr>
                  <pic:blipFill>
                    <a:blip r:embed="rId9"/>
                    <a:stretch>
                      <a:fillRect/>
                    </a:stretch>
                  </pic:blipFill>
                  <pic:spPr>
                    <a:xfrm>
                      <a:off x="0" y="0"/>
                      <a:ext cx="3646883" cy="2157667"/>
                    </a:xfrm>
                    <a:prstGeom prst="rect">
                      <a:avLst/>
                    </a:prstGeom>
                  </pic:spPr>
                </pic:pic>
              </a:graphicData>
            </a:graphic>
          </wp:inline>
        </w:drawing>
      </w:r>
    </w:p>
    <w:p w14:paraId="6A86840E" w14:textId="70821390" w:rsidR="00EF403B" w:rsidRPr="00B4543B" w:rsidRDefault="00EF403B" w:rsidP="00F71A2A">
      <w:pPr>
        <w:spacing w:after="0" w:line="360" w:lineRule="auto"/>
      </w:pPr>
    </w:p>
    <w:p w14:paraId="5920E496" w14:textId="5297118B" w:rsidR="00F85F35" w:rsidRPr="00B4543B" w:rsidRDefault="008F790A" w:rsidP="00F71A2A">
      <w:pPr>
        <w:spacing w:after="0" w:line="360" w:lineRule="auto"/>
      </w:pPr>
      <w:r w:rsidRPr="00B4543B">
        <w:t>Conforme a lo anterior, se logra vislumbrar que la pretensión del ahora Recurrente, es obtener</w:t>
      </w:r>
      <w:r w:rsidR="00934271" w:rsidRPr="00B4543B">
        <w:t xml:space="preserve"> en relación con la construcción </w:t>
      </w:r>
      <w:r w:rsidR="007E09EB" w:rsidRPr="00B4543B">
        <w:t>en un predio particular</w:t>
      </w:r>
      <w:r w:rsidR="00934271" w:rsidRPr="00B4543B">
        <w:t>, lo siguiente:</w:t>
      </w:r>
    </w:p>
    <w:p w14:paraId="3392A772" w14:textId="77777777" w:rsidR="00934271" w:rsidRPr="00B4543B" w:rsidRDefault="00934271" w:rsidP="00F71A2A">
      <w:pPr>
        <w:spacing w:after="0" w:line="360" w:lineRule="auto"/>
      </w:pPr>
    </w:p>
    <w:p w14:paraId="1FC1FA00" w14:textId="0888EDB2" w:rsidR="00934271" w:rsidRPr="00B4543B" w:rsidRDefault="00934271" w:rsidP="00934271">
      <w:pPr>
        <w:pStyle w:val="Prrafodelista"/>
        <w:numPr>
          <w:ilvl w:val="0"/>
          <w:numId w:val="32"/>
        </w:numPr>
        <w:spacing w:after="0" w:line="360" w:lineRule="auto"/>
      </w:pPr>
      <w:r w:rsidRPr="00B4543B">
        <w:t>Permisos</w:t>
      </w:r>
      <w:r w:rsidR="007E09EB" w:rsidRPr="00B4543B">
        <w:t>;</w:t>
      </w:r>
    </w:p>
    <w:p w14:paraId="71ABA1E9" w14:textId="39090191" w:rsidR="00934271" w:rsidRPr="00B4543B" w:rsidRDefault="00934271" w:rsidP="00934271">
      <w:pPr>
        <w:pStyle w:val="Prrafodelista"/>
        <w:numPr>
          <w:ilvl w:val="0"/>
          <w:numId w:val="32"/>
        </w:numPr>
        <w:spacing w:after="0" w:line="360" w:lineRule="auto"/>
      </w:pPr>
      <w:r w:rsidRPr="00B4543B">
        <w:t>Licencia de construcción</w:t>
      </w:r>
      <w:r w:rsidR="007E09EB" w:rsidRPr="00B4543B">
        <w:t>;</w:t>
      </w:r>
    </w:p>
    <w:p w14:paraId="383EA468" w14:textId="452F49DC" w:rsidR="00934271" w:rsidRPr="00B4543B" w:rsidRDefault="00934271" w:rsidP="00934271">
      <w:pPr>
        <w:pStyle w:val="Prrafodelista"/>
        <w:numPr>
          <w:ilvl w:val="0"/>
          <w:numId w:val="32"/>
        </w:numPr>
        <w:spacing w:after="0" w:line="360" w:lineRule="auto"/>
      </w:pPr>
      <w:r w:rsidRPr="00B4543B">
        <w:t>Planos arquitectónicos</w:t>
      </w:r>
      <w:r w:rsidR="007E09EB" w:rsidRPr="00B4543B">
        <w:t>;</w:t>
      </w:r>
    </w:p>
    <w:p w14:paraId="2A2168BF" w14:textId="562D8F3D" w:rsidR="00934271" w:rsidRPr="00B4543B" w:rsidRDefault="00934271" w:rsidP="00934271">
      <w:pPr>
        <w:pStyle w:val="Prrafodelista"/>
        <w:numPr>
          <w:ilvl w:val="0"/>
          <w:numId w:val="32"/>
        </w:numPr>
        <w:spacing w:after="0" w:line="360" w:lineRule="auto"/>
      </w:pPr>
      <w:r w:rsidRPr="00B4543B">
        <w:t>Planos Estructurales</w:t>
      </w:r>
      <w:r w:rsidR="007E09EB" w:rsidRPr="00B4543B">
        <w:t>, y</w:t>
      </w:r>
    </w:p>
    <w:p w14:paraId="6BE1AAFF" w14:textId="2CDCF3B3" w:rsidR="00934271" w:rsidRPr="00B4543B" w:rsidRDefault="00934271" w:rsidP="00934271">
      <w:pPr>
        <w:pStyle w:val="Prrafodelista"/>
        <w:numPr>
          <w:ilvl w:val="0"/>
          <w:numId w:val="32"/>
        </w:numPr>
        <w:spacing w:after="0" w:line="360" w:lineRule="auto"/>
        <w:rPr>
          <w:rFonts w:eastAsia="Times New Roman" w:cs="Tahoma"/>
          <w:bCs/>
          <w:color w:val="auto"/>
          <w:lang w:eastAsia="es-ES"/>
        </w:rPr>
      </w:pPr>
      <w:r w:rsidRPr="00B4543B">
        <w:rPr>
          <w:color w:val="auto"/>
        </w:rPr>
        <w:t>Firma del responsable de la obra</w:t>
      </w:r>
      <w:r w:rsidR="007E09EB" w:rsidRPr="00B4543B">
        <w:rPr>
          <w:color w:val="auto"/>
        </w:rPr>
        <w:t>.</w:t>
      </w:r>
    </w:p>
    <w:p w14:paraId="441F92EE" w14:textId="77777777" w:rsidR="00934271" w:rsidRPr="00B4543B" w:rsidRDefault="00934271" w:rsidP="00F71A2A">
      <w:pPr>
        <w:spacing w:after="0" w:line="360" w:lineRule="auto"/>
        <w:rPr>
          <w:rFonts w:eastAsia="Times New Roman" w:cs="Tahoma"/>
          <w:bCs/>
          <w:color w:val="FF0000"/>
          <w:lang w:eastAsia="es-ES"/>
        </w:rPr>
      </w:pPr>
    </w:p>
    <w:p w14:paraId="15BE4020" w14:textId="0A0F8C44" w:rsidR="000F5034" w:rsidRPr="00B4543B" w:rsidRDefault="000F5034" w:rsidP="007837D7">
      <w:pPr>
        <w:spacing w:after="0" w:line="360" w:lineRule="auto"/>
      </w:pPr>
      <w:r w:rsidRPr="00B4543B">
        <w:t xml:space="preserve">Establecida dicha circunstancia, se procede analizar la respuesta entregada por el Ente Recurrido para atender la solicitud, para lo cual, es necesario precisar que de las constancias que obran en el expediente, se advierte que turno la solicitud a la Dirección de Desarrollo Urbano y la Dirección de Obras Públicas; </w:t>
      </w:r>
      <w:r w:rsidR="007837D7" w:rsidRPr="00B4543B">
        <w:t xml:space="preserve">por lo que, es necesario hacer referencia al </w:t>
      </w:r>
      <w:r w:rsidR="007837D7" w:rsidRPr="00B4543B">
        <w:rPr>
          <w:b/>
          <w:bCs/>
        </w:rPr>
        <w:t>procedimiento de búsqueda que deben de seguir los Sujetos Obligados para localizar la información,</w:t>
      </w:r>
      <w:r w:rsidR="007837D7" w:rsidRPr="00B4543B">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 de acuerdo a las facultades, competencias y funciones-, con el objeto de que dichas áreas realicen una búsqueda exhaustiva y razonable de la información requerida.</w:t>
      </w:r>
    </w:p>
    <w:p w14:paraId="5247AA36" w14:textId="77777777" w:rsidR="000F5034" w:rsidRPr="00B4543B" w:rsidRDefault="000F5034" w:rsidP="00F71A2A">
      <w:pPr>
        <w:spacing w:after="0" w:line="360" w:lineRule="auto"/>
        <w:rPr>
          <w:rFonts w:eastAsia="Times New Roman" w:cs="Tahoma"/>
          <w:bCs/>
          <w:color w:val="FF0000"/>
          <w:lang w:eastAsia="es-ES"/>
        </w:rPr>
      </w:pPr>
    </w:p>
    <w:p w14:paraId="39AA1488" w14:textId="141EE55F" w:rsidR="003A7EB9" w:rsidRPr="00B4543B" w:rsidRDefault="003A7EB9" w:rsidP="003A7EB9">
      <w:pPr>
        <w:spacing w:after="0" w:line="360" w:lineRule="auto"/>
      </w:pPr>
      <w:r w:rsidRPr="00B4543B">
        <w:t>De lo anterior, y como se precisó en párrafos anteriores, se advierte que el Sujeto Obligado,</w:t>
      </w:r>
      <w:r w:rsidR="007E09EB" w:rsidRPr="00B4543B">
        <w:t xml:space="preserve"> </w:t>
      </w:r>
      <w:r w:rsidRPr="00B4543B">
        <w:t xml:space="preserve">cumplió con el procedimiento de búsqueda previsto en el artículo 162 de la Ley de Transparencia y Acceso a la Información Pública del Estado de México y Municipios, toda vez que turnó la solicitud de información al área competente para conocer de sobre las </w:t>
      </w:r>
      <w:r w:rsidRPr="00B4543B">
        <w:lastRenderedPageBreak/>
        <w:t>licencias, permisos y documentos que se requieran para realizar la construcción de alguna obra</w:t>
      </w:r>
      <w:r w:rsidR="00356B95" w:rsidRPr="00B4543B">
        <w:t>, a saber, la Dirección de Desarrollo Urbano.</w:t>
      </w:r>
    </w:p>
    <w:p w14:paraId="285AE402" w14:textId="77777777" w:rsidR="003A7EB9" w:rsidRPr="00B4543B" w:rsidRDefault="003A7EB9" w:rsidP="003A7EB9">
      <w:pPr>
        <w:spacing w:after="0" w:line="360" w:lineRule="auto"/>
      </w:pPr>
    </w:p>
    <w:p w14:paraId="6AED8E63" w14:textId="4CE1C496" w:rsidR="007E09EB" w:rsidRPr="00B4543B" w:rsidRDefault="00356B95" w:rsidP="00356B95">
      <w:pPr>
        <w:spacing w:after="0" w:line="360" w:lineRule="auto"/>
      </w:pPr>
      <w:r w:rsidRPr="00B4543B">
        <w:t>Ahora bien, en respuesta el Sujeto Obligado</w:t>
      </w:r>
      <w:r w:rsidR="007E09EB" w:rsidRPr="00B4543B">
        <w:t xml:space="preserve"> señaló que remitía la respuesta de la Dirección de Obras Públicas y la Dirección de Desarrollo Urbano; sin embargo, de las constancias que obran en el expediente, se logra vislumbrar que omitió anexarlos, es decir, fue incongruente con su respuesta, pues indicó que proporcionaba determinada información, la cual omitió adjuntar.</w:t>
      </w:r>
    </w:p>
    <w:p w14:paraId="5E7C8BAF" w14:textId="77777777" w:rsidR="007E09EB" w:rsidRPr="00B4543B" w:rsidRDefault="007E09EB" w:rsidP="00356B95">
      <w:pPr>
        <w:spacing w:after="0" w:line="360" w:lineRule="auto"/>
      </w:pPr>
    </w:p>
    <w:p w14:paraId="3BD0D2A1" w14:textId="1B23BDDE" w:rsidR="007E09EB" w:rsidRPr="00B4543B" w:rsidRDefault="007E09EB" w:rsidP="00356B95">
      <w:pPr>
        <w:spacing w:after="0" w:line="360" w:lineRule="auto"/>
      </w:pPr>
      <w:r w:rsidRPr="00B4543B">
        <w:t>No obstante, durante la sustanciación del Medio de Impugnación,</w:t>
      </w:r>
      <w:r w:rsidR="00356B95" w:rsidRPr="00B4543B">
        <w:t xml:space="preserve"> la Dirección de Obras Públicas </w:t>
      </w:r>
      <w:r w:rsidRPr="00B4543B">
        <w:t>no estaba facultado en otorgar</w:t>
      </w:r>
      <w:r w:rsidR="00356B95" w:rsidRPr="00B4543B">
        <w:t xml:space="preserve"> permisos de construcción,</w:t>
      </w:r>
      <w:r w:rsidRPr="00B4543B">
        <w:t xml:space="preserve"> ni de supervisar construcciones</w:t>
      </w:r>
      <w:r w:rsidR="00356B95" w:rsidRPr="00B4543B">
        <w:t xml:space="preserve"> particulares, por lo que no </w:t>
      </w:r>
      <w:r w:rsidRPr="00B4543B">
        <w:t>contaba con algún documento relacionado con</w:t>
      </w:r>
      <w:r w:rsidR="00356B95" w:rsidRPr="00B4543B">
        <w:t xml:space="preserve"> lo solicitado. </w:t>
      </w:r>
    </w:p>
    <w:p w14:paraId="44D9B9BB" w14:textId="77777777" w:rsidR="007E09EB" w:rsidRPr="00B4543B" w:rsidRDefault="007E09EB" w:rsidP="00356B95">
      <w:pPr>
        <w:spacing w:after="0" w:line="360" w:lineRule="auto"/>
      </w:pPr>
    </w:p>
    <w:p w14:paraId="2A094CF6" w14:textId="43C2FBD5" w:rsidR="00356B95" w:rsidRPr="00B4543B" w:rsidRDefault="00356B95" w:rsidP="00356B95">
      <w:pPr>
        <w:spacing w:after="0" w:line="360" w:lineRule="auto"/>
      </w:pPr>
      <w:r w:rsidRPr="00B4543B">
        <w:t xml:space="preserve">Por su parte, la </w:t>
      </w:r>
      <w:r w:rsidRPr="00B4543B">
        <w:rPr>
          <w:rFonts w:eastAsia="Calibri" w:cs="Times New Roman"/>
          <w:color w:val="auto"/>
        </w:rPr>
        <w:t xml:space="preserve">Dirección de </w:t>
      </w:r>
      <w:r w:rsidR="007E09EB" w:rsidRPr="00B4543B">
        <w:rPr>
          <w:rFonts w:eastAsia="Calibri" w:cs="Times New Roman"/>
          <w:color w:val="auto"/>
        </w:rPr>
        <w:t>Desarrollo</w:t>
      </w:r>
      <w:r w:rsidRPr="00B4543B">
        <w:rPr>
          <w:rFonts w:eastAsia="Calibri" w:cs="Times New Roman"/>
          <w:color w:val="auto"/>
        </w:rPr>
        <w:t xml:space="preserve"> Urbano señaló que después de realizar la búsqueda en los archivos de la dirección no se encontró información que coincida con la calle y número mencionados en su solicitud</w:t>
      </w:r>
      <w:r w:rsidR="007E09EB" w:rsidRPr="00B4543B">
        <w:rPr>
          <w:rFonts w:eastAsia="Calibri" w:cs="Times New Roman"/>
          <w:color w:val="auto"/>
        </w:rPr>
        <w:t>, lo cual se traduce a que no se había tramitado alguna licencia o permiso en el domicilio señalado en el requerimiento de información.</w:t>
      </w:r>
    </w:p>
    <w:p w14:paraId="4683B244" w14:textId="41DA493E" w:rsidR="003A7EB9" w:rsidRPr="00B4543B" w:rsidRDefault="003A7EB9" w:rsidP="003A7EB9">
      <w:pPr>
        <w:spacing w:after="0" w:line="360" w:lineRule="auto"/>
      </w:pPr>
    </w:p>
    <w:p w14:paraId="175C3F89" w14:textId="75DA2B82" w:rsidR="007C2AB0" w:rsidRPr="00B4543B" w:rsidRDefault="007E09EB" w:rsidP="007C2AB0">
      <w:pPr>
        <w:spacing w:after="0" w:line="360" w:lineRule="auto"/>
      </w:pPr>
      <w:r w:rsidRPr="00B4543B">
        <w:t>Así, ambas áreas mencionaron que la información era inexistente</w:t>
      </w:r>
      <w:r w:rsidR="007C2AB0" w:rsidRPr="00B4543B">
        <w:t xml:space="preserve">; sobre el tema, el Criterio </w:t>
      </w:r>
      <w:r w:rsidR="00FC7B26" w:rsidRPr="00B4543B">
        <w:t xml:space="preserve">Orientador </w:t>
      </w:r>
      <w:r w:rsidR="007C2AB0" w:rsidRPr="00B4543B">
        <w:t xml:space="preserve">SO/014/2017, emitido por el Instituto Nacional de Transparencia, Acceso a la Información Pública y Protección de Datos Personales en el Estado de México y Municipios, </w:t>
      </w:r>
      <w:r w:rsidR="004F2D3E" w:rsidRPr="00B4543B">
        <w:t xml:space="preserve">vigente a la fecha de la solicitud, </w:t>
      </w:r>
      <w:r w:rsidRPr="00B4543B">
        <w:t>el cual establece</w:t>
      </w:r>
      <w:r w:rsidR="007C2AB0" w:rsidRPr="00B4543B">
        <w:t xml:space="preserve"> que la inexistencia de la información, es una cuestión de hecho que se le atribuye a la misma, cuando ésta no se encuentra en los archivos del sujeto obligado. En ese orden de ideas, según Trujillo, Humberto (2019), en el “Diccionario de Transparencia y Acceso a la Información Pública” (p. 171), la inexistencia de </w:t>
      </w:r>
      <w:r w:rsidR="007C2AB0" w:rsidRPr="00B4543B">
        <w:lastRenderedPageBreak/>
        <w:t>la información,</w:t>
      </w:r>
      <w:r w:rsidRPr="00B4543B">
        <w:t xml:space="preserve"> </w:t>
      </w:r>
      <w:r w:rsidR="007C2AB0" w:rsidRPr="00B4543B">
        <w:t>es cuando la información requerida no se encuentra en los archivos públicos, reservados o</w:t>
      </w:r>
      <w:r w:rsidRPr="00B4543B">
        <w:t xml:space="preserve"> </w:t>
      </w:r>
      <w:r w:rsidR="007C2AB0" w:rsidRPr="00B4543B">
        <w:t>clasificados, de los sujetos obligados.</w:t>
      </w:r>
    </w:p>
    <w:p w14:paraId="42AE8F2C" w14:textId="77777777" w:rsidR="007C2AB0" w:rsidRPr="00B4543B" w:rsidRDefault="007C2AB0" w:rsidP="003A7EB9">
      <w:pPr>
        <w:spacing w:after="0" w:line="360" w:lineRule="auto"/>
      </w:pPr>
    </w:p>
    <w:p w14:paraId="3D39C021" w14:textId="4D3E3F24" w:rsidR="007C2AB0" w:rsidRPr="00B4543B" w:rsidRDefault="007C2AB0" w:rsidP="007C2AB0">
      <w:pPr>
        <w:spacing w:after="0" w:line="360" w:lineRule="auto"/>
      </w:pPr>
      <w:r w:rsidRPr="00B4543B">
        <w:t>Así, es posible concluir que la inexistencia presupone la competencia del sujeto obligado para conocer de la información, pero por alguna circunstancia, la documentación solicitada no obra en sus archivos</w:t>
      </w:r>
      <w:r w:rsidR="007E09EB" w:rsidRPr="00B4543B">
        <w:t>; p</w:t>
      </w:r>
      <w:r w:rsidRPr="00B4543B">
        <w:t>ara tal situación, no basta con que los sujetos obligados señalen dicha circunstancia, sino que también debe de señalar las razones por las cuales no cuentan con lo peticionado, es decir, las circunstancias que dan lugar a la inexistencia.</w:t>
      </w:r>
    </w:p>
    <w:p w14:paraId="40D46CA4" w14:textId="77777777" w:rsidR="007E09EB" w:rsidRPr="00B4543B" w:rsidRDefault="007E09EB" w:rsidP="007C2AB0">
      <w:pPr>
        <w:spacing w:after="0" w:line="360" w:lineRule="auto"/>
      </w:pPr>
    </w:p>
    <w:p w14:paraId="515782D9" w14:textId="47478CC9" w:rsidR="007E09EB" w:rsidRPr="00B4543B" w:rsidRDefault="007E09EB" w:rsidP="007C2AB0">
      <w:pPr>
        <w:spacing w:after="0" w:line="360" w:lineRule="auto"/>
      </w:pPr>
      <w:r w:rsidRPr="00B4543B">
        <w:t xml:space="preserve">Ahora bien, es necesario precisar que tanto la Dirección de Obras Públicas y la Dirección de Desarrollo Urbano, señalaron las razones por las cuales no contaba con lo peticionado, que se traducen a que no se había solicitado algún permiso para la construcción de la obra localizada en el domicilio señalado en el requerimiento; lo cual toma relevancia, pues es de señalar que los permisos de construcción son emitidos a petición de parte; por lo que, si la parte interesada o quién realiza la construcción, no se la solicita al Ayuntamiento, este </w:t>
      </w:r>
      <w:r w:rsidR="00081795" w:rsidRPr="00B4543B">
        <w:t>no tiene obligación de contar con información alguna.</w:t>
      </w:r>
    </w:p>
    <w:p w14:paraId="197E9DF3" w14:textId="77777777" w:rsidR="00081795" w:rsidRPr="00B4543B" w:rsidRDefault="00081795" w:rsidP="007C2AB0">
      <w:pPr>
        <w:spacing w:after="0" w:line="360" w:lineRule="auto"/>
      </w:pPr>
    </w:p>
    <w:p w14:paraId="67932C6E" w14:textId="79741A8B" w:rsidR="00081795" w:rsidRPr="00B4543B" w:rsidRDefault="00081795" w:rsidP="007C2AB0">
      <w:pPr>
        <w:spacing w:after="0" w:line="360" w:lineRule="auto"/>
      </w:pPr>
      <w:r w:rsidRPr="00B4543B">
        <w:t>Además, se realizó una búsqueda en el Portal de Información Pública de Oficio Mexiquense 3.0 y 4.0, en el artículo 94, fracción I, incisos F6 y F7, y no se localizó algún indicio en donde se haya emitido alguna autorización para realizar alguna construcción dentro del domicilio señalado.</w:t>
      </w:r>
    </w:p>
    <w:p w14:paraId="27E64ED7" w14:textId="77777777" w:rsidR="007C2AB0" w:rsidRPr="00B4543B" w:rsidRDefault="007C2AB0" w:rsidP="007C2AB0">
      <w:pPr>
        <w:spacing w:after="0" w:line="360" w:lineRule="auto"/>
      </w:pPr>
    </w:p>
    <w:p w14:paraId="36F8922D" w14:textId="6CDB318E" w:rsidR="007C2AB0" w:rsidRPr="00B4543B" w:rsidRDefault="00473C73" w:rsidP="00473C73">
      <w:pPr>
        <w:spacing w:after="0" w:line="360" w:lineRule="auto"/>
      </w:pPr>
      <w:r w:rsidRPr="00B4543B">
        <w:t xml:space="preserve">Así, se logra colegir que la información solicitada por el ahora Recurrente es inexistente, pues el Sujeto Obligado, realizó una búsqueda exhaustiva y razonable en los archivos de la unidad administrativa competente y esta señaló los motivos por los cuales no contaba con la peticionado; al respecto, se trae a colación, el artículo 19, segundo párrafo, de la Ley de </w:t>
      </w:r>
      <w:r w:rsidRPr="00B4543B">
        <w:lastRenderedPageBreak/>
        <w:t>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7AB9EF54" w14:textId="77777777" w:rsidR="007C2AB0" w:rsidRPr="00B4543B" w:rsidRDefault="007C2AB0" w:rsidP="003A7EB9">
      <w:pPr>
        <w:spacing w:after="0" w:line="360" w:lineRule="auto"/>
      </w:pPr>
    </w:p>
    <w:p w14:paraId="2A4A3C12" w14:textId="6B30A955" w:rsidR="005E36FD" w:rsidRPr="00B4543B" w:rsidRDefault="005E36FD" w:rsidP="005E36FD">
      <w:pPr>
        <w:spacing w:after="0" w:line="360" w:lineRule="auto"/>
        <w:rPr>
          <w:rFonts w:eastAsia="Palatino Linotype" w:cs="Palatino Linotype"/>
          <w:color w:val="auto"/>
        </w:rPr>
      </w:pPr>
      <w:r w:rsidRPr="00B4543B">
        <w:rPr>
          <w:rFonts w:eastAsia="Palatino Linotype" w:cs="Palatino Linotype"/>
          <w:color w:val="auto"/>
        </w:rPr>
        <w:t xml:space="preserve">De la misma manera, el Criterio </w:t>
      </w:r>
      <w:r w:rsidR="00FC7B26" w:rsidRPr="00B4543B">
        <w:rPr>
          <w:rFonts w:eastAsia="Palatino Linotype" w:cs="Palatino Linotype"/>
          <w:color w:val="auto"/>
        </w:rPr>
        <w:t>Orientador</w:t>
      </w:r>
      <w:r w:rsidRPr="00B4543B">
        <w:rPr>
          <w:rFonts w:eastAsia="Palatino Linotype" w:cs="Palatino Linotype"/>
          <w:color w:val="auto"/>
        </w:rPr>
        <w:t xml:space="preserve"> con clave de registro SO/007/2017, de la Segunda Época, emitido por el Instituto Nacional de Transparencia, Acceso a la Información y Protección de Datos Personales,</w:t>
      </w:r>
      <w:r w:rsidR="001B11C5" w:rsidRPr="00B4543B">
        <w:rPr>
          <w:rFonts w:eastAsia="Palatino Linotype" w:cs="Palatino Linotype"/>
          <w:color w:val="auto"/>
        </w:rPr>
        <w:t xml:space="preserve"> vigente a la fecha de la solicitud,</w:t>
      </w:r>
      <w:r w:rsidRPr="00B4543B">
        <w:rPr>
          <w:rFonts w:eastAsia="Palatino Linotype" w:cs="Palatino Linotype"/>
          <w:color w:val="auto"/>
        </w:rPr>
        <w:t xml:space="preserve">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2824E3F7" w14:textId="77777777" w:rsidR="005E36FD" w:rsidRPr="00B4543B" w:rsidRDefault="005E36FD" w:rsidP="003A7EB9">
      <w:pPr>
        <w:spacing w:after="0" w:line="360" w:lineRule="auto"/>
      </w:pPr>
    </w:p>
    <w:p w14:paraId="2C572BBC" w14:textId="77777777" w:rsidR="00565DC9" w:rsidRPr="00B4543B" w:rsidRDefault="00565DC9" w:rsidP="00565DC9">
      <w:pPr>
        <w:spacing w:after="0" w:line="360" w:lineRule="auto"/>
      </w:pPr>
      <w:r w:rsidRPr="00B4543B">
        <w:t>Al respecto, dicho criterio aplica al caso en concreto, ya que, no se localizó algún indicio de</w:t>
      </w:r>
    </w:p>
    <w:p w14:paraId="321E0022" w14:textId="6B29A8E3" w:rsidR="00565DC9" w:rsidRPr="00B4543B" w:rsidRDefault="00565DC9" w:rsidP="00565DC9">
      <w:pPr>
        <w:spacing w:after="0" w:line="360" w:lineRule="auto"/>
      </w:pPr>
      <w:r w:rsidRPr="00B4543B">
        <w:t xml:space="preserve">que el Sujeto Obligado contará con información solicitada, por lo cual, se considera que el Sujeto Obligado desde respuesta, señaló las razones por las cuales no contaba con lo requerido y cumplió con el segundo párrafo, del artículo 19 de la Ley de Transparencia y Acceso a la Información Pública del Estado de México y Municipios, </w:t>
      </w:r>
      <w:bookmarkStart w:id="21" w:name="_Hlk193308297"/>
      <w:r w:rsidRPr="00B4543B">
        <w:t>por lo que, se considera que la impugnación que se dirime ha quedado sin materia.</w:t>
      </w:r>
    </w:p>
    <w:bookmarkEnd w:id="21"/>
    <w:p w14:paraId="3BECCA4A" w14:textId="77777777" w:rsidR="007C2AB0" w:rsidRPr="00B4543B" w:rsidRDefault="007C2AB0" w:rsidP="003A7EB9">
      <w:pPr>
        <w:spacing w:after="0" w:line="360" w:lineRule="auto"/>
      </w:pPr>
    </w:p>
    <w:p w14:paraId="117C57EE" w14:textId="774818F1" w:rsidR="007C2AB0" w:rsidRPr="00B4543B" w:rsidRDefault="00565DC9" w:rsidP="003A7EB9">
      <w:pPr>
        <w:spacing w:after="0" w:line="360" w:lineRule="auto"/>
        <w:rPr>
          <w:b/>
          <w:bCs/>
        </w:rPr>
      </w:pPr>
      <w:bookmarkStart w:id="22" w:name="_Hlk193308316"/>
      <w:r w:rsidRPr="00B4543B">
        <w:rPr>
          <w:b/>
          <w:bCs/>
        </w:rPr>
        <w:t>CUARTO. Decisión</w:t>
      </w:r>
    </w:p>
    <w:p w14:paraId="02AFDF45" w14:textId="77777777" w:rsidR="00565DC9" w:rsidRPr="00B4543B" w:rsidRDefault="00565DC9" w:rsidP="003A7EB9">
      <w:pPr>
        <w:spacing w:after="0" w:line="360" w:lineRule="auto"/>
      </w:pPr>
    </w:p>
    <w:p w14:paraId="19FE7A44" w14:textId="3ED168D7" w:rsidR="007C2AB0" w:rsidRPr="00B4543B" w:rsidRDefault="00565DC9" w:rsidP="003A7EB9">
      <w:pPr>
        <w:spacing w:after="0" w:line="360" w:lineRule="auto"/>
      </w:pPr>
      <w:r w:rsidRPr="00B4543B">
        <w:t xml:space="preserve">Con fundamento en lo dispuesto en el artículo 186, fracción I, de la Ley de Transparencia y Acceso a la Información Pública del Estado de México y Municipios, se considera procedente </w:t>
      </w:r>
      <w:r w:rsidRPr="00B4543B">
        <w:rPr>
          <w:b/>
          <w:bCs/>
        </w:rPr>
        <w:t>SOBRESEER</w:t>
      </w:r>
      <w:r w:rsidRPr="00B4543B">
        <w:t xml:space="preserve"> el Recurso de Revisión, en virtud de que se actualiza la hipótesis normativa prevista en la fracción III, del artículo 192, del citado ordenamiento legal.</w:t>
      </w:r>
    </w:p>
    <w:bookmarkEnd w:id="22"/>
    <w:p w14:paraId="2A0A92A1" w14:textId="77777777" w:rsidR="007C2AB0" w:rsidRPr="00B4543B" w:rsidRDefault="007C2AB0" w:rsidP="003A7EB9">
      <w:pPr>
        <w:spacing w:after="0" w:line="360" w:lineRule="auto"/>
      </w:pPr>
    </w:p>
    <w:p w14:paraId="30E3B41F" w14:textId="50B6E748" w:rsidR="00565DC9" w:rsidRPr="00B4543B" w:rsidRDefault="00565DC9" w:rsidP="003A7EB9">
      <w:pPr>
        <w:spacing w:after="0" w:line="360" w:lineRule="auto"/>
        <w:rPr>
          <w:b/>
          <w:bCs/>
        </w:rPr>
      </w:pPr>
      <w:r w:rsidRPr="00B4543B">
        <w:rPr>
          <w:b/>
          <w:bCs/>
        </w:rPr>
        <w:lastRenderedPageBreak/>
        <w:t>Términos de la Resolución para conocimiento del Particular</w:t>
      </w:r>
    </w:p>
    <w:p w14:paraId="53E3CEC3" w14:textId="77777777" w:rsidR="00565DC9" w:rsidRPr="00B4543B" w:rsidRDefault="00565DC9" w:rsidP="003A7EB9">
      <w:pPr>
        <w:spacing w:after="0" w:line="360" w:lineRule="auto"/>
      </w:pPr>
    </w:p>
    <w:p w14:paraId="7623E422" w14:textId="532F4130" w:rsidR="00426D57" w:rsidRPr="00B4543B" w:rsidRDefault="00565DC9" w:rsidP="00081795">
      <w:pPr>
        <w:spacing w:after="0" w:line="360" w:lineRule="auto"/>
        <w:rPr>
          <w:rFonts w:eastAsia="Calibri" w:cs="Tahoma"/>
          <w:bCs/>
          <w:iCs/>
          <w:color w:val="auto"/>
          <w:lang w:eastAsia="es-ES"/>
        </w:rPr>
      </w:pPr>
      <w:bookmarkStart w:id="23" w:name="_Hlk193308328"/>
      <w:r w:rsidRPr="00B4543B">
        <w:t xml:space="preserve">Se le hace del conocimiento al Particular, que si bien, en el presente caso se le daba la razón pues el Sujeto Obligado no le proporcionó la información solicitada, no </w:t>
      </w:r>
      <w:r w:rsidR="00AB3C9C" w:rsidRPr="00B4543B">
        <w:t>obstante, durante</w:t>
      </w:r>
      <w:r w:rsidRPr="00B4543B">
        <w:t xml:space="preserve"> la sustanciación el Ente Recurrido</w:t>
      </w:r>
      <w:r w:rsidR="00AB3C9C" w:rsidRPr="00B4543B">
        <w:t xml:space="preserve"> colmo el requerimiento informativo</w:t>
      </w:r>
      <w:r w:rsidR="00081795" w:rsidRPr="00B4543B">
        <w:t xml:space="preserve">, al señalar que no obraba la información en sus archivos. </w:t>
      </w:r>
      <w:r w:rsidR="00426D57" w:rsidRPr="00B4543B">
        <w:rPr>
          <w:rFonts w:eastAsia="Calibri" w:cs="Tahoma"/>
          <w:bCs/>
          <w:iCs/>
          <w:color w:val="auto"/>
          <w:lang w:eastAsia="es-E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bookmarkEnd w:id="23"/>
    <w:p w14:paraId="59F3F087" w14:textId="77777777" w:rsidR="00426D57" w:rsidRPr="00B4543B" w:rsidRDefault="00426D57" w:rsidP="00F71A2A">
      <w:pPr>
        <w:spacing w:after="0" w:line="360" w:lineRule="auto"/>
        <w:rPr>
          <w:rFonts w:eastAsia="Calibri" w:cs="Times New Roman"/>
          <w:color w:val="auto"/>
        </w:rPr>
      </w:pPr>
    </w:p>
    <w:p w14:paraId="7E5F457A" w14:textId="77777777" w:rsidR="00426D57" w:rsidRPr="00B4543B" w:rsidRDefault="00426D57" w:rsidP="00F71A2A">
      <w:pPr>
        <w:spacing w:after="0" w:line="360" w:lineRule="auto"/>
        <w:rPr>
          <w:rFonts w:eastAsia="Times New Roman" w:cs="Tahoma"/>
          <w:bCs/>
          <w:iCs/>
          <w:color w:val="auto"/>
          <w:lang w:eastAsia="es-ES"/>
        </w:rPr>
      </w:pPr>
      <w:r w:rsidRPr="00B4543B">
        <w:rPr>
          <w:rFonts w:eastAsia="Times New Roman" w:cs="Tahoma"/>
          <w:bCs/>
          <w:iCs/>
          <w:color w:val="auto"/>
          <w:lang w:eastAsia="es-ES"/>
        </w:rPr>
        <w:t>Por lo expuesto y fundado, este Pleno:</w:t>
      </w:r>
    </w:p>
    <w:p w14:paraId="1950A4FE" w14:textId="145680F6" w:rsidR="00C50842" w:rsidRPr="00B4543B" w:rsidRDefault="00C50842" w:rsidP="00F71A2A">
      <w:pPr>
        <w:spacing w:after="0" w:line="360" w:lineRule="auto"/>
        <w:rPr>
          <w:color w:val="auto"/>
        </w:rPr>
      </w:pPr>
    </w:p>
    <w:p w14:paraId="19BBE26B" w14:textId="11C9429E" w:rsidR="00982A62" w:rsidRPr="00B4543B" w:rsidRDefault="00982A62" w:rsidP="00F71A2A">
      <w:pPr>
        <w:pStyle w:val="Ttulo1"/>
        <w:spacing w:before="0" w:line="360" w:lineRule="auto"/>
        <w:jc w:val="center"/>
        <w:rPr>
          <w:rFonts w:ascii="Palatino Linotype" w:hAnsi="Palatino Linotype"/>
          <w:b/>
          <w:color w:val="auto"/>
          <w:sz w:val="22"/>
          <w:szCs w:val="22"/>
        </w:rPr>
      </w:pPr>
      <w:bookmarkStart w:id="24" w:name="_Toc193969465"/>
      <w:r w:rsidRPr="00B4543B">
        <w:rPr>
          <w:rFonts w:ascii="Palatino Linotype" w:hAnsi="Palatino Linotype"/>
          <w:b/>
          <w:color w:val="auto"/>
          <w:sz w:val="22"/>
          <w:szCs w:val="22"/>
        </w:rPr>
        <w:t>R E S U E L V E</w:t>
      </w:r>
      <w:bookmarkEnd w:id="24"/>
    </w:p>
    <w:p w14:paraId="710D4FDB" w14:textId="77777777" w:rsidR="00982A62" w:rsidRPr="00B4543B" w:rsidRDefault="00982A62" w:rsidP="00F71A2A">
      <w:pPr>
        <w:spacing w:after="0" w:line="360" w:lineRule="auto"/>
        <w:rPr>
          <w:b/>
          <w:color w:val="FF0000"/>
        </w:rPr>
      </w:pPr>
    </w:p>
    <w:p w14:paraId="3CBD6332" w14:textId="22DD6415" w:rsidR="00AB3C9C" w:rsidRPr="00B4543B" w:rsidRDefault="00DD2BEB" w:rsidP="00F71A2A">
      <w:pPr>
        <w:spacing w:after="0" w:line="360" w:lineRule="auto"/>
      </w:pPr>
      <w:bookmarkStart w:id="25" w:name="_Hlk193308358"/>
      <w:r w:rsidRPr="00B4543B">
        <w:rPr>
          <w:b/>
          <w:bCs/>
          <w:color w:val="auto"/>
        </w:rPr>
        <w:t>PRIMERO.</w:t>
      </w:r>
      <w:r w:rsidRPr="00B4543B">
        <w:rPr>
          <w:color w:val="auto"/>
        </w:rPr>
        <w:t xml:space="preserve"> </w:t>
      </w:r>
      <w:r w:rsidR="00E4519C" w:rsidRPr="00B4543B">
        <w:rPr>
          <w:color w:val="auto"/>
        </w:rPr>
        <w:t xml:space="preserve">Se </w:t>
      </w:r>
      <w:r w:rsidR="00E4519C" w:rsidRPr="00B4543B">
        <w:rPr>
          <w:b/>
          <w:bCs/>
          <w:color w:val="auto"/>
        </w:rPr>
        <w:t xml:space="preserve">SOBRESEE </w:t>
      </w:r>
      <w:r w:rsidR="00E4519C" w:rsidRPr="00B4543B">
        <w:rPr>
          <w:color w:val="auto"/>
        </w:rPr>
        <w:t xml:space="preserve">el Recurso de Revisión número 01561/INFOEM/IP/RR/2025, en términos del artículo 192, fracción III, de la Ley de Transparencia y Acceso a la Información Pública del Estado de México y Municipios, porque el Sujeto Obligado al modificar la </w:t>
      </w:r>
      <w:r w:rsidR="00E4519C" w:rsidRPr="00B4543B">
        <w:t>respuesta de la solicitud de acceso a la información, con número de folio</w:t>
      </w:r>
      <w:r w:rsidR="00E4519C" w:rsidRPr="00B4543B">
        <w:rPr>
          <w:rFonts w:ascii="Arial" w:hAnsi="Arial" w:cs="Arial"/>
          <w:b/>
          <w:bCs/>
          <w:color w:val="333333"/>
          <w:sz w:val="15"/>
          <w:szCs w:val="15"/>
        </w:rPr>
        <w:t xml:space="preserve"> </w:t>
      </w:r>
      <w:r w:rsidR="00E4519C" w:rsidRPr="00B4543B">
        <w:t>00096/CALIMAYA/IP/2025, el Medio de Impugnación quedó sin materia, en términos de los Considerandos TERCERO y CUARTO de la presente Resolución.</w:t>
      </w:r>
    </w:p>
    <w:bookmarkEnd w:id="25"/>
    <w:p w14:paraId="53764BA0" w14:textId="77777777" w:rsidR="00AB3C9C" w:rsidRPr="00B4543B" w:rsidRDefault="00AB3C9C" w:rsidP="00F71A2A">
      <w:pPr>
        <w:spacing w:after="0" w:line="360" w:lineRule="auto"/>
        <w:rPr>
          <w:color w:val="FF0000"/>
        </w:rPr>
      </w:pPr>
    </w:p>
    <w:p w14:paraId="417A9B86" w14:textId="61AE19C1" w:rsidR="00AB3C9C" w:rsidRPr="00B4543B" w:rsidRDefault="00E4519C" w:rsidP="00F71A2A">
      <w:pPr>
        <w:spacing w:after="0" w:line="360" w:lineRule="auto"/>
        <w:rPr>
          <w:color w:val="FF0000"/>
        </w:rPr>
      </w:pPr>
      <w:r w:rsidRPr="00B4543B">
        <w:rPr>
          <w:b/>
          <w:bCs/>
          <w:color w:val="auto"/>
        </w:rPr>
        <w:t>SEGUNDO. NOTIFÍQUESE</w:t>
      </w:r>
      <w:r w:rsidRPr="00B4543B">
        <w:rPr>
          <w:b/>
          <w:bCs/>
        </w:rPr>
        <w:t xml:space="preserve"> POR SAIMEX</w:t>
      </w:r>
      <w:r w:rsidRPr="00B4543B">
        <w:t xml:space="preserve"> la presente Resolución al Titular de la Unidad de Transparencia del Ayuntamiento de Calimaya.</w:t>
      </w:r>
    </w:p>
    <w:p w14:paraId="18DCF1E7" w14:textId="77777777" w:rsidR="008E44AC" w:rsidRPr="00B4543B" w:rsidRDefault="008E44AC" w:rsidP="00F71A2A">
      <w:pPr>
        <w:spacing w:after="0" w:line="360" w:lineRule="auto"/>
        <w:rPr>
          <w:color w:val="FF0000"/>
          <w:lang w:eastAsia="es-MX"/>
        </w:rPr>
      </w:pPr>
    </w:p>
    <w:p w14:paraId="6F38D9AC" w14:textId="3C98BEE5" w:rsidR="008E44AC" w:rsidRPr="00B4543B" w:rsidRDefault="008F5E3D" w:rsidP="00F71A2A">
      <w:pPr>
        <w:spacing w:after="0" w:line="360" w:lineRule="auto"/>
        <w:contextualSpacing/>
        <w:rPr>
          <w:color w:val="auto"/>
        </w:rPr>
      </w:pPr>
      <w:r w:rsidRPr="00B4543B">
        <w:rPr>
          <w:b/>
          <w:bCs/>
          <w:color w:val="auto"/>
        </w:rPr>
        <w:t>TERCERO</w:t>
      </w:r>
      <w:r w:rsidR="008E44AC" w:rsidRPr="00B4543B">
        <w:rPr>
          <w:b/>
          <w:bCs/>
          <w:color w:val="auto"/>
        </w:rPr>
        <w:t xml:space="preserve">. </w:t>
      </w:r>
      <w:r w:rsidR="008E44AC" w:rsidRPr="00B4543B">
        <w:rPr>
          <w:b/>
          <w:color w:val="auto"/>
          <w:lang w:eastAsia="es-MX"/>
        </w:rPr>
        <w:t>NOTIFÍQUESE POR SAIMEX</w:t>
      </w:r>
      <w:r w:rsidR="008E44AC" w:rsidRPr="00B4543B">
        <w:rPr>
          <w:color w:val="auto"/>
        </w:rPr>
        <w:t xml:space="preserve"> a la persona Recurrente la presente Resolución, asimismo, se hace de su conocimiento que de conformidad con lo establecido en el artículo </w:t>
      </w:r>
      <w:r w:rsidR="008E44AC" w:rsidRPr="00B4543B">
        <w:rPr>
          <w:color w:val="auto"/>
        </w:rPr>
        <w:lastRenderedPageBreak/>
        <w:t xml:space="preserve">196 de la Ley de Transparencia y Acceso a la Información Pública del Estado de México y Municipios, podrá promover el Juicio de Amparo en los términos de las leyes aplicables. </w:t>
      </w:r>
    </w:p>
    <w:p w14:paraId="73038282" w14:textId="77777777" w:rsidR="008E44AC" w:rsidRPr="00B4543B" w:rsidRDefault="008E44AC" w:rsidP="00F71A2A">
      <w:pPr>
        <w:spacing w:after="0" w:line="360" w:lineRule="auto"/>
        <w:rPr>
          <w:rFonts w:eastAsia="Calibri" w:cs="Tahoma"/>
          <w:bCs/>
          <w:color w:val="auto"/>
        </w:rPr>
      </w:pPr>
    </w:p>
    <w:p w14:paraId="68B2AC23" w14:textId="06A7EBB4" w:rsidR="008E44AC" w:rsidRPr="00E4519C" w:rsidRDefault="008E44AC" w:rsidP="00F71A2A">
      <w:pPr>
        <w:spacing w:after="0" w:line="360" w:lineRule="auto"/>
        <w:rPr>
          <w:rFonts w:eastAsia="Calibri" w:cs="Tahoma"/>
          <w:bCs/>
          <w:color w:val="auto"/>
        </w:rPr>
      </w:pPr>
      <w:r w:rsidRPr="00B4543B">
        <w:rPr>
          <w:rFonts w:eastAsia="Calibri" w:cs="Tahoma"/>
          <w:bCs/>
          <w:color w:val="auto"/>
        </w:rPr>
        <w:t xml:space="preserve">ASÍ LO RESUELVE, POR </w:t>
      </w:r>
      <w:r w:rsidRPr="00B4543B">
        <w:rPr>
          <w:rFonts w:eastAsia="Calibri" w:cs="Tahoma"/>
          <w:b/>
          <w:color w:val="auto"/>
        </w:rPr>
        <w:t>UNANIMIDAD</w:t>
      </w:r>
      <w:r w:rsidRPr="00B4543B">
        <w:rPr>
          <w:rFonts w:eastAsia="Calibri" w:cs="Tahoma"/>
          <w:b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4519C" w:rsidRPr="00B4543B">
        <w:rPr>
          <w:rFonts w:eastAsia="Calibri" w:cs="Tahoma"/>
          <w:bCs/>
          <w:color w:val="auto"/>
        </w:rPr>
        <w:t>DÉCIMA</w:t>
      </w:r>
      <w:r w:rsidR="000A20E6" w:rsidRPr="00B4543B">
        <w:rPr>
          <w:rFonts w:eastAsia="Calibri" w:cs="Tahoma"/>
          <w:bCs/>
          <w:color w:val="auto"/>
        </w:rPr>
        <w:t xml:space="preserve"> PRIMERA </w:t>
      </w:r>
      <w:r w:rsidRPr="00B4543B">
        <w:rPr>
          <w:rFonts w:eastAsia="Calibri" w:cs="Tahoma"/>
          <w:bCs/>
          <w:color w:val="auto"/>
        </w:rPr>
        <w:t xml:space="preserve"> SESIÓN ORDINARIA, CELEBRADA EL </w:t>
      </w:r>
      <w:r w:rsidR="000A20E6" w:rsidRPr="00B4543B">
        <w:rPr>
          <w:rFonts w:eastAsia="Calibri" w:cs="Tahoma"/>
          <w:bCs/>
          <w:color w:val="auto"/>
        </w:rPr>
        <w:t>VEINTISÉIS</w:t>
      </w:r>
      <w:r w:rsidR="00E4519C" w:rsidRPr="00B4543B">
        <w:rPr>
          <w:rFonts w:eastAsia="Calibri" w:cs="Tahoma"/>
          <w:bCs/>
          <w:color w:val="auto"/>
        </w:rPr>
        <w:t xml:space="preserve"> </w:t>
      </w:r>
      <w:r w:rsidRPr="00B4543B">
        <w:rPr>
          <w:rFonts w:eastAsia="Calibri" w:cs="Tahoma"/>
          <w:bCs/>
          <w:color w:val="auto"/>
        </w:rPr>
        <w:t>DE MARZO DE DOS MIL VEINTICINCO, ANTE EL SECRETARIO TÉCNICO DEL PLENO, ALEXIS TAPIA RAMÍREZ.</w:t>
      </w:r>
    </w:p>
    <w:p w14:paraId="7C77392C" w14:textId="77777777" w:rsidR="008E44AC" w:rsidRPr="007963A0" w:rsidRDefault="008E44AC" w:rsidP="00F71A2A">
      <w:pPr>
        <w:spacing w:after="0" w:line="360" w:lineRule="auto"/>
        <w:rPr>
          <w:color w:val="FF0000"/>
        </w:rPr>
      </w:pPr>
    </w:p>
    <w:p w14:paraId="37E4753E" w14:textId="77777777" w:rsidR="00B950C7" w:rsidRPr="007963A0" w:rsidRDefault="00B950C7" w:rsidP="00F71A2A">
      <w:pPr>
        <w:spacing w:after="0" w:line="360" w:lineRule="auto"/>
        <w:rPr>
          <w:color w:val="FF0000"/>
        </w:rPr>
      </w:pPr>
    </w:p>
    <w:p w14:paraId="52729ACC" w14:textId="77777777" w:rsidR="00B950C7" w:rsidRPr="007963A0" w:rsidRDefault="00B950C7" w:rsidP="00F71A2A">
      <w:pPr>
        <w:spacing w:after="0" w:line="360" w:lineRule="auto"/>
        <w:rPr>
          <w:color w:val="FF0000"/>
        </w:rPr>
      </w:pPr>
    </w:p>
    <w:p w14:paraId="11A964B2" w14:textId="77777777" w:rsidR="00B950C7" w:rsidRPr="007963A0" w:rsidRDefault="00B950C7" w:rsidP="00F71A2A">
      <w:pPr>
        <w:spacing w:after="0" w:line="360" w:lineRule="auto"/>
        <w:rPr>
          <w:color w:val="FF0000"/>
        </w:rPr>
      </w:pPr>
    </w:p>
    <w:p w14:paraId="2A88B950" w14:textId="77777777" w:rsidR="00B950C7" w:rsidRPr="007963A0" w:rsidRDefault="00B950C7" w:rsidP="00F71A2A">
      <w:pPr>
        <w:spacing w:after="0" w:line="360" w:lineRule="auto"/>
        <w:rPr>
          <w:color w:val="FF0000"/>
        </w:rPr>
      </w:pPr>
    </w:p>
    <w:p w14:paraId="5A39F1D3" w14:textId="77777777" w:rsidR="00B950C7" w:rsidRPr="007963A0" w:rsidRDefault="00B950C7" w:rsidP="00F71A2A">
      <w:pPr>
        <w:spacing w:after="0" w:line="360" w:lineRule="auto"/>
        <w:rPr>
          <w:color w:val="FF0000"/>
        </w:rPr>
      </w:pPr>
    </w:p>
    <w:p w14:paraId="7BFF1B98" w14:textId="77777777" w:rsidR="00B950C7" w:rsidRPr="007963A0" w:rsidRDefault="00B950C7" w:rsidP="00F71A2A">
      <w:pPr>
        <w:spacing w:after="0" w:line="360" w:lineRule="auto"/>
        <w:rPr>
          <w:color w:val="FF0000"/>
        </w:rPr>
      </w:pPr>
    </w:p>
    <w:p w14:paraId="04D27E4C" w14:textId="77777777" w:rsidR="00B950C7" w:rsidRPr="007963A0" w:rsidRDefault="00B950C7" w:rsidP="00F71A2A">
      <w:pPr>
        <w:spacing w:after="0" w:line="360" w:lineRule="auto"/>
        <w:rPr>
          <w:color w:val="FF0000"/>
        </w:rPr>
      </w:pPr>
    </w:p>
    <w:p w14:paraId="53673748" w14:textId="77777777" w:rsidR="00B950C7" w:rsidRPr="007963A0" w:rsidRDefault="00B950C7" w:rsidP="00F71A2A">
      <w:pPr>
        <w:spacing w:after="0" w:line="360" w:lineRule="auto"/>
        <w:rPr>
          <w:color w:val="FF0000"/>
        </w:rPr>
      </w:pPr>
    </w:p>
    <w:p w14:paraId="39C0A2AB" w14:textId="77777777" w:rsidR="00B950C7" w:rsidRPr="007963A0" w:rsidRDefault="00B950C7" w:rsidP="00F71A2A">
      <w:pPr>
        <w:spacing w:after="0" w:line="360" w:lineRule="auto"/>
        <w:rPr>
          <w:color w:val="FF0000"/>
        </w:rPr>
      </w:pPr>
    </w:p>
    <w:p w14:paraId="2E2D47F9" w14:textId="77777777" w:rsidR="00B950C7" w:rsidRPr="007963A0" w:rsidRDefault="00B950C7" w:rsidP="00F71A2A">
      <w:pPr>
        <w:spacing w:after="0" w:line="360" w:lineRule="auto"/>
        <w:rPr>
          <w:color w:val="FF0000"/>
        </w:rPr>
      </w:pPr>
    </w:p>
    <w:p w14:paraId="1A2EEABC" w14:textId="77777777" w:rsidR="00B950C7" w:rsidRPr="007963A0" w:rsidRDefault="00B950C7" w:rsidP="00F71A2A">
      <w:pPr>
        <w:spacing w:after="0" w:line="360" w:lineRule="auto"/>
        <w:rPr>
          <w:color w:val="FF0000"/>
        </w:rPr>
      </w:pPr>
    </w:p>
    <w:p w14:paraId="14EFE885" w14:textId="77777777" w:rsidR="00B950C7" w:rsidRDefault="00B950C7" w:rsidP="00F71A2A">
      <w:pPr>
        <w:spacing w:after="0" w:line="360" w:lineRule="auto"/>
        <w:rPr>
          <w:color w:val="FF0000"/>
        </w:rPr>
      </w:pPr>
    </w:p>
    <w:p w14:paraId="1505B92E" w14:textId="77777777" w:rsidR="00B4543B" w:rsidRDefault="00B4543B" w:rsidP="00F71A2A">
      <w:pPr>
        <w:spacing w:after="0" w:line="360" w:lineRule="auto"/>
        <w:rPr>
          <w:color w:val="FF0000"/>
        </w:rPr>
      </w:pPr>
    </w:p>
    <w:p w14:paraId="179DD894" w14:textId="77777777" w:rsidR="00B4543B" w:rsidRDefault="00B4543B" w:rsidP="00F71A2A">
      <w:pPr>
        <w:spacing w:after="0" w:line="360" w:lineRule="auto"/>
        <w:rPr>
          <w:color w:val="FF0000"/>
        </w:rPr>
      </w:pPr>
    </w:p>
    <w:p w14:paraId="1D8A6874" w14:textId="77777777" w:rsidR="00B4543B" w:rsidRPr="007963A0" w:rsidRDefault="00B4543B" w:rsidP="00F71A2A">
      <w:pPr>
        <w:spacing w:after="0" w:line="360" w:lineRule="auto"/>
        <w:rPr>
          <w:color w:val="FF0000"/>
        </w:rPr>
      </w:pPr>
    </w:p>
    <w:sectPr w:rsidR="00B4543B" w:rsidRPr="007963A0" w:rsidSect="009B3229">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6B957" w14:textId="77777777" w:rsidR="00910C14" w:rsidRDefault="00910C14" w:rsidP="00EC77D9">
      <w:pPr>
        <w:spacing w:after="0" w:line="240" w:lineRule="auto"/>
      </w:pPr>
      <w:r>
        <w:separator/>
      </w:r>
    </w:p>
  </w:endnote>
  <w:endnote w:type="continuationSeparator" w:id="0">
    <w:p w14:paraId="47D53FBB" w14:textId="77777777" w:rsidR="00910C14" w:rsidRDefault="00910C14"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38413D" w:rsidRDefault="0038413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68AB">
              <w:rPr>
                <w:b/>
                <w:bCs/>
                <w:noProof/>
              </w:rPr>
              <w:t>19</w:t>
            </w:r>
            <w:r>
              <w:rPr>
                <w:b/>
                <w:bCs/>
                <w:sz w:val="24"/>
                <w:szCs w:val="24"/>
              </w:rPr>
              <w:fldChar w:fldCharType="end"/>
            </w:r>
          </w:p>
        </w:sdtContent>
      </w:sdt>
    </w:sdtContent>
  </w:sdt>
  <w:p w14:paraId="16BDDDFD" w14:textId="77777777" w:rsidR="0038413D" w:rsidRDefault="003841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38413D" w:rsidRDefault="0038413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41F1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41F13">
              <w:rPr>
                <w:b/>
                <w:bCs/>
                <w:noProof/>
              </w:rPr>
              <w:t>19</w:t>
            </w:r>
            <w:r>
              <w:rPr>
                <w:b/>
                <w:bCs/>
                <w:sz w:val="24"/>
                <w:szCs w:val="24"/>
              </w:rPr>
              <w:fldChar w:fldCharType="end"/>
            </w:r>
          </w:p>
        </w:sdtContent>
      </w:sdt>
    </w:sdtContent>
  </w:sdt>
  <w:p w14:paraId="480CB874" w14:textId="77777777" w:rsidR="0038413D" w:rsidRDefault="003841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38413D" w:rsidRDefault="0038413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D0B5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D0B56">
              <w:rPr>
                <w:b/>
                <w:bCs/>
                <w:noProof/>
              </w:rPr>
              <w:t>19</w:t>
            </w:r>
            <w:r>
              <w:rPr>
                <w:b/>
                <w:bCs/>
                <w:sz w:val="24"/>
                <w:szCs w:val="24"/>
              </w:rPr>
              <w:fldChar w:fldCharType="end"/>
            </w:r>
          </w:p>
        </w:sdtContent>
      </w:sdt>
    </w:sdtContent>
  </w:sdt>
  <w:p w14:paraId="604FB1E6" w14:textId="77777777" w:rsidR="0038413D" w:rsidRDefault="003841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3C21" w14:textId="77777777" w:rsidR="00910C14" w:rsidRDefault="00910C14" w:rsidP="00EC77D9">
      <w:pPr>
        <w:spacing w:after="0" w:line="240" w:lineRule="auto"/>
      </w:pPr>
      <w:r>
        <w:separator/>
      </w:r>
    </w:p>
  </w:footnote>
  <w:footnote w:type="continuationSeparator" w:id="0">
    <w:p w14:paraId="7FC5AA96" w14:textId="77777777" w:rsidR="00910C14" w:rsidRDefault="00910C14"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38413D" w:rsidRPr="00E152D8" w14:paraId="4A0009A6" w14:textId="77777777" w:rsidTr="00F34E0A">
      <w:trPr>
        <w:trHeight w:val="132"/>
      </w:trPr>
      <w:tc>
        <w:tcPr>
          <w:tcW w:w="2691" w:type="dxa"/>
        </w:tcPr>
        <w:p w14:paraId="76E98208" w14:textId="77777777" w:rsidR="0038413D" w:rsidRPr="00E152D8" w:rsidRDefault="0038413D" w:rsidP="00F34E0A">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38413D" w:rsidRPr="00EE1572" w:rsidRDefault="0038413D" w:rsidP="00F34E0A">
          <w:pPr>
            <w:tabs>
              <w:tab w:val="right" w:pos="8838"/>
            </w:tabs>
            <w:ind w:left="-28" w:right="-32"/>
            <w:rPr>
              <w:rFonts w:eastAsia="Calibri" w:cs="Tahoma"/>
            </w:rPr>
          </w:pPr>
          <w:r w:rsidRPr="00EE1572">
            <w:rPr>
              <w:rFonts w:eastAsia="Calibri" w:cs="Tahoma"/>
            </w:rPr>
            <w:t>03846/INFOEM/IP/RR/2020</w:t>
          </w:r>
        </w:p>
      </w:tc>
    </w:tr>
    <w:tr w:rsidR="0038413D" w:rsidRPr="00E152D8" w14:paraId="4AB4C711" w14:textId="77777777" w:rsidTr="00F34E0A">
      <w:trPr>
        <w:trHeight w:val="261"/>
      </w:trPr>
      <w:tc>
        <w:tcPr>
          <w:tcW w:w="2691" w:type="dxa"/>
        </w:tcPr>
        <w:p w14:paraId="7E7EF0C1" w14:textId="77777777" w:rsidR="0038413D" w:rsidRPr="00E152D8" w:rsidRDefault="0038413D"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38413D" w:rsidRPr="00EE1572" w:rsidRDefault="0038413D" w:rsidP="00F34E0A">
          <w:pPr>
            <w:tabs>
              <w:tab w:val="right" w:pos="8838"/>
            </w:tabs>
            <w:ind w:right="-32"/>
            <w:rPr>
              <w:rFonts w:eastAsia="Calibri" w:cs="Tahoma"/>
              <w:lang w:val="es-MX"/>
            </w:rPr>
          </w:pPr>
          <w:r>
            <w:rPr>
              <w:rFonts w:eastAsia="Calibri" w:cs="Tahoma"/>
              <w:lang w:val="es-MX"/>
            </w:rPr>
            <w:t>Ayuntamiento de Valle de Chalco Solidaridad</w:t>
          </w:r>
        </w:p>
      </w:tc>
    </w:tr>
    <w:tr w:rsidR="0038413D" w:rsidRPr="00E152D8" w14:paraId="4659C8A1" w14:textId="77777777" w:rsidTr="00F34E0A">
      <w:trPr>
        <w:trHeight w:val="261"/>
      </w:trPr>
      <w:tc>
        <w:tcPr>
          <w:tcW w:w="2691" w:type="dxa"/>
        </w:tcPr>
        <w:p w14:paraId="1445B823" w14:textId="77777777" w:rsidR="0038413D" w:rsidRPr="00E152D8" w:rsidRDefault="0038413D" w:rsidP="00F34E0A">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38413D" w:rsidRPr="00E152D8" w:rsidRDefault="0038413D" w:rsidP="00F34E0A">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38413D" w:rsidRDefault="00910C14">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9323" w14:textId="77777777" w:rsidR="0038413D" w:rsidRDefault="0038413D"/>
  <w:tbl>
    <w:tblPr>
      <w:tblStyle w:val="Tablaconcuadrcula"/>
      <w:tblW w:w="68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38413D" w:rsidRPr="00E152D8" w14:paraId="62A5EE36" w14:textId="77777777" w:rsidTr="003D0B51">
      <w:trPr>
        <w:trHeight w:val="138"/>
      </w:trPr>
      <w:tc>
        <w:tcPr>
          <w:tcW w:w="2401" w:type="dxa"/>
          <w:vAlign w:val="center"/>
        </w:tcPr>
        <w:p w14:paraId="028A99F9" w14:textId="77777777" w:rsidR="0038413D" w:rsidRPr="00E152D8" w:rsidRDefault="0038413D" w:rsidP="00F34E0A">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562E10AD" w:rsidR="0038413D" w:rsidRPr="00051642" w:rsidRDefault="0038413D" w:rsidP="00F34E0A">
          <w:pPr>
            <w:tabs>
              <w:tab w:val="right" w:pos="8838"/>
            </w:tabs>
            <w:ind w:right="-32"/>
            <w:rPr>
              <w:rFonts w:eastAsia="Calibri" w:cs="Tahoma"/>
            </w:rPr>
          </w:pPr>
          <w:r>
            <w:rPr>
              <w:lang w:val="es-MX"/>
            </w:rPr>
            <w:t>01561</w:t>
          </w:r>
          <w:r w:rsidRPr="00B92024">
            <w:rPr>
              <w:lang w:val="es-MX"/>
            </w:rPr>
            <w:t>/INFOEM/IP/RR/2025</w:t>
          </w:r>
        </w:p>
      </w:tc>
    </w:tr>
    <w:tr w:rsidR="0038413D" w:rsidRPr="00E152D8" w14:paraId="25EB3B4F" w14:textId="77777777" w:rsidTr="003D0B51">
      <w:trPr>
        <w:trHeight w:val="273"/>
      </w:trPr>
      <w:tc>
        <w:tcPr>
          <w:tcW w:w="2401" w:type="dxa"/>
        </w:tcPr>
        <w:p w14:paraId="12B07625" w14:textId="77777777" w:rsidR="0038413D" w:rsidRPr="00E152D8" w:rsidRDefault="0038413D"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34AD2A37" w:rsidR="0038413D" w:rsidRPr="00051642" w:rsidRDefault="0038413D" w:rsidP="008E1582">
          <w:pPr>
            <w:tabs>
              <w:tab w:val="right" w:pos="8838"/>
            </w:tabs>
            <w:ind w:left="-28" w:right="597"/>
            <w:rPr>
              <w:rFonts w:eastAsia="Calibri" w:cs="Tahoma"/>
              <w:lang w:val="es-MX"/>
            </w:rPr>
          </w:pPr>
          <w:r>
            <w:rPr>
              <w:lang w:val="es-MX"/>
            </w:rPr>
            <w:t>Ayuntamiento de Calimaya</w:t>
          </w:r>
        </w:p>
      </w:tc>
    </w:tr>
    <w:tr w:rsidR="0038413D" w:rsidRPr="00E152D8" w14:paraId="2B76E1FC" w14:textId="77777777" w:rsidTr="003D0B51">
      <w:trPr>
        <w:trHeight w:val="273"/>
      </w:trPr>
      <w:tc>
        <w:tcPr>
          <w:tcW w:w="2401" w:type="dxa"/>
        </w:tcPr>
        <w:p w14:paraId="4C4F10A1" w14:textId="77777777" w:rsidR="0038413D" w:rsidRPr="00E152D8" w:rsidRDefault="0038413D"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6CF89D6B" w14:textId="77777777" w:rsidR="0038413D" w:rsidRDefault="0038413D" w:rsidP="009E6F8A">
          <w:pPr>
            <w:tabs>
              <w:tab w:val="right" w:pos="8838"/>
            </w:tabs>
            <w:ind w:left="-28" w:right="-32"/>
            <w:rPr>
              <w:rFonts w:eastAsia="Calibri" w:cs="Tahoma"/>
              <w:lang w:val="es-MX"/>
            </w:rPr>
          </w:pPr>
          <w:r w:rsidRPr="00E152D8">
            <w:rPr>
              <w:rFonts w:eastAsia="Calibri" w:cs="Tahoma"/>
              <w:lang w:val="es-MX"/>
            </w:rPr>
            <w:t>Luis Gustavo Parra Noriega</w:t>
          </w:r>
        </w:p>
        <w:p w14:paraId="103DBC8B" w14:textId="77777777" w:rsidR="007E09EB" w:rsidRPr="00E152D8" w:rsidRDefault="007E09EB" w:rsidP="009E6F8A">
          <w:pPr>
            <w:tabs>
              <w:tab w:val="right" w:pos="8838"/>
            </w:tabs>
            <w:ind w:left="-28" w:right="-32"/>
            <w:rPr>
              <w:rFonts w:eastAsia="Calibri" w:cs="Tahoma"/>
              <w:b/>
              <w:lang w:val="es-MX"/>
            </w:rPr>
          </w:pPr>
        </w:p>
      </w:tc>
    </w:tr>
  </w:tbl>
  <w:p w14:paraId="0AC850F3" w14:textId="77777777" w:rsidR="0038413D" w:rsidRDefault="00910C14" w:rsidP="00F34E0A">
    <w:pPr>
      <w:pStyle w:val="Encabezado"/>
    </w:pPr>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4.6pt;margin-top:-122.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AD62" w14:textId="77777777" w:rsidR="0038413D" w:rsidRDefault="0038413D"/>
  <w:tbl>
    <w:tblPr>
      <w:tblStyle w:val="Tablaconcuadrcula"/>
      <w:tblW w:w="6950"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111"/>
      <w:gridCol w:w="429"/>
    </w:tblGrid>
    <w:tr w:rsidR="0038413D" w:rsidRPr="00E152D8" w14:paraId="03E85E0E" w14:textId="77777777" w:rsidTr="003D0B51">
      <w:trPr>
        <w:trHeight w:val="132"/>
      </w:trPr>
      <w:tc>
        <w:tcPr>
          <w:tcW w:w="2410" w:type="dxa"/>
        </w:tcPr>
        <w:p w14:paraId="67360501" w14:textId="1B94502D" w:rsidR="0038413D" w:rsidRPr="00E152D8" w:rsidRDefault="0038413D" w:rsidP="00F34E0A">
          <w:pPr>
            <w:tabs>
              <w:tab w:val="right" w:pos="8838"/>
            </w:tabs>
            <w:ind w:right="-105"/>
            <w:rPr>
              <w:rFonts w:eastAsia="Calibri" w:cs="Tahoma"/>
              <w:b/>
              <w:lang w:val="es-MX"/>
            </w:rPr>
          </w:pPr>
          <w:r>
            <w:rPr>
              <w:rFonts w:eastAsia="Calibri" w:cs="Tahoma"/>
              <w:b/>
              <w:lang w:val="es-MX"/>
            </w:rPr>
            <w:t>R</w:t>
          </w:r>
          <w:r w:rsidRPr="00E152D8">
            <w:rPr>
              <w:rFonts w:eastAsia="Calibri" w:cs="Tahoma"/>
              <w:b/>
              <w:lang w:val="es-MX"/>
            </w:rPr>
            <w:t>ecurso de Revisión:</w:t>
          </w:r>
        </w:p>
      </w:tc>
      <w:tc>
        <w:tcPr>
          <w:tcW w:w="4540" w:type="dxa"/>
          <w:gridSpan w:val="2"/>
        </w:tcPr>
        <w:p w14:paraId="1E6AD7E0" w14:textId="741D45CC" w:rsidR="0038413D" w:rsidRPr="00B92024" w:rsidRDefault="0038413D" w:rsidP="00B92024">
          <w:pPr>
            <w:rPr>
              <w:lang w:val="es-MX"/>
            </w:rPr>
          </w:pPr>
          <w:r w:rsidRPr="007963A0">
            <w:rPr>
              <w:lang w:val="es-MX"/>
            </w:rPr>
            <w:t>01561/INFOEM/IP/RR/2025</w:t>
          </w:r>
        </w:p>
      </w:tc>
    </w:tr>
    <w:tr w:rsidR="0038413D" w:rsidRPr="00E152D8" w14:paraId="5E1FE5FD" w14:textId="77777777" w:rsidTr="003D0B51">
      <w:trPr>
        <w:trHeight w:val="132"/>
      </w:trPr>
      <w:tc>
        <w:tcPr>
          <w:tcW w:w="2410" w:type="dxa"/>
        </w:tcPr>
        <w:p w14:paraId="046D02FA" w14:textId="77777777" w:rsidR="0038413D" w:rsidRPr="00E152D8" w:rsidRDefault="0038413D" w:rsidP="00F34E0A">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540" w:type="dxa"/>
          <w:gridSpan w:val="2"/>
        </w:tcPr>
        <w:p w14:paraId="6517D3A9" w14:textId="47AE90D2" w:rsidR="0038413D" w:rsidRPr="00E152D8" w:rsidRDefault="002D0B56" w:rsidP="007963A0">
          <w:pPr>
            <w:rPr>
              <w:rFonts w:eastAsia="Calibri" w:cs="Tahoma"/>
              <w:lang w:val="es-MX"/>
            </w:rPr>
          </w:pPr>
          <w:r w:rsidRPr="002D0B56">
            <w:rPr>
              <w:highlight w:val="black"/>
              <w:lang w:val="es-MX"/>
            </w:rPr>
            <w:t>XXXXXXXXXXXXXXX</w:t>
          </w:r>
        </w:p>
      </w:tc>
    </w:tr>
    <w:tr w:rsidR="0038413D" w:rsidRPr="00E152D8" w14:paraId="55B580D4" w14:textId="77777777" w:rsidTr="003D0B51">
      <w:trPr>
        <w:gridAfter w:val="1"/>
        <w:wAfter w:w="429" w:type="dxa"/>
        <w:trHeight w:val="261"/>
      </w:trPr>
      <w:tc>
        <w:tcPr>
          <w:tcW w:w="2410" w:type="dxa"/>
        </w:tcPr>
        <w:p w14:paraId="08C714D2" w14:textId="77777777" w:rsidR="0038413D" w:rsidRPr="00E152D8" w:rsidRDefault="0038413D" w:rsidP="00F34E0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111" w:type="dxa"/>
        </w:tcPr>
        <w:p w14:paraId="58768412" w14:textId="37B4EE5D" w:rsidR="0038413D" w:rsidRPr="00FD6846" w:rsidRDefault="0038413D" w:rsidP="009B3229">
          <w:r>
            <w:rPr>
              <w:lang w:val="es-MX"/>
            </w:rPr>
            <w:t>Ayuntamiento de Calimaya</w:t>
          </w:r>
        </w:p>
      </w:tc>
    </w:tr>
    <w:tr w:rsidR="0038413D" w:rsidRPr="00E152D8" w14:paraId="3EC166B6" w14:textId="77777777" w:rsidTr="003D0B51">
      <w:trPr>
        <w:trHeight w:val="261"/>
      </w:trPr>
      <w:tc>
        <w:tcPr>
          <w:tcW w:w="2410" w:type="dxa"/>
        </w:tcPr>
        <w:p w14:paraId="2F1C1A23" w14:textId="77777777" w:rsidR="0038413D" w:rsidRPr="00E152D8" w:rsidRDefault="0038413D" w:rsidP="00F34E0A">
          <w:pPr>
            <w:tabs>
              <w:tab w:val="right" w:pos="8838"/>
            </w:tabs>
            <w:ind w:right="-105"/>
            <w:rPr>
              <w:rFonts w:eastAsia="Calibri" w:cs="Tahoma"/>
              <w:b/>
              <w:lang w:val="es-MX"/>
            </w:rPr>
          </w:pPr>
          <w:r w:rsidRPr="00E152D8">
            <w:rPr>
              <w:rFonts w:eastAsia="Calibri" w:cs="Tahoma"/>
              <w:b/>
              <w:lang w:val="es-MX"/>
            </w:rPr>
            <w:t>Comisionado Ponente:</w:t>
          </w:r>
        </w:p>
      </w:tc>
      <w:tc>
        <w:tcPr>
          <w:tcW w:w="4540" w:type="dxa"/>
          <w:gridSpan w:val="2"/>
        </w:tcPr>
        <w:p w14:paraId="64237160" w14:textId="77777777" w:rsidR="0038413D" w:rsidRPr="00E152D8" w:rsidRDefault="0038413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38413D" w:rsidRDefault="00910C14" w:rsidP="00F34E0A">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15pt;margin-top:-124.2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37240"/>
    <w:multiLevelType w:val="hybridMultilevel"/>
    <w:tmpl w:val="C922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DF8"/>
    <w:multiLevelType w:val="hybridMultilevel"/>
    <w:tmpl w:val="FFFFFFFF"/>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062A08"/>
    <w:multiLevelType w:val="hybridMultilevel"/>
    <w:tmpl w:val="250A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BDB4C02"/>
    <w:multiLevelType w:val="hybridMultilevel"/>
    <w:tmpl w:val="3E72F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2CF1AB9"/>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7" w15:restartNumberingAfterBreak="0">
    <w:nsid w:val="28476355"/>
    <w:multiLevelType w:val="hybridMultilevel"/>
    <w:tmpl w:val="FC781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EE5BDA"/>
    <w:multiLevelType w:val="hybridMultilevel"/>
    <w:tmpl w:val="D6EEE37E"/>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C630747"/>
    <w:multiLevelType w:val="hybridMultilevel"/>
    <w:tmpl w:val="8AC2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12A450F"/>
    <w:multiLevelType w:val="hybridMultilevel"/>
    <w:tmpl w:val="3A508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CB6C86"/>
    <w:multiLevelType w:val="hybridMultilevel"/>
    <w:tmpl w:val="739A6E6A"/>
    <w:lvl w:ilvl="0" w:tplc="CBEA7664">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3" w15:restartNumberingAfterBreak="0">
    <w:nsid w:val="36854B3D"/>
    <w:multiLevelType w:val="hybridMultilevel"/>
    <w:tmpl w:val="6902FC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8153116"/>
    <w:multiLevelType w:val="hybridMultilevel"/>
    <w:tmpl w:val="D206B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EFF4574"/>
    <w:multiLevelType w:val="hybridMultilevel"/>
    <w:tmpl w:val="69160B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3E7094D"/>
    <w:multiLevelType w:val="hybridMultilevel"/>
    <w:tmpl w:val="358C97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44B1AB0"/>
    <w:multiLevelType w:val="hybridMultilevel"/>
    <w:tmpl w:val="2BEA2348"/>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35165A"/>
    <w:multiLevelType w:val="hybridMultilevel"/>
    <w:tmpl w:val="43825C1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707DA6"/>
    <w:multiLevelType w:val="hybridMultilevel"/>
    <w:tmpl w:val="3E4A0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1372AB"/>
    <w:multiLevelType w:val="hybridMultilevel"/>
    <w:tmpl w:val="97F4FF36"/>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C36226E"/>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370523"/>
    <w:multiLevelType w:val="hybridMultilevel"/>
    <w:tmpl w:val="9E9A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4159F6"/>
    <w:multiLevelType w:val="hybridMultilevel"/>
    <w:tmpl w:val="A83E0762"/>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CC7057"/>
    <w:multiLevelType w:val="hybridMultilevel"/>
    <w:tmpl w:val="13DEB03E"/>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7391B6B"/>
    <w:multiLevelType w:val="hybridMultilevel"/>
    <w:tmpl w:val="004CDC94"/>
    <w:lvl w:ilvl="0" w:tplc="911437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F7420"/>
    <w:multiLevelType w:val="hybridMultilevel"/>
    <w:tmpl w:val="6C1AC1B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5"/>
  </w:num>
  <w:num w:numId="2">
    <w:abstractNumId w:val="15"/>
  </w:num>
  <w:num w:numId="3">
    <w:abstractNumId w:val="11"/>
  </w:num>
  <w:num w:numId="4">
    <w:abstractNumId w:val="13"/>
  </w:num>
  <w:num w:numId="5">
    <w:abstractNumId w:val="1"/>
  </w:num>
  <w:num w:numId="6">
    <w:abstractNumId w:val="17"/>
  </w:num>
  <w:num w:numId="7">
    <w:abstractNumId w:val="26"/>
  </w:num>
  <w:num w:numId="8">
    <w:abstractNumId w:val="2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20"/>
  </w:num>
  <w:num w:numId="13">
    <w:abstractNumId w:val="19"/>
  </w:num>
  <w:num w:numId="14">
    <w:abstractNumId w:val="27"/>
  </w:num>
  <w:num w:numId="15">
    <w:abstractNumId w:val="21"/>
  </w:num>
  <w:num w:numId="16">
    <w:abstractNumId w:val="24"/>
  </w:num>
  <w:num w:numId="17">
    <w:abstractNumId w:val="23"/>
  </w:num>
  <w:num w:numId="18">
    <w:abstractNumId w:val="0"/>
  </w:num>
  <w:num w:numId="19">
    <w:abstractNumId w:val="2"/>
  </w:num>
  <w:num w:numId="20">
    <w:abstractNumId w:val="7"/>
  </w:num>
  <w:num w:numId="21">
    <w:abstractNumId w:val="1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3"/>
  </w:num>
  <w:num w:numId="26">
    <w:abstractNumId w:val="8"/>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12"/>
  </w:num>
  <w:num w:numId="29">
    <w:abstractNumId w:val="8"/>
  </w:num>
  <w:num w:numId="30">
    <w:abstractNumId w:val="28"/>
  </w:num>
  <w:num w:numId="31">
    <w:abstractNumId w:val="4"/>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5346"/>
    <w:rsid w:val="0001164A"/>
    <w:rsid w:val="000118C2"/>
    <w:rsid w:val="0001218F"/>
    <w:rsid w:val="00012400"/>
    <w:rsid w:val="00013F59"/>
    <w:rsid w:val="000144E2"/>
    <w:rsid w:val="000164E6"/>
    <w:rsid w:val="00016654"/>
    <w:rsid w:val="00020AB8"/>
    <w:rsid w:val="000355E1"/>
    <w:rsid w:val="0003749F"/>
    <w:rsid w:val="000374E9"/>
    <w:rsid w:val="0004033B"/>
    <w:rsid w:val="00047686"/>
    <w:rsid w:val="00051EE6"/>
    <w:rsid w:val="00054D31"/>
    <w:rsid w:val="00055ECC"/>
    <w:rsid w:val="00061DFC"/>
    <w:rsid w:val="00061E08"/>
    <w:rsid w:val="00063582"/>
    <w:rsid w:val="00064FFF"/>
    <w:rsid w:val="00066FDF"/>
    <w:rsid w:val="00070CB0"/>
    <w:rsid w:val="00071380"/>
    <w:rsid w:val="00077A6E"/>
    <w:rsid w:val="00077B14"/>
    <w:rsid w:val="00081795"/>
    <w:rsid w:val="00081C90"/>
    <w:rsid w:val="000823E5"/>
    <w:rsid w:val="00084522"/>
    <w:rsid w:val="00084933"/>
    <w:rsid w:val="00092121"/>
    <w:rsid w:val="0009234B"/>
    <w:rsid w:val="00094453"/>
    <w:rsid w:val="000964A3"/>
    <w:rsid w:val="00096C42"/>
    <w:rsid w:val="000A20E6"/>
    <w:rsid w:val="000A4685"/>
    <w:rsid w:val="000B1245"/>
    <w:rsid w:val="000B5550"/>
    <w:rsid w:val="000B5614"/>
    <w:rsid w:val="000B6867"/>
    <w:rsid w:val="000C006D"/>
    <w:rsid w:val="000C00CC"/>
    <w:rsid w:val="000C64B6"/>
    <w:rsid w:val="000D1D08"/>
    <w:rsid w:val="000D214C"/>
    <w:rsid w:val="000D30AB"/>
    <w:rsid w:val="000D3754"/>
    <w:rsid w:val="000D3D74"/>
    <w:rsid w:val="000D64A4"/>
    <w:rsid w:val="000E12E9"/>
    <w:rsid w:val="000F08D4"/>
    <w:rsid w:val="000F4364"/>
    <w:rsid w:val="000F5034"/>
    <w:rsid w:val="000F5705"/>
    <w:rsid w:val="000F62E3"/>
    <w:rsid w:val="000F6396"/>
    <w:rsid w:val="000F6C3B"/>
    <w:rsid w:val="000F7377"/>
    <w:rsid w:val="000F7477"/>
    <w:rsid w:val="000F7709"/>
    <w:rsid w:val="001049AC"/>
    <w:rsid w:val="00104B20"/>
    <w:rsid w:val="00107737"/>
    <w:rsid w:val="00107B16"/>
    <w:rsid w:val="001132A0"/>
    <w:rsid w:val="00120610"/>
    <w:rsid w:val="00122140"/>
    <w:rsid w:val="00123122"/>
    <w:rsid w:val="00127270"/>
    <w:rsid w:val="00132209"/>
    <w:rsid w:val="0013258E"/>
    <w:rsid w:val="001327F2"/>
    <w:rsid w:val="001448D9"/>
    <w:rsid w:val="00145F3D"/>
    <w:rsid w:val="00147AE5"/>
    <w:rsid w:val="00151BEF"/>
    <w:rsid w:val="00152DB9"/>
    <w:rsid w:val="001570AC"/>
    <w:rsid w:val="00157474"/>
    <w:rsid w:val="00160936"/>
    <w:rsid w:val="001613C8"/>
    <w:rsid w:val="00165240"/>
    <w:rsid w:val="00165CC4"/>
    <w:rsid w:val="00165FC7"/>
    <w:rsid w:val="001700C7"/>
    <w:rsid w:val="00172038"/>
    <w:rsid w:val="00173185"/>
    <w:rsid w:val="00173914"/>
    <w:rsid w:val="0017551B"/>
    <w:rsid w:val="001756F2"/>
    <w:rsid w:val="00180096"/>
    <w:rsid w:val="0018201A"/>
    <w:rsid w:val="00182C11"/>
    <w:rsid w:val="001855D3"/>
    <w:rsid w:val="00187BD6"/>
    <w:rsid w:val="00191FDE"/>
    <w:rsid w:val="001928BD"/>
    <w:rsid w:val="0019326B"/>
    <w:rsid w:val="001952CF"/>
    <w:rsid w:val="00196794"/>
    <w:rsid w:val="00197E2A"/>
    <w:rsid w:val="001A6395"/>
    <w:rsid w:val="001A7755"/>
    <w:rsid w:val="001B0790"/>
    <w:rsid w:val="001B11C5"/>
    <w:rsid w:val="001B223B"/>
    <w:rsid w:val="001B5FF7"/>
    <w:rsid w:val="001B6A39"/>
    <w:rsid w:val="001C21EE"/>
    <w:rsid w:val="001C2619"/>
    <w:rsid w:val="001C2EBC"/>
    <w:rsid w:val="001C45DE"/>
    <w:rsid w:val="001C62B4"/>
    <w:rsid w:val="001D0453"/>
    <w:rsid w:val="001D3031"/>
    <w:rsid w:val="001D70A9"/>
    <w:rsid w:val="001D7434"/>
    <w:rsid w:val="001E01FD"/>
    <w:rsid w:val="001E0CFE"/>
    <w:rsid w:val="001E1983"/>
    <w:rsid w:val="001E478B"/>
    <w:rsid w:val="001E50A6"/>
    <w:rsid w:val="001E5E4A"/>
    <w:rsid w:val="001E69B5"/>
    <w:rsid w:val="001F1688"/>
    <w:rsid w:val="001F1B13"/>
    <w:rsid w:val="001F55A5"/>
    <w:rsid w:val="001F560E"/>
    <w:rsid w:val="001F6AAF"/>
    <w:rsid w:val="001F78A9"/>
    <w:rsid w:val="0020058C"/>
    <w:rsid w:val="0020059A"/>
    <w:rsid w:val="002012C6"/>
    <w:rsid w:val="002031DD"/>
    <w:rsid w:val="002049A7"/>
    <w:rsid w:val="00206B4A"/>
    <w:rsid w:val="00207C6F"/>
    <w:rsid w:val="002142EE"/>
    <w:rsid w:val="00220B1D"/>
    <w:rsid w:val="002245BC"/>
    <w:rsid w:val="00232DCC"/>
    <w:rsid w:val="0024566F"/>
    <w:rsid w:val="002552D9"/>
    <w:rsid w:val="00255743"/>
    <w:rsid w:val="00255DE0"/>
    <w:rsid w:val="00265193"/>
    <w:rsid w:val="00265B53"/>
    <w:rsid w:val="00267134"/>
    <w:rsid w:val="00270575"/>
    <w:rsid w:val="002708CA"/>
    <w:rsid w:val="002711D3"/>
    <w:rsid w:val="00271B86"/>
    <w:rsid w:val="002736F9"/>
    <w:rsid w:val="00273BFF"/>
    <w:rsid w:val="002753AC"/>
    <w:rsid w:val="002762F3"/>
    <w:rsid w:val="002771B1"/>
    <w:rsid w:val="00281566"/>
    <w:rsid w:val="0028160B"/>
    <w:rsid w:val="0028211E"/>
    <w:rsid w:val="0029016A"/>
    <w:rsid w:val="002912C0"/>
    <w:rsid w:val="002918EC"/>
    <w:rsid w:val="00292591"/>
    <w:rsid w:val="002945EF"/>
    <w:rsid w:val="0029541E"/>
    <w:rsid w:val="0029791B"/>
    <w:rsid w:val="002A5660"/>
    <w:rsid w:val="002A68AB"/>
    <w:rsid w:val="002A6F8F"/>
    <w:rsid w:val="002A7380"/>
    <w:rsid w:val="002B2A85"/>
    <w:rsid w:val="002B2DFE"/>
    <w:rsid w:val="002B67F9"/>
    <w:rsid w:val="002D0B56"/>
    <w:rsid w:val="002D2283"/>
    <w:rsid w:val="002D4674"/>
    <w:rsid w:val="002E19CF"/>
    <w:rsid w:val="002E2365"/>
    <w:rsid w:val="002E44C3"/>
    <w:rsid w:val="002E4B22"/>
    <w:rsid w:val="002E6038"/>
    <w:rsid w:val="002F07DF"/>
    <w:rsid w:val="002F395B"/>
    <w:rsid w:val="002F48EA"/>
    <w:rsid w:val="002F634F"/>
    <w:rsid w:val="00300713"/>
    <w:rsid w:val="003044BA"/>
    <w:rsid w:val="00304AD6"/>
    <w:rsid w:val="00311C91"/>
    <w:rsid w:val="00312EAC"/>
    <w:rsid w:val="00320553"/>
    <w:rsid w:val="003219DA"/>
    <w:rsid w:val="00324215"/>
    <w:rsid w:val="00324F7C"/>
    <w:rsid w:val="003318DB"/>
    <w:rsid w:val="00334E76"/>
    <w:rsid w:val="00341434"/>
    <w:rsid w:val="00341982"/>
    <w:rsid w:val="00344C97"/>
    <w:rsid w:val="00344DF8"/>
    <w:rsid w:val="0034595E"/>
    <w:rsid w:val="003459B3"/>
    <w:rsid w:val="00345CD3"/>
    <w:rsid w:val="00355FC7"/>
    <w:rsid w:val="0035655F"/>
    <w:rsid w:val="00356A74"/>
    <w:rsid w:val="00356B95"/>
    <w:rsid w:val="003573E6"/>
    <w:rsid w:val="00361155"/>
    <w:rsid w:val="00361D01"/>
    <w:rsid w:val="003644DC"/>
    <w:rsid w:val="00364B33"/>
    <w:rsid w:val="003672E3"/>
    <w:rsid w:val="00372CF6"/>
    <w:rsid w:val="00375AEB"/>
    <w:rsid w:val="00377F05"/>
    <w:rsid w:val="003823C7"/>
    <w:rsid w:val="00382767"/>
    <w:rsid w:val="00383F1D"/>
    <w:rsid w:val="00383F4C"/>
    <w:rsid w:val="0038413D"/>
    <w:rsid w:val="00392509"/>
    <w:rsid w:val="00392B31"/>
    <w:rsid w:val="00393B51"/>
    <w:rsid w:val="0039476D"/>
    <w:rsid w:val="00394979"/>
    <w:rsid w:val="00394EBC"/>
    <w:rsid w:val="003A1D06"/>
    <w:rsid w:val="003A280A"/>
    <w:rsid w:val="003A2DD8"/>
    <w:rsid w:val="003A3736"/>
    <w:rsid w:val="003A3D30"/>
    <w:rsid w:val="003A6A9A"/>
    <w:rsid w:val="003A7EB9"/>
    <w:rsid w:val="003B121B"/>
    <w:rsid w:val="003B1CBE"/>
    <w:rsid w:val="003B444F"/>
    <w:rsid w:val="003B66D4"/>
    <w:rsid w:val="003B7EAA"/>
    <w:rsid w:val="003C2F7C"/>
    <w:rsid w:val="003C39F9"/>
    <w:rsid w:val="003C7592"/>
    <w:rsid w:val="003D0090"/>
    <w:rsid w:val="003D0737"/>
    <w:rsid w:val="003D0B51"/>
    <w:rsid w:val="003D130A"/>
    <w:rsid w:val="003D3877"/>
    <w:rsid w:val="003D3AD3"/>
    <w:rsid w:val="003D4253"/>
    <w:rsid w:val="003D4DFE"/>
    <w:rsid w:val="003D7C2C"/>
    <w:rsid w:val="003E3B2A"/>
    <w:rsid w:val="003E5DCB"/>
    <w:rsid w:val="004003DF"/>
    <w:rsid w:val="0040057B"/>
    <w:rsid w:val="00404348"/>
    <w:rsid w:val="00405044"/>
    <w:rsid w:val="004061A3"/>
    <w:rsid w:val="004063F9"/>
    <w:rsid w:val="00407974"/>
    <w:rsid w:val="004100AC"/>
    <w:rsid w:val="0042333E"/>
    <w:rsid w:val="00426B7D"/>
    <w:rsid w:val="00426D57"/>
    <w:rsid w:val="00427609"/>
    <w:rsid w:val="00430074"/>
    <w:rsid w:val="00430E8A"/>
    <w:rsid w:val="00431452"/>
    <w:rsid w:val="00431D14"/>
    <w:rsid w:val="00437156"/>
    <w:rsid w:val="00437331"/>
    <w:rsid w:val="00443F0D"/>
    <w:rsid w:val="004453F4"/>
    <w:rsid w:val="00451C54"/>
    <w:rsid w:val="00454CCA"/>
    <w:rsid w:val="004617CA"/>
    <w:rsid w:val="00463532"/>
    <w:rsid w:val="004655A7"/>
    <w:rsid w:val="004703FE"/>
    <w:rsid w:val="00470FD1"/>
    <w:rsid w:val="00471720"/>
    <w:rsid w:val="00472CA1"/>
    <w:rsid w:val="004732B4"/>
    <w:rsid w:val="00473C73"/>
    <w:rsid w:val="00474F49"/>
    <w:rsid w:val="00480126"/>
    <w:rsid w:val="004850BB"/>
    <w:rsid w:val="00487553"/>
    <w:rsid w:val="0049048A"/>
    <w:rsid w:val="00494A1F"/>
    <w:rsid w:val="00494ADB"/>
    <w:rsid w:val="004957E2"/>
    <w:rsid w:val="004A5EC7"/>
    <w:rsid w:val="004A7050"/>
    <w:rsid w:val="004B20E0"/>
    <w:rsid w:val="004B54D0"/>
    <w:rsid w:val="004B7612"/>
    <w:rsid w:val="004C09DA"/>
    <w:rsid w:val="004C2175"/>
    <w:rsid w:val="004C2C37"/>
    <w:rsid w:val="004C6C16"/>
    <w:rsid w:val="004D33FF"/>
    <w:rsid w:val="004D5B25"/>
    <w:rsid w:val="004D77D3"/>
    <w:rsid w:val="004D7869"/>
    <w:rsid w:val="004E44D2"/>
    <w:rsid w:val="004E5AED"/>
    <w:rsid w:val="004F0E43"/>
    <w:rsid w:val="004F2D3E"/>
    <w:rsid w:val="004F7F38"/>
    <w:rsid w:val="00502FA9"/>
    <w:rsid w:val="0050747C"/>
    <w:rsid w:val="00511A67"/>
    <w:rsid w:val="00515860"/>
    <w:rsid w:val="00520569"/>
    <w:rsid w:val="00522AD7"/>
    <w:rsid w:val="00526532"/>
    <w:rsid w:val="00533430"/>
    <w:rsid w:val="0053490D"/>
    <w:rsid w:val="00537966"/>
    <w:rsid w:val="0054037C"/>
    <w:rsid w:val="00541CD3"/>
    <w:rsid w:val="00543143"/>
    <w:rsid w:val="005439B3"/>
    <w:rsid w:val="0054421E"/>
    <w:rsid w:val="0054509E"/>
    <w:rsid w:val="005471AA"/>
    <w:rsid w:val="00551348"/>
    <w:rsid w:val="00551D7E"/>
    <w:rsid w:val="0055491F"/>
    <w:rsid w:val="00555330"/>
    <w:rsid w:val="005556DE"/>
    <w:rsid w:val="00555E1E"/>
    <w:rsid w:val="00563865"/>
    <w:rsid w:val="00563CEE"/>
    <w:rsid w:val="005647A2"/>
    <w:rsid w:val="00565DC9"/>
    <w:rsid w:val="005758CC"/>
    <w:rsid w:val="00577C8E"/>
    <w:rsid w:val="00584DE8"/>
    <w:rsid w:val="0058579C"/>
    <w:rsid w:val="0059130C"/>
    <w:rsid w:val="00591706"/>
    <w:rsid w:val="005A0B5F"/>
    <w:rsid w:val="005A0CE3"/>
    <w:rsid w:val="005A21DB"/>
    <w:rsid w:val="005A2DBB"/>
    <w:rsid w:val="005B14D2"/>
    <w:rsid w:val="005B351C"/>
    <w:rsid w:val="005B5DC4"/>
    <w:rsid w:val="005B6354"/>
    <w:rsid w:val="005B709F"/>
    <w:rsid w:val="005B78CE"/>
    <w:rsid w:val="005D1AB8"/>
    <w:rsid w:val="005D3BC9"/>
    <w:rsid w:val="005D6A89"/>
    <w:rsid w:val="005E24DB"/>
    <w:rsid w:val="005E24F8"/>
    <w:rsid w:val="005E310D"/>
    <w:rsid w:val="005E34EA"/>
    <w:rsid w:val="005E36FD"/>
    <w:rsid w:val="005E5EE5"/>
    <w:rsid w:val="005E6021"/>
    <w:rsid w:val="005E7AE7"/>
    <w:rsid w:val="005F4789"/>
    <w:rsid w:val="005F5459"/>
    <w:rsid w:val="005F71FE"/>
    <w:rsid w:val="005F7AB9"/>
    <w:rsid w:val="005F7DB2"/>
    <w:rsid w:val="00601AF0"/>
    <w:rsid w:val="00602F5A"/>
    <w:rsid w:val="0060301A"/>
    <w:rsid w:val="00603286"/>
    <w:rsid w:val="006058DF"/>
    <w:rsid w:val="006069B1"/>
    <w:rsid w:val="00610BB9"/>
    <w:rsid w:val="006120A3"/>
    <w:rsid w:val="00616468"/>
    <w:rsid w:val="00617C09"/>
    <w:rsid w:val="00617C0F"/>
    <w:rsid w:val="006301F7"/>
    <w:rsid w:val="006342FD"/>
    <w:rsid w:val="00634B59"/>
    <w:rsid w:val="00634FB3"/>
    <w:rsid w:val="00636809"/>
    <w:rsid w:val="006502FE"/>
    <w:rsid w:val="00657E91"/>
    <w:rsid w:val="00657F1C"/>
    <w:rsid w:val="006607EA"/>
    <w:rsid w:val="006654FC"/>
    <w:rsid w:val="00666AA9"/>
    <w:rsid w:val="00667419"/>
    <w:rsid w:val="00667F19"/>
    <w:rsid w:val="00670BBA"/>
    <w:rsid w:val="006724BD"/>
    <w:rsid w:val="00672FE0"/>
    <w:rsid w:val="00681069"/>
    <w:rsid w:val="00683D04"/>
    <w:rsid w:val="00683E00"/>
    <w:rsid w:val="00683FC3"/>
    <w:rsid w:val="0068447E"/>
    <w:rsid w:val="00686C69"/>
    <w:rsid w:val="00687A5B"/>
    <w:rsid w:val="00695D3F"/>
    <w:rsid w:val="006A0DD0"/>
    <w:rsid w:val="006A117F"/>
    <w:rsid w:val="006A271A"/>
    <w:rsid w:val="006A4AEB"/>
    <w:rsid w:val="006A52AF"/>
    <w:rsid w:val="006A54DA"/>
    <w:rsid w:val="006A7D41"/>
    <w:rsid w:val="006B2DBE"/>
    <w:rsid w:val="006B3571"/>
    <w:rsid w:val="006C0FF0"/>
    <w:rsid w:val="006C291D"/>
    <w:rsid w:val="006C35BB"/>
    <w:rsid w:val="006C4C51"/>
    <w:rsid w:val="006C5476"/>
    <w:rsid w:val="006C78B0"/>
    <w:rsid w:val="006D607E"/>
    <w:rsid w:val="006D72E9"/>
    <w:rsid w:val="006D784A"/>
    <w:rsid w:val="006E3C98"/>
    <w:rsid w:val="006E4169"/>
    <w:rsid w:val="006E4CE6"/>
    <w:rsid w:val="006F011A"/>
    <w:rsid w:val="006F06EF"/>
    <w:rsid w:val="006F0B2A"/>
    <w:rsid w:val="006F1C52"/>
    <w:rsid w:val="006F1D63"/>
    <w:rsid w:val="006F2347"/>
    <w:rsid w:val="006F6518"/>
    <w:rsid w:val="00703548"/>
    <w:rsid w:val="00703C07"/>
    <w:rsid w:val="0070685D"/>
    <w:rsid w:val="00716A83"/>
    <w:rsid w:val="007173BE"/>
    <w:rsid w:val="007202EE"/>
    <w:rsid w:val="007221BA"/>
    <w:rsid w:val="0072796F"/>
    <w:rsid w:val="00730207"/>
    <w:rsid w:val="0073646F"/>
    <w:rsid w:val="00737677"/>
    <w:rsid w:val="00737A6B"/>
    <w:rsid w:val="00741F13"/>
    <w:rsid w:val="007505E8"/>
    <w:rsid w:val="007547EC"/>
    <w:rsid w:val="0076755B"/>
    <w:rsid w:val="007727DE"/>
    <w:rsid w:val="00773098"/>
    <w:rsid w:val="0077314F"/>
    <w:rsid w:val="00773977"/>
    <w:rsid w:val="00775A95"/>
    <w:rsid w:val="00775DBC"/>
    <w:rsid w:val="00780243"/>
    <w:rsid w:val="00780B8A"/>
    <w:rsid w:val="00782DF8"/>
    <w:rsid w:val="007837D7"/>
    <w:rsid w:val="00784FF6"/>
    <w:rsid w:val="00786A7B"/>
    <w:rsid w:val="00787D60"/>
    <w:rsid w:val="00792D79"/>
    <w:rsid w:val="00793831"/>
    <w:rsid w:val="007963A0"/>
    <w:rsid w:val="007A0DC6"/>
    <w:rsid w:val="007A5636"/>
    <w:rsid w:val="007B02AA"/>
    <w:rsid w:val="007B0D14"/>
    <w:rsid w:val="007B4060"/>
    <w:rsid w:val="007B77CD"/>
    <w:rsid w:val="007B781E"/>
    <w:rsid w:val="007C1DD1"/>
    <w:rsid w:val="007C2AB0"/>
    <w:rsid w:val="007C5E89"/>
    <w:rsid w:val="007C7368"/>
    <w:rsid w:val="007D1ADE"/>
    <w:rsid w:val="007D32AF"/>
    <w:rsid w:val="007D3602"/>
    <w:rsid w:val="007D64DF"/>
    <w:rsid w:val="007D6E5D"/>
    <w:rsid w:val="007D71D0"/>
    <w:rsid w:val="007E09EB"/>
    <w:rsid w:val="007E4AAE"/>
    <w:rsid w:val="007E771E"/>
    <w:rsid w:val="007F1E03"/>
    <w:rsid w:val="007F20F1"/>
    <w:rsid w:val="007F228A"/>
    <w:rsid w:val="007F316A"/>
    <w:rsid w:val="00800152"/>
    <w:rsid w:val="00801331"/>
    <w:rsid w:val="00804735"/>
    <w:rsid w:val="008060D8"/>
    <w:rsid w:val="008063AC"/>
    <w:rsid w:val="00806DB3"/>
    <w:rsid w:val="00807E43"/>
    <w:rsid w:val="00812612"/>
    <w:rsid w:val="008175CD"/>
    <w:rsid w:val="00817C75"/>
    <w:rsid w:val="008218C9"/>
    <w:rsid w:val="00822B62"/>
    <w:rsid w:val="00822D03"/>
    <w:rsid w:val="00823825"/>
    <w:rsid w:val="008238C5"/>
    <w:rsid w:val="00824195"/>
    <w:rsid w:val="00824827"/>
    <w:rsid w:val="008263E3"/>
    <w:rsid w:val="00837814"/>
    <w:rsid w:val="00840587"/>
    <w:rsid w:val="00842C30"/>
    <w:rsid w:val="00844441"/>
    <w:rsid w:val="00845102"/>
    <w:rsid w:val="008462E0"/>
    <w:rsid w:val="00846FE3"/>
    <w:rsid w:val="00850E31"/>
    <w:rsid w:val="0085133C"/>
    <w:rsid w:val="00855CF6"/>
    <w:rsid w:val="00860287"/>
    <w:rsid w:val="00863164"/>
    <w:rsid w:val="0086489A"/>
    <w:rsid w:val="00871A8D"/>
    <w:rsid w:val="008851B3"/>
    <w:rsid w:val="00885EEA"/>
    <w:rsid w:val="008866A4"/>
    <w:rsid w:val="00886CD4"/>
    <w:rsid w:val="00890243"/>
    <w:rsid w:val="00890F16"/>
    <w:rsid w:val="008942CE"/>
    <w:rsid w:val="00894760"/>
    <w:rsid w:val="00894B74"/>
    <w:rsid w:val="00895475"/>
    <w:rsid w:val="00896CD8"/>
    <w:rsid w:val="00896FB9"/>
    <w:rsid w:val="008975FC"/>
    <w:rsid w:val="008A3936"/>
    <w:rsid w:val="008A558B"/>
    <w:rsid w:val="008A6086"/>
    <w:rsid w:val="008A6C53"/>
    <w:rsid w:val="008A6E52"/>
    <w:rsid w:val="008B4387"/>
    <w:rsid w:val="008B60E3"/>
    <w:rsid w:val="008C1A3E"/>
    <w:rsid w:val="008C1E91"/>
    <w:rsid w:val="008C4CB3"/>
    <w:rsid w:val="008C576A"/>
    <w:rsid w:val="008C6F94"/>
    <w:rsid w:val="008C7A9D"/>
    <w:rsid w:val="008E0E17"/>
    <w:rsid w:val="008E1582"/>
    <w:rsid w:val="008E3332"/>
    <w:rsid w:val="008E358A"/>
    <w:rsid w:val="008E44AC"/>
    <w:rsid w:val="008E4F87"/>
    <w:rsid w:val="008E558B"/>
    <w:rsid w:val="008E571E"/>
    <w:rsid w:val="008E5F4B"/>
    <w:rsid w:val="008E78E6"/>
    <w:rsid w:val="008F179C"/>
    <w:rsid w:val="008F1933"/>
    <w:rsid w:val="008F5178"/>
    <w:rsid w:val="008F5E3D"/>
    <w:rsid w:val="008F790A"/>
    <w:rsid w:val="00904745"/>
    <w:rsid w:val="00910469"/>
    <w:rsid w:val="00910C14"/>
    <w:rsid w:val="00911580"/>
    <w:rsid w:val="0091577C"/>
    <w:rsid w:val="00916765"/>
    <w:rsid w:val="00917C3C"/>
    <w:rsid w:val="00931EA9"/>
    <w:rsid w:val="0093261A"/>
    <w:rsid w:val="009337EE"/>
    <w:rsid w:val="009341FE"/>
    <w:rsid w:val="00934271"/>
    <w:rsid w:val="0093576C"/>
    <w:rsid w:val="00936C3A"/>
    <w:rsid w:val="00941D19"/>
    <w:rsid w:val="009428BC"/>
    <w:rsid w:val="00944375"/>
    <w:rsid w:val="009443DE"/>
    <w:rsid w:val="00945466"/>
    <w:rsid w:val="009456AC"/>
    <w:rsid w:val="00947875"/>
    <w:rsid w:val="0095180B"/>
    <w:rsid w:val="0095381C"/>
    <w:rsid w:val="00953F07"/>
    <w:rsid w:val="009603B7"/>
    <w:rsid w:val="00963B00"/>
    <w:rsid w:val="0096478B"/>
    <w:rsid w:val="00966355"/>
    <w:rsid w:val="00966C3B"/>
    <w:rsid w:val="00970AE3"/>
    <w:rsid w:val="009711D8"/>
    <w:rsid w:val="0097128D"/>
    <w:rsid w:val="0097492D"/>
    <w:rsid w:val="00975E93"/>
    <w:rsid w:val="009769A7"/>
    <w:rsid w:val="00982A62"/>
    <w:rsid w:val="00986275"/>
    <w:rsid w:val="009876BA"/>
    <w:rsid w:val="009933C5"/>
    <w:rsid w:val="009955C1"/>
    <w:rsid w:val="009A07AE"/>
    <w:rsid w:val="009A1DA0"/>
    <w:rsid w:val="009A3066"/>
    <w:rsid w:val="009A5A84"/>
    <w:rsid w:val="009B18EB"/>
    <w:rsid w:val="009B1D8B"/>
    <w:rsid w:val="009B3229"/>
    <w:rsid w:val="009B4AE7"/>
    <w:rsid w:val="009B4F07"/>
    <w:rsid w:val="009B568A"/>
    <w:rsid w:val="009B5FF8"/>
    <w:rsid w:val="009B7B92"/>
    <w:rsid w:val="009C1D2E"/>
    <w:rsid w:val="009C399F"/>
    <w:rsid w:val="009C5452"/>
    <w:rsid w:val="009D1682"/>
    <w:rsid w:val="009D3479"/>
    <w:rsid w:val="009E1FAE"/>
    <w:rsid w:val="009E6F8A"/>
    <w:rsid w:val="009E7021"/>
    <w:rsid w:val="009F0402"/>
    <w:rsid w:val="009F0623"/>
    <w:rsid w:val="009F1D96"/>
    <w:rsid w:val="009F2BE0"/>
    <w:rsid w:val="009F373B"/>
    <w:rsid w:val="009F3FF7"/>
    <w:rsid w:val="009F41C9"/>
    <w:rsid w:val="009F51BE"/>
    <w:rsid w:val="00A01721"/>
    <w:rsid w:val="00A0338D"/>
    <w:rsid w:val="00A0396E"/>
    <w:rsid w:val="00A0453B"/>
    <w:rsid w:val="00A05C78"/>
    <w:rsid w:val="00A17D4E"/>
    <w:rsid w:val="00A201EE"/>
    <w:rsid w:val="00A2050F"/>
    <w:rsid w:val="00A20C59"/>
    <w:rsid w:val="00A21466"/>
    <w:rsid w:val="00A235FA"/>
    <w:rsid w:val="00A3160A"/>
    <w:rsid w:val="00A329C5"/>
    <w:rsid w:val="00A32BB9"/>
    <w:rsid w:val="00A33BF8"/>
    <w:rsid w:val="00A37D74"/>
    <w:rsid w:val="00A47197"/>
    <w:rsid w:val="00A500EE"/>
    <w:rsid w:val="00A502CA"/>
    <w:rsid w:val="00A50BE8"/>
    <w:rsid w:val="00A54574"/>
    <w:rsid w:val="00A54976"/>
    <w:rsid w:val="00A54BEC"/>
    <w:rsid w:val="00A56556"/>
    <w:rsid w:val="00A568F2"/>
    <w:rsid w:val="00A62148"/>
    <w:rsid w:val="00A62376"/>
    <w:rsid w:val="00A64BAC"/>
    <w:rsid w:val="00A66E98"/>
    <w:rsid w:val="00A67272"/>
    <w:rsid w:val="00A76FDA"/>
    <w:rsid w:val="00A7744F"/>
    <w:rsid w:val="00A7785B"/>
    <w:rsid w:val="00A864C8"/>
    <w:rsid w:val="00A9167D"/>
    <w:rsid w:val="00A942BE"/>
    <w:rsid w:val="00A953B4"/>
    <w:rsid w:val="00A96314"/>
    <w:rsid w:val="00A96F3B"/>
    <w:rsid w:val="00AA0825"/>
    <w:rsid w:val="00AA2E44"/>
    <w:rsid w:val="00AA4DA6"/>
    <w:rsid w:val="00AA4DCE"/>
    <w:rsid w:val="00AA775E"/>
    <w:rsid w:val="00AB2B19"/>
    <w:rsid w:val="00AB3C9C"/>
    <w:rsid w:val="00AB5E61"/>
    <w:rsid w:val="00AB6E48"/>
    <w:rsid w:val="00AC2A23"/>
    <w:rsid w:val="00AC66FF"/>
    <w:rsid w:val="00AD2531"/>
    <w:rsid w:val="00AD294A"/>
    <w:rsid w:val="00AD7BB9"/>
    <w:rsid w:val="00AE0541"/>
    <w:rsid w:val="00AE0B8C"/>
    <w:rsid w:val="00AE3612"/>
    <w:rsid w:val="00AE68A4"/>
    <w:rsid w:val="00AF1426"/>
    <w:rsid w:val="00AF43DD"/>
    <w:rsid w:val="00AF4D11"/>
    <w:rsid w:val="00AF54A6"/>
    <w:rsid w:val="00AF590D"/>
    <w:rsid w:val="00AF6587"/>
    <w:rsid w:val="00B014EB"/>
    <w:rsid w:val="00B0253B"/>
    <w:rsid w:val="00B02DD6"/>
    <w:rsid w:val="00B03065"/>
    <w:rsid w:val="00B04C84"/>
    <w:rsid w:val="00B04EB1"/>
    <w:rsid w:val="00B0598B"/>
    <w:rsid w:val="00B064A4"/>
    <w:rsid w:val="00B11CEA"/>
    <w:rsid w:val="00B12193"/>
    <w:rsid w:val="00B172D4"/>
    <w:rsid w:val="00B21155"/>
    <w:rsid w:val="00B2169F"/>
    <w:rsid w:val="00B22482"/>
    <w:rsid w:val="00B2451A"/>
    <w:rsid w:val="00B24607"/>
    <w:rsid w:val="00B2617B"/>
    <w:rsid w:val="00B331C5"/>
    <w:rsid w:val="00B42DB7"/>
    <w:rsid w:val="00B43F5C"/>
    <w:rsid w:val="00B4543B"/>
    <w:rsid w:val="00B470E8"/>
    <w:rsid w:val="00B53856"/>
    <w:rsid w:val="00B57108"/>
    <w:rsid w:val="00B602CC"/>
    <w:rsid w:val="00B614AA"/>
    <w:rsid w:val="00B617E5"/>
    <w:rsid w:val="00B61BF0"/>
    <w:rsid w:val="00B65594"/>
    <w:rsid w:val="00B66997"/>
    <w:rsid w:val="00B66E59"/>
    <w:rsid w:val="00B7100A"/>
    <w:rsid w:val="00B77668"/>
    <w:rsid w:val="00B77B0D"/>
    <w:rsid w:val="00B80354"/>
    <w:rsid w:val="00B8289E"/>
    <w:rsid w:val="00B9075D"/>
    <w:rsid w:val="00B90EF8"/>
    <w:rsid w:val="00B92024"/>
    <w:rsid w:val="00B936C7"/>
    <w:rsid w:val="00B950C7"/>
    <w:rsid w:val="00B956E6"/>
    <w:rsid w:val="00B95F59"/>
    <w:rsid w:val="00BA3DDB"/>
    <w:rsid w:val="00BA5C25"/>
    <w:rsid w:val="00BB2153"/>
    <w:rsid w:val="00BB3910"/>
    <w:rsid w:val="00BB4212"/>
    <w:rsid w:val="00BB6216"/>
    <w:rsid w:val="00BB670F"/>
    <w:rsid w:val="00BB7194"/>
    <w:rsid w:val="00BB7A3E"/>
    <w:rsid w:val="00BC05D7"/>
    <w:rsid w:val="00BC30E5"/>
    <w:rsid w:val="00BC435E"/>
    <w:rsid w:val="00BD0FDF"/>
    <w:rsid w:val="00BD5986"/>
    <w:rsid w:val="00BD7F30"/>
    <w:rsid w:val="00BE39D1"/>
    <w:rsid w:val="00BE3B2E"/>
    <w:rsid w:val="00BE44F4"/>
    <w:rsid w:val="00BE75BB"/>
    <w:rsid w:val="00BF1227"/>
    <w:rsid w:val="00BF3376"/>
    <w:rsid w:val="00BF79B2"/>
    <w:rsid w:val="00C00AC6"/>
    <w:rsid w:val="00C0402C"/>
    <w:rsid w:val="00C11577"/>
    <w:rsid w:val="00C11D49"/>
    <w:rsid w:val="00C12448"/>
    <w:rsid w:val="00C13E00"/>
    <w:rsid w:val="00C140F1"/>
    <w:rsid w:val="00C147F9"/>
    <w:rsid w:val="00C1531D"/>
    <w:rsid w:val="00C17F74"/>
    <w:rsid w:val="00C20BF0"/>
    <w:rsid w:val="00C22BE9"/>
    <w:rsid w:val="00C238BB"/>
    <w:rsid w:val="00C24833"/>
    <w:rsid w:val="00C27F4A"/>
    <w:rsid w:val="00C31A4B"/>
    <w:rsid w:val="00C4583E"/>
    <w:rsid w:val="00C478B8"/>
    <w:rsid w:val="00C47955"/>
    <w:rsid w:val="00C50335"/>
    <w:rsid w:val="00C50842"/>
    <w:rsid w:val="00C555B3"/>
    <w:rsid w:val="00C5585E"/>
    <w:rsid w:val="00C56B8B"/>
    <w:rsid w:val="00C573A0"/>
    <w:rsid w:val="00C60547"/>
    <w:rsid w:val="00C672B0"/>
    <w:rsid w:val="00C67EF9"/>
    <w:rsid w:val="00C71C92"/>
    <w:rsid w:val="00C72E9C"/>
    <w:rsid w:val="00C77736"/>
    <w:rsid w:val="00C828EE"/>
    <w:rsid w:val="00C82FED"/>
    <w:rsid w:val="00C83219"/>
    <w:rsid w:val="00C867B6"/>
    <w:rsid w:val="00C87D0E"/>
    <w:rsid w:val="00C87FF5"/>
    <w:rsid w:val="00C90653"/>
    <w:rsid w:val="00C914D9"/>
    <w:rsid w:val="00C91799"/>
    <w:rsid w:val="00C92269"/>
    <w:rsid w:val="00C97CAB"/>
    <w:rsid w:val="00CA0F19"/>
    <w:rsid w:val="00CA4B18"/>
    <w:rsid w:val="00CA5434"/>
    <w:rsid w:val="00CA5E67"/>
    <w:rsid w:val="00CB14D9"/>
    <w:rsid w:val="00CB3D04"/>
    <w:rsid w:val="00CB3E41"/>
    <w:rsid w:val="00CB7980"/>
    <w:rsid w:val="00CC200C"/>
    <w:rsid w:val="00CC217A"/>
    <w:rsid w:val="00CC313F"/>
    <w:rsid w:val="00CC519B"/>
    <w:rsid w:val="00CC6509"/>
    <w:rsid w:val="00CD3858"/>
    <w:rsid w:val="00CD4962"/>
    <w:rsid w:val="00CD69E9"/>
    <w:rsid w:val="00CE0477"/>
    <w:rsid w:val="00CE3BBE"/>
    <w:rsid w:val="00CE52C5"/>
    <w:rsid w:val="00CE5773"/>
    <w:rsid w:val="00CE593A"/>
    <w:rsid w:val="00CE6E93"/>
    <w:rsid w:val="00CF3906"/>
    <w:rsid w:val="00CF5BEA"/>
    <w:rsid w:val="00CF5D11"/>
    <w:rsid w:val="00CF60DA"/>
    <w:rsid w:val="00D00C3E"/>
    <w:rsid w:val="00D01379"/>
    <w:rsid w:val="00D06A1A"/>
    <w:rsid w:val="00D1670B"/>
    <w:rsid w:val="00D1671B"/>
    <w:rsid w:val="00D17D14"/>
    <w:rsid w:val="00D24FB2"/>
    <w:rsid w:val="00D25560"/>
    <w:rsid w:val="00D26876"/>
    <w:rsid w:val="00D30265"/>
    <w:rsid w:val="00D30E70"/>
    <w:rsid w:val="00D30F6C"/>
    <w:rsid w:val="00D3330B"/>
    <w:rsid w:val="00D376D0"/>
    <w:rsid w:val="00D40EEF"/>
    <w:rsid w:val="00D4257C"/>
    <w:rsid w:val="00D445DC"/>
    <w:rsid w:val="00D47421"/>
    <w:rsid w:val="00D502AB"/>
    <w:rsid w:val="00D54702"/>
    <w:rsid w:val="00D54DBD"/>
    <w:rsid w:val="00D55E2F"/>
    <w:rsid w:val="00D569D4"/>
    <w:rsid w:val="00D56F7F"/>
    <w:rsid w:val="00D6151E"/>
    <w:rsid w:val="00D61C83"/>
    <w:rsid w:val="00D646C1"/>
    <w:rsid w:val="00D75F21"/>
    <w:rsid w:val="00D76E10"/>
    <w:rsid w:val="00D84796"/>
    <w:rsid w:val="00D86083"/>
    <w:rsid w:val="00D94DEB"/>
    <w:rsid w:val="00D96589"/>
    <w:rsid w:val="00D97102"/>
    <w:rsid w:val="00DA4C87"/>
    <w:rsid w:val="00DA5EED"/>
    <w:rsid w:val="00DA74FF"/>
    <w:rsid w:val="00DB2C9F"/>
    <w:rsid w:val="00DB31D6"/>
    <w:rsid w:val="00DB5C3E"/>
    <w:rsid w:val="00DB677D"/>
    <w:rsid w:val="00DC1D0E"/>
    <w:rsid w:val="00DC3802"/>
    <w:rsid w:val="00DC6ABD"/>
    <w:rsid w:val="00DD0465"/>
    <w:rsid w:val="00DD2681"/>
    <w:rsid w:val="00DD2BEB"/>
    <w:rsid w:val="00DD407A"/>
    <w:rsid w:val="00DD5123"/>
    <w:rsid w:val="00DD6872"/>
    <w:rsid w:val="00DD6E79"/>
    <w:rsid w:val="00DD7483"/>
    <w:rsid w:val="00DD7A69"/>
    <w:rsid w:val="00DE3047"/>
    <w:rsid w:val="00DE37B9"/>
    <w:rsid w:val="00DE4F79"/>
    <w:rsid w:val="00DF1476"/>
    <w:rsid w:val="00E000AA"/>
    <w:rsid w:val="00E003E9"/>
    <w:rsid w:val="00E03699"/>
    <w:rsid w:val="00E0386E"/>
    <w:rsid w:val="00E03FA3"/>
    <w:rsid w:val="00E075E2"/>
    <w:rsid w:val="00E10653"/>
    <w:rsid w:val="00E11886"/>
    <w:rsid w:val="00E14EDC"/>
    <w:rsid w:val="00E15450"/>
    <w:rsid w:val="00E156EB"/>
    <w:rsid w:val="00E161BB"/>
    <w:rsid w:val="00E16503"/>
    <w:rsid w:val="00E17875"/>
    <w:rsid w:val="00E21940"/>
    <w:rsid w:val="00E22B52"/>
    <w:rsid w:val="00E25189"/>
    <w:rsid w:val="00E35735"/>
    <w:rsid w:val="00E36E12"/>
    <w:rsid w:val="00E40057"/>
    <w:rsid w:val="00E40738"/>
    <w:rsid w:val="00E41269"/>
    <w:rsid w:val="00E4507A"/>
    <w:rsid w:val="00E4519C"/>
    <w:rsid w:val="00E5008F"/>
    <w:rsid w:val="00E50564"/>
    <w:rsid w:val="00E511FA"/>
    <w:rsid w:val="00E529BB"/>
    <w:rsid w:val="00E53809"/>
    <w:rsid w:val="00E57A08"/>
    <w:rsid w:val="00E61B48"/>
    <w:rsid w:val="00E6319B"/>
    <w:rsid w:val="00E635B7"/>
    <w:rsid w:val="00E6783D"/>
    <w:rsid w:val="00E702F3"/>
    <w:rsid w:val="00E70445"/>
    <w:rsid w:val="00E752ED"/>
    <w:rsid w:val="00E75851"/>
    <w:rsid w:val="00E84509"/>
    <w:rsid w:val="00E84FAD"/>
    <w:rsid w:val="00E90E82"/>
    <w:rsid w:val="00E9619A"/>
    <w:rsid w:val="00EA0E69"/>
    <w:rsid w:val="00EA2DD0"/>
    <w:rsid w:val="00EA358E"/>
    <w:rsid w:val="00EA35D9"/>
    <w:rsid w:val="00EA7813"/>
    <w:rsid w:val="00EA79A8"/>
    <w:rsid w:val="00EB21B2"/>
    <w:rsid w:val="00EB3DC8"/>
    <w:rsid w:val="00EB466E"/>
    <w:rsid w:val="00EB495E"/>
    <w:rsid w:val="00EB6538"/>
    <w:rsid w:val="00EB6D22"/>
    <w:rsid w:val="00EC1C03"/>
    <w:rsid w:val="00EC31FB"/>
    <w:rsid w:val="00EC4A2E"/>
    <w:rsid w:val="00EC5F9E"/>
    <w:rsid w:val="00EC612F"/>
    <w:rsid w:val="00EC77D9"/>
    <w:rsid w:val="00ED3762"/>
    <w:rsid w:val="00ED609B"/>
    <w:rsid w:val="00ED7013"/>
    <w:rsid w:val="00EE3273"/>
    <w:rsid w:val="00EE6AAF"/>
    <w:rsid w:val="00EF077C"/>
    <w:rsid w:val="00EF2DE1"/>
    <w:rsid w:val="00EF403B"/>
    <w:rsid w:val="00F0085C"/>
    <w:rsid w:val="00F02F7E"/>
    <w:rsid w:val="00F03558"/>
    <w:rsid w:val="00F038A9"/>
    <w:rsid w:val="00F108D1"/>
    <w:rsid w:val="00F10CB5"/>
    <w:rsid w:val="00F15472"/>
    <w:rsid w:val="00F167B7"/>
    <w:rsid w:val="00F1768D"/>
    <w:rsid w:val="00F17FEF"/>
    <w:rsid w:val="00F21EE0"/>
    <w:rsid w:val="00F2667C"/>
    <w:rsid w:val="00F27576"/>
    <w:rsid w:val="00F27E6C"/>
    <w:rsid w:val="00F34E0A"/>
    <w:rsid w:val="00F36F8C"/>
    <w:rsid w:val="00F37243"/>
    <w:rsid w:val="00F41B18"/>
    <w:rsid w:val="00F462BE"/>
    <w:rsid w:val="00F47BE3"/>
    <w:rsid w:val="00F53AEA"/>
    <w:rsid w:val="00F5589F"/>
    <w:rsid w:val="00F60083"/>
    <w:rsid w:val="00F632F8"/>
    <w:rsid w:val="00F63A76"/>
    <w:rsid w:val="00F67477"/>
    <w:rsid w:val="00F70988"/>
    <w:rsid w:val="00F71A2A"/>
    <w:rsid w:val="00F72248"/>
    <w:rsid w:val="00F7251D"/>
    <w:rsid w:val="00F73369"/>
    <w:rsid w:val="00F752FD"/>
    <w:rsid w:val="00F75F69"/>
    <w:rsid w:val="00F84FF3"/>
    <w:rsid w:val="00F85F35"/>
    <w:rsid w:val="00F931F8"/>
    <w:rsid w:val="00F93351"/>
    <w:rsid w:val="00F94E52"/>
    <w:rsid w:val="00F9657A"/>
    <w:rsid w:val="00F967B1"/>
    <w:rsid w:val="00FA0B4C"/>
    <w:rsid w:val="00FA1E5E"/>
    <w:rsid w:val="00FA29C4"/>
    <w:rsid w:val="00FA38D9"/>
    <w:rsid w:val="00FA65FF"/>
    <w:rsid w:val="00FA701C"/>
    <w:rsid w:val="00FA7798"/>
    <w:rsid w:val="00FB21F8"/>
    <w:rsid w:val="00FB7385"/>
    <w:rsid w:val="00FC7B26"/>
    <w:rsid w:val="00FD11C2"/>
    <w:rsid w:val="00FD19A9"/>
    <w:rsid w:val="00FD2D2D"/>
    <w:rsid w:val="00FD569A"/>
    <w:rsid w:val="00FD6846"/>
    <w:rsid w:val="00FD7076"/>
    <w:rsid w:val="00FE00F5"/>
    <w:rsid w:val="00FE02C9"/>
    <w:rsid w:val="00FE0BB7"/>
    <w:rsid w:val="00FE2EE1"/>
    <w:rsid w:val="00FE4AB3"/>
    <w:rsid w:val="00FE6217"/>
    <w:rsid w:val="00FE6854"/>
    <w:rsid w:val="00FF0FFF"/>
    <w:rsid w:val="00FF5246"/>
    <w:rsid w:val="00FF55AC"/>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B9"/>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BB4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D70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qFormat/>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character" w:customStyle="1" w:styleId="Ttulo1Car">
    <w:name w:val="Título 1 Car"/>
    <w:basedOn w:val="Fuentedeprrafopredeter"/>
    <w:link w:val="Ttulo1"/>
    <w:uiPriority w:val="9"/>
    <w:rsid w:val="00BB4212"/>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BB4212"/>
    <w:pPr>
      <w:jc w:val="left"/>
      <w:outlineLvl w:val="9"/>
    </w:pPr>
    <w:rPr>
      <w:lang w:eastAsia="es-MX"/>
    </w:rPr>
  </w:style>
  <w:style w:type="paragraph" w:styleId="TDC1">
    <w:name w:val="toc 1"/>
    <w:basedOn w:val="Normal"/>
    <w:next w:val="Normal"/>
    <w:autoRedefine/>
    <w:uiPriority w:val="39"/>
    <w:unhideWhenUsed/>
    <w:rsid w:val="00BB4212"/>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BB4212"/>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1D70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10264203">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6800753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26550073">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32049339">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44118140">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598067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52953063">
      <w:bodyDiv w:val="1"/>
      <w:marLeft w:val="0"/>
      <w:marRight w:val="0"/>
      <w:marTop w:val="0"/>
      <w:marBottom w:val="0"/>
      <w:divBdr>
        <w:top w:val="none" w:sz="0" w:space="0" w:color="auto"/>
        <w:left w:val="none" w:sz="0" w:space="0" w:color="auto"/>
        <w:bottom w:val="none" w:sz="0" w:space="0" w:color="auto"/>
        <w:right w:val="none" w:sz="0" w:space="0" w:color="auto"/>
      </w:divBdr>
    </w:div>
    <w:div w:id="1481774858">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58881256">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325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2B06-4E5B-420B-9157-A62720D2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4235</Words>
  <Characters>23296</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2025-03-28T15:40:00Z</cp:lastPrinted>
  <dcterms:created xsi:type="dcterms:W3CDTF">2025-04-03T20:28:00Z</dcterms:created>
  <dcterms:modified xsi:type="dcterms:W3CDTF">2025-04-03T20:29:00Z</dcterms:modified>
</cp:coreProperties>
</file>