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CC0DFE" w:rsidRDefault="00AE3DA7" w:rsidP="0016507E">
          <w:pPr>
            <w:pStyle w:val="TtulodeTDC"/>
            <w:spacing w:before="0" w:line="240" w:lineRule="auto"/>
            <w:rPr>
              <w:rFonts w:ascii="Palatino Linotype" w:hAnsi="Palatino Linotype"/>
              <w:color w:val="auto"/>
              <w:sz w:val="24"/>
              <w:szCs w:val="24"/>
              <w:lang w:val="es-ES"/>
            </w:rPr>
          </w:pPr>
          <w:r w:rsidRPr="00CC0DFE">
            <w:rPr>
              <w:rFonts w:ascii="Palatino Linotype" w:hAnsi="Palatino Linotype"/>
              <w:color w:val="auto"/>
              <w:sz w:val="24"/>
              <w:szCs w:val="24"/>
              <w:lang w:val="es-ES"/>
            </w:rPr>
            <w:t>Contenido</w:t>
          </w:r>
        </w:p>
        <w:p w14:paraId="3EB312A7" w14:textId="77777777" w:rsidR="00AA6EA9" w:rsidRPr="00CC0DFE" w:rsidRDefault="00AA6EA9" w:rsidP="0016507E">
          <w:pPr>
            <w:spacing w:line="240" w:lineRule="auto"/>
            <w:rPr>
              <w:sz w:val="16"/>
              <w:szCs w:val="16"/>
              <w:lang w:val="es-ES" w:eastAsia="es-MX"/>
            </w:rPr>
          </w:pPr>
        </w:p>
        <w:p w14:paraId="217159F9" w14:textId="77777777" w:rsidR="0016507E" w:rsidRPr="00CC0DFE" w:rsidRDefault="00AE3DA7">
          <w:pPr>
            <w:pStyle w:val="TDC1"/>
            <w:tabs>
              <w:tab w:val="right" w:leader="dot" w:pos="9034"/>
            </w:tabs>
            <w:rPr>
              <w:rFonts w:asciiTheme="minorHAnsi" w:eastAsiaTheme="minorEastAsia" w:hAnsiTheme="minorHAnsi" w:cstheme="minorBidi"/>
              <w:noProof/>
              <w:szCs w:val="22"/>
              <w:lang w:eastAsia="es-MX"/>
            </w:rPr>
          </w:pPr>
          <w:r w:rsidRPr="00CC0DFE">
            <w:rPr>
              <w:sz w:val="16"/>
              <w:szCs w:val="16"/>
            </w:rPr>
            <w:fldChar w:fldCharType="begin"/>
          </w:r>
          <w:r w:rsidRPr="00CC0DFE">
            <w:rPr>
              <w:sz w:val="16"/>
              <w:szCs w:val="16"/>
            </w:rPr>
            <w:instrText xml:space="preserve"> TOC \o "1-3" \h \z \u </w:instrText>
          </w:r>
          <w:r w:rsidRPr="00CC0DFE">
            <w:rPr>
              <w:sz w:val="16"/>
              <w:szCs w:val="16"/>
            </w:rPr>
            <w:fldChar w:fldCharType="separate"/>
          </w:r>
          <w:hyperlink w:anchor="_Toc211448451" w:history="1">
            <w:r w:rsidR="0016507E" w:rsidRPr="00CC0DFE">
              <w:rPr>
                <w:rStyle w:val="Hipervnculo"/>
                <w:noProof/>
              </w:rPr>
              <w:t>ANTECEDENTES</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_Toc211448451 \h </w:instrText>
            </w:r>
            <w:r w:rsidR="0016507E" w:rsidRPr="00CC0DFE">
              <w:rPr>
                <w:noProof/>
                <w:webHidden/>
              </w:rPr>
            </w:r>
            <w:r w:rsidR="0016507E" w:rsidRPr="00CC0DFE">
              <w:rPr>
                <w:noProof/>
                <w:webHidden/>
              </w:rPr>
              <w:fldChar w:fldCharType="separate"/>
            </w:r>
            <w:r w:rsidR="00CC0DFE">
              <w:rPr>
                <w:noProof/>
                <w:webHidden/>
              </w:rPr>
              <w:t>1</w:t>
            </w:r>
            <w:r w:rsidR="0016507E" w:rsidRPr="00CC0DFE">
              <w:rPr>
                <w:noProof/>
                <w:webHidden/>
              </w:rPr>
              <w:fldChar w:fldCharType="end"/>
            </w:r>
          </w:hyperlink>
        </w:p>
        <w:p w14:paraId="149570FD" w14:textId="77777777" w:rsidR="0016507E" w:rsidRPr="00CC0DFE" w:rsidRDefault="004D7995">
          <w:pPr>
            <w:pStyle w:val="TDC2"/>
            <w:rPr>
              <w:rFonts w:asciiTheme="minorHAnsi" w:eastAsiaTheme="minorEastAsia" w:hAnsiTheme="minorHAnsi" w:cstheme="minorBidi"/>
              <w:noProof/>
              <w:szCs w:val="22"/>
              <w:lang w:eastAsia="es-MX"/>
            </w:rPr>
          </w:pPr>
          <w:hyperlink w:anchor="_Toc211448452" w:history="1">
            <w:r w:rsidR="0016507E" w:rsidRPr="00CC0DFE">
              <w:rPr>
                <w:rStyle w:val="Hipervnculo"/>
                <w:noProof/>
              </w:rPr>
              <w:t>DE LA SOLICITUD DE INFORMACIÓN</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_Toc211448452 \h </w:instrText>
            </w:r>
            <w:r w:rsidR="0016507E" w:rsidRPr="00CC0DFE">
              <w:rPr>
                <w:noProof/>
                <w:webHidden/>
              </w:rPr>
            </w:r>
            <w:r w:rsidR="0016507E" w:rsidRPr="00CC0DFE">
              <w:rPr>
                <w:noProof/>
                <w:webHidden/>
              </w:rPr>
              <w:fldChar w:fldCharType="separate"/>
            </w:r>
            <w:r w:rsidR="00CC0DFE">
              <w:rPr>
                <w:noProof/>
                <w:webHidden/>
              </w:rPr>
              <w:t>1</w:t>
            </w:r>
            <w:r w:rsidR="0016507E" w:rsidRPr="00CC0DFE">
              <w:rPr>
                <w:noProof/>
                <w:webHidden/>
              </w:rPr>
              <w:fldChar w:fldCharType="end"/>
            </w:r>
          </w:hyperlink>
        </w:p>
        <w:p w14:paraId="441C50FC" w14:textId="77777777" w:rsidR="0016507E" w:rsidRPr="00CC0DFE" w:rsidRDefault="004D7995">
          <w:pPr>
            <w:pStyle w:val="TDC3"/>
            <w:rPr>
              <w:rFonts w:asciiTheme="minorHAnsi" w:eastAsiaTheme="minorEastAsia" w:hAnsiTheme="minorHAnsi" w:cstheme="minorBidi"/>
              <w:noProof/>
              <w:szCs w:val="22"/>
              <w:lang w:eastAsia="es-MX"/>
            </w:rPr>
          </w:pPr>
          <w:hyperlink w:anchor="_Toc211448453" w:history="1">
            <w:r w:rsidR="0016507E" w:rsidRPr="00CC0DFE">
              <w:rPr>
                <w:rStyle w:val="Hipervnculo"/>
                <w:noProof/>
              </w:rPr>
              <w:t>a) Solicitud de información</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_Toc211448453 \h </w:instrText>
            </w:r>
            <w:r w:rsidR="0016507E" w:rsidRPr="00CC0DFE">
              <w:rPr>
                <w:noProof/>
                <w:webHidden/>
              </w:rPr>
            </w:r>
            <w:r w:rsidR="0016507E" w:rsidRPr="00CC0DFE">
              <w:rPr>
                <w:noProof/>
                <w:webHidden/>
              </w:rPr>
              <w:fldChar w:fldCharType="separate"/>
            </w:r>
            <w:r w:rsidR="00CC0DFE">
              <w:rPr>
                <w:noProof/>
                <w:webHidden/>
              </w:rPr>
              <w:t>1</w:t>
            </w:r>
            <w:r w:rsidR="0016507E" w:rsidRPr="00CC0DFE">
              <w:rPr>
                <w:noProof/>
                <w:webHidden/>
              </w:rPr>
              <w:fldChar w:fldCharType="end"/>
            </w:r>
          </w:hyperlink>
        </w:p>
        <w:p w14:paraId="0D5B9A6F" w14:textId="77777777" w:rsidR="0016507E" w:rsidRPr="00CC0DFE" w:rsidRDefault="004D7995">
          <w:pPr>
            <w:pStyle w:val="TDC3"/>
            <w:rPr>
              <w:rFonts w:asciiTheme="minorHAnsi" w:eastAsiaTheme="minorEastAsia" w:hAnsiTheme="minorHAnsi" w:cstheme="minorBidi"/>
              <w:noProof/>
              <w:szCs w:val="22"/>
              <w:lang w:eastAsia="es-MX"/>
            </w:rPr>
          </w:pPr>
          <w:hyperlink w:anchor="_Toc211448454" w:history="1">
            <w:r w:rsidR="0016507E" w:rsidRPr="00CC0DFE">
              <w:rPr>
                <w:rStyle w:val="Hipervnculo"/>
                <w:noProof/>
                <w:lang w:val="es-ES"/>
              </w:rPr>
              <w:t xml:space="preserve">b) Respuesta </w:t>
            </w:r>
            <w:r w:rsidR="0016507E" w:rsidRPr="00CC0DFE">
              <w:rPr>
                <w:rStyle w:val="Hipervnculo"/>
                <w:rFonts w:eastAsia="Calibri"/>
                <w:noProof/>
                <w:lang w:eastAsia="en-US"/>
              </w:rPr>
              <w:t>del Sujeto Obligado (Incompetencia)</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_Toc211448454 \h </w:instrText>
            </w:r>
            <w:r w:rsidR="0016507E" w:rsidRPr="00CC0DFE">
              <w:rPr>
                <w:noProof/>
                <w:webHidden/>
              </w:rPr>
            </w:r>
            <w:r w:rsidR="0016507E" w:rsidRPr="00CC0DFE">
              <w:rPr>
                <w:noProof/>
                <w:webHidden/>
              </w:rPr>
              <w:fldChar w:fldCharType="separate"/>
            </w:r>
            <w:r w:rsidR="00CC0DFE">
              <w:rPr>
                <w:noProof/>
                <w:webHidden/>
              </w:rPr>
              <w:t>2</w:t>
            </w:r>
            <w:r w:rsidR="0016507E" w:rsidRPr="00CC0DFE">
              <w:rPr>
                <w:noProof/>
                <w:webHidden/>
              </w:rPr>
              <w:fldChar w:fldCharType="end"/>
            </w:r>
          </w:hyperlink>
        </w:p>
        <w:p w14:paraId="0E40415C" w14:textId="77777777" w:rsidR="0016507E" w:rsidRPr="00CC0DFE" w:rsidRDefault="004D7995">
          <w:pPr>
            <w:pStyle w:val="TDC2"/>
            <w:rPr>
              <w:rFonts w:asciiTheme="minorHAnsi" w:eastAsiaTheme="minorEastAsia" w:hAnsiTheme="minorHAnsi" w:cstheme="minorBidi"/>
              <w:noProof/>
              <w:szCs w:val="22"/>
              <w:lang w:eastAsia="es-MX"/>
            </w:rPr>
          </w:pPr>
          <w:hyperlink w:anchor="_Toc211448455" w:history="1">
            <w:r w:rsidR="0016507E" w:rsidRPr="00CC0DFE">
              <w:rPr>
                <w:rStyle w:val="Hipervnculo"/>
                <w:noProof/>
              </w:rPr>
              <w:t>DEL RECURSO DE REVISIÓN</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_Toc211448455 \h </w:instrText>
            </w:r>
            <w:r w:rsidR="0016507E" w:rsidRPr="00CC0DFE">
              <w:rPr>
                <w:noProof/>
                <w:webHidden/>
              </w:rPr>
            </w:r>
            <w:r w:rsidR="0016507E" w:rsidRPr="00CC0DFE">
              <w:rPr>
                <w:noProof/>
                <w:webHidden/>
              </w:rPr>
              <w:fldChar w:fldCharType="separate"/>
            </w:r>
            <w:r w:rsidR="00CC0DFE">
              <w:rPr>
                <w:noProof/>
                <w:webHidden/>
              </w:rPr>
              <w:t>3</w:t>
            </w:r>
            <w:r w:rsidR="0016507E" w:rsidRPr="00CC0DFE">
              <w:rPr>
                <w:noProof/>
                <w:webHidden/>
              </w:rPr>
              <w:fldChar w:fldCharType="end"/>
            </w:r>
          </w:hyperlink>
        </w:p>
        <w:p w14:paraId="52182044" w14:textId="77777777" w:rsidR="0016507E" w:rsidRPr="00CC0DFE" w:rsidRDefault="004D7995">
          <w:pPr>
            <w:pStyle w:val="TDC3"/>
            <w:rPr>
              <w:rFonts w:asciiTheme="minorHAnsi" w:eastAsiaTheme="minorEastAsia" w:hAnsiTheme="minorHAnsi" w:cstheme="minorBidi"/>
              <w:noProof/>
              <w:szCs w:val="22"/>
              <w:lang w:eastAsia="es-MX"/>
            </w:rPr>
          </w:pPr>
          <w:hyperlink w:anchor="_Toc211448456" w:history="1">
            <w:r w:rsidR="0016507E" w:rsidRPr="00CC0DFE">
              <w:rPr>
                <w:rStyle w:val="Hipervnculo"/>
                <w:noProof/>
              </w:rPr>
              <w:t>a) Interposición del Recurso de Revisión</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_Toc211448456 \h </w:instrText>
            </w:r>
            <w:r w:rsidR="0016507E" w:rsidRPr="00CC0DFE">
              <w:rPr>
                <w:noProof/>
                <w:webHidden/>
              </w:rPr>
            </w:r>
            <w:r w:rsidR="0016507E" w:rsidRPr="00CC0DFE">
              <w:rPr>
                <w:noProof/>
                <w:webHidden/>
              </w:rPr>
              <w:fldChar w:fldCharType="separate"/>
            </w:r>
            <w:r w:rsidR="00CC0DFE">
              <w:rPr>
                <w:noProof/>
                <w:webHidden/>
              </w:rPr>
              <w:t>3</w:t>
            </w:r>
            <w:r w:rsidR="0016507E" w:rsidRPr="00CC0DFE">
              <w:rPr>
                <w:noProof/>
                <w:webHidden/>
              </w:rPr>
              <w:fldChar w:fldCharType="end"/>
            </w:r>
          </w:hyperlink>
        </w:p>
        <w:p w14:paraId="029AB33D" w14:textId="77777777" w:rsidR="0016507E" w:rsidRPr="00CC0DFE" w:rsidRDefault="004D7995">
          <w:pPr>
            <w:pStyle w:val="TDC3"/>
            <w:rPr>
              <w:rFonts w:asciiTheme="minorHAnsi" w:eastAsiaTheme="minorEastAsia" w:hAnsiTheme="minorHAnsi" w:cstheme="minorBidi"/>
              <w:noProof/>
              <w:szCs w:val="22"/>
              <w:lang w:eastAsia="es-MX"/>
            </w:rPr>
          </w:pPr>
          <w:hyperlink w:anchor="_Toc211448457" w:history="1">
            <w:r w:rsidR="0016507E" w:rsidRPr="00CC0DFE">
              <w:rPr>
                <w:rStyle w:val="Hipervnculo"/>
                <w:noProof/>
              </w:rPr>
              <w:t>b) Turno del Recurso de Revisión</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_Toc211448457 \h </w:instrText>
            </w:r>
            <w:r w:rsidR="0016507E" w:rsidRPr="00CC0DFE">
              <w:rPr>
                <w:noProof/>
                <w:webHidden/>
              </w:rPr>
            </w:r>
            <w:r w:rsidR="0016507E" w:rsidRPr="00CC0DFE">
              <w:rPr>
                <w:noProof/>
                <w:webHidden/>
              </w:rPr>
              <w:fldChar w:fldCharType="separate"/>
            </w:r>
            <w:r w:rsidR="00CC0DFE">
              <w:rPr>
                <w:noProof/>
                <w:webHidden/>
              </w:rPr>
              <w:t>7</w:t>
            </w:r>
            <w:r w:rsidR="0016507E" w:rsidRPr="00CC0DFE">
              <w:rPr>
                <w:noProof/>
                <w:webHidden/>
              </w:rPr>
              <w:fldChar w:fldCharType="end"/>
            </w:r>
          </w:hyperlink>
        </w:p>
        <w:p w14:paraId="03DAD92C" w14:textId="77777777" w:rsidR="0016507E" w:rsidRPr="00CC0DFE" w:rsidRDefault="004D7995">
          <w:pPr>
            <w:pStyle w:val="TDC3"/>
            <w:rPr>
              <w:rFonts w:asciiTheme="minorHAnsi" w:eastAsiaTheme="minorEastAsia" w:hAnsiTheme="minorHAnsi" w:cstheme="minorBidi"/>
              <w:noProof/>
              <w:szCs w:val="22"/>
              <w:lang w:eastAsia="es-MX"/>
            </w:rPr>
          </w:pPr>
          <w:hyperlink w:anchor="_Toc211448458" w:history="1">
            <w:r w:rsidR="0016507E" w:rsidRPr="00CC0DFE">
              <w:rPr>
                <w:rStyle w:val="Hipervnculo"/>
                <w:noProof/>
              </w:rPr>
              <w:t>c) Admisión del Recurso de Revisión</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_Toc211448458 \h </w:instrText>
            </w:r>
            <w:r w:rsidR="0016507E" w:rsidRPr="00CC0DFE">
              <w:rPr>
                <w:noProof/>
                <w:webHidden/>
              </w:rPr>
            </w:r>
            <w:r w:rsidR="0016507E" w:rsidRPr="00CC0DFE">
              <w:rPr>
                <w:noProof/>
                <w:webHidden/>
              </w:rPr>
              <w:fldChar w:fldCharType="separate"/>
            </w:r>
            <w:r w:rsidR="00CC0DFE">
              <w:rPr>
                <w:noProof/>
                <w:webHidden/>
              </w:rPr>
              <w:t>7</w:t>
            </w:r>
            <w:r w:rsidR="0016507E" w:rsidRPr="00CC0DFE">
              <w:rPr>
                <w:noProof/>
                <w:webHidden/>
              </w:rPr>
              <w:fldChar w:fldCharType="end"/>
            </w:r>
          </w:hyperlink>
        </w:p>
        <w:p w14:paraId="7DCA0E54" w14:textId="77777777" w:rsidR="0016507E" w:rsidRPr="00CC0DFE" w:rsidRDefault="004D7995">
          <w:pPr>
            <w:pStyle w:val="TDC3"/>
            <w:rPr>
              <w:rFonts w:asciiTheme="minorHAnsi" w:eastAsiaTheme="minorEastAsia" w:hAnsiTheme="minorHAnsi" w:cstheme="minorBidi"/>
              <w:noProof/>
              <w:szCs w:val="22"/>
              <w:lang w:eastAsia="es-MX"/>
            </w:rPr>
          </w:pPr>
          <w:hyperlink w:anchor="_Toc211448459" w:history="1">
            <w:r w:rsidR="0016507E" w:rsidRPr="00CC0DFE">
              <w:rPr>
                <w:rStyle w:val="Hipervnculo"/>
                <w:noProof/>
              </w:rPr>
              <w:t>d) Informe Justificado del Sujeto Obligado</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_Toc211448459 \h </w:instrText>
            </w:r>
            <w:r w:rsidR="0016507E" w:rsidRPr="00CC0DFE">
              <w:rPr>
                <w:noProof/>
                <w:webHidden/>
              </w:rPr>
            </w:r>
            <w:r w:rsidR="0016507E" w:rsidRPr="00CC0DFE">
              <w:rPr>
                <w:noProof/>
                <w:webHidden/>
              </w:rPr>
              <w:fldChar w:fldCharType="separate"/>
            </w:r>
            <w:r w:rsidR="00CC0DFE">
              <w:rPr>
                <w:noProof/>
                <w:webHidden/>
              </w:rPr>
              <w:t>8</w:t>
            </w:r>
            <w:r w:rsidR="0016507E" w:rsidRPr="00CC0DFE">
              <w:rPr>
                <w:noProof/>
                <w:webHidden/>
              </w:rPr>
              <w:fldChar w:fldCharType="end"/>
            </w:r>
          </w:hyperlink>
        </w:p>
        <w:p w14:paraId="4B9496D4" w14:textId="77777777" w:rsidR="0016507E" w:rsidRPr="00CC0DFE" w:rsidRDefault="004D7995">
          <w:pPr>
            <w:pStyle w:val="TDC3"/>
            <w:rPr>
              <w:rFonts w:asciiTheme="minorHAnsi" w:eastAsiaTheme="minorEastAsia" w:hAnsiTheme="minorHAnsi" w:cstheme="minorBidi"/>
              <w:noProof/>
              <w:szCs w:val="22"/>
              <w:lang w:eastAsia="es-MX"/>
            </w:rPr>
          </w:pPr>
          <w:hyperlink w:anchor="_Toc211448460" w:history="1">
            <w:r w:rsidR="0016507E" w:rsidRPr="00CC0DFE">
              <w:rPr>
                <w:rStyle w:val="Hipervnculo"/>
                <w:rFonts w:eastAsia="Calibri"/>
                <w:bCs/>
                <w:noProof/>
                <w:lang w:eastAsia="en-US"/>
              </w:rPr>
              <w:t>e)</w:t>
            </w:r>
            <w:r w:rsidR="0016507E" w:rsidRPr="00CC0DFE">
              <w:rPr>
                <w:rStyle w:val="Hipervnculo"/>
                <w:noProof/>
              </w:rPr>
              <w:t xml:space="preserve"> </w:t>
            </w:r>
            <w:r w:rsidR="0016507E" w:rsidRPr="00CC0DFE">
              <w:rPr>
                <w:rStyle w:val="Hipervnculo"/>
                <w:noProof/>
                <w:lang w:val="es-ES"/>
              </w:rPr>
              <w:t>Manifestaciones de la Parte Recurrente</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_Toc211448460 \h </w:instrText>
            </w:r>
            <w:r w:rsidR="0016507E" w:rsidRPr="00CC0DFE">
              <w:rPr>
                <w:noProof/>
                <w:webHidden/>
              </w:rPr>
            </w:r>
            <w:r w:rsidR="0016507E" w:rsidRPr="00CC0DFE">
              <w:rPr>
                <w:noProof/>
                <w:webHidden/>
              </w:rPr>
              <w:fldChar w:fldCharType="separate"/>
            </w:r>
            <w:r w:rsidR="00CC0DFE">
              <w:rPr>
                <w:noProof/>
                <w:webHidden/>
              </w:rPr>
              <w:t>8</w:t>
            </w:r>
            <w:r w:rsidR="0016507E" w:rsidRPr="00CC0DFE">
              <w:rPr>
                <w:noProof/>
                <w:webHidden/>
              </w:rPr>
              <w:fldChar w:fldCharType="end"/>
            </w:r>
          </w:hyperlink>
        </w:p>
        <w:p w14:paraId="1E6B2A58" w14:textId="77777777" w:rsidR="0016507E" w:rsidRPr="00CC0DFE" w:rsidRDefault="004D7995">
          <w:pPr>
            <w:pStyle w:val="TDC3"/>
            <w:rPr>
              <w:rFonts w:asciiTheme="minorHAnsi" w:eastAsiaTheme="minorEastAsia" w:hAnsiTheme="minorHAnsi" w:cstheme="minorBidi"/>
              <w:noProof/>
              <w:szCs w:val="22"/>
              <w:lang w:eastAsia="es-MX"/>
            </w:rPr>
          </w:pPr>
          <w:hyperlink w:anchor="_Toc211448461" w:history="1">
            <w:r w:rsidR="0016507E" w:rsidRPr="00CC0DFE">
              <w:rPr>
                <w:rStyle w:val="Hipervnculo"/>
                <w:rFonts w:eastAsia="Calibri"/>
                <w:noProof/>
              </w:rPr>
              <w:t>f) Ampliación de plazo para resolver el Recurso de Revisión</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_Toc211448461 \h </w:instrText>
            </w:r>
            <w:r w:rsidR="0016507E" w:rsidRPr="00CC0DFE">
              <w:rPr>
                <w:noProof/>
                <w:webHidden/>
              </w:rPr>
            </w:r>
            <w:r w:rsidR="0016507E" w:rsidRPr="00CC0DFE">
              <w:rPr>
                <w:noProof/>
                <w:webHidden/>
              </w:rPr>
              <w:fldChar w:fldCharType="separate"/>
            </w:r>
            <w:r w:rsidR="00CC0DFE">
              <w:rPr>
                <w:noProof/>
                <w:webHidden/>
              </w:rPr>
              <w:t>9</w:t>
            </w:r>
            <w:r w:rsidR="0016507E" w:rsidRPr="00CC0DFE">
              <w:rPr>
                <w:noProof/>
                <w:webHidden/>
              </w:rPr>
              <w:fldChar w:fldCharType="end"/>
            </w:r>
          </w:hyperlink>
        </w:p>
        <w:p w14:paraId="104437F4" w14:textId="77777777" w:rsidR="0016507E" w:rsidRPr="00CC0DFE" w:rsidRDefault="004D7995">
          <w:pPr>
            <w:pStyle w:val="TDC3"/>
            <w:rPr>
              <w:rFonts w:asciiTheme="minorHAnsi" w:eastAsiaTheme="minorEastAsia" w:hAnsiTheme="minorHAnsi" w:cstheme="minorBidi"/>
              <w:noProof/>
              <w:szCs w:val="22"/>
              <w:lang w:eastAsia="es-MX"/>
            </w:rPr>
          </w:pPr>
          <w:hyperlink w:anchor="_Toc211448462" w:history="1">
            <w:r w:rsidR="0016507E" w:rsidRPr="00CC0DFE">
              <w:rPr>
                <w:rStyle w:val="Hipervnculo"/>
                <w:noProof/>
              </w:rPr>
              <w:t>g) Cierre de instrucción</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_Toc211448462 \h </w:instrText>
            </w:r>
            <w:r w:rsidR="0016507E" w:rsidRPr="00CC0DFE">
              <w:rPr>
                <w:noProof/>
                <w:webHidden/>
              </w:rPr>
            </w:r>
            <w:r w:rsidR="0016507E" w:rsidRPr="00CC0DFE">
              <w:rPr>
                <w:noProof/>
                <w:webHidden/>
              </w:rPr>
              <w:fldChar w:fldCharType="separate"/>
            </w:r>
            <w:r w:rsidR="00CC0DFE">
              <w:rPr>
                <w:noProof/>
                <w:webHidden/>
              </w:rPr>
              <w:t>12</w:t>
            </w:r>
            <w:r w:rsidR="0016507E" w:rsidRPr="00CC0DFE">
              <w:rPr>
                <w:noProof/>
                <w:webHidden/>
              </w:rPr>
              <w:fldChar w:fldCharType="end"/>
            </w:r>
          </w:hyperlink>
        </w:p>
        <w:p w14:paraId="24235825" w14:textId="77777777" w:rsidR="0016507E" w:rsidRPr="00CC0DFE" w:rsidRDefault="004D7995">
          <w:pPr>
            <w:pStyle w:val="TDC1"/>
            <w:tabs>
              <w:tab w:val="right" w:leader="dot" w:pos="9034"/>
            </w:tabs>
            <w:rPr>
              <w:rFonts w:asciiTheme="minorHAnsi" w:eastAsiaTheme="minorEastAsia" w:hAnsiTheme="minorHAnsi" w:cstheme="minorBidi"/>
              <w:noProof/>
              <w:szCs w:val="22"/>
              <w:lang w:eastAsia="es-MX"/>
            </w:rPr>
          </w:pPr>
          <w:hyperlink w:anchor="_Toc211448463" w:history="1">
            <w:r w:rsidR="0016507E" w:rsidRPr="00CC0DFE">
              <w:rPr>
                <w:rStyle w:val="Hipervnculo"/>
                <w:rFonts w:eastAsiaTheme="minorHAnsi"/>
                <w:noProof/>
                <w:lang w:eastAsia="en-US"/>
              </w:rPr>
              <w:t>CONSIDERANDOS</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_Toc211448463 \h </w:instrText>
            </w:r>
            <w:r w:rsidR="0016507E" w:rsidRPr="00CC0DFE">
              <w:rPr>
                <w:noProof/>
                <w:webHidden/>
              </w:rPr>
            </w:r>
            <w:r w:rsidR="0016507E" w:rsidRPr="00CC0DFE">
              <w:rPr>
                <w:noProof/>
                <w:webHidden/>
              </w:rPr>
              <w:fldChar w:fldCharType="separate"/>
            </w:r>
            <w:r w:rsidR="00CC0DFE">
              <w:rPr>
                <w:noProof/>
                <w:webHidden/>
              </w:rPr>
              <w:t>12</w:t>
            </w:r>
            <w:r w:rsidR="0016507E" w:rsidRPr="00CC0DFE">
              <w:rPr>
                <w:noProof/>
                <w:webHidden/>
              </w:rPr>
              <w:fldChar w:fldCharType="end"/>
            </w:r>
          </w:hyperlink>
        </w:p>
        <w:p w14:paraId="7AF9485F" w14:textId="77777777" w:rsidR="0016507E" w:rsidRPr="00CC0DFE" w:rsidRDefault="004D7995">
          <w:pPr>
            <w:pStyle w:val="TDC2"/>
            <w:rPr>
              <w:rFonts w:asciiTheme="minorHAnsi" w:eastAsiaTheme="minorEastAsia" w:hAnsiTheme="minorHAnsi" w:cstheme="minorBidi"/>
              <w:noProof/>
              <w:szCs w:val="22"/>
              <w:lang w:eastAsia="es-MX"/>
            </w:rPr>
          </w:pPr>
          <w:hyperlink w:anchor="_Toc211448464" w:history="1">
            <w:r w:rsidR="0016507E" w:rsidRPr="00CC0DFE">
              <w:rPr>
                <w:rStyle w:val="Hipervnculo"/>
                <w:rFonts w:eastAsia="Batang"/>
                <w:noProof/>
              </w:rPr>
              <w:t>PRIMERO. Procedibilidad</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_Toc211448464 \h </w:instrText>
            </w:r>
            <w:r w:rsidR="0016507E" w:rsidRPr="00CC0DFE">
              <w:rPr>
                <w:noProof/>
                <w:webHidden/>
              </w:rPr>
            </w:r>
            <w:r w:rsidR="0016507E" w:rsidRPr="00CC0DFE">
              <w:rPr>
                <w:noProof/>
                <w:webHidden/>
              </w:rPr>
              <w:fldChar w:fldCharType="separate"/>
            </w:r>
            <w:r w:rsidR="00CC0DFE">
              <w:rPr>
                <w:noProof/>
                <w:webHidden/>
              </w:rPr>
              <w:t>12</w:t>
            </w:r>
            <w:r w:rsidR="0016507E" w:rsidRPr="00CC0DFE">
              <w:rPr>
                <w:noProof/>
                <w:webHidden/>
              </w:rPr>
              <w:fldChar w:fldCharType="end"/>
            </w:r>
          </w:hyperlink>
        </w:p>
        <w:p w14:paraId="485A68E9" w14:textId="77777777" w:rsidR="0016507E" w:rsidRPr="00CC0DFE" w:rsidRDefault="004D7995">
          <w:pPr>
            <w:pStyle w:val="TDC3"/>
            <w:rPr>
              <w:rFonts w:asciiTheme="minorHAnsi" w:eastAsiaTheme="minorEastAsia" w:hAnsiTheme="minorHAnsi" w:cstheme="minorBidi"/>
              <w:noProof/>
              <w:szCs w:val="22"/>
              <w:lang w:eastAsia="es-MX"/>
            </w:rPr>
          </w:pPr>
          <w:hyperlink w:anchor="_Toc211448465" w:history="1">
            <w:r w:rsidR="0016507E" w:rsidRPr="00CC0DFE">
              <w:rPr>
                <w:rStyle w:val="Hipervnculo"/>
                <w:noProof/>
              </w:rPr>
              <w:t>a) Competencia del Instituto</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_Toc211448465 \h </w:instrText>
            </w:r>
            <w:r w:rsidR="0016507E" w:rsidRPr="00CC0DFE">
              <w:rPr>
                <w:noProof/>
                <w:webHidden/>
              </w:rPr>
            </w:r>
            <w:r w:rsidR="0016507E" w:rsidRPr="00CC0DFE">
              <w:rPr>
                <w:noProof/>
                <w:webHidden/>
              </w:rPr>
              <w:fldChar w:fldCharType="separate"/>
            </w:r>
            <w:r w:rsidR="00CC0DFE">
              <w:rPr>
                <w:noProof/>
                <w:webHidden/>
              </w:rPr>
              <w:t>12</w:t>
            </w:r>
            <w:r w:rsidR="0016507E" w:rsidRPr="00CC0DFE">
              <w:rPr>
                <w:noProof/>
                <w:webHidden/>
              </w:rPr>
              <w:fldChar w:fldCharType="end"/>
            </w:r>
          </w:hyperlink>
        </w:p>
        <w:p w14:paraId="4F778AFC" w14:textId="77777777" w:rsidR="0016507E" w:rsidRPr="00CC0DFE" w:rsidRDefault="004D7995">
          <w:pPr>
            <w:pStyle w:val="TDC3"/>
            <w:rPr>
              <w:rFonts w:asciiTheme="minorHAnsi" w:eastAsiaTheme="minorEastAsia" w:hAnsiTheme="minorHAnsi" w:cstheme="minorBidi"/>
              <w:noProof/>
              <w:szCs w:val="22"/>
              <w:lang w:eastAsia="es-MX"/>
            </w:rPr>
          </w:pPr>
          <w:hyperlink w:anchor="_Toc211448466" w:history="1">
            <w:r w:rsidR="0016507E" w:rsidRPr="00CC0DFE">
              <w:rPr>
                <w:rStyle w:val="Hipervnculo"/>
                <w:noProof/>
              </w:rPr>
              <w:t>b) Legitimidad de la parte recurrente</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_Toc211448466 \h </w:instrText>
            </w:r>
            <w:r w:rsidR="0016507E" w:rsidRPr="00CC0DFE">
              <w:rPr>
                <w:noProof/>
                <w:webHidden/>
              </w:rPr>
            </w:r>
            <w:r w:rsidR="0016507E" w:rsidRPr="00CC0DFE">
              <w:rPr>
                <w:noProof/>
                <w:webHidden/>
              </w:rPr>
              <w:fldChar w:fldCharType="separate"/>
            </w:r>
            <w:r w:rsidR="00CC0DFE">
              <w:rPr>
                <w:noProof/>
                <w:webHidden/>
              </w:rPr>
              <w:t>13</w:t>
            </w:r>
            <w:r w:rsidR="0016507E" w:rsidRPr="00CC0DFE">
              <w:rPr>
                <w:noProof/>
                <w:webHidden/>
              </w:rPr>
              <w:fldChar w:fldCharType="end"/>
            </w:r>
          </w:hyperlink>
        </w:p>
        <w:p w14:paraId="381BC54E" w14:textId="77777777" w:rsidR="0016507E" w:rsidRPr="00CC0DFE" w:rsidRDefault="004D7995">
          <w:pPr>
            <w:pStyle w:val="TDC3"/>
            <w:rPr>
              <w:rFonts w:asciiTheme="minorHAnsi" w:eastAsiaTheme="minorEastAsia" w:hAnsiTheme="minorHAnsi" w:cstheme="minorBidi"/>
              <w:noProof/>
              <w:szCs w:val="22"/>
              <w:lang w:eastAsia="es-MX"/>
            </w:rPr>
          </w:pPr>
          <w:hyperlink w:anchor="_Toc211448467" w:history="1">
            <w:r w:rsidR="0016507E" w:rsidRPr="00CC0DFE">
              <w:rPr>
                <w:rStyle w:val="Hipervnculo"/>
                <w:rFonts w:eastAsia="Calibri"/>
                <w:noProof/>
                <w:lang w:eastAsia="es-ES_tradnl"/>
              </w:rPr>
              <w:t>c) Plazo para interponer el recurso</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_Toc211448467 \h </w:instrText>
            </w:r>
            <w:r w:rsidR="0016507E" w:rsidRPr="00CC0DFE">
              <w:rPr>
                <w:noProof/>
                <w:webHidden/>
              </w:rPr>
            </w:r>
            <w:r w:rsidR="0016507E" w:rsidRPr="00CC0DFE">
              <w:rPr>
                <w:noProof/>
                <w:webHidden/>
              </w:rPr>
              <w:fldChar w:fldCharType="separate"/>
            </w:r>
            <w:r w:rsidR="00CC0DFE">
              <w:rPr>
                <w:noProof/>
                <w:webHidden/>
              </w:rPr>
              <w:t>13</w:t>
            </w:r>
            <w:r w:rsidR="0016507E" w:rsidRPr="00CC0DFE">
              <w:rPr>
                <w:noProof/>
                <w:webHidden/>
              </w:rPr>
              <w:fldChar w:fldCharType="end"/>
            </w:r>
          </w:hyperlink>
        </w:p>
        <w:p w14:paraId="1C6D206C" w14:textId="77777777" w:rsidR="0016507E" w:rsidRPr="00CC0DFE" w:rsidRDefault="004D7995">
          <w:pPr>
            <w:pStyle w:val="TDC3"/>
            <w:rPr>
              <w:rFonts w:asciiTheme="minorHAnsi" w:eastAsiaTheme="minorEastAsia" w:hAnsiTheme="minorHAnsi" w:cstheme="minorBidi"/>
              <w:noProof/>
              <w:szCs w:val="22"/>
              <w:lang w:eastAsia="es-MX"/>
            </w:rPr>
          </w:pPr>
          <w:hyperlink w:anchor="_Toc211448468" w:history="1">
            <w:r w:rsidR="0016507E" w:rsidRPr="00CC0DFE">
              <w:rPr>
                <w:rStyle w:val="Hipervnculo"/>
                <w:rFonts w:eastAsia="Calibri"/>
                <w:noProof/>
                <w:lang w:eastAsia="es-ES_tradnl"/>
              </w:rPr>
              <w:t>d) Causal de Procedencia</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_Toc211448468 \h </w:instrText>
            </w:r>
            <w:r w:rsidR="0016507E" w:rsidRPr="00CC0DFE">
              <w:rPr>
                <w:noProof/>
                <w:webHidden/>
              </w:rPr>
            </w:r>
            <w:r w:rsidR="0016507E" w:rsidRPr="00CC0DFE">
              <w:rPr>
                <w:noProof/>
                <w:webHidden/>
              </w:rPr>
              <w:fldChar w:fldCharType="separate"/>
            </w:r>
            <w:r w:rsidR="00CC0DFE">
              <w:rPr>
                <w:noProof/>
                <w:webHidden/>
              </w:rPr>
              <w:t>13</w:t>
            </w:r>
            <w:r w:rsidR="0016507E" w:rsidRPr="00CC0DFE">
              <w:rPr>
                <w:noProof/>
                <w:webHidden/>
              </w:rPr>
              <w:fldChar w:fldCharType="end"/>
            </w:r>
          </w:hyperlink>
        </w:p>
        <w:p w14:paraId="218195F8" w14:textId="77777777" w:rsidR="0016507E" w:rsidRPr="00CC0DFE" w:rsidRDefault="004D7995">
          <w:pPr>
            <w:pStyle w:val="TDC3"/>
            <w:rPr>
              <w:rFonts w:asciiTheme="minorHAnsi" w:eastAsiaTheme="minorEastAsia" w:hAnsiTheme="minorHAnsi" w:cstheme="minorBidi"/>
              <w:noProof/>
              <w:szCs w:val="22"/>
              <w:lang w:eastAsia="es-MX"/>
            </w:rPr>
          </w:pPr>
          <w:hyperlink w:anchor="_Toc211448469" w:history="1">
            <w:r w:rsidR="0016507E" w:rsidRPr="00CC0DFE">
              <w:rPr>
                <w:rStyle w:val="Hipervnculo"/>
                <w:noProof/>
              </w:rPr>
              <w:t>e) Requisitos formales para la interposición del recurso</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_Toc211448469 \h </w:instrText>
            </w:r>
            <w:r w:rsidR="0016507E" w:rsidRPr="00CC0DFE">
              <w:rPr>
                <w:noProof/>
                <w:webHidden/>
              </w:rPr>
            </w:r>
            <w:r w:rsidR="0016507E" w:rsidRPr="00CC0DFE">
              <w:rPr>
                <w:noProof/>
                <w:webHidden/>
              </w:rPr>
              <w:fldChar w:fldCharType="separate"/>
            </w:r>
            <w:r w:rsidR="00CC0DFE">
              <w:rPr>
                <w:noProof/>
                <w:webHidden/>
              </w:rPr>
              <w:t>13</w:t>
            </w:r>
            <w:r w:rsidR="0016507E" w:rsidRPr="00CC0DFE">
              <w:rPr>
                <w:noProof/>
                <w:webHidden/>
              </w:rPr>
              <w:fldChar w:fldCharType="end"/>
            </w:r>
          </w:hyperlink>
        </w:p>
        <w:p w14:paraId="0363108E" w14:textId="77777777" w:rsidR="0016507E" w:rsidRPr="00CC0DFE" w:rsidRDefault="004D7995">
          <w:pPr>
            <w:pStyle w:val="TDC2"/>
            <w:rPr>
              <w:rFonts w:asciiTheme="minorHAnsi" w:eastAsiaTheme="minorEastAsia" w:hAnsiTheme="minorHAnsi" w:cstheme="minorBidi"/>
              <w:noProof/>
              <w:szCs w:val="22"/>
              <w:lang w:eastAsia="es-MX"/>
            </w:rPr>
          </w:pPr>
          <w:hyperlink w:anchor="_Toc211448470" w:history="1">
            <w:r w:rsidR="0016507E" w:rsidRPr="00CC0DFE">
              <w:rPr>
                <w:rStyle w:val="Hipervnculo"/>
                <w:noProof/>
              </w:rPr>
              <w:t>SEGUNDO. Estudio de Fondo</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_Toc211448470 \h </w:instrText>
            </w:r>
            <w:r w:rsidR="0016507E" w:rsidRPr="00CC0DFE">
              <w:rPr>
                <w:noProof/>
                <w:webHidden/>
              </w:rPr>
            </w:r>
            <w:r w:rsidR="0016507E" w:rsidRPr="00CC0DFE">
              <w:rPr>
                <w:noProof/>
                <w:webHidden/>
              </w:rPr>
              <w:fldChar w:fldCharType="separate"/>
            </w:r>
            <w:r w:rsidR="00CC0DFE">
              <w:rPr>
                <w:noProof/>
                <w:webHidden/>
              </w:rPr>
              <w:t>14</w:t>
            </w:r>
            <w:r w:rsidR="0016507E" w:rsidRPr="00CC0DFE">
              <w:rPr>
                <w:noProof/>
                <w:webHidden/>
              </w:rPr>
              <w:fldChar w:fldCharType="end"/>
            </w:r>
          </w:hyperlink>
        </w:p>
        <w:p w14:paraId="0A7ED9AD" w14:textId="77777777" w:rsidR="0016507E" w:rsidRPr="00CC0DFE" w:rsidRDefault="004D7995">
          <w:pPr>
            <w:pStyle w:val="TDC3"/>
            <w:rPr>
              <w:rFonts w:asciiTheme="minorHAnsi" w:eastAsiaTheme="minorEastAsia" w:hAnsiTheme="minorHAnsi" w:cstheme="minorBidi"/>
              <w:noProof/>
              <w:szCs w:val="22"/>
              <w:lang w:eastAsia="es-MX"/>
            </w:rPr>
          </w:pPr>
          <w:hyperlink w:anchor="_Toc211448471" w:history="1">
            <w:r w:rsidR="0016507E" w:rsidRPr="00CC0DFE">
              <w:rPr>
                <w:rStyle w:val="Hipervnculo"/>
                <w:noProof/>
              </w:rPr>
              <w:t>a) Mandato de transparencia y responsabilidad del Sujeto Obligado</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_Toc211448471 \h </w:instrText>
            </w:r>
            <w:r w:rsidR="0016507E" w:rsidRPr="00CC0DFE">
              <w:rPr>
                <w:noProof/>
                <w:webHidden/>
              </w:rPr>
            </w:r>
            <w:r w:rsidR="0016507E" w:rsidRPr="00CC0DFE">
              <w:rPr>
                <w:noProof/>
                <w:webHidden/>
              </w:rPr>
              <w:fldChar w:fldCharType="separate"/>
            </w:r>
            <w:r w:rsidR="00CC0DFE">
              <w:rPr>
                <w:noProof/>
                <w:webHidden/>
              </w:rPr>
              <w:t>14</w:t>
            </w:r>
            <w:r w:rsidR="0016507E" w:rsidRPr="00CC0DFE">
              <w:rPr>
                <w:noProof/>
                <w:webHidden/>
              </w:rPr>
              <w:fldChar w:fldCharType="end"/>
            </w:r>
          </w:hyperlink>
        </w:p>
        <w:p w14:paraId="3F717D44" w14:textId="77777777" w:rsidR="0016507E" w:rsidRPr="00CC0DFE" w:rsidRDefault="004D7995">
          <w:pPr>
            <w:pStyle w:val="TDC3"/>
            <w:rPr>
              <w:rFonts w:asciiTheme="minorHAnsi" w:eastAsiaTheme="minorEastAsia" w:hAnsiTheme="minorHAnsi" w:cstheme="minorBidi"/>
              <w:noProof/>
              <w:szCs w:val="22"/>
              <w:lang w:eastAsia="es-MX"/>
            </w:rPr>
          </w:pPr>
          <w:hyperlink w:anchor="_Toc211448472" w:history="1">
            <w:r w:rsidR="0016507E" w:rsidRPr="00CC0DFE">
              <w:rPr>
                <w:rStyle w:val="Hipervnculo"/>
                <w:rFonts w:eastAsia="Calibri"/>
                <w:noProof/>
                <w:lang w:eastAsia="es-ES_tradnl"/>
              </w:rPr>
              <w:t>b) Controversia a resolver</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_Toc211448472 \h </w:instrText>
            </w:r>
            <w:r w:rsidR="0016507E" w:rsidRPr="00CC0DFE">
              <w:rPr>
                <w:noProof/>
                <w:webHidden/>
              </w:rPr>
            </w:r>
            <w:r w:rsidR="0016507E" w:rsidRPr="00CC0DFE">
              <w:rPr>
                <w:noProof/>
                <w:webHidden/>
              </w:rPr>
              <w:fldChar w:fldCharType="separate"/>
            </w:r>
            <w:r w:rsidR="00CC0DFE">
              <w:rPr>
                <w:noProof/>
                <w:webHidden/>
              </w:rPr>
              <w:t>17</w:t>
            </w:r>
            <w:r w:rsidR="0016507E" w:rsidRPr="00CC0DFE">
              <w:rPr>
                <w:noProof/>
                <w:webHidden/>
              </w:rPr>
              <w:fldChar w:fldCharType="end"/>
            </w:r>
          </w:hyperlink>
        </w:p>
        <w:p w14:paraId="7FDF751D" w14:textId="77777777" w:rsidR="0016507E" w:rsidRPr="00CC0DFE" w:rsidRDefault="004D7995">
          <w:pPr>
            <w:pStyle w:val="TDC3"/>
            <w:rPr>
              <w:rFonts w:asciiTheme="minorHAnsi" w:eastAsiaTheme="minorEastAsia" w:hAnsiTheme="minorHAnsi" w:cstheme="minorBidi"/>
              <w:noProof/>
              <w:szCs w:val="22"/>
              <w:lang w:eastAsia="es-MX"/>
            </w:rPr>
          </w:pPr>
          <w:hyperlink w:anchor="_Toc211448473" w:history="1">
            <w:r w:rsidR="0016507E" w:rsidRPr="00CC0DFE">
              <w:rPr>
                <w:rStyle w:val="Hipervnculo"/>
                <w:noProof/>
              </w:rPr>
              <w:t>c) Estudio de la controversia</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_Toc211448473 \h </w:instrText>
            </w:r>
            <w:r w:rsidR="0016507E" w:rsidRPr="00CC0DFE">
              <w:rPr>
                <w:noProof/>
                <w:webHidden/>
              </w:rPr>
            </w:r>
            <w:r w:rsidR="0016507E" w:rsidRPr="00CC0DFE">
              <w:rPr>
                <w:noProof/>
                <w:webHidden/>
              </w:rPr>
              <w:fldChar w:fldCharType="separate"/>
            </w:r>
            <w:r w:rsidR="00CC0DFE">
              <w:rPr>
                <w:noProof/>
                <w:webHidden/>
              </w:rPr>
              <w:t>18</w:t>
            </w:r>
            <w:r w:rsidR="0016507E" w:rsidRPr="00CC0DFE">
              <w:rPr>
                <w:noProof/>
                <w:webHidden/>
              </w:rPr>
              <w:fldChar w:fldCharType="end"/>
            </w:r>
          </w:hyperlink>
        </w:p>
        <w:p w14:paraId="3A9CCA74" w14:textId="77777777" w:rsidR="0016507E" w:rsidRPr="00CC0DFE" w:rsidRDefault="004D7995">
          <w:pPr>
            <w:pStyle w:val="TDC3"/>
            <w:rPr>
              <w:rFonts w:asciiTheme="minorHAnsi" w:eastAsiaTheme="minorEastAsia" w:hAnsiTheme="minorHAnsi" w:cstheme="minorBidi"/>
              <w:noProof/>
              <w:szCs w:val="22"/>
              <w:lang w:eastAsia="es-MX"/>
            </w:rPr>
          </w:pPr>
          <w:hyperlink w:anchor="_Toc211448474" w:history="1">
            <w:r w:rsidR="0016507E" w:rsidRPr="00CC0DFE">
              <w:rPr>
                <w:rStyle w:val="Hipervnculo"/>
                <w:noProof/>
              </w:rPr>
              <w:t>d) Versión pública</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_Toc211448474 \h </w:instrText>
            </w:r>
            <w:r w:rsidR="0016507E" w:rsidRPr="00CC0DFE">
              <w:rPr>
                <w:noProof/>
                <w:webHidden/>
              </w:rPr>
            </w:r>
            <w:r w:rsidR="0016507E" w:rsidRPr="00CC0DFE">
              <w:rPr>
                <w:noProof/>
                <w:webHidden/>
              </w:rPr>
              <w:fldChar w:fldCharType="separate"/>
            </w:r>
            <w:r w:rsidR="00CC0DFE">
              <w:rPr>
                <w:noProof/>
                <w:webHidden/>
              </w:rPr>
              <w:t>39</w:t>
            </w:r>
            <w:r w:rsidR="0016507E" w:rsidRPr="00CC0DFE">
              <w:rPr>
                <w:noProof/>
                <w:webHidden/>
              </w:rPr>
              <w:fldChar w:fldCharType="end"/>
            </w:r>
          </w:hyperlink>
        </w:p>
        <w:p w14:paraId="2C0F93CA" w14:textId="77777777" w:rsidR="0016507E" w:rsidRPr="00CC0DFE" w:rsidRDefault="004D7995">
          <w:pPr>
            <w:pStyle w:val="TDC3"/>
            <w:rPr>
              <w:rFonts w:asciiTheme="minorHAnsi" w:eastAsiaTheme="minorEastAsia" w:hAnsiTheme="minorHAnsi" w:cstheme="minorBidi"/>
              <w:noProof/>
              <w:szCs w:val="22"/>
              <w:lang w:eastAsia="es-MX"/>
            </w:rPr>
          </w:pPr>
          <w:hyperlink w:anchor="_Toc211448475" w:history="1">
            <w:r w:rsidR="0016507E" w:rsidRPr="00CC0DFE">
              <w:rPr>
                <w:rStyle w:val="Hipervnculo"/>
                <w:noProof/>
              </w:rPr>
              <w:t>e) Conclusión</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_Toc211448475 \h </w:instrText>
            </w:r>
            <w:r w:rsidR="0016507E" w:rsidRPr="00CC0DFE">
              <w:rPr>
                <w:noProof/>
                <w:webHidden/>
              </w:rPr>
            </w:r>
            <w:r w:rsidR="0016507E" w:rsidRPr="00CC0DFE">
              <w:rPr>
                <w:noProof/>
                <w:webHidden/>
              </w:rPr>
              <w:fldChar w:fldCharType="separate"/>
            </w:r>
            <w:r w:rsidR="00CC0DFE">
              <w:rPr>
                <w:noProof/>
                <w:webHidden/>
              </w:rPr>
              <w:t>50</w:t>
            </w:r>
            <w:r w:rsidR="0016507E" w:rsidRPr="00CC0DFE">
              <w:rPr>
                <w:noProof/>
                <w:webHidden/>
              </w:rPr>
              <w:fldChar w:fldCharType="end"/>
            </w:r>
          </w:hyperlink>
        </w:p>
        <w:p w14:paraId="6CA58971" w14:textId="77777777" w:rsidR="0016507E" w:rsidRPr="00CC0DFE" w:rsidRDefault="004D7995">
          <w:pPr>
            <w:pStyle w:val="TDC1"/>
            <w:tabs>
              <w:tab w:val="right" w:leader="dot" w:pos="9034"/>
            </w:tabs>
            <w:rPr>
              <w:rFonts w:asciiTheme="minorHAnsi" w:eastAsiaTheme="minorEastAsia" w:hAnsiTheme="minorHAnsi" w:cstheme="minorBidi"/>
              <w:noProof/>
              <w:szCs w:val="22"/>
              <w:lang w:eastAsia="es-MX"/>
            </w:rPr>
          </w:pPr>
          <w:hyperlink w:anchor="_Toc211448476" w:history="1">
            <w:r w:rsidR="0016507E" w:rsidRPr="00CC0DFE">
              <w:rPr>
                <w:rStyle w:val="Hipervnculo"/>
                <w:noProof/>
              </w:rPr>
              <w:t>RESUELVE</w:t>
            </w:r>
            <w:r w:rsidR="0016507E" w:rsidRPr="00CC0DFE">
              <w:rPr>
                <w:noProof/>
                <w:webHidden/>
              </w:rPr>
              <w:tab/>
            </w:r>
            <w:r w:rsidR="0016507E" w:rsidRPr="00CC0DFE">
              <w:rPr>
                <w:noProof/>
                <w:webHidden/>
              </w:rPr>
              <w:fldChar w:fldCharType="begin"/>
            </w:r>
            <w:r w:rsidR="0016507E" w:rsidRPr="00CC0DFE">
              <w:rPr>
                <w:noProof/>
                <w:webHidden/>
              </w:rPr>
              <w:instrText xml:space="preserve"> PAGEREF _Toc211448476 \h </w:instrText>
            </w:r>
            <w:r w:rsidR="0016507E" w:rsidRPr="00CC0DFE">
              <w:rPr>
                <w:noProof/>
                <w:webHidden/>
              </w:rPr>
            </w:r>
            <w:r w:rsidR="0016507E" w:rsidRPr="00CC0DFE">
              <w:rPr>
                <w:noProof/>
                <w:webHidden/>
              </w:rPr>
              <w:fldChar w:fldCharType="separate"/>
            </w:r>
            <w:r w:rsidR="00CC0DFE">
              <w:rPr>
                <w:noProof/>
                <w:webHidden/>
              </w:rPr>
              <w:t>50</w:t>
            </w:r>
            <w:r w:rsidR="0016507E" w:rsidRPr="00CC0DFE">
              <w:rPr>
                <w:noProof/>
                <w:webHidden/>
              </w:rPr>
              <w:fldChar w:fldCharType="end"/>
            </w:r>
          </w:hyperlink>
        </w:p>
        <w:p w14:paraId="0C82FD7A" w14:textId="0259FFC6" w:rsidR="009B2945" w:rsidRPr="00CC0DFE" w:rsidRDefault="00AE3DA7" w:rsidP="0016507E">
          <w:pPr>
            <w:spacing w:line="240" w:lineRule="auto"/>
            <w:rPr>
              <w:b/>
              <w:bCs/>
              <w:lang w:val="es-ES"/>
            </w:rPr>
          </w:pPr>
          <w:r w:rsidRPr="00CC0DFE">
            <w:rPr>
              <w:b/>
              <w:bCs/>
              <w:sz w:val="16"/>
              <w:szCs w:val="16"/>
              <w:lang w:val="es-ES"/>
            </w:rPr>
            <w:fldChar w:fldCharType="end"/>
          </w:r>
        </w:p>
      </w:sdtContent>
    </w:sdt>
    <w:p w14:paraId="603A07E2" w14:textId="77777777" w:rsidR="00646436" w:rsidRPr="00CC0DFE" w:rsidRDefault="00646436" w:rsidP="0016507E">
      <w:pPr>
        <w:rPr>
          <w:rFonts w:cs="Tahoma"/>
          <w:szCs w:val="22"/>
        </w:rPr>
        <w:sectPr w:rsidR="00646436" w:rsidRPr="00CC0DFE"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596A4D2" w:rsidR="00775BFC" w:rsidRPr="00CC0DFE" w:rsidRDefault="00775BFC" w:rsidP="0016507E">
      <w:r w:rsidRPr="00CC0DFE">
        <w:lastRenderedPageBreak/>
        <w:t>Resolución del Pleno del Instituto de Transparencia, Acceso a la Información Pública y Protección de Datos Personales del Estado de México y Municipios, con domicilio en Metepec, Estado de México, de</w:t>
      </w:r>
      <w:r w:rsidR="0016507E" w:rsidRPr="00CC0DFE">
        <w:t>l</w:t>
      </w:r>
      <w:r w:rsidRPr="00CC0DFE">
        <w:t xml:space="preserve"> </w:t>
      </w:r>
      <w:r w:rsidR="003F79FC" w:rsidRPr="00CC0DFE">
        <w:rPr>
          <w:b/>
        </w:rPr>
        <w:t>quince de octubre de dos mil veinticinco</w:t>
      </w:r>
      <w:r w:rsidR="007F6B68" w:rsidRPr="00CC0DFE">
        <w:rPr>
          <w:b/>
        </w:rPr>
        <w:t>.</w:t>
      </w:r>
    </w:p>
    <w:p w14:paraId="0AF3AAC4" w14:textId="77777777" w:rsidR="00775BFC" w:rsidRPr="00CC0DFE" w:rsidRDefault="00775BFC" w:rsidP="0016507E"/>
    <w:p w14:paraId="40EAE038" w14:textId="53F0D7DC" w:rsidR="00775BFC" w:rsidRPr="00CC0DFE" w:rsidRDefault="00775BFC" w:rsidP="0016507E">
      <w:r w:rsidRPr="00CC0DFE">
        <w:rPr>
          <w:b/>
        </w:rPr>
        <w:t xml:space="preserve">VISTO </w:t>
      </w:r>
      <w:r w:rsidRPr="00CC0DFE">
        <w:t xml:space="preserve">el expediente formado con motivo del Recurso de Revisión </w:t>
      </w:r>
      <w:r w:rsidR="003F79FC" w:rsidRPr="00CC0DFE">
        <w:rPr>
          <w:rFonts w:eastAsia="Calibri"/>
          <w:b/>
          <w:lang w:eastAsia="en-US"/>
        </w:rPr>
        <w:t>03247</w:t>
      </w:r>
      <w:r w:rsidRPr="00CC0DFE">
        <w:rPr>
          <w:rFonts w:eastAsia="Calibri"/>
          <w:b/>
          <w:lang w:eastAsia="en-US"/>
        </w:rPr>
        <w:t>/INFOEM/IP/RR/</w:t>
      </w:r>
      <w:r w:rsidR="003F79FC" w:rsidRPr="00CC0DFE">
        <w:rPr>
          <w:rFonts w:eastAsia="Calibri"/>
          <w:b/>
          <w:lang w:eastAsia="en-US"/>
        </w:rPr>
        <w:t>2025</w:t>
      </w:r>
      <w:r w:rsidRPr="00CC0DFE">
        <w:rPr>
          <w:rFonts w:eastAsia="Calibri"/>
          <w:lang w:eastAsia="en-US"/>
        </w:rPr>
        <w:t xml:space="preserve"> </w:t>
      </w:r>
      <w:r w:rsidRPr="00CC0DFE">
        <w:t xml:space="preserve">interpuesto </w:t>
      </w:r>
      <w:r w:rsidR="003F79FC" w:rsidRPr="00CC0DFE">
        <w:t xml:space="preserve">de </w:t>
      </w:r>
      <w:r w:rsidR="003F79FC" w:rsidRPr="00CC0DFE">
        <w:rPr>
          <w:b/>
        </w:rPr>
        <w:t>manera anónima</w:t>
      </w:r>
      <w:r w:rsidRPr="00CC0DFE">
        <w:t xml:space="preserve">, a quien en lo subsecuente se le denominará </w:t>
      </w:r>
      <w:r w:rsidRPr="00CC0DFE">
        <w:rPr>
          <w:b/>
          <w:bCs/>
        </w:rPr>
        <w:t>LA PARTE RECURRENTE</w:t>
      </w:r>
      <w:r w:rsidRPr="00CC0DFE">
        <w:t xml:space="preserve">, en contra de la respuesta emitida por </w:t>
      </w:r>
      <w:r w:rsidR="003F79FC" w:rsidRPr="00CC0DFE">
        <w:rPr>
          <w:b/>
        </w:rPr>
        <w:t>Sistema Municipal Para el Desarrollo Integral de la Familia de Tepotzotlán</w:t>
      </w:r>
      <w:r w:rsidRPr="00CC0DFE">
        <w:t xml:space="preserve">, en adelante </w:t>
      </w:r>
      <w:r w:rsidRPr="00CC0DFE">
        <w:rPr>
          <w:b/>
          <w:bCs/>
        </w:rPr>
        <w:t>EL SUJETO OBLIGADO</w:t>
      </w:r>
      <w:r w:rsidRPr="00CC0DFE">
        <w:rPr>
          <w:rFonts w:eastAsia="Calibri"/>
          <w:lang w:eastAsia="en-US"/>
        </w:rPr>
        <w:t xml:space="preserve">, </w:t>
      </w:r>
      <w:r w:rsidRPr="00CC0DFE">
        <w:t>se emite la presente Resolución con base en los Antecedentes y Considerandos que se exponen a continuación:</w:t>
      </w:r>
    </w:p>
    <w:p w14:paraId="2116968C" w14:textId="77777777" w:rsidR="00775BFC" w:rsidRPr="00CC0DFE" w:rsidRDefault="00775BFC" w:rsidP="0016507E"/>
    <w:p w14:paraId="5A444FB6" w14:textId="639D3567" w:rsidR="00664420" w:rsidRPr="00CC0DFE" w:rsidRDefault="00664420" w:rsidP="0016507E">
      <w:pPr>
        <w:pStyle w:val="Ttulo1"/>
      </w:pPr>
      <w:bookmarkStart w:id="2" w:name="_Toc211448451"/>
      <w:r w:rsidRPr="00CC0DFE">
        <w:t>ANTECEDENTES</w:t>
      </w:r>
      <w:bookmarkEnd w:id="2"/>
    </w:p>
    <w:p w14:paraId="5CB5034E" w14:textId="77777777" w:rsidR="00AC2DB8" w:rsidRPr="00CC0DFE" w:rsidRDefault="00AC2DB8" w:rsidP="0016507E"/>
    <w:p w14:paraId="09B2D38F" w14:textId="6E49D146" w:rsidR="00664420" w:rsidRPr="00CC0DFE" w:rsidRDefault="00E37A3F" w:rsidP="0016507E">
      <w:pPr>
        <w:pStyle w:val="Ttulo2"/>
      </w:pPr>
      <w:bookmarkStart w:id="3" w:name="_Toc211448452"/>
      <w:r w:rsidRPr="00CC0DFE">
        <w:t>DE LA SOLICITUD DE INFORMACIÓN</w:t>
      </w:r>
      <w:bookmarkEnd w:id="3"/>
    </w:p>
    <w:p w14:paraId="2C6AD1A5" w14:textId="0405B3CD" w:rsidR="00664420" w:rsidRPr="00CC0DFE" w:rsidRDefault="00E37A3F" w:rsidP="0016507E">
      <w:pPr>
        <w:pStyle w:val="Ttulo3"/>
      </w:pPr>
      <w:bookmarkStart w:id="4" w:name="_Toc211448453"/>
      <w:r w:rsidRPr="00CC0DFE">
        <w:t xml:space="preserve">a) </w:t>
      </w:r>
      <w:r w:rsidR="006B10B0" w:rsidRPr="00CC0DFE">
        <w:t>S</w:t>
      </w:r>
      <w:r w:rsidR="00664420" w:rsidRPr="00CC0DFE">
        <w:t xml:space="preserve">olicitud de </w:t>
      </w:r>
      <w:r w:rsidR="006B10B0" w:rsidRPr="00CC0DFE">
        <w:t>i</w:t>
      </w:r>
      <w:r w:rsidR="00664420" w:rsidRPr="00CC0DFE">
        <w:t>nformación</w:t>
      </w:r>
      <w:bookmarkEnd w:id="4"/>
    </w:p>
    <w:p w14:paraId="06DCD29D" w14:textId="7AC1B9F9" w:rsidR="009A2D78" w:rsidRPr="00CC0DFE" w:rsidRDefault="006B10B0" w:rsidP="0016507E">
      <w:pPr>
        <w:pStyle w:val="Prrafodelista"/>
        <w:tabs>
          <w:tab w:val="left" w:pos="0"/>
        </w:tabs>
        <w:ind w:left="0"/>
        <w:contextualSpacing w:val="0"/>
        <w:rPr>
          <w:rFonts w:cs="Tahoma"/>
        </w:rPr>
      </w:pPr>
      <w:r w:rsidRPr="00CC0DFE">
        <w:rPr>
          <w:rFonts w:cs="Tahoma"/>
        </w:rPr>
        <w:t>El</w:t>
      </w:r>
      <w:r w:rsidR="00664420" w:rsidRPr="00CC0DFE">
        <w:rPr>
          <w:rFonts w:cs="Tahoma"/>
        </w:rPr>
        <w:t xml:space="preserve"> </w:t>
      </w:r>
      <w:r w:rsidR="003F79FC" w:rsidRPr="00CC0DFE">
        <w:rPr>
          <w:rFonts w:cs="Tahoma"/>
          <w:b/>
        </w:rPr>
        <w:t>ocho de marzo de dos mil veinticinco</w:t>
      </w:r>
      <w:r w:rsidR="00664420" w:rsidRPr="00CC0DFE">
        <w:rPr>
          <w:rFonts w:cs="Tahoma"/>
        </w:rPr>
        <w:t xml:space="preserve">, </w:t>
      </w:r>
      <w:r w:rsidRPr="00CC0DFE">
        <w:rPr>
          <w:b/>
          <w:bCs/>
        </w:rPr>
        <w:t>LA PARTE RECURRENTE</w:t>
      </w:r>
      <w:r w:rsidR="00664420" w:rsidRPr="00CC0DFE">
        <w:rPr>
          <w:rFonts w:cs="Tahoma"/>
        </w:rPr>
        <w:t xml:space="preserve"> presentó una solicitud de acceso a la información pública </w:t>
      </w:r>
      <w:r w:rsidR="001F3515" w:rsidRPr="00CC0DFE">
        <w:rPr>
          <w:rFonts w:cs="Tahoma"/>
        </w:rPr>
        <w:t xml:space="preserve">ante el </w:t>
      </w:r>
      <w:r w:rsidR="001F3515" w:rsidRPr="00CC0DFE">
        <w:rPr>
          <w:rFonts w:cs="Tahoma"/>
          <w:b/>
          <w:bCs/>
        </w:rPr>
        <w:t>SUJETO OBLIGADO</w:t>
      </w:r>
      <w:r w:rsidR="001F3515" w:rsidRPr="00CC0DFE">
        <w:rPr>
          <w:rFonts w:cs="Tahoma"/>
        </w:rPr>
        <w:t xml:space="preserve">, </w:t>
      </w:r>
      <w:r w:rsidR="00664420" w:rsidRPr="00CC0DFE">
        <w:rPr>
          <w:rFonts w:cs="Tahoma"/>
        </w:rPr>
        <w:t>a través del Sistema de Acceso a la Información Mexiquense</w:t>
      </w:r>
      <w:r w:rsidRPr="00CC0DFE">
        <w:rPr>
          <w:rFonts w:cs="Tahoma"/>
        </w:rPr>
        <w:t xml:space="preserve"> </w:t>
      </w:r>
      <w:r w:rsidR="009A2D78" w:rsidRPr="00CC0DFE">
        <w:rPr>
          <w:rFonts w:cs="Tahoma"/>
        </w:rPr>
        <w:t>(</w:t>
      </w:r>
      <w:r w:rsidRPr="00CC0DFE">
        <w:rPr>
          <w:rFonts w:cs="Tahoma"/>
          <w:b/>
        </w:rPr>
        <w:t>SAIMEX</w:t>
      </w:r>
      <w:r w:rsidR="009A2D78" w:rsidRPr="00CC0DFE">
        <w:rPr>
          <w:rFonts w:cs="Tahoma"/>
        </w:rPr>
        <w:t>). Dicha solicitud quedó</w:t>
      </w:r>
      <w:r w:rsidRPr="00CC0DFE">
        <w:rPr>
          <w:rFonts w:cs="Tahoma"/>
        </w:rPr>
        <w:t xml:space="preserve"> registrada c</w:t>
      </w:r>
      <w:r w:rsidR="00664420" w:rsidRPr="00CC0DFE">
        <w:rPr>
          <w:rFonts w:cs="Tahoma"/>
        </w:rPr>
        <w:t xml:space="preserve">on el número de </w:t>
      </w:r>
      <w:r w:rsidR="003F79FC" w:rsidRPr="00CC0DFE">
        <w:rPr>
          <w:rFonts w:cs="Tahoma"/>
        </w:rPr>
        <w:t>folio</w:t>
      </w:r>
      <w:r w:rsidR="003F79FC" w:rsidRPr="00CC0DFE">
        <w:rPr>
          <w:rFonts w:cs="Tahoma"/>
          <w:b/>
          <w:bCs/>
        </w:rPr>
        <w:t xml:space="preserve"> 00014/DIFTEPOTZO/IP/2025</w:t>
      </w:r>
      <w:r w:rsidR="002A3601" w:rsidRPr="00CC0DFE">
        <w:rPr>
          <w:rFonts w:cs="Tahoma"/>
        </w:rPr>
        <w:t xml:space="preserve"> y en ella </w:t>
      </w:r>
      <w:r w:rsidR="009A2D78" w:rsidRPr="00CC0DFE">
        <w:rPr>
          <w:rFonts w:cs="Tahoma"/>
        </w:rPr>
        <w:t>se requirió la siguiente información:</w:t>
      </w:r>
    </w:p>
    <w:p w14:paraId="0459D6AC" w14:textId="77777777" w:rsidR="00664420" w:rsidRPr="00CC0DFE" w:rsidRDefault="00664420" w:rsidP="0016507E">
      <w:pPr>
        <w:tabs>
          <w:tab w:val="left" w:pos="4667"/>
        </w:tabs>
        <w:ind w:left="567" w:right="567"/>
        <w:rPr>
          <w:rFonts w:cs="Tahoma"/>
          <w:b/>
          <w:bCs/>
        </w:rPr>
      </w:pPr>
    </w:p>
    <w:p w14:paraId="179FB369" w14:textId="75C0684C" w:rsidR="00664420" w:rsidRPr="00CC0DFE" w:rsidRDefault="003F79FC" w:rsidP="0016507E">
      <w:pPr>
        <w:pStyle w:val="Puesto"/>
      </w:pPr>
      <w:r w:rsidRPr="00CC0DFE">
        <w:t xml:space="preserve">“Durante la entrega de cobertores en la comunidad de los dolores, durante el mes de enero del 2025, estos fueron entregados a personas adultas mayores que viven en este lugar. Por lo anterior se solicita el documento donde se indica cual fue el presupuesto asignado para la compra de esos cobertores para esa entrega. Cuál fue el costo de cada cobertor, teniendo en cuenta que para ello se deberá de contar con la factura de la compra de esos cobertores por lo que se solicita dicho documento. Cuál fue el número total de personas a las que fueron entregados cada uno de los cobertores. De la entrega total de esos cobertores en los dolores, se realizó el levantamiento de visitas para la detección de personas adultas mayores para lo </w:t>
      </w:r>
      <w:r w:rsidRPr="00CC0DFE">
        <w:lastRenderedPageBreak/>
        <w:t>cual se solicitan las peticiones, estudios socioeconómicos o en su caso el listado de las personas que fueron beneficiadas teniendo en cuenta que todas ellas deben de ser adultas mayores y cuentan con identificación oficial con domicilio en dicha comunidad. Las evidencias desde la adquisición de los cobertores hasta la entrega de los cobertores que fueron entregados en la comunidad de los dolores.”</w:t>
      </w:r>
    </w:p>
    <w:p w14:paraId="64B27DE3" w14:textId="77777777" w:rsidR="00664420" w:rsidRPr="00CC0DFE" w:rsidRDefault="00664420" w:rsidP="0016507E">
      <w:pPr>
        <w:tabs>
          <w:tab w:val="left" w:pos="4667"/>
        </w:tabs>
        <w:ind w:left="567" w:right="567"/>
        <w:rPr>
          <w:rFonts w:cs="Tahoma"/>
          <w:bCs/>
          <w:i/>
          <w:szCs w:val="22"/>
        </w:rPr>
      </w:pPr>
    </w:p>
    <w:p w14:paraId="0BD6321D" w14:textId="56D9ABBC" w:rsidR="00664420" w:rsidRPr="00CC0DFE" w:rsidRDefault="009A2D78" w:rsidP="0016507E">
      <w:pPr>
        <w:tabs>
          <w:tab w:val="left" w:pos="4667"/>
        </w:tabs>
        <w:ind w:left="567" w:right="567"/>
        <w:rPr>
          <w:rFonts w:cs="Tahoma"/>
          <w:bCs/>
          <w:szCs w:val="22"/>
        </w:rPr>
      </w:pPr>
      <w:r w:rsidRPr="00CC0DFE">
        <w:rPr>
          <w:rFonts w:cs="Tahoma"/>
          <w:b/>
          <w:bCs/>
          <w:szCs w:val="22"/>
        </w:rPr>
        <w:t>Modalidad de entrega</w:t>
      </w:r>
      <w:r w:rsidRPr="00CC0DFE">
        <w:rPr>
          <w:rFonts w:cs="Tahoma"/>
          <w:bCs/>
          <w:szCs w:val="22"/>
        </w:rPr>
        <w:t>: a</w:t>
      </w:r>
      <w:r w:rsidR="00664420" w:rsidRPr="00CC0DFE">
        <w:rPr>
          <w:rFonts w:cs="Tahoma"/>
          <w:bCs/>
          <w:i/>
          <w:szCs w:val="22"/>
        </w:rPr>
        <w:t xml:space="preserve"> través del </w:t>
      </w:r>
      <w:r w:rsidR="00664420" w:rsidRPr="00CC0DFE">
        <w:rPr>
          <w:rFonts w:cs="Tahoma"/>
          <w:b/>
          <w:bCs/>
          <w:i/>
          <w:szCs w:val="22"/>
        </w:rPr>
        <w:t>SAIMEX</w:t>
      </w:r>
      <w:r w:rsidRPr="00CC0DFE">
        <w:rPr>
          <w:rFonts w:cs="Tahoma"/>
          <w:bCs/>
          <w:i/>
          <w:szCs w:val="22"/>
        </w:rPr>
        <w:t>.</w:t>
      </w:r>
    </w:p>
    <w:p w14:paraId="50E4FD68" w14:textId="77777777" w:rsidR="003F79FC" w:rsidRPr="00CC0DFE" w:rsidRDefault="003F79FC" w:rsidP="0016507E">
      <w:pPr>
        <w:pStyle w:val="Ttulo3"/>
        <w:rPr>
          <w:lang w:val="es-ES"/>
        </w:rPr>
      </w:pPr>
    </w:p>
    <w:p w14:paraId="3212BA4D" w14:textId="0EB14C69" w:rsidR="00664420" w:rsidRPr="00CC0DFE" w:rsidRDefault="006F358E" w:rsidP="0016507E">
      <w:pPr>
        <w:pStyle w:val="Ttulo3"/>
        <w:rPr>
          <w:rFonts w:eastAsia="Calibri"/>
          <w:lang w:eastAsia="en-US"/>
        </w:rPr>
      </w:pPr>
      <w:bookmarkStart w:id="5" w:name="_Toc211448454"/>
      <w:r w:rsidRPr="00CC0DFE">
        <w:rPr>
          <w:lang w:val="es-ES"/>
        </w:rPr>
        <w:t>b</w:t>
      </w:r>
      <w:r w:rsidR="00E37A3F" w:rsidRPr="00CC0DFE">
        <w:rPr>
          <w:lang w:val="es-ES"/>
        </w:rPr>
        <w:t xml:space="preserve">) </w:t>
      </w:r>
      <w:r w:rsidR="00664420" w:rsidRPr="00CC0DFE">
        <w:rPr>
          <w:lang w:val="es-ES"/>
        </w:rPr>
        <w:t xml:space="preserve">Respuesta </w:t>
      </w:r>
      <w:r w:rsidR="00664420" w:rsidRPr="00CC0DFE">
        <w:rPr>
          <w:rFonts w:eastAsia="Calibri"/>
          <w:lang w:eastAsia="en-US"/>
        </w:rPr>
        <w:t>del Sujeto Obligado</w:t>
      </w:r>
      <w:r w:rsidR="003F79FC" w:rsidRPr="00CC0DFE">
        <w:rPr>
          <w:rFonts w:eastAsia="Calibri"/>
          <w:lang w:eastAsia="en-US"/>
        </w:rPr>
        <w:t xml:space="preserve"> (Incompetencia)</w:t>
      </w:r>
      <w:bookmarkEnd w:id="5"/>
    </w:p>
    <w:p w14:paraId="79199CC1" w14:textId="787379BC" w:rsidR="00664420" w:rsidRPr="00CC0DFE" w:rsidRDefault="00664420" w:rsidP="0016507E">
      <w:pPr>
        <w:pStyle w:val="Sinespaciado"/>
        <w:spacing w:line="360" w:lineRule="auto"/>
        <w:rPr>
          <w:lang w:val="es-ES"/>
        </w:rPr>
      </w:pPr>
      <w:r w:rsidRPr="00CC0DFE">
        <w:rPr>
          <w:lang w:val="es-ES"/>
        </w:rPr>
        <w:t>El</w:t>
      </w:r>
      <w:r w:rsidR="003F79FC" w:rsidRPr="00CC0DFE">
        <w:rPr>
          <w:lang w:val="es-ES"/>
        </w:rPr>
        <w:t xml:space="preserve"> </w:t>
      </w:r>
      <w:r w:rsidR="003F79FC" w:rsidRPr="00CC0DFE">
        <w:rPr>
          <w:b/>
          <w:lang w:val="es-ES"/>
        </w:rPr>
        <w:t xml:space="preserve">once de marzo de dos mil </w:t>
      </w:r>
      <w:r w:rsidR="000F0CBE" w:rsidRPr="00CC0DFE">
        <w:rPr>
          <w:b/>
          <w:lang w:val="es-ES"/>
        </w:rPr>
        <w:t>veinticinco</w:t>
      </w:r>
      <w:r w:rsidRPr="00CC0DFE">
        <w:rPr>
          <w:lang w:val="es-ES"/>
        </w:rPr>
        <w:t xml:space="preserve">, </w:t>
      </w:r>
      <w:r w:rsidR="00F07EE6" w:rsidRPr="00CC0DFE">
        <w:rPr>
          <w:lang w:val="es-ES"/>
        </w:rPr>
        <w:t xml:space="preserve">el Titular de la Unidad de Transparencia del </w:t>
      </w:r>
      <w:r w:rsidR="00F07EE6" w:rsidRPr="00CC0DFE">
        <w:rPr>
          <w:b/>
          <w:lang w:val="es-ES"/>
        </w:rPr>
        <w:t>SUJETO OBLIGADO</w:t>
      </w:r>
      <w:r w:rsidR="00F07EE6" w:rsidRPr="00CC0DFE">
        <w:rPr>
          <w:lang w:val="es-ES"/>
        </w:rPr>
        <w:t xml:space="preserve"> notificó la siguiente respuesta a través del </w:t>
      </w:r>
      <w:r w:rsidRPr="00CC0DFE">
        <w:rPr>
          <w:lang w:val="es-ES"/>
        </w:rPr>
        <w:t>SAIMEX</w:t>
      </w:r>
      <w:r w:rsidR="00F07EE6" w:rsidRPr="00CC0DFE">
        <w:rPr>
          <w:lang w:val="es-ES"/>
        </w:rPr>
        <w:t>:</w:t>
      </w:r>
    </w:p>
    <w:p w14:paraId="669F7EFD" w14:textId="77777777" w:rsidR="00664420" w:rsidRPr="00CC0DFE" w:rsidRDefault="00664420" w:rsidP="0016507E">
      <w:pPr>
        <w:tabs>
          <w:tab w:val="left" w:pos="4667"/>
        </w:tabs>
        <w:ind w:left="567" w:right="567"/>
        <w:rPr>
          <w:rFonts w:cs="Tahoma"/>
          <w:b/>
          <w:bCs/>
        </w:rPr>
      </w:pPr>
    </w:p>
    <w:p w14:paraId="3977CB05" w14:textId="32D8E266" w:rsidR="000F0CBE" w:rsidRPr="00CC0DFE" w:rsidRDefault="000F0CBE" w:rsidP="0016507E">
      <w:pPr>
        <w:pStyle w:val="Puesto"/>
        <w:jc w:val="right"/>
      </w:pPr>
      <w:r w:rsidRPr="00CC0DFE">
        <w:t>“l Para el Desarrollo Integral de la Familia de Tepotzotlán, México a 11 de Marzo de 2025</w:t>
      </w:r>
    </w:p>
    <w:p w14:paraId="43B44327" w14:textId="77777777" w:rsidR="000F0CBE" w:rsidRPr="00CC0DFE" w:rsidRDefault="000F0CBE" w:rsidP="0016507E">
      <w:pPr>
        <w:pStyle w:val="Puesto"/>
        <w:jc w:val="right"/>
      </w:pPr>
      <w:r w:rsidRPr="00CC0DFE">
        <w:t>Nombre del solicitante: C. Solicitante</w:t>
      </w:r>
    </w:p>
    <w:p w14:paraId="7580FBD1" w14:textId="77777777" w:rsidR="000F0CBE" w:rsidRPr="00CC0DFE" w:rsidRDefault="000F0CBE" w:rsidP="0016507E">
      <w:pPr>
        <w:pStyle w:val="Puesto"/>
        <w:jc w:val="right"/>
      </w:pPr>
      <w:r w:rsidRPr="00CC0DFE">
        <w:t>Folio de la solicitud: 00014/DIFTEPOTZO/IP/2025</w:t>
      </w:r>
    </w:p>
    <w:p w14:paraId="71F23F76" w14:textId="77777777" w:rsidR="000F0CBE" w:rsidRPr="00CC0DFE" w:rsidRDefault="000F0CBE" w:rsidP="0016507E">
      <w:pPr>
        <w:pStyle w:val="Puesto"/>
      </w:pPr>
    </w:p>
    <w:p w14:paraId="678D0111" w14:textId="5DF15A45" w:rsidR="000F0CBE" w:rsidRPr="00CC0DFE" w:rsidRDefault="000F0CBE" w:rsidP="0016507E">
      <w:pPr>
        <w:pStyle w:val="Puesto"/>
      </w:pPr>
      <w:r w:rsidRPr="00CC0DFE">
        <w:t>En respuesta a su solicitud 00014/DIFTEPOTZO/IP/2025. Nos permitimos hacer de su conocimiento que con fundamento en el artículo 167, de la Ley de Transparencia y Acceso a la Información Pública del Estado de México y Municipios, el Sistema Municipal DIF de Tepotzotlán es Incompetente anexando el acta del Comité de Transparencia donde se explican los motivos.”</w:t>
      </w:r>
    </w:p>
    <w:p w14:paraId="36AAF255" w14:textId="77777777" w:rsidR="000F0CBE" w:rsidRPr="00CC0DFE" w:rsidRDefault="000F0CBE" w:rsidP="0016507E">
      <w:pPr>
        <w:pStyle w:val="Puesto"/>
        <w:rPr>
          <w:b/>
        </w:rPr>
      </w:pPr>
    </w:p>
    <w:p w14:paraId="70920289" w14:textId="7EAA91EA" w:rsidR="00664420" w:rsidRPr="00CC0DFE" w:rsidRDefault="00F07EE6" w:rsidP="0016507E">
      <w:pPr>
        <w:autoSpaceDE w:val="0"/>
        <w:autoSpaceDN w:val="0"/>
        <w:adjustRightInd w:val="0"/>
        <w:ind w:right="-28"/>
        <w:rPr>
          <w:rFonts w:cs="Tahoma"/>
          <w:bCs/>
          <w:szCs w:val="22"/>
          <w:lang w:val="es-ES"/>
        </w:rPr>
      </w:pPr>
      <w:r w:rsidRPr="00CC0DFE">
        <w:rPr>
          <w:rFonts w:cs="Tahoma"/>
          <w:bCs/>
          <w:szCs w:val="22"/>
          <w:lang w:val="es-ES"/>
        </w:rPr>
        <w:t xml:space="preserve">Asimismo, </w:t>
      </w:r>
      <w:r w:rsidRPr="00CC0DFE">
        <w:rPr>
          <w:rFonts w:cs="Tahoma"/>
          <w:b/>
          <w:szCs w:val="22"/>
          <w:lang w:val="es-ES"/>
        </w:rPr>
        <w:t xml:space="preserve">EL SUJETO OBLIGADO </w:t>
      </w:r>
      <w:r w:rsidRPr="00CC0DFE">
        <w:rPr>
          <w:rFonts w:cs="Tahoma"/>
          <w:bCs/>
          <w:szCs w:val="22"/>
          <w:lang w:val="es-ES"/>
        </w:rPr>
        <w:t xml:space="preserve">adjuntó a su respuesta </w:t>
      </w:r>
      <w:r w:rsidR="000F0CBE" w:rsidRPr="00CC0DFE">
        <w:rPr>
          <w:rFonts w:cs="Tahoma"/>
          <w:bCs/>
          <w:szCs w:val="22"/>
          <w:lang w:val="es-ES"/>
        </w:rPr>
        <w:t>el</w:t>
      </w:r>
      <w:r w:rsidRPr="00CC0DFE">
        <w:rPr>
          <w:rFonts w:cs="Tahoma"/>
          <w:bCs/>
          <w:szCs w:val="22"/>
          <w:lang w:val="es-ES"/>
        </w:rPr>
        <w:t xml:space="preserve"> archivo electrónico que se describe a continuación</w:t>
      </w:r>
      <w:r w:rsidR="00664420" w:rsidRPr="00CC0DFE">
        <w:rPr>
          <w:rFonts w:cs="Tahoma"/>
          <w:bCs/>
          <w:szCs w:val="22"/>
          <w:lang w:val="es-ES"/>
        </w:rPr>
        <w:t>:</w:t>
      </w:r>
    </w:p>
    <w:p w14:paraId="70ACAE2C" w14:textId="7FBC406D" w:rsidR="000F0CBE" w:rsidRPr="00CC0DFE" w:rsidRDefault="000F0CBE" w:rsidP="0016507E">
      <w:pPr>
        <w:autoSpaceDE w:val="0"/>
        <w:autoSpaceDN w:val="0"/>
        <w:adjustRightInd w:val="0"/>
        <w:ind w:right="-28"/>
        <w:rPr>
          <w:rFonts w:cs="Tahoma"/>
          <w:bCs/>
          <w:szCs w:val="22"/>
          <w:lang w:val="es-ES"/>
        </w:rPr>
      </w:pPr>
    </w:p>
    <w:p w14:paraId="7E6C5CD3" w14:textId="42833CCF" w:rsidR="000F0CBE" w:rsidRPr="00CC0DFE" w:rsidRDefault="000F0CBE" w:rsidP="0016507E">
      <w:pPr>
        <w:pStyle w:val="Puesto"/>
        <w:spacing w:line="360" w:lineRule="auto"/>
        <w:rPr>
          <w:i w:val="0"/>
        </w:rPr>
      </w:pPr>
      <w:r w:rsidRPr="00CC0DFE">
        <w:rPr>
          <w:b/>
        </w:rPr>
        <w:t>ACTA 5-EXT.pdf</w:t>
      </w:r>
      <w:r w:rsidRPr="00CC0DFE">
        <w:t xml:space="preserve">: </w:t>
      </w:r>
      <w:r w:rsidR="007F6B68" w:rsidRPr="00CC0DFE">
        <w:rPr>
          <w:b/>
          <w:i w:val="0"/>
        </w:rPr>
        <w:t>EL SUJETO OBLIGADO</w:t>
      </w:r>
      <w:r w:rsidR="007F6B68" w:rsidRPr="00CC0DFE">
        <w:rPr>
          <w:i w:val="0"/>
        </w:rPr>
        <w:t xml:space="preserve"> </w:t>
      </w:r>
      <w:r w:rsidRPr="00CC0DFE">
        <w:rPr>
          <w:i w:val="0"/>
        </w:rPr>
        <w:t>entrega acta de declaración de incompetencia, sugiriendo emitir la solicitud al Ayuntamiento al Ayuntamiento de Tepotzotlán.</w:t>
      </w:r>
    </w:p>
    <w:p w14:paraId="740095A6" w14:textId="77777777" w:rsidR="000F0CBE" w:rsidRPr="00CC0DFE" w:rsidRDefault="000F0CBE" w:rsidP="0016507E">
      <w:pPr>
        <w:autoSpaceDE w:val="0"/>
        <w:autoSpaceDN w:val="0"/>
        <w:adjustRightInd w:val="0"/>
        <w:ind w:right="-28"/>
        <w:rPr>
          <w:rFonts w:cs="Tahoma"/>
          <w:bCs/>
          <w:szCs w:val="22"/>
          <w:lang w:val="es-ES"/>
        </w:rPr>
      </w:pPr>
    </w:p>
    <w:p w14:paraId="5A5DAB9E" w14:textId="77777777" w:rsidR="00E37A3F" w:rsidRPr="00CC0DFE" w:rsidRDefault="00E37A3F" w:rsidP="0016507E">
      <w:pPr>
        <w:pStyle w:val="Ttulo2"/>
        <w:jc w:val="left"/>
      </w:pPr>
      <w:bookmarkStart w:id="6" w:name="_Toc211448455"/>
      <w:r w:rsidRPr="00CC0DFE">
        <w:lastRenderedPageBreak/>
        <w:t>DEL RECURSO DE REVISIÓN</w:t>
      </w:r>
      <w:bookmarkEnd w:id="6"/>
    </w:p>
    <w:p w14:paraId="2B216813" w14:textId="61ADBB2B" w:rsidR="00664420" w:rsidRPr="00CC0DFE" w:rsidRDefault="006E25BC" w:rsidP="0016507E">
      <w:pPr>
        <w:pStyle w:val="Ttulo3"/>
      </w:pPr>
      <w:bookmarkStart w:id="7" w:name="_Toc211448456"/>
      <w:r w:rsidRPr="00CC0DFE">
        <w:rPr>
          <w:szCs w:val="32"/>
        </w:rPr>
        <w:t>a)</w:t>
      </w:r>
      <w:r w:rsidRPr="00CC0DFE">
        <w:t xml:space="preserve"> </w:t>
      </w:r>
      <w:r w:rsidR="00664420" w:rsidRPr="00CC0DFE">
        <w:t>Interposición del Recurso de Revisión</w:t>
      </w:r>
      <w:bookmarkEnd w:id="7"/>
    </w:p>
    <w:p w14:paraId="6279C622" w14:textId="097024AD" w:rsidR="00664420" w:rsidRPr="00CC0DFE" w:rsidRDefault="00664420" w:rsidP="0016507E">
      <w:pPr>
        <w:autoSpaceDE w:val="0"/>
        <w:autoSpaceDN w:val="0"/>
        <w:adjustRightInd w:val="0"/>
        <w:ind w:right="-28"/>
        <w:rPr>
          <w:rFonts w:cs="Tahoma"/>
          <w:szCs w:val="22"/>
        </w:rPr>
      </w:pPr>
      <w:r w:rsidRPr="00CC0DFE">
        <w:rPr>
          <w:rFonts w:cs="Tahoma"/>
          <w:szCs w:val="22"/>
        </w:rPr>
        <w:t xml:space="preserve">El </w:t>
      </w:r>
      <w:r w:rsidR="000F0CBE" w:rsidRPr="00CC0DFE">
        <w:rPr>
          <w:rFonts w:cs="Tahoma"/>
          <w:b/>
          <w:szCs w:val="22"/>
        </w:rPr>
        <w:t>diecinueve de marzo de dos mil veinticinco</w:t>
      </w:r>
      <w:r w:rsidR="000F0CBE" w:rsidRPr="00CC0DFE">
        <w:rPr>
          <w:rFonts w:cs="Tahoma"/>
          <w:szCs w:val="22"/>
        </w:rPr>
        <w:t>,</w:t>
      </w:r>
      <w:r w:rsidRPr="00CC0DFE">
        <w:rPr>
          <w:rFonts w:cs="Tahoma"/>
          <w:szCs w:val="22"/>
        </w:rPr>
        <w:t xml:space="preserve"> </w:t>
      </w:r>
      <w:r w:rsidR="00F75D23" w:rsidRPr="00CC0DFE">
        <w:rPr>
          <w:rFonts w:cs="Tahoma"/>
          <w:b/>
          <w:bCs/>
          <w:szCs w:val="22"/>
        </w:rPr>
        <w:t>LA PARTE RECURRENTE</w:t>
      </w:r>
      <w:r w:rsidR="00F75D23" w:rsidRPr="00CC0DFE">
        <w:rPr>
          <w:rFonts w:cs="Tahoma"/>
          <w:szCs w:val="22"/>
        </w:rPr>
        <w:t xml:space="preserve"> interpuso el recurso de revisión en contra de la respuesta emitida por el </w:t>
      </w:r>
      <w:r w:rsidR="00F75D23" w:rsidRPr="00CC0DFE">
        <w:rPr>
          <w:rFonts w:cs="Tahoma"/>
          <w:b/>
          <w:bCs/>
          <w:szCs w:val="22"/>
        </w:rPr>
        <w:t>SUJETO OBLIGADO</w:t>
      </w:r>
      <w:r w:rsidR="00953430" w:rsidRPr="00CC0DFE">
        <w:rPr>
          <w:rFonts w:cs="Tahoma"/>
          <w:szCs w:val="22"/>
        </w:rPr>
        <w:t xml:space="preserve">, mismo que fue registrado en el SAIMEX con el número de expediente </w:t>
      </w:r>
      <w:r w:rsidR="000F0CBE" w:rsidRPr="00CC0DFE">
        <w:rPr>
          <w:rFonts w:cs="Tahoma"/>
          <w:b/>
          <w:bCs/>
          <w:szCs w:val="22"/>
        </w:rPr>
        <w:t>03247</w:t>
      </w:r>
      <w:r w:rsidR="00953430" w:rsidRPr="00CC0DFE">
        <w:rPr>
          <w:rFonts w:cs="Tahoma"/>
          <w:b/>
          <w:bCs/>
          <w:szCs w:val="22"/>
        </w:rPr>
        <w:t>/INFOEM/IP/RR/</w:t>
      </w:r>
      <w:r w:rsidR="000F0CBE" w:rsidRPr="00CC0DFE">
        <w:rPr>
          <w:rFonts w:cs="Tahoma"/>
          <w:b/>
          <w:bCs/>
          <w:szCs w:val="22"/>
        </w:rPr>
        <w:t>2025</w:t>
      </w:r>
      <w:r w:rsidR="00953430" w:rsidRPr="00CC0DFE">
        <w:rPr>
          <w:rFonts w:cs="Tahoma"/>
          <w:szCs w:val="22"/>
        </w:rPr>
        <w:t>, y en el cual manifiesta lo siguiente</w:t>
      </w:r>
      <w:r w:rsidRPr="00CC0DFE">
        <w:rPr>
          <w:rFonts w:cs="Tahoma"/>
          <w:szCs w:val="22"/>
        </w:rPr>
        <w:t>:</w:t>
      </w:r>
    </w:p>
    <w:p w14:paraId="74B30008" w14:textId="77777777" w:rsidR="00664420" w:rsidRPr="00CC0DFE" w:rsidRDefault="00664420" w:rsidP="0016507E">
      <w:pPr>
        <w:tabs>
          <w:tab w:val="left" w:pos="4667"/>
        </w:tabs>
        <w:ind w:right="539"/>
        <w:rPr>
          <w:rFonts w:cs="Tahoma"/>
          <w:szCs w:val="22"/>
        </w:rPr>
      </w:pPr>
    </w:p>
    <w:p w14:paraId="12153283" w14:textId="77777777" w:rsidR="00664420" w:rsidRPr="00CC0DFE" w:rsidRDefault="00664420" w:rsidP="0016507E">
      <w:pPr>
        <w:tabs>
          <w:tab w:val="left" w:pos="4667"/>
        </w:tabs>
        <w:ind w:left="567" w:right="539"/>
        <w:rPr>
          <w:rFonts w:cs="Tahoma"/>
          <w:b/>
          <w:iCs/>
        </w:rPr>
      </w:pPr>
      <w:r w:rsidRPr="00CC0DFE">
        <w:rPr>
          <w:rFonts w:cs="Tahoma"/>
          <w:b/>
          <w:iCs/>
        </w:rPr>
        <w:t>ACTO IMPUGNADO</w:t>
      </w:r>
      <w:r w:rsidRPr="00CC0DFE">
        <w:rPr>
          <w:rFonts w:cs="Tahoma"/>
          <w:b/>
          <w:iCs/>
        </w:rPr>
        <w:tab/>
      </w:r>
    </w:p>
    <w:p w14:paraId="6440C454" w14:textId="77777777" w:rsidR="000F0CBE" w:rsidRPr="00CC0DFE" w:rsidRDefault="000F0CBE" w:rsidP="0016507E">
      <w:pPr>
        <w:pStyle w:val="Puesto"/>
      </w:pPr>
      <w:r w:rsidRPr="00CC0DFE">
        <w:t>1.- La negativa a la entrega de la información solicitada 2.- La declaración de inexistencia de información 3.- La falta de respuesta a una solicitud de información 4.- La falta de trámite a una solicitud de información</w:t>
      </w:r>
    </w:p>
    <w:p w14:paraId="1F87DC35" w14:textId="77777777" w:rsidR="000F0CBE" w:rsidRPr="00CC0DFE" w:rsidRDefault="000F0CBE" w:rsidP="0016507E">
      <w:pPr>
        <w:tabs>
          <w:tab w:val="left" w:pos="4667"/>
        </w:tabs>
        <w:ind w:left="567" w:right="539"/>
        <w:rPr>
          <w:rFonts w:cs="Tahoma"/>
          <w:b/>
          <w:iCs/>
        </w:rPr>
      </w:pPr>
    </w:p>
    <w:p w14:paraId="047D036B" w14:textId="2D6890CD" w:rsidR="00664420" w:rsidRPr="00CC0DFE" w:rsidRDefault="00664420" w:rsidP="0016507E">
      <w:pPr>
        <w:tabs>
          <w:tab w:val="left" w:pos="4667"/>
        </w:tabs>
        <w:ind w:left="567" w:right="539"/>
        <w:rPr>
          <w:rFonts w:cs="Tahoma"/>
          <w:b/>
          <w:iCs/>
        </w:rPr>
      </w:pPr>
      <w:r w:rsidRPr="00CC0DFE">
        <w:rPr>
          <w:rFonts w:cs="Tahoma"/>
          <w:b/>
          <w:iCs/>
        </w:rPr>
        <w:t>RAZONES O MOTIVOS DE LA INCONFORMIDAD</w:t>
      </w:r>
      <w:r w:rsidRPr="00CC0DFE">
        <w:rPr>
          <w:rFonts w:cs="Tahoma"/>
          <w:b/>
          <w:iCs/>
        </w:rPr>
        <w:tab/>
      </w:r>
    </w:p>
    <w:p w14:paraId="1DAE2563" w14:textId="63011D0D" w:rsidR="00953430" w:rsidRPr="00CC0DFE" w:rsidRDefault="000F0CBE" w:rsidP="0016507E">
      <w:pPr>
        <w:pStyle w:val="Puesto"/>
      </w:pPr>
      <w:r w:rsidRPr="00CC0DFE">
        <w:t xml:space="preserve">“Con fundamento en lo previsto por el artículo primero de la constitución política de los Estados Unidos mexicanos, como ciudadano mexicano y con pleno uso y goce de los derechos humanos reconocidos en la Constitución Federal, el sistema DIF tiene la obligación de garantizarme estos derechos y que no se han violado por este mismo sujeto obligado. Lo anterior derivado a qué de la constitución política de México se establece que es mi derecho de acceder a la información que solicito y este debe ser garantizado por el Estado, (entiéndase por estado a la forma de gobierno municipal en Tepotzotlán y específicamente al sujeto obligado al que se hace solución). Apegandome al objetivo qué tiene la ley de transparencia y acceso a la información Pública del Estado de México y municipios en el que se indica La regulación de los medios de impugnación, interpongo el presente recurso de revisión ante el instituto Nacional de transparencia y acceso a la información pública y protección de datos personales y ante el instituto de transparencia y acceso a la información Pública del Estado de México y municipios de acuerdo a lo siguiente: Se interpone el presente recurso de revisión en contra del sistema DIF municipal en Tepotzotlán Estado de México dado que viola mis garantías individuales y uno de mis derechos humanos previsto en la ley que en los párrafos anteriores se menciona. Al NO haber recibido la información, NI documentación alguna dónde se niega a brindar la información y que de la certeza de que no existe o que no tiene en su poder la información que se está solicitando. Por lo que me causa agravio la respuesta de la unidad de transparencia donde Solo hace llegar un acta que carece de validez oficial al no llevar la </w:t>
      </w:r>
      <w:r w:rsidRPr="00CC0DFE">
        <w:lastRenderedPageBreak/>
        <w:t xml:space="preserve">información de dónde está registrada dicha acta para ser un documento fehaciente. Dicho documento carece de validez al notar que esa acta no se encuentra realizada en la papelería oficial de la administración municipal Carece de certeza legar esa acta al notarse que no cuenta con sellos oficiales y se desconoce quienes son las personas que actúan en esta acta dado que no existen registro alguno sobre estas personas estas personas por lo que no se tiene la certeza de que sean servidores públicos. Carece de validez, certeza jurídica al leerse en ella que se encuentran presentes 4 personas, sin embargo únicamente aparecen las firmas de 3 de ellos omitiendo el nombre, cargo, firma y sellos oficiales de la persona que se ostenta como presidenta honorifica Del punto que antecede, se deduce que en caso de que la persona que se presenta en el acta como presidenta honorifica sea la persona que se indica, la unidad de transparencia está omisitiendo informar a su titular que existe una solicitud de información, por lo que solo la nombra a la titular de la dependencia pero no firma por lo que al estar presente en un acta, ser invitada, ser la presidenta de la dependencia y ser la obligada de cumplir con los objetivos de la ley de transparencia, es su obligación la de vigilar el correcto funcionamiento del comité tal y como lo prevé el artículo 24 de la ley en comento que si bien es cierto la ley es muy general y no se describe, su firma da la certeza legal y juridica de que está obligación se está cumpliendo con la ley. Así también me causa agravio que no existe respuesta alguna de la unidad de transparencia a los solicitantes por lo siguiente: Unicamente se anexa un acta que como se describió anteriormente, está carece de elementos legales para ser valida y por el contrario confunde más a los ciudadanos al existir opocidad y genera duda sobre el trámite y actuación de las personas que la firman. No permite el acceso a la información pública dado que la información que se está solicitando la tiene dicha dependencia pero se niega a entregarla. No permite la transparencia de forma expedita dado que al declararse incompetente únicamente retrasa el trámite y estar en el supuesto que la dependencia, sus titulares y la unidad de transparencia realizan malas prácticas de acceso a la información, lo que conlleva a qué la persona que da la respuesta, no está preparada para dicho cargo, no se encuentra capacitadaen la materia, ni cuenta con la experiencia necesaria para dar respuesta a la solicitud de información. por lo que tambien estaríamos suponiendo que también existen casos de corrupción. Para el punto tres que antecede, se hace del conocimiento del instituto que la información que se solicitó, fue derivado de actividades que realizó la dependencia hace no más de 2 meses, por lo que al indicar que no se cuenta con información, estamos en el entendido que se intenta ganar tiempo por parte de la dependencia solicitante dado que además de que no hay respuesta de la unidad de transparencia, y haber recibido un documentos quee catace de certeza jurídica, pudiesen estar negando la información o en su defecto realizando la información para posteriormente entregarla que como se invoco anteriormente, es obligación de los sujetos obligados difundir las obligaciones en la metería que por ley se establecen. Por cuánto hace al fondo: se interpone recurso de revisión en base </w:t>
      </w:r>
      <w:r w:rsidRPr="00CC0DFE">
        <w:lastRenderedPageBreak/>
        <w:t xml:space="preserve">a lo que indica el documento recibido en el punto 3 que indica” REVISIÓN, DISCUSIÓN Y EN SU CASO CONFIRMACIÓN DE LA INCOMPETENCIA TOTAL DE LA SOLICITUD 00014/DIFTEPOTZO/IP/2025” En el que la presidenta del comité una ciudadana de nombre Fabiola Guerrero Pérez (se desconoce si ostenta ese cargo), se toma como atribución personal la de confirmar una incompetencia haciendo alusión al artículo 49 fracción segunda que tal y como ella misma lo transcribió en el documento recibido. Si bien es cierto que la ley lo manifiesta en dicho artículo al que hace alusión, no es una decisión unipersonal sino por el contrario para pueda declararse un supuesto de incompetencia, la única persona que debe declarar esa incompetencia es la misma titular del sujeto obligado más no la presidenta del comité de transparencia por lo que estaríamos en el supuesto de que la presidenta del DIF nunca estuvo informada de esa solicitud y la titular de transparencia incurre en malas prácticas de transparencia y corrupción Se hace notará el instituto de transparencia que el artículo que menciona la presidenta del comité invoca a que son atribuciones del comité de transparencia “Confirmar, modificar o revocar las determinaciones que en materia de ampliación del plazo de respuesta, clasificación de la información y declaración de inexistencia o de incompetencia que realicen LOS TITULARES DE LAS AREAS DE LOS SUJETOS OBLIGADOS ( mas no así la presidenta del comité de forma unilateral tal y como se indica en el punto 3 del acta del comité de transparencia) y en la que las personas asistentes a esa sesión, debieron de haber expuesto los argumentos válidos para emitir un voto a favor para aprobar dicha incompetencia. Aunado al párrafo anterior también se desprende que ninguno de los miembros asistentes a esa sesión revisaron la solicitud y mucho menos revisaron las respuestas de las unidades administrativas involucradas por lo que se pasaron por alto la discusión por lo que no se tiene la versión escenográfica y mucho menos se indica en el acta cuáles son los puntos a resolver a aprobar y cuáles fueron las puntos que fueron estudiados durante esa reunión lo que hace suponer que los miembros también se encuentran en un supuesto de corrupción al no encontrarse en este documento la certeza jurídica y legal que prevé la constitución mexicana así como la ley de transparencia o en su defecto se hace suponer que se encuentran en el supuesto de evasión de entrega de la información o en su caso de falta de conocimiento de esta solicitud al grado de que no argumentan ni discuten los supuestos de aprobación confirmación o modificación de incompetencia de alguno de los titulares de los sujetos obligados por lo que no pueden tomar decisiones unilaterales sin haber realizado el estudio previo y argumentado sus puntos de vista y el sentido de su voto tal y como lo prevé la ley de transparencia local. Así también en caso de que existiera el supuesto de que fuera incompetente, la solicitud de información debió haberse resuelto a la ciudadanía en un plazo no mayor a tres días después de recibir a la solicitud en formación por la unidad de transparencia por lo que al haber realizado una sesión extraordinaria de comité también estamos en el entendido de qué se está tratando de atrasar los </w:t>
      </w:r>
      <w:r w:rsidRPr="00CC0DFE">
        <w:lastRenderedPageBreak/>
        <w:t xml:space="preserve">procedimientos de entrega de respuesta de información por lo que no existe ningúnpmentp de inmediatez y celeridad como lo prevé la ley de transparencia. De igual forma se interpone el recurso de revisión por el motivo de que la unidad de transferencia se niega a dar respuesta a la solicitud ciudadana negando la información y teníendo la plena certeza de que sí tiene el sujeto obligado esta información derivado de lo siguiente: Cuentan con presupuesto. Y como sujeto obligado que cuenta con un presupuesto aprobado, es su obligación entregar dicha solicitud. Uno de los objetivos de la dependencia es realizar apoyos la ciudadanía por lo que los artículos denominados cobertores fueron adquiridos con el presupuesto que cada año recibe la institución derivada de los impuestos de los mismos ciudadanos Los cobertores fueron adquiridos con un proveedor dado que son nuevos llevando la marca del proveedor y reetiquetados con logotipos y fotografías de la administración municipal en su parte exterior del envoltorio de cada cobertor por lo que si bien es cierto que existen proveedores debe existir la factura, la nota de compra, el documento de recibido, la cotización, el cheque, los contratos, las transferencias, el registro de proveedores, las licitaciones, las convocatorias, los documentos donde se indica el procedimiento administrativo de invitación a cuando menos tres personas, y todos los documentos de adquisición de bienes inventarios, recibos de compra y cualquier otro documento donde se prevé la adquisición de bienes. Por otro lado esos cobertores fueron entregados a la ciudadanía que si bien es cierto cada año se realizan la entrega de los mismos, siempre ha existido una logística de operación y entrega en la que varios servidores públicos acuden a las comunidades a buscar a los beneficiarios casa por casa apoyados de autoridades auxiliares y en su caso también recabar datos identificaciones oficiales firmas de la entrega de dichos cobertores entrega de vales para ser beneficiarias y de igual manera cada año acude la presidenta a la entrega de estos apoyos a domicilio casa por casa o a las comunidades teniendo como prueba las fotos que se toman a todos los beneficiarios que acuden a recibir un cobertor y que se presentan en los informes de gobierno de la administración cada año y que estarán presentándose en el instituto en el momento oportuno como prueba de ello. Por último si bien es cierto que la presidenta del comité hace alusión a que se realizó la búsqueda en los archivos de la institución, esta respuesta carece de certeza jurídica y legalidad dado que no se anexa ningún documento en el cual la ciudadanía pueda revisar que el trámite de la solicitud de información fue el correcto dado que no existen convocatorias oficiales ni oficios de la unidad de transparencia a la presidenta de información alguna que confirme que en realidad fue buscada esta información indicando que no se realizó ninguna entrega de cobertores invocando para ello el artículo 18 e la misma ley de transparencia en el que se indica que que todo sujeto obligado deberá documentar toda toda actividad que derive del ejercicio de sus funciones. Por todo lo anterior se hace del conocimiento del instituto que se viola la garantía individual de derecho a la información los derechos humanos que establecen en la </w:t>
      </w:r>
      <w:r w:rsidRPr="00CC0DFE">
        <w:lastRenderedPageBreak/>
        <w:t>constitución la opacidad, carece de certeza jurídica y legal profesionalismo e incurre en malas prácticas de transparencia cayendo en el supuesto de corrupción dado que no se presentan los documentos que se solicitaron y más aún la documentación completa en la que actuó la presidenta del comité evadiendo su responsabilidad y manifestando actividades que no le competen de forma unilateral por lo que en caso de comprobarse este supuesto se solicita el instituto que haga el apercibimiento y en su caso la denuncia correspondiente a las autoridades competentes que ya sea el caso la ciudadanía también realizará lo conducente. Se anexan al presente las siguientes pruebas, reservandome el derecho de ofrecer las necesarias en su momento a fin de que sean valoradas y realizar las denuncias correspondientes a las instancias competentes”</w:t>
      </w:r>
    </w:p>
    <w:p w14:paraId="48FE75EA" w14:textId="2066BA26" w:rsidR="00664420" w:rsidRPr="00CC0DFE" w:rsidRDefault="00664420" w:rsidP="0016507E">
      <w:pPr>
        <w:tabs>
          <w:tab w:val="left" w:pos="4667"/>
        </w:tabs>
        <w:ind w:right="567"/>
        <w:rPr>
          <w:rFonts w:cs="Tahoma"/>
          <w:b/>
          <w:bCs/>
        </w:rPr>
      </w:pPr>
    </w:p>
    <w:p w14:paraId="2289A7DD" w14:textId="42CD174F" w:rsidR="000F0CBE" w:rsidRPr="00CC0DFE" w:rsidRDefault="000F0CBE" w:rsidP="0016507E">
      <w:pPr>
        <w:tabs>
          <w:tab w:val="left" w:pos="4667"/>
        </w:tabs>
        <w:ind w:right="567"/>
        <w:rPr>
          <w:rFonts w:cs="Tahoma"/>
          <w:bCs/>
        </w:rPr>
      </w:pPr>
      <w:r w:rsidRPr="00CC0DFE">
        <w:rPr>
          <w:rFonts w:cs="Tahoma"/>
          <w:bCs/>
        </w:rPr>
        <w:t>A su Recurso De Revisión anexó los archivos</w:t>
      </w:r>
      <w:r w:rsidRPr="00CC0DFE">
        <w:rPr>
          <w:rFonts w:cs="Tahoma"/>
          <w:b/>
          <w:bCs/>
        </w:rPr>
        <w:t xml:space="preserve"> FB_IMG_1742022327308.jpg, FB_IMG_1742022407632.jpg, FB_IMG_1742022396965.jpg </w:t>
      </w:r>
      <w:r w:rsidRPr="00CC0DFE">
        <w:rPr>
          <w:rFonts w:cs="Tahoma"/>
          <w:bCs/>
        </w:rPr>
        <w:t xml:space="preserve">y </w:t>
      </w:r>
      <w:r w:rsidRPr="00CC0DFE">
        <w:rPr>
          <w:rFonts w:cs="Tahoma"/>
          <w:b/>
          <w:bCs/>
        </w:rPr>
        <w:t>FB_IMG_1742022372110.jpg</w:t>
      </w:r>
      <w:r w:rsidRPr="00CC0DFE">
        <w:rPr>
          <w:rFonts w:cs="Tahoma"/>
          <w:bCs/>
        </w:rPr>
        <w:t xml:space="preserve"> que contienen diversas fotografías</w:t>
      </w:r>
      <w:r w:rsidR="006F358E" w:rsidRPr="00CC0DFE">
        <w:rPr>
          <w:rFonts w:cs="Tahoma"/>
          <w:bCs/>
        </w:rPr>
        <w:t xml:space="preserve"> </w:t>
      </w:r>
      <w:r w:rsidRPr="00CC0DFE">
        <w:rPr>
          <w:rFonts w:cs="Tahoma"/>
          <w:bCs/>
        </w:rPr>
        <w:t xml:space="preserve">de entregas de cobertores. </w:t>
      </w:r>
    </w:p>
    <w:p w14:paraId="395AA43D" w14:textId="77777777" w:rsidR="000F0CBE" w:rsidRPr="00CC0DFE" w:rsidRDefault="000F0CBE" w:rsidP="0016507E">
      <w:pPr>
        <w:tabs>
          <w:tab w:val="left" w:pos="4667"/>
        </w:tabs>
        <w:ind w:right="567"/>
        <w:rPr>
          <w:rFonts w:cs="Tahoma"/>
          <w:b/>
          <w:bCs/>
        </w:rPr>
      </w:pPr>
    </w:p>
    <w:p w14:paraId="6804DEF1" w14:textId="3C4F6CB5" w:rsidR="00664420" w:rsidRPr="00CC0DFE" w:rsidRDefault="006E25BC" w:rsidP="0016507E">
      <w:pPr>
        <w:pStyle w:val="Ttulo3"/>
      </w:pPr>
      <w:bookmarkStart w:id="8" w:name="_Toc211448457"/>
      <w:r w:rsidRPr="00CC0DFE">
        <w:t>b</w:t>
      </w:r>
      <w:r w:rsidR="00664420" w:rsidRPr="00CC0DFE">
        <w:t>) Turno del Recurso de Revisión</w:t>
      </w:r>
      <w:bookmarkEnd w:id="8"/>
    </w:p>
    <w:p w14:paraId="1173671B" w14:textId="399F503C" w:rsidR="00C72DAA" w:rsidRPr="00CC0DFE" w:rsidRDefault="00C72DAA" w:rsidP="0016507E">
      <w:r w:rsidRPr="00CC0DFE">
        <w:t>Con fundamento en el artículo 185, fracción I de la Ley de Transparencia y Acceso a la Información Pública del Estado de México y Municipios, el</w:t>
      </w:r>
      <w:r w:rsidR="000F0CBE" w:rsidRPr="00CC0DFE">
        <w:t xml:space="preserve"> </w:t>
      </w:r>
      <w:r w:rsidR="000F0CBE" w:rsidRPr="00CC0DFE">
        <w:rPr>
          <w:b/>
        </w:rPr>
        <w:t>diecinueve de marzo de dos mil veinticinco</w:t>
      </w:r>
      <w:r w:rsidR="000F0CBE" w:rsidRPr="00CC0DFE">
        <w:t>,</w:t>
      </w:r>
      <w:r w:rsidRPr="00CC0DFE">
        <w:t xml:space="preserve"> se turnó el recurso de revisión a través del</w:t>
      </w:r>
      <w:r w:rsidRPr="00CC0DFE">
        <w:rPr>
          <w:rFonts w:eastAsia="Arial Unicode MS"/>
        </w:rPr>
        <w:t xml:space="preserve"> </w:t>
      </w:r>
      <w:r w:rsidRPr="00CC0DFE">
        <w:rPr>
          <w:rFonts w:eastAsia="Arial Unicode MS"/>
          <w:bCs/>
        </w:rPr>
        <w:t>SAIMEX</w:t>
      </w:r>
      <w:r w:rsidRPr="00CC0DFE">
        <w:t xml:space="preserve"> a la </w:t>
      </w:r>
      <w:r w:rsidRPr="00CC0DFE">
        <w:rPr>
          <w:b/>
        </w:rPr>
        <w:t>Comisionada Sharon Cristina Morales Martínez</w:t>
      </w:r>
      <w:r w:rsidRPr="00CC0DFE">
        <w:rPr>
          <w:bCs/>
        </w:rPr>
        <w:t xml:space="preserve">, </w:t>
      </w:r>
      <w:r w:rsidRPr="00CC0DFE">
        <w:t xml:space="preserve">a efecto de decretar su admisión o desechamiento. </w:t>
      </w:r>
    </w:p>
    <w:p w14:paraId="18F305CB" w14:textId="77777777" w:rsidR="00664420" w:rsidRPr="00CC0DFE" w:rsidRDefault="00664420" w:rsidP="0016507E">
      <w:pPr>
        <w:rPr>
          <w:rFonts w:eastAsia="Batang" w:cs="Tahoma"/>
          <w:bCs/>
          <w:szCs w:val="22"/>
        </w:rPr>
      </w:pPr>
    </w:p>
    <w:p w14:paraId="3E31EC2D" w14:textId="295256A1" w:rsidR="00664420" w:rsidRPr="00CC0DFE" w:rsidRDefault="006E25BC" w:rsidP="0016507E">
      <w:pPr>
        <w:pStyle w:val="Ttulo3"/>
      </w:pPr>
      <w:bookmarkStart w:id="9" w:name="_Toc211448458"/>
      <w:r w:rsidRPr="00CC0DFE">
        <w:t>c</w:t>
      </w:r>
      <w:r w:rsidR="00664420" w:rsidRPr="00CC0DFE">
        <w:t>) Admisión del Recurso de Revisión</w:t>
      </w:r>
      <w:bookmarkEnd w:id="9"/>
    </w:p>
    <w:p w14:paraId="240447D5" w14:textId="2729AE5C" w:rsidR="000E09C4" w:rsidRPr="00CC0DFE" w:rsidRDefault="000E09C4" w:rsidP="0016507E">
      <w:pPr>
        <w:rPr>
          <w:rFonts w:cs="Arial"/>
        </w:rPr>
      </w:pPr>
      <w:r w:rsidRPr="00CC0DFE">
        <w:rPr>
          <w:rFonts w:cs="Arial"/>
        </w:rPr>
        <w:t xml:space="preserve">El </w:t>
      </w:r>
      <w:r w:rsidR="006D298C" w:rsidRPr="00CC0DFE">
        <w:rPr>
          <w:rFonts w:cs="Arial"/>
          <w:b/>
        </w:rPr>
        <w:t>veintiuno de marzo de dos mil veinticinco,</w:t>
      </w:r>
      <w:r w:rsidR="006D298C" w:rsidRPr="00CC0DFE">
        <w:rPr>
          <w:rFonts w:cs="Arial"/>
        </w:rPr>
        <w:t xml:space="preserve"> </w:t>
      </w:r>
      <w:r w:rsidRPr="00CC0DFE">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CC0DFE">
        <w:rPr>
          <w:rFonts w:cs="Arial"/>
        </w:rPr>
        <w:t>, fracción II</w:t>
      </w:r>
      <w:r w:rsidRPr="00CC0DFE">
        <w:rPr>
          <w:rFonts w:cs="Arial"/>
        </w:rPr>
        <w:t xml:space="preserve"> de la Ley de Transparencia y Acceso a la Información Pública del Estado de México y Municipios.</w:t>
      </w:r>
    </w:p>
    <w:p w14:paraId="09B589C5" w14:textId="77777777" w:rsidR="00664420" w:rsidRPr="00CC0DFE" w:rsidRDefault="00664420" w:rsidP="0016507E">
      <w:pPr>
        <w:rPr>
          <w:rFonts w:cs="Tahoma"/>
          <w:b/>
          <w:szCs w:val="22"/>
        </w:rPr>
      </w:pPr>
    </w:p>
    <w:p w14:paraId="3B820F58" w14:textId="23F096A9" w:rsidR="00865CF4" w:rsidRPr="00CC0DFE" w:rsidRDefault="006F358E" w:rsidP="0016507E">
      <w:pPr>
        <w:pStyle w:val="Ttulo3"/>
      </w:pPr>
      <w:bookmarkStart w:id="10" w:name="_Toc211448459"/>
      <w:r w:rsidRPr="00CC0DFE">
        <w:t>d</w:t>
      </w:r>
      <w:r w:rsidR="00664420" w:rsidRPr="00CC0DFE">
        <w:t xml:space="preserve">) </w:t>
      </w:r>
      <w:r w:rsidR="00865CF4" w:rsidRPr="00CC0DFE">
        <w:t>Informe Justificado del Sujeto Obligado</w:t>
      </w:r>
      <w:bookmarkEnd w:id="10"/>
    </w:p>
    <w:p w14:paraId="195F0D72" w14:textId="38C499BA" w:rsidR="00865CF4" w:rsidRPr="00CC0DFE" w:rsidRDefault="00865CF4" w:rsidP="0016507E">
      <w:pPr>
        <w:rPr>
          <w:rFonts w:eastAsia="Calibri" w:cs="Tahoma"/>
          <w:szCs w:val="22"/>
          <w:lang w:eastAsia="en-US"/>
        </w:rPr>
      </w:pPr>
      <w:r w:rsidRPr="00CC0DFE">
        <w:rPr>
          <w:rFonts w:cs="Tahoma"/>
          <w:bCs/>
          <w:szCs w:val="24"/>
        </w:rPr>
        <w:t xml:space="preserve">El </w:t>
      </w:r>
      <w:r w:rsidR="006D298C" w:rsidRPr="00CC0DFE">
        <w:rPr>
          <w:rFonts w:cs="Tahoma"/>
          <w:b/>
          <w:bCs/>
          <w:szCs w:val="24"/>
        </w:rPr>
        <w:t>primero de abril de dos mil veinticinco</w:t>
      </w:r>
      <w:r w:rsidRPr="00CC0DFE">
        <w:rPr>
          <w:rFonts w:cs="Tahoma"/>
          <w:b/>
          <w:szCs w:val="24"/>
        </w:rPr>
        <w:t xml:space="preserve"> EL SUJETO OBLIGADO</w:t>
      </w:r>
      <w:r w:rsidRPr="00CC0DFE">
        <w:rPr>
          <w:rFonts w:cs="Tahoma"/>
          <w:bCs/>
          <w:szCs w:val="24"/>
        </w:rPr>
        <w:t xml:space="preserve"> rindió su informe </w:t>
      </w:r>
      <w:r w:rsidR="006D298C" w:rsidRPr="00CC0DFE">
        <w:rPr>
          <w:rFonts w:cs="Tahoma"/>
          <w:bCs/>
          <w:szCs w:val="24"/>
        </w:rPr>
        <w:t>j</w:t>
      </w:r>
      <w:r w:rsidRPr="00CC0DFE">
        <w:rPr>
          <w:rFonts w:cs="Tahoma"/>
          <w:bCs/>
          <w:szCs w:val="24"/>
        </w:rPr>
        <w:t xml:space="preserve">ustificado a través del SAIMEX, </w:t>
      </w:r>
      <w:r w:rsidRPr="00CC0DFE">
        <w:rPr>
          <w:rFonts w:eastAsia="Calibri" w:cs="Tahoma"/>
          <w:szCs w:val="22"/>
          <w:lang w:eastAsia="en-US"/>
        </w:rPr>
        <w:t>en el cual expresó lo siguiente:</w:t>
      </w:r>
    </w:p>
    <w:p w14:paraId="6E939452" w14:textId="77777777" w:rsidR="00865CF4" w:rsidRPr="00CC0DFE" w:rsidRDefault="00865CF4" w:rsidP="0016507E">
      <w:pPr>
        <w:rPr>
          <w:rFonts w:eastAsia="Calibri" w:cs="Tahoma"/>
          <w:szCs w:val="22"/>
          <w:lang w:eastAsia="en-US"/>
        </w:rPr>
      </w:pPr>
    </w:p>
    <w:p w14:paraId="2EADF9B0" w14:textId="545A1467" w:rsidR="00865CF4" w:rsidRPr="00CC0DFE" w:rsidRDefault="00A1665E" w:rsidP="0016507E">
      <w:pPr>
        <w:ind w:left="567" w:right="539"/>
        <w:jc w:val="left"/>
        <w:rPr>
          <w:rFonts w:cs="Tahoma"/>
          <w:bCs/>
        </w:rPr>
      </w:pPr>
      <w:r w:rsidRPr="00CC0DFE">
        <w:rPr>
          <w:rFonts w:cs="Tahoma"/>
          <w:b/>
          <w:bCs/>
          <w:i/>
        </w:rPr>
        <w:t xml:space="preserve">-INFORME JUSTIFICADO.pdf: </w:t>
      </w:r>
      <w:r w:rsidRPr="00CC0DFE">
        <w:rPr>
          <w:rFonts w:cs="Tahoma"/>
          <w:bCs/>
        </w:rPr>
        <w:t>La titular de la Unidad de Transparencia ratifica la respuesta entregada.</w:t>
      </w:r>
    </w:p>
    <w:p w14:paraId="371F88A0" w14:textId="77777777" w:rsidR="00441BFA" w:rsidRPr="00CC0DFE" w:rsidRDefault="00441BFA" w:rsidP="0016507E">
      <w:pPr>
        <w:ind w:right="539"/>
        <w:jc w:val="left"/>
        <w:rPr>
          <w:rFonts w:eastAsia="Calibri" w:cs="Tahoma"/>
          <w:szCs w:val="22"/>
          <w:lang w:eastAsia="en-US"/>
        </w:rPr>
      </w:pPr>
    </w:p>
    <w:p w14:paraId="2D130A9D" w14:textId="1B1A2045" w:rsidR="00865CF4" w:rsidRPr="00CC0DFE" w:rsidRDefault="00865CF4" w:rsidP="0016507E">
      <w:pPr>
        <w:rPr>
          <w:rFonts w:cs="Tahoma"/>
          <w:bCs/>
          <w:szCs w:val="24"/>
        </w:rPr>
      </w:pPr>
      <w:r w:rsidRPr="00CC0DFE">
        <w:rPr>
          <w:rFonts w:cs="Tahoma"/>
          <w:bCs/>
          <w:szCs w:val="24"/>
        </w:rPr>
        <w:t xml:space="preserve">Esta información fue puesta a la vista de </w:t>
      </w:r>
      <w:r w:rsidRPr="00CC0DFE">
        <w:rPr>
          <w:rFonts w:cs="Tahoma"/>
          <w:b/>
          <w:szCs w:val="24"/>
        </w:rPr>
        <w:t xml:space="preserve">LA PARTE RECURRENTE </w:t>
      </w:r>
      <w:r w:rsidRPr="00CC0DFE">
        <w:rPr>
          <w:rFonts w:cs="Tahoma"/>
          <w:bCs/>
          <w:szCs w:val="24"/>
        </w:rPr>
        <w:t xml:space="preserve">el </w:t>
      </w:r>
      <w:r w:rsidR="006D298C" w:rsidRPr="00CC0DFE">
        <w:rPr>
          <w:rFonts w:cs="Tahoma"/>
          <w:b/>
          <w:bCs/>
          <w:szCs w:val="24"/>
        </w:rPr>
        <w:t>seis de mayo de dos mil veinticinco</w:t>
      </w:r>
      <w:r w:rsidRPr="00CC0DFE">
        <w:rPr>
          <w:rFonts w:cs="Tahoma"/>
          <w:b/>
          <w:bCs/>
          <w:szCs w:val="24"/>
        </w:rPr>
        <w:t xml:space="preserve"> </w:t>
      </w:r>
      <w:r w:rsidRPr="00CC0DFE">
        <w:rPr>
          <w:rFonts w:cs="Tahoma"/>
          <w:bCs/>
          <w:szCs w:val="24"/>
        </w:rPr>
        <w:t xml:space="preserve">para que, en un plazo de tres días hábiles, manifestara lo que a su derecho conviniera, de conformidad con lo establecido en el </w:t>
      </w:r>
      <w:r w:rsidRPr="00CC0DFE">
        <w:rPr>
          <w:rFonts w:cs="Arial"/>
        </w:rPr>
        <w:t>artículo 185, fracción III de la Ley de Transparencia y Acceso a la Información Pública del Estado de México y Municipios</w:t>
      </w:r>
      <w:r w:rsidRPr="00CC0DFE">
        <w:rPr>
          <w:rFonts w:cs="Tahoma"/>
          <w:bCs/>
          <w:szCs w:val="24"/>
        </w:rPr>
        <w:t>.</w:t>
      </w:r>
    </w:p>
    <w:p w14:paraId="3B386B4C" w14:textId="77777777" w:rsidR="003A40C1" w:rsidRPr="00CC0DFE" w:rsidRDefault="003A40C1" w:rsidP="0016507E">
      <w:pPr>
        <w:ind w:right="539"/>
        <w:rPr>
          <w:rFonts w:cs="Tahoma"/>
          <w:bCs/>
          <w:szCs w:val="24"/>
        </w:rPr>
      </w:pPr>
    </w:p>
    <w:p w14:paraId="755B7730" w14:textId="5ECB0211" w:rsidR="00664420" w:rsidRPr="00CC0DFE" w:rsidRDefault="006F358E" w:rsidP="0016507E">
      <w:pPr>
        <w:pStyle w:val="Ttulo3"/>
        <w:rPr>
          <w:lang w:val="es-ES"/>
        </w:rPr>
      </w:pPr>
      <w:bookmarkStart w:id="11" w:name="_Toc211448460"/>
      <w:r w:rsidRPr="00CC0DFE">
        <w:rPr>
          <w:rFonts w:eastAsia="Calibri"/>
          <w:bCs/>
          <w:lang w:eastAsia="en-US"/>
        </w:rPr>
        <w:t>e</w:t>
      </w:r>
      <w:r w:rsidR="00664420" w:rsidRPr="00CC0DFE">
        <w:rPr>
          <w:rFonts w:eastAsia="Calibri"/>
          <w:bCs/>
          <w:lang w:eastAsia="en-US"/>
        </w:rPr>
        <w:t>)</w:t>
      </w:r>
      <w:r w:rsidR="00664420" w:rsidRPr="00CC0DFE">
        <w:t xml:space="preserve"> </w:t>
      </w:r>
      <w:r w:rsidR="00865CF4" w:rsidRPr="00CC0DFE">
        <w:rPr>
          <w:lang w:val="es-ES"/>
        </w:rPr>
        <w:t>Manifestaciones de la Parte Recurrente</w:t>
      </w:r>
      <w:bookmarkEnd w:id="11"/>
    </w:p>
    <w:p w14:paraId="082F5C32" w14:textId="614A8435" w:rsidR="00865CF4" w:rsidRPr="00CC0DFE" w:rsidRDefault="00865CF4" w:rsidP="0016507E">
      <w:pPr>
        <w:rPr>
          <w:rFonts w:cs="Tahoma"/>
          <w:bCs/>
          <w:szCs w:val="24"/>
        </w:rPr>
      </w:pPr>
      <w:r w:rsidRPr="00CC0DFE">
        <w:rPr>
          <w:rFonts w:cs="Tahoma"/>
          <w:b/>
          <w:szCs w:val="24"/>
        </w:rPr>
        <w:t xml:space="preserve">LA PARTE RECURRENTE </w:t>
      </w:r>
      <w:r w:rsidRPr="00CC0DFE">
        <w:rPr>
          <w:rFonts w:cs="Tahoma"/>
          <w:bCs/>
          <w:szCs w:val="24"/>
        </w:rPr>
        <w:t>remitió sus manifestaciones a través del SAIMEX el</w:t>
      </w:r>
      <w:r w:rsidR="00E82251" w:rsidRPr="00CC0DFE">
        <w:rPr>
          <w:rFonts w:cs="Tahoma"/>
          <w:bCs/>
          <w:szCs w:val="24"/>
        </w:rPr>
        <w:t xml:space="preserve"> </w:t>
      </w:r>
      <w:r w:rsidR="00E82251" w:rsidRPr="00CC0DFE">
        <w:rPr>
          <w:rFonts w:cs="Tahoma"/>
          <w:b/>
          <w:bCs/>
          <w:szCs w:val="24"/>
        </w:rPr>
        <w:t>veinticinco y veintiocho de marzo, y doce de mayo de dos mil veinticinco</w:t>
      </w:r>
      <w:r w:rsidRPr="00CC0DFE">
        <w:rPr>
          <w:rFonts w:cs="Tahoma"/>
          <w:bCs/>
          <w:szCs w:val="24"/>
        </w:rPr>
        <w:t xml:space="preserve">, en </w:t>
      </w:r>
      <w:r w:rsidR="0088132A" w:rsidRPr="00CC0DFE">
        <w:rPr>
          <w:rFonts w:cs="Tahoma"/>
          <w:bCs/>
          <w:szCs w:val="24"/>
        </w:rPr>
        <w:t>las cuales hizo entrega de diversos archivos siendo Screenshot_20250315-010434-900.png, Screenshot_20250328-195611-506.png, Screenshot_20250328-195304.png, Screenshot_20250328-195304.png, Incompetencia de sujeto obligado procede orientación (Art. 167) (1).pdf y HAT-UTAIP-2025-184incompetencia (2).pdf, los cuales contiene diversas imágenes de entrega de los cobertores, así como la información que le fue entregada en diversa petición al Ayuntamiento de Tepotzotlán en otra solicitud de información; la cual será analizada en apartados posteriores.</w:t>
      </w:r>
    </w:p>
    <w:p w14:paraId="0C2FAF45" w14:textId="77777777" w:rsidR="00A60AFC" w:rsidRPr="00CC0DFE" w:rsidRDefault="00A60AFC" w:rsidP="0016507E">
      <w:pPr>
        <w:rPr>
          <w:rFonts w:cs="Tahoma"/>
          <w:bCs/>
          <w:szCs w:val="24"/>
        </w:rPr>
      </w:pPr>
    </w:p>
    <w:p w14:paraId="6B09022E" w14:textId="098A72DF" w:rsidR="00664420" w:rsidRPr="00CC0DFE" w:rsidRDefault="006F358E" w:rsidP="0016507E">
      <w:pPr>
        <w:pStyle w:val="Ttulo3"/>
        <w:rPr>
          <w:rFonts w:eastAsia="Calibri"/>
        </w:rPr>
      </w:pPr>
      <w:bookmarkStart w:id="12" w:name="_Toc211448461"/>
      <w:r w:rsidRPr="00CC0DFE">
        <w:rPr>
          <w:rFonts w:eastAsia="Calibri"/>
        </w:rPr>
        <w:lastRenderedPageBreak/>
        <w:t>f</w:t>
      </w:r>
      <w:r w:rsidR="00664420" w:rsidRPr="00CC0DFE">
        <w:rPr>
          <w:rFonts w:eastAsia="Calibri"/>
        </w:rPr>
        <w:t>) Ampliación de plazo</w:t>
      </w:r>
      <w:r w:rsidR="00865CF4" w:rsidRPr="00CC0DFE">
        <w:rPr>
          <w:rFonts w:eastAsia="Calibri"/>
        </w:rPr>
        <w:t xml:space="preserve"> para resolver el Recurso de Revisión</w:t>
      </w:r>
      <w:bookmarkEnd w:id="12"/>
    </w:p>
    <w:p w14:paraId="10B20CA8" w14:textId="459A708D" w:rsidR="00664420" w:rsidRPr="00CC0DFE" w:rsidRDefault="00865CF4" w:rsidP="0016507E">
      <w:pPr>
        <w:tabs>
          <w:tab w:val="left" w:pos="3261"/>
        </w:tabs>
        <w:rPr>
          <w:rFonts w:eastAsia="Calibri" w:cs="Tahoma"/>
          <w:szCs w:val="22"/>
        </w:rPr>
      </w:pPr>
      <w:r w:rsidRPr="00CC0DFE">
        <w:rPr>
          <w:rFonts w:eastAsia="Calibri" w:cs="Tahoma"/>
          <w:szCs w:val="22"/>
        </w:rPr>
        <w:t xml:space="preserve">Con fundamento en lo dispuesto en el artículo 181, párrafo tercero, de la Ley de Transparencia y Acceso a la Información Pública del Estado de México y Municipios, </w:t>
      </w:r>
      <w:r w:rsidRPr="00CC0DFE">
        <w:rPr>
          <w:rFonts w:eastAsia="Calibri" w:cs="Tahoma"/>
          <w:b/>
          <w:bCs/>
          <w:szCs w:val="22"/>
        </w:rPr>
        <w:t>e</w:t>
      </w:r>
      <w:r w:rsidR="00664420" w:rsidRPr="00CC0DFE">
        <w:rPr>
          <w:rFonts w:eastAsia="Calibri" w:cs="Tahoma"/>
          <w:b/>
          <w:bCs/>
          <w:szCs w:val="22"/>
        </w:rPr>
        <w:t xml:space="preserve">l </w:t>
      </w:r>
      <w:r w:rsidR="00230AD6" w:rsidRPr="00CC0DFE">
        <w:rPr>
          <w:rFonts w:eastAsia="Calibri" w:cs="Tahoma"/>
          <w:b/>
          <w:bCs/>
          <w:szCs w:val="22"/>
        </w:rPr>
        <w:t>siete de octubre de dos mil veinticinco,</w:t>
      </w:r>
      <w:r w:rsidR="005723CB" w:rsidRPr="00CC0DFE">
        <w:rPr>
          <w:rFonts w:eastAsia="Calibri" w:cs="Tahoma"/>
          <w:szCs w:val="22"/>
        </w:rPr>
        <w:t xml:space="preserve"> se </w:t>
      </w:r>
      <w:r w:rsidR="00664420" w:rsidRPr="00CC0DFE">
        <w:rPr>
          <w:rFonts w:eastAsia="Calibri" w:cs="Tahoma"/>
          <w:szCs w:val="22"/>
        </w:rPr>
        <w:t xml:space="preserve">acordó ampliar por un periodo razonable el plazo para resolver el </w:t>
      </w:r>
      <w:r w:rsidR="005723CB" w:rsidRPr="00CC0DFE">
        <w:rPr>
          <w:rFonts w:eastAsia="Calibri" w:cs="Tahoma"/>
          <w:szCs w:val="22"/>
        </w:rPr>
        <w:t xml:space="preserve">presente </w:t>
      </w:r>
      <w:r w:rsidR="00664420" w:rsidRPr="00CC0DFE">
        <w:rPr>
          <w:rFonts w:eastAsia="Calibri" w:cs="Tahoma"/>
          <w:szCs w:val="22"/>
        </w:rPr>
        <w:t>Recurso de Revisión</w:t>
      </w:r>
      <w:r w:rsidR="00606A65" w:rsidRPr="00CC0DFE">
        <w:rPr>
          <w:rFonts w:eastAsia="Calibri" w:cs="Tahoma"/>
          <w:szCs w:val="22"/>
        </w:rPr>
        <w:t>.</w:t>
      </w:r>
    </w:p>
    <w:p w14:paraId="199C40A1" w14:textId="77777777" w:rsidR="00664420" w:rsidRPr="00CC0DFE" w:rsidRDefault="00664420" w:rsidP="0016507E">
      <w:pPr>
        <w:tabs>
          <w:tab w:val="left" w:pos="3261"/>
        </w:tabs>
        <w:rPr>
          <w:rFonts w:eastAsia="Calibri" w:cs="Tahoma"/>
          <w:szCs w:val="22"/>
        </w:rPr>
      </w:pPr>
    </w:p>
    <w:p w14:paraId="1A6831CA" w14:textId="2E616716" w:rsidR="00664420" w:rsidRPr="00CC0DFE" w:rsidRDefault="005723CB" w:rsidP="0016507E">
      <w:pPr>
        <w:pStyle w:val="paragraph"/>
        <w:spacing w:before="0" w:beforeAutospacing="0" w:after="0" w:afterAutospacing="0"/>
        <w:textAlignment w:val="baseline"/>
        <w:rPr>
          <w:rStyle w:val="eop"/>
          <w:rFonts w:cs="Segoe UI"/>
          <w:sz w:val="22"/>
          <w:szCs w:val="22"/>
        </w:rPr>
      </w:pPr>
      <w:r w:rsidRPr="00CC0DFE">
        <w:rPr>
          <w:rStyle w:val="eop"/>
          <w:rFonts w:cs="Segoe UI"/>
          <w:sz w:val="22"/>
          <w:szCs w:val="22"/>
        </w:rPr>
        <w:t>E</w:t>
      </w:r>
      <w:r w:rsidR="00664420" w:rsidRPr="00CC0DFE">
        <w:rPr>
          <w:rStyle w:val="eop"/>
          <w:rFonts w:cs="Segoe UI"/>
          <w:sz w:val="22"/>
          <w:szCs w:val="22"/>
        </w:rPr>
        <w:t>l plazo para emitir resolución en el presente asunto encuentra justificación en el alto número de recursos de revisión recibidos</w:t>
      </w:r>
      <w:r w:rsidRPr="00CC0DFE">
        <w:rPr>
          <w:rStyle w:val="eop"/>
          <w:rFonts w:cs="Segoe UI"/>
          <w:sz w:val="22"/>
          <w:szCs w:val="22"/>
        </w:rPr>
        <w:t xml:space="preserve"> por este Instituto</w:t>
      </w:r>
      <w:r w:rsidR="00664420" w:rsidRPr="00CC0DFE">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p>
    <w:p w14:paraId="120B354B" w14:textId="2CC39431" w:rsidR="00664420" w:rsidRPr="00CC0DFE" w:rsidRDefault="005723CB" w:rsidP="0016507E">
      <w:pPr>
        <w:pStyle w:val="paragraph"/>
        <w:spacing w:before="0" w:beforeAutospacing="0" w:after="0" w:afterAutospacing="0"/>
        <w:textAlignment w:val="baseline"/>
        <w:rPr>
          <w:rStyle w:val="eop"/>
          <w:rFonts w:cs="Segoe UI"/>
          <w:sz w:val="22"/>
          <w:szCs w:val="22"/>
        </w:rPr>
      </w:pPr>
      <w:r w:rsidRPr="00CC0DFE">
        <w:rPr>
          <w:rStyle w:val="eop"/>
          <w:rFonts w:cs="Segoe UI"/>
          <w:sz w:val="22"/>
          <w:szCs w:val="22"/>
        </w:rPr>
        <w:t>Es importante</w:t>
      </w:r>
      <w:r w:rsidR="00664420" w:rsidRPr="00CC0DFE">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p>
    <w:p w14:paraId="163DD970" w14:textId="5C982D0D" w:rsidR="00664420" w:rsidRPr="00CC0DFE" w:rsidRDefault="00664420" w:rsidP="0016507E">
      <w:pPr>
        <w:pStyle w:val="paragraph"/>
        <w:spacing w:before="0" w:beforeAutospacing="0" w:after="0" w:afterAutospacing="0"/>
        <w:textAlignment w:val="baseline"/>
        <w:rPr>
          <w:rStyle w:val="eop"/>
          <w:rFonts w:cs="Segoe UI"/>
          <w:sz w:val="22"/>
          <w:szCs w:val="22"/>
        </w:rPr>
      </w:pPr>
      <w:r w:rsidRPr="00CC0DFE">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CC0DFE">
        <w:rPr>
          <w:rStyle w:val="eop"/>
          <w:rFonts w:cs="Segoe UI"/>
          <w:sz w:val="22"/>
          <w:szCs w:val="22"/>
        </w:rPr>
        <w:t xml:space="preserve"> </w:t>
      </w:r>
      <w:r w:rsidRPr="00CC0DFE">
        <w:rPr>
          <w:rStyle w:val="eop"/>
          <w:rFonts w:cs="Segoe UI"/>
          <w:sz w:val="22"/>
          <w:szCs w:val="22"/>
        </w:rPr>
        <w:t xml:space="preserve">En ese sentido, el legislador </w:t>
      </w:r>
      <w:r w:rsidR="005723CB" w:rsidRPr="00CC0DFE">
        <w:rPr>
          <w:rStyle w:val="eop"/>
          <w:rFonts w:cs="Segoe UI"/>
          <w:sz w:val="22"/>
          <w:szCs w:val="22"/>
        </w:rPr>
        <w:t>estableció</w:t>
      </w:r>
      <w:r w:rsidRPr="00CC0DFE">
        <w:rPr>
          <w:rStyle w:val="eop"/>
          <w:rFonts w:cs="Segoe UI"/>
          <w:sz w:val="22"/>
          <w:szCs w:val="22"/>
        </w:rPr>
        <w:t xml:space="preserve"> los términos procesales </w:t>
      </w:r>
      <w:r w:rsidR="005723CB" w:rsidRPr="00CC0DFE">
        <w:rPr>
          <w:rStyle w:val="eop"/>
          <w:rFonts w:cs="Segoe UI"/>
          <w:sz w:val="22"/>
          <w:szCs w:val="22"/>
        </w:rPr>
        <w:t>de forma general</w:t>
      </w:r>
      <w:r w:rsidRPr="00CC0DFE">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p>
    <w:p w14:paraId="5F81E110" w14:textId="4B11413C" w:rsidR="00664420" w:rsidRPr="00CC0DFE" w:rsidRDefault="00664420" w:rsidP="0016507E">
      <w:pPr>
        <w:pStyle w:val="paragraph"/>
        <w:spacing w:before="0" w:beforeAutospacing="0" w:after="0" w:afterAutospacing="0"/>
        <w:textAlignment w:val="baseline"/>
        <w:rPr>
          <w:rStyle w:val="eop"/>
          <w:rFonts w:cs="Segoe UI"/>
          <w:sz w:val="22"/>
          <w:szCs w:val="22"/>
        </w:rPr>
      </w:pPr>
      <w:r w:rsidRPr="00CC0DFE">
        <w:rPr>
          <w:rStyle w:val="eop"/>
          <w:rFonts w:cs="Segoe UI"/>
          <w:sz w:val="22"/>
          <w:szCs w:val="22"/>
        </w:rPr>
        <w:lastRenderedPageBreak/>
        <w:t>Por ello, excepcionalmente, si un asunto es resuelto con posterioridad a los plazos señalados por la norma</w:t>
      </w:r>
      <w:r w:rsidR="00BF091A" w:rsidRPr="00CC0DFE">
        <w:rPr>
          <w:rStyle w:val="eop"/>
          <w:rFonts w:cs="Segoe UI"/>
          <w:sz w:val="22"/>
          <w:szCs w:val="22"/>
        </w:rPr>
        <w:t>,</w:t>
      </w:r>
      <w:r w:rsidRPr="00CC0DFE">
        <w:rPr>
          <w:rStyle w:val="eop"/>
          <w:rFonts w:cs="Segoe UI"/>
          <w:sz w:val="22"/>
          <w:szCs w:val="22"/>
        </w:rPr>
        <w:t xml:space="preserve"> debe analizarse la razonabilidad del tiempo necesario para su resolución, atentos a los siguientes criterios:</w:t>
      </w:r>
    </w:p>
    <w:p w14:paraId="14A3FE4E"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p>
    <w:p w14:paraId="725FA17E" w14:textId="1C9900DC" w:rsidR="00664420" w:rsidRPr="00CC0DFE" w:rsidRDefault="00664420" w:rsidP="0016507E">
      <w:pPr>
        <w:pStyle w:val="paragraph"/>
        <w:spacing w:before="0" w:beforeAutospacing="0" w:after="0" w:afterAutospacing="0"/>
        <w:ind w:left="567" w:right="539"/>
        <w:textAlignment w:val="baseline"/>
        <w:rPr>
          <w:rStyle w:val="eop"/>
          <w:rFonts w:cs="Segoe UI"/>
          <w:sz w:val="22"/>
          <w:szCs w:val="22"/>
        </w:rPr>
      </w:pPr>
      <w:r w:rsidRPr="00CC0DFE">
        <w:rPr>
          <w:rStyle w:val="eop"/>
          <w:rFonts w:cs="Segoe UI"/>
          <w:b/>
          <w:bCs/>
          <w:sz w:val="22"/>
          <w:szCs w:val="22"/>
        </w:rPr>
        <w:t>Complejidad del asunto:</w:t>
      </w:r>
      <w:r w:rsidRPr="00CC0DFE">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CC0DFE" w:rsidRDefault="00664420" w:rsidP="0016507E">
      <w:pPr>
        <w:pStyle w:val="paragraph"/>
        <w:spacing w:before="0" w:beforeAutospacing="0" w:after="0" w:afterAutospacing="0"/>
        <w:ind w:left="567" w:right="539"/>
        <w:textAlignment w:val="baseline"/>
        <w:rPr>
          <w:rStyle w:val="eop"/>
          <w:rFonts w:cs="Segoe UI"/>
          <w:sz w:val="22"/>
          <w:szCs w:val="22"/>
        </w:rPr>
      </w:pPr>
      <w:r w:rsidRPr="00CC0DFE">
        <w:rPr>
          <w:rStyle w:val="eop"/>
          <w:rFonts w:cs="Segoe UI"/>
          <w:b/>
          <w:bCs/>
          <w:sz w:val="22"/>
          <w:szCs w:val="22"/>
        </w:rPr>
        <w:t>Actividad Procesal del interesado:</w:t>
      </w:r>
      <w:r w:rsidRPr="00CC0DFE">
        <w:rPr>
          <w:rStyle w:val="eop"/>
          <w:rFonts w:cs="Segoe UI"/>
          <w:sz w:val="22"/>
          <w:szCs w:val="22"/>
        </w:rPr>
        <w:t xml:space="preserve"> Acciones u omisiones del interesado.</w:t>
      </w:r>
    </w:p>
    <w:p w14:paraId="34F78766" w14:textId="2037AF76" w:rsidR="00664420" w:rsidRPr="00CC0DFE" w:rsidRDefault="00664420" w:rsidP="0016507E">
      <w:pPr>
        <w:pStyle w:val="paragraph"/>
        <w:spacing w:before="0" w:beforeAutospacing="0" w:after="0" w:afterAutospacing="0"/>
        <w:ind w:left="567" w:right="539"/>
        <w:textAlignment w:val="baseline"/>
        <w:rPr>
          <w:rStyle w:val="eop"/>
          <w:rFonts w:cs="Segoe UI"/>
          <w:sz w:val="22"/>
          <w:szCs w:val="22"/>
        </w:rPr>
      </w:pPr>
      <w:r w:rsidRPr="00CC0DFE">
        <w:rPr>
          <w:rStyle w:val="eop"/>
          <w:rFonts w:cs="Segoe UI"/>
          <w:b/>
          <w:bCs/>
          <w:sz w:val="22"/>
          <w:szCs w:val="22"/>
        </w:rPr>
        <w:t>Conducta de la Autoridad:</w:t>
      </w:r>
      <w:r w:rsidRPr="00CC0DFE">
        <w:rPr>
          <w:rStyle w:val="eop"/>
          <w:rFonts w:cs="Segoe UI"/>
          <w:sz w:val="22"/>
          <w:szCs w:val="22"/>
        </w:rPr>
        <w:t xml:space="preserve"> Las Acciones u omisiones realizadas en el</w:t>
      </w:r>
      <w:r w:rsidR="00BF091A" w:rsidRPr="00CC0DFE">
        <w:rPr>
          <w:rStyle w:val="eop"/>
          <w:rFonts w:cs="Segoe UI"/>
          <w:sz w:val="22"/>
          <w:szCs w:val="22"/>
        </w:rPr>
        <w:t xml:space="preserve"> </w:t>
      </w:r>
      <w:r w:rsidRPr="00CC0DFE">
        <w:rPr>
          <w:rStyle w:val="eop"/>
          <w:rFonts w:cs="Segoe UI"/>
          <w:sz w:val="22"/>
          <w:szCs w:val="22"/>
        </w:rPr>
        <w:t>procedimiento. Así como si la autoridad actuó con la debida diligencia.</w:t>
      </w:r>
    </w:p>
    <w:p w14:paraId="17122607" w14:textId="30536F04" w:rsidR="00664420" w:rsidRPr="00CC0DFE" w:rsidRDefault="00664420" w:rsidP="0016507E">
      <w:pPr>
        <w:pStyle w:val="paragraph"/>
        <w:spacing w:before="0" w:beforeAutospacing="0" w:after="0" w:afterAutospacing="0"/>
        <w:ind w:left="567" w:right="539"/>
        <w:textAlignment w:val="baseline"/>
        <w:rPr>
          <w:rStyle w:val="eop"/>
          <w:rFonts w:cs="Segoe UI"/>
          <w:sz w:val="22"/>
          <w:szCs w:val="22"/>
        </w:rPr>
      </w:pPr>
      <w:r w:rsidRPr="00CC0DFE">
        <w:rPr>
          <w:rStyle w:val="eop"/>
          <w:rFonts w:cs="Segoe UI"/>
          <w:b/>
          <w:bCs/>
          <w:sz w:val="22"/>
          <w:szCs w:val="22"/>
        </w:rPr>
        <w:t>La afectación generada en la situación jurídica de la persona involucrada en el proceso:</w:t>
      </w:r>
      <w:r w:rsidRPr="00CC0DFE">
        <w:rPr>
          <w:rStyle w:val="eop"/>
          <w:rFonts w:cs="Segoe UI"/>
          <w:sz w:val="22"/>
          <w:szCs w:val="22"/>
        </w:rPr>
        <w:t xml:space="preserve"> Violación a sus derechos humanos.</w:t>
      </w:r>
    </w:p>
    <w:p w14:paraId="2E49A972" w14:textId="77777777" w:rsidR="00664420" w:rsidRPr="00CC0DFE" w:rsidRDefault="00664420" w:rsidP="0016507E">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r w:rsidRPr="00CC0DFE">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p>
    <w:p w14:paraId="35CA93E9"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r w:rsidRPr="00CC0DFE">
        <w:rPr>
          <w:rStyle w:val="eop"/>
          <w:rFonts w:cs="Segoe UI"/>
          <w:sz w:val="22"/>
          <w:szCs w:val="22"/>
        </w:rPr>
        <w:t>Argumento que encuentra sustento en la jurisprudencia P./J. 32/92 emitida por el Pleno de la Suprema Corte de Justicia de la Nación de rubro “</w:t>
      </w:r>
      <w:r w:rsidRPr="00CC0DFE">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CC0DFE">
        <w:rPr>
          <w:rStyle w:val="eop"/>
          <w:rFonts w:cs="Segoe UI"/>
          <w:sz w:val="22"/>
          <w:szCs w:val="22"/>
        </w:rPr>
        <w:t>.”, visible en la Gaceta del Seminario Judicial de la Federación con el registro digital 205635.</w:t>
      </w:r>
    </w:p>
    <w:p w14:paraId="37992CD5"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p>
    <w:p w14:paraId="0A59C365" w14:textId="5FE746C3" w:rsidR="00664420" w:rsidRPr="00CC0DFE" w:rsidRDefault="00664420" w:rsidP="0016507E">
      <w:pPr>
        <w:pStyle w:val="paragraph"/>
        <w:spacing w:before="0" w:beforeAutospacing="0" w:after="0" w:afterAutospacing="0"/>
        <w:textAlignment w:val="baseline"/>
        <w:rPr>
          <w:rStyle w:val="eop"/>
          <w:rFonts w:cs="Segoe UI"/>
          <w:sz w:val="22"/>
          <w:szCs w:val="22"/>
        </w:rPr>
      </w:pPr>
      <w:r w:rsidRPr="00CC0DFE">
        <w:rPr>
          <w:rStyle w:val="eop"/>
          <w:rFonts w:cs="Segoe UI"/>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p>
    <w:p w14:paraId="78B598AB" w14:textId="01D1B1AD" w:rsidR="00664420" w:rsidRPr="00CC0DFE" w:rsidRDefault="00664420" w:rsidP="0016507E">
      <w:pPr>
        <w:pStyle w:val="paragraph"/>
        <w:spacing w:before="0" w:beforeAutospacing="0" w:after="0" w:afterAutospacing="0"/>
        <w:textAlignment w:val="baseline"/>
        <w:rPr>
          <w:rStyle w:val="eop"/>
          <w:rFonts w:cs="Segoe UI"/>
          <w:sz w:val="22"/>
          <w:szCs w:val="22"/>
        </w:rPr>
      </w:pPr>
      <w:r w:rsidRPr="00CC0DFE">
        <w:rPr>
          <w:rStyle w:val="eop"/>
          <w:rFonts w:cs="Segoe UI"/>
          <w:sz w:val="22"/>
          <w:szCs w:val="22"/>
        </w:rPr>
        <w:t>Al respecto</w:t>
      </w:r>
      <w:r w:rsidR="00BF091A" w:rsidRPr="00CC0DFE">
        <w:rPr>
          <w:rStyle w:val="eop"/>
          <w:rFonts w:cs="Segoe UI"/>
          <w:sz w:val="22"/>
          <w:szCs w:val="22"/>
        </w:rPr>
        <w:t>,</w:t>
      </w:r>
      <w:r w:rsidRPr="00CC0DFE">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p>
    <w:p w14:paraId="7390FB31" w14:textId="77777777" w:rsidR="00664420" w:rsidRPr="00CC0DFE" w:rsidRDefault="00664420" w:rsidP="0016507E">
      <w:pPr>
        <w:pStyle w:val="Puesto"/>
        <w:rPr>
          <w:rStyle w:val="eop"/>
          <w:rFonts w:cs="Segoe UI"/>
          <w:sz w:val="20"/>
          <w:szCs w:val="20"/>
        </w:rPr>
      </w:pPr>
      <w:r w:rsidRPr="00CC0DFE">
        <w:rPr>
          <w:rStyle w:val="eop"/>
          <w:rFonts w:cs="Segoe UI"/>
          <w:b/>
          <w:bCs/>
          <w:sz w:val="20"/>
          <w:szCs w:val="20"/>
        </w:rPr>
        <w:t>“PLAZO RAZONABLE PARA RESOLVER. DIMENSIÓN Y EFECTOS DE ESTE CONCEPTO CUANDO SE ADUCE EXCESIVA CARGA DE TRABAJO.”</w:t>
      </w:r>
      <w:r w:rsidRPr="00CC0DFE">
        <w:rPr>
          <w:rStyle w:val="eop"/>
          <w:rFonts w:cs="Segoe UI"/>
          <w:sz w:val="20"/>
          <w:szCs w:val="20"/>
        </w:rPr>
        <w:t xml:space="preserve"> consultable en el Seminario Judicial de la Federación y su gaceta, con el registro digital 2002351.</w:t>
      </w:r>
    </w:p>
    <w:p w14:paraId="7D07BF4B" w14:textId="77777777" w:rsidR="00BF091A" w:rsidRPr="00CC0DFE" w:rsidRDefault="00BF091A" w:rsidP="0016507E">
      <w:pPr>
        <w:pStyle w:val="Puesto"/>
        <w:rPr>
          <w:rStyle w:val="eop"/>
          <w:rFonts w:cs="Segoe UI"/>
          <w:sz w:val="20"/>
          <w:szCs w:val="20"/>
        </w:rPr>
      </w:pPr>
    </w:p>
    <w:p w14:paraId="1C016A02" w14:textId="77777777" w:rsidR="00664420" w:rsidRPr="00CC0DFE" w:rsidRDefault="00664420" w:rsidP="0016507E">
      <w:pPr>
        <w:pStyle w:val="Puesto"/>
        <w:rPr>
          <w:rStyle w:val="eop"/>
          <w:rFonts w:cs="Segoe UI"/>
          <w:sz w:val="20"/>
          <w:szCs w:val="20"/>
        </w:rPr>
      </w:pPr>
      <w:r w:rsidRPr="00CC0DFE">
        <w:rPr>
          <w:rStyle w:val="eop"/>
          <w:rFonts w:cs="Segoe UI"/>
          <w:b/>
          <w:bCs/>
          <w:sz w:val="20"/>
          <w:szCs w:val="20"/>
        </w:rPr>
        <w:t>“PLAZO RAZONABLE PARA RESOLVER. CONCEPTO Y ELEMENTOS QUE LO INTEGRAN A LA LUZ DEL DERECHO INTERNACIONAL DE LOS DERECHOS HUMANOS</w:t>
      </w:r>
      <w:r w:rsidRPr="00CC0DFE">
        <w:rPr>
          <w:rStyle w:val="eop"/>
          <w:rFonts w:cs="Segoe UI"/>
          <w:sz w:val="20"/>
          <w:szCs w:val="20"/>
        </w:rPr>
        <w:t>.”, visible en el Seminario Judicial de la Federación y su gaceta, con el registro digital 2002350.</w:t>
      </w:r>
    </w:p>
    <w:p w14:paraId="7D4C9515" w14:textId="77777777" w:rsidR="00664420" w:rsidRPr="00CC0DFE" w:rsidRDefault="00664420" w:rsidP="0016507E">
      <w:pPr>
        <w:pStyle w:val="paragraph"/>
        <w:spacing w:before="0" w:beforeAutospacing="0" w:after="0" w:afterAutospacing="0"/>
        <w:textAlignment w:val="baseline"/>
        <w:rPr>
          <w:rStyle w:val="eop"/>
          <w:rFonts w:cs="Segoe UI"/>
          <w:sz w:val="22"/>
          <w:szCs w:val="22"/>
        </w:rPr>
      </w:pPr>
    </w:p>
    <w:p w14:paraId="7E0035F8" w14:textId="7BFAED68" w:rsidR="00664420" w:rsidRPr="00CC0DFE" w:rsidRDefault="00664420" w:rsidP="0016507E">
      <w:pPr>
        <w:pStyle w:val="paragraph"/>
        <w:spacing w:before="0" w:beforeAutospacing="0" w:after="0" w:afterAutospacing="0"/>
        <w:textAlignment w:val="baseline"/>
        <w:rPr>
          <w:rStyle w:val="eop"/>
          <w:rFonts w:cs="Segoe UI"/>
          <w:sz w:val="22"/>
          <w:szCs w:val="22"/>
        </w:rPr>
      </w:pPr>
      <w:r w:rsidRPr="00CC0DFE">
        <w:rPr>
          <w:rStyle w:val="eop"/>
          <w:rFonts w:cs="Segoe UI"/>
          <w:sz w:val="22"/>
          <w:szCs w:val="22"/>
        </w:rPr>
        <w:t xml:space="preserve">Por ello, este organismo garante comprometido con la tutela de los derechos humanos </w:t>
      </w:r>
      <w:r w:rsidR="00BF091A" w:rsidRPr="00CC0DFE">
        <w:rPr>
          <w:rStyle w:val="eop"/>
          <w:rFonts w:cs="Segoe UI"/>
          <w:sz w:val="22"/>
          <w:szCs w:val="22"/>
        </w:rPr>
        <w:t>confiados</w:t>
      </w:r>
      <w:r w:rsidRPr="00CC0DFE">
        <w:rPr>
          <w:rStyle w:val="eop"/>
          <w:rFonts w:cs="Segoe UI"/>
          <w:sz w:val="22"/>
          <w:szCs w:val="22"/>
        </w:rPr>
        <w:t xml:space="preserve"> señala que este exceso del plazo legal para resolver el asunto resulta de carácter excepcional.</w:t>
      </w:r>
    </w:p>
    <w:p w14:paraId="6923684C" w14:textId="77777777" w:rsidR="00664420" w:rsidRPr="00CC0DFE" w:rsidRDefault="00664420" w:rsidP="0016507E">
      <w:pPr>
        <w:rPr>
          <w:rFonts w:cs="Tahoma"/>
          <w:szCs w:val="22"/>
        </w:rPr>
      </w:pPr>
    </w:p>
    <w:p w14:paraId="0E651988" w14:textId="16B043E2" w:rsidR="00664420" w:rsidRPr="00CC0DFE" w:rsidRDefault="006F358E" w:rsidP="0016507E">
      <w:pPr>
        <w:pStyle w:val="Ttulo3"/>
      </w:pPr>
      <w:bookmarkStart w:id="13" w:name="_Toc211448462"/>
      <w:r w:rsidRPr="00CC0DFE">
        <w:lastRenderedPageBreak/>
        <w:t>g</w:t>
      </w:r>
      <w:r w:rsidR="00664420" w:rsidRPr="00CC0DFE">
        <w:t>) Cierre de instrucción</w:t>
      </w:r>
      <w:bookmarkEnd w:id="13"/>
    </w:p>
    <w:p w14:paraId="79AF95DC" w14:textId="175F2008" w:rsidR="00664420" w:rsidRPr="00CC0DFE" w:rsidRDefault="00BF091A" w:rsidP="0016507E">
      <w:r w:rsidRPr="00CC0DFE">
        <w:rPr>
          <w:rFonts w:cs="Tahoma"/>
          <w:szCs w:val="22"/>
        </w:rPr>
        <w:t>Al no existir diligencias pendientes por desahogar</w:t>
      </w:r>
      <w:r w:rsidRPr="00CC0DFE">
        <w:rPr>
          <w:rFonts w:cs="Arial"/>
        </w:rPr>
        <w:t xml:space="preserve">, el </w:t>
      </w:r>
      <w:bookmarkStart w:id="14" w:name="_Hlk104892386"/>
      <w:r w:rsidR="00230AD6" w:rsidRPr="00CC0DFE">
        <w:rPr>
          <w:rFonts w:cs="Arial"/>
          <w:b/>
        </w:rPr>
        <w:t>catorce de octubre de dos mil veinticinco</w:t>
      </w:r>
      <w:bookmarkEnd w:id="14"/>
      <w:r w:rsidR="00230AD6" w:rsidRPr="00CC0DFE">
        <w:rPr>
          <w:rFonts w:cs="Arial"/>
        </w:rPr>
        <w:t>,</w:t>
      </w:r>
      <w:r w:rsidRPr="00CC0DFE">
        <w:rPr>
          <w:rFonts w:cs="Arial"/>
        </w:rPr>
        <w:t xml:space="preserve"> la </w:t>
      </w:r>
      <w:r w:rsidRPr="00CC0DFE">
        <w:rPr>
          <w:rFonts w:cs="Arial"/>
          <w:b/>
          <w:bCs/>
        </w:rPr>
        <w:t xml:space="preserve">Comisionada </w:t>
      </w:r>
      <w:r w:rsidRPr="00CC0DFE">
        <w:rPr>
          <w:b/>
        </w:rPr>
        <w:t xml:space="preserve">Sharon Cristina Morales Martínez </w:t>
      </w:r>
      <w:r w:rsidRPr="00CC0DFE">
        <w:rPr>
          <w:rFonts w:cs="Arial"/>
        </w:rPr>
        <w:t>acordó el cierre de instrucción</w:t>
      </w:r>
      <w:r w:rsidR="0011350D" w:rsidRPr="00CC0DFE">
        <w:rPr>
          <w:rFonts w:cs="Arial"/>
        </w:rPr>
        <w:t xml:space="preserve"> y</w:t>
      </w:r>
      <w:r w:rsidRPr="00CC0DFE">
        <w:rPr>
          <w:rFonts w:cs="Arial"/>
        </w:rPr>
        <w:t xml:space="preserve"> </w:t>
      </w:r>
      <w:r w:rsidR="0011350D" w:rsidRPr="00CC0DFE">
        <w:rPr>
          <w:rFonts w:cs="Arial"/>
        </w:rPr>
        <w:t xml:space="preserve">la </w:t>
      </w:r>
      <w:r w:rsidRPr="00CC0DFE">
        <w:rPr>
          <w:rFonts w:cs="Arial"/>
        </w:rPr>
        <w:t>remisión del expediente a efecto de ser resuelto, de conformidad con lo establecido en el artículo 185 fracciones VI y VIII de la Ley de Transparencia y Acceso a la Información Pública del Estado de México y Municipios</w:t>
      </w:r>
      <w:r w:rsidRPr="00CC0DFE">
        <w:t>.</w:t>
      </w:r>
      <w:r w:rsidR="0011350D" w:rsidRPr="00CC0DFE">
        <w:t xml:space="preserve"> Dicho acuerdo </w:t>
      </w:r>
      <w:r w:rsidR="00664420" w:rsidRPr="00CC0DFE">
        <w:rPr>
          <w:rFonts w:cs="Tahoma"/>
          <w:szCs w:val="22"/>
        </w:rPr>
        <w:t xml:space="preserve">fue notificado a las partes el mismo día a través del </w:t>
      </w:r>
      <w:r w:rsidR="00664420" w:rsidRPr="00CC0DFE">
        <w:rPr>
          <w:rFonts w:cs="Tahoma"/>
          <w:b/>
          <w:szCs w:val="22"/>
          <w:lang w:val="es-ES"/>
        </w:rPr>
        <w:t>SAIMEX</w:t>
      </w:r>
      <w:r w:rsidR="00664420" w:rsidRPr="00CC0DFE">
        <w:rPr>
          <w:rFonts w:cs="Tahoma"/>
          <w:szCs w:val="22"/>
        </w:rPr>
        <w:t>.</w:t>
      </w:r>
    </w:p>
    <w:p w14:paraId="741683E3" w14:textId="77777777" w:rsidR="0011350D" w:rsidRPr="00CC0DFE" w:rsidRDefault="0011350D" w:rsidP="0016507E">
      <w:pPr>
        <w:rPr>
          <w:rFonts w:cs="Tahoma"/>
          <w:szCs w:val="22"/>
        </w:rPr>
      </w:pPr>
    </w:p>
    <w:p w14:paraId="7A9629DE" w14:textId="77777777" w:rsidR="00664420" w:rsidRPr="00CC0DFE" w:rsidRDefault="00664420" w:rsidP="0016507E">
      <w:pPr>
        <w:pStyle w:val="Ttulo1"/>
        <w:rPr>
          <w:rFonts w:eastAsiaTheme="minorHAnsi"/>
          <w:lang w:eastAsia="en-US"/>
        </w:rPr>
      </w:pPr>
      <w:bookmarkStart w:id="15" w:name="_Toc211448463"/>
      <w:r w:rsidRPr="00CC0DFE">
        <w:rPr>
          <w:rFonts w:eastAsiaTheme="minorHAnsi"/>
          <w:lang w:eastAsia="en-US"/>
        </w:rPr>
        <w:t>CONSIDERANDOS</w:t>
      </w:r>
      <w:bookmarkEnd w:id="15"/>
    </w:p>
    <w:p w14:paraId="6DD1243B" w14:textId="77777777" w:rsidR="00664420" w:rsidRPr="00CC0DFE" w:rsidRDefault="00664420" w:rsidP="0016507E">
      <w:pPr>
        <w:contextualSpacing/>
        <w:jc w:val="center"/>
        <w:rPr>
          <w:rFonts w:eastAsiaTheme="minorHAnsi" w:cs="Tahoma"/>
          <w:b/>
          <w:szCs w:val="22"/>
          <w:lang w:eastAsia="en-US"/>
        </w:rPr>
      </w:pPr>
    </w:p>
    <w:p w14:paraId="0B67CB92" w14:textId="2E307D3B" w:rsidR="00664420" w:rsidRPr="00CC0DFE" w:rsidRDefault="00664420" w:rsidP="0016507E">
      <w:pPr>
        <w:pStyle w:val="Ttulo2"/>
        <w:rPr>
          <w:rFonts w:eastAsia="Batang"/>
        </w:rPr>
      </w:pPr>
      <w:bookmarkStart w:id="16" w:name="_Toc211448464"/>
      <w:r w:rsidRPr="00CC0DFE">
        <w:rPr>
          <w:rFonts w:eastAsia="Batang"/>
        </w:rPr>
        <w:t xml:space="preserve">PRIMERO. </w:t>
      </w:r>
      <w:r w:rsidR="00BA55A8" w:rsidRPr="00CC0DFE">
        <w:rPr>
          <w:rFonts w:eastAsia="Batang"/>
        </w:rPr>
        <w:t>Procedibilidad</w:t>
      </w:r>
      <w:bookmarkEnd w:id="16"/>
    </w:p>
    <w:p w14:paraId="39C52BC1" w14:textId="56FCC20D" w:rsidR="00BA55A8" w:rsidRPr="00CC0DFE" w:rsidRDefault="00BA55A8" w:rsidP="0016507E">
      <w:pPr>
        <w:pStyle w:val="Ttulo3"/>
      </w:pPr>
      <w:bookmarkStart w:id="17" w:name="_Toc211448465"/>
      <w:r w:rsidRPr="00CC0DFE">
        <w:t>a) Competencia</w:t>
      </w:r>
      <w:r w:rsidR="00150C49" w:rsidRPr="00CC0DFE">
        <w:t xml:space="preserve"> del Instituto</w:t>
      </w:r>
      <w:bookmarkEnd w:id="17"/>
    </w:p>
    <w:p w14:paraId="56FC4EBD" w14:textId="77777777" w:rsidR="0031457D" w:rsidRPr="00CC0DFE" w:rsidRDefault="0031457D" w:rsidP="0016507E">
      <w:pPr>
        <w:rPr>
          <w:rFonts w:cs="Arial"/>
        </w:rPr>
      </w:pPr>
      <w:r w:rsidRPr="00CC0DFE">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w:t>
      </w:r>
      <w:r w:rsidRPr="00CC0DFE">
        <w:rPr>
          <w:rFonts w:cs="Tahoma"/>
          <w:bCs/>
          <w:szCs w:val="22"/>
        </w:rPr>
        <w:t xml:space="preserve">párrafos trigésimo noveno, cuadragésimo y cuadragésimo primero, fracciones IV y V, </w:t>
      </w:r>
      <w:r w:rsidRPr="00CC0DFE">
        <w:t>de la Constitución Política del Estado Libre y Soberano de México; ordinal 2, fracción II, 13, 29, 36, fracciones I y II, 176, 178, 179, 181 párrafo tercero y 185 de la Ley de Transparencia y Acceso a la Información Pública del Estado de México y Municipios</w:t>
      </w:r>
      <w:r w:rsidRPr="00CC0DFE">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CC0DFE" w:rsidRDefault="00DB1C09" w:rsidP="0016507E">
      <w:pPr>
        <w:rPr>
          <w:rFonts w:cs="Arial"/>
        </w:rPr>
      </w:pPr>
    </w:p>
    <w:p w14:paraId="517A2DD6" w14:textId="4169BE4D" w:rsidR="00664420" w:rsidRPr="00CC0DFE" w:rsidRDefault="00BA55A8" w:rsidP="0016507E">
      <w:pPr>
        <w:pStyle w:val="Ttulo3"/>
      </w:pPr>
      <w:bookmarkStart w:id="18" w:name="_Toc211448466"/>
      <w:r w:rsidRPr="00CC0DFE">
        <w:lastRenderedPageBreak/>
        <w:t>b)</w:t>
      </w:r>
      <w:r w:rsidR="00664420" w:rsidRPr="00CC0DFE">
        <w:t xml:space="preserve"> </w:t>
      </w:r>
      <w:r w:rsidR="00D91CB4" w:rsidRPr="00CC0DFE">
        <w:t>Legitimidad</w:t>
      </w:r>
      <w:r w:rsidRPr="00CC0DFE">
        <w:t xml:space="preserve"> de la parte recurrente</w:t>
      </w:r>
      <w:bookmarkEnd w:id="18"/>
    </w:p>
    <w:p w14:paraId="26FEA382" w14:textId="0B06695C" w:rsidR="00D91CB4" w:rsidRPr="00CC0DFE" w:rsidRDefault="00D91CB4" w:rsidP="0016507E">
      <w:pPr>
        <w:rPr>
          <w:rFonts w:cs="Arial"/>
          <w:bCs/>
        </w:rPr>
      </w:pPr>
      <w:r w:rsidRPr="00CC0DFE">
        <w:rPr>
          <w:rFonts w:cs="Arial"/>
          <w:bCs/>
        </w:rPr>
        <w:t>El recurso de revisión fue interpuesto por parte legítima, ya que se presentó por la misma persona que formuló la solicitud de acceso a la Información Pública,</w:t>
      </w:r>
      <w:r w:rsidRPr="00CC0DFE">
        <w:rPr>
          <w:rFonts w:cs="Arial"/>
          <w:b/>
          <w:bCs/>
        </w:rPr>
        <w:t xml:space="preserve"> </w:t>
      </w:r>
      <w:r w:rsidRPr="00CC0DFE">
        <w:rPr>
          <w:rFonts w:cs="Arial"/>
        </w:rPr>
        <w:t>debido a que los datos de acceso</w:t>
      </w:r>
      <w:r w:rsidRPr="00CC0DFE">
        <w:rPr>
          <w:rFonts w:cs="Arial"/>
          <w:b/>
          <w:bCs/>
        </w:rPr>
        <w:t xml:space="preserve"> </w:t>
      </w:r>
      <w:r w:rsidRPr="00CC0DFE">
        <w:rPr>
          <w:rFonts w:cs="Arial"/>
          <w:b/>
        </w:rPr>
        <w:t>SAIMEX</w:t>
      </w:r>
      <w:r w:rsidRPr="00CC0DFE">
        <w:rPr>
          <w:rFonts w:eastAsia="Calibri" w:cs="Arial"/>
          <w:lang w:eastAsia="en-US"/>
        </w:rPr>
        <w:t xml:space="preserve"> son personales e irrepetibles.</w:t>
      </w:r>
    </w:p>
    <w:p w14:paraId="2C367810" w14:textId="77777777" w:rsidR="00D91CB4" w:rsidRPr="00CC0DFE" w:rsidRDefault="00D91CB4" w:rsidP="0016507E"/>
    <w:p w14:paraId="496490FC" w14:textId="1A5F3FDB" w:rsidR="00D91CB4" w:rsidRPr="00CC0DFE" w:rsidRDefault="00BA55A8" w:rsidP="0016507E">
      <w:pPr>
        <w:pStyle w:val="Ttulo3"/>
        <w:rPr>
          <w:rFonts w:eastAsia="Calibri"/>
          <w:lang w:eastAsia="es-ES_tradnl"/>
        </w:rPr>
      </w:pPr>
      <w:bookmarkStart w:id="19" w:name="_Toc211448467"/>
      <w:r w:rsidRPr="00CC0DFE">
        <w:rPr>
          <w:rFonts w:eastAsia="Calibri"/>
          <w:lang w:eastAsia="es-ES_tradnl"/>
        </w:rPr>
        <w:t>c)</w:t>
      </w:r>
      <w:r w:rsidR="00664420" w:rsidRPr="00CC0DFE">
        <w:rPr>
          <w:rFonts w:eastAsia="Calibri"/>
          <w:lang w:eastAsia="es-ES_tradnl"/>
        </w:rPr>
        <w:t xml:space="preserve"> </w:t>
      </w:r>
      <w:r w:rsidR="00D91CB4" w:rsidRPr="00CC0DFE">
        <w:rPr>
          <w:rFonts w:eastAsia="Calibri"/>
          <w:lang w:eastAsia="es-ES_tradnl"/>
        </w:rPr>
        <w:t>Plazo para interponer el recurso</w:t>
      </w:r>
      <w:bookmarkEnd w:id="19"/>
    </w:p>
    <w:p w14:paraId="106D37EE" w14:textId="313FDD5F" w:rsidR="00D91CB4" w:rsidRPr="00CC0DFE" w:rsidRDefault="00D91CB4" w:rsidP="0016507E">
      <w:pPr>
        <w:rPr>
          <w:rFonts w:eastAsiaTheme="minorEastAsia" w:cs="Arial"/>
          <w:lang w:val="es-ES_tradnl"/>
        </w:rPr>
      </w:pPr>
      <w:r w:rsidRPr="00CC0DFE">
        <w:rPr>
          <w:rFonts w:cs="Arial"/>
          <w:b/>
        </w:rPr>
        <w:t>EL SUJETO OBLIGADO</w:t>
      </w:r>
      <w:r w:rsidRPr="00CC0DFE">
        <w:rPr>
          <w:rFonts w:cs="Arial"/>
        </w:rPr>
        <w:t xml:space="preserve"> notificó la respuesta a la solicitud de acceso a la Información Pública el </w:t>
      </w:r>
      <w:r w:rsidR="008D5105" w:rsidRPr="00CC0DFE">
        <w:rPr>
          <w:rFonts w:cs="Arial"/>
          <w:b/>
        </w:rPr>
        <w:t>once de marzo de dos mil veinticinco</w:t>
      </w:r>
      <w:r w:rsidRPr="00CC0DFE">
        <w:rPr>
          <w:rFonts w:cs="Arial"/>
        </w:rPr>
        <w:t xml:space="preserve"> </w:t>
      </w:r>
      <w:r w:rsidR="00A53315" w:rsidRPr="00CC0DFE">
        <w:rPr>
          <w:rFonts w:cs="Arial"/>
        </w:rPr>
        <w:t xml:space="preserve">y el recurso </w:t>
      </w:r>
      <w:r w:rsidR="00A53315" w:rsidRPr="00CC0DFE">
        <w:rPr>
          <w:rFonts w:eastAsia="Palatino Linotype" w:cs="Palatino Linotype"/>
        </w:rPr>
        <w:t xml:space="preserve">que nos ocupa se interpuso el </w:t>
      </w:r>
      <w:r w:rsidR="008D5105" w:rsidRPr="00CC0DFE">
        <w:rPr>
          <w:rFonts w:eastAsia="Palatino Linotype" w:cs="Palatino Linotype"/>
          <w:b/>
        </w:rPr>
        <w:t>diecinueve de marzo de dos mil veinticinco</w:t>
      </w:r>
      <w:r w:rsidR="00A53315" w:rsidRPr="00CC0DFE">
        <w:rPr>
          <w:rFonts w:eastAsia="Palatino Linotype" w:cs="Palatino Linotype"/>
          <w:bCs/>
        </w:rPr>
        <w:t>;</w:t>
      </w:r>
      <w:r w:rsidR="00A53315" w:rsidRPr="00CC0DFE">
        <w:rPr>
          <w:rFonts w:eastAsia="Palatino Linotype" w:cs="Palatino Linotype"/>
        </w:rPr>
        <w:t xml:space="preserve"> por lo tanto, éste se encuentra dentro del margen temporal previsto en el artículo 178 de la </w:t>
      </w:r>
      <w:r w:rsidR="00A53315" w:rsidRPr="00CC0DFE">
        <w:rPr>
          <w:rFonts w:cs="Arial"/>
        </w:rPr>
        <w:t>Ley de Transparencia y Acceso a la Información Pública del Estado de México y Municipios</w:t>
      </w:r>
      <w:r w:rsidR="00163D12" w:rsidRPr="00CC0DFE">
        <w:rPr>
          <w:rFonts w:cs="Arial"/>
        </w:rPr>
        <w:t>.</w:t>
      </w:r>
    </w:p>
    <w:p w14:paraId="49076992" w14:textId="77777777" w:rsidR="00D91CB4" w:rsidRPr="00CC0DFE" w:rsidRDefault="00D91CB4" w:rsidP="0016507E">
      <w:pPr>
        <w:rPr>
          <w:rFonts w:eastAsia="Palatino Linotype" w:cs="Palatino Linotype"/>
        </w:rPr>
      </w:pPr>
    </w:p>
    <w:p w14:paraId="46C0EB3A" w14:textId="15F1A919" w:rsidR="00A53315" w:rsidRPr="00CC0DFE" w:rsidRDefault="00BA55A8" w:rsidP="0016507E">
      <w:pPr>
        <w:pStyle w:val="Ttulo3"/>
        <w:rPr>
          <w:rFonts w:eastAsia="Calibri"/>
          <w:lang w:eastAsia="es-ES_tradnl"/>
        </w:rPr>
      </w:pPr>
      <w:bookmarkStart w:id="20" w:name="_Toc211448468"/>
      <w:r w:rsidRPr="00CC0DFE">
        <w:rPr>
          <w:rFonts w:eastAsia="Calibri"/>
          <w:lang w:eastAsia="es-ES_tradnl"/>
        </w:rPr>
        <w:t>d)</w:t>
      </w:r>
      <w:r w:rsidR="00D91CB4" w:rsidRPr="00CC0DFE">
        <w:rPr>
          <w:rFonts w:eastAsia="Calibri"/>
          <w:lang w:eastAsia="es-ES_tradnl"/>
        </w:rPr>
        <w:t xml:space="preserve"> </w:t>
      </w:r>
      <w:r w:rsidR="009A0277" w:rsidRPr="00CC0DFE">
        <w:rPr>
          <w:rFonts w:eastAsia="Calibri"/>
          <w:lang w:eastAsia="es-ES_tradnl"/>
        </w:rPr>
        <w:t>Causal de Procedencia</w:t>
      </w:r>
      <w:bookmarkEnd w:id="20"/>
    </w:p>
    <w:p w14:paraId="190404A6" w14:textId="67E25C9E" w:rsidR="00BA55A8" w:rsidRPr="00CC0DFE" w:rsidRDefault="00BA55A8" w:rsidP="0016507E">
      <w:r w:rsidRPr="00CC0DFE">
        <w:rPr>
          <w:rFonts w:cs="Arial"/>
        </w:rPr>
        <w:t xml:space="preserve">Resulta procedente la interposición del recurso de revisión, ya que </w:t>
      </w:r>
      <w:r w:rsidRPr="00CC0DFE">
        <w:rPr>
          <w:rFonts w:eastAsia="Calibri" w:cs="Tahoma"/>
          <w:szCs w:val="22"/>
          <w:lang w:eastAsia="es-MX"/>
        </w:rPr>
        <w:t xml:space="preserve">se actualiza la causal de procedencia señalada en el artículo 179, fracción </w:t>
      </w:r>
      <w:r w:rsidR="008D5105" w:rsidRPr="00CC0DFE">
        <w:rPr>
          <w:rFonts w:eastAsia="Calibri" w:cs="Tahoma"/>
          <w:szCs w:val="22"/>
          <w:lang w:eastAsia="es-MX"/>
        </w:rPr>
        <w:t>I</w:t>
      </w:r>
      <w:r w:rsidRPr="00CC0DFE">
        <w:rPr>
          <w:rFonts w:cs="Arial"/>
        </w:rPr>
        <w:t xml:space="preserve"> de la </w:t>
      </w:r>
      <w:r w:rsidRPr="00CC0DFE">
        <w:t>Ley de Transparencia y Acceso a la Información Pública del Estado de México y Municipios.</w:t>
      </w:r>
    </w:p>
    <w:p w14:paraId="0EFF7141" w14:textId="77777777" w:rsidR="00362A11" w:rsidRPr="00CC0DFE" w:rsidRDefault="00362A11" w:rsidP="0016507E"/>
    <w:p w14:paraId="2284D7EB" w14:textId="3EE1D036" w:rsidR="00BA55A8" w:rsidRPr="00CC0DFE" w:rsidRDefault="00362A11" w:rsidP="0016507E">
      <w:pPr>
        <w:pStyle w:val="Ttulo3"/>
      </w:pPr>
      <w:bookmarkStart w:id="21" w:name="_Toc211448469"/>
      <w:r w:rsidRPr="00CC0DFE">
        <w:t>e) Requisitos formales para la interposición del recurso</w:t>
      </w:r>
      <w:bookmarkEnd w:id="21"/>
    </w:p>
    <w:p w14:paraId="6390674A" w14:textId="78A894DD" w:rsidR="00BA55A8" w:rsidRPr="00CC0DFE" w:rsidRDefault="00BA55A8" w:rsidP="0016507E">
      <w:pPr>
        <w:rPr>
          <w:rFonts w:cs="Arial"/>
        </w:rPr>
      </w:pPr>
      <w:r w:rsidRPr="00CC0DFE">
        <w:rPr>
          <w:rFonts w:cs="Arial"/>
          <w:b/>
          <w:bCs/>
        </w:rPr>
        <w:t xml:space="preserve">LA PARTE RECURRENTE </w:t>
      </w:r>
      <w:r w:rsidRPr="00CC0DFE">
        <w:rPr>
          <w:rFonts w:cs="Arial"/>
        </w:rPr>
        <w:t>acreditó todos y cada uno de los elementos formales exigidos por el artículo 180 de la misma normatividad.</w:t>
      </w:r>
    </w:p>
    <w:p w14:paraId="6E73E13B" w14:textId="77777777" w:rsidR="00C05FF1" w:rsidRPr="00CC0DFE" w:rsidRDefault="00C05FF1" w:rsidP="0016507E">
      <w:pPr>
        <w:rPr>
          <w:rFonts w:cs="Arial"/>
        </w:rPr>
      </w:pPr>
    </w:p>
    <w:p w14:paraId="1E5C9B96" w14:textId="77777777" w:rsidR="005F5301" w:rsidRPr="00CC0DFE" w:rsidRDefault="005F5301" w:rsidP="0016507E">
      <w:pPr>
        <w:rPr>
          <w:rFonts w:cs="Arial"/>
          <w:sz w:val="24"/>
          <w:szCs w:val="24"/>
          <w:lang w:val="es-ES"/>
        </w:rPr>
      </w:pPr>
      <w:r w:rsidRPr="00CC0DFE">
        <w:rPr>
          <w:sz w:val="24"/>
          <w:szCs w:val="24"/>
          <w:lang w:val="es-ES"/>
        </w:rPr>
        <w:t xml:space="preserve">Es importante mencionar que, de la revisión del expediente electrónico del </w:t>
      </w:r>
      <w:r w:rsidRPr="00CC0DFE">
        <w:rPr>
          <w:bCs/>
          <w:sz w:val="24"/>
          <w:szCs w:val="24"/>
          <w:lang w:val="es-ES"/>
        </w:rPr>
        <w:t>SAIMEX,</w:t>
      </w:r>
      <w:r w:rsidRPr="00CC0DFE">
        <w:rPr>
          <w:sz w:val="24"/>
          <w:szCs w:val="24"/>
          <w:lang w:val="es-ES"/>
        </w:rPr>
        <w:t xml:space="preserve"> se observa que </w:t>
      </w:r>
      <w:r w:rsidRPr="00CC0DFE">
        <w:rPr>
          <w:b/>
          <w:bCs/>
          <w:sz w:val="24"/>
          <w:szCs w:val="24"/>
          <w:lang w:val="es-ES"/>
        </w:rPr>
        <w:t>LA PARTE RECURRENTE</w:t>
      </w:r>
      <w:r w:rsidRPr="00CC0DFE">
        <w:rPr>
          <w:sz w:val="24"/>
          <w:szCs w:val="24"/>
          <w:lang w:val="es-ES"/>
        </w:rPr>
        <w:t xml:space="preserve"> no proporcionó su nombre para ser identificado, lo que en estricto sentido provoca que </w:t>
      </w:r>
      <w:r w:rsidRPr="00CC0DFE">
        <w:rPr>
          <w:rFonts w:cs="Arial"/>
          <w:sz w:val="24"/>
          <w:szCs w:val="24"/>
          <w:lang w:val="es-ES"/>
        </w:rPr>
        <w:t>no</w:t>
      </w:r>
      <w:r w:rsidRPr="00CC0DFE">
        <w:rPr>
          <w:sz w:val="24"/>
          <w:szCs w:val="24"/>
          <w:lang w:val="es-ES"/>
        </w:rPr>
        <w:t xml:space="preserve"> se colmen los requisitos </w:t>
      </w:r>
      <w:r w:rsidRPr="00CC0DFE">
        <w:rPr>
          <w:sz w:val="24"/>
          <w:szCs w:val="24"/>
          <w:lang w:val="es-ES"/>
        </w:rPr>
        <w:lastRenderedPageBreak/>
        <w:t xml:space="preserve">establecidos en el artículo 180 de la Ley de Transparencia; sin embargo, el artículo 15 de </w:t>
      </w:r>
      <w:r w:rsidRPr="00CC0DFE">
        <w:rPr>
          <w:rFonts w:cs="Arial"/>
          <w:sz w:val="24"/>
          <w:szCs w:val="24"/>
          <w:lang w:val="es-ES" w:eastAsia="es-MX"/>
        </w:rPr>
        <w:t xml:space="preserve">Ley de Transparencia y Acceso a la </w:t>
      </w:r>
      <w:r w:rsidRPr="00CC0DFE">
        <w:rPr>
          <w:rFonts w:cs="Arial"/>
          <w:sz w:val="24"/>
          <w:szCs w:val="24"/>
          <w:lang w:val="es-ES"/>
        </w:rPr>
        <w:t>Información</w:t>
      </w:r>
      <w:r w:rsidRPr="00CC0DFE">
        <w:rPr>
          <w:rFonts w:cs="Arial"/>
          <w:sz w:val="24"/>
          <w:szCs w:val="24"/>
          <w:lang w:val="es-ES" w:eastAsia="es-MX"/>
        </w:rPr>
        <w:t xml:space="preserve"> Pública del Estado de México y Municipios </w:t>
      </w:r>
      <w:r w:rsidRPr="00CC0DFE">
        <w:rPr>
          <w:rFonts w:cs="Arial"/>
          <w:iCs/>
          <w:sz w:val="24"/>
          <w:szCs w:val="24"/>
          <w:lang w:val="es-ES"/>
        </w:rPr>
        <w:t xml:space="preserve">prevé que </w:t>
      </w:r>
      <w:r w:rsidRPr="00CC0DFE">
        <w:rPr>
          <w:sz w:val="24"/>
          <w:szCs w:val="24"/>
          <w:lang w:val="es-ES"/>
        </w:rPr>
        <w:t xml:space="preserve">toda persona tendrá acceso a la información </w:t>
      </w:r>
      <w:r w:rsidRPr="00CC0DFE">
        <w:rPr>
          <w:rFonts w:cs="Arial"/>
          <w:sz w:val="24"/>
          <w:szCs w:val="24"/>
          <w:lang w:val="es-ES"/>
        </w:rPr>
        <w:t xml:space="preserve">sin necesidad de acreditar interés alguno o justificar su utilización, de lo que se infiere que </w:t>
      </w:r>
      <w:r w:rsidRPr="00CC0DFE">
        <w:rPr>
          <w:rFonts w:cs="Arial"/>
          <w:b/>
          <w:sz w:val="24"/>
          <w:szCs w:val="24"/>
          <w:u w:val="single"/>
          <w:lang w:val="es-ES"/>
        </w:rPr>
        <w:t xml:space="preserve">el nombre no es un requisito </w:t>
      </w:r>
      <w:r w:rsidRPr="00CC0DFE">
        <w:rPr>
          <w:rFonts w:cs="Arial"/>
          <w:b/>
          <w:iCs/>
          <w:sz w:val="24"/>
          <w:szCs w:val="24"/>
          <w:u w:val="single"/>
          <w:lang w:val="es-ES"/>
        </w:rPr>
        <w:t>indispensable</w:t>
      </w:r>
      <w:r w:rsidRPr="00CC0DFE">
        <w:rPr>
          <w:rFonts w:cs="Arial"/>
          <w:sz w:val="24"/>
          <w:szCs w:val="24"/>
          <w:lang w:val="es-ES"/>
        </w:rPr>
        <w:t xml:space="preserve"> para que las y los ciudadanos ejerzan el derecho de acceso a la información pública. </w:t>
      </w:r>
    </w:p>
    <w:p w14:paraId="0DBCFA60" w14:textId="77777777" w:rsidR="005F5301" w:rsidRPr="00CC0DFE" w:rsidRDefault="005F5301" w:rsidP="0016507E">
      <w:pPr>
        <w:rPr>
          <w:rFonts w:cs="Arial"/>
          <w:sz w:val="24"/>
          <w:szCs w:val="24"/>
          <w:lang w:val="es-ES"/>
        </w:rPr>
      </w:pPr>
    </w:p>
    <w:p w14:paraId="4B63C5CE" w14:textId="647DDEF6" w:rsidR="005F5301" w:rsidRPr="00CC0DFE" w:rsidRDefault="005F5301" w:rsidP="0016507E">
      <w:pPr>
        <w:rPr>
          <w:sz w:val="24"/>
          <w:szCs w:val="24"/>
          <w:lang w:val="es-ES"/>
        </w:rPr>
      </w:pPr>
      <w:r w:rsidRPr="00CC0DFE">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CC0DFE">
        <w:rPr>
          <w:sz w:val="24"/>
          <w:szCs w:val="24"/>
          <w:lang w:val="es-ES"/>
        </w:rPr>
        <w:t xml:space="preserve"> </w:t>
      </w:r>
      <w:r w:rsidRPr="00CC0DFE">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CC0DFE">
        <w:rPr>
          <w:sz w:val="24"/>
          <w:szCs w:val="24"/>
          <w:lang w:val="es-ES"/>
        </w:rPr>
        <w:t>algunos</w:t>
      </w:r>
      <w:r w:rsidRPr="00CC0DFE">
        <w:rPr>
          <w:sz w:val="24"/>
          <w:szCs w:val="24"/>
          <w:lang w:val="es-ES"/>
        </w:rPr>
        <w:t xml:space="preserve"> requisitos, entre ellos, el nombre de</w:t>
      </w:r>
      <w:r w:rsidR="00057B2D" w:rsidRPr="00CC0DFE">
        <w:rPr>
          <w:sz w:val="24"/>
          <w:szCs w:val="24"/>
          <w:lang w:val="es-ES"/>
        </w:rPr>
        <w:t xml:space="preserve"> </w:t>
      </w:r>
      <w:r w:rsidR="00057B2D" w:rsidRPr="00CC0DFE">
        <w:rPr>
          <w:b/>
          <w:bCs/>
          <w:sz w:val="24"/>
          <w:szCs w:val="24"/>
          <w:lang w:val="es-ES"/>
        </w:rPr>
        <w:t>LA PARTE RECURRENTE</w:t>
      </w:r>
      <w:r w:rsidRPr="00CC0DFE">
        <w:rPr>
          <w:rFonts w:cs="Arial"/>
          <w:b/>
          <w:sz w:val="24"/>
          <w:szCs w:val="24"/>
          <w:lang w:val="es-ES"/>
        </w:rPr>
        <w:t>;</w:t>
      </w:r>
      <w:r w:rsidRPr="00CC0DFE">
        <w:rPr>
          <w:sz w:val="24"/>
          <w:szCs w:val="24"/>
          <w:lang w:val="es-ES"/>
        </w:rPr>
        <w:t xml:space="preserve"> por lo que, en el presente caso, al haber sido presentado el recurso de revisión vía </w:t>
      </w:r>
      <w:r w:rsidRPr="00CC0DFE">
        <w:rPr>
          <w:bCs/>
          <w:sz w:val="24"/>
          <w:szCs w:val="24"/>
          <w:lang w:val="es-ES"/>
        </w:rPr>
        <w:t>SAIMEX</w:t>
      </w:r>
      <w:r w:rsidRPr="00CC0DFE">
        <w:rPr>
          <w:sz w:val="24"/>
          <w:szCs w:val="24"/>
          <w:lang w:val="es-ES"/>
        </w:rPr>
        <w:t>, dicho requisito resulta innecesario.</w:t>
      </w:r>
    </w:p>
    <w:p w14:paraId="3A121826" w14:textId="77777777" w:rsidR="00C461EC" w:rsidRPr="00CC0DFE" w:rsidRDefault="00C461EC" w:rsidP="0016507E">
      <w:pPr>
        <w:ind w:left="-57"/>
        <w:rPr>
          <w:bCs/>
          <w:lang w:val="es-ES_tradnl"/>
        </w:rPr>
      </w:pPr>
    </w:p>
    <w:p w14:paraId="457548E9" w14:textId="3F7AF03B" w:rsidR="00C71CEF" w:rsidRPr="00CC0DFE" w:rsidRDefault="00C71CEF" w:rsidP="0016507E">
      <w:pPr>
        <w:pStyle w:val="Ttulo2"/>
      </w:pPr>
      <w:bookmarkStart w:id="22" w:name="_Toc211448470"/>
      <w:r w:rsidRPr="00CC0DFE">
        <w:t>SEGUNDO. Estudio de Fondo</w:t>
      </w:r>
      <w:bookmarkEnd w:id="22"/>
    </w:p>
    <w:p w14:paraId="2A308F59" w14:textId="0FF373F0" w:rsidR="00C049E2" w:rsidRPr="00CC0DFE" w:rsidRDefault="00C71CEF" w:rsidP="0016507E">
      <w:pPr>
        <w:pStyle w:val="Ttulo3"/>
      </w:pPr>
      <w:bookmarkStart w:id="23" w:name="_Toc211448471"/>
      <w:r w:rsidRPr="00CC0DFE">
        <w:t>a</w:t>
      </w:r>
      <w:r w:rsidR="00C049E2" w:rsidRPr="00CC0DFE">
        <w:t>) Mandato de transparencia y responsabilidad del Sujeto Obligado</w:t>
      </w:r>
      <w:bookmarkEnd w:id="23"/>
    </w:p>
    <w:p w14:paraId="6901A889" w14:textId="59EEDAE1" w:rsidR="00C049E2" w:rsidRPr="00CC0DFE" w:rsidRDefault="00C049E2" w:rsidP="0016507E">
      <w:pPr>
        <w:rPr>
          <w:rFonts w:eastAsia="Palatino Linotype"/>
        </w:rPr>
      </w:pPr>
      <w:r w:rsidRPr="00CC0DFE">
        <w:rPr>
          <w:rFonts w:eastAsia="Palatino Linotype"/>
        </w:rPr>
        <w:t xml:space="preserve">El </w:t>
      </w:r>
      <w:r w:rsidR="00717E59" w:rsidRPr="00CC0DFE">
        <w:rPr>
          <w:rFonts w:eastAsia="Palatino Linotype"/>
        </w:rPr>
        <w:t>d</w:t>
      </w:r>
      <w:r w:rsidRPr="00CC0DFE">
        <w:rPr>
          <w:rFonts w:eastAsia="Palatino Linotype"/>
        </w:rPr>
        <w:t xml:space="preserve">erecho de </w:t>
      </w:r>
      <w:r w:rsidR="00717E59" w:rsidRPr="00CC0DFE">
        <w:rPr>
          <w:rFonts w:eastAsia="Palatino Linotype"/>
        </w:rPr>
        <w:t>a</w:t>
      </w:r>
      <w:r w:rsidRPr="00CC0DFE">
        <w:rPr>
          <w:rFonts w:eastAsia="Palatino Linotype"/>
        </w:rPr>
        <w:t xml:space="preserve">cceso a la </w:t>
      </w:r>
      <w:r w:rsidR="00717E59" w:rsidRPr="00CC0DFE">
        <w:rPr>
          <w:rFonts w:eastAsia="Palatino Linotype"/>
        </w:rPr>
        <w:t>i</w:t>
      </w:r>
      <w:r w:rsidRPr="00CC0DFE">
        <w:rPr>
          <w:rFonts w:eastAsia="Palatino Linotype"/>
        </w:rPr>
        <w:t xml:space="preserve">nformación </w:t>
      </w:r>
      <w:r w:rsidR="00717E59" w:rsidRPr="00CC0DFE">
        <w:rPr>
          <w:rFonts w:eastAsia="Palatino Linotype"/>
        </w:rPr>
        <w:t>p</w:t>
      </w:r>
      <w:r w:rsidRPr="00CC0DFE">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CC0DFE">
        <w:rPr>
          <w:rFonts w:eastAsia="Palatino Linotype"/>
        </w:rPr>
        <w:t>:</w:t>
      </w:r>
    </w:p>
    <w:p w14:paraId="7FAB8D32" w14:textId="77777777" w:rsidR="00C049E2" w:rsidRPr="00CC0DFE" w:rsidRDefault="00C049E2" w:rsidP="0016507E">
      <w:pPr>
        <w:rPr>
          <w:rFonts w:eastAsia="Palatino Linotype"/>
        </w:rPr>
      </w:pPr>
    </w:p>
    <w:p w14:paraId="05320813" w14:textId="77777777" w:rsidR="00C049E2" w:rsidRPr="00CC0DFE" w:rsidRDefault="00C049E2" w:rsidP="0016507E">
      <w:pPr>
        <w:spacing w:line="240" w:lineRule="auto"/>
        <w:ind w:left="567" w:right="539"/>
        <w:rPr>
          <w:rFonts w:eastAsia="Palatino Linotype"/>
          <w:b/>
          <w:i/>
        </w:rPr>
      </w:pPr>
      <w:r w:rsidRPr="00CC0DFE">
        <w:rPr>
          <w:rFonts w:eastAsia="Palatino Linotype"/>
          <w:b/>
          <w:i/>
        </w:rPr>
        <w:t>Constitución Política de los Estados Unidos Mexicanos</w:t>
      </w:r>
    </w:p>
    <w:p w14:paraId="6B6C67B6" w14:textId="77777777" w:rsidR="00C049E2" w:rsidRPr="00CC0DFE" w:rsidRDefault="00C049E2" w:rsidP="0016507E">
      <w:pPr>
        <w:spacing w:line="240" w:lineRule="auto"/>
        <w:ind w:left="567" w:right="539"/>
        <w:rPr>
          <w:rFonts w:eastAsia="Palatino Linotype"/>
          <w:b/>
          <w:i/>
        </w:rPr>
      </w:pPr>
      <w:r w:rsidRPr="00CC0DFE">
        <w:rPr>
          <w:rFonts w:eastAsia="Palatino Linotype"/>
          <w:b/>
          <w:i/>
        </w:rPr>
        <w:t>“Artículo 6.</w:t>
      </w:r>
    </w:p>
    <w:p w14:paraId="38D3B4C4" w14:textId="77777777" w:rsidR="00C049E2" w:rsidRPr="00CC0DFE" w:rsidRDefault="00C049E2" w:rsidP="0016507E">
      <w:pPr>
        <w:spacing w:line="240" w:lineRule="auto"/>
        <w:ind w:left="567" w:right="539"/>
        <w:rPr>
          <w:rFonts w:eastAsia="Palatino Linotype"/>
          <w:i/>
        </w:rPr>
      </w:pPr>
      <w:r w:rsidRPr="00CC0DFE">
        <w:rPr>
          <w:rFonts w:eastAsia="Palatino Linotype"/>
          <w:i/>
        </w:rPr>
        <w:t>(…)</w:t>
      </w:r>
    </w:p>
    <w:p w14:paraId="2CCAA297" w14:textId="6602827B" w:rsidR="00C049E2" w:rsidRPr="00CC0DFE" w:rsidRDefault="00C049E2" w:rsidP="0016507E">
      <w:pPr>
        <w:spacing w:line="240" w:lineRule="auto"/>
        <w:ind w:left="567" w:right="539"/>
        <w:rPr>
          <w:rFonts w:eastAsia="Palatino Linotype"/>
          <w:i/>
        </w:rPr>
      </w:pPr>
      <w:r w:rsidRPr="00CC0DFE">
        <w:rPr>
          <w:rFonts w:eastAsia="Palatino Linotype"/>
          <w:i/>
        </w:rPr>
        <w:t>Para efectos de lo dispuesto en el presente artículo se observará lo siguiente:</w:t>
      </w:r>
    </w:p>
    <w:p w14:paraId="74CC3718" w14:textId="77777777" w:rsidR="00C049E2" w:rsidRPr="00CC0DFE" w:rsidRDefault="00C049E2" w:rsidP="0016507E">
      <w:pPr>
        <w:spacing w:line="240" w:lineRule="auto"/>
        <w:ind w:left="567" w:right="539"/>
        <w:rPr>
          <w:rFonts w:eastAsia="Palatino Linotype"/>
          <w:b/>
          <w:i/>
        </w:rPr>
      </w:pPr>
      <w:r w:rsidRPr="00CC0DFE">
        <w:rPr>
          <w:rFonts w:eastAsia="Palatino Linotype"/>
          <w:b/>
          <w:i/>
        </w:rPr>
        <w:lastRenderedPageBreak/>
        <w:t>A</w:t>
      </w:r>
      <w:r w:rsidRPr="00CC0DFE">
        <w:rPr>
          <w:rFonts w:eastAsia="Palatino Linotype"/>
          <w:i/>
        </w:rPr>
        <w:t xml:space="preserve">. </w:t>
      </w:r>
      <w:r w:rsidRPr="00CC0DFE">
        <w:rPr>
          <w:rFonts w:eastAsia="Palatino Linotype"/>
          <w:b/>
          <w:i/>
        </w:rPr>
        <w:t>Para el ejercicio del derecho de acceso a la información</w:t>
      </w:r>
      <w:r w:rsidRPr="00CC0DFE">
        <w:rPr>
          <w:rFonts w:eastAsia="Palatino Linotype"/>
          <w:i/>
        </w:rPr>
        <w:t xml:space="preserve">, la Federación y </w:t>
      </w:r>
      <w:r w:rsidRPr="00CC0DFE">
        <w:rPr>
          <w:rFonts w:eastAsia="Palatino Linotype"/>
          <w:b/>
          <w:i/>
        </w:rPr>
        <w:t>las entidades federativas, en el ámbito de sus respectivas competencias, se regirán por los siguientes principios y bases:</w:t>
      </w:r>
    </w:p>
    <w:p w14:paraId="596A956B" w14:textId="77777777" w:rsidR="00C049E2" w:rsidRPr="00CC0DFE" w:rsidRDefault="00C049E2" w:rsidP="0016507E">
      <w:pPr>
        <w:spacing w:line="240" w:lineRule="auto"/>
        <w:ind w:left="567" w:right="539"/>
        <w:rPr>
          <w:rFonts w:eastAsia="Palatino Linotype"/>
          <w:i/>
        </w:rPr>
      </w:pPr>
      <w:r w:rsidRPr="00CC0DFE">
        <w:rPr>
          <w:rFonts w:eastAsia="Palatino Linotype"/>
          <w:b/>
          <w:i/>
        </w:rPr>
        <w:t xml:space="preserve">I. </w:t>
      </w:r>
      <w:r w:rsidRPr="00CC0DFE">
        <w:rPr>
          <w:rFonts w:eastAsia="Palatino Linotype"/>
          <w:b/>
          <w:i/>
        </w:rPr>
        <w:tab/>
        <w:t>Toda la información en posesión de cualquier</w:t>
      </w:r>
      <w:r w:rsidRPr="00CC0DFE">
        <w:rPr>
          <w:rFonts w:eastAsia="Palatino Linotype"/>
          <w:i/>
        </w:rPr>
        <w:t xml:space="preserve"> </w:t>
      </w:r>
      <w:r w:rsidRPr="00CC0DFE">
        <w:rPr>
          <w:rFonts w:eastAsia="Palatino Linotype"/>
          <w:b/>
          <w:i/>
        </w:rPr>
        <w:t>autoridad</w:t>
      </w:r>
      <w:r w:rsidRPr="00CC0DFE">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C0DFE">
        <w:rPr>
          <w:rFonts w:eastAsia="Palatino Linotype"/>
          <w:b/>
          <w:i/>
        </w:rPr>
        <w:t>municipal</w:t>
      </w:r>
      <w:r w:rsidRPr="00CC0DFE">
        <w:rPr>
          <w:rFonts w:eastAsia="Palatino Linotype"/>
          <w:i/>
        </w:rPr>
        <w:t xml:space="preserve">, </w:t>
      </w:r>
      <w:r w:rsidRPr="00CC0DFE">
        <w:rPr>
          <w:rFonts w:eastAsia="Palatino Linotype"/>
          <w:b/>
          <w:i/>
        </w:rPr>
        <w:t>es pública</w:t>
      </w:r>
      <w:r w:rsidRPr="00CC0DFE">
        <w:rPr>
          <w:rFonts w:eastAsia="Palatino Linotype"/>
          <w:i/>
        </w:rPr>
        <w:t xml:space="preserve"> y sólo podrá ser reservada temporalmente por razones de interés público y seguridad nacional, en los términos que fijen las leyes. </w:t>
      </w:r>
      <w:r w:rsidRPr="00CC0DFE">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CC0DFE">
        <w:rPr>
          <w:rFonts w:eastAsia="Palatino Linotype"/>
          <w:i/>
        </w:rPr>
        <w:t>, la ley determinará los supuestos específicos bajo los cuales procederá la declaración de inexistencia de la información.”</w:t>
      </w:r>
    </w:p>
    <w:p w14:paraId="68F313E4" w14:textId="77777777" w:rsidR="00C049E2" w:rsidRPr="00CC0DFE" w:rsidRDefault="00C049E2" w:rsidP="0016507E">
      <w:pPr>
        <w:spacing w:line="240" w:lineRule="auto"/>
        <w:ind w:left="567" w:right="539"/>
        <w:rPr>
          <w:rFonts w:eastAsia="Palatino Linotype"/>
          <w:b/>
          <w:i/>
        </w:rPr>
      </w:pPr>
    </w:p>
    <w:p w14:paraId="504F12DB" w14:textId="77777777" w:rsidR="00C049E2" w:rsidRPr="00CC0DFE" w:rsidRDefault="00C049E2" w:rsidP="0016507E">
      <w:pPr>
        <w:spacing w:line="240" w:lineRule="auto"/>
        <w:ind w:left="567" w:right="539"/>
        <w:rPr>
          <w:rFonts w:eastAsia="Palatino Linotype"/>
          <w:b/>
          <w:i/>
        </w:rPr>
      </w:pPr>
      <w:r w:rsidRPr="00CC0DFE">
        <w:rPr>
          <w:rFonts w:eastAsia="Palatino Linotype"/>
          <w:b/>
          <w:i/>
        </w:rPr>
        <w:t>Constitución Política del Estado Libre y Soberano de México</w:t>
      </w:r>
    </w:p>
    <w:p w14:paraId="04932D29" w14:textId="77777777" w:rsidR="00C049E2" w:rsidRPr="00CC0DFE" w:rsidRDefault="00C049E2" w:rsidP="0016507E">
      <w:pPr>
        <w:spacing w:line="240" w:lineRule="auto"/>
        <w:ind w:left="567" w:right="539"/>
        <w:rPr>
          <w:rFonts w:eastAsia="Palatino Linotype"/>
          <w:i/>
        </w:rPr>
      </w:pPr>
      <w:r w:rsidRPr="00CC0DFE">
        <w:rPr>
          <w:rFonts w:eastAsia="Palatino Linotype"/>
          <w:b/>
          <w:i/>
        </w:rPr>
        <w:t>“Artículo 5</w:t>
      </w:r>
      <w:r w:rsidRPr="00CC0DFE">
        <w:rPr>
          <w:rFonts w:eastAsia="Palatino Linotype"/>
          <w:i/>
        </w:rPr>
        <w:t xml:space="preserve">.- </w:t>
      </w:r>
    </w:p>
    <w:p w14:paraId="1D3829F4" w14:textId="77777777" w:rsidR="00C049E2" w:rsidRPr="00CC0DFE" w:rsidRDefault="00C049E2" w:rsidP="0016507E">
      <w:pPr>
        <w:spacing w:line="240" w:lineRule="auto"/>
        <w:ind w:left="567" w:right="539"/>
        <w:rPr>
          <w:rFonts w:eastAsia="Palatino Linotype"/>
          <w:i/>
        </w:rPr>
      </w:pPr>
      <w:r w:rsidRPr="00CC0DFE">
        <w:rPr>
          <w:rFonts w:eastAsia="Palatino Linotype"/>
          <w:i/>
        </w:rPr>
        <w:t>(…)</w:t>
      </w:r>
    </w:p>
    <w:p w14:paraId="0EAE47FD" w14:textId="77777777" w:rsidR="00C049E2" w:rsidRPr="00CC0DFE" w:rsidRDefault="00C049E2" w:rsidP="0016507E">
      <w:pPr>
        <w:spacing w:line="240" w:lineRule="auto"/>
        <w:ind w:left="567" w:right="539"/>
        <w:rPr>
          <w:rFonts w:eastAsia="Palatino Linotype"/>
          <w:i/>
        </w:rPr>
      </w:pPr>
      <w:r w:rsidRPr="00CC0DFE">
        <w:rPr>
          <w:rFonts w:eastAsia="Palatino Linotype"/>
          <w:b/>
          <w:i/>
        </w:rPr>
        <w:t>El derecho a la información será garantizado por el Estado. La ley establecerá las previsiones que permitan asegurar la protección, el respeto y la difusión de este derecho</w:t>
      </w:r>
      <w:r w:rsidRPr="00CC0DFE">
        <w:rPr>
          <w:rFonts w:eastAsia="Palatino Linotype"/>
          <w:i/>
        </w:rPr>
        <w:t>.</w:t>
      </w:r>
    </w:p>
    <w:p w14:paraId="4F0C804A" w14:textId="77777777" w:rsidR="00C049E2" w:rsidRPr="00CC0DFE" w:rsidRDefault="00C049E2" w:rsidP="0016507E">
      <w:pPr>
        <w:spacing w:line="240" w:lineRule="auto"/>
        <w:ind w:left="567" w:right="539"/>
        <w:rPr>
          <w:rFonts w:eastAsia="Palatino Linotype"/>
          <w:i/>
        </w:rPr>
      </w:pPr>
      <w:r w:rsidRPr="00CC0DFE">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CC0DFE" w:rsidRDefault="00C049E2" w:rsidP="0016507E">
      <w:pPr>
        <w:spacing w:line="240" w:lineRule="auto"/>
        <w:ind w:left="567" w:right="539"/>
        <w:rPr>
          <w:rFonts w:eastAsia="Palatino Linotype"/>
          <w:i/>
        </w:rPr>
      </w:pPr>
      <w:r w:rsidRPr="00CC0DFE">
        <w:rPr>
          <w:rFonts w:eastAsia="Palatino Linotype"/>
          <w:b/>
          <w:i/>
        </w:rPr>
        <w:t>Este derecho se regirá por los principios y bases siguientes</w:t>
      </w:r>
      <w:r w:rsidRPr="00CC0DFE">
        <w:rPr>
          <w:rFonts w:eastAsia="Palatino Linotype"/>
          <w:i/>
        </w:rPr>
        <w:t>:</w:t>
      </w:r>
    </w:p>
    <w:p w14:paraId="4A3E8CBA" w14:textId="77777777" w:rsidR="00C049E2" w:rsidRPr="00CC0DFE" w:rsidRDefault="00C049E2" w:rsidP="0016507E">
      <w:pPr>
        <w:spacing w:line="240" w:lineRule="auto"/>
        <w:ind w:left="567" w:right="539"/>
        <w:rPr>
          <w:rFonts w:eastAsia="Palatino Linotype"/>
          <w:i/>
        </w:rPr>
      </w:pPr>
      <w:r w:rsidRPr="00CC0DFE">
        <w:rPr>
          <w:rFonts w:eastAsia="Palatino Linotype"/>
          <w:b/>
          <w:i/>
        </w:rPr>
        <w:t>I. Toda la información en posesión de cualquier autoridad, entidad, órgano y organismos de los</w:t>
      </w:r>
      <w:r w:rsidRPr="00CC0DFE">
        <w:rPr>
          <w:rFonts w:eastAsia="Palatino Linotype"/>
          <w:i/>
        </w:rPr>
        <w:t xml:space="preserve"> Poderes Ejecutivo, Legislativo y Judicial, órganos autónomos, partidos políticos, fideicomisos y fondos públicos estatales y </w:t>
      </w:r>
      <w:r w:rsidRPr="00CC0DFE">
        <w:rPr>
          <w:rFonts w:eastAsia="Palatino Linotype"/>
          <w:b/>
          <w:i/>
        </w:rPr>
        <w:t>municipales</w:t>
      </w:r>
      <w:r w:rsidRPr="00CC0DFE">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C0DFE">
        <w:rPr>
          <w:rFonts w:eastAsia="Palatino Linotype"/>
          <w:b/>
          <w:i/>
        </w:rPr>
        <w:t>es pública</w:t>
      </w:r>
      <w:r w:rsidRPr="00CC0DFE">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CC0DFE">
        <w:rPr>
          <w:rFonts w:eastAsia="Palatino Linotype"/>
          <w:b/>
          <w:i/>
        </w:rPr>
        <w:t>En la interpretación de este derecho deberá prevalecer el principio de máxima publicidad</w:t>
      </w:r>
      <w:r w:rsidRPr="00CC0DFE">
        <w:rPr>
          <w:rFonts w:eastAsia="Palatino Linotype"/>
          <w:i/>
        </w:rPr>
        <w:t xml:space="preserve">. </w:t>
      </w:r>
      <w:r w:rsidRPr="00CC0DFE">
        <w:rPr>
          <w:rFonts w:eastAsia="Palatino Linotype"/>
          <w:b/>
          <w:i/>
        </w:rPr>
        <w:t>Los sujetos obligados deberán documentar todo acto que derive del ejercicio de sus facultades, competencias o funciones</w:t>
      </w:r>
      <w:r w:rsidRPr="00CC0DFE">
        <w:rPr>
          <w:rFonts w:eastAsia="Palatino Linotype"/>
          <w:i/>
        </w:rPr>
        <w:t>, la ley determinará los supuestos específicos bajo los cuales procederá la declaración de inexistencia de la información.”</w:t>
      </w:r>
    </w:p>
    <w:p w14:paraId="5CA98E37" w14:textId="77777777" w:rsidR="00C049E2" w:rsidRPr="00CC0DFE" w:rsidRDefault="00C049E2" w:rsidP="0016507E">
      <w:pPr>
        <w:rPr>
          <w:rFonts w:eastAsia="Palatino Linotype"/>
          <w:b/>
          <w:i/>
        </w:rPr>
      </w:pPr>
    </w:p>
    <w:p w14:paraId="6FC1BB3B" w14:textId="3BF4A33D" w:rsidR="00C049E2" w:rsidRPr="00CC0DFE" w:rsidRDefault="00717E59" w:rsidP="0016507E">
      <w:pPr>
        <w:rPr>
          <w:rFonts w:eastAsia="Palatino Linotype"/>
          <w:i/>
        </w:rPr>
      </w:pPr>
      <w:r w:rsidRPr="00CC0DFE">
        <w:rPr>
          <w:rFonts w:eastAsia="Palatino Linotype"/>
        </w:rPr>
        <w:lastRenderedPageBreak/>
        <w:t xml:space="preserve">Asimismo, </w:t>
      </w:r>
      <w:r w:rsidR="00C049E2" w:rsidRPr="00CC0DFE">
        <w:rPr>
          <w:rFonts w:eastAsia="Palatino Linotype"/>
        </w:rPr>
        <w:t>el artículo 150 de la Ley de Transparencia y Acceso a la Información Pública del Estado de México y Municipios</w:t>
      </w:r>
      <w:r w:rsidR="00057B2D" w:rsidRPr="00CC0DFE">
        <w:rPr>
          <w:rFonts w:eastAsia="Palatino Linotype"/>
        </w:rPr>
        <w:t xml:space="preserve"> </w:t>
      </w:r>
      <w:r w:rsidR="00E9335C" w:rsidRPr="00CC0DFE">
        <w:rPr>
          <w:rFonts w:eastAsia="Palatino Linotype"/>
        </w:rPr>
        <w:t xml:space="preserve">indica </w:t>
      </w:r>
      <w:r w:rsidR="00057B2D" w:rsidRPr="00CC0DFE">
        <w:rPr>
          <w:rFonts w:eastAsia="Palatino Linotype"/>
        </w:rPr>
        <w:t>que</w:t>
      </w:r>
      <w:r w:rsidR="00C049E2" w:rsidRPr="00CC0DFE">
        <w:rPr>
          <w:rFonts w:eastAsia="Palatino Linotype"/>
        </w:rPr>
        <w:t xml:space="preserve"> la solicitud es la garantía primaria del Derecho de Acceso a la Información, además, establece que se regirá </w:t>
      </w:r>
      <w:r w:rsidR="00C049E2" w:rsidRPr="00CC0DFE">
        <w:rPr>
          <w:rFonts w:eastAsia="Palatino Linotype"/>
          <w:i/>
        </w:rPr>
        <w:t>por los principios de simplicidad, rapidez</w:t>
      </w:r>
      <w:r w:rsidR="005F65B7" w:rsidRPr="00CC0DFE">
        <w:rPr>
          <w:rFonts w:eastAsia="Palatino Linotype"/>
          <w:i/>
        </w:rPr>
        <w:t>,</w:t>
      </w:r>
      <w:r w:rsidR="00C049E2" w:rsidRPr="00CC0DFE">
        <w:rPr>
          <w:rFonts w:eastAsia="Palatino Linotype"/>
          <w:i/>
        </w:rPr>
        <w:t xml:space="preserve"> gratuidad del procedimiento, auxilio y orientación a los particulare</w:t>
      </w:r>
      <w:r w:rsidR="001A58B3" w:rsidRPr="00CC0DFE">
        <w:rPr>
          <w:rFonts w:eastAsia="Palatino Linotype"/>
          <w:i/>
        </w:rPr>
        <w:t>s.</w:t>
      </w:r>
    </w:p>
    <w:p w14:paraId="033466A6" w14:textId="77777777" w:rsidR="001A58B3" w:rsidRPr="00CC0DFE" w:rsidRDefault="001A58B3" w:rsidP="0016507E">
      <w:pPr>
        <w:rPr>
          <w:rFonts w:eastAsia="Palatino Linotype"/>
          <w:i/>
        </w:rPr>
      </w:pPr>
    </w:p>
    <w:p w14:paraId="04ADA10B" w14:textId="574A944A" w:rsidR="001A58B3" w:rsidRPr="00CC0DFE" w:rsidRDefault="00233F17" w:rsidP="0016507E">
      <w:pPr>
        <w:rPr>
          <w:rFonts w:eastAsia="Palatino Linotype" w:cs="Palatino Linotype"/>
          <w:i/>
          <w:szCs w:val="22"/>
        </w:rPr>
      </w:pPr>
      <w:r w:rsidRPr="00CC0DFE">
        <w:rPr>
          <w:rFonts w:eastAsia="Palatino Linotype" w:cs="Palatino Linotype"/>
        </w:rPr>
        <w:t xml:space="preserve">Por su parte, el artículo 4 de </w:t>
      </w:r>
      <w:r w:rsidR="001A58B3" w:rsidRPr="00CC0DFE">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CC0DFE">
        <w:rPr>
          <w:rFonts w:eastAsia="Palatino Linotype" w:cs="Palatino Linotype"/>
        </w:rPr>
        <w:t>.</w:t>
      </w:r>
    </w:p>
    <w:p w14:paraId="1407DBB8" w14:textId="77777777" w:rsidR="001A58B3" w:rsidRPr="00CC0DFE" w:rsidRDefault="001A58B3" w:rsidP="0016507E">
      <w:pPr>
        <w:rPr>
          <w:rFonts w:eastAsia="Palatino Linotype" w:cs="Palatino Linotype"/>
        </w:rPr>
      </w:pPr>
    </w:p>
    <w:p w14:paraId="7552AA79" w14:textId="5C52E4A4" w:rsidR="001A58B3" w:rsidRPr="00CC0DFE" w:rsidRDefault="001A58B3" w:rsidP="0016507E">
      <w:pPr>
        <w:rPr>
          <w:rFonts w:eastAsia="Palatino Linotype" w:cs="Palatino Linotype"/>
        </w:rPr>
      </w:pPr>
      <w:r w:rsidRPr="00CC0DFE">
        <w:rPr>
          <w:rFonts w:eastAsia="Palatino Linotype" w:cs="Palatino Linotype"/>
        </w:rPr>
        <w:t xml:space="preserve">Esto es, que los Sujetos Obligados </w:t>
      </w:r>
      <w:r w:rsidR="00FA5957" w:rsidRPr="00CC0DFE">
        <w:rPr>
          <w:rFonts w:eastAsia="Palatino Linotype" w:cs="Palatino Linotype"/>
        </w:rPr>
        <w:t>deben</w:t>
      </w:r>
      <w:r w:rsidRPr="00CC0DFE">
        <w:rPr>
          <w:rFonts w:eastAsia="Palatino Linotype" w:cs="Palatino Linotype"/>
        </w:rPr>
        <w:t xml:space="preserve"> atender las solicitudes de acceso a la información pública que se les </w:t>
      </w:r>
      <w:r w:rsidR="00FA5957" w:rsidRPr="00CC0DFE">
        <w:rPr>
          <w:rFonts w:eastAsia="Palatino Linotype" w:cs="Palatino Linotype"/>
        </w:rPr>
        <w:t>sean realizadas,</w:t>
      </w:r>
      <w:r w:rsidRPr="00CC0DFE">
        <w:rPr>
          <w:rFonts w:eastAsia="Palatino Linotype" w:cs="Palatino Linotype"/>
        </w:rPr>
        <w:t xml:space="preserve"> y proporcionar la información pública que obre en su poder</w:t>
      </w:r>
      <w:r w:rsidR="00FA5957" w:rsidRPr="00CC0DFE">
        <w:rPr>
          <w:rFonts w:eastAsia="Palatino Linotype" w:cs="Palatino Linotype"/>
        </w:rPr>
        <w:t>,</w:t>
      </w:r>
      <w:r w:rsidRPr="00CC0DFE">
        <w:rPr>
          <w:rFonts w:eastAsia="Palatino Linotype" w:cs="Palatino Linotype"/>
        </w:rPr>
        <w:t xml:space="preserve"> conforme </w:t>
      </w:r>
      <w:r w:rsidR="00FA5957" w:rsidRPr="00CC0DFE">
        <w:rPr>
          <w:rFonts w:eastAsia="Palatino Linotype" w:cs="Palatino Linotype"/>
        </w:rPr>
        <w:t>a</w:t>
      </w:r>
      <w:r w:rsidRPr="00CC0DFE">
        <w:rPr>
          <w:rFonts w:eastAsia="Palatino Linotype" w:cs="Palatino Linotype"/>
        </w:rPr>
        <w:t xml:space="preserve">l estado </w:t>
      </w:r>
      <w:r w:rsidR="00FA5957" w:rsidRPr="00CC0DFE">
        <w:rPr>
          <w:rFonts w:eastAsia="Palatino Linotype" w:cs="Palatino Linotype"/>
        </w:rPr>
        <w:t xml:space="preserve">en </w:t>
      </w:r>
      <w:r w:rsidRPr="00CC0DFE">
        <w:rPr>
          <w:rFonts w:eastAsia="Palatino Linotype" w:cs="Palatino Linotype"/>
        </w:rPr>
        <w:t>que se encuentr</w:t>
      </w:r>
      <w:r w:rsidR="00FA5957" w:rsidRPr="00CC0DFE">
        <w:rPr>
          <w:rFonts w:eastAsia="Palatino Linotype" w:cs="Palatino Linotype"/>
        </w:rPr>
        <w:t>e, sin que sea necesario</w:t>
      </w:r>
      <w:r w:rsidRPr="00CC0DFE">
        <w:rPr>
          <w:rFonts w:eastAsia="Palatino Linotype" w:cs="Palatino Linotype"/>
        </w:rPr>
        <w:t xml:space="preserve"> </w:t>
      </w:r>
      <w:r w:rsidR="00FA5957" w:rsidRPr="00CC0DFE">
        <w:rPr>
          <w:rFonts w:eastAsia="Palatino Linotype" w:cs="Palatino Linotype"/>
        </w:rPr>
        <w:t>procesar</w:t>
      </w:r>
      <w:r w:rsidRPr="00CC0DFE">
        <w:rPr>
          <w:rFonts w:eastAsia="Palatino Linotype" w:cs="Palatino Linotype"/>
        </w:rPr>
        <w:t xml:space="preserve"> la misma, ni presentarla conforme al interés del solicitante; </w:t>
      </w:r>
      <w:r w:rsidR="00FA5957" w:rsidRPr="00CC0DFE">
        <w:rPr>
          <w:rFonts w:eastAsia="Palatino Linotype" w:cs="Palatino Linotype"/>
        </w:rPr>
        <w:t>tal y como</w:t>
      </w:r>
      <w:r w:rsidRPr="00CC0DFE">
        <w:rPr>
          <w:rFonts w:eastAsia="Palatino Linotype" w:cs="Palatino Linotype"/>
        </w:rPr>
        <w:t xml:space="preserve"> lo establece el artículo 12 de la Ley de Transparencia y Acceso a la Información Pública del Estado de México y Municipios</w:t>
      </w:r>
      <w:r w:rsidR="00970EB3" w:rsidRPr="00CC0DFE">
        <w:rPr>
          <w:rFonts w:eastAsia="Palatino Linotype" w:cs="Palatino Linotype"/>
        </w:rPr>
        <w:t>.</w:t>
      </w:r>
    </w:p>
    <w:p w14:paraId="73245195" w14:textId="77777777" w:rsidR="00970EB3" w:rsidRPr="00CC0DFE" w:rsidRDefault="00970EB3" w:rsidP="0016507E">
      <w:pPr>
        <w:rPr>
          <w:rFonts w:eastAsia="Palatino Linotype" w:cs="Palatino Linotype"/>
        </w:rPr>
      </w:pPr>
    </w:p>
    <w:p w14:paraId="7F62D4DF" w14:textId="775730E1" w:rsidR="001A58B3" w:rsidRPr="00CC0DFE" w:rsidRDefault="001A58B3" w:rsidP="0016507E">
      <w:pPr>
        <w:rPr>
          <w:rFonts w:eastAsia="Palatino Linotype" w:cs="Palatino Linotype"/>
        </w:rPr>
      </w:pPr>
      <w:r w:rsidRPr="00CC0DFE">
        <w:rPr>
          <w:rFonts w:eastAsia="Palatino Linotype" w:cs="Palatino Linotype"/>
        </w:rPr>
        <w:t>Es decir, que todo sujeto obligado que genere, recopile, administre, procese, archive, posea o conserven, son responsables de la misma</w:t>
      </w:r>
      <w:r w:rsidR="00970EB3" w:rsidRPr="00CC0DFE">
        <w:rPr>
          <w:rFonts w:eastAsia="Palatino Linotype" w:cs="Palatino Linotype"/>
        </w:rPr>
        <w:t>,</w:t>
      </w:r>
      <w:r w:rsidRPr="00CC0DFE">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CC0DFE">
        <w:rPr>
          <w:rFonts w:eastAsia="Palatino Linotype" w:cs="Palatino Linotype"/>
        </w:rPr>
        <w:t>o</w:t>
      </w:r>
      <w:r w:rsidRPr="00CC0DFE">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CC0DFE" w:rsidRDefault="001A58B3" w:rsidP="0016507E">
      <w:pPr>
        <w:rPr>
          <w:rFonts w:eastAsia="Palatino Linotype" w:cs="Palatino Linotype"/>
        </w:rPr>
      </w:pPr>
    </w:p>
    <w:p w14:paraId="04E42DFE" w14:textId="573F1198" w:rsidR="001A58B3" w:rsidRPr="00CC0DFE" w:rsidRDefault="001A58B3" w:rsidP="0016507E">
      <w:pPr>
        <w:rPr>
          <w:rFonts w:eastAsia="Palatino Linotype" w:cs="Palatino Linotype"/>
        </w:rPr>
      </w:pPr>
      <w:r w:rsidRPr="00CC0DFE">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CC0DFE">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CC0DFE">
        <w:rPr>
          <w:rFonts w:eastAsia="Palatino Linotype" w:cs="Palatino Linotype"/>
        </w:rPr>
        <w:t>, s</w:t>
      </w:r>
      <w:r w:rsidRPr="00CC0DFE">
        <w:rPr>
          <w:rFonts w:eastAsia="Palatino Linotype" w:cs="Palatino Linotype"/>
        </w:rPr>
        <w:t xml:space="preserve">iempre y cuando no se trate de información reservada o </w:t>
      </w:r>
      <w:r w:rsidR="00331F35" w:rsidRPr="00CC0DFE">
        <w:rPr>
          <w:rFonts w:eastAsia="Palatino Linotype" w:cs="Palatino Linotype"/>
        </w:rPr>
        <w:t>confidencial.</w:t>
      </w:r>
    </w:p>
    <w:p w14:paraId="40C5219F" w14:textId="77777777" w:rsidR="001A58B3" w:rsidRPr="00CC0DFE" w:rsidRDefault="001A58B3" w:rsidP="0016507E">
      <w:pPr>
        <w:rPr>
          <w:rFonts w:eastAsia="Palatino Linotype" w:cs="Palatino Linotype"/>
        </w:rPr>
      </w:pPr>
    </w:p>
    <w:p w14:paraId="2E629608" w14:textId="01727E15" w:rsidR="00C049E2" w:rsidRPr="00CC0DFE" w:rsidRDefault="006067C7" w:rsidP="0016507E">
      <w:pPr>
        <w:rPr>
          <w:rFonts w:eastAsia="Palatino Linotype"/>
        </w:rPr>
      </w:pPr>
      <w:bookmarkStart w:id="24" w:name="_heading=h.2s8eyo1" w:colFirst="0" w:colLast="0"/>
      <w:bookmarkEnd w:id="24"/>
      <w:r w:rsidRPr="00CC0DFE">
        <w:rPr>
          <w:rFonts w:eastAsia="Palatino Linotype"/>
        </w:rPr>
        <w:t>Con base en lo anterior</w:t>
      </w:r>
      <w:r w:rsidR="00B22A80" w:rsidRPr="00CC0DFE">
        <w:rPr>
          <w:rFonts w:eastAsia="Palatino Linotype"/>
        </w:rPr>
        <w:t>, se considera que</w:t>
      </w:r>
      <w:r w:rsidR="00C049E2" w:rsidRPr="00CC0DFE">
        <w:rPr>
          <w:rFonts w:eastAsia="Palatino Linotype"/>
        </w:rPr>
        <w:t xml:space="preserve"> </w:t>
      </w:r>
      <w:r w:rsidR="00B22A80" w:rsidRPr="00CC0DFE">
        <w:rPr>
          <w:rFonts w:eastAsia="Palatino Linotype"/>
          <w:b/>
          <w:bCs/>
        </w:rPr>
        <w:t>EL</w:t>
      </w:r>
      <w:r w:rsidR="00C049E2" w:rsidRPr="00CC0DFE">
        <w:rPr>
          <w:rFonts w:eastAsia="Palatino Linotype"/>
        </w:rPr>
        <w:t xml:space="preserve"> </w:t>
      </w:r>
      <w:r w:rsidR="00C049E2" w:rsidRPr="00CC0DFE">
        <w:rPr>
          <w:rFonts w:eastAsia="Palatino Linotype"/>
          <w:b/>
        </w:rPr>
        <w:t>SUJETO OBLIGADO</w:t>
      </w:r>
      <w:r w:rsidR="00C049E2" w:rsidRPr="00CC0DFE">
        <w:rPr>
          <w:rFonts w:eastAsia="Palatino Linotype"/>
        </w:rPr>
        <w:t xml:space="preserve"> </w:t>
      </w:r>
      <w:r w:rsidR="00B22A80" w:rsidRPr="00CC0DFE">
        <w:rPr>
          <w:rFonts w:eastAsia="Palatino Linotype"/>
        </w:rPr>
        <w:t xml:space="preserve">se </w:t>
      </w:r>
      <w:r w:rsidR="00717E59" w:rsidRPr="00CC0DFE">
        <w:rPr>
          <w:rFonts w:eastAsia="Palatino Linotype"/>
        </w:rPr>
        <w:t>encontraba</w:t>
      </w:r>
      <w:r w:rsidR="00B22A80" w:rsidRPr="00CC0DFE">
        <w:rPr>
          <w:rFonts w:eastAsia="Palatino Linotype"/>
        </w:rPr>
        <w:t xml:space="preserve"> compelido a</w:t>
      </w:r>
      <w:r w:rsidR="00C049E2" w:rsidRPr="00CC0DFE">
        <w:rPr>
          <w:rFonts w:eastAsia="Palatino Linotype"/>
        </w:rPr>
        <w:t xml:space="preserve"> atender la solicitud de acceso a la información </w:t>
      </w:r>
      <w:r w:rsidR="00B22A80" w:rsidRPr="00CC0DFE">
        <w:rPr>
          <w:rFonts w:eastAsia="Palatino Linotype"/>
        </w:rPr>
        <w:t xml:space="preserve">realizada por </w:t>
      </w:r>
      <w:r w:rsidR="00B22A80" w:rsidRPr="00CC0DFE">
        <w:rPr>
          <w:rFonts w:eastAsia="Palatino Linotype"/>
          <w:b/>
          <w:bCs/>
        </w:rPr>
        <w:t>LA PARTE RECURRENTE</w:t>
      </w:r>
      <w:r w:rsidR="00331F35" w:rsidRPr="00CC0DFE">
        <w:rPr>
          <w:rFonts w:eastAsia="Palatino Linotype"/>
        </w:rPr>
        <w:t>.</w:t>
      </w:r>
    </w:p>
    <w:p w14:paraId="1611F147" w14:textId="77777777" w:rsidR="00BD5A7C" w:rsidRPr="00CC0DFE" w:rsidRDefault="00BD5A7C" w:rsidP="0016507E">
      <w:pPr>
        <w:rPr>
          <w:rFonts w:eastAsia="Palatino Linotype"/>
        </w:rPr>
      </w:pPr>
    </w:p>
    <w:p w14:paraId="51A0E8B4" w14:textId="676DCA47" w:rsidR="00664420" w:rsidRPr="00CC0DFE" w:rsidRDefault="00C71CEF" w:rsidP="0016507E">
      <w:pPr>
        <w:pStyle w:val="Ttulo3"/>
        <w:rPr>
          <w:rFonts w:eastAsia="Calibri"/>
          <w:lang w:eastAsia="es-ES_tradnl"/>
        </w:rPr>
      </w:pPr>
      <w:bookmarkStart w:id="25" w:name="_Toc211448472"/>
      <w:r w:rsidRPr="00CC0DFE">
        <w:rPr>
          <w:rFonts w:eastAsia="Calibri"/>
          <w:lang w:eastAsia="es-ES_tradnl"/>
        </w:rPr>
        <w:t>b)</w:t>
      </w:r>
      <w:r w:rsidR="00A53315" w:rsidRPr="00CC0DFE">
        <w:rPr>
          <w:rFonts w:eastAsia="Calibri"/>
          <w:lang w:eastAsia="es-ES_tradnl"/>
        </w:rPr>
        <w:t xml:space="preserve"> </w:t>
      </w:r>
      <w:r w:rsidR="00A21A20" w:rsidRPr="00CC0DFE">
        <w:rPr>
          <w:rFonts w:eastAsia="Calibri"/>
          <w:lang w:eastAsia="es-ES_tradnl"/>
        </w:rPr>
        <w:t>Controversia a resolver</w:t>
      </w:r>
      <w:bookmarkEnd w:id="25"/>
    </w:p>
    <w:p w14:paraId="5DAE2A65" w14:textId="382C31A9" w:rsidR="00664420" w:rsidRPr="00CC0DFE" w:rsidRDefault="00664420" w:rsidP="0016507E">
      <w:pPr>
        <w:rPr>
          <w:rFonts w:eastAsia="Calibri"/>
          <w:lang w:eastAsia="es-ES_tradnl"/>
        </w:rPr>
      </w:pPr>
      <w:r w:rsidRPr="00CC0DFE">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CC0DFE">
        <w:rPr>
          <w:rFonts w:eastAsia="Calibri"/>
          <w:b/>
          <w:bCs/>
          <w:lang w:eastAsia="es-ES_tradnl"/>
        </w:rPr>
        <w:t>LA PARTE RECURRENTE</w:t>
      </w:r>
      <w:r w:rsidRPr="00CC0DFE">
        <w:rPr>
          <w:rFonts w:eastAsia="Calibri"/>
          <w:lang w:eastAsia="es-ES_tradnl"/>
        </w:rPr>
        <w:t xml:space="preserve"> solicitó lo siguiente:</w:t>
      </w:r>
    </w:p>
    <w:p w14:paraId="1874D601" w14:textId="77777777" w:rsidR="008D5105" w:rsidRPr="00CC0DFE" w:rsidRDefault="008D5105" w:rsidP="0016507E">
      <w:pPr>
        <w:rPr>
          <w:rFonts w:eastAsia="Calibri"/>
          <w:lang w:eastAsia="es-ES_tradnl"/>
        </w:rPr>
      </w:pPr>
    </w:p>
    <w:p w14:paraId="76D931A7" w14:textId="37BA9BD7" w:rsidR="008D5105" w:rsidRPr="00CC0DFE" w:rsidRDefault="008D5105" w:rsidP="0016507E">
      <w:pPr>
        <w:ind w:left="851" w:right="822"/>
        <w:rPr>
          <w:rFonts w:eastAsia="Calibri"/>
          <w:lang w:eastAsia="es-ES_tradnl"/>
        </w:rPr>
      </w:pPr>
      <w:r w:rsidRPr="00CC0DFE">
        <w:rPr>
          <w:rFonts w:eastAsia="Calibri"/>
          <w:lang w:eastAsia="es-ES_tradnl"/>
        </w:rPr>
        <w:t>Relativo al evento de entrega de cobertores en la comunidad de los Dolores en el mes de enero de 20025, solicitó lo siguiente:</w:t>
      </w:r>
    </w:p>
    <w:p w14:paraId="08FF4345" w14:textId="77777777" w:rsidR="008D5105" w:rsidRPr="00CC0DFE" w:rsidRDefault="008D5105" w:rsidP="0016507E">
      <w:pPr>
        <w:ind w:left="851" w:right="822"/>
        <w:rPr>
          <w:rFonts w:eastAsia="Calibri"/>
          <w:lang w:eastAsia="es-ES_tradnl"/>
        </w:rPr>
      </w:pPr>
    </w:p>
    <w:p w14:paraId="5EA87122" w14:textId="6889B9D1" w:rsidR="008D5105" w:rsidRPr="00CC0DFE" w:rsidRDefault="008D5105" w:rsidP="0016507E">
      <w:pPr>
        <w:pStyle w:val="Prrafodelista"/>
        <w:numPr>
          <w:ilvl w:val="0"/>
          <w:numId w:val="16"/>
        </w:numPr>
        <w:ind w:right="822"/>
        <w:rPr>
          <w:rFonts w:eastAsia="Calibri"/>
          <w:lang w:eastAsia="es-ES_tradnl"/>
        </w:rPr>
      </w:pPr>
      <w:r w:rsidRPr="00CC0DFE">
        <w:rPr>
          <w:rFonts w:eastAsia="Calibri"/>
          <w:lang w:eastAsia="es-ES_tradnl"/>
        </w:rPr>
        <w:t>Presupuesto asignado</w:t>
      </w:r>
    </w:p>
    <w:p w14:paraId="561D5986" w14:textId="7FE265A7" w:rsidR="008D5105" w:rsidRPr="00CC0DFE" w:rsidRDefault="008D5105" w:rsidP="0016507E">
      <w:pPr>
        <w:pStyle w:val="Prrafodelista"/>
        <w:numPr>
          <w:ilvl w:val="0"/>
          <w:numId w:val="16"/>
        </w:numPr>
        <w:ind w:right="822"/>
        <w:rPr>
          <w:rFonts w:eastAsia="Calibri"/>
          <w:lang w:eastAsia="es-ES_tradnl"/>
        </w:rPr>
      </w:pPr>
      <w:r w:rsidRPr="00CC0DFE">
        <w:rPr>
          <w:rFonts w:eastAsia="Calibri"/>
          <w:lang w:eastAsia="es-ES_tradnl"/>
        </w:rPr>
        <w:t>Costo de cada cobertor (factura)</w:t>
      </w:r>
    </w:p>
    <w:p w14:paraId="25BB052D" w14:textId="66D00D6A" w:rsidR="008D5105" w:rsidRPr="00CC0DFE" w:rsidRDefault="005D2138" w:rsidP="0016507E">
      <w:pPr>
        <w:pStyle w:val="Prrafodelista"/>
        <w:numPr>
          <w:ilvl w:val="0"/>
          <w:numId w:val="16"/>
        </w:numPr>
        <w:ind w:right="822"/>
        <w:rPr>
          <w:rFonts w:eastAsia="Calibri"/>
          <w:lang w:eastAsia="es-ES_tradnl"/>
        </w:rPr>
      </w:pPr>
      <w:r w:rsidRPr="00CC0DFE">
        <w:rPr>
          <w:rFonts w:eastAsia="Calibri"/>
          <w:lang w:eastAsia="es-ES_tradnl"/>
        </w:rPr>
        <w:t>Número de personas que se les entregó cobertor</w:t>
      </w:r>
    </w:p>
    <w:p w14:paraId="44208A12" w14:textId="0EC9B59B" w:rsidR="005D2138" w:rsidRPr="00CC0DFE" w:rsidRDefault="009425D6" w:rsidP="0016507E">
      <w:pPr>
        <w:pStyle w:val="Prrafodelista"/>
        <w:numPr>
          <w:ilvl w:val="0"/>
          <w:numId w:val="16"/>
        </w:numPr>
        <w:ind w:right="822"/>
      </w:pPr>
      <w:r w:rsidRPr="00CC0DFE">
        <w:t>Peticiones, estudios socioeconómicos o el l</w:t>
      </w:r>
      <w:r w:rsidR="005D2138" w:rsidRPr="00CC0DFE">
        <w:t xml:space="preserve">istado de las personas que fueron beneficiadas </w:t>
      </w:r>
    </w:p>
    <w:p w14:paraId="5A4F9DDE" w14:textId="7BB33E48" w:rsidR="005D2138" w:rsidRPr="00CC0DFE" w:rsidRDefault="005D2138" w:rsidP="0016507E">
      <w:pPr>
        <w:pStyle w:val="Prrafodelista"/>
        <w:numPr>
          <w:ilvl w:val="0"/>
          <w:numId w:val="16"/>
        </w:numPr>
        <w:ind w:right="822"/>
      </w:pPr>
      <w:r w:rsidRPr="00CC0DFE">
        <w:t xml:space="preserve">Las evidencias de entrega de los cobertores </w:t>
      </w:r>
    </w:p>
    <w:p w14:paraId="308A7330" w14:textId="77777777" w:rsidR="005D2138" w:rsidRPr="00CC0DFE" w:rsidRDefault="005D2138" w:rsidP="0016507E">
      <w:pPr>
        <w:tabs>
          <w:tab w:val="left" w:pos="4962"/>
        </w:tabs>
        <w:contextualSpacing/>
        <w:rPr>
          <w:rFonts w:eastAsiaTheme="minorHAnsi" w:cs="Tahoma"/>
          <w:bCs/>
          <w:iCs/>
          <w:szCs w:val="22"/>
          <w:lang w:eastAsia="en-US"/>
        </w:rPr>
      </w:pPr>
    </w:p>
    <w:p w14:paraId="6A9FF3BD" w14:textId="4F77BBBB" w:rsidR="005D2138" w:rsidRPr="00CC0DFE" w:rsidRDefault="00664420" w:rsidP="0016507E">
      <w:pPr>
        <w:tabs>
          <w:tab w:val="left" w:pos="4962"/>
        </w:tabs>
        <w:contextualSpacing/>
        <w:rPr>
          <w:i/>
        </w:rPr>
      </w:pPr>
      <w:r w:rsidRPr="00CC0DFE">
        <w:rPr>
          <w:rFonts w:eastAsiaTheme="minorHAnsi" w:cs="Tahoma"/>
          <w:bCs/>
          <w:iCs/>
          <w:szCs w:val="22"/>
          <w:lang w:eastAsia="en-US"/>
        </w:rPr>
        <w:lastRenderedPageBreak/>
        <w:t xml:space="preserve">En respuesta, </w:t>
      </w:r>
      <w:r w:rsidR="005D5A50" w:rsidRPr="00CC0DFE">
        <w:rPr>
          <w:rFonts w:eastAsiaTheme="minorHAnsi" w:cs="Tahoma"/>
          <w:b/>
          <w:iCs/>
          <w:szCs w:val="22"/>
          <w:lang w:eastAsia="en-US"/>
        </w:rPr>
        <w:t>EL SUJETO OBLIGADO</w:t>
      </w:r>
      <w:r w:rsidRPr="00CC0DFE">
        <w:rPr>
          <w:rFonts w:eastAsiaTheme="minorHAnsi" w:cs="Tahoma"/>
          <w:bCs/>
          <w:iCs/>
          <w:szCs w:val="22"/>
          <w:lang w:eastAsia="en-US"/>
        </w:rPr>
        <w:t xml:space="preserve"> </w:t>
      </w:r>
      <w:r w:rsidR="005D2138" w:rsidRPr="00CC0DFE">
        <w:rPr>
          <w:rFonts w:eastAsiaTheme="minorHAnsi" w:cs="Tahoma"/>
          <w:bCs/>
          <w:iCs/>
          <w:szCs w:val="22"/>
          <w:lang w:eastAsia="en-US"/>
        </w:rPr>
        <w:t xml:space="preserve">hace entrega del </w:t>
      </w:r>
      <w:r w:rsidR="005D2138" w:rsidRPr="00CC0DFE">
        <w:t>acta de declaración de incompetencia, sugiriendo emitir la solicitud al Ayuntamiento al Ayuntamiento de Tepotzotlán.</w:t>
      </w:r>
    </w:p>
    <w:p w14:paraId="4BEBD880" w14:textId="77777777" w:rsidR="00664420" w:rsidRPr="00CC0DFE" w:rsidRDefault="00664420" w:rsidP="0016507E">
      <w:pPr>
        <w:tabs>
          <w:tab w:val="left" w:pos="4962"/>
        </w:tabs>
        <w:contextualSpacing/>
        <w:rPr>
          <w:rFonts w:eastAsiaTheme="minorHAnsi" w:cs="Tahoma"/>
          <w:bCs/>
          <w:iCs/>
          <w:szCs w:val="22"/>
          <w:lang w:eastAsia="en-US"/>
        </w:rPr>
      </w:pPr>
    </w:p>
    <w:p w14:paraId="3DF1DD07" w14:textId="77777777" w:rsidR="005D2138" w:rsidRPr="00CC0DFE" w:rsidRDefault="00CF7586" w:rsidP="0016507E">
      <w:pPr>
        <w:tabs>
          <w:tab w:val="left" w:pos="4962"/>
        </w:tabs>
        <w:contextualSpacing/>
        <w:rPr>
          <w:rFonts w:eastAsiaTheme="minorHAnsi" w:cs="Tahoma"/>
          <w:bCs/>
          <w:iCs/>
          <w:szCs w:val="22"/>
          <w:lang w:eastAsia="en-US"/>
        </w:rPr>
      </w:pPr>
      <w:r w:rsidRPr="00CC0DFE">
        <w:rPr>
          <w:rFonts w:eastAsiaTheme="minorHAnsi" w:cs="Tahoma"/>
          <w:bCs/>
          <w:iCs/>
          <w:szCs w:val="22"/>
          <w:lang w:eastAsia="en-US"/>
        </w:rPr>
        <w:t xml:space="preserve">Ahora bien, en la interposición del presente recurso </w:t>
      </w:r>
      <w:r w:rsidRPr="00CC0DFE">
        <w:rPr>
          <w:rFonts w:eastAsiaTheme="minorHAnsi" w:cs="Tahoma"/>
          <w:b/>
          <w:iCs/>
          <w:szCs w:val="22"/>
          <w:lang w:eastAsia="en-US"/>
        </w:rPr>
        <w:t>LA PARTE RECURRENTE</w:t>
      </w:r>
      <w:r w:rsidR="00664420" w:rsidRPr="00CC0DFE">
        <w:rPr>
          <w:rFonts w:eastAsiaTheme="minorHAnsi" w:cs="Tahoma"/>
          <w:bCs/>
          <w:iCs/>
          <w:szCs w:val="22"/>
          <w:lang w:eastAsia="en-US"/>
        </w:rPr>
        <w:t xml:space="preserve"> se inconformó de</w:t>
      </w:r>
      <w:r w:rsidR="005D2138" w:rsidRPr="00CC0DFE">
        <w:rPr>
          <w:rFonts w:eastAsiaTheme="minorHAnsi" w:cs="Tahoma"/>
          <w:bCs/>
          <w:iCs/>
          <w:szCs w:val="22"/>
          <w:lang w:eastAsia="en-US"/>
        </w:rPr>
        <w:t xml:space="preserve"> manera medular de la negativa de entrega de información aduciendo incompetencia; </w:t>
      </w:r>
      <w:r w:rsidRPr="00CC0DFE">
        <w:rPr>
          <w:rFonts w:eastAsiaTheme="minorHAnsi" w:cs="Tahoma"/>
          <w:bCs/>
          <w:iCs/>
          <w:szCs w:val="22"/>
          <w:lang w:eastAsia="en-US"/>
        </w:rPr>
        <w:t xml:space="preserve">por lo cual, el estudio </w:t>
      </w:r>
      <w:r w:rsidR="005B18AF" w:rsidRPr="00CC0DFE">
        <w:rPr>
          <w:rFonts w:eastAsiaTheme="minorHAnsi" w:cs="Tahoma"/>
          <w:bCs/>
          <w:iCs/>
          <w:szCs w:val="22"/>
          <w:lang w:eastAsia="en-US"/>
        </w:rPr>
        <w:t>se centrará en determinar si</w:t>
      </w:r>
      <w:r w:rsidR="005D2138" w:rsidRPr="00CC0DFE">
        <w:rPr>
          <w:rFonts w:eastAsiaTheme="minorHAnsi" w:cs="Tahoma"/>
          <w:bCs/>
          <w:iCs/>
          <w:szCs w:val="22"/>
          <w:lang w:eastAsia="en-US"/>
        </w:rPr>
        <w:t xml:space="preserve"> la incompetencia resulta valida.</w:t>
      </w:r>
    </w:p>
    <w:p w14:paraId="6E949036" w14:textId="77777777" w:rsidR="00C05FF1" w:rsidRPr="00CC0DFE" w:rsidRDefault="00C05FF1" w:rsidP="0016507E">
      <w:pPr>
        <w:tabs>
          <w:tab w:val="left" w:pos="4962"/>
        </w:tabs>
        <w:contextualSpacing/>
        <w:rPr>
          <w:rFonts w:eastAsiaTheme="minorHAnsi" w:cs="Tahoma"/>
          <w:bCs/>
          <w:iCs/>
          <w:szCs w:val="22"/>
          <w:lang w:eastAsia="en-US"/>
        </w:rPr>
      </w:pPr>
    </w:p>
    <w:p w14:paraId="414FD2D5" w14:textId="4408E416" w:rsidR="00664420" w:rsidRPr="00CC0DFE" w:rsidRDefault="00A21A20" w:rsidP="0016507E">
      <w:pPr>
        <w:pStyle w:val="Ttulo3"/>
      </w:pPr>
      <w:bookmarkStart w:id="26" w:name="_Toc211448473"/>
      <w:r w:rsidRPr="00CC0DFE">
        <w:t>c)</w:t>
      </w:r>
      <w:r w:rsidR="00664420" w:rsidRPr="00CC0DFE">
        <w:t xml:space="preserve"> </w:t>
      </w:r>
      <w:r w:rsidRPr="00CC0DFE">
        <w:t>Estudio de la controversia</w:t>
      </w:r>
      <w:bookmarkEnd w:id="26"/>
    </w:p>
    <w:p w14:paraId="0C25874F" w14:textId="77777777" w:rsidR="00D21DAD" w:rsidRPr="00CC0DFE" w:rsidRDefault="00D21DAD" w:rsidP="0016507E">
      <w:pPr>
        <w:rPr>
          <w:szCs w:val="22"/>
        </w:rPr>
      </w:pPr>
      <w:r w:rsidRPr="00CC0DFE">
        <w:rPr>
          <w:szCs w:val="22"/>
        </w:rPr>
        <w:t xml:space="preserve">Este Órgano Garante basará el análisis del presente, en el contenido íntegro de las actuaciones que obran en el expediente electrónico en </w:t>
      </w:r>
      <w:r w:rsidRPr="00CC0DFE">
        <w:rPr>
          <w:b/>
          <w:szCs w:val="22"/>
        </w:rPr>
        <w:t>EL SAIMEX</w:t>
      </w:r>
      <w:r w:rsidRPr="00CC0DFE">
        <w:rPr>
          <w:szCs w:val="22"/>
        </w:rPr>
        <w:t>,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16C49A20" w14:textId="77777777" w:rsidR="00D21DAD" w:rsidRPr="00CC0DFE" w:rsidRDefault="00D21DAD" w:rsidP="0016507E">
      <w:pPr>
        <w:rPr>
          <w:rFonts w:cs="Arial"/>
        </w:rPr>
      </w:pPr>
    </w:p>
    <w:p w14:paraId="32C80E3B" w14:textId="77777777" w:rsidR="004F1EE3" w:rsidRPr="00CC0DFE" w:rsidRDefault="00D21DAD" w:rsidP="0016507E">
      <w:pPr>
        <w:tabs>
          <w:tab w:val="left" w:pos="4962"/>
        </w:tabs>
        <w:contextualSpacing/>
        <w:rPr>
          <w:rFonts w:eastAsia="Calibri" w:cs="Tahoma"/>
          <w:szCs w:val="22"/>
          <w:lang w:eastAsia="en-US"/>
        </w:rPr>
      </w:pPr>
      <w:r w:rsidRPr="00CC0DFE">
        <w:rPr>
          <w:rFonts w:cs="Arial"/>
        </w:rPr>
        <w:t>Pri</w:t>
      </w:r>
      <w:r w:rsidR="003E5BA2" w:rsidRPr="00CC0DFE">
        <w:rPr>
          <w:rFonts w:cs="Arial"/>
        </w:rPr>
        <w:t xml:space="preserve">mero, es necesario destacar que atendiendo a la solicitud de </w:t>
      </w:r>
      <w:r w:rsidR="003E5BA2" w:rsidRPr="00CC0DFE">
        <w:rPr>
          <w:rFonts w:cs="Arial"/>
          <w:b/>
        </w:rPr>
        <w:t>LA PARTE RECURRENTE</w:t>
      </w:r>
      <w:r w:rsidR="003E5BA2" w:rsidRPr="00CC0DFE">
        <w:rPr>
          <w:rFonts w:cs="Arial"/>
        </w:rPr>
        <w:t xml:space="preserve">, el  </w:t>
      </w:r>
      <w:r w:rsidR="003E5BA2" w:rsidRPr="00CC0DFE">
        <w:rPr>
          <w:rFonts w:eastAsia="Calibri" w:cs="Tahoma"/>
          <w:szCs w:val="22"/>
          <w:lang w:eastAsia="en-US"/>
        </w:rPr>
        <w:t>Sistema Municipal Para el Desarrollo Integral de la Familia de Tepotzotlán entregó el acuerdo de incompetencia, y de acuerdo a su contenido se expone que después de realizar una búsqueda exhaustiva en sus archivos, no se llevó a cabo actividad alguna en el mes de enero relativo a la información solicitada, además sugieren que la solicitud sea reingresada al Ayuntamiento de Tepotzotlán, como se advierte a continuación:</w:t>
      </w:r>
    </w:p>
    <w:p w14:paraId="2A016422" w14:textId="77777777" w:rsidR="004F1EE3" w:rsidRPr="00CC0DFE" w:rsidRDefault="004F1EE3" w:rsidP="0016507E">
      <w:pPr>
        <w:tabs>
          <w:tab w:val="left" w:pos="4962"/>
        </w:tabs>
        <w:contextualSpacing/>
        <w:rPr>
          <w:rFonts w:eastAsia="Calibri" w:cs="Tahoma"/>
          <w:szCs w:val="22"/>
          <w:lang w:eastAsia="en-US"/>
        </w:rPr>
      </w:pPr>
    </w:p>
    <w:tbl>
      <w:tblPr>
        <w:tblStyle w:val="Tablaconcuadrcula"/>
        <w:tblW w:w="0" w:type="auto"/>
        <w:tblLook w:val="04A0" w:firstRow="1" w:lastRow="0" w:firstColumn="1" w:lastColumn="0" w:noHBand="0" w:noVBand="1"/>
      </w:tblPr>
      <w:tblGrid>
        <w:gridCol w:w="4472"/>
        <w:gridCol w:w="4562"/>
      </w:tblGrid>
      <w:tr w:rsidR="0016507E" w:rsidRPr="00CC0DFE" w14:paraId="49566365" w14:textId="77777777" w:rsidTr="00C05FF1">
        <w:trPr>
          <w:tblHeader/>
        </w:trPr>
        <w:tc>
          <w:tcPr>
            <w:tcW w:w="4517" w:type="dxa"/>
            <w:shd w:val="pct12" w:color="auto" w:fill="auto"/>
          </w:tcPr>
          <w:p w14:paraId="4F3E389C" w14:textId="671BD96C" w:rsidR="004F1EE3" w:rsidRPr="00CC0DFE" w:rsidRDefault="004F1EE3" w:rsidP="0016507E">
            <w:pPr>
              <w:tabs>
                <w:tab w:val="left" w:pos="4962"/>
              </w:tabs>
              <w:contextualSpacing/>
              <w:jc w:val="center"/>
              <w:rPr>
                <w:rFonts w:eastAsia="Calibri" w:cs="Tahoma"/>
                <w:szCs w:val="22"/>
                <w:lang w:eastAsia="en-US"/>
              </w:rPr>
            </w:pPr>
            <w:r w:rsidRPr="00CC0DFE">
              <w:rPr>
                <w:rFonts w:eastAsia="Calibri" w:cs="Tahoma"/>
                <w:szCs w:val="22"/>
                <w:lang w:eastAsia="en-US"/>
              </w:rPr>
              <w:t>ACUERDO DE INCOMPETENCIA</w:t>
            </w:r>
          </w:p>
        </w:tc>
        <w:tc>
          <w:tcPr>
            <w:tcW w:w="4517" w:type="dxa"/>
            <w:shd w:val="pct12" w:color="auto" w:fill="auto"/>
          </w:tcPr>
          <w:p w14:paraId="210EA180" w14:textId="12BCD098" w:rsidR="004F1EE3" w:rsidRPr="00CC0DFE" w:rsidRDefault="004F1EE3" w:rsidP="0016507E">
            <w:pPr>
              <w:tabs>
                <w:tab w:val="left" w:pos="4962"/>
              </w:tabs>
              <w:contextualSpacing/>
              <w:jc w:val="center"/>
              <w:rPr>
                <w:rFonts w:eastAsia="Calibri" w:cs="Tahoma"/>
                <w:szCs w:val="22"/>
                <w:lang w:eastAsia="en-US"/>
              </w:rPr>
            </w:pPr>
            <w:r w:rsidRPr="00CC0DFE">
              <w:rPr>
                <w:rFonts w:eastAsia="Calibri" w:cs="Tahoma"/>
                <w:szCs w:val="22"/>
                <w:lang w:eastAsia="en-US"/>
              </w:rPr>
              <w:t>CONTENIDO</w:t>
            </w:r>
          </w:p>
        </w:tc>
      </w:tr>
      <w:tr w:rsidR="0016507E" w:rsidRPr="00CC0DFE" w14:paraId="01B4E273" w14:textId="77777777" w:rsidTr="004F1EE3">
        <w:tc>
          <w:tcPr>
            <w:tcW w:w="4517" w:type="dxa"/>
          </w:tcPr>
          <w:p w14:paraId="123006DD" w14:textId="1BACA8BD" w:rsidR="004F1EE3" w:rsidRPr="00CC0DFE" w:rsidRDefault="004F1EE3" w:rsidP="0016507E">
            <w:pPr>
              <w:tabs>
                <w:tab w:val="left" w:pos="4962"/>
              </w:tabs>
              <w:contextualSpacing/>
              <w:rPr>
                <w:rFonts w:eastAsia="Calibri" w:cs="Tahoma"/>
                <w:szCs w:val="22"/>
                <w:lang w:eastAsia="en-US"/>
              </w:rPr>
            </w:pPr>
            <w:r w:rsidRPr="00CC0DFE">
              <w:rPr>
                <w:rFonts w:eastAsia="Calibri" w:cs="Tahoma"/>
                <w:noProof/>
                <w:szCs w:val="22"/>
                <w:lang w:eastAsia="es-MX"/>
              </w:rPr>
              <w:drawing>
                <wp:inline distT="0" distB="0" distL="0" distR="0" wp14:anchorId="2BB57659" wp14:editId="569CF2B1">
                  <wp:extent cx="2695575" cy="306768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3067685"/>
                          </a:xfrm>
                          <a:prstGeom prst="rect">
                            <a:avLst/>
                          </a:prstGeom>
                          <a:noFill/>
                        </pic:spPr>
                      </pic:pic>
                    </a:graphicData>
                  </a:graphic>
                </wp:inline>
              </w:drawing>
            </w:r>
          </w:p>
        </w:tc>
        <w:tc>
          <w:tcPr>
            <w:tcW w:w="4517" w:type="dxa"/>
          </w:tcPr>
          <w:p w14:paraId="12B514E8" w14:textId="13C1969F" w:rsidR="004F1EE3" w:rsidRPr="00CC0DFE" w:rsidRDefault="004F1EE3" w:rsidP="0016507E">
            <w:pPr>
              <w:tabs>
                <w:tab w:val="left" w:pos="4962"/>
              </w:tabs>
              <w:contextualSpacing/>
              <w:rPr>
                <w:rFonts w:eastAsia="Calibri" w:cs="Tahoma"/>
                <w:szCs w:val="22"/>
                <w:lang w:eastAsia="en-US"/>
              </w:rPr>
            </w:pPr>
            <w:r w:rsidRPr="00CC0DFE">
              <w:rPr>
                <w:rFonts w:eastAsia="Calibri" w:cs="Tahoma"/>
                <w:noProof/>
                <w:szCs w:val="22"/>
                <w:lang w:eastAsia="es-MX"/>
              </w:rPr>
              <w:drawing>
                <wp:inline distT="0" distB="0" distL="0" distR="0" wp14:anchorId="18B2CC26" wp14:editId="04BC0AC9">
                  <wp:extent cx="2762248" cy="5715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9861" cy="589627"/>
                          </a:xfrm>
                          <a:prstGeom prst="rect">
                            <a:avLst/>
                          </a:prstGeom>
                        </pic:spPr>
                      </pic:pic>
                    </a:graphicData>
                  </a:graphic>
                </wp:inline>
              </w:drawing>
            </w:r>
          </w:p>
          <w:p w14:paraId="7DF457BE" w14:textId="19AE5A2B" w:rsidR="00295FB8" w:rsidRPr="00CC0DFE" w:rsidRDefault="00295FB8" w:rsidP="0016507E">
            <w:pPr>
              <w:tabs>
                <w:tab w:val="left" w:pos="4962"/>
              </w:tabs>
              <w:contextualSpacing/>
              <w:rPr>
                <w:rFonts w:eastAsia="Calibri" w:cs="Tahoma"/>
                <w:szCs w:val="22"/>
                <w:lang w:eastAsia="en-US"/>
              </w:rPr>
            </w:pPr>
            <w:r w:rsidRPr="00CC0DFE">
              <w:rPr>
                <w:rFonts w:eastAsia="Calibri" w:cs="Tahoma"/>
                <w:noProof/>
                <w:szCs w:val="22"/>
                <w:lang w:eastAsia="es-MX"/>
              </w:rPr>
              <w:drawing>
                <wp:inline distT="0" distB="0" distL="0" distR="0" wp14:anchorId="50C5DE70" wp14:editId="51F35F14">
                  <wp:extent cx="2761201" cy="451485"/>
                  <wp:effectExtent l="0" t="0" r="127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3072" cy="455061"/>
                          </a:xfrm>
                          <a:prstGeom prst="rect">
                            <a:avLst/>
                          </a:prstGeom>
                        </pic:spPr>
                      </pic:pic>
                    </a:graphicData>
                  </a:graphic>
                </wp:inline>
              </w:drawing>
            </w:r>
          </w:p>
          <w:p w14:paraId="578418B6" w14:textId="546D6A84" w:rsidR="00295FB8" w:rsidRPr="00CC0DFE" w:rsidRDefault="00295FB8" w:rsidP="0016507E">
            <w:pPr>
              <w:tabs>
                <w:tab w:val="left" w:pos="4962"/>
              </w:tabs>
              <w:contextualSpacing/>
              <w:rPr>
                <w:rFonts w:eastAsia="Calibri" w:cs="Tahoma"/>
                <w:szCs w:val="22"/>
                <w:lang w:eastAsia="en-US"/>
              </w:rPr>
            </w:pPr>
            <w:r w:rsidRPr="00CC0DFE">
              <w:rPr>
                <w:rFonts w:cs="Arial"/>
                <w:noProof/>
                <w:lang w:eastAsia="es-MX"/>
              </w:rPr>
              <w:drawing>
                <wp:inline distT="0" distB="0" distL="0" distR="0" wp14:anchorId="163B4A24" wp14:editId="14F552E7">
                  <wp:extent cx="2756701" cy="38195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9577" cy="3851221"/>
                          </a:xfrm>
                          <a:prstGeom prst="rect">
                            <a:avLst/>
                          </a:prstGeom>
                        </pic:spPr>
                      </pic:pic>
                    </a:graphicData>
                  </a:graphic>
                </wp:inline>
              </w:drawing>
            </w:r>
          </w:p>
        </w:tc>
      </w:tr>
    </w:tbl>
    <w:p w14:paraId="1642892A" w14:textId="3FD6AEEC" w:rsidR="003E5BA2" w:rsidRPr="00CC0DFE" w:rsidRDefault="003E5BA2" w:rsidP="0016507E">
      <w:pPr>
        <w:tabs>
          <w:tab w:val="left" w:pos="4962"/>
        </w:tabs>
        <w:contextualSpacing/>
        <w:rPr>
          <w:rFonts w:eastAsia="Calibri" w:cs="Tahoma"/>
          <w:szCs w:val="22"/>
          <w:lang w:eastAsia="en-US"/>
        </w:rPr>
      </w:pPr>
      <w:r w:rsidRPr="00CC0DFE">
        <w:rPr>
          <w:rFonts w:eastAsia="Calibri" w:cs="Tahoma"/>
          <w:szCs w:val="22"/>
          <w:lang w:eastAsia="en-US"/>
        </w:rPr>
        <w:t xml:space="preserve">  </w:t>
      </w:r>
    </w:p>
    <w:p w14:paraId="1730A66A" w14:textId="7572EF90" w:rsidR="003E5BA2" w:rsidRPr="00CC0DFE" w:rsidRDefault="001F10C8" w:rsidP="0016507E">
      <w:pPr>
        <w:tabs>
          <w:tab w:val="left" w:pos="4962"/>
        </w:tabs>
        <w:contextualSpacing/>
        <w:rPr>
          <w:rFonts w:cs="Arial"/>
        </w:rPr>
      </w:pPr>
      <w:r w:rsidRPr="00CC0DFE">
        <w:rPr>
          <w:rFonts w:cs="Arial"/>
        </w:rPr>
        <w:t xml:space="preserve">No obstante lo anterior,  </w:t>
      </w:r>
      <w:r w:rsidR="008A2A12" w:rsidRPr="00CC0DFE">
        <w:rPr>
          <w:rFonts w:cs="Arial"/>
        </w:rPr>
        <w:t>al momento de interponer el recurso de revisión, el recurrente</w:t>
      </w:r>
    </w:p>
    <w:p w14:paraId="0469176A" w14:textId="16527F12" w:rsidR="00C1752E" w:rsidRPr="00CC0DFE" w:rsidRDefault="00E767AB" w:rsidP="0016507E">
      <w:pPr>
        <w:tabs>
          <w:tab w:val="left" w:pos="4962"/>
        </w:tabs>
        <w:contextualSpacing/>
        <w:rPr>
          <w:rFonts w:cs="Arial"/>
        </w:rPr>
      </w:pPr>
      <w:r w:rsidRPr="00CC0DFE">
        <w:rPr>
          <w:rFonts w:cs="Tahoma"/>
          <w:bCs/>
        </w:rPr>
        <w:t>al momento de interponer el</w:t>
      </w:r>
      <w:r w:rsidR="008A2A12" w:rsidRPr="00CC0DFE">
        <w:rPr>
          <w:rFonts w:cs="Tahoma"/>
          <w:bCs/>
        </w:rPr>
        <w:t xml:space="preserve"> Recurso De Revisión anexó los archivos</w:t>
      </w:r>
      <w:r w:rsidR="008A2A12" w:rsidRPr="00CC0DFE">
        <w:rPr>
          <w:rFonts w:cs="Tahoma"/>
          <w:b/>
          <w:bCs/>
        </w:rPr>
        <w:t xml:space="preserve"> FB_IMG_1742022327308.jpg, FB_IMG_1742022407632.jpg, FB_IMG_1742022396965.jpg </w:t>
      </w:r>
      <w:r w:rsidR="008A2A12" w:rsidRPr="00CC0DFE">
        <w:rPr>
          <w:rFonts w:cs="Tahoma"/>
          <w:bCs/>
        </w:rPr>
        <w:t xml:space="preserve">y </w:t>
      </w:r>
      <w:r w:rsidR="008A2A12" w:rsidRPr="00CC0DFE">
        <w:rPr>
          <w:rFonts w:cs="Tahoma"/>
          <w:b/>
          <w:bCs/>
        </w:rPr>
        <w:t>FB_IMG_1742022372110.jpg</w:t>
      </w:r>
      <w:r w:rsidR="008A2A12" w:rsidRPr="00CC0DFE">
        <w:rPr>
          <w:rFonts w:cs="Tahoma"/>
          <w:bCs/>
        </w:rPr>
        <w:t xml:space="preserve"> que contienen diversas fotografías </w:t>
      </w:r>
      <w:r w:rsidR="00AB5F74" w:rsidRPr="00CC0DFE">
        <w:rPr>
          <w:rFonts w:cs="Tahoma"/>
          <w:bCs/>
        </w:rPr>
        <w:t xml:space="preserve">de entregas de cobertores, </w:t>
      </w:r>
      <w:r w:rsidR="00B44122" w:rsidRPr="00CC0DFE">
        <w:rPr>
          <w:rFonts w:cs="Tahoma"/>
          <w:bCs/>
        </w:rPr>
        <w:t xml:space="preserve">las </w:t>
      </w:r>
      <w:r w:rsidR="00B44122" w:rsidRPr="00CC0DFE">
        <w:rPr>
          <w:rFonts w:cs="Tahoma"/>
          <w:bCs/>
        </w:rPr>
        <w:lastRenderedPageBreak/>
        <w:t xml:space="preserve">cuales al ser cotejadas </w:t>
      </w:r>
      <w:r w:rsidR="00C1752E" w:rsidRPr="00CC0DFE">
        <w:rPr>
          <w:rFonts w:cs="Arial"/>
        </w:rPr>
        <w:t xml:space="preserve">con </w:t>
      </w:r>
      <w:r w:rsidRPr="00CC0DFE">
        <w:rPr>
          <w:rFonts w:cs="Arial"/>
        </w:rPr>
        <w:t xml:space="preserve">la fotografía que obra en la página oficial del </w:t>
      </w:r>
      <w:r w:rsidRPr="00CC0DFE">
        <w:rPr>
          <w:rFonts w:cs="Arial"/>
          <w:b/>
        </w:rPr>
        <w:t>SUJETO OBLIGADO</w:t>
      </w:r>
      <w:r w:rsidRPr="00CC0DFE">
        <w:rPr>
          <w:rFonts w:cs="Arial"/>
        </w:rPr>
        <w:t xml:space="preserve">, se advierte que es la misma persona que hace entrega de los cobertores materia de la solicitud de información, siendo la Titular del  </w:t>
      </w:r>
      <w:r w:rsidRPr="00CC0DFE">
        <w:rPr>
          <w:rFonts w:eastAsia="Calibri" w:cs="Tahoma"/>
          <w:szCs w:val="22"/>
          <w:lang w:eastAsia="en-US"/>
        </w:rPr>
        <w:t>Sistema Municipal Para el Desarrollo Integral de la Familia de Tepotzotlán</w:t>
      </w:r>
      <w:r w:rsidRPr="00CC0DFE">
        <w:rPr>
          <w:rFonts w:cs="Arial"/>
        </w:rPr>
        <w:t>, como se advierte a continuación:</w:t>
      </w:r>
    </w:p>
    <w:p w14:paraId="2429BA4A" w14:textId="77777777" w:rsidR="00E767AB" w:rsidRPr="00CC0DFE" w:rsidRDefault="00E767AB" w:rsidP="0016507E">
      <w:pPr>
        <w:tabs>
          <w:tab w:val="left" w:pos="4962"/>
        </w:tabs>
        <w:contextualSpacing/>
        <w:rPr>
          <w:rFonts w:cs="Arial"/>
        </w:rPr>
      </w:pPr>
    </w:p>
    <w:p w14:paraId="1D379C06" w14:textId="6C65F7E4" w:rsidR="003E5BA2" w:rsidRPr="00CC0DFE" w:rsidRDefault="00C1752E" w:rsidP="0016507E">
      <w:pPr>
        <w:tabs>
          <w:tab w:val="left" w:pos="4962"/>
        </w:tabs>
        <w:contextualSpacing/>
        <w:rPr>
          <w:rFonts w:cs="Arial"/>
        </w:rPr>
      </w:pPr>
      <w:r w:rsidRPr="00CC0DFE">
        <w:rPr>
          <w:rFonts w:cs="Arial"/>
          <w:noProof/>
          <w:lang w:eastAsia="es-MX"/>
        </w:rPr>
        <w:drawing>
          <wp:inline distT="0" distB="0" distL="0" distR="0" wp14:anchorId="1EE3D194" wp14:editId="7048C80A">
            <wp:extent cx="5742940" cy="2552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552700"/>
                    </a:xfrm>
                    <a:prstGeom prst="rect">
                      <a:avLst/>
                    </a:prstGeom>
                  </pic:spPr>
                </pic:pic>
              </a:graphicData>
            </a:graphic>
          </wp:inline>
        </w:drawing>
      </w:r>
    </w:p>
    <w:p w14:paraId="7969505E" w14:textId="77777777" w:rsidR="003E5BA2" w:rsidRPr="00CC0DFE" w:rsidRDefault="003E5BA2" w:rsidP="0016507E">
      <w:pPr>
        <w:tabs>
          <w:tab w:val="left" w:pos="4962"/>
        </w:tabs>
        <w:contextualSpacing/>
        <w:rPr>
          <w:rFonts w:cs="Arial"/>
        </w:rPr>
      </w:pPr>
    </w:p>
    <w:p w14:paraId="583D1D35" w14:textId="12F89D09" w:rsidR="003E5BA2" w:rsidRPr="00CC0DFE" w:rsidRDefault="00E767AB" w:rsidP="0016507E">
      <w:pPr>
        <w:tabs>
          <w:tab w:val="left" w:pos="4962"/>
        </w:tabs>
        <w:contextualSpacing/>
        <w:rPr>
          <w:rFonts w:cs="Arial"/>
        </w:rPr>
      </w:pPr>
      <w:r w:rsidRPr="00CC0DFE">
        <w:rPr>
          <w:rFonts w:cs="Arial"/>
        </w:rPr>
        <w:t>Además, en vía de manifestaciones LA PARTE RECURRENTE también adjunta diversos archivos que a saber son los siguientes:</w:t>
      </w:r>
    </w:p>
    <w:tbl>
      <w:tblPr>
        <w:tblStyle w:val="Tablaconcuadrcula"/>
        <w:tblW w:w="0" w:type="auto"/>
        <w:tblLook w:val="04A0" w:firstRow="1" w:lastRow="0" w:firstColumn="1" w:lastColumn="0" w:noHBand="0" w:noVBand="1"/>
      </w:tblPr>
      <w:tblGrid>
        <w:gridCol w:w="2297"/>
        <w:gridCol w:w="6737"/>
      </w:tblGrid>
      <w:tr w:rsidR="0016507E" w:rsidRPr="00CC0DFE" w14:paraId="4168C6D3" w14:textId="77777777" w:rsidTr="007F6B68">
        <w:tc>
          <w:tcPr>
            <w:tcW w:w="2357" w:type="dxa"/>
          </w:tcPr>
          <w:p w14:paraId="3C8BFEF6" w14:textId="77777777" w:rsidR="00E767AB" w:rsidRPr="00CC0DFE" w:rsidRDefault="00E767AB" w:rsidP="0016507E">
            <w:pPr>
              <w:rPr>
                <w:rFonts w:cs="Tahoma"/>
                <w:bCs/>
                <w:szCs w:val="24"/>
                <w:lang w:val="en-US"/>
              </w:rPr>
            </w:pPr>
            <w:r w:rsidRPr="00CC0DFE">
              <w:rPr>
                <w:rFonts w:cs="Tahoma"/>
                <w:bCs/>
                <w:szCs w:val="24"/>
                <w:lang w:val="en-US"/>
              </w:rPr>
              <w:lastRenderedPageBreak/>
              <w:t>Screenshot_20250315-010434-900.png Y Screenshot_20250328-195611-506.png</w:t>
            </w:r>
          </w:p>
        </w:tc>
        <w:tc>
          <w:tcPr>
            <w:tcW w:w="6677" w:type="dxa"/>
          </w:tcPr>
          <w:p w14:paraId="61C0ED9F" w14:textId="7193BE95" w:rsidR="00E767AB" w:rsidRPr="00CC0DFE" w:rsidRDefault="00E767AB" w:rsidP="0016507E">
            <w:pPr>
              <w:rPr>
                <w:rFonts w:cs="Tahoma"/>
                <w:bCs/>
                <w:szCs w:val="24"/>
              </w:rPr>
            </w:pPr>
            <w:r w:rsidRPr="00CC0DFE">
              <w:rPr>
                <w:rFonts w:cs="Tahoma"/>
                <w:bCs/>
                <w:noProof/>
                <w:szCs w:val="24"/>
                <w:lang w:eastAsia="es-MX"/>
              </w:rPr>
              <w:drawing>
                <wp:inline distT="0" distB="0" distL="0" distR="0" wp14:anchorId="4C035F33" wp14:editId="54861372">
                  <wp:extent cx="4158532" cy="3505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5420" cy="3511006"/>
                          </a:xfrm>
                          <a:prstGeom prst="rect">
                            <a:avLst/>
                          </a:prstGeom>
                        </pic:spPr>
                      </pic:pic>
                    </a:graphicData>
                  </a:graphic>
                </wp:inline>
              </w:drawing>
            </w:r>
          </w:p>
        </w:tc>
      </w:tr>
      <w:tr w:rsidR="0016507E" w:rsidRPr="00CC0DFE" w14:paraId="6B345D37" w14:textId="77777777" w:rsidTr="007F6B68">
        <w:tc>
          <w:tcPr>
            <w:tcW w:w="2357" w:type="dxa"/>
          </w:tcPr>
          <w:p w14:paraId="6BA0733A" w14:textId="77777777" w:rsidR="00E767AB" w:rsidRPr="00CC0DFE" w:rsidRDefault="00E767AB" w:rsidP="0016507E">
            <w:pPr>
              <w:rPr>
                <w:rFonts w:cs="Tahoma"/>
                <w:bCs/>
                <w:szCs w:val="24"/>
                <w:lang w:val="en-US"/>
              </w:rPr>
            </w:pPr>
            <w:r w:rsidRPr="00CC0DFE">
              <w:rPr>
                <w:rFonts w:cs="Tahoma"/>
                <w:bCs/>
                <w:szCs w:val="24"/>
                <w:lang w:val="en-US"/>
              </w:rPr>
              <w:t>Screenshot_20250328-195304.png Y Screenshot_20250328-195304.png</w:t>
            </w:r>
          </w:p>
        </w:tc>
        <w:tc>
          <w:tcPr>
            <w:tcW w:w="6677" w:type="dxa"/>
          </w:tcPr>
          <w:p w14:paraId="05716B77" w14:textId="77777777" w:rsidR="00E767AB" w:rsidRPr="00CC0DFE" w:rsidRDefault="00E767AB" w:rsidP="0016507E">
            <w:pPr>
              <w:rPr>
                <w:rFonts w:cs="Tahoma"/>
                <w:bCs/>
                <w:szCs w:val="24"/>
              </w:rPr>
            </w:pPr>
            <w:r w:rsidRPr="00CC0DFE">
              <w:rPr>
                <w:rFonts w:cs="Tahoma"/>
                <w:bCs/>
                <w:noProof/>
                <w:szCs w:val="24"/>
                <w:lang w:eastAsia="es-MX"/>
              </w:rPr>
              <w:drawing>
                <wp:inline distT="0" distB="0" distL="0" distR="0" wp14:anchorId="2CF99DAF" wp14:editId="7A9E64CA">
                  <wp:extent cx="4100566" cy="2943225"/>
                  <wp:effectExtent l="0" t="0" r="0" b="0"/>
                  <wp:docPr id="2090757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57596" name=""/>
                          <pic:cNvPicPr/>
                        </pic:nvPicPr>
                        <pic:blipFill>
                          <a:blip r:embed="rId20"/>
                          <a:stretch>
                            <a:fillRect/>
                          </a:stretch>
                        </pic:blipFill>
                        <pic:spPr>
                          <a:xfrm>
                            <a:off x="0" y="0"/>
                            <a:ext cx="4152552" cy="2980538"/>
                          </a:xfrm>
                          <a:prstGeom prst="rect">
                            <a:avLst/>
                          </a:prstGeom>
                        </pic:spPr>
                      </pic:pic>
                    </a:graphicData>
                  </a:graphic>
                </wp:inline>
              </w:drawing>
            </w:r>
          </w:p>
        </w:tc>
      </w:tr>
      <w:tr w:rsidR="0016507E" w:rsidRPr="00CC0DFE" w14:paraId="1325D20A" w14:textId="77777777" w:rsidTr="007F6B68">
        <w:tc>
          <w:tcPr>
            <w:tcW w:w="2357" w:type="dxa"/>
          </w:tcPr>
          <w:p w14:paraId="52E8EE88" w14:textId="77777777" w:rsidR="00E767AB" w:rsidRPr="00CC0DFE" w:rsidRDefault="00E767AB" w:rsidP="0016507E">
            <w:pPr>
              <w:rPr>
                <w:rFonts w:cs="Tahoma"/>
                <w:bCs/>
                <w:szCs w:val="24"/>
              </w:rPr>
            </w:pPr>
            <w:r w:rsidRPr="00CC0DFE">
              <w:rPr>
                <w:rFonts w:cs="Tahoma"/>
                <w:bCs/>
                <w:szCs w:val="24"/>
              </w:rPr>
              <w:lastRenderedPageBreak/>
              <w:t>Incompetencia de sujeto obligado procede orientación (Art. 167) (1).pdf</w:t>
            </w:r>
          </w:p>
        </w:tc>
        <w:tc>
          <w:tcPr>
            <w:tcW w:w="6677" w:type="dxa"/>
          </w:tcPr>
          <w:p w14:paraId="418DD897" w14:textId="77777777" w:rsidR="00E767AB" w:rsidRPr="00CC0DFE" w:rsidRDefault="00E767AB" w:rsidP="0016507E">
            <w:pPr>
              <w:rPr>
                <w:rFonts w:cs="Tahoma"/>
                <w:bCs/>
                <w:szCs w:val="24"/>
              </w:rPr>
            </w:pPr>
            <w:r w:rsidRPr="00CC0DFE">
              <w:rPr>
                <w:rFonts w:cs="Tahoma"/>
                <w:bCs/>
                <w:noProof/>
                <w:szCs w:val="24"/>
                <w:lang w:eastAsia="es-MX"/>
              </w:rPr>
              <w:drawing>
                <wp:inline distT="0" distB="0" distL="0" distR="0" wp14:anchorId="7D514ADB" wp14:editId="32B19E2F">
                  <wp:extent cx="4166484" cy="1264285"/>
                  <wp:effectExtent l="0" t="0" r="5715" b="0"/>
                  <wp:docPr id="2008052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52376" name=""/>
                          <pic:cNvPicPr/>
                        </pic:nvPicPr>
                        <pic:blipFill>
                          <a:blip r:embed="rId21"/>
                          <a:stretch>
                            <a:fillRect/>
                          </a:stretch>
                        </pic:blipFill>
                        <pic:spPr>
                          <a:xfrm>
                            <a:off x="0" y="0"/>
                            <a:ext cx="4198932" cy="1274131"/>
                          </a:xfrm>
                          <a:prstGeom prst="rect">
                            <a:avLst/>
                          </a:prstGeom>
                        </pic:spPr>
                      </pic:pic>
                    </a:graphicData>
                  </a:graphic>
                </wp:inline>
              </w:drawing>
            </w:r>
          </w:p>
          <w:p w14:paraId="79BAED12" w14:textId="77777777" w:rsidR="00E767AB" w:rsidRPr="00CC0DFE" w:rsidRDefault="00E767AB" w:rsidP="0016507E">
            <w:pPr>
              <w:rPr>
                <w:rFonts w:cs="Tahoma"/>
                <w:bCs/>
                <w:szCs w:val="24"/>
              </w:rPr>
            </w:pPr>
            <w:r w:rsidRPr="00CC0DFE">
              <w:rPr>
                <w:rFonts w:cs="Tahoma"/>
                <w:bCs/>
                <w:noProof/>
                <w:szCs w:val="24"/>
                <w:lang w:eastAsia="es-MX"/>
              </w:rPr>
              <w:drawing>
                <wp:inline distT="0" distB="0" distL="0" distR="0" wp14:anchorId="630E36D5" wp14:editId="22BE45C0">
                  <wp:extent cx="4206345" cy="2571750"/>
                  <wp:effectExtent l="0" t="0" r="3810" b="0"/>
                  <wp:docPr id="522549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49431" name=""/>
                          <pic:cNvPicPr/>
                        </pic:nvPicPr>
                        <pic:blipFill>
                          <a:blip r:embed="rId22"/>
                          <a:stretch>
                            <a:fillRect/>
                          </a:stretch>
                        </pic:blipFill>
                        <pic:spPr>
                          <a:xfrm>
                            <a:off x="0" y="0"/>
                            <a:ext cx="4255080" cy="2601547"/>
                          </a:xfrm>
                          <a:prstGeom prst="rect">
                            <a:avLst/>
                          </a:prstGeom>
                        </pic:spPr>
                      </pic:pic>
                    </a:graphicData>
                  </a:graphic>
                </wp:inline>
              </w:drawing>
            </w:r>
          </w:p>
        </w:tc>
      </w:tr>
      <w:tr w:rsidR="00E767AB" w:rsidRPr="00CC0DFE" w14:paraId="1601613D" w14:textId="77777777" w:rsidTr="007F6B68">
        <w:tc>
          <w:tcPr>
            <w:tcW w:w="2357" w:type="dxa"/>
          </w:tcPr>
          <w:p w14:paraId="2CF77EE9" w14:textId="77777777" w:rsidR="00E767AB" w:rsidRPr="00CC0DFE" w:rsidRDefault="00E767AB" w:rsidP="0016507E">
            <w:pPr>
              <w:rPr>
                <w:rFonts w:cs="Tahoma"/>
                <w:bCs/>
                <w:szCs w:val="24"/>
              </w:rPr>
            </w:pPr>
            <w:r w:rsidRPr="00CC0DFE">
              <w:rPr>
                <w:rFonts w:cs="Tahoma"/>
                <w:bCs/>
                <w:szCs w:val="24"/>
              </w:rPr>
              <w:lastRenderedPageBreak/>
              <w:t>HAT-UTAIP-2025-184incompetencia (2).pdf</w:t>
            </w:r>
          </w:p>
        </w:tc>
        <w:tc>
          <w:tcPr>
            <w:tcW w:w="6677" w:type="dxa"/>
          </w:tcPr>
          <w:p w14:paraId="2DCC69BE" w14:textId="418CD952" w:rsidR="00E767AB" w:rsidRPr="00CC0DFE" w:rsidRDefault="00E767AB" w:rsidP="0016507E">
            <w:pPr>
              <w:rPr>
                <w:rFonts w:cs="Tahoma"/>
                <w:bCs/>
                <w:szCs w:val="24"/>
              </w:rPr>
            </w:pPr>
            <w:r w:rsidRPr="00CC0DFE">
              <w:rPr>
                <w:rFonts w:cs="Tahoma"/>
                <w:bCs/>
                <w:noProof/>
                <w:szCs w:val="24"/>
                <w:lang w:eastAsia="es-MX"/>
              </w:rPr>
              <w:drawing>
                <wp:inline distT="0" distB="0" distL="0" distR="0" wp14:anchorId="2E3B45E7" wp14:editId="7F67B025">
                  <wp:extent cx="4133850" cy="4448175"/>
                  <wp:effectExtent l="0" t="0" r="0" b="9525"/>
                  <wp:docPr id="77883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3517" name=""/>
                          <pic:cNvPicPr/>
                        </pic:nvPicPr>
                        <pic:blipFill>
                          <a:blip r:embed="rId23"/>
                          <a:stretch>
                            <a:fillRect/>
                          </a:stretch>
                        </pic:blipFill>
                        <pic:spPr>
                          <a:xfrm>
                            <a:off x="0" y="0"/>
                            <a:ext cx="4176177" cy="4493720"/>
                          </a:xfrm>
                          <a:prstGeom prst="rect">
                            <a:avLst/>
                          </a:prstGeom>
                        </pic:spPr>
                      </pic:pic>
                    </a:graphicData>
                  </a:graphic>
                </wp:inline>
              </w:drawing>
            </w:r>
          </w:p>
        </w:tc>
      </w:tr>
    </w:tbl>
    <w:p w14:paraId="3B966C38" w14:textId="77777777" w:rsidR="003E5BA2" w:rsidRPr="00CC0DFE" w:rsidRDefault="003E5BA2" w:rsidP="0016507E">
      <w:pPr>
        <w:tabs>
          <w:tab w:val="left" w:pos="4962"/>
        </w:tabs>
        <w:contextualSpacing/>
        <w:rPr>
          <w:rFonts w:cs="Arial"/>
        </w:rPr>
      </w:pPr>
    </w:p>
    <w:p w14:paraId="5A89F8A6" w14:textId="77777777" w:rsidR="003C0541" w:rsidRPr="00CC0DFE" w:rsidRDefault="003C0541" w:rsidP="0016507E">
      <w:pPr>
        <w:tabs>
          <w:tab w:val="left" w:pos="4962"/>
        </w:tabs>
        <w:contextualSpacing/>
      </w:pPr>
      <w:r w:rsidRPr="00CC0DFE">
        <w:t xml:space="preserve">De lo anterior se desprende que, si bien el Sistema Municipal para el Desarrollo Integral de la Familia de Tepotzotlán emitió un acuerdo de incompetencia argumentando no haber realizado actividades relacionadas con la entrega de cobertores durante el mes de enero, las imágenes aportadas por </w:t>
      </w:r>
      <w:r w:rsidRPr="00CC0DFE">
        <w:rPr>
          <w:b/>
        </w:rPr>
        <w:t>LA PARTE RECURRENTE</w:t>
      </w:r>
      <w:r w:rsidRPr="00CC0DFE">
        <w:t xml:space="preserve"> permiten advertir la realización de actos coincidentes con la materia de la solicitud de información, en los cuales participa la persona Titular del propio Sistema Municipal DIF Tepotzotlán, lo que sugiere la posible existencia de registros, evidencias o documentos relacionados con dichas actividades.</w:t>
      </w:r>
    </w:p>
    <w:p w14:paraId="7A14E6AC" w14:textId="77777777" w:rsidR="003C0541" w:rsidRPr="00CC0DFE" w:rsidRDefault="003C0541" w:rsidP="0016507E">
      <w:pPr>
        <w:tabs>
          <w:tab w:val="left" w:pos="4962"/>
        </w:tabs>
        <w:contextualSpacing/>
      </w:pPr>
    </w:p>
    <w:p w14:paraId="0EE243AE" w14:textId="77777777" w:rsidR="003C0541" w:rsidRPr="00CC0DFE" w:rsidRDefault="003C0541" w:rsidP="0016507E">
      <w:pPr>
        <w:tabs>
          <w:tab w:val="left" w:pos="4962"/>
        </w:tabs>
        <w:contextualSpacing/>
      </w:pPr>
      <w:r w:rsidRPr="00CC0DFE">
        <w:lastRenderedPageBreak/>
        <w:t>Asimismo, se advierte que el propio Ayuntamiento de Tepotzotlán, mediante el Oficio número HAT/UTAIP/2025/184, de fecha 11 de marzo de 2025, suscrito por la Titular de la Unidad de Transparencia y Acceso a la Información Pública, declaró su incompetencia para atender la solicitud presentada, con fundamento en el artículo 167 de la Ley de Transparencia y Acceso a la Información Pública del Estado de México y Municipios, argumentando que la información requerida correspondía al Sistema Municipal para el Desarrollo Integral de la Familia de Tepotzotlán (DIF Municipal), al ser dicho organismo descentralizado el sujeto obligado competente para atender solicitudes relativas a la entrega de apoyos sociales.</w:t>
      </w:r>
    </w:p>
    <w:p w14:paraId="194B32F8" w14:textId="77777777" w:rsidR="003C0541" w:rsidRPr="00CC0DFE" w:rsidRDefault="003C0541" w:rsidP="0016507E">
      <w:pPr>
        <w:tabs>
          <w:tab w:val="left" w:pos="4962"/>
        </w:tabs>
        <w:contextualSpacing/>
      </w:pPr>
    </w:p>
    <w:p w14:paraId="5196EAC8" w14:textId="1C6B378A" w:rsidR="003C0541" w:rsidRPr="00CC0DFE" w:rsidRDefault="003C0541" w:rsidP="0016507E">
      <w:pPr>
        <w:tabs>
          <w:tab w:val="left" w:pos="4962"/>
        </w:tabs>
        <w:contextualSpacing/>
      </w:pPr>
      <w:r w:rsidRPr="00CC0DFE">
        <w:t xml:space="preserve">En tal virtud, resulta procedente determinar que </w:t>
      </w:r>
      <w:r w:rsidR="00C05FF1" w:rsidRPr="00CC0DFE">
        <w:rPr>
          <w:b/>
        </w:rPr>
        <w:t>EL SUJETO OBLIGADO</w:t>
      </w:r>
      <w:r w:rsidR="00C05FF1" w:rsidRPr="00CC0DFE">
        <w:t xml:space="preserve"> </w:t>
      </w:r>
      <w:r w:rsidRPr="00CC0DFE">
        <w:t>sí debió realizar una búsqueda exhaustiva y razonable en todas sus áreas competentes, conforme a lo dispuesto en el artículo 162 de la Ley de Transparencia y Acceso a la Información Pública del Estado de México y Municipios, a efecto de localizar la información solicitada o, en su caso, justificar de manera fundada y motivada su inexistencia.</w:t>
      </w:r>
    </w:p>
    <w:p w14:paraId="5BD57251" w14:textId="77777777" w:rsidR="00966151" w:rsidRPr="00CC0DFE" w:rsidRDefault="00966151" w:rsidP="0016507E">
      <w:pPr>
        <w:tabs>
          <w:tab w:val="left" w:pos="4962"/>
        </w:tabs>
        <w:contextualSpacing/>
      </w:pPr>
    </w:p>
    <w:p w14:paraId="67FA5062" w14:textId="77777777" w:rsidR="00012A99" w:rsidRPr="00CC0DFE" w:rsidRDefault="00012A99" w:rsidP="0016507E">
      <w:pPr>
        <w:tabs>
          <w:tab w:val="left" w:pos="4962"/>
        </w:tabs>
        <w:contextualSpacing/>
      </w:pPr>
      <w:r w:rsidRPr="00CC0DFE">
        <w:t xml:space="preserve">No pasa desapercibido que, en </w:t>
      </w:r>
      <w:r w:rsidRPr="00CC0DFE">
        <w:rPr>
          <w:b/>
        </w:rPr>
        <w:t>vía de manifestaciones</w:t>
      </w:r>
      <w:r w:rsidRPr="00CC0DFE">
        <w:t xml:space="preserve">, </w:t>
      </w:r>
      <w:r w:rsidRPr="00CC0DFE">
        <w:rPr>
          <w:b/>
        </w:rPr>
        <w:t>EL SUJETO OBLIGADO</w:t>
      </w:r>
      <w:r w:rsidRPr="00CC0DFE">
        <w:t xml:space="preserve"> refirió que el Sistema Municipal para el Desarrollo Integral de la Familia de Tepotzotlán (DIF Municipal) no cuenta con la información solicitada, en virtud de que dicha información no obra en los archivos de la dependencia, toda vez que la entrega de cobertores a la que hace referencia </w:t>
      </w:r>
      <w:r w:rsidRPr="00CC0DFE">
        <w:rPr>
          <w:b/>
        </w:rPr>
        <w:t>LA PARTE RECURRENTE</w:t>
      </w:r>
      <w:r w:rsidRPr="00CC0DFE">
        <w:t xml:space="preserve"> corresponde a un programa desarrollado por el H. Ayuntamiento de Tepotzotlán, en coordinación con la Presidenta Honorífica del Sistema Municipal DIF de Tepotzotlán, Lic. María Dolores Zuppa Villegas, quien acudió en representación de la Presidenta Municipal Constitucional, Lic. María de los Ángeles Zuppa Villegas, a la comunidad de Los Dolores, Tepotzotlán, México, para hacer entrega de los cobertores a las personas adultas mayores de la denominada “Edad Dorada”, quienes no los habían recibido en el mes de diciembre de 2024, debido a que no fueron localizados durante los días </w:t>
      </w:r>
      <w:r w:rsidRPr="00CC0DFE">
        <w:lastRenderedPageBreak/>
        <w:t>originalmente programados para la entrega, reiterando el sujeto obligado que dicha actividad fue realizada por el H. Ayuntamiento de Tepotzotlán.</w:t>
      </w:r>
    </w:p>
    <w:p w14:paraId="08EABA90" w14:textId="77777777" w:rsidR="00012A99" w:rsidRPr="00CC0DFE" w:rsidRDefault="00012A99" w:rsidP="0016507E">
      <w:pPr>
        <w:tabs>
          <w:tab w:val="left" w:pos="4962"/>
        </w:tabs>
        <w:contextualSpacing/>
      </w:pPr>
    </w:p>
    <w:p w14:paraId="72C9DF25" w14:textId="1EFE1012" w:rsidR="004F2460" w:rsidRPr="00CC0DFE" w:rsidRDefault="00012A99" w:rsidP="0016507E">
      <w:pPr>
        <w:tabs>
          <w:tab w:val="left" w:pos="4962"/>
        </w:tabs>
        <w:contextualSpacing/>
      </w:pPr>
      <w:r w:rsidRPr="00CC0DFE">
        <w:t xml:space="preserve">Ahora bien, si bien el Sistema Municipal DIF de Tepotzotlán es un sujeto obligado diverso al Ayuntamiento del mismo municipio, lo cierto es que el propio </w:t>
      </w:r>
      <w:r w:rsidR="00C05FF1" w:rsidRPr="00CC0DFE">
        <w:rPr>
          <w:b/>
        </w:rPr>
        <w:t>SUJETO OBLIGADO</w:t>
      </w:r>
      <w:r w:rsidR="00C05FF1" w:rsidRPr="00CC0DFE">
        <w:t xml:space="preserve"> </w:t>
      </w:r>
      <w:r w:rsidRPr="00CC0DFE">
        <w:t>reconoce que el evento en cuestión fue desarrollado de manera conjunta por ambos entes públicos, y que la información solicitada se originó precisamente de una acción coordinada entre ambos. En tal virtud, y considerando que el Ayuntamiento de Tepotzotlán ostenta jerarquía superior y atribuciones de coordinación administrativa sobre el DIF Municipal, así como que fue el propio Ayuntamiento quien manifestó que la información se encontraba bajo resguardo del DIF, se concluye que dicho or</w:t>
      </w:r>
      <w:r w:rsidR="00C05FF1" w:rsidRPr="00CC0DFE">
        <w:t>ganismo descentralizado sí debe realizar la búsqueda de la</w:t>
      </w:r>
      <w:r w:rsidRPr="00CC0DFE">
        <w:t xml:space="preserve"> información requerida, al derivarse de un programa público en el que participó activamente y del cual existen registros que deben obrar en sus archivos, conforme al principio de máxima publicidad y al deber de colaboración interinstitucional previsto en la Ley de Transparencia y Acceso a la Información Pública del Estado de México y Municipios.</w:t>
      </w:r>
    </w:p>
    <w:p w14:paraId="6DB2452D" w14:textId="77777777" w:rsidR="00012A99" w:rsidRPr="00CC0DFE" w:rsidRDefault="00012A99" w:rsidP="0016507E">
      <w:pPr>
        <w:tabs>
          <w:tab w:val="left" w:pos="4962"/>
        </w:tabs>
        <w:contextualSpacing/>
      </w:pPr>
    </w:p>
    <w:p w14:paraId="72A4161A" w14:textId="77777777" w:rsidR="00012A99" w:rsidRPr="00CC0DFE" w:rsidRDefault="00012A99" w:rsidP="0016507E">
      <w:pPr>
        <w:ind w:right="51"/>
        <w:rPr>
          <w:rFonts w:eastAsia="Palatino Linotype" w:cs="Palatino Linotype"/>
        </w:rPr>
      </w:pPr>
      <w:r w:rsidRPr="00CC0DFE">
        <w:rPr>
          <w:rFonts w:eastAsia="Palatino Linotype" w:cs="Palatino Linotype"/>
        </w:rPr>
        <w:t xml:space="preserve">Establecido lo anterior, procedemos al análisis de la </w:t>
      </w:r>
      <w:r w:rsidRPr="00CC0DFE">
        <w:rPr>
          <w:rFonts w:eastAsia="Palatino Linotype" w:cs="Palatino Linotype"/>
          <w:b/>
        </w:rPr>
        <w:t>naturaleza de la información</w:t>
      </w:r>
      <w:r w:rsidRPr="00CC0DFE">
        <w:rPr>
          <w:rFonts w:eastAsia="Palatino Linotype" w:cs="Palatino Linotype"/>
        </w:rPr>
        <w:t>, para ello, debemos observar lo dispuesto por los 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1BF0E3BA" w14:textId="77777777" w:rsidR="00012A99" w:rsidRPr="00CC0DFE" w:rsidRDefault="00012A99" w:rsidP="0016507E">
      <w:pPr>
        <w:widowControl w:val="0"/>
        <w:rPr>
          <w:rFonts w:eastAsia="Palatino Linotype" w:cs="Palatino Linotype"/>
        </w:rPr>
      </w:pPr>
    </w:p>
    <w:p w14:paraId="2B5292EB" w14:textId="4B1E8F3E" w:rsidR="00877BC0" w:rsidRPr="00CC0DFE" w:rsidRDefault="00877BC0" w:rsidP="0016507E">
      <w:pPr>
        <w:pStyle w:val="Puesto"/>
        <w:jc w:val="center"/>
        <w:rPr>
          <w:rFonts w:eastAsia="Palatino Linotype"/>
          <w:b/>
        </w:rPr>
      </w:pPr>
      <w:r w:rsidRPr="00CC0DFE">
        <w:rPr>
          <w:rFonts w:eastAsia="Palatino Linotype"/>
          <w:b/>
        </w:rPr>
        <w:t>SECCION SEGUNDA</w:t>
      </w:r>
    </w:p>
    <w:p w14:paraId="19DB15F8" w14:textId="6E6A0E12" w:rsidR="00877BC0" w:rsidRPr="00CC0DFE" w:rsidRDefault="00877BC0" w:rsidP="0016507E">
      <w:pPr>
        <w:pStyle w:val="Puesto"/>
        <w:jc w:val="center"/>
        <w:rPr>
          <w:rFonts w:eastAsia="Palatino Linotype"/>
          <w:b/>
        </w:rPr>
      </w:pPr>
      <w:r w:rsidRPr="00CC0DFE">
        <w:rPr>
          <w:rFonts w:eastAsia="Palatino Linotype"/>
          <w:b/>
        </w:rPr>
        <w:t>DEL REGISTRO CONTABLE Y PRESUPUESTAL</w:t>
      </w:r>
    </w:p>
    <w:p w14:paraId="145F003F" w14:textId="77777777" w:rsidR="002F0DF4" w:rsidRPr="00CC0DFE" w:rsidRDefault="002F0DF4" w:rsidP="0016507E">
      <w:pPr>
        <w:rPr>
          <w:rFonts w:eastAsia="Palatino Linotype"/>
        </w:rPr>
      </w:pPr>
    </w:p>
    <w:p w14:paraId="2447D415" w14:textId="77777777" w:rsidR="00877BC0" w:rsidRPr="00CC0DFE" w:rsidRDefault="00877BC0" w:rsidP="0016507E">
      <w:pPr>
        <w:pStyle w:val="Puesto"/>
        <w:rPr>
          <w:rFonts w:eastAsia="Palatino Linotype"/>
        </w:rPr>
      </w:pPr>
      <w:r w:rsidRPr="00CC0DFE">
        <w:rPr>
          <w:rFonts w:eastAsia="Palatino Linotype"/>
          <w:b/>
        </w:rPr>
        <w:t>Artículo 342.-</w:t>
      </w:r>
      <w:r w:rsidRPr="00CC0DFE">
        <w:rPr>
          <w:rFonts w:eastAsia="Palatino Linotype"/>
        </w:rPr>
        <w:t xml:space="preserve"> El registro contable del efecto patrimonial y presupuestal de las operaciones financieras, se realizará conforme al sistema y a las disposiciones que se aprueben en </w:t>
      </w:r>
      <w:r w:rsidRPr="00CC0DFE">
        <w:rPr>
          <w:rFonts w:eastAsia="Palatino Linotype"/>
        </w:rPr>
        <w:lastRenderedPageBreak/>
        <w:t>materia de planeación, programación, presupuestación, evaluación y contabilidad gubernamental.</w:t>
      </w:r>
    </w:p>
    <w:p w14:paraId="135B0577" w14:textId="14E80656" w:rsidR="00877BC0" w:rsidRPr="00CC0DFE" w:rsidRDefault="00877BC0" w:rsidP="0016507E">
      <w:pPr>
        <w:pStyle w:val="Puesto"/>
        <w:rPr>
          <w:rFonts w:eastAsia="Palatino Linotype"/>
        </w:rPr>
      </w:pPr>
      <w:r w:rsidRPr="00CC0DFE">
        <w:rPr>
          <w:rFonts w:eastAsia="Palatino Linotype"/>
        </w:rPr>
        <w:t xml:space="preserve">  </w:t>
      </w:r>
    </w:p>
    <w:p w14:paraId="25ED5BF5" w14:textId="77777777" w:rsidR="00877BC0" w:rsidRPr="00CC0DFE" w:rsidRDefault="00877BC0" w:rsidP="0016507E">
      <w:pPr>
        <w:pStyle w:val="Puesto"/>
        <w:rPr>
          <w:rFonts w:eastAsia="Palatino Linotype"/>
        </w:rPr>
      </w:pPr>
      <w:r w:rsidRPr="00CC0DFE">
        <w:rPr>
          <w:rFonts w:eastAsia="Palatino Linotype"/>
        </w:rPr>
        <w:t xml:space="preserve">En el caso de los municipios, el registro a que se refiere el párrafo anterior, se realizará </w:t>
      </w:r>
    </w:p>
    <w:p w14:paraId="5105CA38" w14:textId="4B21F91A" w:rsidR="00877BC0" w:rsidRPr="00CC0DFE" w:rsidRDefault="00877BC0" w:rsidP="0016507E">
      <w:pPr>
        <w:pStyle w:val="Puesto"/>
        <w:rPr>
          <w:rFonts w:eastAsia="Palatino Linotype"/>
        </w:rPr>
      </w:pPr>
      <w:r w:rsidRPr="00CC0DFE">
        <w:rPr>
          <w:rFonts w:eastAsia="Palatino Linotype"/>
        </w:rPr>
        <w:t xml:space="preserve">conforme al sistema y a las disposiciones en materia de planeación, programación, presupuestación, evaluación y contabilidad gubernamental, que se aprueben en el marco del Sistema de Coordinación Hacendaria del Estado de México. </w:t>
      </w:r>
    </w:p>
    <w:p w14:paraId="33919214" w14:textId="77777777" w:rsidR="00877BC0" w:rsidRPr="00CC0DFE" w:rsidRDefault="00877BC0" w:rsidP="0016507E">
      <w:pPr>
        <w:pStyle w:val="Puesto"/>
        <w:rPr>
          <w:rFonts w:eastAsia="Palatino Linotype"/>
        </w:rPr>
      </w:pPr>
    </w:p>
    <w:p w14:paraId="24A05577" w14:textId="77777777" w:rsidR="00877BC0" w:rsidRPr="00CC0DFE" w:rsidRDefault="00877BC0" w:rsidP="0016507E">
      <w:pPr>
        <w:pStyle w:val="Puesto"/>
        <w:rPr>
          <w:rFonts w:eastAsia="Palatino Linotype"/>
        </w:rPr>
      </w:pPr>
      <w:r w:rsidRPr="00CC0DFE">
        <w:rPr>
          <w:rFonts w:eastAsia="Palatino Linotype"/>
          <w:b/>
        </w:rPr>
        <w:t>Artículo 343.-</w:t>
      </w:r>
      <w:r w:rsidRPr="00CC0DFE">
        <w:rPr>
          <w:rFonts w:eastAsia="Palatino Linotype"/>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586DA7F2" w14:textId="3338C9BE" w:rsidR="00877BC0" w:rsidRPr="00CC0DFE" w:rsidRDefault="00877BC0" w:rsidP="0016507E">
      <w:pPr>
        <w:pStyle w:val="Puesto"/>
        <w:rPr>
          <w:rFonts w:eastAsia="Palatino Linotype"/>
        </w:rPr>
      </w:pPr>
      <w:r w:rsidRPr="00CC0DFE">
        <w:rPr>
          <w:rFonts w:eastAsia="Palatino Linotype"/>
        </w:rPr>
        <w:t xml:space="preserve"> </w:t>
      </w:r>
    </w:p>
    <w:p w14:paraId="4395500F" w14:textId="28EA5AE1" w:rsidR="00877BC0" w:rsidRPr="00CC0DFE" w:rsidRDefault="00877BC0" w:rsidP="0016507E">
      <w:pPr>
        <w:pStyle w:val="Puesto"/>
        <w:rPr>
          <w:rFonts w:eastAsia="Palatino Linotype"/>
        </w:rPr>
      </w:pPr>
      <w:r w:rsidRPr="00CC0DFE">
        <w:rPr>
          <w:rFonts w:eastAsia="Palatino Linotype"/>
        </w:rPr>
        <w:t xml:space="preserve">El sistema de contabilidad sobre base acumulativa total, se sustentará en las normas emitidas por el Consejo Nacional de Armonización Contable. </w:t>
      </w:r>
    </w:p>
    <w:p w14:paraId="35EC89F0" w14:textId="77777777" w:rsidR="00877BC0" w:rsidRPr="00CC0DFE" w:rsidRDefault="00877BC0" w:rsidP="0016507E">
      <w:pPr>
        <w:pStyle w:val="Puesto"/>
        <w:rPr>
          <w:rFonts w:eastAsia="Palatino Linotype"/>
        </w:rPr>
      </w:pPr>
    </w:p>
    <w:p w14:paraId="4EBABB4A" w14:textId="1E014498" w:rsidR="00877BC0" w:rsidRPr="00CC0DFE" w:rsidRDefault="00877BC0" w:rsidP="0016507E">
      <w:pPr>
        <w:pStyle w:val="Puesto"/>
        <w:rPr>
          <w:rFonts w:eastAsia="Palatino Linotype"/>
        </w:rPr>
      </w:pPr>
      <w:r w:rsidRPr="00CC0DFE">
        <w:rPr>
          <w:rFonts w:eastAsia="Palatino Linotype"/>
          <w:b/>
        </w:rPr>
        <w:t>Artículo 344.-</w:t>
      </w:r>
      <w:r w:rsidRPr="00CC0DFE">
        <w:rPr>
          <w:rFonts w:eastAsia="Palatino Linotype"/>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1B9920B2" w14:textId="77777777" w:rsidR="002F0DF4" w:rsidRPr="00CC0DFE" w:rsidRDefault="002F0DF4" w:rsidP="0016507E">
      <w:pPr>
        <w:pStyle w:val="Puesto"/>
        <w:rPr>
          <w:rFonts w:eastAsia="Palatino Linotype"/>
        </w:rPr>
      </w:pPr>
    </w:p>
    <w:p w14:paraId="46D00D27" w14:textId="7A98F5F0" w:rsidR="00877BC0" w:rsidRPr="00CC0DFE" w:rsidRDefault="00877BC0" w:rsidP="0016507E">
      <w:pPr>
        <w:pStyle w:val="Puesto"/>
        <w:rPr>
          <w:rFonts w:eastAsia="Palatino Linotype"/>
        </w:rPr>
      </w:pPr>
      <w:r w:rsidRPr="00CC0DFE">
        <w:rPr>
          <w:rFonts w:eastAsia="Palatino Linotype"/>
        </w:rPr>
        <w:t xml:space="preserve">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w:t>
      </w:r>
    </w:p>
    <w:p w14:paraId="591FEAD4" w14:textId="77777777" w:rsidR="00877BC0" w:rsidRPr="00CC0DFE" w:rsidRDefault="00877BC0" w:rsidP="0016507E">
      <w:pPr>
        <w:pStyle w:val="Puesto"/>
        <w:rPr>
          <w:rFonts w:eastAsia="Palatino Linotype"/>
        </w:rPr>
      </w:pPr>
    </w:p>
    <w:p w14:paraId="369561F1" w14:textId="0966068F" w:rsidR="00877BC0" w:rsidRPr="00CC0DFE" w:rsidRDefault="00877BC0" w:rsidP="0016507E">
      <w:pPr>
        <w:pStyle w:val="Puesto"/>
        <w:rPr>
          <w:rFonts w:eastAsia="Palatino Linotype"/>
        </w:rPr>
      </w:pPr>
      <w:r w:rsidRPr="00CC0DFE">
        <w:rPr>
          <w:rFonts w:eastAsia="Palatino Linotype"/>
        </w:rPr>
        <w:t xml:space="preserve">En el caso de los Municipios, dicha obligación corresponderá a la Tesorería. </w:t>
      </w:r>
    </w:p>
    <w:p w14:paraId="2A165D37" w14:textId="77777777" w:rsidR="00877BC0" w:rsidRPr="00CC0DFE" w:rsidRDefault="00877BC0" w:rsidP="0016507E">
      <w:pPr>
        <w:pStyle w:val="Puesto"/>
        <w:rPr>
          <w:rFonts w:eastAsia="Palatino Linotype"/>
        </w:rPr>
      </w:pPr>
    </w:p>
    <w:p w14:paraId="425BFEAD" w14:textId="3FC34270" w:rsidR="00877BC0" w:rsidRPr="00CC0DFE" w:rsidRDefault="00877BC0" w:rsidP="0016507E">
      <w:pPr>
        <w:pStyle w:val="Puesto"/>
        <w:rPr>
          <w:rFonts w:eastAsia="Palatino Linotype"/>
        </w:rPr>
      </w:pPr>
      <w:r w:rsidRPr="00CC0DFE">
        <w:rPr>
          <w:rFonts w:eastAsia="Palatino Linotype"/>
        </w:rPr>
        <w:t xml:space="preserve">Tratándose de documentos de carácter histórico, se estará a lo dispuesto por la legislación de la materia. </w:t>
      </w:r>
    </w:p>
    <w:p w14:paraId="274102FF" w14:textId="77777777" w:rsidR="00877BC0" w:rsidRPr="00CC0DFE" w:rsidRDefault="00877BC0" w:rsidP="0016507E">
      <w:pPr>
        <w:pStyle w:val="Puesto"/>
        <w:rPr>
          <w:rFonts w:eastAsia="Palatino Linotype"/>
        </w:rPr>
      </w:pPr>
    </w:p>
    <w:p w14:paraId="71FEA13F" w14:textId="7A34BAD2" w:rsidR="00877BC0" w:rsidRPr="00CC0DFE" w:rsidRDefault="00877BC0" w:rsidP="0016507E">
      <w:pPr>
        <w:pStyle w:val="Puesto"/>
        <w:rPr>
          <w:rFonts w:eastAsia="Palatino Linotype"/>
        </w:rPr>
      </w:pPr>
      <w:r w:rsidRPr="00CC0DFE">
        <w:rPr>
          <w:rFonts w:eastAsia="Palatino Linotype"/>
          <w:b/>
        </w:rPr>
        <w:t>Artículo 345.-</w:t>
      </w:r>
      <w:r w:rsidRPr="00CC0DFE">
        <w:rPr>
          <w:rFonts w:eastAsia="Palatino Linotype"/>
        </w:rPr>
        <w:t xml:space="preserve"> Las Dependencias y sus unidades administrativas; deberán conservar la documentación contable del año en curso y la de ejercicios anteriores, cuyas cuentas </w:t>
      </w:r>
      <w:r w:rsidRPr="00CC0DFE">
        <w:rPr>
          <w:rFonts w:eastAsia="Palatino Linotype"/>
        </w:rPr>
        <w:lastRenderedPageBreak/>
        <w:t xml:space="preserve">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53F003BF" w14:textId="77777777" w:rsidR="00877BC0" w:rsidRPr="00CC0DFE" w:rsidRDefault="00877BC0" w:rsidP="0016507E">
      <w:pPr>
        <w:pStyle w:val="Puesto"/>
        <w:rPr>
          <w:rFonts w:eastAsia="Palatino Linotype"/>
        </w:rPr>
      </w:pPr>
    </w:p>
    <w:p w14:paraId="3DBEF8A2" w14:textId="22D28141" w:rsidR="00877BC0" w:rsidRPr="00CC0DFE" w:rsidRDefault="00877BC0" w:rsidP="0016507E">
      <w:pPr>
        <w:pStyle w:val="Puesto"/>
        <w:rPr>
          <w:rFonts w:eastAsia="Palatino Linotype"/>
        </w:rPr>
      </w:pPr>
      <w:r w:rsidRPr="00CC0DFE">
        <w:rPr>
          <w:rFonts w:eastAsia="Palatino Linotype"/>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w:t>
      </w:r>
    </w:p>
    <w:p w14:paraId="383D8601" w14:textId="77777777" w:rsidR="00877BC0" w:rsidRPr="00CC0DFE" w:rsidRDefault="00877BC0" w:rsidP="0016507E">
      <w:pPr>
        <w:pStyle w:val="Puesto"/>
        <w:rPr>
          <w:rFonts w:eastAsia="Palatino Linotype"/>
        </w:rPr>
      </w:pPr>
    </w:p>
    <w:p w14:paraId="7403EE72" w14:textId="5A326F7C" w:rsidR="00877BC0" w:rsidRPr="00CC0DFE" w:rsidRDefault="00877BC0" w:rsidP="0016507E">
      <w:pPr>
        <w:pStyle w:val="Puesto"/>
        <w:rPr>
          <w:rFonts w:eastAsia="Palatino Linotype"/>
        </w:rPr>
      </w:pPr>
      <w:r w:rsidRPr="00CC0DFE">
        <w:rPr>
          <w:rFonts w:eastAsia="Palatino Linotype"/>
        </w:rPr>
        <w:t>El plazo señalado en este artículo empezará a contar a partir de la publicación en el Periódico Oficial, del decreto correspondiente.</w:t>
      </w:r>
    </w:p>
    <w:p w14:paraId="7CACAEE5" w14:textId="5BB3A0D4" w:rsidR="00877BC0" w:rsidRPr="00CC0DFE" w:rsidRDefault="00877BC0" w:rsidP="0016507E">
      <w:pPr>
        <w:spacing w:line="276" w:lineRule="auto"/>
        <w:ind w:left="851" w:right="616"/>
        <w:rPr>
          <w:rFonts w:eastAsia="Palatino Linotype" w:cs="Palatino Linotype"/>
          <w:i/>
        </w:rPr>
      </w:pPr>
    </w:p>
    <w:p w14:paraId="441D2BBA" w14:textId="77777777" w:rsidR="00012A99" w:rsidRPr="00CC0DFE" w:rsidRDefault="00012A99" w:rsidP="0016507E">
      <w:pPr>
        <w:rPr>
          <w:rFonts w:eastAsia="Palatino Linotype" w:cs="Palatino Linotype"/>
        </w:rPr>
      </w:pPr>
      <w:r w:rsidRPr="00CC0DFE">
        <w:rPr>
          <w:rFonts w:eastAsia="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E2360CD" w14:textId="77777777" w:rsidR="00012A99" w:rsidRPr="00CC0DFE" w:rsidRDefault="00012A99" w:rsidP="0016507E">
      <w:pPr>
        <w:rPr>
          <w:rFonts w:eastAsia="Palatino Linotype" w:cs="Palatino Linotype"/>
        </w:rPr>
      </w:pPr>
    </w:p>
    <w:p w14:paraId="1E457756" w14:textId="77777777" w:rsidR="00012A99" w:rsidRPr="00CC0DFE" w:rsidRDefault="00012A99" w:rsidP="0016507E">
      <w:pPr>
        <w:ind w:right="-232"/>
        <w:rPr>
          <w:rFonts w:eastAsia="Palatino Linotype" w:cs="Palatino Linotype"/>
        </w:rPr>
      </w:pPr>
      <w:r w:rsidRPr="00CC0DFE">
        <w:rPr>
          <w:rFonts w:eastAsia="Palatino Linotype" w:cs="Palatino Linotype"/>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69FFD011" w14:textId="77777777" w:rsidR="00012A99" w:rsidRPr="00CC0DFE" w:rsidRDefault="00012A99" w:rsidP="0016507E">
      <w:pPr>
        <w:ind w:right="902"/>
        <w:rPr>
          <w:rFonts w:eastAsia="Palatino Linotype" w:cs="Palatino Linotype"/>
          <w:i/>
        </w:rPr>
      </w:pPr>
    </w:p>
    <w:p w14:paraId="15DE145D" w14:textId="77777777" w:rsidR="00012A99" w:rsidRPr="00CC0DFE" w:rsidRDefault="00012A99" w:rsidP="0016507E">
      <w:pPr>
        <w:spacing w:line="240" w:lineRule="auto"/>
        <w:ind w:left="851" w:right="902"/>
        <w:rPr>
          <w:rFonts w:eastAsia="Palatino Linotype" w:cs="Palatino Linotype"/>
          <w:b/>
          <w:i/>
        </w:rPr>
      </w:pPr>
      <w:r w:rsidRPr="00CC0DFE">
        <w:rPr>
          <w:rFonts w:eastAsia="Palatino Linotype" w:cs="Palatino Linotype"/>
          <w:i/>
        </w:rPr>
        <w:t>“</w:t>
      </w:r>
      <w:r w:rsidRPr="00CC0DFE">
        <w:rPr>
          <w:rFonts w:eastAsia="Palatino Linotype" w:cs="Palatino Linotype"/>
          <w:b/>
          <w:i/>
        </w:rPr>
        <w:t>FACTURA</w:t>
      </w:r>
    </w:p>
    <w:p w14:paraId="03BFF4C1" w14:textId="77777777" w:rsidR="00012A99" w:rsidRPr="00CC0DFE" w:rsidRDefault="00012A99" w:rsidP="0016507E">
      <w:pPr>
        <w:spacing w:line="240" w:lineRule="auto"/>
        <w:ind w:left="851" w:right="616"/>
        <w:rPr>
          <w:rFonts w:eastAsia="Palatino Linotype" w:cs="Palatino Linotype"/>
          <w:i/>
        </w:rPr>
      </w:pPr>
      <w:r w:rsidRPr="00CC0DFE">
        <w:rPr>
          <w:rFonts w:eastAsia="Palatino Linotype" w:cs="Palatino Linotype"/>
          <w:i/>
        </w:rPr>
        <w:t>Es el documento fiscal que emite la persona física o moral para comprobar la venta o adquisición de un bien y/o servicio.” (Sic)</w:t>
      </w:r>
    </w:p>
    <w:p w14:paraId="761D2FBB" w14:textId="77777777" w:rsidR="00012A99" w:rsidRPr="00CC0DFE" w:rsidRDefault="00012A99" w:rsidP="0016507E">
      <w:pPr>
        <w:ind w:left="851" w:right="902"/>
        <w:rPr>
          <w:rFonts w:eastAsia="Palatino Linotype" w:cs="Palatino Linotype"/>
        </w:rPr>
      </w:pPr>
    </w:p>
    <w:p w14:paraId="58BD0BCC" w14:textId="77777777" w:rsidR="00012A99" w:rsidRPr="00CC0DFE" w:rsidRDefault="00012A99" w:rsidP="0016507E">
      <w:pPr>
        <w:rPr>
          <w:rFonts w:eastAsia="Palatino Linotype" w:cs="Palatino Linotype"/>
        </w:rPr>
      </w:pPr>
      <w:r w:rsidRPr="00CC0DFE">
        <w:rPr>
          <w:rFonts w:eastAsia="Palatino Linotype" w:cs="Palatino Linotype"/>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w:t>
      </w:r>
      <w:r w:rsidRPr="00CC0DFE">
        <w:rPr>
          <w:rFonts w:eastAsia="Palatino Linotype" w:cs="Palatino Linotype"/>
        </w:rPr>
        <w:lastRenderedPageBreak/>
        <w:t xml:space="preserve">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677A7C7B" w14:textId="77777777" w:rsidR="00012A99" w:rsidRPr="00CC0DFE" w:rsidRDefault="00012A99" w:rsidP="0016507E">
      <w:pPr>
        <w:rPr>
          <w:rFonts w:eastAsia="Palatino Linotype" w:cs="Palatino Linotype"/>
        </w:rPr>
      </w:pPr>
    </w:p>
    <w:p w14:paraId="61065FAF" w14:textId="77777777" w:rsidR="00012A99" w:rsidRPr="00CC0DFE" w:rsidRDefault="00012A99" w:rsidP="0016507E">
      <w:pPr>
        <w:rPr>
          <w:rFonts w:eastAsia="Palatino Linotype" w:cs="Palatino Linotype"/>
        </w:rPr>
      </w:pPr>
      <w:r w:rsidRPr="00CC0DFE">
        <w:rPr>
          <w:rFonts w:eastAsia="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4C91B715" w14:textId="77777777" w:rsidR="00012A99" w:rsidRPr="00CC0DFE" w:rsidRDefault="00012A99" w:rsidP="0016507E">
      <w:pPr>
        <w:rPr>
          <w:rFonts w:eastAsia="Palatino Linotype" w:cs="Palatino Linotype"/>
        </w:rPr>
      </w:pPr>
    </w:p>
    <w:p w14:paraId="0D2979CC" w14:textId="77777777" w:rsidR="00012A99" w:rsidRPr="00CC0DFE" w:rsidRDefault="00012A99" w:rsidP="0016507E">
      <w:pPr>
        <w:spacing w:line="276" w:lineRule="auto"/>
        <w:ind w:left="851" w:right="616"/>
        <w:rPr>
          <w:rFonts w:eastAsia="Palatino Linotype" w:cs="Palatino Linotype"/>
          <w:b/>
          <w:i/>
        </w:rPr>
      </w:pPr>
      <w:r w:rsidRPr="00CC0DFE">
        <w:rPr>
          <w:rFonts w:eastAsia="Palatino Linotype" w:cs="Palatino Linotype"/>
          <w:b/>
          <w:i/>
        </w:rPr>
        <w:t xml:space="preserve">“REGISTRO CONTABLE </w:t>
      </w:r>
    </w:p>
    <w:p w14:paraId="0B32406F" w14:textId="77777777" w:rsidR="00012A99" w:rsidRPr="00CC0DFE" w:rsidRDefault="00012A99" w:rsidP="0016507E">
      <w:pPr>
        <w:spacing w:line="276" w:lineRule="auto"/>
        <w:ind w:left="851" w:right="616"/>
        <w:rPr>
          <w:rFonts w:eastAsia="Palatino Linotype" w:cs="Palatino Linotype"/>
          <w:i/>
        </w:rPr>
      </w:pPr>
      <w:r w:rsidRPr="00CC0DFE">
        <w:rPr>
          <w:rFonts w:eastAsia="Palatino Linotype" w:cs="Palatino Linotype"/>
          <w:i/>
        </w:rPr>
        <w:t>Asiento que se realiza en los libros de contabilidad de las actividades relacionadas con el ingreso y egresos de un ente económico.” (Sic)</w:t>
      </w:r>
    </w:p>
    <w:p w14:paraId="21DE9414" w14:textId="77777777" w:rsidR="00012A99" w:rsidRPr="00CC0DFE" w:rsidRDefault="00012A99" w:rsidP="0016507E">
      <w:pPr>
        <w:spacing w:line="276" w:lineRule="auto"/>
        <w:ind w:left="851" w:right="616"/>
        <w:rPr>
          <w:rFonts w:eastAsia="Palatino Linotype" w:cs="Palatino Linotype"/>
          <w:b/>
          <w:i/>
        </w:rPr>
      </w:pPr>
      <w:r w:rsidRPr="00CC0DFE">
        <w:rPr>
          <w:rFonts w:eastAsia="Palatino Linotype" w:cs="Palatino Linotype"/>
          <w:b/>
          <w:i/>
        </w:rPr>
        <w:t>“REGISTRO PRESUPUESTARIO</w:t>
      </w:r>
    </w:p>
    <w:p w14:paraId="72E38E1E" w14:textId="77777777" w:rsidR="00012A99" w:rsidRPr="00CC0DFE" w:rsidRDefault="00012A99" w:rsidP="0016507E">
      <w:pPr>
        <w:spacing w:line="276" w:lineRule="auto"/>
        <w:ind w:left="851" w:right="616"/>
        <w:rPr>
          <w:rFonts w:eastAsia="Palatino Linotype" w:cs="Palatino Linotype"/>
          <w:i/>
        </w:rPr>
      </w:pPr>
      <w:r w:rsidRPr="00CC0DFE">
        <w:rPr>
          <w:rFonts w:eastAsia="Palatino Linotype" w:cs="Palatino Linotype"/>
          <w:i/>
        </w:rPr>
        <w:t>Asiento contable de las erogaciones realizadas por las dependencias y entidades con relación a la asignación, modificación y ejercicio de los recursos presupuestarios que se les hayan autorizado.” (Sic)</w:t>
      </w:r>
    </w:p>
    <w:p w14:paraId="1ED00059" w14:textId="77777777" w:rsidR="00012A99" w:rsidRPr="00CC0DFE" w:rsidRDefault="00012A99" w:rsidP="0016507E">
      <w:pPr>
        <w:rPr>
          <w:rFonts w:eastAsia="Palatino Linotype" w:cs="Palatino Linotype"/>
        </w:rPr>
      </w:pPr>
    </w:p>
    <w:p w14:paraId="2CAA1C17" w14:textId="77777777" w:rsidR="00012A99" w:rsidRPr="00CC0DFE" w:rsidRDefault="00012A99" w:rsidP="0016507E">
      <w:pPr>
        <w:rPr>
          <w:rFonts w:eastAsia="Palatino Linotype" w:cs="Palatino Linotype"/>
        </w:rPr>
      </w:pPr>
      <w:r w:rsidRPr="00CC0DFE">
        <w:rPr>
          <w:rFonts w:eastAsia="Palatino Linotype" w:cs="Palatino Linotype"/>
        </w:rPr>
        <w:t>Por otra parte, se establece que el sistema de contabilidad sobre base acumulativa total se sustentará en los principios de contabilidad gubernamental.</w:t>
      </w:r>
    </w:p>
    <w:p w14:paraId="15047C52" w14:textId="77777777" w:rsidR="00012A99" w:rsidRPr="00CC0DFE" w:rsidRDefault="00012A99" w:rsidP="0016507E">
      <w:pPr>
        <w:rPr>
          <w:rFonts w:eastAsia="Palatino Linotype" w:cs="Palatino Linotype"/>
        </w:rPr>
      </w:pPr>
    </w:p>
    <w:p w14:paraId="682200B9" w14:textId="77777777" w:rsidR="00012A99" w:rsidRPr="00CC0DFE" w:rsidRDefault="00012A99" w:rsidP="0016507E">
      <w:pPr>
        <w:rPr>
          <w:rFonts w:eastAsia="Palatino Linotype" w:cs="Palatino Linotype"/>
        </w:rPr>
      </w:pPr>
      <w:r w:rsidRPr="00CC0DFE">
        <w:rPr>
          <w:rFonts w:eastAsia="Palatino Linotype" w:cs="Palatino Linotype"/>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B82961D" w14:textId="77777777" w:rsidR="00012A99" w:rsidRPr="00CC0DFE" w:rsidRDefault="00012A99" w:rsidP="0016507E">
      <w:pPr>
        <w:rPr>
          <w:rFonts w:eastAsia="Palatino Linotype" w:cs="Palatino Linotype"/>
        </w:rPr>
      </w:pPr>
    </w:p>
    <w:p w14:paraId="5BC5DFBA" w14:textId="77777777" w:rsidR="00012A99" w:rsidRPr="00CC0DFE" w:rsidRDefault="00012A99" w:rsidP="0016507E">
      <w:pPr>
        <w:rPr>
          <w:rFonts w:eastAsia="Palatino Linotype" w:cs="Palatino Linotype"/>
        </w:rPr>
      </w:pPr>
      <w:r w:rsidRPr="00CC0DFE">
        <w:rPr>
          <w:rFonts w:eastAsia="Palatino Linotype" w:cs="Palatino Linotype"/>
        </w:rPr>
        <w:t xml:space="preserve">Correlativo a lo anterior, es preciso referir una definición de </w:t>
      </w:r>
      <w:r w:rsidRPr="00CC0DFE">
        <w:rPr>
          <w:rFonts w:eastAsia="Palatino Linotype" w:cs="Palatino Linotype"/>
          <w:i/>
        </w:rPr>
        <w:t>póliza contable</w:t>
      </w:r>
      <w:r w:rsidRPr="00CC0DFE">
        <w:rPr>
          <w:rFonts w:eastAsia="Palatino Linotype" w:cs="Palatino Linotype"/>
        </w:rPr>
        <w:t xml:space="preserve">, la cual, primeramente, no está definida en el Código Financiero del Estado de México y Municipios; no obstante, los ya mencionados Glosarios la definen como: </w:t>
      </w:r>
    </w:p>
    <w:p w14:paraId="5124D2E3" w14:textId="77777777" w:rsidR="00012A99" w:rsidRPr="00CC0DFE" w:rsidRDefault="00012A99" w:rsidP="0016507E">
      <w:pPr>
        <w:ind w:left="851" w:right="902"/>
        <w:rPr>
          <w:rFonts w:eastAsia="Palatino Linotype" w:cs="Palatino Linotype"/>
          <w:i/>
        </w:rPr>
      </w:pPr>
    </w:p>
    <w:p w14:paraId="0CBB3306" w14:textId="77777777" w:rsidR="00012A99" w:rsidRPr="00CC0DFE" w:rsidRDefault="00012A99" w:rsidP="0016507E">
      <w:pPr>
        <w:pStyle w:val="Puesto"/>
        <w:rPr>
          <w:rFonts w:eastAsia="Palatino Linotype"/>
        </w:rPr>
      </w:pPr>
      <w:r w:rsidRPr="00CC0DFE">
        <w:rPr>
          <w:rFonts w:eastAsia="Palatino Linotype"/>
        </w:rPr>
        <w:t>“PÓLIZA CONTABLE</w:t>
      </w:r>
    </w:p>
    <w:p w14:paraId="04A11785" w14:textId="77777777" w:rsidR="00012A99" w:rsidRPr="00CC0DFE" w:rsidRDefault="00012A99" w:rsidP="0016507E">
      <w:pPr>
        <w:pStyle w:val="Puesto"/>
        <w:rPr>
          <w:rFonts w:eastAsia="Palatino Linotype"/>
        </w:rPr>
      </w:pPr>
      <w:r w:rsidRPr="00CC0DFE">
        <w:rPr>
          <w:rFonts w:eastAsia="Palatino Linotype"/>
        </w:rPr>
        <w:t>Documento en el cual se asientan en forma individual todas y cada una de las operaciones desarrolladas por una institución, así como la información necesaria para la identificación de dichas operaciones.” (sic)</w:t>
      </w:r>
    </w:p>
    <w:p w14:paraId="330FEE7B" w14:textId="77777777" w:rsidR="00012A99" w:rsidRPr="00CC0DFE" w:rsidRDefault="00012A99" w:rsidP="0016507E">
      <w:pPr>
        <w:spacing w:after="120"/>
        <w:ind w:left="851" w:right="899"/>
        <w:rPr>
          <w:rFonts w:eastAsia="Palatino Linotype" w:cs="Palatino Linotype"/>
          <w:i/>
        </w:rPr>
      </w:pPr>
    </w:p>
    <w:p w14:paraId="053CC220" w14:textId="77777777" w:rsidR="00012A99" w:rsidRPr="00CC0DFE" w:rsidRDefault="00012A99" w:rsidP="0016507E">
      <w:pPr>
        <w:spacing w:before="120"/>
        <w:rPr>
          <w:rFonts w:eastAsia="Palatino Linotype" w:cs="Palatino Linotype"/>
        </w:rPr>
      </w:pPr>
      <w:r w:rsidRPr="00CC0DFE">
        <w:rPr>
          <w:rFonts w:eastAsia="Palatino Linotype" w:cs="Palatino Linotype"/>
        </w:rPr>
        <w:t xml:space="preserve">Así, se advierte que la </w:t>
      </w:r>
      <w:r w:rsidRPr="00CC0DFE">
        <w:rPr>
          <w:rFonts w:eastAsia="Palatino Linotype" w:cs="Palatino Linotype"/>
          <w:i/>
        </w:rPr>
        <w:t>póliza contable</w:t>
      </w:r>
      <w:r w:rsidRPr="00CC0DFE">
        <w:rPr>
          <w:rFonts w:eastAsia="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 </w:t>
      </w:r>
    </w:p>
    <w:p w14:paraId="06EFE626" w14:textId="77777777" w:rsidR="00012A99" w:rsidRPr="00CC0DFE" w:rsidRDefault="00012A99" w:rsidP="0016507E">
      <w:pPr>
        <w:rPr>
          <w:rFonts w:eastAsia="Palatino Linotype" w:cs="Palatino Linotype"/>
        </w:rPr>
      </w:pPr>
    </w:p>
    <w:p w14:paraId="3C5CECD6" w14:textId="2C5925F8" w:rsidR="00012A99" w:rsidRPr="00CC0DFE" w:rsidRDefault="00012A99" w:rsidP="0016507E">
      <w:pPr>
        <w:rPr>
          <w:rFonts w:eastAsia="Palatino Linotype" w:cs="Palatino Linotype"/>
        </w:rPr>
      </w:pPr>
      <w:r w:rsidRPr="00CC0DFE">
        <w:rPr>
          <w:rFonts w:eastAsia="Palatino Linotype" w:cs="Palatino Linotype"/>
        </w:rPr>
        <w:t xml:space="preserve">En este sentido, existen diversos tipos de pólizas contables de acuerdo a las operaciones realizadas, dentro de las cuales, encontramos las llamadas </w:t>
      </w:r>
      <w:r w:rsidRPr="00CC0DFE">
        <w:rPr>
          <w:rFonts w:eastAsia="Palatino Linotype" w:cs="Palatino Linotype"/>
          <w:b/>
          <w:i/>
        </w:rPr>
        <w:t>pólizas de egresos</w:t>
      </w:r>
      <w:r w:rsidRPr="00CC0DFE">
        <w:rPr>
          <w:rFonts w:eastAsia="Palatino Linotype" w:cs="Palatino Linotype"/>
        </w:rPr>
        <w:t xml:space="preserve">, son aquellas en las cuales se anotan diariamente las operaciones que representan gastos, es decir, salidas de dinero para </w:t>
      </w:r>
      <w:r w:rsidR="00C05FF1" w:rsidRPr="00CC0DFE">
        <w:rPr>
          <w:rFonts w:eastAsia="Palatino Linotype" w:cs="Palatino Linotype"/>
          <w:b/>
        </w:rPr>
        <w:t>EL SUJETO OBLIGADO</w:t>
      </w:r>
      <w:r w:rsidRPr="00CC0DFE">
        <w:rPr>
          <w:rFonts w:eastAsia="Palatino Linotype" w:cs="Palatino Linotype"/>
        </w:rPr>
        <w:t xml:space="preserve">, las que, además, deben encontrarse acompañadas de las documentales que sirven de soporte de dicho movimiento, además de que las pólizas contables deben ser integradas por el soporte documental del gasto efectuado, como es la suficiencia y la requisición. </w:t>
      </w:r>
    </w:p>
    <w:p w14:paraId="53F6ADF3" w14:textId="77777777" w:rsidR="00012A99" w:rsidRPr="00CC0DFE" w:rsidRDefault="00012A99" w:rsidP="0016507E">
      <w:pPr>
        <w:rPr>
          <w:rFonts w:eastAsia="Palatino Linotype" w:cs="Palatino Linotype"/>
        </w:rPr>
      </w:pPr>
    </w:p>
    <w:p w14:paraId="397C25CF" w14:textId="77777777" w:rsidR="00012A99" w:rsidRPr="00CC0DFE" w:rsidRDefault="00012A99" w:rsidP="0016507E">
      <w:pPr>
        <w:rPr>
          <w:rFonts w:eastAsia="Palatino Linotype" w:cs="Palatino Linotype"/>
        </w:rPr>
      </w:pPr>
      <w:r w:rsidRPr="00CC0DFE">
        <w:rPr>
          <w:rFonts w:eastAsia="Palatino Linotype" w:cs="Palatino Linotype"/>
        </w:rPr>
        <w:lastRenderedPageBreak/>
        <w:t xml:space="preserve">En esta tesitura, los “Lineamientos para la integración y entrega del Informe Trimestral Municipal 2024”, emitidos por el Órgano Superior de Fiscalización del Estado de México, OSFEM, establecen los criterios, formatos y documentación necesaria para presentar los informes trimestrales por parte de los entes fiscalizables, integrando la información en cuatro Módulos, advirtiendo que el Módulo 1 cuenta con el submódulo “Pólizas”, mismo que contempla las pólizas de egresos con los respectivos documentos comprobatorios, información que se debe grabar en discos compactos, cada uno con un mes del trimestre, tal y como se muestra a continuación: </w:t>
      </w:r>
    </w:p>
    <w:p w14:paraId="6AC34A91" w14:textId="77777777" w:rsidR="00012A99" w:rsidRPr="00CC0DFE" w:rsidRDefault="00012A99" w:rsidP="0016507E">
      <w:pPr>
        <w:rPr>
          <w:rFonts w:eastAsia="Palatino Linotype" w:cs="Palatino Linotype"/>
        </w:rPr>
      </w:pPr>
    </w:p>
    <w:p w14:paraId="61108ABE" w14:textId="6940138B" w:rsidR="00012A99" w:rsidRPr="00CC0DFE" w:rsidRDefault="002F0DF4" w:rsidP="0016507E">
      <w:pPr>
        <w:rPr>
          <w:rFonts w:eastAsia="Palatino Linotype" w:cs="Palatino Linotype"/>
        </w:rPr>
      </w:pPr>
      <w:r w:rsidRPr="00CC0DFE">
        <w:rPr>
          <w:noProof/>
          <w:lang w:eastAsia="es-MX"/>
        </w:rPr>
        <mc:AlternateContent>
          <mc:Choice Requires="wps">
            <w:drawing>
              <wp:anchor distT="0" distB="0" distL="114300" distR="114300" simplePos="0" relativeHeight="251661312" behindDoc="0" locked="0" layoutInCell="1" hidden="0" allowOverlap="1" wp14:anchorId="38AE2648" wp14:editId="2A964634">
                <wp:simplePos x="0" y="0"/>
                <wp:positionH relativeFrom="column">
                  <wp:posOffset>810895</wp:posOffset>
                </wp:positionH>
                <wp:positionV relativeFrom="paragraph">
                  <wp:posOffset>1161415</wp:posOffset>
                </wp:positionV>
                <wp:extent cx="4746326" cy="361950"/>
                <wp:effectExtent l="0" t="0" r="16510" b="19050"/>
                <wp:wrapNone/>
                <wp:docPr id="158852179" name="Rectángulo 158852179"/>
                <wp:cNvGraphicFramePr/>
                <a:graphic xmlns:a="http://schemas.openxmlformats.org/drawingml/2006/main">
                  <a:graphicData uri="http://schemas.microsoft.com/office/word/2010/wordprocessingShape">
                    <wps:wsp>
                      <wps:cNvSpPr/>
                      <wps:spPr>
                        <a:xfrm>
                          <a:off x="0" y="0"/>
                          <a:ext cx="4746326" cy="361950"/>
                        </a:xfrm>
                        <a:prstGeom prst="rect">
                          <a:avLst/>
                        </a:prstGeom>
                        <a:noFill/>
                        <a:ln w="19050" cap="flat" cmpd="sng">
                          <a:solidFill>
                            <a:srgbClr val="FF0000"/>
                          </a:solidFill>
                          <a:prstDash val="solid"/>
                          <a:miter lim="800000"/>
                          <a:headEnd type="none" w="sm" len="sm"/>
                          <a:tailEnd type="none" w="sm" len="sm"/>
                        </a:ln>
                      </wps:spPr>
                      <wps:txbx>
                        <w:txbxContent>
                          <w:p w14:paraId="1A4274F0" w14:textId="77777777" w:rsidR="009425D6" w:rsidRDefault="009425D6" w:rsidP="00012A99">
                            <w:pPr>
                              <w:spacing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38AE2648" id="Rectángulo 158852179" o:spid="_x0000_s1026" style="position:absolute;left:0;text-align:left;margin-left:63.85pt;margin-top:91.45pt;width:373.75pt;height:2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" filled="f" strokecolor="red" strokeweight="1.5pt">
                <v:stroke startarrowwidth="narrow" startarrowlength="short" endarrowwidth="narrow" endarrowlength="short"/>
                <v:textbox inset="2.53958mm,2.53958mm,2.53958mm,2.53958mm">
                  <w:txbxContent>
                    <w:p w14:paraId="1A4274F0" w14:textId="77777777" w:rsidR="009425D6" w:rsidRDefault="009425D6" w:rsidP="00012A99">
                      <w:pPr>
                        <w:spacing w:line="240" w:lineRule="auto"/>
                        <w:textDirection w:val="btLr"/>
                      </w:pPr>
                    </w:p>
                  </w:txbxContent>
                </v:textbox>
              </v:rect>
            </w:pict>
          </mc:Fallback>
        </mc:AlternateContent>
      </w:r>
      <w:r w:rsidR="00012A99" w:rsidRPr="00CC0DFE">
        <w:rPr>
          <w:rFonts w:eastAsia="Palatino Linotype" w:cs="Palatino Linotype"/>
          <w:noProof/>
          <w:lang w:eastAsia="es-MX"/>
        </w:rPr>
        <w:drawing>
          <wp:inline distT="0" distB="0" distL="0" distR="0" wp14:anchorId="220DA2FF" wp14:editId="5A3AB015">
            <wp:extent cx="5612130" cy="4533900"/>
            <wp:effectExtent l="0" t="0" r="7620" b="0"/>
            <wp:docPr id="1588521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612130" cy="4533900"/>
                    </a:xfrm>
                    <a:prstGeom prst="rect">
                      <a:avLst/>
                    </a:prstGeom>
                    <a:ln/>
                  </pic:spPr>
                </pic:pic>
              </a:graphicData>
            </a:graphic>
          </wp:inline>
        </w:drawing>
      </w:r>
    </w:p>
    <w:p w14:paraId="52A794B5" w14:textId="77777777" w:rsidR="00012A99" w:rsidRPr="00CC0DFE" w:rsidRDefault="00012A99" w:rsidP="0016507E">
      <w:pPr>
        <w:jc w:val="center"/>
        <w:rPr>
          <w:rFonts w:eastAsia="Palatino Linotype" w:cs="Palatino Linotype"/>
        </w:rPr>
      </w:pPr>
      <w:r w:rsidRPr="00CC0DFE">
        <w:rPr>
          <w:rFonts w:eastAsia="Palatino Linotype" w:cs="Palatino Linotype"/>
          <w:noProof/>
          <w:lang w:eastAsia="es-MX"/>
        </w:rPr>
        <w:lastRenderedPageBreak/>
        <w:drawing>
          <wp:inline distT="0" distB="0" distL="0" distR="0" wp14:anchorId="626EBC10" wp14:editId="4D319FCF">
            <wp:extent cx="4515330" cy="4468859"/>
            <wp:effectExtent l="0" t="0" r="0" b="0"/>
            <wp:docPr id="158852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515330" cy="4468859"/>
                    </a:xfrm>
                    <a:prstGeom prst="rect">
                      <a:avLst/>
                    </a:prstGeom>
                    <a:ln/>
                  </pic:spPr>
                </pic:pic>
              </a:graphicData>
            </a:graphic>
          </wp:inline>
        </w:drawing>
      </w:r>
    </w:p>
    <w:p w14:paraId="0200BCFF" w14:textId="77777777" w:rsidR="00012A99" w:rsidRPr="00CC0DFE" w:rsidRDefault="00012A99" w:rsidP="0016507E">
      <w:pPr>
        <w:jc w:val="center"/>
        <w:rPr>
          <w:rFonts w:eastAsia="Palatino Linotype" w:cs="Palatino Linotype"/>
        </w:rPr>
      </w:pPr>
    </w:p>
    <w:p w14:paraId="715F42EC" w14:textId="77777777" w:rsidR="00012A99" w:rsidRPr="00CC0DFE" w:rsidRDefault="00012A99" w:rsidP="0016507E">
      <w:pPr>
        <w:jc w:val="center"/>
        <w:rPr>
          <w:rFonts w:eastAsia="Palatino Linotype" w:cs="Palatino Linotype"/>
        </w:rPr>
      </w:pPr>
    </w:p>
    <w:p w14:paraId="6E975218" w14:textId="77777777" w:rsidR="00012A99" w:rsidRPr="00CC0DFE" w:rsidRDefault="00012A99" w:rsidP="0016507E">
      <w:pPr>
        <w:jc w:val="center"/>
        <w:rPr>
          <w:rFonts w:eastAsia="Palatino Linotype" w:cs="Palatino Linotype"/>
        </w:rPr>
      </w:pPr>
      <w:r w:rsidRPr="00CC0DFE">
        <w:rPr>
          <w:rFonts w:eastAsia="Palatino Linotype" w:cs="Palatino Linotype"/>
          <w:noProof/>
          <w:lang w:eastAsia="es-MX"/>
        </w:rPr>
        <w:drawing>
          <wp:inline distT="0" distB="0" distL="0" distR="0" wp14:anchorId="03CC948E" wp14:editId="5A6BC295">
            <wp:extent cx="4392224" cy="1040263"/>
            <wp:effectExtent l="0" t="0" r="0" b="0"/>
            <wp:docPr id="1588521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392224" cy="1040263"/>
                    </a:xfrm>
                    <a:prstGeom prst="rect">
                      <a:avLst/>
                    </a:prstGeom>
                    <a:ln/>
                  </pic:spPr>
                </pic:pic>
              </a:graphicData>
            </a:graphic>
          </wp:inline>
        </w:drawing>
      </w:r>
    </w:p>
    <w:p w14:paraId="3E3544F3" w14:textId="77777777" w:rsidR="00012A99" w:rsidRPr="00CC0DFE" w:rsidRDefault="00012A99" w:rsidP="0016507E">
      <w:pPr>
        <w:jc w:val="center"/>
        <w:rPr>
          <w:rFonts w:eastAsia="Palatino Linotype" w:cs="Palatino Linotype"/>
        </w:rPr>
      </w:pPr>
      <w:r w:rsidRPr="00CC0DFE">
        <w:rPr>
          <w:rFonts w:eastAsia="Palatino Linotype" w:cs="Palatino Linotype"/>
          <w:noProof/>
          <w:lang w:eastAsia="es-MX"/>
        </w:rPr>
        <w:lastRenderedPageBreak/>
        <w:drawing>
          <wp:inline distT="0" distB="0" distL="0" distR="0" wp14:anchorId="7314B467" wp14:editId="7C59D14B">
            <wp:extent cx="4316294" cy="3738542"/>
            <wp:effectExtent l="0" t="0" r="0" b="0"/>
            <wp:docPr id="1588521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4316294" cy="3738542"/>
                    </a:xfrm>
                    <a:prstGeom prst="rect">
                      <a:avLst/>
                    </a:prstGeom>
                    <a:ln/>
                  </pic:spPr>
                </pic:pic>
              </a:graphicData>
            </a:graphic>
          </wp:inline>
        </w:drawing>
      </w:r>
    </w:p>
    <w:p w14:paraId="1CA2FD37" w14:textId="77777777" w:rsidR="00012A99" w:rsidRPr="00CC0DFE" w:rsidRDefault="00012A99" w:rsidP="0016507E">
      <w:pPr>
        <w:pBdr>
          <w:top w:val="nil"/>
          <w:left w:val="nil"/>
          <w:bottom w:val="nil"/>
          <w:right w:val="nil"/>
          <w:between w:val="nil"/>
        </w:pBdr>
        <w:ind w:right="49"/>
        <w:rPr>
          <w:rFonts w:eastAsia="Palatino Linotype" w:cs="Palatino Linotype"/>
        </w:rPr>
      </w:pPr>
    </w:p>
    <w:p w14:paraId="33D8DFC7" w14:textId="432A7AF3" w:rsidR="00012A99" w:rsidRPr="00CC0DFE" w:rsidRDefault="00012A99" w:rsidP="0016507E">
      <w:pPr>
        <w:pBdr>
          <w:top w:val="nil"/>
          <w:left w:val="nil"/>
          <w:bottom w:val="nil"/>
          <w:right w:val="nil"/>
          <w:between w:val="nil"/>
        </w:pBdr>
        <w:ind w:right="49"/>
        <w:rPr>
          <w:rFonts w:eastAsia="Palatino Linotype" w:cs="Palatino Linotype"/>
        </w:rPr>
      </w:pPr>
      <w:r w:rsidRPr="00CC0DFE">
        <w:rPr>
          <w:rFonts w:eastAsia="Palatino Linotype" w:cs="Palatino Linotype"/>
        </w:rPr>
        <w:t xml:space="preserve">De lo anterior se advierte primeramente que </w:t>
      </w:r>
      <w:r w:rsidR="00C05FF1" w:rsidRPr="00CC0DFE">
        <w:rPr>
          <w:rFonts w:eastAsia="Palatino Linotype" w:cs="Palatino Linotype"/>
          <w:b/>
        </w:rPr>
        <w:t>EL SUJETO OBLIGADO</w:t>
      </w:r>
      <w:r w:rsidR="00C05FF1" w:rsidRPr="00CC0DFE">
        <w:rPr>
          <w:rFonts w:eastAsia="Palatino Linotype" w:cs="Palatino Linotype"/>
        </w:rPr>
        <w:t xml:space="preserve"> </w:t>
      </w:r>
      <w:r w:rsidRPr="00CC0DFE">
        <w:rPr>
          <w:rFonts w:eastAsia="Palatino Linotype" w:cs="Palatino Linotype"/>
        </w:rPr>
        <w:t xml:space="preserve">cuenta con atribuciones para generar, poseer y/o administrar la información solicitada, toda vez que son documentos que </w:t>
      </w:r>
      <w:r w:rsidR="00C05FF1" w:rsidRPr="00CC0DFE">
        <w:rPr>
          <w:rFonts w:eastAsia="Palatino Linotype" w:cs="Palatino Linotype"/>
          <w:b/>
        </w:rPr>
        <w:t>EL SUJETO OBLIGADO</w:t>
      </w:r>
      <w:r w:rsidR="00C05FF1" w:rsidRPr="00CC0DFE">
        <w:rPr>
          <w:rFonts w:eastAsia="Palatino Linotype" w:cs="Palatino Linotype"/>
        </w:rPr>
        <w:t xml:space="preserve"> </w:t>
      </w:r>
      <w:r w:rsidRPr="00CC0DFE">
        <w:rPr>
          <w:rFonts w:eastAsia="Palatino Linotype" w:cs="Palatino Linotype"/>
        </w:rPr>
        <w:t xml:space="preserve">genera en el ejercicio de sus atribuciones, ya que las pólizas de egresos dan cuenta de las operaciones contables en las que se produzca una salida de efectivo o erogaciones, mismas que deben de acompañarse de sus documentos comprobatorios, es decir, las facturas. </w:t>
      </w:r>
    </w:p>
    <w:p w14:paraId="0604D76E" w14:textId="24F9C949" w:rsidR="00A12C53" w:rsidRPr="00CC0DFE" w:rsidRDefault="00A12C53" w:rsidP="0016507E">
      <w:pPr>
        <w:pStyle w:val="NormalWeb"/>
        <w:spacing w:line="360" w:lineRule="auto"/>
        <w:jc w:val="both"/>
        <w:rPr>
          <w:rFonts w:ascii="Palatino Linotype" w:hAnsi="Palatino Linotype"/>
        </w:rPr>
      </w:pPr>
      <w:r w:rsidRPr="00CC0DFE">
        <w:rPr>
          <w:rFonts w:ascii="Palatino Linotype" w:hAnsi="Palatino Linotype"/>
        </w:rPr>
        <w:t xml:space="preserve">Por cuanto hace a las </w:t>
      </w:r>
      <w:r w:rsidRPr="00CC0DFE">
        <w:rPr>
          <w:rStyle w:val="Textoennegrita"/>
          <w:rFonts w:ascii="Palatino Linotype" w:eastAsiaTheme="majorEastAsia" w:hAnsi="Palatino Linotype"/>
          <w:u w:val="single"/>
        </w:rPr>
        <w:t>peticiones, estudios socioeconómicos o al listado de las personas que fueron beneficiadas con la entrega de cobertores</w:t>
      </w:r>
      <w:r w:rsidRPr="00CC0DFE">
        <w:rPr>
          <w:rFonts w:ascii="Palatino Linotype" w:hAnsi="Palatino Linotype"/>
        </w:rPr>
        <w:t xml:space="preserve">, se advierte que el </w:t>
      </w:r>
      <w:r w:rsidRPr="00CC0DFE">
        <w:rPr>
          <w:rStyle w:val="Textoennegrita"/>
          <w:rFonts w:ascii="Palatino Linotype" w:eastAsiaTheme="majorEastAsia" w:hAnsi="Palatino Linotype"/>
        </w:rPr>
        <w:t>Sujeto Obligado</w:t>
      </w:r>
      <w:r w:rsidRPr="00CC0DFE">
        <w:rPr>
          <w:rFonts w:ascii="Palatino Linotype" w:hAnsi="Palatino Linotype"/>
        </w:rPr>
        <w:t xml:space="preserve"> no emitió pronunciamiento alguno ni entregó documentación relacionada con lo requerido.</w:t>
      </w:r>
    </w:p>
    <w:p w14:paraId="02C93C94" w14:textId="77777777" w:rsidR="00A12C53" w:rsidRPr="00CC0DFE" w:rsidRDefault="00A12C53" w:rsidP="0016507E">
      <w:pPr>
        <w:pStyle w:val="NormalWeb"/>
        <w:spacing w:line="360" w:lineRule="auto"/>
        <w:jc w:val="both"/>
        <w:rPr>
          <w:rFonts w:ascii="Palatino Linotype" w:hAnsi="Palatino Linotype"/>
        </w:rPr>
      </w:pPr>
      <w:r w:rsidRPr="00CC0DFE">
        <w:rPr>
          <w:rFonts w:ascii="Palatino Linotype" w:hAnsi="Palatino Linotype"/>
        </w:rPr>
        <w:lastRenderedPageBreak/>
        <w:t xml:space="preserve">Conviene precisar que la naturaleza de la información solicitada se encuentra vinculada con la </w:t>
      </w:r>
      <w:r w:rsidRPr="00CC0DFE">
        <w:rPr>
          <w:rStyle w:val="Textoennegrita"/>
          <w:rFonts w:ascii="Palatino Linotype" w:eastAsiaTheme="majorEastAsia" w:hAnsi="Palatino Linotype"/>
          <w:b w:val="0"/>
        </w:rPr>
        <w:t>obligación de transparencia común</w:t>
      </w:r>
      <w:r w:rsidRPr="00CC0DFE">
        <w:rPr>
          <w:rFonts w:ascii="Palatino Linotype" w:hAnsi="Palatino Linotype"/>
          <w:b/>
        </w:rPr>
        <w:t xml:space="preserve"> </w:t>
      </w:r>
      <w:r w:rsidRPr="00CC0DFE">
        <w:rPr>
          <w:rFonts w:ascii="Palatino Linotype" w:hAnsi="Palatino Linotype"/>
        </w:rPr>
        <w:t xml:space="preserve">prevista en el </w:t>
      </w:r>
      <w:r w:rsidRPr="00CC0DFE">
        <w:rPr>
          <w:rStyle w:val="Textoennegrita"/>
          <w:rFonts w:ascii="Palatino Linotype" w:eastAsiaTheme="majorEastAsia" w:hAnsi="Palatino Linotype"/>
          <w:b w:val="0"/>
        </w:rPr>
        <w:t>artículo 92, fracción XIV</w:t>
      </w:r>
      <w:r w:rsidRPr="00CC0DFE">
        <w:rPr>
          <w:rFonts w:ascii="Palatino Linotype" w:hAnsi="Palatino Linotype"/>
        </w:rPr>
        <w:t xml:space="preserve">, de la </w:t>
      </w:r>
      <w:r w:rsidRPr="00CC0DFE">
        <w:rPr>
          <w:rStyle w:val="Textoennegrita"/>
          <w:rFonts w:ascii="Palatino Linotype" w:eastAsiaTheme="majorEastAsia" w:hAnsi="Palatino Linotype"/>
          <w:b w:val="0"/>
        </w:rPr>
        <w:t>Ley de Transparencia y Acceso a la Información Pública del Estado de México y Municipios</w:t>
      </w:r>
      <w:r w:rsidRPr="00CC0DFE">
        <w:rPr>
          <w:rFonts w:ascii="Palatino Linotype" w:hAnsi="Palatino Linotype"/>
        </w:rPr>
        <w:t>, la cual dispone lo siguiente:</w:t>
      </w:r>
    </w:p>
    <w:p w14:paraId="445AEBC0" w14:textId="77777777" w:rsidR="00C36A3F" w:rsidRPr="00CC0DFE" w:rsidRDefault="00C36A3F" w:rsidP="0016507E">
      <w:pPr>
        <w:pBdr>
          <w:top w:val="nil"/>
          <w:left w:val="nil"/>
          <w:bottom w:val="nil"/>
          <w:right w:val="nil"/>
          <w:between w:val="nil"/>
        </w:pBdr>
        <w:tabs>
          <w:tab w:val="left" w:pos="426"/>
        </w:tabs>
        <w:spacing w:line="276" w:lineRule="auto"/>
        <w:ind w:left="567" w:right="567"/>
        <w:rPr>
          <w:rFonts w:eastAsia="Palatino Linotype" w:cs="Palatino Linotype"/>
          <w:i/>
        </w:rPr>
      </w:pPr>
      <w:r w:rsidRPr="00CC0DFE">
        <w:rPr>
          <w:rFonts w:eastAsia="Palatino Linotype" w:cs="Palatino Linotype"/>
          <w:i/>
        </w:rPr>
        <w:t>“</w:t>
      </w:r>
      <w:r w:rsidRPr="00CC0DFE">
        <w:rPr>
          <w:rFonts w:eastAsia="Palatino Linotype" w:cs="Palatino Linotype"/>
          <w:b/>
          <w:i/>
        </w:rPr>
        <w:t>Artículo 92.</w:t>
      </w:r>
      <w:r w:rsidRPr="00CC0DFE">
        <w:rPr>
          <w:rFonts w:eastAsia="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12FDFD" w14:textId="77777777" w:rsidR="00C36A3F" w:rsidRPr="00CC0DFE" w:rsidRDefault="00C36A3F" w:rsidP="0016507E">
      <w:pPr>
        <w:pBdr>
          <w:top w:val="nil"/>
          <w:left w:val="nil"/>
          <w:bottom w:val="nil"/>
          <w:right w:val="nil"/>
          <w:between w:val="nil"/>
        </w:pBdr>
        <w:tabs>
          <w:tab w:val="left" w:pos="426"/>
        </w:tabs>
        <w:spacing w:line="276" w:lineRule="auto"/>
        <w:ind w:left="567" w:right="567"/>
        <w:rPr>
          <w:rFonts w:eastAsia="Palatino Linotype" w:cs="Palatino Linotype"/>
          <w:i/>
        </w:rPr>
      </w:pPr>
      <w:r w:rsidRPr="00CC0DFE">
        <w:rPr>
          <w:rFonts w:eastAsia="Palatino Linotype" w:cs="Palatino Linotype"/>
          <w:i/>
        </w:rPr>
        <w:t>(…)</w:t>
      </w:r>
    </w:p>
    <w:p w14:paraId="46A6B990" w14:textId="77777777" w:rsidR="00C36A3F" w:rsidRPr="00CC0DFE" w:rsidRDefault="00C36A3F" w:rsidP="0016507E">
      <w:pPr>
        <w:pBdr>
          <w:top w:val="nil"/>
          <w:left w:val="nil"/>
          <w:bottom w:val="nil"/>
          <w:right w:val="nil"/>
          <w:between w:val="nil"/>
        </w:pBdr>
        <w:tabs>
          <w:tab w:val="left" w:pos="426"/>
        </w:tabs>
        <w:spacing w:line="276" w:lineRule="auto"/>
        <w:ind w:left="567" w:right="567"/>
        <w:rPr>
          <w:rFonts w:eastAsia="Palatino Linotype" w:cs="Palatino Linotype"/>
          <w:i/>
        </w:rPr>
      </w:pPr>
      <w:r w:rsidRPr="00CC0DFE">
        <w:rPr>
          <w:rFonts w:eastAsia="Palatino Linotype" w:cs="Palatino Linotype"/>
          <w:b/>
          <w:i/>
        </w:rPr>
        <w:t>XIV.</w:t>
      </w:r>
      <w:r w:rsidRPr="00CC0DFE">
        <w:rPr>
          <w:rFonts w:eastAsia="Palatino Linotype" w:cs="Palatino Linotype"/>
          <w:i/>
        </w:rPr>
        <w:t xml:space="preserve"> La información de los </w:t>
      </w:r>
      <w:r w:rsidRPr="00CC0DFE">
        <w:rPr>
          <w:rFonts w:eastAsia="Palatino Linotype" w:cs="Palatino Linotype"/>
          <w:b/>
          <w:i/>
        </w:rPr>
        <w:t>programas de subsidios, estímulos y apoyos</w:t>
      </w:r>
      <w:r w:rsidRPr="00CC0DFE">
        <w:rPr>
          <w:rFonts w:eastAsia="Palatino Linotype" w:cs="Palatino Linotype"/>
          <w:i/>
        </w:rPr>
        <w:t xml:space="preserve">, en el que se deberá informar respecto de los programas de transferencia, de servicios, de infraestructura social y de subsidio, en los que se deberá contener lo siguiente: </w:t>
      </w:r>
    </w:p>
    <w:p w14:paraId="05299D76" w14:textId="77777777" w:rsidR="00C36A3F" w:rsidRPr="00CC0DFE" w:rsidRDefault="00C36A3F" w:rsidP="0016507E">
      <w:pPr>
        <w:pBdr>
          <w:top w:val="nil"/>
          <w:left w:val="nil"/>
          <w:bottom w:val="nil"/>
          <w:right w:val="nil"/>
          <w:between w:val="nil"/>
        </w:pBdr>
        <w:tabs>
          <w:tab w:val="left" w:pos="426"/>
        </w:tabs>
        <w:spacing w:line="276" w:lineRule="auto"/>
        <w:ind w:left="851" w:right="567"/>
        <w:rPr>
          <w:rFonts w:eastAsia="Palatino Linotype" w:cs="Palatino Linotype"/>
          <w:i/>
        </w:rPr>
      </w:pPr>
      <w:r w:rsidRPr="00CC0DFE">
        <w:rPr>
          <w:rFonts w:eastAsia="Palatino Linotype" w:cs="Palatino Linotype"/>
          <w:i/>
        </w:rPr>
        <w:t>(…)</w:t>
      </w:r>
    </w:p>
    <w:p w14:paraId="288A6AAC" w14:textId="77777777" w:rsidR="00C36A3F" w:rsidRPr="00CC0DFE" w:rsidRDefault="00C36A3F" w:rsidP="0016507E">
      <w:pPr>
        <w:pBdr>
          <w:top w:val="nil"/>
          <w:left w:val="nil"/>
          <w:bottom w:val="nil"/>
          <w:right w:val="nil"/>
          <w:between w:val="nil"/>
        </w:pBdr>
        <w:tabs>
          <w:tab w:val="left" w:pos="426"/>
        </w:tabs>
        <w:spacing w:line="276" w:lineRule="auto"/>
        <w:ind w:left="851" w:right="567"/>
        <w:rPr>
          <w:rFonts w:eastAsia="Palatino Linotype" w:cs="Palatino Linotype"/>
          <w:b/>
          <w:i/>
        </w:rPr>
      </w:pPr>
      <w:r w:rsidRPr="00CC0DFE">
        <w:rPr>
          <w:rFonts w:eastAsia="Palatino Linotype" w:cs="Palatino Linotype"/>
          <w:b/>
          <w:i/>
        </w:rPr>
        <w:t>d) Diseño, objetivos y alcances;</w:t>
      </w:r>
    </w:p>
    <w:p w14:paraId="612B01CE" w14:textId="77777777" w:rsidR="00C36A3F" w:rsidRPr="00CC0DFE" w:rsidRDefault="00C36A3F" w:rsidP="0016507E">
      <w:pPr>
        <w:pBdr>
          <w:top w:val="nil"/>
          <w:left w:val="nil"/>
          <w:bottom w:val="nil"/>
          <w:right w:val="nil"/>
          <w:between w:val="nil"/>
        </w:pBdr>
        <w:tabs>
          <w:tab w:val="left" w:pos="426"/>
        </w:tabs>
        <w:spacing w:line="276" w:lineRule="auto"/>
        <w:ind w:left="851" w:right="567"/>
        <w:rPr>
          <w:rFonts w:eastAsia="Palatino Linotype" w:cs="Palatino Linotype"/>
          <w:i/>
        </w:rPr>
      </w:pPr>
      <w:r w:rsidRPr="00CC0DFE">
        <w:rPr>
          <w:rFonts w:eastAsia="Palatino Linotype" w:cs="Palatino Linotype"/>
          <w:i/>
        </w:rPr>
        <w:t>(…)</w:t>
      </w:r>
    </w:p>
    <w:p w14:paraId="49F113F4" w14:textId="77777777" w:rsidR="00C36A3F" w:rsidRPr="00CC0DFE" w:rsidRDefault="00C36A3F" w:rsidP="0016507E">
      <w:pPr>
        <w:pBdr>
          <w:top w:val="nil"/>
          <w:left w:val="nil"/>
          <w:bottom w:val="nil"/>
          <w:right w:val="nil"/>
          <w:between w:val="nil"/>
        </w:pBdr>
        <w:tabs>
          <w:tab w:val="left" w:pos="426"/>
        </w:tabs>
        <w:spacing w:line="276" w:lineRule="auto"/>
        <w:ind w:left="851" w:right="567"/>
        <w:rPr>
          <w:rFonts w:eastAsia="Palatino Linotype" w:cs="Palatino Linotype"/>
          <w:b/>
          <w:i/>
        </w:rPr>
      </w:pPr>
      <w:r w:rsidRPr="00CC0DFE">
        <w:rPr>
          <w:rFonts w:eastAsia="Palatino Linotype" w:cs="Palatino Linotype"/>
          <w:b/>
          <w:i/>
        </w:rPr>
        <w:t xml:space="preserve">l) Indicadores con nombre, definición, método de cálculo, unidad de medida; dimensión, frecuencia de medición, nombre de las bases de datos utilizadas para su cálculo; </w:t>
      </w:r>
    </w:p>
    <w:p w14:paraId="4097427F" w14:textId="77777777" w:rsidR="00C36A3F" w:rsidRPr="00CC0DFE" w:rsidRDefault="00C36A3F" w:rsidP="0016507E">
      <w:pPr>
        <w:pBdr>
          <w:top w:val="nil"/>
          <w:left w:val="nil"/>
          <w:bottom w:val="nil"/>
          <w:right w:val="nil"/>
          <w:between w:val="nil"/>
        </w:pBdr>
        <w:tabs>
          <w:tab w:val="left" w:pos="426"/>
        </w:tabs>
        <w:spacing w:line="276" w:lineRule="auto"/>
        <w:ind w:left="851" w:right="567"/>
        <w:rPr>
          <w:rFonts w:eastAsia="Palatino Linotype" w:cs="Palatino Linotype"/>
          <w:i/>
        </w:rPr>
      </w:pPr>
      <w:r w:rsidRPr="00CC0DFE">
        <w:rPr>
          <w:rFonts w:eastAsia="Palatino Linotype" w:cs="Palatino Linotype"/>
          <w:i/>
        </w:rPr>
        <w:t>(…)”</w:t>
      </w:r>
    </w:p>
    <w:p w14:paraId="05DEC739" w14:textId="77777777" w:rsidR="00C36A3F" w:rsidRPr="00CC0DFE" w:rsidRDefault="00C36A3F" w:rsidP="0016507E">
      <w:pPr>
        <w:pBdr>
          <w:top w:val="nil"/>
          <w:left w:val="nil"/>
          <w:bottom w:val="nil"/>
          <w:right w:val="nil"/>
          <w:between w:val="nil"/>
        </w:pBdr>
        <w:tabs>
          <w:tab w:val="left" w:pos="426"/>
        </w:tabs>
        <w:spacing w:line="276" w:lineRule="auto"/>
        <w:ind w:left="567" w:right="567"/>
        <w:rPr>
          <w:rFonts w:eastAsia="Palatino Linotype" w:cs="Palatino Linotype"/>
        </w:rPr>
      </w:pPr>
      <w:r w:rsidRPr="00CC0DFE">
        <w:rPr>
          <w:rFonts w:eastAsia="Palatino Linotype" w:cs="Palatino Linotype"/>
        </w:rPr>
        <w:t>(Énfasis añadido)</w:t>
      </w:r>
    </w:p>
    <w:p w14:paraId="2A82290B" w14:textId="77777777" w:rsidR="00A12C53" w:rsidRPr="00CC0DFE" w:rsidRDefault="00A12C53" w:rsidP="0016507E">
      <w:pPr>
        <w:pStyle w:val="NormalWeb"/>
        <w:spacing w:line="360" w:lineRule="auto"/>
        <w:jc w:val="both"/>
        <w:rPr>
          <w:rFonts w:ascii="Palatino Linotype" w:hAnsi="Palatino Linotype"/>
        </w:rPr>
      </w:pPr>
      <w:r w:rsidRPr="00CC0DFE">
        <w:rPr>
          <w:rFonts w:ascii="Palatino Linotype" w:hAnsi="Palatino Linotype"/>
        </w:rPr>
        <w:t xml:space="preserve">De la disposición transcrita se desprende que </w:t>
      </w:r>
      <w:r w:rsidRPr="00CC0DFE">
        <w:rPr>
          <w:rStyle w:val="Textoennegrita"/>
          <w:rFonts w:ascii="Palatino Linotype" w:eastAsiaTheme="majorEastAsia" w:hAnsi="Palatino Linotype"/>
          <w:b w:val="0"/>
        </w:rPr>
        <w:t>todos los programas de subsidios, estímulos y apoyos deben ser publicados y difundidos</w:t>
      </w:r>
      <w:r w:rsidRPr="00CC0DFE">
        <w:rPr>
          <w:rFonts w:ascii="Palatino Linotype" w:hAnsi="Palatino Linotype"/>
        </w:rPr>
        <w:t xml:space="preserve"> de manera accesible a la ciudadanía, pues constituyen </w:t>
      </w:r>
      <w:r w:rsidRPr="00CC0DFE">
        <w:rPr>
          <w:rStyle w:val="Textoennegrita"/>
          <w:rFonts w:ascii="Palatino Linotype" w:eastAsiaTheme="majorEastAsia" w:hAnsi="Palatino Linotype"/>
          <w:b w:val="0"/>
        </w:rPr>
        <w:t>políticas públicas de carácter social</w:t>
      </w:r>
      <w:r w:rsidRPr="00CC0DFE">
        <w:rPr>
          <w:rFonts w:ascii="Palatino Linotype" w:hAnsi="Palatino Linotype"/>
        </w:rPr>
        <w:t xml:space="preserve"> encaminadas a reducir la brecha de desigualdad mediante la entrega de recursos públicos —en efectivo o en especie— a sectores poblacionales en situación de vulnerabilidad.</w:t>
      </w:r>
    </w:p>
    <w:p w14:paraId="5E6D515A" w14:textId="77777777" w:rsidR="00A12C53" w:rsidRPr="00CC0DFE" w:rsidRDefault="00A12C53" w:rsidP="0016507E">
      <w:pPr>
        <w:pStyle w:val="NormalWeb"/>
        <w:spacing w:line="360" w:lineRule="auto"/>
        <w:jc w:val="both"/>
        <w:rPr>
          <w:rFonts w:ascii="Palatino Linotype" w:hAnsi="Palatino Linotype"/>
        </w:rPr>
      </w:pPr>
      <w:r w:rsidRPr="00CC0DFE">
        <w:rPr>
          <w:rFonts w:ascii="Palatino Linotype" w:hAnsi="Palatino Linotype"/>
        </w:rPr>
        <w:lastRenderedPageBreak/>
        <w:t xml:space="preserve">La implementación de estos programas conlleva el </w:t>
      </w:r>
      <w:r w:rsidRPr="00CC0DFE">
        <w:rPr>
          <w:rStyle w:val="Textoennegrita"/>
          <w:rFonts w:ascii="Palatino Linotype" w:eastAsiaTheme="majorEastAsia" w:hAnsi="Palatino Linotype"/>
          <w:b w:val="0"/>
        </w:rPr>
        <w:t>uso y erogación de recursos públicos</w:t>
      </w:r>
      <w:r w:rsidRPr="00CC0DFE">
        <w:rPr>
          <w:rFonts w:ascii="Palatino Linotype" w:hAnsi="Palatino Linotype"/>
        </w:rPr>
        <w:t xml:space="preserve">, motivo por el cual la </w:t>
      </w:r>
      <w:r w:rsidRPr="00CC0DFE">
        <w:rPr>
          <w:rStyle w:val="Textoennegrita"/>
          <w:rFonts w:ascii="Palatino Linotype" w:eastAsiaTheme="majorEastAsia" w:hAnsi="Palatino Linotype"/>
          <w:b w:val="0"/>
        </w:rPr>
        <w:t>difusión de la información relacionada</w:t>
      </w:r>
      <w:r w:rsidRPr="00CC0DFE">
        <w:rPr>
          <w:rFonts w:ascii="Palatino Linotype" w:hAnsi="Palatino Linotype"/>
        </w:rPr>
        <w:t xml:space="preserve"> —como las peticiones, estudios socioeconómicos y listados de beneficiarios— </w:t>
      </w:r>
      <w:r w:rsidRPr="00CC0DFE">
        <w:rPr>
          <w:rStyle w:val="Textoennegrita"/>
          <w:rFonts w:ascii="Palatino Linotype" w:eastAsiaTheme="majorEastAsia" w:hAnsi="Palatino Linotype"/>
          <w:b w:val="0"/>
        </w:rPr>
        <w:t>fortalece la transparencia y la rendición de cuentas</w:t>
      </w:r>
      <w:r w:rsidRPr="00CC0DFE">
        <w:rPr>
          <w:rFonts w:ascii="Palatino Linotype" w:hAnsi="Palatino Linotype"/>
          <w:b/>
        </w:rPr>
        <w:t>,</w:t>
      </w:r>
      <w:r w:rsidRPr="00CC0DFE">
        <w:rPr>
          <w:rFonts w:ascii="Palatino Linotype" w:hAnsi="Palatino Linotype"/>
        </w:rPr>
        <w:t xml:space="preserve"> permitiendo verificar el destino, aplicación y resultados de las acciones gubernamentales.</w:t>
      </w:r>
    </w:p>
    <w:p w14:paraId="22D6D90A" w14:textId="77777777" w:rsidR="00A12C53" w:rsidRPr="00CC0DFE" w:rsidRDefault="00A12C53" w:rsidP="0016507E">
      <w:pPr>
        <w:pStyle w:val="NormalWeb"/>
        <w:spacing w:line="360" w:lineRule="auto"/>
        <w:jc w:val="both"/>
        <w:rPr>
          <w:rFonts w:ascii="Palatino Linotype" w:hAnsi="Palatino Linotype"/>
        </w:rPr>
      </w:pPr>
      <w:r w:rsidRPr="00CC0DFE">
        <w:rPr>
          <w:rFonts w:ascii="Palatino Linotype" w:hAnsi="Palatino Linotype"/>
        </w:rPr>
        <w:t xml:space="preserve">No obstante, es importante aclarar que la Ley de Transparencia </w:t>
      </w:r>
      <w:r w:rsidRPr="00CC0DFE">
        <w:rPr>
          <w:rStyle w:val="Textoennegrita"/>
          <w:rFonts w:ascii="Palatino Linotype" w:eastAsiaTheme="majorEastAsia" w:hAnsi="Palatino Linotype"/>
          <w:b w:val="0"/>
        </w:rPr>
        <w:t>no impone la obligación de publicar el formato individual del estudio socioeconómico</w:t>
      </w:r>
      <w:r w:rsidRPr="00CC0DFE">
        <w:rPr>
          <w:rFonts w:ascii="Palatino Linotype" w:hAnsi="Palatino Linotype"/>
        </w:rPr>
        <w:t xml:space="preserve">; sin embargo, </w:t>
      </w:r>
      <w:r w:rsidRPr="00CC0DFE">
        <w:rPr>
          <w:rStyle w:val="Textoennegrita"/>
          <w:rFonts w:ascii="Palatino Linotype" w:eastAsiaTheme="majorEastAsia" w:hAnsi="Palatino Linotype"/>
          <w:b w:val="0"/>
        </w:rPr>
        <w:t>sí exige que los Sujetos Obligados conserven y, en su caso, proporcionen los documentos</w:t>
      </w:r>
      <w:r w:rsidRPr="00CC0DFE">
        <w:rPr>
          <w:rFonts w:ascii="Palatino Linotype" w:hAnsi="Palatino Linotype"/>
        </w:rPr>
        <w:t xml:space="preserve"> que expongan el </w:t>
      </w:r>
      <w:r w:rsidRPr="00CC0DFE">
        <w:rPr>
          <w:rStyle w:val="Textoennegrita"/>
          <w:rFonts w:ascii="Palatino Linotype" w:eastAsiaTheme="majorEastAsia" w:hAnsi="Palatino Linotype"/>
          <w:b w:val="0"/>
        </w:rPr>
        <w:t>diseño, objetivos, criterios e indicadores</w:t>
      </w:r>
      <w:r w:rsidRPr="00CC0DFE">
        <w:rPr>
          <w:rFonts w:ascii="Palatino Linotype" w:hAnsi="Palatino Linotype"/>
        </w:rPr>
        <w:t xml:space="preserve"> utilizados para definir la elegibilidad de los beneficiarios del programa social correspondiente, en este caso, el relativo a la </w:t>
      </w:r>
      <w:r w:rsidRPr="00CC0DFE">
        <w:rPr>
          <w:rStyle w:val="Textoennegrita"/>
          <w:rFonts w:ascii="Palatino Linotype" w:eastAsiaTheme="majorEastAsia" w:hAnsi="Palatino Linotype"/>
          <w:b w:val="0"/>
        </w:rPr>
        <w:t>entrega de cobertores</w:t>
      </w:r>
      <w:r w:rsidRPr="00CC0DFE">
        <w:rPr>
          <w:rFonts w:ascii="Palatino Linotype" w:hAnsi="Palatino Linotype"/>
        </w:rPr>
        <w:t>.</w:t>
      </w:r>
    </w:p>
    <w:p w14:paraId="27512B54" w14:textId="77777777" w:rsidR="00A12C53" w:rsidRPr="00CC0DFE" w:rsidRDefault="00A12C53" w:rsidP="0016507E">
      <w:pPr>
        <w:pStyle w:val="NormalWeb"/>
        <w:spacing w:line="360" w:lineRule="auto"/>
        <w:jc w:val="both"/>
        <w:rPr>
          <w:rFonts w:ascii="Palatino Linotype" w:hAnsi="Palatino Linotype"/>
        </w:rPr>
      </w:pPr>
      <w:r w:rsidRPr="00CC0DFE">
        <w:rPr>
          <w:rFonts w:ascii="Palatino Linotype" w:hAnsi="Palatino Linotype"/>
        </w:rPr>
        <w:t xml:space="preserve">Asimismo, el procedimiento de atención a solicitudes de información se rige por el </w:t>
      </w:r>
      <w:r w:rsidRPr="00CC0DFE">
        <w:rPr>
          <w:rStyle w:val="Textoennegrita"/>
          <w:rFonts w:ascii="Palatino Linotype" w:eastAsiaTheme="majorEastAsia" w:hAnsi="Palatino Linotype"/>
          <w:b w:val="0"/>
        </w:rPr>
        <w:t>principio de auxilio a los particulares</w:t>
      </w:r>
      <w:r w:rsidRPr="00CC0DFE">
        <w:rPr>
          <w:rFonts w:ascii="Palatino Linotype" w:hAnsi="Palatino Linotype"/>
        </w:rPr>
        <w:t xml:space="preserve">, conforme al cual las </w:t>
      </w:r>
      <w:r w:rsidRPr="00CC0DFE">
        <w:rPr>
          <w:rStyle w:val="Textoennegrita"/>
          <w:rFonts w:ascii="Palatino Linotype" w:eastAsiaTheme="majorEastAsia" w:hAnsi="Palatino Linotype"/>
          <w:b w:val="0"/>
        </w:rPr>
        <w:t>Unidades de Transparencia</w:t>
      </w:r>
      <w:r w:rsidRPr="00CC0DFE">
        <w:rPr>
          <w:rFonts w:ascii="Palatino Linotype" w:hAnsi="Palatino Linotype"/>
          <w:b/>
        </w:rPr>
        <w:t xml:space="preserve"> </w:t>
      </w:r>
      <w:r w:rsidRPr="00CC0DFE">
        <w:rPr>
          <w:rFonts w:ascii="Palatino Linotype" w:hAnsi="Palatino Linotype"/>
        </w:rPr>
        <w:t>deben</w:t>
      </w:r>
      <w:r w:rsidRPr="00CC0DFE">
        <w:rPr>
          <w:rFonts w:ascii="Palatino Linotype" w:hAnsi="Palatino Linotype"/>
          <w:b/>
        </w:rPr>
        <w:t xml:space="preserve"> </w:t>
      </w:r>
      <w:r w:rsidRPr="00CC0DFE">
        <w:rPr>
          <w:rStyle w:val="Textoennegrita"/>
          <w:rFonts w:ascii="Palatino Linotype" w:eastAsiaTheme="majorEastAsia" w:hAnsi="Palatino Linotype"/>
          <w:b w:val="0"/>
        </w:rPr>
        <w:t>interpretar las solicitudes</w:t>
      </w:r>
      <w:r w:rsidRPr="00CC0DFE">
        <w:rPr>
          <w:rFonts w:ascii="Palatino Linotype" w:hAnsi="Palatino Linotype"/>
        </w:rPr>
        <w:t xml:space="preserve"> con la finalidad de proporcionar la información que razonablemente se relacione con el requerimiento del solicitante, aun cuando este </w:t>
      </w:r>
      <w:r w:rsidRPr="00CC0DFE">
        <w:rPr>
          <w:rStyle w:val="Textoennegrita"/>
          <w:rFonts w:ascii="Palatino Linotype" w:eastAsiaTheme="majorEastAsia" w:hAnsi="Palatino Linotype"/>
          <w:b w:val="0"/>
        </w:rPr>
        <w:t>no identifique con precisión el documento o formato</w:t>
      </w:r>
      <w:r w:rsidRPr="00CC0DFE">
        <w:rPr>
          <w:rFonts w:ascii="Palatino Linotype" w:hAnsi="Palatino Linotype"/>
          <w:b/>
        </w:rPr>
        <w:t xml:space="preserve"> </w:t>
      </w:r>
      <w:r w:rsidRPr="00CC0DFE">
        <w:rPr>
          <w:rFonts w:ascii="Palatino Linotype" w:hAnsi="Palatino Linotype"/>
        </w:rPr>
        <w:t>en el que obre dicha información.</w:t>
      </w:r>
    </w:p>
    <w:p w14:paraId="6FF7EF0F" w14:textId="19F4439B" w:rsidR="00A12C53" w:rsidRPr="00CC0DFE" w:rsidRDefault="00A12C53" w:rsidP="0016507E">
      <w:pPr>
        <w:pStyle w:val="NormalWeb"/>
        <w:spacing w:line="360" w:lineRule="auto"/>
        <w:jc w:val="both"/>
        <w:rPr>
          <w:rFonts w:ascii="Palatino Linotype" w:hAnsi="Palatino Linotype"/>
        </w:rPr>
      </w:pPr>
      <w:r w:rsidRPr="00CC0DFE">
        <w:rPr>
          <w:rFonts w:ascii="Palatino Linotype" w:hAnsi="Palatino Linotype"/>
        </w:rPr>
        <w:t xml:space="preserve">Lo anterior encuentra sustento en el </w:t>
      </w:r>
      <w:r w:rsidRPr="00CC0DFE">
        <w:rPr>
          <w:rStyle w:val="Textoennegrita"/>
          <w:rFonts w:ascii="Palatino Linotype" w:eastAsiaTheme="majorEastAsia" w:hAnsi="Palatino Linotype"/>
        </w:rPr>
        <w:t>Criterio de Interpretación 016/2017</w:t>
      </w:r>
      <w:r w:rsidRPr="00CC0DFE">
        <w:rPr>
          <w:rFonts w:ascii="Palatino Linotype" w:hAnsi="Palatino Linotype"/>
        </w:rPr>
        <w:t xml:space="preserve"> emitido por el </w:t>
      </w:r>
      <w:r w:rsidRPr="00CC0DFE">
        <w:rPr>
          <w:rStyle w:val="Textoennegrita"/>
          <w:rFonts w:ascii="Palatino Linotype" w:eastAsiaTheme="majorEastAsia" w:hAnsi="Palatino Linotype"/>
        </w:rPr>
        <w:t>INAI</w:t>
      </w:r>
      <w:r w:rsidRPr="00CC0DFE">
        <w:rPr>
          <w:rFonts w:ascii="Palatino Linotype" w:hAnsi="Palatino Linotype"/>
        </w:rPr>
        <w:t>, que señala:</w:t>
      </w:r>
    </w:p>
    <w:p w14:paraId="403A6D87" w14:textId="77777777" w:rsidR="00C36A3F" w:rsidRPr="00CC0DFE" w:rsidRDefault="00C36A3F" w:rsidP="0016507E">
      <w:pPr>
        <w:pBdr>
          <w:top w:val="nil"/>
          <w:left w:val="nil"/>
          <w:bottom w:val="nil"/>
          <w:right w:val="nil"/>
          <w:between w:val="nil"/>
        </w:pBdr>
        <w:tabs>
          <w:tab w:val="left" w:pos="426"/>
        </w:tabs>
        <w:spacing w:line="276" w:lineRule="auto"/>
        <w:ind w:left="567" w:right="567"/>
        <w:rPr>
          <w:rFonts w:eastAsia="Palatino Linotype" w:cs="Palatino Linotype"/>
          <w:i/>
        </w:rPr>
      </w:pPr>
      <w:r w:rsidRPr="00CC0DFE">
        <w:rPr>
          <w:rFonts w:eastAsia="Palatino Linotype" w:cs="Palatino Linotype"/>
          <w:b/>
          <w:bCs/>
          <w:i/>
        </w:rPr>
        <w:t xml:space="preserve">EXPRESIÓN DOCUMENTAL. </w:t>
      </w:r>
      <w:r w:rsidRPr="00CC0DFE">
        <w:rPr>
          <w:rFonts w:eastAsia="Palatino Linotype" w:cs="Palatino Linotype"/>
          <w:bCs/>
          <w:i/>
        </w:rPr>
        <w:t>“Cuando</w:t>
      </w:r>
      <w:r w:rsidRPr="00CC0DFE">
        <w:rPr>
          <w:rFonts w:eastAsia="Palatino Linotype" w:cs="Palatino Linotype"/>
          <w:i/>
          <w:lang w:val="es-ES"/>
        </w:rPr>
        <w:t xml:space="preserve"> los particulares presenten solicitudes de acceso a la información sin identificar de forma precisa la documentación que pudiera contener la información de su interés, </w:t>
      </w:r>
      <w:r w:rsidRPr="00CC0DFE">
        <w:rPr>
          <w:rFonts w:eastAsia="Palatino Linotype" w:cs="Palatino Linotype"/>
          <w:i/>
        </w:rPr>
        <w:t>o bien, la solicitud constituya una consulta,</w:t>
      </w:r>
      <w:r w:rsidRPr="00CC0DFE">
        <w:rPr>
          <w:rFonts w:eastAsia="Palatino Linotype" w:cs="Palatino Linotype"/>
          <w:i/>
          <w:lang w:val="es-ES"/>
        </w:rPr>
        <w:t xml:space="preserve"> pero la </w:t>
      </w:r>
      <w:r w:rsidRPr="00CC0DFE">
        <w:rPr>
          <w:rFonts w:eastAsia="Palatino Linotype" w:cs="Palatino Linotype"/>
          <w:i/>
          <w:lang w:val="es-ES"/>
        </w:rPr>
        <w:lastRenderedPageBreak/>
        <w:t>respuesta pudiera obrar en algún documento en poder de los sujetos obligados, éstos deben dar a dichas solicitudes una interpretación que les otorgue una expresión documental.”</w:t>
      </w:r>
    </w:p>
    <w:p w14:paraId="76478385" w14:textId="77777777" w:rsidR="00A12C53" w:rsidRPr="00CC0DFE" w:rsidRDefault="00A12C53" w:rsidP="0016507E">
      <w:pPr>
        <w:pStyle w:val="NormalWeb"/>
        <w:spacing w:line="360" w:lineRule="auto"/>
        <w:jc w:val="both"/>
        <w:rPr>
          <w:rFonts w:ascii="Palatino Linotype" w:hAnsi="Palatino Linotype"/>
        </w:rPr>
      </w:pPr>
      <w:r w:rsidRPr="00CC0DFE">
        <w:rPr>
          <w:rFonts w:ascii="Palatino Linotype" w:hAnsi="Palatino Linotype"/>
        </w:rPr>
        <w:t xml:space="preserve">En ese sentido, si bien la persona solicitante pidió expresamente </w:t>
      </w:r>
      <w:r w:rsidRPr="00CC0DFE">
        <w:rPr>
          <w:rStyle w:val="Textoennegrita"/>
          <w:rFonts w:ascii="Palatino Linotype" w:eastAsiaTheme="majorEastAsia" w:hAnsi="Palatino Linotype"/>
          <w:b w:val="0"/>
        </w:rPr>
        <w:t>el estudio socioeconómico o el listado de los beneficiarios</w:t>
      </w:r>
      <w:r w:rsidRPr="00CC0DFE">
        <w:rPr>
          <w:rFonts w:ascii="Palatino Linotype" w:hAnsi="Palatino Linotype"/>
        </w:rPr>
        <w:t xml:space="preserve">, es claro que no está obligada a conocer los formatos administrativos internos del Sujeto Obligado; por tanto, debe entenderse que su interés radica en </w:t>
      </w:r>
      <w:r w:rsidRPr="00CC0DFE">
        <w:rPr>
          <w:rStyle w:val="Textoennegrita"/>
          <w:rFonts w:ascii="Palatino Linotype" w:eastAsiaTheme="majorEastAsia" w:hAnsi="Palatino Linotype"/>
          <w:b w:val="0"/>
        </w:rPr>
        <w:t>obtener los documentos que respalden la entrega de cobertores</w:t>
      </w:r>
      <w:r w:rsidRPr="00CC0DFE">
        <w:rPr>
          <w:rFonts w:ascii="Palatino Linotype" w:hAnsi="Palatino Linotype"/>
          <w:b/>
        </w:rPr>
        <w:t xml:space="preserve">, </w:t>
      </w:r>
      <w:r w:rsidRPr="00CC0DFE">
        <w:rPr>
          <w:rFonts w:ascii="Palatino Linotype" w:hAnsi="Palatino Linotype"/>
        </w:rPr>
        <w:t>así como los criterios socioeconómicos que justificaron su asignación.</w:t>
      </w:r>
    </w:p>
    <w:p w14:paraId="667B1D66" w14:textId="24E661B1" w:rsidR="009216CA" w:rsidRPr="00CC0DFE" w:rsidRDefault="009216CA" w:rsidP="0016507E">
      <w:pPr>
        <w:tabs>
          <w:tab w:val="left" w:pos="4962"/>
        </w:tabs>
        <w:contextualSpacing/>
      </w:pPr>
      <w:r w:rsidRPr="00CC0DFE">
        <w:t xml:space="preserve">Ahora </w:t>
      </w:r>
      <w:r w:rsidR="00BE3143" w:rsidRPr="00CC0DFE">
        <w:t>bien,</w:t>
      </w:r>
      <w:r w:rsidRPr="00CC0DFE">
        <w:t xml:space="preserve"> relativo al n</w:t>
      </w:r>
      <w:r w:rsidRPr="00CC0DFE">
        <w:rPr>
          <w:rFonts w:cs="Tahoma"/>
          <w:b/>
          <w:bCs/>
          <w:iCs/>
          <w:szCs w:val="22"/>
        </w:rPr>
        <w:t xml:space="preserve">ombre de una persona beneficiada por un programa social, </w:t>
      </w:r>
      <w:r w:rsidRPr="00CC0DFE">
        <w:t>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identifcable.</w:t>
      </w:r>
    </w:p>
    <w:p w14:paraId="07CF10C0" w14:textId="77777777" w:rsidR="009216CA" w:rsidRPr="00CC0DFE" w:rsidRDefault="009216CA" w:rsidP="0016507E">
      <w:pPr>
        <w:tabs>
          <w:tab w:val="left" w:pos="4962"/>
        </w:tabs>
        <w:contextualSpacing/>
      </w:pPr>
    </w:p>
    <w:p w14:paraId="3084071B" w14:textId="0D6C1E32" w:rsidR="009216CA" w:rsidRPr="00CC0DFE" w:rsidRDefault="009216CA" w:rsidP="0016507E">
      <w:pPr>
        <w:tabs>
          <w:tab w:val="left" w:pos="4962"/>
        </w:tabs>
        <w:contextualSpacing/>
      </w:pPr>
      <w:r w:rsidRPr="00CC0DFE">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aquellas personas que son beneficiadas por un programa social, ya que la difusión de dicho dato constituye una obligación de transparencia por parte de los SUJETOS OBLIGADOS. </w:t>
      </w:r>
    </w:p>
    <w:p w14:paraId="54116016" w14:textId="77777777" w:rsidR="009216CA" w:rsidRPr="00CC0DFE" w:rsidRDefault="009216CA" w:rsidP="0016507E">
      <w:r w:rsidRPr="00CC0DFE">
        <w:br/>
        <w:t xml:space="preserve">Toma sustento con el artículo 92, fracción XIV, inciso p), de la Ley de la materia, previamente referido, el cual establece que los sujetos obligados tienen la obligación de poner a disposición </w:t>
      </w:r>
      <w:r w:rsidRPr="00CC0DFE">
        <w:lastRenderedPageBreak/>
        <w:t>del público y mantener actualizada de acuerdo con sus facultades, atribuciones y funciones, el padrón de beneficiarios de programas de subsidios, estímulos y apoyos, el cual deberá contener entre otros datos el nombre de la persona beneficiada.</w:t>
      </w:r>
      <w:r w:rsidRPr="00CC0DFE">
        <w:br/>
      </w:r>
      <w:r w:rsidRPr="00CC0DFE">
        <w:b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establecen que el nombre referido tiene la característica de público, como se observa a continuación:  </w:t>
      </w:r>
      <w:r w:rsidRPr="00CC0DFE">
        <w:br/>
      </w:r>
      <w:r w:rsidRPr="00CC0DFE">
        <w:br/>
      </w:r>
      <w:r w:rsidRPr="00CC0DFE">
        <w:rPr>
          <w:rFonts w:cs="Tahoma"/>
          <w:noProof/>
          <w:szCs w:val="22"/>
          <w:lang w:eastAsia="es-MX"/>
        </w:rPr>
        <w:drawing>
          <wp:inline distT="0" distB="0" distL="0" distR="0" wp14:anchorId="0B15E873" wp14:editId="62833AEC">
            <wp:extent cx="5619750" cy="1114425"/>
            <wp:effectExtent l="0" t="0" r="0" b="9525"/>
            <wp:docPr id="2"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Tabl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1114425"/>
                    </a:xfrm>
                    <a:prstGeom prst="rect">
                      <a:avLst/>
                    </a:prstGeom>
                    <a:noFill/>
                    <a:ln>
                      <a:noFill/>
                    </a:ln>
                  </pic:spPr>
                </pic:pic>
              </a:graphicData>
            </a:graphic>
          </wp:inline>
        </w:drawing>
      </w:r>
    </w:p>
    <w:p w14:paraId="39A01E8F" w14:textId="77777777" w:rsidR="009216CA" w:rsidRPr="00CC0DFE" w:rsidRDefault="009216CA" w:rsidP="0016507E"/>
    <w:p w14:paraId="4EC1235F" w14:textId="7A048A3C" w:rsidR="009216CA" w:rsidRPr="00CC0DFE" w:rsidRDefault="009216CA" w:rsidP="0016507E">
      <w:r w:rsidRPr="00CC0DFE">
        <w:t>Conforme a lo anterior, la Ley de Transparencia y Acceso a la Información Pública del Estado de México y Municipios considera que el nombre de los beneficiarios, por regla general, es de naturaleza pública, ya que su publicidad orienta a cumplir los objetivos que persigue el ordenamiento normativo; toda vez que ayuda a transparentar a quienes se les han otorgado recursos públicos, en dinero o en especie, así como las razones por las cuales se les otorgaron.</w:t>
      </w:r>
      <w:r w:rsidRPr="00CC0DFE">
        <w:br/>
      </w:r>
      <w:r w:rsidRPr="00CC0DFE">
        <w:br/>
        <w:t>Situación que se robustece con el artículo 23, penúltimo párrafo, de la Ley referida, que establece que los sujetos obligados deberán hacer pública toda aquella información relativa a los montos y las personas a quienes se les entreguen, por cualquier motivo, recursos públicos.</w:t>
      </w:r>
      <w:r w:rsidRPr="00CC0DFE">
        <w:br/>
      </w:r>
      <w:r w:rsidRPr="00CC0DFE">
        <w:lastRenderedPageBreak/>
        <w:br/>
        <w:t xml:space="preserve">No obstante, este Instituto ha reconocido que existen supuestos excepcionales en los que, </w:t>
      </w:r>
      <w:r w:rsidR="00BE3143" w:rsidRPr="00CC0DFE">
        <w:t xml:space="preserve">el nombre del beneficiario </w:t>
      </w:r>
      <w:r w:rsidRPr="00CC0DFE">
        <w:t>puede revelar condiciones de vulnerabilidad social, económica o de salud, que podrían generar riesgos a su dignidad o propiciar actos de discriminación.</w:t>
      </w:r>
    </w:p>
    <w:p w14:paraId="6276E207" w14:textId="77777777" w:rsidR="009216CA" w:rsidRPr="00CC0DFE" w:rsidRDefault="009216CA" w:rsidP="0016507E">
      <w:pPr>
        <w:rPr>
          <w:rFonts w:cs="Tahoma"/>
          <w:bCs/>
          <w:iCs/>
          <w:szCs w:val="22"/>
          <w:lang w:val="es-ES_tradnl"/>
        </w:rPr>
      </w:pPr>
    </w:p>
    <w:p w14:paraId="05CA23AD" w14:textId="77777777" w:rsidR="009216CA" w:rsidRPr="00CC0DFE" w:rsidRDefault="009216CA" w:rsidP="0016507E">
      <w:pPr>
        <w:rPr>
          <w:rFonts w:cs="Tahoma"/>
          <w:bCs/>
          <w:iCs/>
          <w:szCs w:val="22"/>
          <w:lang w:val="es-ES_tradnl"/>
        </w:rPr>
      </w:pPr>
      <w:r w:rsidRPr="00CC0DFE">
        <w:rPr>
          <w:rFonts w:cs="Tahoma"/>
          <w:bCs/>
          <w:iCs/>
          <w:szCs w:val="22"/>
          <w:lang w:val="es-ES_tradnl"/>
        </w:rPr>
        <w:t xml:space="preserve">En este sentido, el Criterio reiterado 04/19, publicado en el Periódico Oficial del Gobierno del Estado Libre y Soberano de México </w:t>
      </w:r>
      <w:r w:rsidRPr="00CC0DFE">
        <w:rPr>
          <w:rFonts w:cs="Tahoma"/>
          <w:bCs/>
          <w:i/>
          <w:iCs/>
          <w:szCs w:val="22"/>
          <w:lang w:val="es-ES_tradnl"/>
        </w:rPr>
        <w:t>“Gaceta de Gobierno”</w:t>
      </w:r>
      <w:r w:rsidRPr="00CC0DFE">
        <w:rPr>
          <w:rFonts w:cs="Tahoma"/>
          <w:bCs/>
          <w:iCs/>
          <w:szCs w:val="22"/>
          <w:lang w:val="es-ES_tradnl"/>
        </w:rPr>
        <w:t>, el dieciocho de diciembre de dos mil diecinueve, que establece lo siguiente:</w:t>
      </w:r>
    </w:p>
    <w:p w14:paraId="36C7645D" w14:textId="77777777" w:rsidR="009216CA" w:rsidRPr="00CC0DFE" w:rsidRDefault="009216CA" w:rsidP="0016507E">
      <w:pPr>
        <w:rPr>
          <w:rFonts w:cs="Tahoma"/>
          <w:bCs/>
          <w:iCs/>
          <w:szCs w:val="22"/>
          <w:lang w:val="es-ES_tradnl"/>
        </w:rPr>
      </w:pPr>
    </w:p>
    <w:p w14:paraId="1A620653" w14:textId="77777777" w:rsidR="009216CA" w:rsidRPr="00CC0DFE" w:rsidRDefault="009216CA" w:rsidP="0016507E">
      <w:pPr>
        <w:ind w:left="567" w:right="567"/>
        <w:rPr>
          <w:rFonts w:cs="Tahoma"/>
          <w:bCs/>
          <w:i/>
          <w:iCs/>
          <w:lang w:val="es-ES_tradnl"/>
        </w:rPr>
      </w:pPr>
      <w:r w:rsidRPr="00CC0DFE">
        <w:rPr>
          <w:rFonts w:cs="Tahoma"/>
          <w:b/>
          <w:bCs/>
          <w:i/>
          <w:iCs/>
        </w:rPr>
        <w:t>“PADRÓN DE BENEFICIARIOS EN POSESIÓN DE SUJETOS OBLIGADOS. EXCEPCIONES PARA LA PUBLICACIÓN DE DATOS PERSONALES CONTENIDOS EN AQUÉL.</w:t>
      </w:r>
      <w:r w:rsidRPr="00CC0DFE">
        <w:rPr>
          <w:rFonts w:cs="Tahoma"/>
          <w:bCs/>
          <w:i/>
          <w:iCs/>
        </w:rPr>
        <w:t xml:space="preserve">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w:t>
      </w:r>
      <w:r w:rsidRPr="00CC0DFE">
        <w:rPr>
          <w:rFonts w:cs="Tahoma"/>
          <w:bCs/>
          <w:i/>
          <w:iCs/>
        </w:rPr>
        <w:lastRenderedPageBreak/>
        <w:t xml:space="preserve">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CC0DFE">
        <w:rPr>
          <w:rFonts w:cs="Tahoma"/>
          <w:b/>
          <w:bCs/>
          <w:i/>
          <w:iCs/>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CC0DFE">
        <w:rPr>
          <w:rFonts w:cs="Tahoma"/>
          <w:bCs/>
          <w:i/>
          <w:iCs/>
          <w:u w:val="single"/>
        </w:rPr>
        <w:t>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w:t>
      </w:r>
      <w:r w:rsidRPr="00CC0DFE">
        <w:rPr>
          <w:rFonts w:cs="Tahoma"/>
          <w:bCs/>
          <w:i/>
          <w:iCs/>
        </w:rPr>
        <w:t>,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3D995D05" w14:textId="77777777" w:rsidR="009216CA" w:rsidRPr="00CC0DFE" w:rsidRDefault="009216CA" w:rsidP="0016507E"/>
    <w:p w14:paraId="26779A3A" w14:textId="3BA870B6" w:rsidR="009216CA" w:rsidRPr="00CC0DFE" w:rsidRDefault="009216CA" w:rsidP="0016507E">
      <w:r w:rsidRPr="00CC0DFE">
        <w:lastRenderedPageBreak/>
        <w:t xml:space="preserve">De la interpretación extensiva de dicho criterio, se advierte </w:t>
      </w:r>
      <w:r w:rsidR="00BE3143" w:rsidRPr="00CC0DFE">
        <w:t>que,</w:t>
      </w:r>
      <w:r w:rsidRPr="00CC0DFE">
        <w:t xml:space="preserve"> si bien la regla general establece la publicidad del nombre de los beneficiarios, puede ampliarse su alcance a otros grupos sociales que, </w:t>
      </w:r>
      <w:r w:rsidR="00BE3143" w:rsidRPr="00CC0DFE">
        <w:t>sean menores de edad, o bien, que se encuentren en una situación de vulnerabilidad o desventaja</w:t>
      </w:r>
      <w:r w:rsidRPr="00CC0DFE">
        <w:t xml:space="preserve"> social</w:t>
      </w:r>
      <w:r w:rsidR="00BE3143" w:rsidRPr="00CC0DFE">
        <w:t xml:space="preserve">. </w:t>
      </w:r>
    </w:p>
    <w:p w14:paraId="2F295D5C" w14:textId="77777777" w:rsidR="00BE3143" w:rsidRPr="00CC0DFE" w:rsidRDefault="00BE3143" w:rsidP="0016507E"/>
    <w:p w14:paraId="2FC0BE3C" w14:textId="77777777" w:rsidR="00BE3143" w:rsidRPr="00CC0DFE" w:rsidRDefault="009216CA" w:rsidP="0016507E">
      <w:pPr>
        <w:tabs>
          <w:tab w:val="left" w:pos="4962"/>
        </w:tabs>
        <w:contextualSpacing/>
      </w:pPr>
      <w:r w:rsidRPr="00CC0DFE">
        <w:t>Por tal circunstancia, se considera que el Sujeto Obligado podrá clasificar como confidencial el nombre de las personas</w:t>
      </w:r>
      <w:r w:rsidR="00BE3143" w:rsidRPr="00CC0DFE">
        <w:t xml:space="preserve"> que se encuentren en el supuesto del criterio citado previamente, </w:t>
      </w:r>
      <w:r w:rsidRPr="00CC0DFE">
        <w:t xml:space="preserve">en términos del artículo 143, fracción I, de la Ley de Transparencia y Acceso a la Información Pública del Estado de México y Municipios, y conforme a una interpretación pro persona de los derechos humanos establecidos en los artículos 1°, 4° y 16 de la Constitución Política de los Estados Unidos Mexicanos.  </w:t>
      </w:r>
      <w:r w:rsidR="00BE3143" w:rsidRPr="00CC0DFE">
        <w:t xml:space="preserve"> </w:t>
      </w:r>
    </w:p>
    <w:p w14:paraId="77E11750" w14:textId="56C3386A" w:rsidR="004E4757" w:rsidRPr="00CC0DFE" w:rsidRDefault="009216CA" w:rsidP="0016507E">
      <w:pPr>
        <w:spacing w:before="100" w:beforeAutospacing="1" w:after="100" w:afterAutospacing="1"/>
        <w:rPr>
          <w:bCs/>
          <w:szCs w:val="22"/>
          <w:lang w:eastAsia="es-MX"/>
        </w:rPr>
      </w:pPr>
      <w:r w:rsidRPr="00CC0DFE">
        <w:rPr>
          <w:szCs w:val="22"/>
          <w:lang w:eastAsia="es-MX"/>
        </w:rPr>
        <w:t xml:space="preserve">En atención a lo expuesto, este Organismo Garante determina procedente </w:t>
      </w:r>
      <w:r w:rsidRPr="00CC0DFE">
        <w:rPr>
          <w:bCs/>
          <w:szCs w:val="22"/>
          <w:lang w:eastAsia="es-MX"/>
        </w:rPr>
        <w:t>ordenar la búsqueda exhaustiva y razonable en todas sus áreas competentes</w:t>
      </w:r>
      <w:r w:rsidR="004E4757" w:rsidRPr="00CC0DFE">
        <w:rPr>
          <w:bCs/>
          <w:szCs w:val="22"/>
          <w:lang w:eastAsia="es-MX"/>
        </w:rPr>
        <w:t xml:space="preserve"> y hacer entrega de la información solicitada en </w:t>
      </w:r>
      <w:r w:rsidR="004E4757" w:rsidRPr="00CC0DFE">
        <w:rPr>
          <w:b/>
          <w:szCs w:val="22"/>
          <w:lang w:eastAsia="es-MX"/>
        </w:rPr>
        <w:t xml:space="preserve">versión pública, </w:t>
      </w:r>
      <w:r w:rsidR="004E4757" w:rsidRPr="00CC0DFE">
        <w:rPr>
          <w:bCs/>
          <w:szCs w:val="22"/>
          <w:lang w:eastAsia="es-MX"/>
        </w:rPr>
        <w:t xml:space="preserve">la cual consiste en las </w:t>
      </w:r>
      <w:r w:rsidRPr="00CC0DFE">
        <w:rPr>
          <w:bCs/>
          <w:szCs w:val="22"/>
          <w:lang w:eastAsia="es-MX"/>
        </w:rPr>
        <w:t>peticiones, estudios socioeconómicos o listado de las personas beneficiadas con la entrega de cobertores</w:t>
      </w:r>
      <w:r w:rsidR="004E4757" w:rsidRPr="00CC0DFE">
        <w:rPr>
          <w:szCs w:val="22"/>
          <w:lang w:eastAsia="es-MX"/>
        </w:rPr>
        <w:t>.</w:t>
      </w:r>
    </w:p>
    <w:p w14:paraId="5DA7C963" w14:textId="6787BB2B" w:rsidR="00664420" w:rsidRPr="00CC0DFE" w:rsidRDefault="00BD5A7C" w:rsidP="0016507E">
      <w:pPr>
        <w:pStyle w:val="Ttulo3"/>
      </w:pPr>
      <w:bookmarkStart w:id="27" w:name="_Toc211448474"/>
      <w:r w:rsidRPr="00CC0DFE">
        <w:t>d</w:t>
      </w:r>
      <w:r w:rsidR="00A21A20" w:rsidRPr="00CC0DFE">
        <w:t>)</w:t>
      </w:r>
      <w:r w:rsidR="00664420" w:rsidRPr="00CC0DFE">
        <w:t xml:space="preserve"> Versión pública</w:t>
      </w:r>
      <w:bookmarkEnd w:id="27"/>
    </w:p>
    <w:p w14:paraId="0A2434C2" w14:textId="15004EFD" w:rsidR="00DF72ED" w:rsidRPr="00CC0DFE" w:rsidRDefault="00DF72ED" w:rsidP="0016507E">
      <w:pPr>
        <w:rPr>
          <w:rFonts w:eastAsia="Palatino Linotype" w:cs="Palatino Linotype"/>
        </w:rPr>
      </w:pPr>
      <w:r w:rsidRPr="00CC0DFE">
        <w:rPr>
          <w:rFonts w:eastAsia="Palatino Linotype" w:cs="Palatino Linotype"/>
        </w:rPr>
        <w:t xml:space="preserve">Finalmente, debe señalarse que de ser el caso en que los documentos que vayan a ser entregados para dar cumplimiento a la presente resolución, contengan datos que deban ser clasificados, el </w:t>
      </w:r>
      <w:r w:rsidRPr="00CC0DFE">
        <w:rPr>
          <w:rFonts w:eastAsia="Palatino Linotype" w:cs="Palatino Linotype"/>
          <w:b/>
        </w:rPr>
        <w:t>Sujeto Obligado</w:t>
      </w:r>
      <w:r w:rsidRPr="00CC0DFE">
        <w:rPr>
          <w:rFonts w:eastAsia="Palatino Linotype" w:cs="Palatino Linotype"/>
        </w:rPr>
        <w:t xml:space="preserve"> deberá hacer la elaboración de la versión pública de los mismos a fin de satisfacer el derecho de acceso a la información pública de la parte </w:t>
      </w:r>
      <w:r w:rsidRPr="00CC0DFE">
        <w:rPr>
          <w:rFonts w:eastAsia="Palatino Linotype" w:cs="Palatino Linotype"/>
          <w:b/>
        </w:rPr>
        <w:t>Recurrente</w:t>
      </w:r>
      <w:r w:rsidRPr="00CC0DFE">
        <w:rPr>
          <w:rFonts w:eastAsia="Palatino Linotype" w:cs="Palatino Linotype"/>
        </w:rPr>
        <w:t xml:space="preserve"> sin menoscabo al derecho a la protección de los datos personales de terceros.</w:t>
      </w:r>
    </w:p>
    <w:p w14:paraId="2A08AA41" w14:textId="77777777" w:rsidR="00DF72ED" w:rsidRPr="00CC0DFE" w:rsidRDefault="00DF72ED" w:rsidP="0016507E">
      <w:pPr>
        <w:spacing w:before="240" w:after="240"/>
        <w:rPr>
          <w:rFonts w:eastAsia="Palatino Linotype" w:cs="Palatino Linotype"/>
        </w:rPr>
      </w:pPr>
      <w:r w:rsidRPr="00CC0DFE">
        <w:rPr>
          <w:rFonts w:eastAsia="Palatino Linotype" w:cs="Palatino Linotype"/>
        </w:rPr>
        <w:t xml:space="preserve">Para efectos de la elaboración de la versión pública se deberá observar lo dispuesto por los artículos 3 fracciones IX, XX, XXI y XLV, 91, 132 fracciones II y III, y 143 fracción I de la Ley de </w:t>
      </w:r>
      <w:r w:rsidRPr="00CC0DFE">
        <w:rPr>
          <w:rFonts w:eastAsia="Palatino Linotype" w:cs="Palatino Linotype"/>
        </w:rPr>
        <w:lastRenderedPageBreak/>
        <w:t>Transparencia y Acceso a la Información Pública del Estado de México y Municipios que establecen:</w:t>
      </w:r>
    </w:p>
    <w:p w14:paraId="297846CC" w14:textId="77777777" w:rsidR="00DF72ED" w:rsidRPr="00CC0DFE" w:rsidRDefault="00DF72ED" w:rsidP="0016507E">
      <w:pPr>
        <w:pStyle w:val="Puesto"/>
        <w:rPr>
          <w:rFonts w:eastAsia="Palatino Linotype"/>
        </w:rPr>
      </w:pPr>
      <w:r w:rsidRPr="00CC0DFE">
        <w:rPr>
          <w:rFonts w:eastAsia="Palatino Linotype"/>
        </w:rPr>
        <w:t>“</w:t>
      </w:r>
      <w:r w:rsidRPr="00CC0DFE">
        <w:rPr>
          <w:rFonts w:eastAsia="Palatino Linotype"/>
          <w:b/>
        </w:rPr>
        <w:t>Artículo 3</w:t>
      </w:r>
      <w:r w:rsidRPr="00CC0DFE">
        <w:rPr>
          <w:rFonts w:eastAsia="Palatino Linotype"/>
        </w:rPr>
        <w:t>. Para los efectos de la presente Ley se entenderá por:</w:t>
      </w:r>
    </w:p>
    <w:p w14:paraId="0640C905" w14:textId="77777777" w:rsidR="00DF72ED" w:rsidRPr="00CC0DFE" w:rsidRDefault="00DF72ED" w:rsidP="0016507E">
      <w:pPr>
        <w:pStyle w:val="Puesto"/>
        <w:rPr>
          <w:rFonts w:eastAsia="Palatino Linotype"/>
        </w:rPr>
      </w:pPr>
      <w:r w:rsidRPr="00CC0DFE">
        <w:rPr>
          <w:rFonts w:eastAsia="Palatino Linotype"/>
        </w:rPr>
        <w:t>[…]</w:t>
      </w:r>
    </w:p>
    <w:p w14:paraId="7E6C6E2C" w14:textId="77777777" w:rsidR="00DF72ED" w:rsidRPr="00CC0DFE" w:rsidRDefault="00DF72ED" w:rsidP="0016507E">
      <w:pPr>
        <w:pStyle w:val="Puesto"/>
        <w:rPr>
          <w:rFonts w:eastAsia="Palatino Linotype"/>
        </w:rPr>
      </w:pPr>
      <w:r w:rsidRPr="00CC0DFE">
        <w:rPr>
          <w:rFonts w:eastAsia="Palatino Linotype"/>
          <w:b/>
        </w:rPr>
        <w:t>IX. Datos personales</w:t>
      </w:r>
      <w:r w:rsidRPr="00CC0DFE">
        <w:rPr>
          <w:rFonts w:eastAsia="Palatino Linotype"/>
        </w:rPr>
        <w:t xml:space="preserve">: La información concerniente a una persona, identificada o identificable según lo dispuesto por la Ley de Protección de Datos Personales del Estado de México; </w:t>
      </w:r>
    </w:p>
    <w:p w14:paraId="20CB9861" w14:textId="77777777" w:rsidR="00DF72ED" w:rsidRPr="00CC0DFE" w:rsidRDefault="00DF72ED" w:rsidP="0016507E">
      <w:pPr>
        <w:pStyle w:val="Puesto"/>
        <w:rPr>
          <w:rFonts w:eastAsia="Palatino Linotype"/>
        </w:rPr>
      </w:pPr>
      <w:r w:rsidRPr="00CC0DFE">
        <w:rPr>
          <w:rFonts w:eastAsia="Palatino Linotype"/>
          <w:b/>
        </w:rPr>
        <w:t>XX. Información clasificada</w:t>
      </w:r>
      <w:r w:rsidRPr="00CC0DFE">
        <w:rPr>
          <w:rFonts w:eastAsia="Palatino Linotype"/>
        </w:rPr>
        <w:t>: Aquella considerada por la presente Ley como reservada o confidencial;</w:t>
      </w:r>
    </w:p>
    <w:p w14:paraId="3DA18799" w14:textId="77777777" w:rsidR="00DF72ED" w:rsidRPr="00CC0DFE" w:rsidRDefault="00DF72ED" w:rsidP="0016507E">
      <w:pPr>
        <w:pStyle w:val="Puesto"/>
        <w:rPr>
          <w:rFonts w:eastAsia="Palatino Linotype"/>
        </w:rPr>
      </w:pPr>
      <w:r w:rsidRPr="00CC0DFE">
        <w:rPr>
          <w:rFonts w:eastAsia="Palatino Linotype"/>
          <w:b/>
        </w:rPr>
        <w:t>XXI. Información confidencial</w:t>
      </w:r>
      <w:r w:rsidRPr="00CC0DFE">
        <w:rPr>
          <w:rFonts w:eastAsia="Palatino Linotype"/>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8DBC18F" w14:textId="77777777" w:rsidR="00DF72ED" w:rsidRPr="00CC0DFE" w:rsidRDefault="00DF72ED" w:rsidP="0016507E">
      <w:pPr>
        <w:pStyle w:val="Puesto"/>
        <w:rPr>
          <w:rFonts w:eastAsia="Palatino Linotype"/>
        </w:rPr>
      </w:pPr>
      <w:r w:rsidRPr="00CC0DFE">
        <w:rPr>
          <w:rFonts w:eastAsia="Palatino Linotype"/>
          <w:b/>
        </w:rPr>
        <w:t>XLV. Versión pública</w:t>
      </w:r>
      <w:r w:rsidRPr="00CC0DFE">
        <w:rPr>
          <w:rFonts w:eastAsia="Palatino Linotype"/>
        </w:rPr>
        <w:t>: Documento en el que se elimine, suprime o borra la información clasificada como reservada o confidencial para permitir su acceso.</w:t>
      </w:r>
    </w:p>
    <w:p w14:paraId="219D8802" w14:textId="77777777" w:rsidR="00DF72ED" w:rsidRPr="00CC0DFE" w:rsidRDefault="00DF72ED" w:rsidP="0016507E">
      <w:pPr>
        <w:pStyle w:val="Puesto"/>
        <w:rPr>
          <w:rFonts w:eastAsia="Palatino Linotype"/>
        </w:rPr>
      </w:pPr>
      <w:r w:rsidRPr="00CC0DFE">
        <w:rPr>
          <w:rFonts w:eastAsia="Palatino Linotype"/>
        </w:rPr>
        <w:t>[…]</w:t>
      </w:r>
    </w:p>
    <w:p w14:paraId="33776E59" w14:textId="77777777" w:rsidR="00DF72ED" w:rsidRPr="00CC0DFE" w:rsidRDefault="00DF72ED" w:rsidP="0016507E">
      <w:pPr>
        <w:pStyle w:val="Puesto"/>
        <w:rPr>
          <w:rFonts w:eastAsia="Palatino Linotype"/>
        </w:rPr>
      </w:pPr>
      <w:r w:rsidRPr="00CC0DFE">
        <w:rPr>
          <w:rFonts w:eastAsia="Palatino Linotype"/>
          <w:b/>
        </w:rPr>
        <w:t>Artículo 91.</w:t>
      </w:r>
      <w:r w:rsidRPr="00CC0DFE">
        <w:rPr>
          <w:rFonts w:eastAsia="Palatino Linotype"/>
        </w:rPr>
        <w:t xml:space="preserve"> El acceso a la información pública será restringido excepcionalmente, cuando ésta sea clasificada como reservada o confidencial.</w:t>
      </w:r>
    </w:p>
    <w:p w14:paraId="07D119F6" w14:textId="77777777" w:rsidR="00DF72ED" w:rsidRPr="00CC0DFE" w:rsidRDefault="00DF72ED" w:rsidP="0016507E">
      <w:pPr>
        <w:pStyle w:val="Puesto"/>
        <w:rPr>
          <w:rFonts w:eastAsia="Palatino Linotype"/>
        </w:rPr>
      </w:pPr>
      <w:r w:rsidRPr="00CC0DFE">
        <w:rPr>
          <w:rFonts w:eastAsia="Palatino Linotype"/>
          <w:b/>
        </w:rPr>
        <w:t>Artículo 132</w:t>
      </w:r>
      <w:r w:rsidRPr="00CC0DFE">
        <w:rPr>
          <w:rFonts w:eastAsia="Palatino Linotype"/>
        </w:rPr>
        <w:t>. La clasificación de la información se llevará a cabo en el momento en que:</w:t>
      </w:r>
    </w:p>
    <w:p w14:paraId="7BDDACBC" w14:textId="77777777" w:rsidR="00DF72ED" w:rsidRPr="00CC0DFE" w:rsidRDefault="00DF72ED" w:rsidP="0016507E">
      <w:pPr>
        <w:pStyle w:val="Puesto"/>
        <w:rPr>
          <w:rFonts w:eastAsia="Palatino Linotype"/>
        </w:rPr>
      </w:pPr>
      <w:r w:rsidRPr="00CC0DFE">
        <w:rPr>
          <w:rFonts w:eastAsia="Palatino Linotype"/>
          <w:b/>
        </w:rPr>
        <w:t>I.</w:t>
      </w:r>
      <w:r w:rsidRPr="00CC0DFE">
        <w:rPr>
          <w:rFonts w:eastAsia="Palatino Linotype"/>
        </w:rPr>
        <w:t xml:space="preserve"> Se reciba una solicitud de acceso a la información;</w:t>
      </w:r>
    </w:p>
    <w:p w14:paraId="0238953F" w14:textId="77777777" w:rsidR="00DF72ED" w:rsidRPr="00CC0DFE" w:rsidRDefault="00DF72ED" w:rsidP="0016507E">
      <w:pPr>
        <w:pStyle w:val="Puesto"/>
        <w:rPr>
          <w:rFonts w:eastAsia="Palatino Linotype"/>
        </w:rPr>
      </w:pPr>
      <w:r w:rsidRPr="00CC0DFE">
        <w:rPr>
          <w:rFonts w:eastAsia="Palatino Linotype"/>
          <w:b/>
        </w:rPr>
        <w:t>II.</w:t>
      </w:r>
      <w:r w:rsidRPr="00CC0DFE">
        <w:rPr>
          <w:rFonts w:eastAsia="Palatino Linotype"/>
        </w:rPr>
        <w:t xml:space="preserve"> Se determine mediante resolución de autoridad competente; o</w:t>
      </w:r>
    </w:p>
    <w:p w14:paraId="4FC2498F" w14:textId="77777777" w:rsidR="00DF72ED" w:rsidRPr="00CC0DFE" w:rsidRDefault="00DF72ED" w:rsidP="0016507E">
      <w:pPr>
        <w:pStyle w:val="Puesto"/>
        <w:rPr>
          <w:rFonts w:eastAsia="Palatino Linotype"/>
        </w:rPr>
      </w:pPr>
      <w:r w:rsidRPr="00CC0DFE">
        <w:rPr>
          <w:rFonts w:eastAsia="Palatino Linotype"/>
          <w:b/>
        </w:rPr>
        <w:t>III.</w:t>
      </w:r>
      <w:r w:rsidRPr="00CC0DFE">
        <w:rPr>
          <w:rFonts w:eastAsia="Palatino Linotype"/>
        </w:rPr>
        <w:t xml:space="preserve"> Se generen versiones públicas para dar cumplimiento a las obligaciones de transparencia previstas en esta Ley.</w:t>
      </w:r>
    </w:p>
    <w:p w14:paraId="6B8CCB37" w14:textId="77777777" w:rsidR="00DF72ED" w:rsidRPr="00CC0DFE" w:rsidRDefault="00DF72ED" w:rsidP="0016507E">
      <w:pPr>
        <w:pStyle w:val="Puesto"/>
        <w:rPr>
          <w:rFonts w:eastAsia="Palatino Linotype"/>
        </w:rPr>
      </w:pPr>
      <w:r w:rsidRPr="00CC0DFE">
        <w:rPr>
          <w:rFonts w:eastAsia="Palatino Linotype"/>
        </w:rPr>
        <w:t>[…]</w:t>
      </w:r>
    </w:p>
    <w:p w14:paraId="135CECC7" w14:textId="77777777" w:rsidR="00DF72ED" w:rsidRPr="00CC0DFE" w:rsidRDefault="00DF72ED" w:rsidP="0016507E">
      <w:pPr>
        <w:pStyle w:val="Puesto"/>
        <w:rPr>
          <w:rFonts w:eastAsia="Palatino Linotype"/>
        </w:rPr>
      </w:pPr>
      <w:r w:rsidRPr="00CC0DFE">
        <w:rPr>
          <w:rFonts w:eastAsia="Palatino Linotype"/>
          <w:b/>
        </w:rPr>
        <w:t>Artículo 143.</w:t>
      </w:r>
      <w:r w:rsidRPr="00CC0DFE">
        <w:rPr>
          <w:rFonts w:eastAsia="Palatino Linotype"/>
        </w:rPr>
        <w:t xml:space="preserve"> Para los efectos de esta Ley se considera información confidencial, la clasificada como tal, de manera permanente, por su naturaleza, cuando:</w:t>
      </w:r>
    </w:p>
    <w:p w14:paraId="6EF44211" w14:textId="77777777" w:rsidR="00DF72ED" w:rsidRPr="00CC0DFE" w:rsidRDefault="00DF72ED" w:rsidP="0016507E">
      <w:pPr>
        <w:pStyle w:val="Puesto"/>
        <w:rPr>
          <w:rFonts w:eastAsia="Palatino Linotype"/>
        </w:rPr>
      </w:pPr>
      <w:r w:rsidRPr="00CC0DFE">
        <w:rPr>
          <w:rFonts w:eastAsia="Palatino Linotype"/>
          <w:b/>
        </w:rPr>
        <w:t>I.</w:t>
      </w:r>
      <w:r w:rsidRPr="00CC0DFE">
        <w:rPr>
          <w:rFonts w:eastAsia="Palatino Linotype"/>
        </w:rPr>
        <w:t xml:space="preserve"> Se refiera a la información privada y los datos personales concernientes a una persona física o jurídico colectiva identificada o identificable;</w:t>
      </w:r>
    </w:p>
    <w:p w14:paraId="2B9773B9" w14:textId="77777777" w:rsidR="00DF72ED" w:rsidRPr="00CC0DFE" w:rsidRDefault="00DF72ED" w:rsidP="0016507E">
      <w:pPr>
        <w:pStyle w:val="Puesto"/>
        <w:rPr>
          <w:rFonts w:eastAsia="Palatino Linotype"/>
        </w:rPr>
      </w:pPr>
      <w:r w:rsidRPr="00CC0DFE">
        <w:rPr>
          <w:rFonts w:eastAsia="Palatino Linotype"/>
          <w:b/>
        </w:rPr>
        <w:t>II.</w:t>
      </w:r>
      <w:r w:rsidRPr="00CC0DFE">
        <w:rPr>
          <w:rFonts w:eastAsia="Palatino Linotype"/>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C3F4942" w14:textId="77777777" w:rsidR="00DF72ED" w:rsidRPr="00CC0DFE" w:rsidRDefault="00DF72ED" w:rsidP="0016507E">
      <w:pPr>
        <w:pStyle w:val="Puesto"/>
        <w:rPr>
          <w:rFonts w:eastAsia="Palatino Linotype"/>
        </w:rPr>
      </w:pPr>
      <w:r w:rsidRPr="00CC0DFE">
        <w:rPr>
          <w:rFonts w:eastAsia="Palatino Linotype"/>
          <w:b/>
        </w:rPr>
        <w:t>III.</w:t>
      </w:r>
      <w:r w:rsidRPr="00CC0DFE">
        <w:rPr>
          <w:rFonts w:eastAsia="Palatino Linotype"/>
        </w:rPr>
        <w:t xml:space="preserve"> La que presenten los particulares a los sujetos obligados, de conformidad con lo dispuesto por las leyes o los tratados internacionales.</w:t>
      </w:r>
    </w:p>
    <w:p w14:paraId="52EA6D00" w14:textId="77777777" w:rsidR="00DF72ED" w:rsidRPr="00CC0DFE" w:rsidRDefault="00DF72ED" w:rsidP="0016507E">
      <w:pPr>
        <w:pStyle w:val="Puesto"/>
        <w:rPr>
          <w:rFonts w:eastAsia="Palatino Linotype"/>
        </w:rPr>
      </w:pPr>
      <w:r w:rsidRPr="00CC0DFE">
        <w:rPr>
          <w:rFonts w:eastAsia="Palatino Linotype"/>
        </w:rPr>
        <w:t>La información confidencial no estará sujeta a temporalidad alguna y sólo podrán tener acceso a ella los titulares de la misma, sus representantes y los servidores públicos facultados para ello.</w:t>
      </w:r>
    </w:p>
    <w:p w14:paraId="066474F1" w14:textId="77777777" w:rsidR="00DF72ED" w:rsidRPr="00CC0DFE" w:rsidRDefault="00DF72ED" w:rsidP="0016507E">
      <w:pPr>
        <w:pStyle w:val="Puesto"/>
        <w:rPr>
          <w:rFonts w:eastAsia="Palatino Linotype"/>
        </w:rPr>
      </w:pPr>
      <w:r w:rsidRPr="00CC0DFE">
        <w:rPr>
          <w:rFonts w:eastAsia="Palatino Linotype"/>
        </w:rPr>
        <w:lastRenderedPageBreak/>
        <w:t>No se considerará confidencial la información que se encuentre en los registros públicos o en fuentes de acceso público, ni tampoco la que sea considerada por la presente ley como información pública.”</w:t>
      </w:r>
    </w:p>
    <w:p w14:paraId="620FF834" w14:textId="77777777" w:rsidR="002F0DF4" w:rsidRPr="00CC0DFE" w:rsidRDefault="002F0DF4" w:rsidP="0016507E">
      <w:pPr>
        <w:rPr>
          <w:rFonts w:eastAsia="Palatino Linotype"/>
        </w:rPr>
      </w:pPr>
    </w:p>
    <w:p w14:paraId="56E6F028" w14:textId="77777777" w:rsidR="00DF72ED" w:rsidRPr="00CC0DFE" w:rsidRDefault="00DF72ED" w:rsidP="0016507E">
      <w:pPr>
        <w:rPr>
          <w:rFonts w:eastAsia="Palatino Linotype"/>
        </w:rPr>
      </w:pPr>
      <w:r w:rsidRPr="00CC0DFE">
        <w:rPr>
          <w:rFonts w:eastAsia="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498079E" w14:textId="77777777" w:rsidR="00DF72ED" w:rsidRPr="00CC0DFE" w:rsidRDefault="00DF72ED" w:rsidP="0016507E">
      <w:pPr>
        <w:spacing w:before="240" w:after="240"/>
        <w:rPr>
          <w:rFonts w:eastAsia="Palatino Linotype" w:cs="Palatino Linotype"/>
        </w:rPr>
      </w:pPr>
      <w:r w:rsidRPr="00CC0DFE">
        <w:rPr>
          <w:rFonts w:eastAsia="Palatino Linotype" w:cs="Palatino Linotype"/>
        </w:rPr>
        <w:t>Entorno a lo que aquí nos interesa, los Lineamientos Quincuagésimo sexto, Quincuagésimo séptimo y Quincuagésimo octavo, establecen lo siguiente:</w:t>
      </w:r>
    </w:p>
    <w:p w14:paraId="0769377B" w14:textId="77777777" w:rsidR="00DF72ED" w:rsidRPr="00CC0DFE" w:rsidRDefault="00DF72ED" w:rsidP="0016507E">
      <w:pPr>
        <w:pStyle w:val="Puesto"/>
        <w:rPr>
          <w:rFonts w:eastAsia="Palatino Linotype"/>
        </w:rPr>
      </w:pPr>
      <w:r w:rsidRPr="00CC0DFE">
        <w:rPr>
          <w:rFonts w:eastAsia="Palatino Linotype"/>
        </w:rPr>
        <w:t>“</w:t>
      </w:r>
      <w:r w:rsidRPr="00CC0DFE">
        <w:rPr>
          <w:rFonts w:eastAsia="Palatino Linotype"/>
          <w:b/>
        </w:rPr>
        <w:t>Quincuagésimo sexto.</w:t>
      </w:r>
      <w:r w:rsidRPr="00CC0DFE">
        <w:rPr>
          <w:rFonts w:eastAsia="Palatino Linotype"/>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A821F8E" w14:textId="77777777" w:rsidR="00DF72ED" w:rsidRPr="00CC0DFE" w:rsidRDefault="00DF72ED" w:rsidP="0016507E">
      <w:pPr>
        <w:pStyle w:val="Puesto"/>
        <w:rPr>
          <w:rFonts w:eastAsia="Palatino Linotype"/>
        </w:rPr>
      </w:pPr>
      <w:r w:rsidRPr="00CC0DFE">
        <w:rPr>
          <w:rFonts w:eastAsia="Palatino Linotype"/>
          <w:b/>
        </w:rPr>
        <w:t>Quincuagésimo séptimo.</w:t>
      </w:r>
      <w:r w:rsidRPr="00CC0DFE">
        <w:rPr>
          <w:rFonts w:eastAsia="Palatino Linotype"/>
        </w:rPr>
        <w:t xml:space="preserve"> Se considera, en principio, como información pública y no podrá omitirse de las versiones públicas la siguiente: </w:t>
      </w:r>
    </w:p>
    <w:p w14:paraId="1D017B6E" w14:textId="77777777" w:rsidR="00DF72ED" w:rsidRPr="00CC0DFE" w:rsidRDefault="00DF72ED" w:rsidP="0016507E">
      <w:pPr>
        <w:pStyle w:val="Puesto"/>
        <w:rPr>
          <w:rFonts w:eastAsia="Palatino Linotype"/>
        </w:rPr>
      </w:pPr>
      <w:r w:rsidRPr="00CC0DFE">
        <w:rPr>
          <w:rFonts w:eastAsia="Palatino Linotype"/>
          <w:b/>
        </w:rPr>
        <w:t>I.</w:t>
      </w:r>
      <w:r w:rsidRPr="00CC0DFE">
        <w:rPr>
          <w:rFonts w:eastAsia="Palatino Linotype"/>
        </w:rPr>
        <w:t xml:space="preserve"> La relativa a las Obligaciones de Transparencia que contempla el Título V de la Ley General y las demás disposiciones legales aplicables; </w:t>
      </w:r>
    </w:p>
    <w:p w14:paraId="5CE8F391" w14:textId="77777777" w:rsidR="00DF72ED" w:rsidRPr="00CC0DFE" w:rsidRDefault="00DF72ED" w:rsidP="0016507E">
      <w:pPr>
        <w:pStyle w:val="Puesto"/>
        <w:rPr>
          <w:rFonts w:eastAsia="Palatino Linotype"/>
        </w:rPr>
      </w:pPr>
      <w:r w:rsidRPr="00CC0DFE">
        <w:rPr>
          <w:rFonts w:eastAsia="Palatino Linotype"/>
          <w:b/>
        </w:rPr>
        <w:t>II.</w:t>
      </w:r>
      <w:r w:rsidRPr="00CC0DFE">
        <w:rPr>
          <w:rFonts w:eastAsia="Palatino Linotype"/>
        </w:rPr>
        <w:t xml:space="preserve"> El nombre de los servidores públicos en los documentos, y sus firmas autógrafas, cuando sean utilizados en el ejercicio de las facultades conferidas para el desempeño del servicio público, y </w:t>
      </w:r>
    </w:p>
    <w:p w14:paraId="6FD4DBE3" w14:textId="77777777" w:rsidR="00DF72ED" w:rsidRPr="00CC0DFE" w:rsidRDefault="00DF72ED" w:rsidP="0016507E">
      <w:pPr>
        <w:pStyle w:val="Puesto"/>
        <w:rPr>
          <w:rFonts w:eastAsia="Palatino Linotype"/>
        </w:rPr>
      </w:pPr>
      <w:r w:rsidRPr="00CC0DFE">
        <w:rPr>
          <w:rFonts w:eastAsia="Palatino Linotype"/>
          <w:b/>
        </w:rPr>
        <w:t>III.</w:t>
      </w:r>
      <w:r w:rsidRPr="00CC0DFE">
        <w:rPr>
          <w:rFonts w:eastAsia="Palatino Linotype"/>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40487FA" w14:textId="77777777" w:rsidR="00DF72ED" w:rsidRPr="00CC0DFE" w:rsidRDefault="00DF72ED" w:rsidP="0016507E">
      <w:pPr>
        <w:pStyle w:val="Puesto"/>
        <w:rPr>
          <w:rFonts w:eastAsia="Palatino Linotype"/>
        </w:rPr>
      </w:pPr>
      <w:r w:rsidRPr="00CC0DFE">
        <w:rPr>
          <w:rFonts w:eastAsia="Palatino Linotype"/>
        </w:rPr>
        <w:t xml:space="preserve">Lo anterior, siempre y cuando no se acredite alguna causal de clasificación, prevista en las leyes o en los tratados internaciones suscritos por el Estado mexicano. </w:t>
      </w:r>
    </w:p>
    <w:p w14:paraId="4CE16D0B" w14:textId="77777777" w:rsidR="00DF72ED" w:rsidRPr="00CC0DFE" w:rsidRDefault="00DF72ED" w:rsidP="0016507E">
      <w:pPr>
        <w:pStyle w:val="Puesto"/>
        <w:rPr>
          <w:rFonts w:eastAsia="Palatino Linotype"/>
        </w:rPr>
      </w:pPr>
      <w:r w:rsidRPr="00CC0DFE">
        <w:rPr>
          <w:rFonts w:eastAsia="Palatino Linotype"/>
          <w:b/>
        </w:rPr>
        <w:lastRenderedPageBreak/>
        <w:t>Quincuagésimo octavo</w:t>
      </w:r>
      <w:r w:rsidRPr="00CC0DFE">
        <w:rPr>
          <w:rFonts w:eastAsia="Palatino Linotype"/>
        </w:rPr>
        <w:t>. Los sujetos obligados garantizarán que los sistemas o medios empleados para eliminar la información en las versiones públicas no permitan la recuperación o visualización de la misma.”</w:t>
      </w:r>
    </w:p>
    <w:p w14:paraId="7F21160F" w14:textId="77777777" w:rsidR="00DF72ED" w:rsidRPr="00CC0DFE" w:rsidRDefault="00DF72ED" w:rsidP="0016507E">
      <w:pPr>
        <w:spacing w:before="240" w:after="240"/>
        <w:rPr>
          <w:rFonts w:eastAsia="Palatino Linotype" w:cs="Palatino Linotype"/>
        </w:rPr>
      </w:pPr>
      <w:r w:rsidRPr="00CC0DFE">
        <w:rPr>
          <w:rFonts w:eastAsia="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que sean exclusivamente de particulares, entre otros.</w:t>
      </w:r>
    </w:p>
    <w:p w14:paraId="33584033" w14:textId="77777777" w:rsidR="00DF72ED" w:rsidRPr="00CC0DFE" w:rsidRDefault="00DF72ED" w:rsidP="0016507E">
      <w:pPr>
        <w:spacing w:before="240" w:after="240"/>
        <w:rPr>
          <w:rFonts w:eastAsia="Palatino Linotype" w:cs="Palatino Linotype"/>
        </w:rPr>
      </w:pPr>
      <w:r w:rsidRPr="00CC0DFE">
        <w:rPr>
          <w:rFonts w:eastAsia="Palatino Linotype" w:cs="Palatino Linotype"/>
        </w:rPr>
        <w:t xml:space="preserve">La </w:t>
      </w:r>
      <w:r w:rsidRPr="00CC0DFE">
        <w:rPr>
          <w:rFonts w:eastAsia="Palatino Linotype" w:cs="Palatino Linotype"/>
          <w:b/>
        </w:rPr>
        <w:t>clave de elector</w:t>
      </w:r>
      <w:r w:rsidRPr="00CC0DFE">
        <w:rPr>
          <w:rFonts w:eastAsia="Palatino Linotype" w:cs="Palatino Linotype"/>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5BA3BD04" w14:textId="77777777" w:rsidR="00DF72ED" w:rsidRPr="00CC0DFE" w:rsidRDefault="00DF72ED" w:rsidP="0016507E">
      <w:pPr>
        <w:spacing w:before="240" w:after="240"/>
        <w:rPr>
          <w:rFonts w:eastAsia="Palatino Linotype" w:cs="Palatino Linotype"/>
        </w:rPr>
      </w:pPr>
      <w:r w:rsidRPr="00CC0DFE">
        <w:rPr>
          <w:rFonts w:eastAsia="Palatino Linotype" w:cs="Palatino Linotype"/>
        </w:rPr>
        <w:t xml:space="preserve">El </w:t>
      </w:r>
      <w:r w:rsidRPr="00CC0DFE">
        <w:rPr>
          <w:rFonts w:eastAsia="Palatino Linotype" w:cs="Palatino Linotype"/>
          <w:b/>
        </w:rPr>
        <w:t>número de OCR,</w:t>
      </w:r>
      <w:r w:rsidRPr="00CC0DFE">
        <w:rPr>
          <w:rFonts w:eastAsia="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33973026" w14:textId="77777777" w:rsidR="00DF72ED" w:rsidRPr="00CC0DFE" w:rsidRDefault="00DF72ED" w:rsidP="0016507E">
      <w:pPr>
        <w:spacing w:before="240" w:after="240"/>
        <w:rPr>
          <w:rFonts w:eastAsia="Palatino Linotype" w:cs="Palatino Linotype"/>
        </w:rPr>
      </w:pPr>
      <w:r w:rsidRPr="00CC0DFE">
        <w:rPr>
          <w:rFonts w:eastAsia="Palatino Linotype" w:cs="Palatino Linotype"/>
        </w:rPr>
        <w:t xml:space="preserve">La </w:t>
      </w:r>
      <w:r w:rsidRPr="00CC0DFE">
        <w:rPr>
          <w:rFonts w:eastAsia="Palatino Linotype" w:cs="Palatino Linotype"/>
          <w:b/>
        </w:rPr>
        <w:t>clave única del registro de población,</w:t>
      </w:r>
      <w:r w:rsidRPr="00CC0DFE">
        <w:rPr>
          <w:rFonts w:eastAsia="Palatino Linotype" w:cs="Palatino Linotype"/>
          <w:i/>
        </w:rPr>
        <w:t xml:space="preserve"> </w:t>
      </w:r>
      <w:r w:rsidRPr="00CC0DFE">
        <w:rPr>
          <w:rFonts w:eastAsia="Palatino Linotype" w:cs="Palatino Linotype"/>
        </w:rPr>
        <w:t xml:space="preserve">se integra por datos personales que sólo conciernen al particular titular de la misma, como lo son su nombre, apellidos, fecha de nacimiento, lugar de nacimiento y sexo. Dichos datos, constituyen información que distingue plenamente a una </w:t>
      </w:r>
      <w:r w:rsidRPr="00CC0DFE">
        <w:rPr>
          <w:rFonts w:eastAsia="Palatino Linotype" w:cs="Palatino Linotype"/>
        </w:rPr>
        <w:lastRenderedPageBreak/>
        <w:t>persona física del resto de los habitantes del país, por lo que está considerada como información confidencial.</w:t>
      </w:r>
    </w:p>
    <w:p w14:paraId="4A1EF8A5"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 xml:space="preserve">Igualmente, resulta importante destacar que el </w:t>
      </w:r>
      <w:r w:rsidRPr="00CC0DFE">
        <w:rPr>
          <w:rFonts w:eastAsia="Palatino Linotype" w:cs="Palatino Linotype"/>
          <w:b/>
          <w:i/>
        </w:rPr>
        <w:t>número de cuenta bancaria</w:t>
      </w:r>
      <w:r w:rsidRPr="00CC0DFE">
        <w:rPr>
          <w:rFonts w:eastAsia="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135BFCA"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60B66CD"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E7385B7"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50DD7CA5"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Es por esta razón que se debe omitir el o los números de cuentas bancarias de particulares en las versiones públicas que de las facturas se hagan, para ser entregadas.</w:t>
      </w:r>
    </w:p>
    <w:p w14:paraId="5C03A480"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lastRenderedPageBreak/>
        <w:t>Lo anterior, no es así tratándose de las cuentas bancarias o claves interbancarias de los Sujetos Obligados ya que su publicidad cede a la rendición de cuentas al transparentar la forma en que son administrados los recursos públicos.</w:t>
      </w:r>
    </w:p>
    <w:p w14:paraId="12CAA52F"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032FB805" w14:textId="77777777" w:rsidR="00DF72ED" w:rsidRPr="00CC0DFE" w:rsidRDefault="00DF72ED" w:rsidP="0016507E">
      <w:pPr>
        <w:spacing w:line="276" w:lineRule="auto"/>
        <w:ind w:left="851" w:right="616"/>
        <w:rPr>
          <w:rFonts w:eastAsia="Palatino Linotype" w:cs="Palatino Linotype"/>
          <w:i/>
        </w:rPr>
      </w:pPr>
      <w:r w:rsidRPr="00CC0DFE">
        <w:rPr>
          <w:rFonts w:eastAsia="Palatino Linotype" w:cs="Palatino Linotype"/>
          <w:i/>
        </w:rPr>
        <w:t>“</w:t>
      </w:r>
      <w:r w:rsidRPr="00CC0DFE">
        <w:rPr>
          <w:rFonts w:eastAsia="Palatino Linotype" w:cs="Palatino Linotype"/>
          <w:b/>
          <w:i/>
        </w:rPr>
        <w:t>Cuentas bancarias y/o CLABE interbancaria de personas físicas y morales privadas.</w:t>
      </w:r>
      <w:r w:rsidRPr="00CC0DFE">
        <w:rPr>
          <w:rFonts w:eastAsia="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8B35748" w14:textId="77777777" w:rsidR="00DF72ED" w:rsidRPr="00CC0DFE" w:rsidRDefault="00DF72ED" w:rsidP="0016507E">
      <w:pPr>
        <w:spacing w:line="276" w:lineRule="auto"/>
        <w:ind w:left="851" w:right="616"/>
        <w:rPr>
          <w:rFonts w:eastAsia="Palatino Linotype" w:cs="Palatino Linotype"/>
          <w:i/>
        </w:rPr>
      </w:pPr>
      <w:r w:rsidRPr="00CC0DFE">
        <w:rPr>
          <w:rFonts w:eastAsia="Palatino Linotype" w:cs="Palatino Linotype"/>
          <w:b/>
          <w:i/>
        </w:rPr>
        <w:t>Cuentas bancarias y/o CLABE interbancaria de sujetos obligados que reciben y/o transfieren recursos públicos, son información pública</w:t>
      </w:r>
      <w:r w:rsidRPr="00CC0DFE">
        <w:rPr>
          <w:rFonts w:eastAsia="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328393A"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 xml:space="preserve">Por cuanto hace al </w:t>
      </w:r>
      <w:r w:rsidRPr="00CC0DFE">
        <w:rPr>
          <w:rFonts w:eastAsia="Palatino Linotype" w:cs="Palatino Linotype"/>
          <w:b/>
        </w:rPr>
        <w:t xml:space="preserve">Registro Federal de Contribuyentes (RFC) </w:t>
      </w:r>
      <w:r w:rsidRPr="00CC0DFE">
        <w:rPr>
          <w:rFonts w:eastAsia="Palatino Linotype" w:cs="Palatino Linotype"/>
        </w:rPr>
        <w:t>y</w:t>
      </w:r>
      <w:r w:rsidRPr="00CC0DFE">
        <w:rPr>
          <w:rFonts w:eastAsia="Palatino Linotype" w:cs="Palatino Linotype"/>
          <w:b/>
        </w:rPr>
        <w:t xml:space="preserve"> el domicilio fiscal </w:t>
      </w:r>
      <w:r w:rsidRPr="00CC0DFE">
        <w:rPr>
          <w:rFonts w:eastAsia="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que vayan a ser entregados.</w:t>
      </w:r>
    </w:p>
    <w:p w14:paraId="69284F44"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lastRenderedPageBreak/>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A75E4CE"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CC0DFE">
        <w:rPr>
          <w:rFonts w:eastAsia="Palatino Linotype" w:cs="Palatino Linotype"/>
          <w:b/>
        </w:rPr>
        <w:t>no puede considerarse como información clasificada lo relativo a su nombre, registro federal de contribuyentes y domicilio fiscal</w:t>
      </w:r>
      <w:r w:rsidRPr="00CC0DFE">
        <w:rPr>
          <w:rFonts w:eastAsia="Palatino Linotype" w:cs="Palatino Linotype"/>
        </w:rPr>
        <w:t>, atento a que dicha información es la que puede generar certeza en los gobernados en que se está ejerciendo debidamente el presupuesto.</w:t>
      </w:r>
    </w:p>
    <w:p w14:paraId="27D78B67" w14:textId="77777777" w:rsidR="00DF72ED" w:rsidRPr="00CC0DFE" w:rsidRDefault="00DF72ED" w:rsidP="0016507E">
      <w:pPr>
        <w:spacing w:before="240" w:after="240"/>
        <w:rPr>
          <w:rFonts w:eastAsia="Palatino Linotype" w:cs="Palatino Linotype"/>
        </w:rPr>
      </w:pPr>
      <w:r w:rsidRPr="00CC0DFE">
        <w:rPr>
          <w:rFonts w:eastAsia="Palatino Linotype" w:cs="Palatino Linotype"/>
        </w:rPr>
        <w:t>Robustece lo anterior el criterio orientador 04/21 emitido por el Instituto Nacional de Transparencia, Acceso a la Información y Protección de Datos Personales, INAI, el cual refiere:</w:t>
      </w:r>
    </w:p>
    <w:p w14:paraId="130BBCB9" w14:textId="77777777" w:rsidR="00DF72ED" w:rsidRPr="00CC0DFE" w:rsidRDefault="00DF72ED" w:rsidP="0016507E">
      <w:pPr>
        <w:pStyle w:val="Puesto"/>
        <w:rPr>
          <w:rFonts w:eastAsia="Palatino Linotype"/>
        </w:rPr>
      </w:pPr>
      <w:r w:rsidRPr="00CC0DFE">
        <w:rPr>
          <w:rFonts w:eastAsia="Palatino Linotype"/>
          <w:b/>
        </w:rPr>
        <w:t xml:space="preserve">“Registro Federal de Contribuyentes (RFC) de personas físicas proveedoras o contratistas. </w:t>
      </w:r>
      <w:r w:rsidRPr="00CC0DFE">
        <w:rPr>
          <w:rFonts w:eastAsia="Palatino Linotype"/>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453B191"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 xml:space="preserve">Relacionado con lo anterior, el </w:t>
      </w:r>
      <w:r w:rsidRPr="00CC0DFE">
        <w:rPr>
          <w:rFonts w:eastAsia="Palatino Linotype" w:cs="Palatino Linotype"/>
          <w:b/>
        </w:rPr>
        <w:t>nombre de las personas físicas</w:t>
      </w:r>
      <w:r w:rsidRPr="00CC0DFE">
        <w:rPr>
          <w:rFonts w:eastAsia="Palatino Linotype" w:cs="Palatino Linotype"/>
        </w:rPr>
        <w:t xml:space="preserve"> o los </w:t>
      </w:r>
      <w:r w:rsidRPr="00CC0DFE">
        <w:rPr>
          <w:rFonts w:eastAsia="Palatino Linotype" w:cs="Palatino Linotype"/>
          <w:b/>
        </w:rPr>
        <w:t>representantes legales de las personas morales</w:t>
      </w:r>
      <w:r w:rsidRPr="00CC0DFE">
        <w:rPr>
          <w:rFonts w:eastAsia="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w:t>
      </w:r>
      <w:r w:rsidRPr="00CC0DFE">
        <w:rPr>
          <w:rFonts w:eastAsia="Palatino Linotype" w:cs="Palatino Linotype"/>
        </w:rPr>
        <w:lastRenderedPageBreak/>
        <w:t>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9CFCF88"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145975AB" w14:textId="77777777" w:rsidR="00DF72ED" w:rsidRPr="00CC0DFE" w:rsidRDefault="00DF72ED" w:rsidP="0016507E">
      <w:pPr>
        <w:pStyle w:val="Puesto"/>
        <w:rPr>
          <w:rFonts w:eastAsia="Palatino Linotype"/>
          <w:b/>
        </w:rPr>
      </w:pPr>
      <w:r w:rsidRPr="00CC0DFE">
        <w:rPr>
          <w:rFonts w:eastAsia="Palatino Linotype"/>
        </w:rPr>
        <w:t>“</w:t>
      </w:r>
      <w:r w:rsidRPr="00CC0DFE">
        <w:rPr>
          <w:rFonts w:eastAsia="Palatino Linotype"/>
          <w:b/>
        </w:rPr>
        <w:t>Artículo 23. (…)</w:t>
      </w:r>
    </w:p>
    <w:p w14:paraId="4703CBC1" w14:textId="77777777" w:rsidR="00DF72ED" w:rsidRPr="00CC0DFE" w:rsidRDefault="00DF72ED" w:rsidP="0016507E">
      <w:pPr>
        <w:pStyle w:val="Puesto"/>
        <w:rPr>
          <w:rFonts w:eastAsia="Palatino Linotype"/>
        </w:rPr>
      </w:pPr>
      <w:r w:rsidRPr="00CC0DFE">
        <w:rPr>
          <w:rFonts w:eastAsia="Palatino Linotyp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7AC9283" w14:textId="77777777" w:rsidR="00DF72ED" w:rsidRPr="00CC0DFE" w:rsidRDefault="00DF72ED" w:rsidP="0016507E">
      <w:pPr>
        <w:spacing w:before="280" w:after="280"/>
        <w:rPr>
          <w:rFonts w:eastAsia="Palatino Linotype" w:cs="Palatino Linotype"/>
        </w:rPr>
      </w:pPr>
      <w:r w:rsidRPr="00CC0DFE">
        <w:rPr>
          <w:rFonts w:eastAsia="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327D9EE8" w14:textId="77777777" w:rsidR="00DF72ED" w:rsidRPr="00CC0DFE" w:rsidRDefault="00DF72ED" w:rsidP="0016507E">
      <w:pPr>
        <w:pStyle w:val="Puesto"/>
        <w:rPr>
          <w:rFonts w:eastAsia="Palatino Linotype"/>
        </w:rPr>
      </w:pPr>
      <w:r w:rsidRPr="00CC0DFE">
        <w:rPr>
          <w:rFonts w:eastAsia="Palatino Linotype"/>
        </w:rPr>
        <w:t>“</w:t>
      </w:r>
      <w:r w:rsidRPr="00CC0DFE">
        <w:rPr>
          <w:rFonts w:eastAsia="Palatino Linotype"/>
          <w:b/>
        </w:rPr>
        <w:t>Datos de identificación del representante o apoderado legal.</w:t>
      </w:r>
      <w:r w:rsidRPr="00CC0DFE">
        <w:rPr>
          <w:rFonts w:eastAsia="Palatino Linotype"/>
        </w:rPr>
        <w:t xml:space="preserve"> </w:t>
      </w:r>
      <w:r w:rsidRPr="00CC0DFE">
        <w:rPr>
          <w:rFonts w:eastAsia="Palatino Linotype"/>
          <w:b/>
        </w:rPr>
        <w:t xml:space="preserve">Naturaleza jurídica. </w:t>
      </w:r>
      <w:r w:rsidRPr="00CC0DFE">
        <w:rPr>
          <w:rFonts w:eastAsia="Palatino Linotype"/>
        </w:rPr>
        <w:t xml:space="preserve">El nombre, la firma y la rúbrica de una persona física, que actúe como representante o apoderado legal de un tercero que haya celebrado un acto jurídico, con algún sujeto obligado, </w:t>
      </w:r>
      <w:r w:rsidRPr="00CC0DFE">
        <w:rPr>
          <w:rFonts w:eastAsia="Palatino Linotype"/>
          <w:b/>
        </w:rPr>
        <w:t>es información pública, en razón de que tales datos fueron proporcionados con el objeto de expresar el consentimiento obligacional del tercero y otorgar validez a dicho instrumento jurídico</w:t>
      </w:r>
      <w:r w:rsidRPr="00CC0DFE">
        <w:rPr>
          <w:rFonts w:eastAsia="Palatino Linotype"/>
        </w:rPr>
        <w:t>.”</w:t>
      </w:r>
    </w:p>
    <w:p w14:paraId="056AB896" w14:textId="77777777" w:rsidR="00830191" w:rsidRPr="00CC0DFE" w:rsidRDefault="00830191" w:rsidP="0016507E">
      <w:pPr>
        <w:ind w:left="851" w:right="616"/>
        <w:rPr>
          <w:rFonts w:eastAsia="Palatino Linotype" w:cs="Palatino Linotype"/>
          <w:i/>
        </w:rPr>
      </w:pPr>
    </w:p>
    <w:p w14:paraId="595053BE" w14:textId="77777777" w:rsidR="00910485" w:rsidRPr="00CC0DFE" w:rsidRDefault="00DF72ED" w:rsidP="0016507E">
      <w:pPr>
        <w:spacing w:before="240" w:after="240"/>
        <w:contextualSpacing/>
        <w:rPr>
          <w:rFonts w:eastAsia="Palatino Linotype" w:cs="Palatino Linotype"/>
        </w:rPr>
      </w:pPr>
      <w:r w:rsidRPr="00CC0DFE">
        <w:rPr>
          <w:rFonts w:eastAsia="Palatino Linotype" w:cs="Palatino Linotype"/>
        </w:rPr>
        <w:t xml:space="preserve">En el caso del </w:t>
      </w:r>
      <w:r w:rsidRPr="00CC0DFE">
        <w:rPr>
          <w:rFonts w:eastAsia="Palatino Linotype" w:cs="Palatino Linotype"/>
          <w:b/>
        </w:rPr>
        <w:t>folio fiscal</w:t>
      </w:r>
      <w:r w:rsidRPr="00CC0DFE">
        <w:rPr>
          <w:rFonts w:eastAsia="Palatino Linotype" w:cs="Palatino Linotype"/>
        </w:rPr>
        <w:t xml:space="preserve">, la </w:t>
      </w:r>
      <w:r w:rsidRPr="00CC0DFE">
        <w:rPr>
          <w:rFonts w:eastAsia="Palatino Linotype" w:cs="Palatino Linotype"/>
          <w:b/>
        </w:rPr>
        <w:t xml:space="preserve">cadena original, </w:t>
      </w:r>
      <w:r w:rsidRPr="00CC0DFE">
        <w:rPr>
          <w:rFonts w:eastAsia="Palatino Linotype" w:cs="Palatino Linotype"/>
        </w:rPr>
        <w:t>los</w:t>
      </w:r>
      <w:r w:rsidRPr="00CC0DFE">
        <w:rPr>
          <w:rFonts w:eastAsia="Palatino Linotype" w:cs="Palatino Linotype"/>
          <w:b/>
        </w:rPr>
        <w:t xml:space="preserve"> códigos bidimensionales o códigos QR,</w:t>
      </w:r>
      <w:r w:rsidRPr="00CC0DFE">
        <w:rPr>
          <w:rFonts w:eastAsia="Palatino Linotype" w:cs="Palatino Linotype"/>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w:t>
      </w:r>
      <w:r w:rsidRPr="00CC0DFE">
        <w:rPr>
          <w:rFonts w:eastAsia="Palatino Linotype" w:cs="Palatino Linotype"/>
        </w:rPr>
        <w:lastRenderedPageBreak/>
        <w:t>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43116CC7" w14:textId="77777777" w:rsidR="009216CA" w:rsidRPr="00CC0DFE" w:rsidRDefault="009216CA" w:rsidP="0016507E">
      <w:pPr>
        <w:spacing w:before="240" w:after="240"/>
        <w:rPr>
          <w:rFonts w:eastAsia="Palatino Linotype" w:cs="Palatino Linotype"/>
        </w:rPr>
      </w:pPr>
    </w:p>
    <w:p w14:paraId="4E7E08F0" w14:textId="1C0691BB" w:rsidR="00DF72ED" w:rsidRPr="00CC0DFE" w:rsidRDefault="00DF72ED" w:rsidP="0016507E">
      <w:pPr>
        <w:spacing w:before="240" w:after="240"/>
        <w:rPr>
          <w:rFonts w:eastAsia="Palatino Linotype" w:cs="Palatino Linotype"/>
        </w:rPr>
      </w:pPr>
      <w:r w:rsidRPr="00CC0DFE">
        <w:rPr>
          <w:rFonts w:eastAsia="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5429B594" w14:textId="74356CAB" w:rsidR="00DF72ED" w:rsidRPr="00CC0DFE" w:rsidRDefault="00DF72ED" w:rsidP="0016507E">
      <w:pPr>
        <w:spacing w:before="240" w:after="240"/>
        <w:rPr>
          <w:rFonts w:eastAsia="Palatino Linotype" w:cs="Palatino Linotype"/>
        </w:rPr>
      </w:pPr>
      <w:r w:rsidRPr="00CC0DFE">
        <w:rPr>
          <w:rFonts w:eastAsia="Palatino Linotype" w:cs="Palatino Linotype"/>
        </w:rPr>
        <w:t xml:space="preserve">Asimismo, se destaca que la versión pública que elabore </w:t>
      </w:r>
      <w:r w:rsidR="00830191" w:rsidRPr="00CC0DFE">
        <w:rPr>
          <w:rFonts w:eastAsia="Palatino Linotype" w:cs="Palatino Linotype"/>
          <w:b/>
        </w:rPr>
        <w:t>EL SUJETO OBLIGADO</w:t>
      </w:r>
      <w:r w:rsidR="00830191" w:rsidRPr="00CC0DFE">
        <w:rPr>
          <w:rFonts w:eastAsia="Palatino Linotype" w:cs="Palatino Linotype"/>
        </w:rPr>
        <w:t xml:space="preserve"> </w:t>
      </w:r>
      <w:r w:rsidRPr="00CC0DFE">
        <w:rPr>
          <w:rFonts w:eastAsia="Palatino Linotype" w:cs="Palatino Linotype"/>
        </w:rPr>
        <w:t>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CC0DFE">
        <w:rPr>
          <w:rFonts w:eastAsia="Palatino Linotype" w:cs="Palatino Linotype"/>
          <w:b/>
        </w:rPr>
        <w:t>Recurrente</w:t>
      </w:r>
      <w:r w:rsidRPr="00CC0DFE">
        <w:rPr>
          <w:rFonts w:eastAsia="Palatino Linotype" w:cs="Palatino Linotype"/>
        </w:rPr>
        <w:t>.</w:t>
      </w:r>
    </w:p>
    <w:p w14:paraId="5F27D92A" w14:textId="790B7A16" w:rsidR="00DF72ED" w:rsidRPr="00CC0DFE" w:rsidRDefault="00DF72ED" w:rsidP="0016507E">
      <w:pPr>
        <w:spacing w:before="240" w:after="240"/>
        <w:rPr>
          <w:rFonts w:eastAsia="Palatino Linotype" w:cs="Palatino Linotype"/>
        </w:rPr>
      </w:pPr>
      <w:r w:rsidRPr="00CC0DFE">
        <w:rPr>
          <w:rFonts w:eastAsia="Palatino Linotype" w:cs="Palatino Linotype"/>
        </w:rPr>
        <w:t xml:space="preserve">De este modo, la versión pública que elabore </w:t>
      </w:r>
      <w:r w:rsidR="00830191" w:rsidRPr="00CC0DFE">
        <w:rPr>
          <w:rFonts w:eastAsia="Palatino Linotype" w:cs="Palatino Linotype"/>
          <w:b/>
        </w:rPr>
        <w:t xml:space="preserve">EL SUJETO OBLIGADO </w:t>
      </w:r>
      <w:r w:rsidRPr="00CC0DFE">
        <w:rPr>
          <w:rFonts w:eastAsia="Palatino Linotype" w:cs="Palatino Linotype"/>
        </w:rPr>
        <w:t>debe acompañarse del</w:t>
      </w:r>
      <w:r w:rsidRPr="00CC0DFE">
        <w:rPr>
          <w:rFonts w:eastAsia="Palatino Linotype" w:cs="Palatino Linotype"/>
          <w:b/>
        </w:rPr>
        <w:t xml:space="preserve"> </w:t>
      </w:r>
      <w:r w:rsidRPr="00CC0DFE">
        <w:rPr>
          <w:rFonts w:eastAsia="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w:t>
      </w:r>
      <w:r w:rsidRPr="00CC0DFE">
        <w:rPr>
          <w:rFonts w:eastAsia="Palatino Linotype" w:cs="Palatino Linotype"/>
        </w:rPr>
        <w:lastRenderedPageBreak/>
        <w:t xml:space="preserve">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CC0DFE">
        <w:rPr>
          <w:rFonts w:eastAsia="Palatino Linotype" w:cs="Palatino Linotype"/>
          <w:b/>
          <w:u w:val="single"/>
        </w:rPr>
        <w:t>razones, motivos o circunstancias especiales</w:t>
      </w:r>
      <w:r w:rsidRPr="00CC0DFE">
        <w:rPr>
          <w:rFonts w:eastAsia="Palatino Linotype" w:cs="Palatino Linotype"/>
        </w:rPr>
        <w:t xml:space="preserve"> que lo llevaron a concluir que el caso concreto, se ajustó a los supuestos previstos en la normatividad legal invocada como fundamento.</w:t>
      </w:r>
    </w:p>
    <w:p w14:paraId="16C2F767" w14:textId="77777777" w:rsidR="00DF72ED" w:rsidRPr="00CC0DFE" w:rsidRDefault="00DF72ED" w:rsidP="0016507E">
      <w:pPr>
        <w:spacing w:before="240" w:after="240"/>
        <w:rPr>
          <w:rFonts w:eastAsia="Palatino Linotype" w:cs="Palatino Linotype"/>
        </w:rPr>
      </w:pPr>
      <w:r w:rsidRPr="00CC0DFE">
        <w:rPr>
          <w:rFonts w:eastAsia="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5099E769" w14:textId="77777777" w:rsidR="00DF72ED" w:rsidRPr="00CC0DFE" w:rsidRDefault="00DF72ED" w:rsidP="0016507E">
      <w:pPr>
        <w:pStyle w:val="Puesto"/>
        <w:rPr>
          <w:rFonts w:eastAsia="Palatino Linotype"/>
        </w:rPr>
      </w:pPr>
      <w:r w:rsidRPr="00CC0DFE">
        <w:rPr>
          <w:rFonts w:eastAsia="Palatino Linotype"/>
          <w:b/>
        </w:rPr>
        <w:t>“Quincuagésimo segundo</w:t>
      </w:r>
      <w:r w:rsidRPr="00CC0DFE">
        <w:rPr>
          <w:rFonts w:eastAsia="Palatino Linotype"/>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B4F7B71" w14:textId="77777777" w:rsidR="00DF72ED" w:rsidRPr="00CC0DFE" w:rsidRDefault="00DF72ED" w:rsidP="0016507E">
      <w:pPr>
        <w:pStyle w:val="Puesto"/>
        <w:rPr>
          <w:rFonts w:eastAsia="Palatino Linotype"/>
        </w:rPr>
      </w:pPr>
      <w:r w:rsidRPr="00CC0DFE">
        <w:rPr>
          <w:rFonts w:eastAsia="Palatino Linotype"/>
        </w:rPr>
        <w:t xml:space="preserve">En el caso especifico de la clasificación y elaboración de versiones públicas de documentos que contengan información confidencial, las áreas de los sujetos obligados deberán: </w:t>
      </w:r>
    </w:p>
    <w:p w14:paraId="733F5EC9" w14:textId="77777777" w:rsidR="00DF72ED" w:rsidRPr="00CC0DFE" w:rsidRDefault="00DF72ED" w:rsidP="0016507E">
      <w:pPr>
        <w:pStyle w:val="Puesto"/>
        <w:rPr>
          <w:rFonts w:eastAsia="Palatino Linotype"/>
        </w:rPr>
      </w:pPr>
      <w:r w:rsidRPr="00CC0DFE">
        <w:rPr>
          <w:rFonts w:eastAsia="Palatino Linotype"/>
          <w:b/>
        </w:rPr>
        <w:t>I.</w:t>
      </w:r>
      <w:r w:rsidRPr="00CC0DFE">
        <w:rPr>
          <w:rFonts w:eastAsia="Palatino Linotype"/>
        </w:rPr>
        <w:t xml:space="preserve"> Fijar la fecha en que se elaboró la versión pública y la fecha en la cual el Comité de Transparencia confirmó dicha versión;</w:t>
      </w:r>
    </w:p>
    <w:p w14:paraId="612442D3" w14:textId="77777777" w:rsidR="00DF72ED" w:rsidRPr="00CC0DFE" w:rsidRDefault="00DF72ED" w:rsidP="0016507E">
      <w:pPr>
        <w:pStyle w:val="Puesto"/>
        <w:rPr>
          <w:rFonts w:eastAsia="Palatino Linotype"/>
        </w:rPr>
      </w:pPr>
      <w:r w:rsidRPr="00CC0DFE">
        <w:rPr>
          <w:rFonts w:eastAsia="Palatino Linotype"/>
          <w:b/>
        </w:rPr>
        <w:t>II.</w:t>
      </w:r>
      <w:r w:rsidRPr="00CC0DFE">
        <w:rPr>
          <w:rFonts w:eastAsia="Palatino Linotype"/>
        </w:rPr>
        <w:t xml:space="preserve"> Señalar dentro del documento el tipo de información confidencial que fue testada en cada caso específico, de conformidad con el lineamiento trigésimo octavo; y</w:t>
      </w:r>
    </w:p>
    <w:p w14:paraId="47247198" w14:textId="77777777" w:rsidR="00DF72ED" w:rsidRPr="00CC0DFE" w:rsidRDefault="00DF72ED" w:rsidP="0016507E">
      <w:pPr>
        <w:pStyle w:val="Puesto"/>
        <w:rPr>
          <w:rFonts w:eastAsia="Palatino Linotype"/>
        </w:rPr>
      </w:pPr>
      <w:r w:rsidRPr="00CC0DFE">
        <w:rPr>
          <w:rFonts w:eastAsia="Palatino Linotype"/>
          <w:b/>
        </w:rPr>
        <w:t>III.</w:t>
      </w:r>
      <w:r w:rsidRPr="00CC0DFE">
        <w:rPr>
          <w:rFonts w:eastAsia="Palatino Linotype"/>
        </w:rPr>
        <w:t xml:space="preserve"> Señalar las personas o instancias autorizadas a acceder a la información clasificada.</w:t>
      </w:r>
    </w:p>
    <w:p w14:paraId="5C269EFF" w14:textId="77777777" w:rsidR="00DF72ED" w:rsidRPr="00CC0DFE" w:rsidRDefault="00DF72ED" w:rsidP="0016507E">
      <w:pPr>
        <w:pStyle w:val="Puesto"/>
        <w:rPr>
          <w:rFonts w:eastAsia="Palatino Linotype"/>
        </w:rPr>
      </w:pPr>
      <w:r w:rsidRPr="00CC0DFE">
        <w:rPr>
          <w:rFonts w:eastAsia="Palatino Linotype"/>
        </w:rPr>
        <w:t>En los documentos de difusión electrónica, señalar en la primera hoja y en el nombre del archivo, que la versión pública corresponde a un documento que contiene información confidencial.”</w:t>
      </w:r>
    </w:p>
    <w:p w14:paraId="50AE811D" w14:textId="77777777" w:rsidR="00DF72ED" w:rsidRPr="00CC0DFE" w:rsidRDefault="00DF72ED" w:rsidP="0016507E">
      <w:pPr>
        <w:spacing w:before="240" w:after="240"/>
        <w:ind w:right="50"/>
        <w:rPr>
          <w:rFonts w:eastAsia="Palatino Linotype" w:cs="Palatino Linotype"/>
        </w:rPr>
      </w:pPr>
      <w:r w:rsidRPr="00CC0DFE">
        <w:rPr>
          <w:rFonts w:eastAsia="Palatino Linotype" w:cs="Palatino Linotype"/>
        </w:rPr>
        <w:t>Deberá observar los Lineamientos Quincuagésimo sexto, Quincuagésimo séptimo y Quincuagésimo octavo, establecen lo siguiente:</w:t>
      </w:r>
    </w:p>
    <w:p w14:paraId="519C25A1" w14:textId="77777777" w:rsidR="00DF72ED" w:rsidRPr="00CC0DFE" w:rsidRDefault="00DF72ED" w:rsidP="0016507E">
      <w:pPr>
        <w:pStyle w:val="Puesto"/>
        <w:rPr>
          <w:rFonts w:eastAsia="Palatino Linotype"/>
        </w:rPr>
      </w:pPr>
      <w:r w:rsidRPr="00CC0DFE">
        <w:rPr>
          <w:rFonts w:eastAsia="Palatino Linotype"/>
        </w:rPr>
        <w:t>“</w:t>
      </w:r>
      <w:r w:rsidRPr="00CC0DFE">
        <w:rPr>
          <w:rFonts w:eastAsia="Palatino Linotype"/>
          <w:b/>
        </w:rPr>
        <w:t>Quincuagésimo sexto</w:t>
      </w:r>
      <w:r w:rsidRPr="00CC0DFE">
        <w:rPr>
          <w:rFonts w:eastAsia="Palatino Linotype"/>
        </w:rPr>
        <w:t xml:space="preserve">. Cuando la elaboración de la versión pública del documento o expediente que contenga partes o secciones reservadas o confidenciales, genere costos por </w:t>
      </w:r>
      <w:r w:rsidRPr="00CC0DFE">
        <w:rPr>
          <w:rFonts w:eastAsia="Palatino Linotype"/>
        </w:rPr>
        <w:lastRenderedPageBreak/>
        <w:t>reproducción por derivar de una solicitud de información o determinación de una autoridad competente, ésta será elaborada hasta que se haya acreditado el pago correspondiente.</w:t>
      </w:r>
    </w:p>
    <w:p w14:paraId="6E5C6122" w14:textId="77777777" w:rsidR="00DF72ED" w:rsidRPr="00CC0DFE" w:rsidRDefault="00DF72ED" w:rsidP="0016507E">
      <w:pPr>
        <w:pStyle w:val="Puesto"/>
        <w:rPr>
          <w:rFonts w:eastAsia="Palatino Linotype"/>
        </w:rPr>
      </w:pPr>
      <w:r w:rsidRPr="00CC0DFE">
        <w:rPr>
          <w:rFonts w:eastAsia="Palatino Linotype"/>
          <w:b/>
        </w:rPr>
        <w:t>Quincuagésimo séptimo</w:t>
      </w:r>
      <w:r w:rsidRPr="00CC0DFE">
        <w:rPr>
          <w:rFonts w:eastAsia="Palatino Linotype"/>
        </w:rPr>
        <w:t xml:space="preserve">. Se considera, en principio, como información pública y no podrá omitirse de las versiones públicas la siguiente: </w:t>
      </w:r>
    </w:p>
    <w:p w14:paraId="690758C6" w14:textId="77777777" w:rsidR="00DF72ED" w:rsidRPr="00CC0DFE" w:rsidRDefault="00DF72ED" w:rsidP="0016507E">
      <w:pPr>
        <w:pStyle w:val="Puesto"/>
        <w:rPr>
          <w:rFonts w:eastAsia="Palatino Linotype"/>
        </w:rPr>
      </w:pPr>
      <w:r w:rsidRPr="00CC0DFE">
        <w:rPr>
          <w:rFonts w:eastAsia="Palatino Linotype"/>
          <w:b/>
        </w:rPr>
        <w:t>I</w:t>
      </w:r>
      <w:r w:rsidRPr="00CC0DFE">
        <w:rPr>
          <w:rFonts w:eastAsia="Palatino Linotype"/>
        </w:rPr>
        <w:t xml:space="preserve">. La relativa a las Obligaciones de Transparencia que contempla el Título V de la Ley General y las demás disposiciones legales aplicables; </w:t>
      </w:r>
    </w:p>
    <w:p w14:paraId="59E594D8" w14:textId="77777777" w:rsidR="00DF72ED" w:rsidRPr="00CC0DFE" w:rsidRDefault="00DF72ED" w:rsidP="0016507E">
      <w:pPr>
        <w:pStyle w:val="Puesto"/>
        <w:rPr>
          <w:rFonts w:eastAsia="Palatino Linotype"/>
        </w:rPr>
      </w:pPr>
      <w:r w:rsidRPr="00CC0DFE">
        <w:rPr>
          <w:rFonts w:eastAsia="Palatino Linotype"/>
          <w:b/>
        </w:rPr>
        <w:t>II.</w:t>
      </w:r>
      <w:r w:rsidRPr="00CC0DFE">
        <w:rPr>
          <w:rFonts w:eastAsia="Palatino Linotype"/>
        </w:rPr>
        <w:t xml:space="preserve"> El nombre de los integrantes de los sujetos obligados en los documentos, y sus firmas autógrafas o digitales, cuando sean utilizados en el ejercicio de las facultades conferidas para el desempeño del servicio público, y</w:t>
      </w:r>
    </w:p>
    <w:p w14:paraId="578C1868" w14:textId="77777777" w:rsidR="00DF72ED" w:rsidRPr="00CC0DFE" w:rsidRDefault="00DF72ED" w:rsidP="0016507E">
      <w:pPr>
        <w:pStyle w:val="Puesto"/>
        <w:rPr>
          <w:rFonts w:eastAsia="Palatino Linotype"/>
        </w:rPr>
      </w:pPr>
      <w:r w:rsidRPr="00CC0DFE">
        <w:rPr>
          <w:rFonts w:eastAsia="Palatino Linotype"/>
          <w:b/>
        </w:rPr>
        <w:t>III</w:t>
      </w:r>
      <w:r w:rsidRPr="00CC0DFE">
        <w:rPr>
          <w:rFonts w:eastAsia="Palatino Linotype"/>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49123E0" w14:textId="77777777" w:rsidR="00DF72ED" w:rsidRPr="00CC0DFE" w:rsidRDefault="00DF72ED" w:rsidP="0016507E">
      <w:pPr>
        <w:pStyle w:val="Puesto"/>
        <w:rPr>
          <w:rFonts w:eastAsia="Palatino Linotype"/>
        </w:rPr>
      </w:pPr>
      <w:r w:rsidRPr="00CC0DFE">
        <w:rPr>
          <w:rFonts w:eastAsia="Palatino Linotype"/>
        </w:rPr>
        <w:t xml:space="preserve">Lo anterior, siempre y cuando no se acredite alguna causal de clasificación, prevista en las leyes o en los tratados internacionales suscritas por el Estado mexicano.  </w:t>
      </w:r>
    </w:p>
    <w:p w14:paraId="3F1A16E6" w14:textId="77777777" w:rsidR="00DF72ED" w:rsidRPr="00CC0DFE" w:rsidRDefault="00DF72ED" w:rsidP="0016507E">
      <w:pPr>
        <w:pStyle w:val="Puesto"/>
        <w:rPr>
          <w:rFonts w:eastAsia="Palatino Linotype"/>
        </w:rPr>
      </w:pPr>
      <w:r w:rsidRPr="00CC0DFE">
        <w:rPr>
          <w:rFonts w:eastAsia="Palatino Linotype"/>
          <w:b/>
        </w:rPr>
        <w:t>Quincuagésimo octavo</w:t>
      </w:r>
      <w:r w:rsidRPr="00CC0DFE">
        <w:rPr>
          <w:rFonts w:eastAsia="Palatino Linotype"/>
        </w:rPr>
        <w:t>. Los sujetos obligados garantizarán que los sistemas o medios empleados para eliminar la información en las versiones públicas sean irreversibles, de tal forma que no permitan su recuperación o la visualización de la misma.”</w:t>
      </w:r>
    </w:p>
    <w:p w14:paraId="6371286E" w14:textId="77777777" w:rsidR="00830191" w:rsidRPr="00CC0DFE" w:rsidRDefault="00830191" w:rsidP="0016507E">
      <w:pPr>
        <w:spacing w:before="240" w:after="240"/>
        <w:rPr>
          <w:rFonts w:eastAsia="Palatino Linotype" w:cs="Palatino Linotype"/>
        </w:rPr>
      </w:pPr>
    </w:p>
    <w:p w14:paraId="66ED5D2E" w14:textId="77777777" w:rsidR="00DF72ED" w:rsidRPr="00CC0DFE" w:rsidRDefault="00DF72ED" w:rsidP="0016507E">
      <w:pPr>
        <w:spacing w:before="240" w:after="240"/>
        <w:rPr>
          <w:rFonts w:eastAsia="Palatino Linotype" w:cs="Palatino Linotype"/>
        </w:rPr>
      </w:pPr>
      <w:r w:rsidRPr="00CC0DFE">
        <w:rPr>
          <w:rFonts w:eastAsia="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C0DFE">
        <w:rPr>
          <w:rFonts w:eastAsia="Palatino Linotype" w:cs="Palatino Linotype"/>
          <w:b/>
        </w:rPr>
        <w:t>Sujeto Obligado</w:t>
      </w:r>
      <w:r w:rsidRPr="00CC0DFE">
        <w:rPr>
          <w:rFonts w:eastAsia="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F3DCE01" w14:textId="77777777" w:rsidR="0016507E" w:rsidRPr="00CC0DFE" w:rsidRDefault="0016507E" w:rsidP="0016507E">
      <w:pPr>
        <w:spacing w:before="240" w:after="240"/>
        <w:rPr>
          <w:rFonts w:eastAsia="Palatino Linotype" w:cs="Palatino Linotype"/>
        </w:rPr>
      </w:pPr>
    </w:p>
    <w:p w14:paraId="6CD05AC4" w14:textId="471085FB" w:rsidR="00BD5A7C" w:rsidRPr="00CC0DFE" w:rsidRDefault="00A917F2" w:rsidP="0016507E">
      <w:pPr>
        <w:pStyle w:val="Ttulo3"/>
      </w:pPr>
      <w:bookmarkStart w:id="28" w:name="_Toc211448475"/>
      <w:r w:rsidRPr="00CC0DFE">
        <w:lastRenderedPageBreak/>
        <w:t>e</w:t>
      </w:r>
      <w:r w:rsidR="00BD5A7C" w:rsidRPr="00CC0DFE">
        <w:t>) Conclusión</w:t>
      </w:r>
      <w:bookmarkEnd w:id="28"/>
    </w:p>
    <w:p w14:paraId="210EF1C8" w14:textId="77777777" w:rsidR="00A917F2" w:rsidRPr="00CC0DFE" w:rsidRDefault="00A917F2" w:rsidP="0016507E">
      <w:pPr>
        <w:widowControl w:val="0"/>
        <w:tabs>
          <w:tab w:val="left" w:pos="1701"/>
          <w:tab w:val="left" w:pos="1843"/>
        </w:tabs>
        <w:rPr>
          <w:rStyle w:val="Textoennegrita"/>
          <w:rFonts w:eastAsiaTheme="majorEastAsia"/>
          <w:b w:val="0"/>
        </w:rPr>
      </w:pPr>
      <w:r w:rsidRPr="00CC0DFE">
        <w:t xml:space="preserve">En razón de lo anteriormente expuesto, este Instituto estima que las razones o motivos de inconformidad hechos valer por </w:t>
      </w:r>
      <w:r w:rsidRPr="00CC0DFE">
        <w:rPr>
          <w:b/>
        </w:rPr>
        <w:t>LA PARTE RECURRENTE</w:t>
      </w:r>
      <w:r w:rsidRPr="00CC0DFE">
        <w:t xml:space="preserve"> devienen </w:t>
      </w:r>
      <w:r w:rsidRPr="00CC0DFE">
        <w:rPr>
          <w:b/>
        </w:rPr>
        <w:t>fundadas</w:t>
      </w:r>
      <w:r w:rsidRPr="00CC0DFE">
        <w:t xml:space="preserve"> y suficientes para </w:t>
      </w:r>
      <w:r w:rsidRPr="00CC0DFE">
        <w:rPr>
          <w:b/>
        </w:rPr>
        <w:t>REVOCAR</w:t>
      </w:r>
      <w:r w:rsidRPr="00CC0DFE">
        <w:t xml:space="preserve"> la respuesta del </w:t>
      </w:r>
      <w:r w:rsidRPr="00CC0DFE">
        <w:rPr>
          <w:b/>
        </w:rPr>
        <w:t>SUJETO OBLIGADO</w:t>
      </w:r>
      <w:r w:rsidRPr="00CC0DFE">
        <w:t xml:space="preserve"> y ordenarle </w:t>
      </w:r>
      <w:r w:rsidRPr="00CC0DFE">
        <w:rPr>
          <w:rStyle w:val="Textoennegrita"/>
          <w:rFonts w:eastAsiaTheme="majorEastAsia"/>
          <w:b w:val="0"/>
        </w:rPr>
        <w:t xml:space="preserve">al </w:t>
      </w:r>
      <w:r w:rsidRPr="00CC0DFE">
        <w:rPr>
          <w:rFonts w:eastAsia="Calibri" w:cs="Tahoma"/>
          <w:szCs w:val="22"/>
          <w:lang w:eastAsia="en-US"/>
        </w:rPr>
        <w:t>Sistema Municipal Para el Desarrollo Integral de la Familia de Tepotzotlán</w:t>
      </w:r>
      <w:r w:rsidRPr="00CC0DFE">
        <w:rPr>
          <w:rStyle w:val="Textoennegrita"/>
          <w:rFonts w:eastAsiaTheme="majorEastAsia"/>
          <w:b w:val="0"/>
        </w:rPr>
        <w:t xml:space="preserve"> la entrega de lo siguiente:</w:t>
      </w:r>
    </w:p>
    <w:p w14:paraId="7758B8DA" w14:textId="77777777" w:rsidR="00A917F2" w:rsidRPr="00CC0DFE" w:rsidRDefault="00A917F2" w:rsidP="0016507E">
      <w:pPr>
        <w:rPr>
          <w:rFonts w:eastAsia="Calibri"/>
          <w:lang w:eastAsia="es-ES_tradnl"/>
        </w:rPr>
      </w:pPr>
    </w:p>
    <w:p w14:paraId="21B87371" w14:textId="036D05BB" w:rsidR="00A917F2" w:rsidRPr="00CC0DFE" w:rsidRDefault="00A917F2" w:rsidP="0016507E">
      <w:pPr>
        <w:ind w:left="851" w:right="822"/>
        <w:rPr>
          <w:rFonts w:eastAsia="Calibri"/>
          <w:lang w:eastAsia="es-ES_tradnl"/>
        </w:rPr>
      </w:pPr>
      <w:r w:rsidRPr="00CC0DFE">
        <w:rPr>
          <w:rFonts w:eastAsia="Calibri"/>
          <w:lang w:eastAsia="es-ES_tradnl"/>
        </w:rPr>
        <w:t>Relativo al evento de entrega de cobertores en la comunidad de los Dolores en el mes de enero de 20025, entregue lo siguiente:</w:t>
      </w:r>
    </w:p>
    <w:p w14:paraId="5C3C4962" w14:textId="77777777" w:rsidR="008924BC" w:rsidRPr="00CC0DFE" w:rsidRDefault="008924BC" w:rsidP="0016507E">
      <w:pPr>
        <w:pStyle w:val="Puesto"/>
        <w:spacing w:line="276" w:lineRule="auto"/>
        <w:ind w:left="851"/>
        <w:rPr>
          <w:rFonts w:eastAsia="Calibri"/>
          <w:i w:val="0"/>
          <w:lang w:eastAsia="es-ES_tradnl"/>
        </w:rPr>
      </w:pPr>
      <w:r w:rsidRPr="00CC0DFE">
        <w:rPr>
          <w:rFonts w:eastAsia="Calibri"/>
          <w:b/>
          <w:i w:val="0"/>
          <w:lang w:eastAsia="es-ES_tradnl"/>
        </w:rPr>
        <w:t xml:space="preserve">a) </w:t>
      </w:r>
      <w:r w:rsidRPr="00CC0DFE">
        <w:rPr>
          <w:rFonts w:eastAsia="Calibri"/>
          <w:i w:val="0"/>
          <w:lang w:eastAsia="es-ES_tradnl"/>
        </w:rPr>
        <w:t>Presupuesto asignado</w:t>
      </w:r>
    </w:p>
    <w:p w14:paraId="0FD82539" w14:textId="77777777" w:rsidR="008924BC" w:rsidRPr="00CC0DFE" w:rsidRDefault="008924BC" w:rsidP="0016507E">
      <w:pPr>
        <w:pStyle w:val="Puesto"/>
        <w:spacing w:line="276" w:lineRule="auto"/>
        <w:ind w:left="851"/>
        <w:rPr>
          <w:rFonts w:eastAsia="Calibri"/>
          <w:i w:val="0"/>
          <w:lang w:eastAsia="es-ES_tradnl"/>
        </w:rPr>
      </w:pPr>
      <w:r w:rsidRPr="00CC0DFE">
        <w:rPr>
          <w:rFonts w:eastAsia="Calibri"/>
          <w:b/>
          <w:i w:val="0"/>
          <w:lang w:eastAsia="es-ES_tradnl"/>
        </w:rPr>
        <w:t xml:space="preserve">b) </w:t>
      </w:r>
      <w:r w:rsidRPr="00CC0DFE">
        <w:rPr>
          <w:rFonts w:eastAsia="Calibri"/>
          <w:i w:val="0"/>
          <w:lang w:eastAsia="es-ES_tradnl"/>
        </w:rPr>
        <w:t>Costo de cada cobertor (factura)</w:t>
      </w:r>
    </w:p>
    <w:p w14:paraId="7218AF68" w14:textId="01C44910" w:rsidR="008924BC" w:rsidRPr="00CC0DFE" w:rsidRDefault="008924BC" w:rsidP="0016507E">
      <w:pPr>
        <w:pStyle w:val="Puesto"/>
        <w:spacing w:line="276" w:lineRule="auto"/>
        <w:ind w:left="851"/>
        <w:rPr>
          <w:i w:val="0"/>
        </w:rPr>
      </w:pPr>
      <w:r w:rsidRPr="00CC0DFE">
        <w:rPr>
          <w:b/>
          <w:i w:val="0"/>
        </w:rPr>
        <w:t>c)</w:t>
      </w:r>
      <w:r w:rsidRPr="00CC0DFE">
        <w:rPr>
          <w:i w:val="0"/>
        </w:rPr>
        <w:t xml:space="preserve"> P</w:t>
      </w:r>
      <w:r w:rsidRPr="00CC0DFE">
        <w:rPr>
          <w:rFonts w:eastAsia="Times New Roman"/>
          <w:bCs/>
          <w:i w:val="0"/>
          <w:szCs w:val="22"/>
          <w:lang w:eastAsia="es-MX"/>
        </w:rPr>
        <w:t xml:space="preserve">eticiones, estudios socioeconómicos </w:t>
      </w:r>
      <w:r w:rsidRPr="00CC0DFE">
        <w:rPr>
          <w:bCs/>
          <w:i w:val="0"/>
          <w:szCs w:val="22"/>
          <w:lang w:eastAsia="es-MX"/>
        </w:rPr>
        <w:t>o</w:t>
      </w:r>
      <w:r w:rsidRPr="00CC0DFE">
        <w:rPr>
          <w:rFonts w:eastAsia="Times New Roman"/>
          <w:bCs/>
          <w:i w:val="0"/>
          <w:szCs w:val="22"/>
          <w:lang w:eastAsia="es-MX"/>
        </w:rPr>
        <w:t xml:space="preserve"> listado de las personas beneficiadas con la entrega de cobertores.</w:t>
      </w:r>
      <w:r w:rsidRPr="00CC0DFE">
        <w:rPr>
          <w:i w:val="0"/>
        </w:rPr>
        <w:t xml:space="preserve"> </w:t>
      </w:r>
    </w:p>
    <w:p w14:paraId="599D01BE" w14:textId="380E0F5C" w:rsidR="00A917F2" w:rsidRPr="00CC0DFE" w:rsidRDefault="008924BC" w:rsidP="0016507E">
      <w:pPr>
        <w:spacing w:after="240"/>
        <w:ind w:left="851"/>
      </w:pPr>
      <w:r w:rsidRPr="00CC0DFE">
        <w:rPr>
          <w:b/>
        </w:rPr>
        <w:t xml:space="preserve">d) </w:t>
      </w:r>
      <w:r w:rsidRPr="00CC0DFE">
        <w:t>Las evidencias de entrega de los cobertores</w:t>
      </w:r>
    </w:p>
    <w:p w14:paraId="7C13D1A0" w14:textId="7979E1F8" w:rsidR="00BD5A7C" w:rsidRPr="00CC0DFE" w:rsidRDefault="0031457D" w:rsidP="0016507E">
      <w:r w:rsidRPr="00CC0DFE">
        <w:t>Así, con fundamento en lo establecido en los artículos 5, párrafos trigésimo noveno, cuadragésimo y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162A0F4" w14:textId="77777777" w:rsidR="0016507E" w:rsidRPr="00CC0DFE" w:rsidRDefault="0016507E" w:rsidP="0016507E"/>
    <w:p w14:paraId="5C396097" w14:textId="684A0E4F" w:rsidR="00664420" w:rsidRPr="00CC0DFE" w:rsidRDefault="00664420" w:rsidP="0016507E">
      <w:pPr>
        <w:pStyle w:val="Ttulo1"/>
      </w:pPr>
      <w:bookmarkStart w:id="29" w:name="_Toc211448476"/>
      <w:r w:rsidRPr="00CC0DFE">
        <w:t>RESUELVE</w:t>
      </w:r>
      <w:bookmarkEnd w:id="29"/>
    </w:p>
    <w:p w14:paraId="203B7093" w14:textId="77777777" w:rsidR="00664420" w:rsidRPr="00CC0DFE" w:rsidRDefault="00664420" w:rsidP="0016507E">
      <w:pPr>
        <w:ind w:right="113"/>
        <w:rPr>
          <w:rFonts w:cs="Arial"/>
          <w:b/>
          <w:szCs w:val="22"/>
        </w:rPr>
      </w:pPr>
    </w:p>
    <w:p w14:paraId="40DE562B" w14:textId="5BAD7016" w:rsidR="00FC3CE0" w:rsidRPr="00CC0DFE" w:rsidRDefault="00FC3CE0" w:rsidP="0016507E">
      <w:pPr>
        <w:widowControl w:val="0"/>
        <w:rPr>
          <w:rFonts w:eastAsia="Calibri" w:cs="Tahoma"/>
          <w:bCs/>
          <w:szCs w:val="22"/>
          <w:lang w:eastAsia="en-US"/>
        </w:rPr>
      </w:pPr>
      <w:r w:rsidRPr="00CC0DFE">
        <w:rPr>
          <w:b/>
          <w:bCs/>
        </w:rPr>
        <w:t>PRIMERO.</w:t>
      </w:r>
      <w:r w:rsidRPr="00CC0DFE">
        <w:t xml:space="preserve"> </w:t>
      </w:r>
      <w:r w:rsidR="008924BC" w:rsidRPr="00CC0DFE">
        <w:rPr>
          <w:rFonts w:cs="Tahoma"/>
          <w:szCs w:val="22"/>
        </w:rPr>
        <w:t xml:space="preserve">Se </w:t>
      </w:r>
      <w:r w:rsidR="008924BC" w:rsidRPr="00CC0DFE">
        <w:rPr>
          <w:rFonts w:cs="Tahoma"/>
          <w:b/>
          <w:bCs/>
          <w:szCs w:val="22"/>
        </w:rPr>
        <w:t>REVOCA</w:t>
      </w:r>
      <w:r w:rsidRPr="00CC0DFE">
        <w:rPr>
          <w:rFonts w:cs="Tahoma"/>
          <w:szCs w:val="22"/>
        </w:rPr>
        <w:t xml:space="preserve"> la respuesta entregada por el </w:t>
      </w:r>
      <w:r w:rsidR="004E5068" w:rsidRPr="00CC0DFE">
        <w:rPr>
          <w:rFonts w:cs="Tahoma"/>
          <w:b/>
          <w:bCs/>
          <w:szCs w:val="22"/>
        </w:rPr>
        <w:t>SUJETO OBLIGADO</w:t>
      </w:r>
      <w:r w:rsidR="004E5068" w:rsidRPr="00CC0DFE">
        <w:rPr>
          <w:rFonts w:cs="Tahoma"/>
          <w:szCs w:val="22"/>
        </w:rPr>
        <w:t xml:space="preserve"> </w:t>
      </w:r>
      <w:r w:rsidR="0041385B" w:rsidRPr="00CC0DFE">
        <w:rPr>
          <w:rFonts w:cs="Tahoma"/>
          <w:szCs w:val="22"/>
        </w:rPr>
        <w:t>en</w:t>
      </w:r>
      <w:r w:rsidRPr="00CC0DFE">
        <w:rPr>
          <w:rFonts w:cs="Tahoma"/>
          <w:szCs w:val="22"/>
        </w:rPr>
        <w:t xml:space="preserve"> la solicitud de información </w:t>
      </w:r>
      <w:r w:rsidR="00A917F2" w:rsidRPr="00CC0DFE">
        <w:rPr>
          <w:rFonts w:cs="Tahoma"/>
          <w:b/>
          <w:bCs/>
        </w:rPr>
        <w:t>00014/DIFTEPOTZO/IP/2025</w:t>
      </w:r>
      <w:r w:rsidRPr="00CC0DFE">
        <w:rPr>
          <w:rFonts w:cs="Tahoma"/>
          <w:bCs/>
          <w:szCs w:val="22"/>
        </w:rPr>
        <w:t xml:space="preserve">, </w:t>
      </w:r>
      <w:r w:rsidRPr="00CC0DFE">
        <w:rPr>
          <w:rFonts w:eastAsia="Calibri" w:cs="Tahoma"/>
          <w:bCs/>
          <w:szCs w:val="22"/>
          <w:lang w:eastAsia="en-US"/>
        </w:rPr>
        <w:t xml:space="preserve">por resultar </w:t>
      </w:r>
      <w:r w:rsidRPr="00CC0DFE">
        <w:rPr>
          <w:rFonts w:eastAsia="Calibri" w:cs="Tahoma"/>
          <w:b/>
          <w:bCs/>
          <w:szCs w:val="22"/>
          <w:lang w:eastAsia="en-US"/>
        </w:rPr>
        <w:t>FUNDADAS</w:t>
      </w:r>
      <w:r w:rsidRPr="00CC0DFE">
        <w:rPr>
          <w:rFonts w:eastAsia="Calibri" w:cs="Tahoma"/>
          <w:bCs/>
          <w:szCs w:val="22"/>
          <w:lang w:eastAsia="en-US"/>
        </w:rPr>
        <w:t xml:space="preserve"> las razones o motivos de inconformidad hechos valer por </w:t>
      </w:r>
      <w:r w:rsidRPr="00CC0DFE">
        <w:rPr>
          <w:rFonts w:eastAsia="Calibri" w:cs="Tahoma"/>
          <w:b/>
          <w:szCs w:val="22"/>
          <w:lang w:eastAsia="en-US"/>
        </w:rPr>
        <w:t>LA PARTE RECURRENTE</w:t>
      </w:r>
      <w:r w:rsidRPr="00CC0DFE">
        <w:rPr>
          <w:rFonts w:eastAsia="Calibri" w:cs="Tahoma"/>
          <w:bCs/>
          <w:szCs w:val="22"/>
          <w:lang w:eastAsia="en-US"/>
        </w:rPr>
        <w:t xml:space="preserve"> en el Recurso de Revisión </w:t>
      </w:r>
      <w:r w:rsidR="00A917F2" w:rsidRPr="00CC0DFE">
        <w:rPr>
          <w:rFonts w:eastAsiaTheme="minorHAnsi" w:cstheme="minorBidi"/>
          <w:b/>
          <w:bCs/>
          <w:szCs w:val="22"/>
          <w:lang w:eastAsia="en-US"/>
        </w:rPr>
        <w:t>03247</w:t>
      </w:r>
      <w:r w:rsidRPr="00CC0DFE">
        <w:rPr>
          <w:rFonts w:eastAsiaTheme="minorHAnsi" w:cstheme="minorBidi"/>
          <w:b/>
          <w:bCs/>
          <w:szCs w:val="22"/>
          <w:lang w:eastAsia="en-US"/>
        </w:rPr>
        <w:t>/INFOEM/IP/RR/</w:t>
      </w:r>
      <w:r w:rsidR="00A917F2" w:rsidRPr="00CC0DFE">
        <w:rPr>
          <w:rFonts w:eastAsiaTheme="minorHAnsi" w:cstheme="minorBidi"/>
          <w:b/>
          <w:bCs/>
          <w:szCs w:val="22"/>
          <w:lang w:eastAsia="en-US"/>
        </w:rPr>
        <w:t>2025</w:t>
      </w:r>
      <w:r w:rsidRPr="00CC0DFE">
        <w:rPr>
          <w:rFonts w:eastAsiaTheme="minorHAnsi" w:cstheme="minorBidi"/>
          <w:szCs w:val="22"/>
          <w:lang w:eastAsia="en-US"/>
        </w:rPr>
        <w:t>,</w:t>
      </w:r>
      <w:r w:rsidRPr="00CC0DFE">
        <w:rPr>
          <w:rFonts w:cs="Tahoma"/>
          <w:b/>
          <w:szCs w:val="22"/>
        </w:rPr>
        <w:t xml:space="preserve"> </w:t>
      </w:r>
      <w:r w:rsidRPr="00CC0DFE">
        <w:rPr>
          <w:rFonts w:eastAsia="Calibri" w:cs="Tahoma"/>
          <w:bCs/>
          <w:szCs w:val="22"/>
          <w:lang w:eastAsia="en-US"/>
        </w:rPr>
        <w:t xml:space="preserve">en términos del considerando </w:t>
      </w:r>
      <w:r w:rsidRPr="00CC0DFE">
        <w:rPr>
          <w:rFonts w:eastAsia="Calibri" w:cs="Tahoma"/>
          <w:b/>
          <w:szCs w:val="22"/>
          <w:lang w:eastAsia="en-US"/>
        </w:rPr>
        <w:t>SEGUNDO</w:t>
      </w:r>
      <w:r w:rsidRPr="00CC0DFE">
        <w:rPr>
          <w:rFonts w:eastAsia="Calibri" w:cs="Tahoma"/>
          <w:bCs/>
          <w:szCs w:val="22"/>
          <w:lang w:eastAsia="en-US"/>
        </w:rPr>
        <w:t xml:space="preserve"> de la presente Resolución.</w:t>
      </w:r>
    </w:p>
    <w:p w14:paraId="16CF919C" w14:textId="0D3432CD" w:rsidR="00FC3CE0" w:rsidRPr="00CC0DFE" w:rsidRDefault="00FC3CE0" w:rsidP="0016507E">
      <w:pPr>
        <w:ind w:right="-93"/>
        <w:rPr>
          <w:rFonts w:eastAsia="Calibri" w:cs="Tahoma"/>
          <w:bCs/>
          <w:szCs w:val="22"/>
          <w:lang w:eastAsia="en-US"/>
        </w:rPr>
      </w:pPr>
      <w:r w:rsidRPr="00CC0DFE">
        <w:rPr>
          <w:rFonts w:eastAsia="Calibri" w:cs="Tahoma"/>
          <w:b/>
          <w:bCs/>
          <w:szCs w:val="22"/>
          <w:lang w:eastAsia="en-US"/>
        </w:rPr>
        <w:lastRenderedPageBreak/>
        <w:t>SEGUNDO.</w:t>
      </w:r>
      <w:r w:rsidRPr="00CC0DFE">
        <w:rPr>
          <w:rFonts w:eastAsia="Calibri" w:cs="Tahoma"/>
          <w:szCs w:val="22"/>
          <w:lang w:eastAsia="es-MX"/>
        </w:rPr>
        <w:t xml:space="preserve"> Se </w:t>
      </w:r>
      <w:r w:rsidRPr="00CC0DFE">
        <w:rPr>
          <w:rFonts w:eastAsia="Calibri" w:cs="Tahoma"/>
          <w:b/>
          <w:szCs w:val="22"/>
          <w:lang w:eastAsia="es-MX"/>
        </w:rPr>
        <w:t xml:space="preserve">ORDENA </w:t>
      </w:r>
      <w:r w:rsidRPr="00CC0DFE">
        <w:rPr>
          <w:rFonts w:eastAsia="Calibri" w:cs="Tahoma"/>
          <w:szCs w:val="22"/>
          <w:lang w:eastAsia="es-MX"/>
        </w:rPr>
        <w:t xml:space="preserve">al </w:t>
      </w:r>
      <w:r w:rsidRPr="00CC0DFE">
        <w:rPr>
          <w:rFonts w:eastAsia="Calibri" w:cs="Tahoma"/>
          <w:b/>
          <w:bCs/>
          <w:szCs w:val="22"/>
          <w:lang w:eastAsia="es-MX"/>
        </w:rPr>
        <w:t>SUJETO OBLIGADO</w:t>
      </w:r>
      <w:r w:rsidRPr="00CC0DFE">
        <w:rPr>
          <w:rFonts w:eastAsia="Calibri" w:cs="Tahoma"/>
          <w:szCs w:val="22"/>
          <w:lang w:eastAsia="es-MX"/>
        </w:rPr>
        <w:t xml:space="preserve">, </w:t>
      </w:r>
      <w:r w:rsidRPr="00CC0DFE">
        <w:rPr>
          <w:rFonts w:eastAsia="Calibri" w:cs="Tahoma"/>
          <w:bCs/>
          <w:szCs w:val="22"/>
          <w:lang w:eastAsia="en-US"/>
        </w:rPr>
        <w:t xml:space="preserve">a efecto de que, previa búsqueda exhaustiva y razonable de la información, entregue a través del </w:t>
      </w:r>
      <w:r w:rsidR="00233005" w:rsidRPr="00CC0DFE">
        <w:rPr>
          <w:rFonts w:eastAsia="Calibri" w:cs="Tahoma"/>
          <w:b/>
          <w:bCs/>
          <w:szCs w:val="22"/>
          <w:lang w:eastAsia="en-US"/>
        </w:rPr>
        <w:t>SAIMEX</w:t>
      </w:r>
      <w:r w:rsidR="00233005" w:rsidRPr="00CC0DFE">
        <w:rPr>
          <w:rFonts w:eastAsia="Calibri" w:cs="Tahoma"/>
          <w:bCs/>
          <w:szCs w:val="22"/>
          <w:lang w:eastAsia="en-US"/>
        </w:rPr>
        <w:t xml:space="preserve">, </w:t>
      </w:r>
      <w:r w:rsidR="00830191" w:rsidRPr="00CC0DFE">
        <w:rPr>
          <w:rFonts w:eastAsia="Calibri" w:cs="Tahoma"/>
          <w:bCs/>
          <w:szCs w:val="22"/>
          <w:lang w:eastAsia="en-US"/>
        </w:rPr>
        <w:t xml:space="preserve">de ser procedente en </w:t>
      </w:r>
      <w:r w:rsidRPr="00CC0DFE">
        <w:rPr>
          <w:rFonts w:eastAsia="Calibri" w:cs="Tahoma"/>
          <w:b/>
          <w:bCs/>
          <w:szCs w:val="22"/>
          <w:lang w:eastAsia="en-US"/>
        </w:rPr>
        <w:t>versión pública</w:t>
      </w:r>
      <w:r w:rsidRPr="00CC0DFE">
        <w:rPr>
          <w:rFonts w:eastAsia="Calibri" w:cs="Tahoma"/>
          <w:bCs/>
          <w:szCs w:val="22"/>
          <w:lang w:eastAsia="en-US"/>
        </w:rPr>
        <w:t>, los documentos que den cuenta de lo siguiente:</w:t>
      </w:r>
    </w:p>
    <w:p w14:paraId="5D95725F" w14:textId="77777777" w:rsidR="00A917F2" w:rsidRPr="00CC0DFE" w:rsidRDefault="00A917F2" w:rsidP="0016507E">
      <w:pPr>
        <w:ind w:right="-93"/>
        <w:rPr>
          <w:rFonts w:eastAsia="Calibri" w:cs="Tahoma"/>
          <w:bCs/>
          <w:szCs w:val="22"/>
          <w:lang w:eastAsia="en-US"/>
        </w:rPr>
      </w:pPr>
    </w:p>
    <w:p w14:paraId="7DA574DB" w14:textId="77777777" w:rsidR="00A917F2" w:rsidRPr="00CC0DFE" w:rsidRDefault="00A917F2" w:rsidP="0016507E">
      <w:pPr>
        <w:rPr>
          <w:rFonts w:eastAsia="Calibri"/>
          <w:lang w:eastAsia="es-ES_tradnl"/>
        </w:rPr>
      </w:pPr>
      <w:r w:rsidRPr="00CC0DFE">
        <w:rPr>
          <w:rFonts w:eastAsia="Calibri"/>
          <w:lang w:eastAsia="es-ES_tradnl"/>
        </w:rPr>
        <w:t xml:space="preserve">Relativo al </w:t>
      </w:r>
      <w:r w:rsidRPr="00CC0DFE">
        <w:rPr>
          <w:shd w:val="clear" w:color="auto" w:fill="FFFFFF"/>
        </w:rPr>
        <w:t>evento</w:t>
      </w:r>
      <w:r w:rsidRPr="00CC0DFE">
        <w:rPr>
          <w:rFonts w:eastAsia="Calibri"/>
          <w:lang w:eastAsia="es-ES_tradnl"/>
        </w:rPr>
        <w:t xml:space="preserve"> de entrega de cobertores en la comunidad de los Dolores en el mes de enero de 20025, entregue lo siguiente:</w:t>
      </w:r>
    </w:p>
    <w:p w14:paraId="4F80FFCD" w14:textId="77777777" w:rsidR="00A917F2" w:rsidRPr="00CC0DFE" w:rsidRDefault="00A917F2" w:rsidP="0016507E">
      <w:pPr>
        <w:ind w:left="851" w:right="822"/>
        <w:rPr>
          <w:rFonts w:eastAsia="Calibri"/>
          <w:lang w:eastAsia="es-ES_tradnl"/>
        </w:rPr>
      </w:pPr>
    </w:p>
    <w:p w14:paraId="22E23A42" w14:textId="1469F4B9" w:rsidR="00A917F2" w:rsidRPr="00CC0DFE" w:rsidRDefault="00897A0D" w:rsidP="0016507E">
      <w:pPr>
        <w:pStyle w:val="Puesto"/>
        <w:spacing w:line="276" w:lineRule="auto"/>
        <w:rPr>
          <w:rFonts w:eastAsia="Calibri"/>
          <w:lang w:eastAsia="es-ES_tradnl"/>
        </w:rPr>
      </w:pPr>
      <w:r w:rsidRPr="00CC0DFE">
        <w:rPr>
          <w:rFonts w:eastAsia="Calibri"/>
          <w:b/>
          <w:lang w:eastAsia="es-ES_tradnl"/>
        </w:rPr>
        <w:t xml:space="preserve">a) </w:t>
      </w:r>
      <w:r w:rsidR="00A917F2" w:rsidRPr="00CC0DFE">
        <w:rPr>
          <w:rFonts w:eastAsia="Calibri"/>
          <w:lang w:eastAsia="es-ES_tradnl"/>
        </w:rPr>
        <w:t>Presupuesto asignado</w:t>
      </w:r>
    </w:p>
    <w:p w14:paraId="5BE1C733" w14:textId="37AC2811" w:rsidR="00A917F2" w:rsidRPr="00CC0DFE" w:rsidRDefault="00897A0D" w:rsidP="0016507E">
      <w:pPr>
        <w:pStyle w:val="Puesto"/>
        <w:spacing w:line="276" w:lineRule="auto"/>
        <w:rPr>
          <w:rFonts w:eastAsia="Calibri"/>
          <w:lang w:eastAsia="es-ES_tradnl"/>
        </w:rPr>
      </w:pPr>
      <w:r w:rsidRPr="00CC0DFE">
        <w:rPr>
          <w:rFonts w:eastAsia="Calibri"/>
          <w:b/>
          <w:lang w:eastAsia="es-ES_tradnl"/>
        </w:rPr>
        <w:t xml:space="preserve">b) </w:t>
      </w:r>
      <w:r w:rsidR="00A917F2" w:rsidRPr="00CC0DFE">
        <w:rPr>
          <w:rFonts w:eastAsia="Calibri"/>
          <w:lang w:eastAsia="es-ES_tradnl"/>
        </w:rPr>
        <w:t>Costo de cada cobertor (factura)</w:t>
      </w:r>
    </w:p>
    <w:p w14:paraId="48DB738C" w14:textId="410082D4" w:rsidR="00A917F2" w:rsidRPr="00CC0DFE" w:rsidRDefault="00897A0D" w:rsidP="0016507E">
      <w:pPr>
        <w:pStyle w:val="Puesto"/>
        <w:spacing w:line="276" w:lineRule="auto"/>
      </w:pPr>
      <w:r w:rsidRPr="00CC0DFE">
        <w:rPr>
          <w:b/>
        </w:rPr>
        <w:t>c)</w:t>
      </w:r>
      <w:r w:rsidRPr="00CC0DFE">
        <w:t xml:space="preserve"> </w:t>
      </w:r>
      <w:r w:rsidR="009216CA" w:rsidRPr="00CC0DFE">
        <w:t>P</w:t>
      </w:r>
      <w:r w:rsidR="009216CA" w:rsidRPr="00CC0DFE">
        <w:rPr>
          <w:rFonts w:eastAsia="Times New Roman"/>
          <w:bCs/>
          <w:szCs w:val="22"/>
          <w:lang w:eastAsia="es-MX"/>
        </w:rPr>
        <w:t xml:space="preserve">eticiones, estudios socioeconómicos </w:t>
      </w:r>
      <w:r w:rsidR="009216CA" w:rsidRPr="00CC0DFE">
        <w:rPr>
          <w:bCs/>
          <w:szCs w:val="22"/>
          <w:lang w:eastAsia="es-MX"/>
        </w:rPr>
        <w:t>o</w:t>
      </w:r>
      <w:r w:rsidR="009216CA" w:rsidRPr="00CC0DFE">
        <w:rPr>
          <w:rFonts w:eastAsia="Times New Roman"/>
          <w:bCs/>
          <w:szCs w:val="22"/>
          <w:lang w:eastAsia="es-MX"/>
        </w:rPr>
        <w:t xml:space="preserve"> listado de las personas beneficiadas con la entrega de cobertores</w:t>
      </w:r>
      <w:r w:rsidR="008924BC" w:rsidRPr="00CC0DFE">
        <w:rPr>
          <w:rFonts w:eastAsia="Times New Roman"/>
          <w:bCs/>
          <w:szCs w:val="22"/>
          <w:lang w:eastAsia="es-MX"/>
        </w:rPr>
        <w:t>.</w:t>
      </w:r>
      <w:r w:rsidR="00A917F2" w:rsidRPr="00CC0DFE">
        <w:t xml:space="preserve"> </w:t>
      </w:r>
    </w:p>
    <w:p w14:paraId="25EC8B84" w14:textId="7F5ED8EC" w:rsidR="00A917F2" w:rsidRPr="00CC0DFE" w:rsidRDefault="00897A0D" w:rsidP="0016507E">
      <w:pPr>
        <w:pStyle w:val="Puesto"/>
        <w:spacing w:line="276" w:lineRule="auto"/>
      </w:pPr>
      <w:r w:rsidRPr="00CC0DFE">
        <w:rPr>
          <w:b/>
        </w:rPr>
        <w:t xml:space="preserve">d) </w:t>
      </w:r>
      <w:r w:rsidR="00A917F2" w:rsidRPr="00CC0DFE">
        <w:t xml:space="preserve">Las evidencias de entrega de los cobertores </w:t>
      </w:r>
    </w:p>
    <w:p w14:paraId="52BF7288" w14:textId="77777777" w:rsidR="00E40A98" w:rsidRPr="00CC0DFE" w:rsidRDefault="00E40A98" w:rsidP="0016507E">
      <w:pPr>
        <w:ind w:right="-93"/>
        <w:rPr>
          <w:rFonts w:eastAsia="Calibri" w:cs="Tahoma"/>
          <w:bCs/>
          <w:szCs w:val="22"/>
          <w:lang w:eastAsia="en-US"/>
        </w:rPr>
      </w:pPr>
    </w:p>
    <w:p w14:paraId="1599BF79" w14:textId="77777777" w:rsidR="00E40A98" w:rsidRPr="00CC0DFE" w:rsidRDefault="00E40A98" w:rsidP="0016507E">
      <w:pPr>
        <w:rPr>
          <w:shd w:val="clear" w:color="auto" w:fill="FFFFFF"/>
        </w:rPr>
      </w:pPr>
      <w:r w:rsidRPr="00CC0DFE">
        <w:rPr>
          <w:shd w:val="clear" w:color="auto" w:fill="FFFFFF"/>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CC0DFE" w:rsidRDefault="00FC3CE0" w:rsidP="0016507E">
      <w:pPr>
        <w:widowControl w:val="0"/>
        <w:rPr>
          <w:rFonts w:eastAsia="Calibri" w:cs="Tahoma"/>
          <w:bCs/>
          <w:szCs w:val="22"/>
          <w:lang w:eastAsia="en-US"/>
        </w:rPr>
      </w:pPr>
    </w:p>
    <w:p w14:paraId="3230BFEF" w14:textId="77777777" w:rsidR="009A0277" w:rsidRPr="00CC0DFE" w:rsidRDefault="009A0277" w:rsidP="0016507E">
      <w:r w:rsidRPr="00CC0DFE">
        <w:rPr>
          <w:b/>
          <w:bCs/>
        </w:rPr>
        <w:t>TERCERO.</w:t>
      </w:r>
      <w:r w:rsidRPr="00CC0DFE">
        <w:t xml:space="preserve"> </w:t>
      </w:r>
      <w:r w:rsidRPr="00CC0DFE">
        <w:rPr>
          <w:rFonts w:eastAsia="Palatino Linotype" w:cs="Palatino Linotype"/>
          <w:b/>
          <w:lang w:eastAsia="es-MX"/>
        </w:rPr>
        <w:t xml:space="preserve">Notifíquese </w:t>
      </w:r>
      <w:r w:rsidRPr="00CC0DFE">
        <w:t xml:space="preserve">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w:t>
      </w:r>
      <w:r w:rsidRPr="00CC0DFE">
        <w:lastRenderedPageBreak/>
        <w:t>215 y 216 de la Ley de Transparencia y Acceso a la Información Pública del Estado de México y Municipios.</w:t>
      </w:r>
    </w:p>
    <w:p w14:paraId="0B820921" w14:textId="77777777" w:rsidR="00FC3CE0" w:rsidRPr="00CC0DFE" w:rsidRDefault="00FC3CE0" w:rsidP="0016507E"/>
    <w:p w14:paraId="16A4F4E2" w14:textId="64DF9CE2" w:rsidR="00FC3CE0" w:rsidRPr="00CC0DFE" w:rsidRDefault="00FC3CE0" w:rsidP="0016507E">
      <w:r w:rsidRPr="00CC0DFE">
        <w:rPr>
          <w:b/>
          <w:bCs/>
        </w:rPr>
        <w:t>CUARTO.</w:t>
      </w:r>
      <w:r w:rsidRPr="00CC0DFE">
        <w:t xml:space="preserve"> Notifíquese a </w:t>
      </w:r>
      <w:r w:rsidRPr="00CC0DFE">
        <w:rPr>
          <w:b/>
          <w:bCs/>
        </w:rPr>
        <w:t>LA PARTE RECURRENTE</w:t>
      </w:r>
      <w:r w:rsidRPr="00CC0DFE">
        <w:t xml:space="preserve"> la presente resolución vía Sistema de Acceso a la Información Mexiquense </w:t>
      </w:r>
      <w:r w:rsidR="008B1E16" w:rsidRPr="00CC0DFE">
        <w:t>(</w:t>
      </w:r>
      <w:r w:rsidRPr="00CC0DFE">
        <w:t>SAIMEX</w:t>
      </w:r>
      <w:r w:rsidR="008B1E16" w:rsidRPr="00CC0DFE">
        <w:t>)</w:t>
      </w:r>
      <w:r w:rsidRPr="00CC0DFE">
        <w:t>.</w:t>
      </w:r>
    </w:p>
    <w:p w14:paraId="515336ED" w14:textId="77777777" w:rsidR="00FC3CE0" w:rsidRPr="00CC0DFE" w:rsidRDefault="00FC3CE0" w:rsidP="0016507E"/>
    <w:p w14:paraId="006EFE1D" w14:textId="07CDFDE4" w:rsidR="00FC3CE0" w:rsidRPr="00CC0DFE" w:rsidRDefault="00FC3CE0" w:rsidP="0016507E">
      <w:r w:rsidRPr="00CC0DFE">
        <w:rPr>
          <w:b/>
          <w:bCs/>
        </w:rPr>
        <w:t>QUINTO</w:t>
      </w:r>
      <w:r w:rsidRPr="00CC0DFE">
        <w:t>. Hágase del conocimiento a</w:t>
      </w:r>
      <w:r w:rsidR="008B1E16" w:rsidRPr="00CC0DFE">
        <w:t xml:space="preserve"> </w:t>
      </w:r>
      <w:r w:rsidR="008B1E16" w:rsidRPr="00CC0DFE">
        <w:rPr>
          <w:b/>
          <w:bCs/>
        </w:rPr>
        <w:t xml:space="preserve">LA PARTE </w:t>
      </w:r>
      <w:r w:rsidRPr="00CC0DFE">
        <w:rPr>
          <w:b/>
          <w:bCs/>
        </w:rPr>
        <w:t>RECURRENTE</w:t>
      </w:r>
      <w:r w:rsidRPr="00CC0DFE">
        <w:t xml:space="preserve"> que</w:t>
      </w:r>
      <w:r w:rsidR="008B1E16" w:rsidRPr="00CC0DFE">
        <w:t>,</w:t>
      </w:r>
      <w:r w:rsidRPr="00CC0DFE">
        <w:t xml:space="preserve"> de conformidad con lo establecido en el artículo 196 de la Ley de Transparencia y Acceso a la Información Pública del Estado de México y Municipios, podrá impugnar</w:t>
      </w:r>
      <w:r w:rsidR="008B1E16" w:rsidRPr="00CC0DFE">
        <w:t xml:space="preserve"> la presente resolución</w:t>
      </w:r>
      <w:r w:rsidRPr="00CC0DFE">
        <w:t xml:space="preserve"> vía Juicio de Amparo en los términos de las leyes aplicables.</w:t>
      </w:r>
    </w:p>
    <w:p w14:paraId="1FDCA0FE" w14:textId="77777777" w:rsidR="00163D12" w:rsidRPr="00CC0DFE" w:rsidRDefault="00163D12" w:rsidP="0016507E"/>
    <w:p w14:paraId="43DF9D99" w14:textId="4C6E52F9" w:rsidR="00FC3CE0" w:rsidRPr="00CC0DFE" w:rsidRDefault="00FC3CE0" w:rsidP="0016507E">
      <w:r w:rsidRPr="00CC0DFE">
        <w:rPr>
          <w:b/>
          <w:bCs/>
        </w:rPr>
        <w:t>SEXTO.</w:t>
      </w:r>
      <w:r w:rsidRPr="00CC0DFE">
        <w:t xml:space="preserve"> De conformidad con el artículo 198 de la Ley de Transparencia y Acceso a la Información Pública del Estado de México y Municipios, el </w:t>
      </w:r>
      <w:r w:rsidR="008B1E16" w:rsidRPr="00CC0DFE">
        <w:rPr>
          <w:b/>
          <w:bCs/>
        </w:rPr>
        <w:t>SUJETO OBLIGADO</w:t>
      </w:r>
      <w:r w:rsidR="008B1E16" w:rsidRPr="00CC0DFE">
        <w:t xml:space="preserve"> </w:t>
      </w:r>
      <w:r w:rsidRPr="00CC0DFE">
        <w:t>podrá solicitar</w:t>
      </w:r>
      <w:r w:rsidR="008B1E16" w:rsidRPr="00CC0DFE">
        <w:t xml:space="preserve"> </w:t>
      </w:r>
      <w:r w:rsidRPr="00CC0DFE">
        <w:t xml:space="preserve">una ampliación de plazo </w:t>
      </w:r>
      <w:r w:rsidR="008B1E16" w:rsidRPr="00CC0DFE">
        <w:t xml:space="preserve">de manera fundada y motivada, </w:t>
      </w:r>
      <w:r w:rsidRPr="00CC0DFE">
        <w:t>para el cumplimiento de la presente resolución.</w:t>
      </w:r>
    </w:p>
    <w:p w14:paraId="2BC8564F" w14:textId="77777777" w:rsidR="00FC3CE0" w:rsidRPr="00CC0DFE" w:rsidRDefault="00FC3CE0" w:rsidP="0016507E">
      <w:pPr>
        <w:ind w:right="113"/>
        <w:rPr>
          <w:rFonts w:cs="Arial"/>
          <w:b/>
          <w:szCs w:val="22"/>
        </w:rPr>
      </w:pPr>
    </w:p>
    <w:p w14:paraId="719A5C63" w14:textId="57D36B15" w:rsidR="00664420" w:rsidRPr="00CC0DFE" w:rsidRDefault="00664420" w:rsidP="0016507E">
      <w:pPr>
        <w:rPr>
          <w:rFonts w:eastAsia="Palatino Linotype" w:cs="Palatino Linotype"/>
          <w:szCs w:val="22"/>
        </w:rPr>
      </w:pPr>
      <w:r w:rsidRPr="00CC0DFE">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A917F2" w:rsidRPr="00CC0DFE">
        <w:rPr>
          <w:rFonts w:eastAsia="Palatino Linotype" w:cs="Palatino Linotype"/>
          <w:szCs w:val="22"/>
        </w:rPr>
        <w:t xml:space="preserve"> TRIGÉSIMA SÉPTIMA</w:t>
      </w:r>
      <w:r w:rsidRPr="00CC0DFE">
        <w:rPr>
          <w:rFonts w:eastAsia="Palatino Linotype" w:cs="Palatino Linotype"/>
          <w:szCs w:val="22"/>
        </w:rPr>
        <w:t xml:space="preserve"> SESIÓN ORDINARIA, CELEBRADA EL </w:t>
      </w:r>
      <w:r w:rsidR="00A917F2" w:rsidRPr="00CC0DFE">
        <w:rPr>
          <w:rFonts w:eastAsia="Palatino Linotype" w:cs="Palatino Linotype"/>
          <w:szCs w:val="22"/>
        </w:rPr>
        <w:t>QUINCE DE OCTUBRE DE DOS MIL VEINTICINCO</w:t>
      </w:r>
      <w:r w:rsidRPr="00CC0DFE">
        <w:rPr>
          <w:rFonts w:eastAsia="Palatino Linotype" w:cs="Palatino Linotype"/>
          <w:szCs w:val="22"/>
        </w:rPr>
        <w:t>, ANTE EL SECRETARIO TÉCNICO DEL PLENO, ALEXIS TAPIA RAMÍREZ.</w:t>
      </w:r>
    </w:p>
    <w:p w14:paraId="2AB73DBD" w14:textId="0EEACBC7" w:rsidR="009A0277" w:rsidRPr="0016507E" w:rsidRDefault="00A917F2" w:rsidP="0016507E">
      <w:pPr>
        <w:widowControl w:val="0"/>
        <w:autoSpaceDE w:val="0"/>
        <w:autoSpaceDN w:val="0"/>
        <w:adjustRightInd w:val="0"/>
        <w:rPr>
          <w:rFonts w:eastAsiaTheme="minorEastAsia"/>
          <w:sz w:val="18"/>
          <w:szCs w:val="18"/>
          <w:lang w:val="it-IT"/>
        </w:rPr>
      </w:pPr>
      <w:r w:rsidRPr="00CC0DFE">
        <w:rPr>
          <w:rFonts w:eastAsiaTheme="minorEastAsia"/>
          <w:sz w:val="18"/>
          <w:szCs w:val="18"/>
          <w:lang w:val="it-IT"/>
        </w:rPr>
        <w:t>SCMM/AGZ/DEMF/AGE</w:t>
      </w:r>
      <w:bookmarkStart w:id="30" w:name="_GoBack"/>
      <w:bookmarkEnd w:id="30"/>
    </w:p>
    <w:p w14:paraId="49D72DA3" w14:textId="77777777" w:rsidR="00664420" w:rsidRPr="0016507E" w:rsidRDefault="00664420" w:rsidP="0016507E">
      <w:pPr>
        <w:ind w:right="-93"/>
        <w:rPr>
          <w:rFonts w:eastAsia="Calibri" w:cs="Tahoma"/>
          <w:bCs/>
          <w:szCs w:val="22"/>
          <w:lang w:eastAsia="en-US"/>
        </w:rPr>
      </w:pPr>
    </w:p>
    <w:p w14:paraId="5EFEA0CD" w14:textId="77777777" w:rsidR="00664420" w:rsidRPr="0016507E" w:rsidRDefault="00664420" w:rsidP="0016507E">
      <w:pPr>
        <w:ind w:right="-93"/>
        <w:rPr>
          <w:rFonts w:eastAsia="Calibri" w:cs="Tahoma"/>
          <w:szCs w:val="22"/>
          <w:lang w:val="es-ES"/>
        </w:rPr>
      </w:pPr>
    </w:p>
    <w:p w14:paraId="696BC976" w14:textId="77777777" w:rsidR="00664420" w:rsidRPr="0016507E" w:rsidRDefault="00664420" w:rsidP="0016507E">
      <w:pPr>
        <w:ind w:right="-93"/>
        <w:rPr>
          <w:rFonts w:eastAsia="Calibri" w:cs="Tahoma"/>
          <w:bCs/>
          <w:szCs w:val="22"/>
          <w:lang w:val="es-ES" w:eastAsia="en-US"/>
        </w:rPr>
      </w:pPr>
    </w:p>
    <w:p w14:paraId="671CB0C5" w14:textId="77777777" w:rsidR="00664420" w:rsidRPr="0016507E" w:rsidRDefault="00664420" w:rsidP="0016507E">
      <w:pPr>
        <w:ind w:right="-93"/>
        <w:rPr>
          <w:rFonts w:eastAsia="Calibri" w:cs="Tahoma"/>
          <w:bCs/>
          <w:szCs w:val="22"/>
          <w:lang w:val="es-ES_tradnl" w:eastAsia="en-US"/>
        </w:rPr>
      </w:pPr>
    </w:p>
    <w:p w14:paraId="52B66DE7" w14:textId="77777777" w:rsidR="00664420" w:rsidRPr="0016507E" w:rsidRDefault="00664420" w:rsidP="0016507E">
      <w:pPr>
        <w:ind w:right="-93"/>
        <w:rPr>
          <w:rFonts w:eastAsia="Calibri" w:cs="Tahoma"/>
          <w:bCs/>
          <w:szCs w:val="22"/>
          <w:lang w:val="es-ES_tradnl" w:eastAsia="en-US"/>
        </w:rPr>
      </w:pPr>
    </w:p>
    <w:p w14:paraId="3BA305D1" w14:textId="77777777" w:rsidR="00664420" w:rsidRPr="0016507E" w:rsidRDefault="00664420" w:rsidP="0016507E">
      <w:pPr>
        <w:ind w:right="-93"/>
        <w:rPr>
          <w:rFonts w:eastAsia="Calibri" w:cs="Tahoma"/>
          <w:bCs/>
          <w:szCs w:val="22"/>
          <w:lang w:val="es-ES_tradnl" w:eastAsia="en-US"/>
        </w:rPr>
      </w:pPr>
    </w:p>
    <w:p w14:paraId="78230707" w14:textId="77777777" w:rsidR="00664420" w:rsidRPr="0016507E" w:rsidRDefault="00664420" w:rsidP="0016507E">
      <w:pPr>
        <w:ind w:right="-93"/>
        <w:rPr>
          <w:rFonts w:eastAsia="Calibri" w:cs="Tahoma"/>
          <w:bCs/>
          <w:szCs w:val="22"/>
          <w:lang w:val="es-ES_tradnl" w:eastAsia="en-US"/>
        </w:rPr>
      </w:pPr>
    </w:p>
    <w:p w14:paraId="72D18B28" w14:textId="77777777" w:rsidR="00664420" w:rsidRPr="0016507E" w:rsidRDefault="00664420" w:rsidP="0016507E">
      <w:pPr>
        <w:ind w:right="-93"/>
        <w:rPr>
          <w:rFonts w:eastAsia="Calibri" w:cs="Tahoma"/>
          <w:bCs/>
          <w:szCs w:val="22"/>
          <w:lang w:val="es-ES_tradnl" w:eastAsia="en-US"/>
        </w:rPr>
      </w:pPr>
    </w:p>
    <w:p w14:paraId="6BD461DC" w14:textId="77777777" w:rsidR="00664420" w:rsidRPr="0016507E" w:rsidRDefault="00664420" w:rsidP="0016507E">
      <w:pPr>
        <w:tabs>
          <w:tab w:val="center" w:pos="4568"/>
        </w:tabs>
        <w:ind w:right="-93"/>
        <w:rPr>
          <w:rFonts w:eastAsia="Calibri" w:cs="Tahoma"/>
          <w:bCs/>
          <w:szCs w:val="22"/>
          <w:lang w:eastAsia="en-US"/>
        </w:rPr>
      </w:pPr>
    </w:p>
    <w:p w14:paraId="4DBB1727" w14:textId="77777777" w:rsidR="00664420" w:rsidRPr="0016507E" w:rsidRDefault="00664420" w:rsidP="0016507E">
      <w:pPr>
        <w:tabs>
          <w:tab w:val="center" w:pos="4568"/>
        </w:tabs>
        <w:ind w:right="-93"/>
        <w:rPr>
          <w:rFonts w:eastAsia="Calibri" w:cs="Tahoma"/>
          <w:bCs/>
          <w:szCs w:val="22"/>
          <w:lang w:eastAsia="en-US"/>
        </w:rPr>
      </w:pPr>
    </w:p>
    <w:p w14:paraId="1D74121B" w14:textId="77777777" w:rsidR="00664420" w:rsidRPr="0016507E" w:rsidRDefault="00664420" w:rsidP="0016507E">
      <w:pPr>
        <w:tabs>
          <w:tab w:val="center" w:pos="4568"/>
        </w:tabs>
        <w:ind w:right="-93"/>
        <w:rPr>
          <w:rFonts w:eastAsia="Calibri" w:cs="Tahoma"/>
          <w:bCs/>
          <w:szCs w:val="22"/>
          <w:lang w:eastAsia="en-US"/>
        </w:rPr>
      </w:pPr>
    </w:p>
    <w:p w14:paraId="08E74E9C" w14:textId="77777777" w:rsidR="00664420" w:rsidRPr="0016507E" w:rsidRDefault="00664420" w:rsidP="0016507E">
      <w:pPr>
        <w:tabs>
          <w:tab w:val="center" w:pos="4568"/>
        </w:tabs>
        <w:ind w:right="-93"/>
        <w:rPr>
          <w:rFonts w:eastAsia="Calibri" w:cs="Tahoma"/>
          <w:bCs/>
          <w:szCs w:val="22"/>
          <w:lang w:eastAsia="en-US"/>
        </w:rPr>
      </w:pPr>
    </w:p>
    <w:p w14:paraId="2CBF5E03" w14:textId="77777777" w:rsidR="00664420" w:rsidRPr="0016507E" w:rsidRDefault="00664420" w:rsidP="0016507E">
      <w:pPr>
        <w:tabs>
          <w:tab w:val="center" w:pos="4568"/>
        </w:tabs>
        <w:ind w:right="-93"/>
        <w:rPr>
          <w:rFonts w:eastAsia="Calibri" w:cs="Tahoma"/>
          <w:bCs/>
          <w:szCs w:val="22"/>
          <w:lang w:eastAsia="en-US"/>
        </w:rPr>
      </w:pPr>
    </w:p>
    <w:p w14:paraId="44865A6D" w14:textId="77777777" w:rsidR="00664420" w:rsidRPr="0016507E" w:rsidRDefault="00664420" w:rsidP="0016507E">
      <w:pPr>
        <w:tabs>
          <w:tab w:val="center" w:pos="4568"/>
        </w:tabs>
        <w:ind w:right="-93"/>
        <w:rPr>
          <w:rFonts w:eastAsia="Calibri" w:cs="Tahoma"/>
          <w:bCs/>
          <w:szCs w:val="22"/>
          <w:lang w:eastAsia="en-US"/>
        </w:rPr>
      </w:pPr>
    </w:p>
    <w:p w14:paraId="7147F06B" w14:textId="77777777" w:rsidR="00664420" w:rsidRPr="0016507E" w:rsidRDefault="00664420" w:rsidP="0016507E">
      <w:pPr>
        <w:tabs>
          <w:tab w:val="center" w:pos="4568"/>
        </w:tabs>
        <w:ind w:right="-93"/>
        <w:rPr>
          <w:rFonts w:eastAsia="Calibri" w:cs="Tahoma"/>
          <w:bCs/>
          <w:szCs w:val="22"/>
          <w:lang w:eastAsia="en-US"/>
        </w:rPr>
      </w:pPr>
    </w:p>
    <w:p w14:paraId="6FDF3D7E" w14:textId="77777777" w:rsidR="00664420" w:rsidRPr="0016507E" w:rsidRDefault="00664420" w:rsidP="0016507E">
      <w:pPr>
        <w:tabs>
          <w:tab w:val="center" w:pos="4568"/>
        </w:tabs>
        <w:ind w:right="-93"/>
        <w:rPr>
          <w:rFonts w:eastAsia="Calibri" w:cs="Tahoma"/>
          <w:bCs/>
          <w:szCs w:val="22"/>
          <w:lang w:eastAsia="en-US"/>
        </w:rPr>
      </w:pPr>
    </w:p>
    <w:p w14:paraId="6246F818" w14:textId="77777777" w:rsidR="00664420" w:rsidRPr="0016507E" w:rsidRDefault="00664420" w:rsidP="0016507E">
      <w:pPr>
        <w:tabs>
          <w:tab w:val="center" w:pos="4568"/>
        </w:tabs>
        <w:ind w:right="-93"/>
        <w:rPr>
          <w:rFonts w:eastAsia="Calibri" w:cs="Tahoma"/>
          <w:bCs/>
          <w:szCs w:val="22"/>
          <w:lang w:eastAsia="en-US"/>
        </w:rPr>
      </w:pPr>
    </w:p>
    <w:p w14:paraId="57A88B28" w14:textId="77777777" w:rsidR="00664420" w:rsidRPr="0016507E" w:rsidRDefault="00664420" w:rsidP="0016507E">
      <w:pPr>
        <w:tabs>
          <w:tab w:val="center" w:pos="4568"/>
        </w:tabs>
        <w:ind w:right="-93"/>
        <w:rPr>
          <w:rFonts w:eastAsia="Calibri" w:cs="Tahoma"/>
          <w:bCs/>
          <w:szCs w:val="22"/>
          <w:lang w:eastAsia="en-US"/>
        </w:rPr>
      </w:pPr>
    </w:p>
    <w:p w14:paraId="77EF6095" w14:textId="77777777" w:rsidR="00664420" w:rsidRPr="0016507E" w:rsidRDefault="00664420" w:rsidP="0016507E">
      <w:pPr>
        <w:tabs>
          <w:tab w:val="center" w:pos="4568"/>
        </w:tabs>
        <w:ind w:right="-93"/>
        <w:rPr>
          <w:rFonts w:eastAsia="Calibri" w:cs="Tahoma"/>
          <w:bCs/>
          <w:szCs w:val="22"/>
          <w:lang w:eastAsia="en-US"/>
        </w:rPr>
      </w:pPr>
    </w:p>
    <w:p w14:paraId="35593947" w14:textId="77777777" w:rsidR="00664420" w:rsidRPr="0016507E" w:rsidRDefault="00664420" w:rsidP="0016507E">
      <w:pPr>
        <w:tabs>
          <w:tab w:val="center" w:pos="4568"/>
        </w:tabs>
        <w:ind w:right="-93"/>
        <w:rPr>
          <w:rFonts w:eastAsia="Calibri" w:cs="Tahoma"/>
          <w:bCs/>
          <w:szCs w:val="22"/>
          <w:lang w:eastAsia="en-US"/>
        </w:rPr>
      </w:pPr>
    </w:p>
    <w:p w14:paraId="3AF72A17" w14:textId="77777777" w:rsidR="00664420" w:rsidRPr="0016507E" w:rsidRDefault="00664420" w:rsidP="0016507E">
      <w:pPr>
        <w:tabs>
          <w:tab w:val="center" w:pos="4568"/>
        </w:tabs>
        <w:ind w:right="-93"/>
        <w:rPr>
          <w:rFonts w:eastAsia="Calibri" w:cs="Tahoma"/>
          <w:bCs/>
          <w:szCs w:val="22"/>
          <w:lang w:eastAsia="en-US"/>
        </w:rPr>
      </w:pPr>
    </w:p>
    <w:p w14:paraId="37169144" w14:textId="77777777" w:rsidR="00664420" w:rsidRPr="0016507E" w:rsidRDefault="00664420" w:rsidP="0016507E">
      <w:pPr>
        <w:tabs>
          <w:tab w:val="center" w:pos="4568"/>
        </w:tabs>
        <w:ind w:right="-93"/>
        <w:rPr>
          <w:rFonts w:eastAsia="Calibri" w:cs="Tahoma"/>
          <w:bCs/>
          <w:szCs w:val="22"/>
          <w:lang w:eastAsia="en-US"/>
        </w:rPr>
      </w:pPr>
    </w:p>
    <w:p w14:paraId="77CFC088" w14:textId="77777777" w:rsidR="00664420" w:rsidRPr="0016507E" w:rsidRDefault="00664420" w:rsidP="0016507E">
      <w:pPr>
        <w:tabs>
          <w:tab w:val="center" w:pos="4568"/>
        </w:tabs>
        <w:ind w:right="-93"/>
        <w:rPr>
          <w:rFonts w:eastAsia="Calibri" w:cs="Tahoma"/>
          <w:bCs/>
          <w:szCs w:val="22"/>
          <w:lang w:eastAsia="en-US"/>
        </w:rPr>
      </w:pPr>
    </w:p>
    <w:p w14:paraId="781A11A5" w14:textId="77777777" w:rsidR="00664420" w:rsidRPr="0016507E" w:rsidRDefault="00664420" w:rsidP="0016507E">
      <w:pPr>
        <w:tabs>
          <w:tab w:val="center" w:pos="4568"/>
        </w:tabs>
        <w:ind w:right="-93"/>
        <w:rPr>
          <w:rFonts w:eastAsia="Calibri" w:cs="Tahoma"/>
          <w:bCs/>
          <w:szCs w:val="22"/>
          <w:lang w:eastAsia="en-US"/>
        </w:rPr>
      </w:pPr>
    </w:p>
    <w:p w14:paraId="5B4ADFF3" w14:textId="77777777" w:rsidR="00A131AC" w:rsidRPr="0016507E" w:rsidRDefault="00A131AC" w:rsidP="0016507E"/>
    <w:sectPr w:rsidR="00A131AC" w:rsidRPr="0016507E" w:rsidSect="00EE2AF2">
      <w:footerReference w:type="default" r:id="rId2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C5A83" w14:textId="77777777" w:rsidR="004D7995" w:rsidRDefault="004D7995" w:rsidP="00664420">
      <w:pPr>
        <w:spacing w:line="240" w:lineRule="auto"/>
      </w:pPr>
      <w:r>
        <w:separator/>
      </w:r>
    </w:p>
  </w:endnote>
  <w:endnote w:type="continuationSeparator" w:id="0">
    <w:p w14:paraId="27EE6A67" w14:textId="77777777" w:rsidR="004D7995" w:rsidRDefault="004D7995"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9425D6" w:rsidRDefault="009425D6">
    <w:pPr>
      <w:tabs>
        <w:tab w:val="center" w:pos="4550"/>
        <w:tab w:val="left" w:pos="5818"/>
      </w:tabs>
      <w:ind w:right="260"/>
      <w:jc w:val="right"/>
      <w:rPr>
        <w:color w:val="071320" w:themeColor="text2" w:themeShade="80"/>
        <w:sz w:val="24"/>
        <w:szCs w:val="24"/>
      </w:rPr>
    </w:pPr>
  </w:p>
  <w:p w14:paraId="1BCA7F23" w14:textId="77777777" w:rsidR="009425D6" w:rsidRDefault="009425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3D2573BC" w:rsidR="009425D6" w:rsidRDefault="009425D6">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C0DFE" w:rsidRPr="00CC0DFE">
      <w:rPr>
        <w:noProof/>
        <w:color w:val="0A1D30" w:themeColor="text2" w:themeShade="BF"/>
        <w:sz w:val="24"/>
        <w:szCs w:val="24"/>
        <w:lang w:val="es-ES"/>
      </w:rPr>
      <w:t>51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C0DFE" w:rsidRPr="00CC0DFE">
      <w:rPr>
        <w:noProof/>
        <w:color w:val="0A1D30" w:themeColor="text2" w:themeShade="BF"/>
        <w:sz w:val="24"/>
        <w:szCs w:val="24"/>
        <w:lang w:val="es-ES"/>
      </w:rPr>
      <w:t>55</w:t>
    </w:r>
    <w:r>
      <w:rPr>
        <w:color w:val="0A1D30" w:themeColor="text2" w:themeShade="BF"/>
        <w:sz w:val="24"/>
        <w:szCs w:val="24"/>
      </w:rPr>
      <w:fldChar w:fldCharType="end"/>
    </w:r>
  </w:p>
  <w:p w14:paraId="310E15C0" w14:textId="77777777" w:rsidR="009425D6" w:rsidRDefault="009425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B608F" w14:textId="77777777" w:rsidR="004D7995" w:rsidRDefault="004D7995" w:rsidP="00664420">
      <w:pPr>
        <w:spacing w:line="240" w:lineRule="auto"/>
      </w:pPr>
      <w:r>
        <w:separator/>
      </w:r>
    </w:p>
  </w:footnote>
  <w:footnote w:type="continuationSeparator" w:id="0">
    <w:p w14:paraId="55818E9D" w14:textId="77777777" w:rsidR="004D7995" w:rsidRDefault="004D7995"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9425D6" w:rsidRPr="00330DA7" w14:paraId="070A4B18" w14:textId="77777777" w:rsidTr="003F35FD">
      <w:trPr>
        <w:trHeight w:val="144"/>
        <w:jc w:val="right"/>
      </w:trPr>
      <w:tc>
        <w:tcPr>
          <w:tcW w:w="2727" w:type="dxa"/>
        </w:tcPr>
        <w:p w14:paraId="62B7493A" w14:textId="77777777" w:rsidR="009425D6" w:rsidRPr="00330DA7" w:rsidRDefault="009425D6" w:rsidP="007F6B68">
          <w:pPr>
            <w:tabs>
              <w:tab w:val="right" w:pos="8838"/>
            </w:tabs>
            <w:spacing w:line="276"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76D762C" w:rsidR="009425D6" w:rsidRPr="00A90C72" w:rsidRDefault="009425D6" w:rsidP="007F6B68">
          <w:pPr>
            <w:tabs>
              <w:tab w:val="right" w:pos="8838"/>
            </w:tabs>
            <w:spacing w:line="276" w:lineRule="auto"/>
            <w:ind w:left="-74" w:right="-105"/>
            <w:rPr>
              <w:rFonts w:eastAsia="Calibri" w:cs="Tahoma"/>
              <w:szCs w:val="22"/>
              <w:lang w:eastAsia="en-US"/>
            </w:rPr>
          </w:pPr>
          <w:r>
            <w:rPr>
              <w:rFonts w:eastAsia="Calibri" w:cs="Tahoma"/>
              <w:szCs w:val="22"/>
              <w:lang w:eastAsia="en-US"/>
            </w:rPr>
            <w:t>03247</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r>
    <w:tr w:rsidR="009425D6" w:rsidRPr="00330DA7" w14:paraId="4521E058" w14:textId="77777777" w:rsidTr="003F35FD">
      <w:trPr>
        <w:trHeight w:val="283"/>
        <w:jc w:val="right"/>
      </w:trPr>
      <w:tc>
        <w:tcPr>
          <w:tcW w:w="2727" w:type="dxa"/>
        </w:tcPr>
        <w:p w14:paraId="0B68C086" w14:textId="77777777" w:rsidR="009425D6" w:rsidRPr="00330DA7" w:rsidRDefault="009425D6" w:rsidP="007F6B68">
          <w:pPr>
            <w:tabs>
              <w:tab w:val="right" w:pos="8838"/>
            </w:tabs>
            <w:spacing w:line="276"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496B18F" w:rsidR="009425D6" w:rsidRPr="00952DD0" w:rsidRDefault="009425D6" w:rsidP="007F6B68">
          <w:pPr>
            <w:tabs>
              <w:tab w:val="left" w:pos="2834"/>
              <w:tab w:val="right" w:pos="8838"/>
            </w:tabs>
            <w:spacing w:line="276" w:lineRule="auto"/>
            <w:ind w:left="-108" w:right="-105"/>
            <w:rPr>
              <w:rFonts w:eastAsia="Calibri" w:cs="Tahoma"/>
              <w:szCs w:val="22"/>
              <w:lang w:eastAsia="en-US"/>
            </w:rPr>
          </w:pPr>
          <w:r w:rsidRPr="003F79FC">
            <w:rPr>
              <w:rFonts w:eastAsia="Calibri" w:cs="Tahoma"/>
              <w:szCs w:val="22"/>
              <w:lang w:eastAsia="en-US"/>
            </w:rPr>
            <w:t>Sistema Municipal Para el Desarrollo Integral de la Familia de Tepotzotlán</w:t>
          </w:r>
        </w:p>
      </w:tc>
    </w:tr>
    <w:tr w:rsidR="009425D6" w:rsidRPr="00330DA7" w14:paraId="6331D9B6" w14:textId="77777777" w:rsidTr="003F35FD">
      <w:trPr>
        <w:trHeight w:val="283"/>
        <w:jc w:val="right"/>
      </w:trPr>
      <w:tc>
        <w:tcPr>
          <w:tcW w:w="2727" w:type="dxa"/>
        </w:tcPr>
        <w:p w14:paraId="3FA86BAE" w14:textId="04F1C45E" w:rsidR="009425D6" w:rsidRPr="00330DA7" w:rsidRDefault="009425D6" w:rsidP="007F6B68">
          <w:pPr>
            <w:tabs>
              <w:tab w:val="right" w:pos="8838"/>
            </w:tabs>
            <w:spacing w:line="276"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9425D6" w:rsidRPr="00EA66FC" w:rsidRDefault="009425D6" w:rsidP="007F6B68">
          <w:pPr>
            <w:tabs>
              <w:tab w:val="right" w:pos="8838"/>
            </w:tabs>
            <w:spacing w:line="276"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9425D6" w:rsidRPr="00443C6B" w:rsidRDefault="009425D6"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9425D6" w:rsidRPr="00330DA7" w14:paraId="29CFF901" w14:textId="77777777" w:rsidTr="003F79FC">
      <w:trPr>
        <w:trHeight w:val="1435"/>
      </w:trPr>
      <w:tc>
        <w:tcPr>
          <w:tcW w:w="283" w:type="dxa"/>
          <w:shd w:val="clear" w:color="auto" w:fill="auto"/>
        </w:tcPr>
        <w:p w14:paraId="046B9F8F" w14:textId="77777777" w:rsidR="009425D6" w:rsidRPr="00330DA7" w:rsidRDefault="009425D6" w:rsidP="007F6B68">
          <w:pPr>
            <w:tabs>
              <w:tab w:val="right" w:pos="4273"/>
            </w:tabs>
            <w:spacing w:line="276" w:lineRule="auto"/>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9425D6" w:rsidRPr="00330DA7" w14:paraId="04F272D2" w14:textId="77777777" w:rsidTr="003F79FC">
            <w:trPr>
              <w:trHeight w:val="144"/>
            </w:trPr>
            <w:tc>
              <w:tcPr>
                <w:tcW w:w="2727" w:type="dxa"/>
              </w:tcPr>
              <w:p w14:paraId="2FD4DBF6" w14:textId="77777777" w:rsidR="009425D6" w:rsidRPr="00330DA7" w:rsidRDefault="009425D6" w:rsidP="007F6B68">
                <w:pPr>
                  <w:tabs>
                    <w:tab w:val="right" w:pos="8838"/>
                  </w:tabs>
                  <w:spacing w:line="276"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406A7DB2" w:rsidR="009425D6" w:rsidRPr="00A90C72" w:rsidRDefault="009425D6" w:rsidP="007F6B68">
                <w:pPr>
                  <w:tabs>
                    <w:tab w:val="right" w:pos="8838"/>
                  </w:tabs>
                  <w:spacing w:line="276" w:lineRule="auto"/>
                  <w:ind w:left="-74" w:right="-105"/>
                  <w:rPr>
                    <w:rFonts w:eastAsia="Calibri" w:cs="Tahoma"/>
                    <w:szCs w:val="22"/>
                    <w:lang w:eastAsia="en-US"/>
                  </w:rPr>
                </w:pPr>
                <w:r>
                  <w:rPr>
                    <w:rFonts w:eastAsia="Calibri" w:cs="Tahoma"/>
                    <w:szCs w:val="22"/>
                    <w:lang w:eastAsia="en-US"/>
                  </w:rPr>
                  <w:t>03247</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9425D6" w:rsidRDefault="009425D6" w:rsidP="007F6B68">
                <w:pPr>
                  <w:tabs>
                    <w:tab w:val="right" w:pos="8838"/>
                  </w:tabs>
                  <w:spacing w:line="276" w:lineRule="auto"/>
                  <w:ind w:left="-74" w:right="-105"/>
                  <w:rPr>
                    <w:rFonts w:eastAsia="Calibri" w:cs="Tahoma"/>
                    <w:szCs w:val="22"/>
                    <w:lang w:eastAsia="en-US"/>
                  </w:rPr>
                </w:pPr>
              </w:p>
            </w:tc>
          </w:tr>
          <w:tr w:rsidR="009425D6" w:rsidRPr="00330DA7" w14:paraId="05C58951" w14:textId="77777777" w:rsidTr="003F79FC">
            <w:trPr>
              <w:trHeight w:val="144"/>
            </w:trPr>
            <w:tc>
              <w:tcPr>
                <w:tcW w:w="2727" w:type="dxa"/>
              </w:tcPr>
              <w:p w14:paraId="642B9610" w14:textId="77777777" w:rsidR="009425D6" w:rsidRPr="00330DA7" w:rsidRDefault="009425D6" w:rsidP="007F6B68">
                <w:pPr>
                  <w:tabs>
                    <w:tab w:val="right" w:pos="8838"/>
                  </w:tabs>
                  <w:spacing w:line="276"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50620B0" w:rsidR="009425D6" w:rsidRPr="005F19B1" w:rsidRDefault="009425D6" w:rsidP="007F6B68">
                <w:pPr>
                  <w:tabs>
                    <w:tab w:val="left" w:pos="3122"/>
                    <w:tab w:val="right" w:pos="8838"/>
                  </w:tabs>
                  <w:spacing w:line="276" w:lineRule="auto"/>
                  <w:ind w:left="-105" w:right="-105"/>
                  <w:rPr>
                    <w:rFonts w:eastAsia="Calibri" w:cs="Tahoma"/>
                    <w:szCs w:val="22"/>
                    <w:lang w:eastAsia="en-US"/>
                  </w:rPr>
                </w:pPr>
              </w:p>
            </w:tc>
            <w:tc>
              <w:tcPr>
                <w:tcW w:w="3402" w:type="dxa"/>
              </w:tcPr>
              <w:p w14:paraId="73F47F53" w14:textId="77777777" w:rsidR="009425D6" w:rsidRPr="005F19B1" w:rsidRDefault="009425D6" w:rsidP="007F6B68">
                <w:pPr>
                  <w:tabs>
                    <w:tab w:val="left" w:pos="3122"/>
                    <w:tab w:val="right" w:pos="8838"/>
                  </w:tabs>
                  <w:spacing w:line="276" w:lineRule="auto"/>
                  <w:ind w:left="-105" w:right="-105"/>
                  <w:rPr>
                    <w:rFonts w:eastAsia="Calibri" w:cs="Tahoma"/>
                    <w:szCs w:val="22"/>
                    <w:lang w:eastAsia="en-US"/>
                  </w:rPr>
                </w:pPr>
              </w:p>
            </w:tc>
          </w:tr>
          <w:bookmarkEnd w:id="1"/>
          <w:tr w:rsidR="009425D6" w:rsidRPr="00330DA7" w14:paraId="00E6CDC1" w14:textId="77777777" w:rsidTr="003F79FC">
            <w:trPr>
              <w:trHeight w:val="283"/>
            </w:trPr>
            <w:tc>
              <w:tcPr>
                <w:tcW w:w="2727" w:type="dxa"/>
              </w:tcPr>
              <w:p w14:paraId="0631AD24" w14:textId="77777777" w:rsidR="009425D6" w:rsidRPr="00330DA7" w:rsidRDefault="009425D6" w:rsidP="007F6B68">
                <w:pPr>
                  <w:tabs>
                    <w:tab w:val="right" w:pos="8838"/>
                  </w:tabs>
                  <w:spacing w:line="276"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4D033C35" w:rsidR="009425D6" w:rsidRPr="00952DD0" w:rsidRDefault="009425D6" w:rsidP="007F6B68">
                <w:pPr>
                  <w:tabs>
                    <w:tab w:val="left" w:pos="2834"/>
                    <w:tab w:val="right" w:pos="8838"/>
                  </w:tabs>
                  <w:spacing w:line="276" w:lineRule="auto"/>
                  <w:ind w:left="-108" w:right="-105"/>
                  <w:rPr>
                    <w:rFonts w:eastAsia="Calibri" w:cs="Tahoma"/>
                    <w:szCs w:val="22"/>
                    <w:lang w:eastAsia="en-US"/>
                  </w:rPr>
                </w:pPr>
                <w:r w:rsidRPr="003F79FC">
                  <w:rPr>
                    <w:rFonts w:eastAsia="Calibri" w:cs="Tahoma"/>
                    <w:szCs w:val="22"/>
                    <w:lang w:eastAsia="en-US"/>
                  </w:rPr>
                  <w:t>Sistema Municipal Para el Desarrollo Integral de la Familia de Tepotzotlán</w:t>
                </w:r>
              </w:p>
            </w:tc>
            <w:tc>
              <w:tcPr>
                <w:tcW w:w="3402" w:type="dxa"/>
              </w:tcPr>
              <w:p w14:paraId="3A7DA319" w14:textId="77777777" w:rsidR="009425D6" w:rsidRPr="00A90C72" w:rsidRDefault="009425D6" w:rsidP="007F6B68">
                <w:pPr>
                  <w:tabs>
                    <w:tab w:val="left" w:pos="2834"/>
                    <w:tab w:val="right" w:pos="8838"/>
                  </w:tabs>
                  <w:spacing w:line="276" w:lineRule="auto"/>
                  <w:ind w:left="-108" w:right="-105"/>
                  <w:rPr>
                    <w:rFonts w:eastAsia="Calibri" w:cs="Tahoma"/>
                    <w:szCs w:val="22"/>
                    <w:lang w:eastAsia="en-US"/>
                  </w:rPr>
                </w:pPr>
              </w:p>
            </w:tc>
          </w:tr>
          <w:tr w:rsidR="009425D6" w:rsidRPr="00330DA7" w14:paraId="0F6CD8D2" w14:textId="77777777" w:rsidTr="003F79FC">
            <w:trPr>
              <w:trHeight w:val="283"/>
            </w:trPr>
            <w:tc>
              <w:tcPr>
                <w:tcW w:w="2727" w:type="dxa"/>
              </w:tcPr>
              <w:p w14:paraId="31700628" w14:textId="385332FF" w:rsidR="009425D6" w:rsidRPr="00330DA7" w:rsidRDefault="009425D6" w:rsidP="007F6B68">
                <w:pPr>
                  <w:tabs>
                    <w:tab w:val="right" w:pos="8838"/>
                  </w:tabs>
                  <w:spacing w:line="276"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9425D6" w:rsidRPr="00EA66FC" w:rsidRDefault="009425D6" w:rsidP="007F6B68">
                <w:pPr>
                  <w:tabs>
                    <w:tab w:val="right" w:pos="8838"/>
                  </w:tabs>
                  <w:spacing w:line="276"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9425D6" w:rsidRPr="00330DA7" w:rsidRDefault="009425D6" w:rsidP="007F6B68">
                <w:pPr>
                  <w:tabs>
                    <w:tab w:val="right" w:pos="8838"/>
                  </w:tabs>
                  <w:spacing w:line="276" w:lineRule="auto"/>
                  <w:ind w:left="-108" w:right="-105"/>
                  <w:rPr>
                    <w:rFonts w:eastAsia="Calibri" w:cs="Tahoma"/>
                    <w:szCs w:val="22"/>
                    <w:lang w:eastAsia="en-US"/>
                  </w:rPr>
                </w:pPr>
              </w:p>
            </w:tc>
          </w:tr>
        </w:tbl>
        <w:p w14:paraId="5DC6AC61" w14:textId="77777777" w:rsidR="009425D6" w:rsidRPr="00330DA7" w:rsidRDefault="009425D6" w:rsidP="007F6B68">
          <w:pPr>
            <w:tabs>
              <w:tab w:val="right" w:pos="8838"/>
            </w:tabs>
            <w:spacing w:line="276" w:lineRule="auto"/>
            <w:ind w:left="-28"/>
            <w:rPr>
              <w:rFonts w:ascii="Arial" w:eastAsia="Calibri" w:hAnsi="Arial" w:cs="Arial"/>
              <w:b/>
              <w:szCs w:val="22"/>
              <w:lang w:eastAsia="en-US"/>
            </w:rPr>
          </w:pPr>
        </w:p>
      </w:tc>
    </w:tr>
  </w:tbl>
  <w:p w14:paraId="2A906731" w14:textId="77777777" w:rsidR="009425D6" w:rsidRPr="00765661" w:rsidRDefault="004D7995" w:rsidP="003F79F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39D"/>
    <w:multiLevelType w:val="hybridMultilevel"/>
    <w:tmpl w:val="101EA558"/>
    <w:lvl w:ilvl="0" w:tplc="695A061E">
      <w:start w:val="1198"/>
      <w:numFmt w:val="bullet"/>
      <w:lvlText w:val="•"/>
      <w:lvlJc w:val="left"/>
      <w:pPr>
        <w:ind w:left="644" w:hanging="360"/>
      </w:pPr>
      <w:rPr>
        <w:rFonts w:ascii="Palatino Linotype" w:eastAsia="Palatino Linotype" w:hAnsi="Palatino Linotype" w:cs="Palatino Linotype"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5FD4246C"/>
    <w:multiLevelType w:val="multilevel"/>
    <w:tmpl w:val="EAE4EE6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02781E"/>
    <w:multiLevelType w:val="hybridMultilevel"/>
    <w:tmpl w:val="D6F295A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75F46E98"/>
    <w:multiLevelType w:val="hybridMultilevel"/>
    <w:tmpl w:val="D6F295A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D13BFC"/>
    <w:multiLevelType w:val="hybridMultilevel"/>
    <w:tmpl w:val="D6F295A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7EB069B0"/>
    <w:multiLevelType w:val="hybridMultilevel"/>
    <w:tmpl w:val="D6F295A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8"/>
  </w:num>
  <w:num w:numId="2">
    <w:abstractNumId w:val="12"/>
  </w:num>
  <w:num w:numId="3">
    <w:abstractNumId w:val="15"/>
  </w:num>
  <w:num w:numId="4">
    <w:abstractNumId w:val="5"/>
  </w:num>
  <w:num w:numId="5">
    <w:abstractNumId w:val="2"/>
  </w:num>
  <w:num w:numId="6">
    <w:abstractNumId w:val="18"/>
  </w:num>
  <w:num w:numId="7">
    <w:abstractNumId w:val="10"/>
  </w:num>
  <w:num w:numId="8">
    <w:abstractNumId w:val="4"/>
  </w:num>
  <w:num w:numId="9">
    <w:abstractNumId w:val="9"/>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1"/>
  </w:num>
  <w:num w:numId="14">
    <w:abstractNumId w:val="3"/>
  </w:num>
  <w:num w:numId="15">
    <w:abstractNumId w:val="11"/>
  </w:num>
  <w:num w:numId="16">
    <w:abstractNumId w:val="14"/>
  </w:num>
  <w:num w:numId="17">
    <w:abstractNumId w:val="0"/>
  </w:num>
  <w:num w:numId="18">
    <w:abstractNumId w:val="17"/>
  </w:num>
  <w:num w:numId="19">
    <w:abstractNumId w:val="20"/>
  </w:num>
  <w:num w:numId="20">
    <w:abstractNumId w:val="16"/>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2A99"/>
    <w:rsid w:val="000318BC"/>
    <w:rsid w:val="00057B2D"/>
    <w:rsid w:val="00080071"/>
    <w:rsid w:val="000D0D67"/>
    <w:rsid w:val="000E09C4"/>
    <w:rsid w:val="000F0CBE"/>
    <w:rsid w:val="00102A6B"/>
    <w:rsid w:val="0011350D"/>
    <w:rsid w:val="00131034"/>
    <w:rsid w:val="00141876"/>
    <w:rsid w:val="0014207B"/>
    <w:rsid w:val="00150C49"/>
    <w:rsid w:val="00163D12"/>
    <w:rsid w:val="0016507E"/>
    <w:rsid w:val="001A58B3"/>
    <w:rsid w:val="001C7688"/>
    <w:rsid w:val="001D30FA"/>
    <w:rsid w:val="001D5127"/>
    <w:rsid w:val="001F10C8"/>
    <w:rsid w:val="001F3515"/>
    <w:rsid w:val="001F5C8C"/>
    <w:rsid w:val="00230AD6"/>
    <w:rsid w:val="00233005"/>
    <w:rsid w:val="00233F17"/>
    <w:rsid w:val="0027692F"/>
    <w:rsid w:val="00295FB8"/>
    <w:rsid w:val="002A3601"/>
    <w:rsid w:val="002B7C6F"/>
    <w:rsid w:val="002D111C"/>
    <w:rsid w:val="002F0DF4"/>
    <w:rsid w:val="002F4BBA"/>
    <w:rsid w:val="00302476"/>
    <w:rsid w:val="0031457D"/>
    <w:rsid w:val="00331F35"/>
    <w:rsid w:val="00335CDF"/>
    <w:rsid w:val="00337F4D"/>
    <w:rsid w:val="00362A11"/>
    <w:rsid w:val="003A40C1"/>
    <w:rsid w:val="003B5D3E"/>
    <w:rsid w:val="003C0541"/>
    <w:rsid w:val="003E1095"/>
    <w:rsid w:val="003E4F98"/>
    <w:rsid w:val="003E5BA2"/>
    <w:rsid w:val="003F35FD"/>
    <w:rsid w:val="003F6FBF"/>
    <w:rsid w:val="003F79FC"/>
    <w:rsid w:val="0041385B"/>
    <w:rsid w:val="00441BFA"/>
    <w:rsid w:val="00454FBD"/>
    <w:rsid w:val="004D7995"/>
    <w:rsid w:val="004D7CD8"/>
    <w:rsid w:val="004E4757"/>
    <w:rsid w:val="004E5068"/>
    <w:rsid w:val="004F1EE3"/>
    <w:rsid w:val="004F2460"/>
    <w:rsid w:val="004F7A00"/>
    <w:rsid w:val="00523F48"/>
    <w:rsid w:val="005365FA"/>
    <w:rsid w:val="005723CB"/>
    <w:rsid w:val="00575400"/>
    <w:rsid w:val="005B18AF"/>
    <w:rsid w:val="005C03EA"/>
    <w:rsid w:val="005D2138"/>
    <w:rsid w:val="005D5A50"/>
    <w:rsid w:val="005F5301"/>
    <w:rsid w:val="005F65B7"/>
    <w:rsid w:val="006067C7"/>
    <w:rsid w:val="00606A65"/>
    <w:rsid w:val="006159AD"/>
    <w:rsid w:val="00646436"/>
    <w:rsid w:val="006630C7"/>
    <w:rsid w:val="00664420"/>
    <w:rsid w:val="0069599A"/>
    <w:rsid w:val="006A646A"/>
    <w:rsid w:val="006B10B0"/>
    <w:rsid w:val="006D24DE"/>
    <w:rsid w:val="006D298C"/>
    <w:rsid w:val="006E25BC"/>
    <w:rsid w:val="006E6BBC"/>
    <w:rsid w:val="006F358E"/>
    <w:rsid w:val="006F7768"/>
    <w:rsid w:val="00701FE4"/>
    <w:rsid w:val="00703320"/>
    <w:rsid w:val="00717E59"/>
    <w:rsid w:val="00775BFC"/>
    <w:rsid w:val="007A3459"/>
    <w:rsid w:val="007A42C7"/>
    <w:rsid w:val="007B06BD"/>
    <w:rsid w:val="007B6074"/>
    <w:rsid w:val="007D1C55"/>
    <w:rsid w:val="007D29D7"/>
    <w:rsid w:val="007D317F"/>
    <w:rsid w:val="007D5943"/>
    <w:rsid w:val="007F5D06"/>
    <w:rsid w:val="007F6B68"/>
    <w:rsid w:val="007F7EDC"/>
    <w:rsid w:val="00805A6E"/>
    <w:rsid w:val="00830191"/>
    <w:rsid w:val="00865CF4"/>
    <w:rsid w:val="00876DBC"/>
    <w:rsid w:val="00877BC0"/>
    <w:rsid w:val="0088132A"/>
    <w:rsid w:val="008924BC"/>
    <w:rsid w:val="00897A0D"/>
    <w:rsid w:val="008A2A12"/>
    <w:rsid w:val="008A6003"/>
    <w:rsid w:val="008A6F88"/>
    <w:rsid w:val="008B1E16"/>
    <w:rsid w:val="008D5105"/>
    <w:rsid w:val="008E1316"/>
    <w:rsid w:val="008E1CA9"/>
    <w:rsid w:val="00902EE5"/>
    <w:rsid w:val="00910485"/>
    <w:rsid w:val="00910FD2"/>
    <w:rsid w:val="009216CA"/>
    <w:rsid w:val="00931437"/>
    <w:rsid w:val="00931FA4"/>
    <w:rsid w:val="009425D6"/>
    <w:rsid w:val="00953430"/>
    <w:rsid w:val="00966151"/>
    <w:rsid w:val="00970EB3"/>
    <w:rsid w:val="009718B6"/>
    <w:rsid w:val="009A0277"/>
    <w:rsid w:val="009A2D78"/>
    <w:rsid w:val="009A7C10"/>
    <w:rsid w:val="009B2945"/>
    <w:rsid w:val="009E2DEE"/>
    <w:rsid w:val="009F797C"/>
    <w:rsid w:val="00A12C53"/>
    <w:rsid w:val="00A131AC"/>
    <w:rsid w:val="00A1665E"/>
    <w:rsid w:val="00A16D85"/>
    <w:rsid w:val="00A21A20"/>
    <w:rsid w:val="00A36A99"/>
    <w:rsid w:val="00A53315"/>
    <w:rsid w:val="00A60AFC"/>
    <w:rsid w:val="00A63634"/>
    <w:rsid w:val="00A70EF0"/>
    <w:rsid w:val="00A711D5"/>
    <w:rsid w:val="00A917F2"/>
    <w:rsid w:val="00A9208D"/>
    <w:rsid w:val="00AA6EA9"/>
    <w:rsid w:val="00AB5F74"/>
    <w:rsid w:val="00AC2DB8"/>
    <w:rsid w:val="00AC3CA0"/>
    <w:rsid w:val="00AE3DA7"/>
    <w:rsid w:val="00AF03C4"/>
    <w:rsid w:val="00B22A80"/>
    <w:rsid w:val="00B44122"/>
    <w:rsid w:val="00B94487"/>
    <w:rsid w:val="00BA55A8"/>
    <w:rsid w:val="00BA7B9C"/>
    <w:rsid w:val="00BB2ABF"/>
    <w:rsid w:val="00BB64F4"/>
    <w:rsid w:val="00BD3F4F"/>
    <w:rsid w:val="00BD5A7C"/>
    <w:rsid w:val="00BE3143"/>
    <w:rsid w:val="00BE7A1B"/>
    <w:rsid w:val="00BF0221"/>
    <w:rsid w:val="00BF091A"/>
    <w:rsid w:val="00BF4EAD"/>
    <w:rsid w:val="00C049E2"/>
    <w:rsid w:val="00C05FF1"/>
    <w:rsid w:val="00C1752E"/>
    <w:rsid w:val="00C36795"/>
    <w:rsid w:val="00C36938"/>
    <w:rsid w:val="00C36A3F"/>
    <w:rsid w:val="00C461EC"/>
    <w:rsid w:val="00C507D4"/>
    <w:rsid w:val="00C71CEF"/>
    <w:rsid w:val="00C72DAA"/>
    <w:rsid w:val="00C80B14"/>
    <w:rsid w:val="00CB7E9A"/>
    <w:rsid w:val="00CC0DFE"/>
    <w:rsid w:val="00CC1D4B"/>
    <w:rsid w:val="00CD0B92"/>
    <w:rsid w:val="00CE29D3"/>
    <w:rsid w:val="00CE3001"/>
    <w:rsid w:val="00CF2D8B"/>
    <w:rsid w:val="00CF378F"/>
    <w:rsid w:val="00CF7586"/>
    <w:rsid w:val="00D036D3"/>
    <w:rsid w:val="00D21DAD"/>
    <w:rsid w:val="00D2790D"/>
    <w:rsid w:val="00D51ECD"/>
    <w:rsid w:val="00D6170E"/>
    <w:rsid w:val="00D91CB4"/>
    <w:rsid w:val="00DB1C09"/>
    <w:rsid w:val="00DC2048"/>
    <w:rsid w:val="00DE1133"/>
    <w:rsid w:val="00DE698B"/>
    <w:rsid w:val="00DF72ED"/>
    <w:rsid w:val="00E11DD3"/>
    <w:rsid w:val="00E16BF5"/>
    <w:rsid w:val="00E264C1"/>
    <w:rsid w:val="00E37A3F"/>
    <w:rsid w:val="00E37D3C"/>
    <w:rsid w:val="00E40A98"/>
    <w:rsid w:val="00E62E6A"/>
    <w:rsid w:val="00E767AB"/>
    <w:rsid w:val="00E82251"/>
    <w:rsid w:val="00E83EF5"/>
    <w:rsid w:val="00E9335C"/>
    <w:rsid w:val="00ED1C1E"/>
    <w:rsid w:val="00EE2AF2"/>
    <w:rsid w:val="00EF165E"/>
    <w:rsid w:val="00F07EE6"/>
    <w:rsid w:val="00F209C2"/>
    <w:rsid w:val="00F32F09"/>
    <w:rsid w:val="00F33CC8"/>
    <w:rsid w:val="00F4481C"/>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styleId="Textoennegrita">
    <w:name w:val="Strong"/>
    <w:basedOn w:val="Fuentedeprrafopredeter"/>
    <w:uiPriority w:val="22"/>
    <w:qFormat/>
    <w:rsid w:val="00D21DAD"/>
    <w:rPr>
      <w:b/>
      <w:bCs/>
    </w:rPr>
  </w:style>
  <w:style w:type="paragraph" w:styleId="NormalWeb">
    <w:name w:val="Normal (Web)"/>
    <w:basedOn w:val="Normal"/>
    <w:uiPriority w:val="99"/>
    <w:semiHidden/>
    <w:unhideWhenUsed/>
    <w:rsid w:val="00A12C53"/>
    <w:pPr>
      <w:spacing w:before="100" w:beforeAutospacing="1" w:after="100" w:afterAutospacing="1" w:line="240" w:lineRule="auto"/>
      <w:jc w:val="left"/>
    </w:pPr>
    <w:rPr>
      <w:rFonts w:ascii="Times New Roman" w:hAnsi="Times New Roman"/>
      <w:sz w:val="24"/>
      <w:szCs w:val="24"/>
      <w:lang w:eastAsia="es-MX"/>
    </w:rPr>
  </w:style>
  <w:style w:type="character" w:styleId="nfasis">
    <w:name w:val="Emphasis"/>
    <w:basedOn w:val="Fuentedeprrafopredeter"/>
    <w:uiPriority w:val="20"/>
    <w:qFormat/>
    <w:rsid w:val="00A12C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50538">
      <w:bodyDiv w:val="1"/>
      <w:marLeft w:val="0"/>
      <w:marRight w:val="0"/>
      <w:marTop w:val="0"/>
      <w:marBottom w:val="0"/>
      <w:divBdr>
        <w:top w:val="none" w:sz="0" w:space="0" w:color="auto"/>
        <w:left w:val="none" w:sz="0" w:space="0" w:color="auto"/>
        <w:bottom w:val="none" w:sz="0" w:space="0" w:color="auto"/>
        <w:right w:val="none" w:sz="0" w:space="0" w:color="auto"/>
      </w:divBdr>
    </w:div>
    <w:div w:id="163325549">
      <w:bodyDiv w:val="1"/>
      <w:marLeft w:val="0"/>
      <w:marRight w:val="0"/>
      <w:marTop w:val="0"/>
      <w:marBottom w:val="0"/>
      <w:divBdr>
        <w:top w:val="none" w:sz="0" w:space="0" w:color="auto"/>
        <w:left w:val="none" w:sz="0" w:space="0" w:color="auto"/>
        <w:bottom w:val="none" w:sz="0" w:space="0" w:color="auto"/>
        <w:right w:val="none" w:sz="0" w:space="0" w:color="auto"/>
      </w:divBdr>
    </w:div>
    <w:div w:id="269514123">
      <w:bodyDiv w:val="1"/>
      <w:marLeft w:val="0"/>
      <w:marRight w:val="0"/>
      <w:marTop w:val="0"/>
      <w:marBottom w:val="0"/>
      <w:divBdr>
        <w:top w:val="none" w:sz="0" w:space="0" w:color="auto"/>
        <w:left w:val="none" w:sz="0" w:space="0" w:color="auto"/>
        <w:bottom w:val="none" w:sz="0" w:space="0" w:color="auto"/>
        <w:right w:val="none" w:sz="0" w:space="0" w:color="auto"/>
      </w:divBdr>
    </w:div>
    <w:div w:id="440806723">
      <w:bodyDiv w:val="1"/>
      <w:marLeft w:val="0"/>
      <w:marRight w:val="0"/>
      <w:marTop w:val="0"/>
      <w:marBottom w:val="0"/>
      <w:divBdr>
        <w:top w:val="none" w:sz="0" w:space="0" w:color="auto"/>
        <w:left w:val="none" w:sz="0" w:space="0" w:color="auto"/>
        <w:bottom w:val="none" w:sz="0" w:space="0" w:color="auto"/>
        <w:right w:val="none" w:sz="0" w:space="0" w:color="auto"/>
      </w:divBdr>
    </w:div>
    <w:div w:id="1199970875">
      <w:bodyDiv w:val="1"/>
      <w:marLeft w:val="0"/>
      <w:marRight w:val="0"/>
      <w:marTop w:val="0"/>
      <w:marBottom w:val="0"/>
      <w:divBdr>
        <w:top w:val="none" w:sz="0" w:space="0" w:color="auto"/>
        <w:left w:val="none" w:sz="0" w:space="0" w:color="auto"/>
        <w:bottom w:val="none" w:sz="0" w:space="0" w:color="auto"/>
        <w:right w:val="none" w:sz="0" w:space="0" w:color="auto"/>
      </w:divBdr>
    </w:div>
    <w:div w:id="1270352514">
      <w:bodyDiv w:val="1"/>
      <w:marLeft w:val="0"/>
      <w:marRight w:val="0"/>
      <w:marTop w:val="0"/>
      <w:marBottom w:val="0"/>
      <w:divBdr>
        <w:top w:val="none" w:sz="0" w:space="0" w:color="auto"/>
        <w:left w:val="none" w:sz="0" w:space="0" w:color="auto"/>
        <w:bottom w:val="none" w:sz="0" w:space="0" w:color="auto"/>
        <w:right w:val="none" w:sz="0" w:space="0" w:color="auto"/>
      </w:divBdr>
    </w:div>
    <w:div w:id="1271164568">
      <w:bodyDiv w:val="1"/>
      <w:marLeft w:val="0"/>
      <w:marRight w:val="0"/>
      <w:marTop w:val="0"/>
      <w:marBottom w:val="0"/>
      <w:divBdr>
        <w:top w:val="none" w:sz="0" w:space="0" w:color="auto"/>
        <w:left w:val="none" w:sz="0" w:space="0" w:color="auto"/>
        <w:bottom w:val="none" w:sz="0" w:space="0" w:color="auto"/>
        <w:right w:val="none" w:sz="0" w:space="0" w:color="auto"/>
      </w:divBdr>
    </w:div>
    <w:div w:id="1315259292">
      <w:bodyDiv w:val="1"/>
      <w:marLeft w:val="0"/>
      <w:marRight w:val="0"/>
      <w:marTop w:val="0"/>
      <w:marBottom w:val="0"/>
      <w:divBdr>
        <w:top w:val="none" w:sz="0" w:space="0" w:color="auto"/>
        <w:left w:val="none" w:sz="0" w:space="0" w:color="auto"/>
        <w:bottom w:val="none" w:sz="0" w:space="0" w:color="auto"/>
        <w:right w:val="none" w:sz="0" w:space="0" w:color="auto"/>
      </w:divBdr>
      <w:divsChild>
        <w:div w:id="693728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528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777852">
      <w:bodyDiv w:val="1"/>
      <w:marLeft w:val="0"/>
      <w:marRight w:val="0"/>
      <w:marTop w:val="0"/>
      <w:marBottom w:val="0"/>
      <w:divBdr>
        <w:top w:val="none" w:sz="0" w:space="0" w:color="auto"/>
        <w:left w:val="none" w:sz="0" w:space="0" w:color="auto"/>
        <w:bottom w:val="none" w:sz="0" w:space="0" w:color="auto"/>
        <w:right w:val="none" w:sz="0" w:space="0" w:color="auto"/>
      </w:divBdr>
    </w:div>
    <w:div w:id="176884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8F4D20-9453-41AC-8CAA-ACB93AA0A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55</Pages>
  <Words>13921</Words>
  <Characters>76567</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USUARIO</cp:lastModifiedBy>
  <cp:revision>7</cp:revision>
  <cp:lastPrinted>2025-10-17T02:36:00Z</cp:lastPrinted>
  <dcterms:created xsi:type="dcterms:W3CDTF">2025-10-13T22:41:00Z</dcterms:created>
  <dcterms:modified xsi:type="dcterms:W3CDTF">2025-10-17T02:36:00Z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