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9978D3" w14:textId="414B85A0" w:rsidR="001A4F65"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Resolución del Pleno del Instituto de Transparencia, Acceso a la Información Pública y Protección de Datos Personales del Estado de México y Municipios, con domicilio en Metepec, Estado de México, a </w:t>
      </w:r>
      <w:r w:rsidR="0049390F">
        <w:rPr>
          <w:rFonts w:ascii="Palatino Linotype" w:eastAsia="Palatino Linotype" w:hAnsi="Palatino Linotype" w:cs="Palatino Linotype"/>
        </w:rPr>
        <w:t>nueve</w:t>
      </w:r>
      <w:r>
        <w:rPr>
          <w:rFonts w:ascii="Palatino Linotype" w:eastAsia="Palatino Linotype" w:hAnsi="Palatino Linotype" w:cs="Palatino Linotype"/>
        </w:rPr>
        <w:t xml:space="preserve"> de abril del dos mil veinticinco</w:t>
      </w:r>
      <w:r>
        <w:rPr>
          <w:rFonts w:ascii="Palatino Linotype" w:eastAsia="Palatino Linotype" w:hAnsi="Palatino Linotype" w:cs="Palatino Linotype"/>
          <w:color w:val="000000"/>
        </w:rPr>
        <w:t>.</w:t>
      </w:r>
    </w:p>
    <w:p w14:paraId="15BD0E19" w14:textId="77777777" w:rsidR="001A4F65"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 </w:t>
      </w:r>
    </w:p>
    <w:p w14:paraId="10D28796" w14:textId="2B081BD4" w:rsidR="001A4F65"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b/>
          <w:color w:val="000000"/>
        </w:rPr>
        <w:t>VISTO</w:t>
      </w:r>
      <w:r>
        <w:rPr>
          <w:rFonts w:ascii="Palatino Linotype" w:eastAsia="Palatino Linotype" w:hAnsi="Palatino Linotype" w:cs="Palatino Linotype"/>
          <w:color w:val="000000"/>
        </w:rPr>
        <w:t xml:space="preserve"> el expediente electrónico formado con motivo del recurso de revisión número </w:t>
      </w:r>
      <w:r>
        <w:rPr>
          <w:rFonts w:ascii="Palatino Linotype" w:eastAsia="Palatino Linotype" w:hAnsi="Palatino Linotype" w:cs="Palatino Linotype"/>
          <w:b/>
          <w:color w:val="000000"/>
        </w:rPr>
        <w:t>01995/INFOEM/IP/RR/2025</w:t>
      </w:r>
      <w:r>
        <w:rPr>
          <w:rFonts w:ascii="Palatino Linotype" w:eastAsia="Palatino Linotype" w:hAnsi="Palatino Linotype" w:cs="Palatino Linotype"/>
          <w:color w:val="000000"/>
        </w:rPr>
        <w:t>, interpuesto por</w:t>
      </w:r>
      <w:r>
        <w:rPr>
          <w:rFonts w:ascii="Palatino Linotype" w:eastAsia="Palatino Linotype" w:hAnsi="Palatino Linotype" w:cs="Palatino Linotype"/>
          <w:b/>
        </w:rPr>
        <w:t xml:space="preserve"> un ciudadano </w:t>
      </w:r>
      <w:r>
        <w:rPr>
          <w:rFonts w:ascii="Palatino Linotype" w:eastAsia="Palatino Linotype" w:hAnsi="Palatino Linotype" w:cs="Palatino Linotype"/>
          <w:color w:val="000000"/>
        </w:rPr>
        <w:t xml:space="preserve">en lo sucesivo el </w:t>
      </w:r>
      <w:r>
        <w:rPr>
          <w:rFonts w:ascii="Palatino Linotype" w:eastAsia="Palatino Linotype" w:hAnsi="Palatino Linotype" w:cs="Palatino Linotype"/>
          <w:b/>
          <w:color w:val="000000"/>
        </w:rPr>
        <w:t>Recurrente</w:t>
      </w:r>
      <w:r>
        <w:rPr>
          <w:rFonts w:ascii="Palatino Linotype" w:eastAsia="Palatino Linotype" w:hAnsi="Palatino Linotype" w:cs="Palatino Linotype"/>
          <w:color w:val="000000"/>
        </w:rPr>
        <w:t>, en contra de la respuesta del</w:t>
      </w:r>
      <w:r>
        <w:rPr>
          <w:rFonts w:ascii="Palatino Linotype" w:eastAsia="Palatino Linotype" w:hAnsi="Palatino Linotype" w:cs="Palatino Linotype"/>
          <w:b/>
          <w:color w:val="000000"/>
        </w:rPr>
        <w:t xml:space="preserve"> </w:t>
      </w:r>
      <w:r w:rsidRPr="001A4F65">
        <w:rPr>
          <w:rFonts w:ascii="Palatino Linotype" w:hAnsi="Palatino Linotype"/>
          <w:b/>
          <w:bCs/>
          <w:color w:val="000000"/>
        </w:rPr>
        <w:t>Ayuntamiento de la Paz</w:t>
      </w:r>
      <w:r>
        <w:rPr>
          <w:rFonts w:ascii="Palatino Linotype" w:eastAsia="Palatino Linotype" w:hAnsi="Palatino Linotype" w:cs="Palatino Linotype"/>
          <w:color w:val="000000"/>
        </w:rPr>
        <w:t>, en lo subsecuente</w:t>
      </w:r>
      <w:r>
        <w:rPr>
          <w:rFonts w:ascii="Palatino Linotype" w:eastAsia="Palatino Linotype" w:hAnsi="Palatino Linotype" w:cs="Palatino Linotype"/>
          <w:b/>
          <w:color w:val="000000"/>
        </w:rPr>
        <w:t xml:space="preserve"> </w:t>
      </w:r>
      <w:r>
        <w:rPr>
          <w:rFonts w:ascii="Palatino Linotype" w:eastAsia="Palatino Linotype" w:hAnsi="Palatino Linotype" w:cs="Palatino Linotype"/>
          <w:color w:val="000000"/>
        </w:rPr>
        <w:t>el</w:t>
      </w:r>
      <w:r>
        <w:rPr>
          <w:rFonts w:ascii="Palatino Linotype" w:eastAsia="Palatino Linotype" w:hAnsi="Palatino Linotype" w:cs="Palatino Linotype"/>
          <w:b/>
          <w:color w:val="000000"/>
        </w:rPr>
        <w:t xml:space="preserve"> Sujeto Obligado, </w:t>
      </w:r>
      <w:r>
        <w:rPr>
          <w:rFonts w:ascii="Palatino Linotype" w:eastAsia="Palatino Linotype" w:hAnsi="Palatino Linotype" w:cs="Palatino Linotype"/>
          <w:color w:val="000000"/>
        </w:rPr>
        <w:t>se procede a dictar la presente resolución.</w:t>
      </w:r>
    </w:p>
    <w:p w14:paraId="77A8494D" w14:textId="77777777" w:rsidR="001A4F65" w:rsidRDefault="001A4F65" w:rsidP="001A4F65">
      <w:pPr>
        <w:spacing w:line="360" w:lineRule="auto"/>
        <w:jc w:val="both"/>
        <w:rPr>
          <w:rFonts w:ascii="Palatino Linotype" w:eastAsia="Palatino Linotype" w:hAnsi="Palatino Linotype" w:cs="Palatino Linotype"/>
          <w:color w:val="000000"/>
        </w:rPr>
      </w:pPr>
    </w:p>
    <w:p w14:paraId="0E10F793" w14:textId="77777777" w:rsidR="001A4F65" w:rsidRDefault="001A4F65" w:rsidP="001A4F65">
      <w:pPr>
        <w:keepNext/>
        <w:keepLines/>
        <w:spacing w:line="360" w:lineRule="auto"/>
        <w:jc w:val="center"/>
        <w:rPr>
          <w:rFonts w:ascii="Palatino Linotype" w:eastAsia="Palatino Linotype" w:hAnsi="Palatino Linotype" w:cs="Palatino Linotype"/>
          <w:b/>
          <w:color w:val="000000"/>
          <w:sz w:val="28"/>
          <w:szCs w:val="28"/>
        </w:rPr>
      </w:pPr>
      <w:r>
        <w:rPr>
          <w:rFonts w:ascii="Palatino Linotype" w:eastAsia="Palatino Linotype" w:hAnsi="Palatino Linotype" w:cs="Palatino Linotype"/>
          <w:b/>
          <w:color w:val="000000"/>
          <w:sz w:val="28"/>
          <w:szCs w:val="28"/>
        </w:rPr>
        <w:t>A N T E C E D E N T E S</w:t>
      </w:r>
    </w:p>
    <w:p w14:paraId="3BF68BC2" w14:textId="77777777" w:rsidR="001A4F65" w:rsidRDefault="001A4F65" w:rsidP="001A4F65">
      <w:pPr>
        <w:spacing w:line="360" w:lineRule="auto"/>
        <w:jc w:val="both"/>
        <w:rPr>
          <w:rFonts w:ascii="Palatino Linotype" w:eastAsia="Palatino Linotype" w:hAnsi="Palatino Linotype" w:cs="Palatino Linotype"/>
          <w:color w:val="000000"/>
        </w:rPr>
      </w:pPr>
    </w:p>
    <w:p w14:paraId="7C5C64A5" w14:textId="77777777" w:rsidR="001A4F65" w:rsidRDefault="001A4F65" w:rsidP="001A4F65">
      <w:pPr>
        <w:keepNext/>
        <w:keepLines/>
        <w:spacing w:line="360" w:lineRule="auto"/>
        <w:jc w:val="both"/>
        <w:rPr>
          <w:rFonts w:ascii="Palatino Linotype" w:eastAsia="Palatino Linotype" w:hAnsi="Palatino Linotype" w:cs="Palatino Linotype"/>
          <w:b/>
          <w:color w:val="000000"/>
          <w:sz w:val="26"/>
          <w:szCs w:val="26"/>
        </w:rPr>
      </w:pPr>
      <w:r>
        <w:rPr>
          <w:rFonts w:ascii="Palatino Linotype" w:eastAsia="Palatino Linotype" w:hAnsi="Palatino Linotype" w:cs="Palatino Linotype"/>
          <w:b/>
          <w:color w:val="000000"/>
          <w:sz w:val="26"/>
          <w:szCs w:val="26"/>
        </w:rPr>
        <w:t>PRIMERO. De la Solicitud de Información.</w:t>
      </w:r>
    </w:p>
    <w:p w14:paraId="7F8DFF9B" w14:textId="0594B1F4" w:rsidR="001A4F65"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Con fecha dieciocho de enero de dos mil veinticinco, el Recurrente presentó mediante el Sistema de Acceso a la Información Mexiquense (SAIMEX), solicitud de información registrada con el número de </w:t>
      </w:r>
      <w:r>
        <w:rPr>
          <w:rFonts w:ascii="Palatino Linotype" w:eastAsia="Palatino Linotype" w:hAnsi="Palatino Linotype" w:cs="Palatino Linotype"/>
        </w:rPr>
        <w:t>expediente</w:t>
      </w:r>
      <w:r>
        <w:rPr>
          <w:rFonts w:ascii="Verdana" w:eastAsia="Verdana" w:hAnsi="Verdana" w:cs="Verdana"/>
          <w:b/>
          <w:color w:val="FF0000"/>
        </w:rPr>
        <w:t xml:space="preserve"> </w:t>
      </w:r>
      <w:r w:rsidRPr="001A4F65">
        <w:rPr>
          <w:rFonts w:ascii="Palatino Linotype" w:hAnsi="Palatino Linotype"/>
          <w:b/>
          <w:bCs/>
        </w:rPr>
        <w:t>00122/LAPAZ/IP/2025</w:t>
      </w:r>
      <w:r>
        <w:rPr>
          <w:rFonts w:ascii="Palatino Linotype" w:eastAsia="Palatino Linotype" w:hAnsi="Palatino Linotype" w:cs="Palatino Linotype"/>
        </w:rPr>
        <w:t>,</w:t>
      </w:r>
      <w:r>
        <w:rPr>
          <w:rFonts w:ascii="Palatino Linotype" w:eastAsia="Palatino Linotype" w:hAnsi="Palatino Linotype" w:cs="Palatino Linotype"/>
          <w:b/>
        </w:rPr>
        <w:t xml:space="preserve"> </w:t>
      </w:r>
      <w:r>
        <w:rPr>
          <w:rFonts w:ascii="Palatino Linotype" w:eastAsia="Palatino Linotype" w:hAnsi="Palatino Linotype" w:cs="Palatino Linotype"/>
          <w:color w:val="000000"/>
        </w:rPr>
        <w:t>mediante la cual solicitó información en el tenor siguiente:</w:t>
      </w:r>
    </w:p>
    <w:p w14:paraId="0593CC48" w14:textId="77777777" w:rsidR="001A4F65" w:rsidRPr="007A28E8" w:rsidRDefault="001A4F65" w:rsidP="001A4F65">
      <w:pPr>
        <w:spacing w:line="360" w:lineRule="auto"/>
        <w:jc w:val="both"/>
        <w:rPr>
          <w:rFonts w:ascii="Palatino Linotype" w:eastAsia="Palatino Linotype" w:hAnsi="Palatino Linotype" w:cs="Palatino Linotype"/>
          <w:i/>
          <w:color w:val="000000"/>
        </w:rPr>
      </w:pPr>
    </w:p>
    <w:p w14:paraId="12109A16" w14:textId="3919E5F3" w:rsidR="001A4F65" w:rsidRDefault="001A4F65" w:rsidP="001A4F65">
      <w:pPr>
        <w:spacing w:line="360" w:lineRule="auto"/>
        <w:ind w:left="567" w:right="567"/>
        <w:jc w:val="both"/>
        <w:rPr>
          <w:rFonts w:ascii="Palatino Linotype" w:eastAsia="Palatino Linotype" w:hAnsi="Palatino Linotype" w:cs="Palatino Linotype"/>
          <w:i/>
          <w:color w:val="000000"/>
        </w:rPr>
      </w:pPr>
      <w:r w:rsidRPr="007A28E8">
        <w:rPr>
          <w:rFonts w:ascii="Palatino Linotype" w:eastAsia="Palatino Linotype" w:hAnsi="Palatino Linotype" w:cs="Palatino Linotype"/>
          <w:i/>
          <w:color w:val="000000"/>
        </w:rPr>
        <w:t>“</w:t>
      </w:r>
      <w:r w:rsidRPr="001A4F65">
        <w:rPr>
          <w:rFonts w:ascii="Palatino Linotype" w:hAnsi="Palatino Linotype"/>
          <w:i/>
          <w:color w:val="000000"/>
        </w:rPr>
        <w:t>Solicito Recibo de Nómina de la Tesorera Municipal de la primer quincena de febrero 2025, así como su certificación y demás documentación inherente que avale que tiene experiencia necesaria para desempeñar el cargo conforme a lo establecido en la ley orgánica</w:t>
      </w:r>
      <w:r>
        <w:rPr>
          <w:rFonts w:ascii="Palatino Linotype" w:eastAsia="Palatino Linotype" w:hAnsi="Palatino Linotype" w:cs="Palatino Linotype"/>
          <w:i/>
          <w:color w:val="000000"/>
        </w:rPr>
        <w:t>” (Sic)</w:t>
      </w:r>
    </w:p>
    <w:p w14:paraId="25CE426A" w14:textId="77777777" w:rsidR="001A4F65" w:rsidRDefault="001A4F65" w:rsidP="001A4F65">
      <w:pPr>
        <w:spacing w:line="360" w:lineRule="auto"/>
        <w:jc w:val="both"/>
        <w:rPr>
          <w:rFonts w:ascii="Palatino Linotype" w:eastAsia="Palatino Linotype" w:hAnsi="Palatino Linotype" w:cs="Palatino Linotype"/>
          <w:color w:val="000000"/>
        </w:rPr>
      </w:pPr>
    </w:p>
    <w:p w14:paraId="6AB6F62B" w14:textId="21DA67B7" w:rsidR="001A4F65" w:rsidRPr="0073583A" w:rsidRDefault="001A4F65" w:rsidP="001A4F65">
      <w:pPr>
        <w:spacing w:line="360" w:lineRule="auto"/>
        <w:jc w:val="both"/>
        <w:rPr>
          <w:rFonts w:ascii="Palatino Linotype" w:eastAsia="Palatino Linotype" w:hAnsi="Palatino Linotype" w:cs="Palatino Linotype"/>
          <w:b/>
          <w:color w:val="000000"/>
        </w:rPr>
      </w:pPr>
      <w:r>
        <w:rPr>
          <w:rFonts w:ascii="Palatino Linotype" w:eastAsia="Palatino Linotype" w:hAnsi="Palatino Linotype" w:cs="Palatino Linotype"/>
          <w:color w:val="000000"/>
        </w:rPr>
        <w:t xml:space="preserve">Modalidad de entrega: </w:t>
      </w:r>
      <w:r>
        <w:rPr>
          <w:rFonts w:ascii="Palatino Linotype" w:eastAsia="Palatino Linotype" w:hAnsi="Palatino Linotype" w:cs="Palatino Linotype"/>
          <w:b/>
          <w:color w:val="000000"/>
        </w:rPr>
        <w:t>A través del SAIMEX</w:t>
      </w:r>
      <w:r>
        <w:rPr>
          <w:rFonts w:ascii="Palatino Linotype" w:eastAsia="Palatino Linotype" w:hAnsi="Palatino Linotype" w:cs="Palatino Linotype"/>
          <w:color w:val="000000"/>
        </w:rPr>
        <w:t>.</w:t>
      </w:r>
    </w:p>
    <w:p w14:paraId="080EB980" w14:textId="77777777" w:rsidR="001A4F65" w:rsidRDefault="001A4F65" w:rsidP="001A4F65">
      <w:pPr>
        <w:keepNext/>
        <w:keepLines/>
        <w:spacing w:line="360" w:lineRule="auto"/>
        <w:jc w:val="both"/>
        <w:rPr>
          <w:rFonts w:ascii="Palatino Linotype" w:eastAsia="Palatino Linotype" w:hAnsi="Palatino Linotype" w:cs="Palatino Linotype"/>
          <w:b/>
          <w:color w:val="000000"/>
          <w:sz w:val="26"/>
          <w:szCs w:val="26"/>
        </w:rPr>
      </w:pPr>
      <w:r>
        <w:rPr>
          <w:rFonts w:ascii="Palatino Linotype" w:eastAsia="Palatino Linotype" w:hAnsi="Palatino Linotype" w:cs="Palatino Linotype"/>
          <w:b/>
          <w:color w:val="000000"/>
          <w:sz w:val="26"/>
          <w:szCs w:val="26"/>
        </w:rPr>
        <w:lastRenderedPageBreak/>
        <w:t>SEGUNDO. De la Respuesta del Sujeto Obligado.</w:t>
      </w:r>
    </w:p>
    <w:p w14:paraId="327F842F" w14:textId="647E59E2" w:rsidR="001A4F65"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De las constancias que obran en el expediente electrónico, se observa que el once de febrero de dos mil veinticinco, el Sujeto Obligado dio respuesta a la solicitud de información lo siguiente; </w:t>
      </w:r>
    </w:p>
    <w:tbl>
      <w:tblPr>
        <w:tblW w:w="8407" w:type="dxa"/>
        <w:jc w:val="center"/>
        <w:tblCellSpacing w:w="0" w:type="dxa"/>
        <w:tblCellMar>
          <w:left w:w="0" w:type="dxa"/>
          <w:right w:w="0" w:type="dxa"/>
        </w:tblCellMar>
        <w:tblLook w:val="04A0" w:firstRow="1" w:lastRow="0" w:firstColumn="1" w:lastColumn="0" w:noHBand="0" w:noVBand="1"/>
      </w:tblPr>
      <w:tblGrid>
        <w:gridCol w:w="8407"/>
      </w:tblGrid>
      <w:tr w:rsidR="001A4F65" w:rsidRPr="001A4F65" w14:paraId="6BEF2C1D" w14:textId="77777777" w:rsidTr="001A4F65">
        <w:trPr>
          <w:trHeight w:val="305"/>
          <w:tblCellSpacing w:w="0" w:type="dxa"/>
          <w:jc w:val="center"/>
        </w:trPr>
        <w:tc>
          <w:tcPr>
            <w:tcW w:w="0" w:type="auto"/>
            <w:vAlign w:val="center"/>
            <w:hideMark/>
          </w:tcPr>
          <w:p w14:paraId="0910FE0F" w14:textId="77777777" w:rsidR="001A4F65" w:rsidRPr="001A4F65" w:rsidRDefault="001A4F65" w:rsidP="001A4F65">
            <w:pPr>
              <w:spacing w:line="360" w:lineRule="auto"/>
              <w:jc w:val="right"/>
              <w:rPr>
                <w:rFonts w:ascii="Palatino Linotype" w:eastAsia="Palatino Linotype" w:hAnsi="Palatino Linotype" w:cs="Palatino Linotype"/>
                <w:i/>
                <w:iCs/>
                <w:color w:val="000000"/>
                <w:sz w:val="22"/>
                <w:szCs w:val="22"/>
              </w:rPr>
            </w:pPr>
            <w:r w:rsidRPr="001A4F65">
              <w:rPr>
                <w:rFonts w:ascii="Palatino Linotype" w:eastAsia="Palatino Linotype" w:hAnsi="Palatino Linotype" w:cs="Palatino Linotype"/>
                <w:i/>
                <w:iCs/>
                <w:color w:val="000000"/>
                <w:sz w:val="22"/>
                <w:szCs w:val="22"/>
              </w:rPr>
              <w:t>la Paz, México a 24 de Febrero de 2025</w:t>
            </w:r>
          </w:p>
        </w:tc>
      </w:tr>
      <w:tr w:rsidR="001A4F65" w:rsidRPr="001A4F65" w14:paraId="25EB9917" w14:textId="77777777" w:rsidTr="001A4F65">
        <w:trPr>
          <w:trHeight w:val="305"/>
          <w:tblCellSpacing w:w="0" w:type="dxa"/>
          <w:jc w:val="center"/>
        </w:trPr>
        <w:tc>
          <w:tcPr>
            <w:tcW w:w="0" w:type="auto"/>
            <w:vAlign w:val="center"/>
            <w:hideMark/>
          </w:tcPr>
          <w:p w14:paraId="517C3AE1" w14:textId="77777777" w:rsidR="001A4F65" w:rsidRPr="001A4F65" w:rsidRDefault="001A4F65" w:rsidP="001A4F65">
            <w:pPr>
              <w:spacing w:line="360" w:lineRule="auto"/>
              <w:jc w:val="right"/>
              <w:rPr>
                <w:rFonts w:ascii="Palatino Linotype" w:eastAsia="Palatino Linotype" w:hAnsi="Palatino Linotype" w:cs="Palatino Linotype"/>
                <w:i/>
                <w:iCs/>
                <w:color w:val="000000"/>
                <w:sz w:val="22"/>
                <w:szCs w:val="22"/>
              </w:rPr>
            </w:pPr>
            <w:r w:rsidRPr="001A4F65">
              <w:rPr>
                <w:rFonts w:ascii="Palatino Linotype" w:eastAsia="Palatino Linotype" w:hAnsi="Palatino Linotype" w:cs="Palatino Linotype"/>
                <w:i/>
                <w:iCs/>
                <w:color w:val="000000"/>
                <w:sz w:val="22"/>
                <w:szCs w:val="22"/>
              </w:rPr>
              <w:t>Nombre del solicitante: C. Solicitante</w:t>
            </w:r>
          </w:p>
        </w:tc>
      </w:tr>
      <w:tr w:rsidR="001A4F65" w:rsidRPr="001A4F65" w14:paraId="34865763" w14:textId="77777777" w:rsidTr="001A4F65">
        <w:trPr>
          <w:trHeight w:val="305"/>
          <w:tblCellSpacing w:w="0" w:type="dxa"/>
          <w:jc w:val="center"/>
        </w:trPr>
        <w:tc>
          <w:tcPr>
            <w:tcW w:w="0" w:type="auto"/>
            <w:vAlign w:val="center"/>
            <w:hideMark/>
          </w:tcPr>
          <w:p w14:paraId="5A5CC88B" w14:textId="77777777" w:rsidR="001A4F65" w:rsidRPr="001A4F65" w:rsidRDefault="001A4F65" w:rsidP="001A4F65">
            <w:pPr>
              <w:spacing w:line="360" w:lineRule="auto"/>
              <w:jc w:val="right"/>
              <w:rPr>
                <w:rFonts w:ascii="Palatino Linotype" w:eastAsia="Palatino Linotype" w:hAnsi="Palatino Linotype" w:cs="Palatino Linotype"/>
                <w:i/>
                <w:iCs/>
                <w:color w:val="000000"/>
                <w:sz w:val="22"/>
                <w:szCs w:val="22"/>
              </w:rPr>
            </w:pPr>
            <w:r w:rsidRPr="001A4F65">
              <w:rPr>
                <w:rFonts w:ascii="Palatino Linotype" w:eastAsia="Palatino Linotype" w:hAnsi="Palatino Linotype" w:cs="Palatino Linotype"/>
                <w:i/>
                <w:iCs/>
                <w:color w:val="000000"/>
                <w:sz w:val="22"/>
                <w:szCs w:val="22"/>
              </w:rPr>
              <w:t>Folio de la solicitud: 00122/LAPAZ/IP/2025</w:t>
            </w:r>
          </w:p>
        </w:tc>
      </w:tr>
      <w:tr w:rsidR="001A4F65" w:rsidRPr="001A4F65" w14:paraId="10E7D8CF" w14:textId="77777777" w:rsidTr="001A4F65">
        <w:trPr>
          <w:trHeight w:val="381"/>
          <w:tblCellSpacing w:w="0" w:type="dxa"/>
          <w:jc w:val="center"/>
        </w:trPr>
        <w:tc>
          <w:tcPr>
            <w:tcW w:w="0" w:type="auto"/>
            <w:vAlign w:val="center"/>
            <w:hideMark/>
          </w:tcPr>
          <w:p w14:paraId="1F2CB350" w14:textId="77777777" w:rsidR="001A4F65" w:rsidRPr="001A4F65" w:rsidRDefault="001A4F65" w:rsidP="001A4F65">
            <w:pPr>
              <w:spacing w:line="360" w:lineRule="auto"/>
              <w:jc w:val="both"/>
              <w:rPr>
                <w:rFonts w:ascii="Palatino Linotype" w:eastAsia="Palatino Linotype" w:hAnsi="Palatino Linotype" w:cs="Palatino Linotype"/>
                <w:i/>
                <w:iCs/>
                <w:color w:val="000000"/>
                <w:sz w:val="22"/>
                <w:szCs w:val="22"/>
              </w:rPr>
            </w:pPr>
          </w:p>
        </w:tc>
      </w:tr>
      <w:tr w:rsidR="001A4F65" w:rsidRPr="001A4F65" w14:paraId="125A31AF" w14:textId="77777777" w:rsidTr="001A4F65">
        <w:trPr>
          <w:trHeight w:val="152"/>
          <w:tblCellSpacing w:w="0" w:type="dxa"/>
          <w:jc w:val="center"/>
        </w:trPr>
        <w:tc>
          <w:tcPr>
            <w:tcW w:w="0" w:type="auto"/>
            <w:vAlign w:val="center"/>
            <w:hideMark/>
          </w:tcPr>
          <w:p w14:paraId="29754163" w14:textId="37F7ADA5" w:rsidR="001A4F65" w:rsidRPr="001A4F65" w:rsidRDefault="001A4F65" w:rsidP="001A4F65">
            <w:pPr>
              <w:spacing w:line="360" w:lineRule="auto"/>
              <w:jc w:val="both"/>
              <w:rPr>
                <w:rFonts w:ascii="Palatino Linotype" w:eastAsia="Palatino Linotype" w:hAnsi="Palatino Linotype" w:cs="Palatino Linotype"/>
                <w:i/>
                <w:iCs/>
                <w:color w:val="000000"/>
                <w:sz w:val="22"/>
                <w:szCs w:val="22"/>
              </w:rPr>
            </w:pPr>
            <w:r w:rsidRPr="001A4F65">
              <w:rPr>
                <w:rFonts w:ascii="Palatino Linotype" w:eastAsia="Palatino Linotype" w:hAnsi="Palatino Linotype" w:cs="Palatino Linotype"/>
                <w:i/>
                <w:iCs/>
                <w:color w:val="000000"/>
                <w:sz w:val="22"/>
                <w:szCs w:val="22"/>
              </w:rPr>
              <w:t xml:space="preserve">Se solicita el Acumulo del oficio: Número de Folio de Recurso de Revisión: 01627/INFOEM/IP/RR/2025 al 00122/LAPAZ/IP/2025 al 00096/LAPAZ/IP/2025 ya que solicita la misma Información, se anexa archivo adjunto con la Información solicita que obra en los archivos de esta Administración. </w:t>
            </w:r>
            <w:r>
              <w:rPr>
                <w:rFonts w:ascii="Palatino Linotype" w:eastAsia="Palatino Linotype" w:hAnsi="Palatino Linotype" w:cs="Palatino Linotype"/>
                <w:i/>
                <w:iCs/>
                <w:color w:val="000000"/>
                <w:sz w:val="22"/>
                <w:szCs w:val="22"/>
              </w:rPr>
              <w:t>…</w:t>
            </w:r>
          </w:p>
        </w:tc>
      </w:tr>
    </w:tbl>
    <w:p w14:paraId="2B250292" w14:textId="77777777" w:rsidR="001A4F65" w:rsidRDefault="001A4F65" w:rsidP="001A4F65">
      <w:pPr>
        <w:spacing w:line="360" w:lineRule="auto"/>
        <w:jc w:val="both"/>
        <w:rPr>
          <w:rFonts w:ascii="Palatino Linotype" w:eastAsia="Palatino Linotype" w:hAnsi="Palatino Linotype" w:cs="Palatino Linotype"/>
          <w:color w:val="000000"/>
        </w:rPr>
      </w:pPr>
    </w:p>
    <w:p w14:paraId="37EF09DD" w14:textId="34768973" w:rsidR="001A4F65" w:rsidRPr="001A4F65" w:rsidRDefault="001A4F65" w:rsidP="001A4F65">
      <w:pPr>
        <w:spacing w:line="360" w:lineRule="auto"/>
        <w:jc w:val="both"/>
        <w:rPr>
          <w:rFonts w:ascii="Palatino Linotype" w:hAnsi="Palatino Linotype" w:cs="Arial"/>
          <w:b/>
          <w:bCs/>
          <w:i/>
        </w:rPr>
      </w:pPr>
      <w:r>
        <w:rPr>
          <w:rFonts w:ascii="Palatino Linotype" w:eastAsia="Palatino Linotype" w:hAnsi="Palatino Linotype" w:cs="Palatino Linotype"/>
          <w:color w:val="000000"/>
        </w:rPr>
        <w:t xml:space="preserve">Adjuntando a su respuesta el documento denominado </w:t>
      </w:r>
      <w:r w:rsidRPr="001A4F65">
        <w:rPr>
          <w:rFonts w:ascii="Palatino Linotype" w:eastAsia="Palatino Linotype" w:hAnsi="Palatino Linotype" w:cs="Palatino Linotype"/>
          <w:i/>
          <w:iCs/>
          <w:color w:val="000000"/>
        </w:rPr>
        <w:t>“</w:t>
      </w:r>
      <w:r w:rsidRPr="001A4F65">
        <w:rPr>
          <w:rFonts w:ascii="Palatino Linotype" w:eastAsia="Palatino Linotype" w:hAnsi="Palatino Linotype" w:cs="Palatino Linotype"/>
          <w:b/>
          <w:bCs/>
          <w:i/>
          <w:iCs/>
          <w:color w:val="000000"/>
        </w:rPr>
        <w:t>00096 testad.pdf”</w:t>
      </w:r>
      <w:r>
        <w:rPr>
          <w:rFonts w:ascii="Palatino Linotype" w:hAnsi="Palatino Linotype" w:cs="Arial"/>
          <w:b/>
          <w:bCs/>
          <w:i/>
        </w:rPr>
        <w:t xml:space="preserve">, </w:t>
      </w:r>
      <w:r>
        <w:rPr>
          <w:rFonts w:ascii="Palatino Linotype" w:eastAsia="Palatino Linotype" w:hAnsi="Palatino Linotype" w:cs="Palatino Linotype"/>
          <w:color w:val="000000"/>
        </w:rPr>
        <w:t>el cual no se reproduce por ser del conocimiento de las partes; no obstante, su contenido será motivo de análisis en el estudio correspondiente.</w:t>
      </w:r>
    </w:p>
    <w:p w14:paraId="685A3D1F" w14:textId="77777777" w:rsidR="001A4F65" w:rsidRDefault="001A4F65" w:rsidP="001A4F65">
      <w:pPr>
        <w:spacing w:line="360" w:lineRule="auto"/>
        <w:jc w:val="both"/>
        <w:rPr>
          <w:rFonts w:ascii="Palatino Linotype" w:eastAsia="Palatino Linotype" w:hAnsi="Palatino Linotype" w:cs="Palatino Linotype"/>
        </w:rPr>
      </w:pPr>
    </w:p>
    <w:p w14:paraId="68E7C64B" w14:textId="77777777" w:rsidR="001A4F65" w:rsidRDefault="001A4F65" w:rsidP="001A4F65">
      <w:pPr>
        <w:keepNext/>
        <w:keepLines/>
        <w:spacing w:line="360" w:lineRule="auto"/>
        <w:jc w:val="both"/>
        <w:rPr>
          <w:rFonts w:ascii="Palatino Linotype" w:eastAsia="Palatino Linotype" w:hAnsi="Palatino Linotype" w:cs="Palatino Linotype"/>
          <w:b/>
          <w:color w:val="000000"/>
          <w:sz w:val="26"/>
          <w:szCs w:val="26"/>
        </w:rPr>
      </w:pPr>
      <w:r>
        <w:rPr>
          <w:rFonts w:ascii="Palatino Linotype" w:eastAsia="Palatino Linotype" w:hAnsi="Palatino Linotype" w:cs="Palatino Linotype"/>
          <w:b/>
          <w:color w:val="000000"/>
          <w:sz w:val="26"/>
          <w:szCs w:val="26"/>
        </w:rPr>
        <w:t>TERCERO. Del recurso de revisión.</w:t>
      </w:r>
    </w:p>
    <w:p w14:paraId="1EAF2B00" w14:textId="4C0F225D" w:rsidR="001A4F65"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Inconforme con la respuesta emitida por el Sujeto Obligado, el Recurrente interpuso el presente recurso de revisión el día </w:t>
      </w:r>
      <w:r>
        <w:rPr>
          <w:rFonts w:ascii="Palatino Linotype" w:eastAsia="Palatino Linotype" w:hAnsi="Palatino Linotype" w:cs="Palatino Linotype"/>
          <w:b/>
          <w:color w:val="000000"/>
        </w:rPr>
        <w:t>veinticinco de febrero de dos mil veinticinco</w:t>
      </w:r>
      <w:r>
        <w:rPr>
          <w:rFonts w:ascii="Palatino Linotype" w:eastAsia="Palatino Linotype" w:hAnsi="Palatino Linotype" w:cs="Palatino Linotype"/>
          <w:color w:val="000000"/>
        </w:rPr>
        <w:t xml:space="preserve">, el cual se registró con el expediente número </w:t>
      </w:r>
      <w:r>
        <w:rPr>
          <w:rFonts w:ascii="Palatino Linotype" w:eastAsia="Palatino Linotype" w:hAnsi="Palatino Linotype" w:cs="Palatino Linotype"/>
          <w:b/>
          <w:color w:val="000000"/>
        </w:rPr>
        <w:t>01995/INFOEM/IP/RR/2025</w:t>
      </w:r>
      <w:r>
        <w:rPr>
          <w:rFonts w:ascii="Palatino Linotype" w:eastAsia="Palatino Linotype" w:hAnsi="Palatino Linotype" w:cs="Palatino Linotype"/>
          <w:color w:val="000000"/>
        </w:rPr>
        <w:t>, manifestando lo siguiente:</w:t>
      </w:r>
    </w:p>
    <w:p w14:paraId="41116D3A" w14:textId="77777777" w:rsidR="001A4F65" w:rsidRDefault="001A4F65" w:rsidP="001A4F65">
      <w:pPr>
        <w:ind w:left="567" w:right="567"/>
        <w:jc w:val="both"/>
        <w:rPr>
          <w:rFonts w:ascii="Palatino Linotype" w:eastAsia="Palatino Linotype" w:hAnsi="Palatino Linotype" w:cs="Palatino Linotype"/>
          <w:b/>
        </w:rPr>
      </w:pPr>
      <w:r>
        <w:rPr>
          <w:rFonts w:ascii="Palatino Linotype" w:eastAsia="Palatino Linotype" w:hAnsi="Palatino Linotype" w:cs="Palatino Linotype"/>
          <w:b/>
        </w:rPr>
        <w:t xml:space="preserve">Acto Impugnado </w:t>
      </w:r>
    </w:p>
    <w:p w14:paraId="549815D2" w14:textId="2BFCB267" w:rsidR="001A4F65" w:rsidRPr="007A28E8" w:rsidRDefault="001A4F65" w:rsidP="001A4F65">
      <w:pPr>
        <w:ind w:left="567"/>
        <w:jc w:val="both"/>
        <w:rPr>
          <w:rFonts w:ascii="Palatino Linotype" w:hAnsi="Palatino Linotype"/>
          <w:i/>
        </w:rPr>
      </w:pPr>
      <w:r>
        <w:rPr>
          <w:rFonts w:ascii="Palatino Linotype" w:eastAsia="Palatino Linotype" w:hAnsi="Palatino Linotype" w:cs="Palatino Linotype"/>
          <w:i/>
          <w:color w:val="000000"/>
        </w:rPr>
        <w:t>“</w:t>
      </w:r>
      <w:r w:rsidRPr="001A4F65">
        <w:rPr>
          <w:rFonts w:ascii="Palatino Linotype" w:hAnsi="Palatino Linotype"/>
          <w:b/>
          <w:bCs/>
          <w:i/>
          <w:color w:val="000000"/>
        </w:rPr>
        <w:t>LOS RECIBOS DE NÓMINA NO SON DE CÁRACTER PERSONAL</w:t>
      </w:r>
      <w:r w:rsidRPr="001A4F65">
        <w:rPr>
          <w:rFonts w:ascii="Palatino Linotype" w:hAnsi="Palatino Linotype"/>
          <w:i/>
          <w:color w:val="000000"/>
        </w:rPr>
        <w:t xml:space="preserve">, Y EL FUNDAMENTO JURIDICO NO CONCUERDA CON LO SOLICITADO, LA LEY </w:t>
      </w:r>
      <w:r w:rsidRPr="001A4F65">
        <w:rPr>
          <w:rFonts w:ascii="Palatino Linotype" w:hAnsi="Palatino Linotype"/>
          <w:i/>
          <w:color w:val="000000"/>
        </w:rPr>
        <w:lastRenderedPageBreak/>
        <w:t>GENERAL DE PROTECCIÓN DE DATOS NO EXISTE, ENUNCIAR LEY COMPLETA, SOPORTAR JURIDICAMENTE CORRECTO LO QUE EMITE EL OFICIO GIRADO POR LA TESORERA MUNICIPAL</w:t>
      </w:r>
      <w:r>
        <w:rPr>
          <w:rFonts w:ascii="Palatino Linotype" w:hAnsi="Palatino Linotype"/>
          <w:i/>
          <w:color w:val="000000"/>
        </w:rPr>
        <w:t xml:space="preserve">” </w:t>
      </w:r>
      <w:r w:rsidRPr="007A28E8">
        <w:rPr>
          <w:rFonts w:ascii="Palatino Linotype" w:eastAsia="Palatino Linotype" w:hAnsi="Palatino Linotype" w:cs="Palatino Linotype"/>
          <w:i/>
          <w:color w:val="000000"/>
        </w:rPr>
        <w:t>Sic)</w:t>
      </w:r>
    </w:p>
    <w:p w14:paraId="698A0BA1" w14:textId="77777777" w:rsidR="001A4F65" w:rsidRDefault="001A4F65" w:rsidP="001A4F65">
      <w:pPr>
        <w:ind w:left="567" w:right="567"/>
        <w:jc w:val="both"/>
        <w:rPr>
          <w:rFonts w:ascii="Palatino Linotype" w:eastAsia="Palatino Linotype" w:hAnsi="Palatino Linotype" w:cs="Palatino Linotype"/>
          <w:b/>
        </w:rPr>
      </w:pPr>
    </w:p>
    <w:p w14:paraId="6FED005E" w14:textId="77777777" w:rsidR="001A4F65" w:rsidRDefault="001A4F65" w:rsidP="001A4F65">
      <w:pPr>
        <w:ind w:left="567" w:right="567"/>
        <w:jc w:val="both"/>
        <w:rPr>
          <w:rFonts w:ascii="Palatino Linotype" w:eastAsia="Palatino Linotype" w:hAnsi="Palatino Linotype" w:cs="Palatino Linotype"/>
          <w:b/>
        </w:rPr>
      </w:pPr>
      <w:r>
        <w:rPr>
          <w:rFonts w:ascii="Palatino Linotype" w:eastAsia="Palatino Linotype" w:hAnsi="Palatino Linotype" w:cs="Palatino Linotype"/>
          <w:b/>
        </w:rPr>
        <w:t>Razones o Motivos de Inconformidad</w:t>
      </w:r>
    </w:p>
    <w:p w14:paraId="72341107" w14:textId="77777777" w:rsidR="001A4F65" w:rsidRDefault="001A4F65" w:rsidP="001A4F65">
      <w:pPr>
        <w:ind w:left="567" w:right="567"/>
        <w:jc w:val="both"/>
        <w:rPr>
          <w:rFonts w:ascii="Palatino Linotype" w:eastAsia="Palatino Linotype" w:hAnsi="Palatino Linotype" w:cs="Palatino Linotype"/>
          <w:b/>
        </w:rPr>
      </w:pPr>
    </w:p>
    <w:p w14:paraId="527E358C" w14:textId="7A8F754C" w:rsidR="001A4F65" w:rsidRDefault="001A4F65" w:rsidP="001A4F65">
      <w:pPr>
        <w:ind w:left="567" w:right="567"/>
        <w:jc w:val="both"/>
        <w:rPr>
          <w:rFonts w:ascii="Palatino Linotype" w:eastAsia="Palatino Linotype" w:hAnsi="Palatino Linotype" w:cs="Palatino Linotype"/>
          <w:b/>
        </w:rPr>
      </w:pPr>
      <w:r w:rsidRPr="007A28E8">
        <w:rPr>
          <w:rFonts w:ascii="Palatino Linotype" w:eastAsia="Palatino Linotype" w:hAnsi="Palatino Linotype" w:cs="Palatino Linotype"/>
          <w:i/>
          <w:color w:val="000000"/>
        </w:rPr>
        <w:t>“</w:t>
      </w:r>
      <w:r w:rsidRPr="001A4F65">
        <w:rPr>
          <w:rFonts w:ascii="Palatino Linotype" w:hAnsi="Palatino Linotype"/>
          <w:b/>
          <w:bCs/>
          <w:i/>
          <w:color w:val="000000"/>
        </w:rPr>
        <w:t xml:space="preserve">No se </w:t>
      </w:r>
      <w:proofErr w:type="spellStart"/>
      <w:r w:rsidRPr="001A4F65">
        <w:rPr>
          <w:rFonts w:ascii="Palatino Linotype" w:hAnsi="Palatino Linotype"/>
          <w:b/>
          <w:bCs/>
          <w:i/>
          <w:color w:val="000000"/>
        </w:rPr>
        <w:t>envío</w:t>
      </w:r>
      <w:proofErr w:type="spellEnd"/>
      <w:r w:rsidRPr="001A4F65">
        <w:rPr>
          <w:rFonts w:ascii="Palatino Linotype" w:hAnsi="Palatino Linotype"/>
          <w:b/>
          <w:bCs/>
          <w:i/>
          <w:color w:val="000000"/>
        </w:rPr>
        <w:t xml:space="preserve"> Recibo de Nómina solicitado</w:t>
      </w:r>
      <w:r w:rsidRPr="001A4F65">
        <w:rPr>
          <w:rFonts w:ascii="Palatino Linotype" w:hAnsi="Palatino Linotype"/>
          <w:i/>
          <w:color w:val="000000"/>
        </w:rPr>
        <w:t>, mismo que se puede proporcionar, siendo clasificados los datos personales, mismo que se clasificarán por el Comité de Transparencia</w:t>
      </w:r>
      <w:r w:rsidRPr="007A28E8">
        <w:rPr>
          <w:rFonts w:ascii="Palatino Linotype" w:hAnsi="Palatino Linotype"/>
          <w:i/>
          <w:color w:val="000000"/>
        </w:rPr>
        <w:t>.</w:t>
      </w:r>
      <w:r w:rsidRPr="007A28E8">
        <w:rPr>
          <w:rFonts w:ascii="Palatino Linotype" w:eastAsia="Palatino Linotype" w:hAnsi="Palatino Linotype" w:cs="Palatino Linotype"/>
          <w:i/>
          <w:color w:val="000000"/>
        </w:rPr>
        <w:t>”</w:t>
      </w:r>
      <w:r>
        <w:rPr>
          <w:rFonts w:ascii="Palatino Linotype" w:eastAsia="Palatino Linotype" w:hAnsi="Palatino Linotype" w:cs="Palatino Linotype"/>
          <w:i/>
          <w:color w:val="000000"/>
        </w:rPr>
        <w:t xml:space="preserve">  (Sic)</w:t>
      </w:r>
      <w:r>
        <w:rPr>
          <w:rFonts w:ascii="Palatino Linotype" w:eastAsia="Palatino Linotype" w:hAnsi="Palatino Linotype" w:cs="Palatino Linotype"/>
          <w:b/>
        </w:rPr>
        <w:t xml:space="preserve"> </w:t>
      </w:r>
    </w:p>
    <w:p w14:paraId="4ED92D60" w14:textId="77777777" w:rsidR="001A4F65" w:rsidRDefault="001A4F65" w:rsidP="001A4F65">
      <w:pPr>
        <w:ind w:right="567"/>
        <w:jc w:val="both"/>
        <w:rPr>
          <w:rFonts w:ascii="Palatino Linotype" w:eastAsia="Palatino Linotype" w:hAnsi="Palatino Linotype" w:cs="Palatino Linotype"/>
          <w:b/>
          <w:i/>
          <w:color w:val="000000"/>
        </w:rPr>
      </w:pPr>
    </w:p>
    <w:p w14:paraId="23CA03FD" w14:textId="77777777" w:rsidR="001A4F65" w:rsidRDefault="001A4F65" w:rsidP="001A4F65">
      <w:pPr>
        <w:keepNext/>
        <w:keepLines/>
        <w:spacing w:line="360" w:lineRule="auto"/>
        <w:jc w:val="both"/>
        <w:rPr>
          <w:rFonts w:ascii="Palatino Linotype" w:eastAsia="Palatino Linotype" w:hAnsi="Palatino Linotype" w:cs="Palatino Linotype"/>
          <w:color w:val="000000"/>
        </w:rPr>
      </w:pPr>
    </w:p>
    <w:p w14:paraId="51C372DE" w14:textId="64EE4495" w:rsidR="001A4F65" w:rsidRDefault="001A4F65" w:rsidP="001A4F65">
      <w:pPr>
        <w:keepNext/>
        <w:keepLines/>
        <w:spacing w:line="360" w:lineRule="auto"/>
        <w:jc w:val="both"/>
        <w:rPr>
          <w:rFonts w:ascii="Palatino Linotype" w:eastAsia="Palatino Linotype" w:hAnsi="Palatino Linotype" w:cs="Palatino Linotype"/>
          <w:b/>
          <w:color w:val="000000"/>
          <w:sz w:val="26"/>
          <w:szCs w:val="26"/>
        </w:rPr>
      </w:pPr>
      <w:r>
        <w:rPr>
          <w:rFonts w:ascii="Palatino Linotype" w:eastAsia="Palatino Linotype" w:hAnsi="Palatino Linotype" w:cs="Palatino Linotype"/>
          <w:b/>
          <w:color w:val="000000"/>
          <w:sz w:val="26"/>
          <w:szCs w:val="26"/>
        </w:rPr>
        <w:t>CUARTO. Del turno y admisión del recurso de revisión.</w:t>
      </w:r>
    </w:p>
    <w:p w14:paraId="521A803F" w14:textId="73EA68DF" w:rsidR="001A4F65"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Medio de impugnación que le fue turnado al </w:t>
      </w:r>
      <w:r>
        <w:rPr>
          <w:rFonts w:ascii="Palatino Linotype" w:eastAsia="Palatino Linotype" w:hAnsi="Palatino Linotype" w:cs="Palatino Linotype"/>
          <w:b/>
          <w:color w:val="000000"/>
        </w:rPr>
        <w:t>Comisionado Presidente José Martínez Vilchis</w:t>
      </w:r>
      <w:r>
        <w:rPr>
          <w:rFonts w:ascii="Palatino Linotype" w:eastAsia="Palatino Linotype" w:hAnsi="Palatino Linotype" w:cs="Palatino Linotype"/>
          <w:color w:val="000000"/>
        </w:rPr>
        <w:t>, por medio del sistema electrónico en términos del numeral 185 fracción I de la Ley de Transparencia y Acceso a la información Pública del Estado de México y Municipios, al cual recayó acuerdo de admisión de fecha</w:t>
      </w:r>
      <w:r>
        <w:rPr>
          <w:rFonts w:ascii="Palatino Linotype" w:eastAsia="Palatino Linotype" w:hAnsi="Palatino Linotype" w:cs="Palatino Linotype"/>
          <w:b/>
          <w:color w:val="000000"/>
        </w:rPr>
        <w:t xml:space="preserve"> veintiséis de febrero de dos mil veinticinco</w:t>
      </w:r>
      <w:r>
        <w:rPr>
          <w:rFonts w:ascii="Palatino Linotype" w:eastAsia="Palatino Linotype" w:hAnsi="Palatino Linotype" w:cs="Palatino Linotype"/>
          <w:color w:val="000000"/>
        </w:rPr>
        <w:t xml:space="preserve">, </w:t>
      </w:r>
      <w:r>
        <w:rPr>
          <w:rFonts w:ascii="Palatino Linotype" w:eastAsia="Palatino Linotype" w:hAnsi="Palatino Linotype" w:cs="Palatino Linotype"/>
        </w:rPr>
        <w:t>otorgándose</w:t>
      </w:r>
      <w:r>
        <w:rPr>
          <w:rFonts w:ascii="Palatino Linotype" w:eastAsia="Palatino Linotype" w:hAnsi="Palatino Linotype" w:cs="Palatino Linotype"/>
          <w:color w:val="000000"/>
        </w:rPr>
        <w:t xml:space="preserve"> en él un plazo de siete días para que las partes manifestaran lo que a su derecho corresponda en términos del numeral ya citado.</w:t>
      </w:r>
    </w:p>
    <w:p w14:paraId="5DB6C34E" w14:textId="77777777" w:rsidR="001A4F65" w:rsidRDefault="001A4F65" w:rsidP="001A4F65">
      <w:pPr>
        <w:spacing w:line="360" w:lineRule="auto"/>
        <w:jc w:val="both"/>
        <w:rPr>
          <w:rFonts w:ascii="Palatino Linotype" w:eastAsia="Palatino Linotype" w:hAnsi="Palatino Linotype" w:cs="Palatino Linotype"/>
          <w:color w:val="000000"/>
        </w:rPr>
      </w:pPr>
    </w:p>
    <w:p w14:paraId="476F800C" w14:textId="77777777" w:rsidR="001A4F65" w:rsidRDefault="001A4F65" w:rsidP="001A4F65">
      <w:pPr>
        <w:keepNext/>
        <w:keepLines/>
        <w:spacing w:line="360" w:lineRule="auto"/>
        <w:jc w:val="both"/>
        <w:rPr>
          <w:rFonts w:ascii="Palatino Linotype" w:eastAsia="Palatino Linotype" w:hAnsi="Palatino Linotype" w:cs="Palatino Linotype"/>
          <w:b/>
          <w:color w:val="000000"/>
          <w:sz w:val="26"/>
          <w:szCs w:val="26"/>
        </w:rPr>
      </w:pPr>
      <w:r>
        <w:rPr>
          <w:rFonts w:ascii="Palatino Linotype" w:eastAsia="Palatino Linotype" w:hAnsi="Palatino Linotype" w:cs="Palatino Linotype"/>
          <w:b/>
          <w:color w:val="000000"/>
          <w:sz w:val="26"/>
          <w:szCs w:val="26"/>
        </w:rPr>
        <w:t>QUINTO. De la etapa de instrucción.</w:t>
      </w:r>
    </w:p>
    <w:p w14:paraId="1B9017BD" w14:textId="0F0B119C" w:rsidR="001A4F65" w:rsidRDefault="001A4F65" w:rsidP="001A4F65">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color w:val="000000"/>
        </w:rPr>
        <w:t xml:space="preserve">Una vez abierta la etapa de instrucción, el Sujeto Obligado </w:t>
      </w:r>
      <w:r>
        <w:rPr>
          <w:rFonts w:ascii="Palatino Linotype" w:eastAsia="Palatino Linotype" w:hAnsi="Palatino Linotype" w:cs="Palatino Linotype"/>
          <w:b/>
          <w:color w:val="000000"/>
        </w:rPr>
        <w:t xml:space="preserve">rindió </w:t>
      </w:r>
      <w:r>
        <w:rPr>
          <w:rFonts w:ascii="Palatino Linotype" w:eastAsia="Palatino Linotype" w:hAnsi="Palatino Linotype" w:cs="Palatino Linotype"/>
          <w:color w:val="000000"/>
        </w:rPr>
        <w:t xml:space="preserve">su informe justificado en fecha cuatro de marzo de dos mil veinticinco el cual fue puesto a la vista del Recurrente en fecha diez de marzo de dos mil veinticinco. Por su parte, el Recurrente no realizó manifestaciones, vertió alegatos ni presentó pruebas que a su derecho convinieran. </w:t>
      </w:r>
    </w:p>
    <w:p w14:paraId="01EB7D2A" w14:textId="77777777" w:rsidR="001A4F65" w:rsidRDefault="001A4F65" w:rsidP="001A4F65">
      <w:pPr>
        <w:spacing w:line="360" w:lineRule="auto"/>
        <w:jc w:val="both"/>
        <w:rPr>
          <w:rFonts w:ascii="Palatino Linotype" w:eastAsia="Palatino Linotype" w:hAnsi="Palatino Linotype" w:cs="Palatino Linotype"/>
          <w:color w:val="000000"/>
        </w:rPr>
      </w:pPr>
    </w:p>
    <w:p w14:paraId="422D5D05" w14:textId="77777777" w:rsidR="001A4F65" w:rsidRDefault="001A4F65" w:rsidP="001A4F65">
      <w:pPr>
        <w:keepNext/>
        <w:keepLines/>
        <w:spacing w:line="360" w:lineRule="auto"/>
        <w:jc w:val="both"/>
        <w:rPr>
          <w:rFonts w:ascii="Palatino Linotype" w:eastAsia="Palatino Linotype" w:hAnsi="Palatino Linotype" w:cs="Palatino Linotype"/>
          <w:b/>
          <w:color w:val="000000"/>
          <w:sz w:val="26"/>
          <w:szCs w:val="26"/>
        </w:rPr>
      </w:pPr>
      <w:r>
        <w:rPr>
          <w:rFonts w:ascii="Palatino Linotype" w:eastAsia="Palatino Linotype" w:hAnsi="Palatino Linotype" w:cs="Palatino Linotype"/>
          <w:b/>
          <w:color w:val="000000"/>
          <w:sz w:val="26"/>
          <w:szCs w:val="26"/>
        </w:rPr>
        <w:lastRenderedPageBreak/>
        <w:t>SEXTO. Del cierre de instrucción.</w:t>
      </w:r>
    </w:p>
    <w:p w14:paraId="61565B77" w14:textId="5AA7BCF1" w:rsidR="001A4F65"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Así, una vez transcurrido el término legal, se decretó el cierre de instrucción en fecha</w:t>
      </w:r>
      <w:r>
        <w:rPr>
          <w:rFonts w:ascii="Palatino Linotype" w:eastAsia="Palatino Linotype" w:hAnsi="Palatino Linotype" w:cs="Palatino Linotype"/>
          <w:b/>
          <w:color w:val="000000"/>
        </w:rPr>
        <w:t xml:space="preserve"> catorce de marzo de dos mil veinticinco</w:t>
      </w:r>
      <w:r>
        <w:rPr>
          <w:rFonts w:ascii="Palatino Linotype" w:eastAsia="Palatino Linotype" w:hAnsi="Palatino Linotype" w:cs="Palatino Linotype"/>
          <w:color w:val="000000"/>
        </w:rPr>
        <w:t>, en términos del artículo 185 fracción VI de la Ley de Transparencia y Acceso a la Información Pública del Estado de México y Municipios, iniciando el término legal para dictar resolución definitiva del asunto.</w:t>
      </w:r>
    </w:p>
    <w:p w14:paraId="48FFBC1F" w14:textId="77777777" w:rsidR="001A4F65" w:rsidRDefault="001A4F65" w:rsidP="001A4F65">
      <w:pPr>
        <w:spacing w:line="360" w:lineRule="auto"/>
        <w:jc w:val="both"/>
        <w:rPr>
          <w:rFonts w:ascii="Palatino Linotype" w:eastAsia="Palatino Linotype" w:hAnsi="Palatino Linotype" w:cs="Palatino Linotype"/>
          <w:color w:val="000000"/>
        </w:rPr>
      </w:pPr>
    </w:p>
    <w:p w14:paraId="15E0CD94" w14:textId="77777777" w:rsidR="001A4F65" w:rsidRDefault="001A4F65" w:rsidP="001A4F65">
      <w:pPr>
        <w:spacing w:line="360" w:lineRule="auto"/>
        <w:jc w:val="both"/>
        <w:rPr>
          <w:rFonts w:ascii="Palatino Linotype" w:eastAsia="Palatino Linotype" w:hAnsi="Palatino Linotype" w:cs="Palatino Linotype"/>
        </w:rPr>
      </w:pPr>
    </w:p>
    <w:p w14:paraId="6C3B51D9" w14:textId="77777777" w:rsidR="001A4F65" w:rsidRDefault="001A4F65" w:rsidP="001A4F65">
      <w:pPr>
        <w:keepNext/>
        <w:keepLines/>
        <w:spacing w:line="360" w:lineRule="auto"/>
        <w:jc w:val="center"/>
        <w:rPr>
          <w:rFonts w:ascii="Palatino Linotype" w:eastAsia="Palatino Linotype" w:hAnsi="Palatino Linotype" w:cs="Palatino Linotype"/>
          <w:b/>
          <w:color w:val="000000"/>
          <w:sz w:val="28"/>
          <w:szCs w:val="28"/>
        </w:rPr>
      </w:pPr>
      <w:r>
        <w:rPr>
          <w:rFonts w:ascii="Palatino Linotype" w:eastAsia="Palatino Linotype" w:hAnsi="Palatino Linotype" w:cs="Palatino Linotype"/>
          <w:b/>
          <w:color w:val="000000"/>
          <w:sz w:val="28"/>
          <w:szCs w:val="28"/>
        </w:rPr>
        <w:t>C O N S I D E R A N D O</w:t>
      </w:r>
    </w:p>
    <w:p w14:paraId="3ABFDCAE" w14:textId="77777777" w:rsidR="001A4F65" w:rsidRDefault="001A4F65" w:rsidP="001A4F65">
      <w:pPr>
        <w:spacing w:line="360" w:lineRule="auto"/>
        <w:jc w:val="both"/>
        <w:rPr>
          <w:rFonts w:ascii="Palatino Linotype" w:eastAsia="Palatino Linotype" w:hAnsi="Palatino Linotype" w:cs="Palatino Linotype"/>
          <w:color w:val="000000"/>
        </w:rPr>
      </w:pPr>
    </w:p>
    <w:p w14:paraId="6D81D9F2" w14:textId="77777777" w:rsidR="001A4F65" w:rsidRDefault="001A4F65" w:rsidP="001A4F65">
      <w:pPr>
        <w:keepNext/>
        <w:keepLines/>
        <w:spacing w:line="360" w:lineRule="auto"/>
        <w:jc w:val="both"/>
        <w:rPr>
          <w:rFonts w:ascii="Palatino Linotype" w:eastAsia="Palatino Linotype" w:hAnsi="Palatino Linotype" w:cs="Palatino Linotype"/>
          <w:b/>
          <w:color w:val="000000"/>
          <w:sz w:val="26"/>
          <w:szCs w:val="26"/>
        </w:rPr>
      </w:pPr>
      <w:r>
        <w:rPr>
          <w:rFonts w:ascii="Palatino Linotype" w:eastAsia="Palatino Linotype" w:hAnsi="Palatino Linotype" w:cs="Palatino Linotype"/>
          <w:b/>
          <w:color w:val="000000"/>
          <w:sz w:val="26"/>
          <w:szCs w:val="26"/>
        </w:rPr>
        <w:t>PRIMERO. De la competencia.</w:t>
      </w:r>
    </w:p>
    <w:p w14:paraId="6431FBC7" w14:textId="1AAAD73A" w:rsidR="001A4F65" w:rsidRPr="001A4F65" w:rsidRDefault="001A4F65" w:rsidP="001A4F65">
      <w:pPr>
        <w:spacing w:line="360" w:lineRule="auto"/>
        <w:jc w:val="both"/>
        <w:rPr>
          <w:rFonts w:ascii="Palatino Linotype" w:eastAsia="Palatino Linotype" w:hAnsi="Palatino Linotype" w:cs="Palatino Linotype"/>
          <w:color w:val="000000"/>
        </w:rPr>
      </w:pPr>
      <w:r w:rsidRPr="001A4F65">
        <w:rPr>
          <w:rFonts w:ascii="Palatino Linotype" w:eastAsia="Palatino Linotype" w:hAnsi="Palatino Linotype" w:cs="Palatino Linotype"/>
          <w:color w:val="000000"/>
        </w:rPr>
        <w:t>Este Instituto de Transparencia, Acceso a la Información Pública y Protección de Datos Personales del Estado de México y Municipios es competente para conocer y resolver el presente Recurso de Revisión, conforme a lo dispuesto en el artículo 5, párrafos trigésimo séptimo, trigésimo octavo y trigésimo noveno fracciones IV y V de la Constitución Política del Estado Libre y Soberano de México; ordinal 2, fracción II, 13, 29, 36, fracciones I y II, 176, 178, 179, 181 párrafo tercero y 185 de la Ley de Transparencia y Acceso a la Información Pública del Estado de México y Municipios; y 9, fracciones I y XXIII y 11 del Reglamento Interior del Instituto de Transparencia, Acceso a la Información Pública y Protección de Datos Personales del Estado de México y Municipios</w:t>
      </w:r>
      <w:r>
        <w:rPr>
          <w:rFonts w:ascii="Palatino Linotype" w:eastAsia="Palatino Linotype" w:hAnsi="Palatino Linotype" w:cs="Palatino Linotype"/>
          <w:color w:val="000000"/>
        </w:rPr>
        <w:t>.</w:t>
      </w:r>
    </w:p>
    <w:p w14:paraId="0B0687EC" w14:textId="77777777" w:rsidR="001A4F65" w:rsidRDefault="001A4F65" w:rsidP="001A4F65">
      <w:pPr>
        <w:spacing w:line="360" w:lineRule="auto"/>
        <w:jc w:val="both"/>
        <w:rPr>
          <w:rFonts w:ascii="Palatino Linotype" w:eastAsia="Palatino Linotype" w:hAnsi="Palatino Linotype" w:cs="Palatino Linotype"/>
          <w:color w:val="000000"/>
        </w:rPr>
      </w:pPr>
    </w:p>
    <w:p w14:paraId="14992308" w14:textId="77777777" w:rsidR="001A4F65" w:rsidRDefault="001A4F65" w:rsidP="001A4F65">
      <w:pPr>
        <w:keepNext/>
        <w:keepLines/>
        <w:spacing w:line="360" w:lineRule="auto"/>
        <w:jc w:val="both"/>
        <w:rPr>
          <w:rFonts w:ascii="Palatino Linotype" w:eastAsia="Palatino Linotype" w:hAnsi="Palatino Linotype" w:cs="Palatino Linotype"/>
          <w:b/>
          <w:color w:val="000000"/>
          <w:sz w:val="26"/>
          <w:szCs w:val="26"/>
        </w:rPr>
      </w:pPr>
      <w:r>
        <w:rPr>
          <w:rFonts w:ascii="Palatino Linotype" w:eastAsia="Palatino Linotype" w:hAnsi="Palatino Linotype" w:cs="Palatino Linotype"/>
          <w:b/>
          <w:color w:val="000000"/>
          <w:sz w:val="26"/>
          <w:szCs w:val="26"/>
        </w:rPr>
        <w:t xml:space="preserve">SEGUNDO. Sobre los alcances del recurso de revisión. </w:t>
      </w:r>
    </w:p>
    <w:p w14:paraId="51E1A985" w14:textId="77777777" w:rsidR="001A4F65" w:rsidRDefault="001A4F65" w:rsidP="001A4F65">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Derivado de la impugnación realizada, es menester señalar que el recurso de revisión inmerso en la Ley de Transparencia vigente en la entidad, tiene el fin y alcance que </w:t>
      </w:r>
      <w:r>
        <w:rPr>
          <w:rFonts w:ascii="Palatino Linotype" w:eastAsia="Palatino Linotype" w:hAnsi="Palatino Linotype" w:cs="Palatino Linotype"/>
        </w:rPr>
        <w:lastRenderedPageBreak/>
        <w:t>señalan los numerales 176, 179, 181 párrafo cuarto, 194 y 195 y demás aplicables de la Ley de Transparencia y Acceso a la Información Pública del Estado de México y Municipios vigente, el cual será analizado conforme a las actuaciones que obren en el expediente electrónico, con la finalidad de reparar cualquier posible afectación al derecho de acceso a la información pública y garantizando el principio rector de máxima publicidad.</w:t>
      </w:r>
    </w:p>
    <w:p w14:paraId="59313552" w14:textId="77777777" w:rsidR="001A4F65" w:rsidRDefault="001A4F65" w:rsidP="001A4F65">
      <w:pPr>
        <w:spacing w:line="360" w:lineRule="auto"/>
        <w:jc w:val="both"/>
        <w:rPr>
          <w:rFonts w:ascii="Palatino Linotype" w:eastAsia="Palatino Linotype" w:hAnsi="Palatino Linotype" w:cs="Palatino Linotype"/>
        </w:rPr>
      </w:pPr>
    </w:p>
    <w:p w14:paraId="4FD77B1B" w14:textId="77777777" w:rsidR="001A4F65" w:rsidRPr="00DB6E06" w:rsidRDefault="001A4F65" w:rsidP="001A4F65">
      <w:pPr>
        <w:autoSpaceDE w:val="0"/>
        <w:autoSpaceDN w:val="0"/>
        <w:adjustRightInd w:val="0"/>
        <w:spacing w:before="240"/>
        <w:rPr>
          <w:rFonts w:ascii="Palatino Linotype" w:hAnsi="Palatino Linotype" w:cs="Arial"/>
          <w:b/>
        </w:rPr>
      </w:pPr>
      <w:r>
        <w:rPr>
          <w:rFonts w:ascii="Palatino Linotype" w:eastAsia="Palatino Linotype" w:hAnsi="Palatino Linotype" w:cs="Palatino Linotype"/>
          <w:b/>
          <w:color w:val="000000"/>
          <w:sz w:val="26"/>
          <w:szCs w:val="26"/>
        </w:rPr>
        <w:t xml:space="preserve">TERCERO. </w:t>
      </w:r>
      <w:r w:rsidRPr="00DB6E06">
        <w:rPr>
          <w:rFonts w:ascii="Palatino Linotype" w:hAnsi="Palatino Linotype" w:cs="Arial"/>
          <w:b/>
          <w:sz w:val="28"/>
          <w:szCs w:val="28"/>
        </w:rPr>
        <w:t>Cuestiones de previo y especial pronunciamiento</w:t>
      </w:r>
    </w:p>
    <w:p w14:paraId="189A9F5D" w14:textId="77777777" w:rsidR="001A4F65" w:rsidRPr="00484932" w:rsidRDefault="001A4F65" w:rsidP="001A4F65">
      <w:pPr>
        <w:autoSpaceDE w:val="0"/>
        <w:autoSpaceDN w:val="0"/>
        <w:adjustRightInd w:val="0"/>
        <w:spacing w:before="240" w:line="360" w:lineRule="auto"/>
        <w:jc w:val="both"/>
        <w:rPr>
          <w:rFonts w:ascii="Palatino Linotype" w:hAnsi="Palatino Linotype"/>
        </w:rPr>
      </w:pPr>
      <w:r w:rsidRPr="00484932">
        <w:rPr>
          <w:rFonts w:ascii="Palatino Linotype" w:hAnsi="Palatino Linotype"/>
        </w:rPr>
        <w:t>El Recurso de Revisión en estudio contiene los elementos normativos de validez exigidos en la Ley de Transparencia y Acceso a la Información Pública del Estado de México y Municipios, establecidos en el artículo 180 que enuncia:</w:t>
      </w:r>
    </w:p>
    <w:p w14:paraId="7EE0837B" w14:textId="77777777" w:rsidR="001A4F65" w:rsidRPr="0073583A" w:rsidRDefault="001A4F65" w:rsidP="001A4F65">
      <w:pPr>
        <w:autoSpaceDE w:val="0"/>
        <w:autoSpaceDN w:val="0"/>
        <w:adjustRightInd w:val="0"/>
        <w:spacing w:before="240" w:line="360" w:lineRule="auto"/>
        <w:ind w:left="360" w:firstLine="348"/>
        <w:jc w:val="both"/>
        <w:rPr>
          <w:rFonts w:ascii="Palatino Linotype" w:hAnsi="Palatino Linotype"/>
          <w:i/>
          <w:sz w:val="22"/>
          <w:szCs w:val="22"/>
        </w:rPr>
      </w:pPr>
      <w:r w:rsidRPr="0073583A">
        <w:rPr>
          <w:rFonts w:ascii="Palatino Linotype" w:hAnsi="Palatino Linotype"/>
          <w:i/>
          <w:sz w:val="22"/>
          <w:szCs w:val="22"/>
        </w:rPr>
        <w:t>“Artículo 180. El recurso de revisión contendrá:</w:t>
      </w:r>
    </w:p>
    <w:p w14:paraId="0620F794" w14:textId="77777777" w:rsidR="001A4F65" w:rsidRPr="0073583A" w:rsidRDefault="001A4F65" w:rsidP="001A4F65">
      <w:pPr>
        <w:numPr>
          <w:ilvl w:val="0"/>
          <w:numId w:val="6"/>
        </w:numPr>
        <w:autoSpaceDE w:val="0"/>
        <w:autoSpaceDN w:val="0"/>
        <w:adjustRightInd w:val="0"/>
        <w:spacing w:before="240" w:line="360" w:lineRule="auto"/>
        <w:jc w:val="both"/>
        <w:rPr>
          <w:rFonts w:ascii="Palatino Linotype" w:hAnsi="Palatino Linotype"/>
          <w:i/>
          <w:sz w:val="22"/>
          <w:szCs w:val="22"/>
        </w:rPr>
      </w:pPr>
      <w:r w:rsidRPr="0073583A">
        <w:rPr>
          <w:rFonts w:ascii="Palatino Linotype" w:hAnsi="Palatino Linotype"/>
          <w:i/>
          <w:sz w:val="22"/>
          <w:szCs w:val="22"/>
        </w:rPr>
        <w:t>EL sujeto obligado ante la cual se presentó la solicitud;</w:t>
      </w:r>
    </w:p>
    <w:p w14:paraId="39C69FD7" w14:textId="77777777" w:rsidR="001A4F65" w:rsidRPr="0073583A" w:rsidRDefault="001A4F65" w:rsidP="001A4F65">
      <w:pPr>
        <w:numPr>
          <w:ilvl w:val="0"/>
          <w:numId w:val="6"/>
        </w:numPr>
        <w:autoSpaceDE w:val="0"/>
        <w:autoSpaceDN w:val="0"/>
        <w:adjustRightInd w:val="0"/>
        <w:spacing w:before="240" w:line="360" w:lineRule="auto"/>
        <w:jc w:val="both"/>
        <w:rPr>
          <w:rFonts w:ascii="Palatino Linotype" w:hAnsi="Palatino Linotype"/>
          <w:i/>
          <w:sz w:val="22"/>
          <w:szCs w:val="22"/>
        </w:rPr>
      </w:pPr>
      <w:r w:rsidRPr="0073583A">
        <w:rPr>
          <w:rFonts w:ascii="Palatino Linotype" w:hAnsi="Palatino Linotype"/>
          <w:i/>
          <w:sz w:val="22"/>
          <w:szCs w:val="22"/>
        </w:rPr>
        <w:t>El nombre del solicitante que recurre o de su representante y, en su caso, del tercero interesado, así como la dirección o medio que señale para recibir notificaciones;</w:t>
      </w:r>
    </w:p>
    <w:p w14:paraId="13EEC1FE" w14:textId="77777777" w:rsidR="001A4F65" w:rsidRPr="0073583A" w:rsidRDefault="001A4F65" w:rsidP="001A4F65">
      <w:pPr>
        <w:numPr>
          <w:ilvl w:val="0"/>
          <w:numId w:val="6"/>
        </w:numPr>
        <w:autoSpaceDE w:val="0"/>
        <w:autoSpaceDN w:val="0"/>
        <w:adjustRightInd w:val="0"/>
        <w:spacing w:before="240" w:line="360" w:lineRule="auto"/>
        <w:jc w:val="both"/>
        <w:rPr>
          <w:rFonts w:ascii="Palatino Linotype" w:hAnsi="Palatino Linotype"/>
          <w:i/>
          <w:sz w:val="22"/>
          <w:szCs w:val="22"/>
        </w:rPr>
      </w:pPr>
      <w:r w:rsidRPr="0073583A">
        <w:rPr>
          <w:rFonts w:ascii="Palatino Linotype" w:hAnsi="Palatino Linotype"/>
          <w:i/>
          <w:sz w:val="22"/>
          <w:szCs w:val="22"/>
        </w:rPr>
        <w:t>El número de folio de respuesta de la solicitud de acceso;</w:t>
      </w:r>
    </w:p>
    <w:p w14:paraId="4994DA4E" w14:textId="77777777" w:rsidR="001A4F65" w:rsidRPr="0073583A" w:rsidRDefault="001A4F65" w:rsidP="001A4F65">
      <w:pPr>
        <w:autoSpaceDE w:val="0"/>
        <w:autoSpaceDN w:val="0"/>
        <w:adjustRightInd w:val="0"/>
        <w:spacing w:before="240" w:line="360" w:lineRule="auto"/>
        <w:ind w:left="1080"/>
        <w:jc w:val="both"/>
        <w:rPr>
          <w:rFonts w:ascii="Palatino Linotype" w:hAnsi="Palatino Linotype"/>
          <w:i/>
          <w:sz w:val="22"/>
          <w:szCs w:val="22"/>
        </w:rPr>
      </w:pPr>
      <w:r w:rsidRPr="0073583A">
        <w:rPr>
          <w:rFonts w:ascii="Palatino Linotype" w:hAnsi="Palatino Linotype"/>
          <w:i/>
          <w:sz w:val="22"/>
          <w:szCs w:val="22"/>
        </w:rPr>
        <w:t>IV. La fecha en que fue notificada la respuesta al solicitante o tuvo conocimiento del acto reclamado, o de presentación de la solicitud, en caso de falta de respuesta;</w:t>
      </w:r>
    </w:p>
    <w:p w14:paraId="6E87C28B" w14:textId="77777777" w:rsidR="001A4F65" w:rsidRPr="0073583A" w:rsidRDefault="001A4F65" w:rsidP="001A4F65">
      <w:pPr>
        <w:autoSpaceDE w:val="0"/>
        <w:autoSpaceDN w:val="0"/>
        <w:adjustRightInd w:val="0"/>
        <w:spacing w:before="240" w:line="360" w:lineRule="auto"/>
        <w:ind w:left="732" w:firstLine="348"/>
        <w:jc w:val="both"/>
        <w:rPr>
          <w:rFonts w:ascii="Palatino Linotype" w:hAnsi="Palatino Linotype"/>
          <w:i/>
          <w:sz w:val="22"/>
          <w:szCs w:val="22"/>
        </w:rPr>
      </w:pPr>
      <w:r w:rsidRPr="0073583A">
        <w:rPr>
          <w:rFonts w:ascii="Palatino Linotype" w:hAnsi="Palatino Linotype"/>
          <w:i/>
          <w:sz w:val="22"/>
          <w:szCs w:val="22"/>
        </w:rPr>
        <w:t>V. El acto que se recurre;</w:t>
      </w:r>
    </w:p>
    <w:p w14:paraId="693F3106" w14:textId="77777777" w:rsidR="001A4F65" w:rsidRPr="0073583A" w:rsidRDefault="001A4F65" w:rsidP="001A4F65">
      <w:pPr>
        <w:autoSpaceDE w:val="0"/>
        <w:autoSpaceDN w:val="0"/>
        <w:adjustRightInd w:val="0"/>
        <w:spacing w:before="240" w:line="360" w:lineRule="auto"/>
        <w:ind w:left="732" w:firstLine="348"/>
        <w:jc w:val="both"/>
        <w:rPr>
          <w:rFonts w:ascii="Palatino Linotype" w:hAnsi="Palatino Linotype"/>
          <w:i/>
          <w:sz w:val="22"/>
          <w:szCs w:val="22"/>
        </w:rPr>
      </w:pPr>
      <w:r w:rsidRPr="0073583A">
        <w:rPr>
          <w:rFonts w:ascii="Palatino Linotype" w:hAnsi="Palatino Linotype"/>
          <w:i/>
          <w:sz w:val="22"/>
          <w:szCs w:val="22"/>
        </w:rPr>
        <w:t>VI. Las razones o motivos de inconformidad;</w:t>
      </w:r>
    </w:p>
    <w:p w14:paraId="3848ADFD" w14:textId="77777777" w:rsidR="001A4F65" w:rsidRPr="0073583A" w:rsidRDefault="001A4F65" w:rsidP="001A4F65">
      <w:pPr>
        <w:autoSpaceDE w:val="0"/>
        <w:autoSpaceDN w:val="0"/>
        <w:adjustRightInd w:val="0"/>
        <w:spacing w:before="240" w:line="360" w:lineRule="auto"/>
        <w:ind w:left="1080"/>
        <w:jc w:val="both"/>
        <w:rPr>
          <w:rFonts w:ascii="Palatino Linotype" w:hAnsi="Palatino Linotype"/>
          <w:i/>
          <w:sz w:val="22"/>
          <w:szCs w:val="22"/>
        </w:rPr>
      </w:pPr>
      <w:r w:rsidRPr="0073583A">
        <w:rPr>
          <w:rFonts w:ascii="Palatino Linotype" w:hAnsi="Palatino Linotype"/>
          <w:i/>
          <w:sz w:val="22"/>
          <w:szCs w:val="22"/>
        </w:rPr>
        <w:lastRenderedPageBreak/>
        <w:t>VII. La copia de la respuesta que se impugna y, en su caso, de la notificación correspondiente, en el caso de respuesta de la solicitud; y</w:t>
      </w:r>
    </w:p>
    <w:p w14:paraId="57479195" w14:textId="77777777" w:rsidR="001A4F65" w:rsidRPr="0073583A" w:rsidRDefault="001A4F65" w:rsidP="001A4F65">
      <w:pPr>
        <w:autoSpaceDE w:val="0"/>
        <w:autoSpaceDN w:val="0"/>
        <w:adjustRightInd w:val="0"/>
        <w:spacing w:before="240" w:line="360" w:lineRule="auto"/>
        <w:ind w:left="732" w:firstLine="348"/>
        <w:jc w:val="both"/>
        <w:rPr>
          <w:rFonts w:ascii="Palatino Linotype" w:hAnsi="Palatino Linotype"/>
          <w:i/>
          <w:sz w:val="22"/>
          <w:szCs w:val="22"/>
        </w:rPr>
      </w:pPr>
      <w:r w:rsidRPr="0073583A">
        <w:rPr>
          <w:rFonts w:ascii="Palatino Linotype" w:hAnsi="Palatino Linotype"/>
          <w:i/>
          <w:sz w:val="22"/>
          <w:szCs w:val="22"/>
        </w:rPr>
        <w:t>VIII. Firma del recurrente, en su caso, cuando se presente por escrito, requisito sin el cual se dará trámite al recurso.</w:t>
      </w:r>
    </w:p>
    <w:p w14:paraId="6FA8F6B0" w14:textId="77777777" w:rsidR="001A4F65" w:rsidRPr="0073583A" w:rsidRDefault="001A4F65" w:rsidP="001A4F65">
      <w:pPr>
        <w:autoSpaceDE w:val="0"/>
        <w:autoSpaceDN w:val="0"/>
        <w:adjustRightInd w:val="0"/>
        <w:spacing w:before="240" w:line="360" w:lineRule="auto"/>
        <w:ind w:left="1080"/>
        <w:jc w:val="both"/>
        <w:rPr>
          <w:rFonts w:ascii="Palatino Linotype" w:hAnsi="Palatino Linotype"/>
          <w:i/>
          <w:sz w:val="22"/>
          <w:szCs w:val="22"/>
        </w:rPr>
      </w:pPr>
      <w:r w:rsidRPr="0073583A">
        <w:rPr>
          <w:rFonts w:ascii="Palatino Linotype" w:hAnsi="Palatino Linotype"/>
          <w:i/>
          <w:sz w:val="22"/>
          <w:szCs w:val="22"/>
        </w:rPr>
        <w:t>Adicionalmente, se podrán anexar las pruebas y demás elementos que considere procedentes someter a juicio del Instituto.</w:t>
      </w:r>
    </w:p>
    <w:p w14:paraId="400CBDEA" w14:textId="77777777" w:rsidR="001A4F65" w:rsidRPr="0073583A" w:rsidRDefault="001A4F65" w:rsidP="001A4F65">
      <w:pPr>
        <w:autoSpaceDE w:val="0"/>
        <w:autoSpaceDN w:val="0"/>
        <w:adjustRightInd w:val="0"/>
        <w:spacing w:before="240" w:line="360" w:lineRule="auto"/>
        <w:ind w:left="732" w:firstLine="348"/>
        <w:jc w:val="both"/>
        <w:rPr>
          <w:rFonts w:ascii="Palatino Linotype" w:hAnsi="Palatino Linotype"/>
          <w:i/>
          <w:sz w:val="22"/>
          <w:szCs w:val="22"/>
        </w:rPr>
      </w:pPr>
      <w:r w:rsidRPr="0073583A">
        <w:rPr>
          <w:rFonts w:ascii="Palatino Linotype" w:hAnsi="Palatino Linotype"/>
          <w:i/>
          <w:sz w:val="22"/>
          <w:szCs w:val="22"/>
        </w:rPr>
        <w:t>En ningún caso será necesario que el particular ratifique el recurso de revisión interpuesto.</w:t>
      </w:r>
    </w:p>
    <w:p w14:paraId="43DE9D23" w14:textId="77777777" w:rsidR="001A4F65" w:rsidRPr="0073583A" w:rsidRDefault="001A4F65" w:rsidP="001A4F65">
      <w:pPr>
        <w:autoSpaceDE w:val="0"/>
        <w:autoSpaceDN w:val="0"/>
        <w:adjustRightInd w:val="0"/>
        <w:spacing w:before="240" w:line="360" w:lineRule="auto"/>
        <w:ind w:left="1080"/>
        <w:jc w:val="both"/>
        <w:rPr>
          <w:rFonts w:ascii="Palatino Linotype" w:hAnsi="Palatino Linotype"/>
          <w:b/>
          <w:i/>
          <w:sz w:val="22"/>
          <w:szCs w:val="22"/>
          <w:u w:val="single"/>
        </w:rPr>
      </w:pPr>
      <w:r w:rsidRPr="0073583A">
        <w:rPr>
          <w:rFonts w:ascii="Palatino Linotype" w:hAnsi="Palatino Linotype"/>
          <w:b/>
          <w:i/>
          <w:sz w:val="22"/>
          <w:szCs w:val="22"/>
          <w:u w:val="single"/>
        </w:rPr>
        <w:t>En caso de que el recurso se interponga de manera electrónica no será indispensable que contengan los requisitos establecidos en las fracciones II, IV, VII y VIII.” [Sic]</w:t>
      </w:r>
    </w:p>
    <w:p w14:paraId="4E3F2D78" w14:textId="77777777" w:rsidR="001A4F65" w:rsidRPr="0034179B" w:rsidRDefault="001A4F65" w:rsidP="001A4F65">
      <w:pPr>
        <w:autoSpaceDE w:val="0"/>
        <w:autoSpaceDN w:val="0"/>
        <w:adjustRightInd w:val="0"/>
        <w:spacing w:before="240" w:line="360" w:lineRule="auto"/>
        <w:ind w:left="1080"/>
        <w:jc w:val="both"/>
        <w:rPr>
          <w:rFonts w:ascii="Palatino Linotype" w:hAnsi="Palatino Linotype"/>
          <w:b/>
          <w:i/>
          <w:u w:val="single"/>
        </w:rPr>
      </w:pPr>
    </w:p>
    <w:p w14:paraId="68C021B1" w14:textId="77777777" w:rsidR="001A4F65" w:rsidRPr="00484932" w:rsidRDefault="001A4F65" w:rsidP="001A4F65">
      <w:pPr>
        <w:spacing w:line="360" w:lineRule="auto"/>
        <w:jc w:val="both"/>
        <w:rPr>
          <w:rFonts w:ascii="Palatino Linotype" w:hAnsi="Palatino Linotype" w:cs="Arial"/>
        </w:rPr>
      </w:pPr>
      <w:r w:rsidRPr="00484932">
        <w:rPr>
          <w:rFonts w:ascii="Palatino Linotype" w:hAnsi="Palatino Linotype" w:cs="Segoe UI"/>
        </w:rPr>
        <w:t xml:space="preserve">Cabe señalar que </w:t>
      </w:r>
      <w:r w:rsidRPr="00484932">
        <w:rPr>
          <w:rFonts w:ascii="Palatino Linotype" w:hAnsi="Palatino Linotype" w:cs="Segoe UI"/>
          <w:b/>
        </w:rPr>
        <w:t>El Recurrente</w:t>
      </w:r>
      <w:r w:rsidRPr="00484932">
        <w:rPr>
          <w:rFonts w:ascii="Palatino Linotype" w:hAnsi="Palatino Linotype" w:cs="Segoe UI"/>
        </w:rPr>
        <w:t xml:space="preserve"> </w:t>
      </w:r>
      <w:r w:rsidRPr="00484932">
        <w:rPr>
          <w:rFonts w:ascii="Palatino Linotype" w:hAnsi="Palatino Linotype" w:cs="Segoe UI"/>
          <w:u w:val="single"/>
        </w:rPr>
        <w:t>ejerció su derecho mediante su nombre sin embargo es de establecer que, si bien fue de propio derecho de haberse realizado de manera anónima</w:t>
      </w:r>
      <w:r w:rsidRPr="00484932">
        <w:rPr>
          <w:rFonts w:ascii="Palatino Linotype" w:hAnsi="Palatino Linotype"/>
        </w:rPr>
        <w:t xml:space="preserve">, no sería motivo para desechar las </w:t>
      </w:r>
      <w:r w:rsidRPr="00484932">
        <w:rPr>
          <w:rFonts w:ascii="Palatino Linotype" w:hAnsi="Palatino Linotype" w:cs="Arial"/>
        </w:rPr>
        <w:t>solicitudes de acceso a la información pública conforme a lo previsto en el artículo 155, penúltimo párrafo de la Ley de Transparencia y Acceso a la Información Pública del Estado de México y Municipios que señala lo siguiente:</w:t>
      </w:r>
    </w:p>
    <w:p w14:paraId="0C0FA39E" w14:textId="270F94FA" w:rsidR="001A4F65" w:rsidRPr="0034179B" w:rsidRDefault="001A4F65" w:rsidP="001A4F65">
      <w:pPr>
        <w:spacing w:before="240" w:line="360" w:lineRule="auto"/>
        <w:ind w:left="851" w:right="851"/>
        <w:jc w:val="both"/>
        <w:rPr>
          <w:rFonts w:ascii="Palatino Linotype" w:hAnsi="Palatino Linotype" w:cs="Arial"/>
          <w:b/>
          <w:i/>
        </w:rPr>
      </w:pPr>
      <w:r w:rsidRPr="00F13B52">
        <w:rPr>
          <w:rFonts w:ascii="Palatino Linotype" w:hAnsi="Palatino Linotype" w:cs="Arial"/>
          <w:i/>
        </w:rPr>
        <w:t>“</w:t>
      </w:r>
      <w:r w:rsidRPr="00545A72">
        <w:rPr>
          <w:rFonts w:ascii="Palatino Linotype" w:hAnsi="Palatino Linotype" w:cs="Arial"/>
          <w:i/>
        </w:rPr>
        <w:t xml:space="preserve">Las solicitudes anónimas, con nombre incompleto o seudónimo serán procedentes para su trámite por parte del sujeto obligado ante quien se presente. No podrá requerirse información adicional con motivo del nombre proporcionado por el solicitante.” </w:t>
      </w:r>
      <w:r w:rsidRPr="00545A72">
        <w:rPr>
          <w:rFonts w:ascii="Palatino Linotype" w:hAnsi="Palatino Linotype" w:cs="Arial"/>
          <w:b/>
          <w:i/>
        </w:rPr>
        <w:t>[Sic]</w:t>
      </w:r>
    </w:p>
    <w:p w14:paraId="4F04994C" w14:textId="3EC2BB2E" w:rsidR="001A4F65" w:rsidRPr="00484932" w:rsidRDefault="001A4F65" w:rsidP="001A4F65">
      <w:pPr>
        <w:spacing w:line="360" w:lineRule="auto"/>
        <w:jc w:val="both"/>
        <w:rPr>
          <w:rFonts w:ascii="Palatino Linotype" w:hAnsi="Palatino Linotype"/>
        </w:rPr>
      </w:pPr>
      <w:r w:rsidRPr="00484932">
        <w:rPr>
          <w:rFonts w:ascii="Palatino Linotype" w:hAnsi="Palatino Linotype"/>
        </w:rPr>
        <w:t xml:space="preserve">Robustece lo anterior se encuentra lo dispuesto en </w:t>
      </w:r>
      <w:r>
        <w:rPr>
          <w:rFonts w:ascii="Palatino Linotype" w:hAnsi="Palatino Linotype"/>
        </w:rPr>
        <w:t xml:space="preserve">el artículo </w:t>
      </w:r>
      <w:r w:rsidRPr="00484932">
        <w:rPr>
          <w:rFonts w:ascii="Palatino Linotype" w:hAnsi="Palatino Linotype"/>
        </w:rPr>
        <w:t xml:space="preserve">5 párrafos </w:t>
      </w:r>
      <w:r w:rsidRPr="00484932">
        <w:rPr>
          <w:rFonts w:ascii="Palatino Linotype" w:hAnsi="Palatino Linotype" w:cs="Arial"/>
        </w:rPr>
        <w:t>vigésimo, vigésimo primero y vigésimo segundo</w:t>
      </w:r>
      <w:r w:rsidRPr="00484932">
        <w:rPr>
          <w:rFonts w:ascii="Palatino Linotype" w:hAnsi="Palatino Linotype"/>
        </w:rPr>
        <w:t>, de la Constitución Política del Estado Libre y Soberano de México, se establece lo siguiente:</w:t>
      </w:r>
    </w:p>
    <w:p w14:paraId="7579AA15" w14:textId="77777777" w:rsidR="001A4F65" w:rsidRPr="00545A72" w:rsidRDefault="001A4F65" w:rsidP="001A4F65">
      <w:pPr>
        <w:spacing w:before="240" w:line="360" w:lineRule="auto"/>
        <w:ind w:left="851" w:right="851"/>
        <w:jc w:val="both"/>
        <w:rPr>
          <w:rFonts w:ascii="Palatino Linotype" w:hAnsi="Palatino Linotype"/>
          <w:b/>
          <w:i/>
          <w:u w:val="single"/>
        </w:rPr>
      </w:pPr>
      <w:r w:rsidRPr="00545A72">
        <w:rPr>
          <w:rFonts w:ascii="Palatino Linotype" w:hAnsi="Palatino Linotype"/>
          <w:b/>
          <w:i/>
          <w:u w:val="single"/>
        </w:rPr>
        <w:lastRenderedPageBreak/>
        <w:t>Constitución Política del Estado Libre y Soberano de México</w:t>
      </w:r>
    </w:p>
    <w:p w14:paraId="577ED0D4" w14:textId="77777777" w:rsidR="001A4F65" w:rsidRPr="00545A72" w:rsidRDefault="001A4F65" w:rsidP="001A4F65">
      <w:pPr>
        <w:spacing w:before="240" w:line="360" w:lineRule="auto"/>
        <w:ind w:left="851" w:right="851"/>
        <w:jc w:val="both"/>
        <w:rPr>
          <w:rFonts w:ascii="Palatino Linotype" w:hAnsi="Palatino Linotype"/>
          <w:i/>
        </w:rPr>
      </w:pPr>
      <w:r w:rsidRPr="00545A72">
        <w:rPr>
          <w:rFonts w:ascii="Palatino Linotype" w:hAnsi="Palatino Linotype"/>
          <w:i/>
        </w:rPr>
        <w:t>“</w:t>
      </w:r>
      <w:r w:rsidRPr="00545A72">
        <w:rPr>
          <w:rFonts w:ascii="Palatino Linotype" w:hAnsi="Palatino Linotype"/>
          <w:b/>
          <w:i/>
        </w:rPr>
        <w:t>Artículo 5</w:t>
      </w:r>
      <w:r w:rsidRPr="00545A72">
        <w:rPr>
          <w:rFonts w:ascii="Palatino Linotype" w:hAnsi="Palatino Linotype"/>
          <w:i/>
        </w:rPr>
        <w:t>.- 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garantías para su protección, las cuales no podrán restringirse ni suspenderse salvo en los casos y bajo las condiciones que la Constitución Política de los Estados Unidos Mexicanos establece.</w:t>
      </w:r>
    </w:p>
    <w:p w14:paraId="371E2FC1" w14:textId="77777777" w:rsidR="001A4F65" w:rsidRPr="00545A72" w:rsidRDefault="001A4F65" w:rsidP="001A4F65">
      <w:pPr>
        <w:spacing w:before="240" w:line="360" w:lineRule="auto"/>
        <w:ind w:left="851" w:right="851"/>
        <w:jc w:val="both"/>
        <w:rPr>
          <w:rFonts w:ascii="Palatino Linotype" w:hAnsi="Palatino Linotype"/>
          <w:i/>
        </w:rPr>
      </w:pPr>
      <w:r w:rsidRPr="00545A72">
        <w:rPr>
          <w:rFonts w:ascii="Palatino Linotype" w:hAnsi="Palatino Linotype"/>
          <w:i/>
        </w:rPr>
        <w:t>(…)</w:t>
      </w:r>
    </w:p>
    <w:p w14:paraId="4CD0FC83" w14:textId="69A7565E" w:rsidR="001A4F65" w:rsidRPr="0073583A" w:rsidRDefault="001A4F65" w:rsidP="0073583A">
      <w:pPr>
        <w:spacing w:before="240" w:line="360" w:lineRule="auto"/>
        <w:ind w:left="851" w:right="851"/>
        <w:jc w:val="both"/>
        <w:rPr>
          <w:rFonts w:ascii="Palatino Linotype" w:hAnsi="Palatino Linotype"/>
          <w:b/>
          <w:i/>
        </w:rPr>
      </w:pPr>
      <w:proofErr w:type="gramStart"/>
      <w:r w:rsidRPr="00545A72">
        <w:rPr>
          <w:rFonts w:ascii="Palatino Linotype" w:hAnsi="Palatino Linotype"/>
          <w:i/>
        </w:rPr>
        <w:t>transparencia</w:t>
      </w:r>
      <w:proofErr w:type="gramEnd"/>
      <w:r w:rsidRPr="00545A72">
        <w:rPr>
          <w:rFonts w:ascii="Palatino Linotype" w:hAnsi="Palatino Linotype"/>
          <w:i/>
        </w:rPr>
        <w:t xml:space="preserve">, acceso a la información pública y a la protección de datos personales en posesión de los sujetos obligados en los términos que establezca la ley. (…)” </w:t>
      </w:r>
      <w:r w:rsidRPr="00545A72">
        <w:rPr>
          <w:rFonts w:ascii="Palatino Linotype" w:hAnsi="Palatino Linotype"/>
          <w:b/>
          <w:i/>
        </w:rPr>
        <w:t>[Sic]</w:t>
      </w:r>
    </w:p>
    <w:p w14:paraId="08740050" w14:textId="77777777" w:rsidR="001A4F65" w:rsidRPr="00484932" w:rsidRDefault="001A4F65" w:rsidP="001A4F65">
      <w:pPr>
        <w:autoSpaceDE w:val="0"/>
        <w:autoSpaceDN w:val="0"/>
        <w:adjustRightInd w:val="0"/>
        <w:spacing w:before="240" w:line="360" w:lineRule="auto"/>
        <w:jc w:val="both"/>
        <w:rPr>
          <w:rFonts w:ascii="Palatino Linotype" w:hAnsi="Palatino Linotype" w:cs="Arial"/>
        </w:rPr>
      </w:pPr>
      <w:r w:rsidRPr="00484932">
        <w:rPr>
          <w:rFonts w:ascii="Palatino Linotype" w:hAnsi="Palatino Linotype"/>
        </w:rPr>
        <w:t xml:space="preserve">Por lo cual, de una interpretación sistemática, conforme y progresiva del derecho humano de acceso a la información pública se aprecia que toda persona, sin necesidad de acreditar interés alguno o justificar su utilización, deberá tener acceso a la información pública, es decir, dicho derecho fundamental exime a quien lo ejerce, de acreditar su legitimación en la causa o su interés en el asunto, lo que permite la posibilidad de que, </w:t>
      </w:r>
      <w:r w:rsidRPr="00484932">
        <w:rPr>
          <w:rFonts w:ascii="Palatino Linotype" w:hAnsi="Palatino Linotype"/>
          <w:b/>
          <w:u w:val="single"/>
        </w:rPr>
        <w:t>incluso, la solicitud de acceso a la información pueda ser anónima</w:t>
      </w:r>
      <w:r w:rsidRPr="00484932">
        <w:rPr>
          <w:rFonts w:ascii="Palatino Linotype" w:hAnsi="Palatino Linotype"/>
        </w:rPr>
        <w:t xml:space="preserve"> o no contener un nombre que identifique al solicitante o que permita tener certeza sobre su identidad. </w:t>
      </w:r>
      <w:r w:rsidRPr="00484932">
        <w:rPr>
          <w:rFonts w:ascii="Palatino Linotype" w:hAnsi="Palatino Linotype" w:cs="Arial"/>
        </w:rPr>
        <w:t xml:space="preserve">En conclusión, se cubrieron los requisitos de procedencia y </w:t>
      </w:r>
      <w:proofErr w:type="spellStart"/>
      <w:r w:rsidRPr="00484932">
        <w:rPr>
          <w:rFonts w:ascii="Palatino Linotype" w:hAnsi="Palatino Linotype" w:cs="Arial"/>
        </w:rPr>
        <w:t>procedibilidad</w:t>
      </w:r>
      <w:proofErr w:type="spellEnd"/>
      <w:r w:rsidRPr="00484932">
        <w:rPr>
          <w:rFonts w:ascii="Palatino Linotype" w:hAnsi="Palatino Linotype" w:cs="Arial"/>
        </w:rPr>
        <w:t xml:space="preserve"> y conforme a las constancias que obran en el expediente.</w:t>
      </w:r>
    </w:p>
    <w:p w14:paraId="653CC4EB" w14:textId="77777777" w:rsidR="001A4F65" w:rsidRPr="0034179B" w:rsidRDefault="001A4F65" w:rsidP="001A4F65">
      <w:pPr>
        <w:autoSpaceDE w:val="0"/>
        <w:autoSpaceDN w:val="0"/>
        <w:adjustRightInd w:val="0"/>
        <w:spacing w:before="240" w:line="360" w:lineRule="auto"/>
        <w:jc w:val="both"/>
        <w:rPr>
          <w:rFonts w:cs="Arial"/>
          <w:b/>
        </w:rPr>
      </w:pPr>
    </w:p>
    <w:p w14:paraId="675B4CA0" w14:textId="77777777" w:rsidR="001A4F65" w:rsidRPr="00F444C4" w:rsidRDefault="001A4F65" w:rsidP="001A4F65">
      <w:pPr>
        <w:keepNext/>
        <w:keepLines/>
        <w:spacing w:line="360" w:lineRule="auto"/>
        <w:jc w:val="both"/>
        <w:outlineLvl w:val="1"/>
        <w:rPr>
          <w:rFonts w:ascii="Palatino Linotype" w:hAnsi="Palatino Linotype"/>
          <w:b/>
          <w:color w:val="000000" w:themeColor="text1"/>
          <w:sz w:val="26"/>
          <w:szCs w:val="26"/>
          <w:lang w:val="es-ES_tradnl"/>
        </w:rPr>
      </w:pPr>
      <w:r>
        <w:rPr>
          <w:rFonts w:ascii="Palatino Linotype" w:hAnsi="Palatino Linotype"/>
          <w:b/>
          <w:color w:val="000000" w:themeColor="text1"/>
          <w:sz w:val="26"/>
          <w:szCs w:val="26"/>
          <w:lang w:val="es-ES_tradnl"/>
        </w:rPr>
        <w:t xml:space="preserve">CUARTO. </w:t>
      </w:r>
      <w:r w:rsidRPr="00F444C4">
        <w:rPr>
          <w:rFonts w:ascii="Palatino Linotype" w:hAnsi="Palatino Linotype"/>
          <w:b/>
          <w:color w:val="000000" w:themeColor="text1"/>
          <w:sz w:val="26"/>
          <w:szCs w:val="26"/>
          <w:lang w:val="es-ES_tradnl"/>
        </w:rPr>
        <w:t>De las causas de improcedencia.</w:t>
      </w:r>
    </w:p>
    <w:p w14:paraId="34978D7D" w14:textId="77777777" w:rsidR="001A4F65" w:rsidRPr="00D606ED" w:rsidRDefault="001A4F65" w:rsidP="001A4F65">
      <w:pPr>
        <w:spacing w:line="360" w:lineRule="auto"/>
        <w:contextualSpacing/>
        <w:jc w:val="both"/>
        <w:rPr>
          <w:rFonts w:ascii="Palatino Linotype" w:hAnsi="Palatino Linotype" w:cs="Palatino Linotype"/>
          <w:color w:val="000000"/>
          <w:lang w:val="es-ES_tradnl"/>
        </w:rPr>
      </w:pPr>
      <w:r w:rsidRPr="00D606ED">
        <w:rPr>
          <w:rFonts w:ascii="Palatino Linotype" w:hAnsi="Palatino Linotype" w:cs="Palatino Linotype"/>
          <w:color w:val="000000"/>
          <w:lang w:val="es-ES_tradnl"/>
        </w:rPr>
        <w:t xml:space="preserve">En el procedimiento de acceso a la información y de los medios de impugnación de la materia, se advierten diversos supuestos de </w:t>
      </w:r>
      <w:proofErr w:type="spellStart"/>
      <w:r w:rsidRPr="00D606ED">
        <w:rPr>
          <w:rFonts w:ascii="Palatino Linotype" w:hAnsi="Palatino Linotype" w:cs="Palatino Linotype"/>
          <w:color w:val="000000"/>
          <w:lang w:val="es-ES_tradnl"/>
        </w:rPr>
        <w:t>procedibilidad</w:t>
      </w:r>
      <w:proofErr w:type="spellEnd"/>
      <w:r w:rsidRPr="00D606ED">
        <w:rPr>
          <w:rFonts w:ascii="Palatino Linotype" w:hAnsi="Palatino Linotype" w:cs="Palatino Linotype"/>
          <w:color w:val="000000"/>
          <w:lang w:val="es-ES_tradnl"/>
        </w:rPr>
        <w:t xml:space="preserve"> que deben estudiarse con la finalidad de dar cumplimiento a los principios de legalidad y objetividad inmersos en el artículo 9 de Ley de Transparencia y Acceso a la Información Pública del Estado de México y Municipios, en correlación con la seguridad jurídica que debe generar lo actuado ante este Organismo garante.</w:t>
      </w:r>
    </w:p>
    <w:p w14:paraId="351BB573" w14:textId="77777777" w:rsidR="001A4F65" w:rsidRPr="00D606ED" w:rsidRDefault="001A4F65" w:rsidP="001A4F65">
      <w:pPr>
        <w:spacing w:line="360" w:lineRule="auto"/>
        <w:contextualSpacing/>
        <w:jc w:val="both"/>
        <w:rPr>
          <w:rFonts w:ascii="Palatino Linotype" w:hAnsi="Palatino Linotype" w:cs="Palatino Linotype"/>
          <w:color w:val="000000"/>
          <w:lang w:val="es-ES_tradnl"/>
        </w:rPr>
      </w:pPr>
    </w:p>
    <w:p w14:paraId="030CC9BC" w14:textId="77777777" w:rsidR="001A4F65" w:rsidRPr="00D606ED" w:rsidRDefault="001A4F65" w:rsidP="001A4F65">
      <w:pPr>
        <w:spacing w:line="360" w:lineRule="auto"/>
        <w:contextualSpacing/>
        <w:jc w:val="both"/>
        <w:rPr>
          <w:rFonts w:ascii="Palatino Linotype" w:hAnsi="Palatino Linotype" w:cs="Palatino Linotype"/>
          <w:color w:val="000000"/>
          <w:lang w:val="es-ES_tradnl"/>
        </w:rPr>
      </w:pPr>
      <w:r w:rsidRPr="00D606ED">
        <w:rPr>
          <w:rFonts w:ascii="Palatino Linotype" w:hAnsi="Palatino Linotype" w:cs="Palatino Linotype"/>
          <w:color w:val="000000"/>
          <w:lang w:val="es-ES_tradnl"/>
        </w:rPr>
        <w:t xml:space="preserve">Por lo anterior, es una facultad legal entrar al estudio de las causas de improcedencia que hagan valer las partes o que se adviertan de oficio por este </w:t>
      </w:r>
      <w:proofErr w:type="spellStart"/>
      <w:r w:rsidRPr="00D606ED">
        <w:rPr>
          <w:rFonts w:ascii="Palatino Linotype" w:hAnsi="Palatino Linotype" w:cs="Palatino Linotype"/>
          <w:color w:val="000000"/>
          <w:lang w:val="es-ES_tradnl"/>
        </w:rPr>
        <w:t>Resolutor</w:t>
      </w:r>
      <w:proofErr w:type="spellEnd"/>
      <w:r w:rsidRPr="00D606ED">
        <w:rPr>
          <w:rFonts w:ascii="Palatino Linotype" w:hAnsi="Palatino Linotype" w:cs="Palatino Linotype"/>
          <w:color w:val="000000"/>
          <w:lang w:val="es-ES_tradnl"/>
        </w:rPr>
        <w:t xml:space="preserve"> y por ende objeto de análisis previo al estudio de fondo del asunto; presupuestos procesales de inicio o trámite de un proceso que dotan de seguridad jurídica las resoluciones, máxime que es una figura procesal adoptada en la ley de la materia</w:t>
      </w:r>
      <w:r w:rsidRPr="00D606ED">
        <w:rPr>
          <w:rFonts w:ascii="Palatino Linotype" w:hAnsi="Palatino Linotype" w:cs="Palatino Linotype"/>
          <w:color w:val="000000"/>
          <w:vertAlign w:val="superscript"/>
          <w:lang w:val="es-ES_tradnl"/>
        </w:rPr>
        <w:footnoteReference w:id="1"/>
      </w:r>
      <w:r w:rsidRPr="00D606ED">
        <w:rPr>
          <w:rFonts w:ascii="Palatino Linotype" w:hAnsi="Palatino Linotype" w:cs="Palatino Linotype"/>
          <w:color w:val="000000"/>
          <w:lang w:val="es-ES_tradnl"/>
        </w:rPr>
        <w:t xml:space="preserve">, la cual permite dilucidar alguna </w:t>
      </w:r>
      <w:r w:rsidRPr="00D606ED">
        <w:rPr>
          <w:rFonts w:ascii="Palatino Linotype" w:hAnsi="Palatino Linotype" w:cs="Palatino Linotype"/>
          <w:color w:val="000000"/>
          <w:lang w:val="es-ES_tradnl"/>
        </w:rPr>
        <w:lastRenderedPageBreak/>
        <w:t>causal que impida el estudio y resolución, cuando una vez admitido el recurso de revisión se advierta una causa de improcedencia que permita sobreseerlo, sin estudiar el fondo del asunto.</w:t>
      </w:r>
    </w:p>
    <w:p w14:paraId="1CA3D351" w14:textId="77777777" w:rsidR="001A4F65" w:rsidRPr="00D606ED" w:rsidRDefault="001A4F65" w:rsidP="001A4F65">
      <w:pPr>
        <w:spacing w:line="360" w:lineRule="auto"/>
        <w:contextualSpacing/>
        <w:jc w:val="both"/>
        <w:rPr>
          <w:rFonts w:ascii="Palatino Linotype" w:hAnsi="Palatino Linotype" w:cs="Palatino Linotype"/>
          <w:color w:val="000000"/>
          <w:lang w:val="es-ES_tradnl"/>
        </w:rPr>
      </w:pPr>
    </w:p>
    <w:p w14:paraId="020D10D1" w14:textId="5DE26AEB" w:rsidR="001A4F65" w:rsidRPr="0073583A" w:rsidRDefault="001A4F65" w:rsidP="0073583A">
      <w:pPr>
        <w:spacing w:line="360" w:lineRule="auto"/>
        <w:contextualSpacing/>
        <w:jc w:val="both"/>
        <w:rPr>
          <w:rFonts w:ascii="Palatino Linotype" w:hAnsi="Palatino Linotype" w:cs="Palatino Linotype"/>
          <w:color w:val="000000"/>
          <w:lang w:val="es-ES_tradnl"/>
        </w:rPr>
      </w:pPr>
      <w:r w:rsidRPr="00D606ED">
        <w:rPr>
          <w:rFonts w:ascii="Palatino Linotype" w:hAnsi="Palatino Linotype" w:cs="Palatino Linotype"/>
          <w:color w:val="000000"/>
          <w:lang w:val="es-ES_tradnl"/>
        </w:rPr>
        <w:t>Así las cosas, en la especie, no se actualiza ninguna causa de improcedencia de las referidas en el artículo 191 de la Ley de Transparencia y Acceso a la Información Pública del Estado de México y Municipios, encontrándose actualizados todos los presupuestos procesales para atender el fondo del asunto, en los términos del considerando posterior.</w:t>
      </w:r>
    </w:p>
    <w:p w14:paraId="4A4ADC85" w14:textId="77777777" w:rsidR="001A4F65" w:rsidRDefault="001A4F65" w:rsidP="001A4F65">
      <w:pPr>
        <w:spacing w:line="360" w:lineRule="auto"/>
        <w:jc w:val="both"/>
        <w:rPr>
          <w:rFonts w:ascii="Palatino Linotype" w:eastAsia="Palatino Linotype" w:hAnsi="Palatino Linotype" w:cs="Palatino Linotype"/>
        </w:rPr>
      </w:pPr>
    </w:p>
    <w:p w14:paraId="34FAB5CF" w14:textId="77777777" w:rsidR="001A4F65" w:rsidRDefault="001A4F65" w:rsidP="001A4F65">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b/>
          <w:sz w:val="28"/>
          <w:szCs w:val="28"/>
        </w:rPr>
        <w:t>QUIN</w:t>
      </w:r>
      <w:r>
        <w:rPr>
          <w:rFonts w:ascii="Palatino Linotype" w:eastAsia="Palatino Linotype" w:hAnsi="Palatino Linotype" w:cs="Palatino Linotype"/>
          <w:b/>
          <w:color w:val="000000"/>
          <w:sz w:val="28"/>
          <w:szCs w:val="28"/>
        </w:rPr>
        <w:t>TO. Estudio y resolución del asunto</w:t>
      </w:r>
    </w:p>
    <w:p w14:paraId="111D885D" w14:textId="77777777" w:rsidR="001A4F65"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El análisis y resolución del presente recurso, se funda en el contenido íntegro de las actuaciones que obran en el expediente electrónico, para así estar en posibilidad este Órgano Colegiado de dictar el fallo correspondiente conforme a derecho, tomando en consideración los elementos aportados por las partes y respetando en todo momento al principio de máxima publicidad consagrado en nuestra Constitución Federal, Local y demás leyes aplicables en la materia, así como en los tratados internacionales en los que el Estado Mexicano sea parte, en concordancia con el párrafo tercero del artículo 1 de la Constitución Federal y el diverso 8 de la Ley de Transparencia local.</w:t>
      </w:r>
    </w:p>
    <w:p w14:paraId="35051A2C" w14:textId="77777777" w:rsidR="001A4F65" w:rsidRDefault="001A4F65" w:rsidP="001A4F65">
      <w:pPr>
        <w:spacing w:line="360" w:lineRule="auto"/>
        <w:jc w:val="both"/>
        <w:rPr>
          <w:rFonts w:ascii="Palatino Linotype" w:eastAsia="Palatino Linotype" w:hAnsi="Palatino Linotype" w:cs="Palatino Linotype"/>
          <w:color w:val="000000"/>
        </w:rPr>
      </w:pPr>
    </w:p>
    <w:p w14:paraId="1FC9E147" w14:textId="77777777" w:rsidR="001A4F65"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Por tanto, es conveniente recordar que el hoy Recurrente requirió del Sujeto Obligado, de la actual administración, lo siguiente:</w:t>
      </w:r>
    </w:p>
    <w:p w14:paraId="70320C90" w14:textId="58489CA7" w:rsidR="001A4F65" w:rsidRDefault="001A4F65" w:rsidP="001A4F65">
      <w:pPr>
        <w:pStyle w:val="Prrafodelista"/>
        <w:numPr>
          <w:ilvl w:val="0"/>
          <w:numId w:val="33"/>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lastRenderedPageBreak/>
        <w:t>Del Tesorero Municipal;</w:t>
      </w:r>
    </w:p>
    <w:p w14:paraId="4FD9A4C8" w14:textId="4D817B26" w:rsidR="001A4F65" w:rsidRDefault="001A4F65" w:rsidP="001A4F65">
      <w:pPr>
        <w:pStyle w:val="Prrafodelista"/>
        <w:numPr>
          <w:ilvl w:val="1"/>
          <w:numId w:val="33"/>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1A4F65">
        <w:rPr>
          <w:rFonts w:ascii="Palatino Linotype" w:eastAsia="Palatino Linotype" w:hAnsi="Palatino Linotype" w:cs="Palatino Linotype"/>
          <w:color w:val="000000"/>
        </w:rPr>
        <w:t xml:space="preserve">Recibo de </w:t>
      </w:r>
      <w:r w:rsidR="00D738F2">
        <w:rPr>
          <w:rFonts w:ascii="Palatino Linotype" w:eastAsia="Palatino Linotype" w:hAnsi="Palatino Linotype" w:cs="Palatino Linotype"/>
          <w:color w:val="000000"/>
        </w:rPr>
        <w:t>n</w:t>
      </w:r>
      <w:r w:rsidRPr="001A4F65">
        <w:rPr>
          <w:rFonts w:ascii="Palatino Linotype" w:eastAsia="Palatino Linotype" w:hAnsi="Palatino Linotype" w:cs="Palatino Linotype"/>
          <w:color w:val="000000"/>
        </w:rPr>
        <w:t>ómina de la primera quincena de febrero 2025</w:t>
      </w:r>
      <w:r>
        <w:rPr>
          <w:rFonts w:ascii="Palatino Linotype" w:eastAsia="Palatino Linotype" w:hAnsi="Palatino Linotype" w:cs="Palatino Linotype"/>
          <w:color w:val="000000"/>
        </w:rPr>
        <w:t>.</w:t>
      </w:r>
    </w:p>
    <w:p w14:paraId="5BC99EE4" w14:textId="332CB4CB" w:rsidR="001A4F65" w:rsidRDefault="001A4F65" w:rsidP="001A4F65">
      <w:pPr>
        <w:pStyle w:val="Prrafodelista"/>
        <w:numPr>
          <w:ilvl w:val="1"/>
          <w:numId w:val="33"/>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S</w:t>
      </w:r>
      <w:r w:rsidRPr="001A4F65">
        <w:rPr>
          <w:rFonts w:ascii="Palatino Linotype" w:eastAsia="Palatino Linotype" w:hAnsi="Palatino Linotype" w:cs="Palatino Linotype"/>
          <w:color w:val="000000"/>
        </w:rPr>
        <w:t>u certificación</w:t>
      </w:r>
      <w:r>
        <w:rPr>
          <w:rFonts w:ascii="Palatino Linotype" w:eastAsia="Palatino Linotype" w:hAnsi="Palatino Linotype" w:cs="Palatino Linotype"/>
          <w:color w:val="000000"/>
        </w:rPr>
        <w:t>.</w:t>
      </w:r>
    </w:p>
    <w:p w14:paraId="70646128" w14:textId="4EA3F10B" w:rsidR="001A4F65" w:rsidRPr="001A4F65" w:rsidRDefault="001A4F65" w:rsidP="001A4F65">
      <w:pPr>
        <w:pStyle w:val="Prrafodelista"/>
        <w:numPr>
          <w:ilvl w:val="1"/>
          <w:numId w:val="33"/>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D</w:t>
      </w:r>
      <w:r w:rsidRPr="001A4F65">
        <w:rPr>
          <w:rFonts w:ascii="Palatino Linotype" w:eastAsia="Palatino Linotype" w:hAnsi="Palatino Linotype" w:cs="Palatino Linotype"/>
          <w:color w:val="000000"/>
        </w:rPr>
        <w:t xml:space="preserve">ocumentación </w:t>
      </w:r>
      <w:r w:rsidR="009A03BA">
        <w:rPr>
          <w:rFonts w:ascii="Palatino Linotype" w:eastAsia="Palatino Linotype" w:hAnsi="Palatino Linotype" w:cs="Palatino Linotype"/>
          <w:color w:val="000000"/>
        </w:rPr>
        <w:t xml:space="preserve">requerida para el </w:t>
      </w:r>
      <w:r w:rsidRPr="001A4F65">
        <w:rPr>
          <w:rFonts w:ascii="Palatino Linotype" w:eastAsia="Palatino Linotype" w:hAnsi="Palatino Linotype" w:cs="Palatino Linotype"/>
          <w:color w:val="000000"/>
        </w:rPr>
        <w:t>cargo conforme a lo establecido en la ley orgánic</w:t>
      </w:r>
      <w:r>
        <w:rPr>
          <w:rFonts w:ascii="Palatino Linotype" w:eastAsia="Palatino Linotype" w:hAnsi="Palatino Linotype" w:cs="Palatino Linotype"/>
          <w:color w:val="000000"/>
        </w:rPr>
        <w:t>a.</w:t>
      </w:r>
    </w:p>
    <w:p w14:paraId="6B44FB60" w14:textId="77777777" w:rsidR="001A4F65"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1954986B" w14:textId="74AEA6E1" w:rsidR="001A4F65" w:rsidRPr="008535DF"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8535DF">
        <w:rPr>
          <w:rFonts w:ascii="Palatino Linotype" w:eastAsia="Palatino Linotype" w:hAnsi="Palatino Linotype" w:cs="Palatino Linotype"/>
          <w:color w:val="000000"/>
        </w:rPr>
        <w:t>Por lo que atento a la solicitud de información el S</w:t>
      </w:r>
      <w:r>
        <w:rPr>
          <w:rFonts w:ascii="Palatino Linotype" w:eastAsia="Palatino Linotype" w:hAnsi="Palatino Linotype" w:cs="Palatino Linotype"/>
          <w:color w:val="000000"/>
        </w:rPr>
        <w:t xml:space="preserve">ujeto Obligado hizo entrega de los </w:t>
      </w:r>
      <w:r w:rsidRPr="008535DF">
        <w:rPr>
          <w:rFonts w:ascii="Palatino Linotype" w:eastAsia="Palatino Linotype" w:hAnsi="Palatino Linotype" w:cs="Palatino Linotype"/>
          <w:color w:val="000000"/>
        </w:rPr>
        <w:t>siguiente</w:t>
      </w:r>
      <w:r>
        <w:rPr>
          <w:rFonts w:ascii="Palatino Linotype" w:eastAsia="Palatino Linotype" w:hAnsi="Palatino Linotype" w:cs="Palatino Linotype"/>
          <w:color w:val="000000"/>
        </w:rPr>
        <w:t>s</w:t>
      </w:r>
      <w:r w:rsidRPr="008535DF">
        <w:rPr>
          <w:rFonts w:ascii="Palatino Linotype" w:eastAsia="Palatino Linotype" w:hAnsi="Palatino Linotype" w:cs="Palatino Linotype"/>
          <w:color w:val="000000"/>
        </w:rPr>
        <w:t xml:space="preserve"> archivo</w:t>
      </w:r>
      <w:r>
        <w:rPr>
          <w:rFonts w:ascii="Palatino Linotype" w:eastAsia="Palatino Linotype" w:hAnsi="Palatino Linotype" w:cs="Palatino Linotype"/>
          <w:color w:val="000000"/>
        </w:rPr>
        <w:t>s</w:t>
      </w:r>
      <w:r w:rsidRPr="008535DF">
        <w:rPr>
          <w:rFonts w:ascii="Palatino Linotype" w:eastAsia="Palatino Linotype" w:hAnsi="Palatino Linotype" w:cs="Palatino Linotype"/>
          <w:color w:val="000000"/>
        </w:rPr>
        <w:t xml:space="preserve"> electrónico</w:t>
      </w:r>
      <w:r>
        <w:rPr>
          <w:rFonts w:ascii="Palatino Linotype" w:eastAsia="Palatino Linotype" w:hAnsi="Palatino Linotype" w:cs="Palatino Linotype"/>
          <w:color w:val="000000"/>
        </w:rPr>
        <w:t>s</w:t>
      </w:r>
      <w:r w:rsidRPr="008535DF">
        <w:rPr>
          <w:rFonts w:ascii="Palatino Linotype" w:eastAsia="Palatino Linotype" w:hAnsi="Palatino Linotype" w:cs="Palatino Linotype"/>
          <w:color w:val="000000"/>
        </w:rPr>
        <w:t>:</w:t>
      </w:r>
    </w:p>
    <w:p w14:paraId="77833299" w14:textId="6B1390E3" w:rsidR="001A4F65" w:rsidRPr="00257274" w:rsidRDefault="00257274" w:rsidP="00257274">
      <w:pPr>
        <w:pStyle w:val="Prrafodelista"/>
        <w:numPr>
          <w:ilvl w:val="0"/>
          <w:numId w:val="34"/>
        </w:numPr>
        <w:pBdr>
          <w:top w:val="nil"/>
          <w:left w:val="nil"/>
          <w:bottom w:val="nil"/>
          <w:right w:val="nil"/>
          <w:between w:val="nil"/>
        </w:pBdr>
        <w:spacing w:line="360" w:lineRule="auto"/>
        <w:jc w:val="both"/>
        <w:rPr>
          <w:rFonts w:ascii="Palatino Linotype" w:hAnsi="Palatino Linotype"/>
        </w:rPr>
      </w:pPr>
      <w:r w:rsidRPr="00257274">
        <w:rPr>
          <w:rFonts w:ascii="Palatino Linotype" w:hAnsi="Palatino Linotype" w:cs="Arial"/>
          <w:b/>
          <w:bCs/>
        </w:rPr>
        <w:t>00096 testad.pdf</w:t>
      </w:r>
      <w:r>
        <w:rPr>
          <w:rFonts w:ascii="Palatino Linotype" w:hAnsi="Palatino Linotype" w:cs="Arial"/>
          <w:b/>
          <w:bCs/>
        </w:rPr>
        <w:t xml:space="preserve">: </w:t>
      </w:r>
      <w:r>
        <w:rPr>
          <w:rFonts w:ascii="Palatino Linotype" w:hAnsi="Palatino Linotype" w:cs="Arial"/>
        </w:rPr>
        <w:t xml:space="preserve">Documento que consta de cinco fojas en formato PDF de fecha veinticuatro de febrero de dos mil veinticinco por medio del cual el Titular del Departamento de Recursos Humanos da respuesta a la solicitud de información </w:t>
      </w:r>
      <w:r w:rsidRPr="00257274">
        <w:rPr>
          <w:rFonts w:ascii="Palatino Linotype" w:hAnsi="Palatino Linotype" w:cs="Arial"/>
          <w:b/>
          <w:bCs/>
        </w:rPr>
        <w:t>0</w:t>
      </w:r>
      <w:r>
        <w:rPr>
          <w:rFonts w:ascii="Palatino Linotype" w:hAnsi="Palatino Linotype" w:cs="Arial"/>
          <w:b/>
          <w:bCs/>
        </w:rPr>
        <w:t>0</w:t>
      </w:r>
      <w:r w:rsidRPr="00257274">
        <w:rPr>
          <w:rFonts w:ascii="Palatino Linotype" w:hAnsi="Palatino Linotype" w:cs="Arial"/>
          <w:b/>
          <w:bCs/>
        </w:rPr>
        <w:t>0</w:t>
      </w:r>
      <w:r>
        <w:rPr>
          <w:rFonts w:ascii="Palatino Linotype" w:hAnsi="Palatino Linotype" w:cs="Arial"/>
          <w:b/>
          <w:bCs/>
        </w:rPr>
        <w:t>96</w:t>
      </w:r>
      <w:r w:rsidRPr="00257274">
        <w:rPr>
          <w:rFonts w:ascii="Palatino Linotype" w:hAnsi="Palatino Linotype" w:cs="Arial"/>
          <w:b/>
          <w:bCs/>
        </w:rPr>
        <w:t>/LAPAZ/IP/2025</w:t>
      </w:r>
      <w:r>
        <w:rPr>
          <w:rFonts w:ascii="Palatino Linotype" w:hAnsi="Palatino Linotype" w:cs="Arial"/>
          <w:b/>
          <w:bCs/>
        </w:rPr>
        <w:t xml:space="preserve"> </w:t>
      </w:r>
      <w:r>
        <w:rPr>
          <w:rFonts w:ascii="Palatino Linotype" w:hAnsi="Palatino Linotype" w:cs="Arial"/>
        </w:rPr>
        <w:t xml:space="preserve">manifestando el nombre completo del Titular de la Tesorería Municipal, su ultimo grado de estudios, los documentos que integran su </w:t>
      </w:r>
      <w:proofErr w:type="spellStart"/>
      <w:r>
        <w:rPr>
          <w:rFonts w:ascii="Palatino Linotype" w:hAnsi="Palatino Linotype" w:cs="Arial"/>
        </w:rPr>
        <w:t>curriculum</w:t>
      </w:r>
      <w:proofErr w:type="spellEnd"/>
      <w:r>
        <w:rPr>
          <w:rFonts w:ascii="Palatino Linotype" w:hAnsi="Palatino Linotype" w:cs="Arial"/>
        </w:rPr>
        <w:t xml:space="preserve"> vitae y manifiesta incompetencia para entregar los recibos de nómina por lo que solicita dirigir la solicitud al área correspondiente. </w:t>
      </w:r>
    </w:p>
    <w:p w14:paraId="7E360E71" w14:textId="08F4FD9E" w:rsidR="001A4F65" w:rsidRPr="00257274" w:rsidRDefault="001A4F65" w:rsidP="00257274">
      <w:pPr>
        <w:pBdr>
          <w:top w:val="nil"/>
          <w:left w:val="nil"/>
          <w:bottom w:val="nil"/>
          <w:right w:val="nil"/>
          <w:between w:val="nil"/>
        </w:pBdr>
        <w:spacing w:line="360" w:lineRule="auto"/>
        <w:jc w:val="both"/>
        <w:rPr>
          <w:rFonts w:ascii="Palatino Linotype" w:eastAsia="Palatino Linotype" w:hAnsi="Palatino Linotype" w:cs="Palatino Linotype"/>
        </w:rPr>
      </w:pPr>
    </w:p>
    <w:p w14:paraId="0BEC8B6F" w14:textId="37C98731" w:rsidR="00257274" w:rsidRDefault="001A4F65"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Ante la respuesta emitida por el Sujeto Obligado, el Recurrente consideró que su derecho a la información pública había sido conculcado, por lo que interpuso el recurso de revisión al rubro citado, señalando como acto impugnado </w:t>
      </w:r>
      <w:r w:rsidRPr="00867C3C">
        <w:rPr>
          <w:rFonts w:ascii="Palatino Linotype" w:eastAsia="Palatino Linotype" w:hAnsi="Palatino Linotype" w:cs="Palatino Linotype"/>
          <w:b/>
          <w:i/>
          <w:color w:val="000000"/>
        </w:rPr>
        <w:t>“</w:t>
      </w:r>
      <w:r w:rsidR="00257274" w:rsidRPr="00257274">
        <w:rPr>
          <w:rFonts w:ascii="Palatino Linotype" w:eastAsia="Palatino Linotype" w:hAnsi="Palatino Linotype" w:cs="Palatino Linotype"/>
          <w:b/>
          <w:i/>
          <w:color w:val="000000"/>
        </w:rPr>
        <w:t>LOS RECIBOS DE NÓMINA NO SON DE CÁRACTER PERSONAL</w:t>
      </w:r>
      <w:r w:rsidR="00257274" w:rsidRPr="00257274">
        <w:rPr>
          <w:rFonts w:ascii="Palatino Linotype" w:eastAsia="Palatino Linotype" w:hAnsi="Palatino Linotype" w:cs="Palatino Linotype"/>
          <w:bCs/>
          <w:i/>
          <w:color w:val="000000"/>
        </w:rPr>
        <w:t>, Y EL FUNDAMENTO JURIDICO NO CONCUERDA CON LO SOLICITADO, LA LEY GENERAL DE PROTECCIÓN DE DATOS NO EXISTE, ENUNCIAR LEY COMPLETA, SOPORTAR JURIDICAMENTE CORRECTO LO QUE EMITE EL OFICIO GIRADO POR LA TESORERA MUNICIPAL</w:t>
      </w:r>
      <w:r w:rsidR="00257274" w:rsidRPr="00257274">
        <w:rPr>
          <w:rFonts w:ascii="Palatino Linotype" w:eastAsia="Palatino Linotype" w:hAnsi="Palatino Linotype" w:cs="Palatino Linotype"/>
          <w:b/>
          <w:i/>
          <w:color w:val="000000"/>
        </w:rPr>
        <w:t>.</w:t>
      </w:r>
      <w:r w:rsidRPr="00867C3C">
        <w:rPr>
          <w:rFonts w:ascii="Palatino Linotype" w:hAnsi="Palatino Linotype"/>
          <w:i/>
          <w:color w:val="000000"/>
        </w:rPr>
        <w:t>"</w:t>
      </w:r>
      <w:r w:rsidRPr="00867C3C">
        <w:rPr>
          <w:rFonts w:ascii="Palatino Linotype" w:eastAsia="Palatino Linotype" w:hAnsi="Palatino Linotype" w:cs="Palatino Linotype"/>
          <w:i/>
          <w:color w:val="000000"/>
        </w:rPr>
        <w:t xml:space="preserve"> </w:t>
      </w:r>
      <w:r>
        <w:rPr>
          <w:rFonts w:ascii="Palatino Linotype" w:eastAsia="Palatino Linotype" w:hAnsi="Palatino Linotype" w:cs="Palatino Linotype"/>
          <w:color w:val="000000"/>
        </w:rPr>
        <w:t xml:space="preserve">y motivos de </w:t>
      </w:r>
      <w:r>
        <w:rPr>
          <w:rFonts w:ascii="Palatino Linotype" w:eastAsia="Palatino Linotype" w:hAnsi="Palatino Linotype" w:cs="Palatino Linotype"/>
          <w:color w:val="000000"/>
        </w:rPr>
        <w:lastRenderedPageBreak/>
        <w:t xml:space="preserve">inconformidad </w:t>
      </w:r>
      <w:r w:rsidRPr="00867C3C">
        <w:rPr>
          <w:rFonts w:ascii="Palatino Linotype" w:eastAsia="Palatino Linotype" w:hAnsi="Palatino Linotype" w:cs="Palatino Linotype"/>
          <w:i/>
          <w:color w:val="000000"/>
        </w:rPr>
        <w:t>“</w:t>
      </w:r>
      <w:r w:rsidR="00257274" w:rsidRPr="00257274">
        <w:rPr>
          <w:rFonts w:ascii="Palatino Linotype" w:eastAsia="Palatino Linotype" w:hAnsi="Palatino Linotype" w:cs="Palatino Linotype"/>
          <w:b/>
          <w:bCs/>
          <w:i/>
          <w:color w:val="000000"/>
        </w:rPr>
        <w:t xml:space="preserve">No se </w:t>
      </w:r>
      <w:proofErr w:type="spellStart"/>
      <w:r w:rsidR="00257274" w:rsidRPr="00257274">
        <w:rPr>
          <w:rFonts w:ascii="Palatino Linotype" w:eastAsia="Palatino Linotype" w:hAnsi="Palatino Linotype" w:cs="Palatino Linotype"/>
          <w:b/>
          <w:bCs/>
          <w:i/>
          <w:color w:val="000000"/>
        </w:rPr>
        <w:t>envío</w:t>
      </w:r>
      <w:proofErr w:type="spellEnd"/>
      <w:r w:rsidR="00257274" w:rsidRPr="00257274">
        <w:rPr>
          <w:rFonts w:ascii="Palatino Linotype" w:eastAsia="Palatino Linotype" w:hAnsi="Palatino Linotype" w:cs="Palatino Linotype"/>
          <w:b/>
          <w:bCs/>
          <w:i/>
          <w:color w:val="000000"/>
        </w:rPr>
        <w:t xml:space="preserve"> Recibo de Nómina solicitado</w:t>
      </w:r>
      <w:r w:rsidR="00257274" w:rsidRPr="00257274">
        <w:rPr>
          <w:rFonts w:ascii="Palatino Linotype" w:eastAsia="Palatino Linotype" w:hAnsi="Palatino Linotype" w:cs="Palatino Linotype"/>
          <w:i/>
          <w:color w:val="000000"/>
        </w:rPr>
        <w:t>, mismo que se puede proporcionar, siendo clasificados los datos personales, mismo que se clasificarán por el Comité de Transparencia</w:t>
      </w:r>
      <w:r w:rsidR="00953148">
        <w:rPr>
          <w:rFonts w:ascii="Palatino Linotype" w:eastAsia="Palatino Linotype" w:hAnsi="Palatino Linotype" w:cs="Palatino Linotype"/>
          <w:i/>
          <w:color w:val="000000"/>
        </w:rPr>
        <w:t xml:space="preserve">” </w:t>
      </w:r>
      <w:r>
        <w:rPr>
          <w:rFonts w:ascii="Palatino Linotype" w:eastAsia="Palatino Linotype" w:hAnsi="Palatino Linotype" w:cs="Palatino Linotype"/>
          <w:color w:val="000000"/>
        </w:rPr>
        <w:t>en este sentido el Recurrente considero que el Sujeto Obligado no le dio cuenta de</w:t>
      </w:r>
      <w:r w:rsidR="00257274">
        <w:rPr>
          <w:rFonts w:ascii="Palatino Linotype" w:eastAsia="Palatino Linotype" w:hAnsi="Palatino Linotype" w:cs="Palatino Linotype"/>
          <w:color w:val="000000"/>
        </w:rPr>
        <w:t>l r</w:t>
      </w:r>
      <w:r w:rsidR="00257274" w:rsidRPr="001A4F65">
        <w:rPr>
          <w:rFonts w:ascii="Palatino Linotype" w:eastAsia="Palatino Linotype" w:hAnsi="Palatino Linotype" w:cs="Palatino Linotype"/>
          <w:color w:val="000000"/>
        </w:rPr>
        <w:t xml:space="preserve">ecibo de </w:t>
      </w:r>
      <w:r w:rsidR="00257274">
        <w:rPr>
          <w:rFonts w:ascii="Palatino Linotype" w:eastAsia="Palatino Linotype" w:hAnsi="Palatino Linotype" w:cs="Palatino Linotype"/>
          <w:color w:val="000000"/>
        </w:rPr>
        <w:t>n</w:t>
      </w:r>
      <w:r w:rsidR="00257274" w:rsidRPr="001A4F65">
        <w:rPr>
          <w:rFonts w:ascii="Palatino Linotype" w:eastAsia="Palatino Linotype" w:hAnsi="Palatino Linotype" w:cs="Palatino Linotype"/>
          <w:color w:val="000000"/>
        </w:rPr>
        <w:t>ómina de la primera quincena de febrero 2025</w:t>
      </w:r>
      <w:r w:rsidR="00257274">
        <w:rPr>
          <w:rFonts w:ascii="Palatino Linotype" w:eastAsia="Palatino Linotype" w:hAnsi="Palatino Linotype" w:cs="Palatino Linotype"/>
          <w:color w:val="000000"/>
        </w:rPr>
        <w:t xml:space="preserve"> del Titular de la Tesorería Municipal.</w:t>
      </w:r>
    </w:p>
    <w:p w14:paraId="63D4B2C3" w14:textId="77777777" w:rsidR="00257274" w:rsidRDefault="00257274" w:rsidP="001A4F65">
      <w:pPr>
        <w:spacing w:line="360" w:lineRule="auto"/>
        <w:jc w:val="both"/>
        <w:rPr>
          <w:rFonts w:ascii="Palatino Linotype" w:eastAsia="Palatino Linotype" w:hAnsi="Palatino Linotype" w:cs="Palatino Linotype"/>
          <w:color w:val="000000"/>
        </w:rPr>
      </w:pPr>
    </w:p>
    <w:p w14:paraId="55D0EF1E" w14:textId="2A9A7104" w:rsidR="009A03BA" w:rsidRPr="007F169D" w:rsidRDefault="009A03BA" w:rsidP="009A03BA">
      <w:pPr>
        <w:spacing w:line="360" w:lineRule="auto"/>
        <w:ind w:right="49"/>
        <w:jc w:val="both"/>
        <w:rPr>
          <w:rFonts w:ascii="Palatino Linotype" w:eastAsia="Palatino Linotype" w:hAnsi="Palatino Linotype" w:cs="Palatino Linotype"/>
          <w:color w:val="000000"/>
        </w:rPr>
      </w:pPr>
      <w:r w:rsidRPr="007F169D">
        <w:rPr>
          <w:rFonts w:ascii="Palatino Linotype" w:eastAsia="Palatino Linotype" w:hAnsi="Palatino Linotype" w:cs="Palatino Linotype"/>
          <w:color w:val="000000"/>
        </w:rPr>
        <w:t xml:space="preserve">De lo anterior, es de precisarse que </w:t>
      </w:r>
      <w:r>
        <w:rPr>
          <w:rFonts w:ascii="Palatino Linotype" w:eastAsia="Palatino Linotype" w:hAnsi="Palatino Linotype" w:cs="Palatino Linotype"/>
          <w:color w:val="000000"/>
        </w:rPr>
        <w:t>el Recurrente únicamente manifestó inconformidad respecto la falta de</w:t>
      </w:r>
      <w:r w:rsidR="00953148">
        <w:rPr>
          <w:rFonts w:ascii="Palatino Linotype" w:eastAsia="Palatino Linotype" w:hAnsi="Palatino Linotype" w:cs="Palatino Linotype"/>
          <w:color w:val="000000"/>
        </w:rPr>
        <w:t xml:space="preserve">l </w:t>
      </w:r>
      <w:r>
        <w:rPr>
          <w:rFonts w:ascii="Palatino Linotype" w:eastAsia="Palatino Linotype" w:hAnsi="Palatino Linotype" w:cs="Palatino Linotype"/>
          <w:color w:val="000000"/>
        </w:rPr>
        <w:t xml:space="preserve">recibo de nómina por el Sujeto Obligado es este sentido  es de establecerse que </w:t>
      </w:r>
      <w:r w:rsidRPr="007F169D">
        <w:rPr>
          <w:rFonts w:ascii="Palatino Linotype" w:eastAsia="Palatino Linotype" w:hAnsi="Palatino Linotype" w:cs="Palatino Linotype"/>
          <w:color w:val="000000"/>
        </w:rPr>
        <w:t>no hubo pronunciamiento por la parte Recurrente respecto</w:t>
      </w:r>
      <w:r>
        <w:rPr>
          <w:rFonts w:ascii="Palatino Linotype" w:eastAsia="Palatino Linotype" w:hAnsi="Palatino Linotype" w:cs="Palatino Linotype"/>
          <w:color w:val="000000"/>
        </w:rPr>
        <w:t xml:space="preserve"> a s</w:t>
      </w:r>
      <w:r w:rsidRPr="009A03BA">
        <w:rPr>
          <w:rFonts w:ascii="Palatino Linotype" w:eastAsia="Palatino Linotype" w:hAnsi="Palatino Linotype" w:cs="Palatino Linotype"/>
          <w:color w:val="000000"/>
        </w:rPr>
        <w:t>u certificación</w:t>
      </w:r>
      <w:r>
        <w:rPr>
          <w:rFonts w:ascii="Palatino Linotype" w:eastAsia="Palatino Linotype" w:hAnsi="Palatino Linotype" w:cs="Palatino Linotype"/>
          <w:color w:val="000000"/>
        </w:rPr>
        <w:t xml:space="preserve"> así como  los d</w:t>
      </w:r>
      <w:r w:rsidRPr="001A4F65">
        <w:rPr>
          <w:rFonts w:ascii="Palatino Linotype" w:eastAsia="Palatino Linotype" w:hAnsi="Palatino Linotype" w:cs="Palatino Linotype"/>
          <w:color w:val="000000"/>
        </w:rPr>
        <w:t xml:space="preserve">ocumentación </w:t>
      </w:r>
      <w:r>
        <w:rPr>
          <w:rFonts w:ascii="Palatino Linotype" w:eastAsia="Palatino Linotype" w:hAnsi="Palatino Linotype" w:cs="Palatino Linotype"/>
          <w:color w:val="000000"/>
        </w:rPr>
        <w:t xml:space="preserve"> requerida para el </w:t>
      </w:r>
      <w:r w:rsidRPr="001A4F65">
        <w:rPr>
          <w:rFonts w:ascii="Palatino Linotype" w:eastAsia="Palatino Linotype" w:hAnsi="Palatino Linotype" w:cs="Palatino Linotype"/>
          <w:color w:val="000000"/>
        </w:rPr>
        <w:t>cargo conforme a lo establecido en la ley orgánic</w:t>
      </w:r>
      <w:r>
        <w:rPr>
          <w:rFonts w:ascii="Palatino Linotype" w:eastAsia="Palatino Linotype" w:hAnsi="Palatino Linotype" w:cs="Palatino Linotype"/>
          <w:color w:val="000000"/>
        </w:rPr>
        <w:t>a, por lo que</w:t>
      </w:r>
      <w:r w:rsidRPr="007F169D">
        <w:rPr>
          <w:rFonts w:ascii="Palatino Linotype" w:eastAsia="Palatino Linotype" w:hAnsi="Palatino Linotype" w:cs="Palatino Linotype"/>
          <w:color w:val="000000"/>
        </w:rPr>
        <w:t xml:space="preserve"> debe declararse consentida por el </w:t>
      </w:r>
      <w:r w:rsidRPr="007F169D">
        <w:rPr>
          <w:rFonts w:ascii="Palatino Linotype" w:eastAsia="Palatino Linotype" w:hAnsi="Palatino Linotype" w:cs="Palatino Linotype"/>
          <w:b/>
          <w:color w:val="000000"/>
        </w:rPr>
        <w:t>RECURRENTE</w:t>
      </w:r>
      <w:r w:rsidRPr="007F169D">
        <w:rPr>
          <w:rFonts w:ascii="Palatino Linotype" w:eastAsia="Palatino Linotype" w:hAnsi="Palatino Linotype" w:cs="Palatino Linotype"/>
          <w:color w:val="000000"/>
        </w:rPr>
        <w:t>, debido a que no se realizaron manifestaciones de inconformidad, por lo que no pueden producirse efectos jurídicos tendentes a revocar, confirmar o modificar el acto reclamado ya que se infiere un consentimiento del Recurrente</w:t>
      </w:r>
      <w:r w:rsidRPr="007F169D">
        <w:rPr>
          <w:rFonts w:ascii="Palatino Linotype" w:eastAsia="Palatino Linotype" w:hAnsi="Palatino Linotype" w:cs="Palatino Linotype"/>
          <w:b/>
          <w:color w:val="000000"/>
        </w:rPr>
        <w:t xml:space="preserve"> </w:t>
      </w:r>
      <w:r w:rsidRPr="007F169D">
        <w:rPr>
          <w:rFonts w:ascii="Palatino Linotype" w:eastAsia="Palatino Linotype" w:hAnsi="Palatino Linotype" w:cs="Palatino Linotype"/>
          <w:color w:val="000000"/>
        </w:rPr>
        <w:t>ante la falta de impugnación eficaz.</w:t>
      </w:r>
    </w:p>
    <w:p w14:paraId="4B7239E6" w14:textId="77777777" w:rsidR="009A03BA" w:rsidRPr="00C05EDE" w:rsidRDefault="009A03BA" w:rsidP="009A03BA">
      <w:pPr>
        <w:spacing w:line="360" w:lineRule="auto"/>
        <w:ind w:right="49"/>
        <w:jc w:val="both"/>
        <w:rPr>
          <w:rFonts w:ascii="Palatino Linotype" w:eastAsia="Palatino Linotype" w:hAnsi="Palatino Linotype" w:cs="Palatino Linotype"/>
          <w:color w:val="000000"/>
        </w:rPr>
      </w:pPr>
    </w:p>
    <w:p w14:paraId="78240AE3" w14:textId="77777777" w:rsidR="009A03BA" w:rsidRPr="007F169D" w:rsidRDefault="009A03BA" w:rsidP="009A03BA">
      <w:pPr>
        <w:spacing w:line="360" w:lineRule="auto"/>
        <w:ind w:right="49"/>
        <w:jc w:val="both"/>
        <w:rPr>
          <w:rFonts w:ascii="Palatino Linotype" w:eastAsia="Palatino Linotype" w:hAnsi="Palatino Linotype" w:cs="Palatino Linotype"/>
        </w:rPr>
      </w:pPr>
      <w:r w:rsidRPr="007F169D">
        <w:rPr>
          <w:rFonts w:ascii="Palatino Linotype" w:eastAsia="Palatino Linotype" w:hAnsi="Palatino Linotype" w:cs="Palatino Linotype"/>
          <w:color w:val="000000"/>
        </w:rPr>
        <w:t>Sirve de sustento a lo anterior por analogía la tesis jurisprudencial número VI.3o.C. J/60, publicada en el Semanario Judicial de la Federación y su Gaceta bajo el número de registro 176,608 que a la letra dice:</w:t>
      </w:r>
    </w:p>
    <w:p w14:paraId="19C29A9B" w14:textId="77777777" w:rsidR="009A03BA" w:rsidRPr="009A03BA" w:rsidRDefault="009A03BA" w:rsidP="009A03BA">
      <w:pPr>
        <w:pBdr>
          <w:top w:val="nil"/>
          <w:left w:val="nil"/>
          <w:bottom w:val="nil"/>
          <w:right w:val="nil"/>
          <w:between w:val="nil"/>
        </w:pBdr>
        <w:spacing w:line="276" w:lineRule="auto"/>
        <w:ind w:left="851" w:right="616"/>
        <w:jc w:val="both"/>
        <w:rPr>
          <w:rFonts w:ascii="Palatino Linotype" w:eastAsia="Palatino Linotype" w:hAnsi="Palatino Linotype" w:cs="Palatino Linotype"/>
          <w:i/>
          <w:color w:val="000000"/>
          <w:sz w:val="22"/>
          <w:szCs w:val="22"/>
        </w:rPr>
      </w:pPr>
      <w:r w:rsidRPr="009A03BA">
        <w:rPr>
          <w:rFonts w:ascii="Palatino Linotype" w:eastAsia="Palatino Linotype" w:hAnsi="Palatino Linotype" w:cs="Palatino Linotype"/>
          <w:b/>
          <w:i/>
          <w:smallCaps/>
          <w:color w:val="000000"/>
          <w:sz w:val="22"/>
          <w:szCs w:val="22"/>
        </w:rPr>
        <w:t xml:space="preserve">ACTOS CONSENTIDOS. SON LOS QUE NO SE IMPUGNAN MEDIANTE EL RECURSO IDÓNEO. </w:t>
      </w:r>
      <w:r w:rsidRPr="009A03BA">
        <w:rPr>
          <w:rFonts w:ascii="Palatino Linotype" w:eastAsia="Palatino Linotype" w:hAnsi="Palatino Linotype" w:cs="Palatino Linotype"/>
          <w:i/>
          <w:color w:val="000000"/>
          <w:sz w:val="22"/>
          <w:szCs w:val="22"/>
        </w:rPr>
        <w:t>Debe reputarse como consentido el acto que no se impugnó por el medio establecido por la ley, ya que si se hizo uso de otro no previsto por ella o si se hace una simple manifestación de inconformidad, tales actuaciones no producen efectos jurídicos tendientes a revocar, confirmar o modificar el acto reclamado en amparo, lo que significa consentimiento del mismo por falta de impugnación eficaz.</w:t>
      </w:r>
    </w:p>
    <w:p w14:paraId="59B1F4C3" w14:textId="77777777" w:rsidR="009A03BA" w:rsidRDefault="009A03BA" w:rsidP="009A03BA">
      <w:pPr>
        <w:spacing w:line="360" w:lineRule="auto"/>
        <w:ind w:right="49"/>
        <w:jc w:val="both"/>
        <w:rPr>
          <w:rFonts w:ascii="Palatino Linotype" w:eastAsia="Palatino Linotype" w:hAnsi="Palatino Linotype" w:cs="Palatino Linotype"/>
          <w:color w:val="000000"/>
        </w:rPr>
      </w:pPr>
    </w:p>
    <w:p w14:paraId="1B07CF7C" w14:textId="021A77F4" w:rsidR="009A03BA" w:rsidRPr="006B3337" w:rsidRDefault="009A03BA" w:rsidP="009A03BA">
      <w:pPr>
        <w:spacing w:line="360" w:lineRule="auto"/>
        <w:ind w:right="49"/>
        <w:jc w:val="both"/>
        <w:rPr>
          <w:rFonts w:ascii="Palatino Linotype" w:eastAsia="Palatino Linotype" w:hAnsi="Palatino Linotype" w:cs="Palatino Linotype"/>
        </w:rPr>
      </w:pPr>
      <w:r w:rsidRPr="006B3337">
        <w:rPr>
          <w:rFonts w:ascii="Palatino Linotype" w:eastAsia="Palatino Linotype" w:hAnsi="Palatino Linotype" w:cs="Palatino Linotype"/>
          <w:color w:val="000000"/>
        </w:rPr>
        <w:lastRenderedPageBreak/>
        <w:t xml:space="preserve">Para </w:t>
      </w:r>
      <w:r w:rsidRPr="006B3337">
        <w:rPr>
          <w:rFonts w:ascii="Palatino Linotype" w:eastAsia="Palatino Linotype" w:hAnsi="Palatino Linotype" w:cs="Palatino Linotype"/>
        </w:rPr>
        <w:t xml:space="preserve">mayor abundamiento, también resulta aplicable el criterio </w:t>
      </w:r>
      <w:r>
        <w:rPr>
          <w:rFonts w:ascii="Palatino Linotype" w:eastAsia="Palatino Linotype" w:hAnsi="Palatino Linotype" w:cs="Palatino Linotype"/>
        </w:rPr>
        <w:t xml:space="preserve">orientador </w:t>
      </w:r>
      <w:r w:rsidRPr="006B3337">
        <w:rPr>
          <w:rFonts w:ascii="Palatino Linotype" w:eastAsia="Palatino Linotype" w:hAnsi="Palatino Linotype" w:cs="Palatino Linotype"/>
        </w:rPr>
        <w:t>01/20 emitido por el Instituto Nacional de Transparencia, Acceso a la Información Pública y Protección de Datos Personales, que a la letra estipula lo siguiente:</w:t>
      </w:r>
    </w:p>
    <w:p w14:paraId="15AF7814" w14:textId="77777777" w:rsidR="009A03BA" w:rsidRPr="009A03BA" w:rsidRDefault="009A03BA" w:rsidP="009A03BA">
      <w:pPr>
        <w:pBdr>
          <w:top w:val="nil"/>
          <w:left w:val="nil"/>
          <w:bottom w:val="nil"/>
          <w:right w:val="nil"/>
          <w:between w:val="nil"/>
        </w:pBdr>
        <w:spacing w:line="276" w:lineRule="auto"/>
        <w:ind w:left="851" w:right="616"/>
        <w:jc w:val="both"/>
        <w:rPr>
          <w:rFonts w:ascii="Palatino Linotype" w:eastAsia="Palatino Linotype" w:hAnsi="Palatino Linotype" w:cs="Palatino Linotype"/>
          <w:i/>
          <w:color w:val="000000"/>
          <w:sz w:val="22"/>
          <w:szCs w:val="22"/>
        </w:rPr>
      </w:pPr>
      <w:r w:rsidRPr="009A03BA">
        <w:rPr>
          <w:rFonts w:ascii="Palatino Linotype" w:eastAsia="Palatino Linotype" w:hAnsi="Palatino Linotype" w:cs="Palatino Linotype"/>
          <w:b/>
          <w:i/>
          <w:color w:val="000000"/>
          <w:sz w:val="22"/>
          <w:szCs w:val="22"/>
        </w:rPr>
        <w:t>Actos consentidos tácitamente. Improcedencia de su análisis.</w:t>
      </w:r>
      <w:r w:rsidRPr="009A03BA">
        <w:rPr>
          <w:rFonts w:ascii="Palatino Linotype" w:eastAsia="Palatino Linotype" w:hAnsi="Palatino Linotype" w:cs="Palatino Linotype"/>
          <w:i/>
          <w:color w:val="000000"/>
          <w:sz w:val="22"/>
          <w:szCs w:val="22"/>
        </w:rPr>
        <w:t xml:space="preserve"> Si en su recurso de revisión, la persona recurrente no expresó inconformidad alguna con ciertas partes de la respuesta otorgada, se entienden tácitamente consentidas, por ende, no deben formar parte del estudio de fondo de la resolución que emite el Instituto.</w:t>
      </w:r>
    </w:p>
    <w:p w14:paraId="079E5B4E" w14:textId="77777777" w:rsidR="009A03BA" w:rsidRDefault="009A03BA" w:rsidP="009A03BA">
      <w:pPr>
        <w:spacing w:line="360" w:lineRule="auto"/>
        <w:contextualSpacing/>
        <w:jc w:val="both"/>
        <w:rPr>
          <w:rFonts w:ascii="Palatino Linotype" w:hAnsi="Palatino Linotype" w:cstheme="minorHAnsi"/>
          <w:color w:val="000000"/>
        </w:rPr>
      </w:pPr>
    </w:p>
    <w:p w14:paraId="4840D616" w14:textId="344ECAEA" w:rsidR="009A03BA" w:rsidRPr="009A03BA" w:rsidRDefault="009A03BA" w:rsidP="009A03BA">
      <w:pPr>
        <w:tabs>
          <w:tab w:val="left" w:pos="709"/>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Ahora bien, a efecto de no vulnerar el derecho al acceso a la información del Recurrente el Sujeto Obligado rindió su informe justificado por medio del cual la Tesorera Municipal manifiesta que </w:t>
      </w:r>
      <w:r w:rsidRPr="00222E50">
        <w:rPr>
          <w:rFonts w:ascii="Palatino Linotype" w:eastAsia="Palatino Linotype" w:hAnsi="Palatino Linotype" w:cs="Palatino Linotype"/>
          <w:u w:val="single"/>
        </w:rPr>
        <w:t>los recibos de nómina de los servidores públicos de la administración aún no están disponibles en el sistema SIFI nómina que genera dichos documentos</w:t>
      </w:r>
      <w:r>
        <w:rPr>
          <w:rFonts w:ascii="Palatino Linotype" w:eastAsia="Palatino Linotype" w:hAnsi="Palatino Linotype" w:cs="Palatino Linotype"/>
        </w:rPr>
        <w:t>.</w:t>
      </w:r>
    </w:p>
    <w:p w14:paraId="18FB0DB7" w14:textId="77777777" w:rsidR="009A03BA" w:rsidRDefault="009A03BA" w:rsidP="001A4F65">
      <w:pPr>
        <w:spacing w:line="360" w:lineRule="auto"/>
        <w:jc w:val="both"/>
        <w:rPr>
          <w:rFonts w:ascii="Palatino Linotype" w:eastAsia="Palatino Linotype" w:hAnsi="Palatino Linotype" w:cs="Palatino Linotype"/>
          <w:color w:val="000000"/>
        </w:rPr>
      </w:pPr>
    </w:p>
    <w:p w14:paraId="65A75C75" w14:textId="2ED0B034" w:rsidR="00257274" w:rsidRPr="00A62CE0" w:rsidRDefault="00257274" w:rsidP="00A62CE0">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Sin que pase por desapercibido por este Instituto que de la respuesta proporcionada por el Sujeto Obligado </w:t>
      </w:r>
      <w:r w:rsidR="00A62CE0">
        <w:rPr>
          <w:rFonts w:ascii="Palatino Linotype" w:eastAsia="Palatino Linotype" w:hAnsi="Palatino Linotype" w:cs="Palatino Linotype"/>
          <w:color w:val="000000"/>
        </w:rPr>
        <w:t xml:space="preserve">no se utilizaron las herramientas tecnológicas adecuadas para el manejo y tratamiento de los datos personales pues se puede advertir los datos personales de identificación dentro del soporte documental por lo que se girara </w:t>
      </w:r>
      <w:r w:rsidRPr="00A62CE0">
        <w:rPr>
          <w:rFonts w:ascii="Palatino Linotype" w:hAnsi="Palatino Linotype" w:cs="Palatino Linotype"/>
          <w:color w:val="000000"/>
          <w:lang w:val="es-ES_tradnl"/>
        </w:rPr>
        <w:t>oficio al</w:t>
      </w:r>
      <w:r w:rsidRPr="00A62CE0">
        <w:rPr>
          <w:rFonts w:ascii="Palatino Linotype" w:hAnsi="Palatino Linotype" w:cs="Palatino Linotype"/>
          <w:color w:val="000000"/>
        </w:rPr>
        <w:t xml:space="preserve"> Titular de la Dirección General de Protección de Datos Personales de este Instituto en atención al artículo 82, fracción XXVII de la Ley de Protección de Datos Personales del Estado de México y Municipios</w:t>
      </w:r>
      <w:r w:rsidRPr="00A62CE0">
        <w:rPr>
          <w:rFonts w:ascii="Palatino Linotype" w:hAnsi="Palatino Linotype" w:cs="Arial"/>
        </w:rPr>
        <w:t>.</w:t>
      </w:r>
    </w:p>
    <w:p w14:paraId="34FEF694" w14:textId="77777777" w:rsidR="001A4F65" w:rsidRDefault="001A4F65" w:rsidP="001A4F65">
      <w:pPr>
        <w:spacing w:line="360" w:lineRule="auto"/>
        <w:jc w:val="both"/>
        <w:rPr>
          <w:rFonts w:ascii="Palatino Linotype" w:eastAsia="Palatino Linotype" w:hAnsi="Palatino Linotype" w:cs="Palatino Linotype"/>
        </w:rPr>
      </w:pPr>
    </w:p>
    <w:p w14:paraId="34465725" w14:textId="77777777" w:rsidR="001A4F65" w:rsidRDefault="001A4F65" w:rsidP="001A4F65">
      <w:pPr>
        <w:tabs>
          <w:tab w:val="left" w:pos="709"/>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De lo anterior se debe señalar que el artículo 4, párrafo segundo de la Ley de Transparencia y Acceso a la Información Pública del Estado de México y Municipios, dispone:</w:t>
      </w:r>
    </w:p>
    <w:p w14:paraId="0989F5F2" w14:textId="77777777" w:rsidR="001A4F65" w:rsidRDefault="001A4F65" w:rsidP="001A4F65">
      <w:pPr>
        <w:spacing w:line="360" w:lineRule="auto"/>
        <w:ind w:left="567" w:right="616"/>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 xml:space="preserve">Artículo 4. </w:t>
      </w:r>
      <w:r>
        <w:rPr>
          <w:rFonts w:ascii="Palatino Linotype" w:eastAsia="Palatino Linotype" w:hAnsi="Palatino Linotype" w:cs="Palatino Linotype"/>
          <w:i/>
          <w:sz w:val="22"/>
          <w:szCs w:val="22"/>
        </w:rPr>
        <w:t xml:space="preserve">… </w:t>
      </w:r>
    </w:p>
    <w:p w14:paraId="0CACEDAE" w14:textId="77777777" w:rsidR="001A4F65" w:rsidRDefault="001A4F65" w:rsidP="001A4F65">
      <w:pPr>
        <w:spacing w:line="360" w:lineRule="auto"/>
        <w:ind w:left="567" w:right="616"/>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lastRenderedPageBreak/>
        <w:t xml:space="preserve"> 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6126D87E" w14:textId="77777777" w:rsidR="001A4F65" w:rsidRDefault="001A4F65" w:rsidP="001A4F65">
      <w:pPr>
        <w:tabs>
          <w:tab w:val="left" w:pos="709"/>
        </w:tabs>
        <w:spacing w:line="360" w:lineRule="auto"/>
        <w:jc w:val="both"/>
        <w:rPr>
          <w:rFonts w:ascii="Palatino Linotype" w:eastAsia="Palatino Linotype" w:hAnsi="Palatino Linotype" w:cs="Palatino Linotype"/>
        </w:rPr>
      </w:pPr>
    </w:p>
    <w:p w14:paraId="2A4C4107" w14:textId="77777777" w:rsidR="001A4F65" w:rsidRDefault="001A4F65" w:rsidP="001A4F65">
      <w:pPr>
        <w:tabs>
          <w:tab w:val="left" w:pos="709"/>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Del precepto legal invocado, se desprende, que la información generada, obtenida, adquirida, transmitida, administrada o en posesión de los Sujetos Obligados, será accesible de manera permanente a cualquier persona, privilegiando el principio de máxima publicidad de la información.</w:t>
      </w:r>
    </w:p>
    <w:p w14:paraId="1807C1B5" w14:textId="77777777" w:rsidR="00A62CE0" w:rsidRDefault="00A62CE0" w:rsidP="001A4F65">
      <w:pPr>
        <w:tabs>
          <w:tab w:val="left" w:pos="709"/>
        </w:tabs>
        <w:spacing w:line="360" w:lineRule="auto"/>
        <w:jc w:val="both"/>
        <w:rPr>
          <w:rFonts w:ascii="Palatino Linotype" w:eastAsia="Palatino Linotype" w:hAnsi="Palatino Linotype" w:cs="Palatino Linotype"/>
        </w:rPr>
      </w:pPr>
    </w:p>
    <w:p w14:paraId="7C230692" w14:textId="77777777" w:rsidR="001A4F65" w:rsidRDefault="001A4F65" w:rsidP="001A4F65">
      <w:pPr>
        <w:tabs>
          <w:tab w:val="left" w:pos="709"/>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En esta misma tesitura, el derecho de acceso a la información pública, consiste en que la información solicitada conste en un soporte documental en cualquiera de sus formas, a saber: </w:t>
      </w:r>
      <w:r>
        <w:rPr>
          <w:rFonts w:ascii="Palatino Linotype" w:eastAsia="Palatino Linotype" w:hAnsi="Palatino Linotype" w:cs="Palatino Linotype"/>
          <w:b/>
          <w:u w:val="single"/>
        </w:rPr>
        <w:t>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w:t>
      </w:r>
      <w:r>
        <w:rPr>
          <w:rFonts w:ascii="Palatino Linotype" w:eastAsia="Palatino Linotype" w:hAnsi="Palatino Linotype" w:cs="Palatino Linotype"/>
        </w:rPr>
        <w:t xml:space="preserve"> de los Sujetos Obligados; los que, podrán estar en cualquier medio, sea escrito, impreso, sonoro, visual, electrónico, informático u holográfico, de conformidad con el artículo 3, fracción XI, de la Ley de la materia, el cual dispone lo siguiente: </w:t>
      </w:r>
    </w:p>
    <w:p w14:paraId="66BFF9F6" w14:textId="77777777" w:rsidR="001A4F65" w:rsidRDefault="001A4F65" w:rsidP="001A4F65"/>
    <w:p w14:paraId="6DE533FF" w14:textId="77777777" w:rsidR="001A4F65" w:rsidRDefault="001A4F65" w:rsidP="001A4F65">
      <w:pPr>
        <w:spacing w:line="360" w:lineRule="auto"/>
        <w:ind w:left="567" w:right="616"/>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 xml:space="preserve">Artículo 3. </w:t>
      </w:r>
      <w:r>
        <w:rPr>
          <w:rFonts w:ascii="Palatino Linotype" w:eastAsia="Palatino Linotype" w:hAnsi="Palatino Linotype" w:cs="Palatino Linotype"/>
          <w:i/>
          <w:sz w:val="22"/>
          <w:szCs w:val="22"/>
        </w:rPr>
        <w:t>Para los efectos de la presente Ley se entenderá por:</w:t>
      </w:r>
    </w:p>
    <w:p w14:paraId="0D08B17B" w14:textId="77777777" w:rsidR="001A4F65" w:rsidRDefault="001A4F65" w:rsidP="001A4F65">
      <w:pPr>
        <w:spacing w:line="360" w:lineRule="auto"/>
        <w:ind w:left="567" w:right="616"/>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14:paraId="218D6845" w14:textId="77777777" w:rsidR="001A4F65" w:rsidRDefault="001A4F65" w:rsidP="001A4F65">
      <w:pPr>
        <w:spacing w:line="360" w:lineRule="auto"/>
        <w:ind w:left="567" w:right="616"/>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lastRenderedPageBreak/>
        <w:t>XI. Documento:</w:t>
      </w:r>
      <w:r>
        <w:rPr>
          <w:rFonts w:ascii="Palatino Linotype" w:eastAsia="Palatino Linotype" w:hAnsi="Palatino Linotype" w:cs="Palatino Linotype"/>
          <w:i/>
          <w:sz w:val="22"/>
          <w:szCs w:val="22"/>
        </w:rPr>
        <w:t xml:space="preserve"> Los expedientes, reportes, estudios, actas, resoluciones, oficios, correspondencia, acuerdos, directivas, directrices, circulares, contratos, convenios, instructivos, notas, memorandos, estadísticas o bien, cualquier otro </w:t>
      </w:r>
      <w:r>
        <w:rPr>
          <w:rFonts w:ascii="Palatino Linotype" w:eastAsia="Palatino Linotype" w:hAnsi="Palatino Linotype" w:cs="Palatino Linotype"/>
          <w:b/>
          <w:i/>
          <w:sz w:val="22"/>
          <w:szCs w:val="22"/>
          <w:u w:val="single"/>
        </w:rPr>
        <w:t>registro que documente el ejercicio de las facultades, funciones y competencias de los sujetos obligados</w:t>
      </w:r>
      <w:r>
        <w:rPr>
          <w:rFonts w:ascii="Palatino Linotype" w:eastAsia="Palatino Linotype" w:hAnsi="Palatino Linotype" w:cs="Palatino Linotype"/>
          <w:i/>
          <w:sz w:val="22"/>
          <w:szCs w:val="22"/>
          <w:u w:val="single"/>
        </w:rPr>
        <w:t>,</w:t>
      </w:r>
      <w:r>
        <w:rPr>
          <w:rFonts w:ascii="Palatino Linotype" w:eastAsia="Palatino Linotype" w:hAnsi="Palatino Linotype" w:cs="Palatino Linotype"/>
          <w:i/>
          <w:sz w:val="22"/>
          <w:szCs w:val="22"/>
        </w:rPr>
        <w:t xml:space="preserve"> sus servidores públicos e integrantes, </w:t>
      </w:r>
      <w:r>
        <w:rPr>
          <w:rFonts w:ascii="Palatino Linotype" w:eastAsia="Palatino Linotype" w:hAnsi="Palatino Linotype" w:cs="Palatino Linotype"/>
          <w:b/>
          <w:i/>
          <w:sz w:val="22"/>
          <w:szCs w:val="22"/>
          <w:u w:val="single"/>
        </w:rPr>
        <w:t>sin importar su fuente o fecha de elaboración.</w:t>
      </w:r>
      <w:r>
        <w:rPr>
          <w:rFonts w:ascii="Palatino Linotype" w:eastAsia="Palatino Linotype" w:hAnsi="Palatino Linotype" w:cs="Palatino Linotype"/>
          <w:i/>
          <w:sz w:val="22"/>
          <w:szCs w:val="22"/>
        </w:rPr>
        <w:t xml:space="preserve"> Los documentos podrán estar en cualquier medio, sea escrito, impreso, sonoro, visual, electrónico, informático u holográfico;</w:t>
      </w:r>
    </w:p>
    <w:p w14:paraId="48E5D577" w14:textId="77777777" w:rsidR="001A4F65" w:rsidRDefault="001A4F65" w:rsidP="001A4F65">
      <w:pPr>
        <w:spacing w:line="360" w:lineRule="auto"/>
        <w:ind w:left="567" w:right="616"/>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14:paraId="343B0B20" w14:textId="77777777" w:rsidR="001A4F65" w:rsidRDefault="001A4F65" w:rsidP="001A4F65">
      <w:pPr>
        <w:spacing w:line="360" w:lineRule="auto"/>
        <w:ind w:left="567" w:right="616"/>
        <w:jc w:val="both"/>
        <w:rPr>
          <w:rFonts w:ascii="Palatino Linotype" w:eastAsia="Palatino Linotype" w:hAnsi="Palatino Linotype" w:cs="Palatino Linotype"/>
          <w:i/>
        </w:rPr>
      </w:pPr>
    </w:p>
    <w:p w14:paraId="58269CBF" w14:textId="77777777" w:rsidR="001A4F65" w:rsidRDefault="001A4F65" w:rsidP="001A4F65">
      <w:pPr>
        <w:spacing w:line="360" w:lineRule="auto"/>
        <w:ind w:right="49"/>
        <w:jc w:val="both"/>
        <w:rPr>
          <w:rFonts w:ascii="Palatino Linotype" w:eastAsia="Palatino Linotype" w:hAnsi="Palatino Linotype" w:cs="Palatino Linotype"/>
        </w:rPr>
      </w:pPr>
      <w:r>
        <w:rPr>
          <w:rFonts w:ascii="Palatino Linotype" w:eastAsia="Palatino Linotype" w:hAnsi="Palatino Linotype" w:cs="Palatino Linotype"/>
        </w:rPr>
        <w:t>Además, es importante señalar que el artículo 18, de la Ley en la materia, los Sujetos Obligados cuenta con la obligación de documentar todos los actos que derive de sus atribuciones, funciones y competencia desde su origen la eventual y reutilización de la información que generen, por lo tanto toda la información que sea generada, posea y administre, es pública y accesible de manera permanente a cualquier persona, privilegiando el principio de máxima publicidad de la misma, por lo tanto esta debe ser proporcionada siempre y cuando se halle en los archivos  documentales de los Sujeto Obligados y en las condiciones que se encuentre, la cual no podrá sufrir modificaciones o procesamiento, no presentarla conforme a los interés de los particulares, como de igual forma los Sujeto Obligados no deberán de generar, resumir o efectuar cálculos o practicar investigaciones.</w:t>
      </w:r>
    </w:p>
    <w:p w14:paraId="5C582839" w14:textId="77777777" w:rsidR="001A4F65" w:rsidRDefault="001A4F65" w:rsidP="001A4F65">
      <w:pPr>
        <w:spacing w:line="360" w:lineRule="auto"/>
        <w:ind w:right="49"/>
        <w:jc w:val="both"/>
        <w:rPr>
          <w:rFonts w:ascii="Palatino Linotype" w:eastAsia="Palatino Linotype" w:hAnsi="Palatino Linotype" w:cs="Palatino Linotype"/>
        </w:rPr>
      </w:pPr>
    </w:p>
    <w:p w14:paraId="3D0BEE92" w14:textId="77777777" w:rsidR="001A4F65" w:rsidRDefault="001A4F65" w:rsidP="001A4F65">
      <w:pPr>
        <w:spacing w:line="360" w:lineRule="auto"/>
        <w:ind w:right="49"/>
        <w:jc w:val="both"/>
        <w:rPr>
          <w:rFonts w:ascii="Palatino Linotype" w:eastAsia="Palatino Linotype" w:hAnsi="Palatino Linotype" w:cs="Palatino Linotype"/>
        </w:rPr>
      </w:pPr>
      <w:r>
        <w:rPr>
          <w:rFonts w:ascii="Palatino Linotype" w:eastAsia="Palatino Linotype" w:hAnsi="Palatino Linotype" w:cs="Palatino Linotype"/>
        </w:rPr>
        <w:t>De la misma forma, de acuerdo con el contenido del artículo 160, de la Ley General de Transparencia y Acceso a la Información Pública que a la letra dispone:</w:t>
      </w:r>
    </w:p>
    <w:p w14:paraId="0DCC250B" w14:textId="77777777" w:rsidR="001A4F65" w:rsidRDefault="001A4F65" w:rsidP="001A4F65">
      <w:pPr>
        <w:spacing w:line="360" w:lineRule="auto"/>
        <w:ind w:left="567" w:right="616"/>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160</w:t>
      </w:r>
      <w:r>
        <w:rPr>
          <w:rFonts w:ascii="Palatino Linotype" w:eastAsia="Palatino Linotype" w:hAnsi="Palatino Linotype" w:cs="Palatino Linotype"/>
          <w:i/>
          <w:sz w:val="22"/>
          <w:szCs w:val="22"/>
        </w:rPr>
        <w:t xml:space="preserve">. Los sujetos obligados deberán otorgar acceso a los documentos que se encuentren en sus archivos o que estén obligados a documentar de acuerdo con sus facultades, </w:t>
      </w:r>
      <w:r>
        <w:rPr>
          <w:rFonts w:ascii="Palatino Linotype" w:eastAsia="Palatino Linotype" w:hAnsi="Palatino Linotype" w:cs="Palatino Linotype"/>
          <w:i/>
          <w:sz w:val="22"/>
          <w:szCs w:val="22"/>
        </w:rPr>
        <w:lastRenderedPageBreak/>
        <w:t>competencias o funciones en el formato que el solicitante manifieste, de entre aquellos formatos existentes, conforme a las características físicas de la información o del lugar donde se encuentre así lo permita.</w:t>
      </w:r>
    </w:p>
    <w:p w14:paraId="6BB5CDD7" w14:textId="77777777" w:rsidR="001A4F65" w:rsidRDefault="001A4F65" w:rsidP="001A4F65">
      <w:pPr>
        <w:spacing w:line="360" w:lineRule="auto"/>
        <w:jc w:val="both"/>
        <w:rPr>
          <w:rFonts w:ascii="Palatino Linotype" w:eastAsia="Palatino Linotype" w:hAnsi="Palatino Linotype" w:cs="Palatino Linotype"/>
        </w:rPr>
      </w:pPr>
    </w:p>
    <w:p w14:paraId="38A6AFCF" w14:textId="77777777" w:rsidR="001A4F65" w:rsidRDefault="001A4F65" w:rsidP="001A4F65">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Además, a Ley de Transparencia y Acceso a la Información Pública del Estado de México y Municipios, prevé en su artículo 23, fracción IV, que son Sujetos Obligados a Transparentar y permitir el acceso a su información y proteger los dat</w:t>
      </w:r>
      <w:bookmarkStart w:id="0" w:name="_GoBack"/>
      <w:bookmarkEnd w:id="0"/>
      <w:r>
        <w:rPr>
          <w:rFonts w:ascii="Palatino Linotype" w:eastAsia="Palatino Linotype" w:hAnsi="Palatino Linotype" w:cs="Palatino Linotype"/>
        </w:rPr>
        <w:t>os que obren en su poder:</w:t>
      </w:r>
    </w:p>
    <w:p w14:paraId="6DB37808" w14:textId="77777777" w:rsidR="001A4F65" w:rsidRDefault="001A4F65" w:rsidP="001A4F65">
      <w:pPr>
        <w:spacing w:line="360" w:lineRule="auto"/>
        <w:ind w:left="567" w:right="616"/>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23.</w:t>
      </w:r>
      <w:r>
        <w:rPr>
          <w:rFonts w:ascii="Palatino Linotype" w:eastAsia="Palatino Linotype" w:hAnsi="Palatino Linotype" w:cs="Palatino Linotype"/>
          <w:i/>
          <w:sz w:val="22"/>
          <w:szCs w:val="22"/>
        </w:rPr>
        <w:t xml:space="preserve"> Son sujetos obligados a transparentar y permitir el acceso a su información y proteger los datos personales que obren en su poder:</w:t>
      </w:r>
    </w:p>
    <w:p w14:paraId="1910B0F6" w14:textId="77777777" w:rsidR="001A4F65" w:rsidRDefault="001A4F65" w:rsidP="001A4F65">
      <w:pPr>
        <w:spacing w:line="360" w:lineRule="auto"/>
        <w:ind w:left="567" w:right="616"/>
        <w:jc w:val="both"/>
        <w:rPr>
          <w:rFonts w:ascii="Palatino Linotype" w:eastAsia="Palatino Linotype" w:hAnsi="Palatino Linotype" w:cs="Palatino Linotype"/>
          <w:b/>
          <w:i/>
          <w:sz w:val="22"/>
          <w:szCs w:val="22"/>
        </w:rPr>
      </w:pPr>
    </w:p>
    <w:p w14:paraId="30619021" w14:textId="77777777" w:rsidR="001A4F65" w:rsidRDefault="001A4F65" w:rsidP="001A4F65">
      <w:pPr>
        <w:spacing w:line="360" w:lineRule="auto"/>
        <w:ind w:left="567" w:right="616"/>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 xml:space="preserve">IV. </w:t>
      </w:r>
      <w:r>
        <w:rPr>
          <w:rFonts w:ascii="Palatino Linotype" w:eastAsia="Palatino Linotype" w:hAnsi="Palatino Linotype" w:cs="Palatino Linotype"/>
          <w:i/>
          <w:sz w:val="22"/>
          <w:szCs w:val="22"/>
        </w:rPr>
        <w:t>Los ayuntamientos y las dependencias, organismos, órganos y entidades de la administración municipal;</w:t>
      </w:r>
    </w:p>
    <w:p w14:paraId="29E315C3" w14:textId="77777777" w:rsidR="001A4F65" w:rsidRDefault="001A4F65" w:rsidP="001A4F65">
      <w:pPr>
        <w:spacing w:line="360" w:lineRule="auto"/>
        <w:jc w:val="both"/>
        <w:rPr>
          <w:rFonts w:ascii="Palatino Linotype" w:eastAsia="Palatino Linotype" w:hAnsi="Palatino Linotype" w:cs="Palatino Linotype"/>
        </w:rPr>
      </w:pPr>
    </w:p>
    <w:p w14:paraId="4995B717" w14:textId="234E8A7B" w:rsidR="001A4F65" w:rsidRPr="00F930B5" w:rsidRDefault="001A4F65" w:rsidP="009D5BAB">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De lo anterior resulta imprescindible </w:t>
      </w:r>
      <w:r w:rsidR="00D529D9">
        <w:rPr>
          <w:rFonts w:ascii="Palatino Linotype" w:eastAsia="Palatino Linotype" w:hAnsi="Palatino Linotype" w:cs="Palatino Linotype"/>
        </w:rPr>
        <w:t xml:space="preserve">traer a colación el artículo 54 del Bando Municipal del Sujeto Obligado así los artículos 47 y 51 del Reglamento Interior del Sujeto Obligado a efecto de advertir que la Tesorería Municipal tiene a su encargo la Jefatura de Nómina y que le corresponde únicamente a la </w:t>
      </w:r>
      <w:r w:rsidR="007E595F">
        <w:rPr>
          <w:rFonts w:ascii="Palatino Linotype" w:eastAsia="Palatino Linotype" w:hAnsi="Palatino Linotype" w:cs="Palatino Linotype"/>
        </w:rPr>
        <w:t>Dirección</w:t>
      </w:r>
      <w:r w:rsidR="00D529D9">
        <w:rPr>
          <w:rFonts w:ascii="Palatino Linotype" w:eastAsia="Palatino Linotype" w:hAnsi="Palatino Linotype" w:cs="Palatino Linotype"/>
        </w:rPr>
        <w:t xml:space="preserve"> de Administración y Finanzas </w:t>
      </w:r>
      <w:r w:rsidR="007E595F">
        <w:rPr>
          <w:rFonts w:ascii="Palatino Linotype" w:eastAsia="Palatino Linotype" w:hAnsi="Palatino Linotype" w:cs="Palatino Linotype"/>
        </w:rPr>
        <w:t>vigilar la administración de recursos humanos</w:t>
      </w:r>
      <w:r w:rsidR="005646D9">
        <w:rPr>
          <w:rFonts w:ascii="Palatino Linotype" w:eastAsia="Palatino Linotype" w:hAnsi="Palatino Linotype" w:cs="Palatino Linotype"/>
        </w:rPr>
        <w:t xml:space="preserve">, </w:t>
      </w:r>
      <w:r w:rsidR="007E595F">
        <w:rPr>
          <w:rFonts w:ascii="Palatino Linotype" w:eastAsia="Palatino Linotype" w:hAnsi="Palatino Linotype" w:cs="Palatino Linotype"/>
        </w:rPr>
        <w:t xml:space="preserve">así como el pago de la </w:t>
      </w:r>
      <w:r w:rsidR="005646D9">
        <w:rPr>
          <w:rFonts w:ascii="Palatino Linotype" w:eastAsia="Palatino Linotype" w:hAnsi="Palatino Linotype" w:cs="Palatino Linotype"/>
        </w:rPr>
        <w:t>nómin</w:t>
      </w:r>
      <w:r w:rsidR="007E595F">
        <w:rPr>
          <w:rFonts w:ascii="Palatino Linotype" w:eastAsia="Palatino Linotype" w:hAnsi="Palatino Linotype" w:cs="Palatino Linotype"/>
        </w:rPr>
        <w:t>a</w:t>
      </w:r>
      <w:r w:rsidR="005646D9">
        <w:rPr>
          <w:rFonts w:ascii="Palatino Linotype" w:eastAsia="Palatino Linotype" w:hAnsi="Palatino Linotype" w:cs="Palatino Linotype"/>
        </w:rPr>
        <w:t xml:space="preserve"> por lo que respecta al Departamento de Recursos Humanos tiene entre sus atribuciones </w:t>
      </w:r>
      <w:r w:rsidR="00F930B5">
        <w:rPr>
          <w:rFonts w:ascii="Palatino Linotype" w:eastAsia="Palatino Linotype" w:hAnsi="Palatino Linotype" w:cs="Palatino Linotype"/>
        </w:rPr>
        <w:t>f</w:t>
      </w:r>
      <w:r w:rsidR="005646D9" w:rsidRPr="005646D9">
        <w:rPr>
          <w:rFonts w:ascii="Palatino Linotype" w:hAnsi="Palatino Linotype"/>
          <w:iCs/>
        </w:rPr>
        <w:t>ormar y llevar el control de los expedientes laborales de los trabajadores al servicio de la administración pública municipal</w:t>
      </w:r>
      <w:r w:rsidR="00F930B5">
        <w:rPr>
          <w:rFonts w:ascii="Palatino Linotype" w:eastAsia="Palatino Linotype" w:hAnsi="Palatino Linotype" w:cs="Palatino Linotype"/>
        </w:rPr>
        <w:t xml:space="preserve">, </w:t>
      </w:r>
      <w:r w:rsidR="007E595F">
        <w:rPr>
          <w:rFonts w:ascii="Palatino Linotype" w:eastAsia="Palatino Linotype" w:hAnsi="Palatino Linotype" w:cs="Palatino Linotype"/>
        </w:rPr>
        <w:t>conforme lo siguiente;</w:t>
      </w:r>
      <w:r w:rsidR="007E595F">
        <w:rPr>
          <w:rFonts w:ascii="Palatino Linotype" w:hAnsi="Palatino Linotype"/>
          <w:i/>
          <w:sz w:val="22"/>
          <w:szCs w:val="22"/>
        </w:rPr>
        <w:t xml:space="preserve"> </w:t>
      </w:r>
    </w:p>
    <w:p w14:paraId="0F9DD8BC" w14:textId="716BB2A4" w:rsidR="001A4F65" w:rsidRPr="00D529D9" w:rsidRDefault="00D529D9" w:rsidP="001A4F65">
      <w:pPr>
        <w:pStyle w:val="Prrafodelista"/>
        <w:pBdr>
          <w:top w:val="nil"/>
          <w:left w:val="nil"/>
          <w:bottom w:val="nil"/>
          <w:right w:val="nil"/>
          <w:between w:val="nil"/>
        </w:pBdr>
        <w:spacing w:line="360" w:lineRule="auto"/>
        <w:ind w:left="1765" w:right="62"/>
        <w:jc w:val="both"/>
        <w:rPr>
          <w:rFonts w:ascii="Palatino Linotype" w:hAnsi="Palatino Linotype"/>
          <w:i/>
          <w:sz w:val="22"/>
          <w:szCs w:val="22"/>
        </w:rPr>
      </w:pPr>
      <w:r w:rsidRPr="00D529D9">
        <w:rPr>
          <w:rFonts w:ascii="Palatino Linotype" w:hAnsi="Palatino Linotype"/>
          <w:i/>
          <w:sz w:val="22"/>
          <w:szCs w:val="22"/>
        </w:rPr>
        <w:t>Artículo 54.- La Administración Pública Municipal contará con las siguientes unidades administrativas centralizadas:</w:t>
      </w:r>
    </w:p>
    <w:p w14:paraId="384BFC14" w14:textId="0A070FD7" w:rsidR="00D529D9" w:rsidRPr="00D529D9" w:rsidRDefault="00D529D9" w:rsidP="001A4F65">
      <w:pPr>
        <w:pStyle w:val="Prrafodelista"/>
        <w:pBdr>
          <w:top w:val="nil"/>
          <w:left w:val="nil"/>
          <w:bottom w:val="nil"/>
          <w:right w:val="nil"/>
          <w:between w:val="nil"/>
        </w:pBdr>
        <w:spacing w:line="360" w:lineRule="auto"/>
        <w:ind w:left="1765" w:right="62"/>
        <w:jc w:val="both"/>
        <w:rPr>
          <w:rFonts w:ascii="Palatino Linotype" w:hAnsi="Palatino Linotype"/>
          <w:i/>
          <w:sz w:val="22"/>
          <w:szCs w:val="22"/>
        </w:rPr>
      </w:pPr>
      <w:r w:rsidRPr="00D529D9">
        <w:rPr>
          <w:rFonts w:ascii="Palatino Linotype" w:hAnsi="Palatino Linotype"/>
          <w:i/>
          <w:sz w:val="22"/>
          <w:szCs w:val="22"/>
        </w:rPr>
        <w:t>III.- TESORERÍA MUNICIPAL</w:t>
      </w:r>
    </w:p>
    <w:p w14:paraId="11DFF314" w14:textId="139B968C" w:rsidR="00D529D9" w:rsidRPr="00D529D9" w:rsidRDefault="00D529D9" w:rsidP="001A4F65">
      <w:pPr>
        <w:pStyle w:val="Prrafodelista"/>
        <w:pBdr>
          <w:top w:val="nil"/>
          <w:left w:val="nil"/>
          <w:bottom w:val="nil"/>
          <w:right w:val="nil"/>
          <w:between w:val="nil"/>
        </w:pBdr>
        <w:spacing w:line="360" w:lineRule="auto"/>
        <w:ind w:left="1765" w:right="62"/>
        <w:jc w:val="both"/>
        <w:rPr>
          <w:rFonts w:ascii="Palatino Linotype" w:hAnsi="Palatino Linotype"/>
          <w:i/>
          <w:sz w:val="22"/>
          <w:szCs w:val="22"/>
        </w:rPr>
      </w:pPr>
      <w:r w:rsidRPr="00D529D9">
        <w:rPr>
          <w:rFonts w:ascii="Palatino Linotype" w:hAnsi="Palatino Linotype"/>
          <w:i/>
          <w:sz w:val="22"/>
          <w:szCs w:val="22"/>
        </w:rPr>
        <w:lastRenderedPageBreak/>
        <w:tab/>
        <w:t>III.II.- Dirección de Administración y Finanzas.</w:t>
      </w:r>
    </w:p>
    <w:p w14:paraId="4ED099B5" w14:textId="0EA12E3D" w:rsidR="00D529D9" w:rsidRPr="00D529D9" w:rsidRDefault="00D529D9" w:rsidP="00D529D9">
      <w:pPr>
        <w:pStyle w:val="Prrafodelista"/>
        <w:pBdr>
          <w:top w:val="nil"/>
          <w:left w:val="nil"/>
          <w:bottom w:val="nil"/>
          <w:right w:val="nil"/>
          <w:between w:val="nil"/>
        </w:pBdr>
        <w:spacing w:line="360" w:lineRule="auto"/>
        <w:ind w:left="1765" w:right="62" w:firstLine="359"/>
        <w:jc w:val="both"/>
        <w:rPr>
          <w:rFonts w:ascii="Palatino Linotype" w:hAnsi="Palatino Linotype"/>
          <w:i/>
          <w:sz w:val="22"/>
          <w:szCs w:val="22"/>
        </w:rPr>
      </w:pPr>
      <w:r w:rsidRPr="00D529D9">
        <w:rPr>
          <w:rFonts w:ascii="Palatino Linotype" w:hAnsi="Palatino Linotype"/>
          <w:i/>
          <w:sz w:val="22"/>
          <w:szCs w:val="22"/>
        </w:rPr>
        <w:t>III.II.II.- Departamento de Recursos Humanos.</w:t>
      </w:r>
    </w:p>
    <w:p w14:paraId="4E698F6F" w14:textId="77777777" w:rsidR="00D529D9" w:rsidRPr="00D529D9" w:rsidRDefault="00D529D9" w:rsidP="00D529D9">
      <w:pPr>
        <w:pBdr>
          <w:top w:val="nil"/>
          <w:left w:val="nil"/>
          <w:bottom w:val="nil"/>
          <w:right w:val="nil"/>
          <w:between w:val="nil"/>
        </w:pBdr>
        <w:spacing w:line="360" w:lineRule="auto"/>
        <w:ind w:right="62"/>
        <w:jc w:val="both"/>
        <w:rPr>
          <w:rFonts w:ascii="Palatino Linotype" w:hAnsi="Palatino Linotype"/>
          <w:i/>
          <w:sz w:val="22"/>
          <w:szCs w:val="22"/>
        </w:rPr>
      </w:pPr>
    </w:p>
    <w:p w14:paraId="1F992DC4" w14:textId="0741E7C3" w:rsidR="00D529D9" w:rsidRPr="00D529D9" w:rsidRDefault="00D529D9" w:rsidP="00D529D9">
      <w:pPr>
        <w:pBdr>
          <w:top w:val="nil"/>
          <w:left w:val="nil"/>
          <w:bottom w:val="nil"/>
          <w:right w:val="nil"/>
          <w:between w:val="nil"/>
        </w:pBdr>
        <w:spacing w:line="360" w:lineRule="auto"/>
        <w:ind w:left="708" w:right="62"/>
        <w:jc w:val="center"/>
        <w:rPr>
          <w:rFonts w:ascii="Palatino Linotype" w:hAnsi="Palatino Linotype"/>
          <w:i/>
          <w:sz w:val="22"/>
          <w:szCs w:val="22"/>
        </w:rPr>
      </w:pPr>
      <w:r w:rsidRPr="00D529D9">
        <w:rPr>
          <w:rFonts w:ascii="Palatino Linotype" w:hAnsi="Palatino Linotype"/>
          <w:i/>
          <w:noProof/>
          <w:sz w:val="22"/>
          <w:szCs w:val="22"/>
        </w:rPr>
        <w:drawing>
          <wp:inline distT="0" distB="0" distL="0" distR="0" wp14:anchorId="0664CE07" wp14:editId="25528993">
            <wp:extent cx="4984423" cy="193963"/>
            <wp:effectExtent l="0" t="0" r="0" b="0"/>
            <wp:docPr id="111331113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3311132" name=""/>
                    <pic:cNvPicPr/>
                  </pic:nvPicPr>
                  <pic:blipFill>
                    <a:blip r:embed="rId7"/>
                    <a:stretch>
                      <a:fillRect/>
                    </a:stretch>
                  </pic:blipFill>
                  <pic:spPr>
                    <a:xfrm>
                      <a:off x="0" y="0"/>
                      <a:ext cx="5120927" cy="199275"/>
                    </a:xfrm>
                    <a:prstGeom prst="rect">
                      <a:avLst/>
                    </a:prstGeom>
                  </pic:spPr>
                </pic:pic>
              </a:graphicData>
            </a:graphic>
          </wp:inline>
        </w:drawing>
      </w:r>
    </w:p>
    <w:p w14:paraId="1299E991"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p>
    <w:p w14:paraId="35905394" w14:textId="6A748186" w:rsidR="001A4F65"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b/>
          <w:bCs/>
          <w:i/>
          <w:sz w:val="22"/>
          <w:szCs w:val="22"/>
        </w:rPr>
        <w:t>ARTÍCULO 47.-</w:t>
      </w:r>
      <w:r w:rsidRPr="00D529D9">
        <w:rPr>
          <w:rFonts w:ascii="Palatino Linotype" w:hAnsi="Palatino Linotype"/>
          <w:i/>
          <w:sz w:val="22"/>
          <w:szCs w:val="22"/>
        </w:rPr>
        <w:t xml:space="preserve"> La Dirección de Administración y Finanzas, por conducto de su Titular y mediante delegación de funciones, a través de los Titulares de las unidades administrativas que tiene adscritas, tendrá las atribuciones siguientes:</w:t>
      </w:r>
    </w:p>
    <w:p w14:paraId="79F59278" w14:textId="6ECB4801"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Pr>
          <w:rFonts w:ascii="Palatino Linotype" w:hAnsi="Palatino Linotype"/>
          <w:b/>
          <w:bCs/>
          <w:i/>
          <w:sz w:val="22"/>
          <w:szCs w:val="22"/>
        </w:rPr>
        <w:t>…</w:t>
      </w:r>
    </w:p>
    <w:p w14:paraId="112F279E" w14:textId="25E4FBB5" w:rsidR="00D529D9" w:rsidRPr="00D529D9" w:rsidRDefault="00D529D9" w:rsidP="00D529D9">
      <w:pPr>
        <w:pBdr>
          <w:top w:val="nil"/>
          <w:left w:val="nil"/>
          <w:bottom w:val="nil"/>
          <w:right w:val="nil"/>
          <w:between w:val="nil"/>
        </w:pBdr>
        <w:spacing w:line="360" w:lineRule="auto"/>
        <w:ind w:left="1416" w:right="62"/>
        <w:jc w:val="both"/>
        <w:rPr>
          <w:rFonts w:ascii="Palatino Linotype" w:hAnsi="Palatino Linotype"/>
          <w:i/>
          <w:sz w:val="22"/>
          <w:szCs w:val="22"/>
        </w:rPr>
      </w:pPr>
      <w:r w:rsidRPr="00D529D9">
        <w:rPr>
          <w:rFonts w:ascii="Palatino Linotype" w:hAnsi="Palatino Linotype"/>
          <w:i/>
          <w:sz w:val="22"/>
          <w:szCs w:val="22"/>
        </w:rPr>
        <w:t>V.- Mantener vigiladas las tareas referentes a la administración de los recursos humanos y pago de nómina;</w:t>
      </w:r>
    </w:p>
    <w:p w14:paraId="05D92D9B" w14:textId="77777777" w:rsidR="00D529D9" w:rsidRPr="00D529D9" w:rsidRDefault="00D529D9" w:rsidP="00D529D9">
      <w:pPr>
        <w:pBdr>
          <w:top w:val="nil"/>
          <w:left w:val="nil"/>
          <w:bottom w:val="nil"/>
          <w:right w:val="nil"/>
          <w:between w:val="nil"/>
        </w:pBdr>
        <w:spacing w:line="360" w:lineRule="auto"/>
        <w:ind w:right="62"/>
        <w:jc w:val="both"/>
        <w:rPr>
          <w:rFonts w:ascii="Palatino Linotype" w:hAnsi="Palatino Linotype"/>
          <w:i/>
          <w:sz w:val="22"/>
          <w:szCs w:val="22"/>
        </w:rPr>
      </w:pPr>
    </w:p>
    <w:p w14:paraId="20B845D5" w14:textId="4213E2E2"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b/>
          <w:bCs/>
          <w:i/>
          <w:sz w:val="22"/>
          <w:szCs w:val="22"/>
        </w:rPr>
      </w:pPr>
      <w:r w:rsidRPr="00D529D9">
        <w:rPr>
          <w:rFonts w:ascii="Palatino Linotype" w:hAnsi="Palatino Linotype"/>
          <w:b/>
          <w:bCs/>
          <w:i/>
          <w:sz w:val="22"/>
          <w:szCs w:val="22"/>
        </w:rPr>
        <w:t>ARTÍCULO 51.- El Departamento de Recursos Humanos, por conducto de su Titular tendrá las atribuciones siguientes:</w:t>
      </w:r>
    </w:p>
    <w:p w14:paraId="14452D78"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I.- </w:t>
      </w:r>
      <w:r w:rsidRPr="00F930B5">
        <w:rPr>
          <w:rFonts w:ascii="Palatino Linotype" w:hAnsi="Palatino Linotype"/>
          <w:i/>
          <w:sz w:val="22"/>
          <w:szCs w:val="22"/>
          <w:u w:val="single"/>
        </w:rPr>
        <w:t>Realizar el reclutamiento, selección, contratación y control del personal</w:t>
      </w:r>
      <w:r w:rsidRPr="00D529D9">
        <w:rPr>
          <w:rFonts w:ascii="Palatino Linotype" w:hAnsi="Palatino Linotype"/>
          <w:i/>
          <w:sz w:val="22"/>
          <w:szCs w:val="22"/>
        </w:rPr>
        <w:t xml:space="preserve">, incorporando métodos y procedimientos que permitan el desarrollo del personal; </w:t>
      </w:r>
    </w:p>
    <w:p w14:paraId="1419FC4F"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II.- </w:t>
      </w:r>
      <w:r w:rsidRPr="00F930B5">
        <w:rPr>
          <w:rFonts w:ascii="Palatino Linotype" w:hAnsi="Palatino Linotype"/>
          <w:i/>
          <w:sz w:val="22"/>
          <w:szCs w:val="22"/>
          <w:u w:val="single"/>
        </w:rPr>
        <w:t>Formar y llevar el control de los expedientes laborales de los trabajadores al servicio de la administración pública municipal</w:t>
      </w:r>
      <w:r w:rsidRPr="00D529D9">
        <w:rPr>
          <w:rFonts w:ascii="Palatino Linotype" w:hAnsi="Palatino Linotype"/>
          <w:i/>
          <w:sz w:val="22"/>
          <w:szCs w:val="22"/>
        </w:rPr>
        <w:t xml:space="preserve">, debiendo actualizarlos cada tres meses, siendo los datos agregados de carácter confidencial, salvo requerimiento expreso de autoridad competente; </w:t>
      </w:r>
    </w:p>
    <w:p w14:paraId="11A1FCE5"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III.- </w:t>
      </w:r>
      <w:r w:rsidRPr="00F930B5">
        <w:rPr>
          <w:rFonts w:ascii="Palatino Linotype" w:hAnsi="Palatino Linotype"/>
          <w:i/>
          <w:sz w:val="22"/>
          <w:szCs w:val="22"/>
          <w:u w:val="single"/>
        </w:rPr>
        <w:t>Llevar el control de asistencias e inasistencias de los empleados de la administración pública municipal,</w:t>
      </w:r>
      <w:r w:rsidRPr="00D529D9">
        <w:rPr>
          <w:rFonts w:ascii="Palatino Linotype" w:hAnsi="Palatino Linotype"/>
          <w:i/>
          <w:sz w:val="22"/>
          <w:szCs w:val="22"/>
        </w:rPr>
        <w:t xml:space="preserve"> a través de los medios que se consideren necesarios, debiendo ordenar los descuentos correspondientes cuando se trate de faltas injustificadas; </w:t>
      </w:r>
    </w:p>
    <w:p w14:paraId="4C391E96"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IV.- </w:t>
      </w:r>
      <w:r w:rsidRPr="00F930B5">
        <w:rPr>
          <w:rFonts w:ascii="Palatino Linotype" w:hAnsi="Palatino Linotype"/>
          <w:i/>
          <w:sz w:val="22"/>
          <w:szCs w:val="22"/>
          <w:u w:val="single"/>
        </w:rPr>
        <w:t>Integrar los expedientes que ameriten juicio laboral, turnándose a la Dirección Jurídica y Consultiva, para que sea ésta quien realice el trámite que corresponda ante las autoridades y tribunales competentes;</w:t>
      </w:r>
    </w:p>
    <w:p w14:paraId="1D5F89CB"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lastRenderedPageBreak/>
        <w:t xml:space="preserve"> V.- Hacer de conocimiento de la dependencia competente la falta de asistencia de los empleados de la administración pública municipal;</w:t>
      </w:r>
    </w:p>
    <w:p w14:paraId="2FF9EAF3"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 VI.- </w:t>
      </w:r>
      <w:r w:rsidRPr="00F930B5">
        <w:rPr>
          <w:rFonts w:ascii="Palatino Linotype" w:hAnsi="Palatino Linotype"/>
          <w:i/>
          <w:sz w:val="22"/>
          <w:szCs w:val="22"/>
          <w:u w:val="single"/>
        </w:rPr>
        <w:t>Incorporar a los trabajadores de la administración pública municipal, a los servicios de seguridad social que presta el Instituto de Seguridad Social del Estado de México y Municipios</w:t>
      </w:r>
      <w:r w:rsidRPr="00D529D9">
        <w:rPr>
          <w:rFonts w:ascii="Palatino Linotype" w:hAnsi="Palatino Linotype"/>
          <w:i/>
          <w:sz w:val="22"/>
          <w:szCs w:val="22"/>
        </w:rPr>
        <w:t xml:space="preserve">, vigilando que se cubran las cuotas y aportaciones que legalmente correspondan a dicha institución por los servicios correspondientes; </w:t>
      </w:r>
    </w:p>
    <w:p w14:paraId="0C07613C"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VII.- </w:t>
      </w:r>
      <w:r w:rsidRPr="00F930B5">
        <w:rPr>
          <w:rFonts w:ascii="Palatino Linotype" w:hAnsi="Palatino Linotype"/>
          <w:i/>
          <w:sz w:val="22"/>
          <w:szCs w:val="22"/>
          <w:u w:val="single"/>
        </w:rPr>
        <w:t>Tramitar ante el Instituto de Seguridad Social del Estado de México y Municipios, la baja de los empleados de la administración pública municipal, para efectos de la vigencia de su seguridad social;</w:t>
      </w:r>
      <w:r w:rsidRPr="00D529D9">
        <w:rPr>
          <w:rFonts w:ascii="Palatino Linotype" w:hAnsi="Palatino Linotype"/>
          <w:i/>
          <w:sz w:val="22"/>
          <w:szCs w:val="22"/>
        </w:rPr>
        <w:t xml:space="preserve"> </w:t>
      </w:r>
    </w:p>
    <w:p w14:paraId="6EDCFE07"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VIII.- Mantener la relación con el o los representantes del personal sindicalizado de la administración pública municipal, informando oportunamente a la Presidenta Municipal, de todo acuerdo, problema o contingencia que se presente con este personal, para los acuerdos conducentes; </w:t>
      </w:r>
    </w:p>
    <w:p w14:paraId="382111A3"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IX.- </w:t>
      </w:r>
      <w:r w:rsidRPr="00F930B5">
        <w:rPr>
          <w:rFonts w:ascii="Palatino Linotype" w:hAnsi="Palatino Linotype"/>
          <w:i/>
          <w:sz w:val="22"/>
          <w:szCs w:val="22"/>
          <w:u w:val="single"/>
        </w:rPr>
        <w:t>Realizar el estudio de perfiles y el catálogo de puestos de la administración pública municipal</w:t>
      </w:r>
      <w:r w:rsidRPr="00D529D9">
        <w:rPr>
          <w:rFonts w:ascii="Palatino Linotype" w:hAnsi="Palatino Linotype"/>
          <w:i/>
          <w:sz w:val="22"/>
          <w:szCs w:val="22"/>
        </w:rPr>
        <w:t xml:space="preserve">, asignando a cada servidor público acorde a su perfil académico y/o laboral, a la unidad administrativa que corresponda, previo acuerdo de la Presidenta Municipal y consentimiento expreso del titular del área al que vaya a ser asignado, con pleno respeto a sus derechos laborales; </w:t>
      </w:r>
    </w:p>
    <w:p w14:paraId="29DAF7F1"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X.- </w:t>
      </w:r>
      <w:r w:rsidRPr="00F930B5">
        <w:rPr>
          <w:rFonts w:ascii="Palatino Linotype" w:hAnsi="Palatino Linotype"/>
          <w:i/>
          <w:sz w:val="22"/>
          <w:szCs w:val="22"/>
          <w:u w:val="single"/>
        </w:rPr>
        <w:t>Promover cursos de capacitación</w:t>
      </w:r>
      <w:r w:rsidRPr="00D529D9">
        <w:rPr>
          <w:rFonts w:ascii="Palatino Linotype" w:hAnsi="Palatino Linotype"/>
          <w:i/>
          <w:sz w:val="22"/>
          <w:szCs w:val="22"/>
        </w:rPr>
        <w:t xml:space="preserve"> para elevar el grado de eficacia y eficiencia del personal adscrito a la administración pública municipal; </w:t>
      </w:r>
    </w:p>
    <w:p w14:paraId="0CA0317B"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XI.- Elaborar diagnósticos que detecten las necesidades de capacitación de todo el personal de la administración pública municipal; </w:t>
      </w:r>
    </w:p>
    <w:p w14:paraId="523F1F9C" w14:textId="77777777"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 xml:space="preserve">XII.- </w:t>
      </w:r>
      <w:r w:rsidRPr="00F930B5">
        <w:rPr>
          <w:rFonts w:ascii="Palatino Linotype" w:hAnsi="Palatino Linotype"/>
          <w:i/>
          <w:sz w:val="22"/>
          <w:szCs w:val="22"/>
          <w:u w:val="single"/>
        </w:rPr>
        <w:t>Elaborar y ejecutar el Programa Anual de Capacitación</w:t>
      </w:r>
      <w:r w:rsidRPr="00D529D9">
        <w:rPr>
          <w:rFonts w:ascii="Palatino Linotype" w:hAnsi="Palatino Linotype"/>
          <w:i/>
          <w:sz w:val="22"/>
          <w:szCs w:val="22"/>
        </w:rPr>
        <w:t xml:space="preserve">, en el que se brindan cursos, talleres, diplomados de impacto con base en lo detectado en el diagnóstico que se realice; y </w:t>
      </w:r>
    </w:p>
    <w:p w14:paraId="55BA5993" w14:textId="172360B6" w:rsidR="00D529D9" w:rsidRPr="00D529D9" w:rsidRDefault="00D529D9" w:rsidP="00D529D9">
      <w:pPr>
        <w:pBdr>
          <w:top w:val="nil"/>
          <w:left w:val="nil"/>
          <w:bottom w:val="nil"/>
          <w:right w:val="nil"/>
          <w:between w:val="nil"/>
        </w:pBdr>
        <w:spacing w:line="360" w:lineRule="auto"/>
        <w:ind w:left="708" w:right="62"/>
        <w:jc w:val="both"/>
        <w:rPr>
          <w:rFonts w:ascii="Palatino Linotype" w:hAnsi="Palatino Linotype"/>
          <w:i/>
          <w:sz w:val="22"/>
          <w:szCs w:val="22"/>
        </w:rPr>
      </w:pPr>
      <w:r w:rsidRPr="00D529D9">
        <w:rPr>
          <w:rFonts w:ascii="Palatino Linotype" w:hAnsi="Palatino Linotype"/>
          <w:i/>
          <w:sz w:val="22"/>
          <w:szCs w:val="22"/>
        </w:rPr>
        <w:t>XIII.- Realizar las demás atribuciones que la Presidenta le asigne, así como aquellas previstas en los ordenamientos jurídicos aplicables</w:t>
      </w:r>
      <w:r w:rsidR="00F930B5">
        <w:rPr>
          <w:rFonts w:ascii="Palatino Linotype" w:hAnsi="Palatino Linotype"/>
          <w:i/>
          <w:sz w:val="22"/>
          <w:szCs w:val="22"/>
        </w:rPr>
        <w:t>.</w:t>
      </w:r>
    </w:p>
    <w:p w14:paraId="24B9EEE3" w14:textId="77777777" w:rsidR="00D529D9" w:rsidRPr="008C07D5" w:rsidRDefault="00D529D9" w:rsidP="00D529D9">
      <w:pPr>
        <w:pBdr>
          <w:top w:val="nil"/>
          <w:left w:val="nil"/>
          <w:bottom w:val="nil"/>
          <w:right w:val="nil"/>
          <w:between w:val="nil"/>
        </w:pBdr>
        <w:spacing w:line="360" w:lineRule="auto"/>
        <w:ind w:left="708" w:right="62"/>
        <w:jc w:val="both"/>
      </w:pPr>
    </w:p>
    <w:p w14:paraId="7CE31FD7" w14:textId="77777777" w:rsidR="001A4F65" w:rsidRPr="005D68A0" w:rsidRDefault="001A4F65" w:rsidP="001A4F65">
      <w:pPr>
        <w:spacing w:line="360" w:lineRule="auto"/>
        <w:jc w:val="both"/>
        <w:rPr>
          <w:rFonts w:ascii="Palatino Linotype" w:hAnsi="Palatino Linotype"/>
          <w:sz w:val="22"/>
          <w:szCs w:val="22"/>
        </w:rPr>
      </w:pPr>
      <w:r w:rsidRPr="005D68A0">
        <w:rPr>
          <w:rFonts w:ascii="Palatino Linotype" w:eastAsia="Palatino Linotype" w:hAnsi="Palatino Linotype" w:cs="Palatino Linotype"/>
          <w:sz w:val="22"/>
          <w:szCs w:val="22"/>
        </w:rPr>
        <w:lastRenderedPageBreak/>
        <w:t>Derivado de la naturaleza de la información, es conveniente precisar que si bien el término “</w:t>
      </w:r>
      <w:r w:rsidRPr="005D68A0">
        <w:rPr>
          <w:rFonts w:ascii="Palatino Linotype" w:eastAsia="Palatino Linotype" w:hAnsi="Palatino Linotype" w:cs="Palatino Linotype"/>
          <w:i/>
          <w:sz w:val="22"/>
          <w:szCs w:val="22"/>
        </w:rPr>
        <w:t xml:space="preserve">nómina” </w:t>
      </w:r>
      <w:r w:rsidRPr="005D68A0">
        <w:rPr>
          <w:rFonts w:ascii="Palatino Linotype" w:eastAsia="Palatino Linotype" w:hAnsi="Palatino Linotype" w:cs="Palatino Linotype"/>
          <w:sz w:val="22"/>
          <w:szCs w:val="22"/>
        </w:rPr>
        <w:t xml:space="preserve">no está definido en nuestra legislación, también lo es que el “Glosario de Términos para el Proceso de Planeación, Programación, Presupuestación y Evaluación en la Administración Pública”, elaborado por el Grupo de Trabajo de Sistemas de Información Financiera, Contable y Presupuestal de la Comisión Permanente de Funcionarios Fiscales del Instituto para el Desarrollo Técnico de las Haciendas Públicas (INDETEC), la definen como el </w:t>
      </w:r>
      <w:r w:rsidRPr="005D68A0">
        <w:rPr>
          <w:rFonts w:ascii="Palatino Linotype" w:eastAsia="Palatino Linotype" w:hAnsi="Palatino Linotype" w:cs="Palatino Linotype"/>
          <w:i/>
          <w:sz w:val="22"/>
          <w:szCs w:val="22"/>
        </w:rPr>
        <w:t>listado general de los trabajadores de una institución, en</w:t>
      </w:r>
      <w:r w:rsidRPr="005D68A0">
        <w:rPr>
          <w:rFonts w:ascii="Palatino Linotype" w:eastAsia="Palatino Linotype" w:hAnsi="Palatino Linotype" w:cs="Palatino Linotype"/>
          <w:b/>
          <w:i/>
          <w:sz w:val="22"/>
          <w:szCs w:val="22"/>
        </w:rPr>
        <w:t xml:space="preserve"> </w:t>
      </w:r>
      <w:r w:rsidRPr="005D68A0">
        <w:rPr>
          <w:rFonts w:ascii="Palatino Linotype" w:eastAsia="Palatino Linotype" w:hAnsi="Palatino Linotype" w:cs="Palatino Linotype"/>
          <w:i/>
          <w:sz w:val="22"/>
          <w:szCs w:val="22"/>
        </w:rPr>
        <w:t xml:space="preserve">el cual se </w:t>
      </w:r>
      <w:r w:rsidRPr="005D68A0">
        <w:rPr>
          <w:rFonts w:ascii="Palatino Linotype" w:eastAsia="Palatino Linotype" w:hAnsi="Palatino Linotype" w:cs="Palatino Linotype"/>
          <w:b/>
          <w:i/>
          <w:sz w:val="22"/>
          <w:szCs w:val="22"/>
        </w:rPr>
        <w:t xml:space="preserve">asientan las </w:t>
      </w:r>
      <w:r w:rsidRPr="005D68A0">
        <w:rPr>
          <w:rFonts w:ascii="Palatino Linotype" w:eastAsia="Palatino Linotype" w:hAnsi="Palatino Linotype" w:cs="Palatino Linotype"/>
          <w:b/>
          <w:i/>
          <w:sz w:val="22"/>
          <w:szCs w:val="22"/>
          <w:u w:val="single"/>
        </w:rPr>
        <w:t>percepciones brutas, deducciones y alcance neto de las mismas</w:t>
      </w:r>
      <w:r w:rsidRPr="005D68A0">
        <w:rPr>
          <w:rFonts w:ascii="Palatino Linotype" w:eastAsia="Palatino Linotype" w:hAnsi="Palatino Linotype" w:cs="Palatino Linotype"/>
          <w:i/>
          <w:sz w:val="22"/>
          <w:szCs w:val="22"/>
        </w:rPr>
        <w:t>; la nómina es utilizada para</w:t>
      </w:r>
      <w:r w:rsidRPr="005D68A0">
        <w:rPr>
          <w:rFonts w:ascii="Palatino Linotype" w:eastAsia="Palatino Linotype" w:hAnsi="Palatino Linotype" w:cs="Palatino Linotype"/>
          <w:b/>
          <w:i/>
          <w:sz w:val="22"/>
          <w:szCs w:val="22"/>
        </w:rPr>
        <w:t xml:space="preserve"> efectuar los pagos periódicos</w:t>
      </w:r>
      <w:r w:rsidRPr="005D68A0">
        <w:rPr>
          <w:rFonts w:ascii="Palatino Linotype" w:eastAsia="Palatino Linotype" w:hAnsi="Palatino Linotype" w:cs="Palatino Linotype"/>
          <w:i/>
          <w:sz w:val="22"/>
          <w:szCs w:val="22"/>
        </w:rPr>
        <w:t xml:space="preserve"> (semanales, quincenales o</w:t>
      </w:r>
      <w:r w:rsidRPr="005D68A0">
        <w:rPr>
          <w:rFonts w:ascii="Palatino Linotype" w:eastAsia="Palatino Linotype" w:hAnsi="Palatino Linotype" w:cs="Palatino Linotype"/>
          <w:b/>
          <w:i/>
          <w:sz w:val="22"/>
          <w:szCs w:val="22"/>
        </w:rPr>
        <w:t xml:space="preserve"> </w:t>
      </w:r>
      <w:r w:rsidRPr="005D68A0">
        <w:rPr>
          <w:rFonts w:ascii="Palatino Linotype" w:eastAsia="Palatino Linotype" w:hAnsi="Palatino Linotype" w:cs="Palatino Linotype"/>
          <w:i/>
          <w:sz w:val="22"/>
          <w:szCs w:val="22"/>
        </w:rPr>
        <w:t xml:space="preserve">mensuales) a los trabajadores por concepto de </w:t>
      </w:r>
      <w:r w:rsidRPr="005D68A0">
        <w:rPr>
          <w:rFonts w:ascii="Palatino Linotype" w:eastAsia="Palatino Linotype" w:hAnsi="Palatino Linotype" w:cs="Palatino Linotype"/>
          <w:b/>
          <w:i/>
          <w:sz w:val="22"/>
          <w:szCs w:val="22"/>
        </w:rPr>
        <w:t>sueldos y salarios</w:t>
      </w:r>
      <w:r w:rsidRPr="005D68A0">
        <w:rPr>
          <w:rFonts w:ascii="Palatino Linotype" w:eastAsia="Palatino Linotype" w:hAnsi="Palatino Linotype" w:cs="Palatino Linotype"/>
          <w:i/>
          <w:sz w:val="22"/>
          <w:szCs w:val="22"/>
        </w:rPr>
        <w:t>.</w:t>
      </w:r>
    </w:p>
    <w:p w14:paraId="30497B75" w14:textId="77777777" w:rsidR="001A4F65" w:rsidRPr="005D68A0" w:rsidRDefault="001A4F65" w:rsidP="001A4F65">
      <w:pPr>
        <w:spacing w:line="360" w:lineRule="auto"/>
        <w:rPr>
          <w:rFonts w:ascii="Palatino Linotype" w:hAnsi="Palatino Linotype"/>
          <w:sz w:val="22"/>
          <w:szCs w:val="22"/>
        </w:rPr>
      </w:pPr>
    </w:p>
    <w:p w14:paraId="0E121731" w14:textId="77777777" w:rsidR="001A4F65" w:rsidRPr="00511BF8" w:rsidRDefault="001A4F65" w:rsidP="001A4F65">
      <w:pPr>
        <w:spacing w:line="360" w:lineRule="auto"/>
        <w:jc w:val="both"/>
        <w:rPr>
          <w:rFonts w:ascii="Palatino Linotype" w:hAnsi="Palatino Linotype"/>
        </w:rPr>
      </w:pPr>
      <w:r w:rsidRPr="00511BF8">
        <w:rPr>
          <w:rFonts w:ascii="Palatino Linotype" w:eastAsia="Palatino Linotype" w:hAnsi="Palatino Linotype" w:cs="Palatino Linotype"/>
        </w:rPr>
        <w:t xml:space="preserve">Documento o término que ha sido mencionado en diferentes ordenamientos legales, tal es el caso, de la </w:t>
      </w:r>
      <w:r w:rsidRPr="00511BF8">
        <w:rPr>
          <w:rFonts w:ascii="Palatino Linotype" w:eastAsia="Palatino Linotype" w:hAnsi="Palatino Linotype" w:cs="Palatino Linotype"/>
          <w:i/>
        </w:rPr>
        <w:t>Ley Federal del Trabajo</w:t>
      </w:r>
      <w:r w:rsidRPr="00511BF8">
        <w:rPr>
          <w:rFonts w:ascii="Palatino Linotype" w:eastAsia="Palatino Linotype" w:hAnsi="Palatino Linotype" w:cs="Palatino Linotype"/>
        </w:rPr>
        <w:t xml:space="preserve"> en el artículo 804 fracción II, que además reconoce los recibos de pagos de salarios, por lo que resulta indispensable citar el artículo de referencia.</w:t>
      </w:r>
    </w:p>
    <w:p w14:paraId="6710648D"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rPr>
        <w:t>“Artículo 804.-</w:t>
      </w:r>
      <w:r w:rsidRPr="005D68A0">
        <w:rPr>
          <w:rFonts w:ascii="Palatino Linotype" w:eastAsia="Palatino Linotype" w:hAnsi="Palatino Linotype" w:cs="Palatino Linotype"/>
          <w:i/>
          <w:sz w:val="22"/>
          <w:szCs w:val="22"/>
        </w:rPr>
        <w:t xml:space="preserve"> El patrón tiene obligación de conservar y exhibir en juicio los documentos que a continuación se precisan:</w:t>
      </w:r>
    </w:p>
    <w:p w14:paraId="7AEE6670"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rPr>
        <w:t>…</w:t>
      </w:r>
    </w:p>
    <w:p w14:paraId="26DCC223"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rPr>
        <w:t>II.</w:t>
      </w:r>
      <w:r w:rsidRPr="005D68A0">
        <w:rPr>
          <w:rFonts w:ascii="Palatino Linotype" w:eastAsia="Palatino Linotype" w:hAnsi="Palatino Linotype" w:cs="Palatino Linotype"/>
          <w:i/>
          <w:sz w:val="22"/>
          <w:szCs w:val="22"/>
        </w:rPr>
        <w:t xml:space="preserve"> </w:t>
      </w:r>
      <w:r w:rsidRPr="005D68A0">
        <w:rPr>
          <w:rFonts w:ascii="Palatino Linotype" w:eastAsia="Palatino Linotype" w:hAnsi="Palatino Linotype" w:cs="Palatino Linotype"/>
          <w:bCs/>
          <w:i/>
          <w:sz w:val="22"/>
          <w:szCs w:val="22"/>
        </w:rPr>
        <w:t>Listas de raya o</w:t>
      </w:r>
      <w:r w:rsidRPr="005D68A0">
        <w:rPr>
          <w:rFonts w:ascii="Palatino Linotype" w:eastAsia="Palatino Linotype" w:hAnsi="Palatino Linotype" w:cs="Palatino Linotype"/>
          <w:b/>
          <w:i/>
          <w:sz w:val="22"/>
          <w:szCs w:val="22"/>
        </w:rPr>
        <w:t xml:space="preserve"> nómina de personal</w:t>
      </w:r>
      <w:r w:rsidRPr="005D68A0">
        <w:rPr>
          <w:rFonts w:ascii="Palatino Linotype" w:eastAsia="Palatino Linotype" w:hAnsi="Palatino Linotype" w:cs="Palatino Linotype"/>
          <w:i/>
          <w:sz w:val="22"/>
          <w:szCs w:val="22"/>
        </w:rPr>
        <w:t xml:space="preserve">, cuando se lleven en el centro de trabajo; </w:t>
      </w:r>
      <w:r w:rsidRPr="005D68A0">
        <w:rPr>
          <w:rFonts w:ascii="Palatino Linotype" w:eastAsia="Palatino Linotype" w:hAnsi="Palatino Linotype" w:cs="Palatino Linotype"/>
          <w:b/>
          <w:i/>
          <w:sz w:val="22"/>
          <w:szCs w:val="22"/>
        </w:rPr>
        <w:t>o recibos de pagos de salarios;</w:t>
      </w:r>
    </w:p>
    <w:p w14:paraId="7E107E78"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w:t>
      </w:r>
    </w:p>
    <w:p w14:paraId="59D0C5EA"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 xml:space="preserve">Los documentos señalados en la fracción I deberán conservarse mientras dure la relación laboral y hasta un año después; los señalados en las fracciones </w:t>
      </w:r>
      <w:r w:rsidRPr="005D68A0">
        <w:rPr>
          <w:rFonts w:ascii="Palatino Linotype" w:eastAsia="Palatino Linotype" w:hAnsi="Palatino Linotype" w:cs="Palatino Linotype"/>
          <w:b/>
          <w:i/>
          <w:sz w:val="22"/>
          <w:szCs w:val="22"/>
        </w:rPr>
        <w:t>II</w:t>
      </w:r>
      <w:r w:rsidRPr="005D68A0">
        <w:rPr>
          <w:rFonts w:ascii="Palatino Linotype" w:eastAsia="Palatino Linotype" w:hAnsi="Palatino Linotype" w:cs="Palatino Linotype"/>
          <w:i/>
          <w:sz w:val="22"/>
          <w:szCs w:val="22"/>
        </w:rPr>
        <w:t>, III y IV, durante el último año y un año después de que se extinga la relación laboral; y los mencionados en la fracción V, conforme lo señalen las Leyes que los rijan.”</w:t>
      </w:r>
    </w:p>
    <w:p w14:paraId="394599D2" w14:textId="77777777" w:rsidR="001A4F65" w:rsidRPr="00511BF8" w:rsidRDefault="001A4F65" w:rsidP="001A4F65">
      <w:pPr>
        <w:spacing w:before="240" w:after="360" w:line="360" w:lineRule="auto"/>
        <w:jc w:val="both"/>
        <w:rPr>
          <w:rFonts w:ascii="Palatino Linotype" w:hAnsi="Palatino Linotype"/>
        </w:rPr>
      </w:pPr>
      <w:r w:rsidRPr="00511BF8">
        <w:rPr>
          <w:rFonts w:ascii="Palatino Linotype" w:eastAsia="Palatino Linotype" w:hAnsi="Palatino Linotype" w:cs="Palatino Linotype"/>
        </w:rPr>
        <w:t xml:space="preserve">De lo anteriormente citado, se puede llegar a la conclusión de que la nómina, es el documento que contiene el registro de los trabajadores a los cuales se va a remunerar por </w:t>
      </w:r>
      <w:r w:rsidRPr="00511BF8">
        <w:rPr>
          <w:rFonts w:ascii="Palatino Linotype" w:eastAsia="Palatino Linotype" w:hAnsi="Palatino Linotype" w:cs="Palatino Linotype"/>
        </w:rPr>
        <w:lastRenderedPageBreak/>
        <w:t xml:space="preserve">los </w:t>
      </w:r>
      <w:hyperlink r:id="rId8">
        <w:r w:rsidRPr="00511BF8">
          <w:rPr>
            <w:rFonts w:ascii="Palatino Linotype" w:eastAsia="Palatino Linotype" w:hAnsi="Palatino Linotype" w:cs="Palatino Linotype"/>
          </w:rPr>
          <w:t>servicios</w:t>
        </w:r>
      </w:hyperlink>
      <w:r w:rsidRPr="00511BF8">
        <w:rPr>
          <w:rFonts w:ascii="Palatino Linotype" w:eastAsia="Palatino Linotype" w:hAnsi="Palatino Linotype" w:cs="Palatino Linotype"/>
        </w:rPr>
        <w:t xml:space="preserve"> que éstos le prestan al patrón, en el cual </w:t>
      </w:r>
      <w:r w:rsidRPr="00511BF8">
        <w:rPr>
          <w:rFonts w:ascii="Palatino Linotype" w:eastAsia="Palatino Linotype" w:hAnsi="Palatino Linotype" w:cs="Palatino Linotype"/>
          <w:b/>
        </w:rPr>
        <w:t>se asientan las percepciones brutas, deducciones y el neto</w:t>
      </w:r>
      <w:r w:rsidRPr="00511BF8">
        <w:rPr>
          <w:rFonts w:ascii="Palatino Linotype" w:eastAsia="Palatino Linotype" w:hAnsi="Palatino Linotype" w:cs="Palatino Linotype"/>
        </w:rPr>
        <w:t xml:space="preserve"> a recibir de dichos trabajadores.</w:t>
      </w:r>
    </w:p>
    <w:p w14:paraId="3E2AD1C6" w14:textId="77777777" w:rsidR="001A4F65" w:rsidRPr="00511BF8" w:rsidRDefault="001A4F65" w:rsidP="001A4F65">
      <w:pPr>
        <w:spacing w:line="360" w:lineRule="auto"/>
        <w:jc w:val="both"/>
        <w:rPr>
          <w:rFonts w:ascii="Palatino Linotype" w:hAnsi="Palatino Linotype"/>
        </w:rPr>
      </w:pPr>
      <w:r w:rsidRPr="00511BF8">
        <w:rPr>
          <w:rFonts w:ascii="Palatino Linotype" w:eastAsia="Palatino Linotype" w:hAnsi="Palatino Linotype" w:cs="Palatino Linotype"/>
        </w:rPr>
        <w:t xml:space="preserve">Ahora bien, relativo a los </w:t>
      </w:r>
      <w:r w:rsidRPr="00511BF8">
        <w:rPr>
          <w:rFonts w:ascii="Palatino Linotype" w:eastAsia="Palatino Linotype" w:hAnsi="Palatino Linotype" w:cs="Palatino Linotype"/>
          <w:b/>
        </w:rPr>
        <w:t>recibos de nómina</w:t>
      </w:r>
      <w:r w:rsidRPr="00511BF8">
        <w:rPr>
          <w:rFonts w:ascii="Palatino Linotype" w:eastAsia="Palatino Linotype" w:hAnsi="Palatino Linotype" w:cs="Palatino Linotype"/>
        </w:rPr>
        <w:t>, la Ley del Trabajo de los Servidores Públicos del Estado y Municipios hace referencia a los comprobantes que las instituciones públicas realizan para documentar el pago de salarios, prima vacacional, aguinaldo y demás prestaciones otorgadas a un servidor público, denominándose "</w:t>
      </w:r>
      <w:r w:rsidRPr="00511BF8">
        <w:rPr>
          <w:rFonts w:ascii="Palatino Linotype" w:eastAsia="Palatino Linotype" w:hAnsi="Palatino Linotype" w:cs="Palatino Linotype"/>
          <w:i/>
        </w:rPr>
        <w:t>recibos o comprobantes de pago</w:t>
      </w:r>
      <w:r w:rsidRPr="00511BF8">
        <w:rPr>
          <w:rFonts w:ascii="Palatino Linotype" w:eastAsia="Palatino Linotype" w:hAnsi="Palatino Linotype" w:cs="Palatino Linotype"/>
        </w:rPr>
        <w:t>", los cuales constituyen un instrumento mediante el cual el sujeto obligado acredita las remuneraciones al personal y, que de acuerdo al uso implantado en la colectividad se denominan "recibos de nómina".</w:t>
      </w:r>
    </w:p>
    <w:p w14:paraId="0BBE7386" w14:textId="77777777" w:rsidR="001A4F65" w:rsidRPr="00511BF8" w:rsidRDefault="001A4F65" w:rsidP="001A4F65">
      <w:pPr>
        <w:spacing w:line="360" w:lineRule="auto"/>
        <w:rPr>
          <w:rFonts w:ascii="Palatino Linotype" w:hAnsi="Palatino Linotype"/>
        </w:rPr>
      </w:pPr>
    </w:p>
    <w:p w14:paraId="24627FF2" w14:textId="77777777" w:rsidR="001A4F65" w:rsidRPr="00511BF8" w:rsidRDefault="001A4F65" w:rsidP="001A4F65">
      <w:pPr>
        <w:spacing w:line="360" w:lineRule="auto"/>
        <w:jc w:val="both"/>
        <w:rPr>
          <w:rFonts w:ascii="Palatino Linotype" w:hAnsi="Palatino Linotype"/>
        </w:rPr>
      </w:pPr>
      <w:r w:rsidRPr="00511BF8">
        <w:rPr>
          <w:rFonts w:ascii="Palatino Linotype" w:eastAsia="Palatino Linotype" w:hAnsi="Palatino Linotype" w:cs="Palatino Linotype"/>
        </w:rPr>
        <w:t xml:space="preserve">A efecto de robustecer lo anterior, es preciso hacer alusión, en primera instancia, a lo establecido en las normas de carácter general del </w:t>
      </w:r>
      <w:r w:rsidRPr="00511BF8">
        <w:rPr>
          <w:rFonts w:ascii="Palatino Linotype" w:eastAsia="Palatino Linotype" w:hAnsi="Palatino Linotype" w:cs="Palatino Linotype"/>
          <w:b/>
        </w:rPr>
        <w:t>Manual Único de Contabilidad Gubernamental para las Dependencias y Entidades Públicas del Gobierno y Municipios del Estado de México</w:t>
      </w:r>
      <w:r w:rsidRPr="00511BF8">
        <w:rPr>
          <w:rFonts w:ascii="Palatino Linotype" w:eastAsia="Palatino Linotype" w:hAnsi="Palatino Linotype" w:cs="Palatino Linotype"/>
          <w:i/>
        </w:rPr>
        <w:t xml:space="preserve">,  </w:t>
      </w:r>
      <w:r w:rsidRPr="00511BF8">
        <w:rPr>
          <w:rFonts w:ascii="Palatino Linotype" w:eastAsia="Palatino Linotype" w:hAnsi="Palatino Linotype" w:cs="Palatino Linotype"/>
        </w:rPr>
        <w:t xml:space="preserve">en donde se señala que el Régimen Fiscal para las entidades públicas es el correspondiente a </w:t>
      </w:r>
      <w:r w:rsidRPr="00511BF8">
        <w:rPr>
          <w:rFonts w:ascii="Palatino Linotype" w:eastAsia="Palatino Linotype" w:hAnsi="Palatino Linotype" w:cs="Palatino Linotype"/>
          <w:i/>
        </w:rPr>
        <w:t xml:space="preserve">personas morales con fines no lucrativos, </w:t>
      </w:r>
      <w:r w:rsidRPr="00511BF8">
        <w:rPr>
          <w:rFonts w:ascii="Palatino Linotype" w:eastAsia="Palatino Linotype" w:hAnsi="Palatino Linotype" w:cs="Palatino Linotype"/>
        </w:rPr>
        <w:t xml:space="preserve">y en segundo lugar remitirnos al párrafo séptimo del artículo 86 del Título III del Régimen de las Personas Morales con fines no lucrativos, de la </w:t>
      </w:r>
      <w:r w:rsidRPr="00511BF8">
        <w:rPr>
          <w:rFonts w:ascii="Palatino Linotype" w:eastAsia="Palatino Linotype" w:hAnsi="Palatino Linotype" w:cs="Palatino Linotype"/>
          <w:b/>
        </w:rPr>
        <w:t>Ley del Impuesto Sobre la Renta</w:t>
      </w:r>
      <w:r w:rsidRPr="00511BF8">
        <w:rPr>
          <w:rFonts w:ascii="Palatino Linotype" w:eastAsia="Palatino Linotype" w:hAnsi="Palatino Linotype" w:cs="Palatino Linotype"/>
          <w:i/>
        </w:rPr>
        <w:t xml:space="preserve">, </w:t>
      </w:r>
      <w:r w:rsidRPr="00511BF8">
        <w:rPr>
          <w:rFonts w:ascii="Palatino Linotype" w:eastAsia="Palatino Linotype" w:hAnsi="Palatino Linotype" w:cs="Palatino Linotype"/>
        </w:rPr>
        <w:t>que a la letra señala lo siguiente:</w:t>
      </w:r>
    </w:p>
    <w:p w14:paraId="71D33D74"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rPr>
        <w:t>“Artículo.- 86 </w:t>
      </w:r>
    </w:p>
    <w:p w14:paraId="4FE9837A"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rPr>
        <w:t>(</w:t>
      </w:r>
      <w:r w:rsidRPr="005D68A0">
        <w:rPr>
          <w:rFonts w:ascii="Palatino Linotype" w:eastAsia="Palatino Linotype" w:hAnsi="Palatino Linotype" w:cs="Palatino Linotype"/>
          <w:i/>
          <w:sz w:val="22"/>
          <w:szCs w:val="22"/>
        </w:rPr>
        <w:t>…)</w:t>
      </w:r>
    </w:p>
    <w:p w14:paraId="4C65AE5F"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 xml:space="preserve">Los partidos y asociaciones políticas, legalmente reconocidos, la Federación, las entidades federativas, los municipios y las instituciones que por Ley estén obligadas a entregar al Gobierno Federal el importe íntegro de su remanente de operación y los organismos descentralizados que no tributen conforme al Título II de esta Ley </w:t>
      </w:r>
      <w:r w:rsidRPr="005D68A0">
        <w:rPr>
          <w:rFonts w:ascii="Palatino Linotype" w:eastAsia="Palatino Linotype" w:hAnsi="Palatino Linotype" w:cs="Palatino Linotype"/>
          <w:b/>
          <w:i/>
          <w:sz w:val="22"/>
          <w:szCs w:val="22"/>
        </w:rPr>
        <w:t xml:space="preserve">están obligados a expedir y entregar comprobantes fiscales a las personas que reciban pagos por </w:t>
      </w:r>
      <w:r w:rsidRPr="005D68A0">
        <w:rPr>
          <w:rFonts w:ascii="Palatino Linotype" w:eastAsia="Palatino Linotype" w:hAnsi="Palatino Linotype" w:cs="Palatino Linotype"/>
          <w:b/>
          <w:i/>
          <w:sz w:val="22"/>
          <w:szCs w:val="22"/>
        </w:rPr>
        <w:lastRenderedPageBreak/>
        <w:t>concepto de salarios y, en general, por la prestación de un servicio personal subordinado, en la fecha en que se realice la erogación correspondiente, los cuales podrán utilizarse como constancia o recibo de pago</w:t>
      </w:r>
      <w:r w:rsidRPr="005D68A0">
        <w:rPr>
          <w:rFonts w:ascii="Palatino Linotype" w:eastAsia="Palatino Linotype" w:hAnsi="Palatino Linotype" w:cs="Palatino Linotype"/>
          <w:i/>
          <w:sz w:val="22"/>
          <w:szCs w:val="22"/>
        </w:rPr>
        <w:t xml:space="preserve"> para efectos de la legislación laboral a que se refieren los artículos 132 fracciones VII y VIII, y 804 primer párrafo fracciones II y IV de la Ley Federal del Trabajo…</w:t>
      </w:r>
      <w:r w:rsidRPr="005D68A0">
        <w:rPr>
          <w:rFonts w:ascii="Palatino Linotype" w:eastAsia="Palatino Linotype" w:hAnsi="Palatino Linotype" w:cs="Palatino Linotype"/>
          <w:sz w:val="22"/>
          <w:szCs w:val="22"/>
        </w:rPr>
        <w:t>” </w:t>
      </w:r>
    </w:p>
    <w:p w14:paraId="73DF3E30" w14:textId="77777777" w:rsidR="001A4F65" w:rsidRPr="005D68A0" w:rsidRDefault="001A4F65" w:rsidP="001A4F65">
      <w:pPr>
        <w:rPr>
          <w:rFonts w:ascii="Palatino Linotype" w:hAnsi="Palatino Linotype"/>
          <w:sz w:val="22"/>
          <w:szCs w:val="22"/>
        </w:rPr>
      </w:pPr>
    </w:p>
    <w:p w14:paraId="5661A2CF" w14:textId="77777777" w:rsidR="001A4F65" w:rsidRPr="00511BF8" w:rsidRDefault="001A4F65" w:rsidP="001A4F65">
      <w:pPr>
        <w:spacing w:line="360" w:lineRule="auto"/>
        <w:jc w:val="both"/>
        <w:rPr>
          <w:rFonts w:ascii="Palatino Linotype" w:hAnsi="Palatino Linotype"/>
        </w:rPr>
      </w:pPr>
      <w:r w:rsidRPr="00511BF8">
        <w:rPr>
          <w:rFonts w:ascii="Palatino Linotype" w:eastAsia="Palatino Linotype" w:hAnsi="Palatino Linotype" w:cs="Palatino Linotype"/>
        </w:rPr>
        <w:t xml:space="preserve">Del precepto citado, se advierte que las entidades federativas al ser entes públicos se encuentran constreñidos a expedir y entregar los </w:t>
      </w:r>
      <w:r w:rsidRPr="00511BF8">
        <w:rPr>
          <w:rFonts w:ascii="Palatino Linotype" w:eastAsia="Palatino Linotype" w:hAnsi="Palatino Linotype" w:cs="Palatino Linotype"/>
          <w:b/>
        </w:rPr>
        <w:t xml:space="preserve">comprobantes fiscales correspondientes a las personas que reciban pagos por conceptos de salarios, </w:t>
      </w:r>
      <w:r w:rsidRPr="00511BF8">
        <w:rPr>
          <w:rFonts w:ascii="Palatino Linotype" w:eastAsia="Palatino Linotype" w:hAnsi="Palatino Linotype" w:cs="Palatino Linotype"/>
        </w:rPr>
        <w:t xml:space="preserve">mismos que pueden ser utilizados como </w:t>
      </w:r>
      <w:r w:rsidRPr="00511BF8">
        <w:rPr>
          <w:rFonts w:ascii="Palatino Linotype" w:eastAsia="Palatino Linotype" w:hAnsi="Palatino Linotype" w:cs="Palatino Linotype"/>
          <w:b/>
        </w:rPr>
        <w:t>constancia o</w:t>
      </w:r>
      <w:r w:rsidRPr="00511BF8">
        <w:rPr>
          <w:rFonts w:ascii="Palatino Linotype" w:eastAsia="Palatino Linotype" w:hAnsi="Palatino Linotype" w:cs="Palatino Linotype"/>
        </w:rPr>
        <w:t xml:space="preserve"> </w:t>
      </w:r>
      <w:r w:rsidRPr="00511BF8">
        <w:rPr>
          <w:rFonts w:ascii="Palatino Linotype" w:eastAsia="Palatino Linotype" w:hAnsi="Palatino Linotype" w:cs="Palatino Linotype"/>
          <w:b/>
        </w:rPr>
        <w:t>recibo de pago</w:t>
      </w:r>
      <w:r w:rsidRPr="00511BF8">
        <w:rPr>
          <w:rFonts w:ascii="Palatino Linotype" w:eastAsia="Palatino Linotype" w:hAnsi="Palatino Linotype" w:cs="Palatino Linotype"/>
        </w:rPr>
        <w:t xml:space="preserve">, de conformidad con los artículos 132 fracciones VII y VIII de la </w:t>
      </w:r>
      <w:r w:rsidRPr="00511BF8">
        <w:rPr>
          <w:rFonts w:ascii="Palatino Linotype" w:eastAsia="Palatino Linotype" w:hAnsi="Palatino Linotype" w:cs="Palatino Linotype"/>
          <w:b/>
        </w:rPr>
        <w:t>Ley Federal del Trabajo</w:t>
      </w:r>
      <w:r w:rsidRPr="00511BF8">
        <w:rPr>
          <w:rFonts w:ascii="Palatino Linotype" w:eastAsia="Palatino Linotype" w:hAnsi="Palatino Linotype" w:cs="Palatino Linotype"/>
        </w:rPr>
        <w:t>, que a la letra señalan lo siguiente:</w:t>
      </w:r>
    </w:p>
    <w:p w14:paraId="7AAFC446" w14:textId="77777777" w:rsidR="001A4F65" w:rsidRPr="005D68A0" w:rsidRDefault="001A4F65" w:rsidP="001A4F65">
      <w:pPr>
        <w:spacing w:before="120" w:after="120"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Cs/>
          <w:i/>
          <w:sz w:val="22"/>
          <w:szCs w:val="22"/>
        </w:rPr>
        <w:t>“</w:t>
      </w:r>
      <w:r w:rsidRPr="005D68A0">
        <w:rPr>
          <w:rFonts w:ascii="Palatino Linotype" w:eastAsia="Palatino Linotype" w:hAnsi="Palatino Linotype" w:cs="Palatino Linotype"/>
          <w:b/>
          <w:i/>
          <w:sz w:val="22"/>
          <w:szCs w:val="22"/>
        </w:rPr>
        <w:t>Artículo 132</w:t>
      </w:r>
      <w:r w:rsidRPr="005D68A0">
        <w:rPr>
          <w:rFonts w:ascii="Palatino Linotype" w:eastAsia="Palatino Linotype" w:hAnsi="Palatino Linotype" w:cs="Palatino Linotype"/>
          <w:i/>
          <w:sz w:val="22"/>
          <w:szCs w:val="22"/>
        </w:rPr>
        <w:t xml:space="preserve">.- Son </w:t>
      </w:r>
      <w:r w:rsidRPr="005D68A0">
        <w:rPr>
          <w:rFonts w:ascii="Palatino Linotype" w:eastAsia="Palatino Linotype" w:hAnsi="Palatino Linotype" w:cs="Palatino Linotype"/>
          <w:b/>
          <w:i/>
          <w:sz w:val="22"/>
          <w:szCs w:val="22"/>
        </w:rPr>
        <w:t>obligaciones de los patrones</w:t>
      </w:r>
      <w:r w:rsidRPr="005D68A0">
        <w:rPr>
          <w:rFonts w:ascii="Palatino Linotype" w:eastAsia="Palatino Linotype" w:hAnsi="Palatino Linotype" w:cs="Palatino Linotype"/>
          <w:i/>
          <w:sz w:val="22"/>
          <w:szCs w:val="22"/>
        </w:rPr>
        <w:t>:</w:t>
      </w:r>
    </w:p>
    <w:p w14:paraId="4409B2E8" w14:textId="77777777" w:rsidR="001A4F65" w:rsidRPr="005D68A0" w:rsidRDefault="001A4F65" w:rsidP="001A4F65">
      <w:pPr>
        <w:spacing w:before="120" w:after="120"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w:t>
      </w:r>
    </w:p>
    <w:p w14:paraId="43214353" w14:textId="77777777" w:rsidR="001A4F65" w:rsidRPr="005D68A0" w:rsidRDefault="001A4F65" w:rsidP="001A4F65">
      <w:pPr>
        <w:spacing w:before="120" w:after="120"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 xml:space="preserve">VII.- </w:t>
      </w:r>
      <w:r w:rsidRPr="005D68A0">
        <w:rPr>
          <w:rFonts w:ascii="Palatino Linotype" w:eastAsia="Palatino Linotype" w:hAnsi="Palatino Linotype" w:cs="Palatino Linotype"/>
          <w:b/>
          <w:i/>
          <w:sz w:val="22"/>
          <w:szCs w:val="22"/>
        </w:rPr>
        <w:t>Expedir</w:t>
      </w:r>
      <w:r w:rsidRPr="005D68A0">
        <w:rPr>
          <w:rFonts w:ascii="Palatino Linotype" w:eastAsia="Palatino Linotype" w:hAnsi="Palatino Linotype" w:cs="Palatino Linotype"/>
          <w:i/>
          <w:sz w:val="22"/>
          <w:szCs w:val="22"/>
        </w:rPr>
        <w:t xml:space="preserve"> cada quince días, a solicitud de los trabajadores, una </w:t>
      </w:r>
      <w:r w:rsidRPr="005D68A0">
        <w:rPr>
          <w:rFonts w:ascii="Palatino Linotype" w:eastAsia="Palatino Linotype" w:hAnsi="Palatino Linotype" w:cs="Palatino Linotype"/>
          <w:b/>
          <w:i/>
          <w:sz w:val="22"/>
          <w:szCs w:val="22"/>
        </w:rPr>
        <w:t>constancia</w:t>
      </w:r>
      <w:r w:rsidRPr="005D68A0">
        <w:rPr>
          <w:rFonts w:ascii="Palatino Linotype" w:eastAsia="Palatino Linotype" w:hAnsi="Palatino Linotype" w:cs="Palatino Linotype"/>
          <w:i/>
          <w:sz w:val="22"/>
          <w:szCs w:val="22"/>
        </w:rPr>
        <w:t xml:space="preserve"> escrita del número de días trabajados y </w:t>
      </w:r>
      <w:r w:rsidRPr="005D68A0">
        <w:rPr>
          <w:rFonts w:ascii="Palatino Linotype" w:eastAsia="Palatino Linotype" w:hAnsi="Palatino Linotype" w:cs="Palatino Linotype"/>
          <w:b/>
          <w:i/>
          <w:sz w:val="22"/>
          <w:szCs w:val="22"/>
        </w:rPr>
        <w:t>del salario percibido</w:t>
      </w:r>
      <w:r w:rsidRPr="005D68A0">
        <w:rPr>
          <w:rFonts w:ascii="Palatino Linotype" w:eastAsia="Palatino Linotype" w:hAnsi="Palatino Linotype" w:cs="Palatino Linotype"/>
          <w:i/>
          <w:sz w:val="22"/>
          <w:szCs w:val="22"/>
        </w:rPr>
        <w:t>; </w:t>
      </w:r>
    </w:p>
    <w:p w14:paraId="6E20A735" w14:textId="77777777" w:rsidR="001A4F65" w:rsidRPr="005D68A0" w:rsidRDefault="001A4F65" w:rsidP="001A4F65">
      <w:pPr>
        <w:spacing w:before="120" w:after="120"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VIII.- Expedir al trabajador que lo solicite o se separe de la empresa, dentro del término de tres días, una constancia escrita relativa a sus servicios;</w:t>
      </w:r>
    </w:p>
    <w:p w14:paraId="75BB9735" w14:textId="77777777" w:rsidR="001A4F65" w:rsidRPr="005D68A0" w:rsidRDefault="001A4F65" w:rsidP="001A4F65">
      <w:pPr>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w:t>
      </w:r>
    </w:p>
    <w:p w14:paraId="38A4CF4E" w14:textId="77777777" w:rsidR="001A4F65" w:rsidRPr="00511BF8" w:rsidRDefault="001A4F65" w:rsidP="001A4F65">
      <w:pPr>
        <w:spacing w:before="240" w:after="360" w:line="360" w:lineRule="auto"/>
        <w:jc w:val="both"/>
        <w:rPr>
          <w:rFonts w:ascii="Palatino Linotype" w:hAnsi="Palatino Linotype"/>
        </w:rPr>
      </w:pPr>
      <w:r w:rsidRPr="00511BF8">
        <w:rPr>
          <w:rFonts w:ascii="Palatino Linotype" w:eastAsia="Palatino Linotype" w:hAnsi="Palatino Linotype" w:cs="Palatino Linotype"/>
        </w:rPr>
        <w:t>Por su parte la Ley del Trabajo de los Servidores Públicos del Estado y Municipios, en su artículo 220-K fracciones II y IV y último párrafo, establecen lo siguiente:</w:t>
      </w:r>
    </w:p>
    <w:p w14:paraId="25B1B157"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rPr>
        <w:t>“ARTÍCULO 220 K.-</w:t>
      </w:r>
      <w:r w:rsidRPr="005D68A0">
        <w:rPr>
          <w:rFonts w:ascii="Palatino Linotype" w:eastAsia="Palatino Linotype" w:hAnsi="Palatino Linotype" w:cs="Palatino Linotype"/>
          <w:i/>
          <w:sz w:val="22"/>
          <w:szCs w:val="22"/>
        </w:rPr>
        <w:t xml:space="preserve"> La institución o dependencia pública tiene la obligación de conservar y exhibir en el proceso los documentos que a continuación se precisan:</w:t>
      </w:r>
    </w:p>
    <w:p w14:paraId="2CED0D74"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w:t>
      </w:r>
    </w:p>
    <w:p w14:paraId="1D29F37C"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 xml:space="preserve">II. </w:t>
      </w:r>
      <w:r w:rsidRPr="005D68A0">
        <w:rPr>
          <w:rFonts w:ascii="Palatino Linotype" w:eastAsia="Palatino Linotype" w:hAnsi="Palatino Linotype" w:cs="Palatino Linotype"/>
          <w:b/>
          <w:i/>
          <w:sz w:val="22"/>
          <w:szCs w:val="22"/>
        </w:rPr>
        <w:t>Recibos de pagos de salarios</w:t>
      </w:r>
      <w:r w:rsidRPr="005D68A0">
        <w:rPr>
          <w:rFonts w:ascii="Palatino Linotype" w:eastAsia="Palatino Linotype" w:hAnsi="Palatino Linotype" w:cs="Palatino Linotype"/>
          <w:i/>
          <w:sz w:val="22"/>
          <w:szCs w:val="22"/>
        </w:rPr>
        <w:t xml:space="preserve"> o las constancias documentales del pago de salario cuando sea por depósito o mediante información electrónica;</w:t>
      </w:r>
    </w:p>
    <w:p w14:paraId="6D6E9571"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w:t>
      </w:r>
    </w:p>
    <w:p w14:paraId="4667EF22" w14:textId="77777777" w:rsidR="001A4F65" w:rsidRPr="005D68A0" w:rsidRDefault="001A4F65" w:rsidP="001A4F65">
      <w:pPr>
        <w:spacing w:line="276" w:lineRule="auto"/>
        <w:ind w:left="851" w:right="616"/>
        <w:rPr>
          <w:rFonts w:ascii="Palatino Linotype" w:hAnsi="Palatino Linotype"/>
          <w:sz w:val="22"/>
          <w:szCs w:val="22"/>
        </w:rPr>
      </w:pPr>
    </w:p>
    <w:p w14:paraId="1C4DD886"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IV. Recibos o las constancias de depósito o del medio de información magnética o electrónica que sean utilizadas para el pago de salarios, prima vacacional, aguinaldo y demás prestaciones establecidas en la presente ley; y…</w:t>
      </w:r>
    </w:p>
    <w:p w14:paraId="7178591B"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Los documentos señalados en la fracción I de este artículo, deberán conservarse mientras dure la relación laboral y hasta un año después; los señalados por las fracciones II, III, IV durante el último año y un año después de que se extinga la relación laboral, y los mencionados en la fracción V, conforme lo señalen las leyes que los rijan.</w:t>
      </w:r>
    </w:p>
    <w:p w14:paraId="30FF4524"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Los documentos y constancias aquí señalados, la institución o dependencia podrá conservarlos por medio de los sistemas de digitalización o de información magnética o electrónica o cualquier medio descubierto por la ciencia y las constancias expedidas por el encargado del área de personal de éstas, harán prueba plena.</w:t>
      </w:r>
    </w:p>
    <w:p w14:paraId="4C0C31F2" w14:textId="77777777" w:rsidR="001A4F65" w:rsidRPr="00075327"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El incumplimiento por lo dispuesto por este artículo, establecerá la presunción de ser ciertos los hechos que el actor exprese en su demanda, en relación con tales documentos, salvo prueba en contrario.”</w:t>
      </w:r>
    </w:p>
    <w:p w14:paraId="6C23B613" w14:textId="77777777" w:rsidR="000D143C" w:rsidRDefault="000D143C" w:rsidP="001A4F65">
      <w:pPr>
        <w:spacing w:before="120" w:line="360" w:lineRule="auto"/>
        <w:jc w:val="both"/>
        <w:rPr>
          <w:rFonts w:ascii="Palatino Linotype" w:eastAsia="Palatino Linotype" w:hAnsi="Palatino Linotype" w:cs="Palatino Linotype"/>
          <w:sz w:val="22"/>
          <w:szCs w:val="22"/>
        </w:rPr>
      </w:pPr>
    </w:p>
    <w:p w14:paraId="0AE4EFC7" w14:textId="78D70690" w:rsidR="001A4F65" w:rsidRPr="005D68A0" w:rsidRDefault="001A4F65" w:rsidP="001A4F65">
      <w:pPr>
        <w:spacing w:before="120" w:line="360" w:lineRule="auto"/>
        <w:jc w:val="both"/>
        <w:rPr>
          <w:rFonts w:ascii="Palatino Linotype" w:hAnsi="Palatino Linotype"/>
          <w:sz w:val="22"/>
          <w:szCs w:val="22"/>
        </w:rPr>
      </w:pPr>
      <w:r w:rsidRPr="00511BF8">
        <w:rPr>
          <w:rFonts w:ascii="Palatino Linotype" w:eastAsia="Palatino Linotype" w:hAnsi="Palatino Linotype" w:cs="Palatino Linotype"/>
        </w:rPr>
        <w:t>Sobre la base del precepto legal citado, se advierte que toda institución pública o dependencia pública del Estado de México debe conservar las constancias de pago de salarios, prima vacacional, aguinaldo y demás prestaciones legales de acuerdo con la forma en que se haya realizado el pago; es decir, en efectivo, cheque, depósito, transferencia u otra, debiendo conservar dicha documentación durante el último año y un año después de que se extingue la relación laboral a través de los sistemas de digitalización o de información magnética o electrónica</w:t>
      </w:r>
      <w:r w:rsidRPr="005D68A0">
        <w:rPr>
          <w:rFonts w:ascii="Palatino Linotype" w:eastAsia="Palatino Linotype" w:hAnsi="Palatino Linotype" w:cs="Palatino Linotype"/>
          <w:sz w:val="22"/>
          <w:szCs w:val="22"/>
        </w:rPr>
        <w:t>.</w:t>
      </w:r>
    </w:p>
    <w:p w14:paraId="0BCF5720" w14:textId="77777777" w:rsidR="001A4F65" w:rsidRPr="005D68A0" w:rsidRDefault="001A4F65" w:rsidP="001A4F65">
      <w:pPr>
        <w:spacing w:line="360" w:lineRule="auto"/>
        <w:rPr>
          <w:rFonts w:ascii="Palatino Linotype" w:hAnsi="Palatino Linotype"/>
          <w:sz w:val="22"/>
          <w:szCs w:val="22"/>
        </w:rPr>
      </w:pPr>
    </w:p>
    <w:p w14:paraId="2C4E1216" w14:textId="77777777" w:rsidR="001A4F65" w:rsidRPr="00511BF8" w:rsidRDefault="001A4F65" w:rsidP="001A4F65">
      <w:pPr>
        <w:spacing w:line="360" w:lineRule="auto"/>
        <w:jc w:val="both"/>
        <w:rPr>
          <w:rFonts w:ascii="Palatino Linotype" w:hAnsi="Palatino Linotype"/>
        </w:rPr>
      </w:pPr>
      <w:r w:rsidRPr="00511BF8">
        <w:rPr>
          <w:rFonts w:ascii="Palatino Linotype" w:eastAsia="Palatino Linotype" w:hAnsi="Palatino Linotype" w:cs="Palatino Linotype"/>
        </w:rPr>
        <w:t xml:space="preserve">En estas condiciones, resulta claro que la información de mérito es generada en ejercicio de las atribuciones del </w:t>
      </w:r>
      <w:r w:rsidRPr="00511BF8">
        <w:rPr>
          <w:rFonts w:ascii="Palatino Linotype" w:eastAsia="Palatino Linotype" w:hAnsi="Palatino Linotype" w:cs="Palatino Linotype"/>
          <w:b/>
        </w:rPr>
        <w:t>Sujeto Obligado</w:t>
      </w:r>
      <w:r w:rsidRPr="00511BF8">
        <w:rPr>
          <w:rFonts w:ascii="Palatino Linotype" w:eastAsia="Palatino Linotype" w:hAnsi="Palatino Linotype" w:cs="Palatino Linotype"/>
        </w:rPr>
        <w:t xml:space="preserve"> de acuerdo a lo dispuesto por los artículos 4, segundo párrafo y 12, segundo párrafo de la Ley de Transparencia y Acceso a la Información Pública del Estado de México y Municipios; consecuentemente debe obrar </w:t>
      </w:r>
      <w:r w:rsidRPr="00511BF8">
        <w:rPr>
          <w:rFonts w:ascii="Palatino Linotype" w:eastAsia="Palatino Linotype" w:hAnsi="Palatino Linotype" w:cs="Palatino Linotype"/>
        </w:rPr>
        <w:lastRenderedPageBreak/>
        <w:t>en sus archivos de conformidad a lo que señala el artículo 19 de la Ley de Transparencia Local que establece que debe presumirse la existencia de la información, si se refiere a las facultades, competencias y funciones que los ordenamientos jurídicos aplicables otorgan a los Sujetos Obligados.</w:t>
      </w:r>
    </w:p>
    <w:p w14:paraId="4A1896F4" w14:textId="77777777" w:rsidR="001A4F65" w:rsidRPr="00511BF8" w:rsidRDefault="001A4F65" w:rsidP="001A4F65">
      <w:pPr>
        <w:spacing w:line="360" w:lineRule="auto"/>
        <w:rPr>
          <w:rFonts w:ascii="Palatino Linotype" w:hAnsi="Palatino Linotype"/>
        </w:rPr>
      </w:pPr>
    </w:p>
    <w:p w14:paraId="2C63FAFD" w14:textId="77777777" w:rsidR="001A4F65" w:rsidRPr="00511BF8" w:rsidRDefault="001A4F65" w:rsidP="001A4F65">
      <w:pPr>
        <w:spacing w:line="360" w:lineRule="auto"/>
        <w:jc w:val="both"/>
        <w:rPr>
          <w:rFonts w:ascii="Palatino Linotype" w:hAnsi="Palatino Linotype"/>
        </w:rPr>
      </w:pPr>
      <w:r w:rsidRPr="00511BF8">
        <w:rPr>
          <w:rFonts w:ascii="Palatino Linotype" w:eastAsia="Palatino Linotype" w:hAnsi="Palatino Linotype" w:cs="Palatino Linotype"/>
        </w:rPr>
        <w:t>Además, de que la información de análisis, es de interés general y de alcance público, puesto que la ciudadanía tiene derecho a saber cuál es el gasto ejercido para el pago de remuneraciones por servicios personales al realizar las funciones públicas; esto es, su acceso permite transparentar la aplicación de los recursos públicos que son otorgados para el cumplimiento de sus funciones, ello conforme a lo dispuesto por los artículos 7 y 23 de la Ley de Transparencia y Acceso a la Información Pública del Estado de México y Municipios, que establece como deber de los Sujetos Obligados el hacer pública toda la información respecto a los montos y nombres de las personas a quienes se entreguen recursos públicos y con ello transparentar la forma, términos, causas y finalidad en la disposición de esos recursos; precepto legal que es del tenor siguiente:</w:t>
      </w:r>
    </w:p>
    <w:p w14:paraId="12A0886A" w14:textId="77777777" w:rsidR="001A4F65" w:rsidRPr="005D68A0" w:rsidRDefault="001A4F65" w:rsidP="001A4F65">
      <w:pPr>
        <w:rPr>
          <w:rFonts w:ascii="Palatino Linotype" w:hAnsi="Palatino Linotype"/>
          <w:sz w:val="22"/>
          <w:szCs w:val="22"/>
        </w:rPr>
      </w:pPr>
    </w:p>
    <w:p w14:paraId="339E0F71" w14:textId="77777777" w:rsidR="001A4F65" w:rsidRPr="005D68A0" w:rsidRDefault="001A4F65" w:rsidP="001A4F65">
      <w:pPr>
        <w:spacing w:after="160" w:line="276" w:lineRule="auto"/>
        <w:ind w:left="851" w:right="616"/>
        <w:jc w:val="both"/>
        <w:rPr>
          <w:rFonts w:ascii="Palatino Linotype" w:hAnsi="Palatino Linotype"/>
          <w:i/>
          <w:sz w:val="22"/>
          <w:szCs w:val="22"/>
        </w:rPr>
      </w:pPr>
      <w:r w:rsidRPr="005D68A0">
        <w:rPr>
          <w:rFonts w:ascii="Palatino Linotype" w:eastAsia="Palatino Linotype" w:hAnsi="Palatino Linotype" w:cs="Palatino Linotype"/>
          <w:b/>
          <w:i/>
          <w:sz w:val="22"/>
          <w:szCs w:val="22"/>
          <w:u w:val="single"/>
        </w:rPr>
        <w:t>“Artículo 7. El Estado de México garantizará el efectivo acceso de toda persona a la información en posesión de cualquier entidad,</w:t>
      </w:r>
      <w:r w:rsidRPr="005D68A0">
        <w:rPr>
          <w:rFonts w:ascii="Palatino Linotype" w:eastAsia="Palatino Linotype" w:hAnsi="Palatino Linotype" w:cs="Palatino Linotype"/>
          <w:i/>
          <w:sz w:val="22"/>
          <w:szCs w:val="22"/>
        </w:rPr>
        <w:t xml:space="preserve"> autoridad, órgano y organismo de los poderes Ejecutivo, Legislativo y Judicial, órganos autónomos, partidos políticos, fideicomisos y fondos públicos, así como de cualquier persona física, jurídico colectiva o sindicato </w:t>
      </w:r>
      <w:r w:rsidRPr="005D68A0">
        <w:rPr>
          <w:rFonts w:ascii="Palatino Linotype" w:eastAsia="Palatino Linotype" w:hAnsi="Palatino Linotype" w:cs="Palatino Linotype"/>
          <w:b/>
          <w:i/>
          <w:sz w:val="22"/>
          <w:szCs w:val="22"/>
          <w:u w:val="single"/>
        </w:rPr>
        <w:t>que reciba y ejerza recursos públicos</w:t>
      </w:r>
      <w:r w:rsidRPr="005D68A0">
        <w:rPr>
          <w:rFonts w:ascii="Palatino Linotype" w:eastAsia="Palatino Linotype" w:hAnsi="Palatino Linotype" w:cs="Palatino Linotype"/>
          <w:i/>
          <w:sz w:val="22"/>
          <w:szCs w:val="22"/>
        </w:rPr>
        <w:t xml:space="preserve"> o realice actos de autoridad </w:t>
      </w:r>
      <w:r w:rsidRPr="005D68A0">
        <w:rPr>
          <w:rFonts w:ascii="Palatino Linotype" w:eastAsia="Palatino Linotype" w:hAnsi="Palatino Linotype" w:cs="Palatino Linotype"/>
          <w:b/>
          <w:i/>
          <w:sz w:val="22"/>
          <w:szCs w:val="22"/>
          <w:u w:val="single"/>
        </w:rPr>
        <w:t xml:space="preserve">en el ámbito de competencia del Estado de México </w:t>
      </w:r>
      <w:r w:rsidRPr="005D68A0">
        <w:rPr>
          <w:rFonts w:ascii="Palatino Linotype" w:eastAsia="Palatino Linotype" w:hAnsi="Palatino Linotype" w:cs="Palatino Linotype"/>
          <w:i/>
          <w:sz w:val="22"/>
          <w:szCs w:val="22"/>
        </w:rPr>
        <w:t>y sus municipios.</w:t>
      </w:r>
    </w:p>
    <w:p w14:paraId="51C34016" w14:textId="77777777" w:rsidR="001A4F65" w:rsidRPr="005D68A0" w:rsidRDefault="001A4F65" w:rsidP="001A4F65">
      <w:pPr>
        <w:spacing w:after="160"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rPr>
        <w:t>Artículo 23</w:t>
      </w:r>
      <w:r w:rsidRPr="005D68A0">
        <w:rPr>
          <w:rFonts w:ascii="Palatino Linotype" w:eastAsia="Palatino Linotype" w:hAnsi="Palatino Linotype" w:cs="Palatino Linotype"/>
          <w:i/>
          <w:sz w:val="22"/>
          <w:szCs w:val="22"/>
        </w:rPr>
        <w:t>. Son sujetos obligados a transparentar y permitir el acceso a su información y proteger los datos personales que obren en su poder:</w:t>
      </w:r>
    </w:p>
    <w:p w14:paraId="4A7E6442" w14:textId="77777777" w:rsidR="001A4F65" w:rsidRPr="005D68A0" w:rsidRDefault="001A4F65" w:rsidP="001A4F65">
      <w:pPr>
        <w:spacing w:after="160"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u w:val="single"/>
        </w:rPr>
        <w:t>I. El Poder Ejecutivo del Estado de México, las dependencias, organismos auxiliares, órganos, entidades, fideicomisos y fondos públicos, así como la Fiscalía General de Justicia del Estado de México;</w:t>
      </w:r>
    </w:p>
    <w:p w14:paraId="6DD910C4" w14:textId="77777777" w:rsidR="001A4F65" w:rsidRPr="005D68A0" w:rsidRDefault="001A4F65" w:rsidP="001A4F65">
      <w:pPr>
        <w:spacing w:after="160"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lastRenderedPageBreak/>
        <w:t>(…)</w:t>
      </w:r>
    </w:p>
    <w:p w14:paraId="3B651269" w14:textId="77777777" w:rsidR="001A4F65" w:rsidRPr="005D68A0" w:rsidRDefault="001A4F65" w:rsidP="001A4F65">
      <w:pPr>
        <w:spacing w:after="160"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u w:val="single"/>
        </w:rPr>
        <w:t>Los sujetos obligados deberán hacer pública toda aquella información relativa a los montos y las personas a quienes entreguen, por cualquier motivo, recursos públicos, así como los informes que dichas personas les entreguen sobre el uso y destino de dichos recursos.</w:t>
      </w:r>
    </w:p>
    <w:p w14:paraId="2F800C81" w14:textId="77777777" w:rsidR="001A4F65" w:rsidRPr="005D68A0" w:rsidRDefault="001A4F65" w:rsidP="001A4F65">
      <w:pPr>
        <w:spacing w:after="160"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Los servidores públicos deberán transparentar sus acciones así como garantizar y respetar el derecho de acceso a la información pública.”</w:t>
      </w:r>
      <w:r w:rsidRPr="005D68A0">
        <w:rPr>
          <w:rFonts w:ascii="Palatino Linotype" w:eastAsia="Palatino Linotype" w:hAnsi="Palatino Linotype" w:cs="Palatino Linotype"/>
          <w:b/>
          <w:i/>
          <w:sz w:val="22"/>
          <w:szCs w:val="22"/>
        </w:rPr>
        <w:t xml:space="preserve"> </w:t>
      </w:r>
    </w:p>
    <w:p w14:paraId="5E6C79D8" w14:textId="77777777" w:rsidR="001A4F65" w:rsidRPr="005D68A0" w:rsidRDefault="001A4F65" w:rsidP="001A4F65">
      <w:pPr>
        <w:rPr>
          <w:rFonts w:ascii="Palatino Linotype" w:hAnsi="Palatino Linotype"/>
          <w:sz w:val="22"/>
          <w:szCs w:val="22"/>
        </w:rPr>
      </w:pPr>
    </w:p>
    <w:p w14:paraId="028B2A2A" w14:textId="77777777" w:rsidR="001A4F65" w:rsidRPr="00511BF8" w:rsidRDefault="001A4F65" w:rsidP="001A4F65">
      <w:pPr>
        <w:spacing w:after="160" w:line="360" w:lineRule="auto"/>
        <w:jc w:val="both"/>
        <w:rPr>
          <w:rFonts w:ascii="Palatino Linotype" w:hAnsi="Palatino Linotype"/>
        </w:rPr>
      </w:pPr>
      <w:r w:rsidRPr="00511BF8">
        <w:rPr>
          <w:rFonts w:ascii="Palatino Linotype" w:eastAsia="Palatino Linotype" w:hAnsi="Palatino Linotype" w:cs="Palatino Linotype"/>
        </w:rPr>
        <w:t xml:space="preserve">Sirve de sustento por analogía, para justificar la publicidad sobre los datos relativos a los montos por concepto de pago de las remuneraciones, los criterios </w:t>
      </w:r>
      <w:r w:rsidRPr="00511BF8">
        <w:rPr>
          <w:rFonts w:ascii="Palatino Linotype" w:eastAsia="Palatino Linotype" w:hAnsi="Palatino Linotype" w:cs="Palatino Linotype"/>
          <w:b/>
        </w:rPr>
        <w:t>01/2003</w:t>
      </w:r>
      <w:r w:rsidRPr="00511BF8">
        <w:rPr>
          <w:rFonts w:ascii="Palatino Linotype" w:eastAsia="Palatino Linotype" w:hAnsi="Palatino Linotype" w:cs="Palatino Linotype"/>
        </w:rPr>
        <w:t xml:space="preserve"> y </w:t>
      </w:r>
      <w:r w:rsidRPr="00511BF8">
        <w:rPr>
          <w:rFonts w:ascii="Palatino Linotype" w:eastAsia="Palatino Linotype" w:hAnsi="Palatino Linotype" w:cs="Palatino Linotype"/>
          <w:b/>
        </w:rPr>
        <w:t>02/2003</w:t>
      </w:r>
      <w:r w:rsidRPr="00511BF8">
        <w:rPr>
          <w:rFonts w:ascii="Palatino Linotype" w:eastAsia="Palatino Linotype" w:hAnsi="Palatino Linotype" w:cs="Palatino Linotype"/>
        </w:rPr>
        <w:t xml:space="preserve"> emitidos por el Comité de Acceso a la Información Pública y Protección de Datos Personales de la Suprema Corte de Justicia de la Nación que a continuación se citan: </w:t>
      </w:r>
    </w:p>
    <w:p w14:paraId="2FDD46CE" w14:textId="77777777" w:rsidR="001A4F65" w:rsidRPr="005D68A0" w:rsidRDefault="001A4F65" w:rsidP="001A4F65">
      <w:pPr>
        <w:tabs>
          <w:tab w:val="left" w:pos="7513"/>
        </w:tabs>
        <w:spacing w:line="276" w:lineRule="auto"/>
        <w:ind w:left="851" w:right="616"/>
        <w:rPr>
          <w:rFonts w:ascii="Palatino Linotype" w:hAnsi="Palatino Linotype"/>
          <w:sz w:val="22"/>
          <w:szCs w:val="22"/>
        </w:rPr>
      </w:pPr>
      <w:r w:rsidRPr="005D68A0">
        <w:rPr>
          <w:rFonts w:ascii="Palatino Linotype" w:eastAsia="Palatino Linotype" w:hAnsi="Palatino Linotype" w:cs="Palatino Linotype"/>
          <w:b/>
          <w:i/>
          <w:sz w:val="22"/>
          <w:szCs w:val="22"/>
        </w:rPr>
        <w:t>“Criterio 01/2003.</w:t>
      </w:r>
    </w:p>
    <w:p w14:paraId="56F2137F" w14:textId="77777777" w:rsidR="001A4F65" w:rsidRPr="005D68A0" w:rsidRDefault="001A4F65" w:rsidP="001A4F65">
      <w:pPr>
        <w:tabs>
          <w:tab w:val="left" w:pos="7513"/>
        </w:tabs>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rPr>
        <w:t>INGRESOS DE LOS SERVIDORES PÚBLICOS. CONSTITUYEN INFORMACIÓN PÚBLICA AÚN Y CUANDO SU DIFUSIÓN PUEDE AFECTAR LA VIDA O LA SEGURIDAD DE AQUELLOS.</w:t>
      </w:r>
      <w:r w:rsidRPr="005D68A0">
        <w:rPr>
          <w:rFonts w:ascii="Palatino Linotype" w:eastAsia="Palatino Linotype" w:hAnsi="Palatino Linotype" w:cs="Palatino Linotype"/>
          <w:i/>
          <w:sz w:val="22"/>
          <w:szCs w:val="22"/>
        </w:rPr>
        <w:t> </w:t>
      </w:r>
    </w:p>
    <w:p w14:paraId="1FE2C4A2" w14:textId="77777777" w:rsidR="001A4F65" w:rsidRPr="005D68A0" w:rsidRDefault="001A4F65" w:rsidP="001A4F65">
      <w:pPr>
        <w:tabs>
          <w:tab w:val="left" w:pos="7513"/>
        </w:tabs>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 xml:space="preserve">Si bien el artículo 13, fracción IV, de la Ley Federal de Transparencia y  Acceso  a la información Pública Gubernamental establece que debe clasificarse como información confidencial la que conste en expedientes administrativos cuya difusión  pueda poner en riesgo la vida, la seguridad o la salud de cualquier persona, debe reconocerse que aun y  cuando en ese supuesto podría encuadrar la relativa a las percepciones ordinarias y extraordinaria de los servidores públicos, ello no obsta para reconocer que el legislador estableció en el artículo 7 de ese mismo ordenamiento que la referida información, como una obligación de trasparencia, </w:t>
      </w:r>
      <w:r w:rsidRPr="005D68A0">
        <w:rPr>
          <w:rFonts w:ascii="Palatino Linotype" w:eastAsia="Palatino Linotype" w:hAnsi="Palatino Linotype" w:cs="Palatino Linotype"/>
          <w:b/>
          <w:i/>
          <w:sz w:val="22"/>
          <w:szCs w:val="22"/>
          <w:u w:val="single"/>
        </w:rPr>
        <w:t>deben publicarse en medios remotos o locales de comunicación electrónica, lo que se sustenta en el hecho de que el monto de todos los ingresos que recibe un servidor público por desarrollar las labores que les son encomendadas con motivo del desempeño del cargo respecto. Constituyen información pública, en tanto que se trata de erogaciones que realiza un órgano del Estado en base con los recursos que encuentran su origen en mayor medida en las contribuciones aportados por los gobernados</w:t>
      </w:r>
      <w:r w:rsidRPr="005D68A0">
        <w:rPr>
          <w:rFonts w:ascii="Palatino Linotype" w:eastAsia="Palatino Linotype" w:hAnsi="Palatino Linotype" w:cs="Palatino Linotype"/>
          <w:i/>
          <w:sz w:val="22"/>
          <w:szCs w:val="22"/>
          <w:u w:val="single"/>
        </w:rPr>
        <w:t>…”</w:t>
      </w:r>
    </w:p>
    <w:p w14:paraId="599E37FE" w14:textId="77777777" w:rsidR="001A4F65" w:rsidRPr="005D68A0" w:rsidRDefault="001A4F65" w:rsidP="001A4F65">
      <w:pPr>
        <w:tabs>
          <w:tab w:val="left" w:pos="7513"/>
        </w:tabs>
        <w:spacing w:line="276" w:lineRule="auto"/>
        <w:ind w:left="851" w:right="616"/>
        <w:rPr>
          <w:rFonts w:ascii="Palatino Linotype" w:hAnsi="Palatino Linotype"/>
          <w:sz w:val="22"/>
          <w:szCs w:val="22"/>
        </w:rPr>
      </w:pPr>
    </w:p>
    <w:p w14:paraId="25D6ED82" w14:textId="77777777" w:rsidR="001A4F65" w:rsidRPr="005D68A0" w:rsidRDefault="001A4F65" w:rsidP="001A4F65">
      <w:pPr>
        <w:tabs>
          <w:tab w:val="left" w:pos="7513"/>
        </w:tabs>
        <w:spacing w:line="276" w:lineRule="auto"/>
        <w:ind w:left="851" w:right="616"/>
        <w:rPr>
          <w:rFonts w:ascii="Palatino Linotype" w:hAnsi="Palatino Linotype"/>
          <w:sz w:val="22"/>
          <w:szCs w:val="22"/>
        </w:rPr>
      </w:pPr>
      <w:r w:rsidRPr="005D68A0">
        <w:rPr>
          <w:rFonts w:ascii="Palatino Linotype" w:eastAsia="Palatino Linotype" w:hAnsi="Palatino Linotype" w:cs="Palatino Linotype"/>
          <w:b/>
          <w:i/>
          <w:sz w:val="22"/>
          <w:szCs w:val="22"/>
        </w:rPr>
        <w:t>“Criterio 02/2003.</w:t>
      </w:r>
    </w:p>
    <w:p w14:paraId="41624CB9" w14:textId="77777777" w:rsidR="001A4F65" w:rsidRPr="005D68A0" w:rsidRDefault="001A4F65" w:rsidP="001A4F65">
      <w:pPr>
        <w:tabs>
          <w:tab w:val="left" w:pos="7513"/>
        </w:tabs>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i/>
          <w:sz w:val="22"/>
          <w:szCs w:val="22"/>
        </w:rPr>
        <w:t>INGRESOS DE LOS SERVIDORES PÚBLICOS, SON INFORMACIÓN PÚBLICA AÚN Y CUANDO CONSTITUYEN DATOS PERSONALES QUE SE REFIEREN AL PATRIMONIO DE AQUÉLLOS.</w:t>
      </w:r>
      <w:r w:rsidRPr="005D68A0">
        <w:rPr>
          <w:rFonts w:ascii="Palatino Linotype" w:eastAsia="Palatino Linotype" w:hAnsi="Palatino Linotype" w:cs="Palatino Linotype"/>
          <w:i/>
          <w:sz w:val="22"/>
          <w:szCs w:val="22"/>
        </w:rPr>
        <w:t> </w:t>
      </w:r>
    </w:p>
    <w:p w14:paraId="73262D65" w14:textId="77777777" w:rsidR="001A4F65" w:rsidRPr="005D68A0" w:rsidRDefault="001A4F65" w:rsidP="001A4F65">
      <w:pPr>
        <w:tabs>
          <w:tab w:val="left" w:pos="7513"/>
        </w:tabs>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 xml:space="preserve">De la interpretación sistemática de lo previsto en los artículos 3º, fracción II; 7º, 9º y 18, fracción II, de la Ley Federal de Transparencia y Acceso a la Información Pública Gubernamental se advierte que no constituye información confidencial la relativa a los ingresos que reciben los servidores públicos, ya que aun y cuando se trata de datos personales relativos a su patrimonio, para su difusión no se requiere consentimiento de aquellos, </w:t>
      </w:r>
      <w:r w:rsidRPr="005D68A0">
        <w:rPr>
          <w:rFonts w:ascii="Palatino Linotype" w:eastAsia="Palatino Linotype" w:hAnsi="Palatino Linotype" w:cs="Palatino Linotype"/>
          <w:b/>
          <w:i/>
          <w:sz w:val="22"/>
          <w:szCs w:val="22"/>
          <w:u w:val="single"/>
        </w:rPr>
        <w:t>lo que deriva del hecho de que en términos de los previsto en el citado ordenamiento deben ponerse a disposición del público a través de medios remotos o locales de comunicación electrónica, tanto el directorio de servidores públicos como las remuneraciones mensuales por puesto incluso</w:t>
      </w:r>
      <w:r w:rsidRPr="005D68A0">
        <w:rPr>
          <w:rFonts w:ascii="Palatino Linotype" w:eastAsia="Palatino Linotype" w:hAnsi="Palatino Linotype" w:cs="Palatino Linotype"/>
          <w:i/>
          <w:sz w:val="22"/>
          <w:szCs w:val="22"/>
        </w:rPr>
        <w:t xml:space="preserve"> el sistema de compensación…”</w:t>
      </w:r>
    </w:p>
    <w:p w14:paraId="1AA873E1" w14:textId="77777777" w:rsidR="001A4F65" w:rsidRPr="005D68A0" w:rsidRDefault="001A4F65" w:rsidP="001A4F65">
      <w:pPr>
        <w:rPr>
          <w:rFonts w:ascii="Palatino Linotype" w:hAnsi="Palatino Linotype"/>
          <w:sz w:val="22"/>
          <w:szCs w:val="22"/>
        </w:rPr>
      </w:pPr>
    </w:p>
    <w:p w14:paraId="4B723FB3" w14:textId="77777777" w:rsidR="001A4F65" w:rsidRPr="00511BF8" w:rsidRDefault="001A4F65" w:rsidP="001A4F65">
      <w:pPr>
        <w:spacing w:line="360" w:lineRule="auto"/>
        <w:jc w:val="both"/>
        <w:rPr>
          <w:rFonts w:ascii="Palatino Linotype" w:hAnsi="Palatino Linotype"/>
        </w:rPr>
      </w:pPr>
      <w:r w:rsidRPr="00511BF8">
        <w:rPr>
          <w:rFonts w:ascii="Palatino Linotype" w:eastAsia="Palatino Linotype" w:hAnsi="Palatino Linotype" w:cs="Palatino Linotype"/>
        </w:rPr>
        <w:t>Ahora bien, el artículo 92, fracción VIII de la Ley de Transparencia y Acceso a la Información Pública del Estado de México y Municipios, señala: </w:t>
      </w:r>
    </w:p>
    <w:p w14:paraId="7902A25F"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w:t>
      </w:r>
      <w:r w:rsidRPr="005D68A0">
        <w:rPr>
          <w:rFonts w:ascii="Palatino Linotype" w:eastAsia="Palatino Linotype" w:hAnsi="Palatino Linotype" w:cs="Palatino Linotype"/>
          <w:b/>
          <w:bCs/>
          <w:i/>
          <w:sz w:val="22"/>
          <w:szCs w:val="22"/>
        </w:rPr>
        <w:t>Artículo 92.</w:t>
      </w:r>
      <w:r w:rsidRPr="005D68A0">
        <w:rPr>
          <w:rFonts w:ascii="Palatino Linotype" w:eastAsia="Palatino Linotype" w:hAnsi="Palatino Linotype" w:cs="Palatino Linotype"/>
          <w:i/>
          <w:sz w:val="22"/>
          <w:szCs w:val="22"/>
        </w:rPr>
        <w:t xml:space="preserve">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 </w:t>
      </w:r>
    </w:p>
    <w:p w14:paraId="751C0960"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i/>
          <w:sz w:val="22"/>
          <w:szCs w:val="22"/>
        </w:rPr>
        <w:t>(…)</w:t>
      </w:r>
    </w:p>
    <w:p w14:paraId="4FA0933F" w14:textId="77777777" w:rsidR="001A4F65" w:rsidRPr="005D68A0" w:rsidRDefault="001A4F65" w:rsidP="001A4F65">
      <w:pPr>
        <w:spacing w:line="276" w:lineRule="auto"/>
        <w:ind w:left="851" w:right="616"/>
        <w:jc w:val="both"/>
        <w:rPr>
          <w:rFonts w:ascii="Palatino Linotype" w:hAnsi="Palatino Linotype"/>
          <w:sz w:val="22"/>
          <w:szCs w:val="22"/>
        </w:rPr>
      </w:pPr>
      <w:r w:rsidRPr="005D68A0">
        <w:rPr>
          <w:rFonts w:ascii="Palatino Linotype" w:eastAsia="Palatino Linotype" w:hAnsi="Palatino Linotype" w:cs="Palatino Linotype"/>
          <w:b/>
          <w:bCs/>
          <w:i/>
          <w:sz w:val="22"/>
          <w:szCs w:val="22"/>
        </w:rPr>
        <w:t>VIII.</w:t>
      </w:r>
      <w:r w:rsidRPr="005D68A0">
        <w:rPr>
          <w:rFonts w:ascii="Palatino Linotype" w:eastAsia="Palatino Linotype" w:hAnsi="Palatino Linotype" w:cs="Palatino Linotype"/>
          <w:i/>
          <w:sz w:val="22"/>
          <w:szCs w:val="22"/>
        </w:rPr>
        <w:t xml:space="preserve"> La remuneración bruta y neta de todos los servidores públicos de base o de confianza, de todas las percepciones, incluyendo sueldos, prestaciones, gratificaciones, primas, comisiones, dietas, bonos, estímulos, ingresos y sistemas de compensación, señalando la periodicidad de dicha remuneración;”</w:t>
      </w:r>
    </w:p>
    <w:p w14:paraId="0A7402F7" w14:textId="77777777" w:rsidR="001A4F65" w:rsidRPr="00E66CA2" w:rsidRDefault="001A4F65" w:rsidP="001A4F65">
      <w:pPr>
        <w:spacing w:line="360" w:lineRule="auto"/>
        <w:jc w:val="both"/>
        <w:rPr>
          <w:rFonts w:ascii="Palatino Linotype" w:hAnsi="Palatino Linotype"/>
        </w:rPr>
      </w:pPr>
    </w:p>
    <w:p w14:paraId="199DAD99" w14:textId="7E562048" w:rsidR="001A4F65" w:rsidRPr="002619BD" w:rsidRDefault="001A4F65" w:rsidP="002619BD">
      <w:pPr>
        <w:pStyle w:val="Prrafodelista"/>
        <w:autoSpaceDE w:val="0"/>
        <w:autoSpaceDN w:val="0"/>
        <w:adjustRightInd w:val="0"/>
        <w:spacing w:line="360" w:lineRule="auto"/>
        <w:ind w:left="0" w:right="49"/>
        <w:jc w:val="both"/>
        <w:rPr>
          <w:rFonts w:ascii="Palatino Linotype" w:hAnsi="Palatino Linotype"/>
          <w:i/>
        </w:rPr>
      </w:pPr>
      <w:r>
        <w:rPr>
          <w:rFonts w:ascii="Palatino Linotype" w:eastAsia="Palatino Linotype" w:hAnsi="Palatino Linotype" w:cs="Palatino Linotype"/>
        </w:rPr>
        <w:t>S</w:t>
      </w:r>
      <w:r w:rsidRPr="005611A1">
        <w:rPr>
          <w:rFonts w:ascii="Palatino Linotype" w:eastAsia="Palatino Linotype" w:hAnsi="Palatino Linotype" w:cs="Palatino Linotype"/>
        </w:rPr>
        <w:t>in que pase por desapercibido</w:t>
      </w:r>
      <w:r>
        <w:rPr>
          <w:rFonts w:ascii="Palatino Linotype" w:eastAsia="Palatino Linotype" w:hAnsi="Palatino Linotype" w:cs="Palatino Linotype"/>
        </w:rPr>
        <w:t xml:space="preserve"> por este Instituto</w:t>
      </w:r>
      <w:r w:rsidRPr="005611A1">
        <w:rPr>
          <w:rFonts w:ascii="Palatino Linotype" w:eastAsia="Palatino Linotype" w:hAnsi="Palatino Linotype" w:cs="Palatino Linotype"/>
        </w:rPr>
        <w:t xml:space="preserve"> que el titular del Tesorería </w:t>
      </w:r>
      <w:r w:rsidR="00A2067D" w:rsidRPr="005611A1">
        <w:rPr>
          <w:rFonts w:ascii="Palatino Linotype" w:eastAsia="Palatino Linotype" w:hAnsi="Palatino Linotype" w:cs="Palatino Linotype"/>
        </w:rPr>
        <w:t>Municipal manifestó</w:t>
      </w:r>
      <w:r w:rsidRPr="005611A1">
        <w:rPr>
          <w:rFonts w:ascii="Palatino Linotype" w:eastAsia="Palatino Linotype" w:hAnsi="Palatino Linotype" w:cs="Palatino Linotype"/>
        </w:rPr>
        <w:t xml:space="preserve"> “</w:t>
      </w:r>
      <w:r w:rsidR="00A2067D" w:rsidRPr="00A2067D">
        <w:rPr>
          <w:rFonts w:ascii="Palatino Linotype" w:eastAsia="Palatino Linotype" w:hAnsi="Palatino Linotype" w:cs="Palatino Linotype"/>
          <w:i/>
          <w:iCs/>
        </w:rPr>
        <w:t xml:space="preserve">es preciso señalar que </w:t>
      </w:r>
      <w:proofErr w:type="spellStart"/>
      <w:r w:rsidR="00A2067D" w:rsidRPr="00A2067D">
        <w:rPr>
          <w:rFonts w:ascii="Palatino Linotype" w:eastAsia="Palatino Linotype" w:hAnsi="Palatino Linotype" w:cs="Palatino Linotype"/>
          <w:i/>
          <w:iCs/>
        </w:rPr>
        <w:t>aun</w:t>
      </w:r>
      <w:proofErr w:type="spellEnd"/>
      <w:r w:rsidR="00A2067D" w:rsidRPr="00A2067D">
        <w:rPr>
          <w:rFonts w:ascii="Palatino Linotype" w:eastAsia="Palatino Linotype" w:hAnsi="Palatino Linotype" w:cs="Palatino Linotype"/>
          <w:i/>
          <w:iCs/>
        </w:rPr>
        <w:t xml:space="preserve"> no están disponibles en el sistema SIFI nómina que </w:t>
      </w:r>
      <w:proofErr w:type="spellStart"/>
      <w:r w:rsidR="00A2067D" w:rsidRPr="00A2067D">
        <w:rPr>
          <w:rFonts w:ascii="Palatino Linotype" w:eastAsia="Palatino Linotype" w:hAnsi="Palatino Linotype" w:cs="Palatino Linotype"/>
          <w:i/>
          <w:iCs/>
        </w:rPr>
        <w:t>gnera</w:t>
      </w:r>
      <w:proofErr w:type="spellEnd"/>
      <w:r w:rsidR="00A2067D" w:rsidRPr="00A2067D">
        <w:rPr>
          <w:rFonts w:ascii="Palatino Linotype" w:eastAsia="Palatino Linotype" w:hAnsi="Palatino Linotype" w:cs="Palatino Linotype"/>
          <w:i/>
          <w:iCs/>
        </w:rPr>
        <w:t xml:space="preserve"> dichos documentos”</w:t>
      </w:r>
      <w:r w:rsidR="00A2067D">
        <w:rPr>
          <w:rFonts w:ascii="Palatino Linotype" w:eastAsia="Palatino Linotype" w:hAnsi="Palatino Linotype" w:cs="Palatino Linotype"/>
        </w:rPr>
        <w:t xml:space="preserve"> </w:t>
      </w:r>
      <w:r>
        <w:rPr>
          <w:rFonts w:ascii="Palatino Linotype" w:hAnsi="Palatino Linotype" w:cs="Arial"/>
          <w:szCs w:val="22"/>
        </w:rPr>
        <w:t>b</w:t>
      </w:r>
      <w:r w:rsidRPr="005611A1">
        <w:rPr>
          <w:rFonts w:ascii="Palatino Linotype" w:hAnsi="Palatino Linotype" w:cs="Arial"/>
          <w:szCs w:val="22"/>
        </w:rPr>
        <w:t xml:space="preserve">ajo dichas consideraciones, se </w:t>
      </w:r>
      <w:r>
        <w:rPr>
          <w:rFonts w:ascii="Palatino Linotype" w:hAnsi="Palatino Linotype" w:cs="Arial"/>
          <w:szCs w:val="22"/>
        </w:rPr>
        <w:t xml:space="preserve"> debe </w:t>
      </w:r>
      <w:r w:rsidRPr="005611A1">
        <w:rPr>
          <w:rFonts w:ascii="Palatino Linotype" w:hAnsi="Palatino Linotype" w:cs="Arial"/>
          <w:szCs w:val="22"/>
        </w:rPr>
        <w:t>reitera</w:t>
      </w:r>
      <w:r>
        <w:rPr>
          <w:rFonts w:ascii="Palatino Linotype" w:hAnsi="Palatino Linotype" w:cs="Arial"/>
          <w:szCs w:val="22"/>
        </w:rPr>
        <w:t xml:space="preserve">r que los recibos de </w:t>
      </w:r>
      <w:r>
        <w:rPr>
          <w:rFonts w:ascii="Palatino Linotype" w:hAnsi="Palatino Linotype" w:cs="Arial"/>
          <w:szCs w:val="22"/>
        </w:rPr>
        <w:lastRenderedPageBreak/>
        <w:t xml:space="preserve">nómina </w:t>
      </w:r>
      <w:r w:rsidRPr="005611A1">
        <w:rPr>
          <w:rFonts w:ascii="Palatino Linotype" w:hAnsi="Palatino Linotype" w:cs="Arial"/>
          <w:szCs w:val="22"/>
        </w:rPr>
        <w:t>deberán contener el desglose de las percepciones y deducciones de los servidores públicos, en los cuales se incluya, según sea el caso los conceptos que integran dichos rubros,</w:t>
      </w:r>
      <w:r>
        <w:rPr>
          <w:rFonts w:ascii="Palatino Linotype" w:hAnsi="Palatino Linotype" w:cs="Arial"/>
          <w:szCs w:val="22"/>
        </w:rPr>
        <w:t xml:space="preserve"> los cuales </w:t>
      </w:r>
      <w:r>
        <w:rPr>
          <w:rFonts w:ascii="Palatino Linotype" w:hAnsi="Palatino Linotype" w:cs="Arial"/>
          <w:b/>
          <w:szCs w:val="22"/>
        </w:rPr>
        <w:t>son generados de manera quincenal</w:t>
      </w:r>
      <w:r>
        <w:rPr>
          <w:rFonts w:ascii="Palatino Linotype" w:hAnsi="Palatino Linotype" w:cs="Arial"/>
          <w:szCs w:val="22"/>
        </w:rPr>
        <w:t xml:space="preserve"> </w:t>
      </w:r>
      <w:r w:rsidRPr="001F1039">
        <w:rPr>
          <w:rFonts w:ascii="Palatino Linotype" w:hAnsi="Palatino Linotype" w:cs="Arial"/>
          <w:b/>
          <w:szCs w:val="22"/>
        </w:rPr>
        <w:t>y posteriormente son entregados de manera trimestral mediante el formato de nómina que se remite al</w:t>
      </w:r>
      <w:r>
        <w:rPr>
          <w:rFonts w:ascii="Palatino Linotype" w:hAnsi="Palatino Linotype" w:cs="Arial"/>
          <w:b/>
          <w:szCs w:val="22"/>
        </w:rPr>
        <w:t xml:space="preserve"> Órgano Superior de Fiscalización del Estado de México</w:t>
      </w:r>
      <w:r w:rsidRPr="001F1039">
        <w:rPr>
          <w:rFonts w:ascii="Palatino Linotype" w:hAnsi="Palatino Linotype" w:cs="Arial"/>
          <w:b/>
          <w:szCs w:val="22"/>
        </w:rPr>
        <w:t xml:space="preserve"> </w:t>
      </w:r>
      <w:r>
        <w:rPr>
          <w:rFonts w:ascii="Palatino Linotype" w:hAnsi="Palatino Linotype" w:cs="Arial"/>
          <w:b/>
          <w:szCs w:val="22"/>
        </w:rPr>
        <w:t xml:space="preserve"> (</w:t>
      </w:r>
      <w:r w:rsidRPr="001F1039">
        <w:rPr>
          <w:rFonts w:ascii="Palatino Linotype" w:hAnsi="Palatino Linotype" w:cs="Arial"/>
          <w:b/>
          <w:szCs w:val="22"/>
        </w:rPr>
        <w:t>OSFEM</w:t>
      </w:r>
      <w:r>
        <w:rPr>
          <w:rFonts w:ascii="Palatino Linotype" w:hAnsi="Palatino Linotype" w:cs="Arial"/>
          <w:b/>
          <w:szCs w:val="22"/>
        </w:rPr>
        <w:t>)</w:t>
      </w:r>
      <w:r w:rsidRPr="005611A1">
        <w:rPr>
          <w:rFonts w:ascii="Palatino Linotype" w:hAnsi="Palatino Linotype" w:cs="Arial"/>
          <w:szCs w:val="22"/>
        </w:rPr>
        <w:t xml:space="preserve"> </w:t>
      </w:r>
      <w:r>
        <w:rPr>
          <w:rFonts w:ascii="Palatino Linotype" w:hAnsi="Palatino Linotype" w:cs="Arial"/>
          <w:szCs w:val="22"/>
        </w:rPr>
        <w:t xml:space="preserve">por lo que </w:t>
      </w:r>
      <w:r w:rsidRPr="005611A1">
        <w:rPr>
          <w:rFonts w:ascii="Palatino Linotype" w:hAnsi="Palatino Linotype" w:cs="Arial"/>
          <w:szCs w:val="22"/>
        </w:rPr>
        <w:t>el documento que da cuenta de la información requerida por el particular</w:t>
      </w:r>
      <w:r>
        <w:rPr>
          <w:rFonts w:ascii="Palatino Linotype" w:hAnsi="Palatino Linotype" w:cs="Arial"/>
          <w:szCs w:val="22"/>
        </w:rPr>
        <w:t xml:space="preserve"> debe constar en los archivos del Sujeto Obligado</w:t>
      </w:r>
      <w:r w:rsidR="00A2067D">
        <w:rPr>
          <w:rFonts w:ascii="Palatino Linotype" w:hAnsi="Palatino Linotype" w:cs="Arial"/>
          <w:szCs w:val="22"/>
        </w:rPr>
        <w:t xml:space="preserve"> toda vez que la solicitud de información fue realizada en fecha </w:t>
      </w:r>
      <w:r w:rsidR="0040783F">
        <w:rPr>
          <w:rFonts w:ascii="Palatino Linotype" w:hAnsi="Palatino Linotype" w:cs="Arial"/>
          <w:szCs w:val="22"/>
        </w:rPr>
        <w:t xml:space="preserve">dieciocho de febrero de dos mil </w:t>
      </w:r>
      <w:r w:rsidR="00A43672">
        <w:rPr>
          <w:rFonts w:ascii="Palatino Linotype" w:hAnsi="Palatino Linotype" w:cs="Arial"/>
          <w:szCs w:val="22"/>
        </w:rPr>
        <w:t>veinticinco</w:t>
      </w:r>
      <w:r w:rsidRPr="00D71F38">
        <w:rPr>
          <w:rFonts w:ascii="Palatino Linotype" w:eastAsia="Palatino Linotype" w:hAnsi="Palatino Linotype" w:cs="Palatino Linotype"/>
        </w:rPr>
        <w:t>.</w:t>
      </w:r>
    </w:p>
    <w:p w14:paraId="51197C74" w14:textId="77777777" w:rsidR="001A4F65" w:rsidRDefault="001A4F65" w:rsidP="001A4F65">
      <w:pPr>
        <w:spacing w:after="240" w:line="360" w:lineRule="auto"/>
        <w:ind w:right="49"/>
        <w:jc w:val="both"/>
        <w:rPr>
          <w:rFonts w:ascii="Palatino Linotype" w:eastAsia="Palatino Linotype" w:hAnsi="Palatino Linotype" w:cs="Palatino Linotype"/>
        </w:rPr>
      </w:pPr>
    </w:p>
    <w:p w14:paraId="59C85EFB" w14:textId="066B173F" w:rsidR="001A4F65" w:rsidRPr="00E66CA2" w:rsidRDefault="001A4F65" w:rsidP="001A4F65">
      <w:pPr>
        <w:spacing w:after="240" w:line="360" w:lineRule="auto"/>
        <w:ind w:right="49"/>
        <w:jc w:val="both"/>
        <w:rPr>
          <w:rFonts w:ascii="Palatino Linotype" w:eastAsia="Palatino Linotype" w:hAnsi="Palatino Linotype" w:cs="Palatino Linotype"/>
        </w:rPr>
      </w:pPr>
      <w:r w:rsidRPr="00E66CA2">
        <w:rPr>
          <w:rFonts w:ascii="Palatino Linotype" w:eastAsia="Palatino Linotype" w:hAnsi="Palatino Linotype" w:cs="Palatino Linotype"/>
        </w:rPr>
        <w:t>Ahora bien, derivado de la naturaleza de la información es necesario analiz</w:t>
      </w:r>
      <w:r w:rsidR="002619BD">
        <w:rPr>
          <w:rFonts w:ascii="Palatino Linotype" w:eastAsia="Palatino Linotype" w:hAnsi="Palatino Linotype" w:cs="Palatino Linotype"/>
        </w:rPr>
        <w:t>ar algunos de los elementos que integran los</w:t>
      </w:r>
      <w:r w:rsidRPr="00E66CA2">
        <w:rPr>
          <w:rFonts w:ascii="Palatino Linotype" w:eastAsia="Palatino Linotype" w:hAnsi="Palatino Linotype" w:cs="Palatino Linotype"/>
        </w:rPr>
        <w:t xml:space="preserve"> recibos de nómina:</w:t>
      </w:r>
    </w:p>
    <w:p w14:paraId="76F0B226" w14:textId="77777777" w:rsidR="001A4F65" w:rsidRPr="00E66CA2" w:rsidRDefault="001A4F65" w:rsidP="001A4F65">
      <w:pPr>
        <w:pStyle w:val="Prrafodelista"/>
        <w:numPr>
          <w:ilvl w:val="0"/>
          <w:numId w:val="23"/>
        </w:numPr>
        <w:tabs>
          <w:tab w:val="left" w:pos="567"/>
        </w:tabs>
        <w:spacing w:line="360" w:lineRule="auto"/>
        <w:jc w:val="both"/>
        <w:rPr>
          <w:rFonts w:ascii="Palatino Linotype" w:eastAsia="Calibri" w:hAnsi="Palatino Linotype" w:cs="Arial"/>
        </w:rPr>
      </w:pPr>
      <w:r w:rsidRPr="00E66CA2">
        <w:rPr>
          <w:rFonts w:ascii="Palatino Linotype" w:eastAsia="Calibri" w:hAnsi="Palatino Linotype" w:cs="Arial"/>
        </w:rPr>
        <w:t>Registro Federal de Contribuyentes (RFC);</w:t>
      </w:r>
    </w:p>
    <w:p w14:paraId="0AEF5C63" w14:textId="77777777" w:rsidR="001A4F65" w:rsidRPr="00E66CA2" w:rsidRDefault="001A4F65" w:rsidP="001A4F65">
      <w:pPr>
        <w:pStyle w:val="Prrafodelista"/>
        <w:numPr>
          <w:ilvl w:val="0"/>
          <w:numId w:val="23"/>
        </w:numPr>
        <w:tabs>
          <w:tab w:val="left" w:pos="567"/>
        </w:tabs>
        <w:spacing w:line="360" w:lineRule="auto"/>
        <w:jc w:val="both"/>
        <w:rPr>
          <w:rFonts w:ascii="Palatino Linotype" w:eastAsia="Calibri" w:hAnsi="Palatino Linotype" w:cs="Arial"/>
        </w:rPr>
      </w:pPr>
      <w:r w:rsidRPr="00E66CA2">
        <w:rPr>
          <w:rFonts w:ascii="Palatino Linotype" w:eastAsia="Calibri" w:hAnsi="Palatino Linotype" w:cs="Arial"/>
        </w:rPr>
        <w:t>Total de Deducciones;</w:t>
      </w:r>
    </w:p>
    <w:p w14:paraId="1BB7E9C1" w14:textId="77777777" w:rsidR="001A4F65" w:rsidRPr="00E66CA2" w:rsidRDefault="001A4F65" w:rsidP="001A4F65">
      <w:pPr>
        <w:pStyle w:val="Prrafodelista"/>
        <w:numPr>
          <w:ilvl w:val="0"/>
          <w:numId w:val="23"/>
        </w:numPr>
        <w:tabs>
          <w:tab w:val="left" w:pos="567"/>
        </w:tabs>
        <w:spacing w:line="360" w:lineRule="auto"/>
        <w:jc w:val="both"/>
        <w:rPr>
          <w:rFonts w:ascii="Palatino Linotype" w:eastAsia="Calibri" w:hAnsi="Palatino Linotype" w:cs="Arial"/>
        </w:rPr>
      </w:pPr>
      <w:r w:rsidRPr="00E66CA2">
        <w:rPr>
          <w:rFonts w:ascii="Palatino Linotype" w:eastAsia="Calibri" w:hAnsi="Palatino Linotype" w:cs="Arial"/>
        </w:rPr>
        <w:t>Código QR;</w:t>
      </w:r>
    </w:p>
    <w:p w14:paraId="798F55E5" w14:textId="77777777" w:rsidR="001A4F65" w:rsidRPr="00E66CA2" w:rsidRDefault="001A4F65" w:rsidP="001A4F65">
      <w:pPr>
        <w:pStyle w:val="Prrafodelista"/>
        <w:numPr>
          <w:ilvl w:val="0"/>
          <w:numId w:val="23"/>
        </w:numPr>
        <w:tabs>
          <w:tab w:val="left" w:pos="567"/>
        </w:tabs>
        <w:spacing w:line="360" w:lineRule="auto"/>
        <w:jc w:val="both"/>
        <w:rPr>
          <w:rFonts w:ascii="Palatino Linotype" w:eastAsia="Calibri" w:hAnsi="Palatino Linotype" w:cs="Arial"/>
        </w:rPr>
      </w:pPr>
      <w:r w:rsidRPr="00E66CA2">
        <w:rPr>
          <w:rFonts w:ascii="Palatino Linotype" w:eastAsia="Calibri" w:hAnsi="Palatino Linotype" w:cs="Arial"/>
        </w:rPr>
        <w:t>Sello Digital del SAT.</w:t>
      </w:r>
    </w:p>
    <w:p w14:paraId="0ADF28A8" w14:textId="77777777" w:rsidR="001A4F65" w:rsidRPr="00E66CA2" w:rsidRDefault="001A4F65" w:rsidP="001A4F65">
      <w:pPr>
        <w:pStyle w:val="Prrafodelista"/>
        <w:numPr>
          <w:ilvl w:val="0"/>
          <w:numId w:val="23"/>
        </w:numPr>
        <w:tabs>
          <w:tab w:val="left" w:pos="567"/>
        </w:tabs>
        <w:spacing w:line="360" w:lineRule="auto"/>
        <w:jc w:val="both"/>
        <w:rPr>
          <w:rFonts w:ascii="Palatino Linotype" w:eastAsia="Calibri" w:hAnsi="Palatino Linotype" w:cs="Arial"/>
        </w:rPr>
      </w:pPr>
      <w:r w:rsidRPr="00E66CA2">
        <w:rPr>
          <w:rFonts w:ascii="Palatino Linotype" w:eastAsia="Calibri" w:hAnsi="Palatino Linotype" w:cs="Arial"/>
        </w:rPr>
        <w:t>Sello Digital del Contribuyente; y</w:t>
      </w:r>
    </w:p>
    <w:p w14:paraId="2E276F40" w14:textId="77777777" w:rsidR="001A4F65" w:rsidRPr="00E66CA2" w:rsidRDefault="001A4F65" w:rsidP="001A4F65">
      <w:pPr>
        <w:pStyle w:val="Prrafodelista"/>
        <w:numPr>
          <w:ilvl w:val="0"/>
          <w:numId w:val="23"/>
        </w:numPr>
        <w:tabs>
          <w:tab w:val="left" w:pos="567"/>
        </w:tabs>
        <w:spacing w:line="360" w:lineRule="auto"/>
        <w:jc w:val="both"/>
        <w:rPr>
          <w:rFonts w:ascii="Palatino Linotype" w:eastAsia="Calibri" w:hAnsi="Palatino Linotype" w:cs="Arial"/>
        </w:rPr>
      </w:pPr>
      <w:r w:rsidRPr="00E66CA2">
        <w:rPr>
          <w:rFonts w:ascii="Palatino Linotype" w:eastAsia="Calibri" w:hAnsi="Palatino Linotype" w:cs="Arial"/>
        </w:rPr>
        <w:t>Número de Serie del CSD del SAT;</w:t>
      </w:r>
    </w:p>
    <w:p w14:paraId="39E3C943" w14:textId="77777777" w:rsidR="001A4F65" w:rsidRPr="00E66CA2" w:rsidRDefault="001A4F65" w:rsidP="001A4F65">
      <w:pPr>
        <w:pStyle w:val="Prrafodelista"/>
        <w:numPr>
          <w:ilvl w:val="0"/>
          <w:numId w:val="23"/>
        </w:numPr>
        <w:tabs>
          <w:tab w:val="left" w:pos="567"/>
        </w:tabs>
        <w:spacing w:line="360" w:lineRule="auto"/>
        <w:jc w:val="both"/>
        <w:rPr>
          <w:rFonts w:ascii="Palatino Linotype" w:eastAsia="Calibri" w:hAnsi="Palatino Linotype" w:cs="Arial"/>
        </w:rPr>
      </w:pPr>
      <w:r w:rsidRPr="00E66CA2">
        <w:rPr>
          <w:rFonts w:ascii="Palatino Linotype" w:eastAsia="Calibri" w:hAnsi="Palatino Linotype" w:cs="Arial"/>
        </w:rPr>
        <w:t>Número de Serie del CDS del emisor;</w:t>
      </w:r>
    </w:p>
    <w:p w14:paraId="72ACCF1A" w14:textId="77777777" w:rsidR="001A4F65" w:rsidRPr="00E66CA2" w:rsidRDefault="001A4F65" w:rsidP="001A4F65">
      <w:pPr>
        <w:pStyle w:val="Prrafodelista"/>
        <w:numPr>
          <w:ilvl w:val="0"/>
          <w:numId w:val="23"/>
        </w:numPr>
        <w:tabs>
          <w:tab w:val="left" w:pos="567"/>
        </w:tabs>
        <w:spacing w:line="360" w:lineRule="auto"/>
        <w:jc w:val="both"/>
        <w:rPr>
          <w:rFonts w:ascii="Palatino Linotype" w:eastAsia="Calibri" w:hAnsi="Palatino Linotype" w:cs="Arial"/>
        </w:rPr>
      </w:pPr>
      <w:r w:rsidRPr="00E66CA2">
        <w:rPr>
          <w:rFonts w:ascii="Palatino Linotype" w:eastAsia="Calibri" w:hAnsi="Palatino Linotype" w:cs="Arial"/>
        </w:rPr>
        <w:t>Serie y folio;</w:t>
      </w:r>
    </w:p>
    <w:p w14:paraId="6A920863" w14:textId="77777777" w:rsidR="001A4F65" w:rsidRPr="00E66CA2" w:rsidRDefault="001A4F65" w:rsidP="001A4F65">
      <w:pPr>
        <w:pStyle w:val="Prrafodelista"/>
        <w:numPr>
          <w:ilvl w:val="0"/>
          <w:numId w:val="23"/>
        </w:numPr>
        <w:tabs>
          <w:tab w:val="left" w:pos="567"/>
        </w:tabs>
        <w:spacing w:line="360" w:lineRule="auto"/>
        <w:jc w:val="both"/>
        <w:rPr>
          <w:rFonts w:ascii="Palatino Linotype" w:eastAsia="Calibri" w:hAnsi="Palatino Linotype" w:cs="Arial"/>
        </w:rPr>
      </w:pPr>
      <w:r w:rsidRPr="00E66CA2">
        <w:rPr>
          <w:rFonts w:ascii="Palatino Linotype" w:eastAsia="Calibri" w:hAnsi="Palatino Linotype" w:cs="Arial"/>
        </w:rPr>
        <w:t>Firma;</w:t>
      </w:r>
    </w:p>
    <w:p w14:paraId="37F83EC6" w14:textId="6DA0479B" w:rsidR="001A4F65" w:rsidRPr="00144694" w:rsidRDefault="001A4F65" w:rsidP="001A4F65">
      <w:pPr>
        <w:spacing w:line="360" w:lineRule="auto"/>
        <w:ind w:right="49"/>
        <w:contextualSpacing/>
        <w:jc w:val="both"/>
        <w:rPr>
          <w:rFonts w:ascii="Palatino Linotype" w:eastAsia="MS Mincho" w:hAnsi="Palatino Linotype" w:cstheme="majorBidi"/>
        </w:rPr>
      </w:pPr>
    </w:p>
    <w:p w14:paraId="498D094C" w14:textId="77777777" w:rsidR="001A4F65" w:rsidRPr="00E66CA2" w:rsidRDefault="001A4F65" w:rsidP="001A4F65">
      <w:pPr>
        <w:rPr>
          <w:rFonts w:ascii="Palatino Linotype" w:hAnsi="Palatino Linotype"/>
          <w:b/>
          <w:i/>
        </w:rPr>
      </w:pPr>
      <w:bookmarkStart w:id="1" w:name="_Toc86917945"/>
      <w:r w:rsidRPr="00E66CA2">
        <w:rPr>
          <w:rFonts w:ascii="Palatino Linotype" w:hAnsi="Palatino Linotype"/>
          <w:b/>
          <w:i/>
        </w:rPr>
        <w:t>I. Registro Federal de Contribuyentes (RFC)</w:t>
      </w:r>
      <w:bookmarkEnd w:id="1"/>
      <w:r w:rsidRPr="00E66CA2">
        <w:rPr>
          <w:rFonts w:ascii="Palatino Linotype" w:hAnsi="Palatino Linotype"/>
          <w:b/>
          <w:i/>
        </w:rPr>
        <w:t xml:space="preserve"> </w:t>
      </w:r>
    </w:p>
    <w:p w14:paraId="42AA7A82" w14:textId="77777777" w:rsidR="001A4F65" w:rsidRPr="005D68A0" w:rsidRDefault="001A4F65" w:rsidP="001A4F65">
      <w:pPr>
        <w:rPr>
          <w:rFonts w:ascii="Palatino Linotype" w:hAnsi="Palatino Linotype"/>
          <w:sz w:val="22"/>
          <w:szCs w:val="22"/>
          <w:lang w:val="es-ES_tradnl"/>
        </w:rPr>
      </w:pPr>
    </w:p>
    <w:p w14:paraId="212A9529" w14:textId="151466BD" w:rsidR="001A4F65" w:rsidRPr="005D68A0" w:rsidRDefault="001A4F65" w:rsidP="001A4F65">
      <w:pPr>
        <w:pStyle w:val="Prrafodelista"/>
        <w:spacing w:line="360" w:lineRule="auto"/>
        <w:ind w:left="0"/>
        <w:jc w:val="both"/>
        <w:rPr>
          <w:rFonts w:ascii="Palatino Linotype" w:hAnsi="Palatino Linotype" w:cs="Tahoma"/>
        </w:rPr>
      </w:pPr>
      <w:r w:rsidRPr="005D68A0">
        <w:rPr>
          <w:rFonts w:ascii="Palatino Linotype" w:hAnsi="Palatino Linotype" w:cs="Tahoma"/>
        </w:rPr>
        <w:lastRenderedPageBreak/>
        <w:t xml:space="preserve">El RFC es el Registro Federal de Contribuyentes, esta inscripción es realizada por el Servicio de Administración Tributaria, quien entrega una cédula de identificación fiscal en donde consta la clave que asigna este órgano desconcentrado de la Secretaría de Hacienda y Crédito Público, </w:t>
      </w:r>
      <w:r w:rsidR="00144694" w:rsidRPr="005D68A0">
        <w:rPr>
          <w:rFonts w:ascii="Palatino Linotype" w:hAnsi="Palatino Linotype" w:cs="Tahoma"/>
        </w:rPr>
        <w:t>de acuerdo con el</w:t>
      </w:r>
      <w:r w:rsidRPr="005D68A0">
        <w:rPr>
          <w:rFonts w:ascii="Palatino Linotype" w:hAnsi="Palatino Linotype" w:cs="Tahoma"/>
        </w:rPr>
        <w:t xml:space="preserve"> artículo 27 del Código Fiscal de la Federación.</w:t>
      </w:r>
    </w:p>
    <w:p w14:paraId="79A907C1" w14:textId="77777777" w:rsidR="001A4F65" w:rsidRPr="005D68A0" w:rsidRDefault="001A4F65" w:rsidP="001A4F65">
      <w:pPr>
        <w:pStyle w:val="Prrafodelista"/>
        <w:spacing w:line="360" w:lineRule="auto"/>
        <w:ind w:left="0"/>
        <w:jc w:val="both"/>
        <w:rPr>
          <w:rFonts w:ascii="Palatino Linotype" w:hAnsi="Palatino Linotype" w:cs="Tahoma"/>
        </w:rPr>
      </w:pPr>
    </w:p>
    <w:p w14:paraId="649B6A5A" w14:textId="76E2AC4D" w:rsidR="001A4F65" w:rsidRPr="005D68A0" w:rsidRDefault="00144694" w:rsidP="001A4F65">
      <w:pPr>
        <w:pStyle w:val="Prrafodelista"/>
        <w:spacing w:line="360" w:lineRule="auto"/>
        <w:ind w:left="0"/>
        <w:jc w:val="both"/>
        <w:rPr>
          <w:rFonts w:ascii="Palatino Linotype" w:hAnsi="Palatino Linotype" w:cs="Tahoma"/>
        </w:rPr>
      </w:pPr>
      <w:r w:rsidRPr="005D68A0">
        <w:rPr>
          <w:rFonts w:ascii="Palatino Linotype" w:hAnsi="Palatino Linotype" w:cs="Tahoma"/>
        </w:rPr>
        <w:t>De acuerdo con</w:t>
      </w:r>
      <w:r w:rsidR="001A4F65" w:rsidRPr="005D68A0">
        <w:rPr>
          <w:rFonts w:ascii="Palatino Linotype" w:hAnsi="Palatino Linotype" w:cs="Tahoma"/>
        </w:rPr>
        <w:t xml:space="preserve"> lo establecido en el artículo en comento, esta clave se compone de trece caracteres alfanuméricos, con datos obtenidos de los apellidos, nombre (s), fecha de nacimiento del titular, más una </w:t>
      </w:r>
      <w:proofErr w:type="spellStart"/>
      <w:r w:rsidR="001A4F65" w:rsidRPr="005D68A0">
        <w:rPr>
          <w:rFonts w:ascii="Palatino Linotype" w:hAnsi="Palatino Linotype" w:cs="Tahoma"/>
        </w:rPr>
        <w:t>homoclave</w:t>
      </w:r>
      <w:proofErr w:type="spellEnd"/>
      <w:r w:rsidR="001A4F65" w:rsidRPr="005D68A0">
        <w:rPr>
          <w:rFonts w:ascii="Palatino Linotype" w:hAnsi="Palatino Linotype" w:cs="Tahoma"/>
        </w:rPr>
        <w:t xml:space="preserve"> que establece el sistema automático del Servicio de Administración Tributaria.</w:t>
      </w:r>
    </w:p>
    <w:p w14:paraId="394BE69F" w14:textId="77777777" w:rsidR="001A4F65" w:rsidRPr="005D68A0" w:rsidRDefault="001A4F65" w:rsidP="001A4F65">
      <w:pPr>
        <w:pStyle w:val="Prrafodelista"/>
        <w:spacing w:line="360" w:lineRule="auto"/>
        <w:rPr>
          <w:rFonts w:ascii="Palatino Linotype" w:hAnsi="Palatino Linotype" w:cs="Tahoma"/>
        </w:rPr>
      </w:pPr>
    </w:p>
    <w:p w14:paraId="082B78E3" w14:textId="7DB551BC" w:rsidR="001A4F65" w:rsidRDefault="001A4F65" w:rsidP="00511BF8">
      <w:pPr>
        <w:pStyle w:val="Prrafodelista"/>
        <w:spacing w:line="360" w:lineRule="auto"/>
        <w:ind w:left="0"/>
        <w:jc w:val="both"/>
        <w:rPr>
          <w:rFonts w:ascii="Palatino Linotype" w:hAnsi="Palatino Linotype" w:cs="Tahoma"/>
        </w:rPr>
      </w:pPr>
      <w:r w:rsidRPr="005D68A0">
        <w:rPr>
          <w:rFonts w:ascii="Palatino Linotype" w:hAnsi="Palatino Linotype" w:cs="Tahoma"/>
        </w:rPr>
        <w:t>Ahora bien, la clave del Registro Federal de Contribuyentes, es el medio de control que tiene la Secretaría de Hacienda y Crédito Público (SHCP) a través del Servicio de Administración Tributaria (SAT), para exigir y vigilar el cumplimiento de las obligaciones fiscales de los contribuyentes; mientras que los particulares tramitan dicho dato, con el único propósito de realizar mediante esa clave de identificación, operaciones o actividades de naturaleza fiscal</w:t>
      </w:r>
      <w:r w:rsidR="00511BF8">
        <w:rPr>
          <w:rFonts w:ascii="Palatino Linotype" w:hAnsi="Palatino Linotype" w:cs="Tahoma"/>
        </w:rPr>
        <w:t>.</w:t>
      </w:r>
    </w:p>
    <w:p w14:paraId="3FC7E449" w14:textId="77777777" w:rsidR="007A2561" w:rsidRPr="00511BF8" w:rsidRDefault="007A2561" w:rsidP="00511BF8">
      <w:pPr>
        <w:pStyle w:val="Prrafodelista"/>
        <w:spacing w:line="360" w:lineRule="auto"/>
        <w:ind w:left="0"/>
        <w:jc w:val="both"/>
        <w:rPr>
          <w:rFonts w:ascii="Palatino Linotype" w:hAnsi="Palatino Linotype" w:cs="Tahoma"/>
        </w:rPr>
      </w:pPr>
    </w:p>
    <w:p w14:paraId="771D5EEA" w14:textId="3E8389E3" w:rsidR="001A4F65" w:rsidRPr="007A2561" w:rsidRDefault="001A4F65" w:rsidP="007A2561">
      <w:pPr>
        <w:pStyle w:val="Prrafodelista"/>
        <w:spacing w:line="360" w:lineRule="auto"/>
        <w:ind w:left="0"/>
        <w:jc w:val="both"/>
        <w:rPr>
          <w:rFonts w:ascii="Palatino Linotype" w:hAnsi="Palatino Linotype" w:cs="Tahoma"/>
        </w:rPr>
      </w:pPr>
      <w:r w:rsidRPr="005D68A0">
        <w:rPr>
          <w:rFonts w:ascii="Palatino Linotype" w:hAnsi="Palatino Linotype" w:cs="Tahoma"/>
        </w:rPr>
        <w:t xml:space="preserve">Conforme a lo expuesto, el Registro Federal de Contribuyentes, </w:t>
      </w:r>
      <w:r w:rsidRPr="00E66CA2">
        <w:rPr>
          <w:rFonts w:ascii="Palatino Linotype" w:hAnsi="Palatino Linotype" w:cs="Tahoma"/>
          <w:b/>
        </w:rPr>
        <w:t>es un dato personal</w:t>
      </w:r>
      <w:r w:rsidRPr="005D68A0">
        <w:rPr>
          <w:rFonts w:ascii="Palatino Linotype" w:hAnsi="Palatino Linotype" w:cs="Tahoma"/>
        </w:rPr>
        <w:t xml:space="preserve">, ya que hace a las personas físicas identificas e identificables, además de que las relaciona como contribuyentes de las autoridades fiscales. Es de destacar que el Registro Federal de Contribuyentes únicamente sirve para efectos fiscales y pago de contribuciones, por lo que se trata de un dato relevante únicamente para las personas </w:t>
      </w:r>
      <w:proofErr w:type="gramStart"/>
      <w:r w:rsidRPr="005D68A0">
        <w:rPr>
          <w:rFonts w:ascii="Palatino Linotype" w:hAnsi="Palatino Linotype" w:cs="Tahoma"/>
        </w:rPr>
        <w:t>involucradas</w:t>
      </w:r>
      <w:proofErr w:type="gramEnd"/>
      <w:r w:rsidRPr="005D68A0">
        <w:rPr>
          <w:rFonts w:ascii="Palatino Linotype" w:hAnsi="Palatino Linotype" w:cs="Tahoma"/>
        </w:rPr>
        <w:t>, en el pago de estos.</w:t>
      </w:r>
    </w:p>
    <w:p w14:paraId="3CCF2A40" w14:textId="1BFB807D" w:rsidR="001A4F65" w:rsidRPr="00141813" w:rsidRDefault="001A4F65" w:rsidP="001A4F65">
      <w:pPr>
        <w:pStyle w:val="Prrafodelista"/>
        <w:spacing w:line="360" w:lineRule="auto"/>
        <w:ind w:left="0"/>
        <w:jc w:val="both"/>
        <w:rPr>
          <w:rFonts w:ascii="Palatino Linotype" w:hAnsi="Palatino Linotype" w:cs="Tahoma"/>
        </w:rPr>
      </w:pPr>
      <w:r w:rsidRPr="005D68A0">
        <w:rPr>
          <w:rFonts w:ascii="Palatino Linotype" w:eastAsiaTheme="minorHAnsi" w:hAnsi="Palatino Linotype" w:cs="Tahoma"/>
          <w:bCs/>
        </w:rPr>
        <w:lastRenderedPageBreak/>
        <w:t xml:space="preserve">Lo anterior, resulta congruente con el </w:t>
      </w:r>
      <w:r w:rsidR="006D3DD5">
        <w:rPr>
          <w:rFonts w:ascii="Palatino Linotype" w:eastAsiaTheme="minorHAnsi" w:hAnsi="Palatino Linotype" w:cs="Tahoma"/>
          <w:bCs/>
        </w:rPr>
        <w:t>c</w:t>
      </w:r>
      <w:r w:rsidRPr="005D68A0">
        <w:rPr>
          <w:rFonts w:ascii="Palatino Linotype" w:eastAsiaTheme="minorHAnsi" w:hAnsi="Palatino Linotype" w:cs="Tahoma"/>
          <w:bCs/>
        </w:rPr>
        <w:t>riterio</w:t>
      </w:r>
      <w:r w:rsidR="006D3DD5">
        <w:rPr>
          <w:rFonts w:ascii="Palatino Linotype" w:eastAsiaTheme="minorHAnsi" w:hAnsi="Palatino Linotype" w:cs="Tahoma"/>
          <w:bCs/>
        </w:rPr>
        <w:t xml:space="preserve"> orientado</w:t>
      </w:r>
      <w:r w:rsidR="008C0D05">
        <w:rPr>
          <w:rFonts w:ascii="Palatino Linotype" w:eastAsiaTheme="minorHAnsi" w:hAnsi="Palatino Linotype" w:cs="Tahoma"/>
          <w:bCs/>
        </w:rPr>
        <w:t>r</w:t>
      </w:r>
      <w:r w:rsidRPr="005D68A0">
        <w:rPr>
          <w:rFonts w:ascii="Palatino Linotype" w:eastAsiaTheme="minorHAnsi" w:hAnsi="Palatino Linotype" w:cs="Tahoma"/>
          <w:bCs/>
        </w:rPr>
        <w:t xml:space="preserve"> 19/17 emitido por el Instituto Nacional de Transparencia, Acceso a la Información y Protección de Datos Personales, en el cual se señala lo siguiente:</w:t>
      </w:r>
    </w:p>
    <w:p w14:paraId="72949ACF" w14:textId="77777777" w:rsidR="001A4F65" w:rsidRPr="005D68A0" w:rsidRDefault="001A4F65" w:rsidP="001A4F65">
      <w:pPr>
        <w:spacing w:line="360" w:lineRule="auto"/>
        <w:ind w:left="567"/>
        <w:jc w:val="both"/>
        <w:rPr>
          <w:rFonts w:ascii="Palatino Linotype" w:hAnsi="Palatino Linotype" w:cs="Tahoma"/>
          <w:b/>
          <w:i/>
          <w:sz w:val="22"/>
          <w:szCs w:val="22"/>
        </w:rPr>
      </w:pPr>
      <w:r w:rsidRPr="005D68A0">
        <w:rPr>
          <w:rFonts w:ascii="Palatino Linotype" w:hAnsi="Palatino Linotype"/>
          <w:b/>
          <w:i/>
          <w:sz w:val="22"/>
          <w:szCs w:val="22"/>
        </w:rPr>
        <w:t xml:space="preserve">Registro Federal de Contribuyentes (RFC) de personas físicas. </w:t>
      </w:r>
    </w:p>
    <w:p w14:paraId="4A03F4EE" w14:textId="77777777" w:rsidR="001A4F65" w:rsidRPr="005D68A0" w:rsidRDefault="001A4F65" w:rsidP="001A4F65">
      <w:pPr>
        <w:pStyle w:val="Prrafodelista"/>
        <w:spacing w:line="360" w:lineRule="auto"/>
        <w:ind w:left="567" w:right="567"/>
        <w:jc w:val="both"/>
        <w:rPr>
          <w:rFonts w:ascii="Palatino Linotype" w:hAnsi="Palatino Linotype" w:cs="Tahoma"/>
          <w:i/>
        </w:rPr>
      </w:pPr>
      <w:r w:rsidRPr="005D68A0">
        <w:rPr>
          <w:rFonts w:ascii="Palatino Linotype" w:hAnsi="Palatino Linotype" w:cs="Tahoma"/>
          <w:i/>
        </w:rPr>
        <w:t xml:space="preserve">El RFC es una clave de carácter fiscal, </w:t>
      </w:r>
      <w:proofErr w:type="gramStart"/>
      <w:r w:rsidRPr="005D68A0">
        <w:rPr>
          <w:rFonts w:ascii="Palatino Linotype" w:hAnsi="Palatino Linotype" w:cs="Tahoma"/>
          <w:i/>
        </w:rPr>
        <w:t>única</w:t>
      </w:r>
      <w:proofErr w:type="gramEnd"/>
      <w:r w:rsidRPr="005D68A0">
        <w:rPr>
          <w:rFonts w:ascii="Palatino Linotype" w:hAnsi="Palatino Linotype" w:cs="Tahoma"/>
          <w:i/>
        </w:rPr>
        <w:t xml:space="preserve"> e irrepetible, que permite identificar al titular, su edad y fecha de nacimiento, por lo que es un dato personal de carácter confidencial.</w:t>
      </w:r>
    </w:p>
    <w:p w14:paraId="14D82083" w14:textId="77777777" w:rsidR="001A4F65" w:rsidRPr="005D68A0" w:rsidRDefault="001A4F65" w:rsidP="001A4F65">
      <w:pPr>
        <w:pStyle w:val="Prrafodelista"/>
        <w:spacing w:line="360" w:lineRule="auto"/>
        <w:ind w:left="567" w:right="567"/>
        <w:jc w:val="both"/>
        <w:rPr>
          <w:rFonts w:ascii="Palatino Linotype" w:hAnsi="Palatino Linotype" w:cs="Tahoma"/>
        </w:rPr>
      </w:pPr>
    </w:p>
    <w:p w14:paraId="4263F118" w14:textId="77777777" w:rsidR="001A4F65" w:rsidRDefault="001A4F65" w:rsidP="001A4F65">
      <w:pPr>
        <w:pStyle w:val="Prrafodelista"/>
        <w:spacing w:line="360" w:lineRule="auto"/>
        <w:ind w:left="0"/>
        <w:jc w:val="both"/>
        <w:rPr>
          <w:rFonts w:ascii="Palatino Linotype" w:hAnsi="Palatino Linotype" w:cs="Tahoma"/>
        </w:rPr>
      </w:pPr>
      <w:r w:rsidRPr="005D68A0">
        <w:rPr>
          <w:rFonts w:ascii="Palatino Linotype" w:hAnsi="Palatino Linotype" w:cs="Tahoma"/>
          <w:b/>
        </w:rPr>
        <w:t>De tal suerte, el Registro Federal de Contribuyentes de las personas físicas no guarda relación con la transparencia de los recursos públicos</w:t>
      </w:r>
      <w:r w:rsidRPr="005D68A0">
        <w:rPr>
          <w:rFonts w:ascii="Palatino Linotype" w:hAnsi="Palatino Linotype" w:cs="Tahoma"/>
        </w:rPr>
        <w:t>, así como tampoco con el desempeño laboral que pueda tener una persona, por lo que debe ser clasificado como confidencial. En términos del artículo 143, fracción I de la Ley de Transparencia y Acceso a la Información Pública del Estado de México y Municipios.</w:t>
      </w:r>
    </w:p>
    <w:p w14:paraId="0F2505B5" w14:textId="77777777" w:rsidR="001A4F65" w:rsidRPr="005D68A0" w:rsidRDefault="001A4F65" w:rsidP="001A4F65">
      <w:pPr>
        <w:pStyle w:val="Prrafodelista"/>
        <w:spacing w:line="360" w:lineRule="auto"/>
        <w:ind w:left="0"/>
        <w:jc w:val="both"/>
        <w:rPr>
          <w:rFonts w:ascii="Palatino Linotype" w:hAnsi="Palatino Linotype" w:cs="Tahoma"/>
        </w:rPr>
      </w:pPr>
    </w:p>
    <w:p w14:paraId="1A589805" w14:textId="77777777" w:rsidR="001A4F65" w:rsidRPr="00E66CA2" w:rsidRDefault="001A4F65" w:rsidP="001A4F65">
      <w:pPr>
        <w:rPr>
          <w:rFonts w:ascii="Palatino Linotype" w:hAnsi="Palatino Linotype"/>
          <w:b/>
          <w:i/>
        </w:rPr>
      </w:pPr>
      <w:bookmarkStart w:id="2" w:name="_Toc86917946"/>
      <w:r w:rsidRPr="00E66CA2">
        <w:rPr>
          <w:rFonts w:ascii="Palatino Linotype" w:hAnsi="Palatino Linotype"/>
          <w:b/>
          <w:i/>
        </w:rPr>
        <w:t>II. Deducciones</w:t>
      </w:r>
      <w:bookmarkEnd w:id="2"/>
      <w:r w:rsidRPr="00E66CA2">
        <w:rPr>
          <w:rFonts w:ascii="Palatino Linotype" w:hAnsi="Palatino Linotype"/>
          <w:b/>
          <w:i/>
        </w:rPr>
        <w:t>.</w:t>
      </w:r>
    </w:p>
    <w:p w14:paraId="53CCB22F" w14:textId="77777777" w:rsidR="001A4F65" w:rsidRPr="005D68A0" w:rsidRDefault="001A4F65" w:rsidP="001A4F65">
      <w:pPr>
        <w:pStyle w:val="Prrafodelista"/>
        <w:spacing w:line="360" w:lineRule="auto"/>
        <w:ind w:left="0"/>
        <w:jc w:val="both"/>
        <w:rPr>
          <w:rFonts w:ascii="Palatino Linotype" w:hAnsi="Palatino Linotype" w:cs="Tahoma"/>
          <w:bCs/>
        </w:rPr>
      </w:pPr>
      <w:r w:rsidRPr="005D68A0">
        <w:rPr>
          <w:rFonts w:ascii="Palatino Linotype" w:hAnsi="Palatino Linotype" w:cs="Tahoma"/>
          <w:bCs/>
        </w:rPr>
        <w:t xml:space="preserve">Es necesario precisar que existen deducciones que se generan con motivo de una decisión libre y voluntaria de los servidores públicos, como son: </w:t>
      </w:r>
      <w:r w:rsidRPr="005D68A0">
        <w:rPr>
          <w:rFonts w:ascii="Palatino Linotype" w:hAnsi="Palatino Linotype" w:cs="Tahoma"/>
          <w:b/>
          <w:bCs/>
        </w:rPr>
        <w:t xml:space="preserve">créditos personales, pensiones alimenticias, </w:t>
      </w:r>
      <w:r w:rsidRPr="005D68A0">
        <w:rPr>
          <w:rFonts w:ascii="Palatino Linotype" w:hAnsi="Palatino Linotype" w:cs="Tahoma"/>
          <w:b/>
          <w:bCs/>
          <w:u w:val="single"/>
        </w:rPr>
        <w:t>cuotas sindicales y fondo de resistencia del Sindicato Único de Trabajadores de los Poderes, Municipios e Institución Descentralizadas del Estado de México, seguro de vida, accidentes y enfermedades.</w:t>
      </w:r>
    </w:p>
    <w:p w14:paraId="6EDCA204" w14:textId="77777777" w:rsidR="001A4F65" w:rsidRPr="005D68A0" w:rsidRDefault="001A4F65" w:rsidP="001A4F65">
      <w:pPr>
        <w:pStyle w:val="Prrafodelista"/>
        <w:spacing w:line="360" w:lineRule="auto"/>
        <w:ind w:left="0"/>
        <w:jc w:val="both"/>
        <w:rPr>
          <w:rFonts w:ascii="Palatino Linotype" w:hAnsi="Palatino Linotype" w:cs="Tahoma"/>
          <w:bCs/>
        </w:rPr>
      </w:pPr>
    </w:p>
    <w:p w14:paraId="413CFECB" w14:textId="31959753" w:rsidR="001A4F65" w:rsidRPr="005D68A0" w:rsidRDefault="001A4F65" w:rsidP="001A4F65">
      <w:pPr>
        <w:pStyle w:val="Prrafodelista"/>
        <w:spacing w:line="360" w:lineRule="auto"/>
        <w:ind w:left="0"/>
        <w:jc w:val="both"/>
        <w:rPr>
          <w:rFonts w:ascii="Palatino Linotype" w:hAnsi="Palatino Linotype" w:cs="Tahoma"/>
          <w:bCs/>
        </w:rPr>
      </w:pPr>
      <w:r w:rsidRPr="005D68A0">
        <w:rPr>
          <w:rFonts w:ascii="Palatino Linotype" w:hAnsi="Palatino Linotype" w:cs="Tahoma"/>
          <w:bCs/>
        </w:rPr>
        <w:t xml:space="preserve">Asimismo, hay otras que se generan con motivo de una sentencia judicial, como es la pensión alimenticia que periódicamente se retira de la cuenta de un empleado, a efecto de que sea entregado a un tercero.  En consecuencia, este tipo de deducciones son fruto </w:t>
      </w:r>
      <w:r w:rsidRPr="005D68A0">
        <w:rPr>
          <w:rFonts w:ascii="Palatino Linotype" w:hAnsi="Palatino Linotype" w:cs="Tahoma"/>
          <w:bCs/>
        </w:rPr>
        <w:lastRenderedPageBreak/>
        <w:t>de decisiones que impactan en el patrimonio de un servidor público con la finalidad de obtener un beneficio conforme a la decisión de un trabajador, mismas que no implican la entrega de recursos con cargo al erario, y tampoco reflejan el ejercicio de una prestación; por el contrario, en dichos casos se trata del libre ejercicio del servidor público para disponer de un ingreso que forma parte de su patrimonio. Así, dichas deducciones reflejan el destino que un servidor público da a su patrimonio, lo que se aleja de la transparencia y rendición de cuentas.</w:t>
      </w:r>
    </w:p>
    <w:p w14:paraId="5C0799BF" w14:textId="77777777" w:rsidR="001A4F65" w:rsidRPr="005D68A0" w:rsidRDefault="001A4F65" w:rsidP="001A4F65">
      <w:pPr>
        <w:pStyle w:val="Prrafodelista"/>
        <w:spacing w:line="360" w:lineRule="auto"/>
        <w:ind w:left="0"/>
        <w:jc w:val="both"/>
        <w:rPr>
          <w:rFonts w:ascii="Palatino Linotype" w:hAnsi="Palatino Linotype" w:cs="Tahoma"/>
          <w:bCs/>
        </w:rPr>
      </w:pPr>
    </w:p>
    <w:p w14:paraId="2AA212B9" w14:textId="77777777" w:rsidR="001A4F65" w:rsidRPr="005D68A0" w:rsidRDefault="001A4F65" w:rsidP="001A4F65">
      <w:pPr>
        <w:pStyle w:val="Prrafodelista"/>
        <w:numPr>
          <w:ilvl w:val="4"/>
          <w:numId w:val="22"/>
        </w:numPr>
        <w:ind w:left="709"/>
        <w:contextualSpacing w:val="0"/>
        <w:rPr>
          <w:rFonts w:ascii="Palatino Linotype" w:hAnsi="Palatino Linotype" w:cs="Tahoma"/>
          <w:b/>
          <w:bCs/>
        </w:rPr>
      </w:pPr>
      <w:r w:rsidRPr="005D68A0">
        <w:rPr>
          <w:rFonts w:ascii="Palatino Linotype" w:hAnsi="Palatino Linotype" w:cs="Tahoma"/>
          <w:b/>
          <w:bCs/>
        </w:rPr>
        <w:t>Del Sistema De Capitalización Individual (SCI)</w:t>
      </w:r>
    </w:p>
    <w:p w14:paraId="26B510FC" w14:textId="77777777" w:rsidR="001A4F65" w:rsidRPr="005D68A0" w:rsidRDefault="001A4F65" w:rsidP="001A4F65">
      <w:pPr>
        <w:rPr>
          <w:rFonts w:ascii="Palatino Linotype" w:hAnsi="Palatino Linotype" w:cs="Tahoma"/>
          <w:b/>
          <w:bCs/>
          <w:sz w:val="22"/>
          <w:szCs w:val="22"/>
        </w:rPr>
      </w:pPr>
    </w:p>
    <w:p w14:paraId="0B595BDB" w14:textId="77777777" w:rsidR="001A4F65" w:rsidRPr="008C0D05" w:rsidRDefault="001A4F65" w:rsidP="001A4F65">
      <w:pPr>
        <w:spacing w:line="360" w:lineRule="auto"/>
        <w:jc w:val="both"/>
        <w:rPr>
          <w:rFonts w:ascii="Palatino Linotype" w:hAnsi="Palatino Linotype" w:cs="Tahoma"/>
        </w:rPr>
      </w:pPr>
      <w:r w:rsidRPr="008C0D05">
        <w:rPr>
          <w:rFonts w:ascii="Palatino Linotype" w:hAnsi="Palatino Linotype" w:cs="Tahoma"/>
        </w:rPr>
        <w:t xml:space="preserve">Por principio, debemos precisar que la deducción denominada: </w:t>
      </w:r>
      <w:r w:rsidRPr="008C0D05">
        <w:rPr>
          <w:rFonts w:ascii="Palatino Linotype" w:hAnsi="Palatino Linotype"/>
        </w:rPr>
        <w:t>Sistema de Capitalización Individualizado (SCI)</w:t>
      </w:r>
      <w:r w:rsidRPr="008C0D05">
        <w:rPr>
          <w:rFonts w:ascii="Palatino Linotype" w:hAnsi="Palatino Linotype" w:cs="Tahoma"/>
        </w:rPr>
        <w:t>, es contemplada en los artículos 84 y 115 de la Ley de Seguridad Social para los Servidores Públicos del Estado de México y Municipios, al formar parte de uno de los sistemas que conforma el sistema mixto de pensiones, al corresponder específicamente a una reserva de ahorro en favor de los servidores públicos para su retiro, la cual señala:</w:t>
      </w:r>
    </w:p>
    <w:p w14:paraId="044DBC31" w14:textId="34148CE1" w:rsidR="001A4F65" w:rsidRPr="005D68A0" w:rsidRDefault="001A4F65" w:rsidP="008C0D05">
      <w:pPr>
        <w:spacing w:line="276" w:lineRule="auto"/>
        <w:ind w:left="567" w:right="900"/>
        <w:jc w:val="both"/>
        <w:rPr>
          <w:rFonts w:ascii="Palatino Linotype" w:hAnsi="Palatino Linotype" w:cs="Tahoma"/>
          <w:i/>
          <w:sz w:val="22"/>
          <w:szCs w:val="22"/>
        </w:rPr>
      </w:pPr>
      <w:r w:rsidRPr="005D68A0">
        <w:rPr>
          <w:rFonts w:ascii="Palatino Linotype" w:hAnsi="Palatino Linotype" w:cs="Tahoma"/>
          <w:b/>
          <w:i/>
          <w:sz w:val="22"/>
          <w:szCs w:val="22"/>
        </w:rPr>
        <w:t>“ARTICULO 84.-</w:t>
      </w:r>
      <w:r w:rsidRPr="005D68A0">
        <w:rPr>
          <w:rFonts w:ascii="Palatino Linotype" w:hAnsi="Palatino Linotype" w:cs="Tahoma"/>
          <w:i/>
          <w:sz w:val="22"/>
          <w:szCs w:val="22"/>
        </w:rPr>
        <w:t xml:space="preserve"> Las pensiones que otorga esta ley, se basan en un régimen mixto, siendo una parte de beneficios definidos denominado </w:t>
      </w:r>
      <w:r w:rsidRPr="005D68A0">
        <w:rPr>
          <w:rFonts w:ascii="Palatino Linotype" w:hAnsi="Palatino Linotype" w:cs="Tahoma"/>
          <w:b/>
          <w:i/>
          <w:sz w:val="22"/>
          <w:szCs w:val="22"/>
        </w:rPr>
        <w:t>sistema solidario de reparto y otra de contribuciones definidas denominado sistema de capitalización individual</w:t>
      </w:r>
      <w:r w:rsidRPr="005D68A0">
        <w:rPr>
          <w:rFonts w:ascii="Palatino Linotype" w:hAnsi="Palatino Linotype" w:cs="Tahoma"/>
          <w:i/>
          <w:sz w:val="22"/>
          <w:szCs w:val="22"/>
        </w:rPr>
        <w:t>.</w:t>
      </w:r>
    </w:p>
    <w:p w14:paraId="3539672A" w14:textId="77777777" w:rsidR="001A4F65" w:rsidRPr="005D68A0" w:rsidRDefault="001A4F65" w:rsidP="001A4F65">
      <w:pPr>
        <w:spacing w:line="276" w:lineRule="auto"/>
        <w:ind w:left="567" w:right="900"/>
        <w:jc w:val="both"/>
        <w:rPr>
          <w:rFonts w:ascii="Palatino Linotype" w:hAnsi="Palatino Linotype" w:cs="Tahoma"/>
          <w:i/>
          <w:sz w:val="22"/>
          <w:szCs w:val="22"/>
        </w:rPr>
      </w:pPr>
      <w:r w:rsidRPr="005D68A0">
        <w:rPr>
          <w:rFonts w:ascii="Palatino Linotype" w:hAnsi="Palatino Linotype" w:cs="Tahoma"/>
          <w:i/>
          <w:sz w:val="22"/>
          <w:szCs w:val="22"/>
        </w:rPr>
        <w:t>El monto total para el financiamiento de pensiones de cada servidor público, es equivalente al 16.77% de su sueldo sujeto a cotización, del cual el 13.52% se aplicará al fondo del sistema solidario de reparto y el 3.25% al sistema de capitalización individual.</w:t>
      </w:r>
      <w:r w:rsidRPr="005D68A0">
        <w:rPr>
          <w:rFonts w:ascii="Palatino Linotype" w:hAnsi="Palatino Linotype" w:cs="Tahoma"/>
          <w:i/>
          <w:sz w:val="22"/>
          <w:szCs w:val="22"/>
        </w:rPr>
        <w:cr/>
      </w:r>
    </w:p>
    <w:p w14:paraId="7637750B" w14:textId="77777777" w:rsidR="001A4F65" w:rsidRPr="005D68A0" w:rsidRDefault="001A4F65" w:rsidP="001A4F65">
      <w:pPr>
        <w:spacing w:line="276" w:lineRule="auto"/>
        <w:ind w:left="567" w:right="900"/>
        <w:jc w:val="both"/>
        <w:rPr>
          <w:rFonts w:ascii="Palatino Linotype" w:hAnsi="Palatino Linotype" w:cs="Tahoma"/>
          <w:i/>
          <w:sz w:val="22"/>
          <w:szCs w:val="22"/>
        </w:rPr>
      </w:pPr>
      <w:r w:rsidRPr="005D68A0">
        <w:rPr>
          <w:rFonts w:ascii="Palatino Linotype" w:hAnsi="Palatino Linotype"/>
          <w:i/>
          <w:sz w:val="22"/>
          <w:szCs w:val="22"/>
        </w:rPr>
        <w:t xml:space="preserve"> </w:t>
      </w:r>
      <w:r w:rsidRPr="005D68A0">
        <w:rPr>
          <w:rFonts w:ascii="Palatino Linotype" w:hAnsi="Palatino Linotype" w:cs="Tahoma"/>
          <w:b/>
          <w:i/>
          <w:sz w:val="22"/>
          <w:szCs w:val="22"/>
        </w:rPr>
        <w:t>ARTICULO 115.-</w:t>
      </w:r>
      <w:r w:rsidRPr="005D68A0">
        <w:rPr>
          <w:rFonts w:ascii="Palatino Linotype" w:hAnsi="Palatino Linotype" w:cs="Tahoma"/>
          <w:i/>
          <w:sz w:val="22"/>
          <w:szCs w:val="22"/>
        </w:rPr>
        <w:t xml:space="preserve"> Por sistema de capitalización individual se entiende aquel régimen cuyo financiamiento es determinado y su beneficio variable, por lo que sus fondos se constituirán en una reserva, cuyo saldo será siempre igual a la suma de las partes alícuotas reconocidas a cada uno de los servidores públicos participantes en el sistema.”</w:t>
      </w:r>
    </w:p>
    <w:p w14:paraId="48922F71" w14:textId="77777777" w:rsidR="001A4F65" w:rsidRPr="005D68A0" w:rsidRDefault="001A4F65" w:rsidP="001A4F65">
      <w:pPr>
        <w:spacing w:line="360" w:lineRule="auto"/>
        <w:jc w:val="both"/>
        <w:rPr>
          <w:rFonts w:ascii="Palatino Linotype" w:hAnsi="Palatino Linotype" w:cs="Tahoma"/>
          <w:sz w:val="22"/>
          <w:szCs w:val="22"/>
        </w:rPr>
      </w:pPr>
    </w:p>
    <w:p w14:paraId="2B32D30D" w14:textId="1E198158" w:rsidR="001A4F65" w:rsidRPr="008C0D05" w:rsidRDefault="001A4F65" w:rsidP="001A4F65">
      <w:pPr>
        <w:spacing w:line="360" w:lineRule="auto"/>
        <w:jc w:val="both"/>
        <w:rPr>
          <w:rFonts w:ascii="Palatino Linotype" w:hAnsi="Palatino Linotype" w:cs="Tahoma"/>
        </w:rPr>
      </w:pPr>
      <w:r w:rsidRPr="008C0D05">
        <w:rPr>
          <w:rFonts w:ascii="Palatino Linotype" w:hAnsi="Palatino Linotype" w:cs="Tahoma"/>
        </w:rPr>
        <w:t>En esta misma disposición normativa, en los artículos 5 fracciones II, VII y VIII; 32, 34 y 35, dispone lo siguiente:</w:t>
      </w:r>
    </w:p>
    <w:p w14:paraId="57D75AC2"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“ARTÍCULO 5.- Para los efectos de esta ley se entiende por:</w:t>
      </w:r>
    </w:p>
    <w:p w14:paraId="7BC1B7CA"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w:t>
      </w:r>
    </w:p>
    <w:p w14:paraId="51B4AF20"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II. Institución pública, a los poderes públicos del estado, los ayuntamientos de los municipios y los tribunales administrativos, así como los organismos auxiliares y fideicomisos públicos de carácter estatal y municipal;</w:t>
      </w:r>
    </w:p>
    <w:p w14:paraId="1BAF4A73"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w:t>
      </w:r>
    </w:p>
    <w:p w14:paraId="2EC7DFDE"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 xml:space="preserve">VII. Cuota, al monto que le corresponde cubrir al servidor público, equivalente a un porcentaje determinado de sus sueldo sujeto a cotización, así como el que debe cubrir el pensionado o pensionista y que recibe el Instituto para otorgar las prestaciones establecidas en la presente ley; </w:t>
      </w:r>
    </w:p>
    <w:p w14:paraId="44E40311" w14:textId="77777777" w:rsidR="001A4F65" w:rsidRPr="005D68A0" w:rsidRDefault="001A4F65" w:rsidP="001A4F65">
      <w:pPr>
        <w:spacing w:line="276" w:lineRule="auto"/>
        <w:ind w:left="567" w:right="616"/>
        <w:jc w:val="both"/>
        <w:rPr>
          <w:rFonts w:ascii="Palatino Linotype" w:hAnsi="Palatino Linotype" w:cs="Tahoma"/>
          <w:b/>
          <w:bCs/>
          <w:i/>
          <w:iCs/>
          <w:sz w:val="22"/>
          <w:szCs w:val="22"/>
        </w:rPr>
      </w:pPr>
      <w:r w:rsidRPr="005D68A0">
        <w:rPr>
          <w:rFonts w:ascii="Palatino Linotype" w:hAnsi="Palatino Linotype" w:cs="Tahoma"/>
          <w:i/>
          <w:iCs/>
          <w:sz w:val="22"/>
          <w:szCs w:val="22"/>
        </w:rPr>
        <w:t xml:space="preserve">VIII. </w:t>
      </w:r>
      <w:r w:rsidRPr="005D68A0">
        <w:rPr>
          <w:rFonts w:ascii="Palatino Linotype" w:hAnsi="Palatino Linotype" w:cs="Tahoma"/>
          <w:b/>
          <w:bCs/>
          <w:i/>
          <w:iCs/>
          <w:sz w:val="22"/>
          <w:szCs w:val="22"/>
        </w:rPr>
        <w:t>Aportación, al monto que le corresponde cubrir a las instituciones públicas como porcentaje del sueldo sujeto a cotización de cada servidor público;</w:t>
      </w:r>
    </w:p>
    <w:p w14:paraId="7A567E96" w14:textId="77777777" w:rsidR="001A4F65"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w:t>
      </w:r>
    </w:p>
    <w:p w14:paraId="63433168" w14:textId="77777777" w:rsidR="001A4F65" w:rsidRPr="005D68A0" w:rsidRDefault="001A4F65" w:rsidP="001A4F65">
      <w:pPr>
        <w:spacing w:line="276" w:lineRule="auto"/>
        <w:ind w:left="567" w:right="616"/>
        <w:jc w:val="both"/>
        <w:rPr>
          <w:rFonts w:ascii="Palatino Linotype" w:hAnsi="Palatino Linotype" w:cs="Tahoma"/>
          <w:i/>
          <w:iCs/>
          <w:sz w:val="22"/>
          <w:szCs w:val="22"/>
        </w:rPr>
      </w:pPr>
    </w:p>
    <w:p w14:paraId="23CB58CC" w14:textId="77777777" w:rsidR="001A4F65" w:rsidRPr="005D68A0" w:rsidRDefault="001A4F65" w:rsidP="001A4F65">
      <w:pPr>
        <w:spacing w:line="276" w:lineRule="auto"/>
        <w:ind w:left="567" w:right="616"/>
        <w:jc w:val="both"/>
        <w:rPr>
          <w:rFonts w:ascii="Palatino Linotype" w:hAnsi="Palatino Linotype" w:cs="Tahoma"/>
          <w:b/>
          <w:bCs/>
          <w:i/>
          <w:iCs/>
          <w:sz w:val="22"/>
          <w:szCs w:val="22"/>
        </w:rPr>
      </w:pPr>
      <w:r w:rsidRPr="005D68A0">
        <w:rPr>
          <w:rFonts w:ascii="Palatino Linotype" w:hAnsi="Palatino Linotype" w:cs="Tahoma"/>
          <w:i/>
          <w:iCs/>
          <w:sz w:val="22"/>
          <w:szCs w:val="22"/>
        </w:rPr>
        <w:t xml:space="preserve">Artículo 32.- </w:t>
      </w:r>
      <w:r w:rsidRPr="005D68A0">
        <w:rPr>
          <w:rFonts w:ascii="Palatino Linotype" w:hAnsi="Palatino Linotype" w:cs="Tahoma"/>
          <w:b/>
          <w:bCs/>
          <w:i/>
          <w:iCs/>
          <w:sz w:val="22"/>
          <w:szCs w:val="22"/>
        </w:rPr>
        <w:t xml:space="preserve">Las cuotas obligatorias que deberán cubrir los servidores públicos al Instituto, serán las siguientes: </w:t>
      </w:r>
    </w:p>
    <w:p w14:paraId="4B1A40CF"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 xml:space="preserve">I. El 4.625% del sueldo sujeto a cotización, para cubrir las prestaciones de servicios de salud; </w:t>
      </w:r>
    </w:p>
    <w:p w14:paraId="49350F9A"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 xml:space="preserve">II. El 7.50% del sueldo sujeto a cotización, para cubrir el financiamiento de pensiones, de la siguiente manera: </w:t>
      </w:r>
    </w:p>
    <w:p w14:paraId="13A46EF3"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 xml:space="preserve">a. 6.10% para el fondo del sistema solidario de reparto. </w:t>
      </w:r>
    </w:p>
    <w:p w14:paraId="26411840" w14:textId="77777777" w:rsidR="001A4F65" w:rsidRPr="005D68A0" w:rsidRDefault="001A4F65" w:rsidP="001A4F65">
      <w:pPr>
        <w:spacing w:line="276" w:lineRule="auto"/>
        <w:ind w:left="567" w:right="616"/>
        <w:jc w:val="both"/>
        <w:rPr>
          <w:rFonts w:ascii="Palatino Linotype" w:hAnsi="Palatino Linotype" w:cs="Tahoma"/>
          <w:b/>
          <w:bCs/>
          <w:i/>
          <w:iCs/>
          <w:sz w:val="22"/>
          <w:szCs w:val="22"/>
          <w:u w:val="single"/>
        </w:rPr>
      </w:pPr>
      <w:r w:rsidRPr="005D68A0">
        <w:rPr>
          <w:rFonts w:ascii="Palatino Linotype" w:hAnsi="Palatino Linotype" w:cs="Tahoma"/>
          <w:b/>
          <w:bCs/>
          <w:i/>
          <w:iCs/>
          <w:sz w:val="22"/>
          <w:szCs w:val="22"/>
          <w:u w:val="single"/>
        </w:rPr>
        <w:t xml:space="preserve">b. 1.40% para el sistema de capitalización individual. </w:t>
      </w:r>
    </w:p>
    <w:p w14:paraId="2A4C1D07"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III. Las que determine anualmente el Consejo Directivo para otras prestaciones, señaladas en el Título IV.</w:t>
      </w:r>
    </w:p>
    <w:p w14:paraId="45025DD9" w14:textId="77777777" w:rsidR="001A4F65"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w:t>
      </w:r>
    </w:p>
    <w:p w14:paraId="06D7328A" w14:textId="77777777" w:rsidR="001A4F65" w:rsidRPr="005D68A0" w:rsidRDefault="001A4F65" w:rsidP="001A4F65">
      <w:pPr>
        <w:spacing w:line="276" w:lineRule="auto"/>
        <w:ind w:left="567" w:right="616"/>
        <w:jc w:val="both"/>
        <w:rPr>
          <w:rFonts w:ascii="Palatino Linotype" w:hAnsi="Palatino Linotype" w:cs="Tahoma"/>
          <w:i/>
          <w:iCs/>
          <w:sz w:val="22"/>
          <w:szCs w:val="22"/>
        </w:rPr>
      </w:pPr>
    </w:p>
    <w:p w14:paraId="08BA9068"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 xml:space="preserve">Artículo 34.- </w:t>
      </w:r>
      <w:r w:rsidRPr="005D68A0">
        <w:rPr>
          <w:rFonts w:ascii="Palatino Linotype" w:hAnsi="Palatino Linotype" w:cs="Tahoma"/>
          <w:b/>
          <w:bCs/>
          <w:i/>
          <w:iCs/>
          <w:sz w:val="22"/>
          <w:szCs w:val="22"/>
        </w:rPr>
        <w:t>Las aportaciones que deberán cubrir obligatoriamente las instituciones públicas serán las siguientes</w:t>
      </w:r>
      <w:r w:rsidRPr="005D68A0">
        <w:rPr>
          <w:rFonts w:ascii="Palatino Linotype" w:hAnsi="Palatino Linotype" w:cs="Tahoma"/>
          <w:i/>
          <w:iCs/>
          <w:sz w:val="22"/>
          <w:szCs w:val="22"/>
        </w:rPr>
        <w:t xml:space="preserve">: </w:t>
      </w:r>
    </w:p>
    <w:p w14:paraId="7842A910"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 xml:space="preserve">I. El 10% del sueldo sujeto a cotización, para cubrir las prestaciones de servicios de salud; </w:t>
      </w:r>
    </w:p>
    <w:p w14:paraId="305CCF5D"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 xml:space="preserve">II. El 9.27% del sueldo sujeto a cotización, para cubrir el financiamiento de pensiones, de la siguiente manera: </w:t>
      </w:r>
    </w:p>
    <w:p w14:paraId="738BE2B2"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lastRenderedPageBreak/>
        <w:t xml:space="preserve">a. 7.42% para el fondo del sistema solidario de reparto. </w:t>
      </w:r>
    </w:p>
    <w:p w14:paraId="5884C48B" w14:textId="77777777" w:rsidR="001A4F65" w:rsidRPr="005D68A0" w:rsidRDefault="001A4F65" w:rsidP="001A4F65">
      <w:pPr>
        <w:spacing w:line="276" w:lineRule="auto"/>
        <w:ind w:left="567" w:right="616"/>
        <w:jc w:val="both"/>
        <w:rPr>
          <w:rFonts w:ascii="Palatino Linotype" w:hAnsi="Palatino Linotype" w:cs="Tahoma"/>
          <w:b/>
          <w:bCs/>
          <w:i/>
          <w:iCs/>
          <w:sz w:val="22"/>
          <w:szCs w:val="22"/>
          <w:u w:val="single"/>
        </w:rPr>
      </w:pPr>
      <w:r w:rsidRPr="005D68A0">
        <w:rPr>
          <w:rFonts w:ascii="Palatino Linotype" w:hAnsi="Palatino Linotype" w:cs="Tahoma"/>
          <w:i/>
          <w:iCs/>
          <w:sz w:val="22"/>
          <w:szCs w:val="22"/>
          <w:u w:val="single"/>
        </w:rPr>
        <w:t xml:space="preserve">b. </w:t>
      </w:r>
      <w:r w:rsidRPr="005D68A0">
        <w:rPr>
          <w:rFonts w:ascii="Palatino Linotype" w:hAnsi="Palatino Linotype" w:cs="Tahoma"/>
          <w:b/>
          <w:bCs/>
          <w:i/>
          <w:iCs/>
          <w:sz w:val="22"/>
          <w:szCs w:val="22"/>
          <w:u w:val="single"/>
        </w:rPr>
        <w:t xml:space="preserve">1.85% para el sistema de capitalización individual. </w:t>
      </w:r>
    </w:p>
    <w:p w14:paraId="7874E854"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 xml:space="preserve">III. Las que determine anualmente el Consejo Directivo para otras prestaciones, señaladas en el Título IV; </w:t>
      </w:r>
    </w:p>
    <w:p w14:paraId="3801C492" w14:textId="77777777" w:rsidR="001A4F65" w:rsidRPr="005D68A0"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 xml:space="preserve">IV. El 0.875% para gastos de administración; </w:t>
      </w:r>
    </w:p>
    <w:p w14:paraId="36DED7CD" w14:textId="77777777" w:rsidR="001A4F65" w:rsidRPr="00B42B47" w:rsidRDefault="001A4F65" w:rsidP="001A4F65">
      <w:pPr>
        <w:spacing w:line="276" w:lineRule="auto"/>
        <w:ind w:left="567" w:right="616"/>
        <w:jc w:val="both"/>
        <w:rPr>
          <w:rFonts w:ascii="Palatino Linotype" w:hAnsi="Palatino Linotype" w:cs="Tahoma"/>
          <w:i/>
          <w:iCs/>
          <w:sz w:val="22"/>
          <w:szCs w:val="22"/>
        </w:rPr>
      </w:pPr>
      <w:r w:rsidRPr="005D68A0">
        <w:rPr>
          <w:rFonts w:ascii="Palatino Linotype" w:hAnsi="Palatino Linotype" w:cs="Tahoma"/>
          <w:i/>
          <w:iCs/>
          <w:sz w:val="22"/>
          <w:szCs w:val="22"/>
        </w:rPr>
        <w:t>V. Las que se generen a cargo de las Instituciones públicas por concepto de riesgos de trabajo.</w:t>
      </w:r>
    </w:p>
    <w:p w14:paraId="1E09A73F" w14:textId="77777777" w:rsidR="001A4F65" w:rsidRDefault="001A4F65" w:rsidP="001A4F65">
      <w:pPr>
        <w:spacing w:line="360" w:lineRule="auto"/>
        <w:jc w:val="both"/>
        <w:rPr>
          <w:rFonts w:ascii="Palatino Linotype" w:hAnsi="Palatino Linotype" w:cs="Tahoma"/>
          <w:sz w:val="22"/>
          <w:szCs w:val="22"/>
        </w:rPr>
      </w:pPr>
    </w:p>
    <w:p w14:paraId="7361D235" w14:textId="77777777" w:rsidR="001A4F65" w:rsidRPr="008C0D05" w:rsidRDefault="001A4F65" w:rsidP="001A4F65">
      <w:pPr>
        <w:spacing w:line="360" w:lineRule="auto"/>
        <w:jc w:val="both"/>
        <w:rPr>
          <w:rFonts w:ascii="Palatino Linotype" w:hAnsi="Palatino Linotype" w:cs="Tahoma"/>
        </w:rPr>
      </w:pPr>
      <w:r w:rsidRPr="008C0D05">
        <w:rPr>
          <w:rFonts w:ascii="Palatino Linotype" w:hAnsi="Palatino Linotype" w:cs="Tahoma"/>
        </w:rPr>
        <w:t>Por lo antes señalado, las aportaciones ya están determinadas por un porcentaje en relación al sueldo del servidor público, las cuales son cubiertas obligatoriamente, tanto por los servidores públicos, como por las instituciones públicas, por lo que al considerar los porcentajes correspondientes al Sistema de Capitalización Individual (%1,40 de servidor público y %1.85 de la Institución pública), es fácilmente identificable al conocer el sueldo del servidor público, por tanto dichos conceptos deberán de ser públicos, aún y cuando se tratan de deducciones al sueldo del trabajador.</w:t>
      </w:r>
    </w:p>
    <w:p w14:paraId="0ACA2F8C" w14:textId="77777777" w:rsidR="001A4F65" w:rsidRPr="008C0D05" w:rsidRDefault="001A4F65" w:rsidP="001A4F65">
      <w:pPr>
        <w:spacing w:line="360" w:lineRule="auto"/>
        <w:jc w:val="both"/>
        <w:rPr>
          <w:rFonts w:ascii="Palatino Linotype" w:hAnsi="Palatino Linotype" w:cs="Tahoma"/>
        </w:rPr>
      </w:pPr>
    </w:p>
    <w:p w14:paraId="098EBDBE" w14:textId="77777777" w:rsidR="001A4F65" w:rsidRPr="005A4CF2"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u w:val="single"/>
        </w:rPr>
      </w:pPr>
      <w:r w:rsidRPr="005A4CF2">
        <w:rPr>
          <w:rFonts w:ascii="Palatino Linotype" w:eastAsia="Palatino Linotype" w:hAnsi="Palatino Linotype" w:cs="Palatino Linotype"/>
          <w:color w:val="000000"/>
        </w:rPr>
        <w:t xml:space="preserve">Es necesario precisar que existen deducciones que se generan con motivo de una decisión libre y voluntaria de los servidores públicos, como son: </w:t>
      </w:r>
      <w:r w:rsidRPr="005A4CF2">
        <w:rPr>
          <w:rFonts w:ascii="Palatino Linotype" w:eastAsia="Palatino Linotype" w:hAnsi="Palatino Linotype" w:cs="Palatino Linotype"/>
          <w:color w:val="000000"/>
          <w:u w:val="single"/>
        </w:rPr>
        <w:t>créditos personales,</w:t>
      </w:r>
      <w:r w:rsidRPr="005A4CF2">
        <w:rPr>
          <w:rFonts w:ascii="Palatino Linotype" w:eastAsia="Palatino Linotype" w:hAnsi="Palatino Linotype" w:cs="Palatino Linotype"/>
          <w:color w:val="000000"/>
        </w:rPr>
        <w:t xml:space="preserve"> </w:t>
      </w:r>
      <w:r w:rsidRPr="005A4CF2">
        <w:rPr>
          <w:rFonts w:ascii="Palatino Linotype" w:eastAsia="Palatino Linotype" w:hAnsi="Palatino Linotype" w:cs="Palatino Linotype"/>
          <w:color w:val="000000"/>
          <w:u w:val="single"/>
        </w:rPr>
        <w:t xml:space="preserve">cuotas sindicales y fondo de resistencia del Sindicato Único de Trabajadores de los Poderes, Municipios e Institución Descentralizadas del Estado de México, seguro de vida, accidentes y enfermedades. </w:t>
      </w:r>
      <w:r w:rsidRPr="005A4CF2">
        <w:rPr>
          <w:rFonts w:ascii="Palatino Linotype" w:eastAsia="Palatino Linotype" w:hAnsi="Palatino Linotype" w:cs="Palatino Linotype"/>
          <w:color w:val="000000"/>
        </w:rPr>
        <w:t xml:space="preserve">Asimismo, hay otras que se generan con motivo de una sentencia judicial, como es la pensión alimenticia que periódicamente se retira de la cuenta de un empleado, a efecto de que sea entregado a un tercero.  </w:t>
      </w:r>
    </w:p>
    <w:p w14:paraId="4411D81F" w14:textId="77777777" w:rsidR="001A4F65" w:rsidRPr="005A4CF2" w:rsidRDefault="001A4F65" w:rsidP="001A4F65">
      <w:pPr>
        <w:pBdr>
          <w:top w:val="nil"/>
          <w:left w:val="nil"/>
          <w:bottom w:val="nil"/>
          <w:right w:val="nil"/>
          <w:between w:val="nil"/>
        </w:pBdr>
        <w:ind w:left="720"/>
        <w:rPr>
          <w:rFonts w:ascii="Palatino Linotype" w:eastAsia="Palatino Linotype" w:hAnsi="Palatino Linotype" w:cs="Palatino Linotype"/>
          <w:color w:val="000000"/>
        </w:rPr>
      </w:pPr>
    </w:p>
    <w:p w14:paraId="7B9CFCA4" w14:textId="77777777" w:rsidR="001A4F65" w:rsidRPr="005A4CF2"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5A4CF2">
        <w:rPr>
          <w:rFonts w:ascii="Palatino Linotype" w:eastAsia="Palatino Linotype" w:hAnsi="Palatino Linotype" w:cs="Palatino Linotype"/>
          <w:color w:val="000000"/>
        </w:rPr>
        <w:t xml:space="preserve">En consecuencia, este tipo de deducciones son fruto de decisiones que impactan en el patrimonio de un servidor público con la finalidad de obtener un beneficio conforme a la decisión de un trabajador, </w:t>
      </w:r>
      <w:r w:rsidRPr="005A4CF2">
        <w:rPr>
          <w:rFonts w:ascii="Palatino Linotype" w:eastAsia="Palatino Linotype" w:hAnsi="Palatino Linotype" w:cs="Palatino Linotype"/>
          <w:b/>
          <w:color w:val="000000"/>
        </w:rPr>
        <w:t xml:space="preserve">mismas que no implican la entrega de recursos con cargo al </w:t>
      </w:r>
      <w:r w:rsidRPr="005A4CF2">
        <w:rPr>
          <w:rFonts w:ascii="Palatino Linotype" w:eastAsia="Palatino Linotype" w:hAnsi="Palatino Linotype" w:cs="Palatino Linotype"/>
          <w:b/>
          <w:color w:val="000000"/>
        </w:rPr>
        <w:lastRenderedPageBreak/>
        <w:t xml:space="preserve">erario, y tampoco reflejan el ejercicio de una prestación; por el contrario, en dichos casos se trata del libre ejercicio del servidor público para disponer de un ingreso que forma parte de su patrimonio. </w:t>
      </w:r>
      <w:r w:rsidRPr="005A4CF2">
        <w:rPr>
          <w:rFonts w:ascii="Palatino Linotype" w:eastAsia="Palatino Linotype" w:hAnsi="Palatino Linotype" w:cs="Palatino Linotype"/>
          <w:color w:val="000000"/>
        </w:rPr>
        <w:t xml:space="preserve"> Así, dichas deducciones reflejan el destino que un servidor público da a su patrimonio, lo que se aleja de la transparencia y rendición de cuentas.</w:t>
      </w:r>
    </w:p>
    <w:p w14:paraId="37C78E1D" w14:textId="47D07599" w:rsidR="001A4F65" w:rsidRPr="005A4CF2" w:rsidRDefault="001A4F65" w:rsidP="001A4F65">
      <w:pPr>
        <w:pBdr>
          <w:top w:val="nil"/>
          <w:left w:val="nil"/>
          <w:bottom w:val="nil"/>
          <w:right w:val="nil"/>
          <w:between w:val="nil"/>
        </w:pBdr>
        <w:spacing w:line="360" w:lineRule="auto"/>
        <w:jc w:val="both"/>
        <w:rPr>
          <w:rFonts w:ascii="Palatino Linotype" w:hAnsi="Palatino Linotype"/>
          <w:iCs/>
        </w:rPr>
      </w:pPr>
    </w:p>
    <w:p w14:paraId="0E5F2728" w14:textId="071EDEE2" w:rsidR="001A4F65" w:rsidRPr="005A4CF2" w:rsidRDefault="001A4F65" w:rsidP="005A4CF2">
      <w:p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5A4CF2">
        <w:rPr>
          <w:rFonts w:ascii="Palatino Linotype" w:eastAsia="Palatino Linotype" w:hAnsi="Palatino Linotype" w:cs="Palatino Linotype"/>
          <w:color w:val="000000"/>
        </w:rPr>
        <w:t>Hasta este punto, se considera que la información relacionada con los siguientes puntos actualiza una causal de confidencialidad, toda vez que identifica o hace identificable a su titular.</w:t>
      </w:r>
    </w:p>
    <w:p w14:paraId="736DD536" w14:textId="77777777" w:rsidR="001A4F65" w:rsidRPr="005A4CF2" w:rsidRDefault="001A4F65" w:rsidP="001A4F65">
      <w:pPr>
        <w:numPr>
          <w:ilvl w:val="0"/>
          <w:numId w:val="31"/>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5A4CF2">
        <w:rPr>
          <w:rFonts w:ascii="Palatino Linotype" w:eastAsia="Palatino Linotype" w:hAnsi="Palatino Linotype" w:cs="Palatino Linotype"/>
          <w:color w:val="000000"/>
        </w:rPr>
        <w:t>Clave Única de Registro de Población (CURP)</w:t>
      </w:r>
    </w:p>
    <w:p w14:paraId="579974D9" w14:textId="77777777" w:rsidR="001A4F65" w:rsidRPr="005A4CF2" w:rsidRDefault="001A4F65" w:rsidP="001A4F65">
      <w:pPr>
        <w:numPr>
          <w:ilvl w:val="0"/>
          <w:numId w:val="31"/>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5A4CF2">
        <w:rPr>
          <w:rFonts w:ascii="Palatino Linotype" w:eastAsia="Palatino Linotype" w:hAnsi="Palatino Linotype" w:cs="Palatino Linotype"/>
          <w:color w:val="000000"/>
        </w:rPr>
        <w:t xml:space="preserve">Clave </w:t>
      </w:r>
      <w:proofErr w:type="spellStart"/>
      <w:r w:rsidRPr="005A4CF2">
        <w:rPr>
          <w:rFonts w:ascii="Palatino Linotype" w:eastAsia="Palatino Linotype" w:hAnsi="Palatino Linotype" w:cs="Palatino Linotype"/>
          <w:color w:val="000000"/>
        </w:rPr>
        <w:t>ISSEMyM</w:t>
      </w:r>
      <w:proofErr w:type="spellEnd"/>
    </w:p>
    <w:p w14:paraId="352488F7" w14:textId="77777777" w:rsidR="001A4F65" w:rsidRPr="005A4CF2" w:rsidRDefault="001A4F65" w:rsidP="001A4F65">
      <w:pPr>
        <w:numPr>
          <w:ilvl w:val="0"/>
          <w:numId w:val="31"/>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5A4CF2">
        <w:rPr>
          <w:rFonts w:ascii="Palatino Linotype" w:eastAsia="Palatino Linotype" w:hAnsi="Palatino Linotype" w:cs="Palatino Linotype"/>
          <w:color w:val="000000"/>
        </w:rPr>
        <w:t>Registro Federal de Contribuyentes (RFC)</w:t>
      </w:r>
    </w:p>
    <w:p w14:paraId="55A7474B" w14:textId="77777777" w:rsidR="001A4F65" w:rsidRPr="005A4CF2" w:rsidRDefault="001A4F65" w:rsidP="001A4F65">
      <w:pPr>
        <w:numPr>
          <w:ilvl w:val="0"/>
          <w:numId w:val="31"/>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5A4CF2">
        <w:rPr>
          <w:rFonts w:ascii="Palatino Linotype" w:eastAsia="Palatino Linotype" w:hAnsi="Palatino Linotype" w:cs="Palatino Linotype"/>
          <w:color w:val="000000"/>
        </w:rPr>
        <w:t xml:space="preserve">Deducciones personales </w:t>
      </w:r>
    </w:p>
    <w:p w14:paraId="0D66E0BD" w14:textId="77777777" w:rsidR="001A4F65" w:rsidRPr="005A4CF2" w:rsidRDefault="001A4F65" w:rsidP="001A4F65">
      <w:pPr>
        <w:numPr>
          <w:ilvl w:val="0"/>
          <w:numId w:val="31"/>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5A4CF2">
        <w:rPr>
          <w:rFonts w:ascii="Palatino Linotype" w:eastAsia="Palatino Linotype" w:hAnsi="Palatino Linotype" w:cs="Palatino Linotype"/>
          <w:color w:val="000000"/>
        </w:rPr>
        <w:t xml:space="preserve">Número de empleado </w:t>
      </w:r>
      <w:r w:rsidRPr="005A4CF2">
        <w:rPr>
          <w:rFonts w:ascii="Palatino Linotype" w:eastAsia="Palatino Linotype" w:hAnsi="Palatino Linotype" w:cs="Palatino Linotype"/>
          <w:b/>
          <w:color w:val="000000"/>
        </w:rPr>
        <w:t>(sólo en el caso de que contenga datos personales o se relacione con los mismos, de lo contrario es información pública)</w:t>
      </w:r>
    </w:p>
    <w:p w14:paraId="3EC879FE" w14:textId="77777777" w:rsidR="001A4F65" w:rsidRPr="005A4CF2" w:rsidRDefault="001A4F65" w:rsidP="001A4F65">
      <w:pPr>
        <w:pBdr>
          <w:top w:val="nil"/>
          <w:left w:val="nil"/>
          <w:bottom w:val="nil"/>
          <w:right w:val="nil"/>
          <w:between w:val="nil"/>
        </w:pBdr>
        <w:rPr>
          <w:rFonts w:ascii="Palatino Linotype" w:eastAsia="Palatino Linotype" w:hAnsi="Palatino Linotype" w:cs="Palatino Linotype"/>
          <w:color w:val="000000"/>
        </w:rPr>
      </w:pPr>
    </w:p>
    <w:p w14:paraId="2BFCDC1E" w14:textId="77777777" w:rsidR="001A4F65" w:rsidRPr="005A4CF2"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5A4CF2">
        <w:rPr>
          <w:rFonts w:ascii="Palatino Linotype" w:eastAsia="Palatino Linotype" w:hAnsi="Palatino Linotype" w:cs="Palatino Linotype"/>
          <w:color w:val="000000"/>
        </w:rPr>
        <w:t>Es decir, los datos personales enlistados constituyen datos personales confidenciales al actualizar el supuesto normativo del artículo 143, fracción I de la Ley de Transparencia y Acceso a la Información Pública del Estado de México y Municipios.</w:t>
      </w:r>
    </w:p>
    <w:p w14:paraId="1E953262" w14:textId="77777777" w:rsidR="001A4F65" w:rsidRPr="00074F57" w:rsidRDefault="001A4F65" w:rsidP="001A4F65">
      <w:pPr>
        <w:pBdr>
          <w:top w:val="nil"/>
          <w:left w:val="nil"/>
          <w:bottom w:val="nil"/>
          <w:right w:val="nil"/>
          <w:between w:val="nil"/>
        </w:pBdr>
        <w:ind w:left="720"/>
        <w:rPr>
          <w:rFonts w:ascii="Palatino Linotype" w:eastAsia="Palatino Linotype" w:hAnsi="Palatino Linotype" w:cs="Palatino Linotype"/>
          <w:color w:val="000000"/>
          <w:highlight w:val="yellow"/>
        </w:rPr>
      </w:pPr>
    </w:p>
    <w:p w14:paraId="5CBA9804" w14:textId="77777777" w:rsidR="001A4F65" w:rsidRPr="00EC17A7"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highlight w:val="yellow"/>
        </w:rPr>
      </w:pPr>
    </w:p>
    <w:p w14:paraId="7D66B70D" w14:textId="77777777" w:rsidR="001A4F65" w:rsidRPr="00B42B47" w:rsidRDefault="001A4F65" w:rsidP="001A4F65">
      <w:pPr>
        <w:rPr>
          <w:rFonts w:ascii="Palatino Linotype" w:hAnsi="Palatino Linotype"/>
          <w:b/>
          <w:i/>
        </w:rPr>
      </w:pPr>
      <w:bookmarkStart w:id="3" w:name="_Toc86917947"/>
      <w:r w:rsidRPr="00B42B47">
        <w:rPr>
          <w:rFonts w:ascii="Palatino Linotype" w:hAnsi="Palatino Linotype"/>
          <w:b/>
          <w:i/>
        </w:rPr>
        <w:t>III. CÓDIGO QR</w:t>
      </w:r>
      <w:bookmarkEnd w:id="3"/>
    </w:p>
    <w:p w14:paraId="6889799D" w14:textId="77777777" w:rsidR="001A4F65" w:rsidRPr="005D68A0" w:rsidRDefault="001A4F65" w:rsidP="001A4F65">
      <w:pPr>
        <w:pStyle w:val="Prrafodelista"/>
        <w:rPr>
          <w:rFonts w:ascii="Palatino Linotype" w:hAnsi="Palatino Linotype" w:cs="Tahoma"/>
          <w:bCs/>
        </w:rPr>
      </w:pPr>
    </w:p>
    <w:p w14:paraId="7D0B5AAB" w14:textId="77777777" w:rsidR="001A4F65" w:rsidRPr="005D68A0" w:rsidRDefault="001A4F65" w:rsidP="001A4F65">
      <w:pPr>
        <w:pStyle w:val="Prrafodelista"/>
        <w:spacing w:line="360" w:lineRule="auto"/>
        <w:ind w:left="0"/>
        <w:jc w:val="both"/>
        <w:rPr>
          <w:rFonts w:ascii="Palatino Linotype" w:hAnsi="Palatino Linotype" w:cs="Tahoma"/>
          <w:bCs/>
        </w:rPr>
      </w:pPr>
      <w:r w:rsidRPr="005D68A0">
        <w:rPr>
          <w:rFonts w:ascii="Palatino Linotype" w:hAnsi="Palatino Linotype" w:cs="Tahoma"/>
          <w:bCs/>
        </w:rPr>
        <w:t xml:space="preserve">Los comprobantes fiscales digitales por Internet, deben de incluir un código bidimensional conforme al formato </w:t>
      </w:r>
      <w:r w:rsidRPr="005D68A0">
        <w:rPr>
          <w:rFonts w:ascii="Palatino Linotype" w:hAnsi="Palatino Linotype" w:cs="Tahoma"/>
          <w:bCs/>
          <w:i/>
        </w:rPr>
        <w:t xml:space="preserve">QR </w:t>
      </w:r>
      <w:proofErr w:type="spellStart"/>
      <w:r w:rsidRPr="005D68A0">
        <w:rPr>
          <w:rFonts w:ascii="Palatino Linotype" w:hAnsi="Palatino Linotype" w:cs="Tahoma"/>
          <w:bCs/>
          <w:i/>
        </w:rPr>
        <w:t>Code</w:t>
      </w:r>
      <w:proofErr w:type="spellEnd"/>
      <w:r w:rsidRPr="005D68A0">
        <w:rPr>
          <w:rFonts w:ascii="Palatino Linotype" w:hAnsi="Palatino Linotype" w:cs="Tahoma"/>
          <w:bCs/>
          <w:i/>
        </w:rPr>
        <w:t xml:space="preserve"> (Quick Response </w:t>
      </w:r>
      <w:proofErr w:type="spellStart"/>
      <w:r w:rsidRPr="005D68A0">
        <w:rPr>
          <w:rFonts w:ascii="Palatino Linotype" w:hAnsi="Palatino Linotype" w:cs="Tahoma"/>
          <w:bCs/>
          <w:i/>
        </w:rPr>
        <w:t>Code</w:t>
      </w:r>
      <w:proofErr w:type="spellEnd"/>
      <w:r w:rsidRPr="005D68A0">
        <w:rPr>
          <w:rFonts w:ascii="Palatino Linotype" w:hAnsi="Palatino Linotype" w:cs="Tahoma"/>
          <w:bCs/>
          <w:i/>
        </w:rPr>
        <w:t>)</w:t>
      </w:r>
      <w:r w:rsidRPr="005D68A0">
        <w:rPr>
          <w:rFonts w:ascii="Palatino Linotype" w:hAnsi="Palatino Linotype" w:cs="Tahoma"/>
          <w:bCs/>
        </w:rPr>
        <w:t xml:space="preserve">, el cual contiene el </w:t>
      </w:r>
      <w:r w:rsidRPr="005D68A0">
        <w:rPr>
          <w:rFonts w:ascii="Palatino Linotype" w:hAnsi="Palatino Linotype" w:cs="Tahoma"/>
          <w:bCs/>
        </w:rPr>
        <w:lastRenderedPageBreak/>
        <w:t xml:space="preserve">Registro Federal de Contribuyentes del receptor, del emisor, o de ambos; lo anterior, conforme al Anexo 20 de la Segunda Resolución de modificación a la Resolución Miscelánea Fiscal para el 2017, localizada en la página electrónica  </w:t>
      </w:r>
      <w:hyperlink r:id="rId9" w:history="1">
        <w:r w:rsidRPr="005D68A0">
          <w:rPr>
            <w:rStyle w:val="Hipervnculo"/>
            <w:rFonts w:ascii="Palatino Linotype" w:eastAsiaTheme="majorEastAsia" w:hAnsi="Palatino Linotype" w:cs="Tahoma"/>
            <w:bCs/>
          </w:rPr>
          <w:t>http://dof.gob.mx/nota_detalle.php?codigo=5492254&amp;fecha=28/07/2017</w:t>
        </w:r>
      </w:hyperlink>
      <w:r w:rsidRPr="005D68A0">
        <w:rPr>
          <w:rFonts w:ascii="Palatino Linotype" w:hAnsi="Palatino Linotype" w:cs="Tahoma"/>
          <w:bCs/>
        </w:rPr>
        <w:t>. Incluso con la captura de dicho código, a través de la aplicación móvil del Servicio de Administración Tributaria, permite el acceso al Registro Federal de Contribuyentes, como del Sujeto Obligado, como de los servidores públicos.</w:t>
      </w:r>
    </w:p>
    <w:p w14:paraId="37A23BC5" w14:textId="77777777" w:rsidR="001A4F65" w:rsidRPr="005D68A0" w:rsidRDefault="001A4F65" w:rsidP="001A4F65">
      <w:pPr>
        <w:pStyle w:val="Prrafodelista"/>
        <w:spacing w:line="360" w:lineRule="auto"/>
        <w:ind w:left="0"/>
        <w:jc w:val="both"/>
        <w:rPr>
          <w:rFonts w:ascii="Palatino Linotype" w:hAnsi="Palatino Linotype" w:cs="Tahoma"/>
          <w:bCs/>
        </w:rPr>
      </w:pPr>
    </w:p>
    <w:p w14:paraId="65DBD2E6" w14:textId="77777777" w:rsidR="001A4F65" w:rsidRPr="005D68A0" w:rsidRDefault="001A4F65" w:rsidP="001A4F65">
      <w:pPr>
        <w:pStyle w:val="Prrafodelista"/>
        <w:spacing w:line="360" w:lineRule="auto"/>
        <w:ind w:left="0"/>
        <w:jc w:val="both"/>
        <w:rPr>
          <w:rFonts w:ascii="Palatino Linotype" w:hAnsi="Palatino Linotype" w:cs="Tahoma"/>
          <w:bCs/>
        </w:rPr>
      </w:pPr>
      <w:r w:rsidRPr="005D68A0">
        <w:rPr>
          <w:rFonts w:ascii="Palatino Linotype" w:hAnsi="Palatino Linotype" w:cs="Tahoma"/>
          <w:bCs/>
        </w:rPr>
        <w:t>De tales circunstancias, se considera que dicho dato actualiza la causal de clasificación prevista en el artículo 143, fracción I de la Ley de la materia, toda vez que da acceso al Registro Federal de Contribuyentes de los servidores públicos del Sujeto Obligado, datos que tal como se señaló previamente, son clasificados.</w:t>
      </w:r>
    </w:p>
    <w:p w14:paraId="3D36B5B2" w14:textId="77777777" w:rsidR="001A4F65" w:rsidRPr="005D68A0" w:rsidRDefault="001A4F65" w:rsidP="001A4F65">
      <w:pPr>
        <w:pStyle w:val="Prrafodelista"/>
        <w:spacing w:line="360" w:lineRule="auto"/>
        <w:ind w:left="0"/>
        <w:jc w:val="both"/>
        <w:rPr>
          <w:rFonts w:ascii="Palatino Linotype" w:hAnsi="Palatino Linotype" w:cs="Tahoma"/>
          <w:bCs/>
        </w:rPr>
      </w:pPr>
    </w:p>
    <w:p w14:paraId="76E535F8" w14:textId="77777777" w:rsidR="001A4F65" w:rsidRPr="00B42B47" w:rsidRDefault="001A4F65" w:rsidP="001A4F65">
      <w:pPr>
        <w:jc w:val="both"/>
        <w:rPr>
          <w:rFonts w:ascii="Palatino Linotype" w:hAnsi="Palatino Linotype"/>
          <w:b/>
          <w:i/>
        </w:rPr>
      </w:pPr>
      <w:bookmarkStart w:id="4" w:name="_Toc86917948"/>
      <w:r w:rsidRPr="00B42B47">
        <w:rPr>
          <w:rFonts w:ascii="Palatino Linotype" w:hAnsi="Palatino Linotype"/>
          <w:b/>
          <w:i/>
        </w:rPr>
        <w:t xml:space="preserve">IV. Sellos digitales del emisor y del Servicio de Administración Tributaria y cadena original del complemento de certificación digital del órgano previamente señalado; así como folio fiscal. </w:t>
      </w:r>
      <w:bookmarkEnd w:id="4"/>
    </w:p>
    <w:p w14:paraId="52544FCC" w14:textId="77777777" w:rsidR="001A4F65" w:rsidRDefault="001A4F65" w:rsidP="001A4F65">
      <w:pPr>
        <w:pStyle w:val="Prrafodelista"/>
        <w:spacing w:line="360" w:lineRule="auto"/>
        <w:ind w:left="0"/>
        <w:jc w:val="both"/>
        <w:rPr>
          <w:rFonts w:ascii="Palatino Linotype" w:hAnsi="Palatino Linotype" w:cs="Tahoma"/>
          <w:b/>
          <w:bCs/>
        </w:rPr>
      </w:pPr>
    </w:p>
    <w:p w14:paraId="078623BF" w14:textId="77777777" w:rsidR="001A4F65" w:rsidRPr="005D68A0" w:rsidRDefault="001A4F65" w:rsidP="001A4F65">
      <w:pPr>
        <w:pStyle w:val="Prrafodelista"/>
        <w:spacing w:line="360" w:lineRule="auto"/>
        <w:ind w:left="0"/>
        <w:jc w:val="both"/>
        <w:rPr>
          <w:rFonts w:ascii="Palatino Linotype" w:hAnsi="Palatino Linotype" w:cs="Tahoma"/>
          <w:bCs/>
        </w:rPr>
      </w:pPr>
      <w:r w:rsidRPr="002E3AB5">
        <w:rPr>
          <w:rFonts w:ascii="Palatino Linotype" w:hAnsi="Palatino Linotype" w:cs="Tahoma"/>
          <w:b/>
          <w:bCs/>
        </w:rPr>
        <w:t>Cuando, de la secuencia de números y letras, no se advierta un Registro Federal de Contribuyentes o una Clave Única de Registro de Población, que pueda hacer identificable al titular del dato personal, no puede tenerse como dato personal</w:t>
      </w:r>
      <w:r w:rsidRPr="005D68A0">
        <w:rPr>
          <w:rFonts w:ascii="Palatino Linotype" w:hAnsi="Palatino Linotype" w:cs="Tahoma"/>
          <w:bCs/>
        </w:rPr>
        <w:t xml:space="preserve"> y por ende información confidencial. Por el contrario, debe considerarse que esta información incluida en los documentos fiscales, constituyen un elemento adicional que permite a cualquier persona verificar la legitimidad del documento entregado en una solicitud de acceso a la información y, por sí solos no contienen datos personales susceptibles de clasificación, ya que no hacen identificado o identificable a su titular, pues dichos datos </w:t>
      </w:r>
      <w:r w:rsidRPr="005D68A0">
        <w:rPr>
          <w:rFonts w:ascii="Palatino Linotype" w:hAnsi="Palatino Linotype" w:cs="Tahoma"/>
          <w:bCs/>
        </w:rPr>
        <w:lastRenderedPageBreak/>
        <w:t>sólo son de utilidad de manera directa a la Secretaría de Hacienda y Crédito Público y si bien, dichas cadenas sí derivan de la información personal de los contribuyentes, esta se encuentra encriptada como se verá a continuación.</w:t>
      </w:r>
    </w:p>
    <w:p w14:paraId="401619AC" w14:textId="77777777" w:rsidR="001A4F65" w:rsidRPr="005D68A0" w:rsidRDefault="001A4F65" w:rsidP="001A4F65">
      <w:pPr>
        <w:pStyle w:val="Prrafodelista"/>
        <w:spacing w:line="360" w:lineRule="auto"/>
        <w:ind w:left="0"/>
        <w:jc w:val="both"/>
        <w:rPr>
          <w:rFonts w:ascii="Palatino Linotype" w:hAnsi="Palatino Linotype" w:cs="Tahoma"/>
          <w:bCs/>
        </w:rPr>
      </w:pPr>
    </w:p>
    <w:p w14:paraId="2AE3B9AC" w14:textId="6A341DBA" w:rsidR="001A4F65" w:rsidRPr="00B42B47" w:rsidRDefault="001A4F65" w:rsidP="001A4F65">
      <w:pPr>
        <w:pStyle w:val="Prrafodelista"/>
        <w:spacing w:line="360" w:lineRule="auto"/>
        <w:ind w:left="0"/>
        <w:jc w:val="both"/>
        <w:rPr>
          <w:rFonts w:ascii="Palatino Linotype" w:hAnsi="Palatino Linotype" w:cs="Tahoma"/>
          <w:bCs/>
        </w:rPr>
      </w:pPr>
      <w:r w:rsidRPr="005D68A0">
        <w:rPr>
          <w:rFonts w:ascii="Palatino Linotype" w:hAnsi="Palatino Linotype" w:cs="Tahoma"/>
        </w:rPr>
        <w:t xml:space="preserve">Las cadenas originales y sellos que se agregan a las </w:t>
      </w:r>
      <w:r w:rsidR="005A4CF2" w:rsidRPr="005D68A0">
        <w:rPr>
          <w:rFonts w:ascii="Palatino Linotype" w:hAnsi="Palatino Linotype" w:cs="Tahoma"/>
        </w:rPr>
        <w:t>facturas</w:t>
      </w:r>
      <w:r w:rsidRPr="005D68A0">
        <w:rPr>
          <w:rFonts w:ascii="Palatino Linotype" w:hAnsi="Palatino Linotype" w:cs="Tahoma"/>
          <w:bCs/>
        </w:rPr>
        <w:t xml:space="preserve"> tienen una secuencia de generación, determinados con base en el ANEXO 20 de la Segunda Resolución de modificaciones a la Resolución Miscelánea Fiscal para dos mil diecisiete, publicada en el Diario Oficial de la Federación el dieciocho de julio de dos mil diecisiete, que precisa los datos de los que se componen los elementos de seguridad y se puntualiza que dicha información está encriptada.</w:t>
      </w:r>
    </w:p>
    <w:p w14:paraId="7D56BB52" w14:textId="77777777" w:rsidR="001A4F65" w:rsidRPr="005D68A0" w:rsidRDefault="001A4F65" w:rsidP="001A4F65">
      <w:pPr>
        <w:spacing w:line="360" w:lineRule="auto"/>
        <w:ind w:left="567" w:right="539"/>
        <w:jc w:val="both"/>
        <w:rPr>
          <w:rFonts w:ascii="Palatino Linotype" w:eastAsia="Calibri" w:hAnsi="Palatino Linotype" w:cs="Tahoma"/>
          <w:bCs/>
          <w:i/>
          <w:sz w:val="22"/>
          <w:szCs w:val="22"/>
          <w:lang w:eastAsia="en-US"/>
        </w:rPr>
      </w:pPr>
      <w:r w:rsidRPr="005D68A0">
        <w:rPr>
          <w:rFonts w:ascii="Palatino Linotype" w:eastAsia="Calibri" w:hAnsi="Palatino Linotype" w:cs="Tahoma"/>
          <w:bCs/>
          <w:i/>
          <w:sz w:val="22"/>
          <w:szCs w:val="22"/>
          <w:lang w:eastAsia="en-US"/>
        </w:rPr>
        <w:t>“Elementos utilizados en la generación de Sellos Digitales:</w:t>
      </w:r>
    </w:p>
    <w:p w14:paraId="035D2FB4" w14:textId="77777777" w:rsidR="001A4F65" w:rsidRPr="005D68A0" w:rsidRDefault="001A4F65" w:rsidP="001A4F65">
      <w:pPr>
        <w:spacing w:line="360" w:lineRule="auto"/>
        <w:ind w:left="567" w:right="539"/>
        <w:jc w:val="both"/>
        <w:rPr>
          <w:rFonts w:ascii="Palatino Linotype" w:eastAsia="Calibri" w:hAnsi="Palatino Linotype" w:cs="Tahoma"/>
          <w:bCs/>
          <w:i/>
          <w:sz w:val="22"/>
          <w:szCs w:val="22"/>
          <w:lang w:eastAsia="en-US"/>
        </w:rPr>
      </w:pPr>
      <w:r w:rsidRPr="005D68A0">
        <w:rPr>
          <w:rFonts w:ascii="Palatino Linotype" w:eastAsia="Calibri" w:hAnsi="Palatino Linotype" w:cs="Tahoma"/>
          <w:bCs/>
          <w:i/>
          <w:sz w:val="22"/>
          <w:szCs w:val="22"/>
          <w:lang w:eastAsia="en-US"/>
        </w:rPr>
        <w:t>•</w:t>
      </w:r>
      <w:r w:rsidRPr="005D68A0">
        <w:rPr>
          <w:rFonts w:ascii="Palatino Linotype" w:eastAsia="Calibri" w:hAnsi="Palatino Linotype" w:cs="Tahoma"/>
          <w:bCs/>
          <w:i/>
          <w:sz w:val="22"/>
          <w:szCs w:val="22"/>
          <w:lang w:eastAsia="en-US"/>
        </w:rPr>
        <w:tab/>
        <w:t>Cadena Original, el elemento a sellar, en este caso de un comprobante fiscal digital a través de Internet.</w:t>
      </w:r>
    </w:p>
    <w:p w14:paraId="28FBCA0F" w14:textId="77777777" w:rsidR="001A4F65" w:rsidRPr="005D68A0" w:rsidRDefault="001A4F65" w:rsidP="001A4F65">
      <w:pPr>
        <w:spacing w:line="360" w:lineRule="auto"/>
        <w:ind w:left="567" w:right="539"/>
        <w:jc w:val="both"/>
        <w:rPr>
          <w:rFonts w:ascii="Palatino Linotype" w:eastAsia="Calibri" w:hAnsi="Palatino Linotype" w:cs="Tahoma"/>
          <w:bCs/>
          <w:i/>
          <w:sz w:val="22"/>
          <w:szCs w:val="22"/>
          <w:lang w:eastAsia="en-US"/>
        </w:rPr>
      </w:pPr>
      <w:r w:rsidRPr="005D68A0">
        <w:rPr>
          <w:rFonts w:ascii="Palatino Linotype" w:eastAsia="Calibri" w:hAnsi="Palatino Linotype" w:cs="Tahoma"/>
          <w:bCs/>
          <w:i/>
          <w:sz w:val="22"/>
          <w:szCs w:val="22"/>
          <w:lang w:eastAsia="en-US"/>
        </w:rPr>
        <w:t>•</w:t>
      </w:r>
      <w:r w:rsidRPr="005D68A0">
        <w:rPr>
          <w:rFonts w:ascii="Palatino Linotype" w:eastAsia="Calibri" w:hAnsi="Palatino Linotype" w:cs="Tahoma"/>
          <w:bCs/>
          <w:i/>
          <w:sz w:val="22"/>
          <w:szCs w:val="22"/>
          <w:lang w:eastAsia="en-US"/>
        </w:rPr>
        <w:tab/>
        <w:t>Certificado de Sello Digital y su correspondiente clave privada.</w:t>
      </w:r>
    </w:p>
    <w:p w14:paraId="5E8367BB" w14:textId="77777777" w:rsidR="001A4F65" w:rsidRPr="005D68A0" w:rsidRDefault="001A4F65" w:rsidP="001A4F65">
      <w:pPr>
        <w:spacing w:line="360" w:lineRule="auto"/>
        <w:ind w:left="567" w:right="539"/>
        <w:jc w:val="both"/>
        <w:rPr>
          <w:rFonts w:ascii="Palatino Linotype" w:eastAsia="Calibri" w:hAnsi="Palatino Linotype" w:cs="Tahoma"/>
          <w:bCs/>
          <w:i/>
          <w:sz w:val="22"/>
          <w:szCs w:val="22"/>
          <w:lang w:eastAsia="en-US"/>
        </w:rPr>
      </w:pPr>
      <w:r w:rsidRPr="005D68A0">
        <w:rPr>
          <w:rFonts w:ascii="Palatino Linotype" w:eastAsia="Calibri" w:hAnsi="Palatino Linotype" w:cs="Tahoma"/>
          <w:bCs/>
          <w:i/>
          <w:sz w:val="22"/>
          <w:szCs w:val="22"/>
          <w:lang w:eastAsia="en-US"/>
        </w:rPr>
        <w:t>•</w:t>
      </w:r>
      <w:r w:rsidRPr="005D68A0">
        <w:rPr>
          <w:rFonts w:ascii="Palatino Linotype" w:eastAsia="Calibri" w:hAnsi="Palatino Linotype" w:cs="Tahoma"/>
          <w:bCs/>
          <w:i/>
          <w:sz w:val="22"/>
          <w:szCs w:val="22"/>
          <w:lang w:eastAsia="en-US"/>
        </w:rPr>
        <w:tab/>
        <w:t>Algoritmos de criptografía de clave pública para firma electrónica avanzada.</w:t>
      </w:r>
    </w:p>
    <w:p w14:paraId="722F594E" w14:textId="77777777" w:rsidR="001A4F65" w:rsidRPr="005D68A0" w:rsidRDefault="001A4F65" w:rsidP="001A4F65">
      <w:pPr>
        <w:spacing w:line="360" w:lineRule="auto"/>
        <w:ind w:left="567" w:right="539"/>
        <w:jc w:val="both"/>
        <w:rPr>
          <w:rFonts w:ascii="Palatino Linotype" w:eastAsia="Calibri" w:hAnsi="Palatino Linotype" w:cs="Tahoma"/>
          <w:bCs/>
          <w:i/>
          <w:sz w:val="22"/>
          <w:szCs w:val="22"/>
          <w:lang w:eastAsia="en-US"/>
        </w:rPr>
      </w:pPr>
      <w:r w:rsidRPr="005D68A0">
        <w:rPr>
          <w:rFonts w:ascii="Palatino Linotype" w:eastAsia="Calibri" w:hAnsi="Palatino Linotype" w:cs="Tahoma"/>
          <w:bCs/>
          <w:i/>
          <w:sz w:val="22"/>
          <w:szCs w:val="22"/>
          <w:lang w:eastAsia="en-US"/>
        </w:rPr>
        <w:t>•</w:t>
      </w:r>
      <w:r w:rsidRPr="005D68A0">
        <w:rPr>
          <w:rFonts w:ascii="Palatino Linotype" w:eastAsia="Calibri" w:hAnsi="Palatino Linotype" w:cs="Tahoma"/>
          <w:bCs/>
          <w:i/>
          <w:sz w:val="22"/>
          <w:szCs w:val="22"/>
          <w:lang w:eastAsia="en-US"/>
        </w:rPr>
        <w:tab/>
        <w:t>Especificaciones de conversión de la firma electrónica avanzada a Base 64.</w:t>
      </w:r>
    </w:p>
    <w:p w14:paraId="1D820684" w14:textId="77777777" w:rsidR="001A4F65" w:rsidRPr="005D68A0" w:rsidRDefault="001A4F65" w:rsidP="001A4F65">
      <w:pPr>
        <w:spacing w:line="360" w:lineRule="auto"/>
        <w:ind w:left="567" w:right="539"/>
        <w:jc w:val="both"/>
        <w:rPr>
          <w:rFonts w:ascii="Palatino Linotype" w:eastAsia="Calibri" w:hAnsi="Palatino Linotype" w:cs="Tahoma"/>
          <w:bCs/>
          <w:i/>
          <w:sz w:val="22"/>
          <w:szCs w:val="22"/>
          <w:lang w:eastAsia="en-US"/>
        </w:rPr>
      </w:pPr>
      <w:r w:rsidRPr="005D68A0">
        <w:rPr>
          <w:rFonts w:ascii="Palatino Linotype" w:eastAsia="Calibri" w:hAnsi="Palatino Linotype" w:cs="Tahoma"/>
          <w:bCs/>
          <w:i/>
          <w:sz w:val="22"/>
          <w:szCs w:val="22"/>
          <w:lang w:eastAsia="en-US"/>
        </w:rPr>
        <w:t>Para la generación de sellos digitales se utiliza criptografía de clave pública aplicada a una cadena original.</w:t>
      </w:r>
    </w:p>
    <w:p w14:paraId="2040AF20" w14:textId="77777777" w:rsidR="001A4F65" w:rsidRPr="005D68A0" w:rsidRDefault="001A4F65" w:rsidP="001A4F65">
      <w:pPr>
        <w:spacing w:line="360" w:lineRule="auto"/>
        <w:ind w:left="567" w:right="539"/>
        <w:jc w:val="both"/>
        <w:rPr>
          <w:rFonts w:ascii="Palatino Linotype" w:eastAsia="Calibri" w:hAnsi="Palatino Linotype" w:cs="Tahoma"/>
          <w:bCs/>
          <w:i/>
          <w:sz w:val="22"/>
          <w:szCs w:val="22"/>
          <w:lang w:eastAsia="en-US"/>
        </w:rPr>
      </w:pPr>
    </w:p>
    <w:p w14:paraId="6C8B28CD" w14:textId="77777777" w:rsidR="001A4F65" w:rsidRPr="005D68A0" w:rsidRDefault="001A4F65" w:rsidP="001A4F65">
      <w:pPr>
        <w:spacing w:line="360" w:lineRule="auto"/>
        <w:ind w:left="567" w:right="539"/>
        <w:jc w:val="both"/>
        <w:rPr>
          <w:rFonts w:ascii="Palatino Linotype" w:eastAsia="Calibri" w:hAnsi="Palatino Linotype" w:cs="Tahoma"/>
          <w:bCs/>
          <w:i/>
          <w:sz w:val="22"/>
          <w:szCs w:val="22"/>
          <w:lang w:eastAsia="en-US"/>
        </w:rPr>
      </w:pPr>
      <w:r w:rsidRPr="005D68A0">
        <w:rPr>
          <w:rFonts w:ascii="Palatino Linotype" w:eastAsia="Calibri" w:hAnsi="Palatino Linotype" w:cs="Tahoma"/>
          <w:bCs/>
          <w:i/>
          <w:sz w:val="22"/>
          <w:szCs w:val="22"/>
          <w:lang w:eastAsia="en-US"/>
        </w:rPr>
        <w:t>Criptografía de la Clave Pública</w:t>
      </w:r>
    </w:p>
    <w:p w14:paraId="31A939EF" w14:textId="77777777" w:rsidR="001A4F65" w:rsidRPr="005D68A0" w:rsidRDefault="001A4F65" w:rsidP="001A4F65">
      <w:pPr>
        <w:spacing w:line="360" w:lineRule="auto"/>
        <w:ind w:left="567" w:right="539"/>
        <w:jc w:val="both"/>
        <w:rPr>
          <w:rFonts w:ascii="Palatino Linotype" w:eastAsia="Calibri" w:hAnsi="Palatino Linotype" w:cs="Tahoma"/>
          <w:bCs/>
          <w:i/>
          <w:sz w:val="22"/>
          <w:szCs w:val="22"/>
          <w:lang w:eastAsia="en-US"/>
        </w:rPr>
      </w:pPr>
      <w:r w:rsidRPr="005D68A0">
        <w:rPr>
          <w:rFonts w:ascii="Palatino Linotype" w:eastAsia="Calibri" w:hAnsi="Palatino Linotype" w:cs="Tahoma"/>
          <w:bCs/>
          <w:i/>
          <w:sz w:val="22"/>
          <w:szCs w:val="22"/>
          <w:lang w:eastAsia="en-US"/>
        </w:rPr>
        <w:t xml:space="preserve">La criptografía de Clave Pública se basa en la generación de una pareja de números muy grandes relacionados íntimamente entre sí, de tal manera que una operación de </w:t>
      </w:r>
      <w:proofErr w:type="spellStart"/>
      <w:r w:rsidRPr="005D68A0">
        <w:rPr>
          <w:rFonts w:ascii="Palatino Linotype" w:eastAsia="Calibri" w:hAnsi="Palatino Linotype" w:cs="Tahoma"/>
          <w:bCs/>
          <w:i/>
          <w:sz w:val="22"/>
          <w:szCs w:val="22"/>
          <w:lang w:eastAsia="en-US"/>
        </w:rPr>
        <w:t>encripción</w:t>
      </w:r>
      <w:proofErr w:type="spellEnd"/>
      <w:r w:rsidRPr="005D68A0">
        <w:rPr>
          <w:rFonts w:ascii="Palatino Linotype" w:eastAsia="Calibri" w:hAnsi="Palatino Linotype" w:cs="Tahoma"/>
          <w:bCs/>
          <w:i/>
          <w:sz w:val="22"/>
          <w:szCs w:val="22"/>
          <w:lang w:eastAsia="en-US"/>
        </w:rPr>
        <w:t xml:space="preserve"> sobre un mensaje tomando como clave de </w:t>
      </w:r>
      <w:proofErr w:type="spellStart"/>
      <w:r w:rsidRPr="005D68A0">
        <w:rPr>
          <w:rFonts w:ascii="Palatino Linotype" w:eastAsia="Calibri" w:hAnsi="Palatino Linotype" w:cs="Tahoma"/>
          <w:bCs/>
          <w:i/>
          <w:sz w:val="22"/>
          <w:szCs w:val="22"/>
          <w:lang w:eastAsia="en-US"/>
        </w:rPr>
        <w:t>encripción</w:t>
      </w:r>
      <w:proofErr w:type="spellEnd"/>
      <w:r w:rsidRPr="005D68A0">
        <w:rPr>
          <w:rFonts w:ascii="Palatino Linotype" w:eastAsia="Calibri" w:hAnsi="Palatino Linotype" w:cs="Tahoma"/>
          <w:bCs/>
          <w:i/>
          <w:sz w:val="22"/>
          <w:szCs w:val="22"/>
          <w:lang w:eastAsia="en-US"/>
        </w:rPr>
        <w:t xml:space="preserve"> a uno de los dos números, produce un mensaje alterado en su significado que solo puede ser devuelto a su estado original mediante la </w:t>
      </w:r>
      <w:r w:rsidRPr="005D68A0">
        <w:rPr>
          <w:rFonts w:ascii="Palatino Linotype" w:eastAsia="Calibri" w:hAnsi="Palatino Linotype" w:cs="Tahoma"/>
          <w:bCs/>
          <w:i/>
          <w:sz w:val="22"/>
          <w:szCs w:val="22"/>
          <w:lang w:eastAsia="en-US"/>
        </w:rPr>
        <w:lastRenderedPageBreak/>
        <w:t xml:space="preserve">operación de </w:t>
      </w:r>
      <w:proofErr w:type="spellStart"/>
      <w:r w:rsidRPr="005D68A0">
        <w:rPr>
          <w:rFonts w:ascii="Palatino Linotype" w:eastAsia="Calibri" w:hAnsi="Palatino Linotype" w:cs="Tahoma"/>
          <w:bCs/>
          <w:i/>
          <w:sz w:val="22"/>
          <w:szCs w:val="22"/>
          <w:lang w:eastAsia="en-US"/>
        </w:rPr>
        <w:t>desencripción</w:t>
      </w:r>
      <w:proofErr w:type="spellEnd"/>
      <w:r w:rsidRPr="005D68A0">
        <w:rPr>
          <w:rFonts w:ascii="Palatino Linotype" w:eastAsia="Calibri" w:hAnsi="Palatino Linotype" w:cs="Tahoma"/>
          <w:bCs/>
          <w:i/>
          <w:sz w:val="22"/>
          <w:szCs w:val="22"/>
          <w:lang w:eastAsia="en-US"/>
        </w:rPr>
        <w:t xml:space="preserve"> correspondiente tomando como clave de </w:t>
      </w:r>
      <w:proofErr w:type="spellStart"/>
      <w:r w:rsidRPr="005D68A0">
        <w:rPr>
          <w:rFonts w:ascii="Palatino Linotype" w:eastAsia="Calibri" w:hAnsi="Palatino Linotype" w:cs="Tahoma"/>
          <w:bCs/>
          <w:i/>
          <w:sz w:val="22"/>
          <w:szCs w:val="22"/>
          <w:lang w:eastAsia="en-US"/>
        </w:rPr>
        <w:t>desencripción</w:t>
      </w:r>
      <w:proofErr w:type="spellEnd"/>
      <w:r w:rsidRPr="005D68A0">
        <w:rPr>
          <w:rFonts w:ascii="Palatino Linotype" w:eastAsia="Calibri" w:hAnsi="Palatino Linotype" w:cs="Tahoma"/>
          <w:bCs/>
          <w:i/>
          <w:sz w:val="22"/>
          <w:szCs w:val="22"/>
          <w:lang w:eastAsia="en-US"/>
        </w:rPr>
        <w:t xml:space="preserve"> al otro número de la pareja.”</w:t>
      </w:r>
    </w:p>
    <w:p w14:paraId="44204A3C" w14:textId="77777777" w:rsidR="001A4F65" w:rsidRPr="005D68A0" w:rsidRDefault="001A4F65" w:rsidP="001A4F65">
      <w:pPr>
        <w:spacing w:line="360" w:lineRule="auto"/>
        <w:jc w:val="both"/>
        <w:rPr>
          <w:rFonts w:ascii="Palatino Linotype" w:hAnsi="Palatino Linotype" w:cs="Tahoma"/>
          <w:bCs/>
          <w:sz w:val="22"/>
          <w:szCs w:val="22"/>
        </w:rPr>
      </w:pPr>
      <w:r w:rsidRPr="005D68A0">
        <w:rPr>
          <w:rFonts w:ascii="Palatino Linotype" w:hAnsi="Palatino Linotype" w:cs="Tahoma"/>
          <w:bCs/>
          <w:sz w:val="22"/>
          <w:szCs w:val="22"/>
        </w:rPr>
        <w:t> </w:t>
      </w:r>
    </w:p>
    <w:p w14:paraId="25CCB36B" w14:textId="77777777" w:rsidR="001A4F65" w:rsidRDefault="001A4F65" w:rsidP="001A4F65">
      <w:pPr>
        <w:pStyle w:val="Prrafodelista"/>
        <w:spacing w:line="360" w:lineRule="auto"/>
        <w:ind w:left="0"/>
        <w:jc w:val="both"/>
        <w:rPr>
          <w:rFonts w:ascii="Palatino Linotype" w:hAnsi="Palatino Linotype" w:cs="Tahoma"/>
          <w:bCs/>
        </w:rPr>
      </w:pPr>
      <w:r w:rsidRPr="005D68A0">
        <w:rPr>
          <w:rFonts w:ascii="Palatino Linotype" w:hAnsi="Palatino Linotype" w:cs="Tahoma"/>
          <w:bCs/>
        </w:rPr>
        <w:t>Es decir, por sí solos las cadenas originales y los sellos originales no contienen datos personales confidenciales, por lo que se considera que no actualizan en supuesto de confidencialidad previsto en el artículo 143, fracción I, de la Ley de Transparencia y Acceso a la Información Pública del Estado de México y Municipios y, por el contrario, son información que permite corroborar la legitimidad de la factura, de ser el caso, por lo que guardan el carácter de público.</w:t>
      </w:r>
    </w:p>
    <w:p w14:paraId="7B55BE4E" w14:textId="77777777" w:rsidR="000B58BD" w:rsidRPr="005D68A0" w:rsidRDefault="000B58BD" w:rsidP="001A4F65">
      <w:pPr>
        <w:pStyle w:val="Prrafodelista"/>
        <w:spacing w:line="360" w:lineRule="auto"/>
        <w:ind w:left="0"/>
        <w:jc w:val="both"/>
        <w:rPr>
          <w:rFonts w:ascii="Palatino Linotype" w:hAnsi="Palatino Linotype" w:cs="Tahoma"/>
          <w:bCs/>
        </w:rPr>
      </w:pPr>
    </w:p>
    <w:p w14:paraId="390BDE9F" w14:textId="77777777" w:rsidR="001A4F65" w:rsidRPr="005D68A0" w:rsidRDefault="001A4F65" w:rsidP="001A4F65">
      <w:pPr>
        <w:pStyle w:val="Prrafodelista"/>
        <w:spacing w:line="360" w:lineRule="auto"/>
        <w:ind w:left="0"/>
        <w:jc w:val="both"/>
        <w:rPr>
          <w:rFonts w:ascii="Palatino Linotype" w:hAnsi="Palatino Linotype" w:cs="Tahoma"/>
          <w:bCs/>
        </w:rPr>
      </w:pPr>
      <w:r w:rsidRPr="005D68A0">
        <w:rPr>
          <w:rFonts w:ascii="Palatino Linotype" w:hAnsi="Palatino Linotype" w:cs="Tahoma"/>
          <w:bCs/>
        </w:rPr>
        <w:t xml:space="preserve">Por otra parte, por lo que hace </w:t>
      </w:r>
      <w:r w:rsidRPr="00B42B47">
        <w:rPr>
          <w:rFonts w:ascii="Palatino Linotype" w:hAnsi="Palatino Linotype" w:cs="Tahoma"/>
          <w:b/>
          <w:bCs/>
          <w:u w:val="single"/>
        </w:rPr>
        <w:t>Folio Fiscal</w:t>
      </w:r>
      <w:r w:rsidRPr="005D68A0">
        <w:rPr>
          <w:rFonts w:ascii="Palatino Linotype" w:hAnsi="Palatino Linotype" w:cs="Tahoma"/>
          <w:bCs/>
        </w:rPr>
        <w:t>, cabe precisar que conforme al ANEXO 20 de la Segunda Resolución de modificaciones a la Resolución Miscelánea Fiscal para dos mil diecisiete, el folio fiscal se conforma de treinta seis caracteres alfanuméricos; además, que conforme al documento denominado “Cómo ubicar el Folio Fiscal en una factura”, el dato se ubica dentro de los datos del emisor o en el recuadro de los datos de identificación del comprobante fiscal. Es un número consecutivo contenido en los comprobantes fiscales digitales, compuesto por 5 grupos de números y letras separados por guiones, tal como se muestra a continuación:</w:t>
      </w:r>
    </w:p>
    <w:p w14:paraId="17684FEF" w14:textId="77777777" w:rsidR="001A4F65" w:rsidRPr="005D68A0" w:rsidRDefault="001A4F65" w:rsidP="001A4F65">
      <w:pPr>
        <w:spacing w:line="360" w:lineRule="auto"/>
        <w:jc w:val="both"/>
        <w:rPr>
          <w:rFonts w:ascii="Palatino Linotype" w:hAnsi="Palatino Linotype" w:cs="Tahoma"/>
          <w:bCs/>
          <w:sz w:val="22"/>
          <w:szCs w:val="22"/>
        </w:rPr>
      </w:pPr>
      <w:r w:rsidRPr="005D68A0">
        <w:rPr>
          <w:rFonts w:ascii="Palatino Linotype" w:hAnsi="Palatino Linotype" w:cs="Tahoma"/>
          <w:bCs/>
          <w:sz w:val="22"/>
          <w:szCs w:val="22"/>
        </w:rPr>
        <w:t> </w:t>
      </w:r>
    </w:p>
    <w:p w14:paraId="17CF32F5" w14:textId="77777777" w:rsidR="001A4F65" w:rsidRPr="005D68A0" w:rsidRDefault="001A4F65" w:rsidP="001A4F65">
      <w:pPr>
        <w:spacing w:line="360" w:lineRule="auto"/>
        <w:jc w:val="center"/>
        <w:rPr>
          <w:rFonts w:ascii="Palatino Linotype" w:hAnsi="Palatino Linotype" w:cs="Tahoma"/>
          <w:bCs/>
          <w:sz w:val="22"/>
          <w:szCs w:val="22"/>
        </w:rPr>
      </w:pPr>
      <w:r w:rsidRPr="005D68A0">
        <w:rPr>
          <w:rFonts w:ascii="Palatino Linotype" w:hAnsi="Palatino Linotype" w:cs="Tahoma"/>
          <w:bCs/>
          <w:noProof/>
          <w:sz w:val="22"/>
          <w:szCs w:val="22"/>
        </w:rPr>
        <w:drawing>
          <wp:inline distT="0" distB="0" distL="0" distR="0" wp14:anchorId="2073A2C6" wp14:editId="47934216">
            <wp:extent cx="5786600" cy="438150"/>
            <wp:effectExtent l="0" t="0" r="5080" b="0"/>
            <wp:docPr id="7" name="Imagen 1" descr="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1" descr="Texto&#10;&#10;El contenido generado por IA puede ser incorrecto."/>
                    <pic:cNvPicPr>
                      <a:picLocks noChangeAspect="1" noChangeArrowheads="1"/>
                    </pic:cNvPicPr>
                  </pic:nvPicPr>
                  <pic:blipFill rotWithShape="1">
                    <a:blip r:embed="rId10">
                      <a:extLst>
                        <a:ext uri="{28A0092B-C50C-407E-A947-70E740481C1C}">
                          <a14:useLocalDpi xmlns:a14="http://schemas.microsoft.com/office/drawing/2010/main" val="0"/>
                        </a:ext>
                      </a:extLst>
                    </a:blip>
                    <a:srcRect t="40505" r="32588" b="47482"/>
                    <a:stretch/>
                  </pic:blipFill>
                  <pic:spPr bwMode="auto">
                    <a:xfrm>
                      <a:off x="0" y="0"/>
                      <a:ext cx="5823257" cy="440926"/>
                    </a:xfrm>
                    <a:prstGeom prst="rect">
                      <a:avLst/>
                    </a:prstGeom>
                    <a:noFill/>
                    <a:ln>
                      <a:noFill/>
                    </a:ln>
                    <a:extLst>
                      <a:ext uri="{53640926-AAD7-44D8-BBD7-CCE9431645EC}">
                        <a14:shadowObscured xmlns:a14="http://schemas.microsoft.com/office/drawing/2010/main"/>
                      </a:ext>
                    </a:extLst>
                  </pic:spPr>
                </pic:pic>
              </a:graphicData>
            </a:graphic>
          </wp:inline>
        </w:drawing>
      </w:r>
    </w:p>
    <w:p w14:paraId="02E29E26" w14:textId="77777777" w:rsidR="001A4F65" w:rsidRPr="005D68A0" w:rsidRDefault="001A4F65" w:rsidP="001A4F65">
      <w:pPr>
        <w:spacing w:line="360" w:lineRule="auto"/>
        <w:jc w:val="center"/>
        <w:rPr>
          <w:rFonts w:ascii="Palatino Linotype" w:hAnsi="Palatino Linotype" w:cs="Tahoma"/>
          <w:bCs/>
          <w:sz w:val="22"/>
          <w:szCs w:val="22"/>
        </w:rPr>
      </w:pPr>
    </w:p>
    <w:p w14:paraId="4AD9D3AC" w14:textId="77777777" w:rsidR="001A4F65" w:rsidRPr="005D68A0" w:rsidRDefault="001A4F65" w:rsidP="001A4F65">
      <w:pPr>
        <w:pStyle w:val="Prrafodelista"/>
        <w:spacing w:line="360" w:lineRule="auto"/>
        <w:ind w:left="0"/>
        <w:jc w:val="both"/>
        <w:rPr>
          <w:rFonts w:ascii="Palatino Linotype" w:hAnsi="Palatino Linotype" w:cs="Tahoma"/>
          <w:bCs/>
        </w:rPr>
      </w:pPr>
      <w:r w:rsidRPr="005D68A0">
        <w:rPr>
          <w:rFonts w:ascii="Palatino Linotype" w:hAnsi="Palatino Linotype" w:cs="Tahoma"/>
          <w:bCs/>
        </w:rPr>
        <w:t xml:space="preserve">En ese contexto, de la misma manera que en los casos previamente analizados, el folio fiscal, no contiene datos personales del emisor y tampoco se puede obtener información confidencial con el mismo, pues solamente es un identificador del emisor, del cual su </w:t>
      </w:r>
      <w:r w:rsidRPr="005D68A0">
        <w:rPr>
          <w:rFonts w:ascii="Palatino Linotype" w:hAnsi="Palatino Linotype" w:cs="Tahoma"/>
          <w:bCs/>
        </w:rPr>
        <w:lastRenderedPageBreak/>
        <w:t xml:space="preserve">transparencia ayuda a legitimar que el documento cumple con todos los requisitos establecidos en la normatividad aplicable, sin necesidad algún dato personal, por lo que, tampoco actualiza la clasificación, en términos del artículo 143, fracción I de la Ley de la materia. </w:t>
      </w:r>
    </w:p>
    <w:p w14:paraId="546C0303" w14:textId="77777777" w:rsidR="001A4F65" w:rsidRPr="005D68A0" w:rsidRDefault="001A4F65" w:rsidP="001A4F65">
      <w:pPr>
        <w:pStyle w:val="Prrafodelista"/>
        <w:spacing w:line="360" w:lineRule="auto"/>
        <w:ind w:left="0"/>
        <w:jc w:val="both"/>
        <w:rPr>
          <w:rFonts w:ascii="Palatino Linotype" w:hAnsi="Palatino Linotype" w:cs="Arial"/>
        </w:rPr>
      </w:pPr>
    </w:p>
    <w:p w14:paraId="4EBC723D" w14:textId="77777777" w:rsidR="001A4F65" w:rsidRPr="000678AB" w:rsidRDefault="001A4F65" w:rsidP="001A4F65">
      <w:pPr>
        <w:pStyle w:val="Prrafodelista"/>
        <w:spacing w:line="360" w:lineRule="auto"/>
        <w:ind w:left="0"/>
        <w:jc w:val="both"/>
        <w:rPr>
          <w:rFonts w:ascii="Palatino Linotype" w:hAnsi="Palatino Linotype" w:cs="Arial"/>
          <w:b/>
        </w:rPr>
      </w:pPr>
      <w:r w:rsidRPr="005D68A0">
        <w:rPr>
          <w:rFonts w:ascii="Palatino Linotype" w:hAnsi="Palatino Linotype" w:cs="Arial"/>
          <w:b/>
        </w:rPr>
        <w:t>V. Firma de servidores públicos.</w:t>
      </w:r>
    </w:p>
    <w:p w14:paraId="2E777A6F" w14:textId="77777777" w:rsidR="001A4F65" w:rsidRPr="000B58BD"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u w:val="single"/>
        </w:rPr>
      </w:pPr>
      <w:r w:rsidRPr="000B58BD">
        <w:rPr>
          <w:rFonts w:ascii="Palatino Linotype" w:eastAsia="Palatino Linotype" w:hAnsi="Palatino Linotype" w:cs="Palatino Linotype"/>
          <w:color w:val="000000"/>
        </w:rPr>
        <w:t xml:space="preserve">La </w:t>
      </w:r>
      <w:r w:rsidRPr="000B58BD">
        <w:rPr>
          <w:rFonts w:ascii="Palatino Linotype" w:eastAsia="Palatino Linotype" w:hAnsi="Palatino Linotype" w:cs="Palatino Linotype"/>
          <w:b/>
          <w:color w:val="000000"/>
        </w:rPr>
        <w:t xml:space="preserve">firma </w:t>
      </w:r>
      <w:r w:rsidRPr="000B58BD">
        <w:rPr>
          <w:rFonts w:ascii="Palatino Linotype" w:eastAsia="Palatino Linotype" w:hAnsi="Palatino Linotype" w:cs="Palatino Linotype"/>
          <w:color w:val="000000"/>
        </w:rPr>
        <w:t xml:space="preserve">constituye un dato personal confidencial y únicamente será público dicho dato cuando sirva para la emisión de un acto de autoridad, en ejercicio de sus funciones, en el caso se considera que al tratarse de recibos de nómina por la prestación de servicios como servidores públicos y realizar actividades laborales en una institución pública se considera que </w:t>
      </w:r>
      <w:r w:rsidRPr="000B58BD">
        <w:rPr>
          <w:rFonts w:ascii="Palatino Linotype" w:eastAsia="Palatino Linotype" w:hAnsi="Palatino Linotype" w:cs="Palatino Linotype"/>
          <w:color w:val="000000"/>
          <w:u w:val="single"/>
        </w:rPr>
        <w:t>su firma es pública, ya que acepta la conformidad del pago por la prestación de sus servicios.</w:t>
      </w:r>
    </w:p>
    <w:p w14:paraId="38A0B9DC" w14:textId="77777777" w:rsidR="001A4F65" w:rsidRPr="000B58BD"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906F5FB" w14:textId="77777777" w:rsidR="001A4F65" w:rsidRPr="000B58BD"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0B58BD">
        <w:rPr>
          <w:rFonts w:ascii="Palatino Linotype" w:eastAsia="Palatino Linotype" w:hAnsi="Palatino Linotype" w:cs="Palatino Linotype"/>
          <w:color w:val="000000"/>
        </w:rPr>
        <w:t>De esta manera, se colige que la firma de servidores públicos, vinculada al ejercicio de la función pública es información de naturaleza pública, pues documenta y rinde cuentas sobre el debido ejercicio de los recursos públicos en contraprestación a sus servicios prestados.</w:t>
      </w:r>
    </w:p>
    <w:p w14:paraId="6B17557A" w14:textId="77777777" w:rsidR="001A4F65" w:rsidRPr="000B58BD"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79372B78" w14:textId="77777777" w:rsidR="001A4F65" w:rsidRPr="000B58BD"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0B58BD">
        <w:rPr>
          <w:rFonts w:ascii="Palatino Linotype" w:eastAsia="Palatino Linotype" w:hAnsi="Palatino Linotype" w:cs="Palatino Linotype"/>
          <w:color w:val="000000"/>
        </w:rPr>
        <w:t>La publicidad de dicho dato, se robustece, con el Criterio de Interpretación, de la Segunda Época, con clave de control SO/002/2019, emitido por el Instituto Nacional de Transparencia, Acceso a la Información y Protección de Datos Personales, que establece lo siguiente:</w:t>
      </w:r>
    </w:p>
    <w:p w14:paraId="07EFB631" w14:textId="1651F3B3" w:rsidR="001A4F65" w:rsidRPr="00E71344" w:rsidRDefault="001A4F65" w:rsidP="00E71344">
      <w:pPr>
        <w:shd w:val="clear" w:color="auto" w:fill="FFFFFF"/>
        <w:spacing w:line="276" w:lineRule="auto"/>
        <w:ind w:left="851" w:right="902"/>
        <w:jc w:val="both"/>
        <w:rPr>
          <w:rFonts w:ascii="Palatino Linotype" w:eastAsia="Palatino Linotype" w:hAnsi="Palatino Linotype" w:cs="Palatino Linotype"/>
          <w:i/>
          <w:sz w:val="22"/>
          <w:szCs w:val="22"/>
        </w:rPr>
      </w:pPr>
      <w:r w:rsidRPr="005D68A0">
        <w:rPr>
          <w:rFonts w:ascii="Palatino Linotype" w:eastAsia="Palatino Linotype" w:hAnsi="Palatino Linotype" w:cs="Palatino Linotype"/>
          <w:sz w:val="22"/>
          <w:szCs w:val="22"/>
        </w:rPr>
        <w:t> </w:t>
      </w:r>
      <w:r w:rsidRPr="005D68A0">
        <w:rPr>
          <w:rFonts w:ascii="Palatino Linotype" w:eastAsia="Palatino Linotype" w:hAnsi="Palatino Linotype" w:cs="Palatino Linotype"/>
          <w:b/>
          <w:i/>
          <w:sz w:val="22"/>
          <w:szCs w:val="22"/>
        </w:rPr>
        <w:t>“Firma y rúbrica de servidores públicos.</w:t>
      </w:r>
      <w:r w:rsidRPr="005D68A0">
        <w:rPr>
          <w:rFonts w:ascii="Palatino Linotype" w:eastAsia="Palatino Linotype" w:hAnsi="Palatino Linotype" w:cs="Palatino Linotype"/>
          <w:i/>
          <w:sz w:val="22"/>
          <w:szCs w:val="22"/>
        </w:rPr>
        <w:t xml:space="preserve"> Si bien la firma y la rúbrica son datos personales confidenciales, cuando un servidor público emite un acto como autoridad, </w:t>
      </w:r>
      <w:r w:rsidRPr="005D68A0">
        <w:rPr>
          <w:rFonts w:ascii="Palatino Linotype" w:eastAsia="Palatino Linotype" w:hAnsi="Palatino Linotype" w:cs="Palatino Linotype"/>
          <w:i/>
          <w:sz w:val="22"/>
          <w:szCs w:val="22"/>
        </w:rPr>
        <w:lastRenderedPageBreak/>
        <w:t>en ejercicio de las funciones que tiene conferidas, la firma o rúbrica mediante la cual se valida dicho acto es pública.”</w:t>
      </w:r>
    </w:p>
    <w:p w14:paraId="3131C1D6" w14:textId="77777777" w:rsidR="00792332" w:rsidRDefault="00792332" w:rsidP="001A4F65">
      <w:pPr>
        <w:spacing w:line="360" w:lineRule="auto"/>
        <w:jc w:val="both"/>
        <w:rPr>
          <w:rFonts w:ascii="Palatino Linotype" w:hAnsi="Palatino Linotype" w:cs="Arial"/>
          <w:shd w:val="clear" w:color="auto" w:fill="FFFFFF"/>
        </w:rPr>
      </w:pPr>
    </w:p>
    <w:p w14:paraId="122D2A41" w14:textId="69AD1CAB" w:rsidR="001A4F65" w:rsidRPr="00E71344" w:rsidRDefault="001A4F65" w:rsidP="001A4F65">
      <w:pPr>
        <w:spacing w:line="360" w:lineRule="auto"/>
        <w:jc w:val="both"/>
        <w:rPr>
          <w:rFonts w:ascii="Palatino Linotype" w:hAnsi="Palatino Linotype" w:cs="Arial"/>
          <w:shd w:val="clear" w:color="auto" w:fill="FFFFFF"/>
        </w:rPr>
      </w:pPr>
      <w:r w:rsidRPr="00E71344">
        <w:rPr>
          <w:rFonts w:ascii="Palatino Linotype" w:hAnsi="Palatino Linotype" w:cs="Arial"/>
          <w:shd w:val="clear" w:color="auto" w:fill="FFFFFF"/>
        </w:rPr>
        <w:t>Por lo que, es de recordarse que los datos personales sensibles son los datos referentes a la esfera más íntima de su titular cuya utilización indebida puede dar origen a discriminación o conlleve un riesgo grave para éste, dentro de los cuales se encuentran los datos biométricos los cuales son aquellos datos relacionados con propiedades biológicas, características fisiológicas o rasgos la personalidad que mediante métodos automáticos identifican rasgos físicos únicos e intransferibles de nosotros, c</w:t>
      </w:r>
      <w:r w:rsidRPr="00E71344">
        <w:rPr>
          <w:rFonts w:ascii="Palatino Linotype" w:hAnsi="Palatino Linotype" w:cs="Arial"/>
          <w:b/>
          <w:shd w:val="clear" w:color="auto" w:fill="FFFFFF"/>
        </w:rPr>
        <w:t>omo la huella dactilar</w:t>
      </w:r>
      <w:r w:rsidRPr="00E71344">
        <w:rPr>
          <w:rFonts w:ascii="Palatino Linotype" w:hAnsi="Palatino Linotype" w:cs="Arial"/>
          <w:shd w:val="clear" w:color="auto" w:fill="FFFFFF"/>
        </w:rPr>
        <w:t xml:space="preserve">, geometría de la mano, características de iris y retina, código genético u otros. </w:t>
      </w:r>
    </w:p>
    <w:p w14:paraId="69B68243" w14:textId="77777777" w:rsidR="001A4F65" w:rsidRDefault="001A4F65" w:rsidP="001A4F65">
      <w:pPr>
        <w:tabs>
          <w:tab w:val="left" w:pos="567"/>
        </w:tabs>
        <w:spacing w:line="360" w:lineRule="auto"/>
        <w:contextualSpacing/>
        <w:jc w:val="both"/>
        <w:rPr>
          <w:rFonts w:ascii="Palatino Linotype" w:eastAsia="Calibri" w:hAnsi="Palatino Linotype" w:cs="Arial"/>
          <w:sz w:val="22"/>
          <w:szCs w:val="22"/>
        </w:rPr>
      </w:pPr>
    </w:p>
    <w:p w14:paraId="702B3B36" w14:textId="0E88B5FF" w:rsidR="00A23CAE" w:rsidRDefault="001A4F65" w:rsidP="000F6DED">
      <w:pPr>
        <w:tabs>
          <w:tab w:val="left" w:pos="567"/>
        </w:tabs>
        <w:spacing w:line="360" w:lineRule="auto"/>
        <w:contextualSpacing/>
        <w:jc w:val="both"/>
        <w:rPr>
          <w:rFonts w:ascii="Palatino Linotype" w:hAnsi="Palatino Linotype"/>
        </w:rPr>
      </w:pPr>
      <w:r>
        <w:rPr>
          <w:rFonts w:ascii="Palatino Linotype" w:hAnsi="Palatino Linotype"/>
        </w:rPr>
        <w:t xml:space="preserve">En </w:t>
      </w:r>
      <w:r w:rsidRPr="00646DB7">
        <w:rPr>
          <w:rFonts w:ascii="Palatino Linotype" w:hAnsi="Palatino Linotype"/>
        </w:rPr>
        <w:t xml:space="preserve">este sentido, </w:t>
      </w:r>
      <w:r>
        <w:rPr>
          <w:rFonts w:ascii="Palatino Linotype" w:hAnsi="Palatino Linotype"/>
        </w:rPr>
        <w:t>de la respuesta proporcionada</w:t>
      </w:r>
      <w:r w:rsidR="00415686">
        <w:rPr>
          <w:rFonts w:ascii="Palatino Linotype" w:hAnsi="Palatino Linotype"/>
        </w:rPr>
        <w:t xml:space="preserve"> en informe justificado</w:t>
      </w:r>
      <w:r>
        <w:rPr>
          <w:rFonts w:ascii="Palatino Linotype" w:hAnsi="Palatino Linotype"/>
        </w:rPr>
        <w:t xml:space="preserve"> por </w:t>
      </w:r>
      <w:r w:rsidRPr="00646DB7">
        <w:rPr>
          <w:rFonts w:ascii="Palatino Linotype" w:hAnsi="Palatino Linotype"/>
        </w:rPr>
        <w:t xml:space="preserve">el Sujeto Obligado este Instituto no tiene certeza que se haya realizado una búsqueda exhaustiva y razonable de lo requerido, pues </w:t>
      </w:r>
      <w:r>
        <w:rPr>
          <w:rFonts w:ascii="Palatino Linotype" w:hAnsi="Palatino Linotype"/>
        </w:rPr>
        <w:t xml:space="preserve"> los recibos de nómina</w:t>
      </w:r>
      <w:r w:rsidR="000F6DED">
        <w:rPr>
          <w:rFonts w:ascii="Palatino Linotype" w:hAnsi="Palatino Linotype"/>
        </w:rPr>
        <w:t xml:space="preserve"> son generados de manera quincenal </w:t>
      </w:r>
      <w:r w:rsidR="009C14D6">
        <w:rPr>
          <w:rFonts w:ascii="Palatino Linotype" w:hAnsi="Palatino Linotype"/>
        </w:rPr>
        <w:t xml:space="preserve">y al dieciocho de febrero de dos mil veinticinco el </w:t>
      </w:r>
      <w:r w:rsidRPr="00646DB7">
        <w:rPr>
          <w:rFonts w:ascii="Palatino Linotype" w:hAnsi="Palatino Linotype"/>
        </w:rPr>
        <w:t>Servidor Público Habilitado</w:t>
      </w:r>
      <w:r>
        <w:rPr>
          <w:rFonts w:ascii="Palatino Linotype" w:hAnsi="Palatino Linotype"/>
        </w:rPr>
        <w:t xml:space="preserve"> de la Tesorería </w:t>
      </w:r>
      <w:r w:rsidR="009C14D6">
        <w:rPr>
          <w:rFonts w:ascii="Palatino Linotype" w:hAnsi="Palatino Linotype"/>
        </w:rPr>
        <w:t xml:space="preserve">manifestó que aún no </w:t>
      </w:r>
      <w:r w:rsidR="00415686">
        <w:rPr>
          <w:rFonts w:ascii="Palatino Linotype" w:hAnsi="Palatino Linotype"/>
        </w:rPr>
        <w:t>se encontraban disponibles además este Instituto debe advertir que de la r</w:t>
      </w:r>
      <w:r w:rsidR="00A23CAE">
        <w:rPr>
          <w:rFonts w:ascii="Palatino Linotype" w:hAnsi="Palatino Linotype"/>
        </w:rPr>
        <w:t xml:space="preserve">espuesta primigenia del Sujeto Obligado se hace alusión a una solicitud de información diversa </w:t>
      </w:r>
      <w:r w:rsidR="00DE2043">
        <w:rPr>
          <w:rFonts w:ascii="Palatino Linotype" w:hAnsi="Palatino Linotype"/>
        </w:rPr>
        <w:t xml:space="preserve">pues manifiesta dar respuesta a la solicitud </w:t>
      </w:r>
      <w:r w:rsidR="00DE2043" w:rsidRPr="00DE2043">
        <w:rPr>
          <w:rFonts w:ascii="Palatino Linotype" w:hAnsi="Palatino Linotype"/>
          <w:b/>
          <w:bCs/>
          <w:i/>
          <w:iCs/>
        </w:rPr>
        <w:t>00096/LAPAZ/IP/2025</w:t>
      </w:r>
      <w:r w:rsidR="00DE2043">
        <w:rPr>
          <w:rFonts w:ascii="Palatino Linotype" w:hAnsi="Palatino Linotype"/>
          <w:b/>
          <w:bCs/>
          <w:i/>
          <w:iCs/>
        </w:rPr>
        <w:t xml:space="preserve"> </w:t>
      </w:r>
      <w:r w:rsidR="00DE2043">
        <w:rPr>
          <w:rFonts w:ascii="Palatino Linotype" w:hAnsi="Palatino Linotype"/>
        </w:rPr>
        <w:t xml:space="preserve">sin embargo la  solicitud de información </w:t>
      </w:r>
      <w:r w:rsidR="0063307F">
        <w:rPr>
          <w:rFonts w:ascii="Palatino Linotype" w:hAnsi="Palatino Linotype"/>
        </w:rPr>
        <w:t xml:space="preserve">que dio origen al presente recurso de </w:t>
      </w:r>
      <w:r w:rsidR="009D7066">
        <w:rPr>
          <w:rFonts w:ascii="Palatino Linotype" w:hAnsi="Palatino Linotype"/>
        </w:rPr>
        <w:t>revisión</w:t>
      </w:r>
      <w:r w:rsidR="0063307F">
        <w:rPr>
          <w:rFonts w:ascii="Palatino Linotype" w:hAnsi="Palatino Linotype"/>
        </w:rPr>
        <w:t xml:space="preserve"> corresponde a </w:t>
      </w:r>
      <w:r w:rsidR="0063307F" w:rsidRPr="0063307F">
        <w:rPr>
          <w:rFonts w:ascii="Palatino Linotype" w:hAnsi="Palatino Linotype"/>
          <w:b/>
          <w:bCs/>
        </w:rPr>
        <w:t>00122/LAPAZ/IP/2025</w:t>
      </w:r>
      <w:r w:rsidR="0063307F">
        <w:rPr>
          <w:rFonts w:ascii="Palatino Linotype" w:hAnsi="Palatino Linotype"/>
          <w:b/>
          <w:bCs/>
        </w:rPr>
        <w:t xml:space="preserve">. </w:t>
      </w:r>
    </w:p>
    <w:p w14:paraId="531282F0" w14:textId="77777777" w:rsidR="000F6DED" w:rsidRDefault="000F6DED" w:rsidP="001A4F65">
      <w:pPr>
        <w:spacing w:line="360" w:lineRule="auto"/>
        <w:jc w:val="both"/>
        <w:rPr>
          <w:rFonts w:ascii="Palatino Linotype" w:hAnsi="Palatino Linotype"/>
        </w:rPr>
      </w:pPr>
    </w:p>
    <w:p w14:paraId="430E9CBB" w14:textId="77260E63" w:rsidR="001A4F65" w:rsidRDefault="0063307F" w:rsidP="001A4F65">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De lo </w:t>
      </w:r>
      <w:r w:rsidR="001A4F65" w:rsidRPr="00646DB7">
        <w:rPr>
          <w:rFonts w:ascii="Palatino Linotype" w:eastAsia="Palatino Linotype" w:hAnsi="Palatino Linotype" w:cs="Palatino Linotype"/>
          <w:color w:val="000000"/>
        </w:rPr>
        <w:t>anterior</w:t>
      </w:r>
      <w:r>
        <w:rPr>
          <w:rFonts w:ascii="Palatino Linotype" w:eastAsia="Palatino Linotype" w:hAnsi="Palatino Linotype" w:cs="Palatino Linotype"/>
          <w:color w:val="000000"/>
        </w:rPr>
        <w:t xml:space="preserve"> es </w:t>
      </w:r>
      <w:r w:rsidR="001A4F65">
        <w:rPr>
          <w:rFonts w:ascii="Palatino Linotype" w:eastAsia="Palatino Linotype" w:hAnsi="Palatino Linotype" w:cs="Palatino Linotype"/>
          <w:color w:val="000000"/>
        </w:rPr>
        <w:t xml:space="preserve">que no se puede acreditar </w:t>
      </w:r>
      <w:r>
        <w:rPr>
          <w:rFonts w:ascii="Palatino Linotype" w:eastAsia="Palatino Linotype" w:hAnsi="Palatino Linotype" w:cs="Palatino Linotype"/>
          <w:color w:val="000000"/>
        </w:rPr>
        <w:t xml:space="preserve">tampoco </w:t>
      </w:r>
      <w:r w:rsidR="001A4F65">
        <w:rPr>
          <w:rFonts w:ascii="Palatino Linotype" w:eastAsia="Palatino Linotype" w:hAnsi="Palatino Linotype" w:cs="Palatino Linotype"/>
          <w:color w:val="000000"/>
        </w:rPr>
        <w:t xml:space="preserve">que se haya realizado una búsqueda exhaustiva y razonable de la información, </w:t>
      </w:r>
      <w:r w:rsidR="001A4F65" w:rsidRPr="00646DB7">
        <w:rPr>
          <w:rFonts w:ascii="Palatino Linotype" w:eastAsia="Palatino Linotype" w:hAnsi="Palatino Linotype" w:cs="Palatino Linotype"/>
          <w:color w:val="000000"/>
        </w:rPr>
        <w:t>ya que es de recordar</w:t>
      </w:r>
      <w:r w:rsidR="001A4F65" w:rsidRPr="00396AAD">
        <w:rPr>
          <w:rFonts w:ascii="Palatino Linotype" w:eastAsia="Palatino Linotype" w:hAnsi="Palatino Linotype" w:cs="Palatino Linotype"/>
          <w:color w:val="000000"/>
        </w:rPr>
        <w:t xml:space="preserve"> que la búsqueda exhaustiva de la información es considerada una </w:t>
      </w:r>
      <w:r w:rsidR="001A4F65" w:rsidRPr="007E390E">
        <w:rPr>
          <w:rFonts w:ascii="Palatino Linotype" w:eastAsia="Palatino Linotype" w:hAnsi="Palatino Linotype" w:cs="Palatino Linotype"/>
          <w:b/>
          <w:color w:val="000000"/>
        </w:rPr>
        <w:t xml:space="preserve">actividad necesaria e indispensable para la correcta atención de las solicitudes de información que permite la localización </w:t>
      </w:r>
      <w:r w:rsidR="001A4F65" w:rsidRPr="007E390E">
        <w:rPr>
          <w:rFonts w:ascii="Palatino Linotype" w:eastAsia="Palatino Linotype" w:hAnsi="Palatino Linotype" w:cs="Palatino Linotype"/>
          <w:b/>
          <w:color w:val="000000"/>
        </w:rPr>
        <w:lastRenderedPageBreak/>
        <w:t>de aquella documentación requerida por el solicitante</w:t>
      </w:r>
      <w:r w:rsidR="001A4F65" w:rsidRPr="00396AAD">
        <w:rPr>
          <w:rFonts w:ascii="Palatino Linotype" w:eastAsia="Palatino Linotype" w:hAnsi="Palatino Linotype" w:cs="Palatino Linotype"/>
          <w:color w:val="000000"/>
        </w:rPr>
        <w:t>; por lo que, el indicar los archivos en donde se efectuó la búsqueda constituye un elemento necesario que permite a este Instituto tener la certeza de que la información se trató de localizar.</w:t>
      </w:r>
    </w:p>
    <w:p w14:paraId="686849A7" w14:textId="77777777" w:rsidR="00E97B01" w:rsidRPr="007E390E" w:rsidRDefault="00E97B01" w:rsidP="001A4F65">
      <w:pPr>
        <w:spacing w:line="360" w:lineRule="auto"/>
        <w:jc w:val="both"/>
        <w:rPr>
          <w:rFonts w:ascii="Palatino Linotype" w:hAnsi="Palatino Linotype"/>
        </w:rPr>
      </w:pPr>
    </w:p>
    <w:p w14:paraId="229F7931" w14:textId="77777777" w:rsidR="001A4F65" w:rsidRPr="00396AAD" w:rsidRDefault="001A4F65" w:rsidP="001A4F65">
      <w:pPr>
        <w:spacing w:line="360" w:lineRule="auto"/>
        <w:jc w:val="both"/>
        <w:rPr>
          <w:rFonts w:ascii="Palatino Linotype" w:eastAsia="Palatino Linotype" w:hAnsi="Palatino Linotype" w:cs="Palatino Linotype"/>
          <w:color w:val="000000"/>
        </w:rPr>
      </w:pPr>
      <w:r w:rsidRPr="00396AAD">
        <w:rPr>
          <w:rFonts w:ascii="Palatino Linotype" w:eastAsia="Palatino Linotype" w:hAnsi="Palatino Linotype" w:cs="Palatino Linotype"/>
          <w:color w:val="000000"/>
        </w:rPr>
        <w:t>Lo anterior ocasiona que en el caso no se cumpliera con el principio de búsqueda exhaustiva de la información requerida, cuyo alcance se encuentra establecido en el Criterio Reiterado 02/19 emitido por el Pleno de este Organismo Garante, a saber:</w:t>
      </w:r>
    </w:p>
    <w:p w14:paraId="21CDE474" w14:textId="4B10ABB1" w:rsidR="001A4F65" w:rsidRPr="00EF10DB" w:rsidRDefault="001A4F65" w:rsidP="00EF10DB">
      <w:pPr>
        <w:spacing w:line="276" w:lineRule="auto"/>
        <w:ind w:left="567" w:right="706"/>
        <w:jc w:val="both"/>
        <w:rPr>
          <w:rFonts w:ascii="Palatino Linotype" w:eastAsia="Palatino Linotype" w:hAnsi="Palatino Linotype" w:cs="Palatino Linotype"/>
          <w:i/>
          <w:color w:val="000000"/>
          <w:sz w:val="22"/>
          <w:szCs w:val="22"/>
        </w:rPr>
      </w:pPr>
      <w:r w:rsidRPr="001039A0">
        <w:rPr>
          <w:rFonts w:ascii="Palatino Linotype" w:eastAsia="Palatino Linotype" w:hAnsi="Palatino Linotype" w:cs="Palatino Linotype"/>
          <w:b/>
          <w:i/>
          <w:color w:val="000000"/>
          <w:sz w:val="22"/>
          <w:szCs w:val="22"/>
        </w:rPr>
        <w:t xml:space="preserve">“BÚSQUEDA EXHAUSTIVA. SU EJERCICIO PARA LOCALIZAR LA INFORMACIÓN SOLICITADA, NO CONSTITUYE UNA INVESTIGACIÓN A LA CUAL SE REFIERE EL ARTÍCULO 12 DE LA LEY DE TRANSPARENCIA Y ACCESO A LA INFORMACIÓN PÚBLICA DEL ESTADO DE MÉXICO Y MUNICIPIOS. </w:t>
      </w:r>
      <w:r w:rsidRPr="001039A0">
        <w:rPr>
          <w:rFonts w:ascii="Palatino Linotype" w:eastAsia="Palatino Linotype" w:hAnsi="Palatino Linotype" w:cs="Palatino Linotype"/>
          <w:i/>
          <w:color w:val="000000"/>
          <w:sz w:val="22"/>
          <w:szCs w:val="22"/>
        </w:rPr>
        <w:t>De conformidad con lo establecido en el artículo 162 de la Ley de Transparencia vigente en la entidad, para atender una solicitud de acceso a la información pública, la Unidad de Transparencia del Sujeto Obligado debe turnar el requerimiento a todas las áreas competentes que pudieran haber generado, poseído o administrado la información solicitada de acuerdo a sus facultades, competencias y funciones, con la finalidad de realizar una búsqueda exhaustiva y razonable en sus archivos que lleve a la localización de los documentos donde conste la información solicitada; por tanto, esta búsqueda es una actividad necesaria e indispensable para la correcta atención de las solicitudes de información que permite la localización de aquella documentación requerida por el solicitante, sin que ello deba entenderse como una investigación de la señalada en el artículo 12, segundo párrafo de la Ley de Transparencia Local; lo anterior es así, toda vez que de acuerdo al Diccionario de la Real Academia Española, la palabra investigar hace referencia, entre otras cosas, a la realización de actividades intelectuales y experimentales de modo sistemático cuyo propósito es aumentar los conocimientos sobre una determinada materia, lo que conlleva a concluir que la investigación inmersa en el artículo 12 de la Ley de la materia se refiere a que los sujetos obligados no están constreñidos a realizar un análisis, extracción y generación de nueva información. Bajo ese tenor, la búsqueda y localización de la información que refiere el numeral 162 de la Ley de Transparencia, no implica una investigación de la señalada en el artículo 12 del mismo ordenamiento legal y, por tanto, los sujetos obligados no podrán excusarse de su ejercicio bajo el argumento de que ello conlleva una investigación.”</w:t>
      </w:r>
    </w:p>
    <w:p w14:paraId="72C1F42E" w14:textId="45A816FD" w:rsidR="001A4F65" w:rsidRPr="00396AAD" w:rsidRDefault="001A4F65" w:rsidP="001A4F65">
      <w:pPr>
        <w:pBdr>
          <w:top w:val="nil"/>
          <w:left w:val="nil"/>
          <w:bottom w:val="nil"/>
          <w:right w:val="nil"/>
          <w:between w:val="nil"/>
        </w:pBd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lastRenderedPageBreak/>
        <w:t>Por lo que</w:t>
      </w:r>
      <w:r w:rsidRPr="00396AAD">
        <w:rPr>
          <w:rFonts w:ascii="Palatino Linotype" w:eastAsia="Palatino Linotype" w:hAnsi="Palatino Linotype" w:cs="Palatino Linotype"/>
          <w:color w:val="000000"/>
        </w:rPr>
        <w:t xml:space="preserve">, resulta aplicable el Criterio </w:t>
      </w:r>
      <w:r w:rsidR="00E97B01">
        <w:rPr>
          <w:rFonts w:ascii="Palatino Linotype" w:eastAsia="Palatino Linotype" w:hAnsi="Palatino Linotype" w:cs="Palatino Linotype"/>
          <w:color w:val="000000"/>
        </w:rPr>
        <w:t xml:space="preserve">orientador </w:t>
      </w:r>
      <w:r w:rsidRPr="00396AAD">
        <w:rPr>
          <w:rFonts w:ascii="Palatino Linotype" w:eastAsia="Palatino Linotype" w:hAnsi="Palatino Linotype" w:cs="Palatino Linotype"/>
          <w:color w:val="000000"/>
        </w:rPr>
        <w:t>02/17 emitido por el Peno del Instituto Nacional de Transparencia y Acceso a la Información y Protección de Datos Personales, de título y texto siguientes:</w:t>
      </w:r>
    </w:p>
    <w:p w14:paraId="15C171D7" w14:textId="77777777" w:rsidR="001A4F65" w:rsidRPr="00996E42" w:rsidRDefault="001A4F65" w:rsidP="001A4F65">
      <w:pPr>
        <w:pBdr>
          <w:top w:val="nil"/>
          <w:left w:val="nil"/>
          <w:bottom w:val="nil"/>
          <w:right w:val="nil"/>
          <w:between w:val="nil"/>
        </w:pBdr>
        <w:ind w:left="851" w:right="851"/>
        <w:jc w:val="both"/>
        <w:rPr>
          <w:rFonts w:ascii="Palatino Linotype" w:eastAsia="Palatino Linotype" w:hAnsi="Palatino Linotype" w:cs="Palatino Linotype"/>
          <w:i/>
          <w:color w:val="000000"/>
          <w:sz w:val="22"/>
          <w:szCs w:val="22"/>
        </w:rPr>
      </w:pPr>
      <w:r w:rsidRPr="00996E42">
        <w:rPr>
          <w:rFonts w:ascii="Palatino Linotype" w:eastAsia="Palatino Linotype" w:hAnsi="Palatino Linotype" w:cs="Palatino Linotype"/>
          <w:b/>
          <w:i/>
          <w:color w:val="000000"/>
          <w:sz w:val="22"/>
          <w:szCs w:val="22"/>
        </w:rPr>
        <w:t xml:space="preserve">“Congruencia y exhaustividad. Sus alcances para garantizar el derecho de acceso a la información. </w:t>
      </w:r>
      <w:r w:rsidRPr="00996E42">
        <w:rPr>
          <w:rFonts w:ascii="Palatino Linotype" w:eastAsia="Palatino Linotype" w:hAnsi="Palatino Linotype" w:cs="Palatino Linotype"/>
          <w:i/>
          <w:color w:val="000000"/>
          <w:sz w:val="22"/>
          <w:szCs w:val="22"/>
        </w:rPr>
        <w:t xml:space="preserve">De conformidad con el artículo 3 de la Ley Federal de Procedimiento Administrativo, de aplicación supletoria a la Ley Federal de Transparencia y Acceso a la Información Pública, en términos de su artículo 7; todo acto administrativo debe cumplir con los principios de congruencia y exhaustividad. Para el efectivo ejercicio del derecho de acceso a la información, </w:t>
      </w:r>
      <w:r w:rsidRPr="00996E42">
        <w:rPr>
          <w:rFonts w:ascii="Palatino Linotype" w:eastAsia="Palatino Linotype" w:hAnsi="Palatino Linotype" w:cs="Palatino Linotype"/>
          <w:b/>
          <w:i/>
          <w:color w:val="000000"/>
          <w:sz w:val="22"/>
          <w:szCs w:val="22"/>
        </w:rPr>
        <w:t>la congruencia implica que exista concordancia entre el requerimiento formulado por el particular y la respuesta proporcionada por el sujeto obligado</w:t>
      </w:r>
      <w:r w:rsidRPr="00996E42">
        <w:rPr>
          <w:rFonts w:ascii="Palatino Linotype" w:eastAsia="Palatino Linotype" w:hAnsi="Palatino Linotype" w:cs="Palatino Linotype"/>
          <w:i/>
          <w:color w:val="000000"/>
          <w:sz w:val="22"/>
          <w:szCs w:val="22"/>
        </w:rPr>
        <w:t xml:space="preserve">; mientras que </w:t>
      </w:r>
      <w:r w:rsidRPr="00996E42">
        <w:rPr>
          <w:rFonts w:ascii="Palatino Linotype" w:eastAsia="Palatino Linotype" w:hAnsi="Palatino Linotype" w:cs="Palatino Linotype"/>
          <w:b/>
          <w:i/>
          <w:color w:val="000000"/>
          <w:sz w:val="22"/>
          <w:szCs w:val="22"/>
        </w:rPr>
        <w:t>la exhaustividad significa que dicha respuesta se refiera expresamente a cada uno de los puntos solicitados</w:t>
      </w:r>
      <w:r w:rsidRPr="00996E42">
        <w:rPr>
          <w:rFonts w:ascii="Palatino Linotype" w:eastAsia="Palatino Linotype" w:hAnsi="Palatino Linotype" w:cs="Palatino Linotype"/>
          <w:i/>
          <w:color w:val="000000"/>
          <w:sz w:val="22"/>
          <w:szCs w:val="22"/>
        </w:rPr>
        <w:t>. Por lo anterior, los sujetos obligados cumplirán con los principios de congruencia y exhaustividad, cuando las respuestas que emitan guarden una relación lógica con lo solicitado y atiendan de manera puntual y expresa, cada uno de los contenidos de información.”</w:t>
      </w:r>
    </w:p>
    <w:p w14:paraId="3938F296" w14:textId="77777777" w:rsidR="001A4F65" w:rsidRDefault="001A4F65" w:rsidP="001A4F65">
      <w:pPr>
        <w:pBdr>
          <w:top w:val="nil"/>
          <w:left w:val="nil"/>
          <w:bottom w:val="nil"/>
          <w:right w:val="nil"/>
          <w:between w:val="nil"/>
        </w:pBdr>
        <w:spacing w:line="360" w:lineRule="auto"/>
        <w:ind w:right="62"/>
        <w:jc w:val="both"/>
        <w:rPr>
          <w:rFonts w:ascii="Palatino Linotype" w:eastAsia="Palatino Linotype" w:hAnsi="Palatino Linotype" w:cs="Palatino Linotype"/>
        </w:rPr>
      </w:pPr>
    </w:p>
    <w:p w14:paraId="58BF4825" w14:textId="6FBEA1B0" w:rsidR="001A4F65" w:rsidRDefault="001A4F65" w:rsidP="001A4F65">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De lo expuesto con anterioridad es de precisarse que </w:t>
      </w:r>
      <w:r w:rsidR="000009A2">
        <w:rPr>
          <w:rFonts w:ascii="Palatino Linotype" w:eastAsia="Palatino Linotype" w:hAnsi="Palatino Linotype" w:cs="Palatino Linotype"/>
        </w:rPr>
        <w:t xml:space="preserve">en respuesta primigenia el Sujeto Obligado refirió dar contestación a una solicitud de información diversa a la que dio origen al presente recurso de revisión y que mediante informe justificado manifestó que los recibos de nómina </w:t>
      </w:r>
      <w:proofErr w:type="spellStart"/>
      <w:r w:rsidR="000009A2">
        <w:rPr>
          <w:rFonts w:ascii="Palatino Linotype" w:eastAsia="Palatino Linotype" w:hAnsi="Palatino Linotype" w:cs="Palatino Linotype"/>
        </w:rPr>
        <w:t>aun</w:t>
      </w:r>
      <w:proofErr w:type="spellEnd"/>
      <w:r w:rsidR="000009A2">
        <w:rPr>
          <w:rFonts w:ascii="Palatino Linotype" w:eastAsia="Palatino Linotype" w:hAnsi="Palatino Linotype" w:cs="Palatino Linotype"/>
        </w:rPr>
        <w:t xml:space="preserve"> no se encontraban disponibles </w:t>
      </w:r>
      <w:r>
        <w:rPr>
          <w:rFonts w:ascii="Palatino Linotype" w:eastAsia="Palatino Linotype" w:hAnsi="Palatino Linotype" w:cs="Palatino Linotype"/>
        </w:rPr>
        <w:t xml:space="preserve">por lo que este Órgano Garante no </w:t>
      </w:r>
      <w:r w:rsidR="000009A2">
        <w:rPr>
          <w:rFonts w:ascii="Palatino Linotype" w:eastAsia="Palatino Linotype" w:hAnsi="Palatino Linotype" w:cs="Palatino Linotype"/>
        </w:rPr>
        <w:t xml:space="preserve">tiene por colmado el derecho al acceso a la información  del Recurrente </w:t>
      </w:r>
      <w:r>
        <w:rPr>
          <w:rFonts w:ascii="Palatino Linotype" w:eastAsia="Palatino Linotype" w:hAnsi="Palatino Linotype" w:cs="Palatino Linotype"/>
        </w:rPr>
        <w:t>resultando procedente o</w:t>
      </w:r>
      <w:r w:rsidR="00153641">
        <w:rPr>
          <w:rFonts w:ascii="Palatino Linotype" w:eastAsia="Palatino Linotype" w:hAnsi="Palatino Linotype" w:cs="Palatino Linotype"/>
        </w:rPr>
        <w:t xml:space="preserve">rdenar el recibo de nómina del Titular de la </w:t>
      </w:r>
      <w:r w:rsidR="003E7332">
        <w:rPr>
          <w:rFonts w:ascii="Palatino Linotype" w:eastAsia="Palatino Linotype" w:hAnsi="Palatino Linotype" w:cs="Palatino Linotype"/>
        </w:rPr>
        <w:t>Tesorería</w:t>
      </w:r>
      <w:r w:rsidR="00153641">
        <w:rPr>
          <w:rFonts w:ascii="Palatino Linotype" w:eastAsia="Palatino Linotype" w:hAnsi="Palatino Linotype" w:cs="Palatino Linotype"/>
        </w:rPr>
        <w:t xml:space="preserve"> Municipal de la primera quincena de febrero de dos mil veinticinco</w:t>
      </w:r>
      <w:r>
        <w:rPr>
          <w:rFonts w:ascii="Palatino Linotype" w:eastAsia="Palatino Linotype" w:hAnsi="Palatino Linotype" w:cs="Palatino Linotype"/>
        </w:rPr>
        <w:t xml:space="preserve"> en versión pública acompañados del acuerdo de Comité de Transparencia que lo sustente</w:t>
      </w:r>
      <w:r w:rsidR="00153641">
        <w:rPr>
          <w:rFonts w:ascii="Palatino Linotype" w:eastAsia="Palatino Linotype" w:hAnsi="Palatino Linotype" w:cs="Palatino Linotype"/>
        </w:rPr>
        <w:t>.</w:t>
      </w:r>
    </w:p>
    <w:p w14:paraId="75428DCC" w14:textId="77777777" w:rsidR="002318AF" w:rsidRPr="00A35666" w:rsidRDefault="002318AF" w:rsidP="002318AF">
      <w:pPr>
        <w:spacing w:line="360" w:lineRule="auto"/>
        <w:ind w:right="49"/>
        <w:jc w:val="both"/>
        <w:rPr>
          <w:rFonts w:ascii="Palatino Linotype" w:eastAsia="Palatino Linotype" w:hAnsi="Palatino Linotype" w:cs="Palatino Linotype"/>
          <w:color w:val="000000"/>
        </w:rPr>
      </w:pPr>
    </w:p>
    <w:p w14:paraId="1546B24A" w14:textId="77777777" w:rsidR="002318AF" w:rsidRPr="00694C9D" w:rsidRDefault="002318AF" w:rsidP="002318AF">
      <w:pPr>
        <w:pStyle w:val="Prrafodelista"/>
        <w:widowControl w:val="0"/>
        <w:numPr>
          <w:ilvl w:val="0"/>
          <w:numId w:val="36"/>
        </w:numPr>
        <w:tabs>
          <w:tab w:val="left" w:pos="1276"/>
        </w:tabs>
        <w:spacing w:line="360" w:lineRule="auto"/>
        <w:contextualSpacing w:val="0"/>
        <w:jc w:val="both"/>
        <w:rPr>
          <w:b/>
          <w:i/>
          <w:lang w:val="es-419"/>
        </w:rPr>
      </w:pPr>
      <w:r w:rsidRPr="00694C9D">
        <w:rPr>
          <w:b/>
          <w:i/>
          <w:lang w:val="es-419"/>
        </w:rPr>
        <w:t>DE LA VERSIÓN PÚBLICA</w:t>
      </w:r>
    </w:p>
    <w:p w14:paraId="54327901" w14:textId="77777777" w:rsidR="002318AF" w:rsidRPr="004578B2" w:rsidRDefault="002318AF" w:rsidP="002318AF">
      <w:pPr>
        <w:widowControl w:val="0"/>
        <w:tabs>
          <w:tab w:val="left" w:pos="1276"/>
        </w:tabs>
        <w:spacing w:line="360" w:lineRule="auto"/>
        <w:jc w:val="both"/>
        <w:rPr>
          <w:rFonts w:ascii="Palatino Linotype" w:eastAsia="Arial Unicode MS" w:hAnsi="Palatino Linotype"/>
        </w:rPr>
      </w:pPr>
      <w:r w:rsidRPr="004578B2">
        <w:rPr>
          <w:rFonts w:ascii="Palatino Linotype" w:hAnsi="Palatino Linotype"/>
          <w:lang w:val="es-419"/>
        </w:rPr>
        <w:t>Tomando en consideración la naturaleza de los documentos que se está ordenado entregar al particular, este Órgano Garante</w:t>
      </w:r>
      <w:r w:rsidRPr="004578B2">
        <w:rPr>
          <w:rFonts w:ascii="Palatino Linotype" w:eastAsia="Arial Unicode MS" w:hAnsi="Palatino Linotype"/>
        </w:rPr>
        <w:t xml:space="preserve"> determina ordenar que la entrega de la </w:t>
      </w:r>
      <w:r w:rsidRPr="004578B2">
        <w:rPr>
          <w:rFonts w:ascii="Palatino Linotype" w:eastAsia="Arial Unicode MS" w:hAnsi="Palatino Linotype"/>
        </w:rPr>
        <w:lastRenderedPageBreak/>
        <w:t>información al Recurrente se haga en versión pública, esto es, omitiendo, eliminando o suprimiendo la información personal, susceptibles de ser clasificadas como confidencial o cualquier otro dato que ponga en riesgo la vida, seguridad o salud de dicha persona.</w:t>
      </w:r>
    </w:p>
    <w:p w14:paraId="2F58F714" w14:textId="77777777" w:rsidR="002318AF" w:rsidRPr="004578B2" w:rsidRDefault="002318AF" w:rsidP="002318AF">
      <w:pPr>
        <w:spacing w:line="360" w:lineRule="auto"/>
        <w:jc w:val="both"/>
        <w:rPr>
          <w:rFonts w:ascii="Palatino Linotype" w:hAnsi="Palatino Linotype"/>
          <w:bCs/>
        </w:rPr>
      </w:pPr>
    </w:p>
    <w:p w14:paraId="030B7A55" w14:textId="77777777" w:rsidR="002318AF" w:rsidRPr="004578B2" w:rsidRDefault="002318AF" w:rsidP="002318AF">
      <w:pPr>
        <w:spacing w:line="360" w:lineRule="auto"/>
        <w:jc w:val="both"/>
        <w:rPr>
          <w:rFonts w:ascii="Palatino Linotype" w:hAnsi="Palatino Linotype"/>
        </w:rPr>
      </w:pPr>
      <w:r w:rsidRPr="004578B2">
        <w:rPr>
          <w:rFonts w:ascii="Palatino Linotype" w:hAnsi="Palatino Linotype"/>
          <w:bCs/>
        </w:rPr>
        <w:t>A este respecto, los</w:t>
      </w:r>
      <w:r w:rsidRPr="004578B2">
        <w:rPr>
          <w:rFonts w:ascii="Palatino Linotype" w:hAnsi="Palatino Linotype"/>
        </w:rPr>
        <w:t xml:space="preserve"> artículos 3, fracciones IX, XX, XXI y XLV; 51 y 52de la Ley de Transparencia y Acceso a la Información Pública del Estado de </w:t>
      </w:r>
      <w:r>
        <w:rPr>
          <w:rFonts w:ascii="Palatino Linotype" w:hAnsi="Palatino Linotype"/>
        </w:rPr>
        <w:t>México y Municipios establecen:</w:t>
      </w:r>
    </w:p>
    <w:p w14:paraId="6A60CDF7"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cs="Arial"/>
          <w:b/>
          <w:bCs/>
          <w:i/>
          <w:sz w:val="22"/>
          <w:szCs w:val="22"/>
        </w:rPr>
        <w:t xml:space="preserve">Artículo 3. </w:t>
      </w:r>
      <w:r w:rsidRPr="00414522">
        <w:rPr>
          <w:rFonts w:ascii="Palatino Linotype" w:hAnsi="Palatino Linotype"/>
          <w:i/>
          <w:sz w:val="22"/>
          <w:szCs w:val="22"/>
        </w:rPr>
        <w:t xml:space="preserve">Para los efectos de la presente Ley se entenderá por: </w:t>
      </w:r>
    </w:p>
    <w:p w14:paraId="1ECA7AB1"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cs="Arial"/>
          <w:i/>
          <w:sz w:val="22"/>
          <w:szCs w:val="22"/>
        </w:rPr>
        <w:t>(…</w:t>
      </w:r>
      <w:r w:rsidRPr="00414522">
        <w:rPr>
          <w:rFonts w:ascii="Palatino Linotype" w:hAnsi="Palatino Linotype"/>
          <w:i/>
          <w:sz w:val="22"/>
          <w:szCs w:val="22"/>
        </w:rPr>
        <w:t>)</w:t>
      </w:r>
    </w:p>
    <w:p w14:paraId="58D18961" w14:textId="77777777" w:rsidR="002318AF" w:rsidRPr="00414522" w:rsidRDefault="002318AF" w:rsidP="002318AF">
      <w:pPr>
        <w:spacing w:line="360" w:lineRule="auto"/>
        <w:ind w:left="567" w:right="616"/>
        <w:jc w:val="both"/>
        <w:rPr>
          <w:rFonts w:ascii="Palatino Linotype" w:hAnsi="Palatino Linotype" w:cs="Arial"/>
          <w:i/>
          <w:sz w:val="22"/>
          <w:szCs w:val="22"/>
        </w:rPr>
      </w:pPr>
      <w:r w:rsidRPr="00414522">
        <w:rPr>
          <w:rFonts w:ascii="Palatino Linotype" w:hAnsi="Palatino Linotype" w:cs="Arial"/>
          <w:b/>
          <w:i/>
          <w:sz w:val="22"/>
          <w:szCs w:val="22"/>
        </w:rPr>
        <w:t>IX.</w:t>
      </w:r>
      <w:r w:rsidRPr="00414522">
        <w:rPr>
          <w:rFonts w:ascii="Palatino Linotype" w:hAnsi="Palatino Linotype" w:cs="Arial"/>
          <w:i/>
          <w:sz w:val="22"/>
          <w:szCs w:val="22"/>
        </w:rPr>
        <w:t xml:space="preserve"> </w:t>
      </w:r>
      <w:r w:rsidRPr="00414522">
        <w:rPr>
          <w:rFonts w:ascii="Palatino Linotype" w:hAnsi="Palatino Linotype" w:cs="Arial"/>
          <w:b/>
          <w:i/>
          <w:sz w:val="22"/>
          <w:szCs w:val="22"/>
        </w:rPr>
        <w:t xml:space="preserve">Datos personales: </w:t>
      </w:r>
      <w:r w:rsidRPr="00414522">
        <w:rPr>
          <w:rFonts w:ascii="Palatino Linotype" w:hAnsi="Palatino Linotype" w:cs="Arial"/>
          <w:i/>
          <w:sz w:val="22"/>
          <w:szCs w:val="22"/>
        </w:rPr>
        <w:t xml:space="preserve">La información concerniente a una persona, identificada o identificable según lo dispuesto por la Ley de Protección de Datos Personales del Estado de México; </w:t>
      </w:r>
    </w:p>
    <w:p w14:paraId="7990271A" w14:textId="77777777" w:rsidR="002318AF" w:rsidRPr="00414522" w:rsidRDefault="002318AF" w:rsidP="002318AF">
      <w:pPr>
        <w:spacing w:line="360" w:lineRule="auto"/>
        <w:ind w:left="567" w:right="616"/>
        <w:jc w:val="both"/>
        <w:rPr>
          <w:rFonts w:ascii="Palatino Linotype" w:hAnsi="Palatino Linotype" w:cs="Arial"/>
          <w:i/>
          <w:sz w:val="22"/>
          <w:szCs w:val="22"/>
        </w:rPr>
      </w:pPr>
      <w:r w:rsidRPr="00414522">
        <w:rPr>
          <w:rFonts w:ascii="Palatino Linotype" w:hAnsi="Palatino Linotype" w:cs="Arial"/>
          <w:i/>
          <w:sz w:val="22"/>
          <w:szCs w:val="22"/>
        </w:rPr>
        <w:t>(…)</w:t>
      </w:r>
    </w:p>
    <w:p w14:paraId="2A38FA9F" w14:textId="77777777" w:rsidR="002318AF" w:rsidRPr="00414522" w:rsidRDefault="002318AF" w:rsidP="002318AF">
      <w:pPr>
        <w:spacing w:line="360" w:lineRule="auto"/>
        <w:ind w:left="567" w:right="616"/>
        <w:jc w:val="both"/>
        <w:rPr>
          <w:rFonts w:ascii="Palatino Linotype" w:hAnsi="Palatino Linotype" w:cs="Arial"/>
          <w:i/>
          <w:sz w:val="22"/>
          <w:szCs w:val="22"/>
        </w:rPr>
      </w:pPr>
      <w:r w:rsidRPr="00414522">
        <w:rPr>
          <w:rFonts w:ascii="Palatino Linotype" w:hAnsi="Palatino Linotype" w:cs="Arial"/>
          <w:b/>
          <w:i/>
          <w:sz w:val="22"/>
          <w:szCs w:val="22"/>
        </w:rPr>
        <w:t>XX.</w:t>
      </w:r>
      <w:r w:rsidRPr="00414522">
        <w:rPr>
          <w:rFonts w:ascii="Palatino Linotype" w:hAnsi="Palatino Linotype" w:cs="Arial"/>
          <w:i/>
          <w:sz w:val="22"/>
          <w:szCs w:val="22"/>
        </w:rPr>
        <w:t xml:space="preserve"> </w:t>
      </w:r>
      <w:r w:rsidRPr="00414522">
        <w:rPr>
          <w:rFonts w:ascii="Palatino Linotype" w:hAnsi="Palatino Linotype" w:cs="Arial"/>
          <w:b/>
          <w:i/>
          <w:sz w:val="22"/>
          <w:szCs w:val="22"/>
        </w:rPr>
        <w:t>Información clasificada:</w:t>
      </w:r>
      <w:r w:rsidRPr="00414522">
        <w:rPr>
          <w:rFonts w:ascii="Palatino Linotype" w:hAnsi="Palatino Linotype" w:cs="Arial"/>
          <w:i/>
          <w:sz w:val="22"/>
          <w:szCs w:val="22"/>
        </w:rPr>
        <w:t xml:space="preserve"> Aquella considerada por la presente Ley como reservada o confidencial; </w:t>
      </w:r>
    </w:p>
    <w:p w14:paraId="66F36812" w14:textId="77777777" w:rsidR="002318AF" w:rsidRPr="00414522" w:rsidRDefault="002318AF" w:rsidP="002318AF">
      <w:pPr>
        <w:spacing w:line="360" w:lineRule="auto"/>
        <w:ind w:left="567" w:right="616"/>
        <w:jc w:val="both"/>
        <w:rPr>
          <w:rFonts w:ascii="Palatino Linotype" w:hAnsi="Palatino Linotype" w:cs="Arial"/>
          <w:i/>
          <w:sz w:val="22"/>
          <w:szCs w:val="22"/>
        </w:rPr>
      </w:pPr>
      <w:r w:rsidRPr="00414522">
        <w:rPr>
          <w:rFonts w:ascii="Palatino Linotype" w:hAnsi="Palatino Linotype" w:cs="Arial"/>
          <w:b/>
          <w:i/>
          <w:sz w:val="22"/>
          <w:szCs w:val="22"/>
        </w:rPr>
        <w:t>XXI.</w:t>
      </w:r>
      <w:r w:rsidRPr="00414522">
        <w:rPr>
          <w:rFonts w:ascii="Palatino Linotype" w:hAnsi="Palatino Linotype" w:cs="Arial"/>
          <w:i/>
          <w:sz w:val="22"/>
          <w:szCs w:val="22"/>
        </w:rPr>
        <w:t xml:space="preserve"> </w:t>
      </w:r>
      <w:r w:rsidRPr="00414522">
        <w:rPr>
          <w:rFonts w:ascii="Palatino Linotype" w:hAnsi="Palatino Linotype" w:cs="Arial"/>
          <w:b/>
          <w:i/>
          <w:sz w:val="22"/>
          <w:szCs w:val="22"/>
        </w:rPr>
        <w:t>Información confidencial</w:t>
      </w:r>
      <w:r w:rsidRPr="00414522">
        <w:rPr>
          <w:rFonts w:ascii="Palatino Linotype" w:hAnsi="Palatino Linotype" w:cs="Arial"/>
          <w:i/>
          <w:sz w:val="22"/>
          <w:szCs w:val="22"/>
        </w:rPr>
        <w:t xml:space="preserve">: Se considera como información confidencial los secretos bancario, fiduciario, industrial, comercial, fiscal, bursátil y postal, cuya titularidad corresponda a particulares, sujetos de derecho internacional o a sujetos obligados cuando no involucren el ejercicio de recursos públicos; </w:t>
      </w:r>
    </w:p>
    <w:p w14:paraId="22EC713A" w14:textId="77777777" w:rsidR="002318AF" w:rsidRPr="00414522" w:rsidRDefault="002318AF" w:rsidP="002318AF">
      <w:pPr>
        <w:spacing w:line="360" w:lineRule="auto"/>
        <w:ind w:left="567" w:right="616"/>
        <w:jc w:val="both"/>
        <w:rPr>
          <w:rFonts w:ascii="Palatino Linotype" w:hAnsi="Palatino Linotype" w:cs="Arial"/>
          <w:i/>
          <w:sz w:val="22"/>
          <w:szCs w:val="22"/>
        </w:rPr>
      </w:pPr>
      <w:r w:rsidRPr="00414522">
        <w:rPr>
          <w:rFonts w:ascii="Palatino Linotype" w:hAnsi="Palatino Linotype" w:cs="Arial"/>
          <w:i/>
          <w:sz w:val="22"/>
          <w:szCs w:val="22"/>
        </w:rPr>
        <w:t>(…)</w:t>
      </w:r>
    </w:p>
    <w:p w14:paraId="63C08D1E" w14:textId="77777777" w:rsidR="002318AF" w:rsidRPr="00414522" w:rsidRDefault="002318AF" w:rsidP="002318AF">
      <w:pPr>
        <w:spacing w:line="360" w:lineRule="auto"/>
        <w:ind w:left="567" w:right="616"/>
        <w:jc w:val="both"/>
        <w:rPr>
          <w:rFonts w:ascii="Palatino Linotype" w:hAnsi="Palatino Linotype" w:cs="Arial"/>
          <w:i/>
          <w:sz w:val="22"/>
          <w:szCs w:val="22"/>
        </w:rPr>
      </w:pPr>
      <w:r w:rsidRPr="00414522">
        <w:rPr>
          <w:rFonts w:ascii="Palatino Linotype" w:hAnsi="Palatino Linotype" w:cs="Arial"/>
          <w:b/>
          <w:i/>
          <w:sz w:val="22"/>
          <w:szCs w:val="22"/>
        </w:rPr>
        <w:t>XLV. Versión pública:</w:t>
      </w:r>
      <w:r w:rsidRPr="00414522">
        <w:rPr>
          <w:rFonts w:ascii="Palatino Linotype" w:hAnsi="Palatino Linotype" w:cs="Arial"/>
          <w:i/>
          <w:sz w:val="22"/>
          <w:szCs w:val="22"/>
        </w:rPr>
        <w:t xml:space="preserve"> Documento en el que se elimine, suprime o borra la información clasificada como reservada o confidencial para permitir su acceso. </w:t>
      </w:r>
    </w:p>
    <w:p w14:paraId="6CF2A9F0" w14:textId="77777777" w:rsidR="002318AF" w:rsidRPr="00414522" w:rsidRDefault="002318AF" w:rsidP="002318AF">
      <w:pPr>
        <w:spacing w:line="360" w:lineRule="auto"/>
        <w:ind w:left="567" w:right="616"/>
        <w:jc w:val="both"/>
        <w:rPr>
          <w:rFonts w:ascii="Palatino Linotype" w:hAnsi="Palatino Linotype" w:cs="Arial"/>
          <w:i/>
          <w:sz w:val="22"/>
          <w:szCs w:val="22"/>
        </w:rPr>
      </w:pPr>
      <w:r w:rsidRPr="00414522">
        <w:rPr>
          <w:rFonts w:ascii="Palatino Linotype" w:hAnsi="Palatino Linotype" w:cs="Arial"/>
          <w:b/>
          <w:i/>
          <w:sz w:val="22"/>
          <w:szCs w:val="22"/>
        </w:rPr>
        <w:t>Artículo 51.</w:t>
      </w:r>
      <w:r w:rsidRPr="00414522">
        <w:rPr>
          <w:rFonts w:ascii="Palatino Linotype" w:hAnsi="Palatino Linotype" w:cs="Arial"/>
          <w:i/>
          <w:sz w:val="22"/>
          <w:szCs w:val="22"/>
        </w:rPr>
        <w:t xml:space="preserve"> Los sujetos obligados designaran a un responsable para atender la Unidad de Transparencia, quien fungirá como enlace entre éstos y los solicitantes. Dicha Unidad será la encargada de tramitar internamente la solicitud de información </w:t>
      </w:r>
      <w:r w:rsidRPr="00414522">
        <w:rPr>
          <w:rFonts w:ascii="Palatino Linotype" w:hAnsi="Palatino Linotype" w:cs="Arial"/>
          <w:b/>
          <w:i/>
          <w:sz w:val="22"/>
          <w:szCs w:val="22"/>
        </w:rPr>
        <w:t xml:space="preserve">y tendrá la </w:t>
      </w:r>
      <w:r w:rsidRPr="00414522">
        <w:rPr>
          <w:rFonts w:ascii="Palatino Linotype" w:hAnsi="Palatino Linotype" w:cs="Arial"/>
          <w:b/>
          <w:i/>
          <w:sz w:val="22"/>
          <w:szCs w:val="22"/>
        </w:rPr>
        <w:lastRenderedPageBreak/>
        <w:t xml:space="preserve">responsabilidad de verificar en cada caso que la misma no sea confidencial o reservada. </w:t>
      </w:r>
      <w:r w:rsidRPr="00414522">
        <w:rPr>
          <w:rFonts w:ascii="Palatino Linotype" w:hAnsi="Palatino Linotype" w:cs="Arial"/>
          <w:i/>
          <w:sz w:val="22"/>
          <w:szCs w:val="22"/>
        </w:rPr>
        <w:t xml:space="preserve">Dicha Unidad contará con las facultades internas necesarias para gestionar la atención a las solicitudes de información en los términos de la Ley General y la presente Ley. </w:t>
      </w:r>
    </w:p>
    <w:p w14:paraId="346E4790" w14:textId="77777777" w:rsidR="002318AF" w:rsidRPr="00414522" w:rsidRDefault="002318AF" w:rsidP="002318AF">
      <w:pPr>
        <w:spacing w:line="360" w:lineRule="auto"/>
        <w:ind w:left="567" w:right="616"/>
        <w:jc w:val="both"/>
        <w:rPr>
          <w:rFonts w:ascii="Palatino Linotype" w:hAnsi="Palatino Linotype" w:cs="Arial"/>
          <w:i/>
          <w:sz w:val="22"/>
          <w:szCs w:val="22"/>
        </w:rPr>
      </w:pPr>
    </w:p>
    <w:p w14:paraId="05BC1E08" w14:textId="77777777" w:rsidR="002318AF" w:rsidRPr="00414522" w:rsidRDefault="002318AF" w:rsidP="002318AF">
      <w:pPr>
        <w:spacing w:line="360" w:lineRule="auto"/>
        <w:ind w:left="567" w:right="616"/>
        <w:jc w:val="both"/>
        <w:rPr>
          <w:rFonts w:ascii="Palatino Linotype" w:hAnsi="Palatino Linotype" w:cs="Arial"/>
          <w:bCs/>
          <w:i/>
          <w:noProof/>
          <w:sz w:val="22"/>
          <w:szCs w:val="22"/>
        </w:rPr>
      </w:pPr>
      <w:r w:rsidRPr="00414522">
        <w:rPr>
          <w:rFonts w:ascii="Palatino Linotype" w:hAnsi="Palatino Linotype" w:cs="Arial"/>
          <w:b/>
          <w:i/>
          <w:sz w:val="22"/>
          <w:szCs w:val="22"/>
        </w:rPr>
        <w:t>Artículo 52.</w:t>
      </w:r>
      <w:r w:rsidRPr="00414522">
        <w:rPr>
          <w:rFonts w:ascii="Palatino Linotype" w:hAnsi="Palatino Linotype" w:cs="Arial"/>
          <w:i/>
          <w:sz w:val="22"/>
          <w:szCs w:val="22"/>
        </w:rPr>
        <w:t xml:space="preserve"> Las solicitudes de acceso a la información y las respuestas que se les dé, incluyendo, en su caso, la información entregada, así como las resoluciones a los recursos que en su caso se promuevan serán públicas, y de ser el caso que contenga datos personales que deban ser protegidos se podrá dar su acceso en su versión pública, siempre y cuando la resolución de referencia se someta a un proceso de disociación, es decir, no haga identificable al titular de tales datos personales.</w:t>
      </w:r>
    </w:p>
    <w:p w14:paraId="1CD8CDA9" w14:textId="77777777" w:rsidR="002318AF" w:rsidRPr="004578B2" w:rsidRDefault="002318AF" w:rsidP="002318AF">
      <w:pPr>
        <w:spacing w:line="360" w:lineRule="auto"/>
        <w:jc w:val="both"/>
        <w:rPr>
          <w:rFonts w:ascii="Palatino Linotype" w:hAnsi="Palatino Linotype"/>
          <w:noProof/>
        </w:rPr>
      </w:pPr>
    </w:p>
    <w:p w14:paraId="44BC67F6" w14:textId="1875904F" w:rsidR="002318AF" w:rsidRPr="004578B2" w:rsidRDefault="002318AF" w:rsidP="002318AF">
      <w:pPr>
        <w:spacing w:line="360" w:lineRule="auto"/>
        <w:jc w:val="both"/>
        <w:rPr>
          <w:rFonts w:ascii="Palatino Linotype" w:hAnsi="Palatino Linotype"/>
        </w:rPr>
      </w:pPr>
      <w:r w:rsidRPr="004578B2">
        <w:rPr>
          <w:rFonts w:ascii="Palatino Linotype" w:hAnsi="Palatino Linotype"/>
        </w:rPr>
        <w:t>Así, los datos personales que obren en poder de los sujetos obligados deben estar protegidos, adoptando las medidas de seguridad administrativas, físicas y técnicas necesarias para garantizar la integridad, confidencialidad y disponibilidad de los datos personales, considerando además, que conforme al principio de finalidad, todo tratamiento de datos personales que efectúen deberá estar justificado en la Ley, lo anterior, en términos de lo dispuesto por el artículo 22, con relación con el 38, de la Ley de Protección de Datos Personales en Posesión de Sujetos Obligados del Estado de México y Municipios, los cuales se tran</w:t>
      </w:r>
      <w:r>
        <w:rPr>
          <w:rFonts w:ascii="Palatino Linotype" w:hAnsi="Palatino Linotype"/>
        </w:rPr>
        <w:t xml:space="preserve">scriben para mayor referencia: </w:t>
      </w:r>
    </w:p>
    <w:p w14:paraId="457CE5FB" w14:textId="359A3063" w:rsidR="002318AF" w:rsidRPr="00414522" w:rsidRDefault="002318AF" w:rsidP="002C27E3">
      <w:pPr>
        <w:spacing w:line="360" w:lineRule="auto"/>
        <w:ind w:left="567" w:right="616"/>
        <w:jc w:val="both"/>
        <w:rPr>
          <w:rFonts w:ascii="Palatino Linotype" w:eastAsia="Arial Unicode MS" w:hAnsi="Palatino Linotype" w:cs="Arial"/>
          <w:i/>
          <w:sz w:val="22"/>
          <w:szCs w:val="22"/>
        </w:rPr>
      </w:pPr>
      <w:r w:rsidRPr="00414522">
        <w:rPr>
          <w:rFonts w:ascii="Palatino Linotype" w:eastAsia="Arial Unicode MS" w:hAnsi="Palatino Linotype" w:cs="Arial"/>
          <w:b/>
          <w:i/>
          <w:sz w:val="22"/>
          <w:szCs w:val="22"/>
        </w:rPr>
        <w:t>Artículo</w:t>
      </w:r>
      <w:r w:rsidRPr="00414522">
        <w:rPr>
          <w:rFonts w:ascii="Palatino Linotype" w:eastAsia="Arial Unicode MS" w:hAnsi="Palatino Linotype" w:cs="Arial"/>
          <w:i/>
          <w:sz w:val="22"/>
          <w:szCs w:val="22"/>
        </w:rPr>
        <w:t xml:space="preserve"> </w:t>
      </w:r>
      <w:r w:rsidRPr="00414522">
        <w:rPr>
          <w:rFonts w:ascii="Palatino Linotype" w:eastAsia="Arial Unicode MS" w:hAnsi="Palatino Linotype" w:cs="Arial"/>
          <w:b/>
          <w:i/>
          <w:sz w:val="22"/>
          <w:szCs w:val="22"/>
        </w:rPr>
        <w:t>22</w:t>
      </w:r>
      <w:r w:rsidRPr="00414522">
        <w:rPr>
          <w:rFonts w:ascii="Palatino Linotype" w:eastAsia="Arial Unicode MS" w:hAnsi="Palatino Linotype" w:cs="Arial"/>
          <w:i/>
          <w:sz w:val="22"/>
          <w:szCs w:val="22"/>
        </w:rPr>
        <w:t>. Todo tratamiento de datos personales que efectúe el responsable deberá estar justificado por finalidades concretas, lícitas, explícitas y legítimas, relacionadas con las atribuciones que la normatividad aplicable les confiera.</w:t>
      </w:r>
    </w:p>
    <w:p w14:paraId="16596072" w14:textId="29F35007" w:rsidR="002318AF" w:rsidRPr="00414522" w:rsidRDefault="002318AF" w:rsidP="002C27E3">
      <w:pPr>
        <w:spacing w:line="360" w:lineRule="auto"/>
        <w:ind w:left="567" w:right="616"/>
        <w:jc w:val="both"/>
        <w:rPr>
          <w:rFonts w:ascii="Palatino Linotype" w:eastAsia="Arial Unicode MS" w:hAnsi="Palatino Linotype" w:cs="Arial"/>
          <w:i/>
          <w:sz w:val="22"/>
          <w:szCs w:val="22"/>
        </w:rPr>
      </w:pPr>
      <w:r w:rsidRPr="00414522">
        <w:rPr>
          <w:rFonts w:ascii="Palatino Linotype" w:eastAsia="Arial Unicode MS" w:hAnsi="Palatino Linotype" w:cs="Arial"/>
          <w:i/>
          <w:sz w:val="22"/>
          <w:szCs w:val="22"/>
        </w:rPr>
        <w:t>El responsable podrá tratar datos personales para finalidades distintas a aquéllas establecidas en el aviso de privacidad, en los casos siguientes:</w:t>
      </w:r>
    </w:p>
    <w:p w14:paraId="7DD5AB22" w14:textId="77777777" w:rsidR="002318AF" w:rsidRPr="00414522" w:rsidRDefault="002318AF" w:rsidP="002318AF">
      <w:pPr>
        <w:spacing w:line="360" w:lineRule="auto"/>
        <w:ind w:left="567" w:right="616"/>
        <w:jc w:val="both"/>
        <w:rPr>
          <w:rFonts w:ascii="Palatino Linotype" w:eastAsia="Arial Unicode MS" w:hAnsi="Palatino Linotype" w:cs="Arial"/>
          <w:i/>
          <w:sz w:val="22"/>
          <w:szCs w:val="22"/>
        </w:rPr>
      </w:pPr>
      <w:r w:rsidRPr="00414522">
        <w:rPr>
          <w:rFonts w:ascii="Palatino Linotype" w:eastAsia="Arial Unicode MS" w:hAnsi="Palatino Linotype" w:cs="Arial"/>
          <w:i/>
          <w:sz w:val="22"/>
          <w:szCs w:val="22"/>
        </w:rPr>
        <w:t>I. Cuente con atribuciones conferidas en ley y medie el consentimiento del titular.</w:t>
      </w:r>
    </w:p>
    <w:p w14:paraId="091340A0" w14:textId="77777777" w:rsidR="002318AF" w:rsidRPr="00414522" w:rsidRDefault="002318AF" w:rsidP="002318AF">
      <w:pPr>
        <w:spacing w:line="360" w:lineRule="auto"/>
        <w:ind w:left="567" w:right="616"/>
        <w:jc w:val="both"/>
        <w:rPr>
          <w:rFonts w:ascii="Palatino Linotype" w:eastAsia="Arial Unicode MS" w:hAnsi="Palatino Linotype" w:cs="Arial"/>
          <w:i/>
          <w:sz w:val="22"/>
          <w:szCs w:val="22"/>
        </w:rPr>
      </w:pPr>
      <w:r w:rsidRPr="00414522">
        <w:rPr>
          <w:rFonts w:ascii="Palatino Linotype" w:eastAsia="Arial Unicode MS" w:hAnsi="Palatino Linotype" w:cs="Arial"/>
          <w:i/>
          <w:sz w:val="22"/>
          <w:szCs w:val="22"/>
        </w:rPr>
        <w:lastRenderedPageBreak/>
        <w:t>II. Se trate de una persona reportada como desaparecida, en los términos previstos en la presente Ley y demás disposiciones legales aplicables...</w:t>
      </w:r>
    </w:p>
    <w:p w14:paraId="42A2E49C" w14:textId="77777777" w:rsidR="002318AF" w:rsidRPr="00414522" w:rsidRDefault="002318AF" w:rsidP="002318AF">
      <w:pPr>
        <w:spacing w:line="360" w:lineRule="auto"/>
        <w:ind w:left="567" w:right="616"/>
        <w:jc w:val="both"/>
        <w:rPr>
          <w:rFonts w:ascii="Palatino Linotype" w:eastAsia="Arial Unicode MS" w:hAnsi="Palatino Linotype" w:cs="Arial"/>
          <w:i/>
          <w:sz w:val="22"/>
          <w:szCs w:val="22"/>
        </w:rPr>
      </w:pPr>
    </w:p>
    <w:p w14:paraId="7E290E22" w14:textId="77777777" w:rsidR="002318AF" w:rsidRPr="00414522" w:rsidRDefault="002318AF" w:rsidP="002318AF">
      <w:pPr>
        <w:spacing w:line="360" w:lineRule="auto"/>
        <w:ind w:left="567" w:right="616"/>
        <w:jc w:val="both"/>
        <w:rPr>
          <w:rFonts w:ascii="Palatino Linotype" w:eastAsia="Arial Unicode MS" w:hAnsi="Palatino Linotype" w:cs="Arial"/>
          <w:i/>
          <w:sz w:val="22"/>
          <w:szCs w:val="22"/>
        </w:rPr>
      </w:pPr>
      <w:r w:rsidRPr="00414522">
        <w:rPr>
          <w:rFonts w:ascii="Palatino Linotype" w:eastAsia="Arial Unicode MS" w:hAnsi="Palatino Linotype" w:cs="Arial"/>
          <w:b/>
          <w:i/>
          <w:sz w:val="22"/>
          <w:szCs w:val="22"/>
        </w:rPr>
        <w:t>Artículo</w:t>
      </w:r>
      <w:r w:rsidRPr="00414522">
        <w:rPr>
          <w:rFonts w:ascii="Palatino Linotype" w:eastAsia="Arial Unicode MS" w:hAnsi="Palatino Linotype" w:cs="Arial"/>
          <w:i/>
          <w:sz w:val="22"/>
          <w:szCs w:val="22"/>
        </w:rPr>
        <w:t xml:space="preserve"> </w:t>
      </w:r>
      <w:r w:rsidRPr="00414522">
        <w:rPr>
          <w:rFonts w:ascii="Palatino Linotype" w:eastAsia="Arial Unicode MS" w:hAnsi="Palatino Linotype" w:cs="Arial"/>
          <w:b/>
          <w:i/>
          <w:sz w:val="22"/>
          <w:szCs w:val="22"/>
        </w:rPr>
        <w:t>38</w:t>
      </w:r>
      <w:r w:rsidRPr="00414522">
        <w:rPr>
          <w:rFonts w:ascii="Palatino Linotype" w:eastAsia="Arial Unicode MS" w:hAnsi="Palatino Linotype" w:cs="Arial"/>
          <w:i/>
          <w:sz w:val="22"/>
          <w:szCs w:val="22"/>
        </w:rPr>
        <w:t>. Con independencia del tipo de sistema y base de datos en el que se encuentren los datos personales o el tipo de tratamiento que se efectúe, el responsable adoptará, establecerá, mantendrá y documentará las medidas de seguridad administrativas, físicas y técnicas para garantizar la integridad, confidencialidad y disponibilidad de los datos personales, a través de controles y acciones que eviten su daño, alteración, pérdida, destrucción, o el uso, transferencia, acceso o cualquier tratamiento no autorizado o ilícito, de conformidad con lo dispuesto en los lineamientos que al efecto se expidan.</w:t>
      </w:r>
    </w:p>
    <w:p w14:paraId="081029E9" w14:textId="77777777" w:rsidR="002318AF" w:rsidRPr="004578B2" w:rsidRDefault="002318AF" w:rsidP="002318AF">
      <w:pPr>
        <w:spacing w:line="360" w:lineRule="auto"/>
        <w:ind w:left="567" w:right="616"/>
        <w:jc w:val="both"/>
        <w:rPr>
          <w:rFonts w:ascii="Palatino Linotype" w:eastAsia="Arial Unicode MS" w:hAnsi="Palatino Linotype" w:cs="Arial"/>
          <w:i/>
        </w:rPr>
      </w:pPr>
    </w:p>
    <w:p w14:paraId="69CF2B03" w14:textId="6766AA4C" w:rsidR="002318AF" w:rsidRPr="004578B2" w:rsidRDefault="002318AF" w:rsidP="002318AF">
      <w:pPr>
        <w:spacing w:line="360" w:lineRule="auto"/>
        <w:jc w:val="both"/>
        <w:rPr>
          <w:rFonts w:ascii="Palatino Linotype" w:hAnsi="Palatino Linotype"/>
        </w:rPr>
      </w:pPr>
      <w:r w:rsidRPr="004578B2">
        <w:rPr>
          <w:rFonts w:ascii="Palatino Linotype" w:hAnsi="Palatino Linotype"/>
        </w:rPr>
        <w:t xml:space="preserve">De este modo, en armonía entre los principios constitucionales de máxima publicidad y de protección de datos personales, la Ley permite la elaboración de versiones públicas en las que se suprima aquella información relacionada con la vida privada de los particulares y de los servidores públicos toda vez que ésta tiene por objeto proteger datos personales, entendiéndose por tales, aquéllos que hacen identificable a una persona. </w:t>
      </w:r>
    </w:p>
    <w:p w14:paraId="4BB211B1" w14:textId="77777777" w:rsidR="002318AF" w:rsidRPr="004578B2" w:rsidRDefault="002318AF" w:rsidP="002318AF">
      <w:pPr>
        <w:spacing w:line="360" w:lineRule="auto"/>
        <w:jc w:val="both"/>
        <w:rPr>
          <w:rFonts w:ascii="Palatino Linotype" w:eastAsia="Arial Unicode MS" w:hAnsi="Palatino Linotype"/>
        </w:rPr>
      </w:pPr>
      <w:r w:rsidRPr="004578B2">
        <w:rPr>
          <w:rFonts w:ascii="Palatino Linotype" w:eastAsia="Arial Unicode MS" w:hAnsi="Palatino Linotype"/>
        </w:rPr>
        <w:t xml:space="preserve">En efecto, toda la información relativa a una persona física que le pueda hacer identificada o identificable constituye un dato personal en términos del artículo 4 fracción XI, de la Ley de Protección de Datos Personales en Posesión de Sujetos Obligados del Estado de México y Municipios; por consiguiente, se trata de información confidencial, que debe ser protegida por </w:t>
      </w:r>
      <w:r w:rsidRPr="004578B2">
        <w:rPr>
          <w:rFonts w:ascii="Palatino Linotype" w:eastAsia="Arial Unicode MS" w:hAnsi="Palatino Linotype"/>
          <w:color w:val="000000"/>
        </w:rPr>
        <w:t>el Sujeto Obligado</w:t>
      </w:r>
      <w:r w:rsidRPr="004578B2">
        <w:rPr>
          <w:rFonts w:ascii="Palatino Linotype" w:eastAsia="Arial Unicode MS" w:hAnsi="Palatino Linotype"/>
        </w:rPr>
        <w:t xml:space="preserve">, en ese contexto, todo dato personal susceptible de clasificación debe ser protegido. </w:t>
      </w:r>
    </w:p>
    <w:p w14:paraId="095D99F5" w14:textId="77777777" w:rsidR="002318AF" w:rsidRPr="004578B2" w:rsidRDefault="002318AF" w:rsidP="002318AF">
      <w:pPr>
        <w:spacing w:line="360" w:lineRule="auto"/>
        <w:jc w:val="both"/>
        <w:rPr>
          <w:rFonts w:ascii="Palatino Linotype" w:hAnsi="Palatino Linotype"/>
        </w:rPr>
      </w:pPr>
    </w:p>
    <w:p w14:paraId="66E7F9A2" w14:textId="77777777" w:rsidR="002318AF" w:rsidRDefault="002318AF" w:rsidP="002318AF">
      <w:pPr>
        <w:spacing w:line="360" w:lineRule="auto"/>
        <w:jc w:val="both"/>
        <w:rPr>
          <w:rFonts w:ascii="Palatino Linotype" w:hAnsi="Palatino Linotype"/>
        </w:rPr>
      </w:pPr>
      <w:r w:rsidRPr="004578B2">
        <w:rPr>
          <w:rFonts w:ascii="Palatino Linotype" w:hAnsi="Palatino Linotype"/>
        </w:rPr>
        <w:t xml:space="preserve">Por ende, en el presente caso el Sujeto Obligado sólo podrá testar los datos referidos con antelación, clasificación que tiene que efectuar mediante las formalidades que la Ley </w:t>
      </w:r>
      <w:r w:rsidRPr="004578B2">
        <w:rPr>
          <w:rFonts w:ascii="Palatino Linotype" w:hAnsi="Palatino Linotype"/>
        </w:rPr>
        <w:lastRenderedPageBreak/>
        <w:t xml:space="preserve">impone, es decir, resulta necesario que el Comité de Transparencia del Sujeto Obligado emita el Acuerdo de Clasificación correspondiente debidamente fundado y motivado, que sustente la versión pública, el cual deberá cumplir cabalmente con las formalidades previstas en el artículo 137, de la Ley de Transparencia y Acceso a la Información Pública del Estado de México y Municipios, así como con los numerales aplicables de los </w:t>
      </w:r>
      <w:r w:rsidRPr="004578B2">
        <w:rPr>
          <w:rFonts w:ascii="Palatino Linotype" w:hAnsi="Palatino Linotype"/>
          <w:b/>
        </w:rPr>
        <w:t>Lineamientos Generales en Materia de Clasificación y Desclasificación de la Información, así como para la Elaboración de Versiones Públicas</w:t>
      </w:r>
      <w:r w:rsidRPr="004578B2">
        <w:rPr>
          <w:rFonts w:ascii="Palatino Linotype" w:hAnsi="Palatino Linotype"/>
        </w:rPr>
        <w:t xml:space="preserve">, publicados en el Diario Oficial de la Federación en fecha quince de abril del año dos mil dieciséis, mediante Acuerdo del Consejo Nacional del Sistema Nacional de Transparencia, Acceso a la </w:t>
      </w:r>
      <w:r w:rsidRPr="00EF2EA1">
        <w:rPr>
          <w:rFonts w:ascii="Palatino Linotype" w:hAnsi="Palatino Linotype"/>
        </w:rPr>
        <w:t>Información Pública y Protección de Datos Personales.</w:t>
      </w:r>
    </w:p>
    <w:p w14:paraId="6C60AD71" w14:textId="77777777" w:rsidR="002318AF" w:rsidRPr="004578B2" w:rsidRDefault="002318AF" w:rsidP="002318AF">
      <w:pPr>
        <w:spacing w:line="360" w:lineRule="auto"/>
        <w:jc w:val="both"/>
        <w:rPr>
          <w:rFonts w:ascii="Palatino Linotype" w:hAnsi="Palatino Linotype"/>
        </w:rPr>
      </w:pPr>
    </w:p>
    <w:p w14:paraId="53EAAFFA" w14:textId="77777777" w:rsidR="002318AF" w:rsidRPr="00244991" w:rsidRDefault="002318AF" w:rsidP="002318AF">
      <w:pPr>
        <w:spacing w:line="360" w:lineRule="auto"/>
        <w:jc w:val="both"/>
        <w:rPr>
          <w:rFonts w:ascii="Palatino Linotype" w:hAnsi="Palatino Linotype"/>
        </w:rPr>
      </w:pPr>
      <w:r w:rsidRPr="004578B2">
        <w:rPr>
          <w:rFonts w:ascii="Palatino Linotype" w:hAnsi="Palatino Linotype"/>
        </w:rPr>
        <w:t>Ello, sin pasar por alto que la clasificación respectiva tiene que cumplirse mediante las formalidades impuestas por la ley; es decir, mediante Acuerdo debidamente fundado y motivado, en términos de los numerales 49, fracción VIII, y 132, fracciones I, II y III, de la Ley de la materia en vigor, así como los numerales Segundo, fracción XVIII, y del Cuarto al Décimo Primero de los Lineamientos Generales en materia de Clasificación y Desclasificación de la Información, así como para la elaboración de Versiones Públicas, que literalmente establecen lo siguiente:</w:t>
      </w:r>
    </w:p>
    <w:p w14:paraId="6D6DE142"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 xml:space="preserve">Artículo 49. </w:t>
      </w:r>
      <w:r w:rsidRPr="00414522">
        <w:rPr>
          <w:rFonts w:ascii="Palatino Linotype" w:hAnsi="Palatino Linotype"/>
          <w:i/>
          <w:sz w:val="22"/>
          <w:szCs w:val="22"/>
        </w:rPr>
        <w:t>Los Comités de Transparencia tendrán las siguientes atribuciones:</w:t>
      </w:r>
    </w:p>
    <w:p w14:paraId="2B67A035" w14:textId="77777777" w:rsidR="002318AF" w:rsidRPr="00414522" w:rsidRDefault="002318AF" w:rsidP="002318AF">
      <w:pPr>
        <w:spacing w:line="360" w:lineRule="auto"/>
        <w:ind w:left="567" w:right="616"/>
        <w:jc w:val="both"/>
        <w:rPr>
          <w:rFonts w:ascii="Palatino Linotype" w:hAnsi="Palatino Linotype"/>
          <w:bCs/>
          <w:i/>
          <w:sz w:val="22"/>
          <w:szCs w:val="22"/>
        </w:rPr>
      </w:pPr>
      <w:r w:rsidRPr="00414522">
        <w:rPr>
          <w:rFonts w:ascii="Palatino Linotype" w:hAnsi="Palatino Linotype"/>
          <w:bCs/>
          <w:i/>
          <w:sz w:val="22"/>
          <w:szCs w:val="22"/>
        </w:rPr>
        <w:t>(…)</w:t>
      </w:r>
    </w:p>
    <w:p w14:paraId="4179D537"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VIII.</w:t>
      </w:r>
      <w:r w:rsidRPr="00414522">
        <w:rPr>
          <w:rFonts w:ascii="Palatino Linotype" w:hAnsi="Palatino Linotype"/>
          <w:i/>
          <w:sz w:val="22"/>
          <w:szCs w:val="22"/>
        </w:rPr>
        <w:t xml:space="preserve"> Aprobar, modificar o revocar la clasificación de la información;</w:t>
      </w:r>
    </w:p>
    <w:p w14:paraId="79F56F27" w14:textId="77777777" w:rsidR="002318AF" w:rsidRPr="00414522" w:rsidRDefault="002318AF" w:rsidP="002318AF">
      <w:pPr>
        <w:spacing w:line="360" w:lineRule="auto"/>
        <w:ind w:left="567" w:right="616"/>
        <w:jc w:val="both"/>
        <w:rPr>
          <w:rFonts w:ascii="Palatino Linotype" w:hAnsi="Palatino Linotype"/>
          <w:bCs/>
          <w:i/>
          <w:sz w:val="22"/>
          <w:szCs w:val="22"/>
        </w:rPr>
      </w:pPr>
      <w:r w:rsidRPr="00414522">
        <w:rPr>
          <w:rFonts w:ascii="Palatino Linotype" w:hAnsi="Palatino Linotype"/>
          <w:bCs/>
          <w:i/>
          <w:sz w:val="22"/>
          <w:szCs w:val="22"/>
        </w:rPr>
        <w:t>(…)</w:t>
      </w:r>
    </w:p>
    <w:p w14:paraId="57B612A5" w14:textId="77777777" w:rsidR="002318AF" w:rsidRPr="00414522" w:rsidRDefault="002318AF" w:rsidP="002318AF">
      <w:pPr>
        <w:spacing w:line="360" w:lineRule="auto"/>
        <w:ind w:left="567" w:right="616"/>
        <w:jc w:val="both"/>
        <w:rPr>
          <w:rFonts w:ascii="Palatino Linotype" w:hAnsi="Palatino Linotype"/>
          <w:i/>
          <w:sz w:val="22"/>
          <w:szCs w:val="22"/>
        </w:rPr>
      </w:pPr>
    </w:p>
    <w:p w14:paraId="42011D6A" w14:textId="5CC677E0" w:rsidR="002318AF" w:rsidRPr="007548F0" w:rsidRDefault="002318AF" w:rsidP="007548F0">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Artículo 132.</w:t>
      </w:r>
      <w:r w:rsidRPr="00414522">
        <w:rPr>
          <w:rFonts w:ascii="Palatino Linotype" w:hAnsi="Palatino Linotype"/>
          <w:i/>
          <w:sz w:val="22"/>
          <w:szCs w:val="22"/>
        </w:rPr>
        <w:t xml:space="preserve"> La clasificación de la información se llevará a cabo en el momento en que:</w:t>
      </w:r>
    </w:p>
    <w:p w14:paraId="3FD2536F"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lastRenderedPageBreak/>
        <w:t>I.</w:t>
      </w:r>
      <w:r w:rsidRPr="00414522">
        <w:rPr>
          <w:rFonts w:ascii="Palatino Linotype" w:hAnsi="Palatino Linotype"/>
          <w:i/>
          <w:sz w:val="22"/>
          <w:szCs w:val="22"/>
        </w:rPr>
        <w:t xml:space="preserve"> Se reciba una solicitud de acceso a la información;</w:t>
      </w:r>
    </w:p>
    <w:p w14:paraId="02D7A0B2"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II.</w:t>
      </w:r>
      <w:r w:rsidRPr="00414522">
        <w:rPr>
          <w:rFonts w:ascii="Palatino Linotype" w:hAnsi="Palatino Linotype"/>
          <w:i/>
          <w:sz w:val="22"/>
          <w:szCs w:val="22"/>
        </w:rPr>
        <w:t xml:space="preserve"> Se determine mediante resolución de autoridad competente; o</w:t>
      </w:r>
    </w:p>
    <w:p w14:paraId="253C7833" w14:textId="77777777" w:rsidR="002318AF" w:rsidRPr="00414522" w:rsidRDefault="002318AF" w:rsidP="002318AF">
      <w:pPr>
        <w:spacing w:line="360" w:lineRule="auto"/>
        <w:ind w:left="567" w:right="616"/>
        <w:jc w:val="both"/>
        <w:rPr>
          <w:rFonts w:ascii="Palatino Linotype" w:hAnsi="Palatino Linotype"/>
          <w:b/>
          <w:i/>
          <w:sz w:val="22"/>
          <w:szCs w:val="22"/>
        </w:rPr>
      </w:pPr>
      <w:r w:rsidRPr="00414522">
        <w:rPr>
          <w:rFonts w:ascii="Palatino Linotype" w:hAnsi="Palatino Linotype"/>
          <w:b/>
          <w:bCs/>
          <w:i/>
          <w:sz w:val="22"/>
          <w:szCs w:val="22"/>
        </w:rPr>
        <w:t>III.</w:t>
      </w:r>
      <w:r w:rsidRPr="00414522">
        <w:rPr>
          <w:rFonts w:ascii="Palatino Linotype" w:hAnsi="Palatino Linotype"/>
          <w:i/>
          <w:sz w:val="22"/>
          <w:szCs w:val="22"/>
        </w:rPr>
        <w:t xml:space="preserve"> Se generen versiones públicas para dar cumplimiento a las obligaciones de transparencia previstas en esta Ley.</w:t>
      </w:r>
      <w:r w:rsidRPr="00414522">
        <w:rPr>
          <w:rFonts w:ascii="Palatino Linotype" w:hAnsi="Palatino Linotype"/>
          <w:b/>
          <w:i/>
          <w:sz w:val="22"/>
          <w:szCs w:val="22"/>
        </w:rPr>
        <w:t>”</w:t>
      </w:r>
    </w:p>
    <w:p w14:paraId="1BDC0477" w14:textId="77777777" w:rsidR="002318AF" w:rsidRPr="00414522" w:rsidRDefault="002318AF" w:rsidP="002318AF">
      <w:pPr>
        <w:spacing w:line="360" w:lineRule="auto"/>
        <w:ind w:left="567" w:right="616"/>
        <w:jc w:val="both"/>
        <w:rPr>
          <w:rFonts w:ascii="Palatino Linotype" w:hAnsi="Palatino Linotype"/>
          <w:b/>
          <w:i/>
          <w:sz w:val="22"/>
          <w:szCs w:val="22"/>
        </w:rPr>
      </w:pPr>
    </w:p>
    <w:p w14:paraId="62A3FBBB"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Segundo.-</w:t>
      </w:r>
      <w:r w:rsidRPr="00414522">
        <w:rPr>
          <w:rFonts w:ascii="Palatino Linotype" w:hAnsi="Palatino Linotype"/>
          <w:i/>
          <w:sz w:val="22"/>
          <w:szCs w:val="22"/>
        </w:rPr>
        <w:t xml:space="preserve"> Para efectos de los presentes Lineamientos Generales, se entenderá por:</w:t>
      </w:r>
    </w:p>
    <w:p w14:paraId="47FD1F1B"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i/>
          <w:sz w:val="22"/>
          <w:szCs w:val="22"/>
        </w:rPr>
        <w:t>(…)</w:t>
      </w:r>
    </w:p>
    <w:p w14:paraId="549F3768"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XVIII.</w:t>
      </w:r>
      <w:r w:rsidRPr="00414522">
        <w:rPr>
          <w:rFonts w:ascii="Palatino Linotype" w:hAnsi="Palatino Linotype"/>
          <w:i/>
          <w:sz w:val="22"/>
          <w:szCs w:val="22"/>
        </w:rPr>
        <w:t xml:space="preserve"> </w:t>
      </w:r>
      <w:r w:rsidRPr="00414522">
        <w:rPr>
          <w:rFonts w:ascii="Palatino Linotype" w:hAnsi="Palatino Linotype"/>
          <w:b/>
          <w:i/>
          <w:sz w:val="22"/>
          <w:szCs w:val="22"/>
        </w:rPr>
        <w:t>Versión pública:</w:t>
      </w:r>
      <w:r w:rsidRPr="00414522">
        <w:rPr>
          <w:rFonts w:ascii="Palatino Linotype" w:hAnsi="Palatino Linotype"/>
          <w:i/>
          <w:sz w:val="22"/>
          <w:szCs w:val="22"/>
        </w:rPr>
        <w:t xml:space="preserve"> El documento a partir del que se otorga acceso a la información, en el que se testan partes o secciones clasificadas, indicando el contenido de éstas de manera genérica, fundando y motivando la reserva o confidencialidad, a través de la resolución que para tal efecto emita el Comité de Transparencia.</w:t>
      </w:r>
    </w:p>
    <w:p w14:paraId="7B1D807F" w14:textId="77777777" w:rsidR="002318AF" w:rsidRPr="00414522" w:rsidRDefault="002318AF" w:rsidP="002318AF">
      <w:pPr>
        <w:spacing w:line="360" w:lineRule="auto"/>
        <w:ind w:left="567" w:right="616"/>
        <w:jc w:val="both"/>
        <w:rPr>
          <w:rFonts w:ascii="Palatino Linotype" w:hAnsi="Palatino Linotype"/>
          <w:b/>
          <w:i/>
          <w:sz w:val="22"/>
          <w:szCs w:val="22"/>
        </w:rPr>
      </w:pPr>
    </w:p>
    <w:p w14:paraId="27966EF0" w14:textId="732A8AC7" w:rsidR="002318AF" w:rsidRPr="00414522" w:rsidRDefault="002318AF" w:rsidP="007548F0">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Cuarto.</w:t>
      </w:r>
      <w:r w:rsidRPr="00414522">
        <w:rPr>
          <w:rFonts w:ascii="Palatino Linotype" w:hAnsi="Palatino Linotype"/>
          <w:i/>
          <w:sz w:val="22"/>
          <w:szCs w:val="22"/>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512AC3A7"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i/>
          <w:sz w:val="22"/>
          <w:szCs w:val="22"/>
        </w:rPr>
        <w:t>Los sujetos obligados deberán aplicar, de manera estricta, las excepciones al derecho de acceso a la información y sólo podrán invocarlas cuando acrediten su procedencia.</w:t>
      </w:r>
    </w:p>
    <w:p w14:paraId="70A0CF08" w14:textId="77777777" w:rsidR="002318AF" w:rsidRPr="00414522" w:rsidRDefault="002318AF" w:rsidP="002318AF">
      <w:pPr>
        <w:spacing w:line="360" w:lineRule="auto"/>
        <w:ind w:left="567" w:right="616"/>
        <w:jc w:val="both"/>
        <w:rPr>
          <w:rFonts w:ascii="Palatino Linotype" w:hAnsi="Palatino Linotype"/>
          <w:b/>
          <w:i/>
          <w:sz w:val="22"/>
          <w:szCs w:val="22"/>
        </w:rPr>
      </w:pPr>
    </w:p>
    <w:p w14:paraId="64335F4A"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Quinto.</w:t>
      </w:r>
      <w:r w:rsidRPr="00414522">
        <w:rPr>
          <w:rFonts w:ascii="Palatino Linotype" w:hAnsi="Palatino Linotype"/>
          <w:i/>
          <w:sz w:val="22"/>
          <w:szCs w:val="22"/>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w:t>
      </w:r>
      <w:r w:rsidRPr="00414522">
        <w:rPr>
          <w:rFonts w:ascii="Palatino Linotype" w:hAnsi="Palatino Linotype"/>
          <w:i/>
          <w:sz w:val="22"/>
          <w:szCs w:val="22"/>
        </w:rPr>
        <w:lastRenderedPageBreak/>
        <w:t>transparencia, observando lo dispuesto en la Ley General y las demás disposiciones aplicables en la materia.</w:t>
      </w:r>
    </w:p>
    <w:p w14:paraId="21DB7D9D" w14:textId="77777777" w:rsidR="002318AF" w:rsidRPr="00414522" w:rsidRDefault="002318AF" w:rsidP="002318AF">
      <w:pPr>
        <w:spacing w:line="360" w:lineRule="auto"/>
        <w:ind w:left="567" w:right="616"/>
        <w:jc w:val="both"/>
        <w:rPr>
          <w:rFonts w:ascii="Palatino Linotype" w:hAnsi="Palatino Linotype"/>
          <w:b/>
          <w:i/>
          <w:sz w:val="22"/>
          <w:szCs w:val="22"/>
        </w:rPr>
      </w:pPr>
    </w:p>
    <w:p w14:paraId="7C6EC0CE"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Séptimo.</w:t>
      </w:r>
      <w:r w:rsidRPr="00414522">
        <w:rPr>
          <w:rFonts w:ascii="Palatino Linotype" w:hAnsi="Palatino Linotype"/>
          <w:i/>
          <w:sz w:val="22"/>
          <w:szCs w:val="22"/>
        </w:rPr>
        <w:t xml:space="preserve"> La clasificación de la información se llevará a cabo en el momento en que:</w:t>
      </w:r>
    </w:p>
    <w:p w14:paraId="3FE797B2"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I.</w:t>
      </w:r>
      <w:r w:rsidRPr="00414522">
        <w:rPr>
          <w:rFonts w:ascii="Palatino Linotype" w:hAnsi="Palatino Linotype"/>
          <w:i/>
          <w:sz w:val="22"/>
          <w:szCs w:val="22"/>
        </w:rPr>
        <w:t xml:space="preserve"> Se reciba una solicitud de acceso a la información;</w:t>
      </w:r>
    </w:p>
    <w:p w14:paraId="32B3610E"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II.</w:t>
      </w:r>
      <w:r w:rsidRPr="00414522">
        <w:rPr>
          <w:rFonts w:ascii="Palatino Linotype" w:hAnsi="Palatino Linotype"/>
          <w:i/>
          <w:sz w:val="22"/>
          <w:szCs w:val="22"/>
        </w:rPr>
        <w:t xml:space="preserve"> Se determine mediante resolución del Comité de </w:t>
      </w:r>
      <w:proofErr w:type="spellStart"/>
      <w:r w:rsidRPr="00414522">
        <w:rPr>
          <w:rFonts w:ascii="Palatino Linotype" w:hAnsi="Palatino Linotype"/>
          <w:i/>
          <w:sz w:val="22"/>
          <w:szCs w:val="22"/>
        </w:rPr>
        <w:t>Transparnecia</w:t>
      </w:r>
      <w:proofErr w:type="spellEnd"/>
      <w:r w:rsidRPr="00414522">
        <w:rPr>
          <w:rFonts w:ascii="Palatino Linotype" w:hAnsi="Palatino Linotype"/>
          <w:i/>
          <w:sz w:val="22"/>
          <w:szCs w:val="22"/>
        </w:rPr>
        <w:t>, el órgano garante competente, o en cumplimiento a una sentencia del Poder Judicial; o</w:t>
      </w:r>
    </w:p>
    <w:p w14:paraId="269F2450"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III.</w:t>
      </w:r>
      <w:r w:rsidRPr="00414522">
        <w:rPr>
          <w:rFonts w:ascii="Palatino Linotype" w:hAnsi="Palatino Linotype"/>
          <w:i/>
          <w:sz w:val="22"/>
          <w:szCs w:val="22"/>
        </w:rPr>
        <w:t xml:space="preserve"> Se generen versiones públicas para dar cumplimiento a las obligaciones de transparencia previstas en la Ley General, la Ley Federal y las correspondientes de las entidades federativas.</w:t>
      </w:r>
    </w:p>
    <w:p w14:paraId="4240DCD1" w14:textId="77777777" w:rsidR="002318AF" w:rsidRPr="00414522" w:rsidRDefault="002318AF" w:rsidP="002318AF">
      <w:pPr>
        <w:spacing w:line="360" w:lineRule="auto"/>
        <w:ind w:left="567" w:right="616"/>
        <w:jc w:val="both"/>
        <w:rPr>
          <w:rFonts w:ascii="Palatino Linotype" w:hAnsi="Palatino Linotype"/>
          <w:i/>
          <w:sz w:val="22"/>
          <w:szCs w:val="22"/>
        </w:rPr>
      </w:pPr>
    </w:p>
    <w:p w14:paraId="4D6409E7"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i/>
          <w:sz w:val="22"/>
          <w:szCs w:val="22"/>
        </w:rPr>
        <w:t>Los titulares de las áreas deberán revisar la información requerida al momento de la recepción de una solicitud de acceso, para verificar si encuadra en una causal de reserva o de confidencialidad.</w:t>
      </w:r>
    </w:p>
    <w:p w14:paraId="11DCC3CE" w14:textId="77777777" w:rsidR="002318AF" w:rsidRPr="00414522" w:rsidRDefault="002318AF" w:rsidP="002318AF">
      <w:pPr>
        <w:spacing w:line="360" w:lineRule="auto"/>
        <w:ind w:left="567" w:right="616"/>
        <w:jc w:val="both"/>
        <w:rPr>
          <w:rFonts w:ascii="Palatino Linotype" w:hAnsi="Palatino Linotype"/>
          <w:b/>
          <w:i/>
          <w:sz w:val="22"/>
          <w:szCs w:val="22"/>
        </w:rPr>
      </w:pPr>
    </w:p>
    <w:p w14:paraId="7018DCEA" w14:textId="2D178ADF" w:rsidR="002318AF" w:rsidRPr="00414522" w:rsidRDefault="002318AF" w:rsidP="007548F0">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Octavo.</w:t>
      </w:r>
      <w:r w:rsidRPr="00414522">
        <w:rPr>
          <w:rFonts w:ascii="Palatino Linotype" w:hAnsi="Palatino Linotype"/>
          <w:i/>
          <w:sz w:val="22"/>
          <w:szCs w:val="22"/>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1DCB8BEB" w14:textId="1FBFC4C0" w:rsidR="002318AF" w:rsidRPr="00414522" w:rsidRDefault="002318AF" w:rsidP="007548F0">
      <w:pPr>
        <w:spacing w:line="360" w:lineRule="auto"/>
        <w:ind w:left="567" w:right="616"/>
        <w:jc w:val="both"/>
        <w:rPr>
          <w:rFonts w:ascii="Palatino Linotype" w:hAnsi="Palatino Linotype"/>
          <w:i/>
          <w:sz w:val="22"/>
          <w:szCs w:val="22"/>
        </w:rPr>
      </w:pPr>
      <w:r w:rsidRPr="00414522">
        <w:rPr>
          <w:rFonts w:ascii="Palatino Linotype" w:hAnsi="Palatino Linotype"/>
          <w:i/>
          <w:sz w:val="22"/>
          <w:szCs w:val="22"/>
        </w:rPr>
        <w:t>Para motivar la clasificación se deberán señalar las razones o circunstancias especiales que lo llevaron a concluir que el caso particular se ajusta al supuesto previsto por la norma legal invocada como fundamento.</w:t>
      </w:r>
    </w:p>
    <w:p w14:paraId="24C37D8E"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i/>
          <w:sz w:val="22"/>
          <w:szCs w:val="22"/>
        </w:rPr>
        <w:t>En caso de referirse a información reservada, la motivación de la clasificación deberá comprender el análisis de la prueba de daño a que hace referencia el artículo 104 de la Ley General, en relación con el artículo trigésimo tercero de los presentes lineamientos, así como las circunstancias que justifican el establecimiento de determinado plazo de reserva.</w:t>
      </w:r>
    </w:p>
    <w:p w14:paraId="7AB4797D" w14:textId="77777777" w:rsidR="002318AF" w:rsidRPr="00414522" w:rsidRDefault="002318AF" w:rsidP="002318AF">
      <w:pPr>
        <w:spacing w:line="360" w:lineRule="auto"/>
        <w:ind w:left="567" w:right="616"/>
        <w:jc w:val="both"/>
        <w:rPr>
          <w:rFonts w:ascii="Palatino Linotype" w:hAnsi="Palatino Linotype"/>
          <w:b/>
          <w:i/>
          <w:sz w:val="22"/>
          <w:szCs w:val="22"/>
        </w:rPr>
      </w:pPr>
    </w:p>
    <w:p w14:paraId="78A5A67E" w14:textId="77777777" w:rsidR="002318AF" w:rsidRPr="00F04F19"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lastRenderedPageBreak/>
        <w:t>Noveno.</w:t>
      </w:r>
      <w:r w:rsidRPr="00414522">
        <w:rPr>
          <w:rFonts w:ascii="Palatino Linotype" w:hAnsi="Palatino Linotype"/>
          <w:i/>
          <w:sz w:val="22"/>
          <w:szCs w:val="22"/>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05F13A2B"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t>Décimo.</w:t>
      </w:r>
      <w:r w:rsidRPr="00414522">
        <w:rPr>
          <w:rFonts w:ascii="Palatino Linotype" w:hAnsi="Palatino Linotype"/>
          <w:i/>
          <w:sz w:val="22"/>
          <w:szCs w:val="22"/>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125149FB" w14:textId="77777777" w:rsidR="002318AF" w:rsidRPr="00414522" w:rsidRDefault="002318AF" w:rsidP="002318AF">
      <w:pPr>
        <w:spacing w:line="360" w:lineRule="auto"/>
        <w:ind w:left="567" w:right="616"/>
        <w:jc w:val="both"/>
        <w:rPr>
          <w:rFonts w:ascii="Palatino Linotype" w:hAnsi="Palatino Linotype"/>
          <w:i/>
          <w:sz w:val="22"/>
          <w:szCs w:val="22"/>
        </w:rPr>
      </w:pPr>
    </w:p>
    <w:p w14:paraId="538FEB2A"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i/>
          <w:sz w:val="22"/>
          <w:szCs w:val="22"/>
        </w:rPr>
        <w:t>En ausencia de los titulares de las áreas, la información será clasificada o desclasificada por la persona que lo supla, en términos de la normativa que rija la actuación del sujeto obligado.</w:t>
      </w:r>
    </w:p>
    <w:p w14:paraId="533D80F3" w14:textId="77777777" w:rsidR="002318AF" w:rsidRPr="00414522" w:rsidRDefault="002318AF" w:rsidP="002318AF">
      <w:pPr>
        <w:spacing w:line="360" w:lineRule="auto"/>
        <w:ind w:left="567" w:right="616"/>
        <w:jc w:val="both"/>
        <w:rPr>
          <w:rFonts w:ascii="Palatino Linotype" w:hAnsi="Palatino Linotype"/>
          <w:b/>
          <w:i/>
          <w:sz w:val="22"/>
          <w:szCs w:val="22"/>
        </w:rPr>
      </w:pPr>
    </w:p>
    <w:p w14:paraId="7988CA2F" w14:textId="77777777" w:rsidR="002318AF" w:rsidRPr="00414522" w:rsidRDefault="002318AF" w:rsidP="002318AF">
      <w:pPr>
        <w:spacing w:line="360" w:lineRule="auto"/>
        <w:ind w:left="567" w:right="616"/>
        <w:jc w:val="both"/>
        <w:rPr>
          <w:rFonts w:ascii="Palatino Linotype" w:hAnsi="Palatino Linotype"/>
          <w:b/>
          <w:sz w:val="22"/>
          <w:szCs w:val="22"/>
        </w:rPr>
      </w:pPr>
      <w:r w:rsidRPr="00414522">
        <w:rPr>
          <w:rFonts w:ascii="Palatino Linotype" w:hAnsi="Palatino Linotype"/>
          <w:b/>
          <w:i/>
          <w:sz w:val="22"/>
          <w:szCs w:val="22"/>
        </w:rPr>
        <w:t>Décimo primero.</w:t>
      </w:r>
      <w:r w:rsidRPr="00414522">
        <w:rPr>
          <w:rFonts w:ascii="Palatino Linotype" w:hAnsi="Palatino Linotype"/>
          <w:i/>
          <w:sz w:val="22"/>
          <w:szCs w:val="22"/>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0FC15A19" w14:textId="77777777" w:rsidR="002318AF" w:rsidRPr="004578B2" w:rsidRDefault="002318AF" w:rsidP="002318AF">
      <w:pPr>
        <w:spacing w:line="360" w:lineRule="auto"/>
        <w:jc w:val="both"/>
        <w:rPr>
          <w:rFonts w:ascii="Palatino Linotype" w:hAnsi="Palatino Linotype" w:cs="Arial"/>
          <w:i/>
        </w:rPr>
      </w:pPr>
    </w:p>
    <w:p w14:paraId="07AA2FA7" w14:textId="77777777" w:rsidR="002318AF" w:rsidRDefault="002318AF" w:rsidP="002318AF">
      <w:pPr>
        <w:spacing w:line="360" w:lineRule="auto"/>
        <w:jc w:val="both"/>
        <w:rPr>
          <w:rFonts w:ascii="Palatino Linotype" w:hAnsi="Palatino Linotype"/>
        </w:rPr>
      </w:pPr>
      <w:r w:rsidRPr="004578B2">
        <w:rPr>
          <w:rFonts w:ascii="Palatino Linotype" w:hAnsi="Palatino Linotype"/>
        </w:rPr>
        <w:t xml:space="preserve">De este modo, como ha sido señalado en la presente resolución, en armonía entre los principios constitucionales de máxima publicidad y de protección de datos personales, la Ley de Transparencia y Acceso a la Información Pública del Estado de México y Municipios permite la elaboración de versiones públicas en las que se suprima aquella información relacionada con la vida privada de particulares mediante el debido Acuerdo fundado y motivado en el que el Sujeto Obligado precise las razones objetivas por las que </w:t>
      </w:r>
      <w:r w:rsidRPr="004578B2">
        <w:rPr>
          <w:rFonts w:ascii="Palatino Linotype" w:hAnsi="Palatino Linotype"/>
        </w:rPr>
        <w:lastRenderedPageBreak/>
        <w:t>la apertura de la información generaría una afectación, asimismo, es claro que éste debe aplicar de manera restrictiva y limitada las hipótesis de clasificación y no hacerlas valer de manera general. Es importante señalar que, para acreditar dichos supuestos jurídicos se debe fundar y motivar correctamente la categorización de la información.</w:t>
      </w:r>
    </w:p>
    <w:p w14:paraId="26F2C07C" w14:textId="77777777" w:rsidR="002318AF" w:rsidRPr="004578B2" w:rsidRDefault="002318AF" w:rsidP="002318AF">
      <w:pPr>
        <w:spacing w:line="360" w:lineRule="auto"/>
        <w:jc w:val="both"/>
        <w:rPr>
          <w:rFonts w:ascii="Palatino Linotype" w:hAnsi="Palatino Linotype"/>
        </w:rPr>
      </w:pPr>
    </w:p>
    <w:p w14:paraId="6D4E330E" w14:textId="0688D54F" w:rsidR="002318AF" w:rsidRPr="004578B2" w:rsidRDefault="002318AF" w:rsidP="002318AF">
      <w:pPr>
        <w:spacing w:line="360" w:lineRule="auto"/>
        <w:jc w:val="both"/>
        <w:rPr>
          <w:rFonts w:ascii="Palatino Linotype" w:hAnsi="Palatino Linotype"/>
        </w:rPr>
      </w:pPr>
      <w:r w:rsidRPr="004578B2">
        <w:rPr>
          <w:rFonts w:ascii="Palatino Linotype" w:hAnsi="Palatino Linotype"/>
        </w:rPr>
        <w:t>Por tanto, la fundamentación y motivación consiste en la obligación que tiene todo ente público de expresar los preceptos jurídicos aplicables al asunto motivo del acto y las razones o argumentos de su actuar.</w:t>
      </w:r>
      <w:r w:rsidR="0077712A">
        <w:rPr>
          <w:rFonts w:ascii="Palatino Linotype" w:hAnsi="Palatino Linotype"/>
        </w:rPr>
        <w:t xml:space="preserve"> </w:t>
      </w:r>
      <w:r w:rsidRPr="004578B2">
        <w:rPr>
          <w:rFonts w:ascii="Palatino Linotype" w:hAnsi="Palatino Linotype"/>
        </w:rPr>
        <w:t>Al respecto, el máximo tribunal del país ha establecido jurisprudencia respecto a qué debe entenderse por fundamentación y motivaci</w:t>
      </w:r>
      <w:r>
        <w:rPr>
          <w:rFonts w:ascii="Palatino Linotype" w:hAnsi="Palatino Linotype"/>
        </w:rPr>
        <w:t>ón, en los siguientes términos:</w:t>
      </w:r>
    </w:p>
    <w:p w14:paraId="6C097F8B" w14:textId="77777777" w:rsidR="002318AF" w:rsidRPr="00414522" w:rsidRDefault="002318AF" w:rsidP="002318AF">
      <w:pPr>
        <w:spacing w:line="360" w:lineRule="auto"/>
        <w:ind w:left="567" w:right="616"/>
        <w:jc w:val="both"/>
        <w:rPr>
          <w:rFonts w:ascii="Palatino Linotype" w:hAnsi="Palatino Linotype"/>
          <w:b/>
          <w:i/>
          <w:sz w:val="22"/>
          <w:szCs w:val="22"/>
        </w:rPr>
      </w:pPr>
      <w:r w:rsidRPr="00414522">
        <w:rPr>
          <w:rFonts w:ascii="Palatino Linotype" w:hAnsi="Palatino Linotype"/>
          <w:b/>
          <w:i/>
          <w:sz w:val="22"/>
          <w:szCs w:val="22"/>
        </w:rPr>
        <w:t xml:space="preserve">FUNDAMENTACIÓN Y MOTIVACIÓN. </w:t>
      </w:r>
    </w:p>
    <w:p w14:paraId="436EE138"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i/>
          <w:sz w:val="22"/>
          <w:szCs w:val="22"/>
        </w:rPr>
        <w:t>La debida fundamentación y motivación legal, deben entenderse, por lo primero, la cita del precepto legal aplicable al caso, y por lo segundo, las razones, motivos o circunstancias especiales que llevaron a la autoridad a concluir que el caso particular encuadra en el supuesto previsto por la norma legal invocada como fundamento.</w:t>
      </w:r>
    </w:p>
    <w:p w14:paraId="0FC30693" w14:textId="77777777" w:rsidR="002318AF" w:rsidRPr="004578B2" w:rsidRDefault="002318AF" w:rsidP="002318AF">
      <w:pPr>
        <w:spacing w:line="360" w:lineRule="auto"/>
        <w:jc w:val="both"/>
        <w:rPr>
          <w:rFonts w:ascii="Palatino Linotype" w:hAnsi="Palatino Linotype"/>
        </w:rPr>
      </w:pPr>
    </w:p>
    <w:p w14:paraId="47DFF817" w14:textId="77777777" w:rsidR="002318AF" w:rsidRPr="004578B2" w:rsidRDefault="002318AF" w:rsidP="002318AF">
      <w:pPr>
        <w:spacing w:line="360" w:lineRule="auto"/>
        <w:jc w:val="both"/>
        <w:rPr>
          <w:rFonts w:ascii="Palatino Linotype" w:hAnsi="Palatino Linotype"/>
        </w:rPr>
      </w:pPr>
      <w:r w:rsidRPr="004578B2">
        <w:rPr>
          <w:rFonts w:ascii="Palatino Linotype" w:hAnsi="Palatino Linotype"/>
        </w:rPr>
        <w:t>Así, en un acto de autoridad se surte la debida fundamentación cuando se cita el precepto legal aplicable al caso concreto y la debida motivación cuando se expresan las razones, motivos o circunstancias que tomó en cuenta la autoridad para adecuar el hecho a los fundamentos de derecho.</w:t>
      </w:r>
    </w:p>
    <w:p w14:paraId="763D5727" w14:textId="77777777" w:rsidR="002318AF" w:rsidRPr="004578B2" w:rsidRDefault="002318AF" w:rsidP="002318AF">
      <w:pPr>
        <w:spacing w:line="360" w:lineRule="auto"/>
        <w:jc w:val="both"/>
        <w:rPr>
          <w:rFonts w:ascii="Palatino Linotype" w:hAnsi="Palatino Linotype"/>
        </w:rPr>
      </w:pPr>
    </w:p>
    <w:p w14:paraId="2A457A57" w14:textId="77777777" w:rsidR="002318AF" w:rsidRPr="004578B2" w:rsidRDefault="002318AF" w:rsidP="002318AF">
      <w:pPr>
        <w:spacing w:line="360" w:lineRule="auto"/>
        <w:jc w:val="both"/>
        <w:rPr>
          <w:rFonts w:ascii="Palatino Linotype" w:hAnsi="Palatino Linotype"/>
        </w:rPr>
      </w:pPr>
      <w:r w:rsidRPr="004578B2">
        <w:rPr>
          <w:rFonts w:ascii="Palatino Linotype" w:hAnsi="Palatino Linotype"/>
        </w:rPr>
        <w:t>Más aún, a través de diversa jurisprudencia dictada por el Poder Judicial de la Federación se sostiene que la finalidad de la fundamentación o motivación es la de explicar, justificar, posibilitar la defensa y comunic</w:t>
      </w:r>
      <w:r>
        <w:rPr>
          <w:rFonts w:ascii="Palatino Linotype" w:hAnsi="Palatino Linotype"/>
        </w:rPr>
        <w:t>ar la decisión de la autoridad:</w:t>
      </w:r>
    </w:p>
    <w:p w14:paraId="46732928"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b/>
          <w:i/>
          <w:sz w:val="22"/>
          <w:szCs w:val="22"/>
        </w:rPr>
        <w:lastRenderedPageBreak/>
        <w:t>FUNDAMENTACIÓN Y MOTIVACIÓN. EL ASPECTO FORMAL DE LA GARANTÍA Y SU FINALIDAD SE TRADUCEN EN EXPLICAR, JUSTIFICAR, POSIBILITAR LA DEFENSA Y COMUNICAR LA DECISIÓN</w:t>
      </w:r>
      <w:r w:rsidRPr="00414522">
        <w:rPr>
          <w:rFonts w:ascii="Palatino Linotype" w:hAnsi="Palatino Linotype"/>
          <w:i/>
          <w:sz w:val="22"/>
          <w:szCs w:val="22"/>
        </w:rPr>
        <w:t xml:space="preserve">. </w:t>
      </w:r>
    </w:p>
    <w:p w14:paraId="4AFEBD4C" w14:textId="77777777" w:rsidR="002318AF" w:rsidRPr="00414522" w:rsidRDefault="002318AF" w:rsidP="002318AF">
      <w:pPr>
        <w:spacing w:line="360" w:lineRule="auto"/>
        <w:ind w:left="567" w:right="616"/>
        <w:jc w:val="both"/>
        <w:rPr>
          <w:rFonts w:ascii="Palatino Linotype" w:hAnsi="Palatino Linotype"/>
          <w:i/>
          <w:sz w:val="22"/>
          <w:szCs w:val="22"/>
        </w:rPr>
      </w:pPr>
      <w:r w:rsidRPr="00414522">
        <w:rPr>
          <w:rFonts w:ascii="Palatino Linotype" w:hAnsi="Palatino Linotype"/>
          <w:i/>
          <w:sz w:val="22"/>
          <w:szCs w:val="22"/>
        </w:rPr>
        <w:t>El contenido formal de la garantía de legalidad prevista en el artículo 16 constitucional relativa a la fundamentación y motivación tiene como propósito primordial y ratio que el justiciable conozca el "para qué" de la conducta de la autoridad, lo que se traduce en darle a conocer en detalle y de manera completa la esencia de todas las circunstancias y condiciones que determinaron el acto de voluntad, de manera que sea evidente y muy claro para el afectado poder cuestionar y controvertir el mérito de la decisión, permitiéndole una real y auténtica defensa. Por tanto, no basta que el acto de autoridad apenas observe una motivación pro forma pero de una manera incongruente, insuficiente o imprecisa, que impida la finalidad del conocimiento, comprobación y defensa pertinente, ni es válido exigirle una amplitud o abundancia superflua, pues es suficiente la expresión de lo estrictamente necesario para explicar, justificar y posibilitar la defensa, así como para comunicar la decisión a efecto de que se considere debidamente fundado y motivado, exponiendo los hechos relevantes para decidir, citando la norma habilitante y un argumento mínimo pero suficiente para acreditar el razonamiento del que se deduzca la relación de pertenencia lógica de los hechos al derecho invocado, que es la subsunción.</w:t>
      </w:r>
    </w:p>
    <w:p w14:paraId="29B0D751" w14:textId="77777777" w:rsidR="002318AF" w:rsidRPr="004578B2" w:rsidRDefault="002318AF" w:rsidP="002318AF">
      <w:pPr>
        <w:spacing w:line="360" w:lineRule="auto"/>
        <w:jc w:val="both"/>
        <w:rPr>
          <w:rFonts w:ascii="Palatino Linotype" w:hAnsi="Palatino Linotype"/>
        </w:rPr>
      </w:pPr>
    </w:p>
    <w:p w14:paraId="0040F594" w14:textId="77777777" w:rsidR="002318AF" w:rsidRDefault="002318AF" w:rsidP="002318AF">
      <w:pPr>
        <w:spacing w:line="360" w:lineRule="auto"/>
        <w:jc w:val="both"/>
        <w:rPr>
          <w:rFonts w:ascii="Palatino Linotype" w:hAnsi="Palatino Linotype"/>
        </w:rPr>
      </w:pPr>
      <w:r w:rsidRPr="004578B2">
        <w:rPr>
          <w:rFonts w:ascii="Palatino Linotype" w:hAnsi="Palatino Linotype"/>
        </w:rPr>
        <w:t>En consecuencia, la fundamentación y motivación implica que en el acto de autoridad, además de contenerse los supuestos jurídicos aplicables se expliquen claramente, por qué, a través de la utilización de la norma se emitió el acto. De este modo, la persona que se siente afectada pueda impugnar la decisión, permitiéndole una real y auténtica defensa.</w:t>
      </w:r>
    </w:p>
    <w:p w14:paraId="5719D640" w14:textId="77777777" w:rsidR="002318AF" w:rsidRPr="004578B2" w:rsidRDefault="002318AF" w:rsidP="002318AF">
      <w:pPr>
        <w:spacing w:line="360" w:lineRule="auto"/>
        <w:jc w:val="both"/>
        <w:rPr>
          <w:rFonts w:ascii="Palatino Linotype" w:hAnsi="Palatino Linotype"/>
        </w:rPr>
      </w:pPr>
    </w:p>
    <w:p w14:paraId="2D67AD35" w14:textId="06BE1948" w:rsidR="001A4F65" w:rsidRPr="002318AF" w:rsidRDefault="002318AF" w:rsidP="002318AF">
      <w:pPr>
        <w:spacing w:line="360" w:lineRule="auto"/>
        <w:jc w:val="both"/>
        <w:rPr>
          <w:rFonts w:ascii="Palatino Linotype" w:hAnsi="Palatino Linotype"/>
        </w:rPr>
      </w:pPr>
      <w:r w:rsidRPr="004578B2">
        <w:rPr>
          <w:rFonts w:ascii="Palatino Linotype" w:hAnsi="Palatino Linotype"/>
        </w:rPr>
        <w:lastRenderedPageBreak/>
        <w:t>Por lo tanto, la entrega de documentos en su versión pública debe acompañarse necesariamente del Acuerdo del Comité de Transparencia del Sujeto Obligado</w:t>
      </w:r>
      <w:r w:rsidRPr="004578B2">
        <w:rPr>
          <w:rFonts w:ascii="Palatino Linotype" w:hAnsi="Palatino Linotype"/>
          <w:b/>
        </w:rPr>
        <w:t xml:space="preserve"> </w:t>
      </w:r>
      <w:r w:rsidRPr="004578B2">
        <w:rPr>
          <w:rFonts w:ascii="Palatino Linotype" w:hAnsi="Palatino Linotype"/>
        </w:rPr>
        <w:t>que la sustente, en el que se expongan los fundamentos y razones que llevaron a la autoridad a testar, suprimir o eliminar datos de dicho soporte documental, ya que el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 la solicitante</w:t>
      </w:r>
      <w:r>
        <w:rPr>
          <w:rFonts w:ascii="Palatino Linotype" w:hAnsi="Palatino Linotype"/>
        </w:rPr>
        <w:t>.</w:t>
      </w:r>
    </w:p>
    <w:p w14:paraId="2EE1890C" w14:textId="77777777" w:rsidR="00153641" w:rsidRDefault="00153641" w:rsidP="001A4F65">
      <w:pPr>
        <w:spacing w:line="360" w:lineRule="auto"/>
      </w:pPr>
    </w:p>
    <w:p w14:paraId="2195541C" w14:textId="77777777" w:rsidR="00153641" w:rsidRPr="00DD5AEC" w:rsidRDefault="00153641" w:rsidP="001A4F65">
      <w:pPr>
        <w:spacing w:line="360" w:lineRule="auto"/>
      </w:pPr>
    </w:p>
    <w:p w14:paraId="2C0906FA" w14:textId="3B952BAA" w:rsidR="001A4F65" w:rsidRDefault="001A4F65" w:rsidP="001A4F65">
      <w:pPr>
        <w:tabs>
          <w:tab w:val="left" w:pos="709"/>
        </w:tabs>
        <w:spacing w:before="240" w:line="360" w:lineRule="auto"/>
        <w:ind w:right="51"/>
        <w:jc w:val="both"/>
        <w:rPr>
          <w:rFonts w:ascii="Palatino Linotype" w:eastAsia="Palatino Linotype" w:hAnsi="Palatino Linotype" w:cs="Palatino Linotype"/>
        </w:rPr>
      </w:pPr>
      <w:r>
        <w:rPr>
          <w:rFonts w:ascii="Palatino Linotype" w:eastAsia="Palatino Linotype" w:hAnsi="Palatino Linotype" w:cs="Palatino Linotype"/>
        </w:rPr>
        <w:t xml:space="preserve">En mérito de lo expuesto en líneas anteriores, resultan parcialmente fundados los motivos de inconformidad vertidos por </w:t>
      </w:r>
      <w:r>
        <w:rPr>
          <w:rFonts w:ascii="Palatino Linotype" w:eastAsia="Palatino Linotype" w:hAnsi="Palatino Linotype" w:cs="Palatino Linotype"/>
          <w:b/>
        </w:rPr>
        <w:t xml:space="preserve">el Recurrente, </w:t>
      </w:r>
      <w:r>
        <w:rPr>
          <w:rFonts w:ascii="Palatino Linotype" w:eastAsia="Palatino Linotype" w:hAnsi="Palatino Linotype" w:cs="Palatino Linotype"/>
        </w:rPr>
        <w:t xml:space="preserve">por ello con fundamento en el artículo 186 fracción III de la Ley de Transparencia y Acceso a la Información Pública del Estado de México y Municipios, se </w:t>
      </w:r>
      <w:r w:rsidR="00AD22B3">
        <w:rPr>
          <w:rFonts w:ascii="Palatino Linotype" w:eastAsia="Palatino Linotype" w:hAnsi="Palatino Linotype" w:cs="Palatino Linotype"/>
          <w:b/>
        </w:rPr>
        <w:t>REVOCA</w:t>
      </w:r>
      <w:r>
        <w:rPr>
          <w:rFonts w:ascii="Palatino Linotype" w:eastAsia="Palatino Linotype" w:hAnsi="Palatino Linotype" w:cs="Palatino Linotype"/>
          <w:b/>
        </w:rPr>
        <w:t xml:space="preserve"> </w:t>
      </w:r>
      <w:r>
        <w:rPr>
          <w:rFonts w:ascii="Palatino Linotype" w:eastAsia="Palatino Linotype" w:hAnsi="Palatino Linotype" w:cs="Palatino Linotype"/>
        </w:rPr>
        <w:t>l</w:t>
      </w:r>
      <w:r>
        <w:t>a</w:t>
      </w:r>
      <w:r>
        <w:rPr>
          <w:rFonts w:ascii="Palatino Linotype" w:eastAsia="Palatino Linotype" w:hAnsi="Palatino Linotype" w:cs="Palatino Linotype"/>
        </w:rPr>
        <w:t xml:space="preserve"> respuesta a la solicitud de información </w:t>
      </w:r>
      <w:r w:rsidR="001C0F8C" w:rsidRPr="001C0F8C">
        <w:rPr>
          <w:rFonts w:ascii="Palatino Linotype" w:hAnsi="Palatino Linotype"/>
          <w:b/>
          <w:bCs/>
          <w:color w:val="000000" w:themeColor="text1"/>
        </w:rPr>
        <w:t>00122/LAPAZ/IP/2025</w:t>
      </w:r>
      <w:r>
        <w:rPr>
          <w:rFonts w:ascii="Palatino Linotype" w:eastAsia="Palatino Linotype" w:hAnsi="Palatino Linotype" w:cs="Palatino Linotype"/>
          <w:b/>
        </w:rPr>
        <w:t xml:space="preserve">, </w:t>
      </w:r>
      <w:r>
        <w:rPr>
          <w:rFonts w:ascii="Palatino Linotype" w:eastAsia="Palatino Linotype" w:hAnsi="Palatino Linotype" w:cs="Palatino Linotype"/>
        </w:rPr>
        <w:t xml:space="preserve">que ha sido materia del presente fallo. </w:t>
      </w:r>
    </w:p>
    <w:p w14:paraId="5C94E3A0" w14:textId="77777777" w:rsidR="0073583A" w:rsidRDefault="001A4F65" w:rsidP="00C956BE">
      <w:pPr>
        <w:pBdr>
          <w:top w:val="nil"/>
          <w:left w:val="nil"/>
          <w:bottom w:val="nil"/>
          <w:right w:val="nil"/>
          <w:between w:val="nil"/>
        </w:pBdr>
        <w:tabs>
          <w:tab w:val="left" w:pos="6818"/>
        </w:tabs>
        <w:spacing w:before="240" w:after="240"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Por lo antes expuesto y fundado es de resolverse y, </w:t>
      </w:r>
    </w:p>
    <w:p w14:paraId="00C2BA42" w14:textId="70753C3D" w:rsidR="00C956BE" w:rsidRDefault="00C956BE" w:rsidP="00C956BE">
      <w:pPr>
        <w:pBdr>
          <w:top w:val="nil"/>
          <w:left w:val="nil"/>
          <w:bottom w:val="nil"/>
          <w:right w:val="nil"/>
          <w:between w:val="nil"/>
        </w:pBdr>
        <w:tabs>
          <w:tab w:val="left" w:pos="6818"/>
        </w:tabs>
        <w:spacing w:before="240" w:after="240"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b/>
      </w:r>
    </w:p>
    <w:p w14:paraId="26C8F97F" w14:textId="77777777" w:rsidR="001A4F65" w:rsidRDefault="001A4F65" w:rsidP="001A4F65">
      <w:pPr>
        <w:spacing w:before="240" w:line="360" w:lineRule="auto"/>
        <w:jc w:val="center"/>
        <w:rPr>
          <w:rFonts w:ascii="Palatino Linotype" w:eastAsia="Palatino Linotype" w:hAnsi="Palatino Linotype" w:cs="Palatino Linotype"/>
          <w:b/>
          <w:sz w:val="28"/>
          <w:szCs w:val="28"/>
        </w:rPr>
      </w:pPr>
      <w:r>
        <w:rPr>
          <w:rFonts w:ascii="Palatino Linotype" w:eastAsia="Palatino Linotype" w:hAnsi="Palatino Linotype" w:cs="Palatino Linotype"/>
          <w:b/>
          <w:sz w:val="28"/>
          <w:szCs w:val="28"/>
        </w:rPr>
        <w:t>SE    RESUELVE</w:t>
      </w:r>
    </w:p>
    <w:p w14:paraId="071845E5" w14:textId="3BAE697A" w:rsidR="001A4F65" w:rsidRDefault="001A4F65" w:rsidP="001A4F65">
      <w:pPr>
        <w:spacing w:before="240" w:line="360" w:lineRule="auto"/>
        <w:jc w:val="both"/>
        <w:rPr>
          <w:rFonts w:ascii="Palatino Linotype" w:eastAsia="Palatino Linotype" w:hAnsi="Palatino Linotype" w:cs="Palatino Linotype"/>
        </w:rPr>
      </w:pPr>
      <w:r>
        <w:rPr>
          <w:rFonts w:ascii="Palatino Linotype" w:eastAsia="Palatino Linotype" w:hAnsi="Palatino Linotype" w:cs="Palatino Linotype"/>
          <w:b/>
        </w:rPr>
        <w:lastRenderedPageBreak/>
        <w:t>PRIMERO.</w:t>
      </w:r>
      <w:r>
        <w:rPr>
          <w:rFonts w:ascii="Palatino Linotype" w:eastAsia="Palatino Linotype" w:hAnsi="Palatino Linotype" w:cs="Palatino Linotype"/>
        </w:rPr>
        <w:t xml:space="preserve"> Se </w:t>
      </w:r>
      <w:r w:rsidR="00C956BE">
        <w:rPr>
          <w:rFonts w:ascii="Palatino Linotype" w:eastAsia="Palatino Linotype" w:hAnsi="Palatino Linotype" w:cs="Palatino Linotype"/>
          <w:b/>
        </w:rPr>
        <w:t>REVOC</w:t>
      </w:r>
      <w:r>
        <w:rPr>
          <w:rFonts w:ascii="Palatino Linotype" w:eastAsia="Palatino Linotype" w:hAnsi="Palatino Linotype" w:cs="Palatino Linotype"/>
          <w:b/>
        </w:rPr>
        <w:t>A</w:t>
      </w:r>
      <w:r>
        <w:rPr>
          <w:b/>
        </w:rPr>
        <w:t xml:space="preserve"> </w:t>
      </w:r>
      <w:r>
        <w:rPr>
          <w:rFonts w:ascii="Palatino Linotype" w:eastAsia="Palatino Linotype" w:hAnsi="Palatino Linotype" w:cs="Palatino Linotype"/>
        </w:rPr>
        <w:t xml:space="preserve">la respuesta entregada por </w:t>
      </w:r>
      <w:r>
        <w:rPr>
          <w:rFonts w:ascii="Palatino Linotype" w:eastAsia="Palatino Linotype" w:hAnsi="Palatino Linotype" w:cs="Palatino Linotype"/>
          <w:b/>
        </w:rPr>
        <w:t xml:space="preserve">EL SUJETO OBLIGADO, </w:t>
      </w:r>
      <w:r>
        <w:rPr>
          <w:rFonts w:ascii="Palatino Linotype" w:eastAsia="Palatino Linotype" w:hAnsi="Palatino Linotype" w:cs="Palatino Linotype"/>
        </w:rPr>
        <w:t>a la solicitud de información</w:t>
      </w:r>
      <w:r>
        <w:t xml:space="preserve"> con</w:t>
      </w:r>
      <w:r>
        <w:rPr>
          <w:rFonts w:ascii="Palatino Linotype" w:eastAsia="Palatino Linotype" w:hAnsi="Palatino Linotype" w:cs="Palatino Linotype"/>
        </w:rPr>
        <w:t xml:space="preserve"> número </w:t>
      </w:r>
      <w:r w:rsidR="00C956BE" w:rsidRPr="001C0F8C">
        <w:rPr>
          <w:rFonts w:ascii="Palatino Linotype" w:hAnsi="Palatino Linotype"/>
          <w:b/>
          <w:bCs/>
          <w:color w:val="000000" w:themeColor="text1"/>
        </w:rPr>
        <w:t>00122/LAPAZ/IP/2025</w:t>
      </w:r>
      <w:r w:rsidR="00C956BE">
        <w:rPr>
          <w:rFonts w:ascii="Palatino Linotype" w:hAnsi="Palatino Linotype"/>
          <w:b/>
          <w:bCs/>
          <w:color w:val="000000" w:themeColor="text1"/>
        </w:rPr>
        <w:t xml:space="preserve"> </w:t>
      </w:r>
      <w:r>
        <w:rPr>
          <w:rFonts w:ascii="Palatino Linotype" w:eastAsia="Palatino Linotype" w:hAnsi="Palatino Linotype" w:cs="Palatino Linotype"/>
          <w:b/>
        </w:rPr>
        <w:t xml:space="preserve">por </w:t>
      </w:r>
      <w:r>
        <w:rPr>
          <w:rFonts w:ascii="Palatino Linotype" w:eastAsia="Palatino Linotype" w:hAnsi="Palatino Linotype" w:cs="Palatino Linotype"/>
        </w:rPr>
        <w:t xml:space="preserve">resultar parcialmente fundados los motivos de inconformidad que arguye </w:t>
      </w:r>
      <w:r>
        <w:rPr>
          <w:rFonts w:ascii="Palatino Linotype" w:eastAsia="Palatino Linotype" w:hAnsi="Palatino Linotype" w:cs="Palatino Linotype"/>
          <w:b/>
        </w:rPr>
        <w:t xml:space="preserve">EL RECURRENTE, </w:t>
      </w:r>
      <w:r>
        <w:rPr>
          <w:rFonts w:ascii="Palatino Linotype" w:eastAsia="Palatino Linotype" w:hAnsi="Palatino Linotype" w:cs="Palatino Linotype"/>
        </w:rPr>
        <w:t xml:space="preserve">en términos del </w:t>
      </w:r>
      <w:r>
        <w:rPr>
          <w:rFonts w:ascii="Palatino Linotype" w:eastAsia="Palatino Linotype" w:hAnsi="Palatino Linotype" w:cs="Palatino Linotype"/>
          <w:b/>
        </w:rPr>
        <w:t xml:space="preserve">Considerando QUINTO </w:t>
      </w:r>
      <w:r>
        <w:rPr>
          <w:rFonts w:ascii="Palatino Linotype" w:eastAsia="Palatino Linotype" w:hAnsi="Palatino Linotype" w:cs="Palatino Linotype"/>
        </w:rPr>
        <w:t xml:space="preserve">de la presente resolución. </w:t>
      </w:r>
    </w:p>
    <w:p w14:paraId="493E23FA" w14:textId="77777777" w:rsidR="001A4F65" w:rsidRDefault="001A4F65" w:rsidP="001A4F65">
      <w:pPr>
        <w:spacing w:before="240" w:line="360" w:lineRule="auto"/>
        <w:jc w:val="both"/>
        <w:rPr>
          <w:rFonts w:ascii="Palatino Linotype" w:eastAsia="Palatino Linotype" w:hAnsi="Palatino Linotype" w:cs="Palatino Linotype"/>
        </w:rPr>
      </w:pPr>
    </w:p>
    <w:p w14:paraId="62B13060" w14:textId="6AB12F02" w:rsidR="0073583A" w:rsidRDefault="001A4F65" w:rsidP="001A4F65">
      <w:pPr>
        <w:spacing w:before="240" w:line="360" w:lineRule="auto"/>
        <w:ind w:right="49"/>
        <w:jc w:val="both"/>
        <w:rPr>
          <w:rFonts w:ascii="Palatino Linotype" w:eastAsia="Palatino Linotype" w:hAnsi="Palatino Linotype" w:cs="Palatino Linotype"/>
        </w:rPr>
      </w:pPr>
      <w:r>
        <w:rPr>
          <w:rFonts w:ascii="Palatino Linotype" w:eastAsia="Palatino Linotype" w:hAnsi="Palatino Linotype" w:cs="Palatino Linotype"/>
          <w:b/>
        </w:rPr>
        <w:t>SEGUNDO.</w:t>
      </w:r>
      <w:r>
        <w:rPr>
          <w:rFonts w:ascii="Palatino Linotype" w:eastAsia="Palatino Linotype" w:hAnsi="Palatino Linotype" w:cs="Palatino Linotype"/>
        </w:rPr>
        <w:t xml:space="preserve"> Se </w:t>
      </w:r>
      <w:r>
        <w:rPr>
          <w:rFonts w:ascii="Palatino Linotype" w:eastAsia="Palatino Linotype" w:hAnsi="Palatino Linotype" w:cs="Palatino Linotype"/>
          <w:b/>
        </w:rPr>
        <w:t>ORDENA</w:t>
      </w:r>
      <w:r>
        <w:rPr>
          <w:rFonts w:ascii="Palatino Linotype" w:eastAsia="Palatino Linotype" w:hAnsi="Palatino Linotype" w:cs="Palatino Linotype"/>
        </w:rPr>
        <w:t xml:space="preserve"> al </w:t>
      </w:r>
      <w:r>
        <w:rPr>
          <w:rFonts w:ascii="Palatino Linotype" w:eastAsia="Palatino Linotype" w:hAnsi="Palatino Linotype" w:cs="Palatino Linotype"/>
          <w:b/>
        </w:rPr>
        <w:t>SUJETO OBLIGADO</w:t>
      </w:r>
      <w:r>
        <w:rPr>
          <w:rFonts w:ascii="Palatino Linotype" w:eastAsia="Palatino Linotype" w:hAnsi="Palatino Linotype" w:cs="Palatino Linotype"/>
        </w:rPr>
        <w:t xml:space="preserve"> haga entrega al</w:t>
      </w:r>
      <w:r>
        <w:rPr>
          <w:rFonts w:ascii="Palatino Linotype" w:eastAsia="Palatino Linotype" w:hAnsi="Palatino Linotype" w:cs="Palatino Linotype"/>
          <w:b/>
        </w:rPr>
        <w:t xml:space="preserve"> RECURRENTE </w:t>
      </w:r>
      <w:r>
        <w:rPr>
          <w:rFonts w:ascii="Palatino Linotype" w:eastAsia="Palatino Linotype" w:hAnsi="Palatino Linotype" w:cs="Palatino Linotype"/>
        </w:rPr>
        <w:t xml:space="preserve">en términos del Considerando </w:t>
      </w:r>
      <w:r>
        <w:rPr>
          <w:rFonts w:ascii="Palatino Linotype" w:eastAsia="Palatino Linotype" w:hAnsi="Palatino Linotype" w:cs="Palatino Linotype"/>
          <w:b/>
        </w:rPr>
        <w:t xml:space="preserve">QUINTO </w:t>
      </w:r>
      <w:r>
        <w:rPr>
          <w:rFonts w:ascii="Palatino Linotype" w:eastAsia="Palatino Linotype" w:hAnsi="Palatino Linotype" w:cs="Palatino Linotype"/>
        </w:rPr>
        <w:t>previa búsqueda exhaustiva y razonable haga entrega al Recurrente a través de esta resolución</w:t>
      </w:r>
      <w:r>
        <w:rPr>
          <w:rFonts w:ascii="Palatino Linotype" w:eastAsia="Palatino Linotype" w:hAnsi="Palatino Linotype" w:cs="Palatino Linotype"/>
          <w:b/>
        </w:rPr>
        <w:t xml:space="preserve"> </w:t>
      </w:r>
      <w:r>
        <w:rPr>
          <w:rFonts w:ascii="Palatino Linotype" w:eastAsia="Palatino Linotype" w:hAnsi="Palatino Linotype" w:cs="Palatino Linotype"/>
        </w:rPr>
        <w:t xml:space="preserve">mediante del Sistema de Acceso a la Información Mexiquense </w:t>
      </w:r>
      <w:r>
        <w:rPr>
          <w:rFonts w:ascii="Palatino Linotype" w:eastAsia="Palatino Linotype" w:hAnsi="Palatino Linotype" w:cs="Palatino Linotype"/>
          <w:b/>
        </w:rPr>
        <w:t xml:space="preserve">(SAIMEX) </w:t>
      </w:r>
      <w:r>
        <w:rPr>
          <w:rFonts w:ascii="Palatino Linotype" w:eastAsia="Palatino Linotype" w:hAnsi="Palatino Linotype" w:cs="Palatino Linotype"/>
        </w:rPr>
        <w:t>en versión pública de lo siguiente:</w:t>
      </w:r>
    </w:p>
    <w:p w14:paraId="08E27B67" w14:textId="77777777" w:rsidR="00CD45DA" w:rsidRPr="00144730" w:rsidRDefault="00CD45DA" w:rsidP="001A4F65">
      <w:pPr>
        <w:spacing w:before="240" w:line="360" w:lineRule="auto"/>
        <w:ind w:right="49"/>
        <w:jc w:val="both"/>
        <w:rPr>
          <w:rFonts w:ascii="Palatino Linotype" w:eastAsia="Palatino Linotype" w:hAnsi="Palatino Linotype" w:cs="Palatino Linotype"/>
        </w:rPr>
      </w:pPr>
    </w:p>
    <w:p w14:paraId="675EED64" w14:textId="6BD30CF2" w:rsidR="003E7332" w:rsidRPr="00CD45DA" w:rsidRDefault="003E7332" w:rsidP="00CD45DA">
      <w:pPr>
        <w:pStyle w:val="Prrafodelista"/>
        <w:numPr>
          <w:ilvl w:val="6"/>
          <w:numId w:val="22"/>
        </w:numPr>
        <w:autoSpaceDE w:val="0"/>
        <w:autoSpaceDN w:val="0"/>
        <w:adjustRightInd w:val="0"/>
        <w:spacing w:line="360" w:lineRule="auto"/>
        <w:ind w:left="709" w:firstLine="142"/>
        <w:jc w:val="both"/>
        <w:rPr>
          <w:rFonts w:ascii="Palatino Linotype" w:hAnsi="Palatino Linotype"/>
          <w:i/>
        </w:rPr>
      </w:pPr>
      <w:r>
        <w:rPr>
          <w:rFonts w:ascii="Palatino Linotype" w:eastAsia="Palatino Linotype" w:hAnsi="Palatino Linotype" w:cs="Palatino Linotype"/>
        </w:rPr>
        <w:t>Recibo de nómina del Titular de la Tesorería Municipal de la primera quincena de febrero de dos mil veinticinco.</w:t>
      </w:r>
    </w:p>
    <w:p w14:paraId="2A653D04" w14:textId="77777777" w:rsidR="00CD45DA" w:rsidRPr="0073583A" w:rsidRDefault="00CD45DA" w:rsidP="00CD45DA">
      <w:pPr>
        <w:pStyle w:val="Prrafodelista"/>
        <w:autoSpaceDE w:val="0"/>
        <w:autoSpaceDN w:val="0"/>
        <w:adjustRightInd w:val="0"/>
        <w:spacing w:line="360" w:lineRule="auto"/>
        <w:ind w:left="1620"/>
        <w:jc w:val="both"/>
        <w:rPr>
          <w:rFonts w:ascii="Palatino Linotype" w:hAnsi="Palatino Linotype"/>
          <w:i/>
        </w:rPr>
      </w:pPr>
    </w:p>
    <w:p w14:paraId="0D16DD7D" w14:textId="77777777" w:rsidR="001A4F65" w:rsidRDefault="001A4F65" w:rsidP="001A4F65">
      <w:pPr>
        <w:pStyle w:val="Prrafodelista"/>
        <w:autoSpaceDE w:val="0"/>
        <w:autoSpaceDN w:val="0"/>
        <w:adjustRightInd w:val="0"/>
        <w:spacing w:line="360" w:lineRule="auto"/>
        <w:jc w:val="both"/>
        <w:rPr>
          <w:rFonts w:ascii="Palatino Linotype" w:hAnsi="Palatino Linotype"/>
          <w:i/>
        </w:rPr>
      </w:pPr>
      <w:r w:rsidRPr="006724EB">
        <w:rPr>
          <w:rFonts w:ascii="Palatino Linotype" w:hAnsi="Palatino Linotype"/>
          <w:i/>
        </w:rPr>
        <w:t>Como sustento de la versión pública se deberá entregar el Acuerdo del Comité de Transparencia correspondiente, en términos del artículo 49, fracción VIII y 132 fracción II, de la Ley de Transparencia y Acceso a la Información Pública del Estado de México y Municipios, en el que funde y motive las razones sobre los datos que se supriman o eliminen</w:t>
      </w:r>
      <w:r>
        <w:rPr>
          <w:rFonts w:ascii="Palatino Linotype" w:hAnsi="Palatino Linotype"/>
          <w:i/>
        </w:rPr>
        <w:t xml:space="preserve"> </w:t>
      </w:r>
      <w:r w:rsidRPr="006724EB">
        <w:rPr>
          <w:rFonts w:ascii="Palatino Linotype" w:hAnsi="Palatino Linotype"/>
          <w:i/>
        </w:rPr>
        <w:t xml:space="preserve">dentro del soporte documental respectivo </w:t>
      </w:r>
      <w:r>
        <w:rPr>
          <w:rFonts w:ascii="Palatino Linotype" w:hAnsi="Palatino Linotype"/>
          <w:i/>
        </w:rPr>
        <w:t>y</w:t>
      </w:r>
      <w:r w:rsidRPr="006724EB">
        <w:rPr>
          <w:rFonts w:ascii="Palatino Linotype" w:hAnsi="Palatino Linotype"/>
          <w:i/>
        </w:rPr>
        <w:t xml:space="preserve"> se ponga a disposición de la parte Recurrente</w:t>
      </w:r>
      <w:r>
        <w:rPr>
          <w:rFonts w:ascii="Palatino Linotype" w:hAnsi="Palatino Linotype"/>
          <w:i/>
        </w:rPr>
        <w:t>.</w:t>
      </w:r>
    </w:p>
    <w:p w14:paraId="413BCDC4" w14:textId="77777777" w:rsidR="001A4F65" w:rsidRPr="00D71F38" w:rsidRDefault="001A4F65" w:rsidP="001A4F65">
      <w:pPr>
        <w:pStyle w:val="Prrafodelista"/>
        <w:autoSpaceDE w:val="0"/>
        <w:autoSpaceDN w:val="0"/>
        <w:adjustRightInd w:val="0"/>
        <w:spacing w:line="360" w:lineRule="auto"/>
        <w:jc w:val="both"/>
        <w:rPr>
          <w:rFonts w:ascii="Palatino Linotype" w:hAnsi="Palatino Linotype"/>
          <w:i/>
        </w:rPr>
      </w:pPr>
    </w:p>
    <w:p w14:paraId="2E51AB60" w14:textId="77777777" w:rsidR="001A4F65" w:rsidRDefault="001A4F65" w:rsidP="001A4F65">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b/>
          <w:sz w:val="28"/>
          <w:szCs w:val="28"/>
        </w:rPr>
        <w:t>TERCERO</w:t>
      </w:r>
      <w:r>
        <w:rPr>
          <w:rFonts w:ascii="Palatino Linotype" w:eastAsia="Palatino Linotype" w:hAnsi="Palatino Linotype" w:cs="Palatino Linotype"/>
          <w:b/>
        </w:rPr>
        <w:t>.</w:t>
      </w:r>
      <w:r>
        <w:rPr>
          <w:rFonts w:ascii="Palatino Linotype" w:eastAsia="Palatino Linotype" w:hAnsi="Palatino Linotype" w:cs="Palatino Linotype"/>
        </w:rPr>
        <w:t xml:space="preserve"> </w:t>
      </w:r>
      <w:r>
        <w:rPr>
          <w:rFonts w:ascii="Palatino Linotype" w:eastAsia="Palatino Linotype" w:hAnsi="Palatino Linotype" w:cs="Palatino Linotype"/>
          <w:b/>
        </w:rPr>
        <w:t>NOTIFÍQUESE</w:t>
      </w:r>
      <w:r>
        <w:rPr>
          <w:rFonts w:ascii="Palatino Linotype" w:eastAsia="Palatino Linotype" w:hAnsi="Palatino Linotype" w:cs="Palatino Linotype"/>
          <w:i/>
        </w:rPr>
        <w:t xml:space="preserve"> </w:t>
      </w:r>
      <w:r>
        <w:rPr>
          <w:rFonts w:ascii="Palatino Linotype" w:eastAsia="Palatino Linotype" w:hAnsi="Palatino Linotype" w:cs="Palatino Linotype"/>
        </w:rPr>
        <w:t xml:space="preserve">la presente resolución al Titular de la Unidad de Transparencia del Sujeto Obligado, </w:t>
      </w:r>
      <w:r>
        <w:rPr>
          <w:rFonts w:ascii="Palatino Linotype" w:eastAsia="Palatino Linotype" w:hAnsi="Palatino Linotype" w:cs="Palatino Linotype"/>
          <w:b/>
        </w:rPr>
        <w:t xml:space="preserve">vía </w:t>
      </w:r>
      <w:r>
        <w:rPr>
          <w:rFonts w:ascii="Palatino Linotype" w:eastAsia="Palatino Linotype" w:hAnsi="Palatino Linotype" w:cs="Palatino Linotype"/>
        </w:rPr>
        <w:t xml:space="preserve">Sistema de Acceso a la Información Mexiquense </w:t>
      </w:r>
      <w:r>
        <w:rPr>
          <w:rFonts w:ascii="Palatino Linotype" w:eastAsia="Palatino Linotype" w:hAnsi="Palatino Linotype" w:cs="Palatino Linotype"/>
          <w:b/>
        </w:rPr>
        <w:t>SAIMEX</w:t>
      </w:r>
      <w:r>
        <w:rPr>
          <w:rFonts w:ascii="Palatino Linotype" w:eastAsia="Palatino Linotype" w:hAnsi="Palatino Linotype" w:cs="Palatino Linotype"/>
        </w:rPr>
        <w:t xml:space="preserve"> para que conforme al artículo 186 último párrafo, 189 segundo párrafo y 194 de </w:t>
      </w:r>
      <w:r>
        <w:rPr>
          <w:rFonts w:ascii="Palatino Linotype" w:eastAsia="Palatino Linotype" w:hAnsi="Palatino Linotype" w:cs="Palatino Linotype"/>
        </w:rPr>
        <w:lastRenderedPageBreak/>
        <w:t>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0E284D2E" w14:textId="77777777" w:rsidR="001A4F65" w:rsidRDefault="001A4F65" w:rsidP="001A4F65">
      <w:pPr>
        <w:spacing w:line="360" w:lineRule="auto"/>
        <w:jc w:val="both"/>
        <w:rPr>
          <w:rFonts w:ascii="Palatino Linotype" w:eastAsia="Palatino Linotype" w:hAnsi="Palatino Linotype" w:cs="Palatino Linotype"/>
        </w:rPr>
      </w:pPr>
    </w:p>
    <w:p w14:paraId="3B25A63E" w14:textId="77777777" w:rsidR="001A4F65" w:rsidRDefault="001A4F65" w:rsidP="001A4F65">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b/>
          <w:sz w:val="26"/>
          <w:szCs w:val="26"/>
        </w:rPr>
        <w:t>CUARTO.</w:t>
      </w:r>
      <w:r>
        <w:rPr>
          <w:rFonts w:ascii="Palatino Linotype" w:eastAsia="Palatino Linotype" w:hAnsi="Palatino Linotype" w:cs="Palatino Linotype"/>
          <w:b/>
        </w:rPr>
        <w:t xml:space="preserve"> </w:t>
      </w:r>
      <w:r>
        <w:rPr>
          <w:rFonts w:ascii="Palatino Linotype" w:eastAsia="Palatino Linotype" w:hAnsi="Palatino Linotype" w:cs="Palatino Linotype"/>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2E676BC5" w14:textId="77777777" w:rsidR="001A4F65" w:rsidRDefault="001A4F65" w:rsidP="001A4F65">
      <w:pPr>
        <w:spacing w:line="360" w:lineRule="auto"/>
        <w:jc w:val="both"/>
        <w:rPr>
          <w:rFonts w:ascii="Palatino Linotype" w:eastAsia="Palatino Linotype" w:hAnsi="Palatino Linotype" w:cs="Palatino Linotype"/>
        </w:rPr>
      </w:pPr>
      <w:bookmarkStart w:id="5" w:name="_gjdgxs" w:colFirst="0" w:colLast="0"/>
      <w:bookmarkEnd w:id="5"/>
    </w:p>
    <w:p w14:paraId="509E36D6" w14:textId="77777777" w:rsidR="001A4F65" w:rsidRDefault="001A4F65" w:rsidP="001A4F65">
      <w:pPr>
        <w:spacing w:line="360" w:lineRule="auto"/>
        <w:jc w:val="both"/>
        <w:rPr>
          <w:rFonts w:ascii="Palatino Linotype" w:eastAsia="Palatino Linotype" w:hAnsi="Palatino Linotype" w:cs="Palatino Linotype"/>
          <w:color w:val="222222"/>
        </w:rPr>
      </w:pPr>
      <w:r>
        <w:rPr>
          <w:rFonts w:ascii="Palatino Linotype" w:eastAsia="Palatino Linotype" w:hAnsi="Palatino Linotype" w:cs="Palatino Linotype"/>
          <w:b/>
          <w:sz w:val="28"/>
          <w:szCs w:val="28"/>
        </w:rPr>
        <w:t xml:space="preserve">QUINTO. </w:t>
      </w:r>
      <w:r>
        <w:rPr>
          <w:rFonts w:ascii="Palatino Linotype" w:eastAsia="Palatino Linotype" w:hAnsi="Palatino Linotype" w:cs="Palatino Linotype"/>
          <w:b/>
        </w:rPr>
        <w:t xml:space="preserve">NOTIFÍQUESE </w:t>
      </w:r>
      <w:r>
        <w:rPr>
          <w:rFonts w:ascii="Palatino Linotype" w:eastAsia="Palatino Linotype" w:hAnsi="Palatino Linotype" w:cs="Palatino Linotype"/>
        </w:rPr>
        <w:t xml:space="preserve">la presente resolución al </w:t>
      </w:r>
      <w:r>
        <w:rPr>
          <w:rFonts w:ascii="Palatino Linotype" w:eastAsia="Palatino Linotype" w:hAnsi="Palatino Linotype" w:cs="Palatino Linotype"/>
          <w:b/>
        </w:rPr>
        <w:t xml:space="preserve">RECURRENTE vía </w:t>
      </w:r>
      <w:r>
        <w:rPr>
          <w:rFonts w:ascii="Palatino Linotype" w:eastAsia="Palatino Linotype" w:hAnsi="Palatino Linotype" w:cs="Palatino Linotype"/>
        </w:rPr>
        <w:t xml:space="preserve">Sistema de Acceso a la Información Mexiquense </w:t>
      </w:r>
      <w:r>
        <w:rPr>
          <w:rFonts w:ascii="Palatino Linotype" w:eastAsia="Palatino Linotype" w:hAnsi="Palatino Linotype" w:cs="Palatino Linotype"/>
          <w:b/>
        </w:rPr>
        <w:t xml:space="preserve">(SAIMEX) </w:t>
      </w:r>
      <w:r>
        <w:rPr>
          <w:rFonts w:ascii="Palatino Linotype" w:eastAsia="Palatino Linotype" w:hAnsi="Palatino Linotype" w:cs="Palatino Linotype"/>
        </w:rPr>
        <w:t xml:space="preserve">y hágase de su conocimiento que, </w:t>
      </w:r>
      <w:r>
        <w:rPr>
          <w:rFonts w:ascii="Palatino Linotype" w:eastAsia="Palatino Linotype" w:hAnsi="Palatino Linotype" w:cs="Palatino Linotype"/>
          <w:color w:val="222222"/>
          <w:highlight w:val="white"/>
        </w:rPr>
        <w:t xml:space="preserve">de conformidad con lo </w:t>
      </w:r>
      <w:r>
        <w:rPr>
          <w:rFonts w:ascii="Palatino Linotype" w:eastAsia="Palatino Linotype" w:hAnsi="Palatino Linotype" w:cs="Palatino Linotype"/>
          <w:color w:val="222222"/>
        </w:rPr>
        <w:t xml:space="preserve">establecido en el artículo 196, de la Ley de Transparencia y Acceso a la Información Pública del Estado de México y Municipios, podrá promover el Juicio de Amparo en los términos de las </w:t>
      </w:r>
      <w:r>
        <w:rPr>
          <w:rFonts w:ascii="Palatino Linotype" w:eastAsia="Palatino Linotype" w:hAnsi="Palatino Linotype" w:cs="Palatino Linotype"/>
          <w:color w:val="222222"/>
          <w:highlight w:val="white"/>
        </w:rPr>
        <w:t>leyes aplicables.</w:t>
      </w:r>
    </w:p>
    <w:p w14:paraId="60AA9A83" w14:textId="77777777" w:rsidR="001A4F65" w:rsidRDefault="001A4F65" w:rsidP="001A4F65">
      <w:pPr>
        <w:spacing w:line="360" w:lineRule="auto"/>
        <w:jc w:val="both"/>
        <w:rPr>
          <w:rFonts w:ascii="Palatino Linotype" w:eastAsia="Palatino Linotype" w:hAnsi="Palatino Linotype" w:cs="Palatino Linotype"/>
          <w:color w:val="222222"/>
        </w:rPr>
      </w:pPr>
    </w:p>
    <w:p w14:paraId="402C2156" w14:textId="2ED9CF7B" w:rsidR="001A4F65" w:rsidRPr="0049390F" w:rsidRDefault="001A4F65" w:rsidP="0049390F">
      <w:pPr>
        <w:spacing w:before="240" w:line="360" w:lineRule="auto"/>
        <w:jc w:val="both"/>
        <w:rPr>
          <w:rFonts w:ascii="Palatino Linotype" w:hAnsi="Palatino Linotype" w:cs="Arial"/>
        </w:rPr>
      </w:pPr>
      <w:r w:rsidRPr="003E7332">
        <w:rPr>
          <w:rFonts w:ascii="Palatino Linotype" w:hAnsi="Palatino Linotype"/>
          <w:b/>
          <w:bCs/>
          <w:sz w:val="28"/>
          <w:szCs w:val="28"/>
          <w:shd w:val="clear" w:color="auto" w:fill="FFFFFF"/>
          <w:lang w:eastAsia="es-ES"/>
        </w:rPr>
        <w:t>SEXTO</w:t>
      </w:r>
      <w:r w:rsidRPr="003E7332">
        <w:rPr>
          <w:rFonts w:ascii="Palatino Linotype" w:hAnsi="Palatino Linotype"/>
          <w:b/>
          <w:bCs/>
          <w:color w:val="222222"/>
          <w:shd w:val="clear" w:color="auto" w:fill="FFFFFF"/>
          <w:lang w:eastAsia="es-ES"/>
        </w:rPr>
        <w:t>.</w:t>
      </w:r>
      <w:r w:rsidRPr="003E7332">
        <w:rPr>
          <w:rFonts w:ascii="Palatino Linotype" w:hAnsi="Palatino Linotype" w:cs="Palatino Linotype"/>
          <w:color w:val="000000"/>
          <w:lang w:val="es-ES_tradnl"/>
        </w:rPr>
        <w:t xml:space="preserve"> Gírese oficio al</w:t>
      </w:r>
      <w:r w:rsidRPr="003E7332">
        <w:rPr>
          <w:rFonts w:ascii="Palatino Linotype" w:hAnsi="Palatino Linotype" w:cs="Palatino Linotype"/>
          <w:color w:val="000000"/>
        </w:rPr>
        <w:t xml:space="preserve"> Titular de la Dirección General de Protección de Datos Personales de este Instituto en atención al artículo 82, fracción XXVII de la Ley de Protección de Datos Personales del Estado de México y Municipios </w:t>
      </w:r>
      <w:r w:rsidRPr="003E7332">
        <w:rPr>
          <w:rFonts w:ascii="Palatino Linotype" w:hAnsi="Palatino Linotype" w:cs="Arial"/>
        </w:rPr>
        <w:t xml:space="preserve">en términos del </w:t>
      </w:r>
      <w:r w:rsidRPr="003E7332">
        <w:rPr>
          <w:rFonts w:ascii="Palatino Linotype" w:hAnsi="Palatino Linotype" w:cs="Arial"/>
          <w:b/>
        </w:rPr>
        <w:t xml:space="preserve">Considerando QUINTO </w:t>
      </w:r>
      <w:r w:rsidRPr="003E7332">
        <w:rPr>
          <w:rFonts w:ascii="Palatino Linotype" w:hAnsi="Palatino Linotype" w:cs="Arial"/>
        </w:rPr>
        <w:t>de la presente resolución.</w:t>
      </w:r>
      <w:r>
        <w:rPr>
          <w:rFonts w:ascii="Palatino Linotype" w:hAnsi="Palatino Linotype" w:cs="Arial"/>
        </w:rPr>
        <w:t xml:space="preserve"> </w:t>
      </w:r>
    </w:p>
    <w:p w14:paraId="7807B5BB" w14:textId="0CEDD9F4" w:rsidR="001A4F65" w:rsidRDefault="001A4F65" w:rsidP="001A4F65">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lastRenderedPageBreak/>
        <w:t xml:space="preserve">ASÍ LO RESUELVE, POR </w:t>
      </w:r>
      <w:r>
        <w:rPr>
          <w:rFonts w:ascii="Palatino Linotype" w:eastAsia="Palatino Linotype" w:hAnsi="Palatino Linotype" w:cs="Palatino Linotype"/>
          <w:b/>
        </w:rPr>
        <w:t>UNANIMIDAD DE VOTOS</w:t>
      </w:r>
      <w:r>
        <w:rPr>
          <w:rFonts w:ascii="Palatino Linotype" w:eastAsia="Palatino Linotype" w:hAnsi="Palatino Linotype" w:cs="Palatino Linotype"/>
        </w:rPr>
        <w:t xml:space="preserve"> EL PLENO DEL INSTITUTO DE TRANSPARENCIA, ACCESO A LA INFORMACIÓN PÚBLICA Y PROTECCIÓN DE DATOS PERSONALES DEL ESTADO DE MÉXICO Y MUNICIPIOS, CONFORMADO POR LOS COMISIONADOS JOSÉ MARTÍNEZ VILCHIS, MARÍA DEL ROSARIO MEJÍA AYALA, SHARON CRISTINA MORALES MARTÍN</w:t>
      </w:r>
      <w:r w:rsidR="004B0440">
        <w:rPr>
          <w:rFonts w:ascii="Palatino Linotype" w:eastAsia="Palatino Linotype" w:hAnsi="Palatino Linotype" w:cs="Palatino Linotype"/>
        </w:rPr>
        <w:t>EZ, LUIS GUSTAVO PARRA NORIEGA</w:t>
      </w:r>
      <w:r w:rsidR="0049390F">
        <w:rPr>
          <w:rFonts w:ascii="Palatino Linotype" w:eastAsia="Palatino Linotype" w:hAnsi="Palatino Linotype" w:cs="Palatino Linotype"/>
        </w:rPr>
        <w:t xml:space="preserve"> (</w:t>
      </w:r>
      <w:r w:rsidR="00CA41B0">
        <w:rPr>
          <w:rFonts w:ascii="Palatino Linotype" w:eastAsia="Palatino Linotype" w:hAnsi="Palatino Linotype" w:cs="Palatino Linotype"/>
        </w:rPr>
        <w:t xml:space="preserve">EMITIENDO </w:t>
      </w:r>
      <w:r w:rsidR="0049390F">
        <w:rPr>
          <w:rFonts w:ascii="Palatino Linotype" w:eastAsia="Palatino Linotype" w:hAnsi="Palatino Linotype" w:cs="Palatino Linotype"/>
        </w:rPr>
        <w:t xml:space="preserve">VOTO </w:t>
      </w:r>
      <w:r w:rsidR="00CA41B0">
        <w:rPr>
          <w:rFonts w:ascii="Palatino Linotype" w:eastAsia="Palatino Linotype" w:hAnsi="Palatino Linotype" w:cs="Palatino Linotype"/>
        </w:rPr>
        <w:t xml:space="preserve">PARTICULAR </w:t>
      </w:r>
      <w:r w:rsidR="0049390F">
        <w:rPr>
          <w:rFonts w:ascii="Palatino Linotype" w:eastAsia="Palatino Linotype" w:hAnsi="Palatino Linotype" w:cs="Palatino Linotype"/>
        </w:rPr>
        <w:t>CONCURRENTE)</w:t>
      </w:r>
      <w:r w:rsidR="004B0440">
        <w:rPr>
          <w:rFonts w:ascii="Palatino Linotype" w:eastAsia="Palatino Linotype" w:hAnsi="Palatino Linotype" w:cs="Palatino Linotype"/>
        </w:rPr>
        <w:t xml:space="preserve"> Y GUADALUPE RAMÍREZ PEÑA</w:t>
      </w:r>
      <w:r w:rsidR="0049390F">
        <w:rPr>
          <w:rFonts w:ascii="Palatino Linotype" w:eastAsia="Palatino Linotype" w:hAnsi="Palatino Linotype" w:cs="Palatino Linotype"/>
        </w:rPr>
        <w:t xml:space="preserve"> (</w:t>
      </w:r>
      <w:r w:rsidR="00CA41B0">
        <w:rPr>
          <w:rFonts w:ascii="Palatino Linotype" w:eastAsia="Palatino Linotype" w:hAnsi="Palatino Linotype" w:cs="Palatino Linotype"/>
        </w:rPr>
        <w:t xml:space="preserve">EMITIENDO </w:t>
      </w:r>
      <w:r w:rsidR="0049390F">
        <w:rPr>
          <w:rFonts w:ascii="Palatino Linotype" w:eastAsia="Palatino Linotype" w:hAnsi="Palatino Linotype" w:cs="Palatino Linotype"/>
        </w:rPr>
        <w:t xml:space="preserve">VOTO </w:t>
      </w:r>
      <w:r w:rsidR="00CA41B0">
        <w:rPr>
          <w:rFonts w:ascii="Palatino Linotype" w:eastAsia="Palatino Linotype" w:hAnsi="Palatino Linotype" w:cs="Palatino Linotype"/>
        </w:rPr>
        <w:t xml:space="preserve">PARTICULAR </w:t>
      </w:r>
      <w:r w:rsidR="0049390F">
        <w:rPr>
          <w:rFonts w:ascii="Palatino Linotype" w:eastAsia="Palatino Linotype" w:hAnsi="Palatino Linotype" w:cs="Palatino Linotype"/>
        </w:rPr>
        <w:t>CONCURRENTE)</w:t>
      </w:r>
      <w:r w:rsidR="004B0440">
        <w:rPr>
          <w:rFonts w:ascii="Palatino Linotype" w:eastAsia="Palatino Linotype" w:hAnsi="Palatino Linotype" w:cs="Palatino Linotype"/>
        </w:rPr>
        <w:t xml:space="preserve"> </w:t>
      </w:r>
      <w:r>
        <w:rPr>
          <w:rFonts w:ascii="Palatino Linotype" w:eastAsia="Palatino Linotype" w:hAnsi="Palatino Linotype" w:cs="Palatino Linotype"/>
        </w:rPr>
        <w:t xml:space="preserve">EN LA </w:t>
      </w:r>
      <w:r>
        <w:rPr>
          <w:rFonts w:ascii="Palatino Linotype" w:eastAsia="Palatino Linotype" w:hAnsi="Palatino Linotype" w:cs="Palatino Linotype"/>
          <w:b/>
        </w:rPr>
        <w:t xml:space="preserve">DÉCIMA </w:t>
      </w:r>
      <w:r>
        <w:rPr>
          <w:rFonts w:ascii="Palatino Linotype" w:eastAsia="Palatino Linotype" w:hAnsi="Palatino Linotype" w:cs="Palatino Linotype"/>
        </w:rPr>
        <w:t xml:space="preserve"> </w:t>
      </w:r>
      <w:r w:rsidR="0049390F">
        <w:rPr>
          <w:rFonts w:ascii="Palatino Linotype" w:eastAsia="Palatino Linotype" w:hAnsi="Palatino Linotype" w:cs="Palatino Linotype"/>
          <w:b/>
        </w:rPr>
        <w:t xml:space="preserve">TERCERA </w:t>
      </w:r>
      <w:r w:rsidRPr="00E50E6E">
        <w:rPr>
          <w:rFonts w:ascii="Palatino Linotype" w:eastAsia="Palatino Linotype" w:hAnsi="Palatino Linotype" w:cs="Palatino Linotype"/>
          <w:b/>
          <w:bCs/>
        </w:rPr>
        <w:t>SESIÓN ORDINARIA CELEBRADA EL</w:t>
      </w:r>
      <w:r>
        <w:rPr>
          <w:rFonts w:ascii="Palatino Linotype" w:eastAsia="Palatino Linotype" w:hAnsi="Palatino Linotype" w:cs="Palatino Linotype"/>
          <w:b/>
          <w:bCs/>
        </w:rPr>
        <w:t xml:space="preserve"> </w:t>
      </w:r>
      <w:r w:rsidR="0049390F">
        <w:rPr>
          <w:rFonts w:ascii="Palatino Linotype" w:eastAsia="Palatino Linotype" w:hAnsi="Palatino Linotype" w:cs="Palatino Linotype"/>
          <w:b/>
          <w:bCs/>
        </w:rPr>
        <w:t>NUEVE DE ABRIL</w:t>
      </w:r>
      <w:r>
        <w:rPr>
          <w:rFonts w:ascii="Palatino Linotype" w:eastAsia="Palatino Linotype" w:hAnsi="Palatino Linotype" w:cs="Palatino Linotype"/>
          <w:b/>
          <w:bCs/>
        </w:rPr>
        <w:t xml:space="preserve"> DE DOS MIL VEINTICINCO</w:t>
      </w:r>
      <w:r>
        <w:rPr>
          <w:rFonts w:ascii="Palatino Linotype" w:eastAsia="Palatino Linotype" w:hAnsi="Palatino Linotype" w:cs="Palatino Linotype"/>
          <w:b/>
        </w:rPr>
        <w:t xml:space="preserve">, </w:t>
      </w:r>
      <w:r>
        <w:rPr>
          <w:rFonts w:ascii="Palatino Linotype" w:eastAsia="Palatino Linotype" w:hAnsi="Palatino Linotype" w:cs="Palatino Linotype"/>
        </w:rPr>
        <w:t xml:space="preserve">ANTE EL SECRETARIO TÉCNICO DEL PLENO, ALEXIS TAPIA RAMÍREZ. </w:t>
      </w:r>
      <w:r w:rsidR="00CA41B0">
        <w:rPr>
          <w:rFonts w:ascii="Palatino Linotype" w:eastAsia="Palatino Linotype" w:hAnsi="Palatino Linotype" w:cs="Palatino Linotype"/>
        </w:rPr>
        <w:t>------------------------------------------------------------------------------------------------------------------------------------------------------------------------------------------------------------------------------------------------------------------------------------------------------------------------------------------------------------------------------------------------------------------------------------------------------------------------------------------------------------------------------------------------------------------------------------------------------------------------------------------------------------------------------------------------------------------------------------------------------------------------------------------------------------------------------------------------------------------------------------------------------------------------------------------------------------------------------------------------------------------------------------------------------------------------------------------------------------------------------------------------------------------------------------------------------------------------------------------------------------------------------------------------------------------------------------------------------------------------------------------------------------------------------------------------------------------------------------------------------------------------------------------------------------------------------------------------------------------</w:t>
      </w:r>
      <w:r>
        <w:rPr>
          <w:rFonts w:ascii="Palatino Linotype" w:eastAsia="Palatino Linotype" w:hAnsi="Palatino Linotype" w:cs="Palatino Linotype"/>
        </w:rPr>
        <w:t>----------------------------------------------------------</w:t>
      </w:r>
    </w:p>
    <w:p w14:paraId="5AD3D0CD" w14:textId="77777777" w:rsidR="001A4F65" w:rsidRDefault="001A4F65" w:rsidP="001A4F65">
      <w:pPr>
        <w:spacing w:line="360" w:lineRule="auto"/>
        <w:jc w:val="both"/>
        <w:rPr>
          <w:rFonts w:ascii="Palatino Linotype" w:eastAsia="Palatino Linotype" w:hAnsi="Palatino Linotype" w:cs="Palatino Linotype"/>
          <w:sz w:val="20"/>
          <w:szCs w:val="20"/>
        </w:rPr>
      </w:pPr>
      <w:r>
        <w:rPr>
          <w:rFonts w:ascii="Palatino Linotype" w:eastAsia="Palatino Linotype" w:hAnsi="Palatino Linotype" w:cs="Palatino Linotype"/>
          <w:sz w:val="20"/>
          <w:szCs w:val="20"/>
        </w:rPr>
        <w:t>JMV/CCR/NJMB</w:t>
      </w:r>
    </w:p>
    <w:p w14:paraId="0AFE2AB5" w14:textId="77777777" w:rsidR="001A4F65" w:rsidRDefault="001A4F65" w:rsidP="001A4F65">
      <w:pPr>
        <w:spacing w:line="360" w:lineRule="auto"/>
        <w:jc w:val="both"/>
        <w:rPr>
          <w:rFonts w:ascii="Palatino Linotype" w:eastAsia="Palatino Linotype" w:hAnsi="Palatino Linotype" w:cs="Palatino Linotype"/>
          <w:sz w:val="20"/>
          <w:szCs w:val="20"/>
        </w:rPr>
      </w:pPr>
    </w:p>
    <w:p w14:paraId="53B91A40" w14:textId="77777777" w:rsidR="001A4F65" w:rsidRDefault="001A4F65" w:rsidP="001A4F65">
      <w:pPr>
        <w:spacing w:line="360" w:lineRule="auto"/>
        <w:jc w:val="both"/>
        <w:rPr>
          <w:rFonts w:ascii="Palatino Linotype" w:eastAsia="Palatino Linotype" w:hAnsi="Palatino Linotype" w:cs="Palatino Linotype"/>
          <w:sz w:val="20"/>
          <w:szCs w:val="20"/>
        </w:rPr>
      </w:pPr>
    </w:p>
    <w:p w14:paraId="7F30E170" w14:textId="77777777" w:rsidR="001A4F65" w:rsidRDefault="001A4F65" w:rsidP="001A4F65">
      <w:pPr>
        <w:spacing w:line="360" w:lineRule="auto"/>
        <w:jc w:val="both"/>
        <w:rPr>
          <w:rFonts w:ascii="Palatino Linotype" w:eastAsia="Palatino Linotype" w:hAnsi="Palatino Linotype" w:cs="Palatino Linotype"/>
          <w:color w:val="000000"/>
          <w:sz w:val="20"/>
          <w:szCs w:val="20"/>
        </w:rPr>
      </w:pPr>
    </w:p>
    <w:p w14:paraId="11457DE0" w14:textId="77777777" w:rsidR="001A4F65" w:rsidRDefault="001A4F65" w:rsidP="001A4F65">
      <w:pPr>
        <w:spacing w:line="360" w:lineRule="auto"/>
        <w:jc w:val="both"/>
        <w:rPr>
          <w:rFonts w:ascii="Palatino Linotype" w:eastAsia="Palatino Linotype" w:hAnsi="Palatino Linotype" w:cs="Palatino Linotype"/>
          <w:color w:val="000000"/>
          <w:sz w:val="20"/>
          <w:szCs w:val="20"/>
        </w:rPr>
      </w:pPr>
    </w:p>
    <w:p w14:paraId="31FABB57" w14:textId="77777777" w:rsidR="001A4F65" w:rsidRDefault="001A4F65" w:rsidP="001A4F65">
      <w:pPr>
        <w:spacing w:line="360" w:lineRule="auto"/>
        <w:jc w:val="both"/>
        <w:rPr>
          <w:rFonts w:ascii="Palatino Linotype" w:eastAsia="Palatino Linotype" w:hAnsi="Palatino Linotype" w:cs="Palatino Linotype"/>
          <w:color w:val="000000"/>
          <w:sz w:val="20"/>
          <w:szCs w:val="20"/>
        </w:rPr>
      </w:pPr>
    </w:p>
    <w:p w14:paraId="7AF1BE96" w14:textId="77777777" w:rsidR="001A4F65" w:rsidRDefault="001A4F65" w:rsidP="001A4F65">
      <w:pPr>
        <w:spacing w:line="360" w:lineRule="auto"/>
        <w:jc w:val="both"/>
        <w:rPr>
          <w:rFonts w:ascii="Palatino Linotype" w:eastAsia="Palatino Linotype" w:hAnsi="Palatino Linotype" w:cs="Palatino Linotype"/>
          <w:color w:val="000000"/>
          <w:sz w:val="20"/>
          <w:szCs w:val="20"/>
        </w:rPr>
      </w:pPr>
    </w:p>
    <w:p w14:paraId="2729735C" w14:textId="77777777" w:rsidR="001A4F65" w:rsidRDefault="001A4F65" w:rsidP="001A4F65">
      <w:pPr>
        <w:spacing w:line="360" w:lineRule="auto"/>
        <w:jc w:val="both"/>
        <w:rPr>
          <w:rFonts w:ascii="Palatino Linotype" w:eastAsia="Palatino Linotype" w:hAnsi="Palatino Linotype" w:cs="Palatino Linotype"/>
          <w:color w:val="000000"/>
          <w:sz w:val="20"/>
          <w:szCs w:val="20"/>
        </w:rPr>
      </w:pPr>
    </w:p>
    <w:p w14:paraId="7C3B556D" w14:textId="77777777" w:rsidR="001A4F65" w:rsidRDefault="001A4F65" w:rsidP="001A4F65">
      <w:pPr>
        <w:spacing w:line="360" w:lineRule="auto"/>
        <w:jc w:val="both"/>
        <w:rPr>
          <w:rFonts w:ascii="Palatino Linotype" w:eastAsia="Palatino Linotype" w:hAnsi="Palatino Linotype" w:cs="Palatino Linotype"/>
          <w:color w:val="000000"/>
          <w:sz w:val="20"/>
          <w:szCs w:val="20"/>
        </w:rPr>
      </w:pPr>
    </w:p>
    <w:p w14:paraId="0B4941F8" w14:textId="77777777" w:rsidR="001A4F65" w:rsidRDefault="001A4F65" w:rsidP="001A4F65">
      <w:pPr>
        <w:spacing w:line="360" w:lineRule="auto"/>
        <w:jc w:val="both"/>
        <w:rPr>
          <w:rFonts w:ascii="Palatino Linotype" w:eastAsia="Palatino Linotype" w:hAnsi="Palatino Linotype" w:cs="Palatino Linotype"/>
          <w:color w:val="000000"/>
          <w:sz w:val="20"/>
          <w:szCs w:val="20"/>
        </w:rPr>
      </w:pPr>
    </w:p>
    <w:p w14:paraId="147474E1" w14:textId="77777777" w:rsidR="001A4F65" w:rsidRDefault="001A4F65" w:rsidP="001A4F65">
      <w:pPr>
        <w:spacing w:line="360" w:lineRule="auto"/>
        <w:jc w:val="both"/>
        <w:rPr>
          <w:rFonts w:ascii="Palatino Linotype" w:eastAsia="Palatino Linotype" w:hAnsi="Palatino Linotype" w:cs="Palatino Linotype"/>
          <w:color w:val="000000"/>
          <w:sz w:val="20"/>
          <w:szCs w:val="20"/>
        </w:rPr>
      </w:pPr>
    </w:p>
    <w:p w14:paraId="52B48E8A" w14:textId="77777777" w:rsidR="001A4F65" w:rsidRDefault="001A4F65" w:rsidP="001A4F65">
      <w:pPr>
        <w:spacing w:line="360" w:lineRule="auto"/>
        <w:jc w:val="both"/>
        <w:rPr>
          <w:rFonts w:ascii="Palatino Linotype" w:eastAsia="Palatino Linotype" w:hAnsi="Palatino Linotype" w:cs="Palatino Linotype"/>
          <w:color w:val="000000"/>
          <w:sz w:val="20"/>
          <w:szCs w:val="20"/>
        </w:rPr>
      </w:pPr>
    </w:p>
    <w:p w14:paraId="73CD23D0" w14:textId="77777777" w:rsidR="001A4F65" w:rsidRDefault="001A4F65" w:rsidP="001A4F65">
      <w:pPr>
        <w:spacing w:line="360" w:lineRule="auto"/>
        <w:jc w:val="both"/>
        <w:rPr>
          <w:rFonts w:ascii="Palatino Linotype" w:eastAsia="Palatino Linotype" w:hAnsi="Palatino Linotype" w:cs="Palatino Linotype"/>
        </w:rPr>
      </w:pPr>
    </w:p>
    <w:p w14:paraId="1FE3E10B" w14:textId="77777777" w:rsidR="001A4F65" w:rsidRDefault="001A4F65" w:rsidP="001A4F65">
      <w:pPr>
        <w:spacing w:line="360" w:lineRule="auto"/>
        <w:jc w:val="both"/>
        <w:rPr>
          <w:rFonts w:ascii="Palatino Linotype" w:eastAsia="Palatino Linotype" w:hAnsi="Palatino Linotype" w:cs="Palatino Linotype"/>
        </w:rPr>
      </w:pPr>
    </w:p>
    <w:p w14:paraId="043D2DDA" w14:textId="77777777" w:rsidR="001A4F65" w:rsidRDefault="001A4F65" w:rsidP="001A4F65">
      <w:pPr>
        <w:spacing w:line="360" w:lineRule="auto"/>
        <w:jc w:val="both"/>
        <w:rPr>
          <w:rFonts w:ascii="Palatino Linotype" w:eastAsia="Palatino Linotype" w:hAnsi="Palatino Linotype" w:cs="Palatino Linotype"/>
        </w:rPr>
      </w:pPr>
    </w:p>
    <w:p w14:paraId="3A14C948" w14:textId="77777777" w:rsidR="001A4F65" w:rsidRDefault="001A4F65" w:rsidP="001A4F65">
      <w:pPr>
        <w:spacing w:line="360" w:lineRule="auto"/>
        <w:jc w:val="both"/>
        <w:rPr>
          <w:rFonts w:ascii="Palatino Linotype" w:eastAsia="Palatino Linotype" w:hAnsi="Palatino Linotype" w:cs="Palatino Linotype"/>
        </w:rPr>
      </w:pPr>
    </w:p>
    <w:p w14:paraId="4A7A94C4" w14:textId="77777777" w:rsidR="001A4F65" w:rsidRDefault="001A4F65" w:rsidP="001A4F65"/>
    <w:p w14:paraId="5BA9F33A" w14:textId="77777777" w:rsidR="001A4F65" w:rsidRDefault="001A4F65" w:rsidP="001A4F65"/>
    <w:p w14:paraId="21E4D19D" w14:textId="77777777" w:rsidR="001A4F65" w:rsidRDefault="001A4F65" w:rsidP="001A4F65"/>
    <w:p w14:paraId="624A29D5" w14:textId="77777777" w:rsidR="001A4F65" w:rsidRDefault="001A4F65" w:rsidP="001A4F65"/>
    <w:p w14:paraId="5233BA40" w14:textId="77777777" w:rsidR="001A4F65" w:rsidRDefault="001A4F65" w:rsidP="001A4F65">
      <w:pPr>
        <w:spacing w:line="360" w:lineRule="auto"/>
        <w:ind w:right="49"/>
        <w:jc w:val="both"/>
        <w:rPr>
          <w:rFonts w:ascii="Palatino Linotype" w:eastAsia="Palatino Linotype" w:hAnsi="Palatino Linotype" w:cs="Palatino Linotype"/>
        </w:rPr>
      </w:pPr>
    </w:p>
    <w:p w14:paraId="257D1C58" w14:textId="77777777" w:rsidR="001A4F65" w:rsidRDefault="001A4F65" w:rsidP="001A4F65"/>
    <w:sectPr w:rsidR="001A4F65" w:rsidSect="001A4F65">
      <w:headerReference w:type="even" r:id="rId11"/>
      <w:headerReference w:type="default" r:id="rId12"/>
      <w:footerReference w:type="default" r:id="rId13"/>
      <w:headerReference w:type="first" r:id="rId14"/>
      <w:footerReference w:type="first" r:id="rId15"/>
      <w:pgSz w:w="12240" w:h="15840"/>
      <w:pgMar w:top="2977" w:right="1134" w:bottom="1191" w:left="1752"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378EFB" w14:textId="77777777" w:rsidR="00365AFD" w:rsidRDefault="00365AFD" w:rsidP="001A4F65">
      <w:r>
        <w:separator/>
      </w:r>
    </w:p>
  </w:endnote>
  <w:endnote w:type="continuationSeparator" w:id="0">
    <w:p w14:paraId="7C78D13C" w14:textId="77777777" w:rsidR="00365AFD" w:rsidRDefault="00365AFD" w:rsidP="001A4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8A1E1A" w14:textId="6DDC3C73" w:rsidR="00CB0FF8" w:rsidRDefault="009B0769">
    <w:pPr>
      <w:pBdr>
        <w:top w:val="nil"/>
        <w:left w:val="nil"/>
        <w:bottom w:val="nil"/>
        <w:right w:val="nil"/>
        <w:between w:val="nil"/>
      </w:pBdr>
      <w:tabs>
        <w:tab w:val="center" w:pos="4419"/>
        <w:tab w:val="right" w:pos="8838"/>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BE6F57">
      <w:rPr>
        <w:rFonts w:ascii="Palatino Linotype" w:eastAsia="Palatino Linotype" w:hAnsi="Palatino Linotype" w:cs="Palatino Linotype"/>
        <w:b/>
        <w:noProof/>
        <w:color w:val="000000"/>
        <w:sz w:val="20"/>
        <w:szCs w:val="20"/>
      </w:rPr>
      <w:t>52</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BE6F57">
      <w:rPr>
        <w:rFonts w:ascii="Palatino Linotype" w:eastAsia="Palatino Linotype" w:hAnsi="Palatino Linotype" w:cs="Palatino Linotype"/>
        <w:b/>
        <w:noProof/>
        <w:color w:val="000000"/>
        <w:sz w:val="20"/>
        <w:szCs w:val="20"/>
      </w:rPr>
      <w:t>52</w:t>
    </w:r>
    <w:r>
      <w:rPr>
        <w:rFonts w:ascii="Palatino Linotype" w:eastAsia="Palatino Linotype" w:hAnsi="Palatino Linotype" w:cs="Palatino Linotype"/>
        <w:b/>
        <w:color w:val="000000"/>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3BA477" w14:textId="68B5FE36" w:rsidR="00CB0FF8" w:rsidRDefault="009B0769">
    <w:pPr>
      <w:pBdr>
        <w:top w:val="nil"/>
        <w:left w:val="nil"/>
        <w:bottom w:val="nil"/>
        <w:right w:val="nil"/>
        <w:between w:val="nil"/>
      </w:pBdr>
      <w:tabs>
        <w:tab w:val="center" w:pos="4419"/>
        <w:tab w:val="right" w:pos="8838"/>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BE6F57">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BE6F57">
      <w:rPr>
        <w:rFonts w:ascii="Palatino Linotype" w:eastAsia="Palatino Linotype" w:hAnsi="Palatino Linotype" w:cs="Palatino Linotype"/>
        <w:b/>
        <w:noProof/>
        <w:color w:val="000000"/>
        <w:sz w:val="20"/>
        <w:szCs w:val="20"/>
      </w:rPr>
      <w:t>52</w:t>
    </w:r>
    <w:r>
      <w:rPr>
        <w:rFonts w:ascii="Palatino Linotype" w:eastAsia="Palatino Linotype" w:hAnsi="Palatino Linotype" w:cs="Palatino Linotype"/>
        <w:b/>
        <w:color w:val="000000"/>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2D6931" w14:textId="77777777" w:rsidR="00365AFD" w:rsidRDefault="00365AFD" w:rsidP="001A4F65">
      <w:r>
        <w:separator/>
      </w:r>
    </w:p>
  </w:footnote>
  <w:footnote w:type="continuationSeparator" w:id="0">
    <w:p w14:paraId="2CBF22F1" w14:textId="77777777" w:rsidR="00365AFD" w:rsidRDefault="00365AFD" w:rsidP="001A4F65">
      <w:r>
        <w:continuationSeparator/>
      </w:r>
    </w:p>
  </w:footnote>
  <w:footnote w:id="1">
    <w:p w14:paraId="50077EDE" w14:textId="77777777" w:rsidR="001A4F65" w:rsidRPr="0031280C" w:rsidRDefault="001A4F65" w:rsidP="001A4F65">
      <w:pPr>
        <w:rPr>
          <w:rFonts w:cs="Palatino Linotype"/>
          <w:color w:val="000000"/>
          <w:sz w:val="20"/>
          <w:szCs w:val="20"/>
        </w:rPr>
      </w:pPr>
      <w:r w:rsidRPr="0031280C">
        <w:rPr>
          <w:sz w:val="20"/>
          <w:szCs w:val="20"/>
          <w:vertAlign w:val="superscript"/>
        </w:rPr>
        <w:footnoteRef/>
      </w:r>
      <w:r w:rsidRPr="0031280C">
        <w:rPr>
          <w:color w:val="000000"/>
          <w:sz w:val="20"/>
          <w:szCs w:val="20"/>
        </w:rPr>
        <w:t xml:space="preserve"> </w:t>
      </w:r>
      <w:r w:rsidRPr="0031280C">
        <w:rPr>
          <w:rFonts w:cs="Palatino Linotype"/>
          <w:color w:val="000000"/>
          <w:sz w:val="20"/>
          <w:szCs w:val="20"/>
        </w:rPr>
        <w:t>Estudio oficioso o a petición de parte que no son incompatibles con el derecho de acceso a la justicia, ya que éste no se coarta por regular causas de improcedencia y sobreseimiento con tales fines, sirviendo de sustento la tesis aislada XVI.1o.A.T.2 K visible en el Semanario Judicial de la Federación bajo el número de registro 2000365 cuyo rubro y texto estipula lo siguiente:</w:t>
      </w:r>
    </w:p>
    <w:p w14:paraId="4A9AEDC7" w14:textId="77777777" w:rsidR="001A4F65" w:rsidRPr="0031280C" w:rsidRDefault="001A4F65" w:rsidP="001A4F65">
      <w:pPr>
        <w:rPr>
          <w:rFonts w:cs="Palatino Linotype"/>
          <w:color w:val="000000"/>
          <w:sz w:val="20"/>
          <w:szCs w:val="20"/>
        </w:rPr>
      </w:pPr>
    </w:p>
    <w:p w14:paraId="34A0D10C" w14:textId="77777777" w:rsidR="001A4F65" w:rsidRPr="0031280C" w:rsidRDefault="001A4F65" w:rsidP="001A4F65">
      <w:pPr>
        <w:rPr>
          <w:rFonts w:cs="Palatino Linotype"/>
          <w:b/>
          <w:i/>
          <w:sz w:val="20"/>
          <w:szCs w:val="20"/>
        </w:rPr>
      </w:pPr>
      <w:r w:rsidRPr="0031280C">
        <w:rPr>
          <w:rFonts w:cs="Palatino Linotype"/>
          <w:b/>
          <w:i/>
          <w:sz w:val="20"/>
          <w:szCs w:val="20"/>
        </w:rPr>
        <w:t xml:space="preserve">IMPROCEDENCIA Y SOBRESEIMIENTO EN EL JUICIO DE AMPARO. LAS CAUSAS PREVISTAS EN LOS ARTÍCULOS 73 Y 74 DE LA LEY DE LA MATERIA, RESPECTIVAMENTE, NO SON INCOMPATIBLES CON EL ARTÍCULO 25.1 DE LA CONVENCIÓN AMERICANA SOBRE DERECHOS HUMANOS. </w:t>
      </w:r>
    </w:p>
    <w:p w14:paraId="18808677" w14:textId="77777777" w:rsidR="001A4F65" w:rsidRPr="00783A97" w:rsidRDefault="001A4F65" w:rsidP="001A4F65">
      <w:pPr>
        <w:jc w:val="both"/>
        <w:rPr>
          <w:rFonts w:cs="Palatino Linotype"/>
          <w:i/>
          <w:sz w:val="20"/>
          <w:szCs w:val="20"/>
        </w:rPr>
      </w:pPr>
      <w:r w:rsidRPr="0031280C">
        <w:rPr>
          <w:rFonts w:cs="Palatino Linotype"/>
          <w:i/>
          <w:sz w:val="20"/>
          <w:szCs w:val="20"/>
        </w:rPr>
        <w:t>Del examen de compatibilidad de los artículos</w:t>
      </w:r>
      <w:r>
        <w:rPr>
          <w:rFonts w:cs="Palatino Linotype"/>
          <w:i/>
          <w:sz w:val="20"/>
          <w:szCs w:val="20"/>
        </w:rPr>
        <w:t xml:space="preserve"> </w:t>
      </w:r>
      <w:hyperlink r:id="rId1">
        <w:r w:rsidRPr="0031280C">
          <w:rPr>
            <w:rFonts w:cs="Palatino Linotype"/>
            <w:i/>
            <w:color w:val="000000"/>
            <w:sz w:val="20"/>
            <w:szCs w:val="20"/>
            <w:u w:val="single"/>
          </w:rPr>
          <w:t>73 y 74 de la Ley de Amparo</w:t>
        </w:r>
      </w:hyperlink>
      <w:r>
        <w:rPr>
          <w:rFonts w:cs="Palatino Linotype"/>
          <w:i/>
          <w:sz w:val="20"/>
          <w:szCs w:val="20"/>
        </w:rPr>
        <w:t xml:space="preserve"> </w:t>
      </w:r>
      <w:r w:rsidRPr="0031280C">
        <w:rPr>
          <w:rFonts w:cs="Palatino Linotype"/>
          <w:i/>
          <w:sz w:val="20"/>
          <w:szCs w:val="20"/>
        </w:rPr>
        <w:t>con el artículo</w:t>
      </w:r>
      <w:r>
        <w:rPr>
          <w:rFonts w:cs="Palatino Linotype"/>
          <w:i/>
          <w:sz w:val="20"/>
          <w:szCs w:val="20"/>
        </w:rPr>
        <w:t xml:space="preserve"> </w:t>
      </w:r>
      <w:hyperlink r:id="rId2">
        <w:r w:rsidRPr="0031280C">
          <w:rPr>
            <w:rFonts w:cs="Palatino Linotype"/>
            <w:i/>
            <w:color w:val="000000"/>
            <w:sz w:val="20"/>
            <w:szCs w:val="20"/>
            <w:u w:val="single"/>
          </w:rPr>
          <w:t>25.1 de la Convención Americana sobre Derechos Humanos</w:t>
        </w:r>
      </w:hyperlink>
      <w:r>
        <w:rPr>
          <w:rFonts w:cs="Palatino Linotype"/>
          <w:i/>
          <w:sz w:val="20"/>
          <w:szCs w:val="20"/>
        </w:rPr>
        <w:t xml:space="preserve"> </w:t>
      </w:r>
      <w:r w:rsidRPr="0031280C">
        <w:rPr>
          <w:rFonts w:cs="Palatino Linotype"/>
          <w:b/>
          <w:i/>
          <w:sz w:val="20"/>
          <w:szCs w:val="20"/>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sidRPr="0031280C">
        <w:rPr>
          <w:rFonts w:cs="Palatino Linotype"/>
          <w:i/>
          <w:sz w:val="20"/>
          <w:szCs w:val="20"/>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w:t>
      </w:r>
      <w:proofErr w:type="spellStart"/>
      <w:r w:rsidRPr="0031280C">
        <w:rPr>
          <w:rFonts w:cs="Palatino Linotype"/>
          <w:i/>
          <w:sz w:val="20"/>
          <w:szCs w:val="20"/>
        </w:rPr>
        <w:t>concesoria</w:t>
      </w:r>
      <w:proofErr w:type="spellEnd"/>
      <w:r w:rsidRPr="0031280C">
        <w:rPr>
          <w:rFonts w:cs="Palatino Linotype"/>
          <w:i/>
          <w:sz w:val="20"/>
          <w:szCs w:val="20"/>
        </w:rPr>
        <w:t xml:space="preserve">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31D944" w14:textId="77777777" w:rsidR="00CB0FF8" w:rsidRDefault="00BE6F57">
    <w:pPr>
      <w:pBdr>
        <w:top w:val="nil"/>
        <w:left w:val="nil"/>
        <w:bottom w:val="nil"/>
        <w:right w:val="nil"/>
        <w:between w:val="nil"/>
      </w:pBdr>
      <w:tabs>
        <w:tab w:val="center" w:pos="4419"/>
        <w:tab w:val="right" w:pos="8838"/>
      </w:tabs>
      <w:jc w:val="both"/>
      <w:rPr>
        <w:color w:val="000000"/>
      </w:rPr>
    </w:pPr>
    <w:r>
      <w:rPr>
        <w:color w:val="000000"/>
      </w:rPr>
      <w:pict w14:anchorId="0D8357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style="position:absolute;left:0;text-align:left;margin-left:0;margin-top:0;width:609.4pt;height:793.75pt;z-index:-251655168;mso-position-horizontal:center;mso-position-horizontal-relative:margin;mso-position-vertical:center;mso-position-vertical-relative:margin">
          <v:imagedata r:id="rId1" o:title="image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F39B9C" w14:textId="77777777" w:rsidR="00CB0FF8" w:rsidRDefault="00CB0FF8">
    <w:pPr>
      <w:widowControl w:val="0"/>
      <w:pBdr>
        <w:top w:val="nil"/>
        <w:left w:val="nil"/>
        <w:bottom w:val="nil"/>
        <w:right w:val="nil"/>
        <w:between w:val="nil"/>
      </w:pBdr>
      <w:spacing w:line="276" w:lineRule="auto"/>
      <w:rPr>
        <w:color w:val="000000"/>
      </w:rPr>
    </w:pPr>
  </w:p>
  <w:tbl>
    <w:tblPr>
      <w:tblStyle w:val="2"/>
      <w:tblW w:w="9498" w:type="dxa"/>
      <w:tblInd w:w="0" w:type="dxa"/>
      <w:tblLayout w:type="fixed"/>
      <w:tblLook w:val="0400" w:firstRow="0" w:lastRow="0" w:firstColumn="0" w:lastColumn="0" w:noHBand="0" w:noVBand="1"/>
    </w:tblPr>
    <w:tblGrid>
      <w:gridCol w:w="5103"/>
      <w:gridCol w:w="4395"/>
    </w:tblGrid>
    <w:tr w:rsidR="00034E1F" w14:paraId="74BBA244" w14:textId="77777777">
      <w:trPr>
        <w:trHeight w:val="227"/>
      </w:trPr>
      <w:tc>
        <w:tcPr>
          <w:tcW w:w="5103" w:type="dxa"/>
        </w:tcPr>
        <w:p w14:paraId="04A55EA8" w14:textId="77777777" w:rsidR="00CB0FF8" w:rsidRDefault="009B0769">
          <w:pPr>
            <w:spacing w:after="120"/>
            <w:ind w:right="69"/>
            <w:jc w:val="right"/>
            <w:rPr>
              <w:rFonts w:ascii="Palatino Linotype" w:eastAsia="Palatino Linotype" w:hAnsi="Palatino Linotype" w:cs="Palatino Linotype"/>
              <w:b/>
            </w:rPr>
          </w:pPr>
          <w:r>
            <w:rPr>
              <w:rFonts w:ascii="Palatino Linotype" w:eastAsia="Palatino Linotype" w:hAnsi="Palatino Linotype" w:cs="Palatino Linotype"/>
              <w:b/>
            </w:rPr>
            <w:t>Recurso de Revisión:</w:t>
          </w:r>
        </w:p>
      </w:tc>
      <w:tc>
        <w:tcPr>
          <w:tcW w:w="4395" w:type="dxa"/>
        </w:tcPr>
        <w:p w14:paraId="572D023C" w14:textId="02752409" w:rsidR="00CB0FF8" w:rsidRDefault="009B0769">
          <w:pPr>
            <w:spacing w:after="120"/>
            <w:ind w:right="71"/>
            <w:jc w:val="right"/>
            <w:rPr>
              <w:rFonts w:ascii="Palatino Linotype" w:eastAsia="Palatino Linotype" w:hAnsi="Palatino Linotype" w:cs="Palatino Linotype"/>
              <w:b/>
            </w:rPr>
          </w:pPr>
          <w:r>
            <w:rPr>
              <w:rFonts w:ascii="Palatino Linotype" w:eastAsia="Palatino Linotype" w:hAnsi="Palatino Linotype" w:cs="Palatino Linotype"/>
              <w:b/>
            </w:rPr>
            <w:t>01</w:t>
          </w:r>
          <w:r w:rsidR="001A4F65">
            <w:rPr>
              <w:rFonts w:ascii="Palatino Linotype" w:eastAsia="Palatino Linotype" w:hAnsi="Palatino Linotype" w:cs="Palatino Linotype"/>
              <w:b/>
            </w:rPr>
            <w:t>995</w:t>
          </w:r>
          <w:r>
            <w:rPr>
              <w:rFonts w:ascii="Palatino Linotype" w:eastAsia="Palatino Linotype" w:hAnsi="Palatino Linotype" w:cs="Palatino Linotype"/>
              <w:b/>
            </w:rPr>
            <w:t>/INFOEM/IP/RR/2025</w:t>
          </w:r>
        </w:p>
      </w:tc>
    </w:tr>
    <w:tr w:rsidR="00034E1F" w14:paraId="3124F8CD" w14:textId="77777777">
      <w:trPr>
        <w:trHeight w:val="242"/>
      </w:trPr>
      <w:tc>
        <w:tcPr>
          <w:tcW w:w="5103" w:type="dxa"/>
        </w:tcPr>
        <w:p w14:paraId="5D4D0F2D" w14:textId="77777777" w:rsidR="00CB0FF8" w:rsidRDefault="009B0769">
          <w:pPr>
            <w:spacing w:after="120"/>
            <w:ind w:right="69"/>
            <w:jc w:val="right"/>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4395" w:type="dxa"/>
        </w:tcPr>
        <w:p w14:paraId="704C1094" w14:textId="5D704C14" w:rsidR="00CB0FF8" w:rsidRDefault="001A4F65">
          <w:pPr>
            <w:spacing w:after="120"/>
            <w:ind w:left="-81" w:right="71"/>
            <w:jc w:val="right"/>
            <w:rPr>
              <w:rFonts w:ascii="Palatino Linotype" w:eastAsia="Palatino Linotype" w:hAnsi="Palatino Linotype" w:cs="Palatino Linotype"/>
            </w:rPr>
          </w:pPr>
          <w:r w:rsidRPr="001A4F65">
            <w:rPr>
              <w:rFonts w:ascii="Palatino Linotype" w:hAnsi="Palatino Linotype"/>
              <w:b/>
              <w:bCs/>
              <w:color w:val="000000"/>
            </w:rPr>
            <w:t>Ayuntamiento de la Paz</w:t>
          </w:r>
        </w:p>
      </w:tc>
    </w:tr>
    <w:tr w:rsidR="00034E1F" w14:paraId="59FAC1DA" w14:textId="77777777">
      <w:trPr>
        <w:trHeight w:val="342"/>
      </w:trPr>
      <w:tc>
        <w:tcPr>
          <w:tcW w:w="5103" w:type="dxa"/>
        </w:tcPr>
        <w:p w14:paraId="72698DD6" w14:textId="77777777" w:rsidR="00CB0FF8" w:rsidRDefault="009B0769">
          <w:pPr>
            <w:tabs>
              <w:tab w:val="left" w:pos="4892"/>
            </w:tabs>
            <w:spacing w:after="120"/>
            <w:ind w:right="69"/>
            <w:jc w:val="right"/>
            <w:rPr>
              <w:rFonts w:ascii="Palatino Linotype" w:eastAsia="Palatino Linotype" w:hAnsi="Palatino Linotype" w:cs="Palatino Linotype"/>
              <w:b/>
            </w:rPr>
          </w:pPr>
          <w:r>
            <w:rPr>
              <w:rFonts w:ascii="Palatino Linotype" w:eastAsia="Palatino Linotype" w:hAnsi="Palatino Linotype" w:cs="Palatino Linotype"/>
              <w:b/>
            </w:rPr>
            <w:t>Comisionado Ponente:</w:t>
          </w:r>
        </w:p>
      </w:tc>
      <w:tc>
        <w:tcPr>
          <w:tcW w:w="4395" w:type="dxa"/>
        </w:tcPr>
        <w:p w14:paraId="567341E1" w14:textId="77777777" w:rsidR="00CB0FF8" w:rsidRDefault="009B0769">
          <w:pPr>
            <w:spacing w:after="120"/>
            <w:ind w:left="-486" w:right="71" w:firstLine="567"/>
            <w:jc w:val="right"/>
            <w:rPr>
              <w:rFonts w:ascii="Palatino Linotype" w:eastAsia="Palatino Linotype" w:hAnsi="Palatino Linotype" w:cs="Palatino Linotype"/>
            </w:rPr>
          </w:pPr>
          <w:r>
            <w:rPr>
              <w:rFonts w:ascii="Palatino Linotype" w:eastAsia="Palatino Linotype" w:hAnsi="Palatino Linotype" w:cs="Palatino Linotype"/>
            </w:rPr>
            <w:t>José Martínez Vilchis</w:t>
          </w:r>
        </w:p>
        <w:p w14:paraId="1EB32763" w14:textId="77777777" w:rsidR="00CB0FF8" w:rsidRDefault="00CB0FF8">
          <w:pPr>
            <w:spacing w:after="120"/>
            <w:ind w:left="-486" w:right="71" w:firstLine="567"/>
            <w:jc w:val="right"/>
            <w:rPr>
              <w:rFonts w:ascii="Palatino Linotype" w:eastAsia="Palatino Linotype" w:hAnsi="Palatino Linotype" w:cs="Palatino Linotype"/>
            </w:rPr>
          </w:pPr>
        </w:p>
      </w:tc>
    </w:tr>
  </w:tbl>
  <w:p w14:paraId="03EBAD94" w14:textId="77777777" w:rsidR="00CB0FF8" w:rsidRDefault="00BE6F57">
    <w:pPr>
      <w:pBdr>
        <w:top w:val="nil"/>
        <w:left w:val="nil"/>
        <w:bottom w:val="nil"/>
        <w:right w:val="nil"/>
        <w:between w:val="nil"/>
      </w:pBdr>
      <w:tabs>
        <w:tab w:val="center" w:pos="4419"/>
        <w:tab w:val="right" w:pos="8838"/>
      </w:tabs>
      <w:jc w:val="both"/>
      <w:rPr>
        <w:color w:val="000000"/>
        <w:sz w:val="2"/>
        <w:szCs w:val="2"/>
      </w:rPr>
    </w:pPr>
    <w:r>
      <w:rPr>
        <w:color w:val="000000"/>
      </w:rPr>
      <w:pict w14:anchorId="02B8F9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style="position:absolute;left:0;text-align:left;margin-left:-81.55pt;margin-top:-142.95pt;width:609.4pt;height:793.75pt;z-index:-251656192;mso-position-horizontal-relative:margin;mso-position-vertical-relative:margin">
          <v:imagedata r:id="rId1" o:title="image2"/>
          <w10:wrap anchorx="margin" anchory="margin"/>
        </v:shape>
      </w:pict>
    </w:r>
    <w:r w:rsidR="009B0769">
      <w:rPr>
        <w:color w:val="000000"/>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46C5DF" w14:textId="77777777" w:rsidR="00CB0FF8" w:rsidRDefault="00CB0FF8">
    <w:pPr>
      <w:widowControl w:val="0"/>
      <w:pBdr>
        <w:top w:val="nil"/>
        <w:left w:val="nil"/>
        <w:bottom w:val="nil"/>
        <w:right w:val="nil"/>
        <w:between w:val="nil"/>
      </w:pBdr>
      <w:spacing w:line="276" w:lineRule="auto"/>
      <w:rPr>
        <w:color w:val="000000"/>
        <w:sz w:val="2"/>
        <w:szCs w:val="2"/>
      </w:rPr>
    </w:pPr>
  </w:p>
  <w:tbl>
    <w:tblPr>
      <w:tblStyle w:val="1"/>
      <w:tblW w:w="9498" w:type="dxa"/>
      <w:tblInd w:w="0" w:type="dxa"/>
      <w:tblLayout w:type="fixed"/>
      <w:tblLook w:val="0400" w:firstRow="0" w:lastRow="0" w:firstColumn="0" w:lastColumn="0" w:noHBand="0" w:noVBand="1"/>
    </w:tblPr>
    <w:tblGrid>
      <w:gridCol w:w="5103"/>
      <w:gridCol w:w="4395"/>
    </w:tblGrid>
    <w:tr w:rsidR="00034E1F" w14:paraId="6E79AF31" w14:textId="77777777">
      <w:trPr>
        <w:trHeight w:val="227"/>
      </w:trPr>
      <w:tc>
        <w:tcPr>
          <w:tcW w:w="5103" w:type="dxa"/>
        </w:tcPr>
        <w:p w14:paraId="0221D302" w14:textId="77777777" w:rsidR="00CB0FF8" w:rsidRDefault="009B0769">
          <w:pPr>
            <w:spacing w:after="120"/>
            <w:ind w:right="68"/>
            <w:jc w:val="right"/>
            <w:rPr>
              <w:rFonts w:ascii="Palatino Linotype" w:eastAsia="Palatino Linotype" w:hAnsi="Palatino Linotype" w:cs="Palatino Linotype"/>
              <w:b/>
            </w:rPr>
          </w:pPr>
          <w:r>
            <w:rPr>
              <w:rFonts w:ascii="Palatino Linotype" w:eastAsia="Palatino Linotype" w:hAnsi="Palatino Linotype" w:cs="Palatino Linotype"/>
              <w:b/>
            </w:rPr>
            <w:t>Recurso de Revisión:</w:t>
          </w:r>
        </w:p>
      </w:tc>
      <w:tc>
        <w:tcPr>
          <w:tcW w:w="4395" w:type="dxa"/>
        </w:tcPr>
        <w:p w14:paraId="66A8A2C8" w14:textId="1578A3AE" w:rsidR="00CB0FF8" w:rsidRDefault="009B0769">
          <w:pPr>
            <w:spacing w:after="120"/>
            <w:ind w:left="-486" w:right="68" w:firstLine="558"/>
            <w:jc w:val="right"/>
            <w:rPr>
              <w:rFonts w:ascii="Palatino Linotype" w:eastAsia="Palatino Linotype" w:hAnsi="Palatino Linotype" w:cs="Palatino Linotype"/>
              <w:b/>
            </w:rPr>
          </w:pPr>
          <w:r>
            <w:rPr>
              <w:rFonts w:ascii="Palatino Linotype" w:eastAsia="Palatino Linotype" w:hAnsi="Palatino Linotype" w:cs="Palatino Linotype"/>
              <w:b/>
            </w:rPr>
            <w:t>0</w:t>
          </w:r>
          <w:r w:rsidR="001A4F65">
            <w:rPr>
              <w:rFonts w:ascii="Palatino Linotype" w:eastAsia="Palatino Linotype" w:hAnsi="Palatino Linotype" w:cs="Palatino Linotype"/>
              <w:b/>
            </w:rPr>
            <w:t>1995</w:t>
          </w:r>
          <w:r>
            <w:rPr>
              <w:rFonts w:ascii="Palatino Linotype" w:eastAsia="Palatino Linotype" w:hAnsi="Palatino Linotype" w:cs="Palatino Linotype"/>
              <w:b/>
            </w:rPr>
            <w:t>/INFOEM/IP/RR/2025</w:t>
          </w:r>
        </w:p>
      </w:tc>
    </w:tr>
    <w:tr w:rsidR="00034E1F" w14:paraId="632CF5AF" w14:textId="77777777">
      <w:trPr>
        <w:trHeight w:val="227"/>
      </w:trPr>
      <w:tc>
        <w:tcPr>
          <w:tcW w:w="5103" w:type="dxa"/>
        </w:tcPr>
        <w:p w14:paraId="4D42E828" w14:textId="77777777" w:rsidR="00CB0FF8" w:rsidRDefault="009B0769">
          <w:pPr>
            <w:spacing w:after="120"/>
            <w:ind w:right="68"/>
            <w:jc w:val="right"/>
            <w:rPr>
              <w:rFonts w:ascii="Palatino Linotype" w:eastAsia="Palatino Linotype" w:hAnsi="Palatino Linotype" w:cs="Palatino Linotype"/>
              <w:b/>
            </w:rPr>
          </w:pPr>
          <w:r>
            <w:rPr>
              <w:rFonts w:ascii="Palatino Linotype" w:eastAsia="Palatino Linotype" w:hAnsi="Palatino Linotype" w:cs="Palatino Linotype"/>
              <w:b/>
            </w:rPr>
            <w:t xml:space="preserve">Recurrente:     </w:t>
          </w:r>
        </w:p>
      </w:tc>
      <w:tc>
        <w:tcPr>
          <w:tcW w:w="4395" w:type="dxa"/>
        </w:tcPr>
        <w:p w14:paraId="1AD11C07" w14:textId="3C8434A3" w:rsidR="00CB0FF8" w:rsidRDefault="00BE6F57" w:rsidP="007A28E8">
          <w:pPr>
            <w:spacing w:after="120"/>
            <w:ind w:left="-486" w:right="68" w:firstLine="558"/>
            <w:jc w:val="right"/>
            <w:rPr>
              <w:rFonts w:ascii="Palatino Linotype" w:eastAsia="Palatino Linotype" w:hAnsi="Palatino Linotype" w:cs="Palatino Linotype"/>
              <w:b/>
            </w:rPr>
          </w:pPr>
          <w:r>
            <w:rPr>
              <w:rFonts w:ascii="Palatino Linotype" w:eastAsia="Palatino Linotype" w:hAnsi="Palatino Linotype" w:cs="Palatino Linotype"/>
              <w:b/>
            </w:rPr>
            <w:t>XXXXXXX</w:t>
          </w:r>
        </w:p>
      </w:tc>
    </w:tr>
    <w:tr w:rsidR="00034E1F" w14:paraId="4C0529DB" w14:textId="77777777">
      <w:trPr>
        <w:trHeight w:val="242"/>
      </w:trPr>
      <w:tc>
        <w:tcPr>
          <w:tcW w:w="5103" w:type="dxa"/>
        </w:tcPr>
        <w:p w14:paraId="4EDA1CCE" w14:textId="77777777" w:rsidR="00CB0FF8" w:rsidRDefault="009B0769">
          <w:pPr>
            <w:spacing w:after="120"/>
            <w:ind w:right="68"/>
            <w:jc w:val="right"/>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4395" w:type="dxa"/>
        </w:tcPr>
        <w:p w14:paraId="208FE9B3" w14:textId="3F8F03C3" w:rsidR="00CB0FF8" w:rsidRPr="007A28E8" w:rsidRDefault="001A4F65">
          <w:pPr>
            <w:spacing w:after="120"/>
            <w:ind w:left="-70" w:right="68"/>
            <w:jc w:val="right"/>
            <w:rPr>
              <w:rFonts w:ascii="Palatino Linotype" w:eastAsia="Palatino Linotype" w:hAnsi="Palatino Linotype" w:cs="Palatino Linotype"/>
            </w:rPr>
          </w:pPr>
          <w:r w:rsidRPr="001A4F65">
            <w:rPr>
              <w:rFonts w:ascii="Palatino Linotype" w:hAnsi="Palatino Linotype"/>
              <w:b/>
              <w:bCs/>
              <w:color w:val="000000"/>
            </w:rPr>
            <w:t>Ayuntamiento de la Paz</w:t>
          </w:r>
        </w:p>
      </w:tc>
    </w:tr>
    <w:tr w:rsidR="00034E1F" w14:paraId="7B07F8BB" w14:textId="77777777">
      <w:trPr>
        <w:trHeight w:val="342"/>
      </w:trPr>
      <w:tc>
        <w:tcPr>
          <w:tcW w:w="5103" w:type="dxa"/>
        </w:tcPr>
        <w:p w14:paraId="7D238860" w14:textId="77777777" w:rsidR="00CB0FF8" w:rsidRDefault="009B0769">
          <w:pPr>
            <w:tabs>
              <w:tab w:val="left" w:pos="4892"/>
            </w:tabs>
            <w:spacing w:after="120"/>
            <w:ind w:right="68"/>
            <w:jc w:val="right"/>
            <w:rPr>
              <w:rFonts w:ascii="Palatino Linotype" w:eastAsia="Palatino Linotype" w:hAnsi="Palatino Linotype" w:cs="Palatino Linotype"/>
              <w:b/>
            </w:rPr>
          </w:pPr>
          <w:r>
            <w:rPr>
              <w:rFonts w:ascii="Palatino Linotype" w:eastAsia="Palatino Linotype" w:hAnsi="Palatino Linotype" w:cs="Palatino Linotype"/>
              <w:b/>
            </w:rPr>
            <w:t>Comisionado Ponente:</w:t>
          </w:r>
        </w:p>
      </w:tc>
      <w:tc>
        <w:tcPr>
          <w:tcW w:w="4395" w:type="dxa"/>
        </w:tcPr>
        <w:p w14:paraId="5733D890" w14:textId="77777777" w:rsidR="00CB0FF8" w:rsidRDefault="009B0769">
          <w:pPr>
            <w:spacing w:after="120"/>
            <w:ind w:left="-486" w:right="68" w:firstLine="567"/>
            <w:jc w:val="right"/>
            <w:rPr>
              <w:rFonts w:ascii="Palatino Linotype" w:eastAsia="Palatino Linotype" w:hAnsi="Palatino Linotype" w:cs="Palatino Linotype"/>
            </w:rPr>
          </w:pPr>
          <w:r>
            <w:rPr>
              <w:rFonts w:ascii="Palatino Linotype" w:eastAsia="Palatino Linotype" w:hAnsi="Palatino Linotype" w:cs="Palatino Linotype"/>
            </w:rPr>
            <w:t>José Martínez Vilchis</w:t>
          </w:r>
        </w:p>
      </w:tc>
    </w:tr>
  </w:tbl>
  <w:p w14:paraId="7BDE17C4" w14:textId="77777777" w:rsidR="00CB0FF8" w:rsidRDefault="009B0769">
    <w:pPr>
      <w:pBdr>
        <w:top w:val="nil"/>
        <w:left w:val="nil"/>
        <w:bottom w:val="nil"/>
        <w:right w:val="nil"/>
        <w:between w:val="nil"/>
      </w:pBdr>
      <w:tabs>
        <w:tab w:val="center" w:pos="4419"/>
        <w:tab w:val="right" w:pos="8838"/>
      </w:tabs>
      <w:jc w:val="both"/>
      <w:rPr>
        <w:color w:val="000000"/>
        <w:sz w:val="2"/>
        <w:szCs w:val="2"/>
      </w:rPr>
    </w:pPr>
    <w:r>
      <w:rPr>
        <w:noProof/>
        <w:color w:val="000000"/>
      </w:rPr>
      <w:drawing>
        <wp:anchor distT="0" distB="0" distL="0" distR="0" simplePos="0" relativeHeight="251659264" behindDoc="1" locked="0" layoutInCell="1" hidden="0" allowOverlap="1" wp14:anchorId="0D50CC08" wp14:editId="6FB00D9F">
          <wp:simplePos x="0" y="0"/>
          <wp:positionH relativeFrom="margin">
            <wp:posOffset>-1029968</wp:posOffset>
          </wp:positionH>
          <wp:positionV relativeFrom="margin">
            <wp:posOffset>-1807844</wp:posOffset>
          </wp:positionV>
          <wp:extent cx="7739380" cy="10080625"/>
          <wp:effectExtent l="0" t="0" r="0" b="0"/>
          <wp:wrapNone/>
          <wp:docPr id="1" name="image1.png" descr="infoem"/>
          <wp:cNvGraphicFramePr/>
          <a:graphic xmlns:a="http://schemas.openxmlformats.org/drawingml/2006/main">
            <a:graphicData uri="http://schemas.openxmlformats.org/drawingml/2006/picture">
              <pic:pic xmlns:pic="http://schemas.openxmlformats.org/drawingml/2006/picture">
                <pic:nvPicPr>
                  <pic:cNvPr id="0" name="image1.png" descr="infoem"/>
                  <pic:cNvPicPr preferRelativeResize="0"/>
                </pic:nvPicPr>
                <pic:blipFill>
                  <a:blip r:embed="rId1"/>
                  <a:srcRect/>
                  <a:stretch>
                    <a:fillRect/>
                  </a:stretch>
                </pic:blipFill>
                <pic:spPr>
                  <a:xfrm>
                    <a:off x="0" y="0"/>
                    <a:ext cx="7739380" cy="10080625"/>
                  </a:xfrm>
                  <a:prstGeom prst="rect">
                    <a:avLst/>
                  </a:prstGeom>
                  <a:ln/>
                </pic:spPr>
              </pic:pic>
            </a:graphicData>
          </a:graphic>
        </wp:anchor>
      </w:drawing>
    </w:r>
    <w:r>
      <w:rPr>
        <w:color w:val="00000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6B370E"/>
    <w:multiLevelType w:val="hybridMultilevel"/>
    <w:tmpl w:val="8B3E62DC"/>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 w15:restartNumberingAfterBreak="0">
    <w:nsid w:val="119A7EE5"/>
    <w:multiLevelType w:val="hybridMultilevel"/>
    <w:tmpl w:val="D24A1B5C"/>
    <w:lvl w:ilvl="0" w:tplc="080A0015">
      <w:start w:val="1"/>
      <w:numFmt w:val="upperLetter"/>
      <w:lvlText w:val="%1."/>
      <w:lvlJc w:val="left"/>
      <w:pPr>
        <w:ind w:left="3768" w:hanging="360"/>
      </w:pPr>
    </w:lvl>
    <w:lvl w:ilvl="1" w:tplc="080A0019" w:tentative="1">
      <w:start w:val="1"/>
      <w:numFmt w:val="lowerLetter"/>
      <w:lvlText w:val="%2."/>
      <w:lvlJc w:val="left"/>
      <w:pPr>
        <w:ind w:left="4488" w:hanging="360"/>
      </w:pPr>
    </w:lvl>
    <w:lvl w:ilvl="2" w:tplc="080A001B" w:tentative="1">
      <w:start w:val="1"/>
      <w:numFmt w:val="lowerRoman"/>
      <w:lvlText w:val="%3."/>
      <w:lvlJc w:val="right"/>
      <w:pPr>
        <w:ind w:left="5208" w:hanging="180"/>
      </w:pPr>
    </w:lvl>
    <w:lvl w:ilvl="3" w:tplc="080A000F" w:tentative="1">
      <w:start w:val="1"/>
      <w:numFmt w:val="decimal"/>
      <w:lvlText w:val="%4."/>
      <w:lvlJc w:val="left"/>
      <w:pPr>
        <w:ind w:left="5928" w:hanging="360"/>
      </w:pPr>
    </w:lvl>
    <w:lvl w:ilvl="4" w:tplc="080A0019" w:tentative="1">
      <w:start w:val="1"/>
      <w:numFmt w:val="lowerLetter"/>
      <w:lvlText w:val="%5."/>
      <w:lvlJc w:val="left"/>
      <w:pPr>
        <w:ind w:left="6648" w:hanging="360"/>
      </w:pPr>
    </w:lvl>
    <w:lvl w:ilvl="5" w:tplc="080A001B" w:tentative="1">
      <w:start w:val="1"/>
      <w:numFmt w:val="lowerRoman"/>
      <w:lvlText w:val="%6."/>
      <w:lvlJc w:val="right"/>
      <w:pPr>
        <w:ind w:left="7368" w:hanging="180"/>
      </w:pPr>
    </w:lvl>
    <w:lvl w:ilvl="6" w:tplc="080A000F" w:tentative="1">
      <w:start w:val="1"/>
      <w:numFmt w:val="decimal"/>
      <w:lvlText w:val="%7."/>
      <w:lvlJc w:val="left"/>
      <w:pPr>
        <w:ind w:left="8088" w:hanging="360"/>
      </w:pPr>
    </w:lvl>
    <w:lvl w:ilvl="7" w:tplc="080A0019" w:tentative="1">
      <w:start w:val="1"/>
      <w:numFmt w:val="lowerLetter"/>
      <w:lvlText w:val="%8."/>
      <w:lvlJc w:val="left"/>
      <w:pPr>
        <w:ind w:left="8808" w:hanging="360"/>
      </w:pPr>
    </w:lvl>
    <w:lvl w:ilvl="8" w:tplc="080A001B" w:tentative="1">
      <w:start w:val="1"/>
      <w:numFmt w:val="lowerRoman"/>
      <w:lvlText w:val="%9."/>
      <w:lvlJc w:val="right"/>
      <w:pPr>
        <w:ind w:left="9528" w:hanging="180"/>
      </w:pPr>
    </w:lvl>
  </w:abstractNum>
  <w:abstractNum w:abstractNumId="2" w15:restartNumberingAfterBreak="0">
    <w:nsid w:val="21236CF8"/>
    <w:multiLevelType w:val="hybridMultilevel"/>
    <w:tmpl w:val="E11EB772"/>
    <w:lvl w:ilvl="0" w:tplc="98BE2134">
      <w:start w:val="1"/>
      <w:numFmt w:val="decimal"/>
      <w:lvlText w:val="%1."/>
      <w:lvlJc w:val="left"/>
      <w:pPr>
        <w:ind w:left="1068" w:hanging="360"/>
      </w:pPr>
      <w:rPr>
        <w:rFonts w:hint="default"/>
      </w:rPr>
    </w:lvl>
    <w:lvl w:ilvl="1" w:tplc="4BB49232">
      <w:start w:val="1"/>
      <w:numFmt w:val="bullet"/>
      <w:lvlText w:val="-"/>
      <w:lvlJc w:val="left"/>
      <w:pPr>
        <w:ind w:left="1211" w:hanging="360"/>
      </w:pPr>
      <w:rPr>
        <w:rFonts w:ascii="Palatino Linotype" w:eastAsia="Times New Roman" w:hAnsi="Palatino Linotype" w:cs="Times New Roman" w:hint="default"/>
      </w:rPr>
    </w:lvl>
    <w:lvl w:ilvl="2" w:tplc="18420418">
      <w:start w:val="1"/>
      <w:numFmt w:val="upperRoman"/>
      <w:lvlText w:val="%3."/>
      <w:lvlJc w:val="left"/>
      <w:pPr>
        <w:ind w:left="3048" w:hanging="720"/>
      </w:pPr>
      <w:rPr>
        <w:rFonts w:hint="default"/>
      </w:rPr>
    </w:lvl>
    <w:lvl w:ilvl="3" w:tplc="080A000F" w:tentative="1">
      <w:start w:val="1"/>
      <w:numFmt w:val="decimal"/>
      <w:lvlText w:val="%4."/>
      <w:lvlJc w:val="left"/>
      <w:pPr>
        <w:ind w:left="3228" w:hanging="360"/>
      </w:pPr>
    </w:lvl>
    <w:lvl w:ilvl="4" w:tplc="080A0019">
      <w:start w:val="1"/>
      <w:numFmt w:val="lowerLetter"/>
      <w:lvlText w:val="%5."/>
      <w:lvlJc w:val="left"/>
      <w:pPr>
        <w:ind w:left="1765"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 w15:restartNumberingAfterBreak="0">
    <w:nsid w:val="23C61CF9"/>
    <w:multiLevelType w:val="hybridMultilevel"/>
    <w:tmpl w:val="142C54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457584D"/>
    <w:multiLevelType w:val="multilevel"/>
    <w:tmpl w:val="B0A4FF40"/>
    <w:lvl w:ilvl="0">
      <w:start w:val="1"/>
      <w:numFmt w:val="bullet"/>
      <w:lvlText w:val="●"/>
      <w:lvlJc w:val="left"/>
      <w:pPr>
        <w:ind w:left="1068" w:hanging="360"/>
      </w:pPr>
      <w:rPr>
        <w:rFonts w:ascii="Noto Sans Symbols" w:eastAsia="Noto Sans Symbols" w:hAnsi="Noto Sans Symbols" w:cs="Noto Sans Symbols"/>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5" w15:restartNumberingAfterBreak="0">
    <w:nsid w:val="270A697E"/>
    <w:multiLevelType w:val="hybridMultilevel"/>
    <w:tmpl w:val="B2F2603E"/>
    <w:lvl w:ilvl="0" w:tplc="080A000B">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6" w15:restartNumberingAfterBreak="0">
    <w:nsid w:val="297B7C4B"/>
    <w:multiLevelType w:val="hybridMultilevel"/>
    <w:tmpl w:val="4280B9F2"/>
    <w:lvl w:ilvl="0" w:tplc="080A000B">
      <w:start w:val="1"/>
      <w:numFmt w:val="bullet"/>
      <w:lvlText w:val=""/>
      <w:lvlJc w:val="left"/>
      <w:pPr>
        <w:ind w:left="1635" w:hanging="360"/>
      </w:pPr>
      <w:rPr>
        <w:rFonts w:ascii="Wingdings" w:hAnsi="Wingdings" w:hint="default"/>
      </w:rPr>
    </w:lvl>
    <w:lvl w:ilvl="1" w:tplc="080A0003" w:tentative="1">
      <w:start w:val="1"/>
      <w:numFmt w:val="bullet"/>
      <w:lvlText w:val="o"/>
      <w:lvlJc w:val="left"/>
      <w:pPr>
        <w:ind w:left="2290" w:hanging="360"/>
      </w:pPr>
      <w:rPr>
        <w:rFonts w:ascii="Courier New" w:hAnsi="Courier New" w:cs="Courier New" w:hint="default"/>
      </w:rPr>
    </w:lvl>
    <w:lvl w:ilvl="2" w:tplc="080A0005" w:tentative="1">
      <w:start w:val="1"/>
      <w:numFmt w:val="bullet"/>
      <w:lvlText w:val=""/>
      <w:lvlJc w:val="left"/>
      <w:pPr>
        <w:ind w:left="3010" w:hanging="360"/>
      </w:pPr>
      <w:rPr>
        <w:rFonts w:ascii="Wingdings" w:hAnsi="Wingdings" w:hint="default"/>
      </w:rPr>
    </w:lvl>
    <w:lvl w:ilvl="3" w:tplc="080A0001" w:tentative="1">
      <w:start w:val="1"/>
      <w:numFmt w:val="bullet"/>
      <w:lvlText w:val=""/>
      <w:lvlJc w:val="left"/>
      <w:pPr>
        <w:ind w:left="3730" w:hanging="360"/>
      </w:pPr>
      <w:rPr>
        <w:rFonts w:ascii="Symbol" w:hAnsi="Symbol" w:hint="default"/>
      </w:rPr>
    </w:lvl>
    <w:lvl w:ilvl="4" w:tplc="080A0003" w:tentative="1">
      <w:start w:val="1"/>
      <w:numFmt w:val="bullet"/>
      <w:lvlText w:val="o"/>
      <w:lvlJc w:val="left"/>
      <w:pPr>
        <w:ind w:left="4450" w:hanging="360"/>
      </w:pPr>
      <w:rPr>
        <w:rFonts w:ascii="Courier New" w:hAnsi="Courier New" w:cs="Courier New" w:hint="default"/>
      </w:rPr>
    </w:lvl>
    <w:lvl w:ilvl="5" w:tplc="080A0005" w:tentative="1">
      <w:start w:val="1"/>
      <w:numFmt w:val="bullet"/>
      <w:lvlText w:val=""/>
      <w:lvlJc w:val="left"/>
      <w:pPr>
        <w:ind w:left="5170" w:hanging="360"/>
      </w:pPr>
      <w:rPr>
        <w:rFonts w:ascii="Wingdings" w:hAnsi="Wingdings" w:hint="default"/>
      </w:rPr>
    </w:lvl>
    <w:lvl w:ilvl="6" w:tplc="080A0001" w:tentative="1">
      <w:start w:val="1"/>
      <w:numFmt w:val="bullet"/>
      <w:lvlText w:val=""/>
      <w:lvlJc w:val="left"/>
      <w:pPr>
        <w:ind w:left="5890" w:hanging="360"/>
      </w:pPr>
      <w:rPr>
        <w:rFonts w:ascii="Symbol" w:hAnsi="Symbol" w:hint="default"/>
      </w:rPr>
    </w:lvl>
    <w:lvl w:ilvl="7" w:tplc="080A0003" w:tentative="1">
      <w:start w:val="1"/>
      <w:numFmt w:val="bullet"/>
      <w:lvlText w:val="o"/>
      <w:lvlJc w:val="left"/>
      <w:pPr>
        <w:ind w:left="6610" w:hanging="360"/>
      </w:pPr>
      <w:rPr>
        <w:rFonts w:ascii="Courier New" w:hAnsi="Courier New" w:cs="Courier New" w:hint="default"/>
      </w:rPr>
    </w:lvl>
    <w:lvl w:ilvl="8" w:tplc="080A0005" w:tentative="1">
      <w:start w:val="1"/>
      <w:numFmt w:val="bullet"/>
      <w:lvlText w:val=""/>
      <w:lvlJc w:val="left"/>
      <w:pPr>
        <w:ind w:left="7330" w:hanging="360"/>
      </w:pPr>
      <w:rPr>
        <w:rFonts w:ascii="Wingdings" w:hAnsi="Wingdings" w:hint="default"/>
      </w:rPr>
    </w:lvl>
  </w:abstractNum>
  <w:abstractNum w:abstractNumId="7" w15:restartNumberingAfterBreak="0">
    <w:nsid w:val="30543778"/>
    <w:multiLevelType w:val="hybridMultilevel"/>
    <w:tmpl w:val="E3E0C432"/>
    <w:lvl w:ilvl="0" w:tplc="FF668BFC">
      <w:start w:val="1"/>
      <w:numFmt w:val="upperRoman"/>
      <w:lvlText w:val="%1."/>
      <w:lvlJc w:val="left"/>
      <w:pPr>
        <w:ind w:left="1800" w:hanging="720"/>
      </w:pPr>
      <w:rPr>
        <w:rFonts w:cs="Times New Roman" w:hint="default"/>
      </w:rPr>
    </w:lvl>
    <w:lvl w:ilvl="1" w:tplc="080A0019" w:tentative="1">
      <w:start w:val="1"/>
      <w:numFmt w:val="lowerLetter"/>
      <w:lvlText w:val="%2."/>
      <w:lvlJc w:val="left"/>
      <w:pPr>
        <w:ind w:left="2160" w:hanging="360"/>
      </w:pPr>
      <w:rPr>
        <w:rFonts w:cs="Times New Roman"/>
      </w:rPr>
    </w:lvl>
    <w:lvl w:ilvl="2" w:tplc="080A001B" w:tentative="1">
      <w:start w:val="1"/>
      <w:numFmt w:val="lowerRoman"/>
      <w:lvlText w:val="%3."/>
      <w:lvlJc w:val="right"/>
      <w:pPr>
        <w:ind w:left="2880" w:hanging="180"/>
      </w:pPr>
      <w:rPr>
        <w:rFonts w:cs="Times New Roman"/>
      </w:rPr>
    </w:lvl>
    <w:lvl w:ilvl="3" w:tplc="080A000F" w:tentative="1">
      <w:start w:val="1"/>
      <w:numFmt w:val="decimal"/>
      <w:lvlText w:val="%4."/>
      <w:lvlJc w:val="left"/>
      <w:pPr>
        <w:ind w:left="3600" w:hanging="360"/>
      </w:pPr>
      <w:rPr>
        <w:rFonts w:cs="Times New Roman"/>
      </w:rPr>
    </w:lvl>
    <w:lvl w:ilvl="4" w:tplc="080A0019" w:tentative="1">
      <w:start w:val="1"/>
      <w:numFmt w:val="lowerLetter"/>
      <w:lvlText w:val="%5."/>
      <w:lvlJc w:val="left"/>
      <w:pPr>
        <w:ind w:left="4320" w:hanging="360"/>
      </w:pPr>
      <w:rPr>
        <w:rFonts w:cs="Times New Roman"/>
      </w:rPr>
    </w:lvl>
    <w:lvl w:ilvl="5" w:tplc="080A001B" w:tentative="1">
      <w:start w:val="1"/>
      <w:numFmt w:val="lowerRoman"/>
      <w:lvlText w:val="%6."/>
      <w:lvlJc w:val="right"/>
      <w:pPr>
        <w:ind w:left="5040" w:hanging="180"/>
      </w:pPr>
      <w:rPr>
        <w:rFonts w:cs="Times New Roman"/>
      </w:rPr>
    </w:lvl>
    <w:lvl w:ilvl="6" w:tplc="080A000F" w:tentative="1">
      <w:start w:val="1"/>
      <w:numFmt w:val="decimal"/>
      <w:lvlText w:val="%7."/>
      <w:lvlJc w:val="left"/>
      <w:pPr>
        <w:ind w:left="5760" w:hanging="360"/>
      </w:pPr>
      <w:rPr>
        <w:rFonts w:cs="Times New Roman"/>
      </w:rPr>
    </w:lvl>
    <w:lvl w:ilvl="7" w:tplc="080A0019" w:tentative="1">
      <w:start w:val="1"/>
      <w:numFmt w:val="lowerLetter"/>
      <w:lvlText w:val="%8."/>
      <w:lvlJc w:val="left"/>
      <w:pPr>
        <w:ind w:left="6480" w:hanging="360"/>
      </w:pPr>
      <w:rPr>
        <w:rFonts w:cs="Times New Roman"/>
      </w:rPr>
    </w:lvl>
    <w:lvl w:ilvl="8" w:tplc="080A001B" w:tentative="1">
      <w:start w:val="1"/>
      <w:numFmt w:val="lowerRoman"/>
      <w:lvlText w:val="%9."/>
      <w:lvlJc w:val="right"/>
      <w:pPr>
        <w:ind w:left="7200" w:hanging="180"/>
      </w:pPr>
      <w:rPr>
        <w:rFonts w:cs="Times New Roman"/>
      </w:rPr>
    </w:lvl>
  </w:abstractNum>
  <w:abstractNum w:abstractNumId="8" w15:restartNumberingAfterBreak="0">
    <w:nsid w:val="34CE0B9B"/>
    <w:multiLevelType w:val="hybridMultilevel"/>
    <w:tmpl w:val="863C2A8A"/>
    <w:lvl w:ilvl="0" w:tplc="98BE2134">
      <w:start w:val="1"/>
      <w:numFmt w:val="decimal"/>
      <w:lvlText w:val="%1."/>
      <w:lvlJc w:val="left"/>
      <w:pPr>
        <w:ind w:left="1068" w:hanging="360"/>
      </w:pPr>
      <w:rPr>
        <w:rFonts w:hint="default"/>
      </w:rPr>
    </w:lvl>
    <w:lvl w:ilvl="1" w:tplc="4BB49232">
      <w:start w:val="1"/>
      <w:numFmt w:val="bullet"/>
      <w:lvlText w:val="-"/>
      <w:lvlJc w:val="left"/>
      <w:pPr>
        <w:ind w:left="1211" w:hanging="360"/>
      </w:pPr>
      <w:rPr>
        <w:rFonts w:ascii="Palatino Linotype" w:eastAsia="Times New Roman" w:hAnsi="Palatino Linotype" w:cs="Times New Roman" w:hint="default"/>
      </w:r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start w:val="1"/>
      <w:numFmt w:val="lowerLetter"/>
      <w:lvlText w:val="%5."/>
      <w:lvlJc w:val="left"/>
      <w:pPr>
        <w:ind w:left="1765"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9" w15:restartNumberingAfterBreak="0">
    <w:nsid w:val="382A579E"/>
    <w:multiLevelType w:val="hybridMultilevel"/>
    <w:tmpl w:val="FF74CA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84E4B2F"/>
    <w:multiLevelType w:val="hybridMultilevel"/>
    <w:tmpl w:val="2DB6268C"/>
    <w:lvl w:ilvl="0" w:tplc="080A000B">
      <w:start w:val="1"/>
      <w:numFmt w:val="bullet"/>
      <w:lvlText w:val=""/>
      <w:lvlJc w:val="left"/>
      <w:pPr>
        <w:ind w:left="1919"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1" w15:restartNumberingAfterBreak="0">
    <w:nsid w:val="395F1E70"/>
    <w:multiLevelType w:val="multilevel"/>
    <w:tmpl w:val="E3C23E5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3B770F3C"/>
    <w:multiLevelType w:val="hybridMultilevel"/>
    <w:tmpl w:val="3D5EB44C"/>
    <w:lvl w:ilvl="0" w:tplc="080A0017">
      <w:start w:val="1"/>
      <w:numFmt w:val="lowerLetter"/>
      <w:lvlText w:val="%1)"/>
      <w:lvlJc w:val="left"/>
      <w:pPr>
        <w:ind w:left="783" w:hanging="360"/>
      </w:pPr>
    </w:lvl>
    <w:lvl w:ilvl="1" w:tplc="080A0019" w:tentative="1">
      <w:start w:val="1"/>
      <w:numFmt w:val="lowerLetter"/>
      <w:lvlText w:val="%2."/>
      <w:lvlJc w:val="left"/>
      <w:pPr>
        <w:ind w:left="1503" w:hanging="360"/>
      </w:pPr>
    </w:lvl>
    <w:lvl w:ilvl="2" w:tplc="080A001B" w:tentative="1">
      <w:start w:val="1"/>
      <w:numFmt w:val="lowerRoman"/>
      <w:lvlText w:val="%3."/>
      <w:lvlJc w:val="right"/>
      <w:pPr>
        <w:ind w:left="2223" w:hanging="180"/>
      </w:pPr>
    </w:lvl>
    <w:lvl w:ilvl="3" w:tplc="080A000F" w:tentative="1">
      <w:start w:val="1"/>
      <w:numFmt w:val="decimal"/>
      <w:lvlText w:val="%4."/>
      <w:lvlJc w:val="left"/>
      <w:pPr>
        <w:ind w:left="2943" w:hanging="360"/>
      </w:pPr>
    </w:lvl>
    <w:lvl w:ilvl="4" w:tplc="080A0019" w:tentative="1">
      <w:start w:val="1"/>
      <w:numFmt w:val="lowerLetter"/>
      <w:lvlText w:val="%5."/>
      <w:lvlJc w:val="left"/>
      <w:pPr>
        <w:ind w:left="3663" w:hanging="360"/>
      </w:pPr>
    </w:lvl>
    <w:lvl w:ilvl="5" w:tplc="080A001B" w:tentative="1">
      <w:start w:val="1"/>
      <w:numFmt w:val="lowerRoman"/>
      <w:lvlText w:val="%6."/>
      <w:lvlJc w:val="right"/>
      <w:pPr>
        <w:ind w:left="4383" w:hanging="180"/>
      </w:pPr>
    </w:lvl>
    <w:lvl w:ilvl="6" w:tplc="080A000F" w:tentative="1">
      <w:start w:val="1"/>
      <w:numFmt w:val="decimal"/>
      <w:lvlText w:val="%7."/>
      <w:lvlJc w:val="left"/>
      <w:pPr>
        <w:ind w:left="5103" w:hanging="360"/>
      </w:pPr>
    </w:lvl>
    <w:lvl w:ilvl="7" w:tplc="080A0019" w:tentative="1">
      <w:start w:val="1"/>
      <w:numFmt w:val="lowerLetter"/>
      <w:lvlText w:val="%8."/>
      <w:lvlJc w:val="left"/>
      <w:pPr>
        <w:ind w:left="5823" w:hanging="360"/>
      </w:pPr>
    </w:lvl>
    <w:lvl w:ilvl="8" w:tplc="080A001B" w:tentative="1">
      <w:start w:val="1"/>
      <w:numFmt w:val="lowerRoman"/>
      <w:lvlText w:val="%9."/>
      <w:lvlJc w:val="right"/>
      <w:pPr>
        <w:ind w:left="6543" w:hanging="180"/>
      </w:pPr>
    </w:lvl>
  </w:abstractNum>
  <w:abstractNum w:abstractNumId="13" w15:restartNumberingAfterBreak="0">
    <w:nsid w:val="3C996DE5"/>
    <w:multiLevelType w:val="hybridMultilevel"/>
    <w:tmpl w:val="5D6A36CE"/>
    <w:lvl w:ilvl="0" w:tplc="080A000B">
      <w:start w:val="1"/>
      <w:numFmt w:val="bullet"/>
      <w:lvlText w:val=""/>
      <w:lvlJc w:val="left"/>
      <w:pPr>
        <w:ind w:left="2214" w:hanging="360"/>
      </w:pPr>
      <w:rPr>
        <w:rFonts w:ascii="Wingdings" w:hAnsi="Wingdings" w:hint="default"/>
      </w:rPr>
    </w:lvl>
    <w:lvl w:ilvl="1" w:tplc="080A0003" w:tentative="1">
      <w:start w:val="1"/>
      <w:numFmt w:val="bullet"/>
      <w:lvlText w:val="o"/>
      <w:lvlJc w:val="left"/>
      <w:pPr>
        <w:ind w:left="2934" w:hanging="360"/>
      </w:pPr>
      <w:rPr>
        <w:rFonts w:ascii="Courier New" w:hAnsi="Courier New" w:cs="Courier New" w:hint="default"/>
      </w:rPr>
    </w:lvl>
    <w:lvl w:ilvl="2" w:tplc="080A0005" w:tentative="1">
      <w:start w:val="1"/>
      <w:numFmt w:val="bullet"/>
      <w:lvlText w:val=""/>
      <w:lvlJc w:val="left"/>
      <w:pPr>
        <w:ind w:left="3654" w:hanging="360"/>
      </w:pPr>
      <w:rPr>
        <w:rFonts w:ascii="Wingdings" w:hAnsi="Wingdings" w:hint="default"/>
      </w:rPr>
    </w:lvl>
    <w:lvl w:ilvl="3" w:tplc="080A0001" w:tentative="1">
      <w:start w:val="1"/>
      <w:numFmt w:val="bullet"/>
      <w:lvlText w:val=""/>
      <w:lvlJc w:val="left"/>
      <w:pPr>
        <w:ind w:left="4374" w:hanging="360"/>
      </w:pPr>
      <w:rPr>
        <w:rFonts w:ascii="Symbol" w:hAnsi="Symbol" w:hint="default"/>
      </w:rPr>
    </w:lvl>
    <w:lvl w:ilvl="4" w:tplc="080A0003" w:tentative="1">
      <w:start w:val="1"/>
      <w:numFmt w:val="bullet"/>
      <w:lvlText w:val="o"/>
      <w:lvlJc w:val="left"/>
      <w:pPr>
        <w:ind w:left="5094" w:hanging="360"/>
      </w:pPr>
      <w:rPr>
        <w:rFonts w:ascii="Courier New" w:hAnsi="Courier New" w:cs="Courier New" w:hint="default"/>
      </w:rPr>
    </w:lvl>
    <w:lvl w:ilvl="5" w:tplc="080A0005" w:tentative="1">
      <w:start w:val="1"/>
      <w:numFmt w:val="bullet"/>
      <w:lvlText w:val=""/>
      <w:lvlJc w:val="left"/>
      <w:pPr>
        <w:ind w:left="5814" w:hanging="360"/>
      </w:pPr>
      <w:rPr>
        <w:rFonts w:ascii="Wingdings" w:hAnsi="Wingdings" w:hint="default"/>
      </w:rPr>
    </w:lvl>
    <w:lvl w:ilvl="6" w:tplc="080A0001" w:tentative="1">
      <w:start w:val="1"/>
      <w:numFmt w:val="bullet"/>
      <w:lvlText w:val=""/>
      <w:lvlJc w:val="left"/>
      <w:pPr>
        <w:ind w:left="6534" w:hanging="360"/>
      </w:pPr>
      <w:rPr>
        <w:rFonts w:ascii="Symbol" w:hAnsi="Symbol" w:hint="default"/>
      </w:rPr>
    </w:lvl>
    <w:lvl w:ilvl="7" w:tplc="080A0003" w:tentative="1">
      <w:start w:val="1"/>
      <w:numFmt w:val="bullet"/>
      <w:lvlText w:val="o"/>
      <w:lvlJc w:val="left"/>
      <w:pPr>
        <w:ind w:left="7254" w:hanging="360"/>
      </w:pPr>
      <w:rPr>
        <w:rFonts w:ascii="Courier New" w:hAnsi="Courier New" w:cs="Courier New" w:hint="default"/>
      </w:rPr>
    </w:lvl>
    <w:lvl w:ilvl="8" w:tplc="080A0005" w:tentative="1">
      <w:start w:val="1"/>
      <w:numFmt w:val="bullet"/>
      <w:lvlText w:val=""/>
      <w:lvlJc w:val="left"/>
      <w:pPr>
        <w:ind w:left="7974" w:hanging="360"/>
      </w:pPr>
      <w:rPr>
        <w:rFonts w:ascii="Wingdings" w:hAnsi="Wingdings" w:hint="default"/>
      </w:rPr>
    </w:lvl>
  </w:abstractNum>
  <w:abstractNum w:abstractNumId="14" w15:restartNumberingAfterBreak="0">
    <w:nsid w:val="3E8F4437"/>
    <w:multiLevelType w:val="hybridMultilevel"/>
    <w:tmpl w:val="61F8C466"/>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5" w15:restartNumberingAfterBreak="0">
    <w:nsid w:val="3FF3180B"/>
    <w:multiLevelType w:val="hybridMultilevel"/>
    <w:tmpl w:val="1BF6F6A8"/>
    <w:lvl w:ilvl="0" w:tplc="080A000B">
      <w:start w:val="1"/>
      <w:numFmt w:val="bullet"/>
      <w:lvlText w:val=""/>
      <w:lvlJc w:val="left"/>
      <w:pPr>
        <w:ind w:left="2214" w:hanging="360"/>
      </w:pPr>
      <w:rPr>
        <w:rFonts w:ascii="Wingdings" w:hAnsi="Wingdings" w:hint="default"/>
      </w:rPr>
    </w:lvl>
    <w:lvl w:ilvl="1" w:tplc="080A0003" w:tentative="1">
      <w:start w:val="1"/>
      <w:numFmt w:val="bullet"/>
      <w:lvlText w:val="o"/>
      <w:lvlJc w:val="left"/>
      <w:pPr>
        <w:ind w:left="2934" w:hanging="360"/>
      </w:pPr>
      <w:rPr>
        <w:rFonts w:ascii="Courier New" w:hAnsi="Courier New" w:cs="Courier New" w:hint="default"/>
      </w:rPr>
    </w:lvl>
    <w:lvl w:ilvl="2" w:tplc="080A0005" w:tentative="1">
      <w:start w:val="1"/>
      <w:numFmt w:val="bullet"/>
      <w:lvlText w:val=""/>
      <w:lvlJc w:val="left"/>
      <w:pPr>
        <w:ind w:left="3654" w:hanging="360"/>
      </w:pPr>
      <w:rPr>
        <w:rFonts w:ascii="Wingdings" w:hAnsi="Wingdings" w:hint="default"/>
      </w:rPr>
    </w:lvl>
    <w:lvl w:ilvl="3" w:tplc="080A0001" w:tentative="1">
      <w:start w:val="1"/>
      <w:numFmt w:val="bullet"/>
      <w:lvlText w:val=""/>
      <w:lvlJc w:val="left"/>
      <w:pPr>
        <w:ind w:left="4374" w:hanging="360"/>
      </w:pPr>
      <w:rPr>
        <w:rFonts w:ascii="Symbol" w:hAnsi="Symbol" w:hint="default"/>
      </w:rPr>
    </w:lvl>
    <w:lvl w:ilvl="4" w:tplc="080A0003" w:tentative="1">
      <w:start w:val="1"/>
      <w:numFmt w:val="bullet"/>
      <w:lvlText w:val="o"/>
      <w:lvlJc w:val="left"/>
      <w:pPr>
        <w:ind w:left="5094" w:hanging="360"/>
      </w:pPr>
      <w:rPr>
        <w:rFonts w:ascii="Courier New" w:hAnsi="Courier New" w:cs="Courier New" w:hint="default"/>
      </w:rPr>
    </w:lvl>
    <w:lvl w:ilvl="5" w:tplc="080A0005" w:tentative="1">
      <w:start w:val="1"/>
      <w:numFmt w:val="bullet"/>
      <w:lvlText w:val=""/>
      <w:lvlJc w:val="left"/>
      <w:pPr>
        <w:ind w:left="5814" w:hanging="360"/>
      </w:pPr>
      <w:rPr>
        <w:rFonts w:ascii="Wingdings" w:hAnsi="Wingdings" w:hint="default"/>
      </w:rPr>
    </w:lvl>
    <w:lvl w:ilvl="6" w:tplc="080A0001" w:tentative="1">
      <w:start w:val="1"/>
      <w:numFmt w:val="bullet"/>
      <w:lvlText w:val=""/>
      <w:lvlJc w:val="left"/>
      <w:pPr>
        <w:ind w:left="6534" w:hanging="360"/>
      </w:pPr>
      <w:rPr>
        <w:rFonts w:ascii="Symbol" w:hAnsi="Symbol" w:hint="default"/>
      </w:rPr>
    </w:lvl>
    <w:lvl w:ilvl="7" w:tplc="080A0003" w:tentative="1">
      <w:start w:val="1"/>
      <w:numFmt w:val="bullet"/>
      <w:lvlText w:val="o"/>
      <w:lvlJc w:val="left"/>
      <w:pPr>
        <w:ind w:left="7254" w:hanging="360"/>
      </w:pPr>
      <w:rPr>
        <w:rFonts w:ascii="Courier New" w:hAnsi="Courier New" w:cs="Courier New" w:hint="default"/>
      </w:rPr>
    </w:lvl>
    <w:lvl w:ilvl="8" w:tplc="080A0005" w:tentative="1">
      <w:start w:val="1"/>
      <w:numFmt w:val="bullet"/>
      <w:lvlText w:val=""/>
      <w:lvlJc w:val="left"/>
      <w:pPr>
        <w:ind w:left="7974" w:hanging="360"/>
      </w:pPr>
      <w:rPr>
        <w:rFonts w:ascii="Wingdings" w:hAnsi="Wingdings" w:hint="default"/>
      </w:rPr>
    </w:lvl>
  </w:abstractNum>
  <w:abstractNum w:abstractNumId="16" w15:restartNumberingAfterBreak="0">
    <w:nsid w:val="4129766D"/>
    <w:multiLevelType w:val="hybridMultilevel"/>
    <w:tmpl w:val="2D7443E6"/>
    <w:lvl w:ilvl="0" w:tplc="080A000B">
      <w:start w:val="1"/>
      <w:numFmt w:val="bullet"/>
      <w:lvlText w:val=""/>
      <w:lvlJc w:val="left"/>
      <w:pPr>
        <w:ind w:left="2202" w:hanging="360"/>
      </w:pPr>
      <w:rPr>
        <w:rFonts w:ascii="Wingdings" w:hAnsi="Wingdings" w:hint="default"/>
      </w:rPr>
    </w:lvl>
    <w:lvl w:ilvl="1" w:tplc="080A0003">
      <w:start w:val="1"/>
      <w:numFmt w:val="bullet"/>
      <w:lvlText w:val="o"/>
      <w:lvlJc w:val="left"/>
      <w:pPr>
        <w:ind w:left="2934" w:hanging="360"/>
      </w:pPr>
      <w:rPr>
        <w:rFonts w:ascii="Courier New" w:hAnsi="Courier New" w:cs="Courier New" w:hint="default"/>
      </w:rPr>
    </w:lvl>
    <w:lvl w:ilvl="2" w:tplc="080A0005" w:tentative="1">
      <w:start w:val="1"/>
      <w:numFmt w:val="bullet"/>
      <w:lvlText w:val=""/>
      <w:lvlJc w:val="left"/>
      <w:pPr>
        <w:ind w:left="3654" w:hanging="360"/>
      </w:pPr>
      <w:rPr>
        <w:rFonts w:ascii="Wingdings" w:hAnsi="Wingdings" w:hint="default"/>
      </w:rPr>
    </w:lvl>
    <w:lvl w:ilvl="3" w:tplc="080A0001" w:tentative="1">
      <w:start w:val="1"/>
      <w:numFmt w:val="bullet"/>
      <w:lvlText w:val=""/>
      <w:lvlJc w:val="left"/>
      <w:pPr>
        <w:ind w:left="4374" w:hanging="360"/>
      </w:pPr>
      <w:rPr>
        <w:rFonts w:ascii="Symbol" w:hAnsi="Symbol" w:hint="default"/>
      </w:rPr>
    </w:lvl>
    <w:lvl w:ilvl="4" w:tplc="080A0003" w:tentative="1">
      <w:start w:val="1"/>
      <w:numFmt w:val="bullet"/>
      <w:lvlText w:val="o"/>
      <w:lvlJc w:val="left"/>
      <w:pPr>
        <w:ind w:left="5094" w:hanging="360"/>
      </w:pPr>
      <w:rPr>
        <w:rFonts w:ascii="Courier New" w:hAnsi="Courier New" w:cs="Courier New" w:hint="default"/>
      </w:rPr>
    </w:lvl>
    <w:lvl w:ilvl="5" w:tplc="080A0005" w:tentative="1">
      <w:start w:val="1"/>
      <w:numFmt w:val="bullet"/>
      <w:lvlText w:val=""/>
      <w:lvlJc w:val="left"/>
      <w:pPr>
        <w:ind w:left="5814" w:hanging="360"/>
      </w:pPr>
      <w:rPr>
        <w:rFonts w:ascii="Wingdings" w:hAnsi="Wingdings" w:hint="default"/>
      </w:rPr>
    </w:lvl>
    <w:lvl w:ilvl="6" w:tplc="080A0001" w:tentative="1">
      <w:start w:val="1"/>
      <w:numFmt w:val="bullet"/>
      <w:lvlText w:val=""/>
      <w:lvlJc w:val="left"/>
      <w:pPr>
        <w:ind w:left="6534" w:hanging="360"/>
      </w:pPr>
      <w:rPr>
        <w:rFonts w:ascii="Symbol" w:hAnsi="Symbol" w:hint="default"/>
      </w:rPr>
    </w:lvl>
    <w:lvl w:ilvl="7" w:tplc="080A0003" w:tentative="1">
      <w:start w:val="1"/>
      <w:numFmt w:val="bullet"/>
      <w:lvlText w:val="o"/>
      <w:lvlJc w:val="left"/>
      <w:pPr>
        <w:ind w:left="7254" w:hanging="360"/>
      </w:pPr>
      <w:rPr>
        <w:rFonts w:ascii="Courier New" w:hAnsi="Courier New" w:cs="Courier New" w:hint="default"/>
      </w:rPr>
    </w:lvl>
    <w:lvl w:ilvl="8" w:tplc="080A0005" w:tentative="1">
      <w:start w:val="1"/>
      <w:numFmt w:val="bullet"/>
      <w:lvlText w:val=""/>
      <w:lvlJc w:val="left"/>
      <w:pPr>
        <w:ind w:left="7974" w:hanging="360"/>
      </w:pPr>
      <w:rPr>
        <w:rFonts w:ascii="Wingdings" w:hAnsi="Wingdings" w:hint="default"/>
      </w:rPr>
    </w:lvl>
  </w:abstractNum>
  <w:abstractNum w:abstractNumId="17" w15:restartNumberingAfterBreak="0">
    <w:nsid w:val="44216159"/>
    <w:multiLevelType w:val="hybridMultilevel"/>
    <w:tmpl w:val="66DEC7A8"/>
    <w:lvl w:ilvl="0" w:tplc="7250C95C">
      <w:start w:val="1"/>
      <w:numFmt w:val="bullet"/>
      <w:lvlText w:val=""/>
      <w:lvlJc w:val="left"/>
      <w:pPr>
        <w:ind w:left="720" w:hanging="360"/>
      </w:pPr>
      <w:rPr>
        <w:rFonts w:ascii="Symbol" w:eastAsia="Times New Roman" w:hAnsi="Symbol" w:cs="Arial"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5103A00"/>
    <w:multiLevelType w:val="hybridMultilevel"/>
    <w:tmpl w:val="01A439A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AB0EC6A4">
      <w:start w:val="13"/>
      <w:numFmt w:val="bullet"/>
      <w:lvlText w:val=""/>
      <w:lvlJc w:val="left"/>
      <w:pPr>
        <w:ind w:left="2340" w:hanging="360"/>
      </w:pPr>
      <w:rPr>
        <w:rFonts w:ascii="Symbol" w:eastAsia="Palatino Linotype" w:hAnsi="Symbol" w:cs="Palatino Linotype" w:hint="default"/>
      </w:rPr>
    </w:lvl>
    <w:lvl w:ilvl="3" w:tplc="4E7666EE">
      <w:start w:val="1"/>
      <w:numFmt w:val="decimal"/>
      <w:lvlText w:val="%4."/>
      <w:lvlJc w:val="left"/>
      <w:pPr>
        <w:ind w:left="2880" w:hanging="360"/>
      </w:pPr>
      <w:rPr>
        <w:rFonts w:hint="default"/>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8A104AB"/>
    <w:multiLevelType w:val="multilevel"/>
    <w:tmpl w:val="AB52F280"/>
    <w:lvl w:ilvl="0">
      <w:start w:val="1"/>
      <w:numFmt w:val="bullet"/>
      <w:lvlText w:val="●"/>
      <w:lvlJc w:val="left"/>
      <w:pPr>
        <w:ind w:left="3228" w:hanging="360"/>
      </w:pPr>
      <w:rPr>
        <w:rFonts w:ascii="Noto Sans Symbols" w:eastAsia="Noto Sans Symbols" w:hAnsi="Noto Sans Symbols" w:cs="Noto Sans Symbols"/>
      </w:rPr>
    </w:lvl>
    <w:lvl w:ilvl="1">
      <w:start w:val="1"/>
      <w:numFmt w:val="bullet"/>
      <w:lvlText w:val="o"/>
      <w:lvlJc w:val="left"/>
      <w:pPr>
        <w:ind w:left="3948" w:hanging="360"/>
      </w:pPr>
      <w:rPr>
        <w:rFonts w:ascii="Courier New" w:eastAsia="Courier New" w:hAnsi="Courier New" w:cs="Courier New"/>
      </w:rPr>
    </w:lvl>
    <w:lvl w:ilvl="2">
      <w:start w:val="1"/>
      <w:numFmt w:val="bullet"/>
      <w:lvlText w:val="▪"/>
      <w:lvlJc w:val="left"/>
      <w:pPr>
        <w:ind w:left="4668" w:hanging="360"/>
      </w:pPr>
      <w:rPr>
        <w:rFonts w:ascii="Noto Sans Symbols" w:eastAsia="Noto Sans Symbols" w:hAnsi="Noto Sans Symbols" w:cs="Noto Sans Symbols"/>
      </w:rPr>
    </w:lvl>
    <w:lvl w:ilvl="3">
      <w:start w:val="1"/>
      <w:numFmt w:val="bullet"/>
      <w:lvlText w:val="●"/>
      <w:lvlJc w:val="left"/>
      <w:pPr>
        <w:ind w:left="5388" w:hanging="360"/>
      </w:pPr>
      <w:rPr>
        <w:rFonts w:ascii="Noto Sans Symbols" w:eastAsia="Noto Sans Symbols" w:hAnsi="Noto Sans Symbols" w:cs="Noto Sans Symbols"/>
      </w:rPr>
    </w:lvl>
    <w:lvl w:ilvl="4">
      <w:start w:val="1"/>
      <w:numFmt w:val="bullet"/>
      <w:lvlText w:val="o"/>
      <w:lvlJc w:val="left"/>
      <w:pPr>
        <w:ind w:left="6108" w:hanging="360"/>
      </w:pPr>
      <w:rPr>
        <w:rFonts w:ascii="Courier New" w:eastAsia="Courier New" w:hAnsi="Courier New" w:cs="Courier New"/>
      </w:rPr>
    </w:lvl>
    <w:lvl w:ilvl="5">
      <w:start w:val="1"/>
      <w:numFmt w:val="bullet"/>
      <w:lvlText w:val="▪"/>
      <w:lvlJc w:val="left"/>
      <w:pPr>
        <w:ind w:left="6828" w:hanging="360"/>
      </w:pPr>
      <w:rPr>
        <w:rFonts w:ascii="Noto Sans Symbols" w:eastAsia="Noto Sans Symbols" w:hAnsi="Noto Sans Symbols" w:cs="Noto Sans Symbols"/>
      </w:rPr>
    </w:lvl>
    <w:lvl w:ilvl="6">
      <w:start w:val="1"/>
      <w:numFmt w:val="bullet"/>
      <w:lvlText w:val="●"/>
      <w:lvlJc w:val="left"/>
      <w:pPr>
        <w:ind w:left="7548" w:hanging="360"/>
      </w:pPr>
      <w:rPr>
        <w:rFonts w:ascii="Noto Sans Symbols" w:eastAsia="Noto Sans Symbols" w:hAnsi="Noto Sans Symbols" w:cs="Noto Sans Symbols"/>
      </w:rPr>
    </w:lvl>
    <w:lvl w:ilvl="7">
      <w:start w:val="1"/>
      <w:numFmt w:val="bullet"/>
      <w:lvlText w:val="o"/>
      <w:lvlJc w:val="left"/>
      <w:pPr>
        <w:ind w:left="8268" w:hanging="360"/>
      </w:pPr>
      <w:rPr>
        <w:rFonts w:ascii="Courier New" w:eastAsia="Courier New" w:hAnsi="Courier New" w:cs="Courier New"/>
      </w:rPr>
    </w:lvl>
    <w:lvl w:ilvl="8">
      <w:start w:val="1"/>
      <w:numFmt w:val="bullet"/>
      <w:lvlText w:val="▪"/>
      <w:lvlJc w:val="left"/>
      <w:pPr>
        <w:ind w:left="8988" w:hanging="360"/>
      </w:pPr>
      <w:rPr>
        <w:rFonts w:ascii="Noto Sans Symbols" w:eastAsia="Noto Sans Symbols" w:hAnsi="Noto Sans Symbols" w:cs="Noto Sans Symbols"/>
      </w:rPr>
    </w:lvl>
  </w:abstractNum>
  <w:abstractNum w:abstractNumId="20" w15:restartNumberingAfterBreak="0">
    <w:nsid w:val="4CA51235"/>
    <w:multiLevelType w:val="hybridMultilevel"/>
    <w:tmpl w:val="534608F0"/>
    <w:lvl w:ilvl="0" w:tplc="080A000B">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1" w15:restartNumberingAfterBreak="0">
    <w:nsid w:val="4DA91D88"/>
    <w:multiLevelType w:val="multilevel"/>
    <w:tmpl w:val="63926D0E"/>
    <w:lvl w:ilvl="0">
      <w:start w:val="1"/>
      <w:numFmt w:val="decimal"/>
      <w:lvlText w:val="%1."/>
      <w:lvlJc w:val="left"/>
      <w:pPr>
        <w:ind w:left="1429" w:hanging="360"/>
      </w:pPr>
      <w:rPr>
        <w:i/>
      </w:rPr>
    </w:lvl>
    <w:lvl w:ilvl="1">
      <w:numFmt w:val="bullet"/>
      <w:lvlText w:val="-"/>
      <w:lvlJc w:val="left"/>
      <w:pPr>
        <w:ind w:left="2149" w:hanging="360"/>
      </w:pPr>
      <w:rPr>
        <w:rFonts w:ascii="Palatino Linotype" w:eastAsia="Palatino Linotype" w:hAnsi="Palatino Linotype" w:cs="Palatino Linotype"/>
      </w:r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2" w15:restartNumberingAfterBreak="0">
    <w:nsid w:val="50DA7A66"/>
    <w:multiLevelType w:val="hybridMultilevel"/>
    <w:tmpl w:val="D3D08F8A"/>
    <w:lvl w:ilvl="0" w:tplc="080A000B">
      <w:start w:val="1"/>
      <w:numFmt w:val="bullet"/>
      <w:lvlText w:val=""/>
      <w:lvlJc w:val="left"/>
      <w:pPr>
        <w:ind w:left="2202" w:hanging="360"/>
      </w:pPr>
      <w:rPr>
        <w:rFonts w:ascii="Wingdings" w:hAnsi="Wingdings" w:hint="default"/>
      </w:rPr>
    </w:lvl>
    <w:lvl w:ilvl="1" w:tplc="080A0003" w:tentative="1">
      <w:start w:val="1"/>
      <w:numFmt w:val="bullet"/>
      <w:lvlText w:val="o"/>
      <w:lvlJc w:val="left"/>
      <w:pPr>
        <w:ind w:left="2922" w:hanging="360"/>
      </w:pPr>
      <w:rPr>
        <w:rFonts w:ascii="Courier New" w:hAnsi="Courier New" w:cs="Courier New" w:hint="default"/>
      </w:rPr>
    </w:lvl>
    <w:lvl w:ilvl="2" w:tplc="080A0005" w:tentative="1">
      <w:start w:val="1"/>
      <w:numFmt w:val="bullet"/>
      <w:lvlText w:val=""/>
      <w:lvlJc w:val="left"/>
      <w:pPr>
        <w:ind w:left="3642" w:hanging="360"/>
      </w:pPr>
      <w:rPr>
        <w:rFonts w:ascii="Wingdings" w:hAnsi="Wingdings" w:hint="default"/>
      </w:rPr>
    </w:lvl>
    <w:lvl w:ilvl="3" w:tplc="080A0001" w:tentative="1">
      <w:start w:val="1"/>
      <w:numFmt w:val="bullet"/>
      <w:lvlText w:val=""/>
      <w:lvlJc w:val="left"/>
      <w:pPr>
        <w:ind w:left="4362" w:hanging="360"/>
      </w:pPr>
      <w:rPr>
        <w:rFonts w:ascii="Symbol" w:hAnsi="Symbol" w:hint="default"/>
      </w:rPr>
    </w:lvl>
    <w:lvl w:ilvl="4" w:tplc="080A0003" w:tentative="1">
      <w:start w:val="1"/>
      <w:numFmt w:val="bullet"/>
      <w:lvlText w:val="o"/>
      <w:lvlJc w:val="left"/>
      <w:pPr>
        <w:ind w:left="5082" w:hanging="360"/>
      </w:pPr>
      <w:rPr>
        <w:rFonts w:ascii="Courier New" w:hAnsi="Courier New" w:cs="Courier New" w:hint="default"/>
      </w:rPr>
    </w:lvl>
    <w:lvl w:ilvl="5" w:tplc="080A0005" w:tentative="1">
      <w:start w:val="1"/>
      <w:numFmt w:val="bullet"/>
      <w:lvlText w:val=""/>
      <w:lvlJc w:val="left"/>
      <w:pPr>
        <w:ind w:left="5802" w:hanging="360"/>
      </w:pPr>
      <w:rPr>
        <w:rFonts w:ascii="Wingdings" w:hAnsi="Wingdings" w:hint="default"/>
      </w:rPr>
    </w:lvl>
    <w:lvl w:ilvl="6" w:tplc="080A0001" w:tentative="1">
      <w:start w:val="1"/>
      <w:numFmt w:val="bullet"/>
      <w:lvlText w:val=""/>
      <w:lvlJc w:val="left"/>
      <w:pPr>
        <w:ind w:left="6522" w:hanging="360"/>
      </w:pPr>
      <w:rPr>
        <w:rFonts w:ascii="Symbol" w:hAnsi="Symbol" w:hint="default"/>
      </w:rPr>
    </w:lvl>
    <w:lvl w:ilvl="7" w:tplc="080A0003" w:tentative="1">
      <w:start w:val="1"/>
      <w:numFmt w:val="bullet"/>
      <w:lvlText w:val="o"/>
      <w:lvlJc w:val="left"/>
      <w:pPr>
        <w:ind w:left="7242" w:hanging="360"/>
      </w:pPr>
      <w:rPr>
        <w:rFonts w:ascii="Courier New" w:hAnsi="Courier New" w:cs="Courier New" w:hint="default"/>
      </w:rPr>
    </w:lvl>
    <w:lvl w:ilvl="8" w:tplc="080A0005" w:tentative="1">
      <w:start w:val="1"/>
      <w:numFmt w:val="bullet"/>
      <w:lvlText w:val=""/>
      <w:lvlJc w:val="left"/>
      <w:pPr>
        <w:ind w:left="7962" w:hanging="360"/>
      </w:pPr>
      <w:rPr>
        <w:rFonts w:ascii="Wingdings" w:hAnsi="Wingdings" w:hint="default"/>
      </w:rPr>
    </w:lvl>
  </w:abstractNum>
  <w:abstractNum w:abstractNumId="23" w15:restartNumberingAfterBreak="0">
    <w:nsid w:val="50E2419B"/>
    <w:multiLevelType w:val="hybridMultilevel"/>
    <w:tmpl w:val="32ECD27E"/>
    <w:lvl w:ilvl="0" w:tplc="080A0013">
      <w:start w:val="1"/>
      <w:numFmt w:val="upperRoman"/>
      <w:lvlText w:val="%1."/>
      <w:lvlJc w:val="right"/>
      <w:pPr>
        <w:ind w:left="1440" w:hanging="360"/>
      </w:pPr>
    </w:lvl>
    <w:lvl w:ilvl="1" w:tplc="080A0019" w:tentative="1">
      <w:start w:val="1"/>
      <w:numFmt w:val="lowerLetter"/>
      <w:lvlText w:val="%2."/>
      <w:lvlJc w:val="left"/>
      <w:pPr>
        <w:ind w:left="2160" w:hanging="360"/>
      </w:pPr>
    </w:lvl>
    <w:lvl w:ilvl="2" w:tplc="080A001B">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4" w15:restartNumberingAfterBreak="0">
    <w:nsid w:val="57952AA5"/>
    <w:multiLevelType w:val="hybridMultilevel"/>
    <w:tmpl w:val="888CFEDE"/>
    <w:lvl w:ilvl="0" w:tplc="080A000B">
      <w:start w:val="1"/>
      <w:numFmt w:val="bullet"/>
      <w:lvlText w:val=""/>
      <w:lvlJc w:val="left"/>
      <w:pPr>
        <w:ind w:left="1635" w:hanging="360"/>
      </w:pPr>
      <w:rPr>
        <w:rFonts w:ascii="Wingdings" w:hAnsi="Wingdings" w:hint="default"/>
      </w:rPr>
    </w:lvl>
    <w:lvl w:ilvl="1" w:tplc="080A0003" w:tentative="1">
      <w:start w:val="1"/>
      <w:numFmt w:val="bullet"/>
      <w:lvlText w:val="o"/>
      <w:lvlJc w:val="left"/>
      <w:pPr>
        <w:ind w:left="2355" w:hanging="360"/>
      </w:pPr>
      <w:rPr>
        <w:rFonts w:ascii="Courier New" w:hAnsi="Courier New" w:cs="Courier New" w:hint="default"/>
      </w:rPr>
    </w:lvl>
    <w:lvl w:ilvl="2" w:tplc="080A0005" w:tentative="1">
      <w:start w:val="1"/>
      <w:numFmt w:val="bullet"/>
      <w:lvlText w:val=""/>
      <w:lvlJc w:val="left"/>
      <w:pPr>
        <w:ind w:left="3075" w:hanging="360"/>
      </w:pPr>
      <w:rPr>
        <w:rFonts w:ascii="Wingdings" w:hAnsi="Wingdings" w:hint="default"/>
      </w:rPr>
    </w:lvl>
    <w:lvl w:ilvl="3" w:tplc="080A0001" w:tentative="1">
      <w:start w:val="1"/>
      <w:numFmt w:val="bullet"/>
      <w:lvlText w:val=""/>
      <w:lvlJc w:val="left"/>
      <w:pPr>
        <w:ind w:left="3795" w:hanging="360"/>
      </w:pPr>
      <w:rPr>
        <w:rFonts w:ascii="Symbol" w:hAnsi="Symbol" w:hint="default"/>
      </w:rPr>
    </w:lvl>
    <w:lvl w:ilvl="4" w:tplc="080A0003" w:tentative="1">
      <w:start w:val="1"/>
      <w:numFmt w:val="bullet"/>
      <w:lvlText w:val="o"/>
      <w:lvlJc w:val="left"/>
      <w:pPr>
        <w:ind w:left="4515" w:hanging="360"/>
      </w:pPr>
      <w:rPr>
        <w:rFonts w:ascii="Courier New" w:hAnsi="Courier New" w:cs="Courier New" w:hint="default"/>
      </w:rPr>
    </w:lvl>
    <w:lvl w:ilvl="5" w:tplc="080A0005" w:tentative="1">
      <w:start w:val="1"/>
      <w:numFmt w:val="bullet"/>
      <w:lvlText w:val=""/>
      <w:lvlJc w:val="left"/>
      <w:pPr>
        <w:ind w:left="5235" w:hanging="360"/>
      </w:pPr>
      <w:rPr>
        <w:rFonts w:ascii="Wingdings" w:hAnsi="Wingdings" w:hint="default"/>
      </w:rPr>
    </w:lvl>
    <w:lvl w:ilvl="6" w:tplc="080A0001" w:tentative="1">
      <w:start w:val="1"/>
      <w:numFmt w:val="bullet"/>
      <w:lvlText w:val=""/>
      <w:lvlJc w:val="left"/>
      <w:pPr>
        <w:ind w:left="5955" w:hanging="360"/>
      </w:pPr>
      <w:rPr>
        <w:rFonts w:ascii="Symbol" w:hAnsi="Symbol" w:hint="default"/>
      </w:rPr>
    </w:lvl>
    <w:lvl w:ilvl="7" w:tplc="080A0003" w:tentative="1">
      <w:start w:val="1"/>
      <w:numFmt w:val="bullet"/>
      <w:lvlText w:val="o"/>
      <w:lvlJc w:val="left"/>
      <w:pPr>
        <w:ind w:left="6675" w:hanging="360"/>
      </w:pPr>
      <w:rPr>
        <w:rFonts w:ascii="Courier New" w:hAnsi="Courier New" w:cs="Courier New" w:hint="default"/>
      </w:rPr>
    </w:lvl>
    <w:lvl w:ilvl="8" w:tplc="080A0005" w:tentative="1">
      <w:start w:val="1"/>
      <w:numFmt w:val="bullet"/>
      <w:lvlText w:val=""/>
      <w:lvlJc w:val="left"/>
      <w:pPr>
        <w:ind w:left="7395" w:hanging="360"/>
      </w:pPr>
      <w:rPr>
        <w:rFonts w:ascii="Wingdings" w:hAnsi="Wingdings" w:hint="default"/>
      </w:rPr>
    </w:lvl>
  </w:abstractNum>
  <w:abstractNum w:abstractNumId="25" w15:restartNumberingAfterBreak="0">
    <w:nsid w:val="58D10191"/>
    <w:multiLevelType w:val="multilevel"/>
    <w:tmpl w:val="808CE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A5A7EA3"/>
    <w:multiLevelType w:val="hybridMultilevel"/>
    <w:tmpl w:val="EF2E7FB8"/>
    <w:lvl w:ilvl="0" w:tplc="080A000B">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7" w15:restartNumberingAfterBreak="0">
    <w:nsid w:val="652E5071"/>
    <w:multiLevelType w:val="hybridMultilevel"/>
    <w:tmpl w:val="922082DC"/>
    <w:lvl w:ilvl="0" w:tplc="080A000B">
      <w:start w:val="1"/>
      <w:numFmt w:val="bullet"/>
      <w:lvlText w:val=""/>
      <w:lvlJc w:val="left"/>
      <w:pPr>
        <w:ind w:left="2486" w:hanging="360"/>
      </w:pPr>
      <w:rPr>
        <w:rFonts w:ascii="Wingdings" w:hAnsi="Wingdings" w:hint="default"/>
      </w:rPr>
    </w:lvl>
    <w:lvl w:ilvl="1" w:tplc="080A0003" w:tentative="1">
      <w:start w:val="1"/>
      <w:numFmt w:val="bullet"/>
      <w:lvlText w:val="o"/>
      <w:lvlJc w:val="left"/>
      <w:pPr>
        <w:ind w:left="3206" w:hanging="360"/>
      </w:pPr>
      <w:rPr>
        <w:rFonts w:ascii="Courier New" w:hAnsi="Courier New" w:cs="Courier New" w:hint="default"/>
      </w:rPr>
    </w:lvl>
    <w:lvl w:ilvl="2" w:tplc="080A0005" w:tentative="1">
      <w:start w:val="1"/>
      <w:numFmt w:val="bullet"/>
      <w:lvlText w:val=""/>
      <w:lvlJc w:val="left"/>
      <w:pPr>
        <w:ind w:left="3926" w:hanging="360"/>
      </w:pPr>
      <w:rPr>
        <w:rFonts w:ascii="Wingdings" w:hAnsi="Wingdings" w:hint="default"/>
      </w:rPr>
    </w:lvl>
    <w:lvl w:ilvl="3" w:tplc="080A0001" w:tentative="1">
      <w:start w:val="1"/>
      <w:numFmt w:val="bullet"/>
      <w:lvlText w:val=""/>
      <w:lvlJc w:val="left"/>
      <w:pPr>
        <w:ind w:left="4646" w:hanging="360"/>
      </w:pPr>
      <w:rPr>
        <w:rFonts w:ascii="Symbol" w:hAnsi="Symbol" w:hint="default"/>
      </w:rPr>
    </w:lvl>
    <w:lvl w:ilvl="4" w:tplc="080A0003" w:tentative="1">
      <w:start w:val="1"/>
      <w:numFmt w:val="bullet"/>
      <w:lvlText w:val="o"/>
      <w:lvlJc w:val="left"/>
      <w:pPr>
        <w:ind w:left="5366" w:hanging="360"/>
      </w:pPr>
      <w:rPr>
        <w:rFonts w:ascii="Courier New" w:hAnsi="Courier New" w:cs="Courier New" w:hint="default"/>
      </w:rPr>
    </w:lvl>
    <w:lvl w:ilvl="5" w:tplc="080A0005" w:tentative="1">
      <w:start w:val="1"/>
      <w:numFmt w:val="bullet"/>
      <w:lvlText w:val=""/>
      <w:lvlJc w:val="left"/>
      <w:pPr>
        <w:ind w:left="6086" w:hanging="360"/>
      </w:pPr>
      <w:rPr>
        <w:rFonts w:ascii="Wingdings" w:hAnsi="Wingdings" w:hint="default"/>
      </w:rPr>
    </w:lvl>
    <w:lvl w:ilvl="6" w:tplc="080A0001" w:tentative="1">
      <w:start w:val="1"/>
      <w:numFmt w:val="bullet"/>
      <w:lvlText w:val=""/>
      <w:lvlJc w:val="left"/>
      <w:pPr>
        <w:ind w:left="6806" w:hanging="360"/>
      </w:pPr>
      <w:rPr>
        <w:rFonts w:ascii="Symbol" w:hAnsi="Symbol" w:hint="default"/>
      </w:rPr>
    </w:lvl>
    <w:lvl w:ilvl="7" w:tplc="080A0003" w:tentative="1">
      <w:start w:val="1"/>
      <w:numFmt w:val="bullet"/>
      <w:lvlText w:val="o"/>
      <w:lvlJc w:val="left"/>
      <w:pPr>
        <w:ind w:left="7526" w:hanging="360"/>
      </w:pPr>
      <w:rPr>
        <w:rFonts w:ascii="Courier New" w:hAnsi="Courier New" w:cs="Courier New" w:hint="default"/>
      </w:rPr>
    </w:lvl>
    <w:lvl w:ilvl="8" w:tplc="080A0005" w:tentative="1">
      <w:start w:val="1"/>
      <w:numFmt w:val="bullet"/>
      <w:lvlText w:val=""/>
      <w:lvlJc w:val="left"/>
      <w:pPr>
        <w:ind w:left="8246" w:hanging="360"/>
      </w:pPr>
      <w:rPr>
        <w:rFonts w:ascii="Wingdings" w:hAnsi="Wingdings" w:hint="default"/>
      </w:rPr>
    </w:lvl>
  </w:abstractNum>
  <w:abstractNum w:abstractNumId="28" w15:restartNumberingAfterBreak="0">
    <w:nsid w:val="66267B50"/>
    <w:multiLevelType w:val="multilevel"/>
    <w:tmpl w:val="17F688E2"/>
    <w:lvl w:ilvl="0">
      <w:start w:val="1"/>
      <w:numFmt w:val="upperRoman"/>
      <w:lvlText w:val="%1."/>
      <w:lvlJc w:val="right"/>
      <w:pPr>
        <w:ind w:left="1077" w:hanging="360"/>
      </w:pPr>
    </w:lvl>
    <w:lvl w:ilvl="1">
      <w:start w:val="1"/>
      <w:numFmt w:val="decimal"/>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1620"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abstractNum w:abstractNumId="29" w15:restartNumberingAfterBreak="0">
    <w:nsid w:val="6A923226"/>
    <w:multiLevelType w:val="multilevel"/>
    <w:tmpl w:val="2D7071D8"/>
    <w:lvl w:ilvl="0">
      <w:start w:val="9"/>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15:restartNumberingAfterBreak="0">
    <w:nsid w:val="6C2E7B08"/>
    <w:multiLevelType w:val="hybridMultilevel"/>
    <w:tmpl w:val="5074E91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6FE61F95"/>
    <w:multiLevelType w:val="hybridMultilevel"/>
    <w:tmpl w:val="92FA1DDE"/>
    <w:lvl w:ilvl="0" w:tplc="080A000B">
      <w:start w:val="1"/>
      <w:numFmt w:val="bullet"/>
      <w:lvlText w:val=""/>
      <w:lvlJc w:val="left"/>
      <w:pPr>
        <w:ind w:left="1919" w:hanging="360"/>
      </w:pPr>
      <w:rPr>
        <w:rFonts w:ascii="Wingdings" w:hAnsi="Wingdings" w:hint="default"/>
      </w:rPr>
    </w:lvl>
    <w:lvl w:ilvl="1" w:tplc="080A0003" w:tentative="1">
      <w:start w:val="1"/>
      <w:numFmt w:val="bullet"/>
      <w:lvlText w:val="o"/>
      <w:lvlJc w:val="left"/>
      <w:pPr>
        <w:ind w:left="2639" w:hanging="360"/>
      </w:pPr>
      <w:rPr>
        <w:rFonts w:ascii="Courier New" w:hAnsi="Courier New" w:cs="Courier New" w:hint="default"/>
      </w:rPr>
    </w:lvl>
    <w:lvl w:ilvl="2" w:tplc="080A0005" w:tentative="1">
      <w:start w:val="1"/>
      <w:numFmt w:val="bullet"/>
      <w:lvlText w:val=""/>
      <w:lvlJc w:val="left"/>
      <w:pPr>
        <w:ind w:left="3359" w:hanging="360"/>
      </w:pPr>
      <w:rPr>
        <w:rFonts w:ascii="Wingdings" w:hAnsi="Wingdings" w:hint="default"/>
      </w:rPr>
    </w:lvl>
    <w:lvl w:ilvl="3" w:tplc="080A0001" w:tentative="1">
      <w:start w:val="1"/>
      <w:numFmt w:val="bullet"/>
      <w:lvlText w:val=""/>
      <w:lvlJc w:val="left"/>
      <w:pPr>
        <w:ind w:left="4079" w:hanging="360"/>
      </w:pPr>
      <w:rPr>
        <w:rFonts w:ascii="Symbol" w:hAnsi="Symbol" w:hint="default"/>
      </w:rPr>
    </w:lvl>
    <w:lvl w:ilvl="4" w:tplc="080A0003" w:tentative="1">
      <w:start w:val="1"/>
      <w:numFmt w:val="bullet"/>
      <w:lvlText w:val="o"/>
      <w:lvlJc w:val="left"/>
      <w:pPr>
        <w:ind w:left="4799" w:hanging="360"/>
      </w:pPr>
      <w:rPr>
        <w:rFonts w:ascii="Courier New" w:hAnsi="Courier New" w:cs="Courier New" w:hint="default"/>
      </w:rPr>
    </w:lvl>
    <w:lvl w:ilvl="5" w:tplc="080A0005" w:tentative="1">
      <w:start w:val="1"/>
      <w:numFmt w:val="bullet"/>
      <w:lvlText w:val=""/>
      <w:lvlJc w:val="left"/>
      <w:pPr>
        <w:ind w:left="5519" w:hanging="360"/>
      </w:pPr>
      <w:rPr>
        <w:rFonts w:ascii="Wingdings" w:hAnsi="Wingdings" w:hint="default"/>
      </w:rPr>
    </w:lvl>
    <w:lvl w:ilvl="6" w:tplc="080A0001" w:tentative="1">
      <w:start w:val="1"/>
      <w:numFmt w:val="bullet"/>
      <w:lvlText w:val=""/>
      <w:lvlJc w:val="left"/>
      <w:pPr>
        <w:ind w:left="6239" w:hanging="360"/>
      </w:pPr>
      <w:rPr>
        <w:rFonts w:ascii="Symbol" w:hAnsi="Symbol" w:hint="default"/>
      </w:rPr>
    </w:lvl>
    <w:lvl w:ilvl="7" w:tplc="080A0003" w:tentative="1">
      <w:start w:val="1"/>
      <w:numFmt w:val="bullet"/>
      <w:lvlText w:val="o"/>
      <w:lvlJc w:val="left"/>
      <w:pPr>
        <w:ind w:left="6959" w:hanging="360"/>
      </w:pPr>
      <w:rPr>
        <w:rFonts w:ascii="Courier New" w:hAnsi="Courier New" w:cs="Courier New" w:hint="default"/>
      </w:rPr>
    </w:lvl>
    <w:lvl w:ilvl="8" w:tplc="080A0005" w:tentative="1">
      <w:start w:val="1"/>
      <w:numFmt w:val="bullet"/>
      <w:lvlText w:val=""/>
      <w:lvlJc w:val="left"/>
      <w:pPr>
        <w:ind w:left="7679" w:hanging="360"/>
      </w:pPr>
      <w:rPr>
        <w:rFonts w:ascii="Wingdings" w:hAnsi="Wingdings" w:hint="default"/>
      </w:rPr>
    </w:lvl>
  </w:abstractNum>
  <w:abstractNum w:abstractNumId="32" w15:restartNumberingAfterBreak="0">
    <w:nsid w:val="75AB7BB9"/>
    <w:multiLevelType w:val="hybridMultilevel"/>
    <w:tmpl w:val="5A0AB5B4"/>
    <w:lvl w:ilvl="0" w:tplc="080A000B">
      <w:start w:val="1"/>
      <w:numFmt w:val="bullet"/>
      <w:lvlText w:val=""/>
      <w:lvlJc w:val="left"/>
      <w:pPr>
        <w:ind w:left="2214" w:hanging="360"/>
      </w:pPr>
      <w:rPr>
        <w:rFonts w:ascii="Wingdings" w:hAnsi="Wingdings" w:hint="default"/>
      </w:rPr>
    </w:lvl>
    <w:lvl w:ilvl="1" w:tplc="080A0003">
      <w:start w:val="1"/>
      <w:numFmt w:val="bullet"/>
      <w:lvlText w:val="o"/>
      <w:lvlJc w:val="left"/>
      <w:pPr>
        <w:ind w:left="2934" w:hanging="360"/>
      </w:pPr>
      <w:rPr>
        <w:rFonts w:ascii="Courier New" w:hAnsi="Courier New" w:cs="Courier New" w:hint="default"/>
      </w:rPr>
    </w:lvl>
    <w:lvl w:ilvl="2" w:tplc="080A0005" w:tentative="1">
      <w:start w:val="1"/>
      <w:numFmt w:val="bullet"/>
      <w:lvlText w:val=""/>
      <w:lvlJc w:val="left"/>
      <w:pPr>
        <w:ind w:left="3654" w:hanging="360"/>
      </w:pPr>
      <w:rPr>
        <w:rFonts w:ascii="Wingdings" w:hAnsi="Wingdings" w:hint="default"/>
      </w:rPr>
    </w:lvl>
    <w:lvl w:ilvl="3" w:tplc="080A0001" w:tentative="1">
      <w:start w:val="1"/>
      <w:numFmt w:val="bullet"/>
      <w:lvlText w:val=""/>
      <w:lvlJc w:val="left"/>
      <w:pPr>
        <w:ind w:left="4374" w:hanging="360"/>
      </w:pPr>
      <w:rPr>
        <w:rFonts w:ascii="Symbol" w:hAnsi="Symbol" w:hint="default"/>
      </w:rPr>
    </w:lvl>
    <w:lvl w:ilvl="4" w:tplc="080A0003" w:tentative="1">
      <w:start w:val="1"/>
      <w:numFmt w:val="bullet"/>
      <w:lvlText w:val="o"/>
      <w:lvlJc w:val="left"/>
      <w:pPr>
        <w:ind w:left="5094" w:hanging="360"/>
      </w:pPr>
      <w:rPr>
        <w:rFonts w:ascii="Courier New" w:hAnsi="Courier New" w:cs="Courier New" w:hint="default"/>
      </w:rPr>
    </w:lvl>
    <w:lvl w:ilvl="5" w:tplc="080A0005" w:tentative="1">
      <w:start w:val="1"/>
      <w:numFmt w:val="bullet"/>
      <w:lvlText w:val=""/>
      <w:lvlJc w:val="left"/>
      <w:pPr>
        <w:ind w:left="5814" w:hanging="360"/>
      </w:pPr>
      <w:rPr>
        <w:rFonts w:ascii="Wingdings" w:hAnsi="Wingdings" w:hint="default"/>
      </w:rPr>
    </w:lvl>
    <w:lvl w:ilvl="6" w:tplc="080A0001" w:tentative="1">
      <w:start w:val="1"/>
      <w:numFmt w:val="bullet"/>
      <w:lvlText w:val=""/>
      <w:lvlJc w:val="left"/>
      <w:pPr>
        <w:ind w:left="6534" w:hanging="360"/>
      </w:pPr>
      <w:rPr>
        <w:rFonts w:ascii="Symbol" w:hAnsi="Symbol" w:hint="default"/>
      </w:rPr>
    </w:lvl>
    <w:lvl w:ilvl="7" w:tplc="080A0003" w:tentative="1">
      <w:start w:val="1"/>
      <w:numFmt w:val="bullet"/>
      <w:lvlText w:val="o"/>
      <w:lvlJc w:val="left"/>
      <w:pPr>
        <w:ind w:left="7254" w:hanging="360"/>
      </w:pPr>
      <w:rPr>
        <w:rFonts w:ascii="Courier New" w:hAnsi="Courier New" w:cs="Courier New" w:hint="default"/>
      </w:rPr>
    </w:lvl>
    <w:lvl w:ilvl="8" w:tplc="080A0005" w:tentative="1">
      <w:start w:val="1"/>
      <w:numFmt w:val="bullet"/>
      <w:lvlText w:val=""/>
      <w:lvlJc w:val="left"/>
      <w:pPr>
        <w:ind w:left="7974" w:hanging="360"/>
      </w:pPr>
      <w:rPr>
        <w:rFonts w:ascii="Wingdings" w:hAnsi="Wingdings" w:hint="default"/>
      </w:rPr>
    </w:lvl>
  </w:abstractNum>
  <w:abstractNum w:abstractNumId="33" w15:restartNumberingAfterBreak="0">
    <w:nsid w:val="776B0AFC"/>
    <w:multiLevelType w:val="hybridMultilevel"/>
    <w:tmpl w:val="41AE4552"/>
    <w:lvl w:ilvl="0" w:tplc="52A03694">
      <w:numFmt w:val="bullet"/>
      <w:lvlText w:val="-"/>
      <w:lvlJc w:val="left"/>
      <w:pPr>
        <w:ind w:left="720" w:hanging="360"/>
      </w:pPr>
      <w:rPr>
        <w:rFonts w:ascii="Palatino Linotype" w:eastAsia="Times New Roman" w:hAnsi="Palatino Linotype"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B7C2682"/>
    <w:multiLevelType w:val="hybridMultilevel"/>
    <w:tmpl w:val="15E2FE52"/>
    <w:lvl w:ilvl="0" w:tplc="080A0019">
      <w:start w:val="1"/>
      <w:numFmt w:val="lowerLetter"/>
      <w:lvlText w:val="%1."/>
      <w:lvlJc w:val="left"/>
      <w:pPr>
        <w:ind w:left="3768" w:hanging="360"/>
      </w:pPr>
    </w:lvl>
    <w:lvl w:ilvl="1" w:tplc="080A0019" w:tentative="1">
      <w:start w:val="1"/>
      <w:numFmt w:val="lowerLetter"/>
      <w:lvlText w:val="%2."/>
      <w:lvlJc w:val="left"/>
      <w:pPr>
        <w:ind w:left="4488" w:hanging="360"/>
      </w:pPr>
    </w:lvl>
    <w:lvl w:ilvl="2" w:tplc="080A001B" w:tentative="1">
      <w:start w:val="1"/>
      <w:numFmt w:val="lowerRoman"/>
      <w:lvlText w:val="%3."/>
      <w:lvlJc w:val="right"/>
      <w:pPr>
        <w:ind w:left="5208" w:hanging="180"/>
      </w:pPr>
    </w:lvl>
    <w:lvl w:ilvl="3" w:tplc="080A000F" w:tentative="1">
      <w:start w:val="1"/>
      <w:numFmt w:val="decimal"/>
      <w:lvlText w:val="%4."/>
      <w:lvlJc w:val="left"/>
      <w:pPr>
        <w:ind w:left="5928" w:hanging="360"/>
      </w:pPr>
    </w:lvl>
    <w:lvl w:ilvl="4" w:tplc="080A0019" w:tentative="1">
      <w:start w:val="1"/>
      <w:numFmt w:val="lowerLetter"/>
      <w:lvlText w:val="%5."/>
      <w:lvlJc w:val="left"/>
      <w:pPr>
        <w:ind w:left="6648" w:hanging="360"/>
      </w:pPr>
    </w:lvl>
    <w:lvl w:ilvl="5" w:tplc="080A001B" w:tentative="1">
      <w:start w:val="1"/>
      <w:numFmt w:val="lowerRoman"/>
      <w:lvlText w:val="%6."/>
      <w:lvlJc w:val="right"/>
      <w:pPr>
        <w:ind w:left="7368" w:hanging="180"/>
      </w:pPr>
    </w:lvl>
    <w:lvl w:ilvl="6" w:tplc="080A000F" w:tentative="1">
      <w:start w:val="1"/>
      <w:numFmt w:val="decimal"/>
      <w:lvlText w:val="%7."/>
      <w:lvlJc w:val="left"/>
      <w:pPr>
        <w:ind w:left="8088" w:hanging="360"/>
      </w:pPr>
    </w:lvl>
    <w:lvl w:ilvl="7" w:tplc="080A0019" w:tentative="1">
      <w:start w:val="1"/>
      <w:numFmt w:val="lowerLetter"/>
      <w:lvlText w:val="%8."/>
      <w:lvlJc w:val="left"/>
      <w:pPr>
        <w:ind w:left="8808" w:hanging="360"/>
      </w:pPr>
    </w:lvl>
    <w:lvl w:ilvl="8" w:tplc="080A001B" w:tentative="1">
      <w:start w:val="1"/>
      <w:numFmt w:val="lowerRoman"/>
      <w:lvlText w:val="%9."/>
      <w:lvlJc w:val="right"/>
      <w:pPr>
        <w:ind w:left="9528" w:hanging="180"/>
      </w:pPr>
    </w:lvl>
  </w:abstractNum>
  <w:abstractNum w:abstractNumId="35" w15:restartNumberingAfterBreak="0">
    <w:nsid w:val="7FF23C54"/>
    <w:multiLevelType w:val="multilevel"/>
    <w:tmpl w:val="355673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5"/>
  </w:num>
  <w:num w:numId="2">
    <w:abstractNumId w:val="19"/>
  </w:num>
  <w:num w:numId="3">
    <w:abstractNumId w:val="21"/>
  </w:num>
  <w:num w:numId="4">
    <w:abstractNumId w:val="4"/>
  </w:num>
  <w:num w:numId="5">
    <w:abstractNumId w:val="29"/>
  </w:num>
  <w:num w:numId="6">
    <w:abstractNumId w:val="7"/>
  </w:num>
  <w:num w:numId="7">
    <w:abstractNumId w:val="2"/>
  </w:num>
  <w:num w:numId="8">
    <w:abstractNumId w:val="17"/>
  </w:num>
  <w:num w:numId="9">
    <w:abstractNumId w:val="32"/>
  </w:num>
  <w:num w:numId="10">
    <w:abstractNumId w:val="15"/>
  </w:num>
  <w:num w:numId="11">
    <w:abstractNumId w:val="16"/>
  </w:num>
  <w:num w:numId="12">
    <w:abstractNumId w:val="13"/>
  </w:num>
  <w:num w:numId="13">
    <w:abstractNumId w:val="22"/>
  </w:num>
  <w:num w:numId="14">
    <w:abstractNumId w:val="27"/>
  </w:num>
  <w:num w:numId="15">
    <w:abstractNumId w:val="25"/>
  </w:num>
  <w:num w:numId="16">
    <w:abstractNumId w:val="8"/>
  </w:num>
  <w:num w:numId="17">
    <w:abstractNumId w:val="23"/>
  </w:num>
  <w:num w:numId="18">
    <w:abstractNumId w:val="34"/>
  </w:num>
  <w:num w:numId="19">
    <w:abstractNumId w:val="1"/>
  </w:num>
  <w:num w:numId="20">
    <w:abstractNumId w:val="12"/>
  </w:num>
  <w:num w:numId="21">
    <w:abstractNumId w:val="30"/>
  </w:num>
  <w:num w:numId="22">
    <w:abstractNumId w:val="28"/>
  </w:num>
  <w:num w:numId="23">
    <w:abstractNumId w:val="3"/>
  </w:num>
  <w:num w:numId="24">
    <w:abstractNumId w:val="10"/>
  </w:num>
  <w:num w:numId="25">
    <w:abstractNumId w:val="5"/>
  </w:num>
  <w:num w:numId="26">
    <w:abstractNumId w:val="24"/>
  </w:num>
  <w:num w:numId="27">
    <w:abstractNumId w:val="6"/>
  </w:num>
  <w:num w:numId="28">
    <w:abstractNumId w:val="20"/>
  </w:num>
  <w:num w:numId="29">
    <w:abstractNumId w:val="31"/>
  </w:num>
  <w:num w:numId="30">
    <w:abstractNumId w:val="14"/>
  </w:num>
  <w:num w:numId="31">
    <w:abstractNumId w:val="11"/>
  </w:num>
  <w:num w:numId="32">
    <w:abstractNumId w:val="9"/>
  </w:num>
  <w:num w:numId="33">
    <w:abstractNumId w:val="18"/>
  </w:num>
  <w:num w:numId="34">
    <w:abstractNumId w:val="26"/>
  </w:num>
  <w:num w:numId="35">
    <w:abstractNumId w:val="0"/>
  </w:num>
  <w:num w:numId="3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4F65"/>
    <w:rsid w:val="000009A2"/>
    <w:rsid w:val="0003650B"/>
    <w:rsid w:val="00084D74"/>
    <w:rsid w:val="000B58BD"/>
    <w:rsid w:val="000D143C"/>
    <w:rsid w:val="000F6DED"/>
    <w:rsid w:val="0010501C"/>
    <w:rsid w:val="00144694"/>
    <w:rsid w:val="00153641"/>
    <w:rsid w:val="00183F96"/>
    <w:rsid w:val="001A4F65"/>
    <w:rsid w:val="001C0F8C"/>
    <w:rsid w:val="00222E50"/>
    <w:rsid w:val="002318AF"/>
    <w:rsid w:val="00257274"/>
    <w:rsid w:val="002619BD"/>
    <w:rsid w:val="002C27E3"/>
    <w:rsid w:val="003357C6"/>
    <w:rsid w:val="00365AFD"/>
    <w:rsid w:val="00390BC6"/>
    <w:rsid w:val="003E7332"/>
    <w:rsid w:val="0040783F"/>
    <w:rsid w:val="00414021"/>
    <w:rsid w:val="00415686"/>
    <w:rsid w:val="0049390F"/>
    <w:rsid w:val="004B0440"/>
    <w:rsid w:val="00511BF8"/>
    <w:rsid w:val="005646D9"/>
    <w:rsid w:val="00567A0F"/>
    <w:rsid w:val="005A4CF2"/>
    <w:rsid w:val="005F1955"/>
    <w:rsid w:val="005F3F1D"/>
    <w:rsid w:val="0063307F"/>
    <w:rsid w:val="00675BC2"/>
    <w:rsid w:val="006D3DD5"/>
    <w:rsid w:val="0073583A"/>
    <w:rsid w:val="007548F0"/>
    <w:rsid w:val="00767383"/>
    <w:rsid w:val="0077712A"/>
    <w:rsid w:val="00792332"/>
    <w:rsid w:val="007A2561"/>
    <w:rsid w:val="007E595F"/>
    <w:rsid w:val="008C0D05"/>
    <w:rsid w:val="00902F7D"/>
    <w:rsid w:val="00944A02"/>
    <w:rsid w:val="00953148"/>
    <w:rsid w:val="009A03BA"/>
    <w:rsid w:val="009B0769"/>
    <w:rsid w:val="009C14D6"/>
    <w:rsid w:val="009D5BAB"/>
    <w:rsid w:val="009D7066"/>
    <w:rsid w:val="00A2067D"/>
    <w:rsid w:val="00A23CAE"/>
    <w:rsid w:val="00A43672"/>
    <w:rsid w:val="00A62CE0"/>
    <w:rsid w:val="00A97D41"/>
    <w:rsid w:val="00AD22B3"/>
    <w:rsid w:val="00AD5CD1"/>
    <w:rsid w:val="00BA0E0E"/>
    <w:rsid w:val="00BE6F57"/>
    <w:rsid w:val="00C76D0C"/>
    <w:rsid w:val="00C956BE"/>
    <w:rsid w:val="00CA41B0"/>
    <w:rsid w:val="00CB0FF8"/>
    <w:rsid w:val="00CD39D6"/>
    <w:rsid w:val="00CD45DA"/>
    <w:rsid w:val="00D05AA2"/>
    <w:rsid w:val="00D46E6C"/>
    <w:rsid w:val="00D529D9"/>
    <w:rsid w:val="00D738F2"/>
    <w:rsid w:val="00DE2043"/>
    <w:rsid w:val="00DF25F5"/>
    <w:rsid w:val="00E1025B"/>
    <w:rsid w:val="00E71344"/>
    <w:rsid w:val="00E94C6B"/>
    <w:rsid w:val="00E97B01"/>
    <w:rsid w:val="00EF10DB"/>
    <w:rsid w:val="00EF5F18"/>
    <w:rsid w:val="00F76480"/>
    <w:rsid w:val="00F930B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4BC622E1"/>
  <w15:chartTrackingRefBased/>
  <w15:docId w15:val="{71523EEA-BE3E-48D6-9EF7-053D75C7EB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4"/>
        <w:szCs w:val="24"/>
        <w:lang w:val="es-MX"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A4F65"/>
    <w:pPr>
      <w:spacing w:after="0" w:line="240" w:lineRule="auto"/>
    </w:pPr>
    <w:rPr>
      <w:rFonts w:ascii="Times New Roman" w:eastAsia="Times New Roman" w:hAnsi="Times New Roman" w:cs="Times New Roman"/>
      <w:kern w:val="0"/>
      <w:lang w:eastAsia="es-MX"/>
      <w14:ligatures w14:val="none"/>
    </w:rPr>
  </w:style>
  <w:style w:type="paragraph" w:styleId="Ttulo1">
    <w:name w:val="heading 1"/>
    <w:basedOn w:val="Normal"/>
    <w:next w:val="Normal"/>
    <w:link w:val="Ttulo1Car"/>
    <w:qFormat/>
    <w:rsid w:val="001A4F6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nhideWhenUsed/>
    <w:qFormat/>
    <w:rsid w:val="001A4F6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nhideWhenUsed/>
    <w:qFormat/>
    <w:rsid w:val="001A4F65"/>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nhideWhenUsed/>
    <w:qFormat/>
    <w:rsid w:val="001A4F65"/>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nhideWhenUsed/>
    <w:qFormat/>
    <w:rsid w:val="001A4F65"/>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nhideWhenUsed/>
    <w:qFormat/>
    <w:rsid w:val="001A4F65"/>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1A4F65"/>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1A4F65"/>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1A4F65"/>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A4F65"/>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1A4F65"/>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1A4F65"/>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1A4F65"/>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1A4F65"/>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1A4F65"/>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1A4F65"/>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1A4F65"/>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1A4F65"/>
    <w:rPr>
      <w:rFonts w:eastAsiaTheme="majorEastAsia" w:cstheme="majorBidi"/>
      <w:color w:val="272727" w:themeColor="text1" w:themeTint="D8"/>
    </w:rPr>
  </w:style>
  <w:style w:type="paragraph" w:styleId="Puesto">
    <w:name w:val="Title"/>
    <w:basedOn w:val="Normal"/>
    <w:next w:val="Normal"/>
    <w:link w:val="PuestoCar"/>
    <w:qFormat/>
    <w:rsid w:val="001A4F65"/>
    <w:pPr>
      <w:spacing w:after="80"/>
      <w:contextualSpacing/>
    </w:pPr>
    <w:rPr>
      <w:rFonts w:asciiTheme="majorHAnsi" w:eastAsiaTheme="majorEastAsia" w:hAnsiTheme="majorHAnsi" w:cstheme="majorBidi"/>
      <w:spacing w:val="-10"/>
      <w:kern w:val="28"/>
      <w:sz w:val="56"/>
      <w:szCs w:val="56"/>
    </w:rPr>
  </w:style>
  <w:style w:type="character" w:customStyle="1" w:styleId="PuestoCar">
    <w:name w:val="Puesto Car"/>
    <w:basedOn w:val="Fuentedeprrafopredeter"/>
    <w:link w:val="Puesto"/>
    <w:uiPriority w:val="10"/>
    <w:rsid w:val="001A4F65"/>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qFormat/>
    <w:rsid w:val="001A4F65"/>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1A4F65"/>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1A4F65"/>
    <w:pPr>
      <w:spacing w:before="160"/>
      <w:jc w:val="center"/>
    </w:pPr>
    <w:rPr>
      <w:i/>
      <w:iCs/>
      <w:color w:val="404040" w:themeColor="text1" w:themeTint="BF"/>
    </w:rPr>
  </w:style>
  <w:style w:type="character" w:customStyle="1" w:styleId="CitaCar">
    <w:name w:val="Cita Car"/>
    <w:basedOn w:val="Fuentedeprrafopredeter"/>
    <w:link w:val="Cita"/>
    <w:uiPriority w:val="29"/>
    <w:rsid w:val="001A4F65"/>
    <w:rPr>
      <w:i/>
      <w:iCs/>
      <w:color w:val="404040" w:themeColor="text1" w:themeTint="BF"/>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1A4F65"/>
    <w:pPr>
      <w:ind w:left="720"/>
      <w:contextualSpacing/>
    </w:pPr>
  </w:style>
  <w:style w:type="character" w:styleId="nfasisintenso">
    <w:name w:val="Intense Emphasis"/>
    <w:basedOn w:val="Fuentedeprrafopredeter"/>
    <w:uiPriority w:val="21"/>
    <w:qFormat/>
    <w:rsid w:val="001A4F65"/>
    <w:rPr>
      <w:i/>
      <w:iCs/>
      <w:color w:val="0F4761" w:themeColor="accent1" w:themeShade="BF"/>
    </w:rPr>
  </w:style>
  <w:style w:type="paragraph" w:styleId="Citadestacada">
    <w:name w:val="Intense Quote"/>
    <w:basedOn w:val="Normal"/>
    <w:next w:val="Normal"/>
    <w:link w:val="CitadestacadaCar"/>
    <w:uiPriority w:val="30"/>
    <w:qFormat/>
    <w:rsid w:val="001A4F6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1A4F65"/>
    <w:rPr>
      <w:i/>
      <w:iCs/>
      <w:color w:val="0F4761" w:themeColor="accent1" w:themeShade="BF"/>
    </w:rPr>
  </w:style>
  <w:style w:type="character" w:styleId="Referenciaintensa">
    <w:name w:val="Intense Reference"/>
    <w:basedOn w:val="Fuentedeprrafopredeter"/>
    <w:uiPriority w:val="32"/>
    <w:qFormat/>
    <w:rsid w:val="001A4F65"/>
    <w:rPr>
      <w:b/>
      <w:bCs/>
      <w:smallCaps/>
      <w:color w:val="0F4761" w:themeColor="accent1" w:themeShade="BF"/>
      <w:spacing w:val="5"/>
    </w:rPr>
  </w:style>
  <w:style w:type="table" w:customStyle="1" w:styleId="TableNormal">
    <w:name w:val="Table Normal"/>
    <w:rsid w:val="001A4F65"/>
    <w:pPr>
      <w:spacing w:after="0" w:line="240" w:lineRule="auto"/>
    </w:pPr>
    <w:rPr>
      <w:rFonts w:ascii="Times New Roman" w:eastAsia="Times New Roman" w:hAnsi="Times New Roman" w:cs="Times New Roman"/>
      <w:kern w:val="0"/>
      <w:lang w:eastAsia="es-MX"/>
      <w14:ligatures w14:val="none"/>
    </w:rPr>
    <w:tblPr>
      <w:tblCellMar>
        <w:top w:w="0" w:type="dxa"/>
        <w:left w:w="0" w:type="dxa"/>
        <w:bottom w:w="0" w:type="dxa"/>
        <w:right w:w="0" w:type="dxa"/>
      </w:tblCellMar>
    </w:tblPr>
  </w:style>
  <w:style w:type="table" w:customStyle="1" w:styleId="2">
    <w:name w:val="2"/>
    <w:basedOn w:val="TableNormal"/>
    <w:rsid w:val="001A4F65"/>
    <w:tblPr>
      <w:tblStyleRowBandSize w:val="1"/>
      <w:tblStyleColBandSize w:val="1"/>
      <w:tblCellMar>
        <w:left w:w="70" w:type="dxa"/>
        <w:right w:w="70" w:type="dxa"/>
      </w:tblCellMar>
    </w:tblPr>
  </w:style>
  <w:style w:type="table" w:customStyle="1" w:styleId="1">
    <w:name w:val="1"/>
    <w:basedOn w:val="TableNormal"/>
    <w:rsid w:val="001A4F65"/>
    <w:tblPr>
      <w:tblStyleRowBandSize w:val="1"/>
      <w:tblStyleColBandSize w:val="1"/>
      <w:tblCellMar>
        <w:left w:w="70" w:type="dxa"/>
        <w:right w:w="70" w:type="dxa"/>
      </w:tblCellMar>
    </w:tblPr>
  </w:style>
  <w:style w:type="paragraph" w:styleId="Piedepgina">
    <w:name w:val="footer"/>
    <w:basedOn w:val="Normal"/>
    <w:link w:val="PiedepginaCar"/>
    <w:uiPriority w:val="99"/>
    <w:unhideWhenUsed/>
    <w:rsid w:val="001A4F65"/>
    <w:pPr>
      <w:tabs>
        <w:tab w:val="center" w:pos="4419"/>
        <w:tab w:val="right" w:pos="8838"/>
      </w:tabs>
    </w:pPr>
  </w:style>
  <w:style w:type="character" w:customStyle="1" w:styleId="PiedepginaCar">
    <w:name w:val="Pie de página Car"/>
    <w:basedOn w:val="Fuentedeprrafopredeter"/>
    <w:link w:val="Piedepgina"/>
    <w:uiPriority w:val="99"/>
    <w:rsid w:val="001A4F65"/>
    <w:rPr>
      <w:rFonts w:ascii="Times New Roman" w:eastAsia="Times New Roman" w:hAnsi="Times New Roman" w:cs="Times New Roman"/>
      <w:kern w:val="0"/>
      <w:lang w:eastAsia="es-MX"/>
      <w14:ligatures w14:val="none"/>
    </w:rPr>
  </w:style>
  <w:style w:type="character" w:styleId="Hipervnculo">
    <w:name w:val="Hyperlink"/>
    <w:basedOn w:val="Fuentedeprrafopredeter"/>
    <w:uiPriority w:val="99"/>
    <w:unhideWhenUsed/>
    <w:rsid w:val="001A4F65"/>
    <w:rPr>
      <w:color w:val="0000FF"/>
      <w:u w:val="single"/>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1A4F65"/>
  </w:style>
  <w:style w:type="paragraph" w:styleId="Revisin">
    <w:name w:val="Revision"/>
    <w:hidden/>
    <w:uiPriority w:val="99"/>
    <w:semiHidden/>
    <w:rsid w:val="001A4F65"/>
    <w:pPr>
      <w:spacing w:after="0" w:line="240" w:lineRule="auto"/>
    </w:pPr>
    <w:rPr>
      <w:rFonts w:ascii="Times New Roman" w:eastAsia="Times New Roman" w:hAnsi="Times New Roman" w:cs="Times New Roman"/>
      <w:kern w:val="0"/>
      <w:lang w:eastAsia="es-MX"/>
      <w14:ligatures w14:val="none"/>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1A4F65"/>
    <w:rPr>
      <w:vertAlign w:val="superscript"/>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1A4F65"/>
    <w:rPr>
      <w:rFonts w:ascii="Calibri" w:eastAsia="Calibri" w:hAnsi="Calibri"/>
      <w:sz w:val="20"/>
      <w:szCs w:val="20"/>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1A4F65"/>
    <w:rPr>
      <w:rFonts w:ascii="Calibri" w:eastAsia="Calibri" w:hAnsi="Calibri" w:cs="Times New Roman"/>
      <w:kern w:val="0"/>
      <w:sz w:val="20"/>
      <w:szCs w:val="20"/>
      <w14:ligatures w14:val="none"/>
    </w:rPr>
  </w:style>
  <w:style w:type="character" w:customStyle="1" w:styleId="UnresolvedMention">
    <w:name w:val="Unresolved Mention"/>
    <w:basedOn w:val="Fuentedeprrafopredeter"/>
    <w:uiPriority w:val="99"/>
    <w:semiHidden/>
    <w:unhideWhenUsed/>
    <w:rsid w:val="001A4F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5590534">
      <w:bodyDiv w:val="1"/>
      <w:marLeft w:val="0"/>
      <w:marRight w:val="0"/>
      <w:marTop w:val="0"/>
      <w:marBottom w:val="0"/>
      <w:divBdr>
        <w:top w:val="none" w:sz="0" w:space="0" w:color="auto"/>
        <w:left w:val="none" w:sz="0" w:space="0" w:color="auto"/>
        <w:bottom w:val="none" w:sz="0" w:space="0" w:color="auto"/>
        <w:right w:val="none" w:sz="0" w:space="0" w:color="auto"/>
      </w:divBdr>
    </w:div>
    <w:div w:id="740760929">
      <w:bodyDiv w:val="1"/>
      <w:marLeft w:val="0"/>
      <w:marRight w:val="0"/>
      <w:marTop w:val="0"/>
      <w:marBottom w:val="0"/>
      <w:divBdr>
        <w:top w:val="none" w:sz="0" w:space="0" w:color="auto"/>
        <w:left w:val="none" w:sz="0" w:space="0" w:color="auto"/>
        <w:bottom w:val="none" w:sz="0" w:space="0" w:color="auto"/>
        <w:right w:val="none" w:sz="0" w:space="0" w:color="auto"/>
      </w:divBdr>
    </w:div>
    <w:div w:id="929124836">
      <w:bodyDiv w:val="1"/>
      <w:marLeft w:val="0"/>
      <w:marRight w:val="0"/>
      <w:marTop w:val="0"/>
      <w:marBottom w:val="0"/>
      <w:divBdr>
        <w:top w:val="none" w:sz="0" w:space="0" w:color="auto"/>
        <w:left w:val="none" w:sz="0" w:space="0" w:color="auto"/>
        <w:bottom w:val="none" w:sz="0" w:space="0" w:color="auto"/>
        <w:right w:val="none" w:sz="0" w:space="0" w:color="auto"/>
      </w:divBdr>
    </w:div>
    <w:div w:id="1654600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nografias.com/trabajos14/verific-servicios/verific-servicios.shtm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dof.gob.mx/nota_detalle.php?codigo=5492254&amp;fecha=28/07/2017" TargetMode="Externa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2" Type="http://schemas.openxmlformats.org/officeDocument/2006/relationships/hyperlink" Target="about:blank" TargetMode="External"/><Relationship Id="rId1" Type="http://schemas.openxmlformats.org/officeDocument/2006/relationships/hyperlink" Target="about:blan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4</TotalTime>
  <Pages>52</Pages>
  <Words>12947</Words>
  <Characters>71213</Characters>
  <Application>Microsoft Office Word</Application>
  <DocSecurity>0</DocSecurity>
  <Lines>593</Lines>
  <Paragraphs>167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noe jesus mejia bernal</dc:creator>
  <cp:keywords/>
  <dc:description/>
  <cp:lastModifiedBy>INFOEM492</cp:lastModifiedBy>
  <cp:revision>4</cp:revision>
  <dcterms:created xsi:type="dcterms:W3CDTF">2025-04-10T16:11:00Z</dcterms:created>
  <dcterms:modified xsi:type="dcterms:W3CDTF">2025-04-29T20:04:00Z</dcterms:modified>
</cp:coreProperties>
</file>