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34AB" w14:textId="3B48B9E6"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D1322" w:rsidRPr="00EB2447">
        <w:rPr>
          <w:rFonts w:ascii="Palatino Linotype" w:eastAsia="Palatino Linotype" w:hAnsi="Palatino Linotype" w:cs="Palatino Linotype"/>
        </w:rPr>
        <w:t>trece</w:t>
      </w:r>
      <w:r w:rsidR="00A27719" w:rsidRPr="00EB2447">
        <w:rPr>
          <w:rFonts w:ascii="Palatino Linotype" w:eastAsia="Palatino Linotype" w:hAnsi="Palatino Linotype" w:cs="Palatino Linotype"/>
        </w:rPr>
        <w:t xml:space="preserve"> de agosto</w:t>
      </w:r>
      <w:r w:rsidR="005A5FFF" w:rsidRPr="00EB2447">
        <w:rPr>
          <w:rFonts w:ascii="Palatino Linotype" w:eastAsia="Palatino Linotype" w:hAnsi="Palatino Linotype" w:cs="Palatino Linotype"/>
        </w:rPr>
        <w:t xml:space="preserve"> de dos mil veinticinco</w:t>
      </w:r>
      <w:r w:rsidRPr="00EB2447">
        <w:rPr>
          <w:rFonts w:ascii="Palatino Linotype" w:eastAsia="Palatino Linotype" w:hAnsi="Palatino Linotype" w:cs="Palatino Linotype"/>
        </w:rPr>
        <w:t xml:space="preserve">. </w:t>
      </w:r>
    </w:p>
    <w:p w14:paraId="732E6F57" w14:textId="77777777" w:rsidR="009338B5" w:rsidRPr="00EB2447" w:rsidRDefault="009338B5" w:rsidP="003E3B65">
      <w:pPr>
        <w:spacing w:after="0" w:line="360" w:lineRule="auto"/>
        <w:ind w:right="49"/>
        <w:jc w:val="center"/>
        <w:rPr>
          <w:rFonts w:ascii="Palatino Linotype" w:eastAsia="Palatino Linotype" w:hAnsi="Palatino Linotype" w:cs="Palatino Linotype"/>
        </w:rPr>
      </w:pPr>
    </w:p>
    <w:p w14:paraId="57725A1C" w14:textId="30AC3BC5"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Visto el expediente relativo al recurso de revisión </w:t>
      </w:r>
      <w:r w:rsidR="005E16E7" w:rsidRPr="00EB2447">
        <w:rPr>
          <w:rFonts w:ascii="Palatino Linotype" w:eastAsia="Palatino Linotype" w:hAnsi="Palatino Linotype" w:cs="Palatino Linotype"/>
          <w:b/>
        </w:rPr>
        <w:t>0</w:t>
      </w:r>
      <w:r w:rsidR="000D1322" w:rsidRPr="00EB2447">
        <w:rPr>
          <w:rFonts w:ascii="Palatino Linotype" w:eastAsia="Palatino Linotype" w:hAnsi="Palatino Linotype" w:cs="Palatino Linotype"/>
          <w:b/>
        </w:rPr>
        <w:t>6229/</w:t>
      </w:r>
      <w:r w:rsidR="005A5FFF" w:rsidRPr="00EB2447">
        <w:rPr>
          <w:rFonts w:ascii="Palatino Linotype" w:eastAsia="Palatino Linotype" w:hAnsi="Palatino Linotype" w:cs="Palatino Linotype"/>
          <w:b/>
        </w:rPr>
        <w:t>INFOEM/IP/RR/2025</w:t>
      </w:r>
      <w:r w:rsidRPr="00EB2447">
        <w:rPr>
          <w:rFonts w:ascii="Palatino Linotype" w:eastAsia="Palatino Linotype" w:hAnsi="Palatino Linotype" w:cs="Palatino Linotype"/>
        </w:rPr>
        <w:t xml:space="preserve">, interpuesto por </w:t>
      </w:r>
      <w:r w:rsidR="005A5FFF" w:rsidRPr="00EB2447">
        <w:rPr>
          <w:rFonts w:ascii="Palatino Linotype" w:eastAsia="Palatino Linotype" w:hAnsi="Palatino Linotype" w:cs="Palatino Linotype"/>
          <w:b/>
        </w:rPr>
        <w:t>una persona usuaria del Sistema de Acceso a la Información Mexiquense</w:t>
      </w:r>
      <w:r w:rsidRPr="00EB2447">
        <w:rPr>
          <w:rFonts w:ascii="Palatino Linotype" w:eastAsia="Palatino Linotype" w:hAnsi="Palatino Linotype" w:cs="Palatino Linotype"/>
        </w:rPr>
        <w:t xml:space="preserve">, al cual en lo sucesivo se le denominará la parte </w:t>
      </w:r>
      <w:r w:rsidRPr="00EB2447">
        <w:rPr>
          <w:rFonts w:ascii="Palatino Linotype" w:eastAsia="Palatino Linotype" w:hAnsi="Palatino Linotype" w:cs="Palatino Linotype"/>
          <w:b/>
        </w:rPr>
        <w:t>RECURRENTE</w:t>
      </w:r>
      <w:r w:rsidRPr="00EB2447">
        <w:rPr>
          <w:rFonts w:ascii="Palatino Linotype" w:eastAsia="Palatino Linotype" w:hAnsi="Palatino Linotype" w:cs="Palatino Linotype"/>
        </w:rPr>
        <w:t xml:space="preserve">, en contra de la respuesta a su solicitud de información identificada con número de folio </w:t>
      </w:r>
      <w:r w:rsidR="000D1322" w:rsidRPr="00EB2447">
        <w:rPr>
          <w:rFonts w:ascii="Palatino Linotype" w:eastAsia="Palatino Linotype" w:hAnsi="Palatino Linotype" w:cs="Palatino Linotype"/>
          <w:b/>
        </w:rPr>
        <w:t>00067</w:t>
      </w:r>
      <w:r w:rsidR="00A27719" w:rsidRPr="00EB2447">
        <w:rPr>
          <w:rFonts w:ascii="Palatino Linotype" w:eastAsia="Palatino Linotype" w:hAnsi="Palatino Linotype" w:cs="Palatino Linotype"/>
          <w:b/>
        </w:rPr>
        <w:t>/</w:t>
      </w:r>
      <w:r w:rsidR="000D1322" w:rsidRPr="00EB2447">
        <w:rPr>
          <w:rFonts w:ascii="Palatino Linotype" w:eastAsia="Palatino Linotype" w:hAnsi="Palatino Linotype" w:cs="Palatino Linotype"/>
          <w:b/>
        </w:rPr>
        <w:t>COACALCO/</w:t>
      </w:r>
      <w:r w:rsidR="00A27719" w:rsidRPr="00EB2447">
        <w:rPr>
          <w:rFonts w:ascii="Palatino Linotype" w:eastAsia="Palatino Linotype" w:hAnsi="Palatino Linotype" w:cs="Palatino Linotype"/>
          <w:b/>
        </w:rPr>
        <w:t xml:space="preserve">IP/2025 </w:t>
      </w:r>
      <w:r w:rsidR="005E16E7" w:rsidRPr="00EB2447">
        <w:rPr>
          <w:rFonts w:ascii="Palatino Linotype" w:eastAsia="Palatino Linotype" w:hAnsi="Palatino Linotype" w:cs="Palatino Linotype"/>
        </w:rPr>
        <w:t xml:space="preserve">proporcionada por parte del </w:t>
      </w:r>
      <w:r w:rsidR="000D1322" w:rsidRPr="00EB2447">
        <w:rPr>
          <w:rFonts w:ascii="Palatino Linotype" w:eastAsia="Palatino Linotype" w:hAnsi="Palatino Linotype" w:cs="Palatino Linotype"/>
        </w:rPr>
        <w:t>Ayuntamiento de Coacalco de Berriozábal</w:t>
      </w:r>
      <w:r w:rsidRPr="00EB2447">
        <w:rPr>
          <w:rFonts w:ascii="Palatino Linotype" w:eastAsia="Palatino Linotype" w:hAnsi="Palatino Linotype" w:cs="Palatino Linotype"/>
        </w:rPr>
        <w:t xml:space="preserve">, en lo sucesivo el </w:t>
      </w:r>
      <w:r w:rsidRPr="00EB2447">
        <w:rPr>
          <w:rFonts w:ascii="Palatino Linotype" w:eastAsia="Palatino Linotype" w:hAnsi="Palatino Linotype" w:cs="Palatino Linotype"/>
          <w:b/>
        </w:rPr>
        <w:t>SUJETO OBLIGADO</w:t>
      </w:r>
      <w:r w:rsidRPr="00EB2447">
        <w:rPr>
          <w:rFonts w:ascii="Palatino Linotype" w:eastAsia="Palatino Linotype" w:hAnsi="Palatino Linotype" w:cs="Palatino Linotype"/>
        </w:rPr>
        <w:t>; se procede a dictar la presente resolución, con base en los siguientes:</w:t>
      </w:r>
    </w:p>
    <w:p w14:paraId="58F7C79A"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34B13A36" w14:textId="77777777" w:rsidR="009338B5" w:rsidRPr="00EB2447" w:rsidRDefault="00E0628C" w:rsidP="003E3B65">
      <w:pPr>
        <w:spacing w:after="0" w:line="360" w:lineRule="auto"/>
        <w:ind w:right="49"/>
        <w:jc w:val="center"/>
        <w:rPr>
          <w:rFonts w:ascii="Palatino Linotype" w:eastAsia="Palatino Linotype" w:hAnsi="Palatino Linotype" w:cs="Palatino Linotype"/>
          <w:b/>
        </w:rPr>
      </w:pPr>
      <w:r w:rsidRPr="00EB2447">
        <w:rPr>
          <w:rFonts w:ascii="Palatino Linotype" w:eastAsia="Palatino Linotype" w:hAnsi="Palatino Linotype" w:cs="Palatino Linotype"/>
          <w:b/>
        </w:rPr>
        <w:t>I.</w:t>
      </w:r>
      <w:r w:rsidRPr="00EB2447">
        <w:rPr>
          <w:rFonts w:ascii="Palatino Linotype" w:eastAsia="Palatino Linotype" w:hAnsi="Palatino Linotype" w:cs="Palatino Linotype"/>
          <w:b/>
        </w:rPr>
        <w:tab/>
        <w:t>A N T E C E D E N T E S</w:t>
      </w:r>
    </w:p>
    <w:p w14:paraId="0E12E63D"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0617639E" w14:textId="70B46660" w:rsidR="009338B5" w:rsidRPr="00EB2447" w:rsidRDefault="00E0628C" w:rsidP="003E3B6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B2447">
        <w:rPr>
          <w:rFonts w:ascii="Palatino Linotype" w:eastAsia="Palatino Linotype" w:hAnsi="Palatino Linotype" w:cs="Palatino Linotype"/>
          <w:b/>
        </w:rPr>
        <w:t>Solicitud de acceso a la información.</w:t>
      </w:r>
      <w:r w:rsidR="00182F1C" w:rsidRPr="00EB2447">
        <w:rPr>
          <w:rFonts w:ascii="Palatino Linotype" w:eastAsia="Palatino Linotype" w:hAnsi="Palatino Linotype" w:cs="Palatino Linotype"/>
        </w:rPr>
        <w:t xml:space="preserve"> Con fecha </w:t>
      </w:r>
      <w:r w:rsidR="000D1322" w:rsidRPr="00EB2447">
        <w:rPr>
          <w:rFonts w:ascii="Palatino Linotype" w:eastAsia="Palatino Linotype" w:hAnsi="Palatino Linotype" w:cs="Palatino Linotype"/>
          <w:b/>
        </w:rPr>
        <w:t>veinticuatro de abril</w:t>
      </w:r>
      <w:r w:rsidR="00182F1C" w:rsidRPr="00EB2447">
        <w:rPr>
          <w:rFonts w:ascii="Palatino Linotype" w:eastAsia="Palatino Linotype" w:hAnsi="Palatino Linotype" w:cs="Palatino Linotype"/>
          <w:b/>
        </w:rPr>
        <w:t xml:space="preserve"> de dos mil veintic</w:t>
      </w:r>
      <w:r w:rsidR="00A27719" w:rsidRPr="00EB2447">
        <w:rPr>
          <w:rFonts w:ascii="Palatino Linotype" w:eastAsia="Palatino Linotype" w:hAnsi="Palatino Linotype" w:cs="Palatino Linotype"/>
          <w:b/>
        </w:rPr>
        <w:t>inco</w:t>
      </w:r>
      <w:r w:rsidR="00182F1C" w:rsidRPr="00EB2447">
        <w:rPr>
          <w:rFonts w:ascii="Palatino Linotype" w:eastAsia="Palatino Linotype" w:hAnsi="Palatino Linotype" w:cs="Palatino Linotype"/>
          <w:b/>
        </w:rPr>
        <w:t>,</w:t>
      </w:r>
      <w:r w:rsidR="00182F1C" w:rsidRPr="00EB2447">
        <w:rPr>
          <w:rFonts w:ascii="Palatino Linotype" w:eastAsia="Palatino Linotype" w:hAnsi="Palatino Linotype" w:cs="Palatino Linotype"/>
        </w:rPr>
        <w:t xml:space="preserve"> el Recurrente formuló una solicitud; </w:t>
      </w:r>
      <w:r w:rsidR="000D1322" w:rsidRPr="00EB2447">
        <w:rPr>
          <w:rFonts w:ascii="Palatino Linotype" w:eastAsia="Palatino Linotype" w:hAnsi="Palatino Linotype" w:cs="Palatino Linotype"/>
        </w:rPr>
        <w:t xml:space="preserve">a </w:t>
      </w:r>
      <w:r w:rsidR="00182F1C" w:rsidRPr="00EB2447">
        <w:rPr>
          <w:rFonts w:ascii="Palatino Linotype" w:eastAsia="Palatino Linotype" w:hAnsi="Palatino Linotype" w:cs="Palatino Linotype"/>
        </w:rPr>
        <w:t xml:space="preserve">través del Sistema de Acceso a la Información Mexiquense, en lo subsecuente el SAIMEX, ante el SUJETO OBLIGADO, la solicitud de acceso a la información pública, a la que se le asignó el número </w:t>
      </w:r>
      <w:r w:rsidR="000D1322" w:rsidRPr="00EB2447">
        <w:rPr>
          <w:rFonts w:ascii="Palatino Linotype" w:eastAsia="Palatino Linotype" w:hAnsi="Palatino Linotype" w:cs="Palatino Linotype"/>
          <w:b/>
        </w:rPr>
        <w:t>00067</w:t>
      </w:r>
      <w:r w:rsidR="00A27719" w:rsidRPr="00EB2447">
        <w:rPr>
          <w:rFonts w:ascii="Palatino Linotype" w:eastAsia="Palatino Linotype" w:hAnsi="Palatino Linotype" w:cs="Palatino Linotype"/>
          <w:b/>
        </w:rPr>
        <w:t>/</w:t>
      </w:r>
      <w:r w:rsidR="000D1322" w:rsidRPr="00EB2447">
        <w:rPr>
          <w:rFonts w:ascii="Palatino Linotype" w:eastAsia="Palatino Linotype" w:hAnsi="Palatino Linotype" w:cs="Palatino Linotype"/>
          <w:b/>
        </w:rPr>
        <w:t>COACALCO</w:t>
      </w:r>
      <w:r w:rsidR="00A27719" w:rsidRPr="00EB2447">
        <w:rPr>
          <w:rFonts w:ascii="Palatino Linotype" w:eastAsia="Palatino Linotype" w:hAnsi="Palatino Linotype" w:cs="Palatino Linotype"/>
          <w:b/>
        </w:rPr>
        <w:t>/IP/2025</w:t>
      </w:r>
      <w:r w:rsidR="00182F1C" w:rsidRPr="00EB2447">
        <w:rPr>
          <w:rFonts w:ascii="Palatino Linotype" w:eastAsia="Palatino Linotype" w:hAnsi="Palatino Linotype" w:cs="Palatino Linotype"/>
        </w:rPr>
        <w:t>, mediante la cual requirió la información siguiente:</w:t>
      </w:r>
      <w:r w:rsidRPr="00EB2447">
        <w:rPr>
          <w:rFonts w:ascii="Palatino Linotype" w:eastAsia="Palatino Linotype" w:hAnsi="Palatino Linotype" w:cs="Palatino Linotype"/>
        </w:rPr>
        <w:t xml:space="preserve"> </w:t>
      </w:r>
    </w:p>
    <w:p w14:paraId="4A555361" w14:textId="77777777" w:rsidR="009338B5" w:rsidRPr="00EB2447" w:rsidRDefault="009338B5"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6C85CE" w14:textId="5D5D7378" w:rsidR="009338B5" w:rsidRPr="00EB2447" w:rsidRDefault="005A5FFF" w:rsidP="003E3B65">
      <w:pPr>
        <w:spacing w:after="0" w:line="360" w:lineRule="auto"/>
        <w:ind w:left="567" w:right="560"/>
        <w:jc w:val="both"/>
        <w:rPr>
          <w:rFonts w:ascii="Palatino Linotype" w:eastAsia="Palatino Linotype" w:hAnsi="Palatino Linotype" w:cs="Palatino Linotype"/>
          <w:i/>
        </w:rPr>
      </w:pPr>
      <w:bookmarkStart w:id="0" w:name="_heading=h.30j0zll" w:colFirst="0" w:colLast="0"/>
      <w:bookmarkEnd w:id="0"/>
      <w:r w:rsidRPr="00EB2447">
        <w:rPr>
          <w:rFonts w:ascii="Palatino Linotype" w:eastAsia="Palatino Linotype" w:hAnsi="Palatino Linotype" w:cs="Palatino Linotype"/>
          <w:i/>
        </w:rPr>
        <w:t>“</w:t>
      </w:r>
      <w:r w:rsidR="000D1322" w:rsidRPr="00EB2447">
        <w:rPr>
          <w:rFonts w:ascii="Palatino Linotype" w:eastAsia="Palatino Linotype" w:hAnsi="Palatino Linotype" w:cs="Palatino Linotype"/>
          <w:i/>
        </w:rPr>
        <w:t>Estado de cuenta de enero a marzo 2025</w:t>
      </w:r>
      <w:r w:rsidR="00E0628C" w:rsidRPr="00EB2447">
        <w:rPr>
          <w:rFonts w:ascii="Palatino Linotype" w:eastAsia="Palatino Linotype" w:hAnsi="Palatino Linotype" w:cs="Palatino Linotype"/>
          <w:i/>
        </w:rPr>
        <w:t>”</w:t>
      </w:r>
    </w:p>
    <w:p w14:paraId="4C561A4F" w14:textId="77777777" w:rsidR="009338B5" w:rsidRPr="00EB2447" w:rsidRDefault="009338B5" w:rsidP="003E3B65">
      <w:pPr>
        <w:spacing w:after="0" w:line="360" w:lineRule="auto"/>
        <w:ind w:left="567" w:right="560"/>
        <w:jc w:val="both"/>
        <w:rPr>
          <w:rFonts w:ascii="Palatino Linotype" w:eastAsia="Palatino Linotype" w:hAnsi="Palatino Linotype" w:cs="Palatino Linotype"/>
          <w:i/>
        </w:rPr>
      </w:pPr>
    </w:p>
    <w:p w14:paraId="2BECFED4" w14:textId="22A73E00" w:rsidR="005E16E7"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Modalidad elegida para la entrega de la información:</w:t>
      </w:r>
      <w:r w:rsidRPr="00EB2447">
        <w:rPr>
          <w:rFonts w:ascii="Palatino Linotype" w:eastAsia="Palatino Linotype" w:hAnsi="Palatino Linotype" w:cs="Palatino Linotype"/>
        </w:rPr>
        <w:t xml:space="preserve"> a través del Sistema de Acceso a la Información Mexiquense (SAIMEX). </w:t>
      </w:r>
    </w:p>
    <w:p w14:paraId="0502508F" w14:textId="77777777" w:rsidR="00A27719" w:rsidRPr="00EB2447" w:rsidRDefault="00A27719" w:rsidP="003E3B65">
      <w:pPr>
        <w:spacing w:after="0" w:line="360" w:lineRule="auto"/>
        <w:ind w:right="49"/>
        <w:jc w:val="both"/>
        <w:rPr>
          <w:rFonts w:ascii="Palatino Linotype" w:eastAsia="Palatino Linotype" w:hAnsi="Palatino Linotype" w:cs="Palatino Linotype"/>
        </w:rPr>
      </w:pPr>
    </w:p>
    <w:p w14:paraId="42966375" w14:textId="5050F946" w:rsidR="00B7539B" w:rsidRPr="00EB2447" w:rsidRDefault="000D1322" w:rsidP="003E3B65">
      <w:pPr>
        <w:pStyle w:val="Prrafodelista"/>
        <w:numPr>
          <w:ilvl w:val="0"/>
          <w:numId w:val="1"/>
        </w:numPr>
        <w:tabs>
          <w:tab w:val="left" w:pos="284"/>
        </w:tabs>
        <w:spacing w:after="0" w:line="360" w:lineRule="auto"/>
        <w:ind w:left="0" w:firstLine="0"/>
        <w:jc w:val="both"/>
        <w:rPr>
          <w:rFonts w:ascii="Palatino Linotype" w:eastAsia="Times New Roman" w:hAnsi="Palatino Linotype" w:cs="Times New Roman"/>
        </w:rPr>
      </w:pPr>
      <w:r w:rsidRPr="00EB2447">
        <w:rPr>
          <w:rFonts w:ascii="Palatino Linotype" w:eastAsia="Times New Roman" w:hAnsi="Palatino Linotype" w:cs="Times New Roman"/>
          <w:b/>
          <w:bCs/>
        </w:rPr>
        <w:lastRenderedPageBreak/>
        <w:t>Solicitud de aclaración</w:t>
      </w:r>
      <w:r w:rsidR="00A27719" w:rsidRPr="00EB2447">
        <w:rPr>
          <w:rFonts w:ascii="Palatino Linotype" w:eastAsia="Times New Roman" w:hAnsi="Palatino Linotype" w:cs="Times New Roman"/>
          <w:b/>
          <w:bCs/>
        </w:rPr>
        <w:t xml:space="preserve">. </w:t>
      </w:r>
      <w:r w:rsidR="00A27719" w:rsidRPr="00EB2447">
        <w:rPr>
          <w:rFonts w:ascii="Palatino Linotype" w:eastAsia="Times New Roman" w:hAnsi="Palatino Linotype" w:cs="Times New Roman"/>
        </w:rPr>
        <w:t xml:space="preserve">El </w:t>
      </w:r>
      <w:r w:rsidRPr="00EB2447">
        <w:rPr>
          <w:rFonts w:ascii="Palatino Linotype" w:eastAsia="Times New Roman" w:hAnsi="Palatino Linotype" w:cs="Times New Roman"/>
          <w:b/>
          <w:bCs/>
        </w:rPr>
        <w:t>treinta</w:t>
      </w:r>
      <w:r w:rsidR="00A27719" w:rsidRPr="00EB2447">
        <w:rPr>
          <w:rFonts w:ascii="Palatino Linotype" w:eastAsia="Times New Roman" w:hAnsi="Palatino Linotype" w:cs="Times New Roman"/>
          <w:b/>
          <w:bCs/>
        </w:rPr>
        <w:t xml:space="preserve"> de abril de dos mil veinticinco</w:t>
      </w:r>
      <w:r w:rsidRPr="00EB2447">
        <w:rPr>
          <w:rFonts w:ascii="Palatino Linotype" w:eastAsia="Times New Roman" w:hAnsi="Palatino Linotype" w:cs="Times New Roman"/>
        </w:rPr>
        <w:t xml:space="preserve">, el Sujeto Obligado solicitó una aclaración, con la finalidad de que el particular sea más específico en su solicitud. </w:t>
      </w:r>
    </w:p>
    <w:p w14:paraId="4D77D08A" w14:textId="77777777" w:rsidR="000D1322" w:rsidRPr="00EB2447" w:rsidRDefault="000D1322" w:rsidP="003E3B65">
      <w:pPr>
        <w:pStyle w:val="Prrafodelista"/>
        <w:tabs>
          <w:tab w:val="left" w:pos="284"/>
        </w:tabs>
        <w:spacing w:after="0" w:line="360" w:lineRule="auto"/>
        <w:ind w:left="0"/>
        <w:jc w:val="both"/>
        <w:rPr>
          <w:rFonts w:ascii="Palatino Linotype" w:eastAsia="Times New Roman" w:hAnsi="Palatino Linotype" w:cs="Times New Roman"/>
        </w:rPr>
      </w:pPr>
    </w:p>
    <w:p w14:paraId="3C2F7060" w14:textId="1BEE1CB3" w:rsidR="00B7539B" w:rsidRPr="00EB2447" w:rsidRDefault="00E0628C" w:rsidP="003E3B65">
      <w:pPr>
        <w:pStyle w:val="Prrafodelista"/>
        <w:numPr>
          <w:ilvl w:val="0"/>
          <w:numId w:val="1"/>
        </w:numPr>
        <w:tabs>
          <w:tab w:val="left" w:pos="284"/>
        </w:tabs>
        <w:spacing w:after="0" w:line="360" w:lineRule="auto"/>
        <w:ind w:left="0" w:firstLine="0"/>
        <w:jc w:val="both"/>
        <w:rPr>
          <w:rFonts w:ascii="Palatino Linotype" w:eastAsia="Times New Roman" w:hAnsi="Palatino Linotype" w:cs="Times New Roman"/>
          <w:i/>
          <w:iCs/>
        </w:rPr>
      </w:pPr>
      <w:r w:rsidRPr="00EB2447">
        <w:rPr>
          <w:rFonts w:ascii="Palatino Linotype" w:eastAsia="Palatino Linotype" w:hAnsi="Palatino Linotype" w:cs="Palatino Linotype"/>
          <w:b/>
        </w:rPr>
        <w:t>Respuesta.</w:t>
      </w:r>
      <w:r w:rsidRPr="00EB2447">
        <w:rPr>
          <w:rFonts w:ascii="Palatino Linotype" w:eastAsia="Palatino Linotype" w:hAnsi="Palatino Linotype" w:cs="Palatino Linotype"/>
        </w:rPr>
        <w:t xml:space="preserve"> </w:t>
      </w:r>
      <w:r w:rsidR="00B7539B" w:rsidRPr="00EB2447">
        <w:rPr>
          <w:rFonts w:ascii="Palatino Linotype" w:hAnsi="Palatino Linotype"/>
        </w:rPr>
        <w:t>El</w:t>
      </w:r>
      <w:r w:rsidR="000D1322" w:rsidRPr="00EB2447">
        <w:rPr>
          <w:rFonts w:ascii="Palatino Linotype" w:hAnsi="Palatino Linotype"/>
        </w:rPr>
        <w:t xml:space="preserve"> </w:t>
      </w:r>
      <w:r w:rsidR="000D1322" w:rsidRPr="00EB2447">
        <w:rPr>
          <w:rFonts w:ascii="Palatino Linotype" w:hAnsi="Palatino Linotype"/>
          <w:b/>
        </w:rPr>
        <w:t xml:space="preserve">veinte de mayo de dos mil veinticinco, </w:t>
      </w:r>
      <w:r w:rsidR="000D1322" w:rsidRPr="00EB2447">
        <w:rPr>
          <w:rFonts w:ascii="Palatino Linotype" w:hAnsi="Palatino Linotype"/>
        </w:rPr>
        <w:t xml:space="preserve">el Sujeto Obligado tuvo por no presentada la solicitud de información, refiriendo que en los archivos no se encuentra un reporte denominado con el rubro solicitado. </w:t>
      </w:r>
    </w:p>
    <w:p w14:paraId="18CFB2F5" w14:textId="77777777" w:rsidR="000D1322" w:rsidRPr="00EB2447" w:rsidRDefault="000D1322" w:rsidP="003E3B65">
      <w:pPr>
        <w:pStyle w:val="Prrafodelista"/>
        <w:tabs>
          <w:tab w:val="left" w:pos="284"/>
        </w:tabs>
        <w:spacing w:after="0" w:line="360" w:lineRule="auto"/>
        <w:ind w:left="0"/>
        <w:jc w:val="both"/>
        <w:rPr>
          <w:rFonts w:ascii="Palatino Linotype" w:eastAsia="Times New Roman" w:hAnsi="Palatino Linotype" w:cs="Times New Roman"/>
          <w:i/>
          <w:iCs/>
        </w:rPr>
      </w:pPr>
    </w:p>
    <w:p w14:paraId="42B77258" w14:textId="18DC0CB8" w:rsidR="009338B5" w:rsidRPr="00EB2447" w:rsidRDefault="00E0628C" w:rsidP="003E3B65">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EB2447">
        <w:rPr>
          <w:rFonts w:ascii="Palatino Linotype" w:eastAsia="Palatino Linotype" w:hAnsi="Palatino Linotype" w:cs="Palatino Linotype"/>
          <w:b/>
        </w:rPr>
        <w:t xml:space="preserve">Recurso de Revisión. </w:t>
      </w:r>
      <w:r w:rsidRPr="00EB2447">
        <w:rPr>
          <w:rFonts w:ascii="Palatino Linotype" w:eastAsia="Palatino Linotype" w:hAnsi="Palatino Linotype" w:cs="Palatino Linotype"/>
        </w:rPr>
        <w:t xml:space="preserve">La persona solicitante, derivado </w:t>
      </w:r>
      <w:r w:rsidR="00B7030C" w:rsidRPr="00EB2447">
        <w:rPr>
          <w:rFonts w:ascii="Palatino Linotype" w:eastAsia="Palatino Linotype" w:hAnsi="Palatino Linotype" w:cs="Palatino Linotype"/>
        </w:rPr>
        <w:t xml:space="preserve">de la </w:t>
      </w:r>
      <w:r w:rsidRPr="00EB2447">
        <w:rPr>
          <w:rFonts w:ascii="Palatino Linotype" w:eastAsia="Palatino Linotype" w:hAnsi="Palatino Linotype" w:cs="Palatino Linotype"/>
        </w:rPr>
        <w:t xml:space="preserve">respuesta del </w:t>
      </w:r>
      <w:r w:rsidRPr="00EB2447">
        <w:rPr>
          <w:rFonts w:ascii="Palatino Linotype" w:eastAsia="Palatino Linotype" w:hAnsi="Palatino Linotype" w:cs="Palatino Linotype"/>
          <w:b/>
        </w:rPr>
        <w:t>SUJETO OBLIGADO</w:t>
      </w:r>
      <w:r w:rsidRPr="00EB2447">
        <w:rPr>
          <w:rFonts w:ascii="Palatino Linotype" w:eastAsia="Palatino Linotype" w:hAnsi="Palatino Linotype" w:cs="Palatino Linotype"/>
        </w:rPr>
        <w:t xml:space="preserve"> interpuso Recurso de Revisión a través del </w:t>
      </w:r>
      <w:r w:rsidRPr="00EB2447">
        <w:rPr>
          <w:rFonts w:ascii="Palatino Linotype" w:eastAsia="Palatino Linotype" w:hAnsi="Palatino Linotype" w:cs="Palatino Linotype"/>
          <w:b/>
        </w:rPr>
        <w:t>SAIMEX</w:t>
      </w:r>
      <w:r w:rsidRPr="00EB2447">
        <w:rPr>
          <w:rFonts w:ascii="Palatino Linotype" w:eastAsia="Palatino Linotype" w:hAnsi="Palatino Linotype" w:cs="Palatino Linotype"/>
        </w:rPr>
        <w:t xml:space="preserve"> en fecha </w:t>
      </w:r>
      <w:r w:rsidR="000D1322" w:rsidRPr="00EB2447">
        <w:rPr>
          <w:rFonts w:ascii="Palatino Linotype" w:eastAsia="Palatino Linotype" w:hAnsi="Palatino Linotype" w:cs="Palatino Linotype"/>
          <w:b/>
        </w:rPr>
        <w:t xml:space="preserve">veintinueve de mayo </w:t>
      </w:r>
      <w:r w:rsidR="005E16E7" w:rsidRPr="00EB2447">
        <w:rPr>
          <w:rFonts w:ascii="Palatino Linotype" w:eastAsia="Palatino Linotype" w:hAnsi="Palatino Linotype" w:cs="Palatino Linotype"/>
          <w:b/>
        </w:rPr>
        <w:t>de dos mil veinticinco</w:t>
      </w:r>
      <w:r w:rsidRPr="00EB2447">
        <w:rPr>
          <w:rFonts w:ascii="Palatino Linotype" w:eastAsia="Palatino Linotype" w:hAnsi="Palatino Linotype" w:cs="Palatino Linotype"/>
        </w:rPr>
        <w:t>, a través del cual expresó lo siguiente:</w:t>
      </w:r>
    </w:p>
    <w:p w14:paraId="12AA6AE5" w14:textId="77777777" w:rsidR="0004412B" w:rsidRPr="00EB2447" w:rsidRDefault="0004412B"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D38D43" w14:textId="7F7E8584" w:rsidR="009338B5" w:rsidRPr="00EB2447" w:rsidRDefault="00E0628C" w:rsidP="003E3B6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EB2447">
        <w:rPr>
          <w:rFonts w:ascii="Palatino Linotype" w:eastAsia="Palatino Linotype" w:hAnsi="Palatino Linotype" w:cs="Palatino Linotype"/>
          <w:b/>
        </w:rPr>
        <w:t xml:space="preserve">Acto impugnado. </w:t>
      </w:r>
      <w:r w:rsidRPr="00EB2447">
        <w:rPr>
          <w:rFonts w:ascii="Palatino Linotype" w:eastAsia="Palatino Linotype" w:hAnsi="Palatino Linotype" w:cs="Palatino Linotype"/>
          <w:i/>
        </w:rPr>
        <w:t>“</w:t>
      </w:r>
      <w:r w:rsidR="000D1322" w:rsidRPr="00EB2447">
        <w:rPr>
          <w:rFonts w:ascii="Palatino Linotype" w:eastAsia="Palatino Linotype" w:hAnsi="Palatino Linotype" w:cs="Palatino Linotype"/>
          <w:i/>
        </w:rPr>
        <w:t xml:space="preserve">Niegan información para no darla, no siquiera requirieron la información a las </w:t>
      </w:r>
      <w:proofErr w:type="spellStart"/>
      <w:r w:rsidR="000D1322" w:rsidRPr="00EB2447">
        <w:rPr>
          <w:rFonts w:ascii="Palatino Linotype" w:eastAsia="Palatino Linotype" w:hAnsi="Palatino Linotype" w:cs="Palatino Linotype"/>
          <w:i/>
        </w:rPr>
        <w:t>areas</w:t>
      </w:r>
      <w:proofErr w:type="spellEnd"/>
      <w:r w:rsidR="000D1322" w:rsidRPr="00EB2447">
        <w:rPr>
          <w:rFonts w:ascii="Palatino Linotype" w:eastAsia="Palatino Linotype" w:hAnsi="Palatino Linotype" w:cs="Palatino Linotype"/>
          <w:i/>
        </w:rPr>
        <w:t>.</w:t>
      </w:r>
      <w:r w:rsidRPr="00EB2447">
        <w:rPr>
          <w:rFonts w:ascii="Palatino Linotype" w:eastAsia="Palatino Linotype" w:hAnsi="Palatino Linotype" w:cs="Palatino Linotype"/>
          <w:i/>
        </w:rPr>
        <w:t>”.</w:t>
      </w:r>
    </w:p>
    <w:p w14:paraId="04DF146B" w14:textId="77777777" w:rsidR="009338B5" w:rsidRPr="00EB2447" w:rsidRDefault="009338B5" w:rsidP="003E3B6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7D1EEE83" w14:textId="3CA48875" w:rsidR="009338B5" w:rsidRPr="00EB2447" w:rsidRDefault="00E0628C" w:rsidP="003E3B6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rPr>
      </w:pPr>
      <w:r w:rsidRPr="00EB2447">
        <w:rPr>
          <w:rFonts w:ascii="Palatino Linotype" w:eastAsia="Palatino Linotype" w:hAnsi="Palatino Linotype" w:cs="Palatino Linotype"/>
          <w:b/>
        </w:rPr>
        <w:t xml:space="preserve">Razones o motivos de la inconformidad: </w:t>
      </w:r>
      <w:r w:rsidRPr="00EB2447">
        <w:rPr>
          <w:rFonts w:ascii="Palatino Linotype" w:eastAsia="Palatino Linotype" w:hAnsi="Palatino Linotype" w:cs="Palatino Linotype"/>
          <w:i/>
        </w:rPr>
        <w:t>“</w:t>
      </w:r>
      <w:r w:rsidR="000D1322" w:rsidRPr="00EB2447">
        <w:rPr>
          <w:rFonts w:ascii="Palatino Linotype" w:eastAsia="Palatino Linotype" w:hAnsi="Palatino Linotype" w:cs="Palatino Linotype"/>
          <w:i/>
        </w:rPr>
        <w:t xml:space="preserve">No entregan el </w:t>
      </w:r>
      <w:proofErr w:type="spellStart"/>
      <w:r w:rsidR="000D1322" w:rsidRPr="00EB2447">
        <w:rPr>
          <w:rFonts w:ascii="Palatino Linotype" w:eastAsia="Palatino Linotype" w:hAnsi="Palatino Linotype" w:cs="Palatino Linotype"/>
          <w:i/>
        </w:rPr>
        <w:t>unico</w:t>
      </w:r>
      <w:proofErr w:type="spellEnd"/>
      <w:r w:rsidR="000D1322" w:rsidRPr="00EB2447">
        <w:rPr>
          <w:rFonts w:ascii="Palatino Linotype" w:eastAsia="Palatino Linotype" w:hAnsi="Palatino Linotype" w:cs="Palatino Linotype"/>
          <w:i/>
        </w:rPr>
        <w:t xml:space="preserve"> estado de cuenta con el que cuenta el ayuntamiento y que está en la Tesorería Municipal deberían sancionar a estos disquete servidores que fingen no saber </w:t>
      </w:r>
      <w:proofErr w:type="spellStart"/>
      <w:r w:rsidR="000D1322" w:rsidRPr="00EB2447">
        <w:rPr>
          <w:rFonts w:ascii="Palatino Linotype" w:eastAsia="Palatino Linotype" w:hAnsi="Palatino Linotype" w:cs="Palatino Linotype"/>
          <w:i/>
        </w:rPr>
        <w:t>que</w:t>
      </w:r>
      <w:proofErr w:type="spellEnd"/>
      <w:r w:rsidR="000D1322" w:rsidRPr="00EB2447">
        <w:rPr>
          <w:rFonts w:ascii="Palatino Linotype" w:eastAsia="Palatino Linotype" w:hAnsi="Palatino Linotype" w:cs="Palatino Linotype"/>
          <w:i/>
        </w:rPr>
        <w:t xml:space="preserve"> información se les pide que ocultan</w:t>
      </w:r>
      <w:r w:rsidRPr="00EB2447">
        <w:rPr>
          <w:rFonts w:ascii="Palatino Linotype" w:eastAsia="Palatino Linotype" w:hAnsi="Palatino Linotype" w:cs="Palatino Linotype"/>
          <w:i/>
        </w:rPr>
        <w:t>”.</w:t>
      </w:r>
    </w:p>
    <w:p w14:paraId="26B106C9"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705E15C6" w14:textId="2AB08D1B" w:rsidR="009338B5" w:rsidRPr="00EB2447" w:rsidRDefault="00E0628C" w:rsidP="003E3B65">
      <w:pPr>
        <w:numPr>
          <w:ilvl w:val="0"/>
          <w:numId w:val="1"/>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EB2447">
        <w:rPr>
          <w:rFonts w:ascii="Palatino Linotype" w:eastAsia="Palatino Linotype" w:hAnsi="Palatino Linotype" w:cs="Palatino Linotype"/>
          <w:b/>
        </w:rPr>
        <w:t>Turno.</w:t>
      </w:r>
      <w:r w:rsidRPr="00EB2447">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5E16E7" w:rsidRPr="00EB2447">
        <w:rPr>
          <w:rFonts w:ascii="Palatino Linotype" w:eastAsia="Palatino Linotype" w:hAnsi="Palatino Linotype" w:cs="Palatino Linotype"/>
          <w:b/>
        </w:rPr>
        <w:t>0</w:t>
      </w:r>
      <w:r w:rsidR="000D1322" w:rsidRPr="00EB2447">
        <w:rPr>
          <w:rFonts w:ascii="Palatino Linotype" w:eastAsia="Palatino Linotype" w:hAnsi="Palatino Linotype" w:cs="Palatino Linotype"/>
          <w:b/>
        </w:rPr>
        <w:t>6229</w:t>
      </w:r>
      <w:r w:rsidR="005A5FFF" w:rsidRPr="00EB2447">
        <w:rPr>
          <w:rFonts w:ascii="Palatino Linotype" w:eastAsia="Palatino Linotype" w:hAnsi="Palatino Linotype" w:cs="Palatino Linotype"/>
          <w:b/>
        </w:rPr>
        <w:t>/INFOEM/IP/RR/2025</w:t>
      </w:r>
      <w:r w:rsidRPr="00EB2447">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4763514" w14:textId="77777777" w:rsidR="009338B5" w:rsidRPr="00EB2447" w:rsidRDefault="009338B5"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DF2CB0" w14:textId="33F15E01" w:rsidR="009338B5" w:rsidRPr="00EB2447" w:rsidRDefault="00E0628C" w:rsidP="003E3B6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B2447">
        <w:rPr>
          <w:rFonts w:ascii="Palatino Linotype" w:eastAsia="Palatino Linotype" w:hAnsi="Palatino Linotype" w:cs="Palatino Linotype"/>
          <w:b/>
        </w:rPr>
        <w:lastRenderedPageBreak/>
        <w:t>Admisión del recurso de revisión</w:t>
      </w:r>
      <w:r w:rsidRPr="00EB2447">
        <w:rPr>
          <w:rFonts w:ascii="Palatino Linotype" w:eastAsia="Palatino Linotype" w:hAnsi="Palatino Linotype" w:cs="Palatino Linotype"/>
        </w:rPr>
        <w:t xml:space="preserve">: En fecha </w:t>
      </w:r>
      <w:r w:rsidR="000D1322" w:rsidRPr="00EB2447">
        <w:rPr>
          <w:rFonts w:ascii="Palatino Linotype" w:eastAsia="Palatino Linotype" w:hAnsi="Palatino Linotype" w:cs="Palatino Linotype"/>
          <w:b/>
        </w:rPr>
        <w:t>tres de junio</w:t>
      </w:r>
      <w:r w:rsidR="005A5FFF" w:rsidRPr="00EB2447">
        <w:rPr>
          <w:rFonts w:ascii="Palatino Linotype" w:eastAsia="Palatino Linotype" w:hAnsi="Palatino Linotype" w:cs="Palatino Linotype"/>
          <w:b/>
        </w:rPr>
        <w:t xml:space="preserve"> de dos mil veinticinco</w:t>
      </w:r>
      <w:r w:rsidRPr="00EB244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DC22F67" w14:textId="77777777" w:rsidR="005A5FFF" w:rsidRPr="00EB2447" w:rsidRDefault="005A5FFF"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B46309" w14:textId="287205EF" w:rsidR="000D1322" w:rsidRPr="00EB2447" w:rsidRDefault="000D1322" w:rsidP="003E3B65">
      <w:pPr>
        <w:numPr>
          <w:ilvl w:val="0"/>
          <w:numId w:val="1"/>
        </w:numPr>
        <w:pBdr>
          <w:top w:val="nil"/>
          <w:left w:val="nil"/>
          <w:bottom w:val="nil"/>
          <w:right w:val="nil"/>
          <w:between w:val="nil"/>
        </w:pBdr>
        <w:spacing w:after="0" w:line="360" w:lineRule="auto"/>
        <w:ind w:left="0" w:right="49" w:firstLine="0"/>
        <w:jc w:val="both"/>
        <w:rPr>
          <w:rFonts w:ascii="Palatino Linotype" w:eastAsia="Times New Roman" w:hAnsi="Palatino Linotype" w:cs="Times New Roman"/>
        </w:rPr>
      </w:pPr>
      <w:r w:rsidRPr="00EB2447">
        <w:rPr>
          <w:rFonts w:ascii="Palatino Linotype" w:eastAsia="Palatino Linotype" w:hAnsi="Palatino Linotype" w:cs="Palatino Linotype"/>
          <w:b/>
        </w:rPr>
        <w:t>Informe Justificado</w:t>
      </w:r>
      <w:r w:rsidR="005A5FFF" w:rsidRPr="00EB2447">
        <w:rPr>
          <w:rFonts w:ascii="Palatino Linotype" w:eastAsia="Palatino Linotype" w:hAnsi="Palatino Linotype" w:cs="Palatino Linotype"/>
        </w:rPr>
        <w:t xml:space="preserve">. </w:t>
      </w:r>
      <w:r w:rsidR="00363513" w:rsidRPr="00EB2447">
        <w:rPr>
          <w:rFonts w:ascii="Palatino Linotype" w:eastAsia="Palatino Linotype" w:hAnsi="Palatino Linotype" w:cs="Palatino Linotype"/>
        </w:rPr>
        <w:t xml:space="preserve">En fecha </w:t>
      </w:r>
      <w:r w:rsidRPr="00EB2447">
        <w:rPr>
          <w:rFonts w:ascii="Palatino Linotype" w:eastAsia="Palatino Linotype" w:hAnsi="Palatino Linotype" w:cs="Palatino Linotype"/>
          <w:b/>
        </w:rPr>
        <w:t>cuatro de junio</w:t>
      </w:r>
      <w:r w:rsidR="00363513" w:rsidRPr="00EB2447">
        <w:rPr>
          <w:rFonts w:ascii="Palatino Linotype" w:eastAsia="Palatino Linotype" w:hAnsi="Palatino Linotype" w:cs="Palatino Linotype"/>
          <w:b/>
        </w:rPr>
        <w:t xml:space="preserve"> dos mil veinticinco </w:t>
      </w:r>
      <w:r w:rsidR="00363513" w:rsidRPr="00EB2447">
        <w:rPr>
          <w:rFonts w:ascii="Palatino Linotype" w:eastAsia="Palatino Linotype" w:hAnsi="Palatino Linotype" w:cs="Palatino Linotype"/>
        </w:rPr>
        <w:t xml:space="preserve">el </w:t>
      </w:r>
      <w:r w:rsidR="00363513" w:rsidRPr="00EB2447">
        <w:rPr>
          <w:rFonts w:ascii="Palatino Linotype" w:eastAsia="Palatino Linotype" w:hAnsi="Palatino Linotype" w:cs="Palatino Linotype"/>
          <w:b/>
        </w:rPr>
        <w:t xml:space="preserve">SUJETO OBLIGADO </w:t>
      </w:r>
      <w:r w:rsidRPr="00EB2447">
        <w:rPr>
          <w:rFonts w:ascii="Palatino Linotype" w:eastAsia="Palatino Linotype" w:hAnsi="Palatino Linotype" w:cs="Palatino Linotype"/>
        </w:rPr>
        <w:t xml:space="preserve">rindió su informe justificado, en el que medularmente ratificó su respuesta inicial y, el cual se hizo del conocimiento de la parte Recurrente el </w:t>
      </w:r>
      <w:r w:rsidRPr="00EB2447">
        <w:rPr>
          <w:rFonts w:ascii="Palatino Linotype" w:eastAsia="Palatino Linotype" w:hAnsi="Palatino Linotype" w:cs="Palatino Linotype"/>
          <w:b/>
        </w:rPr>
        <w:t xml:space="preserve">siete de agosto de dos mil veinticinco. </w:t>
      </w:r>
    </w:p>
    <w:p w14:paraId="1C6792A4" w14:textId="77777777" w:rsidR="000D1322" w:rsidRPr="00EB2447" w:rsidRDefault="000D1322" w:rsidP="003E3B65">
      <w:pPr>
        <w:pBdr>
          <w:top w:val="nil"/>
          <w:left w:val="nil"/>
          <w:bottom w:val="nil"/>
          <w:right w:val="nil"/>
          <w:between w:val="nil"/>
        </w:pBdr>
        <w:spacing w:after="0" w:line="360" w:lineRule="auto"/>
        <w:ind w:right="49"/>
        <w:jc w:val="both"/>
        <w:rPr>
          <w:rFonts w:ascii="Palatino Linotype" w:eastAsia="Times New Roman" w:hAnsi="Palatino Linotype" w:cs="Times New Roman"/>
        </w:rPr>
      </w:pPr>
    </w:p>
    <w:p w14:paraId="4144C342" w14:textId="1E81C5AA" w:rsidR="003E3B65" w:rsidRPr="00EB2447" w:rsidRDefault="003E3B65" w:rsidP="003E3B65">
      <w:pPr>
        <w:pBdr>
          <w:top w:val="nil"/>
          <w:left w:val="nil"/>
          <w:bottom w:val="nil"/>
          <w:right w:val="nil"/>
          <w:between w:val="nil"/>
        </w:pBdr>
        <w:spacing w:after="0" w:line="360" w:lineRule="auto"/>
        <w:ind w:right="49"/>
        <w:jc w:val="both"/>
        <w:rPr>
          <w:rFonts w:ascii="Palatino Linotype" w:eastAsia="Times New Roman" w:hAnsi="Palatino Linotype" w:cs="Times New Roman"/>
        </w:rPr>
      </w:pPr>
      <w:r w:rsidRPr="00EB2447">
        <w:rPr>
          <w:rFonts w:ascii="Palatino Linotype" w:eastAsia="Times New Roman" w:hAnsi="Palatino Linotype" w:cs="Times New Roman"/>
        </w:rPr>
        <w:t xml:space="preserve">La parte Recurrente fue omisa en rendir manifestaciones. </w:t>
      </w:r>
    </w:p>
    <w:p w14:paraId="62544EAD" w14:textId="77777777" w:rsidR="003E3B65" w:rsidRPr="00EB2447" w:rsidRDefault="003E3B65" w:rsidP="003E3B65">
      <w:pPr>
        <w:pBdr>
          <w:top w:val="nil"/>
          <w:left w:val="nil"/>
          <w:bottom w:val="nil"/>
          <w:right w:val="nil"/>
          <w:between w:val="nil"/>
        </w:pBdr>
        <w:spacing w:after="0" w:line="360" w:lineRule="auto"/>
        <w:ind w:right="49"/>
        <w:jc w:val="both"/>
        <w:rPr>
          <w:rFonts w:ascii="Palatino Linotype" w:eastAsia="Times New Roman" w:hAnsi="Palatino Linotype" w:cs="Times New Roman"/>
        </w:rPr>
      </w:pPr>
    </w:p>
    <w:p w14:paraId="53E064D4" w14:textId="24B86833" w:rsidR="004B3796" w:rsidRPr="00EB2447" w:rsidRDefault="004B3796" w:rsidP="003E3B65">
      <w:pPr>
        <w:numPr>
          <w:ilvl w:val="0"/>
          <w:numId w:val="1"/>
        </w:numPr>
        <w:pBdr>
          <w:top w:val="nil"/>
          <w:left w:val="nil"/>
          <w:bottom w:val="nil"/>
          <w:right w:val="nil"/>
          <w:between w:val="nil"/>
        </w:pBdr>
        <w:spacing w:after="0" w:line="360" w:lineRule="auto"/>
        <w:ind w:left="0" w:right="49" w:firstLine="0"/>
        <w:jc w:val="both"/>
        <w:rPr>
          <w:rFonts w:ascii="Palatino Linotype" w:eastAsia="Times New Roman" w:hAnsi="Palatino Linotype" w:cs="Times New Roman"/>
        </w:rPr>
      </w:pPr>
      <w:r w:rsidRPr="00EB2447">
        <w:rPr>
          <w:rFonts w:ascii="Palatino Linotype" w:eastAsia="Times New Roman" w:hAnsi="Palatino Linotype" w:cs="Times New Roman"/>
          <w:b/>
          <w:bCs/>
        </w:rPr>
        <w:t>Ampliación del término para resolver</w:t>
      </w:r>
      <w:r w:rsidRPr="00EB2447">
        <w:rPr>
          <w:rFonts w:ascii="Palatino Linotype" w:eastAsia="Times New Roman" w:hAnsi="Palatino Linotype" w:cs="Times New Roman"/>
        </w:rPr>
        <w:t xml:space="preserve">. El </w:t>
      </w:r>
      <w:r w:rsidR="000D1322" w:rsidRPr="00EB2447">
        <w:rPr>
          <w:rFonts w:ascii="Palatino Linotype" w:eastAsia="Times New Roman" w:hAnsi="Palatino Linotype" w:cs="Times New Roman"/>
          <w:b/>
          <w:bCs/>
        </w:rPr>
        <w:t>siete de agosto de dos mil veinticinco</w:t>
      </w:r>
      <w:r w:rsidRPr="00EB2447">
        <w:rPr>
          <w:rFonts w:ascii="Palatino Linotype" w:eastAsia="Times New Roman" w:hAnsi="Palatino Linotype" w:cs="Times New Roman"/>
        </w:rPr>
        <w:t>, se amplió el término para resolver el recurso de revisión en términos del artículo 181 párrafo tercero de la Ley de Transparencia y Acceso a la Información Pública del Estado de México y Municipios.</w:t>
      </w:r>
    </w:p>
    <w:p w14:paraId="5144A906" w14:textId="77777777" w:rsidR="003E3B65" w:rsidRPr="00EB2447" w:rsidRDefault="003E3B65" w:rsidP="003E3B65">
      <w:pPr>
        <w:pBdr>
          <w:top w:val="nil"/>
          <w:left w:val="nil"/>
          <w:bottom w:val="nil"/>
          <w:right w:val="nil"/>
          <w:between w:val="nil"/>
        </w:pBdr>
        <w:spacing w:after="0" w:line="360" w:lineRule="auto"/>
        <w:ind w:right="49"/>
        <w:jc w:val="both"/>
        <w:rPr>
          <w:rFonts w:ascii="Palatino Linotype" w:eastAsia="Times New Roman" w:hAnsi="Palatino Linotype" w:cs="Times New Roman"/>
        </w:rPr>
      </w:pPr>
    </w:p>
    <w:p w14:paraId="6288F0FB"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21529AA" w14:textId="77777777" w:rsidR="003E3B65" w:rsidRPr="00EB2447" w:rsidRDefault="003E3B65" w:rsidP="003E3B65">
      <w:pPr>
        <w:spacing w:after="0" w:line="360" w:lineRule="auto"/>
        <w:jc w:val="both"/>
        <w:rPr>
          <w:rFonts w:ascii="Palatino Linotype" w:eastAsia="Times New Roman" w:hAnsi="Palatino Linotype" w:cs="Times New Roman"/>
        </w:rPr>
      </w:pPr>
    </w:p>
    <w:p w14:paraId="3A91B077"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Por ello, es menester precisar que, si bien se ha excedido el plazo para resolver el presente medio de impugnación, de conformidad con la ley de la materia, el plazo para emitir la </w:t>
      </w:r>
      <w:r w:rsidRPr="00EB2447">
        <w:rPr>
          <w:rFonts w:ascii="Palatino Linotype" w:eastAsia="Times New Roman" w:hAnsi="Palatino Linotype" w:cs="Times New Roman"/>
        </w:rPr>
        <w:lastRenderedPageBreak/>
        <w:t>resolución se encuentra justificado en los elementos para medir la razonabilidad de asuntos conforme a los parámetros establecidos por diversos órganos jurisdiccionales federales, aplicables también en procedimientos análogos, como el que nos ocupa.</w:t>
      </w:r>
    </w:p>
    <w:p w14:paraId="10EC3A79" w14:textId="77777777" w:rsidR="003E3B65" w:rsidRPr="00EB2447" w:rsidRDefault="003E3B65" w:rsidP="003E3B65">
      <w:pPr>
        <w:spacing w:after="0" w:line="360" w:lineRule="auto"/>
        <w:jc w:val="both"/>
        <w:rPr>
          <w:rFonts w:ascii="Palatino Linotype" w:eastAsia="Times New Roman" w:hAnsi="Palatino Linotype" w:cs="Times New Roman"/>
        </w:rPr>
      </w:pPr>
    </w:p>
    <w:p w14:paraId="022B9290"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A23CCF"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8BF405" w14:textId="77777777" w:rsidR="003E3B65" w:rsidRPr="00EB2447" w:rsidRDefault="003E3B65" w:rsidP="003E3B65">
      <w:pPr>
        <w:spacing w:after="0" w:line="360" w:lineRule="auto"/>
        <w:jc w:val="both"/>
        <w:rPr>
          <w:rFonts w:ascii="Palatino Linotype" w:eastAsia="Times New Roman" w:hAnsi="Palatino Linotype" w:cs="Times New Roman"/>
        </w:rPr>
      </w:pPr>
    </w:p>
    <w:p w14:paraId="5703A844"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Por ello, excepcionalmente, si un asunto es resuelto con posterioridad a los plazos señalados por la norma debe analizarse la razonabilidad del tiempo necesario para su resolución, atentos a los siguientes criterios: </w:t>
      </w:r>
    </w:p>
    <w:p w14:paraId="011D4946" w14:textId="77777777" w:rsidR="003E3B65" w:rsidRPr="00EB2447" w:rsidRDefault="003E3B65" w:rsidP="003E3B65">
      <w:pPr>
        <w:spacing w:after="0" w:line="360" w:lineRule="auto"/>
        <w:jc w:val="both"/>
        <w:rPr>
          <w:rFonts w:ascii="Palatino Linotype" w:eastAsia="Times New Roman" w:hAnsi="Palatino Linotype" w:cs="Times New Roman"/>
        </w:rPr>
      </w:pPr>
    </w:p>
    <w:p w14:paraId="425B2C18" w14:textId="77777777" w:rsidR="004B3796" w:rsidRPr="00EB2447" w:rsidRDefault="004B3796" w:rsidP="003E3B65">
      <w:pPr>
        <w:numPr>
          <w:ilvl w:val="0"/>
          <w:numId w:val="16"/>
        </w:numPr>
        <w:spacing w:after="0" w:line="360" w:lineRule="auto"/>
        <w:jc w:val="both"/>
        <w:textAlignment w:val="baseline"/>
        <w:rPr>
          <w:rFonts w:ascii="Palatino Linotype" w:eastAsia="Times New Roman" w:hAnsi="Palatino Linotype" w:cs="Times New Roman"/>
        </w:rPr>
      </w:pPr>
      <w:r w:rsidRPr="00EB2447">
        <w:rPr>
          <w:rFonts w:ascii="Palatino Linotype" w:eastAsia="Times New Roman" w:hAnsi="Palatino Linotype" w:cs="Times New Roman"/>
        </w:rPr>
        <w:t>Complejidad del Asunto: La complejidad de la prueba, la pluralidad de sujetos procesales, el tiempo transcurrido, las características y contexto del recurso. </w:t>
      </w:r>
    </w:p>
    <w:p w14:paraId="3EB76411" w14:textId="77777777" w:rsidR="004B3796" w:rsidRPr="00EB2447" w:rsidRDefault="004B3796" w:rsidP="003E3B65">
      <w:pPr>
        <w:numPr>
          <w:ilvl w:val="0"/>
          <w:numId w:val="16"/>
        </w:numPr>
        <w:spacing w:after="0" w:line="360" w:lineRule="auto"/>
        <w:jc w:val="both"/>
        <w:textAlignment w:val="baseline"/>
        <w:rPr>
          <w:rFonts w:ascii="Palatino Linotype" w:eastAsia="Times New Roman" w:hAnsi="Palatino Linotype" w:cs="Times New Roman"/>
        </w:rPr>
      </w:pPr>
      <w:r w:rsidRPr="00EB2447">
        <w:rPr>
          <w:rFonts w:ascii="Palatino Linotype" w:eastAsia="Times New Roman" w:hAnsi="Palatino Linotype" w:cs="Times New Roman"/>
        </w:rPr>
        <w:t>Actividad Procesal del interesado. Acciones u omisiones del interesado.</w:t>
      </w:r>
    </w:p>
    <w:p w14:paraId="1C86C7BB" w14:textId="77777777" w:rsidR="004B3796" w:rsidRPr="00EB2447" w:rsidRDefault="004B3796" w:rsidP="003E3B65">
      <w:pPr>
        <w:numPr>
          <w:ilvl w:val="0"/>
          <w:numId w:val="16"/>
        </w:numPr>
        <w:spacing w:after="0" w:line="360" w:lineRule="auto"/>
        <w:jc w:val="both"/>
        <w:textAlignment w:val="baseline"/>
        <w:rPr>
          <w:rFonts w:ascii="Palatino Linotype" w:eastAsia="Times New Roman" w:hAnsi="Palatino Linotype" w:cs="Times New Roman"/>
        </w:rPr>
      </w:pPr>
      <w:r w:rsidRPr="00EB2447">
        <w:rPr>
          <w:rFonts w:ascii="Palatino Linotype" w:eastAsia="Times New Roman" w:hAnsi="Palatino Linotype" w:cs="Times New Roman"/>
        </w:rPr>
        <w:t>Conducta de la Autoridad: Las Acciones u omisiones realizadas en el procedimiento. Así como si la autoridad actuó con la debida diligencia.</w:t>
      </w:r>
    </w:p>
    <w:p w14:paraId="79A90575" w14:textId="77777777" w:rsidR="004B3796" w:rsidRPr="00EB2447" w:rsidRDefault="004B3796" w:rsidP="003E3B65">
      <w:pPr>
        <w:spacing w:after="0" w:line="360" w:lineRule="auto"/>
        <w:ind w:left="284"/>
        <w:jc w:val="both"/>
        <w:rPr>
          <w:rFonts w:ascii="Palatino Linotype" w:eastAsia="Times New Roman" w:hAnsi="Palatino Linotype" w:cs="Times New Roman"/>
        </w:rPr>
      </w:pPr>
      <w:r w:rsidRPr="00EB2447">
        <w:rPr>
          <w:rFonts w:ascii="Palatino Linotype" w:eastAsia="Times New Roman" w:hAnsi="Palatino Linotype" w:cs="Times New Roman"/>
        </w:rPr>
        <w:t>d) La afectación generada en la situación jurídica de la persona involucrada en el proceso: Violación a sus derechos humanos.</w:t>
      </w:r>
    </w:p>
    <w:p w14:paraId="64434001"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De modo que, cuando se trate de un asunto excepcional, por alguna o todas las características mencionadas; o bien, cuando el ingreso de asuntos al órgano jurisdiccional </w:t>
      </w:r>
      <w:r w:rsidRPr="00EB2447">
        <w:rPr>
          <w:rFonts w:ascii="Palatino Linotype" w:eastAsia="Times New Roman" w:hAnsi="Palatino Linotype" w:cs="Times New Roman"/>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B90B3A8" w14:textId="77777777" w:rsidR="003E3B65" w:rsidRPr="00EB2447" w:rsidRDefault="003E3B65" w:rsidP="003E3B65">
      <w:pPr>
        <w:spacing w:after="0" w:line="360" w:lineRule="auto"/>
        <w:jc w:val="both"/>
        <w:rPr>
          <w:rFonts w:ascii="Palatino Linotype" w:eastAsia="Times New Roman" w:hAnsi="Palatino Linotype" w:cs="Times New Roman"/>
        </w:rPr>
      </w:pPr>
    </w:p>
    <w:p w14:paraId="02FB52CA" w14:textId="77777777" w:rsidR="004B3796" w:rsidRPr="00EB2447" w:rsidRDefault="004B3796" w:rsidP="003E3B65">
      <w:pPr>
        <w:spacing w:after="0" w:line="240" w:lineRule="auto"/>
        <w:ind w:left="851" w:right="701"/>
        <w:jc w:val="both"/>
        <w:rPr>
          <w:rFonts w:ascii="Palatino Linotype" w:eastAsia="Times New Roman" w:hAnsi="Palatino Linotype" w:cs="Times New Roman"/>
          <w:i/>
          <w:iCs/>
        </w:rPr>
      </w:pPr>
      <w:r w:rsidRPr="00EB2447">
        <w:rPr>
          <w:rFonts w:ascii="Palatino Linotype" w:eastAsia="Times New Roman" w:hAnsi="Palatino Linotype" w:cs="Times New Roman"/>
          <w:i/>
          <w:iC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9491AD5" w14:textId="77777777" w:rsidR="003E3B65" w:rsidRPr="00EB2447" w:rsidRDefault="003E3B65" w:rsidP="003E3B65">
      <w:pPr>
        <w:spacing w:after="0" w:line="240" w:lineRule="auto"/>
        <w:ind w:left="851" w:right="701"/>
        <w:jc w:val="both"/>
        <w:rPr>
          <w:rFonts w:ascii="Palatino Linotype" w:eastAsia="Times New Roman" w:hAnsi="Palatino Linotype" w:cs="Times New Roman"/>
          <w:i/>
          <w:iCs/>
        </w:rPr>
      </w:pPr>
    </w:p>
    <w:p w14:paraId="7EA3BC7C"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974AC6" w14:textId="77777777" w:rsidR="003E3B65" w:rsidRPr="00EB2447" w:rsidRDefault="003E3B65" w:rsidP="003E3B65">
      <w:pPr>
        <w:spacing w:after="0" w:line="360" w:lineRule="auto"/>
        <w:jc w:val="both"/>
        <w:rPr>
          <w:rFonts w:ascii="Palatino Linotype" w:eastAsia="Times New Roman" w:hAnsi="Palatino Linotype" w:cs="Times New Roman"/>
        </w:rPr>
      </w:pPr>
    </w:p>
    <w:p w14:paraId="6A82EE96" w14:textId="703AD49D"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Al respecto, también son de considerar los criterios sostenidos por el Cuarto Tribunal Colegiado en Materia Administrativa del Primer Circuito, cuyos rubros y datos de identificación son los siguientes:</w:t>
      </w:r>
    </w:p>
    <w:p w14:paraId="1BFB7EBA" w14:textId="77777777" w:rsidR="003E3B65" w:rsidRPr="00EB2447" w:rsidRDefault="003E3B65" w:rsidP="003E3B65">
      <w:pPr>
        <w:spacing w:after="0" w:line="360" w:lineRule="auto"/>
        <w:jc w:val="both"/>
        <w:rPr>
          <w:rFonts w:ascii="Palatino Linotype" w:eastAsia="Times New Roman" w:hAnsi="Palatino Linotype" w:cs="Times New Roman"/>
        </w:rPr>
      </w:pPr>
    </w:p>
    <w:p w14:paraId="3C07E5E8" w14:textId="2321EF66" w:rsidR="004B3796" w:rsidRPr="00EB2447" w:rsidRDefault="004B3796" w:rsidP="003E3B65">
      <w:pPr>
        <w:spacing w:after="0" w:line="240" w:lineRule="auto"/>
        <w:ind w:left="851" w:right="902"/>
        <w:jc w:val="both"/>
        <w:rPr>
          <w:rFonts w:ascii="Palatino Linotype" w:eastAsia="Times New Roman" w:hAnsi="Palatino Linotype" w:cs="Times New Roman"/>
        </w:rPr>
      </w:pPr>
      <w:r w:rsidRPr="00EB2447">
        <w:rPr>
          <w:rFonts w:ascii="Palatino Linotype" w:eastAsia="Times New Roman" w:hAnsi="Palatino Linotype" w:cs="Times New Roman"/>
        </w:rPr>
        <w:t> </w:t>
      </w: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 xml:space="preserve">PLAZO RAZONABLE PARA RESOLVER. DIMENSIÓN Y EFECTOS DE ESTE CONCEPTO CUANDO SE ADUCE EXCESIVA CARGA DE </w:t>
      </w:r>
      <w:r w:rsidRPr="00EB2447">
        <w:rPr>
          <w:rFonts w:ascii="Palatino Linotype" w:eastAsia="Times New Roman" w:hAnsi="Palatino Linotype" w:cs="Times New Roman"/>
          <w:b/>
          <w:bCs/>
          <w:i/>
          <w:iCs/>
        </w:rPr>
        <w:lastRenderedPageBreak/>
        <w:t>TRABAJO</w:t>
      </w:r>
      <w:r w:rsidRPr="00EB2447">
        <w:rPr>
          <w:rFonts w:ascii="Palatino Linotype" w:eastAsia="Times New Roman" w:hAnsi="Palatino Linotype" w:cs="Times New Roman"/>
          <w:i/>
          <w:iCs/>
        </w:rPr>
        <w:t>.”</w:t>
      </w:r>
      <w:r w:rsidRPr="00EB2447">
        <w:rPr>
          <w:rFonts w:ascii="Palatino Linotype" w:eastAsia="Times New Roman" w:hAnsi="Palatino Linotype" w:cs="Times New Roman"/>
        </w:rPr>
        <w:t xml:space="preserve"> consultable en el Seminario Judicial de la Federación y su gaceta, con el registro digital 2002351.</w:t>
      </w:r>
    </w:p>
    <w:p w14:paraId="67E9E914" w14:textId="77777777" w:rsidR="004B3796" w:rsidRPr="00EB2447" w:rsidRDefault="004B3796" w:rsidP="003E3B65">
      <w:pPr>
        <w:spacing w:after="0" w:line="240" w:lineRule="auto"/>
        <w:ind w:left="851" w:right="902"/>
        <w:jc w:val="both"/>
        <w:rPr>
          <w:rFonts w:ascii="Palatino Linotype" w:eastAsia="Times New Roman" w:hAnsi="Palatino Linotype" w:cs="Times New Roman"/>
        </w:rPr>
      </w:pPr>
    </w:p>
    <w:p w14:paraId="160BC0F6" w14:textId="77777777" w:rsidR="004B3796" w:rsidRPr="00EB2447" w:rsidRDefault="004B3796" w:rsidP="003E3B65">
      <w:pPr>
        <w:spacing w:after="0" w:line="240" w:lineRule="auto"/>
        <w:ind w:left="851" w:right="902"/>
        <w:jc w:val="both"/>
        <w:rPr>
          <w:rFonts w:ascii="Palatino Linotype" w:eastAsia="Times New Roman" w:hAnsi="Palatino Linotype" w:cs="Times New Roman"/>
        </w:rPr>
      </w:pP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PLAZO RAZONABLE PARA RESOLVER. CONCEPTO Y ELEMENTOS QUE LO INTEGRAN A LA LUZ DEL DERECHO INTERNACIONAL DE LOS DERECHOS HUMANOS</w:t>
      </w:r>
      <w:r w:rsidRPr="00EB2447">
        <w:rPr>
          <w:rFonts w:ascii="Palatino Linotype" w:eastAsia="Times New Roman" w:hAnsi="Palatino Linotype" w:cs="Times New Roman"/>
          <w:i/>
          <w:iCs/>
        </w:rPr>
        <w:t>.”</w:t>
      </w:r>
      <w:r w:rsidRPr="00EB2447">
        <w:rPr>
          <w:rFonts w:ascii="Palatino Linotype" w:eastAsia="Times New Roman" w:hAnsi="Palatino Linotype" w:cs="Times New Roman"/>
        </w:rPr>
        <w:t>, visible en el Seminario Judicial de la Federación y su gaceta, con el registro digital 2002350.</w:t>
      </w:r>
    </w:p>
    <w:p w14:paraId="1A396A6F" w14:textId="77777777" w:rsidR="003E3B65" w:rsidRPr="00EB2447" w:rsidRDefault="003E3B65" w:rsidP="003E3B65">
      <w:pPr>
        <w:spacing w:after="0" w:line="360" w:lineRule="auto"/>
        <w:jc w:val="both"/>
        <w:rPr>
          <w:rFonts w:ascii="Palatino Linotype" w:eastAsia="Times New Roman" w:hAnsi="Palatino Linotype" w:cs="Times New Roman"/>
        </w:rPr>
      </w:pPr>
    </w:p>
    <w:p w14:paraId="5BF66260"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Por ello, este Organismo Garante comprometido con la tutela de los derechos humanos confiados, señala que este exceso del plazo legal para resolver el presente asunto, resulta de carácter excepcional.</w:t>
      </w:r>
    </w:p>
    <w:p w14:paraId="691095C8" w14:textId="77777777" w:rsidR="004B3796" w:rsidRPr="00EB2447" w:rsidRDefault="004B3796"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A47186" w14:textId="53F1AEB4" w:rsidR="009338B5" w:rsidRPr="00EB2447" w:rsidRDefault="00E0628C" w:rsidP="003E3B6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B2447">
        <w:rPr>
          <w:rFonts w:ascii="Palatino Linotype" w:eastAsia="Palatino Linotype" w:hAnsi="Palatino Linotype" w:cs="Palatino Linotype"/>
          <w:b/>
        </w:rPr>
        <w:t>Cierre de instrucción</w:t>
      </w:r>
      <w:r w:rsidR="004051D0" w:rsidRPr="00EB2447">
        <w:rPr>
          <w:rFonts w:ascii="Palatino Linotype" w:eastAsia="Palatino Linotype" w:hAnsi="Palatino Linotype" w:cs="Palatino Linotype"/>
        </w:rPr>
        <w:t xml:space="preserve">. En fecha </w:t>
      </w:r>
      <w:r w:rsidR="000D1322" w:rsidRPr="00EB2447">
        <w:rPr>
          <w:rFonts w:ascii="Palatino Linotype" w:eastAsia="Palatino Linotype" w:hAnsi="Palatino Linotype" w:cs="Palatino Linotype"/>
          <w:b/>
        </w:rPr>
        <w:t>trece</w:t>
      </w:r>
      <w:r w:rsidR="004051D0" w:rsidRPr="00EB2447">
        <w:rPr>
          <w:rFonts w:ascii="Palatino Linotype" w:eastAsia="Palatino Linotype" w:hAnsi="Palatino Linotype" w:cs="Palatino Linotype"/>
          <w:b/>
        </w:rPr>
        <w:t xml:space="preserve"> de agosto </w:t>
      </w:r>
      <w:r w:rsidR="005A5FFF" w:rsidRPr="00EB2447">
        <w:rPr>
          <w:rFonts w:ascii="Palatino Linotype" w:eastAsia="Palatino Linotype" w:hAnsi="Palatino Linotype" w:cs="Palatino Linotype"/>
          <w:b/>
        </w:rPr>
        <w:t>de dos mil veinticinco</w:t>
      </w:r>
      <w:r w:rsidRPr="00EB24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A3FFB8" w14:textId="77777777" w:rsidR="005A5FFF" w:rsidRPr="00EB2447" w:rsidRDefault="005A5FFF"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95E7C0" w14:textId="77777777"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531988D" w14:textId="77777777" w:rsidR="009338B5" w:rsidRPr="00EB2447" w:rsidRDefault="00E0628C" w:rsidP="003E3B65">
      <w:pPr>
        <w:spacing w:after="0" w:line="360" w:lineRule="auto"/>
        <w:ind w:right="49"/>
        <w:jc w:val="center"/>
        <w:rPr>
          <w:rFonts w:ascii="Palatino Linotype" w:eastAsia="Palatino Linotype" w:hAnsi="Palatino Linotype" w:cs="Palatino Linotype"/>
          <w:b/>
        </w:rPr>
      </w:pPr>
      <w:r w:rsidRPr="00EB2447">
        <w:rPr>
          <w:rFonts w:ascii="Palatino Linotype" w:eastAsia="Palatino Linotype" w:hAnsi="Palatino Linotype" w:cs="Palatino Linotype"/>
          <w:b/>
        </w:rPr>
        <w:t>II.</w:t>
      </w:r>
      <w:r w:rsidRPr="00EB2447">
        <w:rPr>
          <w:rFonts w:ascii="Palatino Linotype" w:eastAsia="Palatino Linotype" w:hAnsi="Palatino Linotype" w:cs="Palatino Linotype"/>
          <w:b/>
        </w:rPr>
        <w:tab/>
        <w:t>C O N S I D E R A N D O:</w:t>
      </w:r>
    </w:p>
    <w:p w14:paraId="0AB645F2"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38D890C1" w14:textId="18EA07E1"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Primero. Competencia.</w:t>
      </w:r>
      <w:r w:rsidRPr="00EB24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4B3796" w:rsidRPr="00EB2447">
        <w:rPr>
          <w:rFonts w:ascii="Palatino Linotype" w:eastAsia="Palatino Linotype" w:hAnsi="Palatino Linotype" w:cs="Palatino Linotype"/>
        </w:rPr>
        <w:t xml:space="preserve">5 párrafos trigésimo noveno, cuadragésimo y cuadragésimo </w:t>
      </w:r>
      <w:r w:rsidR="004B3796" w:rsidRPr="00EB2447">
        <w:rPr>
          <w:rFonts w:ascii="Palatino Linotype" w:eastAsia="Palatino Linotype" w:hAnsi="Palatino Linotype" w:cs="Palatino Linotype"/>
        </w:rPr>
        <w:lastRenderedPageBreak/>
        <w:t xml:space="preserve">primero, fracciones IV y V de la Constitución Política del Estado Libre y Soberano de México; </w:t>
      </w:r>
      <w:r w:rsidRPr="00EB2447">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w:t>
      </w:r>
      <w:r w:rsidR="004051D0" w:rsidRPr="00EB2447">
        <w:rPr>
          <w:rFonts w:ascii="Palatino Linotype" w:eastAsia="Palatino Linotype" w:hAnsi="Palatino Linotype" w:cs="Palatino Linotype"/>
        </w:rPr>
        <w:t>l Estado de Méxi</w:t>
      </w:r>
      <w:r w:rsidR="003E3B65" w:rsidRPr="00EB2447">
        <w:rPr>
          <w:rFonts w:ascii="Palatino Linotype" w:eastAsia="Palatino Linotype" w:hAnsi="Palatino Linotype" w:cs="Palatino Linotype"/>
        </w:rPr>
        <w:t>co y Municipios.</w:t>
      </w:r>
    </w:p>
    <w:p w14:paraId="653D031A" w14:textId="77777777" w:rsidR="003E3B65" w:rsidRPr="00EB2447" w:rsidRDefault="003E3B65" w:rsidP="003E3B65">
      <w:pPr>
        <w:spacing w:after="0" w:line="360" w:lineRule="auto"/>
        <w:ind w:right="49"/>
        <w:jc w:val="both"/>
        <w:rPr>
          <w:rFonts w:ascii="Palatino Linotype" w:eastAsia="Palatino Linotype" w:hAnsi="Palatino Linotype" w:cs="Palatino Linotype"/>
        </w:rPr>
      </w:pPr>
    </w:p>
    <w:p w14:paraId="2EBBE58A" w14:textId="77777777"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b/>
          <w:bCs/>
        </w:rPr>
        <w:t>Segundo. Oportunidad y Procedibilidad del Recurso de Revisión</w:t>
      </w:r>
      <w:r w:rsidRPr="00EB2447">
        <w:rPr>
          <w:rFonts w:ascii="Palatino Linotype" w:eastAsia="Times New Roman" w:hAnsi="Palatino Linotype" w:cs="Times New Roman"/>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ACD768" w14:textId="77777777" w:rsidR="003E3B65" w:rsidRPr="00EB2447" w:rsidRDefault="003E3B65" w:rsidP="003E3B65">
      <w:pPr>
        <w:spacing w:after="0" w:line="360" w:lineRule="auto"/>
        <w:jc w:val="both"/>
        <w:rPr>
          <w:rFonts w:ascii="Palatino Linotype" w:eastAsia="Times New Roman" w:hAnsi="Palatino Linotype" w:cs="Times New Roman"/>
        </w:rPr>
      </w:pPr>
    </w:p>
    <w:p w14:paraId="7E43A60F" w14:textId="77777777" w:rsidR="000D1322"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El recurso de revisión fue interpuesto dentro del plazo de quince días hábiles, previsto en el artículo 178 de la Ley de Transparencia y Acceso a la Información Pública del Estado de México y Municipios, toda vez que el </w:t>
      </w:r>
      <w:r w:rsidRPr="00EB2447">
        <w:rPr>
          <w:rFonts w:ascii="Palatino Linotype" w:eastAsia="Times New Roman" w:hAnsi="Palatino Linotype" w:cs="Times New Roman"/>
          <w:b/>
          <w:bCs/>
        </w:rPr>
        <w:t xml:space="preserve">Sujeto Obligado </w:t>
      </w:r>
      <w:r w:rsidRPr="00EB2447">
        <w:rPr>
          <w:rFonts w:ascii="Palatino Linotype" w:eastAsia="Times New Roman" w:hAnsi="Palatino Linotype" w:cs="Times New Roman"/>
        </w:rPr>
        <w:t xml:space="preserve">remitió la respuesta a la solicitud de información el día </w:t>
      </w:r>
      <w:r w:rsidR="000D1322" w:rsidRPr="00EB2447">
        <w:rPr>
          <w:rFonts w:ascii="Palatino Linotype" w:eastAsia="Times New Roman" w:hAnsi="Palatino Linotype" w:cs="Times New Roman"/>
          <w:b/>
          <w:bCs/>
        </w:rPr>
        <w:t xml:space="preserve">veinte de mayo </w:t>
      </w:r>
      <w:r w:rsidRPr="00EB2447">
        <w:rPr>
          <w:rFonts w:ascii="Palatino Linotype" w:eastAsia="Times New Roman" w:hAnsi="Palatino Linotype" w:cs="Times New Roman"/>
          <w:b/>
          <w:bCs/>
        </w:rPr>
        <w:t xml:space="preserve">de dos mil veinticinco, </w:t>
      </w:r>
      <w:r w:rsidRPr="00EB2447">
        <w:rPr>
          <w:rFonts w:ascii="Palatino Linotype" w:eastAsia="Times New Roman" w:hAnsi="Palatino Linotype" w:cs="Times New Roman"/>
        </w:rPr>
        <w:t xml:space="preserve">mientras que el recurso de revisión interpuesto por la parte </w:t>
      </w:r>
      <w:r w:rsidRPr="00EB2447">
        <w:rPr>
          <w:rFonts w:ascii="Palatino Linotype" w:eastAsia="Times New Roman" w:hAnsi="Palatino Linotype" w:cs="Times New Roman"/>
          <w:b/>
          <w:bCs/>
        </w:rPr>
        <w:t xml:space="preserve">Recurrente, </w:t>
      </w:r>
      <w:r w:rsidRPr="00EB2447">
        <w:rPr>
          <w:rFonts w:ascii="Palatino Linotype" w:eastAsia="Times New Roman" w:hAnsi="Palatino Linotype" w:cs="Times New Roman"/>
        </w:rPr>
        <w:t>se tuvo por presentado el día</w:t>
      </w:r>
      <w:r w:rsidRPr="00EB2447">
        <w:rPr>
          <w:rFonts w:ascii="Palatino Linotype" w:eastAsia="Times New Roman" w:hAnsi="Palatino Linotype" w:cs="Times New Roman"/>
          <w:b/>
          <w:bCs/>
        </w:rPr>
        <w:t xml:space="preserve"> </w:t>
      </w:r>
      <w:r w:rsidR="000D1322" w:rsidRPr="00EB2447">
        <w:rPr>
          <w:rFonts w:ascii="Palatino Linotype" w:eastAsia="Times New Roman" w:hAnsi="Palatino Linotype" w:cs="Times New Roman"/>
          <w:b/>
          <w:bCs/>
        </w:rPr>
        <w:t>veintinueve de mayo</w:t>
      </w:r>
      <w:r w:rsidRPr="00EB2447">
        <w:rPr>
          <w:rFonts w:ascii="Palatino Linotype" w:eastAsia="Times New Roman" w:hAnsi="Palatino Linotype" w:cs="Times New Roman"/>
          <w:b/>
          <w:bCs/>
        </w:rPr>
        <w:t xml:space="preserve"> de dos mil veinticinco, </w:t>
      </w:r>
      <w:r w:rsidRPr="00EB2447">
        <w:rPr>
          <w:rFonts w:ascii="Palatino Linotype" w:eastAsia="Times New Roman" w:hAnsi="Palatino Linotype" w:cs="Times New Roman"/>
        </w:rPr>
        <w:t xml:space="preserve">esto es, el </w:t>
      </w:r>
      <w:r w:rsidR="000D1322" w:rsidRPr="00EB2447">
        <w:rPr>
          <w:rFonts w:ascii="Palatino Linotype" w:eastAsia="Times New Roman" w:hAnsi="Palatino Linotype" w:cs="Times New Roman"/>
        </w:rPr>
        <w:t>séptimo</w:t>
      </w:r>
      <w:r w:rsidRPr="00EB2447">
        <w:rPr>
          <w:rFonts w:ascii="Palatino Linotype" w:eastAsia="Times New Roman" w:hAnsi="Palatino Linotype" w:cs="Times New Roman"/>
        </w:rPr>
        <w:t xml:space="preserve"> día </w:t>
      </w:r>
      <w:r w:rsidR="000D1322" w:rsidRPr="00EB2447">
        <w:rPr>
          <w:rFonts w:ascii="Palatino Linotype" w:eastAsia="Times New Roman" w:hAnsi="Palatino Linotype" w:cs="Times New Roman"/>
        </w:rPr>
        <w:t xml:space="preserve">en </w:t>
      </w:r>
      <w:r w:rsidRPr="00EB2447">
        <w:rPr>
          <w:rFonts w:ascii="Palatino Linotype" w:eastAsia="Times New Roman" w:hAnsi="Palatino Linotype" w:cs="Times New Roman"/>
        </w:rPr>
        <w:t xml:space="preserve">que tuvo conocimiento de la respuesta impugnada. </w:t>
      </w:r>
    </w:p>
    <w:p w14:paraId="31D09E41" w14:textId="77777777" w:rsidR="003E3B65" w:rsidRPr="00EB2447" w:rsidRDefault="003E3B65" w:rsidP="003E3B65">
      <w:pPr>
        <w:spacing w:after="0" w:line="360" w:lineRule="auto"/>
        <w:jc w:val="both"/>
        <w:rPr>
          <w:rFonts w:ascii="Palatino Linotype" w:eastAsia="Times New Roman" w:hAnsi="Palatino Linotype" w:cs="Times New Roman"/>
        </w:rPr>
      </w:pPr>
    </w:p>
    <w:p w14:paraId="7961BCDD" w14:textId="044689E9"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En este sentido, se concluye que el presente recurso de revisión se encuentra dentro de los márgenes temporales previstos en las disposiciones legales referidas.</w:t>
      </w:r>
    </w:p>
    <w:p w14:paraId="2B53E5A0" w14:textId="77777777" w:rsidR="003E3B65" w:rsidRPr="00EB2447" w:rsidRDefault="003E3B65" w:rsidP="003E3B65">
      <w:pPr>
        <w:spacing w:after="0" w:line="360" w:lineRule="auto"/>
        <w:jc w:val="both"/>
        <w:rPr>
          <w:rFonts w:ascii="Palatino Linotype" w:eastAsia="Times New Roman" w:hAnsi="Palatino Linotype" w:cs="Times New Roman"/>
        </w:rPr>
      </w:pPr>
    </w:p>
    <w:p w14:paraId="6DE8B270" w14:textId="77777777" w:rsidR="009824FA" w:rsidRPr="00EB2447" w:rsidRDefault="009824FA"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w:t>
      </w:r>
      <w:r w:rsidRPr="00EB2447">
        <w:rPr>
          <w:rFonts w:ascii="Palatino Linotype" w:eastAsia="Times New Roman" w:hAnsi="Palatino Linotype" w:cs="Times New Roman"/>
        </w:rPr>
        <w:lastRenderedPageBreak/>
        <w:t>a la Información Pública del Estado de México y Municipios, en atención a que fue presentado mediante el formato visible en el SAIMEX.</w:t>
      </w:r>
    </w:p>
    <w:p w14:paraId="131274EA" w14:textId="77777777" w:rsidR="009824FA" w:rsidRPr="00EB2447" w:rsidRDefault="009824FA" w:rsidP="003E3B65">
      <w:pPr>
        <w:spacing w:after="0" w:line="360" w:lineRule="auto"/>
        <w:rPr>
          <w:rFonts w:ascii="Palatino Linotype" w:eastAsia="Times New Roman" w:hAnsi="Palatino Linotype" w:cs="Times New Roman"/>
        </w:rPr>
      </w:pPr>
    </w:p>
    <w:p w14:paraId="461C0328" w14:textId="77777777" w:rsidR="009824FA" w:rsidRPr="00EB2447" w:rsidRDefault="009824FA"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A efecto de sustentar lo anterior, es de suma importancia mencionar que si bien la persona solicitante </w:t>
      </w:r>
      <w:r w:rsidRPr="00EB2447">
        <w:rPr>
          <w:rFonts w:ascii="Palatino Linotype" w:eastAsia="Times New Roman" w:hAnsi="Palatino Linotype" w:cs="Times New Roman"/>
          <w:b/>
          <w:bCs/>
        </w:rPr>
        <w:t xml:space="preserve">no proporcionó un nombre, </w:t>
      </w:r>
      <w:r w:rsidRPr="00EB2447">
        <w:rPr>
          <w:rFonts w:ascii="Palatino Linotype" w:eastAsia="Times New Roman" w:hAnsi="Palatino Linotype" w:cs="Times New Roman"/>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B200AE" w14:textId="77777777" w:rsidR="009824FA" w:rsidRPr="00EB2447" w:rsidRDefault="009824FA" w:rsidP="003E3B65">
      <w:pPr>
        <w:spacing w:after="0" w:line="240" w:lineRule="auto"/>
        <w:rPr>
          <w:rFonts w:ascii="Palatino Linotype" w:eastAsia="Times New Roman" w:hAnsi="Palatino Linotype" w:cs="Times New Roman"/>
        </w:rPr>
      </w:pPr>
    </w:p>
    <w:p w14:paraId="36D0E34F" w14:textId="77777777" w:rsidR="009824FA" w:rsidRPr="00EB2447" w:rsidRDefault="009824FA" w:rsidP="003E3B65">
      <w:pPr>
        <w:spacing w:after="0" w:line="240" w:lineRule="auto"/>
        <w:ind w:left="567" w:right="902"/>
        <w:jc w:val="both"/>
        <w:rPr>
          <w:rFonts w:ascii="Palatino Linotype" w:eastAsia="Times New Roman" w:hAnsi="Palatino Linotype" w:cs="Times New Roman"/>
          <w:i/>
          <w:iCs/>
        </w:rPr>
      </w:pP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Las solicitudes anónimas,</w:t>
      </w:r>
      <w:r w:rsidRPr="00EB2447">
        <w:rPr>
          <w:rFonts w:ascii="Palatino Linotype" w:eastAsia="Times New Roman" w:hAnsi="Palatino Linotype" w:cs="Times New Roman"/>
          <w:i/>
          <w:iCs/>
        </w:rPr>
        <w:t xml:space="preserve"> con nombre incompleto o seudónimo</w:t>
      </w:r>
      <w:r w:rsidRPr="00EB2447">
        <w:rPr>
          <w:rFonts w:ascii="Palatino Linotype" w:eastAsia="Times New Roman" w:hAnsi="Palatino Linotype" w:cs="Times New Roman"/>
          <w:b/>
          <w:bCs/>
          <w:i/>
          <w:iCs/>
        </w:rPr>
        <w:t xml:space="preserve"> serán procedentes para su trámite por parte del sujeto obligado ante quien se presente</w:t>
      </w:r>
      <w:r w:rsidRPr="00EB2447">
        <w:rPr>
          <w:rFonts w:ascii="Palatino Linotype" w:eastAsia="Times New Roman" w:hAnsi="Palatino Linotype" w:cs="Times New Roman"/>
          <w:i/>
          <w:iCs/>
        </w:rPr>
        <w:t>. No podrá requerirse información adicional con motivo del nombre proporcionado por el solicitante."</w:t>
      </w:r>
    </w:p>
    <w:p w14:paraId="79B59AFB" w14:textId="77777777" w:rsidR="003E3B65" w:rsidRPr="00EB2447" w:rsidRDefault="003E3B65" w:rsidP="003E3B65">
      <w:pPr>
        <w:spacing w:after="0" w:line="240" w:lineRule="auto"/>
        <w:ind w:left="851" w:right="902"/>
        <w:jc w:val="both"/>
        <w:rPr>
          <w:rFonts w:ascii="Palatino Linotype" w:eastAsia="Times New Roman" w:hAnsi="Palatino Linotype" w:cs="Times New Roman"/>
        </w:rPr>
      </w:pPr>
    </w:p>
    <w:p w14:paraId="5A596ABF" w14:textId="6ECB07D3" w:rsidR="004B3796" w:rsidRPr="00EB2447" w:rsidRDefault="004B3796"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 xml:space="preserve">Finalmente, se advierte que resulta procedente la interposición del recurso, según lo manifestado por la parte </w:t>
      </w:r>
      <w:r w:rsidRPr="00EB2447">
        <w:rPr>
          <w:rFonts w:ascii="Palatino Linotype" w:eastAsia="Times New Roman" w:hAnsi="Palatino Linotype" w:cs="Times New Roman"/>
          <w:b/>
          <w:bCs/>
        </w:rPr>
        <w:t>Recurrente</w:t>
      </w:r>
      <w:r w:rsidRPr="00EB2447">
        <w:rPr>
          <w:rFonts w:ascii="Palatino Linotype" w:eastAsia="Times New Roman" w:hAnsi="Palatino Linotype" w:cs="Times New Roman"/>
        </w:rPr>
        <w:t xml:space="preserve"> en sus motivos de inconformidad, de acue</w:t>
      </w:r>
      <w:r w:rsidR="000D1322" w:rsidRPr="00EB2447">
        <w:rPr>
          <w:rFonts w:ascii="Palatino Linotype" w:eastAsia="Times New Roman" w:hAnsi="Palatino Linotype" w:cs="Times New Roman"/>
        </w:rPr>
        <w:t>rdo con el artículo 179, fracción I</w:t>
      </w:r>
      <w:r w:rsidRPr="00EB2447">
        <w:rPr>
          <w:rFonts w:ascii="Palatino Linotype" w:eastAsia="Times New Roman" w:hAnsi="Palatino Linotype" w:cs="Times New Roman"/>
        </w:rPr>
        <w:t xml:space="preserve"> del ordenamiento legal citado, que a la letra dice: </w:t>
      </w:r>
    </w:p>
    <w:p w14:paraId="47078FFC" w14:textId="77777777" w:rsidR="003E3B65" w:rsidRPr="00EB2447" w:rsidRDefault="003E3B65" w:rsidP="003E3B65">
      <w:pPr>
        <w:spacing w:after="0" w:line="360" w:lineRule="auto"/>
        <w:jc w:val="both"/>
        <w:rPr>
          <w:rFonts w:ascii="Palatino Linotype" w:eastAsia="Times New Roman" w:hAnsi="Palatino Linotype" w:cs="Times New Roman"/>
        </w:rPr>
      </w:pPr>
    </w:p>
    <w:p w14:paraId="336113F4" w14:textId="77777777" w:rsidR="004B3796" w:rsidRPr="00EB2447" w:rsidRDefault="004B3796" w:rsidP="003E3B65">
      <w:pPr>
        <w:spacing w:after="0" w:line="240" w:lineRule="auto"/>
        <w:ind w:left="567" w:right="902"/>
        <w:jc w:val="both"/>
        <w:rPr>
          <w:rFonts w:ascii="Palatino Linotype" w:eastAsia="Times New Roman" w:hAnsi="Palatino Linotype" w:cs="Times New Roman"/>
        </w:rPr>
      </w:pP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Artículo 179.</w:t>
      </w:r>
      <w:r w:rsidRPr="00EB2447">
        <w:rPr>
          <w:rFonts w:ascii="Palatino Linotype" w:eastAsia="Times New Roman" w:hAnsi="Palatino Linotype" w:cs="Times New Roman"/>
          <w:i/>
          <w:iCs/>
        </w:rPr>
        <w:t xml:space="preserve"> El recurso de revisión es un medio de protección que la Ley otorga a los particulares, para hacer valer su derecho de acceso a la información pública, y procederá en contra de las siguientes causas:</w:t>
      </w:r>
    </w:p>
    <w:p w14:paraId="2E474711" w14:textId="77777777" w:rsidR="004B3796" w:rsidRPr="00EB2447" w:rsidRDefault="004B3796" w:rsidP="003E3B65">
      <w:pPr>
        <w:spacing w:after="0" w:line="240" w:lineRule="auto"/>
        <w:ind w:left="567" w:right="900"/>
        <w:jc w:val="both"/>
        <w:rPr>
          <w:rFonts w:ascii="Palatino Linotype" w:eastAsia="Times New Roman" w:hAnsi="Palatino Linotype" w:cs="Times New Roman"/>
        </w:rPr>
      </w:pPr>
      <w:r w:rsidRPr="00EB2447">
        <w:rPr>
          <w:rFonts w:ascii="Palatino Linotype" w:eastAsia="Times New Roman" w:hAnsi="Palatino Linotype" w:cs="Times New Roman"/>
          <w:i/>
          <w:iCs/>
        </w:rPr>
        <w:t>...</w:t>
      </w:r>
    </w:p>
    <w:p w14:paraId="4FBED753" w14:textId="13126C0C" w:rsidR="004B3796" w:rsidRPr="00EB2447" w:rsidRDefault="000D1322" w:rsidP="003E3B65">
      <w:pPr>
        <w:spacing w:after="0" w:line="240" w:lineRule="auto"/>
        <w:ind w:left="567" w:right="900"/>
        <w:jc w:val="both"/>
        <w:rPr>
          <w:rFonts w:ascii="Palatino Linotype" w:eastAsia="Times New Roman" w:hAnsi="Palatino Linotype" w:cs="Times New Roman"/>
        </w:rPr>
      </w:pPr>
      <w:r w:rsidRPr="00EB2447">
        <w:rPr>
          <w:rFonts w:ascii="Palatino Linotype" w:eastAsia="Times New Roman" w:hAnsi="Palatino Linotype" w:cs="Times New Roman"/>
          <w:b/>
          <w:bCs/>
          <w:i/>
          <w:iCs/>
        </w:rPr>
        <w:t xml:space="preserve">I. </w:t>
      </w:r>
      <w:r w:rsidRPr="00EB2447">
        <w:rPr>
          <w:rFonts w:ascii="Palatino Linotype" w:eastAsia="Times New Roman" w:hAnsi="Palatino Linotype" w:cs="Times New Roman"/>
          <w:bCs/>
          <w:i/>
          <w:iCs/>
        </w:rPr>
        <w:t>La negativa de entrega de la información</w:t>
      </w:r>
      <w:r w:rsidR="004B3796" w:rsidRPr="00EB2447">
        <w:rPr>
          <w:rFonts w:ascii="Palatino Linotype" w:eastAsia="Times New Roman" w:hAnsi="Palatino Linotype" w:cs="Times New Roman"/>
          <w:i/>
          <w:iCs/>
        </w:rPr>
        <w:t>;”</w:t>
      </w:r>
    </w:p>
    <w:p w14:paraId="6125C0DA" w14:textId="77777777" w:rsidR="004051D0" w:rsidRPr="00EB2447" w:rsidRDefault="004051D0" w:rsidP="003E3B65">
      <w:pPr>
        <w:spacing w:after="0" w:line="360" w:lineRule="auto"/>
        <w:ind w:left="1134" w:right="900"/>
        <w:jc w:val="both"/>
        <w:rPr>
          <w:rFonts w:ascii="Palatino Linotype" w:eastAsia="Times New Roman" w:hAnsi="Palatino Linotype" w:cs="Times New Roman"/>
        </w:rPr>
      </w:pPr>
    </w:p>
    <w:p w14:paraId="10A0B797" w14:textId="7DF82B93"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Tercero. Materia de la revisión</w:t>
      </w:r>
      <w:r w:rsidRPr="00EB2447">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w:t>
      </w:r>
      <w:r w:rsidRPr="00EB2447">
        <w:rPr>
          <w:rFonts w:ascii="Palatino Linotype" w:eastAsia="Palatino Linotype" w:hAnsi="Palatino Linotype" w:cs="Palatino Linotype"/>
        </w:rPr>
        <w:lastRenderedPageBreak/>
        <w:t xml:space="preserve">Transparencia y Acceso a la Información se pronunciará será en determinar, si se actualiza la hipótesis prevista en la fracción </w:t>
      </w:r>
      <w:r w:rsidR="0087620B" w:rsidRPr="00EB2447">
        <w:rPr>
          <w:rFonts w:ascii="Palatino Linotype" w:eastAsia="Palatino Linotype" w:hAnsi="Palatino Linotype" w:cs="Palatino Linotype"/>
        </w:rPr>
        <w:t>I</w:t>
      </w:r>
      <w:r w:rsidRPr="00EB2447">
        <w:rPr>
          <w:rFonts w:ascii="Palatino Linotype" w:eastAsia="Palatino Linotype" w:hAnsi="Palatino Linotype" w:cs="Palatino Linotype"/>
        </w:rPr>
        <w:t xml:space="preserve"> del artículo 179 de la Ley en la materia. </w:t>
      </w:r>
    </w:p>
    <w:p w14:paraId="4C888A0B" w14:textId="77777777" w:rsidR="009824FA" w:rsidRPr="00EB2447" w:rsidRDefault="009824FA" w:rsidP="003E3B65">
      <w:pPr>
        <w:spacing w:after="0" w:line="360" w:lineRule="auto"/>
        <w:ind w:right="49"/>
        <w:jc w:val="both"/>
        <w:rPr>
          <w:rFonts w:ascii="Palatino Linotype" w:eastAsia="Palatino Linotype" w:hAnsi="Palatino Linotype" w:cs="Palatino Linotype"/>
        </w:rPr>
      </w:pPr>
    </w:p>
    <w:p w14:paraId="00AFE1D8" w14:textId="35E1A1E8"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Cuarto.</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
        </w:rPr>
        <w:t>Estudio de fondo del asunto.</w:t>
      </w:r>
      <w:r w:rsidRPr="00EB2447">
        <w:rPr>
          <w:rFonts w:ascii="Palatino Linotype" w:eastAsia="Palatino Linotype" w:hAnsi="Palatino Linotype" w:cs="Palatino Linotype"/>
        </w:rPr>
        <w:t xml:space="preserve">  </w:t>
      </w:r>
      <w:r w:rsidR="0087620B" w:rsidRPr="00EB2447">
        <w:rPr>
          <w:rFonts w:ascii="Palatino Linotype" w:eastAsia="Palatino Linotype" w:hAnsi="Palatino Linotype" w:cs="Palatino Linotype"/>
        </w:rPr>
        <w:t>E</w:t>
      </w:r>
      <w:r w:rsidRPr="00EB2447">
        <w:rPr>
          <w:rFonts w:ascii="Palatino Linotype" w:eastAsia="Palatino Linotype" w:hAnsi="Palatino Linotype" w:cs="Palatino Linotype"/>
        </w:rPr>
        <w:t>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w:t>
      </w:r>
      <w:r w:rsidR="006516C6" w:rsidRPr="00EB2447">
        <w:rPr>
          <w:rFonts w:ascii="Palatino Linotype" w:eastAsia="Palatino Linotype" w:hAnsi="Palatino Linotype" w:cs="Palatino Linotype"/>
        </w:rPr>
        <w:t xml:space="preserve"> primero, segundo y tercero y 6°. </w:t>
      </w:r>
    </w:p>
    <w:p w14:paraId="7677C19B" w14:textId="77777777" w:rsidR="006516C6" w:rsidRPr="00EB2447" w:rsidRDefault="006516C6" w:rsidP="003E3B65">
      <w:pPr>
        <w:spacing w:after="0" w:line="360" w:lineRule="auto"/>
        <w:ind w:right="49"/>
        <w:jc w:val="both"/>
        <w:rPr>
          <w:rFonts w:ascii="Palatino Linotype" w:eastAsia="Palatino Linotype" w:hAnsi="Palatino Linotype" w:cs="Palatino Linotype"/>
        </w:rPr>
      </w:pPr>
    </w:p>
    <w:p w14:paraId="41471DE2" w14:textId="75E2D05D"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w:t>
      </w:r>
      <w:r w:rsidR="004051D0" w:rsidRPr="00EB2447">
        <w:rPr>
          <w:rFonts w:ascii="Palatino Linotype" w:eastAsia="Palatino Linotype" w:hAnsi="Palatino Linotype" w:cs="Palatino Linotype"/>
        </w:rPr>
        <w:t>ibe para un mejor entendimiento.</w:t>
      </w:r>
    </w:p>
    <w:p w14:paraId="34ACA568" w14:textId="77777777" w:rsidR="000D1322" w:rsidRPr="00EB2447" w:rsidRDefault="000D1322" w:rsidP="003E3B65">
      <w:pPr>
        <w:spacing w:after="0" w:line="360" w:lineRule="auto"/>
        <w:ind w:right="49"/>
        <w:jc w:val="both"/>
        <w:rPr>
          <w:rFonts w:ascii="Palatino Linotype" w:eastAsia="Palatino Linotype" w:hAnsi="Palatino Linotype" w:cs="Palatino Linotype"/>
        </w:rPr>
      </w:pPr>
    </w:p>
    <w:p w14:paraId="60523E64"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Artículo 4.</w:t>
      </w:r>
      <w:r w:rsidRPr="00EB244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30739F"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EB2447">
        <w:rPr>
          <w:rFonts w:ascii="Palatino Linotype" w:eastAsia="Palatino Linotype" w:hAnsi="Palatino Linotype" w:cs="Palatino Linotype"/>
          <w:i/>
        </w:rPr>
        <w:lastRenderedPageBreak/>
        <w:t>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052169" w14:textId="2C0D0DB6"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041839F" w14:textId="77777777" w:rsidR="00182F1C" w:rsidRPr="00EB2447" w:rsidRDefault="00182F1C" w:rsidP="003E3B65">
      <w:pPr>
        <w:spacing w:after="0" w:line="360" w:lineRule="auto"/>
        <w:ind w:right="49"/>
        <w:jc w:val="both"/>
        <w:rPr>
          <w:rFonts w:ascii="Palatino Linotype" w:eastAsia="Palatino Linotype" w:hAnsi="Palatino Linotype" w:cs="Palatino Linotype"/>
        </w:rPr>
      </w:pPr>
    </w:p>
    <w:p w14:paraId="28DFAFE8" w14:textId="77777777"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86C2D4D" w14:textId="77777777" w:rsidR="0004412B" w:rsidRPr="00EB2447" w:rsidRDefault="0004412B" w:rsidP="003E3B65">
      <w:pPr>
        <w:spacing w:after="0" w:line="360" w:lineRule="auto"/>
        <w:ind w:right="49"/>
        <w:jc w:val="both"/>
        <w:rPr>
          <w:rFonts w:ascii="Palatino Linotype" w:eastAsia="Palatino Linotype" w:hAnsi="Palatino Linotype" w:cs="Palatino Linotype"/>
        </w:rPr>
      </w:pPr>
    </w:p>
    <w:p w14:paraId="5912AA87"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Artículo 12.</w:t>
      </w:r>
      <w:r w:rsidRPr="00EB244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F036EDD" w14:textId="19608948"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E525C20" w14:textId="77777777" w:rsidR="000D1322" w:rsidRPr="00EB2447" w:rsidRDefault="000D1322" w:rsidP="003E3B65">
      <w:pPr>
        <w:spacing w:after="0" w:line="276" w:lineRule="auto"/>
        <w:ind w:left="567" w:right="560"/>
        <w:jc w:val="both"/>
        <w:rPr>
          <w:rFonts w:ascii="Palatino Linotype" w:eastAsia="Palatino Linotype" w:hAnsi="Palatino Linotype" w:cs="Palatino Linotype"/>
          <w:i/>
        </w:rPr>
      </w:pPr>
    </w:p>
    <w:p w14:paraId="71C0FA2F" w14:textId="23B839C3"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9824FA" w:rsidRPr="00EB2447">
        <w:rPr>
          <w:rFonts w:ascii="Palatino Linotype" w:eastAsia="Palatino Linotype" w:hAnsi="Palatino Linotype" w:cs="Palatino Linotype"/>
        </w:rPr>
        <w:lastRenderedPageBreak/>
        <w:t xml:space="preserve">orientador </w:t>
      </w:r>
      <w:r w:rsidRPr="00EB2447">
        <w:rPr>
          <w:rFonts w:ascii="Palatino Linotype" w:eastAsia="Palatino Linotype" w:hAnsi="Palatino Linotype" w:cs="Palatino Linotype"/>
        </w:rPr>
        <w:t xml:space="preserve">03/17 emitido por el </w:t>
      </w:r>
      <w:r w:rsidR="009824FA" w:rsidRPr="00EB2447">
        <w:rPr>
          <w:rFonts w:ascii="Palatino Linotype" w:eastAsia="Palatino Linotype" w:hAnsi="Palatino Linotype" w:cs="Palatino Linotype"/>
        </w:rPr>
        <w:t xml:space="preserve">entonces </w:t>
      </w:r>
      <w:r w:rsidRPr="00EB2447">
        <w:rPr>
          <w:rFonts w:ascii="Palatino Linotype" w:eastAsia="Palatino Linotype" w:hAnsi="Palatino Linotype" w:cs="Palatino Linotype"/>
        </w:rPr>
        <w:t>Instituto Nacional de Transparencia, Acceso a la Información Pública y Protección de Datos Personales, el cual señala lo siguiente:</w:t>
      </w:r>
    </w:p>
    <w:p w14:paraId="134ADE7A"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3A45BC79"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b/>
          <w:i/>
        </w:rPr>
      </w:pPr>
      <w:r w:rsidRPr="00EB2447">
        <w:rPr>
          <w:rFonts w:ascii="Palatino Linotype" w:eastAsia="Palatino Linotype" w:hAnsi="Palatino Linotype" w:cs="Palatino Linotype"/>
          <w:b/>
          <w:i/>
        </w:rPr>
        <w:t xml:space="preserve">Criterio 03/17. NO EXISTE OBLIGACIÓN DE ELABORAR DOCUMENTOS AD HOC PARA ATENDER LAS SOLICITUDES DE ACCESO A LA INFORMACIÓN. </w:t>
      </w:r>
      <w:r w:rsidRPr="00EB244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5C32BE" w14:textId="77777777" w:rsidR="009338B5" w:rsidRPr="00EB2447" w:rsidRDefault="009338B5" w:rsidP="003E3B65">
      <w:pPr>
        <w:spacing w:after="0" w:line="360" w:lineRule="auto"/>
        <w:ind w:left="567" w:right="560"/>
        <w:jc w:val="both"/>
        <w:rPr>
          <w:rFonts w:ascii="Palatino Linotype" w:eastAsia="Palatino Linotype" w:hAnsi="Palatino Linotype" w:cs="Palatino Linotype"/>
          <w:b/>
          <w:i/>
        </w:rPr>
      </w:pPr>
    </w:p>
    <w:p w14:paraId="0C137320" w14:textId="77777777"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344CC5"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6581998E" w14:textId="0D369935"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60DFC5" w14:textId="0BD3BD16"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632D9A" w14:textId="77777777" w:rsidR="00182F1C" w:rsidRPr="00EB2447" w:rsidRDefault="00182F1C" w:rsidP="003E3B65">
      <w:pPr>
        <w:spacing w:after="0" w:line="360" w:lineRule="auto"/>
        <w:ind w:right="49"/>
        <w:jc w:val="both"/>
        <w:rPr>
          <w:rFonts w:ascii="Palatino Linotype" w:eastAsia="Palatino Linotype" w:hAnsi="Palatino Linotype" w:cs="Palatino Linotype"/>
        </w:rPr>
      </w:pPr>
    </w:p>
    <w:p w14:paraId="297535C0"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Artículo 3.</w:t>
      </w:r>
      <w:r w:rsidRPr="00EB2447">
        <w:rPr>
          <w:rFonts w:ascii="Palatino Linotype" w:eastAsia="Palatino Linotype" w:hAnsi="Palatino Linotype" w:cs="Palatino Linotype"/>
          <w:i/>
        </w:rPr>
        <w:t xml:space="preserve"> Para los efectos de la presente Ley se entenderá por:</w:t>
      </w:r>
    </w:p>
    <w:p w14:paraId="109BCE89"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p>
    <w:p w14:paraId="444F11B2"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b/>
          <w:i/>
        </w:rPr>
        <w:t>XI. Documento:</w:t>
      </w:r>
      <w:r w:rsidRPr="00EB244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66AEC9" w14:textId="77777777" w:rsidR="009338B5" w:rsidRPr="00EB2447" w:rsidRDefault="009338B5" w:rsidP="003E3B65">
      <w:pPr>
        <w:spacing w:after="0" w:line="360" w:lineRule="auto"/>
        <w:ind w:left="567" w:right="560"/>
        <w:jc w:val="both"/>
        <w:rPr>
          <w:rFonts w:ascii="Palatino Linotype" w:eastAsia="Palatino Linotype" w:hAnsi="Palatino Linotype" w:cs="Palatino Linotype"/>
          <w:i/>
        </w:rPr>
      </w:pPr>
    </w:p>
    <w:p w14:paraId="064C15B0" w14:textId="77777777"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E8AB0C" w14:textId="77777777" w:rsidR="00363513" w:rsidRPr="00EB2447" w:rsidRDefault="00363513" w:rsidP="003E3B65">
      <w:pPr>
        <w:spacing w:after="0" w:line="360" w:lineRule="auto"/>
        <w:ind w:right="49"/>
        <w:jc w:val="both"/>
        <w:rPr>
          <w:rFonts w:ascii="Palatino Linotype" w:eastAsia="Palatino Linotype" w:hAnsi="Palatino Linotype" w:cs="Palatino Linotype"/>
        </w:rPr>
      </w:pPr>
    </w:p>
    <w:p w14:paraId="0BF6C859"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b/>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 xml:space="preserve">CRITERIO 0002-11. INFORMACIÓN PÚBLICA, CONCEPTO DE, EN MATERIA DE TRANSPARENCIA. INTERPRETACIÓN SISTEMÁTICA DE LOS </w:t>
      </w:r>
      <w:r w:rsidRPr="00EB2447">
        <w:rPr>
          <w:rFonts w:ascii="Palatino Linotype" w:eastAsia="Palatino Linotype" w:hAnsi="Palatino Linotype" w:cs="Palatino Linotype"/>
          <w:b/>
          <w:i/>
        </w:rPr>
        <w:lastRenderedPageBreak/>
        <w:t>ARTÍCULOS 2°, FRACCIÓN V, XV, Y XVI, 3°, 4°, 11 Y 41.</w:t>
      </w:r>
      <w:r w:rsidRPr="00EB244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70C1C5"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En consecuencia el acceso a la información se refiere a que se cumplan cualquiera de los siguientes tres supuestos:</w:t>
      </w:r>
    </w:p>
    <w:p w14:paraId="21C66854"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1)</w:t>
      </w:r>
      <w:r w:rsidRPr="00EB244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539D161D"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2)</w:t>
      </w:r>
      <w:r w:rsidRPr="00EB244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4C6627D5" w14:textId="77777777" w:rsidR="009338B5" w:rsidRPr="00EB2447" w:rsidRDefault="00E0628C" w:rsidP="003E3B65">
      <w:pPr>
        <w:spacing w:after="0" w:line="276" w:lineRule="auto"/>
        <w:ind w:left="567" w:right="560"/>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612F34B" w14:textId="77777777" w:rsidR="006516C6" w:rsidRPr="00EB2447" w:rsidRDefault="006516C6" w:rsidP="003E3B65">
      <w:pPr>
        <w:spacing w:after="0" w:line="360" w:lineRule="auto"/>
        <w:ind w:right="49"/>
        <w:jc w:val="both"/>
        <w:rPr>
          <w:rFonts w:ascii="Palatino Linotype" w:eastAsia="Palatino Linotype" w:hAnsi="Palatino Linotype" w:cs="Palatino Linotype"/>
        </w:rPr>
      </w:pPr>
    </w:p>
    <w:p w14:paraId="200C40B7" w14:textId="77777777"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11B765D"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65988501" w14:textId="1A60D599"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De las actuaciones que integran el expediente electrónico, se procede al análisis de los agravios hechos valer por la parte Recurrente, relativos a </w:t>
      </w:r>
      <w:r w:rsidR="0087620B" w:rsidRPr="00EB2447">
        <w:rPr>
          <w:rFonts w:ascii="Palatino Linotype" w:eastAsia="Palatino Linotype" w:hAnsi="Palatino Linotype" w:cs="Palatino Linotype"/>
        </w:rPr>
        <w:t xml:space="preserve">la </w:t>
      </w:r>
      <w:r w:rsidR="005663E0" w:rsidRPr="00EB2447">
        <w:rPr>
          <w:rFonts w:ascii="Palatino Linotype" w:eastAsia="Palatino Linotype" w:hAnsi="Palatino Linotype" w:cs="Palatino Linotype"/>
        </w:rPr>
        <w:t>negativa de entrega de información</w:t>
      </w:r>
      <w:r w:rsidRPr="00EB2447">
        <w:rPr>
          <w:rFonts w:ascii="Palatino Linotype" w:eastAsia="Palatino Linotype" w:hAnsi="Palatino Linotype" w:cs="Palatino Linotype"/>
        </w:rPr>
        <w:t>, lo que actualiza la causal de proc</w:t>
      </w:r>
      <w:r w:rsidR="000D1322" w:rsidRPr="00EB2447">
        <w:rPr>
          <w:rFonts w:ascii="Palatino Linotype" w:eastAsia="Palatino Linotype" w:hAnsi="Palatino Linotype" w:cs="Palatino Linotype"/>
        </w:rPr>
        <w:t xml:space="preserve">edencia prevista en la fracción </w:t>
      </w:r>
      <w:r w:rsidR="00117754" w:rsidRPr="00EB2447">
        <w:rPr>
          <w:rFonts w:ascii="Palatino Linotype" w:eastAsia="Palatino Linotype" w:hAnsi="Palatino Linotype" w:cs="Palatino Linotype"/>
        </w:rPr>
        <w:t xml:space="preserve">I </w:t>
      </w:r>
      <w:r w:rsidRPr="00EB2447">
        <w:rPr>
          <w:rFonts w:ascii="Palatino Linotype" w:eastAsia="Palatino Linotype" w:hAnsi="Palatino Linotype" w:cs="Palatino Linotype"/>
        </w:rPr>
        <w:t>del artículo 179 de la Ley de Transparencia y Acceso a la Información Pública del Estado de Méxi</w:t>
      </w:r>
      <w:r w:rsidR="0004412B" w:rsidRPr="00EB2447">
        <w:rPr>
          <w:rFonts w:ascii="Palatino Linotype" w:eastAsia="Palatino Linotype" w:hAnsi="Palatino Linotype" w:cs="Palatino Linotype"/>
        </w:rPr>
        <w:t>co y Municipios</w:t>
      </w:r>
      <w:r w:rsidR="0087620B" w:rsidRPr="00EB2447">
        <w:rPr>
          <w:rFonts w:ascii="Palatino Linotype" w:eastAsia="Palatino Linotype" w:hAnsi="Palatino Linotype" w:cs="Palatino Linotype"/>
        </w:rPr>
        <w:t>.</w:t>
      </w:r>
    </w:p>
    <w:p w14:paraId="15DA54F6" w14:textId="77777777" w:rsidR="0087620B" w:rsidRPr="00EB2447" w:rsidRDefault="0087620B" w:rsidP="003E3B65">
      <w:pPr>
        <w:spacing w:after="0" w:line="360" w:lineRule="auto"/>
        <w:ind w:right="49"/>
        <w:jc w:val="both"/>
        <w:rPr>
          <w:rFonts w:ascii="Palatino Linotype" w:eastAsia="Palatino Linotype" w:hAnsi="Palatino Linotype" w:cs="Palatino Linotype"/>
        </w:rPr>
      </w:pPr>
    </w:p>
    <w:p w14:paraId="1E1B1169" w14:textId="77777777" w:rsidR="009824FA" w:rsidRPr="00EB2447" w:rsidRDefault="00117754"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lastRenderedPageBreak/>
        <w:t>Para ello, es de recordar que l</w:t>
      </w:r>
      <w:r w:rsidR="0087620B" w:rsidRPr="00EB2447">
        <w:rPr>
          <w:rFonts w:ascii="Palatino Linotype" w:eastAsia="Palatino Linotype" w:hAnsi="Palatino Linotype" w:cs="Palatino Linotype"/>
        </w:rPr>
        <w:t>a parte Recurrente, solicitó</w:t>
      </w:r>
      <w:r w:rsidR="009824FA" w:rsidRPr="00EB2447">
        <w:rPr>
          <w:rFonts w:ascii="Palatino Linotype" w:eastAsia="Palatino Linotype" w:hAnsi="Palatino Linotype" w:cs="Palatino Linotype"/>
        </w:rPr>
        <w:t xml:space="preserve">: </w:t>
      </w:r>
    </w:p>
    <w:p w14:paraId="7D6C72A7" w14:textId="77777777" w:rsidR="009824FA" w:rsidRPr="00EB2447" w:rsidRDefault="009824FA" w:rsidP="003E3B65">
      <w:pPr>
        <w:spacing w:after="0" w:line="360" w:lineRule="auto"/>
        <w:ind w:right="49"/>
        <w:jc w:val="both"/>
        <w:rPr>
          <w:rFonts w:ascii="Palatino Linotype" w:eastAsia="Palatino Linotype" w:hAnsi="Palatino Linotype" w:cs="Palatino Linotype"/>
        </w:rPr>
      </w:pPr>
    </w:p>
    <w:p w14:paraId="2733728C" w14:textId="1D4E875A" w:rsidR="0004412B" w:rsidRPr="00EB2447" w:rsidRDefault="009824FA" w:rsidP="003E3B65">
      <w:pPr>
        <w:pStyle w:val="Prrafodelista"/>
        <w:numPr>
          <w:ilvl w:val="0"/>
          <w:numId w:val="10"/>
        </w:numPr>
        <w:spacing w:after="0" w:line="360" w:lineRule="auto"/>
        <w:ind w:right="49"/>
        <w:jc w:val="both"/>
        <w:rPr>
          <w:rFonts w:ascii="Palatino Linotype" w:eastAsia="Palatino Linotype" w:hAnsi="Palatino Linotype" w:cs="Palatino Linotype"/>
          <w:b/>
          <w:bCs/>
        </w:rPr>
      </w:pPr>
      <w:r w:rsidRPr="00EB2447">
        <w:rPr>
          <w:rFonts w:ascii="Palatino Linotype" w:eastAsia="Palatino Linotype" w:hAnsi="Palatino Linotype" w:cs="Palatino Linotype"/>
          <w:b/>
          <w:bCs/>
        </w:rPr>
        <w:t>L</w:t>
      </w:r>
      <w:r w:rsidR="0087620B" w:rsidRPr="00EB2447">
        <w:rPr>
          <w:rFonts w:ascii="Palatino Linotype" w:eastAsia="Palatino Linotype" w:hAnsi="Palatino Linotype" w:cs="Palatino Linotype"/>
          <w:b/>
          <w:bCs/>
        </w:rPr>
        <w:t xml:space="preserve">os estados de cuenta </w:t>
      </w:r>
      <w:r w:rsidR="005663E0" w:rsidRPr="00EB2447">
        <w:rPr>
          <w:rFonts w:ascii="Palatino Linotype" w:eastAsia="Palatino Linotype" w:hAnsi="Palatino Linotype" w:cs="Palatino Linotype"/>
          <w:b/>
          <w:bCs/>
        </w:rPr>
        <w:t xml:space="preserve">de enero a marzo de dos mil veinticinco. </w:t>
      </w:r>
    </w:p>
    <w:p w14:paraId="7BBE3002" w14:textId="77777777" w:rsidR="0004412B" w:rsidRPr="00EB2447" w:rsidRDefault="0004412B" w:rsidP="003E3B65">
      <w:pPr>
        <w:spacing w:after="0" w:line="360" w:lineRule="auto"/>
        <w:ind w:left="567" w:right="560"/>
        <w:jc w:val="both"/>
        <w:rPr>
          <w:rFonts w:ascii="Palatino Linotype" w:eastAsia="Palatino Linotype" w:hAnsi="Palatino Linotype" w:cs="Palatino Linotype"/>
          <w:i/>
        </w:rPr>
      </w:pPr>
    </w:p>
    <w:p w14:paraId="4A44C40C" w14:textId="23C073C6" w:rsidR="0004412B" w:rsidRPr="00EB2447" w:rsidRDefault="0087620B"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El Sujeto Obligado </w:t>
      </w:r>
      <w:r w:rsidR="005663E0" w:rsidRPr="00EB2447">
        <w:rPr>
          <w:rFonts w:ascii="Palatino Linotype" w:eastAsia="Palatino Linotype" w:hAnsi="Palatino Linotype" w:cs="Palatino Linotype"/>
        </w:rPr>
        <w:t xml:space="preserve">solicitó una aclaración, la cual no fue atendida por el particular y, en consiguiente el Ayuntamiento de Berriozábal tuvo por no presentada la solicitud de información. </w:t>
      </w:r>
    </w:p>
    <w:p w14:paraId="4B21DBFF" w14:textId="77777777" w:rsidR="0004412B" w:rsidRPr="00EB2447" w:rsidRDefault="0004412B"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1A518" w14:textId="6121C3B7" w:rsidR="0004412B" w:rsidRPr="00EB2447" w:rsidRDefault="00117754"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Derivado de ello, la parte Recurrente se inconformó </w:t>
      </w:r>
      <w:r w:rsidR="0087620B" w:rsidRPr="00EB2447">
        <w:rPr>
          <w:rFonts w:ascii="Palatino Linotype" w:eastAsia="Palatino Linotype" w:hAnsi="Palatino Linotype" w:cs="Palatino Linotype"/>
        </w:rPr>
        <w:t>arguyendo</w:t>
      </w:r>
      <w:r w:rsidR="005663E0" w:rsidRPr="00EB2447">
        <w:rPr>
          <w:rFonts w:ascii="Palatino Linotype" w:eastAsia="Palatino Linotype" w:hAnsi="Palatino Linotype" w:cs="Palatino Linotype"/>
        </w:rPr>
        <w:t xml:space="preserve"> medularmente la</w:t>
      </w:r>
      <w:r w:rsidR="0087620B" w:rsidRPr="00EB2447">
        <w:rPr>
          <w:rFonts w:ascii="Palatino Linotype" w:eastAsia="Palatino Linotype" w:hAnsi="Palatino Linotype" w:cs="Palatino Linotype"/>
        </w:rPr>
        <w:t xml:space="preserve"> </w:t>
      </w:r>
      <w:r w:rsidR="009824FA" w:rsidRPr="00EB2447">
        <w:rPr>
          <w:rFonts w:ascii="Palatino Linotype" w:eastAsia="Palatino Linotype" w:hAnsi="Palatino Linotype" w:cs="Palatino Linotype"/>
        </w:rPr>
        <w:t>negativa e</w:t>
      </w:r>
      <w:r w:rsidR="005663E0" w:rsidRPr="00EB2447">
        <w:rPr>
          <w:rFonts w:ascii="Palatino Linotype" w:eastAsia="Palatino Linotype" w:hAnsi="Palatino Linotype" w:cs="Palatino Linotype"/>
        </w:rPr>
        <w:t xml:space="preserve">n la entrega de la información. </w:t>
      </w:r>
      <w:r w:rsidR="009824FA" w:rsidRPr="00EB2447">
        <w:rPr>
          <w:rFonts w:ascii="Palatino Linotype" w:eastAsia="Palatino Linotype" w:hAnsi="Palatino Linotype" w:cs="Palatino Linotype"/>
        </w:rPr>
        <w:t xml:space="preserve"> </w:t>
      </w:r>
    </w:p>
    <w:p w14:paraId="56E57C14" w14:textId="77777777" w:rsidR="0087620B" w:rsidRPr="00EB2447" w:rsidRDefault="0087620B"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D5EACD" w14:textId="65FD6389" w:rsidR="0087620B" w:rsidRPr="00EB2447" w:rsidRDefault="0087620B"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Es así que, mediante informe justificado, el Sujeto Obligado </w:t>
      </w:r>
      <w:r w:rsidR="009824FA" w:rsidRPr="00EB2447">
        <w:rPr>
          <w:rFonts w:ascii="Palatino Linotype" w:eastAsia="Palatino Linotype" w:hAnsi="Palatino Linotype" w:cs="Palatino Linotype"/>
        </w:rPr>
        <w:t xml:space="preserve">reiteró en términos generales su respuesta. </w:t>
      </w:r>
    </w:p>
    <w:p w14:paraId="5CB90822" w14:textId="77777777" w:rsidR="006516C6" w:rsidRPr="00EB2447" w:rsidRDefault="006516C6" w:rsidP="003E3B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05DF72" w14:textId="1E6A874E" w:rsidR="0087620B" w:rsidRPr="00EB2447" w:rsidRDefault="008104EC" w:rsidP="003E3B65">
      <w:pPr>
        <w:pBdr>
          <w:top w:val="nil"/>
          <w:left w:val="nil"/>
          <w:bottom w:val="nil"/>
          <w:right w:val="nil"/>
          <w:between w:val="nil"/>
        </w:pBdr>
        <w:spacing w:after="0" w:line="360" w:lineRule="auto"/>
        <w:ind w:right="49"/>
        <w:jc w:val="both"/>
        <w:rPr>
          <w:rFonts w:ascii="Palatino Linotype" w:eastAsia="Times New Roman" w:hAnsi="Palatino Linotype" w:cs="Tahoma"/>
          <w:bCs/>
          <w:lang w:eastAsia="es-ES"/>
        </w:rPr>
      </w:pPr>
      <w:r w:rsidRPr="00EB2447">
        <w:rPr>
          <w:rFonts w:ascii="Palatino Linotype" w:eastAsia="Palatino Linotype" w:hAnsi="Palatino Linotype" w:cs="Palatino Linotype"/>
        </w:rPr>
        <w:t>En atención a ello, se procede a contextualizar la información requerida, para esto,</w:t>
      </w:r>
      <w:r w:rsidR="00771DC0" w:rsidRPr="00EB2447">
        <w:rPr>
          <w:rFonts w:ascii="Palatino Linotype" w:eastAsia="Palatino Linotype" w:hAnsi="Palatino Linotype" w:cs="Palatino Linotype"/>
        </w:rPr>
        <w:t xml:space="preserve"> en</w:t>
      </w:r>
      <w:r w:rsidR="00E57132" w:rsidRPr="00EB2447">
        <w:rPr>
          <w:rFonts w:ascii="Palatino Linotype" w:eastAsia="Palatino Linotype" w:hAnsi="Palatino Linotype" w:cs="Palatino Linotype"/>
        </w:rPr>
        <w:t xml:space="preserve"> principio es menester referir </w:t>
      </w:r>
      <w:r w:rsidR="00E57132" w:rsidRPr="00EB2447">
        <w:rPr>
          <w:rFonts w:ascii="Palatino Linotype" w:eastAsia="Times New Roman" w:hAnsi="Palatino Linotype" w:cs="Tahoma"/>
          <w:bCs/>
          <w:lang w:eastAsia="es-ES"/>
        </w:rPr>
        <w:t xml:space="preserve">que </w:t>
      </w:r>
      <w:r w:rsidR="0087620B" w:rsidRPr="00EB2447">
        <w:rPr>
          <w:rFonts w:ascii="Palatino Linotype" w:hAnsi="Palatino Linotype" w:cs="Tahoma"/>
          <w:bCs/>
        </w:rPr>
        <w:t xml:space="preserve">los estados de cuenta bancarios </w:t>
      </w:r>
      <w:r w:rsidR="00E57132" w:rsidRPr="00EB2447">
        <w:rPr>
          <w:rFonts w:ascii="Palatino Linotype" w:hAnsi="Palatino Linotype" w:cs="Tahoma"/>
          <w:bCs/>
        </w:rPr>
        <w:t xml:space="preserve">que </w:t>
      </w:r>
      <w:r w:rsidR="00147519" w:rsidRPr="00EB2447">
        <w:rPr>
          <w:rFonts w:ascii="Palatino Linotype" w:hAnsi="Palatino Linotype" w:cs="Tahoma"/>
          <w:bCs/>
        </w:rPr>
        <w:t>da</w:t>
      </w:r>
      <w:r w:rsidR="00E57132" w:rsidRPr="00EB2447">
        <w:rPr>
          <w:rFonts w:ascii="Palatino Linotype" w:hAnsi="Palatino Linotype" w:cs="Tahoma"/>
          <w:bCs/>
        </w:rPr>
        <w:t>n</w:t>
      </w:r>
      <w:r w:rsidR="00147519" w:rsidRPr="00EB2447">
        <w:rPr>
          <w:rFonts w:ascii="Palatino Linotype" w:hAnsi="Palatino Linotype" w:cs="Tahoma"/>
          <w:bCs/>
        </w:rPr>
        <w:t xml:space="preserve"> cuenta de la transferencia o </w:t>
      </w:r>
      <w:r w:rsidR="009A351A" w:rsidRPr="00EB2447">
        <w:rPr>
          <w:rFonts w:ascii="Palatino Linotype" w:hAnsi="Palatino Linotype" w:cs="Tahoma"/>
          <w:bCs/>
        </w:rPr>
        <w:t>a</w:t>
      </w:r>
      <w:r w:rsidR="00147519" w:rsidRPr="00EB2447">
        <w:rPr>
          <w:rFonts w:ascii="Palatino Linotype" w:hAnsi="Palatino Linotype" w:cs="Tahoma"/>
          <w:bCs/>
        </w:rPr>
        <w:t xml:space="preserve">l </w:t>
      </w:r>
      <w:r w:rsidR="00E57132" w:rsidRPr="00EB2447">
        <w:rPr>
          <w:rFonts w:ascii="Palatino Linotype" w:hAnsi="Palatino Linotype" w:cs="Tahoma"/>
          <w:bCs/>
        </w:rPr>
        <w:t>depósito</w:t>
      </w:r>
      <w:r w:rsidR="00147519" w:rsidRPr="00EB2447">
        <w:rPr>
          <w:rFonts w:ascii="Palatino Linotype" w:hAnsi="Palatino Linotype" w:cs="Tahoma"/>
          <w:bCs/>
        </w:rPr>
        <w:t xml:space="preserve"> de recurso</w:t>
      </w:r>
      <w:r w:rsidR="009A351A" w:rsidRPr="00EB2447">
        <w:rPr>
          <w:rFonts w:ascii="Palatino Linotype" w:hAnsi="Palatino Linotype" w:cs="Tahoma"/>
          <w:bCs/>
        </w:rPr>
        <w:t xml:space="preserve"> </w:t>
      </w:r>
      <w:r w:rsidR="00E57132" w:rsidRPr="00EB2447">
        <w:rPr>
          <w:rFonts w:ascii="Palatino Linotype" w:hAnsi="Palatino Linotype" w:cs="Tahoma"/>
          <w:bCs/>
        </w:rPr>
        <w:t>que llegan a las cuentas de instituciones pública</w:t>
      </w:r>
      <w:r w:rsidR="0087620B" w:rsidRPr="00EB2447">
        <w:rPr>
          <w:rFonts w:ascii="Palatino Linotype" w:eastAsia="Times New Roman" w:hAnsi="Palatino Linotype" w:cs="Times New Roman"/>
          <w:lang w:val="es-ES" w:eastAsia="es-ES"/>
        </w:rPr>
        <w:t xml:space="preserve">, son considerados como información pública, pues su difusión favorece la rendición de cuentas al transparentar la forma en que se administrar los recursos públicos; situación que se robustece con el Criterio </w:t>
      </w:r>
      <w:r w:rsidR="009824FA" w:rsidRPr="00EB2447">
        <w:rPr>
          <w:rFonts w:ascii="Palatino Linotype" w:eastAsia="Times New Roman" w:hAnsi="Palatino Linotype" w:cs="Times New Roman"/>
          <w:lang w:val="es-ES" w:eastAsia="es-ES"/>
        </w:rPr>
        <w:t xml:space="preserve">orientador </w:t>
      </w:r>
      <w:r w:rsidR="0087620B" w:rsidRPr="00EB2447">
        <w:rPr>
          <w:rFonts w:ascii="Palatino Linotype" w:eastAsia="Times New Roman" w:hAnsi="Palatino Linotype" w:cs="Times New Roman"/>
          <w:lang w:val="es-ES" w:eastAsia="es-ES"/>
        </w:rPr>
        <w:t xml:space="preserve">11/17, del </w:t>
      </w:r>
      <w:r w:rsidR="009824FA" w:rsidRPr="00EB2447">
        <w:rPr>
          <w:rFonts w:ascii="Palatino Linotype" w:eastAsia="Times New Roman" w:hAnsi="Palatino Linotype" w:cs="Times New Roman"/>
          <w:lang w:val="es-ES" w:eastAsia="es-ES"/>
        </w:rPr>
        <w:t xml:space="preserve">entonces </w:t>
      </w:r>
      <w:r w:rsidR="0087620B" w:rsidRPr="00EB2447">
        <w:rPr>
          <w:rFonts w:ascii="Palatino Linotype" w:eastAsia="Times New Roman" w:hAnsi="Palatino Linotype" w:cs="Times New Roman"/>
          <w:lang w:val="es-ES" w:eastAsia="es-ES"/>
        </w:rPr>
        <w:t>Instituto Nacional de Transparencia, Acceso a la Información y Protección de Datos Personales, que a la letra precisa:</w:t>
      </w:r>
    </w:p>
    <w:p w14:paraId="7759E1FE" w14:textId="77777777" w:rsidR="0087620B" w:rsidRPr="00EB2447" w:rsidRDefault="0087620B" w:rsidP="003E3B65">
      <w:pPr>
        <w:spacing w:after="0" w:line="360" w:lineRule="auto"/>
        <w:jc w:val="both"/>
        <w:rPr>
          <w:rFonts w:ascii="Palatino Linotype" w:eastAsia="Times New Roman" w:hAnsi="Palatino Linotype" w:cs="Times New Roman"/>
          <w:lang w:val="es-ES" w:eastAsia="es-ES"/>
        </w:rPr>
      </w:pPr>
    </w:p>
    <w:p w14:paraId="4E3FB559" w14:textId="172FA710" w:rsidR="0087620B" w:rsidRPr="00EB2447" w:rsidRDefault="0087620B" w:rsidP="003E3B65">
      <w:pPr>
        <w:tabs>
          <w:tab w:val="left" w:pos="7938"/>
        </w:tabs>
        <w:spacing w:after="0" w:line="276" w:lineRule="auto"/>
        <w:ind w:left="851" w:right="708"/>
        <w:jc w:val="both"/>
        <w:rPr>
          <w:rFonts w:ascii="Palatino Linotype" w:hAnsi="Palatino Linotype" w:cs="Arial"/>
          <w:i/>
        </w:rPr>
      </w:pPr>
      <w:r w:rsidRPr="00EB2447">
        <w:rPr>
          <w:rFonts w:ascii="Palatino Linotype" w:hAnsi="Palatino Linotype" w:cs="Arial"/>
          <w:i/>
        </w:rPr>
        <w:t>“</w:t>
      </w:r>
      <w:r w:rsidRPr="00EB2447">
        <w:rPr>
          <w:rFonts w:ascii="Palatino Linotype" w:hAnsi="Palatino Linotype" w:cs="Arial"/>
          <w:b/>
          <w:i/>
        </w:rPr>
        <w:t>Cuentas bancarias y/o CLABE interbancaria de sujetos obligados que reciben y/o transfieren recursos públicos, son información pública</w:t>
      </w:r>
      <w:r w:rsidRPr="00EB2447">
        <w:rPr>
          <w:rFonts w:ascii="Palatino Linotype" w:hAnsi="Palatino Linotype" w:cs="Arial"/>
          <w:i/>
        </w:rPr>
        <w:t xml:space="preserve">. La difusión de las cuentas bancarias y claves interbancarias pertenecientes a un sujeto obligado </w:t>
      </w:r>
      <w:r w:rsidRPr="00EB2447">
        <w:rPr>
          <w:rFonts w:ascii="Palatino Linotype" w:hAnsi="Palatino Linotype" w:cs="Arial"/>
          <w:i/>
        </w:rPr>
        <w:lastRenderedPageBreak/>
        <w:t xml:space="preserve">favorece la rendición de cuentas al transparentar la forma en que se administran los recursos públicos, razón por la cual no pueden considerarse como información clasificada”. </w:t>
      </w:r>
      <w:r w:rsidR="00147519" w:rsidRPr="00EB2447">
        <w:rPr>
          <w:rFonts w:ascii="Palatino Linotype" w:hAnsi="Palatino Linotype" w:cs="Arial"/>
          <w:i/>
        </w:rPr>
        <w:t xml:space="preserve"> </w:t>
      </w:r>
    </w:p>
    <w:p w14:paraId="4DF1ED54" w14:textId="77777777" w:rsidR="0087620B" w:rsidRPr="00EB2447" w:rsidRDefault="0087620B" w:rsidP="003E3B65">
      <w:pPr>
        <w:spacing w:after="0" w:line="360" w:lineRule="auto"/>
        <w:jc w:val="both"/>
        <w:rPr>
          <w:rFonts w:ascii="Palatino Linotype" w:hAnsi="Palatino Linotype" w:cs="Times New Roman"/>
        </w:rPr>
      </w:pPr>
    </w:p>
    <w:p w14:paraId="552A902C" w14:textId="0B39D1B1" w:rsidR="0087620B" w:rsidRPr="00EB2447" w:rsidRDefault="0087620B" w:rsidP="003E3B65">
      <w:pPr>
        <w:spacing w:after="0" w:line="360" w:lineRule="auto"/>
        <w:jc w:val="both"/>
        <w:rPr>
          <w:rFonts w:ascii="Palatino Linotype" w:hAnsi="Palatino Linotype" w:cs="Times New Roman"/>
        </w:rPr>
      </w:pPr>
      <w:r w:rsidRPr="00EB2447">
        <w:rPr>
          <w:rFonts w:ascii="Palatino Linotype" w:hAnsi="Palatino Linotype" w:cs="Times New Roman"/>
        </w:rPr>
        <w:t xml:space="preserve">Asimismo, el artículo 2°, fracción III, de la Ley General de Títulos y Operaciones de Crédito establece que los actos y las operaciones que regula esta Ley General, se regirán por los </w:t>
      </w:r>
      <w:r w:rsidRPr="00EB2447">
        <w:rPr>
          <w:rFonts w:ascii="Palatino Linotype" w:hAnsi="Palatino Linotype" w:cs="Times New Roman"/>
          <w:b/>
          <w:bCs/>
        </w:rPr>
        <w:t xml:space="preserve">usos </w:t>
      </w:r>
      <w:r w:rsidRPr="00EB2447">
        <w:rPr>
          <w:rFonts w:ascii="Palatino Linotype" w:hAnsi="Palatino Linotype" w:cs="Times New Roman"/>
        </w:rPr>
        <w:t>bancarios y mercantiles, es así que</w:t>
      </w:r>
      <w:r w:rsidR="009A351A" w:rsidRPr="00EB2447">
        <w:rPr>
          <w:rFonts w:ascii="Palatino Linotype" w:hAnsi="Palatino Linotype" w:cs="Times New Roman"/>
        </w:rPr>
        <w:t>,</w:t>
      </w:r>
      <w:r w:rsidRPr="00EB2447">
        <w:rPr>
          <w:rFonts w:ascii="Palatino Linotype" w:hAnsi="Palatino Linotype" w:cs="Times New Roman"/>
        </w:rPr>
        <w:t xml:space="preserve"> la cuenta bancaria y estado de cuenta se definen como: </w:t>
      </w:r>
    </w:p>
    <w:p w14:paraId="5CE9CDF6" w14:textId="77777777" w:rsidR="0087620B" w:rsidRPr="00EB2447" w:rsidRDefault="0087620B" w:rsidP="003E3B65">
      <w:pPr>
        <w:spacing w:after="0" w:line="360" w:lineRule="auto"/>
        <w:jc w:val="both"/>
        <w:rPr>
          <w:rFonts w:ascii="Palatino Linotype" w:hAnsi="Palatino Linotype" w:cs="Times New Roman"/>
        </w:rPr>
      </w:pPr>
    </w:p>
    <w:p w14:paraId="108F3860" w14:textId="77777777" w:rsidR="0087620B" w:rsidRPr="00EB2447" w:rsidRDefault="0087620B" w:rsidP="003E3B65">
      <w:pPr>
        <w:numPr>
          <w:ilvl w:val="0"/>
          <w:numId w:val="13"/>
        </w:numPr>
        <w:spacing w:after="0" w:line="360" w:lineRule="auto"/>
        <w:contextualSpacing/>
        <w:jc w:val="both"/>
        <w:rPr>
          <w:rFonts w:ascii="Palatino Linotype" w:eastAsia="Times New Roman" w:hAnsi="Palatino Linotype" w:cs="Times New Roman"/>
          <w:lang w:eastAsia="es-ES"/>
        </w:rPr>
      </w:pPr>
      <w:r w:rsidRPr="00EB2447">
        <w:rPr>
          <w:rFonts w:ascii="Palatino Linotype" w:eastAsia="Times New Roman" w:hAnsi="Palatino Linotype" w:cs="Times New Roman"/>
          <w:b/>
          <w:bCs/>
          <w:lang w:eastAsia="es-ES"/>
        </w:rPr>
        <w:t>Cuenta bancaria:</w:t>
      </w:r>
      <w:r w:rsidRPr="00EB2447">
        <w:rPr>
          <w:rFonts w:ascii="Palatino Linotype" w:eastAsia="Times New Roman" w:hAnsi="Palatino Linotype" w:cs="Times New Roman"/>
          <w:lang w:eastAsia="es-ES"/>
        </w:rPr>
        <w:t xml:space="preserve"> Una cuenta bancaria es un registro que mantiene un banco, en el que guarda dinero y contabiliza todas las entradas y salidas de efectivo, así como los créditos en curso, inversiones y productos relacionados.</w:t>
      </w:r>
    </w:p>
    <w:p w14:paraId="617284D4" w14:textId="77777777" w:rsidR="0087620B" w:rsidRPr="00EB2447" w:rsidRDefault="0087620B" w:rsidP="003E3B65">
      <w:pPr>
        <w:spacing w:after="0" w:line="360" w:lineRule="auto"/>
        <w:ind w:left="720"/>
        <w:contextualSpacing/>
        <w:jc w:val="both"/>
        <w:rPr>
          <w:rFonts w:ascii="Palatino Linotype" w:eastAsia="Times New Roman" w:hAnsi="Palatino Linotype" w:cs="Times New Roman"/>
          <w:lang w:eastAsia="es-ES"/>
        </w:rPr>
      </w:pPr>
    </w:p>
    <w:p w14:paraId="25CFBABD" w14:textId="1ED0F8ED" w:rsidR="0087620B" w:rsidRPr="00EB2447" w:rsidRDefault="0087620B" w:rsidP="003E3B65">
      <w:pPr>
        <w:numPr>
          <w:ilvl w:val="0"/>
          <w:numId w:val="13"/>
        </w:numPr>
        <w:spacing w:after="0" w:line="360" w:lineRule="auto"/>
        <w:contextualSpacing/>
        <w:jc w:val="both"/>
        <w:rPr>
          <w:rFonts w:ascii="Palatino Linotype" w:eastAsia="Arial Unicode MS" w:hAnsi="Palatino Linotype" w:cs="Arial"/>
        </w:rPr>
      </w:pPr>
      <w:r w:rsidRPr="00EB2447">
        <w:rPr>
          <w:rFonts w:ascii="Palatino Linotype" w:eastAsia="Times New Roman" w:hAnsi="Palatino Linotype" w:cs="Times New Roman"/>
          <w:b/>
          <w:bCs/>
          <w:lang w:eastAsia="es-ES"/>
        </w:rPr>
        <w:t>Estado de cuenta:</w:t>
      </w:r>
      <w:r w:rsidRPr="00EB2447">
        <w:rPr>
          <w:rFonts w:ascii="Palatino Linotype" w:eastAsia="Times New Roman" w:hAnsi="Palatino Linotype" w:cs="Times New Roman"/>
          <w:lang w:eastAsia="es-ES"/>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w:t>
      </w:r>
      <w:r w:rsidR="009824FA" w:rsidRPr="00EB2447">
        <w:rPr>
          <w:rFonts w:ascii="Palatino Linotype" w:eastAsia="Times New Roman" w:hAnsi="Palatino Linotype" w:cs="Times New Roman"/>
          <w:lang w:eastAsia="es-ES"/>
        </w:rPr>
        <w:t xml:space="preserve">. </w:t>
      </w:r>
    </w:p>
    <w:p w14:paraId="2662DBE9" w14:textId="77777777" w:rsidR="009824FA" w:rsidRPr="00EB2447" w:rsidRDefault="009824FA" w:rsidP="003E3B65">
      <w:pPr>
        <w:pStyle w:val="Prrafodelista"/>
        <w:spacing w:after="0"/>
        <w:rPr>
          <w:rFonts w:ascii="Palatino Linotype" w:eastAsia="Arial Unicode MS" w:hAnsi="Palatino Linotype" w:cs="Arial"/>
        </w:rPr>
      </w:pPr>
    </w:p>
    <w:p w14:paraId="659257B7" w14:textId="2F492D0D" w:rsidR="00E57132" w:rsidRPr="00EB2447" w:rsidRDefault="0087620B"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rPr>
        <w:t xml:space="preserve">Ahora bien, </w:t>
      </w:r>
      <w:r w:rsidR="009A351A" w:rsidRPr="00EB2447">
        <w:rPr>
          <w:rFonts w:ascii="Palatino Linotype" w:eastAsia="Arial Unicode MS" w:hAnsi="Palatino Linotype" w:cs="Arial"/>
        </w:rPr>
        <w:t xml:space="preserve">de lo anterior, se colige que el estado de cuenta es un documento emitido por una institución bancaria en el que se advierten los movimientos realizados -en este caso- por la autoridad pública y, mediante el cual se puede obtener información como el </w:t>
      </w:r>
      <w:r w:rsidRPr="00EB2447">
        <w:rPr>
          <w:rFonts w:ascii="Palatino Linotype" w:eastAsia="Arial Unicode MS" w:hAnsi="Palatino Linotype" w:cs="Arial"/>
        </w:rPr>
        <w:t>número de cuent</w:t>
      </w:r>
      <w:r w:rsidR="009A351A" w:rsidRPr="00EB2447">
        <w:rPr>
          <w:rFonts w:ascii="Palatino Linotype" w:eastAsia="Arial Unicode MS" w:hAnsi="Palatino Linotype" w:cs="Arial"/>
        </w:rPr>
        <w:t xml:space="preserve">a, el cual es definido como </w:t>
      </w:r>
      <w:r w:rsidRPr="00EB2447">
        <w:rPr>
          <w:rFonts w:ascii="Palatino Linotype" w:eastAsia="Arial Unicode MS" w:hAnsi="Palatino Linotype" w:cs="Arial"/>
        </w:rPr>
        <w:t xml:space="preserve">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14:paraId="5A91E154" w14:textId="77777777" w:rsidR="009A351A" w:rsidRPr="00EB2447" w:rsidRDefault="009A351A" w:rsidP="003E3B65">
      <w:pPr>
        <w:tabs>
          <w:tab w:val="left" w:pos="7938"/>
        </w:tabs>
        <w:spacing w:after="0" w:line="360" w:lineRule="auto"/>
        <w:jc w:val="both"/>
        <w:rPr>
          <w:rFonts w:ascii="Palatino Linotype" w:eastAsia="Arial Unicode MS" w:hAnsi="Palatino Linotype" w:cs="Arial"/>
        </w:rPr>
      </w:pPr>
    </w:p>
    <w:p w14:paraId="5211DA68" w14:textId="3D39983E" w:rsidR="0087620B" w:rsidRPr="00EB2447" w:rsidRDefault="0087620B"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rPr>
        <w:t>Dicha clave se compone de 18 dígitos numéricos que corresponden a los siguientes datos:</w:t>
      </w:r>
    </w:p>
    <w:p w14:paraId="11F49B8E" w14:textId="77777777" w:rsidR="0087620B" w:rsidRPr="00EB2447" w:rsidRDefault="0087620B" w:rsidP="003E3B65">
      <w:pPr>
        <w:tabs>
          <w:tab w:val="left" w:pos="7938"/>
        </w:tabs>
        <w:spacing w:after="0" w:line="360" w:lineRule="auto"/>
        <w:ind w:left="567"/>
        <w:jc w:val="both"/>
        <w:rPr>
          <w:rFonts w:ascii="Palatino Linotype" w:eastAsia="Arial Unicode MS" w:hAnsi="Palatino Linotype" w:cs="Arial"/>
        </w:rPr>
      </w:pPr>
    </w:p>
    <w:p w14:paraId="70004CE8" w14:textId="77777777" w:rsidR="0087620B" w:rsidRPr="00EB2447" w:rsidRDefault="0087620B" w:rsidP="003E3B65">
      <w:pPr>
        <w:tabs>
          <w:tab w:val="left" w:pos="7938"/>
        </w:tabs>
        <w:spacing w:after="0" w:line="360" w:lineRule="auto"/>
        <w:ind w:left="567"/>
        <w:jc w:val="both"/>
        <w:rPr>
          <w:rFonts w:ascii="Palatino Linotype" w:eastAsia="Arial Unicode MS" w:hAnsi="Palatino Linotype" w:cs="Arial"/>
        </w:rPr>
      </w:pPr>
      <w:r w:rsidRPr="00EB2447">
        <w:rPr>
          <w:rFonts w:ascii="Palatino Linotype" w:eastAsia="Arial Unicode MS" w:hAnsi="Palatino Linotype" w:cs="Arial"/>
          <w:b/>
        </w:rPr>
        <w:t>CÓDIGO DE BANCO</w:t>
      </w:r>
      <w:r w:rsidRPr="00EB2447">
        <w:rPr>
          <w:rFonts w:ascii="Palatino Linotype" w:eastAsia="Arial Unicode MS" w:hAnsi="Palatino Linotype" w:cs="Arial"/>
        </w:rPr>
        <w:t>: Donde radica la cuenta, de acuerdo con los números asignados a las Instituciones de Crédito Asociación de Bancos de México (tres dígitos).</w:t>
      </w:r>
    </w:p>
    <w:p w14:paraId="56935492" w14:textId="77777777" w:rsidR="0087620B" w:rsidRPr="00EB2447" w:rsidRDefault="0087620B" w:rsidP="003E3B65">
      <w:pPr>
        <w:tabs>
          <w:tab w:val="left" w:pos="7938"/>
        </w:tabs>
        <w:spacing w:after="0" w:line="360" w:lineRule="auto"/>
        <w:ind w:left="567"/>
        <w:jc w:val="both"/>
        <w:rPr>
          <w:rFonts w:ascii="Palatino Linotype" w:eastAsia="Arial Unicode MS" w:hAnsi="Palatino Linotype" w:cs="Arial"/>
        </w:rPr>
      </w:pPr>
      <w:r w:rsidRPr="00EB2447">
        <w:rPr>
          <w:rFonts w:ascii="Palatino Linotype" w:eastAsia="Arial Unicode MS" w:hAnsi="Palatino Linotype" w:cs="Arial"/>
          <w:b/>
        </w:rPr>
        <w:t>CÓDIGO DE PLAZA</w:t>
      </w:r>
      <w:r w:rsidRPr="00EB2447">
        <w:rPr>
          <w:rFonts w:ascii="Palatino Linotype" w:eastAsia="Arial Unicode MS" w:hAnsi="Palatino Linotype" w:cs="Arial"/>
        </w:rPr>
        <w:t xml:space="preserve">: Ciudad o región donde el cliente mantiene su cuenta, de acuerdo con la definición de claves de plaza definida para el servicio de cheques (tres dígitos). </w:t>
      </w:r>
    </w:p>
    <w:p w14:paraId="6D203B47" w14:textId="77777777" w:rsidR="0087620B" w:rsidRPr="00EB2447" w:rsidRDefault="0087620B" w:rsidP="003E3B65">
      <w:pPr>
        <w:tabs>
          <w:tab w:val="left" w:pos="7938"/>
        </w:tabs>
        <w:spacing w:after="0" w:line="360" w:lineRule="auto"/>
        <w:ind w:left="567"/>
        <w:jc w:val="both"/>
        <w:rPr>
          <w:rFonts w:ascii="Palatino Linotype" w:eastAsia="Arial Unicode MS" w:hAnsi="Palatino Linotype" w:cs="Arial"/>
        </w:rPr>
      </w:pPr>
      <w:r w:rsidRPr="00EB2447">
        <w:rPr>
          <w:rFonts w:ascii="Palatino Linotype" w:eastAsia="Arial Unicode MS" w:hAnsi="Palatino Linotype" w:cs="Arial"/>
          <w:b/>
        </w:rPr>
        <w:t>NUMERO DE CUENTA</w:t>
      </w:r>
      <w:r w:rsidRPr="00EB2447">
        <w:rPr>
          <w:rFonts w:ascii="Palatino Linotype" w:eastAsia="Arial Unicode MS" w:hAnsi="Palatino Linotype" w:cs="Arial"/>
        </w:rPr>
        <w:t xml:space="preserve">: Campo en donde se incluye la información que cada banco para individualizar la cuenta de sus clientes (once dígitos), y </w:t>
      </w:r>
    </w:p>
    <w:p w14:paraId="088F159F" w14:textId="77777777" w:rsidR="0087620B" w:rsidRPr="00EB2447" w:rsidRDefault="0087620B" w:rsidP="003E3B65">
      <w:pPr>
        <w:tabs>
          <w:tab w:val="left" w:pos="7938"/>
        </w:tabs>
        <w:spacing w:after="0" w:line="360" w:lineRule="auto"/>
        <w:ind w:left="567"/>
        <w:jc w:val="both"/>
        <w:rPr>
          <w:rFonts w:ascii="Palatino Linotype" w:eastAsia="Arial Unicode MS" w:hAnsi="Palatino Linotype" w:cs="Arial"/>
        </w:rPr>
      </w:pPr>
      <w:r w:rsidRPr="00EB2447">
        <w:rPr>
          <w:rFonts w:ascii="Palatino Linotype" w:eastAsia="Arial Unicode MS" w:hAnsi="Palatino Linotype" w:cs="Arial"/>
          <w:b/>
        </w:rPr>
        <w:t>DÍGITO DE CONTROL.</w:t>
      </w:r>
      <w:r w:rsidRPr="00EB2447">
        <w:rPr>
          <w:rFonts w:ascii="Palatino Linotype" w:eastAsia="Arial Unicode MS" w:hAnsi="Palatino Linotype" w:cs="Arial"/>
        </w:rPr>
        <w:t xml:space="preserve"> Es un dígito que se obtiene a través de aplicar un algoritmo que permite validar que la estructura de los datos contenidos en la CLABE sean correctos (un dígito).</w:t>
      </w:r>
    </w:p>
    <w:p w14:paraId="743D2DEE" w14:textId="77777777" w:rsidR="0087620B" w:rsidRPr="00EB2447" w:rsidRDefault="0087620B" w:rsidP="003E3B65">
      <w:pPr>
        <w:tabs>
          <w:tab w:val="left" w:pos="7938"/>
        </w:tabs>
        <w:spacing w:after="0" w:line="360" w:lineRule="auto"/>
        <w:jc w:val="both"/>
        <w:rPr>
          <w:rFonts w:ascii="Palatino Linotype" w:eastAsia="Arial Unicode MS" w:hAnsi="Palatino Linotype" w:cs="Arial"/>
        </w:rPr>
      </w:pPr>
    </w:p>
    <w:p w14:paraId="6A17F400" w14:textId="34CCCED8" w:rsidR="0087620B" w:rsidRPr="00EB2447" w:rsidRDefault="0087620B"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b/>
          <w:bCs/>
          <w:u w:val="single"/>
        </w:rPr>
        <w:t xml:space="preserve">Así las cuentas bancarias otorgadas al </w:t>
      </w:r>
      <w:r w:rsidR="009824FA" w:rsidRPr="00EB2447">
        <w:rPr>
          <w:rFonts w:ascii="Palatino Linotype" w:eastAsia="Arial Unicode MS" w:hAnsi="Palatino Linotype" w:cs="Arial"/>
          <w:b/>
          <w:bCs/>
          <w:u w:val="single"/>
        </w:rPr>
        <w:t>Sujeto Obligado</w:t>
      </w:r>
      <w:r w:rsidRPr="00EB2447">
        <w:rPr>
          <w:rFonts w:ascii="Palatino Linotype" w:eastAsia="Arial Unicode MS" w:hAnsi="Palatino Linotype" w:cs="Arial"/>
          <w:b/>
          <w:bCs/>
          <w:u w:val="single"/>
        </w:rPr>
        <w:t xml:space="preserve"> y su CLABE es única e irrepetible, estableciendo con ello una relación que avala que los cargos efectuados, las transferencias electrónicas realizadas o los abonos efectuados corresponden, exclusivamente a la cuenta proporcionada a su titular</w:t>
      </w:r>
      <w:r w:rsidRPr="00EB2447">
        <w:rPr>
          <w:rFonts w:ascii="Palatino Linotype" w:eastAsia="Arial Unicode MS" w:hAnsi="Palatino Linotype" w:cs="Arial"/>
        </w:rPr>
        <w:t xml:space="preserve">, creando con ello una relación entre el </w:t>
      </w:r>
      <w:r w:rsidR="009824FA" w:rsidRPr="00EB2447">
        <w:rPr>
          <w:rFonts w:ascii="Palatino Linotype" w:eastAsia="Arial Unicode MS" w:hAnsi="Palatino Linotype" w:cs="Arial"/>
        </w:rPr>
        <w:t>Poder Legislativo</w:t>
      </w:r>
      <w:r w:rsidRPr="00EB2447">
        <w:rPr>
          <w:rFonts w:ascii="Palatino Linotype" w:eastAsia="Arial Unicode MS" w:hAnsi="Palatino Linotype" w:cs="Arial"/>
        </w:rPr>
        <w:t xml:space="preserve"> y la institución encargada de prestar servicios de carácter financiero, mismo que se encuentra estrechamente relacionada con el patrimonio a la que se asignó el número. </w:t>
      </w:r>
    </w:p>
    <w:p w14:paraId="33F89D9C" w14:textId="77777777" w:rsidR="0087620B" w:rsidRPr="00EB2447" w:rsidRDefault="0087620B" w:rsidP="003E3B65">
      <w:pPr>
        <w:tabs>
          <w:tab w:val="left" w:pos="7938"/>
        </w:tabs>
        <w:spacing w:after="0" w:line="360" w:lineRule="auto"/>
        <w:jc w:val="both"/>
        <w:rPr>
          <w:rFonts w:ascii="Palatino Linotype" w:eastAsia="Arial Unicode MS" w:hAnsi="Palatino Linotype" w:cs="Arial"/>
        </w:rPr>
      </w:pPr>
    </w:p>
    <w:p w14:paraId="53DF7753" w14:textId="2CFC4E3A" w:rsidR="0087620B" w:rsidRPr="00EB2447" w:rsidRDefault="0087620B"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rPr>
        <w:t>Derivado de lo anterior, se considera que el estado de cuenta bancaria y la CLABE interbancaria</w:t>
      </w:r>
      <w:r w:rsidR="009A351A" w:rsidRPr="00EB2447">
        <w:rPr>
          <w:rFonts w:ascii="Palatino Linotype" w:eastAsia="Arial Unicode MS" w:hAnsi="Palatino Linotype" w:cs="Arial"/>
        </w:rPr>
        <w:t xml:space="preserve"> </w:t>
      </w:r>
      <w:r w:rsidRPr="00EB2447">
        <w:rPr>
          <w:rFonts w:ascii="Palatino Linotype" w:eastAsia="Arial Unicode MS" w:hAnsi="Palatino Linotype" w:cs="Arial"/>
        </w:rPr>
        <w:t xml:space="preserve">del </w:t>
      </w:r>
      <w:r w:rsidR="009824FA" w:rsidRPr="00EB2447">
        <w:rPr>
          <w:rFonts w:ascii="Palatino Linotype" w:eastAsia="Arial Unicode MS" w:hAnsi="Palatino Linotype" w:cs="Arial"/>
        </w:rPr>
        <w:t>Poder Legislativo</w:t>
      </w:r>
      <w:r w:rsidRPr="00EB2447">
        <w:rPr>
          <w:rFonts w:ascii="Palatino Linotype" w:eastAsia="Arial Unicode MS" w:hAnsi="Palatino Linotype" w:cs="Arial"/>
        </w:rPr>
        <w:t xml:space="preserve"> se encuentra asociado a su patrimonio, entendiendo éste como el conjunto de bienes, fondos, derechos, obligaciones</w:t>
      </w:r>
      <w:r w:rsidR="009A351A" w:rsidRPr="00EB2447">
        <w:rPr>
          <w:rFonts w:ascii="Palatino Linotype" w:eastAsia="Arial Unicode MS" w:hAnsi="Palatino Linotype" w:cs="Arial"/>
        </w:rPr>
        <w:t xml:space="preserve">; </w:t>
      </w:r>
      <w:r w:rsidRPr="00EB2447">
        <w:rPr>
          <w:rFonts w:ascii="Palatino Linotype" w:eastAsia="Arial Unicode MS" w:hAnsi="Palatino Linotype" w:cs="Arial"/>
        </w:rPr>
        <w:t>por tanto, se trata de</w:t>
      </w:r>
      <w:r w:rsidR="006C1AD4" w:rsidRPr="00EB2447">
        <w:rPr>
          <w:rFonts w:ascii="Palatino Linotype" w:eastAsia="Arial Unicode MS" w:hAnsi="Palatino Linotype" w:cs="Arial"/>
        </w:rPr>
        <w:t xml:space="preserve"> información de dominio público. </w:t>
      </w:r>
    </w:p>
    <w:p w14:paraId="5EF3ABEE" w14:textId="77777777" w:rsidR="006C1AD4" w:rsidRPr="00EB2447" w:rsidRDefault="006C1AD4" w:rsidP="003E3B65">
      <w:pPr>
        <w:tabs>
          <w:tab w:val="left" w:pos="7938"/>
        </w:tabs>
        <w:spacing w:after="0" w:line="360" w:lineRule="auto"/>
        <w:jc w:val="both"/>
        <w:rPr>
          <w:rFonts w:ascii="Palatino Linotype" w:eastAsia="Arial Unicode MS" w:hAnsi="Palatino Linotype" w:cs="Arial"/>
        </w:rPr>
      </w:pPr>
    </w:p>
    <w:p w14:paraId="3EF17EC6" w14:textId="705F75E3" w:rsidR="0087620B" w:rsidRPr="00EB2447" w:rsidRDefault="0087620B"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rPr>
        <w:lastRenderedPageBreak/>
        <w:t xml:space="preserve">Por su parte </w:t>
      </w:r>
      <w:r w:rsidR="006C1AD4" w:rsidRPr="00EB2447">
        <w:rPr>
          <w:rFonts w:ascii="Palatino Linotype" w:hAnsi="Palatino Linotype"/>
        </w:rPr>
        <w:t xml:space="preserve">el </w:t>
      </w:r>
      <w:r w:rsidR="006C1AD4" w:rsidRPr="00EB2447">
        <w:rPr>
          <w:rFonts w:ascii="Palatino Linotype" w:hAnsi="Palatino Linotype"/>
          <w:b/>
          <w:u w:val="single"/>
        </w:rPr>
        <w:t>Manual Único de Contabilidad Gubernamental para los Entes Públicos del Gobierno y Municipios del Estado de México</w:t>
      </w:r>
      <w:r w:rsidR="006C1AD4" w:rsidRPr="00EB2447">
        <w:rPr>
          <w:rFonts w:ascii="Palatino Linotype" w:hAnsi="Palatino Linotype"/>
        </w:rPr>
        <w:t xml:space="preserve">, el cual reúne en un solo documento todos los elementos del Sistema Contable, además de ofrecer las herramientas y métodos necesarios para registrar correctamente las operaciones financieras y aporta los elementos necesarios que les permitan contabilizar sus operaciones al establecer los criterios en materia de Contabilidad Gubernamental, y constituye una herramienta básica para el registro de las operaciones que otorgan consistencia en la presentación de los resultados del ejercicio y facilita su interpretación, proporcionando las bases para consolidar bajo criterios uniformes y homogéneos la información contable, </w:t>
      </w:r>
      <w:r w:rsidRPr="00EB2447">
        <w:rPr>
          <w:rFonts w:ascii="Palatino Linotype" w:eastAsia="Arial Unicode MS" w:hAnsi="Palatino Linotype" w:cs="Arial"/>
        </w:rPr>
        <w:t xml:space="preserve">establecen </w:t>
      </w:r>
      <w:r w:rsidR="006C1AD4" w:rsidRPr="00EB2447">
        <w:rPr>
          <w:rFonts w:ascii="Palatino Linotype" w:eastAsia="Arial Unicode MS" w:hAnsi="Palatino Linotype" w:cs="Arial"/>
        </w:rPr>
        <w:t xml:space="preserve">como obligación del Poder Legislativo contar con los siguientes controles: </w:t>
      </w:r>
    </w:p>
    <w:p w14:paraId="193A77A9" w14:textId="77777777" w:rsidR="006C1AD4" w:rsidRPr="00EB2447" w:rsidRDefault="006C1AD4" w:rsidP="003E3B65">
      <w:pPr>
        <w:tabs>
          <w:tab w:val="left" w:pos="7938"/>
        </w:tabs>
        <w:spacing w:after="0" w:line="360" w:lineRule="auto"/>
        <w:jc w:val="both"/>
        <w:rPr>
          <w:rFonts w:ascii="Palatino Linotype" w:eastAsia="Arial Unicode MS" w:hAnsi="Palatino Linotype" w:cs="Arial"/>
        </w:rPr>
      </w:pPr>
    </w:p>
    <w:p w14:paraId="53F1DA2C" w14:textId="77777777" w:rsidR="006C1AD4" w:rsidRPr="00EB2447" w:rsidRDefault="006C1AD4" w:rsidP="003E3B65">
      <w:pPr>
        <w:pStyle w:val="Prrafodelista"/>
        <w:widowControl w:val="0"/>
        <w:numPr>
          <w:ilvl w:val="1"/>
          <w:numId w:val="17"/>
        </w:numPr>
        <w:tabs>
          <w:tab w:val="left" w:pos="172"/>
        </w:tabs>
        <w:autoSpaceDE w:val="0"/>
        <w:autoSpaceDN w:val="0"/>
        <w:spacing w:after="0" w:line="240" w:lineRule="auto"/>
        <w:ind w:left="1276" w:right="843" w:hanging="356"/>
        <w:contextualSpacing w:val="0"/>
        <w:rPr>
          <w:rFonts w:ascii="Palatino Linotype" w:hAnsi="Palatino Linotype"/>
          <w:b/>
          <w:i/>
        </w:rPr>
      </w:pPr>
      <w:r w:rsidRPr="00EB2447">
        <w:rPr>
          <w:rFonts w:ascii="Palatino Linotype" w:hAnsi="Palatino Linotype"/>
          <w:b/>
          <w:i/>
        </w:rPr>
        <w:t>Poder</w:t>
      </w:r>
      <w:r w:rsidRPr="00EB2447">
        <w:rPr>
          <w:rFonts w:ascii="Palatino Linotype" w:hAnsi="Palatino Linotype"/>
          <w:b/>
          <w:i/>
          <w:spacing w:val="-14"/>
        </w:rPr>
        <w:t xml:space="preserve"> </w:t>
      </w:r>
      <w:r w:rsidRPr="00EB2447">
        <w:rPr>
          <w:rFonts w:ascii="Palatino Linotype" w:hAnsi="Palatino Linotype"/>
          <w:b/>
          <w:i/>
        </w:rPr>
        <w:t>Legislativo,</w:t>
      </w:r>
      <w:r w:rsidRPr="00EB2447">
        <w:rPr>
          <w:rFonts w:ascii="Palatino Linotype" w:hAnsi="Palatino Linotype"/>
          <w:b/>
          <w:i/>
          <w:spacing w:val="-10"/>
        </w:rPr>
        <w:t xml:space="preserve"> </w:t>
      </w:r>
      <w:r w:rsidRPr="00EB2447">
        <w:rPr>
          <w:rFonts w:ascii="Palatino Linotype" w:hAnsi="Palatino Linotype"/>
          <w:b/>
          <w:i/>
        </w:rPr>
        <w:t>Poder</w:t>
      </w:r>
      <w:r w:rsidRPr="00EB2447">
        <w:rPr>
          <w:rFonts w:ascii="Palatino Linotype" w:hAnsi="Palatino Linotype"/>
          <w:b/>
          <w:i/>
          <w:spacing w:val="-7"/>
        </w:rPr>
        <w:t xml:space="preserve"> </w:t>
      </w:r>
      <w:r w:rsidRPr="00EB2447">
        <w:rPr>
          <w:rFonts w:ascii="Palatino Linotype" w:hAnsi="Palatino Linotype"/>
          <w:b/>
          <w:i/>
        </w:rPr>
        <w:t>Judicial,</w:t>
      </w:r>
      <w:r w:rsidRPr="00EB2447">
        <w:rPr>
          <w:rFonts w:ascii="Palatino Linotype" w:hAnsi="Palatino Linotype"/>
          <w:b/>
          <w:i/>
          <w:spacing w:val="-9"/>
        </w:rPr>
        <w:t xml:space="preserve"> </w:t>
      </w:r>
      <w:r w:rsidRPr="00EB2447">
        <w:rPr>
          <w:rFonts w:ascii="Palatino Linotype" w:hAnsi="Palatino Linotype"/>
          <w:b/>
          <w:i/>
        </w:rPr>
        <w:t>Organismos</w:t>
      </w:r>
      <w:r w:rsidRPr="00EB2447">
        <w:rPr>
          <w:rFonts w:ascii="Palatino Linotype" w:hAnsi="Palatino Linotype"/>
          <w:b/>
          <w:i/>
          <w:spacing w:val="-11"/>
        </w:rPr>
        <w:t xml:space="preserve"> </w:t>
      </w:r>
      <w:r w:rsidRPr="00EB2447">
        <w:rPr>
          <w:rFonts w:ascii="Palatino Linotype" w:hAnsi="Palatino Linotype"/>
          <w:b/>
          <w:i/>
        </w:rPr>
        <w:t>Autónomos</w:t>
      </w:r>
      <w:r w:rsidRPr="00EB2447">
        <w:rPr>
          <w:rFonts w:ascii="Palatino Linotype" w:hAnsi="Palatino Linotype"/>
          <w:b/>
          <w:i/>
          <w:spacing w:val="-8"/>
        </w:rPr>
        <w:t xml:space="preserve"> </w:t>
      </w:r>
      <w:r w:rsidRPr="00EB2447">
        <w:rPr>
          <w:rFonts w:ascii="Palatino Linotype" w:hAnsi="Palatino Linotype"/>
          <w:b/>
          <w:i/>
        </w:rPr>
        <w:t>y</w:t>
      </w:r>
      <w:r w:rsidRPr="00EB2447">
        <w:rPr>
          <w:rFonts w:ascii="Palatino Linotype" w:hAnsi="Palatino Linotype"/>
          <w:b/>
          <w:i/>
          <w:spacing w:val="-7"/>
        </w:rPr>
        <w:t xml:space="preserve"> </w:t>
      </w:r>
      <w:r w:rsidRPr="00EB2447">
        <w:rPr>
          <w:rFonts w:ascii="Palatino Linotype" w:hAnsi="Palatino Linotype"/>
          <w:b/>
          <w:i/>
        </w:rPr>
        <w:t>Organismos</w:t>
      </w:r>
      <w:r w:rsidRPr="00EB2447">
        <w:rPr>
          <w:rFonts w:ascii="Palatino Linotype" w:hAnsi="Palatino Linotype"/>
          <w:b/>
          <w:i/>
          <w:spacing w:val="-11"/>
        </w:rPr>
        <w:t xml:space="preserve"> </w:t>
      </w:r>
      <w:r w:rsidRPr="00EB2447">
        <w:rPr>
          <w:rFonts w:ascii="Palatino Linotype" w:hAnsi="Palatino Linotype"/>
          <w:b/>
          <w:i/>
          <w:spacing w:val="-2"/>
        </w:rPr>
        <w:t>Auxiliares</w:t>
      </w:r>
    </w:p>
    <w:p w14:paraId="730D3AF9" w14:textId="71C73C96" w:rsidR="006C1AD4" w:rsidRPr="00EB2447" w:rsidRDefault="006C1AD4" w:rsidP="003E3B65">
      <w:pPr>
        <w:tabs>
          <w:tab w:val="left" w:pos="172"/>
          <w:tab w:val="left" w:pos="7938"/>
        </w:tabs>
        <w:spacing w:after="0" w:line="360" w:lineRule="auto"/>
        <w:ind w:left="1276" w:right="843"/>
        <w:jc w:val="both"/>
        <w:rPr>
          <w:rFonts w:ascii="Palatino Linotype" w:eastAsia="Arial Unicode MS" w:hAnsi="Palatino Linotype" w:cs="Arial"/>
          <w:i/>
        </w:rPr>
      </w:pPr>
      <w:r w:rsidRPr="00EB2447">
        <w:rPr>
          <w:rFonts w:ascii="Palatino Linotype" w:hAnsi="Palatino Linotype"/>
          <w:i/>
        </w:rPr>
        <w:t>Bancos</w:t>
      </w:r>
      <w:r w:rsidRPr="00EB2447">
        <w:rPr>
          <w:rFonts w:ascii="Palatino Linotype" w:hAnsi="Palatino Linotype"/>
          <w:i/>
          <w:spacing w:val="-12"/>
        </w:rPr>
        <w:t xml:space="preserve"> </w:t>
      </w:r>
      <w:r w:rsidRPr="00EB2447">
        <w:rPr>
          <w:rFonts w:ascii="Palatino Linotype" w:hAnsi="Palatino Linotype"/>
          <w:i/>
        </w:rPr>
        <w:t>e</w:t>
      </w:r>
      <w:r w:rsidRPr="00EB2447">
        <w:rPr>
          <w:rFonts w:ascii="Palatino Linotype" w:hAnsi="Palatino Linotype"/>
          <w:i/>
          <w:spacing w:val="-11"/>
        </w:rPr>
        <w:t xml:space="preserve"> </w:t>
      </w:r>
      <w:r w:rsidRPr="00EB2447">
        <w:rPr>
          <w:rFonts w:ascii="Palatino Linotype" w:hAnsi="Palatino Linotype"/>
          <w:i/>
        </w:rPr>
        <w:t>Inversiones</w:t>
      </w:r>
      <w:r w:rsidRPr="00EB2447">
        <w:rPr>
          <w:rFonts w:ascii="Palatino Linotype" w:hAnsi="Palatino Linotype"/>
          <w:i/>
          <w:spacing w:val="-11"/>
        </w:rPr>
        <w:t xml:space="preserve"> </w:t>
      </w:r>
      <w:r w:rsidRPr="00EB2447">
        <w:rPr>
          <w:rFonts w:ascii="Palatino Linotype" w:hAnsi="Palatino Linotype"/>
          <w:i/>
        </w:rPr>
        <w:t>Financieras</w:t>
      </w:r>
    </w:p>
    <w:p w14:paraId="519940AE" w14:textId="77777777" w:rsidR="0087620B" w:rsidRPr="00EB2447" w:rsidRDefault="0087620B" w:rsidP="003E3B65">
      <w:pPr>
        <w:tabs>
          <w:tab w:val="left" w:pos="7938"/>
        </w:tabs>
        <w:spacing w:after="0" w:line="360" w:lineRule="auto"/>
        <w:jc w:val="both"/>
        <w:rPr>
          <w:rFonts w:ascii="Palatino Linotype" w:eastAsia="Arial Unicode MS" w:hAnsi="Palatino Linotype" w:cs="Arial"/>
        </w:rPr>
      </w:pPr>
    </w:p>
    <w:p w14:paraId="4D47D230" w14:textId="2A9B23C9" w:rsidR="0087620B" w:rsidRPr="00EB2447" w:rsidRDefault="006C1AD4"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noProof/>
        </w:rPr>
        <w:drawing>
          <wp:inline distT="0" distB="0" distL="0" distR="0" wp14:anchorId="1CB8B28F" wp14:editId="74A6D7EF">
            <wp:extent cx="5245370" cy="28068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5370" cy="2806844"/>
                    </a:xfrm>
                    <a:prstGeom prst="rect">
                      <a:avLst/>
                    </a:prstGeom>
                  </pic:spPr>
                </pic:pic>
              </a:graphicData>
            </a:graphic>
          </wp:inline>
        </w:drawing>
      </w:r>
    </w:p>
    <w:p w14:paraId="3FB6F0AC" w14:textId="2BBEAF50" w:rsidR="006C1AD4" w:rsidRPr="00EB2447" w:rsidRDefault="006C1AD4" w:rsidP="003E3B65">
      <w:pPr>
        <w:tabs>
          <w:tab w:val="left" w:pos="7938"/>
        </w:tabs>
        <w:spacing w:after="0" w:line="360" w:lineRule="auto"/>
        <w:jc w:val="both"/>
        <w:rPr>
          <w:rFonts w:ascii="Palatino Linotype" w:eastAsia="Arial Unicode MS" w:hAnsi="Palatino Linotype" w:cs="Arial"/>
        </w:rPr>
      </w:pPr>
      <w:r w:rsidRPr="00EB2447">
        <w:rPr>
          <w:rFonts w:ascii="Palatino Linotype" w:eastAsia="Arial Unicode MS" w:hAnsi="Palatino Linotype" w:cs="Arial"/>
          <w:noProof/>
        </w:rPr>
        <w:lastRenderedPageBreak/>
        <w:drawing>
          <wp:inline distT="0" distB="0" distL="0" distR="0" wp14:anchorId="44FF3B91" wp14:editId="761F59A3">
            <wp:extent cx="5410200" cy="2057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2057400"/>
                    </a:xfrm>
                    <a:prstGeom prst="rect">
                      <a:avLst/>
                    </a:prstGeom>
                    <a:noFill/>
                  </pic:spPr>
                </pic:pic>
              </a:graphicData>
            </a:graphic>
          </wp:inline>
        </w:drawing>
      </w:r>
    </w:p>
    <w:p w14:paraId="545307CB" w14:textId="77777777" w:rsidR="003E3B65" w:rsidRPr="00EB2447" w:rsidRDefault="003E3B65" w:rsidP="003E3B65">
      <w:pPr>
        <w:tabs>
          <w:tab w:val="left" w:pos="7938"/>
        </w:tabs>
        <w:spacing w:after="0" w:line="360" w:lineRule="auto"/>
        <w:jc w:val="both"/>
        <w:rPr>
          <w:rFonts w:ascii="Palatino Linotype" w:eastAsia="Arial Unicode MS" w:hAnsi="Palatino Linotype" w:cs="Arial"/>
        </w:rPr>
      </w:pPr>
    </w:p>
    <w:p w14:paraId="1666181C" w14:textId="5003DD25" w:rsidR="007F5A78" w:rsidRPr="00EB2447" w:rsidRDefault="006C1AD4" w:rsidP="003E3B65">
      <w:pPr>
        <w:pStyle w:val="Textoindependiente"/>
        <w:spacing w:line="360" w:lineRule="auto"/>
        <w:ind w:right="-7"/>
        <w:jc w:val="both"/>
        <w:rPr>
          <w:rFonts w:ascii="Palatino Linotype" w:hAnsi="Palatino Linotype"/>
          <w:sz w:val="22"/>
          <w:szCs w:val="22"/>
        </w:rPr>
      </w:pPr>
      <w:r w:rsidRPr="00EB2447">
        <w:rPr>
          <w:rFonts w:ascii="Palatino Linotype" w:hAnsi="Palatino Linotype"/>
          <w:sz w:val="22"/>
          <w:szCs w:val="22"/>
        </w:rPr>
        <w:t>Como se advierte la Guía  Contabilizadora contiene</w:t>
      </w:r>
      <w:r w:rsidRPr="00EB2447">
        <w:rPr>
          <w:rFonts w:ascii="Palatino Linotype" w:hAnsi="Palatino Linotype"/>
          <w:spacing w:val="-1"/>
          <w:sz w:val="22"/>
          <w:szCs w:val="22"/>
        </w:rPr>
        <w:t xml:space="preserve"> </w:t>
      </w:r>
      <w:r w:rsidRPr="00EB2447">
        <w:rPr>
          <w:rFonts w:ascii="Palatino Linotype" w:hAnsi="Palatino Linotype"/>
          <w:sz w:val="22"/>
          <w:szCs w:val="22"/>
        </w:rPr>
        <w:t>la descripción detallada de las principales operaciones, en ésta se</w:t>
      </w:r>
      <w:r w:rsidRPr="00EB2447">
        <w:rPr>
          <w:rFonts w:ascii="Palatino Linotype" w:hAnsi="Palatino Linotype"/>
          <w:spacing w:val="-1"/>
          <w:sz w:val="22"/>
          <w:szCs w:val="22"/>
        </w:rPr>
        <w:t xml:space="preserve"> </w:t>
      </w:r>
      <w:r w:rsidRPr="00EB2447">
        <w:rPr>
          <w:rFonts w:ascii="Palatino Linotype" w:hAnsi="Palatino Linotype"/>
          <w:sz w:val="22"/>
          <w:szCs w:val="22"/>
        </w:rPr>
        <w:t>mencionan los documentos fuente</w:t>
      </w:r>
      <w:r w:rsidRPr="00EB2447">
        <w:rPr>
          <w:rFonts w:ascii="Palatino Linotype" w:hAnsi="Palatino Linotype"/>
          <w:spacing w:val="-1"/>
          <w:sz w:val="22"/>
          <w:szCs w:val="22"/>
        </w:rPr>
        <w:t xml:space="preserve"> </w:t>
      </w:r>
      <w:r w:rsidRPr="00EB2447">
        <w:rPr>
          <w:rFonts w:ascii="Palatino Linotype" w:hAnsi="Palatino Linotype"/>
          <w:sz w:val="22"/>
          <w:szCs w:val="22"/>
        </w:rPr>
        <w:t>que respaldan</w:t>
      </w:r>
      <w:r w:rsidRPr="00EB2447">
        <w:rPr>
          <w:rFonts w:ascii="Palatino Linotype" w:hAnsi="Palatino Linotype"/>
          <w:spacing w:val="-9"/>
          <w:sz w:val="22"/>
          <w:szCs w:val="22"/>
        </w:rPr>
        <w:t xml:space="preserve"> </w:t>
      </w:r>
      <w:r w:rsidRPr="00EB2447">
        <w:rPr>
          <w:rFonts w:ascii="Palatino Linotype" w:hAnsi="Palatino Linotype"/>
          <w:sz w:val="22"/>
          <w:szCs w:val="22"/>
        </w:rPr>
        <w:t>cada</w:t>
      </w:r>
      <w:r w:rsidRPr="00EB2447">
        <w:rPr>
          <w:rFonts w:ascii="Palatino Linotype" w:hAnsi="Palatino Linotype"/>
          <w:spacing w:val="-9"/>
          <w:sz w:val="22"/>
          <w:szCs w:val="22"/>
        </w:rPr>
        <w:t xml:space="preserve"> </w:t>
      </w:r>
      <w:r w:rsidRPr="00EB2447">
        <w:rPr>
          <w:rFonts w:ascii="Palatino Linotype" w:hAnsi="Palatino Linotype"/>
          <w:sz w:val="22"/>
          <w:szCs w:val="22"/>
        </w:rPr>
        <w:t>operación,</w:t>
      </w:r>
      <w:r w:rsidRPr="00EB2447">
        <w:rPr>
          <w:rFonts w:ascii="Palatino Linotype" w:hAnsi="Palatino Linotype"/>
          <w:spacing w:val="-10"/>
          <w:sz w:val="22"/>
          <w:szCs w:val="22"/>
        </w:rPr>
        <w:t xml:space="preserve"> </w:t>
      </w:r>
      <w:r w:rsidRPr="00EB2447">
        <w:rPr>
          <w:rFonts w:ascii="Palatino Linotype" w:hAnsi="Palatino Linotype"/>
          <w:sz w:val="22"/>
          <w:szCs w:val="22"/>
        </w:rPr>
        <w:t>señala</w:t>
      </w:r>
      <w:r w:rsidRPr="00EB2447">
        <w:rPr>
          <w:rFonts w:ascii="Palatino Linotype" w:hAnsi="Palatino Linotype"/>
          <w:spacing w:val="-11"/>
          <w:sz w:val="22"/>
          <w:szCs w:val="22"/>
        </w:rPr>
        <w:t xml:space="preserve"> </w:t>
      </w:r>
      <w:r w:rsidRPr="00EB2447">
        <w:rPr>
          <w:rFonts w:ascii="Palatino Linotype" w:hAnsi="Palatino Linotype"/>
          <w:sz w:val="22"/>
          <w:szCs w:val="22"/>
        </w:rPr>
        <w:t>su</w:t>
      </w:r>
      <w:r w:rsidRPr="00EB2447">
        <w:rPr>
          <w:rFonts w:ascii="Palatino Linotype" w:hAnsi="Palatino Linotype"/>
          <w:spacing w:val="-9"/>
          <w:sz w:val="22"/>
          <w:szCs w:val="22"/>
        </w:rPr>
        <w:t xml:space="preserve"> </w:t>
      </w:r>
      <w:r w:rsidRPr="00EB2447">
        <w:rPr>
          <w:rFonts w:ascii="Palatino Linotype" w:hAnsi="Palatino Linotype"/>
          <w:sz w:val="22"/>
          <w:szCs w:val="22"/>
        </w:rPr>
        <w:t>periodicidad</w:t>
      </w:r>
      <w:r w:rsidRPr="00EB2447">
        <w:rPr>
          <w:rFonts w:ascii="Palatino Linotype" w:hAnsi="Palatino Linotype"/>
          <w:spacing w:val="-9"/>
          <w:sz w:val="22"/>
          <w:szCs w:val="22"/>
        </w:rPr>
        <w:t xml:space="preserve"> </w:t>
      </w:r>
      <w:r w:rsidRPr="00EB2447">
        <w:rPr>
          <w:rFonts w:ascii="Palatino Linotype" w:hAnsi="Palatino Linotype"/>
          <w:sz w:val="22"/>
          <w:szCs w:val="22"/>
        </w:rPr>
        <w:t>durante</w:t>
      </w:r>
      <w:r w:rsidRPr="00EB2447">
        <w:rPr>
          <w:rFonts w:ascii="Palatino Linotype" w:hAnsi="Palatino Linotype"/>
          <w:spacing w:val="-9"/>
          <w:sz w:val="22"/>
          <w:szCs w:val="22"/>
        </w:rPr>
        <w:t xml:space="preserve"> </w:t>
      </w:r>
      <w:r w:rsidRPr="00EB2447">
        <w:rPr>
          <w:rFonts w:ascii="Palatino Linotype" w:hAnsi="Palatino Linotype"/>
          <w:sz w:val="22"/>
          <w:szCs w:val="22"/>
        </w:rPr>
        <w:t>un</w:t>
      </w:r>
      <w:r w:rsidRPr="00EB2447">
        <w:rPr>
          <w:rFonts w:ascii="Palatino Linotype" w:hAnsi="Palatino Linotype"/>
          <w:spacing w:val="-9"/>
          <w:sz w:val="22"/>
          <w:szCs w:val="22"/>
        </w:rPr>
        <w:t xml:space="preserve"> </w:t>
      </w:r>
      <w:r w:rsidRPr="00EB2447">
        <w:rPr>
          <w:rFonts w:ascii="Palatino Linotype" w:hAnsi="Palatino Linotype"/>
          <w:sz w:val="22"/>
          <w:szCs w:val="22"/>
        </w:rPr>
        <w:t>ejercicio</w:t>
      </w:r>
      <w:r w:rsidRPr="00EB2447">
        <w:rPr>
          <w:rFonts w:ascii="Palatino Linotype" w:hAnsi="Palatino Linotype"/>
          <w:spacing w:val="-9"/>
          <w:sz w:val="22"/>
          <w:szCs w:val="22"/>
        </w:rPr>
        <w:t xml:space="preserve"> </w:t>
      </w:r>
      <w:r w:rsidRPr="00EB2447">
        <w:rPr>
          <w:rFonts w:ascii="Palatino Linotype" w:hAnsi="Palatino Linotype"/>
          <w:sz w:val="22"/>
          <w:szCs w:val="22"/>
        </w:rPr>
        <w:t>e</w:t>
      </w:r>
      <w:r w:rsidRPr="00EB2447">
        <w:rPr>
          <w:rFonts w:ascii="Palatino Linotype" w:hAnsi="Palatino Linotype"/>
          <w:spacing w:val="-9"/>
          <w:sz w:val="22"/>
          <w:szCs w:val="22"/>
        </w:rPr>
        <w:t xml:space="preserve"> </w:t>
      </w:r>
      <w:r w:rsidRPr="00EB2447">
        <w:rPr>
          <w:rFonts w:ascii="Palatino Linotype" w:hAnsi="Palatino Linotype"/>
          <w:sz w:val="22"/>
          <w:szCs w:val="22"/>
        </w:rPr>
        <w:t>incluye</w:t>
      </w:r>
      <w:r w:rsidRPr="00EB2447">
        <w:rPr>
          <w:rFonts w:ascii="Palatino Linotype" w:hAnsi="Palatino Linotype"/>
          <w:spacing w:val="-9"/>
          <w:sz w:val="22"/>
          <w:szCs w:val="22"/>
        </w:rPr>
        <w:t xml:space="preserve"> </w:t>
      </w:r>
      <w:r w:rsidRPr="00EB2447">
        <w:rPr>
          <w:rFonts w:ascii="Palatino Linotype" w:hAnsi="Palatino Linotype"/>
          <w:sz w:val="22"/>
          <w:szCs w:val="22"/>
        </w:rPr>
        <w:t>las</w:t>
      </w:r>
      <w:r w:rsidRPr="00EB2447">
        <w:rPr>
          <w:rFonts w:ascii="Palatino Linotype" w:hAnsi="Palatino Linotype"/>
          <w:spacing w:val="-10"/>
          <w:sz w:val="22"/>
          <w:szCs w:val="22"/>
        </w:rPr>
        <w:t xml:space="preserve"> </w:t>
      </w:r>
      <w:r w:rsidRPr="00EB2447">
        <w:rPr>
          <w:rFonts w:ascii="Palatino Linotype" w:hAnsi="Palatino Linotype"/>
          <w:sz w:val="22"/>
          <w:szCs w:val="22"/>
        </w:rPr>
        <w:t>cuentas</w:t>
      </w:r>
      <w:r w:rsidRPr="00EB2447">
        <w:rPr>
          <w:rFonts w:ascii="Palatino Linotype" w:hAnsi="Palatino Linotype"/>
          <w:spacing w:val="-8"/>
          <w:sz w:val="22"/>
          <w:szCs w:val="22"/>
        </w:rPr>
        <w:t xml:space="preserve"> </w:t>
      </w:r>
      <w:r w:rsidRPr="00EB2447">
        <w:rPr>
          <w:rFonts w:ascii="Palatino Linotype" w:hAnsi="Palatino Linotype"/>
          <w:sz w:val="22"/>
          <w:szCs w:val="22"/>
        </w:rPr>
        <w:t>a</w:t>
      </w:r>
      <w:r w:rsidRPr="00EB2447">
        <w:rPr>
          <w:rFonts w:ascii="Palatino Linotype" w:hAnsi="Palatino Linotype"/>
          <w:spacing w:val="-9"/>
          <w:sz w:val="22"/>
          <w:szCs w:val="22"/>
        </w:rPr>
        <w:t xml:space="preserve"> </w:t>
      </w:r>
      <w:r w:rsidRPr="00EB2447">
        <w:rPr>
          <w:rFonts w:ascii="Palatino Linotype" w:hAnsi="Palatino Linotype"/>
          <w:sz w:val="22"/>
          <w:szCs w:val="22"/>
        </w:rPr>
        <w:t>afectar</w:t>
      </w:r>
      <w:r w:rsidRPr="00EB2447">
        <w:rPr>
          <w:rFonts w:ascii="Palatino Linotype" w:hAnsi="Palatino Linotype"/>
          <w:spacing w:val="-9"/>
          <w:sz w:val="22"/>
          <w:szCs w:val="22"/>
        </w:rPr>
        <w:t xml:space="preserve"> </w:t>
      </w:r>
      <w:r w:rsidRPr="00EB2447">
        <w:rPr>
          <w:rFonts w:ascii="Palatino Linotype" w:hAnsi="Palatino Linotype"/>
          <w:sz w:val="22"/>
          <w:szCs w:val="22"/>
        </w:rPr>
        <w:t>tanto</w:t>
      </w:r>
      <w:r w:rsidRPr="00EB2447">
        <w:rPr>
          <w:rFonts w:ascii="Palatino Linotype" w:hAnsi="Palatino Linotype"/>
          <w:spacing w:val="-9"/>
          <w:sz w:val="22"/>
          <w:szCs w:val="22"/>
        </w:rPr>
        <w:t xml:space="preserve"> </w:t>
      </w:r>
      <w:r w:rsidRPr="00EB2447">
        <w:rPr>
          <w:rFonts w:ascii="Palatino Linotype" w:hAnsi="Palatino Linotype"/>
          <w:sz w:val="22"/>
          <w:szCs w:val="22"/>
        </w:rPr>
        <w:t>contable</w:t>
      </w:r>
      <w:r w:rsidRPr="00EB2447">
        <w:rPr>
          <w:rFonts w:ascii="Palatino Linotype" w:hAnsi="Palatino Linotype"/>
          <w:spacing w:val="-11"/>
          <w:sz w:val="22"/>
          <w:szCs w:val="22"/>
        </w:rPr>
        <w:t xml:space="preserve"> </w:t>
      </w:r>
      <w:r w:rsidRPr="00EB2447">
        <w:rPr>
          <w:rFonts w:ascii="Palatino Linotype" w:hAnsi="Palatino Linotype"/>
          <w:sz w:val="22"/>
          <w:szCs w:val="22"/>
        </w:rPr>
        <w:t>como</w:t>
      </w:r>
      <w:r w:rsidRPr="00EB2447">
        <w:rPr>
          <w:rFonts w:ascii="Palatino Linotype" w:hAnsi="Palatino Linotype"/>
          <w:spacing w:val="-9"/>
          <w:sz w:val="22"/>
          <w:szCs w:val="22"/>
        </w:rPr>
        <w:t xml:space="preserve"> </w:t>
      </w:r>
      <w:r w:rsidR="007F5A78" w:rsidRPr="00EB2447">
        <w:rPr>
          <w:rFonts w:ascii="Palatino Linotype" w:hAnsi="Palatino Linotype"/>
          <w:sz w:val="22"/>
          <w:szCs w:val="22"/>
        </w:rPr>
        <w:t xml:space="preserve">presupuestalmente. </w:t>
      </w:r>
    </w:p>
    <w:p w14:paraId="41F0F77B" w14:textId="77777777" w:rsidR="003E3B65" w:rsidRPr="00EB2447" w:rsidRDefault="003E3B65" w:rsidP="003E3B65">
      <w:pPr>
        <w:pStyle w:val="Textoindependiente"/>
        <w:spacing w:line="360" w:lineRule="auto"/>
        <w:ind w:right="-7"/>
        <w:jc w:val="both"/>
        <w:rPr>
          <w:rFonts w:ascii="Palatino Linotype" w:hAnsi="Palatino Linotype"/>
          <w:sz w:val="22"/>
          <w:szCs w:val="22"/>
        </w:rPr>
      </w:pPr>
    </w:p>
    <w:p w14:paraId="139B1DB2" w14:textId="603A24C2" w:rsidR="006C1AD4" w:rsidRPr="00EB2447" w:rsidRDefault="007F5A78" w:rsidP="003E3B65">
      <w:pPr>
        <w:pStyle w:val="Textoindependiente"/>
        <w:spacing w:line="360" w:lineRule="auto"/>
        <w:ind w:right="134"/>
        <w:jc w:val="both"/>
        <w:rPr>
          <w:rFonts w:ascii="Palatino Linotype" w:hAnsi="Palatino Linotype"/>
          <w:sz w:val="22"/>
          <w:szCs w:val="22"/>
        </w:rPr>
      </w:pPr>
      <w:r w:rsidRPr="00EB2447">
        <w:rPr>
          <w:rFonts w:ascii="Palatino Linotype" w:hAnsi="Palatino Linotype"/>
          <w:sz w:val="22"/>
          <w:szCs w:val="22"/>
        </w:rPr>
        <w:t xml:space="preserve">Dicha guía señala como documentos obligatorios los </w:t>
      </w:r>
      <w:r w:rsidR="006C1AD4" w:rsidRPr="00EB2447">
        <w:rPr>
          <w:rFonts w:ascii="Palatino Linotype" w:hAnsi="Palatino Linotype"/>
          <w:sz w:val="22"/>
          <w:szCs w:val="22"/>
        </w:rPr>
        <w:t>relativos a los Bancos e Inversiones Financieras</w:t>
      </w:r>
      <w:r w:rsidRPr="00EB2447">
        <w:rPr>
          <w:rFonts w:ascii="Palatino Linotype" w:hAnsi="Palatino Linotype"/>
          <w:sz w:val="22"/>
          <w:szCs w:val="22"/>
        </w:rPr>
        <w:t xml:space="preserve">, de los que </w:t>
      </w:r>
      <w:r w:rsidR="006C1AD4" w:rsidRPr="00EB2447">
        <w:rPr>
          <w:rFonts w:ascii="Palatino Linotype" w:hAnsi="Palatino Linotype"/>
          <w:sz w:val="22"/>
          <w:szCs w:val="22"/>
        </w:rPr>
        <w:t xml:space="preserve">se advierte que el Poder Legislativo debe contar de manera frecuente con los estados de cuenta que son los documentos fuente que registran los depósitos en inversiones a corto y largo plazo, así como el registro de retiros de los recursos depositados en inversiones a </w:t>
      </w:r>
      <w:r w:rsidRPr="00EB2447">
        <w:rPr>
          <w:rFonts w:ascii="Palatino Linotype" w:hAnsi="Palatino Linotype"/>
          <w:sz w:val="22"/>
          <w:szCs w:val="22"/>
        </w:rPr>
        <w:t>plazo y</w:t>
      </w:r>
      <w:r w:rsidR="006C1AD4" w:rsidRPr="00EB2447">
        <w:rPr>
          <w:rFonts w:ascii="Palatino Linotype" w:hAnsi="Palatino Linotype"/>
          <w:sz w:val="22"/>
          <w:szCs w:val="22"/>
        </w:rPr>
        <w:t xml:space="preserve"> los intereses generados por inversiones y el registro de comisiones bancarias. </w:t>
      </w:r>
    </w:p>
    <w:p w14:paraId="21084559" w14:textId="2721B2C9" w:rsidR="0087620B" w:rsidRPr="00EB2447" w:rsidRDefault="0087620B" w:rsidP="003E3B65">
      <w:pPr>
        <w:spacing w:after="0" w:line="360" w:lineRule="auto"/>
        <w:ind w:right="51"/>
        <w:jc w:val="both"/>
        <w:rPr>
          <w:rFonts w:ascii="Palatino Linotype" w:eastAsiaTheme="minorEastAsia" w:hAnsi="Palatino Linotype" w:cs="Arial"/>
          <w:lang w:val="es-ES_tradnl" w:eastAsia="es-ES"/>
        </w:rPr>
      </w:pPr>
    </w:p>
    <w:p w14:paraId="00AEA5F9" w14:textId="2265C5B1" w:rsidR="00CC2B3B" w:rsidRPr="00EB2447" w:rsidRDefault="005663E0" w:rsidP="003E3B65">
      <w:pPr>
        <w:spacing w:after="0" w:line="360" w:lineRule="auto"/>
        <w:ind w:right="51"/>
        <w:jc w:val="both"/>
        <w:rPr>
          <w:rFonts w:ascii="Palatino Linotype" w:eastAsiaTheme="minorEastAsia" w:hAnsi="Palatino Linotype" w:cs="Arial"/>
          <w:lang w:val="es-ES_tradnl" w:eastAsia="es-ES"/>
        </w:rPr>
      </w:pPr>
      <w:r w:rsidRPr="00EB2447">
        <w:rPr>
          <w:rFonts w:ascii="Palatino Linotype" w:eastAsiaTheme="minorEastAsia" w:hAnsi="Palatino Linotype" w:cs="Arial"/>
          <w:lang w:val="es-ES_tradnl" w:eastAsia="es-ES"/>
        </w:rPr>
        <w:t xml:space="preserve">Ahora bien, en lo que respecta a los agravios hechos valer por la parte Recurrente, este Organismo Garante advierte que la solicitud de información del particular es muy clara, al requerir los estados de cuenta bancarios de enero a marzo de dos mil veinticinco, por lo que, </w:t>
      </w:r>
      <w:r w:rsidRPr="00EB2447">
        <w:rPr>
          <w:rFonts w:ascii="Palatino Linotype" w:eastAsiaTheme="minorEastAsia" w:hAnsi="Palatino Linotype" w:cs="Arial"/>
          <w:lang w:val="es-ES_tradnl" w:eastAsia="es-ES"/>
        </w:rPr>
        <w:lastRenderedPageBreak/>
        <w:t xml:space="preserve">se considera que el requerimiento de aclaración no era necesario para atender el presente asunto. </w:t>
      </w:r>
    </w:p>
    <w:p w14:paraId="105ED5FC" w14:textId="77777777" w:rsidR="003E3B65" w:rsidRPr="00EB2447" w:rsidRDefault="003E3B65" w:rsidP="003E3B65">
      <w:pPr>
        <w:spacing w:after="0" w:line="360" w:lineRule="auto"/>
        <w:ind w:right="51"/>
        <w:jc w:val="both"/>
        <w:rPr>
          <w:rFonts w:ascii="Palatino Linotype" w:eastAsiaTheme="minorEastAsia" w:hAnsi="Palatino Linotype" w:cs="Arial"/>
          <w:lang w:val="es-ES_tradnl" w:eastAsia="es-ES"/>
        </w:rPr>
      </w:pPr>
    </w:p>
    <w:p w14:paraId="6ACCC534" w14:textId="581B3A27" w:rsidR="00CF1000" w:rsidRPr="00EB2447" w:rsidRDefault="00CC2B3B"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EB2447">
        <w:rPr>
          <w:rFonts w:ascii="Palatino Linotype" w:eastAsia="Palatino Linotype" w:hAnsi="Palatino Linotype" w:cs="Palatino Linotype"/>
          <w:b/>
        </w:rPr>
        <w:t>RECURRENTE</w:t>
      </w:r>
      <w:r w:rsidRPr="00EB2447">
        <w:rPr>
          <w:rFonts w:ascii="Palatino Linotype" w:eastAsia="Palatino Linotype" w:hAnsi="Palatino Linotype" w:cs="Palatino Linotype"/>
        </w:rPr>
        <w:t xml:space="preserve"> dentro del recurso de revisión </w:t>
      </w:r>
      <w:r w:rsidR="005663E0" w:rsidRPr="00EB2447">
        <w:rPr>
          <w:rFonts w:ascii="Palatino Linotype" w:eastAsia="Palatino Linotype" w:hAnsi="Palatino Linotype" w:cs="Palatino Linotype"/>
          <w:b/>
        </w:rPr>
        <w:t>06229</w:t>
      </w:r>
      <w:r w:rsidR="00CF1000" w:rsidRPr="00EB2447">
        <w:rPr>
          <w:rFonts w:ascii="Palatino Linotype" w:eastAsia="Palatino Linotype" w:hAnsi="Palatino Linotype" w:cs="Palatino Linotype"/>
          <w:b/>
        </w:rPr>
        <w:t>/INFOEM/IP/RR/2025</w:t>
      </w:r>
      <w:r w:rsidRPr="00EB2447">
        <w:rPr>
          <w:rFonts w:ascii="Palatino Linotype" w:eastAsia="Palatino Linotype" w:hAnsi="Palatino Linotype" w:cs="Palatino Linotype"/>
        </w:rPr>
        <w:t xml:space="preserve">, por lo que, resulta procedente </w:t>
      </w:r>
      <w:r w:rsidRPr="00EB2447">
        <w:rPr>
          <w:rFonts w:ascii="Palatino Linotype" w:eastAsia="Palatino Linotype" w:hAnsi="Palatino Linotype" w:cs="Palatino Linotype"/>
          <w:b/>
        </w:rPr>
        <w:t>ORDENAR</w:t>
      </w:r>
      <w:r w:rsidRPr="00EB2447">
        <w:rPr>
          <w:rFonts w:ascii="Palatino Linotype" w:eastAsia="Palatino Linotype" w:hAnsi="Palatino Linotype" w:cs="Palatino Linotype"/>
        </w:rPr>
        <w:t xml:space="preserve"> </w:t>
      </w:r>
      <w:r w:rsidR="00CF1000" w:rsidRPr="00EB2447">
        <w:rPr>
          <w:rFonts w:ascii="Palatino Linotype" w:eastAsia="Palatino Linotype" w:hAnsi="Palatino Linotype" w:cs="Palatino Linotype"/>
        </w:rPr>
        <w:t xml:space="preserve">al </w:t>
      </w:r>
      <w:r w:rsidR="00CF1000" w:rsidRPr="00EB2447">
        <w:rPr>
          <w:rFonts w:ascii="Palatino Linotype" w:eastAsia="Palatino Linotype" w:hAnsi="Palatino Linotype" w:cs="Palatino Linotype"/>
          <w:b/>
        </w:rPr>
        <w:t xml:space="preserve">SUJETO OBLIGADO </w:t>
      </w:r>
      <w:r w:rsidRPr="00EB2447">
        <w:rPr>
          <w:rFonts w:ascii="Palatino Linotype" w:eastAsia="Palatino Linotype" w:hAnsi="Palatino Linotype" w:cs="Palatino Linotype"/>
        </w:rPr>
        <w:t>la entrega, vía Sistema de Acceso a la Información Mexiquense, de ser el caso, en versión pública,  lo siguiente:</w:t>
      </w:r>
    </w:p>
    <w:p w14:paraId="60DB36D4" w14:textId="77777777" w:rsidR="007F5A78" w:rsidRPr="00EB2447" w:rsidRDefault="007F5A78" w:rsidP="003E3B65">
      <w:pPr>
        <w:spacing w:after="0" w:line="360" w:lineRule="auto"/>
        <w:ind w:right="49"/>
        <w:jc w:val="both"/>
        <w:rPr>
          <w:rFonts w:ascii="Palatino Linotype" w:eastAsia="Palatino Linotype" w:hAnsi="Palatino Linotype" w:cs="Palatino Linotype"/>
        </w:rPr>
      </w:pPr>
    </w:p>
    <w:p w14:paraId="6AB037B9" w14:textId="7D887DCF" w:rsidR="00CF1000" w:rsidRPr="00EB2447" w:rsidRDefault="007F5A78" w:rsidP="003E3B65">
      <w:pPr>
        <w:pStyle w:val="Prrafodelista"/>
        <w:numPr>
          <w:ilvl w:val="0"/>
          <w:numId w:val="14"/>
        </w:num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Los</w:t>
      </w:r>
      <w:r w:rsidR="0035418C" w:rsidRPr="00EB2447">
        <w:rPr>
          <w:rFonts w:ascii="Palatino Linotype" w:eastAsia="Palatino Linotype" w:hAnsi="Palatino Linotype" w:cs="Palatino Linotype"/>
        </w:rPr>
        <w:t xml:space="preserve"> estados de cuenta bancarios</w:t>
      </w:r>
      <w:r w:rsidRPr="00EB2447">
        <w:rPr>
          <w:rFonts w:ascii="Palatino Linotype" w:eastAsia="Palatino Linotype" w:hAnsi="Palatino Linotype" w:cs="Palatino Linotype"/>
        </w:rPr>
        <w:t xml:space="preserve"> del sujet</w:t>
      </w:r>
      <w:r w:rsidR="005663E0" w:rsidRPr="00EB2447">
        <w:rPr>
          <w:rFonts w:ascii="Palatino Linotype" w:eastAsia="Palatino Linotype" w:hAnsi="Palatino Linotype" w:cs="Palatino Linotype"/>
        </w:rPr>
        <w:t xml:space="preserve">o obligado de enero a marzo de dos mil veinticinco. </w:t>
      </w:r>
    </w:p>
    <w:p w14:paraId="784F6DB9" w14:textId="77777777" w:rsidR="005663E0" w:rsidRPr="00EB2447" w:rsidRDefault="005663E0" w:rsidP="003E3B65">
      <w:pPr>
        <w:pStyle w:val="Prrafodelista"/>
        <w:spacing w:after="0" w:line="360" w:lineRule="auto"/>
        <w:ind w:right="49"/>
        <w:jc w:val="both"/>
        <w:rPr>
          <w:rFonts w:ascii="Palatino Linotype" w:eastAsia="Palatino Linotype" w:hAnsi="Palatino Linotype" w:cs="Palatino Linotype"/>
        </w:rPr>
      </w:pPr>
    </w:p>
    <w:p w14:paraId="4721F8E7" w14:textId="4C505D52" w:rsidR="00CC2B3B" w:rsidRPr="00EB2447" w:rsidRDefault="00CC2B3B" w:rsidP="003E3B65">
      <w:pPr>
        <w:spacing w:after="0" w:line="276" w:lineRule="auto"/>
        <w:ind w:left="567" w:right="560"/>
        <w:jc w:val="both"/>
        <w:rPr>
          <w:rFonts w:ascii="Palatino Linotype" w:eastAsia="Palatino Linotype" w:hAnsi="Palatino Linotype" w:cs="Palatino Linotype"/>
          <w:b/>
        </w:rPr>
      </w:pPr>
      <w:r w:rsidRPr="00EB2447">
        <w:rPr>
          <w:rFonts w:ascii="Palatino Linotype" w:eastAsia="Palatino Linotype" w:hAnsi="Palatino Linotype" w:cs="Palatino Linotype"/>
          <w:i/>
        </w:rPr>
        <w:t>De ser el caso, deberá remitir el Acuerdo emitido por el Comité de Transparencia, en donde de manera fundada y motivada, se confirme la versión pública de las Evaluaciones Técnicas de Impacto en materia Vial, en términos de los artículos 49, fracción II, 132, fracción II, 143, fracción I, y 149 de la Ley de Transparencia y Acceso a la Información Pública del Estado de México y Municipios.</w:t>
      </w:r>
    </w:p>
    <w:p w14:paraId="15107496" w14:textId="61E6D547" w:rsidR="00CC2B3B" w:rsidRPr="00EB2447" w:rsidRDefault="00CC2B3B" w:rsidP="003E3B65">
      <w:pPr>
        <w:spacing w:after="0" w:line="360" w:lineRule="auto"/>
        <w:ind w:right="51"/>
        <w:jc w:val="both"/>
        <w:rPr>
          <w:rFonts w:ascii="Palatino Linotype" w:eastAsiaTheme="minorEastAsia" w:hAnsi="Palatino Linotype" w:cs="Arial"/>
          <w:lang w:val="es-ES_tradnl" w:eastAsia="es-ES"/>
        </w:rPr>
      </w:pPr>
    </w:p>
    <w:p w14:paraId="1110FA4A" w14:textId="77777777"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b/>
        </w:rPr>
        <w:t xml:space="preserve">Quinto. Versión Pública. </w:t>
      </w:r>
      <w:r w:rsidRPr="00EB2447">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35EA5F3"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7111368A" w14:textId="77777777"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w:t>
      </w:r>
      <w:r w:rsidRPr="00EB2447">
        <w:rPr>
          <w:rFonts w:ascii="Palatino Linotype" w:eastAsia="Palatino Linotype" w:hAnsi="Palatino Linotype" w:cs="Palatino Linotype"/>
        </w:rPr>
        <w:lastRenderedPageBreak/>
        <w:t>acceso a la información pública del recurrente sin menoscabar el derecho a la protección de los datos personales de terceros.</w:t>
      </w:r>
    </w:p>
    <w:p w14:paraId="6D5E05D9" w14:textId="77777777" w:rsidR="007F5A78" w:rsidRPr="00EB2447" w:rsidRDefault="007F5A78" w:rsidP="003E3B65">
      <w:pPr>
        <w:spacing w:after="0" w:line="360" w:lineRule="auto"/>
        <w:jc w:val="both"/>
        <w:rPr>
          <w:rFonts w:ascii="Palatino Linotype" w:eastAsia="Palatino Linotype" w:hAnsi="Palatino Linotype" w:cs="Palatino Linotype"/>
        </w:rPr>
      </w:pPr>
    </w:p>
    <w:p w14:paraId="2BDEB75E" w14:textId="7F998AA8" w:rsidR="007F5A78" w:rsidRPr="00EB2447" w:rsidRDefault="007F5A78" w:rsidP="003E3B65">
      <w:pPr>
        <w:spacing w:after="0" w:line="360" w:lineRule="auto"/>
        <w:ind w:right="51"/>
        <w:jc w:val="both"/>
        <w:rPr>
          <w:rFonts w:ascii="Palatino Linotype" w:eastAsia="Times New Roman" w:hAnsi="Palatino Linotype" w:cs="Times New Roman"/>
        </w:rPr>
      </w:pPr>
      <w:r w:rsidRPr="00EB2447">
        <w:rPr>
          <w:rFonts w:ascii="Palatino Linotype" w:eastAsia="Times New Roman" w:hAnsi="Palatino Linotype" w:cs="Times New Roman"/>
        </w:rPr>
        <w:t xml:space="preserve">Cabe mencionar que respecto del </w:t>
      </w:r>
      <w:r w:rsidRPr="00EB2447">
        <w:rPr>
          <w:rFonts w:ascii="Palatino Linotype" w:eastAsia="Times New Roman" w:hAnsi="Palatino Linotype" w:cs="Times New Roman"/>
          <w:b/>
          <w:bCs/>
        </w:rPr>
        <w:t>nombre de las personas físicas</w:t>
      </w:r>
      <w:r w:rsidRPr="00EB2447">
        <w:rPr>
          <w:rFonts w:ascii="Palatino Linotype" w:eastAsia="Times New Roman" w:hAnsi="Palatino Linotype" w:cs="Times New Roman"/>
        </w:rPr>
        <w:t xml:space="preserve"> o los </w:t>
      </w:r>
      <w:r w:rsidRPr="00EB2447">
        <w:rPr>
          <w:rFonts w:ascii="Palatino Linotype" w:eastAsia="Times New Roman" w:hAnsi="Palatino Linotype" w:cs="Times New Roman"/>
          <w:b/>
          <w:bCs/>
        </w:rPr>
        <w:t>representantes legales de las personas morales</w:t>
      </w:r>
      <w:r w:rsidRPr="00EB2447">
        <w:rPr>
          <w:rFonts w:ascii="Palatino Linotype" w:eastAsia="Times New Roman" w:hAnsi="Palatino Linotype" w:cs="Times New Roman"/>
        </w:rPr>
        <w:t xml:space="preserve">, </w:t>
      </w:r>
      <w:r w:rsidRPr="00EB2447">
        <w:rPr>
          <w:rFonts w:ascii="Palatino Linotype" w:eastAsia="Times New Roman" w:hAnsi="Palatino Linotype" w:cs="Times New Roman"/>
          <w:b/>
          <w:bCs/>
        </w:rPr>
        <w:t>en su calidad de proveedores, contratistas o prestadores de servicios, y la firma y rúbrica de estos</w:t>
      </w:r>
      <w:r w:rsidRPr="00EB2447">
        <w:rPr>
          <w:rFonts w:ascii="Palatino Linotype" w:eastAsia="Times New Roman" w:hAnsi="Palatino Linotype" w:cs="Times New Roman"/>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A2D68BE" w14:textId="77777777" w:rsidR="007F5A78" w:rsidRPr="00EB2447" w:rsidRDefault="007F5A78" w:rsidP="003E3B65">
      <w:pPr>
        <w:spacing w:after="0" w:line="360" w:lineRule="auto"/>
        <w:rPr>
          <w:rFonts w:ascii="Palatino Linotype" w:eastAsia="Times New Roman" w:hAnsi="Palatino Linotype" w:cs="Times New Roman"/>
        </w:rPr>
      </w:pPr>
    </w:p>
    <w:p w14:paraId="5B180176" w14:textId="77777777" w:rsidR="007F5A78" w:rsidRPr="00EB2447" w:rsidRDefault="007F5A78" w:rsidP="003E3B65">
      <w:pPr>
        <w:spacing w:after="0" w:line="360" w:lineRule="auto"/>
        <w:ind w:right="50"/>
        <w:jc w:val="both"/>
        <w:rPr>
          <w:rFonts w:ascii="Palatino Linotype" w:eastAsia="Times New Roman" w:hAnsi="Palatino Linotype" w:cs="Times New Roman"/>
        </w:rPr>
      </w:pPr>
      <w:r w:rsidRPr="00EB2447">
        <w:rPr>
          <w:rFonts w:ascii="Palatino Linotype" w:eastAsia="Times New Roman" w:hAnsi="Palatino Linotype" w:cs="Times New Roman"/>
        </w:rPr>
        <w:t>Argumentación que guarda sustento en lo estipulado por el artículo 23 de la Ley de Transparencia y Acceso a la Información Pública del Estado de México y Municipios en su penúltimo párrafo, mismo que es del tenor literal siguiente:</w:t>
      </w:r>
    </w:p>
    <w:p w14:paraId="42FCEDCC" w14:textId="77777777" w:rsidR="007F5A78" w:rsidRPr="00EB2447" w:rsidRDefault="007F5A78" w:rsidP="003E3B65">
      <w:pPr>
        <w:spacing w:after="0" w:line="240" w:lineRule="auto"/>
        <w:rPr>
          <w:rFonts w:ascii="Palatino Linotype" w:eastAsia="Times New Roman" w:hAnsi="Palatino Linotype" w:cs="Times New Roman"/>
        </w:rPr>
      </w:pPr>
    </w:p>
    <w:p w14:paraId="7C3B9475" w14:textId="77777777" w:rsidR="007F5A78" w:rsidRPr="00EB2447" w:rsidRDefault="007F5A78" w:rsidP="003E3B65">
      <w:pPr>
        <w:spacing w:after="0" w:line="240" w:lineRule="auto"/>
        <w:ind w:left="851" w:right="902"/>
        <w:jc w:val="both"/>
        <w:rPr>
          <w:rFonts w:ascii="Palatino Linotype" w:eastAsia="Times New Roman" w:hAnsi="Palatino Linotype" w:cs="Times New Roman"/>
        </w:rPr>
      </w:pP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Artículo 23.</w:t>
      </w:r>
      <w:r w:rsidRPr="00EB2447">
        <w:rPr>
          <w:rFonts w:ascii="Palatino Linotype" w:eastAsia="Times New Roman" w:hAnsi="Palatino Linotype" w:cs="Times New Roman"/>
          <w:i/>
          <w:iCs/>
        </w:rPr>
        <w:t xml:space="preserve"> (…)</w:t>
      </w:r>
    </w:p>
    <w:p w14:paraId="14BB352F" w14:textId="77777777" w:rsidR="007F5A78" w:rsidRPr="00EB2447" w:rsidRDefault="007F5A78" w:rsidP="003E3B65">
      <w:pPr>
        <w:spacing w:after="0" w:line="240" w:lineRule="auto"/>
        <w:ind w:left="851" w:right="902"/>
        <w:jc w:val="both"/>
        <w:rPr>
          <w:rFonts w:ascii="Palatino Linotype" w:eastAsia="Times New Roman" w:hAnsi="Palatino Linotype" w:cs="Times New Roman"/>
        </w:rPr>
      </w:pPr>
      <w:r w:rsidRPr="00EB2447">
        <w:rPr>
          <w:rFonts w:ascii="Palatino Linotype" w:eastAsia="Times New Roman" w:hAnsi="Palatino Linotype" w:cs="Times New Roman"/>
          <w:i/>
          <w:iC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CF3F61B" w14:textId="77777777" w:rsidR="007F5A78" w:rsidRPr="00EB2447" w:rsidRDefault="007F5A78" w:rsidP="003E3B65">
      <w:pPr>
        <w:spacing w:after="0" w:line="240" w:lineRule="auto"/>
        <w:rPr>
          <w:rFonts w:ascii="Palatino Linotype" w:eastAsia="Times New Roman" w:hAnsi="Palatino Linotype" w:cs="Times New Roman"/>
        </w:rPr>
      </w:pPr>
    </w:p>
    <w:p w14:paraId="66356630" w14:textId="77777777" w:rsidR="007F5A78" w:rsidRPr="00EB2447" w:rsidRDefault="007F5A78"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Asimismo, resulta aplicable el contenido del criterio orientador 01/19 emitido por el entonces Instituto Nacional de Transparencia, Acceso a la Información, y Protección de Datos Personales, INAI, que lleva por rubro y texto los siguientes</w:t>
      </w:r>
    </w:p>
    <w:p w14:paraId="299E2D5C" w14:textId="77777777" w:rsidR="007F5A78" w:rsidRPr="00EB2447" w:rsidRDefault="007F5A78" w:rsidP="003E3B65">
      <w:pPr>
        <w:spacing w:after="0" w:line="240" w:lineRule="auto"/>
        <w:rPr>
          <w:rFonts w:ascii="Palatino Linotype" w:eastAsia="Times New Roman" w:hAnsi="Palatino Linotype" w:cs="Times New Roman"/>
        </w:rPr>
      </w:pPr>
    </w:p>
    <w:p w14:paraId="343EE7CE" w14:textId="77777777" w:rsidR="007F5A78" w:rsidRPr="00EB2447" w:rsidRDefault="007F5A78" w:rsidP="003E3B65">
      <w:pPr>
        <w:spacing w:after="0" w:line="240" w:lineRule="auto"/>
        <w:ind w:left="851" w:right="902"/>
        <w:jc w:val="both"/>
        <w:rPr>
          <w:rFonts w:ascii="Palatino Linotype" w:eastAsia="Times New Roman" w:hAnsi="Palatino Linotype" w:cs="Times New Roman"/>
        </w:rPr>
      </w:pPr>
      <w:r w:rsidRPr="00EB2447">
        <w:rPr>
          <w:rFonts w:ascii="Palatino Linotype" w:eastAsia="Times New Roman" w:hAnsi="Palatino Linotype" w:cs="Times New Roman"/>
          <w:b/>
          <w:bCs/>
          <w:i/>
          <w:iCs/>
        </w:rPr>
        <w:lastRenderedPageBreak/>
        <w:t>“Datos de identificación del representante o apoderado legal.</w:t>
      </w:r>
      <w:r w:rsidRPr="00EB2447">
        <w:rPr>
          <w:rFonts w:ascii="Palatino Linotype" w:eastAsia="Times New Roman" w:hAnsi="Palatino Linotype" w:cs="Times New Roman"/>
          <w:i/>
          <w:iCs/>
        </w:rPr>
        <w:t xml:space="preserve"> </w:t>
      </w:r>
      <w:r w:rsidRPr="00EB2447">
        <w:rPr>
          <w:rFonts w:ascii="Palatino Linotype" w:eastAsia="Times New Roman" w:hAnsi="Palatino Linotype" w:cs="Times New Roman"/>
          <w:b/>
          <w:bCs/>
          <w:i/>
          <w:iCs/>
        </w:rPr>
        <w:t xml:space="preserve">Naturaleza jurídica. El nombre, la </w:t>
      </w:r>
      <w:r w:rsidRPr="00EB2447">
        <w:rPr>
          <w:rFonts w:ascii="Palatino Linotype" w:eastAsia="Times New Roman" w:hAnsi="Palatino Linotype" w:cs="Times New Roman"/>
          <w:b/>
          <w:bCs/>
          <w:i/>
          <w:iCs/>
          <w:u w:val="single"/>
        </w:rPr>
        <w:t>firma y la rúbrica</w:t>
      </w:r>
      <w:r w:rsidRPr="00EB2447">
        <w:rPr>
          <w:rFonts w:ascii="Palatino Linotype" w:eastAsia="Times New Roman" w:hAnsi="Palatino Linotype" w:cs="Times New Roman"/>
          <w:i/>
          <w:iCs/>
        </w:rPr>
        <w:t xml:space="preserve"> de una persona física, que actúe como representante o apoderado legal de un tercero que haya celebrado un acto jurídico, con algún sujeto obligado, </w:t>
      </w:r>
      <w:r w:rsidRPr="00EB2447">
        <w:rPr>
          <w:rFonts w:ascii="Palatino Linotype" w:eastAsia="Times New Roman" w:hAnsi="Palatino Linotype" w:cs="Times New Roman"/>
          <w:b/>
          <w:bCs/>
          <w:i/>
          <w:iCs/>
          <w:u w:val="single"/>
        </w:rPr>
        <w:t>es información pública</w:t>
      </w:r>
      <w:r w:rsidRPr="00EB2447">
        <w:rPr>
          <w:rFonts w:ascii="Palatino Linotype" w:eastAsia="Times New Roman" w:hAnsi="Palatino Linotype" w:cs="Times New Roman"/>
          <w:b/>
          <w:bCs/>
          <w:i/>
          <w:iCs/>
        </w:rPr>
        <w:t>, en razón de que tales datos fueron proporcionados con el objeto de expresar el consentimiento obligacional del tercero y otorgar validez a dicho instrumento jurídico</w:t>
      </w:r>
      <w:r w:rsidRPr="00EB2447">
        <w:rPr>
          <w:rFonts w:ascii="Palatino Linotype" w:eastAsia="Times New Roman" w:hAnsi="Palatino Linotype" w:cs="Times New Roman"/>
          <w:i/>
          <w:iCs/>
        </w:rPr>
        <w:t>.”</w:t>
      </w:r>
    </w:p>
    <w:p w14:paraId="4B135A9B" w14:textId="77777777" w:rsidR="007F5A78" w:rsidRPr="00EB2447" w:rsidRDefault="007F5A78" w:rsidP="003E3B65">
      <w:pPr>
        <w:spacing w:after="0" w:line="360" w:lineRule="auto"/>
        <w:jc w:val="both"/>
        <w:rPr>
          <w:rFonts w:ascii="Palatino Linotype" w:eastAsia="Palatino Linotype" w:hAnsi="Palatino Linotype" w:cs="Palatino Linotype"/>
        </w:rPr>
      </w:pPr>
    </w:p>
    <w:p w14:paraId="0B017CE4" w14:textId="77777777" w:rsidR="007F5A78" w:rsidRPr="00EB2447" w:rsidRDefault="007F5A78" w:rsidP="003E3B65">
      <w:pPr>
        <w:spacing w:after="0" w:line="360" w:lineRule="auto"/>
        <w:jc w:val="both"/>
        <w:rPr>
          <w:rFonts w:ascii="Palatino Linotype" w:eastAsia="Times New Roman" w:hAnsi="Palatino Linotype" w:cs="Times New Roman"/>
        </w:rPr>
      </w:pPr>
      <w:r w:rsidRPr="00EB2447">
        <w:rPr>
          <w:rFonts w:ascii="Palatino Linotype" w:eastAsia="Times New Roman" w:hAnsi="Palatino Linotype" w:cs="Times New Roman"/>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320F7B7" w14:textId="77777777" w:rsidR="007F5A78" w:rsidRPr="00EB2447" w:rsidRDefault="007F5A78" w:rsidP="003E3B65">
      <w:pPr>
        <w:spacing w:after="0" w:line="360" w:lineRule="auto"/>
        <w:rPr>
          <w:rFonts w:ascii="Palatino Linotype" w:eastAsia="Times New Roman" w:hAnsi="Palatino Linotype" w:cs="Times New Roman"/>
        </w:rPr>
      </w:pPr>
    </w:p>
    <w:p w14:paraId="32CC0CDC" w14:textId="77777777" w:rsidR="007F5A78" w:rsidRPr="00EB2447" w:rsidRDefault="007F5A78" w:rsidP="003E3B65">
      <w:pPr>
        <w:spacing w:after="0" w:line="360" w:lineRule="auto"/>
        <w:ind w:right="51"/>
        <w:jc w:val="both"/>
        <w:rPr>
          <w:rFonts w:ascii="Palatino Linotype" w:eastAsia="Times New Roman" w:hAnsi="Palatino Linotype" w:cs="Times New Roman"/>
        </w:rPr>
      </w:pPr>
      <w:r w:rsidRPr="00EB2447">
        <w:rPr>
          <w:rFonts w:ascii="Palatino Linotype" w:eastAsia="Times New Roman" w:hAnsi="Palatino Linotype" w:cs="Times New Roman"/>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916248B" w14:textId="77777777" w:rsidR="007F5A78" w:rsidRPr="00EB2447" w:rsidRDefault="007F5A78" w:rsidP="003E3B65">
      <w:pPr>
        <w:spacing w:after="0" w:line="360" w:lineRule="auto"/>
        <w:rPr>
          <w:rFonts w:ascii="Palatino Linotype" w:eastAsia="Times New Roman" w:hAnsi="Palatino Linotype" w:cs="Times New Roman"/>
        </w:rPr>
      </w:pPr>
    </w:p>
    <w:p w14:paraId="4184D36B" w14:textId="77777777" w:rsidR="007F5A78" w:rsidRPr="00EB2447" w:rsidRDefault="007F5A78" w:rsidP="003E3B65">
      <w:pPr>
        <w:spacing w:after="0" w:line="360" w:lineRule="auto"/>
        <w:ind w:right="50"/>
        <w:jc w:val="both"/>
        <w:rPr>
          <w:rFonts w:ascii="Palatino Linotype" w:eastAsia="Times New Roman" w:hAnsi="Palatino Linotype" w:cs="Times New Roman"/>
        </w:rPr>
      </w:pPr>
      <w:r w:rsidRPr="00EB2447">
        <w:rPr>
          <w:rFonts w:ascii="Palatino Linotype" w:eastAsia="Times New Roman" w:hAnsi="Palatino Linotype" w:cs="Times New Roman"/>
        </w:rPr>
        <w:t>Lo anterior encuentra sustento en el criterio orientador 10/17 emitido por el entonces Instituto Nacional de Transparencia y Acceso a la Información Pública del Estado de México y Municipios, que a la letra dicen:</w:t>
      </w:r>
    </w:p>
    <w:p w14:paraId="1FAF916E" w14:textId="77777777" w:rsidR="007F5A78" w:rsidRPr="00EB2447" w:rsidRDefault="007F5A78" w:rsidP="003E3B65">
      <w:pPr>
        <w:spacing w:after="0" w:line="240" w:lineRule="auto"/>
        <w:rPr>
          <w:rFonts w:ascii="Palatino Linotype" w:eastAsia="Times New Roman" w:hAnsi="Palatino Linotype" w:cs="Times New Roman"/>
        </w:rPr>
      </w:pPr>
    </w:p>
    <w:p w14:paraId="2D6AEF78" w14:textId="77777777" w:rsidR="007F5A78" w:rsidRPr="00EB2447" w:rsidRDefault="007F5A78" w:rsidP="003E3B65">
      <w:pPr>
        <w:spacing w:after="0" w:line="240" w:lineRule="auto"/>
        <w:ind w:left="851" w:right="1134"/>
        <w:jc w:val="both"/>
        <w:rPr>
          <w:rFonts w:ascii="Palatino Linotype" w:eastAsia="Times New Roman" w:hAnsi="Palatino Linotype" w:cs="Times New Roman"/>
        </w:rPr>
      </w:pPr>
      <w:r w:rsidRPr="00EB2447">
        <w:rPr>
          <w:rFonts w:ascii="Palatino Linotype" w:eastAsia="Times New Roman" w:hAnsi="Palatino Linotype" w:cs="Times New Roman"/>
          <w:b/>
          <w:bCs/>
          <w:i/>
          <w:iCs/>
        </w:rPr>
        <w:t>“Cuentas bancarias y/o CLABE interbancaria de personas físicas y morales privadas.</w:t>
      </w:r>
      <w:r w:rsidRPr="00EB2447">
        <w:rPr>
          <w:rFonts w:ascii="Palatino Linotype" w:eastAsia="Times New Roman" w:hAnsi="Palatino Linotype" w:cs="Times New Roman"/>
          <w:i/>
          <w:iCs/>
        </w:rPr>
        <w:t xml:space="preserve"> El número de cuenta bancaria y/o CLABE interbancaria de particulares es información confidencial, al tratarse de un conjunto de caracteres numéricos utilizados por los grupos financieros para identificar las cuentas de </w:t>
      </w:r>
      <w:r w:rsidRPr="00EB2447">
        <w:rPr>
          <w:rFonts w:ascii="Palatino Linotype" w:eastAsia="Times New Roman" w:hAnsi="Palatino Linotype" w:cs="Times New Roman"/>
          <w:i/>
          <w:iCs/>
        </w:rPr>
        <w:lastRenderedPageBreak/>
        <w:t>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71A582" w14:textId="77777777" w:rsidR="007F5A78" w:rsidRPr="00EB2447" w:rsidRDefault="007F5A78" w:rsidP="003E3B65">
      <w:pPr>
        <w:spacing w:after="0" w:line="240" w:lineRule="auto"/>
        <w:rPr>
          <w:rFonts w:ascii="Palatino Linotype" w:eastAsia="Times New Roman" w:hAnsi="Palatino Linotype" w:cs="Times New Roman"/>
        </w:rPr>
      </w:pPr>
    </w:p>
    <w:p w14:paraId="74E76109" w14:textId="49529693" w:rsidR="007F5A78" w:rsidRPr="00EB2447" w:rsidRDefault="007F5A78" w:rsidP="003E3B65">
      <w:pPr>
        <w:spacing w:after="0" w:line="360" w:lineRule="auto"/>
        <w:ind w:right="50"/>
        <w:jc w:val="both"/>
        <w:rPr>
          <w:rFonts w:ascii="Palatino Linotype" w:eastAsia="Times New Roman" w:hAnsi="Palatino Linotype" w:cs="Times New Roman"/>
        </w:rPr>
      </w:pPr>
      <w:r w:rsidRPr="00EB2447">
        <w:rPr>
          <w:rFonts w:ascii="Palatino Linotype" w:eastAsia="Times New Roman" w:hAnsi="Palatino Linotype" w:cs="Times New Roman"/>
        </w:rPr>
        <w:t>Ahora bien, por cuanto hace a las cuentas bancarias de los Sujetos obligados, dicha información se reitera que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6B829D5D" w14:textId="77777777" w:rsidR="007F5A78" w:rsidRPr="00EB2447" w:rsidRDefault="007F5A78" w:rsidP="003E3B65">
      <w:pPr>
        <w:spacing w:after="0" w:line="240" w:lineRule="auto"/>
        <w:rPr>
          <w:rFonts w:ascii="Palatino Linotype" w:eastAsia="Times New Roman" w:hAnsi="Palatino Linotype" w:cs="Times New Roman"/>
        </w:rPr>
      </w:pPr>
    </w:p>
    <w:p w14:paraId="0CDBE5CF" w14:textId="77777777" w:rsidR="007F5A78" w:rsidRPr="00EB2447" w:rsidRDefault="007F5A78" w:rsidP="003E3B65">
      <w:pPr>
        <w:spacing w:after="0" w:line="240" w:lineRule="auto"/>
        <w:ind w:left="851" w:right="1134"/>
        <w:jc w:val="both"/>
        <w:rPr>
          <w:rFonts w:ascii="Palatino Linotype" w:eastAsia="Times New Roman" w:hAnsi="Palatino Linotype" w:cs="Times New Roman"/>
        </w:rPr>
      </w:pPr>
      <w:r w:rsidRPr="00EB2447">
        <w:rPr>
          <w:rFonts w:ascii="Palatino Linotype" w:eastAsia="Times New Roman" w:hAnsi="Palatino Linotype" w:cs="Times New Roman"/>
          <w:i/>
          <w:iCs/>
        </w:rPr>
        <w:t>“</w:t>
      </w:r>
      <w:r w:rsidRPr="00EB2447">
        <w:rPr>
          <w:rFonts w:ascii="Palatino Linotype" w:eastAsia="Times New Roman" w:hAnsi="Palatino Linotype" w:cs="Times New Roman"/>
          <w:b/>
          <w:bCs/>
          <w:i/>
          <w:iCs/>
        </w:rPr>
        <w:t>Cuentas bancarias y/o CLABE interbancaria de sujetos obligados que reciben y/o transfieren recursos públicos, son información pública.</w:t>
      </w:r>
      <w:r w:rsidRPr="00EB2447">
        <w:rPr>
          <w:rFonts w:ascii="Palatino Linotype" w:eastAsia="Times New Roman" w:hAnsi="Palatino Linotype" w:cs="Times New Roman"/>
          <w:i/>
          <w:iC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C662F1D"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372A436D" w14:textId="77777777" w:rsidR="00265768" w:rsidRPr="00EB2447" w:rsidRDefault="00265768" w:rsidP="003E3B65">
      <w:pPr>
        <w:spacing w:after="0" w:line="360" w:lineRule="auto"/>
        <w:ind w:right="50"/>
        <w:jc w:val="both"/>
        <w:rPr>
          <w:rFonts w:ascii="Palatino Linotype" w:eastAsia="Palatino Linotype" w:hAnsi="Palatino Linotype" w:cs="Palatino Linotype"/>
        </w:rPr>
      </w:pPr>
      <w:r w:rsidRPr="00EB2447">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B6988E8" w14:textId="77777777" w:rsidR="00265768" w:rsidRPr="00EB2447" w:rsidRDefault="00265768" w:rsidP="003E3B65">
      <w:pPr>
        <w:spacing w:after="0" w:line="360" w:lineRule="auto"/>
        <w:ind w:right="50"/>
        <w:jc w:val="both"/>
        <w:rPr>
          <w:rFonts w:ascii="Palatino Linotype" w:eastAsia="Palatino Linotype" w:hAnsi="Palatino Linotype" w:cs="Palatino Linotype"/>
        </w:rPr>
      </w:pPr>
    </w:p>
    <w:p w14:paraId="4AB62417"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Artículo 3.</w:t>
      </w:r>
      <w:r w:rsidRPr="00EB2447">
        <w:rPr>
          <w:rFonts w:ascii="Palatino Linotype" w:eastAsia="Palatino Linotype" w:hAnsi="Palatino Linotype" w:cs="Palatino Linotype"/>
          <w:i/>
        </w:rPr>
        <w:t xml:space="preserve"> Para los efectos de la presente Ley se entenderá por:</w:t>
      </w:r>
    </w:p>
    <w:p w14:paraId="48937147"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p>
    <w:p w14:paraId="5B6D925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5944D35"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XX. Información clasificada: Aquella considerada por la presente Ley como reservada o confidencial;</w:t>
      </w:r>
    </w:p>
    <w:p w14:paraId="75629ACE"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D9C5A6"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780520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p>
    <w:p w14:paraId="70D81036"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Artículo 91.</w:t>
      </w:r>
      <w:r w:rsidRPr="00EB2447">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BF2EBDE"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Artículo 132.</w:t>
      </w:r>
      <w:r w:rsidRPr="00EB2447">
        <w:rPr>
          <w:rFonts w:ascii="Palatino Linotype" w:eastAsia="Palatino Linotype" w:hAnsi="Palatino Linotype" w:cs="Palatino Linotype"/>
          <w:i/>
        </w:rPr>
        <w:t xml:space="preserve"> La clasificación de la información se llevará a cabo en el momento en que:</w:t>
      </w:r>
    </w:p>
    <w:p w14:paraId="214F6E0E" w14:textId="77777777" w:rsidR="00265768" w:rsidRPr="00EB2447" w:rsidRDefault="00265768" w:rsidP="003E3B65">
      <w:pPr>
        <w:tabs>
          <w:tab w:val="left" w:pos="1134"/>
        </w:tabs>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 Se reciba una solicitud de acceso a la información;</w:t>
      </w:r>
    </w:p>
    <w:p w14:paraId="7F3DD0B8" w14:textId="77777777" w:rsidR="00265768" w:rsidRPr="00EB2447" w:rsidRDefault="00265768" w:rsidP="003E3B65">
      <w:pPr>
        <w:tabs>
          <w:tab w:val="left" w:pos="1134"/>
        </w:tabs>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 Se determine mediante resolución de autoridad competente; o</w:t>
      </w:r>
    </w:p>
    <w:p w14:paraId="017D278C" w14:textId="77777777" w:rsidR="00265768" w:rsidRPr="00EB2447" w:rsidRDefault="00265768" w:rsidP="003E3B65">
      <w:pPr>
        <w:tabs>
          <w:tab w:val="left" w:pos="1134"/>
        </w:tabs>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III. Se generen versiones públicas para dar cumplimiento a las obligaciones de transparencia previstas en esta Ley.</w:t>
      </w:r>
    </w:p>
    <w:p w14:paraId="3962CD5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p>
    <w:p w14:paraId="1E6C9E9C"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Artículo 143</w:t>
      </w:r>
      <w:r w:rsidRPr="00EB244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80D8C5B"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ACE560D"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8C80624"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CA06F9D"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1E6C064"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C6F7473" w14:textId="77777777" w:rsidR="00265768" w:rsidRPr="00EB2447" w:rsidRDefault="00265768" w:rsidP="003E3B65">
      <w:pPr>
        <w:spacing w:after="0"/>
        <w:ind w:left="567" w:right="616"/>
        <w:jc w:val="both"/>
        <w:rPr>
          <w:rFonts w:ascii="Palatino Linotype" w:eastAsia="Palatino Linotype" w:hAnsi="Palatino Linotype" w:cs="Palatino Linotype"/>
          <w:i/>
        </w:rPr>
      </w:pPr>
    </w:p>
    <w:p w14:paraId="3AD33B7D" w14:textId="77777777"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w:t>
      </w:r>
      <w:r w:rsidRPr="00EB2447">
        <w:rPr>
          <w:rFonts w:ascii="Palatino Linotype" w:eastAsia="Palatino Linotype" w:hAnsi="Palatino Linotype" w:cs="Palatino Linotype"/>
        </w:rPr>
        <w:lastRenderedPageBreak/>
        <w:t>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9E10D6" w14:textId="77777777" w:rsidR="00265768" w:rsidRPr="00EB2447" w:rsidRDefault="00265768" w:rsidP="003E3B65">
      <w:pPr>
        <w:spacing w:after="0"/>
        <w:jc w:val="both"/>
        <w:rPr>
          <w:rFonts w:ascii="Palatino Linotype" w:eastAsia="Palatino Linotype" w:hAnsi="Palatino Linotype" w:cs="Palatino Linotype"/>
        </w:rPr>
      </w:pPr>
    </w:p>
    <w:p w14:paraId="4EF8C732" w14:textId="77777777"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55AE82B"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38FEA0C2"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 “</w:t>
      </w:r>
      <w:r w:rsidRPr="00EB2447">
        <w:rPr>
          <w:rFonts w:ascii="Palatino Linotype" w:eastAsia="Palatino Linotype" w:hAnsi="Palatino Linotype" w:cs="Palatino Linotype"/>
          <w:b/>
          <w:i/>
        </w:rPr>
        <w:t>Quincuagésimo</w:t>
      </w:r>
      <w:r w:rsidRPr="00EB2447">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B69F2EB"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Quincuagésimo primero.</w:t>
      </w:r>
      <w:r w:rsidRPr="00EB2447">
        <w:rPr>
          <w:rFonts w:ascii="Palatino Linotype" w:eastAsia="Palatino Linotype" w:hAnsi="Palatino Linotype" w:cs="Palatino Linotype"/>
          <w:i/>
        </w:rPr>
        <w:t xml:space="preserve"> Toda acta del Comité de Transparencia deberá contener: </w:t>
      </w:r>
    </w:p>
    <w:p w14:paraId="4A98DCF0"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 El número de sesión y fecha; </w:t>
      </w:r>
    </w:p>
    <w:p w14:paraId="6560CC89"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II. El nombre del área que solicitó la clasificación de información; </w:t>
      </w:r>
    </w:p>
    <w:p w14:paraId="4D938C72"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III. La fundamentación legal y motivación correspondiente; </w:t>
      </w:r>
    </w:p>
    <w:p w14:paraId="307FC1BD"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IV. La resolución o resoluciones aprobadas; y </w:t>
      </w:r>
    </w:p>
    <w:p w14:paraId="30383EB6"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V. La rúbrica o firma digital de cada integrante del Comité de Transparencia. </w:t>
      </w:r>
    </w:p>
    <w:p w14:paraId="78CA97CB"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F2E321F"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 Los motivos y razonamientos que sustenten la confirmación o modificación de la prueba de daño;</w:t>
      </w:r>
    </w:p>
    <w:p w14:paraId="7A458DF9"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II. Descripción de las partes o secciones reservadas, en caso de clasificación parcial; </w:t>
      </w:r>
    </w:p>
    <w:p w14:paraId="59648AEF"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III. El periodo por el que mantendrá su clasificación y fecha de expiración; y </w:t>
      </w:r>
    </w:p>
    <w:p w14:paraId="0132C7DF"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IV. El nombre del titular y área encargada de realizar la versión pública del documento, en su caso. </w:t>
      </w:r>
    </w:p>
    <w:p w14:paraId="142A6FB6"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3B0C475A"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11A0971"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Quincuagésimo segundo.</w:t>
      </w:r>
      <w:r w:rsidRPr="00EB2447">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EE92FFC"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2E29AA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 Fijar la fecha en que se elaboró la versión pública y la fecha en la cual el Comité de Transparencia confirmó dicha versión;</w:t>
      </w:r>
    </w:p>
    <w:p w14:paraId="1A53FD25"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3232D50"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III. Señalar las personas o instancias autorizadas a acceder a la información clasificada.</w:t>
      </w:r>
    </w:p>
    <w:p w14:paraId="178E2ABC"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0A2B83"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4D34051F" w14:textId="5B4F1EBC"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B89733F"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5FB54ED3" w14:textId="77777777" w:rsidR="00265768" w:rsidRPr="00EB2447" w:rsidRDefault="00265768" w:rsidP="003E3B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r w:rsidRPr="00EB2447">
        <w:rPr>
          <w:rFonts w:ascii="Palatino Linotype" w:eastAsia="Palatino Linotype" w:hAnsi="Palatino Linotype" w:cs="Palatino Linotype"/>
          <w:b/>
          <w:i/>
        </w:rPr>
        <w:t>Quincuagésimo cuarto.</w:t>
      </w:r>
      <w:r w:rsidRPr="00EB2447">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9DE951"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Quincuagésimo quinto.</w:t>
      </w:r>
      <w:r w:rsidRPr="00EB2447">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EB2447">
        <w:rPr>
          <w:rFonts w:ascii="Palatino Linotype" w:eastAsia="Palatino Linotype" w:hAnsi="Palatino Linotype" w:cs="Palatino Linotype"/>
          <w:i/>
        </w:rPr>
        <w:t>testado</w:t>
      </w:r>
      <w:proofErr w:type="spellEnd"/>
      <w:r w:rsidRPr="00EB2447">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w:t>
      </w:r>
      <w:r w:rsidRPr="00EB2447">
        <w:rPr>
          <w:rFonts w:ascii="Palatino Linotype" w:eastAsia="Palatino Linotype" w:hAnsi="Palatino Linotype" w:cs="Palatino Linotype"/>
          <w:i/>
        </w:rPr>
        <w:lastRenderedPageBreak/>
        <w:t>Lineamientos y demás normativa aplicable antes de su confirmación por el Comité de Transparencia.</w:t>
      </w:r>
    </w:p>
    <w:p w14:paraId="4A0C9B25"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w:t>
      </w:r>
    </w:p>
    <w:p w14:paraId="60A8C8A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b/>
          <w:i/>
        </w:rPr>
        <w:t>Quincuagésimo séptimo.</w:t>
      </w:r>
      <w:r w:rsidRPr="00EB2447">
        <w:rPr>
          <w:rFonts w:ascii="Palatino Linotype" w:eastAsia="Palatino Linotype" w:hAnsi="Palatino Linotype" w:cs="Palatino Linotype"/>
          <w:i/>
        </w:rPr>
        <w:t xml:space="preserve"> Se considera, en principio, como información pública y no podrá omitirse de las versiones públicas la siguiente: </w:t>
      </w:r>
    </w:p>
    <w:p w14:paraId="4626DCA7"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BEBC3AA"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EBE3828"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7D49D8"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B86D249" w14:textId="77777777" w:rsidR="00265768" w:rsidRPr="00EB2447" w:rsidRDefault="00265768" w:rsidP="003E3B65">
      <w:pPr>
        <w:spacing w:after="0"/>
        <w:ind w:left="567" w:right="616"/>
        <w:jc w:val="both"/>
        <w:rPr>
          <w:rFonts w:ascii="Palatino Linotype" w:eastAsia="Palatino Linotype" w:hAnsi="Palatino Linotype" w:cs="Palatino Linotype"/>
          <w:i/>
        </w:rPr>
      </w:pPr>
      <w:r w:rsidRPr="00EB2447">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2575470" w14:textId="77777777" w:rsidR="00265768" w:rsidRPr="00EB2447" w:rsidRDefault="00265768" w:rsidP="003E3B65">
      <w:pPr>
        <w:spacing w:after="0" w:line="360" w:lineRule="auto"/>
        <w:jc w:val="both"/>
        <w:rPr>
          <w:rFonts w:ascii="Palatino Linotype" w:eastAsia="Palatino Linotype" w:hAnsi="Palatino Linotype" w:cs="Palatino Linotype"/>
        </w:rPr>
      </w:pPr>
    </w:p>
    <w:p w14:paraId="7E3E2D28" w14:textId="77777777" w:rsidR="00265768" w:rsidRPr="00EB2447" w:rsidRDefault="00265768"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B2D5E35" w14:textId="77777777" w:rsidR="00CC2B3B" w:rsidRPr="00EB2447" w:rsidRDefault="00CC2B3B" w:rsidP="003E3B65">
      <w:pPr>
        <w:spacing w:after="0" w:line="360" w:lineRule="auto"/>
        <w:ind w:right="49"/>
        <w:jc w:val="both"/>
        <w:rPr>
          <w:rFonts w:ascii="Palatino Linotype" w:hAnsi="Palatino Linotype" w:cs="Arial"/>
          <w:bCs/>
        </w:rPr>
      </w:pPr>
    </w:p>
    <w:p w14:paraId="6683DF8F" w14:textId="75996641" w:rsidR="00CC2B3B" w:rsidRPr="00EB2447" w:rsidRDefault="00CC2B3B"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la parte </w:t>
      </w:r>
      <w:r w:rsidRPr="00EB2447">
        <w:rPr>
          <w:rFonts w:ascii="Palatino Linotype" w:eastAsia="Palatino Linotype" w:hAnsi="Palatino Linotype" w:cs="Palatino Linotype"/>
          <w:b/>
        </w:rPr>
        <w:t>RECURRENTE</w:t>
      </w:r>
      <w:r w:rsidR="006041C6" w:rsidRPr="00EB2447">
        <w:rPr>
          <w:rFonts w:ascii="Palatino Linotype" w:eastAsia="Palatino Linotype" w:hAnsi="Palatino Linotype" w:cs="Palatino Linotype"/>
        </w:rPr>
        <w:t xml:space="preserve"> dentro d</w:t>
      </w:r>
      <w:r w:rsidRPr="00EB2447">
        <w:rPr>
          <w:rFonts w:ascii="Palatino Linotype" w:eastAsia="Palatino Linotype" w:hAnsi="Palatino Linotype" w:cs="Palatino Linotype"/>
        </w:rPr>
        <w:t xml:space="preserve">el recurso de revisión </w:t>
      </w:r>
      <w:r w:rsidR="005663E0" w:rsidRPr="00EB2447">
        <w:rPr>
          <w:rFonts w:ascii="Palatino Linotype" w:eastAsia="Palatino Linotype" w:hAnsi="Palatino Linotype" w:cs="Palatino Linotype"/>
          <w:b/>
        </w:rPr>
        <w:t>06229</w:t>
      </w:r>
      <w:r w:rsidR="00097931" w:rsidRPr="00EB2447">
        <w:rPr>
          <w:rFonts w:ascii="Palatino Linotype" w:eastAsia="Palatino Linotype" w:hAnsi="Palatino Linotype" w:cs="Palatino Linotype"/>
          <w:b/>
        </w:rPr>
        <w:t>/INFOEM/IP/RR/2025</w:t>
      </w:r>
      <w:r w:rsidRPr="00EB2447">
        <w:rPr>
          <w:rFonts w:ascii="Palatino Linotype" w:eastAsia="Palatino Linotype" w:hAnsi="Palatino Linotype" w:cs="Palatino Linotype"/>
        </w:rPr>
        <w:t>; por ello, y c</w:t>
      </w:r>
      <w:r w:rsidR="006041C6" w:rsidRPr="00EB2447">
        <w:rPr>
          <w:rFonts w:ascii="Palatino Linotype" w:eastAsia="Palatino Linotype" w:hAnsi="Palatino Linotype" w:cs="Palatino Linotype"/>
        </w:rPr>
        <w:t>on fundamento en la fracción III</w:t>
      </w:r>
      <w:r w:rsidRPr="00EB2447">
        <w:rPr>
          <w:rFonts w:ascii="Palatino Linotype" w:eastAsia="Palatino Linotype" w:hAnsi="Palatino Linotype" w:cs="Palatino Linotype"/>
        </w:rPr>
        <w:t xml:space="preserve"> del numeral 186 de la Ley de Transparencia y Acceso a la Información Pública del Estado de México y Municipios, se</w:t>
      </w:r>
      <w:r w:rsidRPr="00EB2447">
        <w:rPr>
          <w:rFonts w:ascii="Palatino Linotype" w:eastAsia="Palatino Linotype" w:hAnsi="Palatino Linotype" w:cs="Palatino Linotype"/>
          <w:b/>
        </w:rPr>
        <w:t xml:space="preserve"> </w:t>
      </w:r>
      <w:r w:rsidR="006041C6" w:rsidRPr="00EB2447">
        <w:rPr>
          <w:rFonts w:ascii="Palatino Linotype" w:eastAsia="Palatino Linotype" w:hAnsi="Palatino Linotype" w:cs="Palatino Linotype"/>
          <w:b/>
        </w:rPr>
        <w:t xml:space="preserve">REVOCA </w:t>
      </w:r>
      <w:r w:rsidR="006041C6" w:rsidRPr="00EB2447">
        <w:rPr>
          <w:rFonts w:ascii="Palatino Linotype" w:eastAsia="Palatino Linotype" w:hAnsi="Palatino Linotype" w:cs="Palatino Linotype"/>
        </w:rPr>
        <w:t xml:space="preserve">la respuesta emitida por el </w:t>
      </w:r>
      <w:r w:rsidR="006041C6" w:rsidRPr="00EB2447">
        <w:rPr>
          <w:rFonts w:ascii="Palatino Linotype" w:eastAsia="Palatino Linotype" w:hAnsi="Palatino Linotype" w:cs="Palatino Linotype"/>
          <w:b/>
        </w:rPr>
        <w:t>Sujeto Obligado</w:t>
      </w:r>
      <w:r w:rsidR="006041C6" w:rsidRPr="00EB2447">
        <w:rPr>
          <w:rFonts w:ascii="Palatino Linotype" w:eastAsia="Palatino Linotype" w:hAnsi="Palatino Linotype" w:cs="Palatino Linotype"/>
        </w:rPr>
        <w:t xml:space="preserve"> y se </w:t>
      </w:r>
      <w:r w:rsidR="00097931" w:rsidRPr="00EB2447">
        <w:rPr>
          <w:rFonts w:ascii="Palatino Linotype" w:eastAsia="Palatino Linotype" w:hAnsi="Palatino Linotype" w:cs="Palatino Linotype"/>
          <w:b/>
        </w:rPr>
        <w:t>ORDENA</w:t>
      </w:r>
      <w:r w:rsidRPr="00EB2447">
        <w:rPr>
          <w:rFonts w:ascii="Palatino Linotype" w:eastAsia="Palatino Linotype" w:hAnsi="Palatino Linotype" w:cs="Palatino Linotype"/>
          <w:b/>
        </w:rPr>
        <w:t xml:space="preserve"> </w:t>
      </w:r>
      <w:r w:rsidRPr="00EB2447">
        <w:rPr>
          <w:rFonts w:ascii="Palatino Linotype" w:eastAsia="Palatino Linotype" w:hAnsi="Palatino Linotype" w:cs="Palatino Linotype"/>
        </w:rPr>
        <w:t xml:space="preserve">la </w:t>
      </w:r>
      <w:r w:rsidR="006041C6" w:rsidRPr="00EB2447">
        <w:rPr>
          <w:rFonts w:ascii="Palatino Linotype" w:eastAsia="Palatino Linotype" w:hAnsi="Palatino Linotype" w:cs="Palatino Linotype"/>
        </w:rPr>
        <w:t>información requerida en l</w:t>
      </w:r>
      <w:r w:rsidRPr="00EB2447">
        <w:rPr>
          <w:rFonts w:ascii="Palatino Linotype" w:eastAsia="Palatino Linotype" w:hAnsi="Palatino Linotype" w:cs="Palatino Linotype"/>
        </w:rPr>
        <w:t xml:space="preserve">a solicitud de información número </w:t>
      </w:r>
      <w:r w:rsidR="003E3B65" w:rsidRPr="00EB2447">
        <w:rPr>
          <w:rFonts w:ascii="Palatino Linotype" w:eastAsia="Palatino Linotype" w:hAnsi="Palatino Linotype" w:cs="Palatino Linotype"/>
          <w:b/>
        </w:rPr>
        <w:t>00067</w:t>
      </w:r>
      <w:r w:rsidR="007F5A78" w:rsidRPr="00EB2447">
        <w:rPr>
          <w:rFonts w:ascii="Palatino Linotype" w:eastAsia="Palatino Linotype" w:hAnsi="Palatino Linotype" w:cs="Palatino Linotype"/>
          <w:b/>
        </w:rPr>
        <w:t>/</w:t>
      </w:r>
      <w:r w:rsidR="003E3B65" w:rsidRPr="00EB2447">
        <w:rPr>
          <w:rFonts w:ascii="Palatino Linotype" w:eastAsia="Palatino Linotype" w:hAnsi="Palatino Linotype" w:cs="Palatino Linotype"/>
          <w:b/>
        </w:rPr>
        <w:t>COACALCO</w:t>
      </w:r>
      <w:r w:rsidR="007F5A78" w:rsidRPr="00EB2447">
        <w:rPr>
          <w:rFonts w:ascii="Palatino Linotype" w:eastAsia="Palatino Linotype" w:hAnsi="Palatino Linotype" w:cs="Palatino Linotype"/>
          <w:b/>
        </w:rPr>
        <w:t>/IP/2025</w:t>
      </w:r>
      <w:r w:rsidRPr="00EB2447">
        <w:rPr>
          <w:rFonts w:ascii="Palatino Linotype" w:eastAsia="Palatino Linotype" w:hAnsi="Palatino Linotype" w:cs="Palatino Linotype"/>
          <w:b/>
        </w:rPr>
        <w:t xml:space="preserve">. </w:t>
      </w:r>
    </w:p>
    <w:p w14:paraId="5EFC7995" w14:textId="77777777" w:rsidR="006516C6" w:rsidRPr="00EB2447" w:rsidRDefault="006516C6" w:rsidP="003E3B65">
      <w:pPr>
        <w:spacing w:after="0" w:line="360" w:lineRule="auto"/>
        <w:ind w:right="49"/>
        <w:jc w:val="both"/>
        <w:rPr>
          <w:rFonts w:ascii="Palatino Linotype" w:eastAsia="Palatino Linotype" w:hAnsi="Palatino Linotype" w:cs="Palatino Linotype"/>
          <w:b/>
        </w:rPr>
      </w:pPr>
    </w:p>
    <w:p w14:paraId="16D12D89" w14:textId="39254731" w:rsidR="009338B5" w:rsidRPr="00EB2447"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Así, con fundamento en lo prescrito en los artículos </w:t>
      </w:r>
      <w:r w:rsidR="00CC2A8B" w:rsidRPr="00EB2447">
        <w:rPr>
          <w:rFonts w:ascii="Palatino Linotype" w:eastAsia="Palatino Linotype" w:hAnsi="Palatino Linotype" w:cs="Palatino Linotype"/>
        </w:rPr>
        <w:t>5 párrafos trigésimo noveno, cuadragésimo y cuadragésimo primero, fracciones IV y V de la Constitución Política del Estado Libre y Soberano de México</w:t>
      </w:r>
      <w:r w:rsidRPr="00EB2447">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5F080922" w14:textId="77777777" w:rsidR="003E3B65" w:rsidRPr="00EB2447" w:rsidRDefault="003E3B65" w:rsidP="003E3B65">
      <w:pPr>
        <w:spacing w:after="0" w:line="360" w:lineRule="auto"/>
        <w:ind w:right="49"/>
        <w:jc w:val="both"/>
        <w:rPr>
          <w:rFonts w:ascii="Palatino Linotype" w:eastAsia="Palatino Linotype" w:hAnsi="Palatino Linotype" w:cs="Palatino Linotype"/>
        </w:rPr>
      </w:pPr>
    </w:p>
    <w:p w14:paraId="71CCA387" w14:textId="77777777" w:rsidR="009338B5" w:rsidRPr="00EB2447" w:rsidRDefault="00E0628C" w:rsidP="003E3B65">
      <w:pPr>
        <w:spacing w:after="0" w:line="360" w:lineRule="auto"/>
        <w:ind w:right="49"/>
        <w:jc w:val="center"/>
        <w:rPr>
          <w:rFonts w:ascii="Palatino Linotype" w:eastAsia="Palatino Linotype" w:hAnsi="Palatino Linotype" w:cs="Palatino Linotype"/>
          <w:b/>
        </w:rPr>
      </w:pPr>
      <w:r w:rsidRPr="00EB2447">
        <w:rPr>
          <w:rFonts w:ascii="Palatino Linotype" w:eastAsia="Palatino Linotype" w:hAnsi="Palatino Linotype" w:cs="Palatino Linotype"/>
          <w:b/>
        </w:rPr>
        <w:t>III.</w:t>
      </w:r>
      <w:r w:rsidRPr="00EB2447">
        <w:rPr>
          <w:rFonts w:ascii="Palatino Linotype" w:eastAsia="Palatino Linotype" w:hAnsi="Palatino Linotype" w:cs="Palatino Linotype"/>
          <w:b/>
        </w:rPr>
        <w:tab/>
        <w:t>R E S U E L V E:</w:t>
      </w:r>
    </w:p>
    <w:p w14:paraId="52AA6C2D" w14:textId="77777777" w:rsidR="009338B5" w:rsidRPr="00EB2447" w:rsidRDefault="009338B5" w:rsidP="003E3B65">
      <w:pPr>
        <w:spacing w:after="0" w:line="360" w:lineRule="auto"/>
        <w:ind w:right="49"/>
        <w:jc w:val="both"/>
        <w:rPr>
          <w:rFonts w:ascii="Palatino Linotype" w:eastAsia="Palatino Linotype" w:hAnsi="Palatino Linotype" w:cs="Palatino Linotype"/>
        </w:rPr>
      </w:pPr>
    </w:p>
    <w:p w14:paraId="2E854372" w14:textId="1A8017AD" w:rsidR="006041C6" w:rsidRPr="00EB2447" w:rsidRDefault="00097931"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 xml:space="preserve">Primero. </w:t>
      </w:r>
      <w:r w:rsidRPr="00EB2447">
        <w:rPr>
          <w:rFonts w:ascii="Palatino Linotype" w:eastAsia="Palatino Linotype" w:hAnsi="Palatino Linotype" w:cs="Palatino Linotype"/>
        </w:rPr>
        <w:t>Resultan</w:t>
      </w:r>
      <w:r w:rsidRPr="00EB2447">
        <w:rPr>
          <w:rFonts w:ascii="Palatino Linotype" w:eastAsia="Palatino Linotype" w:hAnsi="Palatino Linotype" w:cs="Palatino Linotype"/>
          <w:b/>
        </w:rPr>
        <w:t xml:space="preserve"> FUNDADOS </w:t>
      </w:r>
      <w:r w:rsidRPr="00EB2447">
        <w:rPr>
          <w:rFonts w:ascii="Palatino Linotype" w:eastAsia="Palatino Linotype" w:hAnsi="Palatino Linotype" w:cs="Palatino Linotype"/>
        </w:rPr>
        <w:t xml:space="preserve">los motivos de inconformidad de la parte </w:t>
      </w:r>
      <w:r w:rsidRPr="00EB2447">
        <w:rPr>
          <w:rFonts w:ascii="Palatino Linotype" w:eastAsia="Palatino Linotype" w:hAnsi="Palatino Linotype" w:cs="Palatino Linotype"/>
          <w:b/>
        </w:rPr>
        <w:t>Recurrente</w:t>
      </w:r>
      <w:r w:rsidRPr="00EB2447">
        <w:rPr>
          <w:rFonts w:ascii="Palatino Linotype" w:eastAsia="Palatino Linotype" w:hAnsi="Palatino Linotype" w:cs="Palatino Linotype"/>
        </w:rPr>
        <w:t xml:space="preserve">, hechos valer en el Recurso de Revisión </w:t>
      </w:r>
      <w:r w:rsidR="003E3B65" w:rsidRPr="00EB2447">
        <w:rPr>
          <w:rFonts w:ascii="Palatino Linotype" w:eastAsia="Palatino Linotype" w:hAnsi="Palatino Linotype" w:cs="Palatino Linotype"/>
          <w:b/>
        </w:rPr>
        <w:t>06229</w:t>
      </w:r>
      <w:r w:rsidRPr="00EB2447">
        <w:rPr>
          <w:rFonts w:ascii="Palatino Linotype" w:eastAsia="Palatino Linotype" w:hAnsi="Palatino Linotype" w:cs="Palatino Linotype"/>
          <w:b/>
        </w:rPr>
        <w:t>/INFOEM/IP/RR/2025</w:t>
      </w:r>
      <w:r w:rsidRPr="00EB2447">
        <w:rPr>
          <w:rFonts w:ascii="Palatino Linotype" w:eastAsia="Palatino Linotype" w:hAnsi="Palatino Linotype" w:cs="Palatino Linotype"/>
        </w:rPr>
        <w:t>, en términos del</w:t>
      </w:r>
      <w:r w:rsidRPr="00EB2447">
        <w:rPr>
          <w:rFonts w:ascii="Palatino Linotype" w:eastAsia="Palatino Linotype" w:hAnsi="Palatino Linotype" w:cs="Palatino Linotype"/>
          <w:b/>
        </w:rPr>
        <w:t xml:space="preserve"> Considerando</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
        </w:rPr>
        <w:t>Cuarto</w:t>
      </w:r>
      <w:r w:rsidR="006041C6" w:rsidRPr="00EB2447">
        <w:rPr>
          <w:rFonts w:ascii="Palatino Linotype" w:eastAsia="Palatino Linotype" w:hAnsi="Palatino Linotype" w:cs="Palatino Linotype"/>
        </w:rPr>
        <w:t xml:space="preserve"> de la presente resolución, se </w:t>
      </w:r>
      <w:r w:rsidR="006041C6" w:rsidRPr="00EB2447">
        <w:rPr>
          <w:rFonts w:ascii="Palatino Linotype" w:eastAsia="Palatino Linotype" w:hAnsi="Palatino Linotype" w:cs="Palatino Linotype"/>
          <w:b/>
        </w:rPr>
        <w:t xml:space="preserve">REVOCA </w:t>
      </w:r>
      <w:r w:rsidR="006041C6" w:rsidRPr="00EB2447">
        <w:rPr>
          <w:rFonts w:ascii="Palatino Linotype" w:eastAsia="Palatino Linotype" w:hAnsi="Palatino Linotype" w:cs="Palatino Linotype"/>
        </w:rPr>
        <w:t xml:space="preserve">la respuesta emitida por el </w:t>
      </w:r>
      <w:r w:rsidR="006041C6" w:rsidRPr="00EB2447">
        <w:rPr>
          <w:rFonts w:ascii="Palatino Linotype" w:eastAsia="Palatino Linotype" w:hAnsi="Palatino Linotype" w:cs="Palatino Linotype"/>
          <w:b/>
        </w:rPr>
        <w:t>Sujeto Obligado</w:t>
      </w:r>
      <w:r w:rsidR="006041C6" w:rsidRPr="00EB2447">
        <w:rPr>
          <w:rFonts w:ascii="Palatino Linotype" w:eastAsia="Palatino Linotype" w:hAnsi="Palatino Linotype" w:cs="Palatino Linotype"/>
        </w:rPr>
        <w:t>.</w:t>
      </w:r>
    </w:p>
    <w:p w14:paraId="277F4E9F" w14:textId="77777777" w:rsidR="004051D0" w:rsidRPr="00EB2447" w:rsidRDefault="004051D0" w:rsidP="003E3B65">
      <w:pPr>
        <w:spacing w:after="0" w:line="360" w:lineRule="auto"/>
        <w:ind w:right="49"/>
        <w:jc w:val="both"/>
        <w:rPr>
          <w:rFonts w:ascii="Palatino Linotype" w:eastAsia="Palatino Linotype" w:hAnsi="Palatino Linotype" w:cs="Palatino Linotype"/>
        </w:rPr>
      </w:pPr>
    </w:p>
    <w:p w14:paraId="6368219E" w14:textId="4267B1E5" w:rsidR="00097931" w:rsidRPr="00EB2447" w:rsidRDefault="00097931" w:rsidP="003E3B65">
      <w:pPr>
        <w:pBdr>
          <w:top w:val="nil"/>
          <w:left w:val="nil"/>
          <w:bottom w:val="nil"/>
          <w:right w:val="nil"/>
          <w:between w:val="nil"/>
        </w:pBdr>
        <w:spacing w:after="0" w:line="360" w:lineRule="auto"/>
        <w:jc w:val="both"/>
        <w:rPr>
          <w:rFonts w:ascii="Palatino Linotype" w:hAnsi="Palatino Linotype" w:cs="Tahoma"/>
          <w:bCs/>
        </w:rPr>
      </w:pPr>
      <w:r w:rsidRPr="00EB2447">
        <w:rPr>
          <w:rFonts w:ascii="Palatino Linotype" w:eastAsia="Palatino Linotype" w:hAnsi="Palatino Linotype" w:cs="Palatino Linotype"/>
          <w:b/>
        </w:rPr>
        <w:t xml:space="preserve">Segundo. </w:t>
      </w:r>
      <w:r w:rsidRPr="00EB2447">
        <w:rPr>
          <w:rFonts w:ascii="Palatino Linotype" w:eastAsia="Palatino Linotype" w:hAnsi="Palatino Linotype" w:cs="Palatino Linotype"/>
        </w:rPr>
        <w:t>Se</w:t>
      </w:r>
      <w:r w:rsidRPr="00EB2447">
        <w:rPr>
          <w:rFonts w:ascii="Palatino Linotype" w:eastAsia="Palatino Linotype" w:hAnsi="Palatino Linotype" w:cs="Palatino Linotype"/>
          <w:b/>
        </w:rPr>
        <w:t xml:space="preserve"> ORDENA </w:t>
      </w:r>
      <w:r w:rsidRPr="00EB2447">
        <w:rPr>
          <w:rFonts w:ascii="Palatino Linotype" w:eastAsia="Palatino Linotype" w:hAnsi="Palatino Linotype" w:cs="Palatino Linotype"/>
        </w:rPr>
        <w:t xml:space="preserve">al </w:t>
      </w:r>
      <w:r w:rsidRPr="00EB2447">
        <w:rPr>
          <w:rFonts w:ascii="Palatino Linotype" w:eastAsia="Palatino Linotype" w:hAnsi="Palatino Linotype" w:cs="Palatino Linotype"/>
          <w:b/>
        </w:rPr>
        <w:t>SUJETO OBLIGADO</w:t>
      </w:r>
      <w:r w:rsidRPr="00EB2447">
        <w:rPr>
          <w:rFonts w:ascii="Palatino Linotype" w:eastAsia="Palatino Linotype" w:hAnsi="Palatino Linotype" w:cs="Palatino Linotype"/>
        </w:rPr>
        <w:t xml:space="preserve"> a que,</w:t>
      </w:r>
      <w:r w:rsidRPr="00EB2447">
        <w:rPr>
          <w:rFonts w:ascii="Palatino Linotype" w:eastAsia="Palatino Linotype" w:hAnsi="Palatino Linotype" w:cs="Palatino Linotype"/>
          <w:b/>
        </w:rPr>
        <w:t xml:space="preserve"> </w:t>
      </w:r>
      <w:r w:rsidRPr="00EB2447">
        <w:rPr>
          <w:rFonts w:ascii="Palatino Linotype" w:eastAsia="Palatino Linotype" w:hAnsi="Palatino Linotype" w:cs="Palatino Linotype"/>
        </w:rPr>
        <w:t>en términos del Considerando Cuarto y Quinto, haga entrega, vía Sistema de Acceso a la Información Mexiquense (SAIMEX), de ser el caso, en versión pública</w:t>
      </w:r>
      <w:r w:rsidR="0035418C" w:rsidRPr="00EB2447">
        <w:rPr>
          <w:rFonts w:ascii="Palatino Linotype" w:eastAsia="Palatino Linotype" w:hAnsi="Palatino Linotype" w:cs="Palatino Linotype"/>
        </w:rPr>
        <w:t>,</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Cs/>
        </w:rPr>
        <w:t>lo siguiente</w:t>
      </w:r>
      <w:r w:rsidRPr="00EB2447">
        <w:rPr>
          <w:rFonts w:ascii="Palatino Linotype" w:eastAsia="Palatino Linotype" w:hAnsi="Palatino Linotype" w:cs="Palatino Linotype"/>
          <w:b/>
          <w:bCs/>
        </w:rPr>
        <w:t>:</w:t>
      </w:r>
    </w:p>
    <w:p w14:paraId="2CDE9685" w14:textId="77777777" w:rsidR="00097931" w:rsidRPr="00EB2447" w:rsidRDefault="00097931" w:rsidP="003E3B65">
      <w:pPr>
        <w:spacing w:after="0" w:line="360" w:lineRule="auto"/>
        <w:ind w:left="567" w:right="560"/>
        <w:jc w:val="both"/>
        <w:rPr>
          <w:rFonts w:ascii="Palatino Linotype" w:eastAsia="Palatino Linotype" w:hAnsi="Palatino Linotype" w:cs="Palatino Linotype"/>
          <w:bCs/>
        </w:rPr>
      </w:pPr>
    </w:p>
    <w:p w14:paraId="586ADAA3" w14:textId="750A1FAF" w:rsidR="00097931" w:rsidRPr="00EB2447" w:rsidRDefault="003E3B65" w:rsidP="003E3B65">
      <w:pPr>
        <w:pStyle w:val="Prrafodelista"/>
        <w:numPr>
          <w:ilvl w:val="0"/>
          <w:numId w:val="14"/>
        </w:num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t xml:space="preserve">Los estados de cuenta bancarios del sujeto obligado de enero a marzo de dos mil veinticinco. </w:t>
      </w:r>
    </w:p>
    <w:p w14:paraId="1EAD5C8B" w14:textId="77777777" w:rsidR="00097931" w:rsidRPr="00EB2447" w:rsidRDefault="00097931" w:rsidP="003E3B65">
      <w:pPr>
        <w:spacing w:after="0" w:line="276" w:lineRule="auto"/>
        <w:ind w:left="567" w:right="615"/>
        <w:jc w:val="both"/>
        <w:rPr>
          <w:rFonts w:ascii="Palatino Linotype" w:eastAsia="Palatino Linotype" w:hAnsi="Palatino Linotype" w:cs="Palatino Linotype"/>
          <w:i/>
        </w:rPr>
      </w:pPr>
      <w:r w:rsidRPr="00EB2447">
        <w:rPr>
          <w:rFonts w:ascii="Palatino Linotype" w:eastAsia="Palatino Linotype" w:hAnsi="Palatino Linotype" w:cs="Palatino Linotype"/>
          <w:i/>
        </w:rPr>
        <w:lastRenderedPageBreak/>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8964892" w14:textId="77777777" w:rsidR="00097931" w:rsidRPr="00EB2447" w:rsidRDefault="00097931" w:rsidP="003E3B65">
      <w:pPr>
        <w:spacing w:after="0" w:line="360" w:lineRule="auto"/>
        <w:ind w:right="49"/>
        <w:jc w:val="both"/>
        <w:rPr>
          <w:rFonts w:ascii="Palatino Linotype" w:eastAsia="Palatino Linotype" w:hAnsi="Palatino Linotype" w:cs="Palatino Linotype"/>
          <w:b/>
        </w:rPr>
      </w:pPr>
    </w:p>
    <w:p w14:paraId="528DD28F" w14:textId="77777777" w:rsidR="00097931" w:rsidRPr="00EB2447" w:rsidRDefault="00097931"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Tercero.</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
        </w:rPr>
        <w:t xml:space="preserve">Notifíquese vía SAIMEX </w:t>
      </w:r>
      <w:r w:rsidRPr="00EB2447">
        <w:rPr>
          <w:rFonts w:ascii="Palatino Linotype" w:eastAsia="Palatino Linotype" w:hAnsi="Palatino Linotype" w:cs="Palatino Linotype"/>
        </w:rPr>
        <w:t>la presente resolución al T</w:t>
      </w:r>
      <w:r w:rsidRPr="00EB2447">
        <w:rPr>
          <w:rFonts w:ascii="Palatino Linotype" w:eastAsia="Palatino Linotype" w:hAnsi="Palatino Linotype" w:cs="Palatino Linotype"/>
          <w:b/>
        </w:rPr>
        <w:t xml:space="preserve">itular de la Unidad de Transparencia </w:t>
      </w:r>
      <w:r w:rsidRPr="00EB2447">
        <w:rPr>
          <w:rFonts w:ascii="Palatino Linotype" w:eastAsia="Palatino Linotype" w:hAnsi="Palatino Linotype" w:cs="Palatino Linotype"/>
        </w:rPr>
        <w:t xml:space="preserve">del </w:t>
      </w:r>
      <w:r w:rsidRPr="00EB2447">
        <w:rPr>
          <w:rFonts w:ascii="Palatino Linotype" w:eastAsia="Palatino Linotype" w:hAnsi="Palatino Linotype" w:cs="Palatino Linotype"/>
          <w:b/>
        </w:rPr>
        <w:t>SUJETO OBLIGADO</w:t>
      </w:r>
      <w:r w:rsidRPr="00EB2447">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5D39C6E" w14:textId="77777777" w:rsidR="00097931" w:rsidRPr="00EB2447" w:rsidRDefault="00097931" w:rsidP="003E3B65">
      <w:pPr>
        <w:spacing w:after="0" w:line="360" w:lineRule="auto"/>
        <w:ind w:right="49"/>
        <w:jc w:val="both"/>
        <w:rPr>
          <w:rFonts w:ascii="Palatino Linotype" w:eastAsia="Palatino Linotype" w:hAnsi="Palatino Linotype" w:cs="Palatino Linotype"/>
        </w:rPr>
      </w:pPr>
    </w:p>
    <w:p w14:paraId="1E58E2F4" w14:textId="0F7B958A" w:rsidR="00097931" w:rsidRPr="00EB2447" w:rsidRDefault="00097931"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b/>
        </w:rPr>
        <w:t>Cuarto.</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
        </w:rPr>
        <w:t>Notifíquese vía SAIMEX</w:t>
      </w:r>
      <w:r w:rsidRPr="00EB2447">
        <w:rPr>
          <w:rFonts w:ascii="Palatino Linotype" w:eastAsia="Palatino Linotype" w:hAnsi="Palatino Linotype" w:cs="Palatino Linotype"/>
        </w:rPr>
        <w:t xml:space="preserve"> a la parte </w:t>
      </w:r>
      <w:r w:rsidRPr="00EB2447">
        <w:rPr>
          <w:rFonts w:ascii="Palatino Linotype" w:eastAsia="Palatino Linotype" w:hAnsi="Palatino Linotype" w:cs="Palatino Linotype"/>
          <w:b/>
        </w:rPr>
        <w:t xml:space="preserve">RECURRENTE </w:t>
      </w:r>
      <w:r w:rsidRPr="00EB244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7C6AECF2" w14:textId="77777777" w:rsidR="00CC2A8B" w:rsidRPr="00EB2447" w:rsidRDefault="00CC2A8B" w:rsidP="003E3B65">
      <w:pPr>
        <w:spacing w:after="0" w:line="360" w:lineRule="auto"/>
        <w:ind w:right="49"/>
        <w:jc w:val="both"/>
        <w:rPr>
          <w:rFonts w:ascii="Palatino Linotype" w:eastAsia="Palatino Linotype" w:hAnsi="Palatino Linotype" w:cs="Palatino Linotype"/>
        </w:rPr>
      </w:pPr>
    </w:p>
    <w:p w14:paraId="53076156" w14:textId="77777777" w:rsidR="00097931" w:rsidRPr="00EB2447" w:rsidRDefault="00097931" w:rsidP="003E3B65">
      <w:pPr>
        <w:spacing w:after="0" w:line="360" w:lineRule="auto"/>
        <w:jc w:val="both"/>
        <w:rPr>
          <w:rFonts w:ascii="Palatino Linotype" w:eastAsia="Palatino Linotype" w:hAnsi="Palatino Linotype" w:cs="Palatino Linotype"/>
        </w:rPr>
      </w:pPr>
      <w:r w:rsidRPr="00EB2447">
        <w:rPr>
          <w:rFonts w:ascii="Palatino Linotype" w:eastAsia="Palatino Linotype" w:hAnsi="Palatino Linotype" w:cs="Palatino Linotype"/>
          <w:b/>
        </w:rPr>
        <w:t xml:space="preserve">Quinto. Notifíquese, </w:t>
      </w:r>
      <w:r w:rsidRPr="00EB2447">
        <w:rPr>
          <w:rFonts w:ascii="Palatino Linotype" w:eastAsia="Palatino Linotype" w:hAnsi="Palatino Linotype" w:cs="Palatino Linotype"/>
        </w:rPr>
        <w:t xml:space="preserve">vía </w:t>
      </w:r>
      <w:r w:rsidRPr="00EB2447">
        <w:rPr>
          <w:rFonts w:ascii="Palatino Linotype" w:eastAsia="Palatino Linotype" w:hAnsi="Palatino Linotype" w:cs="Palatino Linotype"/>
          <w:b/>
        </w:rPr>
        <w:t xml:space="preserve">SAIMEX </w:t>
      </w:r>
      <w:r w:rsidRPr="00EB2447">
        <w:rPr>
          <w:rFonts w:ascii="Palatino Linotype" w:eastAsia="Palatino Linotype" w:hAnsi="Palatino Linotype" w:cs="Palatino Linotype"/>
        </w:rPr>
        <w:t xml:space="preserve">a </w:t>
      </w:r>
      <w:r w:rsidRPr="00EB2447">
        <w:rPr>
          <w:rFonts w:ascii="Palatino Linotype" w:eastAsia="Palatino Linotype" w:hAnsi="Palatino Linotype" w:cs="Palatino Linotype"/>
          <w:b/>
        </w:rPr>
        <w:t>la Parte</w:t>
      </w:r>
      <w:r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b/>
        </w:rPr>
        <w:t xml:space="preserve">Recurrente </w:t>
      </w:r>
      <w:r w:rsidRPr="00EB2447">
        <w:rPr>
          <w:rFonts w:ascii="Palatino Linotype" w:eastAsia="Palatino Linotype" w:hAnsi="Palatino Linotype" w:cs="Palatino Linotype"/>
        </w:rPr>
        <w:t xml:space="preserve">que la respuesta que dé </w:t>
      </w:r>
      <w:r w:rsidRPr="00EB2447">
        <w:rPr>
          <w:rFonts w:ascii="Palatino Linotype" w:eastAsia="Palatino Linotype" w:hAnsi="Palatino Linotype" w:cs="Palatino Linotype"/>
          <w:b/>
        </w:rPr>
        <w:t>el Sujeto Obligado</w:t>
      </w:r>
      <w:r w:rsidRPr="00EB244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E1102" w14:textId="77777777" w:rsidR="00097931" w:rsidRPr="00EB2447" w:rsidRDefault="00097931" w:rsidP="003E3B65">
      <w:pPr>
        <w:spacing w:after="0" w:line="360" w:lineRule="auto"/>
        <w:jc w:val="both"/>
        <w:rPr>
          <w:rFonts w:ascii="Palatino Linotype" w:eastAsia="Palatino Linotype" w:hAnsi="Palatino Linotype" w:cs="Palatino Linotype"/>
          <w:b/>
        </w:rPr>
      </w:pPr>
    </w:p>
    <w:p w14:paraId="5A1582F0" w14:textId="734F38D9" w:rsidR="009338B5" w:rsidRPr="001B4A78" w:rsidRDefault="00E0628C" w:rsidP="003E3B65">
      <w:pPr>
        <w:spacing w:after="0" w:line="360" w:lineRule="auto"/>
        <w:ind w:right="49"/>
        <w:jc w:val="both"/>
        <w:rPr>
          <w:rFonts w:ascii="Palatino Linotype" w:eastAsia="Palatino Linotype" w:hAnsi="Palatino Linotype" w:cs="Palatino Linotype"/>
        </w:rPr>
      </w:pPr>
      <w:r w:rsidRPr="00EB2447">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C2A8B" w:rsidRPr="00EB2447">
        <w:rPr>
          <w:rFonts w:ascii="Palatino Linotype" w:eastAsia="Palatino Linotype" w:hAnsi="Palatino Linotype" w:cs="Palatino Linotype"/>
        </w:rPr>
        <w:t xml:space="preserve">VIGÉSIMA </w:t>
      </w:r>
      <w:r w:rsidR="003E3B65" w:rsidRPr="00EB2447">
        <w:rPr>
          <w:rFonts w:ascii="Palatino Linotype" w:eastAsia="Palatino Linotype" w:hAnsi="Palatino Linotype" w:cs="Palatino Linotype"/>
        </w:rPr>
        <w:t>OCTAVA</w:t>
      </w:r>
      <w:r w:rsidR="00CC2A8B" w:rsidRPr="00EB2447">
        <w:rPr>
          <w:rFonts w:ascii="Palatino Linotype" w:eastAsia="Palatino Linotype" w:hAnsi="Palatino Linotype" w:cs="Palatino Linotype"/>
        </w:rPr>
        <w:t xml:space="preserve">  </w:t>
      </w:r>
      <w:r w:rsidRPr="00EB2447">
        <w:rPr>
          <w:rFonts w:ascii="Palatino Linotype" w:eastAsia="Palatino Linotype" w:hAnsi="Palatino Linotype" w:cs="Palatino Linotype"/>
        </w:rPr>
        <w:t xml:space="preserve">ORDINARIA CELEBRADA EL </w:t>
      </w:r>
      <w:r w:rsidR="003E3B65" w:rsidRPr="00EB2447">
        <w:rPr>
          <w:rFonts w:ascii="Palatino Linotype" w:eastAsia="Palatino Linotype" w:hAnsi="Palatino Linotype" w:cs="Palatino Linotype"/>
        </w:rPr>
        <w:t>TRECE</w:t>
      </w:r>
      <w:r w:rsidR="00CC2A8B" w:rsidRPr="00EB2447">
        <w:rPr>
          <w:rFonts w:ascii="Palatino Linotype" w:eastAsia="Palatino Linotype" w:hAnsi="Palatino Linotype" w:cs="Palatino Linotype"/>
        </w:rPr>
        <w:t xml:space="preserve"> DE AGOSTO</w:t>
      </w:r>
      <w:r w:rsidR="00097931" w:rsidRPr="00EB2447">
        <w:rPr>
          <w:rFonts w:ascii="Palatino Linotype" w:eastAsia="Palatino Linotype" w:hAnsi="Palatino Linotype" w:cs="Palatino Linotype"/>
        </w:rPr>
        <w:t xml:space="preserve"> </w:t>
      </w:r>
      <w:r w:rsidR="00125890" w:rsidRPr="00EB2447">
        <w:rPr>
          <w:rFonts w:ascii="Palatino Linotype" w:eastAsia="Palatino Linotype" w:hAnsi="Palatino Linotype" w:cs="Palatino Linotype"/>
        </w:rPr>
        <w:t>DE DOS MIL VEINTICINCO</w:t>
      </w:r>
      <w:r w:rsidRPr="00EB2447">
        <w:rPr>
          <w:rFonts w:ascii="Palatino Linotype" w:eastAsia="Palatino Linotype" w:hAnsi="Palatino Linotype" w:cs="Palatino Linotype"/>
        </w:rPr>
        <w:t>, ANTE EL SECRETARIO TÉCNICO DEL PLENO ALEXIS TAPIA RAMÍREZ.</w:t>
      </w:r>
      <w:r w:rsidRPr="001B4A78">
        <w:rPr>
          <w:rFonts w:ascii="Palatino Linotype" w:eastAsia="Palatino Linotype" w:hAnsi="Palatino Linotype" w:cs="Palatino Linotype"/>
        </w:rPr>
        <w:t xml:space="preserve"> </w:t>
      </w:r>
    </w:p>
    <w:p w14:paraId="064D1538" w14:textId="280A5F65" w:rsidR="009338B5" w:rsidRPr="001B4A78" w:rsidRDefault="009338B5" w:rsidP="003E3B65">
      <w:pPr>
        <w:spacing w:after="0" w:line="360" w:lineRule="auto"/>
        <w:ind w:right="49"/>
        <w:jc w:val="both"/>
        <w:rPr>
          <w:rFonts w:ascii="Palatino Linotype" w:eastAsia="Palatino Linotype" w:hAnsi="Palatino Linotype" w:cs="Palatino Linotype"/>
        </w:rPr>
      </w:pPr>
    </w:p>
    <w:p w14:paraId="30FA6083" w14:textId="10554B9F" w:rsidR="000C6A42" w:rsidRPr="001B4A78" w:rsidRDefault="000C6A42" w:rsidP="003E3B65">
      <w:pPr>
        <w:spacing w:after="0" w:line="360" w:lineRule="auto"/>
        <w:ind w:right="49"/>
        <w:jc w:val="both"/>
        <w:rPr>
          <w:rFonts w:ascii="Palatino Linotype" w:eastAsia="Palatino Linotype" w:hAnsi="Palatino Linotype" w:cs="Palatino Linotype"/>
        </w:rPr>
      </w:pPr>
    </w:p>
    <w:p w14:paraId="3342D7EC" w14:textId="26624550" w:rsidR="000C6A42" w:rsidRPr="001B4A78" w:rsidRDefault="000C6A42" w:rsidP="003E3B65">
      <w:pPr>
        <w:spacing w:after="0" w:line="360" w:lineRule="auto"/>
        <w:ind w:right="49"/>
        <w:jc w:val="both"/>
        <w:rPr>
          <w:rFonts w:ascii="Palatino Linotype" w:eastAsia="Palatino Linotype" w:hAnsi="Palatino Linotype" w:cs="Palatino Linotype"/>
        </w:rPr>
      </w:pPr>
    </w:p>
    <w:p w14:paraId="2309D9F8" w14:textId="4BFBB2A5" w:rsidR="000C6A42" w:rsidRPr="001B4A78" w:rsidRDefault="000C6A42" w:rsidP="003E3B65">
      <w:pPr>
        <w:spacing w:after="0" w:line="360" w:lineRule="auto"/>
        <w:ind w:right="49"/>
        <w:jc w:val="both"/>
        <w:rPr>
          <w:rFonts w:ascii="Palatino Linotype" w:eastAsia="Palatino Linotype" w:hAnsi="Palatino Linotype" w:cs="Palatino Linotype"/>
        </w:rPr>
      </w:pPr>
    </w:p>
    <w:p w14:paraId="12013C96" w14:textId="547DF565" w:rsidR="000C6A42" w:rsidRPr="001B4A78" w:rsidRDefault="000C6A42" w:rsidP="003E3B65">
      <w:pPr>
        <w:spacing w:after="0" w:line="360" w:lineRule="auto"/>
        <w:ind w:right="49"/>
        <w:jc w:val="both"/>
        <w:rPr>
          <w:rFonts w:ascii="Palatino Linotype" w:eastAsia="Palatino Linotype" w:hAnsi="Palatino Linotype" w:cs="Palatino Linotype"/>
        </w:rPr>
      </w:pPr>
    </w:p>
    <w:p w14:paraId="7F3C18A7" w14:textId="3F8AAD43" w:rsidR="000C6A42" w:rsidRPr="001B4A78" w:rsidRDefault="000C6A42" w:rsidP="003E3B65">
      <w:pPr>
        <w:spacing w:after="0" w:line="360" w:lineRule="auto"/>
        <w:ind w:right="49"/>
        <w:jc w:val="both"/>
        <w:rPr>
          <w:rFonts w:ascii="Palatino Linotype" w:eastAsia="Palatino Linotype" w:hAnsi="Palatino Linotype" w:cs="Palatino Linotype"/>
        </w:rPr>
      </w:pPr>
    </w:p>
    <w:p w14:paraId="4625C113" w14:textId="316CD8A9" w:rsidR="000C6A42" w:rsidRPr="001B4A78" w:rsidRDefault="000C6A42" w:rsidP="003E3B65">
      <w:pPr>
        <w:spacing w:after="0" w:line="360" w:lineRule="auto"/>
        <w:ind w:right="49"/>
        <w:jc w:val="both"/>
        <w:rPr>
          <w:rFonts w:ascii="Palatino Linotype" w:eastAsia="Palatino Linotype" w:hAnsi="Palatino Linotype" w:cs="Palatino Linotype"/>
        </w:rPr>
      </w:pPr>
    </w:p>
    <w:p w14:paraId="37C08E4E" w14:textId="7120280A" w:rsidR="000C6A42" w:rsidRPr="001B4A78" w:rsidRDefault="000C6A42" w:rsidP="003E3B65">
      <w:pPr>
        <w:spacing w:after="0" w:line="360" w:lineRule="auto"/>
        <w:ind w:right="49"/>
        <w:jc w:val="both"/>
        <w:rPr>
          <w:rFonts w:ascii="Palatino Linotype" w:eastAsia="Palatino Linotype" w:hAnsi="Palatino Linotype" w:cs="Palatino Linotype"/>
        </w:rPr>
      </w:pPr>
    </w:p>
    <w:p w14:paraId="79AD0270" w14:textId="77777777" w:rsidR="000C6A42" w:rsidRPr="001B4A78" w:rsidRDefault="000C6A42" w:rsidP="003E3B65">
      <w:pPr>
        <w:spacing w:after="0" w:line="360" w:lineRule="auto"/>
        <w:ind w:right="49"/>
        <w:jc w:val="both"/>
        <w:rPr>
          <w:rFonts w:ascii="Palatino Linotype" w:eastAsia="Palatino Linotype" w:hAnsi="Palatino Linotype" w:cs="Palatino Linotype"/>
        </w:rPr>
      </w:pPr>
    </w:p>
    <w:p w14:paraId="6C7EF629"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5DB6778E"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3C157BBF"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1F391D37"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6D227DC0"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5F3F267C"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14B44714"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6317908C"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1A11333D"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20E75F9D"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674BC334"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608C926E"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0BDA7F6C"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58571691"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p w14:paraId="2009ABB1" w14:textId="77777777" w:rsidR="001B4A78" w:rsidRPr="001B4A78" w:rsidRDefault="001B4A78" w:rsidP="003E3B65">
      <w:pPr>
        <w:spacing w:after="0" w:line="360" w:lineRule="auto"/>
        <w:ind w:right="49"/>
        <w:jc w:val="both"/>
        <w:rPr>
          <w:rFonts w:ascii="Palatino Linotype" w:eastAsia="Palatino Linotype" w:hAnsi="Palatino Linotype" w:cs="Palatino Linotype"/>
        </w:rPr>
      </w:pPr>
    </w:p>
    <w:sectPr w:rsidR="001B4A78" w:rsidRPr="001B4A78">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611C" w14:textId="77777777" w:rsidR="00826782" w:rsidRDefault="00826782">
      <w:pPr>
        <w:spacing w:after="0" w:line="240" w:lineRule="auto"/>
      </w:pPr>
      <w:r>
        <w:separator/>
      </w:r>
    </w:p>
  </w:endnote>
  <w:endnote w:type="continuationSeparator" w:id="0">
    <w:p w14:paraId="05A7886A" w14:textId="77777777" w:rsidR="00826782" w:rsidRDefault="0082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993E" w14:textId="77777777" w:rsidR="000D1322" w:rsidRDefault="000D132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244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2447">
      <w:rPr>
        <w:b/>
        <w:noProof/>
        <w:color w:val="000000"/>
        <w:sz w:val="24"/>
        <w:szCs w:val="24"/>
      </w:rPr>
      <w:t>30</w:t>
    </w:r>
    <w:r>
      <w:rPr>
        <w:b/>
        <w:color w:val="000000"/>
        <w:sz w:val="24"/>
        <w:szCs w:val="24"/>
      </w:rPr>
      <w:fldChar w:fldCharType="end"/>
    </w:r>
  </w:p>
  <w:p w14:paraId="085FA270" w14:textId="77777777" w:rsidR="000D1322" w:rsidRDefault="000D1322">
    <w:pPr>
      <w:pBdr>
        <w:top w:val="nil"/>
        <w:left w:val="nil"/>
        <w:bottom w:val="nil"/>
        <w:right w:val="nil"/>
        <w:between w:val="nil"/>
      </w:pBdr>
      <w:tabs>
        <w:tab w:val="center" w:pos="4419"/>
        <w:tab w:val="right" w:pos="8838"/>
      </w:tabs>
      <w:spacing w:after="0" w:line="240" w:lineRule="auto"/>
      <w:rPr>
        <w:color w:val="000000"/>
      </w:rPr>
    </w:pPr>
  </w:p>
  <w:p w14:paraId="4D78827B" w14:textId="77777777" w:rsidR="000D1322" w:rsidRDefault="000D1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B7A1" w14:textId="77777777" w:rsidR="000D1322" w:rsidRDefault="000D132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244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2447">
      <w:rPr>
        <w:b/>
        <w:noProof/>
        <w:color w:val="000000"/>
        <w:sz w:val="24"/>
        <w:szCs w:val="24"/>
      </w:rPr>
      <w:t>30</w:t>
    </w:r>
    <w:r>
      <w:rPr>
        <w:b/>
        <w:color w:val="000000"/>
        <w:sz w:val="24"/>
        <w:szCs w:val="24"/>
      </w:rPr>
      <w:fldChar w:fldCharType="end"/>
    </w:r>
  </w:p>
  <w:p w14:paraId="65CF5E8C" w14:textId="77777777" w:rsidR="000D1322" w:rsidRDefault="000D1322">
    <w:pPr>
      <w:pBdr>
        <w:top w:val="nil"/>
        <w:left w:val="nil"/>
        <w:bottom w:val="nil"/>
        <w:right w:val="nil"/>
        <w:between w:val="nil"/>
      </w:pBdr>
      <w:tabs>
        <w:tab w:val="center" w:pos="4419"/>
        <w:tab w:val="right" w:pos="8838"/>
      </w:tabs>
      <w:spacing w:after="0" w:line="240" w:lineRule="auto"/>
      <w:rPr>
        <w:color w:val="000000"/>
      </w:rPr>
    </w:pPr>
  </w:p>
  <w:p w14:paraId="4A11DAF5" w14:textId="77777777" w:rsidR="000D1322" w:rsidRDefault="000D13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68DA" w14:textId="77777777" w:rsidR="00826782" w:rsidRDefault="00826782">
      <w:pPr>
        <w:spacing w:after="0" w:line="240" w:lineRule="auto"/>
      </w:pPr>
      <w:r>
        <w:separator/>
      </w:r>
    </w:p>
  </w:footnote>
  <w:footnote w:type="continuationSeparator" w:id="0">
    <w:p w14:paraId="1524507D" w14:textId="77777777" w:rsidR="00826782" w:rsidRDefault="0082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F80C" w14:textId="77777777" w:rsidR="000D1322" w:rsidRDefault="000D132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080E89A" wp14:editId="0C68241B">
          <wp:simplePos x="0" y="0"/>
          <wp:positionH relativeFrom="column">
            <wp:posOffset>-774699</wp:posOffset>
          </wp:positionH>
          <wp:positionV relativeFrom="paragraph">
            <wp:posOffset>-345439</wp:posOffset>
          </wp:positionV>
          <wp:extent cx="7809876" cy="10165823"/>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0D1322" w14:paraId="3E42C09E" w14:textId="77777777">
      <w:tc>
        <w:tcPr>
          <w:tcW w:w="2551" w:type="dxa"/>
          <w:vAlign w:val="center"/>
        </w:tcPr>
        <w:p w14:paraId="3294BAFA"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ED5E1C3" w14:textId="31698729"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06229/INFOEM/IP/RR/2025</w:t>
          </w:r>
        </w:p>
      </w:tc>
    </w:tr>
    <w:tr w:rsidR="000D1322" w14:paraId="0FB3790D" w14:textId="77777777">
      <w:trPr>
        <w:trHeight w:val="643"/>
      </w:trPr>
      <w:tc>
        <w:tcPr>
          <w:tcW w:w="2551" w:type="dxa"/>
          <w:vAlign w:val="center"/>
        </w:tcPr>
        <w:p w14:paraId="7D3A413D" w14:textId="0FEA3A30"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EE5C496" w14:textId="7AF056C6" w:rsidR="000D1322" w:rsidRDefault="000D132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Berriozábal</w:t>
          </w:r>
        </w:p>
      </w:tc>
    </w:tr>
    <w:tr w:rsidR="000D1322" w14:paraId="207063F9" w14:textId="77777777">
      <w:tc>
        <w:tcPr>
          <w:tcW w:w="2551" w:type="dxa"/>
          <w:vAlign w:val="center"/>
        </w:tcPr>
        <w:p w14:paraId="733790EE"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5BFF6EB"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B80FB1" w14:textId="77777777" w:rsidR="000D1322" w:rsidRDefault="000D1322">
    <w:pPr>
      <w:pBdr>
        <w:top w:val="nil"/>
        <w:left w:val="nil"/>
        <w:bottom w:val="nil"/>
        <w:right w:val="nil"/>
        <w:between w:val="nil"/>
      </w:pBdr>
      <w:tabs>
        <w:tab w:val="center" w:pos="4419"/>
        <w:tab w:val="right" w:pos="8838"/>
      </w:tabs>
      <w:spacing w:after="0" w:line="240" w:lineRule="auto"/>
      <w:rPr>
        <w:color w:val="000000"/>
      </w:rPr>
    </w:pPr>
  </w:p>
  <w:p w14:paraId="53110EF7" w14:textId="77777777" w:rsidR="000D1322" w:rsidRDefault="000D1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2D59" w14:textId="77777777" w:rsidR="000D1322" w:rsidRDefault="000D132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3DD037" wp14:editId="68698E7E">
          <wp:simplePos x="0" y="0"/>
          <wp:positionH relativeFrom="column">
            <wp:posOffset>-761364</wp:posOffset>
          </wp:positionH>
          <wp:positionV relativeFrom="paragraph">
            <wp:posOffset>5080</wp:posOffset>
          </wp:positionV>
          <wp:extent cx="7809876" cy="10165823"/>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0D1322" w14:paraId="7A14E2CE" w14:textId="77777777">
      <w:tc>
        <w:tcPr>
          <w:tcW w:w="2551" w:type="dxa"/>
          <w:vAlign w:val="center"/>
        </w:tcPr>
        <w:p w14:paraId="7B4BA45E"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FED9FB7" w14:textId="50F068B0"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06229/INFOEM/IP/RR/2025</w:t>
          </w:r>
        </w:p>
      </w:tc>
    </w:tr>
    <w:tr w:rsidR="000D1322" w14:paraId="0F3B71FC" w14:textId="77777777">
      <w:tc>
        <w:tcPr>
          <w:tcW w:w="2551" w:type="dxa"/>
          <w:vAlign w:val="center"/>
        </w:tcPr>
        <w:p w14:paraId="0E4DE2F0"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D07CC74" w14:textId="77777777" w:rsidR="000D1322" w:rsidRDefault="000D1322">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0D1322" w14:paraId="361F6CE9" w14:textId="77777777">
      <w:trPr>
        <w:trHeight w:val="743"/>
      </w:trPr>
      <w:tc>
        <w:tcPr>
          <w:tcW w:w="2551" w:type="dxa"/>
          <w:vAlign w:val="center"/>
        </w:tcPr>
        <w:p w14:paraId="3F63C1DD" w14:textId="1D6EEC64"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1110CA8" w14:textId="1E4A4620" w:rsidR="000D1322" w:rsidRDefault="000D132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Coacalco de Berriozábal</w:t>
          </w:r>
        </w:p>
      </w:tc>
    </w:tr>
    <w:tr w:rsidR="000D1322" w14:paraId="040DC705" w14:textId="77777777">
      <w:tc>
        <w:tcPr>
          <w:tcW w:w="2551" w:type="dxa"/>
          <w:vAlign w:val="center"/>
        </w:tcPr>
        <w:p w14:paraId="6EA2056D"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8B71E2F" w14:textId="77777777" w:rsidR="000D1322" w:rsidRDefault="000D13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98CB68" w14:textId="77777777" w:rsidR="000D1322" w:rsidRDefault="000D132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p w14:paraId="50B3DB38" w14:textId="77777777" w:rsidR="000D1322" w:rsidRDefault="000D13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82E8D"/>
    <w:multiLevelType w:val="multilevel"/>
    <w:tmpl w:val="25826F5E"/>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D555C1"/>
    <w:multiLevelType w:val="multilevel"/>
    <w:tmpl w:val="3CCE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52418"/>
    <w:multiLevelType w:val="multilevel"/>
    <w:tmpl w:val="E724DDB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DD1830"/>
    <w:multiLevelType w:val="multilevel"/>
    <w:tmpl w:val="1EB8004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BB7252"/>
    <w:multiLevelType w:val="multilevel"/>
    <w:tmpl w:val="E504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4F79F5"/>
    <w:multiLevelType w:val="multilevel"/>
    <w:tmpl w:val="2BFCECF6"/>
    <w:lvl w:ilvl="0">
      <w:start w:val="1"/>
      <w:numFmt w:val="lowerLetter"/>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295DE4"/>
    <w:multiLevelType w:val="multilevel"/>
    <w:tmpl w:val="7714BB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52EF5552"/>
    <w:multiLevelType w:val="hybridMultilevel"/>
    <w:tmpl w:val="3622170E"/>
    <w:lvl w:ilvl="0" w:tplc="A9F003C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445913"/>
    <w:multiLevelType w:val="multilevel"/>
    <w:tmpl w:val="DB1E97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096272C"/>
    <w:multiLevelType w:val="multilevel"/>
    <w:tmpl w:val="E318BFC0"/>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63CA1022"/>
    <w:multiLevelType w:val="hybridMultilevel"/>
    <w:tmpl w:val="DBD40F08"/>
    <w:lvl w:ilvl="0" w:tplc="3D101E8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4F60CC"/>
    <w:multiLevelType w:val="hybridMultilevel"/>
    <w:tmpl w:val="73BC5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F54C36"/>
    <w:multiLevelType w:val="multilevel"/>
    <w:tmpl w:val="D83AE900"/>
    <w:lvl w:ilvl="0">
      <w:start w:val="4"/>
      <w:numFmt w:val="upperRoman"/>
      <w:lvlText w:val="%1"/>
      <w:lvlJc w:val="left"/>
      <w:pPr>
        <w:ind w:left="532" w:hanging="360"/>
      </w:pPr>
      <w:rPr>
        <w:rFonts w:hint="default"/>
        <w:lang w:val="es-ES" w:eastAsia="en-US" w:bidi="ar-SA"/>
      </w:rPr>
    </w:lvl>
    <w:lvl w:ilvl="1">
      <w:start w:val="1"/>
      <w:numFmt w:val="decimal"/>
      <w:lvlText w:val="%1.%2."/>
      <w:lvlJc w:val="left"/>
      <w:pPr>
        <w:ind w:left="532" w:hanging="360"/>
      </w:pPr>
      <w:rPr>
        <w:rFonts w:ascii="Arial" w:eastAsia="Arial" w:hAnsi="Arial" w:cs="Arial" w:hint="default"/>
        <w:b/>
        <w:bCs/>
        <w:i w:val="0"/>
        <w:iCs w:val="0"/>
        <w:spacing w:val="-17"/>
        <w:w w:val="100"/>
        <w:sz w:val="16"/>
        <w:szCs w:val="16"/>
        <w:lang w:val="es-ES" w:eastAsia="en-US" w:bidi="ar-SA"/>
      </w:rPr>
    </w:lvl>
    <w:lvl w:ilvl="2">
      <w:numFmt w:val="bullet"/>
      <w:lvlText w:val="•"/>
      <w:lvlJc w:val="left"/>
      <w:pPr>
        <w:ind w:left="2616" w:hanging="360"/>
      </w:pPr>
      <w:rPr>
        <w:rFonts w:hint="default"/>
        <w:lang w:val="es-ES" w:eastAsia="en-US" w:bidi="ar-SA"/>
      </w:rPr>
    </w:lvl>
    <w:lvl w:ilvl="3">
      <w:numFmt w:val="bullet"/>
      <w:lvlText w:val="•"/>
      <w:lvlJc w:val="left"/>
      <w:pPr>
        <w:ind w:left="3654" w:hanging="360"/>
      </w:pPr>
      <w:rPr>
        <w:rFonts w:hint="default"/>
        <w:lang w:val="es-ES" w:eastAsia="en-US" w:bidi="ar-SA"/>
      </w:rPr>
    </w:lvl>
    <w:lvl w:ilvl="4">
      <w:numFmt w:val="bullet"/>
      <w:lvlText w:val="•"/>
      <w:lvlJc w:val="left"/>
      <w:pPr>
        <w:ind w:left="4692" w:hanging="360"/>
      </w:pPr>
      <w:rPr>
        <w:rFonts w:hint="default"/>
        <w:lang w:val="es-ES" w:eastAsia="en-US" w:bidi="ar-SA"/>
      </w:rPr>
    </w:lvl>
    <w:lvl w:ilvl="5">
      <w:numFmt w:val="bullet"/>
      <w:lvlText w:val="•"/>
      <w:lvlJc w:val="left"/>
      <w:pPr>
        <w:ind w:left="5730" w:hanging="360"/>
      </w:pPr>
      <w:rPr>
        <w:rFonts w:hint="default"/>
        <w:lang w:val="es-ES" w:eastAsia="en-US" w:bidi="ar-SA"/>
      </w:rPr>
    </w:lvl>
    <w:lvl w:ilvl="6">
      <w:numFmt w:val="bullet"/>
      <w:lvlText w:val="•"/>
      <w:lvlJc w:val="left"/>
      <w:pPr>
        <w:ind w:left="6768" w:hanging="360"/>
      </w:pPr>
      <w:rPr>
        <w:rFonts w:hint="default"/>
        <w:lang w:val="es-ES" w:eastAsia="en-US" w:bidi="ar-SA"/>
      </w:rPr>
    </w:lvl>
    <w:lvl w:ilvl="7">
      <w:numFmt w:val="bullet"/>
      <w:lvlText w:val="•"/>
      <w:lvlJc w:val="left"/>
      <w:pPr>
        <w:ind w:left="7806" w:hanging="360"/>
      </w:pPr>
      <w:rPr>
        <w:rFonts w:hint="default"/>
        <w:lang w:val="es-ES" w:eastAsia="en-US" w:bidi="ar-SA"/>
      </w:rPr>
    </w:lvl>
    <w:lvl w:ilvl="8">
      <w:numFmt w:val="bullet"/>
      <w:lvlText w:val="•"/>
      <w:lvlJc w:val="left"/>
      <w:pPr>
        <w:ind w:left="8844" w:hanging="360"/>
      </w:pPr>
      <w:rPr>
        <w:rFonts w:hint="default"/>
        <w:lang w:val="es-ES" w:eastAsia="en-US" w:bidi="ar-SA"/>
      </w:rPr>
    </w:lvl>
  </w:abstractNum>
  <w:num w:numId="1">
    <w:abstractNumId w:val="3"/>
  </w:num>
  <w:num w:numId="2">
    <w:abstractNumId w:val="7"/>
  </w:num>
  <w:num w:numId="3">
    <w:abstractNumId w:val="6"/>
  </w:num>
  <w:num w:numId="4">
    <w:abstractNumId w:val="12"/>
  </w:num>
  <w:num w:numId="5">
    <w:abstractNumId w:val="11"/>
  </w:num>
  <w:num w:numId="6">
    <w:abstractNumId w:val="5"/>
  </w:num>
  <w:num w:numId="7">
    <w:abstractNumId w:val="1"/>
  </w:num>
  <w:num w:numId="8">
    <w:abstractNumId w:val="4"/>
  </w:num>
  <w:num w:numId="9">
    <w:abstractNumId w:val="9"/>
  </w:num>
  <w:num w:numId="10">
    <w:abstractNumId w:val="8"/>
  </w:num>
  <w:num w:numId="11">
    <w:abstractNumId w:val="15"/>
  </w:num>
  <w:num w:numId="12">
    <w:abstractNumId w:val="10"/>
  </w:num>
  <w:num w:numId="13">
    <w:abstractNumId w:val="0"/>
  </w:num>
  <w:num w:numId="14">
    <w:abstractNumId w:val="14"/>
  </w:num>
  <w:num w:numId="15">
    <w:abstractNumId w:val="13"/>
  </w:num>
  <w:num w:numId="16">
    <w:abstractNumId w:val="2"/>
    <w:lvlOverride w:ilvl="0">
      <w:lvl w:ilvl="0">
        <w:numFmt w:val="lowerLetter"/>
        <w:lvlText w:val="%1."/>
        <w:lvlJc w:val="left"/>
      </w:lvl>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B5"/>
    <w:rsid w:val="0004412B"/>
    <w:rsid w:val="00076C9D"/>
    <w:rsid w:val="00097931"/>
    <w:rsid w:val="000C6A42"/>
    <w:rsid w:val="000D1322"/>
    <w:rsid w:val="000D4077"/>
    <w:rsid w:val="00101268"/>
    <w:rsid w:val="00117754"/>
    <w:rsid w:val="00121196"/>
    <w:rsid w:val="00125890"/>
    <w:rsid w:val="00143E72"/>
    <w:rsid w:val="00147519"/>
    <w:rsid w:val="00182F1C"/>
    <w:rsid w:val="001A1C3F"/>
    <w:rsid w:val="001B4A78"/>
    <w:rsid w:val="00244852"/>
    <w:rsid w:val="00263CD7"/>
    <w:rsid w:val="00265768"/>
    <w:rsid w:val="003212AA"/>
    <w:rsid w:val="0035418C"/>
    <w:rsid w:val="00363513"/>
    <w:rsid w:val="00382E46"/>
    <w:rsid w:val="003E3B65"/>
    <w:rsid w:val="004051D0"/>
    <w:rsid w:val="0045466C"/>
    <w:rsid w:val="004B2415"/>
    <w:rsid w:val="004B3796"/>
    <w:rsid w:val="005663E0"/>
    <w:rsid w:val="005A5FFF"/>
    <w:rsid w:val="005D06E5"/>
    <w:rsid w:val="005E16E7"/>
    <w:rsid w:val="005F1D08"/>
    <w:rsid w:val="006041C6"/>
    <w:rsid w:val="006424D5"/>
    <w:rsid w:val="006516C6"/>
    <w:rsid w:val="00687210"/>
    <w:rsid w:val="006C1AD4"/>
    <w:rsid w:val="006C6D42"/>
    <w:rsid w:val="006D7E49"/>
    <w:rsid w:val="00771DC0"/>
    <w:rsid w:val="007860B2"/>
    <w:rsid w:val="007B5237"/>
    <w:rsid w:val="007F5A78"/>
    <w:rsid w:val="008104EC"/>
    <w:rsid w:val="00826782"/>
    <w:rsid w:val="00843800"/>
    <w:rsid w:val="00847968"/>
    <w:rsid w:val="00854430"/>
    <w:rsid w:val="0087620B"/>
    <w:rsid w:val="00893D9C"/>
    <w:rsid w:val="008E14D5"/>
    <w:rsid w:val="008F63F2"/>
    <w:rsid w:val="009338B5"/>
    <w:rsid w:val="00940CD8"/>
    <w:rsid w:val="00960B1A"/>
    <w:rsid w:val="009824FA"/>
    <w:rsid w:val="00992852"/>
    <w:rsid w:val="009A2163"/>
    <w:rsid w:val="009A351A"/>
    <w:rsid w:val="009D4781"/>
    <w:rsid w:val="00A06D68"/>
    <w:rsid w:val="00A27719"/>
    <w:rsid w:val="00A5459E"/>
    <w:rsid w:val="00A70F3C"/>
    <w:rsid w:val="00AD339B"/>
    <w:rsid w:val="00B41CB7"/>
    <w:rsid w:val="00B7030C"/>
    <w:rsid w:val="00B7539B"/>
    <w:rsid w:val="00CC2A8B"/>
    <w:rsid w:val="00CC2B3B"/>
    <w:rsid w:val="00CF1000"/>
    <w:rsid w:val="00D105C1"/>
    <w:rsid w:val="00D10633"/>
    <w:rsid w:val="00D56470"/>
    <w:rsid w:val="00DE360B"/>
    <w:rsid w:val="00E0628C"/>
    <w:rsid w:val="00E538A4"/>
    <w:rsid w:val="00E57132"/>
    <w:rsid w:val="00EB2447"/>
    <w:rsid w:val="00EB5E99"/>
    <w:rsid w:val="00F231DC"/>
    <w:rsid w:val="00F302EA"/>
    <w:rsid w:val="00F71A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8BB7"/>
  <w15:docId w15:val="{D5A2C9A5-E988-4A10-A30F-51F0A656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6C1AD4"/>
    <w:pPr>
      <w:widowControl w:val="0"/>
      <w:autoSpaceDE w:val="0"/>
      <w:autoSpaceDN w:val="0"/>
      <w:spacing w:after="0" w:line="240" w:lineRule="auto"/>
    </w:pPr>
    <w:rPr>
      <w:rFonts w:ascii="Arial" w:eastAsia="Arial" w:hAnsi="Arial" w:cs="Arial"/>
      <w:sz w:val="16"/>
      <w:szCs w:val="16"/>
      <w:lang w:val="es-ES" w:eastAsia="en-US"/>
    </w:rPr>
  </w:style>
  <w:style w:type="character" w:customStyle="1" w:styleId="TextoindependienteCar">
    <w:name w:val="Texto independiente Car"/>
    <w:basedOn w:val="Fuentedeprrafopredeter"/>
    <w:link w:val="Textoindependiente"/>
    <w:uiPriority w:val="1"/>
    <w:rsid w:val="006C1AD4"/>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6670">
      <w:bodyDiv w:val="1"/>
      <w:marLeft w:val="0"/>
      <w:marRight w:val="0"/>
      <w:marTop w:val="0"/>
      <w:marBottom w:val="0"/>
      <w:divBdr>
        <w:top w:val="none" w:sz="0" w:space="0" w:color="auto"/>
        <w:left w:val="none" w:sz="0" w:space="0" w:color="auto"/>
        <w:bottom w:val="none" w:sz="0" w:space="0" w:color="auto"/>
        <w:right w:val="none" w:sz="0" w:space="0" w:color="auto"/>
      </w:divBdr>
    </w:div>
    <w:div w:id="146629291">
      <w:bodyDiv w:val="1"/>
      <w:marLeft w:val="0"/>
      <w:marRight w:val="0"/>
      <w:marTop w:val="0"/>
      <w:marBottom w:val="0"/>
      <w:divBdr>
        <w:top w:val="none" w:sz="0" w:space="0" w:color="auto"/>
        <w:left w:val="none" w:sz="0" w:space="0" w:color="auto"/>
        <w:bottom w:val="none" w:sz="0" w:space="0" w:color="auto"/>
        <w:right w:val="none" w:sz="0" w:space="0" w:color="auto"/>
      </w:divBdr>
    </w:div>
    <w:div w:id="403260468">
      <w:bodyDiv w:val="1"/>
      <w:marLeft w:val="0"/>
      <w:marRight w:val="0"/>
      <w:marTop w:val="0"/>
      <w:marBottom w:val="0"/>
      <w:divBdr>
        <w:top w:val="none" w:sz="0" w:space="0" w:color="auto"/>
        <w:left w:val="none" w:sz="0" w:space="0" w:color="auto"/>
        <w:bottom w:val="none" w:sz="0" w:space="0" w:color="auto"/>
        <w:right w:val="none" w:sz="0" w:space="0" w:color="auto"/>
      </w:divBdr>
    </w:div>
    <w:div w:id="578295718">
      <w:bodyDiv w:val="1"/>
      <w:marLeft w:val="0"/>
      <w:marRight w:val="0"/>
      <w:marTop w:val="0"/>
      <w:marBottom w:val="0"/>
      <w:divBdr>
        <w:top w:val="none" w:sz="0" w:space="0" w:color="auto"/>
        <w:left w:val="none" w:sz="0" w:space="0" w:color="auto"/>
        <w:bottom w:val="none" w:sz="0" w:space="0" w:color="auto"/>
        <w:right w:val="none" w:sz="0" w:space="0" w:color="auto"/>
      </w:divBdr>
    </w:div>
    <w:div w:id="632563563">
      <w:bodyDiv w:val="1"/>
      <w:marLeft w:val="0"/>
      <w:marRight w:val="0"/>
      <w:marTop w:val="0"/>
      <w:marBottom w:val="0"/>
      <w:divBdr>
        <w:top w:val="none" w:sz="0" w:space="0" w:color="auto"/>
        <w:left w:val="none" w:sz="0" w:space="0" w:color="auto"/>
        <w:bottom w:val="none" w:sz="0" w:space="0" w:color="auto"/>
        <w:right w:val="none" w:sz="0" w:space="0" w:color="auto"/>
      </w:divBdr>
    </w:div>
    <w:div w:id="676930448">
      <w:bodyDiv w:val="1"/>
      <w:marLeft w:val="0"/>
      <w:marRight w:val="0"/>
      <w:marTop w:val="0"/>
      <w:marBottom w:val="0"/>
      <w:divBdr>
        <w:top w:val="none" w:sz="0" w:space="0" w:color="auto"/>
        <w:left w:val="none" w:sz="0" w:space="0" w:color="auto"/>
        <w:bottom w:val="none" w:sz="0" w:space="0" w:color="auto"/>
        <w:right w:val="none" w:sz="0" w:space="0" w:color="auto"/>
      </w:divBdr>
    </w:div>
    <w:div w:id="683938052">
      <w:bodyDiv w:val="1"/>
      <w:marLeft w:val="0"/>
      <w:marRight w:val="0"/>
      <w:marTop w:val="0"/>
      <w:marBottom w:val="0"/>
      <w:divBdr>
        <w:top w:val="none" w:sz="0" w:space="0" w:color="auto"/>
        <w:left w:val="none" w:sz="0" w:space="0" w:color="auto"/>
        <w:bottom w:val="none" w:sz="0" w:space="0" w:color="auto"/>
        <w:right w:val="none" w:sz="0" w:space="0" w:color="auto"/>
      </w:divBdr>
    </w:div>
    <w:div w:id="700671397">
      <w:bodyDiv w:val="1"/>
      <w:marLeft w:val="0"/>
      <w:marRight w:val="0"/>
      <w:marTop w:val="0"/>
      <w:marBottom w:val="0"/>
      <w:divBdr>
        <w:top w:val="none" w:sz="0" w:space="0" w:color="auto"/>
        <w:left w:val="none" w:sz="0" w:space="0" w:color="auto"/>
        <w:bottom w:val="none" w:sz="0" w:space="0" w:color="auto"/>
        <w:right w:val="none" w:sz="0" w:space="0" w:color="auto"/>
      </w:divBdr>
    </w:div>
    <w:div w:id="764301545">
      <w:bodyDiv w:val="1"/>
      <w:marLeft w:val="0"/>
      <w:marRight w:val="0"/>
      <w:marTop w:val="0"/>
      <w:marBottom w:val="0"/>
      <w:divBdr>
        <w:top w:val="none" w:sz="0" w:space="0" w:color="auto"/>
        <w:left w:val="none" w:sz="0" w:space="0" w:color="auto"/>
        <w:bottom w:val="none" w:sz="0" w:space="0" w:color="auto"/>
        <w:right w:val="none" w:sz="0" w:space="0" w:color="auto"/>
      </w:divBdr>
    </w:div>
    <w:div w:id="792674451">
      <w:bodyDiv w:val="1"/>
      <w:marLeft w:val="0"/>
      <w:marRight w:val="0"/>
      <w:marTop w:val="0"/>
      <w:marBottom w:val="0"/>
      <w:divBdr>
        <w:top w:val="none" w:sz="0" w:space="0" w:color="auto"/>
        <w:left w:val="none" w:sz="0" w:space="0" w:color="auto"/>
        <w:bottom w:val="none" w:sz="0" w:space="0" w:color="auto"/>
        <w:right w:val="none" w:sz="0" w:space="0" w:color="auto"/>
      </w:divBdr>
    </w:div>
    <w:div w:id="838815919">
      <w:bodyDiv w:val="1"/>
      <w:marLeft w:val="0"/>
      <w:marRight w:val="0"/>
      <w:marTop w:val="0"/>
      <w:marBottom w:val="0"/>
      <w:divBdr>
        <w:top w:val="none" w:sz="0" w:space="0" w:color="auto"/>
        <w:left w:val="none" w:sz="0" w:space="0" w:color="auto"/>
        <w:bottom w:val="none" w:sz="0" w:space="0" w:color="auto"/>
        <w:right w:val="none" w:sz="0" w:space="0" w:color="auto"/>
      </w:divBdr>
    </w:div>
    <w:div w:id="914363394">
      <w:bodyDiv w:val="1"/>
      <w:marLeft w:val="0"/>
      <w:marRight w:val="0"/>
      <w:marTop w:val="0"/>
      <w:marBottom w:val="0"/>
      <w:divBdr>
        <w:top w:val="none" w:sz="0" w:space="0" w:color="auto"/>
        <w:left w:val="none" w:sz="0" w:space="0" w:color="auto"/>
        <w:bottom w:val="none" w:sz="0" w:space="0" w:color="auto"/>
        <w:right w:val="none" w:sz="0" w:space="0" w:color="auto"/>
      </w:divBdr>
    </w:div>
    <w:div w:id="916012991">
      <w:bodyDiv w:val="1"/>
      <w:marLeft w:val="0"/>
      <w:marRight w:val="0"/>
      <w:marTop w:val="0"/>
      <w:marBottom w:val="0"/>
      <w:divBdr>
        <w:top w:val="none" w:sz="0" w:space="0" w:color="auto"/>
        <w:left w:val="none" w:sz="0" w:space="0" w:color="auto"/>
        <w:bottom w:val="none" w:sz="0" w:space="0" w:color="auto"/>
        <w:right w:val="none" w:sz="0" w:space="0" w:color="auto"/>
      </w:divBdr>
    </w:div>
    <w:div w:id="1382482699">
      <w:bodyDiv w:val="1"/>
      <w:marLeft w:val="0"/>
      <w:marRight w:val="0"/>
      <w:marTop w:val="0"/>
      <w:marBottom w:val="0"/>
      <w:divBdr>
        <w:top w:val="none" w:sz="0" w:space="0" w:color="auto"/>
        <w:left w:val="none" w:sz="0" w:space="0" w:color="auto"/>
        <w:bottom w:val="none" w:sz="0" w:space="0" w:color="auto"/>
        <w:right w:val="none" w:sz="0" w:space="0" w:color="auto"/>
      </w:divBdr>
    </w:div>
    <w:div w:id="1406027273">
      <w:bodyDiv w:val="1"/>
      <w:marLeft w:val="0"/>
      <w:marRight w:val="0"/>
      <w:marTop w:val="0"/>
      <w:marBottom w:val="0"/>
      <w:divBdr>
        <w:top w:val="none" w:sz="0" w:space="0" w:color="auto"/>
        <w:left w:val="none" w:sz="0" w:space="0" w:color="auto"/>
        <w:bottom w:val="none" w:sz="0" w:space="0" w:color="auto"/>
        <w:right w:val="none" w:sz="0" w:space="0" w:color="auto"/>
      </w:divBdr>
    </w:div>
    <w:div w:id="1523930582">
      <w:bodyDiv w:val="1"/>
      <w:marLeft w:val="0"/>
      <w:marRight w:val="0"/>
      <w:marTop w:val="0"/>
      <w:marBottom w:val="0"/>
      <w:divBdr>
        <w:top w:val="none" w:sz="0" w:space="0" w:color="auto"/>
        <w:left w:val="none" w:sz="0" w:space="0" w:color="auto"/>
        <w:bottom w:val="none" w:sz="0" w:space="0" w:color="auto"/>
        <w:right w:val="none" w:sz="0" w:space="0" w:color="auto"/>
      </w:divBdr>
    </w:div>
    <w:div w:id="1527059830">
      <w:bodyDiv w:val="1"/>
      <w:marLeft w:val="0"/>
      <w:marRight w:val="0"/>
      <w:marTop w:val="0"/>
      <w:marBottom w:val="0"/>
      <w:divBdr>
        <w:top w:val="none" w:sz="0" w:space="0" w:color="auto"/>
        <w:left w:val="none" w:sz="0" w:space="0" w:color="auto"/>
        <w:bottom w:val="none" w:sz="0" w:space="0" w:color="auto"/>
        <w:right w:val="none" w:sz="0" w:space="0" w:color="auto"/>
      </w:divBdr>
    </w:div>
    <w:div w:id="1741713049">
      <w:bodyDiv w:val="1"/>
      <w:marLeft w:val="0"/>
      <w:marRight w:val="0"/>
      <w:marTop w:val="0"/>
      <w:marBottom w:val="0"/>
      <w:divBdr>
        <w:top w:val="none" w:sz="0" w:space="0" w:color="auto"/>
        <w:left w:val="none" w:sz="0" w:space="0" w:color="auto"/>
        <w:bottom w:val="none" w:sz="0" w:space="0" w:color="auto"/>
        <w:right w:val="none" w:sz="0" w:space="0" w:color="auto"/>
      </w:divBdr>
    </w:div>
    <w:div w:id="1776250587">
      <w:bodyDiv w:val="1"/>
      <w:marLeft w:val="0"/>
      <w:marRight w:val="0"/>
      <w:marTop w:val="0"/>
      <w:marBottom w:val="0"/>
      <w:divBdr>
        <w:top w:val="none" w:sz="0" w:space="0" w:color="auto"/>
        <w:left w:val="none" w:sz="0" w:space="0" w:color="auto"/>
        <w:bottom w:val="none" w:sz="0" w:space="0" w:color="auto"/>
        <w:right w:val="none" w:sz="0" w:space="0" w:color="auto"/>
      </w:divBdr>
    </w:div>
    <w:div w:id="1886210095">
      <w:bodyDiv w:val="1"/>
      <w:marLeft w:val="0"/>
      <w:marRight w:val="0"/>
      <w:marTop w:val="0"/>
      <w:marBottom w:val="0"/>
      <w:divBdr>
        <w:top w:val="none" w:sz="0" w:space="0" w:color="auto"/>
        <w:left w:val="none" w:sz="0" w:space="0" w:color="auto"/>
        <w:bottom w:val="none" w:sz="0" w:space="0" w:color="auto"/>
        <w:right w:val="none" w:sz="0" w:space="0" w:color="auto"/>
      </w:divBdr>
    </w:div>
    <w:div w:id="1929996974">
      <w:bodyDiv w:val="1"/>
      <w:marLeft w:val="0"/>
      <w:marRight w:val="0"/>
      <w:marTop w:val="0"/>
      <w:marBottom w:val="0"/>
      <w:divBdr>
        <w:top w:val="none" w:sz="0" w:space="0" w:color="auto"/>
        <w:left w:val="none" w:sz="0" w:space="0" w:color="auto"/>
        <w:bottom w:val="none" w:sz="0" w:space="0" w:color="auto"/>
        <w:right w:val="none" w:sz="0" w:space="0" w:color="auto"/>
      </w:divBdr>
    </w:div>
    <w:div w:id="198665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J17nQ1ZZtb5wc15PFi/Us2Q==">CgMxLjAyCWguMzBqMHpsbDIIaC5namRneHMyCWguMXQzaDVzZjIJaC4xZm9iOXRlOAByITFVQk02RWFrSGthYXpuR0wtcmx1U2tjaWxFcWdzSGNXMQ==</go:docsCustomData>
</go:gDocsCustomXmlDataStorage>
</file>

<file path=customXml/itemProps1.xml><?xml version="1.0" encoding="utf-8"?>
<ds:datastoreItem xmlns:ds="http://schemas.openxmlformats.org/officeDocument/2006/customXml" ds:itemID="{7C4EBBE8-25F8-446A-A33D-58FC5DC48A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7538</Words>
  <Characters>41462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2025-08-15T20:17:00Z</cp:lastPrinted>
  <dcterms:created xsi:type="dcterms:W3CDTF">2025-09-04T21:05:00Z</dcterms:created>
  <dcterms:modified xsi:type="dcterms:W3CDTF">2025-09-04T21:05:00Z</dcterms:modified>
</cp:coreProperties>
</file>