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5FF62"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bookmarkStart w:id="0" w:name="_heading=h.3rdcrjn" w:colFirst="0" w:colLast="0"/>
      <w:bookmarkEnd w:id="0"/>
      <w:r w:rsidRPr="00007EB6">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67335F3D" w14:textId="77777777" w:rsidR="00333603" w:rsidRPr="00007EB6" w:rsidRDefault="00136575">
      <w:pPr>
        <w:tabs>
          <w:tab w:val="left" w:pos="5812"/>
        </w:tabs>
        <w:spacing w:before="240" w:after="240" w:line="360" w:lineRule="auto"/>
        <w:jc w:val="both"/>
        <w:rPr>
          <w:rFonts w:ascii="Palatino Linotype" w:eastAsia="Palatino Linotype" w:hAnsi="Palatino Linotype" w:cs="Palatino Linotype"/>
          <w:sz w:val="22"/>
          <w:szCs w:val="22"/>
        </w:rPr>
      </w:pPr>
      <w:bookmarkStart w:id="1" w:name="_heading=h.daj3j2xo6q66" w:colFirst="0" w:colLast="0"/>
      <w:bookmarkEnd w:id="1"/>
      <w:r w:rsidRPr="00007EB6">
        <w:rPr>
          <w:rFonts w:ascii="Palatino Linotype" w:eastAsia="Palatino Linotype" w:hAnsi="Palatino Linotype" w:cs="Palatino Linotype"/>
          <w:b/>
          <w:sz w:val="22"/>
          <w:szCs w:val="22"/>
        </w:rPr>
        <w:t>VISTO</w:t>
      </w:r>
      <w:r w:rsidRPr="00007EB6">
        <w:rPr>
          <w:rFonts w:ascii="Palatino Linotype" w:eastAsia="Palatino Linotype" w:hAnsi="Palatino Linotype" w:cs="Palatino Linotype"/>
          <w:sz w:val="22"/>
          <w:szCs w:val="22"/>
        </w:rPr>
        <w:t xml:space="preserve"> el expediente formado con motivo del recurso de revisión </w:t>
      </w:r>
      <w:r w:rsidRPr="00007EB6">
        <w:rPr>
          <w:rFonts w:ascii="Palatino Linotype" w:eastAsia="Palatino Linotype" w:hAnsi="Palatino Linotype" w:cs="Palatino Linotype"/>
          <w:b/>
          <w:sz w:val="22"/>
          <w:szCs w:val="22"/>
        </w:rPr>
        <w:t>07809/INFOEM/IP/RR/2025</w:t>
      </w:r>
      <w:r w:rsidRPr="00007EB6">
        <w:rPr>
          <w:rFonts w:ascii="Palatino Linotype" w:eastAsia="Palatino Linotype" w:hAnsi="Palatino Linotype" w:cs="Palatino Linotype"/>
          <w:sz w:val="22"/>
          <w:szCs w:val="22"/>
        </w:rPr>
        <w:t>, interpuesto</w:t>
      </w:r>
      <w:r w:rsidRPr="00007EB6">
        <w:t xml:space="preserve"> por </w:t>
      </w:r>
      <w:r w:rsidRPr="00007EB6">
        <w:rPr>
          <w:rFonts w:ascii="Palatino Linotype" w:eastAsia="Palatino Linotype" w:hAnsi="Palatino Linotype" w:cs="Palatino Linotype"/>
          <w:b/>
          <w:sz w:val="22"/>
          <w:szCs w:val="22"/>
        </w:rPr>
        <w:t>una persona usuaria del Sistema de Acceso a la Información Mexiquense que no proporcionó nombre,</w:t>
      </w:r>
      <w:r w:rsidRPr="00007EB6">
        <w:rPr>
          <w:rFonts w:ascii="Palatino Linotype" w:eastAsia="Palatino Linotype" w:hAnsi="Palatino Linotype" w:cs="Palatino Linotype"/>
          <w:sz w:val="22"/>
          <w:szCs w:val="22"/>
        </w:rPr>
        <w:t xml:space="preserve"> en lo sucesivo</w:t>
      </w:r>
      <w:r w:rsidRPr="00007EB6">
        <w:rPr>
          <w:rFonts w:ascii="Palatino Linotype" w:eastAsia="Palatino Linotype" w:hAnsi="Palatino Linotype" w:cs="Palatino Linotype"/>
          <w:b/>
          <w:sz w:val="22"/>
          <w:szCs w:val="22"/>
        </w:rPr>
        <w:t xml:space="preserve"> </w:t>
      </w:r>
      <w:r w:rsidRPr="00007EB6">
        <w:rPr>
          <w:rFonts w:ascii="Palatino Linotype" w:eastAsia="Palatino Linotype" w:hAnsi="Palatino Linotype" w:cs="Palatino Linotype"/>
          <w:sz w:val="22"/>
          <w:szCs w:val="22"/>
        </w:rPr>
        <w:t xml:space="preserve">la parte </w:t>
      </w:r>
      <w:r w:rsidRPr="00007EB6">
        <w:rPr>
          <w:rFonts w:ascii="Palatino Linotype" w:eastAsia="Palatino Linotype" w:hAnsi="Palatino Linotype" w:cs="Palatino Linotype"/>
          <w:b/>
          <w:sz w:val="22"/>
          <w:szCs w:val="22"/>
        </w:rPr>
        <w:t>Recurrente,</w:t>
      </w:r>
      <w:r w:rsidRPr="00007EB6">
        <w:rPr>
          <w:rFonts w:ascii="Palatino Linotype" w:eastAsia="Palatino Linotype" w:hAnsi="Palatino Linotype" w:cs="Palatino Linotype"/>
          <w:sz w:val="22"/>
          <w:szCs w:val="22"/>
        </w:rPr>
        <w:t xml:space="preserve"> en contra de la respuesta a la solicitud de información con número de folio</w:t>
      </w:r>
      <w:r w:rsidRPr="00007EB6">
        <w:t xml:space="preserve"> </w:t>
      </w:r>
      <w:r w:rsidRPr="00007EB6">
        <w:rPr>
          <w:rFonts w:ascii="Palatino Linotype" w:eastAsia="Palatino Linotype" w:hAnsi="Palatino Linotype" w:cs="Palatino Linotype"/>
          <w:b/>
          <w:sz w:val="22"/>
          <w:szCs w:val="22"/>
        </w:rPr>
        <w:t xml:space="preserve">00867/TEOLOYU/IP/2025, </w:t>
      </w:r>
      <w:r w:rsidRPr="00007EB6">
        <w:rPr>
          <w:rFonts w:ascii="Palatino Linotype" w:eastAsia="Palatino Linotype" w:hAnsi="Palatino Linotype" w:cs="Palatino Linotype"/>
          <w:sz w:val="22"/>
          <w:szCs w:val="22"/>
        </w:rPr>
        <w:t xml:space="preserve">por parte del </w:t>
      </w:r>
      <w:r w:rsidRPr="00007EB6">
        <w:rPr>
          <w:rFonts w:ascii="Palatino Linotype" w:eastAsia="Palatino Linotype" w:hAnsi="Palatino Linotype" w:cs="Palatino Linotype"/>
          <w:b/>
          <w:sz w:val="22"/>
          <w:szCs w:val="22"/>
        </w:rPr>
        <w:t xml:space="preserve">Ayuntamiento de Teoloyucan, </w:t>
      </w:r>
      <w:r w:rsidRPr="00007EB6">
        <w:rPr>
          <w:rFonts w:ascii="Palatino Linotype" w:eastAsia="Palatino Linotype" w:hAnsi="Palatino Linotype" w:cs="Palatino Linotype"/>
          <w:sz w:val="22"/>
          <w:szCs w:val="22"/>
        </w:rPr>
        <w:t xml:space="preserve">en lo sucesivo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 xml:space="preserve">se procede a dictar la presente resolución con base en los siguientes: </w:t>
      </w:r>
    </w:p>
    <w:p w14:paraId="38D9A51E" w14:textId="77777777" w:rsidR="00333603" w:rsidRPr="00007EB6" w:rsidRDefault="00136575">
      <w:pPr>
        <w:spacing w:before="240" w:after="240" w:line="360" w:lineRule="auto"/>
        <w:jc w:val="center"/>
        <w:rPr>
          <w:rFonts w:ascii="Palatino Linotype" w:eastAsia="Palatino Linotype" w:hAnsi="Palatino Linotype" w:cs="Palatino Linotype"/>
          <w:b/>
          <w:sz w:val="22"/>
          <w:szCs w:val="22"/>
        </w:rPr>
      </w:pPr>
      <w:r w:rsidRPr="00007EB6">
        <w:rPr>
          <w:rFonts w:ascii="Palatino Linotype" w:eastAsia="Palatino Linotype" w:hAnsi="Palatino Linotype" w:cs="Palatino Linotype"/>
          <w:b/>
          <w:sz w:val="22"/>
          <w:szCs w:val="22"/>
        </w:rPr>
        <w:t>I. A N T E C E D E N T E S</w:t>
      </w:r>
    </w:p>
    <w:p w14:paraId="10A03057"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bookmarkStart w:id="2" w:name="_heading=h.gjdgxs" w:colFirst="0" w:colLast="0"/>
      <w:bookmarkEnd w:id="2"/>
      <w:r w:rsidRPr="00007EB6">
        <w:rPr>
          <w:rFonts w:ascii="Palatino Linotype" w:eastAsia="Palatino Linotype" w:hAnsi="Palatino Linotype" w:cs="Palatino Linotype"/>
          <w:b/>
          <w:sz w:val="22"/>
          <w:szCs w:val="22"/>
        </w:rPr>
        <w:t>1. Solicitud de acceso a la información.</w:t>
      </w:r>
      <w:r w:rsidRPr="00007EB6">
        <w:rPr>
          <w:rFonts w:ascii="Palatino Linotype" w:eastAsia="Palatino Linotype" w:hAnsi="Palatino Linotype" w:cs="Palatino Linotype"/>
          <w:sz w:val="22"/>
          <w:szCs w:val="22"/>
        </w:rPr>
        <w:t xml:space="preserve"> El </w:t>
      </w:r>
      <w:r w:rsidRPr="00007EB6">
        <w:rPr>
          <w:rFonts w:ascii="Palatino Linotype" w:eastAsia="Palatino Linotype" w:hAnsi="Palatino Linotype" w:cs="Palatino Linotype"/>
          <w:b/>
          <w:sz w:val="22"/>
          <w:szCs w:val="22"/>
        </w:rPr>
        <w:t>siete de junio de dos mil veinticinco,</w:t>
      </w:r>
      <w:r w:rsidRPr="00007EB6">
        <w:rPr>
          <w:rFonts w:ascii="Palatino Linotype" w:eastAsia="Palatino Linotype" w:hAnsi="Palatino Linotype" w:cs="Palatino Linotype"/>
          <w:sz w:val="22"/>
          <w:szCs w:val="22"/>
        </w:rPr>
        <w:t xml:space="preserve"> la parte </w:t>
      </w:r>
      <w:r w:rsidRPr="00007EB6">
        <w:rPr>
          <w:rFonts w:ascii="Palatino Linotype" w:eastAsia="Palatino Linotype" w:hAnsi="Palatino Linotype" w:cs="Palatino Linotype"/>
          <w:b/>
          <w:sz w:val="22"/>
          <w:szCs w:val="22"/>
        </w:rPr>
        <w:t xml:space="preserve">Recurrente </w:t>
      </w:r>
      <w:r w:rsidRPr="00007EB6">
        <w:rPr>
          <w:rFonts w:ascii="Palatino Linotype" w:eastAsia="Palatino Linotype" w:hAnsi="Palatino Linotype" w:cs="Palatino Linotype"/>
          <w:sz w:val="22"/>
          <w:szCs w:val="22"/>
        </w:rPr>
        <w:t xml:space="preserve">presentó la solicitud de acceso a la información pública ante el </w:t>
      </w:r>
      <w:r w:rsidRPr="00007EB6">
        <w:rPr>
          <w:rFonts w:ascii="Palatino Linotype" w:eastAsia="Palatino Linotype" w:hAnsi="Palatino Linotype" w:cs="Palatino Linotype"/>
          <w:b/>
          <w:sz w:val="22"/>
          <w:szCs w:val="22"/>
        </w:rPr>
        <w:t>Sujeto Obligado</w:t>
      </w:r>
      <w:r w:rsidRPr="00007EB6">
        <w:rPr>
          <w:rFonts w:ascii="Palatino Linotype" w:eastAsia="Palatino Linotype" w:hAnsi="Palatino Linotype" w:cs="Palatino Linotype"/>
          <w:sz w:val="22"/>
          <w:szCs w:val="22"/>
        </w:rPr>
        <w:t xml:space="preserve">, a través del Sistema de Acceso a la Información Mexiquense, en lo subsecuente el </w:t>
      </w:r>
      <w:r w:rsidRPr="00007EB6">
        <w:rPr>
          <w:rFonts w:ascii="Palatino Linotype" w:eastAsia="Palatino Linotype" w:hAnsi="Palatino Linotype" w:cs="Palatino Linotype"/>
          <w:b/>
          <w:sz w:val="22"/>
          <w:szCs w:val="22"/>
        </w:rPr>
        <w:t xml:space="preserve">SAIMEX; </w:t>
      </w:r>
      <w:r w:rsidRPr="00007EB6">
        <w:rPr>
          <w:rFonts w:ascii="Palatino Linotype" w:eastAsia="Palatino Linotype" w:hAnsi="Palatino Linotype" w:cs="Palatino Linotype"/>
          <w:sz w:val="22"/>
          <w:szCs w:val="22"/>
        </w:rPr>
        <w:t xml:space="preserve">no obstante por corresponder a un día inhábil la misma se tuvo por presentada el </w:t>
      </w:r>
      <w:r w:rsidRPr="00007EB6">
        <w:rPr>
          <w:rFonts w:ascii="Palatino Linotype" w:eastAsia="Palatino Linotype" w:hAnsi="Palatino Linotype" w:cs="Palatino Linotype"/>
          <w:b/>
          <w:sz w:val="22"/>
          <w:szCs w:val="22"/>
        </w:rPr>
        <w:t xml:space="preserve">nueve de junio de dos mil veinticinco, </w:t>
      </w:r>
      <w:r w:rsidRPr="00007EB6">
        <w:rPr>
          <w:rFonts w:ascii="Palatino Linotype" w:eastAsia="Palatino Linotype" w:hAnsi="Palatino Linotype" w:cs="Palatino Linotype"/>
          <w:sz w:val="22"/>
          <w:szCs w:val="22"/>
        </w:rPr>
        <w:t xml:space="preserve"> mediante la cual requirió lo siguiente:</w:t>
      </w:r>
    </w:p>
    <w:p w14:paraId="6C6B352C" w14:textId="77777777" w:rsidR="00333603" w:rsidRPr="00007EB6" w:rsidRDefault="00136575">
      <w:pPr>
        <w:tabs>
          <w:tab w:val="left" w:pos="4678"/>
        </w:tabs>
        <w:spacing w:before="120" w:after="120"/>
        <w:ind w:left="851" w:right="902"/>
        <w:jc w:val="both"/>
        <w:rPr>
          <w:rFonts w:ascii="Palatino Linotype" w:eastAsia="Palatino Linotype" w:hAnsi="Palatino Linotype" w:cs="Palatino Linotype"/>
          <w:b/>
          <w:i/>
          <w:sz w:val="22"/>
          <w:szCs w:val="22"/>
        </w:rPr>
      </w:pPr>
      <w:r w:rsidRPr="00007EB6">
        <w:rPr>
          <w:rFonts w:ascii="Palatino Linotype" w:eastAsia="Palatino Linotype" w:hAnsi="Palatino Linotype" w:cs="Palatino Linotype"/>
          <w:i/>
          <w:sz w:val="22"/>
          <w:szCs w:val="22"/>
        </w:rPr>
        <w:t xml:space="preserve"> “Requiero la lista de todos los bienes muebles e inmuebles que tiene el ayuntamiento al día de hoy.</w:t>
      </w:r>
      <w:r w:rsidRPr="00007EB6">
        <w:rPr>
          <w:rFonts w:ascii="Palatino Linotype" w:eastAsia="Palatino Linotype" w:hAnsi="Palatino Linotype" w:cs="Palatino Linotype"/>
          <w:b/>
          <w:i/>
          <w:sz w:val="22"/>
          <w:szCs w:val="22"/>
        </w:rPr>
        <w:t>”</w:t>
      </w:r>
      <w:r w:rsidRPr="00007EB6">
        <w:rPr>
          <w:rFonts w:ascii="Palatino Linotype" w:eastAsia="Palatino Linotype" w:hAnsi="Palatino Linotype" w:cs="Palatino Linotype"/>
          <w:i/>
          <w:sz w:val="22"/>
          <w:szCs w:val="22"/>
        </w:rPr>
        <w:t xml:space="preserve"> (sic) </w:t>
      </w:r>
    </w:p>
    <w:p w14:paraId="67E3C255"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bookmarkStart w:id="3" w:name="_heading=h.3dy6vkm" w:colFirst="0" w:colLast="0"/>
      <w:bookmarkEnd w:id="3"/>
      <w:r w:rsidRPr="00007EB6">
        <w:rPr>
          <w:rFonts w:ascii="Palatino Linotype" w:eastAsia="Palatino Linotype" w:hAnsi="Palatino Linotype" w:cs="Palatino Linotype"/>
          <w:b/>
          <w:sz w:val="22"/>
          <w:szCs w:val="22"/>
        </w:rPr>
        <w:t>Modalidad de Entrega:</w:t>
      </w:r>
      <w:r w:rsidRPr="00007EB6">
        <w:rPr>
          <w:rFonts w:ascii="Palatino Linotype" w:eastAsia="Palatino Linotype" w:hAnsi="Palatino Linotype" w:cs="Palatino Linotype"/>
          <w:sz w:val="22"/>
          <w:szCs w:val="22"/>
        </w:rPr>
        <w:t xml:space="preserve"> a través del</w:t>
      </w:r>
      <w:r w:rsidRPr="00007EB6">
        <w:rPr>
          <w:rFonts w:ascii="Palatino Linotype" w:eastAsia="Palatino Linotype" w:hAnsi="Palatino Linotype" w:cs="Palatino Linotype"/>
          <w:b/>
          <w:sz w:val="22"/>
          <w:szCs w:val="22"/>
        </w:rPr>
        <w:t xml:space="preserve"> SAIMEX.</w:t>
      </w:r>
    </w:p>
    <w:p w14:paraId="27A31FB5"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b/>
          <w:sz w:val="22"/>
          <w:szCs w:val="22"/>
        </w:rPr>
        <w:t>2.</w:t>
      </w:r>
      <w:r w:rsidRPr="00007EB6">
        <w:t xml:space="preserve"> </w:t>
      </w:r>
      <w:hyperlink r:id="rId8">
        <w:r w:rsidRPr="00007EB6">
          <w:rPr>
            <w:rFonts w:ascii="Palatino Linotype" w:eastAsia="Palatino Linotype" w:hAnsi="Palatino Linotype" w:cs="Palatino Linotype"/>
            <w:b/>
            <w:sz w:val="22"/>
            <w:szCs w:val="22"/>
          </w:rPr>
          <w:t>Respuesta</w:t>
        </w:r>
      </w:hyperlink>
      <w:r w:rsidRPr="00007EB6">
        <w:rPr>
          <w:rFonts w:ascii="Palatino Linotype" w:eastAsia="Palatino Linotype" w:hAnsi="Palatino Linotype" w:cs="Palatino Linotype"/>
          <w:b/>
          <w:sz w:val="22"/>
          <w:szCs w:val="22"/>
        </w:rPr>
        <w:t xml:space="preserve">. </w:t>
      </w:r>
      <w:r w:rsidRPr="00007EB6">
        <w:rPr>
          <w:rFonts w:ascii="Palatino Linotype" w:eastAsia="Palatino Linotype" w:hAnsi="Palatino Linotype" w:cs="Palatino Linotype"/>
          <w:sz w:val="22"/>
          <w:szCs w:val="22"/>
        </w:rPr>
        <w:t xml:space="preserve">El </w:t>
      </w:r>
      <w:r w:rsidRPr="00007EB6">
        <w:rPr>
          <w:rFonts w:ascii="Palatino Linotype" w:eastAsia="Palatino Linotype" w:hAnsi="Palatino Linotype" w:cs="Palatino Linotype"/>
          <w:b/>
          <w:sz w:val="22"/>
          <w:szCs w:val="22"/>
        </w:rPr>
        <w:t>veintitrés de junio de dos mil veinticinco,</w:t>
      </w:r>
      <w:r w:rsidRPr="00007EB6">
        <w:rPr>
          <w:rFonts w:ascii="Palatino Linotype" w:eastAsia="Palatino Linotype" w:hAnsi="Palatino Linotype" w:cs="Palatino Linotype"/>
          <w:sz w:val="22"/>
          <w:szCs w:val="22"/>
        </w:rPr>
        <w:t xml:space="preserve">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 xml:space="preserve">envió su respuesta a la solicitud de acceso a la información a través del SAIMEX, sustancialmente en los términos siguientes:   </w:t>
      </w:r>
    </w:p>
    <w:p w14:paraId="38041AA7" w14:textId="77777777" w:rsidR="00333603" w:rsidRPr="00007EB6" w:rsidRDefault="00136575">
      <w:pPr>
        <w:spacing w:before="240" w:after="24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“…Se atiende Solicitud de Información con folio 00867/TEOLOYU/IP/2025, mediante oficio SM/MSFP/0319/06-2025 y sus anexos…” (sic)</w:t>
      </w:r>
    </w:p>
    <w:p w14:paraId="107F3F7A" w14:textId="77777777" w:rsidR="00333603" w:rsidRPr="00007EB6" w:rsidRDefault="00136575">
      <w:pPr>
        <w:spacing w:before="240" w:after="240" w:line="360" w:lineRule="auto"/>
        <w:ind w:right="49"/>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lastRenderedPageBreak/>
        <w:t xml:space="preserve">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adjuntó los siguientes documentos:</w:t>
      </w:r>
    </w:p>
    <w:p w14:paraId="7CB2F7BE" w14:textId="77777777" w:rsidR="00333603" w:rsidRPr="00007EB6" w:rsidRDefault="00136575">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007EB6">
        <w:rPr>
          <w:rFonts w:ascii="Palatino Linotype" w:eastAsia="Palatino Linotype" w:hAnsi="Palatino Linotype" w:cs="Palatino Linotype"/>
          <w:b/>
          <w:i/>
          <w:sz w:val="22"/>
          <w:szCs w:val="22"/>
        </w:rPr>
        <w:t xml:space="preserve">Oficio 319.pdf: </w:t>
      </w:r>
      <w:r w:rsidRPr="00007EB6">
        <w:rPr>
          <w:rFonts w:ascii="Palatino Linotype" w:eastAsia="Palatino Linotype" w:hAnsi="Palatino Linotype" w:cs="Palatino Linotype"/>
          <w:sz w:val="22"/>
          <w:szCs w:val="22"/>
        </w:rPr>
        <w:t>Oficio del 18 de junio de 2025, a través del cual la Sindica Municipal informó que después de realizar una búsqueda exhaustiva y razonable, remite los listados de los bienes muebles e inmuebles con fecha de corte al 31 de marzo de 2025.</w:t>
      </w:r>
    </w:p>
    <w:p w14:paraId="78D73EB6" w14:textId="77777777" w:rsidR="00333603" w:rsidRPr="00007EB6" w:rsidRDefault="00136575">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007EB6">
        <w:rPr>
          <w:rFonts w:ascii="Palatino Linotype" w:eastAsia="Palatino Linotype" w:hAnsi="Palatino Linotype" w:cs="Palatino Linotype"/>
          <w:b/>
          <w:i/>
          <w:sz w:val="22"/>
          <w:szCs w:val="22"/>
        </w:rPr>
        <w:t xml:space="preserve">Anexo 2. Bienes Inmuebles (2).pdf </w:t>
      </w:r>
      <w:r w:rsidRPr="00007EB6">
        <w:rPr>
          <w:rFonts w:ascii="Palatino Linotype" w:eastAsia="Palatino Linotype" w:hAnsi="Palatino Linotype" w:cs="Palatino Linotype"/>
          <w:sz w:val="22"/>
          <w:szCs w:val="22"/>
        </w:rPr>
        <w:t xml:space="preserve">y </w:t>
      </w:r>
      <w:r w:rsidRPr="00007EB6">
        <w:rPr>
          <w:rFonts w:ascii="Palatino Linotype" w:eastAsia="Palatino Linotype" w:hAnsi="Palatino Linotype" w:cs="Palatino Linotype"/>
          <w:b/>
          <w:i/>
          <w:sz w:val="22"/>
          <w:szCs w:val="22"/>
        </w:rPr>
        <w:t xml:space="preserve">Anexo 2, oficio 319.pdf: </w:t>
      </w:r>
      <w:r w:rsidRPr="00007EB6">
        <w:rPr>
          <w:rFonts w:ascii="Palatino Linotype" w:eastAsia="Palatino Linotype" w:hAnsi="Palatino Linotype" w:cs="Palatino Linotype"/>
          <w:sz w:val="22"/>
          <w:szCs w:val="22"/>
        </w:rPr>
        <w:t>Ambos archivos contienen el Inventario de Bienes Inmuebles al 31 de marzo de 2025 del Municipio de Teoloyucan.</w:t>
      </w:r>
    </w:p>
    <w:p w14:paraId="748DD4B5" w14:textId="77777777" w:rsidR="00333603" w:rsidRPr="00007EB6" w:rsidRDefault="00136575">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r w:rsidRPr="00007EB6">
        <w:rPr>
          <w:rFonts w:ascii="Palatino Linotype" w:eastAsia="Palatino Linotype" w:hAnsi="Palatino Linotype" w:cs="Palatino Linotype"/>
          <w:b/>
          <w:i/>
          <w:sz w:val="22"/>
          <w:szCs w:val="22"/>
        </w:rPr>
        <w:t xml:space="preserve">Anexo 1. Bienes Muebles.pdf </w:t>
      </w:r>
      <w:r w:rsidRPr="00007EB6">
        <w:rPr>
          <w:rFonts w:ascii="Palatino Linotype" w:eastAsia="Palatino Linotype" w:hAnsi="Palatino Linotype" w:cs="Palatino Linotype"/>
          <w:sz w:val="22"/>
          <w:szCs w:val="22"/>
        </w:rPr>
        <w:t>y</w:t>
      </w:r>
      <w:r w:rsidRPr="00007EB6">
        <w:t xml:space="preserve"> </w:t>
      </w:r>
      <w:r w:rsidRPr="00007EB6">
        <w:rPr>
          <w:rFonts w:ascii="Palatino Linotype" w:eastAsia="Palatino Linotype" w:hAnsi="Palatino Linotype" w:cs="Palatino Linotype"/>
          <w:b/>
          <w:i/>
          <w:sz w:val="22"/>
          <w:szCs w:val="22"/>
        </w:rPr>
        <w:t>Anexo 1, oficio 319.pdf</w:t>
      </w:r>
      <w:r w:rsidRPr="00007EB6">
        <w:rPr>
          <w:rFonts w:ascii="Palatino Linotype" w:eastAsia="Palatino Linotype" w:hAnsi="Palatino Linotype" w:cs="Palatino Linotype"/>
          <w:sz w:val="22"/>
          <w:szCs w:val="22"/>
        </w:rPr>
        <w:t>:</w:t>
      </w:r>
      <w:r w:rsidRPr="00007EB6">
        <w:rPr>
          <w:rFonts w:ascii="Palatino Linotype" w:eastAsia="Palatino Linotype" w:hAnsi="Palatino Linotype" w:cs="Palatino Linotype"/>
          <w:b/>
          <w:i/>
          <w:sz w:val="22"/>
          <w:szCs w:val="22"/>
        </w:rPr>
        <w:t xml:space="preserve"> </w:t>
      </w:r>
      <w:r w:rsidRPr="00007EB6">
        <w:rPr>
          <w:rFonts w:ascii="Palatino Linotype" w:eastAsia="Palatino Linotype" w:hAnsi="Palatino Linotype" w:cs="Palatino Linotype"/>
          <w:sz w:val="22"/>
          <w:szCs w:val="22"/>
        </w:rPr>
        <w:t>Documento que contiene el Inventario de Bienes Muebles al 31 de marzo de 2025 del Municipio de Teoloyucan.</w:t>
      </w:r>
    </w:p>
    <w:p w14:paraId="0026290E" w14:textId="77777777" w:rsidR="00333603" w:rsidRPr="00007EB6" w:rsidRDefault="00136575">
      <w:pPr>
        <w:spacing w:before="240" w:after="240" w:line="360" w:lineRule="auto"/>
        <w:ind w:right="49"/>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b/>
          <w:sz w:val="22"/>
          <w:szCs w:val="22"/>
        </w:rPr>
        <w:t xml:space="preserve">3. Interposición del recurso de revisión. </w:t>
      </w:r>
      <w:r w:rsidRPr="00007EB6">
        <w:rPr>
          <w:rFonts w:ascii="Palatino Linotype" w:eastAsia="Palatino Linotype" w:hAnsi="Palatino Linotype" w:cs="Palatino Linotype"/>
          <w:sz w:val="22"/>
          <w:szCs w:val="22"/>
        </w:rPr>
        <w:t xml:space="preserve">Inconforme con los términos de la respuesta emitida por parte del </w:t>
      </w:r>
      <w:r w:rsidRPr="00007EB6">
        <w:rPr>
          <w:rFonts w:ascii="Palatino Linotype" w:eastAsia="Palatino Linotype" w:hAnsi="Palatino Linotype" w:cs="Palatino Linotype"/>
          <w:b/>
          <w:sz w:val="22"/>
          <w:szCs w:val="22"/>
        </w:rPr>
        <w:t>Sujeto Obligado</w:t>
      </w:r>
      <w:r w:rsidRPr="00007EB6">
        <w:rPr>
          <w:rFonts w:ascii="Palatino Linotype" w:eastAsia="Palatino Linotype" w:hAnsi="Palatino Linotype" w:cs="Palatino Linotype"/>
          <w:sz w:val="22"/>
          <w:szCs w:val="22"/>
        </w:rPr>
        <w:t xml:space="preserve">, el </w:t>
      </w:r>
      <w:r w:rsidRPr="00007EB6">
        <w:rPr>
          <w:rFonts w:ascii="Palatino Linotype" w:eastAsia="Palatino Linotype" w:hAnsi="Palatino Linotype" w:cs="Palatino Linotype"/>
          <w:b/>
          <w:sz w:val="22"/>
          <w:szCs w:val="22"/>
        </w:rPr>
        <w:t>veintiséis de junio de dos mil veinticinco,</w:t>
      </w:r>
      <w:r w:rsidRPr="00007EB6">
        <w:rPr>
          <w:rFonts w:ascii="Palatino Linotype" w:eastAsia="Palatino Linotype" w:hAnsi="Palatino Linotype" w:cs="Palatino Linotype"/>
          <w:sz w:val="22"/>
          <w:szCs w:val="22"/>
        </w:rPr>
        <w:t xml:space="preserve"> la parte </w:t>
      </w:r>
      <w:r w:rsidRPr="00007EB6">
        <w:rPr>
          <w:rFonts w:ascii="Palatino Linotype" w:eastAsia="Palatino Linotype" w:hAnsi="Palatino Linotype" w:cs="Palatino Linotype"/>
          <w:b/>
          <w:sz w:val="22"/>
          <w:szCs w:val="22"/>
        </w:rPr>
        <w:t>Recurrente</w:t>
      </w:r>
      <w:r w:rsidRPr="00007EB6">
        <w:rPr>
          <w:rFonts w:ascii="Palatino Linotype" w:eastAsia="Palatino Linotype" w:hAnsi="Palatino Linotype" w:cs="Palatino Linotype"/>
          <w:sz w:val="22"/>
          <w:szCs w:val="22"/>
        </w:rPr>
        <w:t xml:space="preserve"> interpuso el recurso de revisión a través de </w:t>
      </w:r>
      <w:r w:rsidRPr="00007EB6">
        <w:rPr>
          <w:rFonts w:ascii="Palatino Linotype" w:eastAsia="Palatino Linotype" w:hAnsi="Palatino Linotype" w:cs="Palatino Linotype"/>
          <w:b/>
          <w:sz w:val="22"/>
          <w:szCs w:val="22"/>
        </w:rPr>
        <w:t xml:space="preserve">SAIMEX, </w:t>
      </w:r>
      <w:r w:rsidRPr="00007EB6">
        <w:rPr>
          <w:rFonts w:ascii="Palatino Linotype" w:eastAsia="Palatino Linotype" w:hAnsi="Palatino Linotype" w:cs="Palatino Linotype"/>
          <w:sz w:val="22"/>
          <w:szCs w:val="22"/>
        </w:rPr>
        <w:t>en donde se manifestó de la siguiente manera:</w:t>
      </w:r>
    </w:p>
    <w:p w14:paraId="5301B6F5" w14:textId="77777777" w:rsidR="00333603" w:rsidRPr="00007EB6" w:rsidRDefault="00136575">
      <w:pPr>
        <w:spacing w:before="240" w:after="240" w:line="360" w:lineRule="auto"/>
        <w:ind w:right="49"/>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b/>
          <w:sz w:val="22"/>
          <w:szCs w:val="22"/>
        </w:rPr>
        <w:t xml:space="preserve">Acto impugnado: </w:t>
      </w:r>
    </w:p>
    <w:p w14:paraId="03D4A9AE" w14:textId="77777777" w:rsidR="00333603" w:rsidRPr="00007EB6" w:rsidRDefault="00136575">
      <w:pPr>
        <w:tabs>
          <w:tab w:val="left" w:pos="2745"/>
        </w:tabs>
        <w:spacing w:before="240" w:after="240"/>
        <w:ind w:left="851"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"Solicite me dieran respuesta de los bienes muebles e inmuebles que tiene el ayuntamiento actualizado al día de mi solicitud 09/06/2025 y me entregaron al 31 de marzo. " (sic)</w:t>
      </w:r>
    </w:p>
    <w:p w14:paraId="107E1D74" w14:textId="77777777" w:rsidR="00333603" w:rsidRPr="00007EB6" w:rsidRDefault="00136575">
      <w:pPr>
        <w:spacing w:line="360" w:lineRule="auto"/>
        <w:jc w:val="both"/>
        <w:rPr>
          <w:rFonts w:ascii="Palatino Linotype" w:eastAsia="Palatino Linotype" w:hAnsi="Palatino Linotype" w:cs="Palatino Linotype"/>
          <w:sz w:val="22"/>
          <w:szCs w:val="22"/>
        </w:rPr>
      </w:pPr>
      <w:bookmarkStart w:id="4" w:name="_heading=h.30j0zll" w:colFirst="0" w:colLast="0"/>
      <w:bookmarkEnd w:id="4"/>
      <w:r w:rsidRPr="00007EB6">
        <w:rPr>
          <w:rFonts w:ascii="Palatino Linotype" w:eastAsia="Palatino Linotype" w:hAnsi="Palatino Linotype" w:cs="Palatino Linotype"/>
          <w:b/>
          <w:sz w:val="22"/>
          <w:szCs w:val="22"/>
        </w:rPr>
        <w:t>Y, Razones o motivos de inconformidad</w:t>
      </w:r>
      <w:r w:rsidRPr="00007EB6">
        <w:rPr>
          <w:rFonts w:ascii="Palatino Linotype" w:eastAsia="Palatino Linotype" w:hAnsi="Palatino Linotype" w:cs="Palatino Linotype"/>
          <w:sz w:val="22"/>
          <w:szCs w:val="22"/>
        </w:rPr>
        <w:t>:</w:t>
      </w:r>
    </w:p>
    <w:p w14:paraId="513CA92E" w14:textId="77777777" w:rsidR="00333603" w:rsidRPr="00007EB6" w:rsidRDefault="00136575">
      <w:pPr>
        <w:tabs>
          <w:tab w:val="left" w:pos="2745"/>
        </w:tabs>
        <w:spacing w:before="240" w:after="240"/>
        <w:ind w:left="851"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“Información incompleta, ya que solicite me dieran respuesta de los bienes muebles e inmuebles que tiene el ayuntamiento actualizado al día de mi solicitud 09/06/2025 y me entregaron al 31 de marzo.” (sic)</w:t>
      </w:r>
    </w:p>
    <w:p w14:paraId="1F3332D6" w14:textId="77777777" w:rsidR="00333603" w:rsidRPr="00007EB6" w:rsidRDefault="00136575">
      <w:pPr>
        <w:spacing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b/>
          <w:sz w:val="22"/>
          <w:szCs w:val="22"/>
        </w:rPr>
        <w:t xml:space="preserve">4. Turno. </w:t>
      </w:r>
      <w:r w:rsidRPr="00007EB6">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w:t>
      </w:r>
      <w:r w:rsidRPr="00007EB6">
        <w:rPr>
          <w:rFonts w:ascii="Palatino Linotype" w:eastAsia="Palatino Linotype" w:hAnsi="Palatino Linotype" w:cs="Palatino Linotype"/>
          <w:sz w:val="22"/>
          <w:szCs w:val="22"/>
        </w:rPr>
        <w:lastRenderedPageBreak/>
        <w:t xml:space="preserve">a la Comisionada </w:t>
      </w:r>
      <w:r w:rsidRPr="00007EB6">
        <w:rPr>
          <w:rFonts w:ascii="Palatino Linotype" w:eastAsia="Palatino Linotype" w:hAnsi="Palatino Linotype" w:cs="Palatino Linotype"/>
          <w:b/>
          <w:sz w:val="22"/>
          <w:szCs w:val="22"/>
        </w:rPr>
        <w:t xml:space="preserve">Guadalupe Ramírez Peña, </w:t>
      </w:r>
      <w:r w:rsidRPr="00007EB6">
        <w:rPr>
          <w:rFonts w:ascii="Palatino Linotype" w:eastAsia="Palatino Linotype" w:hAnsi="Palatino Linotype" w:cs="Palatino Linotype"/>
          <w:sz w:val="22"/>
          <w:szCs w:val="22"/>
        </w:rPr>
        <w:t xml:space="preserve">a efecto de que analizara sobre su admisión o su </w:t>
      </w:r>
      <w:proofErr w:type="spellStart"/>
      <w:r w:rsidRPr="00007EB6">
        <w:rPr>
          <w:rFonts w:ascii="Palatino Linotype" w:eastAsia="Palatino Linotype" w:hAnsi="Palatino Linotype" w:cs="Palatino Linotype"/>
          <w:sz w:val="22"/>
          <w:szCs w:val="22"/>
        </w:rPr>
        <w:t>desechamiento</w:t>
      </w:r>
      <w:proofErr w:type="spellEnd"/>
      <w:r w:rsidRPr="00007EB6">
        <w:rPr>
          <w:rFonts w:ascii="Palatino Linotype" w:eastAsia="Palatino Linotype" w:hAnsi="Palatino Linotype" w:cs="Palatino Linotype"/>
          <w:sz w:val="22"/>
          <w:szCs w:val="22"/>
        </w:rPr>
        <w:t>.</w:t>
      </w:r>
    </w:p>
    <w:p w14:paraId="0A320F84" w14:textId="77777777" w:rsidR="00333603" w:rsidRPr="00007EB6" w:rsidRDefault="00136575">
      <w:pPr>
        <w:spacing w:before="240" w:after="240" w:line="360" w:lineRule="auto"/>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b/>
          <w:sz w:val="22"/>
          <w:szCs w:val="22"/>
        </w:rPr>
        <w:t>5. Admisión del Recurso de revisión.</w:t>
      </w:r>
      <w:r w:rsidRPr="00007EB6">
        <w:rPr>
          <w:rFonts w:ascii="Palatino Linotype" w:eastAsia="Palatino Linotype" w:hAnsi="Palatino Linotype" w:cs="Palatino Linotype"/>
          <w:sz w:val="22"/>
          <w:szCs w:val="22"/>
        </w:rPr>
        <w:t xml:space="preserve"> El</w:t>
      </w:r>
      <w:r w:rsidRPr="00007EB6">
        <w:rPr>
          <w:rFonts w:ascii="Palatino Linotype" w:eastAsia="Palatino Linotype" w:hAnsi="Palatino Linotype" w:cs="Palatino Linotype"/>
          <w:b/>
          <w:sz w:val="22"/>
          <w:szCs w:val="22"/>
        </w:rPr>
        <w:t xml:space="preserve"> uno de julio de dos mil veinticinco, </w:t>
      </w:r>
      <w:r w:rsidRPr="00007EB6">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presentara su informe justificado.</w:t>
      </w:r>
    </w:p>
    <w:p w14:paraId="3D89F147"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bookmarkStart w:id="5" w:name="_heading=h.2s8eyo1" w:colFirst="0" w:colLast="0"/>
      <w:bookmarkEnd w:id="5"/>
      <w:r w:rsidRPr="00007EB6">
        <w:rPr>
          <w:rFonts w:ascii="Palatino Linotype" w:eastAsia="Palatino Linotype" w:hAnsi="Palatino Linotype" w:cs="Palatino Linotype"/>
          <w:b/>
          <w:sz w:val="22"/>
          <w:szCs w:val="22"/>
        </w:rPr>
        <w:t>6. Manifestaciones</w:t>
      </w:r>
      <w:r w:rsidRPr="00007EB6">
        <w:rPr>
          <w:rFonts w:ascii="Palatino Linotype" w:eastAsia="Palatino Linotype" w:hAnsi="Palatino Linotype" w:cs="Palatino Linotype"/>
          <w:sz w:val="22"/>
          <w:szCs w:val="22"/>
        </w:rPr>
        <w:t xml:space="preserve">. De las constancias que obran en el SAIMEX, se advierte que la parte </w:t>
      </w:r>
      <w:r w:rsidRPr="00007EB6">
        <w:rPr>
          <w:rFonts w:ascii="Palatino Linotype" w:eastAsia="Palatino Linotype" w:hAnsi="Palatino Linotype" w:cs="Palatino Linotype"/>
          <w:b/>
          <w:sz w:val="22"/>
          <w:szCs w:val="22"/>
        </w:rPr>
        <w:t xml:space="preserve">Recurrente </w:t>
      </w:r>
      <w:r w:rsidRPr="00007EB6">
        <w:rPr>
          <w:rFonts w:ascii="Palatino Linotype" w:eastAsia="Palatino Linotype" w:hAnsi="Palatino Linotype" w:cs="Palatino Linotype"/>
          <w:sz w:val="22"/>
          <w:szCs w:val="22"/>
        </w:rPr>
        <w:t>adjuntó una captura de pantalla del acuerdo de admisión del recurso de revisión que nos ocupa, señalando que ha transcurrido el plazo y el ente obligado no ha emitido manifestaciones.</w:t>
      </w:r>
    </w:p>
    <w:p w14:paraId="6FF9FEB7"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Por su lado,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 xml:space="preserve">el </w:t>
      </w:r>
      <w:r w:rsidRPr="00007EB6">
        <w:rPr>
          <w:rFonts w:ascii="Palatino Linotype" w:eastAsia="Palatino Linotype" w:hAnsi="Palatino Linotype" w:cs="Palatino Linotype"/>
          <w:b/>
          <w:sz w:val="22"/>
          <w:szCs w:val="22"/>
        </w:rPr>
        <w:t>siete de agosto de dos mil veinticinco</w:t>
      </w:r>
      <w:r w:rsidRPr="00007EB6">
        <w:rPr>
          <w:rFonts w:ascii="Palatino Linotype" w:eastAsia="Palatino Linotype" w:hAnsi="Palatino Linotype" w:cs="Palatino Linotype"/>
          <w:sz w:val="22"/>
          <w:szCs w:val="22"/>
        </w:rPr>
        <w:t xml:space="preserve"> rindió su informe justificado, a través de un archivo electrónico que contiene un oficio del 07 de agosto de 2025, en el que medularmente se ratificó la respuesta emitida en primera instancia </w:t>
      </w:r>
      <w:r w:rsidRPr="00007EB6">
        <w:rPr>
          <w:rFonts w:ascii="Palatino Linotype" w:eastAsia="Palatino Linotype" w:hAnsi="Palatino Linotype" w:cs="Palatino Linotype"/>
          <w:b/>
          <w:sz w:val="22"/>
          <w:szCs w:val="22"/>
        </w:rPr>
        <w:t>y se precisó que se hizo entrega de la información con corte al 31 de marzo de 2025, por ser esta la información más actual a la fecha de la solicitud; ello, tomando en cuenta que el levantamiento de bienes se hace de manera semestral, en tanto que los informes que exigen los órganos de fiscalización así como la normativa aplicable se llevan a cabo de manera trimestral.</w:t>
      </w:r>
    </w:p>
    <w:p w14:paraId="64ADAF16"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Una vez analizada la información, se hizo del conocimiento de la persona solicitante a efecto de que manifestara lo que a su derecho estimara conveniente, siendo omisa en ejercer dicha prerrogativa.</w:t>
      </w:r>
    </w:p>
    <w:p w14:paraId="7622BB87" w14:textId="77777777" w:rsidR="00333603" w:rsidRPr="00007EB6" w:rsidRDefault="00333603">
      <w:pPr>
        <w:spacing w:before="240" w:after="240" w:line="360" w:lineRule="auto"/>
        <w:jc w:val="both"/>
        <w:rPr>
          <w:rFonts w:ascii="Palatino Linotype" w:eastAsia="Palatino Linotype" w:hAnsi="Palatino Linotype" w:cs="Palatino Linotype"/>
          <w:sz w:val="22"/>
          <w:szCs w:val="22"/>
        </w:rPr>
      </w:pPr>
    </w:p>
    <w:p w14:paraId="2D811065" w14:textId="77777777" w:rsidR="00333603" w:rsidRPr="00007EB6" w:rsidRDefault="00136575">
      <w:pPr>
        <w:spacing w:before="240" w:after="240" w:line="360" w:lineRule="auto"/>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b/>
          <w:sz w:val="22"/>
          <w:szCs w:val="22"/>
        </w:rPr>
        <w:lastRenderedPageBreak/>
        <w:t>7. Ampliación del término para resolver</w:t>
      </w:r>
      <w:r w:rsidRPr="00007EB6">
        <w:rPr>
          <w:rFonts w:ascii="Palatino Linotype" w:eastAsia="Palatino Linotype" w:hAnsi="Palatino Linotype" w:cs="Palatino Linotype"/>
          <w:sz w:val="22"/>
          <w:szCs w:val="22"/>
        </w:rPr>
        <w:t xml:space="preserve">. Mediante acuerdo del </w:t>
      </w:r>
      <w:r w:rsidRPr="00007EB6">
        <w:rPr>
          <w:rFonts w:ascii="Palatino Linotype" w:eastAsia="Palatino Linotype" w:hAnsi="Palatino Linotype" w:cs="Palatino Linotype"/>
          <w:b/>
          <w:sz w:val="22"/>
          <w:szCs w:val="22"/>
        </w:rPr>
        <w:t>veinticinco de agosto de dos mil veinticinco</w:t>
      </w:r>
      <w:r w:rsidRPr="00007EB6">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B5ED153"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b/>
          <w:sz w:val="22"/>
          <w:szCs w:val="22"/>
        </w:rPr>
        <w:t xml:space="preserve">8. Cierre de instrucción. </w:t>
      </w:r>
      <w:r w:rsidRPr="00007EB6">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Pr="00007EB6">
        <w:rPr>
          <w:rFonts w:ascii="Palatino Linotype" w:eastAsia="Palatino Linotype" w:hAnsi="Palatino Linotype" w:cs="Palatino Linotype"/>
          <w:b/>
          <w:sz w:val="22"/>
          <w:szCs w:val="22"/>
        </w:rPr>
        <w:t>veintinueve de agosto de dos mil veinticinco</w:t>
      </w:r>
      <w:r w:rsidRPr="00007EB6">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0F9146CE"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535604A8" w14:textId="77777777" w:rsidR="00333603" w:rsidRPr="00007EB6" w:rsidRDefault="00136575">
      <w:pPr>
        <w:widowControl w:val="0"/>
        <w:spacing w:before="240" w:after="240" w:line="360" w:lineRule="auto"/>
        <w:jc w:val="center"/>
        <w:rPr>
          <w:rFonts w:ascii="Palatino Linotype" w:eastAsia="Palatino Linotype" w:hAnsi="Palatino Linotype" w:cs="Palatino Linotype"/>
          <w:b/>
          <w:sz w:val="22"/>
          <w:szCs w:val="22"/>
        </w:rPr>
      </w:pPr>
      <w:r w:rsidRPr="00007EB6">
        <w:rPr>
          <w:rFonts w:ascii="Palatino Linotype" w:eastAsia="Palatino Linotype" w:hAnsi="Palatino Linotype" w:cs="Palatino Linotype"/>
          <w:b/>
          <w:sz w:val="22"/>
          <w:szCs w:val="22"/>
        </w:rPr>
        <w:t>II. C O N S I D E R A N D O S</w:t>
      </w:r>
    </w:p>
    <w:p w14:paraId="25FD873C"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b/>
          <w:sz w:val="22"/>
          <w:szCs w:val="22"/>
        </w:rPr>
        <w:t>Primero. Competencia.</w:t>
      </w:r>
      <w:r w:rsidRPr="00007EB6">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A39D959"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bookmarkStart w:id="6" w:name="_heading=h.tyjcwt" w:colFirst="0" w:colLast="0"/>
      <w:bookmarkEnd w:id="6"/>
      <w:r w:rsidRPr="00007EB6">
        <w:rPr>
          <w:rFonts w:ascii="Palatino Linotype" w:eastAsia="Palatino Linotype" w:hAnsi="Palatino Linotype" w:cs="Palatino Linotype"/>
          <w:b/>
          <w:sz w:val="22"/>
          <w:szCs w:val="22"/>
        </w:rPr>
        <w:lastRenderedPageBreak/>
        <w:t>Segundo. Oportunidad y Procedibilidad del Recurso de Revisión</w:t>
      </w:r>
      <w:r w:rsidRPr="00007EB6">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6853E8EC"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 xml:space="preserve">remitió la respuesta a la solicitud de información el día </w:t>
      </w:r>
      <w:r w:rsidRPr="00007EB6">
        <w:rPr>
          <w:rFonts w:ascii="Palatino Linotype" w:eastAsia="Palatino Linotype" w:hAnsi="Palatino Linotype" w:cs="Palatino Linotype"/>
          <w:b/>
          <w:sz w:val="22"/>
          <w:szCs w:val="22"/>
        </w:rPr>
        <w:t xml:space="preserve">veintitrés de junio de dos mil veinticinco, </w:t>
      </w:r>
      <w:r w:rsidRPr="00007EB6">
        <w:rPr>
          <w:rFonts w:ascii="Palatino Linotype" w:eastAsia="Palatino Linotype" w:hAnsi="Palatino Linotype" w:cs="Palatino Linotype"/>
          <w:sz w:val="22"/>
          <w:szCs w:val="22"/>
        </w:rPr>
        <w:t xml:space="preserve">mientras que el recurso de revisión interpuesto por la parte </w:t>
      </w:r>
      <w:r w:rsidRPr="00007EB6">
        <w:rPr>
          <w:rFonts w:ascii="Palatino Linotype" w:eastAsia="Palatino Linotype" w:hAnsi="Palatino Linotype" w:cs="Palatino Linotype"/>
          <w:b/>
          <w:sz w:val="22"/>
          <w:szCs w:val="22"/>
        </w:rPr>
        <w:t xml:space="preserve">Recurrente, </w:t>
      </w:r>
      <w:r w:rsidRPr="00007EB6">
        <w:rPr>
          <w:rFonts w:ascii="Palatino Linotype" w:eastAsia="Palatino Linotype" w:hAnsi="Palatino Linotype" w:cs="Palatino Linotype"/>
          <w:sz w:val="22"/>
          <w:szCs w:val="22"/>
        </w:rPr>
        <w:t>se tuvo por presentado el día</w:t>
      </w:r>
      <w:r w:rsidRPr="00007EB6">
        <w:rPr>
          <w:rFonts w:ascii="Palatino Linotype" w:eastAsia="Palatino Linotype" w:hAnsi="Palatino Linotype" w:cs="Palatino Linotype"/>
          <w:b/>
          <w:sz w:val="22"/>
          <w:szCs w:val="22"/>
        </w:rPr>
        <w:t xml:space="preserve"> veintiséis de junio de dos mil veinticinco, </w:t>
      </w:r>
      <w:r w:rsidRPr="00007EB6">
        <w:rPr>
          <w:rFonts w:ascii="Palatino Linotype" w:eastAsia="Palatino Linotype" w:hAnsi="Palatino Linotype" w:cs="Palatino Linotype"/>
          <w:sz w:val="22"/>
          <w:szCs w:val="22"/>
        </w:rPr>
        <w:t xml:space="preserve">esto es, al </w:t>
      </w:r>
      <w:r w:rsidRPr="00007EB6">
        <w:rPr>
          <w:rFonts w:ascii="Palatino Linotype" w:eastAsia="Palatino Linotype" w:hAnsi="Palatino Linotype" w:cs="Palatino Linotype"/>
          <w:b/>
          <w:sz w:val="22"/>
          <w:szCs w:val="22"/>
          <w:u w:val="single"/>
        </w:rPr>
        <w:t>tercer</w:t>
      </w:r>
      <w:r w:rsidRPr="00007EB6">
        <w:rPr>
          <w:rFonts w:ascii="Palatino Linotype" w:eastAsia="Palatino Linotype" w:hAnsi="Palatino Linotype" w:cs="Palatino Linotype"/>
          <w:sz w:val="22"/>
          <w:szCs w:val="22"/>
        </w:rPr>
        <w:t xml:space="preserve"> día hábil posterior a aquel en el que tuvo conocimiento de la respuesta impugnada. En este sentido, se concluye que el presente recurso de revisión se encuentra dentro de los márgenes temporales previstos en las disposiciones legales referidas.</w:t>
      </w:r>
    </w:p>
    <w:p w14:paraId="761B8B69" w14:textId="77777777" w:rsidR="00333603" w:rsidRPr="00007EB6" w:rsidRDefault="00136575">
      <w:pPr>
        <w:tabs>
          <w:tab w:val="left" w:pos="7938"/>
        </w:tabs>
        <w:spacing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9C027A5" w14:textId="77777777" w:rsidR="00333603" w:rsidRPr="00007EB6" w:rsidRDefault="00333603">
      <w:pPr>
        <w:tabs>
          <w:tab w:val="left" w:pos="7938"/>
        </w:tabs>
        <w:spacing w:line="360" w:lineRule="auto"/>
        <w:jc w:val="both"/>
        <w:rPr>
          <w:rFonts w:ascii="Palatino Linotype" w:eastAsia="Palatino Linotype" w:hAnsi="Palatino Linotype" w:cs="Palatino Linotype"/>
          <w:sz w:val="22"/>
          <w:szCs w:val="22"/>
        </w:rPr>
      </w:pPr>
    </w:p>
    <w:p w14:paraId="7BBD9903" w14:textId="77777777" w:rsidR="00333603" w:rsidRPr="00007EB6" w:rsidRDefault="00136575">
      <w:pPr>
        <w:spacing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Por otro lado, es de suma importancia mencionar que, si bien la parte</w:t>
      </w:r>
      <w:r w:rsidRPr="00007EB6">
        <w:rPr>
          <w:rFonts w:ascii="Palatino Linotype" w:eastAsia="Palatino Linotype" w:hAnsi="Palatino Linotype" w:cs="Palatino Linotype"/>
          <w:b/>
          <w:sz w:val="22"/>
          <w:szCs w:val="22"/>
        </w:rPr>
        <w:t xml:space="preserve"> Recurrente</w:t>
      </w:r>
      <w:r w:rsidRPr="00007EB6">
        <w:rPr>
          <w:rFonts w:ascii="Palatino Linotype" w:eastAsia="Palatino Linotype" w:hAnsi="Palatino Linotype" w:cs="Palatino Linotype"/>
          <w:sz w:val="22"/>
          <w:szCs w:val="22"/>
        </w:rPr>
        <w:t xml:space="preserve"> </w:t>
      </w:r>
      <w:r w:rsidRPr="00007EB6">
        <w:rPr>
          <w:rFonts w:ascii="Palatino Linotype" w:eastAsia="Palatino Linotype" w:hAnsi="Palatino Linotype" w:cs="Palatino Linotype"/>
          <w:b/>
          <w:sz w:val="22"/>
          <w:szCs w:val="22"/>
        </w:rPr>
        <w:t>no</w:t>
      </w:r>
      <w:r w:rsidRPr="00007EB6">
        <w:rPr>
          <w:rFonts w:ascii="Palatino Linotype" w:eastAsia="Palatino Linotype" w:hAnsi="Palatino Linotype" w:cs="Palatino Linotype"/>
          <w:sz w:val="22"/>
          <w:szCs w:val="22"/>
        </w:rPr>
        <w:t xml:space="preserve"> </w:t>
      </w:r>
      <w:r w:rsidRPr="00007EB6">
        <w:rPr>
          <w:rFonts w:ascii="Palatino Linotype" w:eastAsia="Palatino Linotype" w:hAnsi="Palatino Linotype" w:cs="Palatino Linotype"/>
          <w:b/>
          <w:sz w:val="22"/>
          <w:szCs w:val="22"/>
        </w:rPr>
        <w:t>proporcionó nombre,</w:t>
      </w:r>
      <w:r w:rsidRPr="00007EB6">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3A41182" w14:textId="77777777" w:rsidR="00333603" w:rsidRPr="00007EB6" w:rsidRDefault="00333603">
      <w:pPr>
        <w:spacing w:line="360" w:lineRule="auto"/>
        <w:jc w:val="both"/>
        <w:rPr>
          <w:rFonts w:ascii="Palatino Linotype" w:eastAsia="Palatino Linotype" w:hAnsi="Palatino Linotype" w:cs="Palatino Linotype"/>
          <w:sz w:val="22"/>
          <w:szCs w:val="22"/>
        </w:rPr>
      </w:pPr>
    </w:p>
    <w:p w14:paraId="38408729" w14:textId="77777777" w:rsidR="00333603" w:rsidRPr="00007EB6" w:rsidRDefault="00136575">
      <w:pPr>
        <w:spacing w:line="276" w:lineRule="auto"/>
        <w:ind w:left="851" w:right="902"/>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i/>
          <w:sz w:val="22"/>
          <w:szCs w:val="22"/>
        </w:rPr>
        <w:lastRenderedPageBreak/>
        <w:t>"</w:t>
      </w:r>
      <w:r w:rsidRPr="00007EB6">
        <w:rPr>
          <w:rFonts w:ascii="Palatino Linotype" w:eastAsia="Palatino Linotype" w:hAnsi="Palatino Linotype" w:cs="Palatino Linotype"/>
          <w:b/>
          <w:i/>
          <w:sz w:val="22"/>
          <w:szCs w:val="22"/>
        </w:rPr>
        <w:t>Las solicitudes anónimas,</w:t>
      </w:r>
      <w:r w:rsidRPr="00007EB6">
        <w:rPr>
          <w:rFonts w:ascii="Palatino Linotype" w:eastAsia="Palatino Linotype" w:hAnsi="Palatino Linotype" w:cs="Palatino Linotype"/>
          <w:i/>
          <w:sz w:val="22"/>
          <w:szCs w:val="22"/>
        </w:rPr>
        <w:t xml:space="preserve"> con nombre incompleto o seudónimo </w:t>
      </w:r>
      <w:r w:rsidRPr="00007EB6">
        <w:rPr>
          <w:rFonts w:ascii="Palatino Linotype" w:eastAsia="Palatino Linotype" w:hAnsi="Palatino Linotype" w:cs="Palatino Linotype"/>
          <w:b/>
          <w:i/>
          <w:sz w:val="22"/>
          <w:szCs w:val="22"/>
        </w:rPr>
        <w:t>serán procedentes para su trámite por parte del sujeto obligado ante quien se presente</w:t>
      </w:r>
      <w:r w:rsidRPr="00007EB6">
        <w:rPr>
          <w:rFonts w:ascii="Palatino Linotype" w:eastAsia="Palatino Linotype" w:hAnsi="Palatino Linotype" w:cs="Palatino Linotype"/>
          <w:i/>
          <w:sz w:val="22"/>
          <w:szCs w:val="22"/>
        </w:rPr>
        <w:t>. No podrá requerirse información adicional con motivo del nombre proporcionado por el solicitante."</w:t>
      </w:r>
    </w:p>
    <w:p w14:paraId="1E8E0F0E"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007EB6">
        <w:rPr>
          <w:rFonts w:ascii="Palatino Linotype" w:eastAsia="Palatino Linotype" w:hAnsi="Palatino Linotype" w:cs="Palatino Linotype"/>
          <w:b/>
          <w:sz w:val="22"/>
          <w:szCs w:val="22"/>
        </w:rPr>
        <w:t>Recurrente</w:t>
      </w:r>
      <w:r w:rsidRPr="00007EB6">
        <w:rPr>
          <w:rFonts w:ascii="Palatino Linotype" w:eastAsia="Palatino Linotype" w:hAnsi="Palatino Linotype" w:cs="Palatino Linotype"/>
          <w:sz w:val="22"/>
          <w:szCs w:val="22"/>
        </w:rPr>
        <w:t xml:space="preserve"> en sus motivos de inconformidad, de acuerdo al artículo 179, fracción V del ordenamiento legal citado, que a la letra dice: </w:t>
      </w:r>
    </w:p>
    <w:p w14:paraId="4AE459C9" w14:textId="77777777" w:rsidR="00333603" w:rsidRPr="00007EB6" w:rsidRDefault="00136575">
      <w:pPr>
        <w:tabs>
          <w:tab w:val="left" w:pos="7938"/>
        </w:tabs>
        <w:spacing w:before="120" w:after="12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w:t>
      </w:r>
      <w:r w:rsidRPr="00007EB6">
        <w:rPr>
          <w:rFonts w:ascii="Palatino Linotype" w:eastAsia="Palatino Linotype" w:hAnsi="Palatino Linotype" w:cs="Palatino Linotype"/>
          <w:b/>
          <w:i/>
          <w:sz w:val="22"/>
          <w:szCs w:val="22"/>
        </w:rPr>
        <w:t>Artículo 179.</w:t>
      </w:r>
      <w:r w:rsidRPr="00007EB6">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5555BB9" w14:textId="77777777" w:rsidR="00333603" w:rsidRPr="00007EB6" w:rsidRDefault="00136575">
      <w:pPr>
        <w:spacing w:before="120" w:after="120"/>
        <w:ind w:left="1134"/>
        <w:rPr>
          <w:rFonts w:ascii="Palatino Linotype" w:eastAsia="Palatino Linotype" w:hAnsi="Palatino Linotype" w:cs="Palatino Linotype"/>
          <w:i/>
          <w:sz w:val="22"/>
          <w:szCs w:val="22"/>
        </w:rPr>
      </w:pPr>
      <w:r w:rsidRPr="00007EB6">
        <w:rPr>
          <w:rFonts w:ascii="Palatino Linotype" w:eastAsia="Palatino Linotype" w:hAnsi="Palatino Linotype" w:cs="Palatino Linotype"/>
          <w:b/>
          <w:i/>
          <w:sz w:val="22"/>
          <w:szCs w:val="22"/>
        </w:rPr>
        <w:t>V. La entrega de información incompleta;</w:t>
      </w:r>
    </w:p>
    <w:p w14:paraId="26AC8AAC" w14:textId="77777777" w:rsidR="00333603" w:rsidRPr="00007EB6" w:rsidRDefault="00136575">
      <w:pPr>
        <w:spacing w:before="240" w:after="240" w:line="360" w:lineRule="auto"/>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b/>
          <w:sz w:val="22"/>
          <w:szCs w:val="22"/>
        </w:rPr>
        <w:t xml:space="preserve">Tercero. Materia de la revisión. </w:t>
      </w:r>
      <w:r w:rsidRPr="00007EB6">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007EB6">
        <w:rPr>
          <w:rFonts w:ascii="Palatino Linotype" w:eastAsia="Palatino Linotype" w:hAnsi="Palatino Linotype" w:cs="Palatino Linotype"/>
          <w:b/>
          <w:sz w:val="22"/>
          <w:szCs w:val="22"/>
        </w:rPr>
        <w:t xml:space="preserve">verificar si la información proporcionada por el Sujeto Obligado es adecuada y suficiente para satisfacer el derecho de acceso a la información pública </w:t>
      </w:r>
      <w:r w:rsidRPr="00007EB6">
        <w:rPr>
          <w:rFonts w:ascii="Palatino Linotype" w:eastAsia="Palatino Linotype" w:hAnsi="Palatino Linotype" w:cs="Palatino Linotype"/>
          <w:sz w:val="22"/>
          <w:szCs w:val="22"/>
        </w:rPr>
        <w:t xml:space="preserve">de la parte </w:t>
      </w:r>
      <w:r w:rsidRPr="00007EB6">
        <w:rPr>
          <w:rFonts w:ascii="Palatino Linotype" w:eastAsia="Palatino Linotype" w:hAnsi="Palatino Linotype" w:cs="Palatino Linotype"/>
          <w:b/>
          <w:sz w:val="22"/>
          <w:szCs w:val="22"/>
        </w:rPr>
        <w:t>Recurrente</w:t>
      </w:r>
      <w:r w:rsidRPr="00007EB6">
        <w:rPr>
          <w:rFonts w:ascii="Palatino Linotype" w:eastAsia="Palatino Linotype" w:hAnsi="Palatino Linotype" w:cs="Palatino Linotype"/>
          <w:sz w:val="22"/>
          <w:szCs w:val="22"/>
        </w:rPr>
        <w:t>, o en su defecto, en caso de ser procedente, ordenar la entrega de información.</w:t>
      </w:r>
    </w:p>
    <w:p w14:paraId="4450A062"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bookmarkStart w:id="7" w:name="_heading=h.2et92p0" w:colFirst="0" w:colLast="0"/>
      <w:bookmarkEnd w:id="7"/>
      <w:r w:rsidRPr="00007EB6">
        <w:rPr>
          <w:rFonts w:ascii="Palatino Linotype" w:eastAsia="Palatino Linotype" w:hAnsi="Palatino Linotype" w:cs="Palatino Linotype"/>
          <w:b/>
          <w:sz w:val="22"/>
          <w:szCs w:val="22"/>
        </w:rPr>
        <w:t xml:space="preserve">Cuarto. Estudio del asunto. </w:t>
      </w:r>
      <w:r w:rsidRPr="00007EB6">
        <w:rPr>
          <w:rFonts w:ascii="Palatino Linotype" w:eastAsia="Palatino Linotype" w:hAnsi="Palatino Linotype" w:cs="Palatino Linotype"/>
          <w:sz w:val="22"/>
          <w:szCs w:val="22"/>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4259668" w14:textId="77777777" w:rsidR="00333603" w:rsidRPr="00007EB6" w:rsidRDefault="00136575">
      <w:pPr>
        <w:spacing w:before="120" w:after="12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w:t>
      </w:r>
      <w:r w:rsidRPr="00007EB6">
        <w:rPr>
          <w:rFonts w:ascii="Palatino Linotype" w:eastAsia="Palatino Linotype" w:hAnsi="Palatino Linotype" w:cs="Palatino Linotype"/>
          <w:b/>
          <w:i/>
          <w:sz w:val="22"/>
          <w:szCs w:val="22"/>
        </w:rPr>
        <w:t>Artículo 4</w:t>
      </w:r>
      <w:r w:rsidRPr="00007EB6">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w:t>
      </w:r>
      <w:r w:rsidRPr="00007EB6">
        <w:rPr>
          <w:rFonts w:ascii="Palatino Linotype" w:eastAsia="Palatino Linotype" w:hAnsi="Palatino Linotype" w:cs="Palatino Linotype"/>
          <w:i/>
          <w:sz w:val="22"/>
          <w:szCs w:val="22"/>
        </w:rPr>
        <w:lastRenderedPageBreak/>
        <w:t xml:space="preserve">solicitar información pública, sin necesidad de acreditar personalidad ni interés jurídico. </w:t>
      </w:r>
    </w:p>
    <w:p w14:paraId="11080693" w14:textId="77777777" w:rsidR="00333603" w:rsidRPr="00007EB6" w:rsidRDefault="00136575">
      <w:pPr>
        <w:spacing w:before="120" w:after="12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007EB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F0F35D" w14:textId="77777777" w:rsidR="00333603" w:rsidRPr="00007EB6" w:rsidRDefault="00136575">
      <w:pPr>
        <w:spacing w:before="120" w:after="12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007EB6">
        <w:rPr>
          <w:rFonts w:ascii="Palatino Linotype" w:eastAsia="Palatino Linotype" w:hAnsi="Palatino Linotype" w:cs="Palatino Linotype"/>
          <w:i/>
          <w:sz w:val="22"/>
          <w:szCs w:val="22"/>
        </w:rPr>
        <w:t>.”</w:t>
      </w:r>
    </w:p>
    <w:p w14:paraId="65B53F4D"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754A6B60" w14:textId="77777777" w:rsidR="00333603" w:rsidRPr="00007EB6" w:rsidRDefault="00136575">
      <w:pPr>
        <w:spacing w:before="120" w:after="12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b/>
          <w:i/>
          <w:sz w:val="22"/>
          <w:szCs w:val="22"/>
        </w:rPr>
        <w:t>“Artículo 12.-</w:t>
      </w:r>
      <w:r w:rsidRPr="00007EB6">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43062C20" w14:textId="77777777" w:rsidR="00333603" w:rsidRPr="00007EB6" w:rsidRDefault="00136575">
      <w:pPr>
        <w:spacing w:before="120" w:after="12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007EB6">
        <w:rPr>
          <w:rFonts w:ascii="Palatino Linotype" w:eastAsia="Palatino Linotype" w:hAnsi="Palatino Linotype" w:cs="Palatino Linotype"/>
          <w:i/>
          <w:sz w:val="22"/>
          <w:szCs w:val="22"/>
        </w:rPr>
        <w:t xml:space="preserve">. </w:t>
      </w:r>
      <w:r w:rsidRPr="00007EB6">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5ED790FA" w14:textId="77777777" w:rsidR="00333603" w:rsidRPr="00007EB6" w:rsidRDefault="00136575">
      <w:pPr>
        <w:spacing w:before="240" w:after="240" w:line="360" w:lineRule="auto"/>
        <w:ind w:right="-93"/>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Es decir, que todo sujeto obligado que genere, recopile, administre, procese, archive, posea o conserven, son responsables de la misma teniendo a su vez la obligación de proporcionar la </w:t>
      </w:r>
      <w:r w:rsidRPr="00007EB6">
        <w:rPr>
          <w:rFonts w:ascii="Palatino Linotype" w:eastAsia="Palatino Linotype" w:hAnsi="Palatino Linotype" w:cs="Palatino Linotype"/>
          <w:sz w:val="22"/>
          <w:szCs w:val="22"/>
        </w:rPr>
        <w:lastRenderedPageBreak/>
        <w:t>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0EE1C05B" w14:textId="77777777" w:rsidR="00333603" w:rsidRPr="00007EB6" w:rsidRDefault="00136575">
      <w:pPr>
        <w:spacing w:before="240" w:after="240" w:line="360" w:lineRule="auto"/>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sz w:val="22"/>
          <w:szCs w:val="22"/>
        </w:rPr>
        <w:t>Sirve de apoyo a lo anterior, el criterio orientador con clave de control SO/003/2017, emitido por el entonces Instituto Nacional de Transparencia, Acceso a la Información y Protección de Datos Personales, que por rubro y texto, dispone lo siguiente:</w:t>
      </w:r>
      <w:r w:rsidRPr="00007EB6">
        <w:rPr>
          <w:rFonts w:ascii="Palatino Linotype" w:eastAsia="Palatino Linotype" w:hAnsi="Palatino Linotype" w:cs="Palatino Linotype"/>
          <w:b/>
          <w:sz w:val="22"/>
          <w:szCs w:val="22"/>
        </w:rPr>
        <w:t xml:space="preserve"> </w:t>
      </w:r>
    </w:p>
    <w:p w14:paraId="059D2E5E" w14:textId="77777777" w:rsidR="00333603" w:rsidRPr="00007EB6" w:rsidRDefault="00136575">
      <w:pPr>
        <w:spacing w:before="120" w:after="120"/>
        <w:ind w:left="1134"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 xml:space="preserve"> “</w:t>
      </w:r>
      <w:r w:rsidRPr="00007EB6">
        <w:rPr>
          <w:rFonts w:ascii="Palatino Linotype" w:eastAsia="Palatino Linotype" w:hAnsi="Palatino Linotype" w:cs="Palatino Linotype"/>
          <w:b/>
          <w:i/>
          <w:sz w:val="22"/>
          <w:szCs w:val="22"/>
        </w:rPr>
        <w:t>No existe obligación de elaborar documentos ad hoc para atender las solicitudes de acceso a la información.</w:t>
      </w:r>
      <w:r w:rsidRPr="00007EB6">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A086E50" w14:textId="77777777" w:rsidR="00333603" w:rsidRPr="00007EB6" w:rsidRDefault="00136575">
      <w:pPr>
        <w:spacing w:before="120" w:after="12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07CECAC" w14:textId="77777777" w:rsidR="00333603" w:rsidRPr="00007EB6" w:rsidRDefault="00136575">
      <w:pPr>
        <w:spacing w:before="120" w:after="12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w:t>
      </w:r>
      <w:r w:rsidRPr="00007EB6">
        <w:rPr>
          <w:rFonts w:ascii="Palatino Linotype" w:eastAsia="Palatino Linotype" w:hAnsi="Palatino Linotype" w:cs="Palatino Linotype"/>
          <w:sz w:val="22"/>
          <w:szCs w:val="22"/>
        </w:rPr>
        <w:lastRenderedPageBreak/>
        <w:t xml:space="preserve">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39054D5" w14:textId="77777777" w:rsidR="00333603" w:rsidRPr="00007EB6" w:rsidRDefault="00136575">
      <w:pPr>
        <w:spacing w:before="120" w:after="12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w:t>
      </w:r>
      <w:r w:rsidRPr="00007EB6">
        <w:rPr>
          <w:rFonts w:ascii="Palatino Linotype" w:eastAsia="Palatino Linotype" w:hAnsi="Palatino Linotype" w:cs="Palatino Linotype"/>
          <w:b/>
          <w:i/>
          <w:sz w:val="22"/>
          <w:szCs w:val="22"/>
        </w:rPr>
        <w:t xml:space="preserve">Artículo 3. </w:t>
      </w:r>
      <w:r w:rsidRPr="00007EB6">
        <w:rPr>
          <w:rFonts w:ascii="Palatino Linotype" w:eastAsia="Palatino Linotype" w:hAnsi="Palatino Linotype" w:cs="Palatino Linotype"/>
          <w:i/>
          <w:sz w:val="22"/>
          <w:szCs w:val="22"/>
        </w:rPr>
        <w:t>Para los efectos de la presente Ley se entenderá por:</w:t>
      </w:r>
    </w:p>
    <w:p w14:paraId="13133AC3" w14:textId="77777777" w:rsidR="00333603" w:rsidRPr="00007EB6" w:rsidRDefault="00136575">
      <w:pPr>
        <w:spacing w:before="120" w:after="120"/>
        <w:ind w:left="1134"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w:t>
      </w:r>
    </w:p>
    <w:p w14:paraId="63C1F3F9" w14:textId="77777777" w:rsidR="00333603" w:rsidRPr="00007EB6" w:rsidRDefault="00136575">
      <w:pPr>
        <w:spacing w:before="120" w:after="120"/>
        <w:ind w:left="1134"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b/>
          <w:i/>
          <w:sz w:val="22"/>
          <w:szCs w:val="22"/>
        </w:rPr>
        <w:t>XI. Documento:</w:t>
      </w:r>
      <w:r w:rsidRPr="00007EB6">
        <w:rPr>
          <w:rFonts w:ascii="Palatino Linotype" w:eastAsia="Palatino Linotype" w:hAnsi="Palatino Linotype" w:cs="Palatino Linotype"/>
          <w:i/>
          <w:sz w:val="22"/>
          <w:szCs w:val="22"/>
        </w:rPr>
        <w:t xml:space="preserve"> Los expedientes, reportes, estudios, actas</w:t>
      </w:r>
      <w:r w:rsidRPr="00007EB6">
        <w:rPr>
          <w:rFonts w:ascii="Palatino Linotype" w:eastAsia="Palatino Linotype" w:hAnsi="Palatino Linotype" w:cs="Palatino Linotype"/>
          <w:b/>
          <w:i/>
          <w:sz w:val="22"/>
          <w:szCs w:val="22"/>
        </w:rPr>
        <w:t>,</w:t>
      </w:r>
      <w:r w:rsidRPr="00007EB6">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2B98CF2"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360F28F" w14:textId="77777777" w:rsidR="00333603" w:rsidRPr="00007EB6" w:rsidRDefault="00136575">
      <w:pPr>
        <w:spacing w:before="120" w:after="12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b/>
          <w:sz w:val="22"/>
          <w:szCs w:val="22"/>
        </w:rPr>
        <w:t>“</w:t>
      </w:r>
      <w:r w:rsidRPr="00007EB6">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07EB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9463F32" w14:textId="77777777" w:rsidR="00333603" w:rsidRPr="00007EB6" w:rsidRDefault="00136575">
      <w:pPr>
        <w:spacing w:before="120" w:after="120"/>
        <w:ind w:left="851"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6F36CE8" w14:textId="77777777" w:rsidR="00333603" w:rsidRPr="00007EB6" w:rsidRDefault="00136575">
      <w:pPr>
        <w:spacing w:before="120" w:after="120"/>
        <w:ind w:left="1134"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13A5D0FB" w14:textId="77777777" w:rsidR="00333603" w:rsidRPr="00007EB6" w:rsidRDefault="00136575">
      <w:pPr>
        <w:spacing w:before="120" w:after="120"/>
        <w:ind w:left="1134"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lastRenderedPageBreak/>
        <w:t>2) Que se trate de información registrada en cualquier soporte documental, que en ejercicio de las atribuciones conferidas, sea administrada por los Sujetos Obligados, y</w:t>
      </w:r>
    </w:p>
    <w:p w14:paraId="5B4EF8B6" w14:textId="77777777" w:rsidR="00333603" w:rsidRPr="00007EB6" w:rsidRDefault="00136575">
      <w:pPr>
        <w:spacing w:before="120" w:after="120"/>
        <w:ind w:left="1134" w:right="902"/>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FA83B8D" w14:textId="77777777" w:rsidR="00333603" w:rsidRPr="00007EB6" w:rsidRDefault="00136575">
      <w:pPr>
        <w:spacing w:before="240" w:after="240"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Lo anterior, siempre y cuando no se trate de información clasificada como reservada o confidencial, cuya difusión pueda lesionar el interés jurídicamente protegido por 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4017D77"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78373823" w14:textId="77777777" w:rsidR="00333603" w:rsidRPr="00007EB6" w:rsidRDefault="00136575">
      <w:pPr>
        <w:spacing w:before="240" w:after="240"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lastRenderedPageBreak/>
        <w:t xml:space="preserve">Ahora bien, del análisis de la solicitud de información, motivo del recurso de revisión que ahora se resuelve, se advierte que la parte </w:t>
      </w:r>
      <w:r w:rsidRPr="00007EB6">
        <w:rPr>
          <w:rFonts w:ascii="Palatino Linotype" w:eastAsia="Palatino Linotype" w:hAnsi="Palatino Linotype" w:cs="Palatino Linotype"/>
          <w:b/>
          <w:sz w:val="22"/>
          <w:szCs w:val="22"/>
        </w:rPr>
        <w:t>Recurrente</w:t>
      </w:r>
      <w:r w:rsidRPr="00007EB6">
        <w:rPr>
          <w:rFonts w:ascii="Palatino Linotype" w:eastAsia="Palatino Linotype" w:hAnsi="Palatino Linotype" w:cs="Palatino Linotype"/>
          <w:sz w:val="22"/>
          <w:szCs w:val="22"/>
        </w:rPr>
        <w:t xml:space="preserve"> requirió al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le proporcione, información consistente en lo siguiente:</w:t>
      </w:r>
    </w:p>
    <w:p w14:paraId="797184EE" w14:textId="77777777" w:rsidR="00333603" w:rsidRPr="00007EB6" w:rsidRDefault="00136575">
      <w:pPr>
        <w:numPr>
          <w:ilvl w:val="0"/>
          <w:numId w:val="1"/>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b/>
          <w:sz w:val="22"/>
          <w:szCs w:val="22"/>
        </w:rPr>
        <w:t>La lista de bienes muebles e inmuebles actualizado al 09 de junio de 2025 (fecha de la solicitud).</w:t>
      </w:r>
    </w:p>
    <w:p w14:paraId="1305A629" w14:textId="77777777" w:rsidR="00333603" w:rsidRPr="00007EB6" w:rsidRDefault="00136575">
      <w:pPr>
        <w:spacing w:before="240" w:after="240" w:line="360" w:lineRule="auto"/>
        <w:ind w:right="49"/>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En respuesta,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por conducto de la Sindica Municipal informó que después de realizar una búsqueda exhaustiva y razonable, remite los listados de los bienes muebles e inmuebles con fecha de corte al 31 de marzo de 2025</w:t>
      </w:r>
      <w:r w:rsidRPr="00007EB6">
        <w:rPr>
          <w:rFonts w:ascii="Palatino Linotype" w:eastAsia="Palatino Linotype" w:hAnsi="Palatino Linotype" w:cs="Palatino Linotype"/>
          <w:sz w:val="22"/>
          <w:szCs w:val="22"/>
          <w:u w:val="single"/>
        </w:rPr>
        <w:t>; adjuntando como anexos los inventarios de los bienes muebles e inmuebles del Municipio de Teoloyucan con corte al 31 de marzo de 2025.</w:t>
      </w:r>
    </w:p>
    <w:p w14:paraId="5AC42492" w14:textId="77777777" w:rsidR="00333603" w:rsidRPr="00007EB6" w:rsidRDefault="00136575">
      <w:pPr>
        <w:spacing w:before="240" w:after="240" w:line="360" w:lineRule="auto"/>
        <w:ind w:right="49"/>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sz w:val="22"/>
          <w:szCs w:val="22"/>
        </w:rPr>
        <w:t xml:space="preserve">Al no estar conforme con los términos de la respuesta emitida, la parte </w:t>
      </w:r>
      <w:r w:rsidRPr="00007EB6">
        <w:rPr>
          <w:rFonts w:ascii="Palatino Linotype" w:eastAsia="Palatino Linotype" w:hAnsi="Palatino Linotype" w:cs="Palatino Linotype"/>
          <w:b/>
          <w:sz w:val="22"/>
          <w:szCs w:val="22"/>
        </w:rPr>
        <w:t xml:space="preserve">Recurrente </w:t>
      </w:r>
      <w:r w:rsidRPr="00007EB6">
        <w:rPr>
          <w:rFonts w:ascii="Palatino Linotype" w:eastAsia="Palatino Linotype" w:hAnsi="Palatino Linotype" w:cs="Palatino Linotype"/>
          <w:sz w:val="22"/>
          <w:szCs w:val="22"/>
        </w:rPr>
        <w:t xml:space="preserve">interpuso el recurso de revisión que nos ocupa, donde señaló como motivo de inconformidad la entrega de información incompleta, </w:t>
      </w:r>
      <w:r w:rsidRPr="00007EB6">
        <w:rPr>
          <w:rFonts w:ascii="Palatino Linotype" w:eastAsia="Palatino Linotype" w:hAnsi="Palatino Linotype" w:cs="Palatino Linotype"/>
          <w:b/>
          <w:sz w:val="22"/>
          <w:szCs w:val="22"/>
        </w:rPr>
        <w:t>ya que refiere que no le fue proporcionada la información requerida de manera actualizada al 09 de junio de 2025 (fecha de la solicitud).</w:t>
      </w:r>
    </w:p>
    <w:p w14:paraId="31BBDF4A" w14:textId="77777777" w:rsidR="00333603" w:rsidRPr="00007EB6" w:rsidRDefault="00136575">
      <w:pPr>
        <w:spacing w:before="240" w:after="240" w:line="360" w:lineRule="auto"/>
        <w:ind w:right="49"/>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En la etapa de manifestaciones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 xml:space="preserve">ratificó en lo sustancial la respuesta proporcionada en primera instancia, agregando que </w:t>
      </w:r>
      <w:r w:rsidRPr="00007EB6">
        <w:rPr>
          <w:rFonts w:ascii="Palatino Linotype" w:eastAsia="Palatino Linotype" w:hAnsi="Palatino Linotype" w:cs="Palatino Linotype"/>
          <w:b/>
          <w:sz w:val="22"/>
          <w:szCs w:val="22"/>
        </w:rPr>
        <w:t>se hizo entrega de la información con corte al 31 de marzo de 2025, por ser esta la información más actual a la fecha de la solicitud; ello, tomando en cuenta que el levantamiento de bienes se hace de manera semestral, en tanto que los informes que exigen los órganos de fiscalización así como la normativa aplicable se llevan a cabo de manera trimestral.</w:t>
      </w:r>
    </w:p>
    <w:p w14:paraId="0F71E317" w14:textId="77777777" w:rsidR="00333603" w:rsidRPr="00007EB6" w:rsidRDefault="00136575">
      <w:pPr>
        <w:spacing w:before="240" w:after="240" w:line="360" w:lineRule="auto"/>
        <w:ind w:right="49"/>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Por su lado, la parte </w:t>
      </w:r>
      <w:r w:rsidRPr="00007EB6">
        <w:rPr>
          <w:rFonts w:ascii="Palatino Linotype" w:eastAsia="Palatino Linotype" w:hAnsi="Palatino Linotype" w:cs="Palatino Linotype"/>
          <w:b/>
          <w:sz w:val="22"/>
          <w:szCs w:val="22"/>
        </w:rPr>
        <w:t xml:space="preserve">Recurrente </w:t>
      </w:r>
      <w:r w:rsidRPr="00007EB6">
        <w:rPr>
          <w:rFonts w:ascii="Palatino Linotype" w:eastAsia="Palatino Linotype" w:hAnsi="Palatino Linotype" w:cs="Palatino Linotype"/>
          <w:sz w:val="22"/>
          <w:szCs w:val="22"/>
        </w:rPr>
        <w:t>fue omisa en hacer valer manifestaciones o rendir alegatos que conforme a derecho resultaran procedentes, por lo tanto, se tiene por precluido su derecho.</w:t>
      </w:r>
    </w:p>
    <w:p w14:paraId="1F21AE97" w14:textId="77777777" w:rsidR="00333603" w:rsidRPr="00007EB6" w:rsidRDefault="00333603">
      <w:pPr>
        <w:pBdr>
          <w:top w:val="nil"/>
          <w:left w:val="nil"/>
          <w:bottom w:val="nil"/>
          <w:right w:val="nil"/>
          <w:between w:val="nil"/>
        </w:pBdr>
        <w:spacing w:line="360" w:lineRule="auto"/>
        <w:ind w:right="49"/>
        <w:jc w:val="both"/>
        <w:rPr>
          <w:rFonts w:ascii="Palatino Linotype" w:eastAsia="Palatino Linotype" w:hAnsi="Palatino Linotype" w:cs="Palatino Linotype"/>
          <w:strike/>
          <w:sz w:val="22"/>
          <w:szCs w:val="22"/>
        </w:rPr>
      </w:pPr>
    </w:p>
    <w:p w14:paraId="6A33AA66" w14:textId="77777777" w:rsidR="00333603" w:rsidRPr="00007EB6" w:rsidRDefault="00136575">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sz w:val="22"/>
          <w:szCs w:val="22"/>
        </w:rPr>
        <w:t xml:space="preserve">En ese sentido, atendiendo los motivos de inconformidad, </w:t>
      </w:r>
      <w:r w:rsidRPr="00007EB6">
        <w:rPr>
          <w:rFonts w:ascii="Palatino Linotype" w:eastAsia="Palatino Linotype" w:hAnsi="Palatino Linotype" w:cs="Palatino Linotype"/>
          <w:b/>
          <w:sz w:val="22"/>
          <w:szCs w:val="22"/>
        </w:rPr>
        <w:t>en el presente asunto se procederá al estudio del agravio relativo a la falta de entrega de los inventarios de bienes muebles e inmuebles actualizados al 09 de junio de 2025 (fecha en que se presentó la solicitud).</w:t>
      </w:r>
    </w:p>
    <w:p w14:paraId="5B1CF933" w14:textId="77777777" w:rsidR="00333603" w:rsidRPr="00007EB6" w:rsidRDefault="00333603">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p>
    <w:p w14:paraId="0190F3D2" w14:textId="77777777" w:rsidR="00333603" w:rsidRPr="00007EB6" w:rsidRDefault="00136575">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Una vez expuestas las posturas de las partes, resulta necesario iniciar el presente análisis, recordando que la unidad administrativa que se pronunció es la Sindicatura Municipal, la cual de conformidad con la Ley Orgánica Municipal del Estado de México, cuenta con las siguientes atribuciones:</w:t>
      </w:r>
    </w:p>
    <w:p w14:paraId="30E66E0C" w14:textId="77777777" w:rsidR="00333603" w:rsidRPr="00007EB6" w:rsidRDefault="00333603">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13188307" w14:textId="77777777" w:rsidR="00333603" w:rsidRPr="00007EB6" w:rsidRDefault="00136575">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w:t>
      </w:r>
      <w:r w:rsidRPr="00007EB6">
        <w:rPr>
          <w:rFonts w:ascii="Palatino Linotype" w:eastAsia="Palatino Linotype" w:hAnsi="Palatino Linotype" w:cs="Palatino Linotype"/>
          <w:b/>
          <w:i/>
          <w:sz w:val="22"/>
          <w:szCs w:val="22"/>
        </w:rPr>
        <w:t>Artículo 53.- Los síndicos tendrán las siguientes atribuciones:</w:t>
      </w:r>
    </w:p>
    <w:p w14:paraId="2E675928" w14:textId="77777777" w:rsidR="00333603" w:rsidRPr="00007EB6" w:rsidRDefault="00136575">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w:t>
      </w:r>
    </w:p>
    <w:p w14:paraId="4DD418CD" w14:textId="77777777" w:rsidR="00333603" w:rsidRPr="00007EB6" w:rsidRDefault="00136575">
      <w:pPr>
        <w:pBdr>
          <w:top w:val="nil"/>
          <w:left w:val="nil"/>
          <w:bottom w:val="nil"/>
          <w:right w:val="nil"/>
          <w:between w:val="nil"/>
        </w:pBdr>
        <w:spacing w:line="276" w:lineRule="auto"/>
        <w:ind w:left="567"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b/>
          <w:i/>
          <w:sz w:val="22"/>
          <w:szCs w:val="22"/>
        </w:rPr>
        <w:t>VII. Intervenir en la formulación del inventario general de los bienes muebles e inmuebles propiedad del municipio</w:t>
      </w:r>
      <w:r w:rsidRPr="00007EB6">
        <w:rPr>
          <w:rFonts w:ascii="Palatino Linotype" w:eastAsia="Palatino Linotype" w:hAnsi="Palatino Linotype" w:cs="Palatino Linotype"/>
          <w:i/>
          <w:sz w:val="22"/>
          <w:szCs w:val="22"/>
        </w:rPr>
        <w:t>, haciendo que se inscriban en el libro especial, con expresión de sus valores y de todas las características de identificación, así como el uso y destino de los mismos</w:t>
      </w:r>
    </w:p>
    <w:p w14:paraId="5CC85AAF" w14:textId="77777777" w:rsidR="00333603" w:rsidRPr="00007EB6" w:rsidRDefault="00333603">
      <w:pPr>
        <w:pBdr>
          <w:top w:val="nil"/>
          <w:left w:val="nil"/>
          <w:bottom w:val="nil"/>
          <w:right w:val="nil"/>
          <w:between w:val="nil"/>
        </w:pBdr>
        <w:spacing w:line="276" w:lineRule="auto"/>
        <w:ind w:right="900"/>
        <w:jc w:val="both"/>
        <w:rPr>
          <w:rFonts w:ascii="Palatino Linotype" w:eastAsia="Palatino Linotype" w:hAnsi="Palatino Linotype" w:cs="Palatino Linotype"/>
          <w:sz w:val="22"/>
          <w:szCs w:val="22"/>
        </w:rPr>
      </w:pPr>
    </w:p>
    <w:p w14:paraId="0D4BC471" w14:textId="77777777" w:rsidR="00333603" w:rsidRPr="00007EB6" w:rsidRDefault="00136575">
      <w:pPr>
        <w:spacing w:line="360" w:lineRule="auto"/>
        <w:ind w:right="14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En tal tesitura, se tiene que obra un pronunciamiento de la unidad administrativa encargada de intervenir en la elaboración del inventario general de los bienes muebles e inmuebles municipales, por consiguiente, es dable afirmar que en el presente asunto obra un pronunciamiento de la unidad administrativa competente, por lo que se determina que el </w:t>
      </w:r>
      <w:r w:rsidRPr="00007EB6">
        <w:rPr>
          <w:rFonts w:ascii="Palatino Linotype" w:eastAsia="Palatino Linotype" w:hAnsi="Palatino Linotype" w:cs="Palatino Linotype"/>
          <w:b/>
          <w:sz w:val="22"/>
          <w:szCs w:val="22"/>
        </w:rPr>
        <w:t>Sujeto Obligado</w:t>
      </w:r>
      <w:r w:rsidRPr="00007EB6">
        <w:rPr>
          <w:rFonts w:ascii="Palatino Linotype" w:eastAsia="Palatino Linotype" w:hAnsi="Palatino Linotype" w:cs="Palatino Linotype"/>
          <w:sz w:val="22"/>
          <w:szCs w:val="22"/>
        </w:rPr>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2EBBE6DD" w14:textId="77777777" w:rsidR="00333603" w:rsidRPr="00007EB6" w:rsidRDefault="00333603">
      <w:pPr>
        <w:spacing w:line="360" w:lineRule="auto"/>
        <w:ind w:right="141"/>
        <w:jc w:val="both"/>
        <w:rPr>
          <w:rFonts w:ascii="Palatino Linotype" w:eastAsia="Palatino Linotype" w:hAnsi="Palatino Linotype" w:cs="Palatino Linotype"/>
          <w:sz w:val="22"/>
          <w:szCs w:val="22"/>
        </w:rPr>
      </w:pPr>
    </w:p>
    <w:p w14:paraId="79946E85" w14:textId="77777777" w:rsidR="00333603" w:rsidRPr="00007EB6" w:rsidRDefault="00136575">
      <w:pPr>
        <w:pBdr>
          <w:top w:val="nil"/>
          <w:left w:val="nil"/>
          <w:bottom w:val="nil"/>
          <w:right w:val="nil"/>
          <w:between w:val="nil"/>
        </w:pBdr>
        <w:ind w:left="864" w:right="864"/>
        <w:jc w:val="both"/>
      </w:pPr>
      <w:r w:rsidRPr="00007EB6">
        <w:rPr>
          <w:rFonts w:ascii="Palatino Linotype" w:eastAsia="Palatino Linotype" w:hAnsi="Palatino Linotype" w:cs="Palatino Linotype"/>
          <w:i/>
          <w:sz w:val="22"/>
          <w:szCs w:val="22"/>
        </w:rPr>
        <w:lastRenderedPageBreak/>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4E60D409" w14:textId="77777777" w:rsidR="00333603" w:rsidRPr="00007EB6" w:rsidRDefault="00333603"/>
    <w:p w14:paraId="73B33083" w14:textId="77777777" w:rsidR="00333603" w:rsidRPr="00007EB6" w:rsidRDefault="00136575">
      <w:pPr>
        <w:spacing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Por otro lado, cabe resaltar que la información de análisis es de interés público, toda vez que es contemplada como una obligación de transparencia común, contemplada en el artículo 92, fracción XXXVIII, relativa al inventario de bienes muebles e inmuebles:</w:t>
      </w:r>
    </w:p>
    <w:p w14:paraId="3C590A3A" w14:textId="77777777" w:rsidR="00333603" w:rsidRPr="00007EB6" w:rsidRDefault="00333603">
      <w:pPr>
        <w:spacing w:line="360" w:lineRule="auto"/>
        <w:ind w:right="51"/>
        <w:jc w:val="both"/>
        <w:rPr>
          <w:rFonts w:ascii="Palatino Linotype" w:eastAsia="Palatino Linotype" w:hAnsi="Palatino Linotype" w:cs="Palatino Linotype"/>
          <w:sz w:val="22"/>
          <w:szCs w:val="22"/>
        </w:rPr>
      </w:pPr>
    </w:p>
    <w:p w14:paraId="3EEA17A1" w14:textId="77777777" w:rsidR="00333603" w:rsidRPr="00007EB6" w:rsidRDefault="00136575">
      <w:pPr>
        <w:spacing w:line="276" w:lineRule="auto"/>
        <w:ind w:left="567"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5995D0C" w14:textId="77777777" w:rsidR="00333603" w:rsidRPr="00007EB6" w:rsidRDefault="00136575">
      <w:pPr>
        <w:spacing w:line="276" w:lineRule="auto"/>
        <w:ind w:left="567" w:right="51"/>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w:t>
      </w:r>
    </w:p>
    <w:p w14:paraId="57935BDE" w14:textId="77777777" w:rsidR="00333603" w:rsidRPr="00007EB6" w:rsidRDefault="00136575">
      <w:pPr>
        <w:spacing w:line="276" w:lineRule="auto"/>
        <w:ind w:left="567" w:right="900"/>
        <w:jc w:val="both"/>
        <w:rPr>
          <w:rFonts w:ascii="Palatino Linotype" w:eastAsia="Palatino Linotype" w:hAnsi="Palatino Linotype" w:cs="Palatino Linotype"/>
          <w:b/>
          <w:i/>
          <w:sz w:val="22"/>
          <w:szCs w:val="22"/>
          <w:u w:val="single"/>
        </w:rPr>
      </w:pPr>
      <w:r w:rsidRPr="00007EB6">
        <w:rPr>
          <w:rFonts w:ascii="Palatino Linotype" w:eastAsia="Palatino Linotype" w:hAnsi="Palatino Linotype" w:cs="Palatino Linotype"/>
          <w:b/>
          <w:i/>
          <w:sz w:val="22"/>
          <w:szCs w:val="22"/>
          <w:u w:val="single"/>
        </w:rPr>
        <w:t xml:space="preserve">XXXVIII. El inventario de bienes muebles e inmuebles en posesión y propiedad;” </w:t>
      </w:r>
      <w:r w:rsidRPr="00007EB6">
        <w:rPr>
          <w:rFonts w:ascii="Palatino Linotype" w:eastAsia="Palatino Linotype" w:hAnsi="Palatino Linotype" w:cs="Palatino Linotype"/>
          <w:i/>
          <w:sz w:val="22"/>
          <w:szCs w:val="22"/>
        </w:rPr>
        <w:t>(Énfasis añadido)</w:t>
      </w:r>
    </w:p>
    <w:p w14:paraId="4B382A91" w14:textId="77777777" w:rsidR="00333603" w:rsidRPr="00007EB6" w:rsidRDefault="00333603">
      <w:pPr>
        <w:spacing w:line="276" w:lineRule="auto"/>
        <w:ind w:right="51"/>
        <w:jc w:val="both"/>
        <w:rPr>
          <w:rFonts w:ascii="Palatino Linotype" w:eastAsia="Palatino Linotype" w:hAnsi="Palatino Linotype" w:cs="Palatino Linotype"/>
          <w:i/>
          <w:sz w:val="22"/>
          <w:szCs w:val="22"/>
        </w:rPr>
      </w:pPr>
    </w:p>
    <w:p w14:paraId="44C5CB20" w14:textId="77777777" w:rsidR="00333603" w:rsidRPr="00007EB6" w:rsidRDefault="00136575">
      <w:pPr>
        <w:spacing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Por otra parte, resulta importante observar el contenido de los Lineamientos para la entrega de los Informes Trimestrales, emitidos por el Órgano Superior de Fiscalización del Estado de México (OSFEM), en cuyo Módulo 4, disponen en cuanto a la periodicidad en la que se genera la información relativa al inventario de bienes que es de manera semestral, tal como se acredita en la siguiente ilustración:</w:t>
      </w:r>
    </w:p>
    <w:p w14:paraId="730E6B48" w14:textId="77777777" w:rsidR="00333603" w:rsidRPr="00007EB6" w:rsidRDefault="00333603">
      <w:pPr>
        <w:spacing w:line="360" w:lineRule="auto"/>
        <w:ind w:right="51"/>
        <w:jc w:val="both"/>
        <w:rPr>
          <w:rFonts w:ascii="Palatino Linotype" w:eastAsia="Palatino Linotype" w:hAnsi="Palatino Linotype" w:cs="Palatino Linotype"/>
          <w:sz w:val="22"/>
          <w:szCs w:val="22"/>
        </w:rPr>
      </w:pPr>
    </w:p>
    <w:p w14:paraId="0B368F23" w14:textId="77777777" w:rsidR="00333603" w:rsidRPr="00007EB6" w:rsidRDefault="00136575">
      <w:pPr>
        <w:spacing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noProof/>
          <w:sz w:val="22"/>
          <w:szCs w:val="22"/>
        </w:rPr>
        <w:lastRenderedPageBreak/>
        <w:drawing>
          <wp:inline distT="0" distB="0" distL="0" distR="0" wp14:anchorId="0373E63B" wp14:editId="10542068">
            <wp:extent cx="5525271" cy="2638793"/>
            <wp:effectExtent l="0" t="0" r="0" b="0"/>
            <wp:docPr id="208329643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5525271" cy="2638793"/>
                    </a:xfrm>
                    <a:prstGeom prst="rect">
                      <a:avLst/>
                    </a:prstGeom>
                    <a:ln/>
                  </pic:spPr>
                </pic:pic>
              </a:graphicData>
            </a:graphic>
          </wp:inline>
        </w:drawing>
      </w:r>
    </w:p>
    <w:p w14:paraId="471DED6F" w14:textId="77777777" w:rsidR="00333603" w:rsidRPr="00007EB6" w:rsidRDefault="00136575">
      <w:pPr>
        <w:spacing w:line="360" w:lineRule="auto"/>
        <w:ind w:right="51"/>
        <w:jc w:val="center"/>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w:t>
      </w:r>
    </w:p>
    <w:p w14:paraId="622A8C3F" w14:textId="77777777" w:rsidR="00333603" w:rsidRPr="00007EB6" w:rsidRDefault="00136575">
      <w:pPr>
        <w:spacing w:line="360" w:lineRule="auto"/>
        <w:ind w:right="51"/>
        <w:jc w:val="center"/>
        <w:rPr>
          <w:rFonts w:ascii="Palatino Linotype" w:eastAsia="Palatino Linotype" w:hAnsi="Palatino Linotype" w:cs="Palatino Linotype"/>
          <w:sz w:val="22"/>
          <w:szCs w:val="22"/>
        </w:rPr>
      </w:pPr>
      <w:r w:rsidRPr="00007EB6">
        <w:rPr>
          <w:rFonts w:ascii="Palatino Linotype" w:eastAsia="Palatino Linotype" w:hAnsi="Palatino Linotype" w:cs="Palatino Linotype"/>
          <w:noProof/>
          <w:sz w:val="22"/>
          <w:szCs w:val="22"/>
        </w:rPr>
        <w:drawing>
          <wp:inline distT="0" distB="0" distL="0" distR="0" wp14:anchorId="066BE763" wp14:editId="74987DE1">
            <wp:extent cx="5525271" cy="3238952"/>
            <wp:effectExtent l="0" t="0" r="0" b="0"/>
            <wp:docPr id="208329643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5525271" cy="3238952"/>
                    </a:xfrm>
                    <a:prstGeom prst="rect">
                      <a:avLst/>
                    </a:prstGeom>
                    <a:ln/>
                  </pic:spPr>
                </pic:pic>
              </a:graphicData>
            </a:graphic>
          </wp:inline>
        </w:drawing>
      </w:r>
    </w:p>
    <w:p w14:paraId="15532D53" w14:textId="77777777" w:rsidR="00333603" w:rsidRPr="00007EB6" w:rsidRDefault="00333603">
      <w:pPr>
        <w:spacing w:line="360" w:lineRule="auto"/>
        <w:ind w:right="51"/>
        <w:jc w:val="both"/>
        <w:rPr>
          <w:rFonts w:ascii="Palatino Linotype" w:eastAsia="Palatino Linotype" w:hAnsi="Palatino Linotype" w:cs="Palatino Linotype"/>
          <w:sz w:val="22"/>
          <w:szCs w:val="22"/>
        </w:rPr>
      </w:pPr>
    </w:p>
    <w:p w14:paraId="32FE73DD" w14:textId="77777777" w:rsidR="00333603" w:rsidRPr="00007EB6" w:rsidRDefault="00136575">
      <w:pPr>
        <w:spacing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Consecuentemente, conforme el instructivo de llenado, dichos inventarios contienen los siguientes elementos:</w:t>
      </w:r>
    </w:p>
    <w:p w14:paraId="66AFAD4A" w14:textId="77777777" w:rsidR="00333603" w:rsidRPr="00007EB6" w:rsidRDefault="00333603">
      <w:pPr>
        <w:spacing w:line="360" w:lineRule="auto"/>
        <w:ind w:right="51"/>
        <w:jc w:val="both"/>
        <w:rPr>
          <w:rFonts w:ascii="Palatino Linotype" w:eastAsia="Palatino Linotype" w:hAnsi="Palatino Linotype" w:cs="Palatino Linotype"/>
          <w:sz w:val="22"/>
          <w:szCs w:val="22"/>
        </w:rPr>
      </w:pPr>
    </w:p>
    <w:p w14:paraId="7C97DF13" w14:textId="77777777" w:rsidR="00333603" w:rsidRPr="00007EB6" w:rsidRDefault="00136575">
      <w:pPr>
        <w:spacing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noProof/>
          <w:sz w:val="22"/>
          <w:szCs w:val="22"/>
        </w:rPr>
        <w:lastRenderedPageBreak/>
        <w:drawing>
          <wp:inline distT="0" distB="0" distL="0" distR="0" wp14:anchorId="1922146E" wp14:editId="4B7684D2">
            <wp:extent cx="5612130" cy="2667000"/>
            <wp:effectExtent l="0" t="0" r="0" b="0"/>
            <wp:docPr id="20832964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612130" cy="2667000"/>
                    </a:xfrm>
                    <a:prstGeom prst="rect">
                      <a:avLst/>
                    </a:prstGeom>
                    <a:ln/>
                  </pic:spPr>
                </pic:pic>
              </a:graphicData>
            </a:graphic>
          </wp:inline>
        </w:drawing>
      </w:r>
    </w:p>
    <w:p w14:paraId="6955CB05" w14:textId="77777777" w:rsidR="00333603" w:rsidRPr="00007EB6" w:rsidRDefault="00136575">
      <w:pPr>
        <w:spacing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noProof/>
          <w:sz w:val="22"/>
          <w:szCs w:val="22"/>
        </w:rPr>
        <w:drawing>
          <wp:inline distT="0" distB="0" distL="0" distR="0" wp14:anchorId="1CD2435C" wp14:editId="496ED672">
            <wp:extent cx="5612130" cy="4410075"/>
            <wp:effectExtent l="0" t="0" r="0" b="0"/>
            <wp:docPr id="208329643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5612130" cy="4410075"/>
                    </a:xfrm>
                    <a:prstGeom prst="rect">
                      <a:avLst/>
                    </a:prstGeom>
                    <a:ln/>
                  </pic:spPr>
                </pic:pic>
              </a:graphicData>
            </a:graphic>
          </wp:inline>
        </w:drawing>
      </w:r>
    </w:p>
    <w:p w14:paraId="1B5A670B" w14:textId="77777777" w:rsidR="00333603" w:rsidRPr="00007EB6" w:rsidRDefault="00136575">
      <w:pPr>
        <w:spacing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noProof/>
          <w:sz w:val="22"/>
          <w:szCs w:val="22"/>
        </w:rPr>
        <w:lastRenderedPageBreak/>
        <w:drawing>
          <wp:inline distT="0" distB="0" distL="0" distR="0" wp14:anchorId="3C25ABD4" wp14:editId="0C3DCABF">
            <wp:extent cx="5618808" cy="2672235"/>
            <wp:effectExtent l="0" t="0" r="0" b="0"/>
            <wp:docPr id="208329643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618808" cy="2672235"/>
                    </a:xfrm>
                    <a:prstGeom prst="rect">
                      <a:avLst/>
                    </a:prstGeom>
                    <a:ln/>
                  </pic:spPr>
                </pic:pic>
              </a:graphicData>
            </a:graphic>
          </wp:inline>
        </w:drawing>
      </w:r>
    </w:p>
    <w:p w14:paraId="762FDDDF" w14:textId="77777777" w:rsidR="00333603" w:rsidRPr="00007EB6" w:rsidRDefault="00136575">
      <w:pPr>
        <w:spacing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noProof/>
          <w:sz w:val="22"/>
          <w:szCs w:val="22"/>
        </w:rPr>
        <w:drawing>
          <wp:inline distT="0" distB="0" distL="0" distR="0" wp14:anchorId="3997B5FD" wp14:editId="0C2D7205">
            <wp:extent cx="5619690" cy="3745278"/>
            <wp:effectExtent l="0" t="0" r="0" b="0"/>
            <wp:docPr id="208329643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4"/>
                    <a:srcRect/>
                    <a:stretch>
                      <a:fillRect/>
                    </a:stretch>
                  </pic:blipFill>
                  <pic:spPr>
                    <a:xfrm>
                      <a:off x="0" y="0"/>
                      <a:ext cx="5619690" cy="3745278"/>
                    </a:xfrm>
                    <a:prstGeom prst="rect">
                      <a:avLst/>
                    </a:prstGeom>
                    <a:ln/>
                  </pic:spPr>
                </pic:pic>
              </a:graphicData>
            </a:graphic>
          </wp:inline>
        </w:drawing>
      </w:r>
    </w:p>
    <w:p w14:paraId="255F9BCA" w14:textId="77777777" w:rsidR="00333603" w:rsidRPr="00007EB6" w:rsidRDefault="00333603">
      <w:pPr>
        <w:spacing w:line="360" w:lineRule="auto"/>
        <w:jc w:val="both"/>
        <w:rPr>
          <w:rFonts w:ascii="Palatino Linotype" w:eastAsia="Palatino Linotype" w:hAnsi="Palatino Linotype" w:cs="Palatino Linotype"/>
          <w:sz w:val="22"/>
          <w:szCs w:val="22"/>
        </w:rPr>
      </w:pPr>
    </w:p>
    <w:p w14:paraId="5FE85DE3" w14:textId="77777777" w:rsidR="00333603" w:rsidRPr="00007EB6" w:rsidRDefault="00136575">
      <w:pPr>
        <w:spacing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A mayor abundamiento, es de precisar que la Ley de Transparencia y Acceso a la Información Pública del Estado de México y Municipios, en su numeral 92, fracción </w:t>
      </w:r>
      <w:r w:rsidRPr="00007EB6">
        <w:rPr>
          <w:rFonts w:ascii="Palatino Linotype" w:eastAsia="Palatino Linotype" w:hAnsi="Palatino Linotype" w:cs="Palatino Linotype"/>
          <w:sz w:val="22"/>
          <w:szCs w:val="22"/>
        </w:rPr>
        <w:lastRenderedPageBreak/>
        <w:t xml:space="preserve">XXXVIII, así como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vigentes a la fecha de la solicitud de información, disponen que el periodo de actualización del inventario de bienes, </w:t>
      </w:r>
      <w:r w:rsidRPr="00007EB6">
        <w:rPr>
          <w:rFonts w:ascii="Palatino Linotype" w:eastAsia="Palatino Linotype" w:hAnsi="Palatino Linotype" w:cs="Palatino Linotype"/>
          <w:b/>
          <w:sz w:val="22"/>
          <w:szCs w:val="22"/>
          <w:u w:val="single"/>
        </w:rPr>
        <w:t>es de manera semestral</w:t>
      </w:r>
      <w:r w:rsidRPr="00007EB6">
        <w:rPr>
          <w:rFonts w:ascii="Palatino Linotype" w:eastAsia="Palatino Linotype" w:hAnsi="Palatino Linotype" w:cs="Palatino Linotype"/>
          <w:sz w:val="22"/>
          <w:szCs w:val="22"/>
        </w:rPr>
        <w:t xml:space="preserve">, o, en su caso, </w:t>
      </w:r>
      <w:r w:rsidRPr="00007EB6">
        <w:rPr>
          <w:rFonts w:ascii="Palatino Linotype" w:eastAsia="Palatino Linotype" w:hAnsi="Palatino Linotype" w:cs="Palatino Linotype"/>
          <w:sz w:val="22"/>
          <w:szCs w:val="22"/>
          <w:u w:val="single"/>
        </w:rPr>
        <w:t>treinta días hábiles después de adquirir o dar de baja un bien</w:t>
      </w:r>
      <w:r w:rsidRPr="00007EB6">
        <w:rPr>
          <w:rFonts w:ascii="Palatino Linotype" w:eastAsia="Palatino Linotype" w:hAnsi="Palatino Linotype" w:cs="Palatino Linotype"/>
          <w:sz w:val="22"/>
          <w:szCs w:val="22"/>
        </w:rPr>
        <w:t>, como se muestra:</w:t>
      </w:r>
    </w:p>
    <w:p w14:paraId="7066AE92" w14:textId="77777777" w:rsidR="00333603" w:rsidRPr="00007EB6" w:rsidRDefault="00333603">
      <w:pPr>
        <w:spacing w:line="360" w:lineRule="auto"/>
        <w:jc w:val="both"/>
        <w:rPr>
          <w:rFonts w:ascii="Palatino Linotype" w:eastAsia="Palatino Linotype" w:hAnsi="Palatino Linotype" w:cs="Palatino Linotype"/>
          <w:sz w:val="22"/>
          <w:szCs w:val="22"/>
        </w:rPr>
      </w:pPr>
    </w:p>
    <w:p w14:paraId="2E440077" w14:textId="77777777" w:rsidR="00333603" w:rsidRPr="00007EB6" w:rsidRDefault="00136575">
      <w:pPr>
        <w:spacing w:line="360" w:lineRule="auto"/>
        <w:ind w:left="851" w:right="900"/>
        <w:jc w:val="both"/>
        <w:rPr>
          <w:rFonts w:ascii="Palatino Linotype" w:eastAsia="Palatino Linotype" w:hAnsi="Palatino Linotype" w:cs="Palatino Linotype"/>
          <w:b/>
          <w:i/>
          <w:sz w:val="22"/>
          <w:szCs w:val="22"/>
        </w:rPr>
      </w:pPr>
      <w:r w:rsidRPr="00007EB6">
        <w:rPr>
          <w:rFonts w:ascii="Palatino Linotype" w:eastAsia="Palatino Linotype" w:hAnsi="Palatino Linotype" w:cs="Palatino Linotype"/>
          <w:b/>
          <w:i/>
          <w:sz w:val="22"/>
          <w:szCs w:val="22"/>
        </w:rPr>
        <w:t>“LEY DE TRANSPARENCIA Y ACCESO A LA INFORMACIÓN PÚBLICA DEL ESTADO DE MÉXICO Y MUNICIPIOS</w:t>
      </w:r>
    </w:p>
    <w:p w14:paraId="01D29E97" w14:textId="77777777" w:rsidR="00333603" w:rsidRPr="00007EB6" w:rsidRDefault="00136575">
      <w:pPr>
        <w:spacing w:line="360" w:lineRule="auto"/>
        <w:ind w:left="851"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b/>
          <w:i/>
          <w:sz w:val="22"/>
          <w:szCs w:val="22"/>
        </w:rPr>
        <w:t>Artículo 92.</w:t>
      </w:r>
      <w:r w:rsidRPr="00007EB6">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81AB3AB" w14:textId="77777777" w:rsidR="00333603" w:rsidRPr="00007EB6" w:rsidRDefault="00136575">
      <w:pPr>
        <w:spacing w:line="360" w:lineRule="auto"/>
        <w:ind w:left="851"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w:t>
      </w:r>
    </w:p>
    <w:p w14:paraId="036B4C11" w14:textId="77777777" w:rsidR="00333603" w:rsidRPr="00007EB6" w:rsidRDefault="00136575">
      <w:pPr>
        <w:spacing w:line="360" w:lineRule="auto"/>
        <w:ind w:left="851"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XXXVIII. El inventario de bienes muebles e inmuebles en posesión y propiedad;</w:t>
      </w:r>
    </w:p>
    <w:p w14:paraId="4651E156" w14:textId="77777777" w:rsidR="00333603" w:rsidRPr="00007EB6" w:rsidRDefault="00136575">
      <w:pPr>
        <w:spacing w:line="360" w:lineRule="auto"/>
        <w:ind w:left="851" w:right="900"/>
        <w:jc w:val="both"/>
        <w:rPr>
          <w:rFonts w:ascii="Palatino Linotype" w:eastAsia="Palatino Linotype" w:hAnsi="Palatino Linotype" w:cs="Palatino Linotype"/>
          <w:b/>
          <w:i/>
          <w:sz w:val="22"/>
          <w:szCs w:val="22"/>
          <w:u w:val="single"/>
        </w:rPr>
      </w:pPr>
      <w:r w:rsidRPr="00007EB6">
        <w:rPr>
          <w:rFonts w:ascii="Palatino Linotype" w:eastAsia="Palatino Linotype" w:hAnsi="Palatino Linotype" w:cs="Palatino Linotype"/>
          <w:i/>
          <w:sz w:val="22"/>
          <w:szCs w:val="22"/>
        </w:rPr>
        <w:t>Periodo de actualización:</w:t>
      </w:r>
      <w:r w:rsidRPr="00007EB6">
        <w:rPr>
          <w:rFonts w:ascii="Palatino Linotype" w:eastAsia="Palatino Linotype" w:hAnsi="Palatino Linotype" w:cs="Palatino Linotype"/>
          <w:b/>
          <w:i/>
          <w:sz w:val="22"/>
          <w:szCs w:val="22"/>
          <w:u w:val="single"/>
        </w:rPr>
        <w:t xml:space="preserve"> semestral</w:t>
      </w:r>
    </w:p>
    <w:p w14:paraId="4E3E8187" w14:textId="77777777" w:rsidR="00333603" w:rsidRPr="00007EB6" w:rsidRDefault="00136575">
      <w:pPr>
        <w:spacing w:line="360" w:lineRule="auto"/>
        <w:ind w:left="851" w:right="900"/>
        <w:jc w:val="both"/>
        <w:rPr>
          <w:rFonts w:ascii="Palatino Linotype" w:eastAsia="Palatino Linotype" w:hAnsi="Palatino Linotype" w:cs="Palatino Linotype"/>
          <w:b/>
          <w:i/>
          <w:sz w:val="22"/>
          <w:szCs w:val="22"/>
          <w:u w:val="single"/>
        </w:rPr>
      </w:pPr>
      <w:r w:rsidRPr="00007EB6">
        <w:rPr>
          <w:rFonts w:ascii="Palatino Linotype" w:eastAsia="Palatino Linotype" w:hAnsi="Palatino Linotype" w:cs="Palatino Linotype"/>
          <w:b/>
          <w:i/>
          <w:sz w:val="22"/>
          <w:szCs w:val="22"/>
          <w:u w:val="single"/>
        </w:rPr>
        <w:t>En su caso, 30 días hábiles después de adquirir o dar de baja algún bien.”</w:t>
      </w:r>
    </w:p>
    <w:p w14:paraId="4EFBF075" w14:textId="77777777" w:rsidR="00333603" w:rsidRPr="00007EB6" w:rsidRDefault="00333603">
      <w:pPr>
        <w:spacing w:line="360" w:lineRule="auto"/>
        <w:ind w:left="851" w:right="900"/>
        <w:jc w:val="both"/>
        <w:rPr>
          <w:rFonts w:ascii="Palatino Linotype" w:eastAsia="Palatino Linotype" w:hAnsi="Palatino Linotype" w:cs="Palatino Linotype"/>
          <w:sz w:val="22"/>
          <w:szCs w:val="22"/>
        </w:rPr>
      </w:pPr>
    </w:p>
    <w:p w14:paraId="32449F3B" w14:textId="77777777" w:rsidR="00333603" w:rsidRPr="00007EB6" w:rsidRDefault="00136575">
      <w:pPr>
        <w:spacing w:line="360" w:lineRule="auto"/>
        <w:ind w:left="851" w:right="900"/>
        <w:jc w:val="both"/>
        <w:rPr>
          <w:rFonts w:ascii="Palatino Linotype" w:eastAsia="Palatino Linotype" w:hAnsi="Palatino Linotype" w:cs="Palatino Linotype"/>
          <w:b/>
          <w:i/>
          <w:sz w:val="22"/>
          <w:szCs w:val="22"/>
        </w:rPr>
      </w:pPr>
      <w:r w:rsidRPr="00007EB6">
        <w:rPr>
          <w:rFonts w:ascii="Palatino Linotype" w:eastAsia="Palatino Linotype" w:hAnsi="Palatino Linotype" w:cs="Palatino Linotype"/>
          <w:b/>
          <w:i/>
          <w:sz w:val="22"/>
          <w:szCs w:val="22"/>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w:t>
      </w:r>
      <w:r w:rsidRPr="00007EB6">
        <w:rPr>
          <w:rFonts w:ascii="Palatino Linotype" w:eastAsia="Palatino Linotype" w:hAnsi="Palatino Linotype" w:cs="Palatino Linotype"/>
          <w:b/>
          <w:i/>
          <w:sz w:val="22"/>
          <w:szCs w:val="22"/>
        </w:rPr>
        <w:lastRenderedPageBreak/>
        <w:t>DEBEN DE DIFUNDIR LOS SUJETOS OBLIGADOS EN LOS PORTALES DE INTERNET Y EN LA PLATAFORMA NACIONAL DE TRANSPARENCIA</w:t>
      </w:r>
    </w:p>
    <w:p w14:paraId="0D9D7566" w14:textId="77777777" w:rsidR="00333603" w:rsidRPr="00007EB6" w:rsidRDefault="00333603">
      <w:pPr>
        <w:spacing w:line="360" w:lineRule="auto"/>
        <w:ind w:left="851" w:right="900"/>
        <w:jc w:val="both"/>
        <w:rPr>
          <w:rFonts w:ascii="Palatino Linotype" w:eastAsia="Palatino Linotype" w:hAnsi="Palatino Linotype" w:cs="Palatino Linotype"/>
          <w:i/>
          <w:sz w:val="22"/>
          <w:szCs w:val="22"/>
        </w:rPr>
      </w:pPr>
    </w:p>
    <w:p w14:paraId="6CAD9129" w14:textId="77777777" w:rsidR="00333603" w:rsidRPr="00007EB6" w:rsidRDefault="00136575">
      <w:pPr>
        <w:spacing w:line="360" w:lineRule="auto"/>
        <w:ind w:left="851" w:right="900"/>
        <w:jc w:val="both"/>
        <w:rPr>
          <w:rFonts w:ascii="Palatino Linotype" w:eastAsia="Palatino Linotype" w:hAnsi="Palatino Linotype" w:cs="Palatino Linotype"/>
          <w:i/>
          <w:sz w:val="22"/>
          <w:szCs w:val="22"/>
        </w:rPr>
      </w:pPr>
      <w:r w:rsidRPr="00007EB6">
        <w:rPr>
          <w:rFonts w:ascii="Palatino Linotype" w:eastAsia="Palatino Linotype" w:hAnsi="Palatino Linotype" w:cs="Palatino Linotype"/>
          <w:i/>
          <w:sz w:val="22"/>
          <w:szCs w:val="22"/>
        </w:rPr>
        <w:t>XXXIV. El inventario de bienes muebles e inmuebles en posesión y propiedad</w:t>
      </w:r>
    </w:p>
    <w:p w14:paraId="59A6BA32" w14:textId="77777777" w:rsidR="00333603" w:rsidRPr="00007EB6" w:rsidRDefault="00136575">
      <w:pPr>
        <w:spacing w:line="360" w:lineRule="auto"/>
        <w:jc w:val="center"/>
        <w:rPr>
          <w:rFonts w:ascii="Palatino Linotype" w:eastAsia="Palatino Linotype" w:hAnsi="Palatino Linotype" w:cs="Palatino Linotype"/>
          <w:sz w:val="22"/>
          <w:szCs w:val="22"/>
        </w:rPr>
      </w:pPr>
      <w:r w:rsidRPr="00007EB6">
        <w:rPr>
          <w:rFonts w:ascii="Palatino Linotype" w:eastAsia="Palatino Linotype" w:hAnsi="Palatino Linotype" w:cs="Palatino Linotype"/>
          <w:noProof/>
          <w:sz w:val="22"/>
          <w:szCs w:val="22"/>
        </w:rPr>
        <w:drawing>
          <wp:inline distT="0" distB="0" distL="0" distR="0" wp14:anchorId="467BEBC1" wp14:editId="1B101EF6">
            <wp:extent cx="4734805" cy="2906935"/>
            <wp:effectExtent l="0" t="0" r="0" b="0"/>
            <wp:docPr id="208329643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4734805" cy="2906935"/>
                    </a:xfrm>
                    <a:prstGeom prst="rect">
                      <a:avLst/>
                    </a:prstGeom>
                    <a:ln/>
                  </pic:spPr>
                </pic:pic>
              </a:graphicData>
            </a:graphic>
          </wp:inline>
        </w:drawing>
      </w:r>
      <w:r w:rsidRPr="00007EB6">
        <w:rPr>
          <w:rFonts w:ascii="Palatino Linotype" w:eastAsia="Palatino Linotype" w:hAnsi="Palatino Linotype" w:cs="Palatino Linotype"/>
          <w:sz w:val="22"/>
          <w:szCs w:val="22"/>
        </w:rPr>
        <w:t>”</w:t>
      </w:r>
    </w:p>
    <w:p w14:paraId="6C41E402" w14:textId="77777777" w:rsidR="00333603" w:rsidRPr="00007EB6" w:rsidRDefault="00333603">
      <w:pPr>
        <w:spacing w:line="360" w:lineRule="auto"/>
        <w:jc w:val="both"/>
        <w:rPr>
          <w:rFonts w:ascii="Palatino Linotype" w:eastAsia="Palatino Linotype" w:hAnsi="Palatino Linotype" w:cs="Palatino Linotype"/>
          <w:sz w:val="22"/>
          <w:szCs w:val="22"/>
        </w:rPr>
      </w:pPr>
    </w:p>
    <w:p w14:paraId="36D50462"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Conforme lo anterior, se advierte que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tiene atribuciones para conocer del inventario de bienes muebles e inmuebles requerido.</w:t>
      </w:r>
    </w:p>
    <w:p w14:paraId="2515ED8F"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Precisado lo anterior, en el caso se procede al análisis de la respuesta proporcionada por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y para esto se tiene que la Sindica Municipal remitió los inventarios de los bienes muebles e inmuebles del Municipio de Teoloyucan con fecha de corte al 31 de marzo de 2025.</w:t>
      </w:r>
    </w:p>
    <w:p w14:paraId="55474524" w14:textId="77777777" w:rsidR="00333603" w:rsidRPr="00007EB6" w:rsidRDefault="00136575">
      <w:pPr>
        <w:spacing w:before="240" w:after="240" w:line="360" w:lineRule="auto"/>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sz w:val="22"/>
          <w:szCs w:val="22"/>
        </w:rPr>
        <w:t xml:space="preserve">De esta manera, atendiendo la normatividad que rige al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 xml:space="preserve">se advierte que este constreñido en actualizar su inventario de bienes muebles e inmuebles </w:t>
      </w:r>
      <w:r w:rsidRPr="00007EB6">
        <w:rPr>
          <w:rFonts w:ascii="Palatino Linotype" w:eastAsia="Palatino Linotype" w:hAnsi="Palatino Linotype" w:cs="Palatino Linotype"/>
          <w:sz w:val="22"/>
          <w:szCs w:val="22"/>
          <w:u w:val="single"/>
        </w:rPr>
        <w:t xml:space="preserve">de manera </w:t>
      </w:r>
      <w:r w:rsidRPr="00007EB6">
        <w:rPr>
          <w:rFonts w:ascii="Palatino Linotype" w:eastAsia="Palatino Linotype" w:hAnsi="Palatino Linotype" w:cs="Palatino Linotype"/>
          <w:sz w:val="22"/>
          <w:szCs w:val="22"/>
          <w:u w:val="single"/>
        </w:rPr>
        <w:lastRenderedPageBreak/>
        <w:t>semestral,</w:t>
      </w:r>
      <w:r w:rsidRPr="00007EB6">
        <w:rPr>
          <w:rFonts w:ascii="Palatino Linotype" w:eastAsia="Palatino Linotype" w:hAnsi="Palatino Linotype" w:cs="Palatino Linotype"/>
          <w:sz w:val="22"/>
          <w:szCs w:val="22"/>
        </w:rPr>
        <w:t xml:space="preserve"> o, en su caso, </w:t>
      </w:r>
      <w:r w:rsidRPr="00007EB6">
        <w:rPr>
          <w:rFonts w:ascii="Palatino Linotype" w:eastAsia="Palatino Linotype" w:hAnsi="Palatino Linotype" w:cs="Palatino Linotype"/>
          <w:sz w:val="22"/>
          <w:szCs w:val="22"/>
          <w:u w:val="single"/>
        </w:rPr>
        <w:t>treinta días hábiles después de adquirir o dar de baja un bien;</w:t>
      </w:r>
      <w:r w:rsidRPr="00007EB6">
        <w:rPr>
          <w:rFonts w:ascii="Palatino Linotype" w:eastAsia="Palatino Linotype" w:hAnsi="Palatino Linotype" w:cs="Palatino Linotype"/>
          <w:b/>
          <w:sz w:val="22"/>
          <w:szCs w:val="22"/>
        </w:rPr>
        <w:t xml:space="preserve"> por tanto, se colige que los inventarios remitidos en respuesta con corte al 31 de marzo de 2025, son los más actualizados con los que cuenta a la fecha de la solicitud (09 de junio de2025).</w:t>
      </w:r>
    </w:p>
    <w:p w14:paraId="2A3446C7" w14:textId="77777777" w:rsidR="00333603" w:rsidRPr="00007EB6" w:rsidRDefault="00136575">
      <w:pPr>
        <w:spacing w:line="360" w:lineRule="auto"/>
        <w:jc w:val="both"/>
        <w:rPr>
          <w:rFonts w:ascii="Palatino Linotype" w:eastAsia="Palatino Linotype" w:hAnsi="Palatino Linotype" w:cs="Palatino Linotype"/>
          <w:sz w:val="22"/>
          <w:szCs w:val="22"/>
          <w:u w:val="single"/>
        </w:rPr>
      </w:pPr>
      <w:bookmarkStart w:id="8" w:name="_heading=h.phfox0pkny1" w:colFirst="0" w:colLast="0"/>
      <w:bookmarkEnd w:id="8"/>
      <w:r w:rsidRPr="00007EB6">
        <w:rPr>
          <w:rFonts w:ascii="Palatino Linotype" w:eastAsia="Palatino Linotype" w:hAnsi="Palatino Linotype" w:cs="Palatino Linotype"/>
          <w:sz w:val="22"/>
          <w:szCs w:val="22"/>
        </w:rPr>
        <w:t xml:space="preserve">Máxime que de las constancias que obran en el expediente electrónico en que se actúa, se advierte que durante el periodo manifestaciones el </w:t>
      </w:r>
      <w:r w:rsidRPr="00007EB6">
        <w:rPr>
          <w:rFonts w:ascii="Palatino Linotype" w:eastAsia="Palatino Linotype" w:hAnsi="Palatino Linotype" w:cs="Palatino Linotype"/>
          <w:b/>
          <w:sz w:val="22"/>
          <w:szCs w:val="22"/>
        </w:rPr>
        <w:t xml:space="preserve">Sujeto Obligado </w:t>
      </w:r>
      <w:r w:rsidRPr="00007EB6">
        <w:rPr>
          <w:rFonts w:ascii="Palatino Linotype" w:eastAsia="Palatino Linotype" w:hAnsi="Palatino Linotype" w:cs="Palatino Linotype"/>
          <w:sz w:val="22"/>
          <w:szCs w:val="22"/>
        </w:rPr>
        <w:t xml:space="preserve">al momento de rendir su informe justificado además de ratificar su respuesta inicial, </w:t>
      </w:r>
      <w:r w:rsidRPr="00007EB6">
        <w:rPr>
          <w:rFonts w:ascii="Palatino Linotype" w:eastAsia="Palatino Linotype" w:hAnsi="Palatino Linotype" w:cs="Palatino Linotype"/>
          <w:sz w:val="22"/>
          <w:szCs w:val="22"/>
          <w:u w:val="single"/>
        </w:rPr>
        <w:t>se advierte que precisó que hizo entrega de la información con corte al 31 de marzo de 2025, por ser esta la información más actual a la fecha de la solicitud; ello, tomando en cuenta que el levantamiento de bienes se hace de manera semestral.</w:t>
      </w:r>
    </w:p>
    <w:p w14:paraId="328C0BD2" w14:textId="77777777" w:rsidR="00333603" w:rsidRPr="00007EB6" w:rsidRDefault="00333603">
      <w:pPr>
        <w:spacing w:line="360" w:lineRule="auto"/>
        <w:jc w:val="both"/>
        <w:rPr>
          <w:rFonts w:ascii="Palatino Linotype" w:eastAsia="Palatino Linotype" w:hAnsi="Palatino Linotype" w:cs="Palatino Linotype"/>
          <w:sz w:val="22"/>
          <w:szCs w:val="22"/>
        </w:rPr>
      </w:pPr>
    </w:p>
    <w:p w14:paraId="41AE54BA" w14:textId="77777777" w:rsidR="00333603" w:rsidRPr="00007EB6" w:rsidRDefault="00136575">
      <w:pPr>
        <w:spacing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De ahí que, desde respuesta se satisfizo el derecho de acceso a la información del particular.</w:t>
      </w:r>
    </w:p>
    <w:p w14:paraId="57F52A74" w14:textId="77777777" w:rsidR="00333603" w:rsidRPr="00007EB6" w:rsidRDefault="00136575">
      <w:pPr>
        <w:spacing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Aunado a lo anterior, este Pleno considera necesario dejar claro que, al haber existido un pronunciamiento por parte del </w:t>
      </w:r>
      <w:r w:rsidRPr="00007EB6">
        <w:rPr>
          <w:rFonts w:ascii="Palatino Linotype" w:eastAsia="Palatino Linotype" w:hAnsi="Palatino Linotype" w:cs="Palatino Linotype"/>
          <w:b/>
          <w:sz w:val="22"/>
          <w:szCs w:val="22"/>
        </w:rPr>
        <w:t>Sujeto Obligado</w:t>
      </w:r>
      <w:r w:rsidRPr="00007EB6">
        <w:rPr>
          <w:rFonts w:ascii="Palatino Linotype" w:eastAsia="Palatino Linotype" w:hAnsi="Palatino Linotype" w:cs="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w:t>
      </w:r>
    </w:p>
    <w:p w14:paraId="736A7788" w14:textId="77777777" w:rsidR="00333603" w:rsidRPr="00007EB6" w:rsidRDefault="00333603">
      <w:pPr>
        <w:spacing w:line="360" w:lineRule="auto"/>
        <w:jc w:val="both"/>
        <w:rPr>
          <w:rFonts w:ascii="Palatino Linotype" w:eastAsia="Palatino Linotype" w:hAnsi="Palatino Linotype" w:cs="Palatino Linotype"/>
          <w:sz w:val="22"/>
          <w:szCs w:val="22"/>
        </w:rPr>
      </w:pPr>
    </w:p>
    <w:p w14:paraId="5678A2FA" w14:textId="77777777" w:rsidR="00333603" w:rsidRPr="00007EB6" w:rsidRDefault="00136575">
      <w:pPr>
        <w:spacing w:line="360" w:lineRule="auto"/>
        <w:jc w:val="both"/>
        <w:rPr>
          <w:rFonts w:ascii="Palatino Linotype" w:eastAsia="Palatino Linotype" w:hAnsi="Palatino Linotype" w:cs="Palatino Linotype"/>
          <w:b/>
          <w:sz w:val="22"/>
          <w:szCs w:val="22"/>
        </w:rPr>
      </w:pPr>
      <w:r w:rsidRPr="00007EB6">
        <w:rPr>
          <w:rFonts w:ascii="Palatino Linotype" w:eastAsia="Palatino Linotype" w:hAnsi="Palatino Linotype" w:cs="Palatino Linotype"/>
          <w:sz w:val="22"/>
          <w:szCs w:val="22"/>
        </w:rPr>
        <w:t xml:space="preserve">Bajo las consideraciones expuestas, se tiene que los motivos de inconformidad esgrimidos por la parte </w:t>
      </w:r>
      <w:r w:rsidRPr="00007EB6">
        <w:rPr>
          <w:rFonts w:ascii="Palatino Linotype" w:eastAsia="Palatino Linotype" w:hAnsi="Palatino Linotype" w:cs="Palatino Linotype"/>
          <w:b/>
          <w:sz w:val="22"/>
          <w:szCs w:val="22"/>
        </w:rPr>
        <w:t xml:space="preserve">Recurrente </w:t>
      </w:r>
      <w:r w:rsidRPr="00007EB6">
        <w:rPr>
          <w:rFonts w:ascii="Palatino Linotype" w:eastAsia="Palatino Linotype" w:hAnsi="Palatino Linotype" w:cs="Palatino Linotype"/>
          <w:sz w:val="22"/>
          <w:szCs w:val="22"/>
        </w:rPr>
        <w:t xml:space="preserve">devienen infundados; siendo procedente </w:t>
      </w:r>
      <w:r w:rsidRPr="00007EB6">
        <w:rPr>
          <w:rFonts w:ascii="Palatino Linotype" w:eastAsia="Palatino Linotype" w:hAnsi="Palatino Linotype" w:cs="Palatino Linotype"/>
          <w:b/>
          <w:sz w:val="22"/>
          <w:szCs w:val="22"/>
        </w:rPr>
        <w:t xml:space="preserve">Confirmar </w:t>
      </w:r>
      <w:r w:rsidRPr="00007EB6">
        <w:rPr>
          <w:rFonts w:ascii="Palatino Linotype" w:eastAsia="Palatino Linotype" w:hAnsi="Palatino Linotype" w:cs="Palatino Linotype"/>
          <w:sz w:val="22"/>
          <w:szCs w:val="22"/>
        </w:rPr>
        <w:t xml:space="preserve">la respuesta del </w:t>
      </w:r>
      <w:r w:rsidRPr="00007EB6">
        <w:rPr>
          <w:rFonts w:ascii="Palatino Linotype" w:eastAsia="Palatino Linotype" w:hAnsi="Palatino Linotype" w:cs="Palatino Linotype"/>
          <w:b/>
          <w:sz w:val="22"/>
          <w:szCs w:val="22"/>
        </w:rPr>
        <w:t>Sujeto Obligado.</w:t>
      </w:r>
    </w:p>
    <w:p w14:paraId="6D113359" w14:textId="77777777" w:rsidR="00333603" w:rsidRPr="00007EB6" w:rsidRDefault="00333603">
      <w:pPr>
        <w:spacing w:line="360" w:lineRule="auto"/>
        <w:jc w:val="both"/>
        <w:rPr>
          <w:rFonts w:ascii="Palatino Linotype" w:eastAsia="Palatino Linotype" w:hAnsi="Palatino Linotype" w:cs="Palatino Linotype"/>
          <w:sz w:val="22"/>
          <w:szCs w:val="22"/>
        </w:rPr>
      </w:pPr>
    </w:p>
    <w:p w14:paraId="47EBD810" w14:textId="77777777" w:rsidR="00333603" w:rsidRPr="00007EB6" w:rsidRDefault="00136575">
      <w:pPr>
        <w:spacing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de la Constitución Política del Estado Libre y Soberano de México; 2, fracción II; 29, 36 fracciones I y II; 176, 178, 181, 185 y 186 fracción II </w:t>
      </w:r>
      <w:r w:rsidRPr="00007EB6">
        <w:rPr>
          <w:rFonts w:ascii="Palatino Linotype" w:eastAsia="Palatino Linotype" w:hAnsi="Palatino Linotype" w:cs="Palatino Linotype"/>
          <w:sz w:val="22"/>
          <w:szCs w:val="22"/>
        </w:rPr>
        <w:lastRenderedPageBreak/>
        <w:t>de la Ley de Transparencia y Acceso a la Información Pública del Estado de México y Municipios, este Pleno:</w:t>
      </w:r>
    </w:p>
    <w:p w14:paraId="3DCCCC08" w14:textId="77777777" w:rsidR="00333603" w:rsidRPr="00007EB6" w:rsidRDefault="00136575">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007EB6">
        <w:rPr>
          <w:rFonts w:ascii="Palatino Linotype" w:eastAsia="Palatino Linotype" w:hAnsi="Palatino Linotype" w:cs="Palatino Linotype"/>
          <w:b/>
          <w:sz w:val="22"/>
          <w:szCs w:val="22"/>
        </w:rPr>
        <w:t>III. R E S U E L V E</w:t>
      </w:r>
    </w:p>
    <w:p w14:paraId="74BC3029"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bookmarkStart w:id="9" w:name="_heading=h.1t3h5sf" w:colFirst="0" w:colLast="0"/>
      <w:bookmarkEnd w:id="9"/>
      <w:r w:rsidRPr="00007EB6">
        <w:rPr>
          <w:rFonts w:ascii="Palatino Linotype" w:eastAsia="Palatino Linotype" w:hAnsi="Palatino Linotype" w:cs="Palatino Linotype"/>
          <w:b/>
          <w:sz w:val="22"/>
          <w:szCs w:val="22"/>
        </w:rPr>
        <w:t xml:space="preserve">Primero. </w:t>
      </w:r>
      <w:r w:rsidRPr="00007EB6">
        <w:rPr>
          <w:rFonts w:ascii="Palatino Linotype" w:eastAsia="Palatino Linotype" w:hAnsi="Palatino Linotype" w:cs="Palatino Linotype"/>
          <w:sz w:val="22"/>
          <w:szCs w:val="22"/>
        </w:rPr>
        <w:t xml:space="preserve">Son </w:t>
      </w:r>
      <w:r w:rsidRPr="00007EB6">
        <w:rPr>
          <w:rFonts w:ascii="Palatino Linotype" w:eastAsia="Palatino Linotype" w:hAnsi="Palatino Linotype" w:cs="Palatino Linotype"/>
          <w:b/>
          <w:sz w:val="22"/>
          <w:szCs w:val="22"/>
        </w:rPr>
        <w:t>infundadas</w:t>
      </w:r>
      <w:r w:rsidRPr="00007EB6">
        <w:rPr>
          <w:rFonts w:ascii="Palatino Linotype" w:eastAsia="Palatino Linotype" w:hAnsi="Palatino Linotype" w:cs="Palatino Linotype"/>
          <w:sz w:val="22"/>
          <w:szCs w:val="22"/>
        </w:rPr>
        <w:t xml:space="preserve"> las razones o motivos de inconformidad hechos valer por la parte </w:t>
      </w:r>
      <w:r w:rsidRPr="00007EB6">
        <w:rPr>
          <w:rFonts w:ascii="Palatino Linotype" w:eastAsia="Palatino Linotype" w:hAnsi="Palatino Linotype" w:cs="Palatino Linotype"/>
          <w:b/>
          <w:sz w:val="22"/>
          <w:szCs w:val="22"/>
        </w:rPr>
        <w:t>Recurrente</w:t>
      </w:r>
      <w:r w:rsidRPr="00007EB6">
        <w:rPr>
          <w:rFonts w:ascii="Palatino Linotype" w:eastAsia="Palatino Linotype" w:hAnsi="Palatino Linotype" w:cs="Palatino Linotype"/>
          <w:sz w:val="22"/>
          <w:szCs w:val="22"/>
        </w:rPr>
        <w:t xml:space="preserve"> en el recurso de revisión </w:t>
      </w:r>
      <w:r w:rsidRPr="00007EB6">
        <w:rPr>
          <w:rFonts w:ascii="Palatino Linotype" w:eastAsia="Palatino Linotype" w:hAnsi="Palatino Linotype" w:cs="Palatino Linotype"/>
          <w:b/>
          <w:sz w:val="22"/>
          <w:szCs w:val="22"/>
        </w:rPr>
        <w:t>07809/INFOEM/IP/RR/2025</w:t>
      </w:r>
      <w:r w:rsidRPr="00007EB6">
        <w:rPr>
          <w:rFonts w:ascii="Palatino Linotype" w:eastAsia="Palatino Linotype" w:hAnsi="Palatino Linotype" w:cs="Palatino Linotype"/>
          <w:sz w:val="22"/>
          <w:szCs w:val="22"/>
        </w:rPr>
        <w:t xml:space="preserve">, por lo que, en términos de los argumentos de derecho señalados en el considerando </w:t>
      </w:r>
      <w:r w:rsidRPr="00007EB6">
        <w:rPr>
          <w:rFonts w:ascii="Palatino Linotype" w:eastAsia="Palatino Linotype" w:hAnsi="Palatino Linotype" w:cs="Palatino Linotype"/>
          <w:b/>
          <w:sz w:val="22"/>
          <w:szCs w:val="22"/>
        </w:rPr>
        <w:t>Cuarto</w:t>
      </w:r>
      <w:r w:rsidRPr="00007EB6">
        <w:rPr>
          <w:rFonts w:ascii="Palatino Linotype" w:eastAsia="Palatino Linotype" w:hAnsi="Palatino Linotype" w:cs="Palatino Linotype"/>
          <w:sz w:val="22"/>
          <w:szCs w:val="22"/>
        </w:rPr>
        <w:t>, se</w:t>
      </w:r>
      <w:r w:rsidRPr="00007EB6">
        <w:rPr>
          <w:rFonts w:ascii="Palatino Linotype" w:eastAsia="Palatino Linotype" w:hAnsi="Palatino Linotype" w:cs="Palatino Linotype"/>
          <w:b/>
          <w:sz w:val="22"/>
          <w:szCs w:val="22"/>
        </w:rPr>
        <w:t xml:space="preserve"> Confirma </w:t>
      </w:r>
      <w:r w:rsidRPr="00007EB6">
        <w:rPr>
          <w:rFonts w:ascii="Palatino Linotype" w:eastAsia="Palatino Linotype" w:hAnsi="Palatino Linotype" w:cs="Palatino Linotype"/>
          <w:sz w:val="22"/>
          <w:szCs w:val="22"/>
        </w:rPr>
        <w:t xml:space="preserve">la respuesta del </w:t>
      </w:r>
      <w:r w:rsidRPr="00007EB6">
        <w:rPr>
          <w:rFonts w:ascii="Palatino Linotype" w:eastAsia="Palatino Linotype" w:hAnsi="Palatino Linotype" w:cs="Palatino Linotype"/>
          <w:b/>
          <w:sz w:val="22"/>
          <w:szCs w:val="22"/>
        </w:rPr>
        <w:t>Sujeto Obligado</w:t>
      </w:r>
      <w:r w:rsidRPr="00007EB6">
        <w:rPr>
          <w:rFonts w:ascii="Palatino Linotype" w:eastAsia="Palatino Linotype" w:hAnsi="Palatino Linotype" w:cs="Palatino Linotype"/>
          <w:sz w:val="22"/>
          <w:szCs w:val="22"/>
        </w:rPr>
        <w:t>.</w:t>
      </w:r>
    </w:p>
    <w:p w14:paraId="72908C41"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bookmarkStart w:id="10" w:name="_heading=h.lnxbz9" w:colFirst="0" w:colLast="0"/>
      <w:bookmarkEnd w:id="10"/>
      <w:r w:rsidRPr="00007EB6">
        <w:rPr>
          <w:rFonts w:ascii="Palatino Linotype" w:eastAsia="Palatino Linotype" w:hAnsi="Palatino Linotype" w:cs="Palatino Linotype"/>
          <w:b/>
          <w:sz w:val="22"/>
          <w:szCs w:val="22"/>
        </w:rPr>
        <w:t xml:space="preserve">Segundo. Notifíquese, </w:t>
      </w:r>
      <w:r w:rsidRPr="00007EB6">
        <w:rPr>
          <w:rFonts w:ascii="Palatino Linotype" w:eastAsia="Palatino Linotype" w:hAnsi="Palatino Linotype" w:cs="Palatino Linotype"/>
          <w:sz w:val="22"/>
          <w:szCs w:val="22"/>
        </w:rPr>
        <w:t xml:space="preserve">vía </w:t>
      </w:r>
      <w:r w:rsidRPr="00007EB6">
        <w:rPr>
          <w:rFonts w:ascii="Palatino Linotype" w:eastAsia="Palatino Linotype" w:hAnsi="Palatino Linotype" w:cs="Palatino Linotype"/>
          <w:b/>
          <w:sz w:val="22"/>
          <w:szCs w:val="22"/>
        </w:rPr>
        <w:t xml:space="preserve">SAIMEX, </w:t>
      </w:r>
      <w:r w:rsidRPr="00007EB6">
        <w:rPr>
          <w:rFonts w:ascii="Palatino Linotype" w:eastAsia="Palatino Linotype" w:hAnsi="Palatino Linotype" w:cs="Palatino Linotype"/>
          <w:sz w:val="22"/>
          <w:szCs w:val="22"/>
        </w:rPr>
        <w:t xml:space="preserve">al Titular de la Unidad de Transparencia del </w:t>
      </w:r>
      <w:r w:rsidRPr="00007EB6">
        <w:rPr>
          <w:rFonts w:ascii="Palatino Linotype" w:eastAsia="Palatino Linotype" w:hAnsi="Palatino Linotype" w:cs="Palatino Linotype"/>
          <w:b/>
          <w:sz w:val="22"/>
          <w:szCs w:val="22"/>
        </w:rPr>
        <w:t>Sujeto Obligado</w:t>
      </w:r>
      <w:r w:rsidRPr="00007EB6">
        <w:rPr>
          <w:rFonts w:ascii="Palatino Linotype" w:eastAsia="Palatino Linotype" w:hAnsi="Palatino Linotype" w:cs="Palatino Linotype"/>
          <w:sz w:val="22"/>
          <w:szCs w:val="22"/>
        </w:rPr>
        <w:t xml:space="preserve"> para su conocimiento, la presente resolución.</w:t>
      </w:r>
    </w:p>
    <w:p w14:paraId="2E618117" w14:textId="77777777" w:rsidR="00333603" w:rsidRPr="00007EB6" w:rsidRDefault="00136575">
      <w:pPr>
        <w:spacing w:before="240" w:after="240" w:line="360" w:lineRule="auto"/>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b/>
          <w:sz w:val="22"/>
          <w:szCs w:val="22"/>
        </w:rPr>
        <w:t xml:space="preserve">Tercero.  Notifíquese, </w:t>
      </w:r>
      <w:r w:rsidRPr="00007EB6">
        <w:rPr>
          <w:rFonts w:ascii="Palatino Linotype" w:eastAsia="Palatino Linotype" w:hAnsi="Palatino Linotype" w:cs="Palatino Linotype"/>
          <w:sz w:val="22"/>
          <w:szCs w:val="22"/>
        </w:rPr>
        <w:t xml:space="preserve">vía </w:t>
      </w:r>
      <w:r w:rsidRPr="00007EB6">
        <w:rPr>
          <w:rFonts w:ascii="Palatino Linotype" w:eastAsia="Palatino Linotype" w:hAnsi="Palatino Linotype" w:cs="Palatino Linotype"/>
          <w:b/>
          <w:sz w:val="22"/>
          <w:szCs w:val="22"/>
        </w:rPr>
        <w:t xml:space="preserve">SAIMEX, </w:t>
      </w:r>
      <w:r w:rsidRPr="00007EB6">
        <w:rPr>
          <w:rFonts w:ascii="Palatino Linotype" w:eastAsia="Palatino Linotype" w:hAnsi="Palatino Linotype" w:cs="Palatino Linotype"/>
          <w:sz w:val="22"/>
          <w:szCs w:val="22"/>
        </w:rPr>
        <w:t xml:space="preserve">a la parte </w:t>
      </w:r>
      <w:r w:rsidRPr="00007EB6">
        <w:rPr>
          <w:rFonts w:ascii="Palatino Linotype" w:eastAsia="Palatino Linotype" w:hAnsi="Palatino Linotype" w:cs="Palatino Linotype"/>
          <w:b/>
          <w:sz w:val="22"/>
          <w:szCs w:val="22"/>
        </w:rPr>
        <w:t>Recurrente</w:t>
      </w:r>
      <w:r w:rsidRPr="00007EB6">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DA22359" w14:textId="77777777" w:rsidR="00333603" w:rsidRPr="00113549" w:rsidRDefault="00136575">
      <w:pPr>
        <w:tabs>
          <w:tab w:val="left" w:pos="8647"/>
        </w:tabs>
        <w:spacing w:before="240" w:after="240" w:line="360" w:lineRule="auto"/>
        <w:ind w:right="51"/>
        <w:jc w:val="both"/>
        <w:rPr>
          <w:rFonts w:ascii="Palatino Linotype" w:eastAsia="Palatino Linotype" w:hAnsi="Palatino Linotype" w:cs="Palatino Linotype"/>
          <w:sz w:val="22"/>
          <w:szCs w:val="22"/>
        </w:rPr>
      </w:pPr>
      <w:r w:rsidRPr="00007EB6">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0032FEED"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3F6A8BA9" w14:textId="77777777" w:rsidR="00333603" w:rsidRPr="00113549" w:rsidRDefault="00333603">
      <w:pPr>
        <w:spacing w:line="360" w:lineRule="auto"/>
        <w:jc w:val="center"/>
        <w:rPr>
          <w:rFonts w:ascii="Palatino Linotype" w:eastAsia="Palatino Linotype" w:hAnsi="Palatino Linotype" w:cs="Palatino Linotype"/>
          <w:sz w:val="22"/>
          <w:szCs w:val="22"/>
        </w:rPr>
      </w:pPr>
    </w:p>
    <w:p w14:paraId="757CA9C2"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4A897E1F"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17B854D7"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159B6CF6"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06AFDD55"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23CAAFB1"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31C2DA6A"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1B41E86E"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4A7E8838"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733CB863"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7B7AAB51"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2C0B3E49"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466133BC"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1A0A9C80"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24228EE0"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5CCFFFF0"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329A8EDA" w14:textId="77777777" w:rsidR="00333603" w:rsidRPr="00113549" w:rsidRDefault="00333603">
      <w:pPr>
        <w:spacing w:line="360" w:lineRule="auto"/>
        <w:jc w:val="both"/>
        <w:rPr>
          <w:rFonts w:ascii="Palatino Linotype" w:eastAsia="Palatino Linotype" w:hAnsi="Palatino Linotype" w:cs="Palatino Linotype"/>
          <w:sz w:val="22"/>
          <w:szCs w:val="22"/>
        </w:rPr>
      </w:pPr>
    </w:p>
    <w:p w14:paraId="6E6713EA" w14:textId="77777777" w:rsidR="00333603" w:rsidRPr="00113549" w:rsidRDefault="00333603">
      <w:pPr>
        <w:spacing w:line="360" w:lineRule="auto"/>
        <w:jc w:val="both"/>
        <w:rPr>
          <w:rFonts w:ascii="Palatino Linotype" w:eastAsia="Palatino Linotype" w:hAnsi="Palatino Linotype" w:cs="Palatino Linotype"/>
          <w:sz w:val="22"/>
          <w:szCs w:val="22"/>
        </w:rPr>
      </w:pPr>
    </w:p>
    <w:sectPr w:rsidR="00333603" w:rsidRPr="00113549">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4D7B8" w14:textId="77777777" w:rsidR="00012573" w:rsidRDefault="00012573">
      <w:r>
        <w:separator/>
      </w:r>
    </w:p>
  </w:endnote>
  <w:endnote w:type="continuationSeparator" w:id="0">
    <w:p w14:paraId="5A2C120D" w14:textId="77777777" w:rsidR="00012573" w:rsidRDefault="0001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EF19C" w14:textId="77777777" w:rsidR="00333603" w:rsidRDefault="0013657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7EB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7EB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5C97D7D8" w14:textId="77777777" w:rsidR="00333603" w:rsidRDefault="00333603">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4681" w14:textId="77777777" w:rsidR="00333603" w:rsidRDefault="0013657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7EB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7EB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p>
  <w:p w14:paraId="00D88D45" w14:textId="77777777" w:rsidR="00333603" w:rsidRDefault="00333603">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49D32" w14:textId="77777777" w:rsidR="00012573" w:rsidRDefault="00012573">
      <w:r>
        <w:separator/>
      </w:r>
    </w:p>
  </w:footnote>
  <w:footnote w:type="continuationSeparator" w:id="0">
    <w:p w14:paraId="1D9D5862" w14:textId="77777777" w:rsidR="00012573" w:rsidRDefault="000125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3E6C" w14:textId="77777777" w:rsidR="00333603" w:rsidRDefault="00136575">
    <w:pPr>
      <w:rPr>
        <w:rFonts w:ascii="Cambria" w:eastAsia="Cambria" w:hAnsi="Cambria" w:cs="Cambria"/>
        <w:color w:val="000000"/>
      </w:rPr>
    </w:pPr>
    <w:r>
      <w:rPr>
        <w:noProof/>
      </w:rPr>
      <w:drawing>
        <wp:anchor distT="0" distB="0" distL="0" distR="0" simplePos="0" relativeHeight="251658240" behindDoc="1" locked="0" layoutInCell="1" hidden="0" allowOverlap="1" wp14:anchorId="05C86CDA" wp14:editId="750497C9">
          <wp:simplePos x="0" y="0"/>
          <wp:positionH relativeFrom="column">
            <wp:posOffset>-1080090</wp:posOffset>
          </wp:positionH>
          <wp:positionV relativeFrom="paragraph">
            <wp:posOffset>-488261</wp:posOffset>
          </wp:positionV>
          <wp:extent cx="7809865" cy="10165715"/>
          <wp:effectExtent l="0" t="0" r="0" b="0"/>
          <wp:wrapNone/>
          <wp:docPr id="20832964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c"/>
      <w:tblW w:w="5953" w:type="dxa"/>
      <w:tblInd w:w="3261" w:type="dxa"/>
      <w:tblLayout w:type="fixed"/>
      <w:tblLook w:val="0400" w:firstRow="0" w:lastRow="0" w:firstColumn="0" w:lastColumn="0" w:noHBand="0" w:noVBand="1"/>
    </w:tblPr>
    <w:tblGrid>
      <w:gridCol w:w="2489"/>
      <w:gridCol w:w="3464"/>
    </w:tblGrid>
    <w:tr w:rsidR="00333603" w14:paraId="36C01734" w14:textId="77777777">
      <w:tc>
        <w:tcPr>
          <w:tcW w:w="2489" w:type="dxa"/>
        </w:tcPr>
        <w:p w14:paraId="7DA99D3B" w14:textId="77777777" w:rsidR="00333603" w:rsidRDefault="001365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F01E521" w14:textId="77777777" w:rsidR="00333603" w:rsidRDefault="0013657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07809/INFOEM/IP/RR/2025</w:t>
          </w:r>
        </w:p>
      </w:tc>
    </w:tr>
    <w:tr w:rsidR="00333603" w14:paraId="2F637D02" w14:textId="77777777">
      <w:trPr>
        <w:trHeight w:val="228"/>
      </w:trPr>
      <w:tc>
        <w:tcPr>
          <w:tcW w:w="2489" w:type="dxa"/>
          <w:vAlign w:val="center"/>
        </w:tcPr>
        <w:p w14:paraId="0246F53E" w14:textId="77777777" w:rsidR="00333603" w:rsidRDefault="001365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773B0CB5" w14:textId="77777777" w:rsidR="00333603" w:rsidRDefault="0013657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333603" w14:paraId="0F826EA9" w14:textId="77777777">
      <w:tc>
        <w:tcPr>
          <w:tcW w:w="2489" w:type="dxa"/>
          <w:vAlign w:val="center"/>
        </w:tcPr>
        <w:p w14:paraId="16BF8CDF" w14:textId="77777777" w:rsidR="00333603" w:rsidRDefault="0013657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D8C0401" w14:textId="77777777" w:rsidR="00333603" w:rsidRDefault="0013657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9DC0A23" w14:textId="77777777" w:rsidR="00333603" w:rsidRDefault="0013657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F15E4" w14:textId="77777777" w:rsidR="00333603" w:rsidRDefault="00136575">
    <w:pPr>
      <w:widowControl w:val="0"/>
      <w:pBdr>
        <w:top w:val="nil"/>
        <w:left w:val="nil"/>
        <w:bottom w:val="nil"/>
        <w:right w:val="nil"/>
        <w:between w:val="nil"/>
      </w:pBdr>
      <w:spacing w:line="276" w:lineRule="auto"/>
      <w:rPr>
        <w:rFonts w:ascii="Palatino Linotype" w:eastAsia="Palatino Linotype" w:hAnsi="Palatino Linotype" w:cs="Palatino Linotype"/>
        <w:sz w:val="16"/>
        <w:szCs w:val="16"/>
      </w:rPr>
    </w:pPr>
    <w:r>
      <w:rPr>
        <w:noProof/>
      </w:rPr>
      <w:drawing>
        <wp:anchor distT="0" distB="0" distL="0" distR="0" simplePos="0" relativeHeight="251659264" behindDoc="1" locked="0" layoutInCell="1" hidden="0" allowOverlap="1" wp14:anchorId="4C3FDF23" wp14:editId="49600D2B">
          <wp:simplePos x="0" y="0"/>
          <wp:positionH relativeFrom="column">
            <wp:posOffset>-1080132</wp:posOffset>
          </wp:positionH>
          <wp:positionV relativeFrom="paragraph">
            <wp:posOffset>-369891</wp:posOffset>
          </wp:positionV>
          <wp:extent cx="7809865" cy="10165715"/>
          <wp:effectExtent l="0" t="0" r="0" b="0"/>
          <wp:wrapNone/>
          <wp:docPr id="20832964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d"/>
      <w:tblW w:w="5953" w:type="dxa"/>
      <w:tblInd w:w="3261" w:type="dxa"/>
      <w:tblLayout w:type="fixed"/>
      <w:tblLook w:val="0400" w:firstRow="0" w:lastRow="0" w:firstColumn="0" w:lastColumn="0" w:noHBand="0" w:noVBand="1"/>
    </w:tblPr>
    <w:tblGrid>
      <w:gridCol w:w="2489"/>
      <w:gridCol w:w="3464"/>
    </w:tblGrid>
    <w:tr w:rsidR="00333603" w14:paraId="1182D6E4" w14:textId="77777777">
      <w:tc>
        <w:tcPr>
          <w:tcW w:w="2489" w:type="dxa"/>
        </w:tcPr>
        <w:p w14:paraId="1CF7C55D" w14:textId="77777777" w:rsidR="00333603" w:rsidRDefault="001365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685B4C16" w14:textId="77777777" w:rsidR="00333603" w:rsidRDefault="0013657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07809/INFOEM/IP/RR/2025</w:t>
          </w:r>
        </w:p>
      </w:tc>
    </w:tr>
    <w:tr w:rsidR="00333603" w14:paraId="327C75BD" w14:textId="77777777">
      <w:tc>
        <w:tcPr>
          <w:tcW w:w="2489" w:type="dxa"/>
        </w:tcPr>
        <w:p w14:paraId="637A95B5" w14:textId="77777777" w:rsidR="00333603" w:rsidRDefault="001365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70CE3963" w14:textId="77777777" w:rsidR="00333603" w:rsidRDefault="00333603">
          <w:pPr>
            <w:ind w:right="175"/>
            <w:jc w:val="both"/>
            <w:rPr>
              <w:rFonts w:ascii="Palatino Linotype" w:eastAsia="Palatino Linotype" w:hAnsi="Palatino Linotype" w:cs="Palatino Linotype"/>
              <w:b/>
              <w:sz w:val="22"/>
              <w:szCs w:val="22"/>
            </w:rPr>
          </w:pPr>
        </w:p>
      </w:tc>
    </w:tr>
    <w:tr w:rsidR="00333603" w14:paraId="16CB5B58" w14:textId="77777777">
      <w:trPr>
        <w:trHeight w:val="228"/>
      </w:trPr>
      <w:tc>
        <w:tcPr>
          <w:tcW w:w="2489" w:type="dxa"/>
          <w:vAlign w:val="center"/>
        </w:tcPr>
        <w:p w14:paraId="6BBDA75A" w14:textId="77777777" w:rsidR="00333603" w:rsidRDefault="0013657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65CA23C6" w14:textId="77777777" w:rsidR="00333603" w:rsidRDefault="00136575">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Teoloyucan</w:t>
          </w:r>
        </w:p>
      </w:tc>
    </w:tr>
    <w:tr w:rsidR="00333603" w14:paraId="239E262E" w14:textId="77777777">
      <w:tc>
        <w:tcPr>
          <w:tcW w:w="2489" w:type="dxa"/>
          <w:vAlign w:val="center"/>
        </w:tcPr>
        <w:p w14:paraId="127BEE7A" w14:textId="77777777" w:rsidR="00333603" w:rsidRDefault="0013657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377877F1" w14:textId="77777777" w:rsidR="00333603" w:rsidRDefault="00136575">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52B6D16" w14:textId="77777777" w:rsidR="00333603" w:rsidRDefault="0033360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A05598"/>
    <w:multiLevelType w:val="multilevel"/>
    <w:tmpl w:val="D136AC26"/>
    <w:lvl w:ilvl="0">
      <w:start w:val="1"/>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2100634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603"/>
    <w:rsid w:val="00007EB6"/>
    <w:rsid w:val="00012573"/>
    <w:rsid w:val="00113549"/>
    <w:rsid w:val="00136575"/>
    <w:rsid w:val="00333603"/>
    <w:rsid w:val="007D27F6"/>
    <w:rsid w:val="00A3167F"/>
    <w:rsid w:val="00E50F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9A5D"/>
  <w15:docId w15:val="{DBA69A19-23FB-47E4-BD11-41C70B752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a">
    <w:basedOn w:val="TableNormalf2"/>
    <w:tblPr>
      <w:tblStyleRowBandSize w:val="1"/>
      <w:tblStyleColBandSize w:val="1"/>
      <w:tblCellMar>
        <w:left w:w="115" w:type="dxa"/>
        <w:right w:w="115" w:type="dxa"/>
      </w:tblCellMar>
    </w:tblPr>
  </w:style>
  <w:style w:type="table" w:customStyle="1" w:styleId="a0">
    <w:basedOn w:val="TableNormalf2"/>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semiHidden/>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2"/>
    <w:tblPr>
      <w:tblStyleRowBandSize w:val="1"/>
      <w:tblStyleColBandSize w:val="1"/>
      <w:tblCellMar>
        <w:left w:w="115" w:type="dxa"/>
        <w:right w:w="115" w:type="dxa"/>
      </w:tblCellMar>
    </w:tblPr>
  </w:style>
  <w:style w:type="table" w:customStyle="1" w:styleId="a2">
    <w:basedOn w:val="TableNormalf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1"/>
    <w:tblPr>
      <w:tblStyleRowBandSize w:val="1"/>
      <w:tblStyleColBandSize w:val="1"/>
      <w:tblCellMar>
        <w:left w:w="115" w:type="dxa"/>
        <w:right w:w="115" w:type="dxa"/>
      </w:tblCellMar>
    </w:tblPr>
  </w:style>
  <w:style w:type="table" w:customStyle="1" w:styleId="a4">
    <w:basedOn w:val="TableNormalf1"/>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0"/>
    <w:tblPr>
      <w:tblStyleRowBandSize w:val="1"/>
      <w:tblStyleColBandSize w:val="1"/>
      <w:tblCellMar>
        <w:left w:w="108" w:type="dxa"/>
        <w:right w:w="108" w:type="dxa"/>
      </w:tblCellMar>
    </w:tblPr>
  </w:style>
  <w:style w:type="table" w:customStyle="1" w:styleId="a6">
    <w:basedOn w:val="TableNormalf0"/>
    <w:tblPr>
      <w:tblStyleRowBandSize w:val="1"/>
      <w:tblStyleColBandSize w:val="1"/>
      <w:tblCellMar>
        <w:left w:w="108" w:type="dxa"/>
        <w:right w:w="108" w:type="dxa"/>
      </w:tblCellMar>
    </w:tblPr>
  </w:style>
  <w:style w:type="table" w:customStyle="1" w:styleId="a7">
    <w:basedOn w:val="TableNormalf0"/>
    <w:tblPr>
      <w:tblStyleRowBandSize w:val="1"/>
      <w:tblStyleColBandSize w:val="1"/>
      <w:tblCellMar>
        <w:left w:w="108" w:type="dxa"/>
        <w:right w:w="108" w:type="dxa"/>
      </w:tblCellMar>
    </w:tblPr>
  </w:style>
  <w:style w:type="table" w:customStyle="1" w:styleId="a8">
    <w:basedOn w:val="TableNormalf0"/>
    <w:tblPr>
      <w:tblStyleRowBandSize w:val="1"/>
      <w:tblStyleColBandSize w:val="1"/>
      <w:tblCellMar>
        <w:left w:w="108" w:type="dxa"/>
        <w:right w:w="108" w:type="dxa"/>
      </w:tblCellMar>
    </w:tblPr>
  </w:style>
  <w:style w:type="table" w:customStyle="1" w:styleId="a9">
    <w:basedOn w:val="TableNormalf0"/>
    <w:tblPr>
      <w:tblStyleRowBandSize w:val="1"/>
      <w:tblStyleColBandSize w:val="1"/>
      <w:tblCellMar>
        <w:left w:w="108" w:type="dxa"/>
        <w:right w:w="108" w:type="dxa"/>
      </w:tblCellMar>
    </w:tblPr>
  </w:style>
  <w:style w:type="table" w:customStyle="1" w:styleId="aa">
    <w:basedOn w:val="TableNormalf0"/>
    <w:tblPr>
      <w:tblStyleRowBandSize w:val="1"/>
      <w:tblStyleColBandSize w:val="1"/>
      <w:tblCellMar>
        <w:left w:w="115" w:type="dxa"/>
        <w:right w:w="115" w:type="dxa"/>
      </w:tblCellMar>
    </w:tblPr>
  </w:style>
  <w:style w:type="table" w:customStyle="1" w:styleId="ab">
    <w:basedOn w:val="TableNormalf0"/>
    <w:tblPr>
      <w:tblStyleRowBandSize w:val="1"/>
      <w:tblStyleColBandSize w:val="1"/>
      <w:tblCellMar>
        <w:left w:w="115" w:type="dxa"/>
        <w:right w:w="115" w:type="dxa"/>
      </w:tblCellMar>
    </w:tblPr>
  </w:style>
  <w:style w:type="table" w:customStyle="1" w:styleId="ac">
    <w:basedOn w:val="TableNormalf"/>
    <w:tblPr>
      <w:tblStyleRowBandSize w:val="1"/>
      <w:tblStyleColBandSize w:val="1"/>
      <w:tblCellMar>
        <w:left w:w="108" w:type="dxa"/>
        <w:right w:w="108" w:type="dxa"/>
      </w:tblCellMar>
    </w:tblPr>
  </w:style>
  <w:style w:type="table" w:customStyle="1" w:styleId="ad">
    <w:basedOn w:val="TableNormalf"/>
    <w:tblPr>
      <w:tblStyleRowBandSize w:val="1"/>
      <w:tblStyleColBandSize w:val="1"/>
      <w:tblCellMar>
        <w:left w:w="115" w:type="dxa"/>
        <w:right w:w="115" w:type="dxa"/>
      </w:tblCellMar>
    </w:tblPr>
  </w:style>
  <w:style w:type="table" w:customStyle="1" w:styleId="ae">
    <w:basedOn w:val="TableNormalf"/>
    <w:tblPr>
      <w:tblStyleRowBandSize w:val="1"/>
      <w:tblStyleColBandSize w:val="1"/>
      <w:tblCellMar>
        <w:left w:w="115" w:type="dxa"/>
        <w:right w:w="115" w:type="dxa"/>
      </w:tblCellMar>
    </w:tblPr>
  </w:style>
  <w:style w:type="table" w:customStyle="1" w:styleId="af">
    <w:basedOn w:val="TableNormale"/>
    <w:tblPr>
      <w:tblStyleRowBandSize w:val="1"/>
      <w:tblStyleColBandSize w:val="1"/>
      <w:tblCellMar>
        <w:left w:w="115" w:type="dxa"/>
        <w:right w:w="115" w:type="dxa"/>
      </w:tblCellMar>
    </w:tblPr>
  </w:style>
  <w:style w:type="table" w:customStyle="1" w:styleId="af0">
    <w:basedOn w:val="TableNormale"/>
    <w:tblPr>
      <w:tblStyleRowBandSize w:val="1"/>
      <w:tblStyleColBandSize w:val="1"/>
      <w:tblCellMar>
        <w:left w:w="115" w:type="dxa"/>
        <w:right w:w="115" w:type="dxa"/>
      </w:tblCellMar>
    </w:tblPr>
  </w:style>
  <w:style w:type="table" w:customStyle="1" w:styleId="af1">
    <w:basedOn w:val="TableNormale"/>
    <w:tblPr>
      <w:tblStyleRowBandSize w:val="1"/>
      <w:tblStyleColBandSize w:val="1"/>
      <w:tblCellMar>
        <w:left w:w="115" w:type="dxa"/>
        <w:right w:w="115" w:type="dxa"/>
      </w:tblCellMar>
    </w:tblPr>
  </w:style>
  <w:style w:type="table" w:customStyle="1" w:styleId="af2">
    <w:basedOn w:val="TableNormald"/>
    <w:tblPr>
      <w:tblStyleRowBandSize w:val="1"/>
      <w:tblStyleColBandSize w:val="1"/>
      <w:tblCellMar>
        <w:left w:w="115" w:type="dxa"/>
        <w:right w:w="115" w:type="dxa"/>
      </w:tblCellMar>
    </w:tblPr>
  </w:style>
  <w:style w:type="table" w:customStyle="1" w:styleId="af3">
    <w:basedOn w:val="TableNormald"/>
    <w:tblPr>
      <w:tblStyleRowBandSize w:val="1"/>
      <w:tblStyleColBandSize w:val="1"/>
      <w:tblCellMar>
        <w:left w:w="115" w:type="dxa"/>
        <w:right w:w="115" w:type="dxa"/>
      </w:tblCellMar>
    </w:tblPr>
  </w:style>
  <w:style w:type="table" w:customStyle="1" w:styleId="af4">
    <w:basedOn w:val="TableNormalc"/>
    <w:tblPr>
      <w:tblStyleRowBandSize w:val="1"/>
      <w:tblStyleColBandSize w:val="1"/>
      <w:tblCellMar>
        <w:left w:w="115" w:type="dxa"/>
        <w:right w:w="115" w:type="dxa"/>
      </w:tblCellMar>
    </w:tblPr>
  </w:style>
  <w:style w:type="table" w:customStyle="1" w:styleId="af5">
    <w:basedOn w:val="TableNormalc"/>
    <w:tblPr>
      <w:tblStyleRowBandSize w:val="1"/>
      <w:tblStyleColBandSize w:val="1"/>
      <w:tblCellMar>
        <w:left w:w="115" w:type="dxa"/>
        <w:right w:w="115" w:type="dxa"/>
      </w:tblCellMar>
    </w:tblPr>
  </w:style>
  <w:style w:type="table" w:customStyle="1" w:styleId="af6">
    <w:basedOn w:val="TableNormalb"/>
    <w:tblPr>
      <w:tblStyleRowBandSize w:val="1"/>
      <w:tblStyleColBandSize w:val="1"/>
      <w:tblCellMar>
        <w:left w:w="115" w:type="dxa"/>
        <w:right w:w="115" w:type="dxa"/>
      </w:tblCellMar>
    </w:tblPr>
  </w:style>
  <w:style w:type="table" w:customStyle="1" w:styleId="af7">
    <w:basedOn w:val="TableNormalb"/>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a"/>
    <w:tblPr>
      <w:tblStyleRowBandSize w:val="1"/>
      <w:tblStyleColBandSize w:val="1"/>
      <w:tblCellMar>
        <w:left w:w="115" w:type="dxa"/>
        <w:right w:w="115" w:type="dxa"/>
      </w:tblCellMar>
    </w:tblPr>
  </w:style>
  <w:style w:type="table" w:customStyle="1" w:styleId="af9">
    <w:basedOn w:val="TableNormala"/>
    <w:tblPr>
      <w:tblStyleRowBandSize w:val="1"/>
      <w:tblStyleColBandSize w:val="1"/>
      <w:tblCellMar>
        <w:left w:w="115" w:type="dxa"/>
        <w:right w:w="115" w:type="dxa"/>
      </w:tblCellMar>
    </w:tblPr>
  </w:style>
  <w:style w:type="table" w:customStyle="1" w:styleId="afa">
    <w:basedOn w:val="TableNormal9"/>
    <w:tblPr>
      <w:tblStyleRowBandSize w:val="1"/>
      <w:tblStyleColBandSize w:val="1"/>
      <w:tblCellMar>
        <w:left w:w="115" w:type="dxa"/>
        <w:right w:w="115" w:type="dxa"/>
      </w:tblCellMar>
    </w:tblPr>
  </w:style>
  <w:style w:type="table" w:customStyle="1" w:styleId="afb">
    <w:basedOn w:val="TableNormal9"/>
    <w:tblPr>
      <w:tblStyleRowBandSize w:val="1"/>
      <w:tblStyleColBandSize w:val="1"/>
      <w:tblCellMar>
        <w:left w:w="115" w:type="dxa"/>
        <w:right w:w="115" w:type="dxa"/>
      </w:tblCellMar>
    </w:tblPr>
  </w:style>
  <w:style w:type="table" w:customStyle="1" w:styleId="afc">
    <w:basedOn w:val="TableNormal8"/>
    <w:tblPr>
      <w:tblStyleRowBandSize w:val="1"/>
      <w:tblStyleColBandSize w:val="1"/>
      <w:tblCellMar>
        <w:left w:w="115" w:type="dxa"/>
        <w:right w:w="115" w:type="dxa"/>
      </w:tblCellMar>
    </w:tblPr>
  </w:style>
  <w:style w:type="table" w:customStyle="1" w:styleId="afd">
    <w:basedOn w:val="TableNormal8"/>
    <w:tblPr>
      <w:tblStyleRowBandSize w:val="1"/>
      <w:tblStyleColBandSize w:val="1"/>
      <w:tblCellMar>
        <w:left w:w="115" w:type="dxa"/>
        <w:right w:w="115" w:type="dxa"/>
      </w:tblCellMar>
    </w:tblPr>
  </w:style>
  <w:style w:type="table" w:customStyle="1" w:styleId="afe">
    <w:basedOn w:val="TableNormal7"/>
    <w:tblPr>
      <w:tblStyleRowBandSize w:val="1"/>
      <w:tblStyleColBandSize w:val="1"/>
      <w:tblCellMar>
        <w:left w:w="115" w:type="dxa"/>
        <w:right w:w="115" w:type="dxa"/>
      </w:tblCellMar>
    </w:tblPr>
  </w:style>
  <w:style w:type="table" w:customStyle="1" w:styleId="aff">
    <w:basedOn w:val="TableNormal7"/>
    <w:tblPr>
      <w:tblStyleRowBandSize w:val="1"/>
      <w:tblStyleColBandSize w:val="1"/>
      <w:tblCellMar>
        <w:left w:w="115" w:type="dxa"/>
        <w:right w:w="115" w:type="dxa"/>
      </w:tblCellMar>
    </w:tblPr>
  </w:style>
  <w:style w:type="table" w:customStyle="1" w:styleId="aff0">
    <w:basedOn w:val="TableNormal6"/>
    <w:tblPr>
      <w:tblStyleRowBandSize w:val="1"/>
      <w:tblStyleColBandSize w:val="1"/>
      <w:tblCellMar>
        <w:left w:w="115" w:type="dxa"/>
        <w:right w:w="115" w:type="dxa"/>
      </w:tblCellMar>
    </w:tblPr>
  </w:style>
  <w:style w:type="table" w:customStyle="1" w:styleId="aff1">
    <w:basedOn w:val="TableNormal6"/>
    <w:tblPr>
      <w:tblStyleRowBandSize w:val="1"/>
      <w:tblStyleColBandSize w:val="1"/>
      <w:tblCellMar>
        <w:left w:w="115" w:type="dxa"/>
        <w:right w:w="115" w:type="dxa"/>
      </w:tblCellMar>
    </w:tblPr>
  </w:style>
  <w:style w:type="table" w:customStyle="1" w:styleId="aff2">
    <w:basedOn w:val="TableNormal5"/>
    <w:tblPr>
      <w:tblStyleRowBandSize w:val="1"/>
      <w:tblStyleColBandSize w:val="1"/>
      <w:tblCellMar>
        <w:left w:w="115" w:type="dxa"/>
        <w:right w:w="115" w:type="dxa"/>
      </w:tblCellMar>
    </w:tblPr>
  </w:style>
  <w:style w:type="table" w:customStyle="1" w:styleId="aff3">
    <w:basedOn w:val="TableNormal5"/>
    <w:tblPr>
      <w:tblStyleRowBandSize w:val="1"/>
      <w:tblStyleColBandSize w:val="1"/>
      <w:tblCellMar>
        <w:left w:w="115" w:type="dxa"/>
        <w:right w:w="115" w:type="dxa"/>
      </w:tblCellMar>
    </w:tblPr>
  </w:style>
  <w:style w:type="table" w:customStyle="1" w:styleId="aff4">
    <w:basedOn w:val="TableNormal4"/>
    <w:tblPr>
      <w:tblStyleRowBandSize w:val="1"/>
      <w:tblStyleColBandSize w:val="1"/>
      <w:tblCellMar>
        <w:left w:w="115" w:type="dxa"/>
        <w:right w:w="115" w:type="dxa"/>
      </w:tblCellMar>
    </w:tblPr>
  </w:style>
  <w:style w:type="table" w:customStyle="1" w:styleId="aff5">
    <w:basedOn w:val="TableNormal4"/>
    <w:tblPr>
      <w:tblStyleRowBandSize w:val="1"/>
      <w:tblStyleColBandSize w:val="1"/>
      <w:tblCellMar>
        <w:left w:w="115" w:type="dxa"/>
        <w:right w:w="115" w:type="dxa"/>
      </w:tblCellMar>
    </w:tblPr>
  </w:style>
  <w:style w:type="table" w:customStyle="1" w:styleId="aff6">
    <w:basedOn w:val="TableNormal3"/>
    <w:tblPr>
      <w:tblStyleRowBandSize w:val="1"/>
      <w:tblStyleColBandSize w:val="1"/>
      <w:tblCellMar>
        <w:left w:w="115" w:type="dxa"/>
        <w:right w:w="115" w:type="dxa"/>
      </w:tblCellMar>
    </w:tblPr>
  </w:style>
  <w:style w:type="table" w:customStyle="1" w:styleId="aff7">
    <w:basedOn w:val="TableNormal3"/>
    <w:tblPr>
      <w:tblStyleRowBandSize w:val="1"/>
      <w:tblStyleColBandSize w:val="1"/>
      <w:tblCellMar>
        <w:left w:w="115" w:type="dxa"/>
        <w:right w:w="115" w:type="dxa"/>
      </w:tblCellMar>
    </w:tblPr>
  </w:style>
  <w:style w:type="table" w:customStyle="1" w:styleId="aff8">
    <w:basedOn w:val="TableNormal2"/>
    <w:tblPr>
      <w:tblStyleRowBandSize w:val="1"/>
      <w:tblStyleColBandSize w:val="1"/>
      <w:tblCellMar>
        <w:left w:w="115" w:type="dxa"/>
        <w:right w:w="115" w:type="dxa"/>
      </w:tblCellMar>
    </w:tblPr>
  </w:style>
  <w:style w:type="table" w:customStyle="1" w:styleId="aff9">
    <w:basedOn w:val="TableNormal2"/>
    <w:tblPr>
      <w:tblStyleRowBandSize w:val="1"/>
      <w:tblStyleColBandSize w:val="1"/>
      <w:tblCellMar>
        <w:left w:w="115" w:type="dxa"/>
        <w:right w:w="115" w:type="dxa"/>
      </w:tblCellMar>
    </w:tblPr>
  </w:style>
  <w:style w:type="table" w:customStyle="1" w:styleId="affa">
    <w:basedOn w:val="TableNormal1"/>
    <w:tblPr>
      <w:tblStyleRowBandSize w:val="1"/>
      <w:tblStyleColBandSize w:val="1"/>
      <w:tblCellMar>
        <w:left w:w="115" w:type="dxa"/>
        <w:right w:w="115" w:type="dxa"/>
      </w:tblCellMar>
    </w:tblPr>
  </w:style>
  <w:style w:type="table" w:customStyle="1" w:styleId="affb">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c">
    <w:basedOn w:val="TableNormal0"/>
    <w:tblPr>
      <w:tblStyleRowBandSize w:val="1"/>
      <w:tblStyleColBandSize w:val="1"/>
      <w:tblCellMar>
        <w:left w:w="115" w:type="dxa"/>
        <w:right w:w="115" w:type="dxa"/>
      </w:tblCellMar>
    </w:tblPr>
  </w:style>
  <w:style w:type="table" w:customStyle="1" w:styleId="affd">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gtXMfgR60FgJYkBKZL7ZBG6Qvg==">CgMxLjAyCWguM3JkY3JqbjIOaC5kYWozajJ4bzZxNjYyCGguZ2pkZ3hzMgloLjNkeTZ2a20yCWguMzBqMHpsbDIJaC4yczhleW8xMghoLnR5amN3dDIJaC4yZXQ5MnAwMg1oLnBoZm94MHBrbnkxMgloLjF0M2g1c2YyCGgubG54Yno5OAByITF4VHdXLWVBNmVnR0N2TzdmdkFYRV92WVRqU2oyM3hRMw==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4816</Words>
  <Characters>25532</Characters>
  <Application>Microsoft Office Word</Application>
  <DocSecurity>0</DocSecurity>
  <Lines>466</Lines>
  <Paragraphs>102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2025-09-05T19:34:00Z</cp:lastPrinted>
  <dcterms:created xsi:type="dcterms:W3CDTF">2025-10-03T18:34:00Z</dcterms:created>
  <dcterms:modified xsi:type="dcterms:W3CDTF">2025-10-03T18:34:00Z</dcterms:modified>
</cp:coreProperties>
</file>