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12B" w:rsidRPr="0024200F" w:rsidRDefault="0083112B" w:rsidP="0083112B">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FA110A">
        <w:rPr>
          <w:rFonts w:ascii="Palatino Linotype" w:hAnsi="Palatino Linotype"/>
        </w:rPr>
        <w:t>quince de enero de dos mil veinticinco</w:t>
      </w:r>
      <w:r>
        <w:rPr>
          <w:rFonts w:ascii="Palatino Linotype" w:hAnsi="Palatino Linotype"/>
        </w:rPr>
        <w:t>.</w:t>
      </w:r>
    </w:p>
    <w:p w:rsidR="0083112B" w:rsidRPr="0024200F" w:rsidRDefault="0083112B" w:rsidP="0083112B">
      <w:pPr>
        <w:spacing w:line="360" w:lineRule="auto"/>
        <w:jc w:val="both"/>
        <w:rPr>
          <w:rFonts w:ascii="Palatino Linotype" w:hAnsi="Palatino Linotype"/>
        </w:rPr>
      </w:pPr>
    </w:p>
    <w:p w:rsidR="0083112B" w:rsidRPr="002C3EC8" w:rsidRDefault="0083112B" w:rsidP="0083112B">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bookmarkStart w:id="0" w:name="_GoBack"/>
      <w:r w:rsidR="00DD4A86">
        <w:rPr>
          <w:rFonts w:ascii="Palatino Linotype" w:hAnsi="Palatino Linotype" w:cs="Arial"/>
          <w:b/>
        </w:rPr>
        <w:t>0</w:t>
      </w:r>
      <w:r w:rsidR="00FA110A">
        <w:rPr>
          <w:rFonts w:ascii="Palatino Linotype" w:hAnsi="Palatino Linotype" w:cs="Arial"/>
          <w:b/>
          <w:bCs/>
          <w:lang w:eastAsia="es-MX"/>
        </w:rPr>
        <w:t>7460</w:t>
      </w:r>
      <w:r>
        <w:rPr>
          <w:rFonts w:ascii="Palatino Linotype" w:hAnsi="Palatino Linotype" w:cs="Arial"/>
          <w:b/>
          <w:bCs/>
          <w:lang w:eastAsia="es-MX"/>
        </w:rPr>
        <w:t>/INFOEM/IP/RR/2024</w:t>
      </w:r>
      <w:bookmarkEnd w:id="0"/>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00FA110A" w:rsidRPr="00FA110A">
        <w:rPr>
          <w:rFonts w:ascii="Palatino Linotype" w:hAnsi="Palatino Linotype"/>
          <w:b/>
        </w:rPr>
        <w:t>Secretaría de Bienestar</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rsidR="0083112B" w:rsidRDefault="0083112B" w:rsidP="0083112B">
      <w:pPr>
        <w:pStyle w:val="infoemcitas"/>
        <w:jc w:val="center"/>
        <w:rPr>
          <w:b/>
          <w:bCs/>
          <w:i w:val="0"/>
          <w:iCs/>
          <w:sz w:val="28"/>
          <w:szCs w:val="28"/>
        </w:rPr>
      </w:pPr>
    </w:p>
    <w:p w:rsidR="0083112B" w:rsidRDefault="0083112B" w:rsidP="0083112B">
      <w:pPr>
        <w:pStyle w:val="infoemcitas"/>
        <w:jc w:val="center"/>
        <w:rPr>
          <w:b/>
          <w:bCs/>
          <w:i w:val="0"/>
          <w:iCs/>
          <w:sz w:val="28"/>
          <w:szCs w:val="28"/>
        </w:rPr>
      </w:pPr>
      <w:r w:rsidRPr="002C3EC8">
        <w:rPr>
          <w:b/>
          <w:bCs/>
          <w:i w:val="0"/>
          <w:iCs/>
          <w:sz w:val="28"/>
          <w:szCs w:val="28"/>
        </w:rPr>
        <w:t>A N T E C E D E N T E S   D E L   A S U N T O</w:t>
      </w:r>
    </w:p>
    <w:p w:rsidR="0083112B" w:rsidRPr="002C3EC8" w:rsidRDefault="0083112B" w:rsidP="0083112B">
      <w:pPr>
        <w:pStyle w:val="infoemcitas"/>
        <w:jc w:val="center"/>
        <w:rPr>
          <w:b/>
          <w:bCs/>
          <w:i w:val="0"/>
          <w:iCs/>
          <w:sz w:val="28"/>
          <w:szCs w:val="28"/>
        </w:rPr>
      </w:pPr>
    </w:p>
    <w:p w:rsidR="0083112B" w:rsidRPr="002C3EC8" w:rsidRDefault="0083112B" w:rsidP="0083112B">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83112B" w:rsidRPr="00D705FF" w:rsidRDefault="0083112B" w:rsidP="0083112B">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4F28AB">
        <w:rPr>
          <w:rFonts w:ascii="Palatino Linotype" w:hAnsi="Palatino Linotype" w:cs="Arial"/>
          <w:b/>
        </w:rPr>
        <w:t>siete de noviembre</w:t>
      </w:r>
      <w:r>
        <w:rPr>
          <w:rFonts w:ascii="Palatino Linotype" w:hAnsi="Palatino Linotype" w:cs="Arial"/>
        </w:rPr>
        <w:t xml:space="preserve"> </w:t>
      </w:r>
      <w:r w:rsidRPr="00002E02">
        <w:rPr>
          <w:rFonts w:ascii="Palatino Linotype" w:hAnsi="Palatino Linotype" w:cs="Arial"/>
          <w:b/>
        </w:rPr>
        <w:t>de dos mil veinticuatro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4F28AB">
        <w:rPr>
          <w:rFonts w:ascii="Palatino Linotype" w:hAnsi="Palatino Linotype" w:cs="Arial"/>
          <w:b/>
        </w:rPr>
        <w:t>00262/BIENESTAR/IP/2024</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rsidR="0083112B" w:rsidRPr="001C7F6F" w:rsidRDefault="0083112B" w:rsidP="0083112B">
      <w:pPr>
        <w:pStyle w:val="INFOEM"/>
        <w:rPr>
          <w:lang w:val="es-ES_tradnl" w:eastAsia="es-ES"/>
        </w:rPr>
      </w:pPr>
      <w:r w:rsidRPr="00D705FF">
        <w:rPr>
          <w:lang w:val="es-ES_tradnl" w:eastAsia="es-ES"/>
        </w:rPr>
        <w:t>“</w:t>
      </w:r>
      <w:r w:rsidR="004F28AB" w:rsidRPr="004F28AB">
        <w:rPr>
          <w:lang w:val="es-ES" w:eastAsia="es-ES"/>
        </w:rPr>
        <w:t xml:space="preserve">Solicito </w:t>
      </w:r>
      <w:proofErr w:type="spellStart"/>
      <w:r w:rsidR="004F28AB" w:rsidRPr="004F28AB">
        <w:rPr>
          <w:lang w:val="es-ES" w:eastAsia="es-ES"/>
        </w:rPr>
        <w:t>llos</w:t>
      </w:r>
      <w:proofErr w:type="spellEnd"/>
      <w:r w:rsidR="004F28AB" w:rsidRPr="004F28AB">
        <w:rPr>
          <w:lang w:val="es-ES" w:eastAsia="es-ES"/>
        </w:rPr>
        <w:t xml:space="preserve"> sueldos de octubre 2024 de la dirección jurídica </w:t>
      </w:r>
      <w:proofErr w:type="spellStart"/>
      <w:r w:rsidR="004F28AB" w:rsidRPr="004F28AB">
        <w:rPr>
          <w:lang w:val="es-ES" w:eastAsia="es-ES"/>
        </w:rPr>
        <w:t>u</w:t>
      </w:r>
      <w:proofErr w:type="spellEnd"/>
      <w:r w:rsidR="004F28AB" w:rsidRPr="004F28AB">
        <w:rPr>
          <w:lang w:val="es-ES" w:eastAsia="es-ES"/>
        </w:rPr>
        <w:t xml:space="preserve"> homologo según la </w:t>
      </w:r>
      <w:proofErr w:type="gramStart"/>
      <w:r w:rsidR="004F28AB" w:rsidRPr="004F28AB">
        <w:rPr>
          <w:lang w:val="es-ES" w:eastAsia="es-ES"/>
        </w:rPr>
        <w:t>denominación</w:t>
      </w:r>
      <w:proofErr w:type="gramEnd"/>
      <w:r w:rsidR="004F28AB" w:rsidRPr="004F28AB">
        <w:rPr>
          <w:lang w:val="es-ES" w:eastAsia="es-ES"/>
        </w:rPr>
        <w:t xml:space="preserve"> que tenga en su organigrama</w:t>
      </w:r>
      <w:r w:rsidRPr="00D705FF">
        <w:rPr>
          <w:lang w:val="es-ES_tradnl" w:eastAsia="es-ES"/>
        </w:rPr>
        <w:t>” (Sic)</w:t>
      </w:r>
    </w:p>
    <w:p w:rsidR="0083112B" w:rsidRPr="002C3EC8" w:rsidRDefault="0083112B" w:rsidP="0083112B">
      <w:pPr>
        <w:spacing w:before="240" w:line="360" w:lineRule="auto"/>
        <w:jc w:val="both"/>
        <w:rPr>
          <w:rFonts w:ascii="Palatino Linotype" w:hAnsi="Palatino Linotype"/>
          <w:lang w:val="es-ES_tradnl"/>
        </w:rPr>
      </w:pPr>
      <w:r w:rsidRPr="002C3EC8">
        <w:rPr>
          <w:rFonts w:ascii="Palatino Linotype" w:hAnsi="Palatino Linotype"/>
          <w:b/>
          <w:lang w:val="es-ES_tradnl"/>
        </w:rPr>
        <w:lastRenderedPageBreak/>
        <w:t>Modalidad de entrega:</w:t>
      </w:r>
      <w:r w:rsidRPr="002C3EC8">
        <w:rPr>
          <w:rFonts w:ascii="Palatino Linotype" w:hAnsi="Palatino Linotype"/>
          <w:lang w:val="es-ES_tradnl"/>
        </w:rPr>
        <w:t xml:space="preserve"> A través del SAIMEX.</w:t>
      </w:r>
    </w:p>
    <w:p w:rsidR="0083112B" w:rsidRDefault="0083112B" w:rsidP="0083112B">
      <w:pPr>
        <w:spacing w:before="240" w:line="360" w:lineRule="auto"/>
        <w:jc w:val="both"/>
        <w:rPr>
          <w:rFonts w:ascii="Palatino Linotype" w:hAnsi="Palatino Linotype" w:cs="Arial"/>
          <w:b/>
          <w:sz w:val="28"/>
        </w:rPr>
      </w:pPr>
    </w:p>
    <w:p w:rsidR="0083112B" w:rsidRDefault="0083112B" w:rsidP="008311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rsidR="0083112B" w:rsidRPr="009062B2" w:rsidRDefault="0083112B" w:rsidP="0083112B">
      <w:pPr>
        <w:pStyle w:val="Sinespaciado"/>
        <w:spacing w:line="360" w:lineRule="auto"/>
        <w:jc w:val="both"/>
        <w:rPr>
          <w:rFonts w:ascii="Palatino Linotype" w:hAnsi="Palatino Linotype" w:cs="Arial"/>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4F28AB">
        <w:rPr>
          <w:rFonts w:ascii="Palatino Linotype" w:hAnsi="Palatino Linotype" w:cs="Arial"/>
          <w:b/>
          <w:sz w:val="24"/>
        </w:rPr>
        <w:t>veintidós</w:t>
      </w:r>
      <w:r>
        <w:rPr>
          <w:rFonts w:ascii="Palatino Linotype" w:hAnsi="Palatino Linotype" w:cs="Arial"/>
          <w:b/>
          <w:sz w:val="24"/>
        </w:rPr>
        <w:t xml:space="preserve"> de noviembre de dos mil veinticuatro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rsidR="0083112B" w:rsidRPr="00E818A5" w:rsidRDefault="0083112B" w:rsidP="0083112B">
      <w:pPr>
        <w:spacing w:line="360" w:lineRule="auto"/>
        <w:jc w:val="both"/>
        <w:rPr>
          <w:rFonts w:ascii="Palatino Linotype" w:hAnsi="Palatino Linotype" w:cs="Arial"/>
        </w:rPr>
      </w:pPr>
    </w:p>
    <w:p w:rsidR="00090987" w:rsidRPr="00090987" w:rsidRDefault="0083112B" w:rsidP="00090987">
      <w:pPr>
        <w:ind w:left="567" w:right="567"/>
        <w:jc w:val="both"/>
        <w:rPr>
          <w:rFonts w:ascii="Palatino Linotype" w:hAnsi="Palatino Linotype" w:cs="Arial"/>
          <w:i/>
        </w:rPr>
      </w:pPr>
      <w:r>
        <w:rPr>
          <w:rFonts w:ascii="Palatino Linotype" w:hAnsi="Palatino Linotype" w:cs="Arial"/>
          <w:i/>
        </w:rPr>
        <w:t>“</w:t>
      </w:r>
      <w:r w:rsidR="00090987" w:rsidRPr="0009098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3112B" w:rsidRDefault="00090987" w:rsidP="00090987">
      <w:pPr>
        <w:ind w:left="567" w:right="567"/>
        <w:jc w:val="both"/>
        <w:rPr>
          <w:rFonts w:ascii="Palatino Linotype" w:hAnsi="Palatino Linotype" w:cs="Arial"/>
          <w:i/>
        </w:rPr>
      </w:pPr>
      <w:r w:rsidRPr="00090987">
        <w:rPr>
          <w:rFonts w:ascii="Palatino Linotype" w:hAnsi="Palatino Linotype" w:cs="Arial"/>
          <w:i/>
        </w:rPr>
        <w:t>Se anexa oficio de respuesta número SBIENESTAREDOMEX/UT/262/2024, de fecha 22 de noviembre de 2024</w:t>
      </w:r>
      <w:proofErr w:type="gramStart"/>
      <w:r w:rsidRPr="00090987">
        <w:rPr>
          <w:rFonts w:ascii="Palatino Linotype" w:hAnsi="Palatino Linotype" w:cs="Arial"/>
          <w:i/>
        </w:rPr>
        <w:t>.</w:t>
      </w:r>
      <w:r w:rsidR="0083112B" w:rsidRPr="00667998">
        <w:rPr>
          <w:rFonts w:ascii="Palatino Linotype" w:hAnsi="Palatino Linotype" w:cs="Arial"/>
          <w:i/>
        </w:rPr>
        <w:t>“</w:t>
      </w:r>
      <w:proofErr w:type="gramEnd"/>
      <w:r w:rsidR="0083112B" w:rsidRPr="00667998">
        <w:rPr>
          <w:rFonts w:ascii="Palatino Linotype" w:hAnsi="Palatino Linotype" w:cs="Arial"/>
          <w:i/>
        </w:rPr>
        <w:t>(Sic).</w:t>
      </w:r>
    </w:p>
    <w:p w:rsidR="0083112B" w:rsidRDefault="0083112B" w:rsidP="0083112B">
      <w:pPr>
        <w:spacing w:line="360" w:lineRule="auto"/>
        <w:ind w:right="567"/>
        <w:jc w:val="both"/>
        <w:rPr>
          <w:rFonts w:ascii="Palatino Linotype" w:hAnsi="Palatino Linotype" w:cs="Arial"/>
        </w:rPr>
      </w:pPr>
    </w:p>
    <w:p w:rsidR="00D873A8" w:rsidRDefault="0083112B" w:rsidP="00D873A8">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sidR="00090987">
        <w:rPr>
          <w:rFonts w:ascii="Palatino Linotype" w:hAnsi="Palatino Linotype" w:cs="Arial"/>
        </w:rPr>
        <w:t xml:space="preserve"> adjuntó el archivo electrónico</w:t>
      </w:r>
      <w:r w:rsidR="00D873A8">
        <w:rPr>
          <w:rFonts w:ascii="Palatino Linotype" w:hAnsi="Palatino Linotype" w:cs="Arial"/>
        </w:rPr>
        <w:t xml:space="preserve"> denominado:</w:t>
      </w:r>
    </w:p>
    <w:p w:rsidR="00D873A8" w:rsidRDefault="00D873A8" w:rsidP="00D873A8">
      <w:pPr>
        <w:spacing w:line="360" w:lineRule="auto"/>
        <w:jc w:val="both"/>
        <w:rPr>
          <w:rFonts w:ascii="Palatino Linotype" w:hAnsi="Palatino Linotype" w:cs="Arial"/>
        </w:rPr>
      </w:pPr>
    </w:p>
    <w:p w:rsidR="00D873A8" w:rsidRPr="00D873A8" w:rsidRDefault="00D873A8" w:rsidP="00D873A8">
      <w:pPr>
        <w:pStyle w:val="Prrafodelista"/>
        <w:numPr>
          <w:ilvl w:val="0"/>
          <w:numId w:val="9"/>
        </w:numPr>
        <w:spacing w:line="360" w:lineRule="auto"/>
        <w:jc w:val="both"/>
        <w:rPr>
          <w:rFonts w:ascii="Palatino Linotype" w:hAnsi="Palatino Linotype" w:cs="Arial"/>
          <w:b/>
          <w:i/>
        </w:rPr>
      </w:pPr>
      <w:r w:rsidRPr="00D873A8">
        <w:rPr>
          <w:rFonts w:ascii="Palatino Linotype" w:hAnsi="Palatino Linotype" w:cs="Arial"/>
          <w:b/>
          <w:i/>
        </w:rPr>
        <w:t xml:space="preserve">262 - C. Ciudadano - Unidad de Transparencia - 0262.pdf: </w:t>
      </w:r>
      <w:r w:rsidRPr="00D873A8">
        <w:rPr>
          <w:rFonts w:ascii="Palatino Linotype" w:hAnsi="Palatino Linotype" w:cs="Arial"/>
        </w:rPr>
        <w:t xml:space="preserve">constante de cuatro fojas, en formato </w:t>
      </w:r>
      <w:proofErr w:type="spellStart"/>
      <w:r w:rsidRPr="00D873A8">
        <w:rPr>
          <w:rFonts w:ascii="Palatino Linotype" w:hAnsi="Palatino Linotype" w:cs="Arial"/>
        </w:rPr>
        <w:t>pdf</w:t>
      </w:r>
      <w:proofErr w:type="spellEnd"/>
      <w:r w:rsidRPr="00D873A8">
        <w:rPr>
          <w:rFonts w:ascii="Palatino Linotype" w:hAnsi="Palatino Linotype" w:cs="Arial"/>
        </w:rPr>
        <w:t>, contiene el oficio número SBIENESTAREDOMEX/UT/262/2024, de fecha veintidós de noviembre de dos mil veinticuatro, firmado por el Titular de la Unidad de Transparencia, en el que refiere lo siguiente:</w:t>
      </w:r>
    </w:p>
    <w:p w:rsidR="00D873A8" w:rsidRDefault="00D873A8" w:rsidP="00D873A8">
      <w:pPr>
        <w:pStyle w:val="INFOEM"/>
      </w:pPr>
      <w:r>
        <w:t>“…</w:t>
      </w:r>
    </w:p>
    <w:p w:rsidR="00D873A8" w:rsidRDefault="00D873A8" w:rsidP="00D873A8">
      <w:pPr>
        <w:pStyle w:val="INFOEM"/>
      </w:pPr>
      <w:r>
        <w:t xml:space="preserve">Con fundamento en lo dispuesto por los artículos 12 segundo párrafo, 23 fracción I, 24 tercer párrafo y 163 de la Ley de Transparencia y Acceso a la Información Pública del Estado de México y Municipios, hago de su conocimiento que en lo que respecta </w:t>
      </w:r>
      <w:r>
        <w:lastRenderedPageBreak/>
        <w:t xml:space="preserve">a la Secretaría de Bienestar y </w:t>
      </w:r>
      <w:r w:rsidRPr="00205720">
        <w:rPr>
          <w:b/>
        </w:rPr>
        <w:t>con la información proporcionada por la Dirección de Administración Personal de la Coordinación Administrativa, mediante oficio número 22900015020000S/0439/2024</w:t>
      </w:r>
      <w:r>
        <w:t>, informo lo siguiente:</w:t>
      </w:r>
    </w:p>
    <w:p w:rsidR="00D873A8" w:rsidRDefault="00D873A8" w:rsidP="00D873A8">
      <w:pPr>
        <w:pStyle w:val="INFOEM"/>
      </w:pPr>
      <w:r>
        <w:t>(…)</w:t>
      </w:r>
    </w:p>
    <w:p w:rsidR="00D873A8" w:rsidRDefault="00D873A8" w:rsidP="00D873A8">
      <w:pPr>
        <w:pStyle w:val="INFOEM"/>
      </w:pPr>
      <w:r>
        <w:t>Con relación a su requerimiento, se le proporciona el sueldo neto mensual de las personas servidoras (es) públicas (os) de estructura (base) y eventuales, adscritas (os) a la Coordinación Jurídica, de Igualdad de Género y Erradicación de la Violencia, conforme a lo siguiente:</w:t>
      </w:r>
    </w:p>
    <w:p w:rsidR="00D873A8" w:rsidRDefault="00D873A8" w:rsidP="00D873A8">
      <w:pPr>
        <w:pStyle w:val="INFOEM"/>
      </w:pPr>
      <w:r w:rsidRPr="00205720">
        <w:rPr>
          <w:noProof/>
          <w:lang w:eastAsia="es-MX"/>
        </w:rPr>
        <w:drawing>
          <wp:inline distT="0" distB="0" distL="0" distR="0" wp14:anchorId="477E0B43" wp14:editId="4982E1AE">
            <wp:extent cx="4589559" cy="41814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9630" cy="4190650"/>
                    </a:xfrm>
                    <a:prstGeom prst="rect">
                      <a:avLst/>
                    </a:prstGeom>
                  </pic:spPr>
                </pic:pic>
              </a:graphicData>
            </a:graphic>
          </wp:inline>
        </w:drawing>
      </w:r>
    </w:p>
    <w:p w:rsidR="00D873A8" w:rsidRDefault="00D873A8" w:rsidP="00D873A8">
      <w:pPr>
        <w:pStyle w:val="INFOEM"/>
      </w:pPr>
      <w:r w:rsidRPr="00205720">
        <w:rPr>
          <w:noProof/>
          <w:lang w:eastAsia="es-MX"/>
        </w:rPr>
        <w:lastRenderedPageBreak/>
        <w:drawing>
          <wp:inline distT="0" distB="0" distL="0" distR="0" wp14:anchorId="3D18AFF8" wp14:editId="77239C2D">
            <wp:extent cx="4403256" cy="2295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4281" cy="2306486"/>
                    </a:xfrm>
                    <a:prstGeom prst="rect">
                      <a:avLst/>
                    </a:prstGeom>
                  </pic:spPr>
                </pic:pic>
              </a:graphicData>
            </a:graphic>
          </wp:inline>
        </w:drawing>
      </w:r>
    </w:p>
    <w:p w:rsidR="00D873A8" w:rsidRDefault="00D873A8" w:rsidP="00D873A8">
      <w:pPr>
        <w:pStyle w:val="INFOEM"/>
      </w:pPr>
      <w:r>
        <w:t>…” (Sic)</w:t>
      </w:r>
    </w:p>
    <w:p w:rsidR="00D873A8" w:rsidRDefault="00D873A8" w:rsidP="0083112B">
      <w:pPr>
        <w:spacing w:line="360" w:lineRule="auto"/>
        <w:jc w:val="both"/>
        <w:rPr>
          <w:rFonts w:ascii="Palatino Linotype" w:hAnsi="Palatino Linotype" w:cs="Arial"/>
        </w:rPr>
      </w:pPr>
    </w:p>
    <w:p w:rsidR="0083112B" w:rsidRDefault="0083112B" w:rsidP="0083112B">
      <w:pPr>
        <w:spacing w:line="360" w:lineRule="auto"/>
        <w:jc w:val="both"/>
        <w:rPr>
          <w:rFonts w:ascii="Palatino Linotype" w:hAnsi="Palatino Linotype" w:cs="Arial"/>
        </w:rPr>
      </w:pPr>
    </w:p>
    <w:p w:rsidR="0083112B" w:rsidRPr="002C3EC8" w:rsidRDefault="0083112B" w:rsidP="0083112B">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rsidR="0083112B" w:rsidRDefault="0083112B" w:rsidP="0083112B">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090987">
        <w:rPr>
          <w:rFonts w:ascii="Palatino Linotype" w:hAnsi="Palatino Linotype" w:cs="Arial"/>
          <w:b/>
        </w:rPr>
        <w:t>tres de diciembre</w:t>
      </w:r>
      <w:r>
        <w:rPr>
          <w:rFonts w:ascii="Palatino Linotype" w:hAnsi="Palatino Linotype" w:cs="Arial"/>
          <w:b/>
        </w:rPr>
        <w:t xml:space="preserve"> de dos mil veinticuatro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sidR="00DD4A86">
        <w:rPr>
          <w:rFonts w:ascii="Palatino Linotype" w:hAnsi="Palatino Linotype" w:cs="Arial"/>
          <w:b/>
        </w:rPr>
        <w:t>0</w:t>
      </w:r>
      <w:r w:rsidR="00FA110A">
        <w:rPr>
          <w:rFonts w:ascii="Palatino Linotype" w:hAnsi="Palatino Linotype" w:cs="Arial"/>
          <w:b/>
        </w:rPr>
        <w:t>7460</w:t>
      </w:r>
      <w:r>
        <w:rPr>
          <w:rFonts w:ascii="Palatino Linotype" w:hAnsi="Palatino Linotype" w:cs="Arial"/>
          <w:b/>
        </w:rPr>
        <w:t>/INFOEM/IP/RR/2024</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rsidR="0083112B" w:rsidRDefault="0083112B" w:rsidP="0083112B">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rsidR="0083112B" w:rsidRPr="007E4713" w:rsidRDefault="0083112B" w:rsidP="0083112B">
      <w:pPr>
        <w:pStyle w:val="INFOEM"/>
      </w:pPr>
      <w:r w:rsidRPr="007E4713">
        <w:t>“</w:t>
      </w:r>
      <w:r w:rsidR="00090987" w:rsidRPr="00090987">
        <w:t>información incompleta</w:t>
      </w:r>
      <w:r>
        <w:t>” (sic)</w:t>
      </w:r>
    </w:p>
    <w:p w:rsidR="0083112B" w:rsidRPr="0033050B" w:rsidRDefault="0083112B" w:rsidP="0083112B">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rsidR="0083112B" w:rsidRDefault="0083112B" w:rsidP="0083112B">
      <w:pPr>
        <w:pStyle w:val="INFOEM"/>
      </w:pPr>
      <w:r>
        <w:t>“</w:t>
      </w:r>
      <w:r w:rsidR="00090987" w:rsidRPr="00090987">
        <w:t xml:space="preserve">solo me entregan de la dirección </w:t>
      </w:r>
      <w:proofErr w:type="spellStart"/>
      <w:r w:rsidR="00090987" w:rsidRPr="00090987">
        <w:t>juridica</w:t>
      </w:r>
      <w:proofErr w:type="spellEnd"/>
      <w:r w:rsidR="00090987" w:rsidRPr="00090987">
        <w:t xml:space="preserve"> y </w:t>
      </w:r>
      <w:proofErr w:type="spellStart"/>
      <w:r w:rsidR="00090987" w:rsidRPr="00090987">
        <w:t>pedi</w:t>
      </w:r>
      <w:proofErr w:type="spellEnd"/>
      <w:r w:rsidR="00090987" w:rsidRPr="00090987">
        <w:t xml:space="preserve"> de toda la secretaría</w:t>
      </w:r>
      <w:r>
        <w:t>” (Sic)</w:t>
      </w:r>
    </w:p>
    <w:p w:rsidR="0083112B" w:rsidRDefault="0083112B" w:rsidP="0083112B">
      <w:pPr>
        <w:spacing w:line="360" w:lineRule="auto"/>
        <w:jc w:val="both"/>
        <w:rPr>
          <w:rFonts w:ascii="Palatino Linotype" w:hAnsi="Palatino Linotype" w:cs="Arial"/>
        </w:rPr>
      </w:pPr>
    </w:p>
    <w:p w:rsidR="0083112B" w:rsidRPr="002C3EC8" w:rsidRDefault="0083112B" w:rsidP="0083112B">
      <w:pPr>
        <w:spacing w:before="240" w:line="360" w:lineRule="auto"/>
        <w:jc w:val="both"/>
        <w:rPr>
          <w:rFonts w:ascii="Palatino Linotype" w:hAnsi="Palatino Linotype" w:cs="Arial"/>
          <w:b/>
        </w:rPr>
      </w:pPr>
      <w:r>
        <w:rPr>
          <w:rFonts w:ascii="Palatino Linotype" w:hAnsi="Palatino Linotype" w:cs="Arial"/>
          <w:b/>
          <w:sz w:val="28"/>
        </w:rPr>
        <w:lastRenderedPageBreak/>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83112B" w:rsidRDefault="0083112B" w:rsidP="0083112B">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090987">
        <w:rPr>
          <w:rFonts w:ascii="Palatino Linotype" w:hAnsi="Palatino Linotype"/>
          <w:b/>
        </w:rPr>
        <w:t>cuatro de diciembre</w:t>
      </w:r>
      <w:r>
        <w:rPr>
          <w:rFonts w:ascii="Palatino Linotype" w:hAnsi="Palatino Linotype"/>
          <w:b/>
        </w:rPr>
        <w:t xml:space="preserve"> de dos mil veinticuatro</w:t>
      </w:r>
      <w:r w:rsidRPr="002C3EC8">
        <w:rPr>
          <w:rFonts w:ascii="Palatino Linotype" w:hAnsi="Palatino Linotype"/>
        </w:rPr>
        <w:t>, determinándose en ellos, un plazo de siete días para que las partes manifestaran lo que a su derecho corresponda en términos del numeral ya citado.</w:t>
      </w:r>
    </w:p>
    <w:p w:rsidR="0083112B" w:rsidRPr="004C20B7" w:rsidRDefault="0083112B" w:rsidP="0083112B">
      <w:pPr>
        <w:spacing w:before="240" w:line="360" w:lineRule="auto"/>
        <w:jc w:val="both"/>
        <w:rPr>
          <w:rFonts w:ascii="Palatino Linotype" w:hAnsi="Palatino Linotype" w:cs="Arial"/>
          <w:sz w:val="28"/>
        </w:rPr>
      </w:pPr>
    </w:p>
    <w:p w:rsidR="0083112B" w:rsidRPr="00E52C83" w:rsidRDefault="0083112B" w:rsidP="0083112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rsidR="0083112B" w:rsidRPr="00D873A8" w:rsidRDefault="0083112B" w:rsidP="0083112B">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990C1E">
        <w:rPr>
          <w:rFonts w:ascii="Palatino Linotype" w:hAnsi="Palatino Linotype" w:cs="Arial"/>
        </w:rPr>
        <w:t>nueve</w:t>
      </w:r>
      <w:r>
        <w:rPr>
          <w:rFonts w:ascii="Palatino Linotype" w:hAnsi="Palatino Linotype" w:cs="Arial"/>
        </w:rPr>
        <w:t xml:space="preserve"> de diciembre de dos mil veinticuatro</w:t>
      </w:r>
      <w:r w:rsidRPr="00D32665">
        <w:rPr>
          <w:rFonts w:ascii="Palatino Linotype" w:hAnsi="Palatino Linotype" w:cs="Arial"/>
        </w:rPr>
        <w:t>, por medio del archivo electrónico</w:t>
      </w:r>
      <w:r>
        <w:rPr>
          <w:rFonts w:ascii="Palatino Linotype" w:hAnsi="Palatino Linotype" w:cs="Arial"/>
        </w:rPr>
        <w:t xml:space="preserve"> </w:t>
      </w:r>
      <w:r w:rsidRPr="00D12B7B">
        <w:rPr>
          <w:rFonts w:ascii="Palatino Linotype" w:hAnsi="Palatino Linotype" w:cs="Arial"/>
          <w:b/>
          <w:i/>
        </w:rPr>
        <w:t>“</w:t>
      </w:r>
      <w:r w:rsidR="00990C1E" w:rsidRPr="00990C1E">
        <w:rPr>
          <w:rFonts w:ascii="Palatino Linotype" w:hAnsi="Palatino Linotype" w:cs="Arial"/>
          <w:b/>
          <w:i/>
        </w:rPr>
        <w:t>262 - C. Ciudadano - Informe Justificado- RR - 07460 - Unidad de Transparencia - 0262.pdf</w:t>
      </w:r>
      <w:r w:rsidRPr="00D12B7B">
        <w:rPr>
          <w:rFonts w:ascii="Palatino Linotype" w:hAnsi="Palatino Linotype" w:cs="Arial"/>
          <w:b/>
          <w:i/>
        </w:rPr>
        <w:t>”</w:t>
      </w:r>
      <w:r w:rsidRPr="00D32665">
        <w:rPr>
          <w:rFonts w:ascii="Palatino Linotype" w:hAnsi="Palatino Linotype" w:cs="Arial"/>
        </w:rPr>
        <w:t xml:space="preserve">, el cual fue puesto a la vista en fecha </w:t>
      </w:r>
      <w:r w:rsidR="00990C1E">
        <w:rPr>
          <w:rFonts w:ascii="Palatino Linotype" w:hAnsi="Palatino Linotype" w:cs="Arial"/>
        </w:rPr>
        <w:t>dieciséis</w:t>
      </w:r>
      <w:r>
        <w:rPr>
          <w:rFonts w:ascii="Palatino Linotype" w:hAnsi="Palatino Linotype" w:cs="Arial"/>
        </w:rPr>
        <w:t xml:space="preserve"> de diciembre</w:t>
      </w:r>
      <w:r w:rsidRPr="00D32665">
        <w:rPr>
          <w:rFonts w:ascii="Palatino Linotype" w:hAnsi="Palatino Linotype" w:cs="Arial"/>
        </w:rPr>
        <w:t xml:space="preserve"> del mismo año</w:t>
      </w:r>
      <w:r w:rsidR="00D873A8">
        <w:rPr>
          <w:rFonts w:ascii="Palatino Linotype" w:hAnsi="Palatino Linotype" w:cs="Arial"/>
          <w:b/>
          <w:i/>
        </w:rPr>
        <w:t xml:space="preserve">, </w:t>
      </w:r>
      <w:r w:rsidR="00D873A8">
        <w:rPr>
          <w:rFonts w:ascii="Palatino Linotype" w:hAnsi="Palatino Linotype" w:cs="Arial"/>
        </w:rPr>
        <w:t>y en el que sustancialmente ratifica su respuesta.</w:t>
      </w:r>
    </w:p>
    <w:p w:rsidR="0083112B" w:rsidRPr="00D32665" w:rsidRDefault="0083112B" w:rsidP="0083112B">
      <w:pPr>
        <w:spacing w:line="360" w:lineRule="auto"/>
        <w:jc w:val="both"/>
        <w:rPr>
          <w:rFonts w:ascii="Palatino Linotype" w:hAnsi="Palatino Linotype"/>
        </w:rPr>
      </w:pPr>
    </w:p>
    <w:p w:rsidR="0083112B" w:rsidRPr="00D32665" w:rsidRDefault="0083112B" w:rsidP="0083112B">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rsidR="0083112B" w:rsidRDefault="0083112B" w:rsidP="0083112B">
      <w:pPr>
        <w:spacing w:line="360" w:lineRule="auto"/>
        <w:jc w:val="both"/>
        <w:rPr>
          <w:rFonts w:ascii="Palatino Linotype" w:hAnsi="Palatino Linotype" w:cs="Arial"/>
          <w:b/>
          <w:sz w:val="28"/>
          <w:szCs w:val="28"/>
        </w:rPr>
      </w:pPr>
    </w:p>
    <w:p w:rsidR="0083112B" w:rsidRPr="002C3EC8" w:rsidRDefault="0083112B" w:rsidP="0083112B">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rsidR="0083112B" w:rsidRDefault="0083112B" w:rsidP="0083112B">
      <w:pPr>
        <w:spacing w:line="360" w:lineRule="auto"/>
        <w:jc w:val="both"/>
        <w:rPr>
          <w:rFonts w:ascii="Palatino Linotype" w:hAnsi="Palatino Linotype" w:cs="Arial"/>
        </w:rPr>
      </w:pPr>
      <w:r w:rsidRPr="002C3EC8">
        <w:rPr>
          <w:rFonts w:ascii="Palatino Linotype" w:hAnsi="Palatino Linotype" w:cs="Arial"/>
        </w:rPr>
        <w:lastRenderedPageBreak/>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990C1E">
        <w:rPr>
          <w:rFonts w:ascii="Palatino Linotype" w:hAnsi="Palatino Linotype" w:cs="Arial"/>
          <w:b/>
        </w:rPr>
        <w:t>veinte</w:t>
      </w:r>
      <w:r>
        <w:rPr>
          <w:rFonts w:ascii="Palatino Linotype" w:hAnsi="Palatino Linotype" w:cs="Arial"/>
          <w:b/>
        </w:rPr>
        <w:t xml:space="preserve"> de diciembre de dos mil veinticuatro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83112B" w:rsidRDefault="0083112B" w:rsidP="0083112B">
      <w:pPr>
        <w:spacing w:line="360" w:lineRule="auto"/>
        <w:jc w:val="both"/>
        <w:rPr>
          <w:rFonts w:ascii="Palatino Linotype" w:hAnsi="Palatino Linotype" w:cs="Arial"/>
          <w:b/>
          <w:sz w:val="28"/>
          <w:szCs w:val="28"/>
        </w:rPr>
      </w:pPr>
    </w:p>
    <w:p w:rsidR="0083112B" w:rsidRPr="0024200F" w:rsidRDefault="0083112B" w:rsidP="0083112B">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83112B" w:rsidRPr="00825F67" w:rsidRDefault="0083112B" w:rsidP="0083112B">
      <w:pPr>
        <w:spacing w:line="360" w:lineRule="auto"/>
        <w:ind w:right="49"/>
        <w:jc w:val="both"/>
        <w:rPr>
          <w:rFonts w:ascii="Palatino Linotype" w:hAnsi="Palatino Linotype"/>
          <w:szCs w:val="28"/>
        </w:rPr>
      </w:pPr>
    </w:p>
    <w:p w:rsidR="0083112B" w:rsidRPr="002C3EC8" w:rsidRDefault="0083112B" w:rsidP="0083112B">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83112B" w:rsidRPr="007C6AB6" w:rsidRDefault="0083112B" w:rsidP="0083112B">
      <w:pPr>
        <w:tabs>
          <w:tab w:val="left" w:pos="3402"/>
        </w:tabs>
        <w:spacing w:line="360" w:lineRule="auto"/>
        <w:jc w:val="both"/>
        <w:rPr>
          <w:rFonts w:ascii="Palatino Linotype" w:hAnsi="Palatino Linotype"/>
        </w:rPr>
      </w:pPr>
      <w:r w:rsidRPr="007C6AB6">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w:t>
      </w:r>
      <w:r>
        <w:rPr>
          <w:rFonts w:ascii="Palatino Linotype" w:hAnsi="Palatino Linotype"/>
        </w:rPr>
        <w:t xml:space="preserve"> y </w:t>
      </w:r>
      <w:r w:rsidRPr="007C6AB6">
        <w:rPr>
          <w:rFonts w:ascii="Palatino Linotype" w:hAnsi="Palatino Linotype"/>
        </w:rPr>
        <w:t xml:space="preserve">trigésimo </w:t>
      </w:r>
      <w:r>
        <w:rPr>
          <w:rFonts w:ascii="Palatino Linotype" w:hAnsi="Palatino Linotype"/>
        </w:rPr>
        <w:t>cuarto</w:t>
      </w:r>
      <w:r w:rsidRPr="007C6AB6">
        <w:rPr>
          <w:rFonts w:ascii="Palatino Linotype" w:hAnsi="Palatino Linotype"/>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83112B" w:rsidRPr="002C3EC8" w:rsidRDefault="0083112B" w:rsidP="0083112B">
      <w:pPr>
        <w:spacing w:before="240" w:line="360" w:lineRule="auto"/>
        <w:jc w:val="both"/>
        <w:rPr>
          <w:rFonts w:ascii="Palatino Linotype" w:eastAsia="Calibri" w:hAnsi="Palatino Linotype"/>
          <w:b/>
          <w:color w:val="000000" w:themeColor="text1"/>
        </w:rPr>
      </w:pPr>
    </w:p>
    <w:p w:rsidR="0083112B" w:rsidRPr="002C3EC8" w:rsidRDefault="0083112B" w:rsidP="0083112B">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lastRenderedPageBreak/>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83112B" w:rsidRDefault="0083112B" w:rsidP="0083112B">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3112B" w:rsidRPr="00821CCD" w:rsidRDefault="0083112B" w:rsidP="0083112B">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83112B" w:rsidRPr="00821CCD" w:rsidRDefault="0083112B" w:rsidP="0083112B">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rsidR="0083112B" w:rsidRPr="00821CCD" w:rsidRDefault="0083112B" w:rsidP="0083112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rsidR="0083112B" w:rsidRPr="00821CCD" w:rsidRDefault="0083112B" w:rsidP="0083112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rsidR="0083112B" w:rsidRPr="00821CCD" w:rsidRDefault="0083112B" w:rsidP="0083112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rsidR="0083112B" w:rsidRPr="00821CCD" w:rsidRDefault="0083112B" w:rsidP="0083112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83112B" w:rsidRPr="00821CCD" w:rsidRDefault="0083112B" w:rsidP="0083112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rsidR="0083112B" w:rsidRPr="00821CCD" w:rsidRDefault="0083112B" w:rsidP="0083112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rsidR="0083112B" w:rsidRPr="00821CCD" w:rsidRDefault="0083112B" w:rsidP="0083112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rsidR="0083112B" w:rsidRPr="00821CCD" w:rsidRDefault="0083112B" w:rsidP="0083112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rsidR="0083112B" w:rsidRPr="00821CCD" w:rsidRDefault="0083112B" w:rsidP="0083112B">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lastRenderedPageBreak/>
        <w:t xml:space="preserve">Adicionalmente, se podrán anexar las pruebas y demás elementos que considere procedentes someter a juicio del Instituto. </w:t>
      </w:r>
    </w:p>
    <w:p w:rsidR="0083112B" w:rsidRPr="00821CCD" w:rsidRDefault="0083112B" w:rsidP="0083112B">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rsidR="0083112B" w:rsidRPr="00821CCD" w:rsidRDefault="0083112B" w:rsidP="0083112B">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83112B" w:rsidRPr="00821CCD" w:rsidRDefault="0083112B" w:rsidP="0083112B">
      <w:pPr>
        <w:autoSpaceDE w:val="0"/>
        <w:autoSpaceDN w:val="0"/>
        <w:adjustRightInd w:val="0"/>
        <w:spacing w:before="240" w:line="360" w:lineRule="auto"/>
        <w:jc w:val="both"/>
        <w:rPr>
          <w:rFonts w:ascii="Palatino Linotype" w:hAnsi="Palatino Linotype"/>
        </w:rPr>
      </w:pPr>
    </w:p>
    <w:p w:rsidR="0083112B" w:rsidRPr="00821CCD" w:rsidRDefault="0083112B" w:rsidP="0083112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83112B" w:rsidRPr="00821CCD" w:rsidTr="00205720">
        <w:trPr>
          <w:trHeight w:val="1360"/>
        </w:trPr>
        <w:tc>
          <w:tcPr>
            <w:tcW w:w="7982" w:type="dxa"/>
          </w:tcPr>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83112B" w:rsidRPr="00821CCD" w:rsidRDefault="0083112B" w:rsidP="0083112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83112B" w:rsidRPr="00821CCD" w:rsidTr="00205720">
        <w:trPr>
          <w:jc w:val="center"/>
        </w:trPr>
        <w:tc>
          <w:tcPr>
            <w:tcW w:w="8075" w:type="dxa"/>
          </w:tcPr>
          <w:p w:rsidR="0083112B" w:rsidRPr="00821CCD" w:rsidRDefault="0083112B" w:rsidP="00205720">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rsidR="0083112B" w:rsidRPr="00821CCD" w:rsidRDefault="0083112B" w:rsidP="00205720">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3112B" w:rsidRPr="00821CCD" w:rsidRDefault="0083112B" w:rsidP="00205720">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83112B" w:rsidRPr="00821CCD" w:rsidRDefault="0083112B" w:rsidP="00205720">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w:t>
            </w:r>
            <w:r w:rsidRPr="00821CCD">
              <w:rPr>
                <w:rFonts w:ascii="Palatino Linotype" w:eastAsia="Calibri" w:hAnsi="Palatino Linotype" w:cs="Arial"/>
                <w:i/>
                <w:lang w:val="es-ES_tradnl" w:eastAsia="es-MX"/>
              </w:rPr>
              <w:lastRenderedPageBreak/>
              <w:t>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83112B" w:rsidRPr="00821CCD" w:rsidRDefault="0083112B" w:rsidP="00205720">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rsidR="0083112B" w:rsidRPr="00821CCD" w:rsidRDefault="0083112B" w:rsidP="00205720">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rsidR="0083112B" w:rsidRPr="00821CCD" w:rsidRDefault="0083112B" w:rsidP="00205720">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83112B" w:rsidRPr="00821CCD" w:rsidRDefault="0083112B" w:rsidP="0083112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rsidR="0083112B" w:rsidRPr="00821CCD" w:rsidRDefault="0083112B" w:rsidP="0083112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 xml:space="preserve">En conclusión, se cubrieron los requisitos de procedencia y </w:t>
      </w:r>
      <w:proofErr w:type="spellStart"/>
      <w:r w:rsidRPr="00821CCD">
        <w:rPr>
          <w:rFonts w:ascii="Palatino Linotype" w:hAnsi="Palatino Linotype"/>
        </w:rPr>
        <w:t>procedibilidad</w:t>
      </w:r>
      <w:proofErr w:type="spellEnd"/>
      <w:r w:rsidRPr="00821CCD">
        <w:rPr>
          <w:rFonts w:ascii="Palatino Linotype" w:hAnsi="Palatino Linotype"/>
        </w:rPr>
        <w:t xml:space="preserve"> y conforme a las constancias que obran en el expediente.</w:t>
      </w:r>
    </w:p>
    <w:p w:rsidR="0083112B" w:rsidRPr="00FF46DA" w:rsidRDefault="0083112B" w:rsidP="0083112B">
      <w:pPr>
        <w:pStyle w:val="Prrafodelista"/>
        <w:autoSpaceDE w:val="0"/>
        <w:autoSpaceDN w:val="0"/>
        <w:adjustRightInd w:val="0"/>
        <w:spacing w:before="240" w:after="160" w:line="360" w:lineRule="auto"/>
        <w:ind w:left="0"/>
        <w:jc w:val="both"/>
        <w:rPr>
          <w:rFonts w:ascii="Palatino Linotype" w:hAnsi="Palatino Linotype" w:cs="Arial"/>
        </w:rPr>
      </w:pPr>
    </w:p>
    <w:p w:rsidR="00D873A8" w:rsidRPr="002C3EC8" w:rsidRDefault="00D873A8" w:rsidP="00D873A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D873A8" w:rsidRDefault="00D873A8" w:rsidP="00D873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D873A8" w:rsidRDefault="00D873A8" w:rsidP="00D873A8">
      <w:pPr>
        <w:pStyle w:val="Prrafodelista"/>
        <w:autoSpaceDE w:val="0"/>
        <w:autoSpaceDN w:val="0"/>
        <w:adjustRightInd w:val="0"/>
        <w:spacing w:line="360" w:lineRule="auto"/>
        <w:ind w:left="0"/>
        <w:jc w:val="both"/>
        <w:rPr>
          <w:rFonts w:ascii="Palatino Linotype" w:hAnsi="Palatino Linotype" w:cs="Arial"/>
        </w:rPr>
      </w:pPr>
    </w:p>
    <w:p w:rsidR="00D873A8" w:rsidRDefault="00D873A8" w:rsidP="00D873A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D873A8" w:rsidRDefault="00D873A8" w:rsidP="00D873A8">
      <w:pPr>
        <w:autoSpaceDE w:val="0"/>
        <w:autoSpaceDN w:val="0"/>
        <w:adjustRightInd w:val="0"/>
        <w:spacing w:line="360" w:lineRule="auto"/>
        <w:jc w:val="both"/>
        <w:rPr>
          <w:rFonts w:ascii="Palatino Linotype" w:hAnsi="Palatino Linotype" w:cs="Arial"/>
        </w:rPr>
      </w:pPr>
      <w:r w:rsidRPr="00552846">
        <w:rPr>
          <w:rFonts w:ascii="Palatino Linotype" w:hAnsi="Palatino Linotype" w:cs="Arial"/>
        </w:rPr>
        <w:lastRenderedPageBreak/>
        <w:t>En primer término es necesario hacer alusión a la solicitud de información ya q</w:t>
      </w:r>
      <w:r>
        <w:rPr>
          <w:rFonts w:ascii="Palatino Linotype" w:hAnsi="Palatino Linotype" w:cs="Arial"/>
        </w:rPr>
        <w:t>ue de ella deriva por un lado e</w:t>
      </w:r>
      <w:r w:rsidRPr="00552846">
        <w:rPr>
          <w:rFonts w:ascii="Palatino Linotype" w:hAnsi="Palatino Linotype" w:cs="Arial"/>
        </w:rPr>
        <w:t xml:space="preserve">l procedimiento de acceso a la información ante </w:t>
      </w:r>
      <w:r w:rsidRPr="00FE69D7">
        <w:rPr>
          <w:rFonts w:ascii="Palatino Linotype" w:hAnsi="Palatino Linotype" w:cs="Arial"/>
          <w:b/>
        </w:rPr>
        <w:t>El Sujeto Obligado</w:t>
      </w:r>
      <w:r w:rsidRPr="00552846">
        <w:rPr>
          <w:rFonts w:ascii="Palatino Linotype" w:hAnsi="Palatino Linotype" w:cs="Arial"/>
        </w:rPr>
        <w:t>, y por otro lado la materia sobre la que versara el recurso de</w:t>
      </w:r>
      <w:r>
        <w:rPr>
          <w:rFonts w:ascii="Palatino Linotype" w:hAnsi="Palatino Linotype" w:cs="Arial"/>
        </w:rPr>
        <w:t xml:space="preserve"> </w:t>
      </w:r>
      <w:r w:rsidRPr="00552846">
        <w:rPr>
          <w:rFonts w:ascii="Palatino Linotype" w:hAnsi="Palatino Linotype" w:cs="Arial"/>
        </w:rPr>
        <w:t>revisión ante este Órgano Garante; se resalta la innegable necesidad de</w:t>
      </w:r>
      <w:r>
        <w:rPr>
          <w:rFonts w:ascii="Palatino Linotype" w:hAnsi="Palatino Linotype" w:cs="Arial"/>
        </w:rPr>
        <w:t xml:space="preserve"> </w:t>
      </w:r>
      <w:r w:rsidRPr="00552846">
        <w:rPr>
          <w:rFonts w:ascii="Palatino Linotype" w:hAnsi="Palatino Linotype" w:cs="Arial"/>
        </w:rPr>
        <w:t>interpretar el texto de las solicitud, porque no se podría entender el derecho de</w:t>
      </w:r>
      <w:r>
        <w:rPr>
          <w:rFonts w:ascii="Palatino Linotype" w:hAnsi="Palatino Linotype" w:cs="Arial"/>
        </w:rPr>
        <w:t xml:space="preserve"> </w:t>
      </w:r>
      <w:r w:rsidRPr="00552846">
        <w:rPr>
          <w:rFonts w:ascii="Palatino Linotype" w:hAnsi="Palatino Linotype" w:cs="Arial"/>
        </w:rPr>
        <w:t>acceso a la información sin la existencia de solicitudes de información a la luz de</w:t>
      </w:r>
      <w:r>
        <w:rPr>
          <w:rFonts w:ascii="Palatino Linotype" w:hAnsi="Palatino Linotype" w:cs="Arial"/>
        </w:rPr>
        <w:t xml:space="preserve"> </w:t>
      </w:r>
      <w:r w:rsidRPr="00552846">
        <w:rPr>
          <w:rFonts w:ascii="Palatino Linotype" w:hAnsi="Palatino Linotype" w:cs="Arial"/>
        </w:rPr>
        <w:t>su interpretación ya que ésta es la fuente de la materia objeto de la transparencia</w:t>
      </w:r>
      <w:r>
        <w:rPr>
          <w:rFonts w:ascii="Palatino Linotype" w:hAnsi="Palatino Linotype" w:cs="Arial"/>
        </w:rPr>
        <w:t xml:space="preserve"> </w:t>
      </w:r>
      <w:r w:rsidRPr="00552846">
        <w:rPr>
          <w:rFonts w:ascii="Palatino Linotype" w:hAnsi="Palatino Linotype" w:cs="Arial"/>
        </w:rPr>
        <w:t>específica en cada recurso de revisión; es decir, no podemos establecer una</w:t>
      </w:r>
      <w:r>
        <w:rPr>
          <w:rFonts w:ascii="Palatino Linotype" w:hAnsi="Palatino Linotype" w:cs="Arial"/>
        </w:rPr>
        <w:t xml:space="preserve"> </w:t>
      </w:r>
      <w:r w:rsidRPr="00552846">
        <w:rPr>
          <w:rFonts w:ascii="Palatino Linotype" w:hAnsi="Palatino Linotype" w:cs="Arial"/>
        </w:rPr>
        <w:t>materia o un tema como objeto de derecho de acceso a la información, si de la</w:t>
      </w:r>
      <w:r>
        <w:rPr>
          <w:rFonts w:ascii="Palatino Linotype" w:hAnsi="Palatino Linotype" w:cs="Arial"/>
        </w:rPr>
        <w:t xml:space="preserve"> </w:t>
      </w:r>
      <w:r w:rsidRPr="00552846">
        <w:rPr>
          <w:rFonts w:ascii="Palatino Linotype" w:hAnsi="Palatino Linotype" w:cs="Arial"/>
        </w:rPr>
        <w:t>solicitud no se entiende o no se precisan temas o materias objetivas; por ello es</w:t>
      </w:r>
      <w:r>
        <w:rPr>
          <w:rFonts w:ascii="Palatino Linotype" w:hAnsi="Palatino Linotype" w:cs="Arial"/>
        </w:rPr>
        <w:t xml:space="preserve"> </w:t>
      </w:r>
      <w:r w:rsidRPr="00552846">
        <w:rPr>
          <w:rFonts w:ascii="Palatino Linotype" w:hAnsi="Palatino Linotype" w:cs="Arial"/>
        </w:rPr>
        <w:t>de notoria importancia el trabajo de interpretación que se le dé a las solicitudes de</w:t>
      </w:r>
      <w:r>
        <w:rPr>
          <w:rFonts w:ascii="Palatino Linotype" w:hAnsi="Palatino Linotype" w:cs="Arial"/>
        </w:rPr>
        <w:t xml:space="preserve"> </w:t>
      </w:r>
      <w:r w:rsidRPr="00552846">
        <w:rPr>
          <w:rFonts w:ascii="Palatino Linotype" w:hAnsi="Palatino Linotype" w:cs="Arial"/>
        </w:rPr>
        <w:t>información, ya que el sujeto obligado puede considerar una circunstancia en</w:t>
      </w:r>
      <w:r>
        <w:rPr>
          <w:rFonts w:ascii="Palatino Linotype" w:hAnsi="Palatino Linotype" w:cs="Arial"/>
        </w:rPr>
        <w:t xml:space="preserve"> </w:t>
      </w:r>
      <w:r w:rsidRPr="00552846">
        <w:rPr>
          <w:rFonts w:ascii="Palatino Linotype" w:hAnsi="Palatino Linotype" w:cs="Arial"/>
        </w:rPr>
        <w:t>particular diversa a la que el particular objetivamente requiere.</w:t>
      </w:r>
    </w:p>
    <w:p w:rsidR="00D873A8" w:rsidRPr="001C0DDF" w:rsidRDefault="00D873A8" w:rsidP="00D873A8">
      <w:pPr>
        <w:autoSpaceDE w:val="0"/>
        <w:autoSpaceDN w:val="0"/>
        <w:adjustRightInd w:val="0"/>
        <w:spacing w:line="360" w:lineRule="auto"/>
        <w:jc w:val="both"/>
        <w:rPr>
          <w:rFonts w:ascii="Palatino Linotype" w:hAnsi="Palatino Linotype" w:cs="Arial"/>
        </w:rPr>
      </w:pPr>
      <w:r w:rsidRPr="004B3753">
        <w:rPr>
          <w:rFonts w:ascii="Palatino Linotype" w:hAnsi="Palatino Linotype" w:cs="Arial"/>
        </w:rPr>
        <w:t>Ya que el planteamiento del problema es de toral importancia, a efecto de determinar la intención o voluntad de</w:t>
      </w:r>
      <w:r>
        <w:rPr>
          <w:rFonts w:ascii="Palatino Linotype" w:hAnsi="Palatino Linotype" w:cs="Arial"/>
        </w:rPr>
        <w:t>l</w:t>
      </w:r>
      <w:r>
        <w:rPr>
          <w:rFonts w:ascii="Palatino Linotype" w:hAnsi="Palatino Linotype" w:cs="Arial"/>
          <w:b/>
        </w:rPr>
        <w:t xml:space="preserve"> </w:t>
      </w:r>
      <w:r w:rsidRPr="004B3753">
        <w:rPr>
          <w:rFonts w:ascii="Palatino Linotype" w:hAnsi="Palatino Linotype" w:cs="Arial"/>
          <w:b/>
        </w:rPr>
        <w:t>Recurrente</w:t>
      </w:r>
      <w:r w:rsidRPr="004B3753">
        <w:rPr>
          <w:rFonts w:ascii="Palatino Linotype" w:hAnsi="Palatino Linotype" w:cs="Arial"/>
        </w:rPr>
        <w:t xml:space="preserve"> a la</w:t>
      </w:r>
      <w:r>
        <w:rPr>
          <w:rFonts w:ascii="Palatino Linotype" w:hAnsi="Palatino Linotype" w:cs="Arial"/>
        </w:rPr>
        <w:t xml:space="preserve"> luz de la interpretación de la solicitud</w:t>
      </w:r>
      <w:r w:rsidRPr="004B3753">
        <w:rPr>
          <w:rFonts w:ascii="Palatino Linotype" w:hAnsi="Palatino Linotype" w:cs="Arial"/>
        </w:rPr>
        <w:t xml:space="preserve"> de información, y que puede genera</w:t>
      </w:r>
      <w:r>
        <w:rPr>
          <w:rFonts w:ascii="Palatino Linotype" w:hAnsi="Palatino Linotype" w:cs="Arial"/>
        </w:rPr>
        <w:t xml:space="preserve">r de forma objetiva y material </w:t>
      </w:r>
      <w:r w:rsidRPr="009A18AC">
        <w:rPr>
          <w:rFonts w:ascii="Palatino Linotype" w:hAnsi="Palatino Linotype" w:cs="Arial"/>
          <w:b/>
        </w:rPr>
        <w:t>El Sujeto Obligado</w:t>
      </w:r>
      <w:r w:rsidRPr="004B3753">
        <w:rPr>
          <w:rFonts w:ascii="Palatino Linotype" w:hAnsi="Palatino Linotype" w:cs="Arial"/>
        </w:rPr>
        <w:t xml:space="preserve"> que se relacione con esa intención, respecto del presente asunto se realiza a continuación.</w:t>
      </w:r>
    </w:p>
    <w:p w:rsidR="00D873A8" w:rsidRDefault="00D873A8" w:rsidP="00D873A8">
      <w:pPr>
        <w:pStyle w:val="Sinespaciado"/>
        <w:spacing w:line="360" w:lineRule="auto"/>
        <w:jc w:val="both"/>
        <w:rPr>
          <w:rFonts w:ascii="Palatino Linotype" w:hAnsi="Palatino Linotype" w:cs="Arial"/>
        </w:rPr>
      </w:pPr>
    </w:p>
    <w:p w:rsidR="00D873A8" w:rsidRDefault="00D873A8" w:rsidP="00D873A8">
      <w:pPr>
        <w:pStyle w:val="Sinespaciado"/>
        <w:spacing w:line="360" w:lineRule="auto"/>
        <w:jc w:val="both"/>
        <w:rPr>
          <w:rFonts w:ascii="Palatino Linotype" w:hAnsi="Palatino Linotype"/>
        </w:rPr>
      </w:pPr>
      <w:r>
        <w:rPr>
          <w:rFonts w:ascii="Palatino Linotype" w:hAnsi="Palatino Linotype" w:cs="Arial"/>
        </w:rPr>
        <w:t>Ahora bien, n</w:t>
      </w:r>
      <w:r w:rsidRPr="003254E6">
        <w:rPr>
          <w:rFonts w:ascii="Palatino Linotype" w:hAnsi="Palatino Linotype" w:cs="Arial"/>
        </w:rPr>
        <w:t xml:space="preserve">o pasa inadvertido para este Órgano </w:t>
      </w:r>
      <w:r>
        <w:rPr>
          <w:rFonts w:ascii="Palatino Linotype" w:hAnsi="Palatino Linotype" w:cs="Arial"/>
        </w:rPr>
        <w:t>Garante</w:t>
      </w:r>
      <w:r w:rsidRPr="003254E6">
        <w:rPr>
          <w:rFonts w:ascii="Palatino Linotype" w:hAnsi="Palatino Linotype" w:cs="Arial"/>
        </w:rPr>
        <w:t xml:space="preserve"> que en </w:t>
      </w:r>
      <w:r>
        <w:rPr>
          <w:rFonts w:ascii="Palatino Linotype" w:hAnsi="Palatino Linotype" w:cs="Arial"/>
        </w:rPr>
        <w:t>su acto impugnado</w:t>
      </w:r>
      <w:r w:rsidRPr="003254E6">
        <w:rPr>
          <w:rFonts w:ascii="Palatino Linotype" w:hAnsi="Palatino Linotype" w:cs="Arial"/>
        </w:rPr>
        <w:t xml:space="preserve"> </w:t>
      </w:r>
      <w:r w:rsidRPr="003254E6">
        <w:rPr>
          <w:rFonts w:ascii="Palatino Linotype" w:hAnsi="Palatino Linotype" w:cs="Arial"/>
          <w:b/>
        </w:rPr>
        <w:t xml:space="preserve">El Recurrente </w:t>
      </w:r>
      <w:r>
        <w:rPr>
          <w:rFonts w:ascii="Palatino Linotype" w:hAnsi="Palatino Linotype" w:cs="Arial"/>
        </w:rPr>
        <w:t>manifestó: “</w:t>
      </w:r>
      <w:r w:rsidRPr="00D873A8">
        <w:rPr>
          <w:rFonts w:ascii="Palatino Linotype" w:hAnsi="Palatino Linotype" w:cs="Arial"/>
          <w:i/>
        </w:rPr>
        <w:t xml:space="preserve">solo me entregan de la dirección </w:t>
      </w:r>
      <w:proofErr w:type="spellStart"/>
      <w:r w:rsidRPr="00D873A8">
        <w:rPr>
          <w:rFonts w:ascii="Palatino Linotype" w:hAnsi="Palatino Linotype" w:cs="Arial"/>
          <w:i/>
        </w:rPr>
        <w:t>juridica</w:t>
      </w:r>
      <w:proofErr w:type="spellEnd"/>
      <w:r w:rsidRPr="00D873A8">
        <w:rPr>
          <w:rFonts w:ascii="Palatino Linotype" w:hAnsi="Palatino Linotype" w:cs="Arial"/>
          <w:i/>
        </w:rPr>
        <w:t xml:space="preserve"> y </w:t>
      </w:r>
      <w:proofErr w:type="spellStart"/>
      <w:r w:rsidRPr="00D873A8">
        <w:rPr>
          <w:rFonts w:ascii="Palatino Linotype" w:hAnsi="Palatino Linotype" w:cs="Arial"/>
          <w:i/>
        </w:rPr>
        <w:t>pedi</w:t>
      </w:r>
      <w:proofErr w:type="spellEnd"/>
      <w:r w:rsidRPr="00D873A8">
        <w:rPr>
          <w:rFonts w:ascii="Palatino Linotype" w:hAnsi="Palatino Linotype" w:cs="Arial"/>
          <w:i/>
        </w:rPr>
        <w:t xml:space="preserve"> de toda la secretaría</w:t>
      </w:r>
      <w:r>
        <w:rPr>
          <w:rFonts w:ascii="Palatino Linotype" w:hAnsi="Palatino Linotype" w:cs="Arial"/>
        </w:rPr>
        <w:t>”, por lo que</w:t>
      </w:r>
      <w:r w:rsidRPr="00800B82">
        <w:rPr>
          <w:rFonts w:ascii="Palatino Linotype" w:hAnsi="Palatino Linotype"/>
        </w:rPr>
        <w:t xml:space="preserve"> resulta improcedente ampliar las solicitudes de información vía recurso de revisión. Lo anterior al tomar en consideración </w:t>
      </w:r>
      <w:r>
        <w:rPr>
          <w:rFonts w:ascii="Palatino Linotype" w:hAnsi="Palatino Linotype"/>
        </w:rPr>
        <w:t>las siguientes premisas:</w:t>
      </w:r>
    </w:p>
    <w:p w:rsidR="00D873A8" w:rsidRDefault="00D873A8" w:rsidP="00D873A8">
      <w:pPr>
        <w:pStyle w:val="Sinespaciado"/>
        <w:spacing w:line="360" w:lineRule="auto"/>
        <w:jc w:val="both"/>
        <w:rPr>
          <w:rFonts w:ascii="Palatino Linotype" w:hAnsi="Palatino Linotype"/>
        </w:rPr>
      </w:pPr>
    </w:p>
    <w:p w:rsidR="00D873A8" w:rsidRDefault="00D873A8" w:rsidP="00D873A8">
      <w:pPr>
        <w:pStyle w:val="Sinespaciado"/>
        <w:numPr>
          <w:ilvl w:val="0"/>
          <w:numId w:val="14"/>
        </w:numPr>
        <w:spacing w:line="360" w:lineRule="auto"/>
        <w:jc w:val="both"/>
        <w:rPr>
          <w:rFonts w:ascii="Palatino Linotype" w:hAnsi="Palatino Linotype"/>
        </w:rPr>
      </w:pPr>
      <w:r>
        <w:rPr>
          <w:rFonts w:ascii="Palatino Linotype" w:hAnsi="Palatino Linotype"/>
        </w:rPr>
        <w:t xml:space="preserve">La parte recurrente solicitó los sueldos del personal adscrito a la </w:t>
      </w:r>
      <w:r w:rsidRPr="00D873A8">
        <w:rPr>
          <w:rFonts w:ascii="Palatino Linotype" w:hAnsi="Palatino Linotype"/>
          <w:lang w:val="es-ES"/>
        </w:rPr>
        <w:t>Coordinación Jurídica, de Igualdad de Género y Erradicación de la Violencia</w:t>
      </w:r>
      <w:r>
        <w:rPr>
          <w:rFonts w:ascii="Palatino Linotype" w:hAnsi="Palatino Linotype"/>
        </w:rPr>
        <w:t xml:space="preserve">. </w:t>
      </w:r>
    </w:p>
    <w:p w:rsidR="00D873A8" w:rsidRDefault="00D873A8" w:rsidP="00D873A8">
      <w:pPr>
        <w:pStyle w:val="Sinespaciado"/>
        <w:numPr>
          <w:ilvl w:val="0"/>
          <w:numId w:val="14"/>
        </w:numPr>
        <w:spacing w:line="360" w:lineRule="auto"/>
        <w:jc w:val="both"/>
        <w:rPr>
          <w:rFonts w:ascii="Palatino Linotype" w:hAnsi="Palatino Linotype"/>
        </w:rPr>
      </w:pPr>
      <w:r>
        <w:rPr>
          <w:rFonts w:ascii="Palatino Linotype" w:hAnsi="Palatino Linotype"/>
        </w:rPr>
        <w:lastRenderedPageBreak/>
        <w:t>El Sujeto Obligado envía mediante respuesta los sueldos.</w:t>
      </w:r>
    </w:p>
    <w:p w:rsidR="00D873A8" w:rsidRDefault="00D873A8" w:rsidP="00D873A8">
      <w:pPr>
        <w:pStyle w:val="Sinespaciado"/>
        <w:numPr>
          <w:ilvl w:val="0"/>
          <w:numId w:val="14"/>
        </w:numPr>
        <w:spacing w:line="360" w:lineRule="auto"/>
        <w:jc w:val="both"/>
        <w:rPr>
          <w:rFonts w:ascii="Palatino Linotype" w:hAnsi="Palatino Linotype"/>
        </w:rPr>
      </w:pPr>
      <w:r>
        <w:rPr>
          <w:rFonts w:ascii="Palatino Linotype" w:hAnsi="Palatino Linotype"/>
        </w:rPr>
        <w:t>E</w:t>
      </w:r>
      <w:r w:rsidRPr="00800B82">
        <w:rPr>
          <w:rFonts w:ascii="Palatino Linotype" w:hAnsi="Palatino Linotype"/>
        </w:rPr>
        <w:t xml:space="preserve">n contraste, se inconforma </w:t>
      </w:r>
      <w:r>
        <w:rPr>
          <w:rFonts w:ascii="Palatino Linotype" w:hAnsi="Palatino Linotype"/>
        </w:rPr>
        <w:t>y refiere en sus motivos de inconformidad que pidió los sueldos de toda la secretaría.</w:t>
      </w:r>
    </w:p>
    <w:p w:rsidR="00D873A8" w:rsidRDefault="00D873A8" w:rsidP="00D873A8">
      <w:pPr>
        <w:tabs>
          <w:tab w:val="left" w:pos="7088"/>
        </w:tabs>
        <w:spacing w:line="360" w:lineRule="auto"/>
        <w:jc w:val="both"/>
        <w:rPr>
          <w:rFonts w:ascii="Palatino Linotype" w:hAnsi="Palatino Linotype" w:cs="Arial"/>
        </w:rPr>
      </w:pPr>
    </w:p>
    <w:p w:rsidR="00D873A8" w:rsidRDefault="00D873A8" w:rsidP="00D873A8">
      <w:pPr>
        <w:tabs>
          <w:tab w:val="left" w:pos="7088"/>
        </w:tabs>
        <w:spacing w:line="360" w:lineRule="auto"/>
        <w:jc w:val="both"/>
        <w:rPr>
          <w:rFonts w:ascii="Palatino Linotype" w:hAnsi="Palatino Linotype" w:cs="Arial"/>
        </w:rPr>
      </w:pPr>
      <w:r w:rsidRPr="00D24648">
        <w:rPr>
          <w:rFonts w:ascii="Palatino Linotype" w:hAnsi="Palatino Linotype" w:cs="Arial"/>
        </w:rPr>
        <w:t xml:space="preserve">A mayor abundamiento, los nuevos </w:t>
      </w:r>
      <w:r>
        <w:rPr>
          <w:rFonts w:ascii="Palatino Linotype" w:hAnsi="Palatino Linotype" w:cs="Arial"/>
        </w:rPr>
        <w:t>puntos de</w:t>
      </w:r>
      <w:r w:rsidRPr="00D24648">
        <w:rPr>
          <w:rFonts w:ascii="Palatino Linotype" w:hAnsi="Palatino Linotype" w:cs="Arial"/>
        </w:rPr>
        <w:t xml:space="preserve"> solicitud son considerados </w:t>
      </w:r>
      <w:r w:rsidRPr="002D7F26">
        <w:rPr>
          <w:rFonts w:ascii="Palatino Linotype" w:hAnsi="Palatino Linotype" w:cs="Arial"/>
          <w:b/>
          <w:i/>
        </w:rPr>
        <w:t xml:space="preserve">plus </w:t>
      </w:r>
      <w:proofErr w:type="spellStart"/>
      <w:r w:rsidRPr="002D7F26">
        <w:rPr>
          <w:rFonts w:ascii="Palatino Linotype" w:hAnsi="Palatino Linotype" w:cs="Arial"/>
          <w:b/>
          <w:i/>
        </w:rPr>
        <w:t>petitio</w:t>
      </w:r>
      <w:proofErr w:type="spellEnd"/>
      <w:r w:rsidRPr="00D24648">
        <w:rPr>
          <w:rFonts w:ascii="Palatino Linotype" w:hAnsi="Palatino Linotype" w:cs="Arial"/>
          <w:i/>
        </w:rPr>
        <w:t xml:space="preserve"> </w:t>
      </w:r>
      <w:r w:rsidRPr="00D24648">
        <w:rPr>
          <w:rFonts w:ascii="Palatino Linotype" w:hAnsi="Palatino Linotype" w:cs="Arial"/>
        </w:rPr>
        <w:t xml:space="preserve">y no son susceptibles de ser valorados. </w:t>
      </w:r>
    </w:p>
    <w:p w:rsidR="00D873A8" w:rsidRDefault="00D873A8" w:rsidP="00D873A8">
      <w:pPr>
        <w:pStyle w:val="Prrafodelista"/>
        <w:tabs>
          <w:tab w:val="left" w:pos="7088"/>
        </w:tabs>
        <w:autoSpaceDE w:val="0"/>
        <w:autoSpaceDN w:val="0"/>
        <w:adjustRightInd w:val="0"/>
        <w:spacing w:line="360" w:lineRule="auto"/>
        <w:ind w:left="0"/>
        <w:jc w:val="both"/>
        <w:rPr>
          <w:rFonts w:ascii="Palatino Linotype" w:hAnsi="Palatino Linotype" w:cs="Arial"/>
        </w:rPr>
      </w:pPr>
    </w:p>
    <w:p w:rsidR="00D873A8" w:rsidRDefault="00D873A8" w:rsidP="00D873A8">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rsidR="00D873A8" w:rsidRPr="00D24648" w:rsidRDefault="00D873A8" w:rsidP="00D873A8">
      <w:pPr>
        <w:pStyle w:val="Prrafodelista"/>
        <w:tabs>
          <w:tab w:val="left" w:pos="7088"/>
        </w:tabs>
        <w:autoSpaceDE w:val="0"/>
        <w:autoSpaceDN w:val="0"/>
        <w:adjustRightInd w:val="0"/>
        <w:spacing w:line="360" w:lineRule="auto"/>
        <w:ind w:left="0"/>
        <w:jc w:val="both"/>
        <w:rPr>
          <w:rFonts w:ascii="Palatino Linotype" w:hAnsi="Palatino Linotype" w:cs="Arial"/>
        </w:rPr>
      </w:pPr>
    </w:p>
    <w:p w:rsidR="00D873A8" w:rsidRPr="00D24648" w:rsidRDefault="00D873A8" w:rsidP="00D873A8">
      <w:pPr>
        <w:tabs>
          <w:tab w:val="left" w:pos="7088"/>
        </w:tabs>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Sirve de apoyo a lo anterior por analogía, la Jurisprudencia No. 29 visible a foja 19 del Apéndice al Semanario Judicial de la Federación 1917-1995, Tomo IV, Materia Común, Primera Parte, Tesis de la Suprema Corte de Justicia, que señala:</w:t>
      </w:r>
    </w:p>
    <w:p w:rsidR="00D873A8" w:rsidRPr="00D24648" w:rsidRDefault="00D873A8" w:rsidP="00D873A8">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rsidR="00D873A8" w:rsidRPr="00461FF0" w:rsidRDefault="00D873A8" w:rsidP="00D873A8">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w:t>
      </w:r>
      <w:r w:rsidRPr="00D24648">
        <w:rPr>
          <w:rFonts w:ascii="Palatino Linotype" w:hAnsi="Palatino Linotype" w:cs="Arial"/>
          <w:bCs/>
          <w:i/>
          <w:lang w:eastAsia="es-MX"/>
        </w:rPr>
        <w:lastRenderedPageBreak/>
        <w:t>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hAnsi="Palatino Linotype"/>
          <w:b/>
          <w:i/>
          <w:lang w:val="es-ES_tradnl"/>
        </w:rPr>
        <w:t>[Sic]</w:t>
      </w:r>
    </w:p>
    <w:p w:rsidR="00D873A8" w:rsidRPr="00D24648" w:rsidRDefault="00D873A8" w:rsidP="00D873A8">
      <w:pPr>
        <w:tabs>
          <w:tab w:val="left" w:pos="7088"/>
          <w:tab w:val="left" w:pos="7230"/>
        </w:tabs>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 xml:space="preserve">Por lo anterior, se establece que dentro del recurso de revisión presentado por </w:t>
      </w:r>
      <w:r>
        <w:rPr>
          <w:rFonts w:ascii="Palatino Linotype" w:hAnsi="Palatino Linotype" w:cs="Arial"/>
          <w:b/>
          <w:bCs/>
          <w:lang w:eastAsia="es-MX"/>
        </w:rPr>
        <w:t>El</w:t>
      </w:r>
      <w:r w:rsidRPr="00D24648">
        <w:rPr>
          <w:rFonts w:ascii="Palatino Linotype" w:hAnsi="Palatino Linotype" w:cs="Arial"/>
          <w:b/>
          <w:bCs/>
          <w:lang w:eastAsia="es-MX"/>
        </w:rPr>
        <w:t xml:space="preserve"> Recurrente </w:t>
      </w:r>
      <w:r w:rsidRPr="00D24648">
        <w:rPr>
          <w:rFonts w:ascii="Palatino Linotype" w:hAnsi="Palatino Linotype" w:cs="Arial"/>
          <w:bCs/>
          <w:lang w:eastAsia="es-MX"/>
        </w:rPr>
        <w:t xml:space="preserve">no debe variar el fondo de </w:t>
      </w:r>
      <w:r w:rsidRPr="00D24648">
        <w:rPr>
          <w:rFonts w:ascii="Palatino Linotype" w:hAnsi="Palatino Linotype" w:cs="Arial"/>
          <w:bCs/>
          <w:i/>
          <w:lang w:eastAsia="es-MX"/>
        </w:rPr>
        <w:t xml:space="preserve">la </w:t>
      </w:r>
      <w:proofErr w:type="spellStart"/>
      <w:r w:rsidRPr="00D24648">
        <w:rPr>
          <w:rFonts w:ascii="Palatino Linotype" w:hAnsi="Palatino Linotype" w:cs="Arial"/>
          <w:bCs/>
          <w:i/>
          <w:lang w:eastAsia="es-MX"/>
        </w:rPr>
        <w:t>litis</w:t>
      </w:r>
      <w:proofErr w:type="spellEnd"/>
      <w:r w:rsidRPr="00D24648">
        <w:rPr>
          <w:rFonts w:ascii="Palatino Linotype" w:hAnsi="Palatino Linotype" w:cs="Arial"/>
          <w:bCs/>
          <w:i/>
          <w:lang w:eastAsia="es-MX"/>
        </w:rPr>
        <w:t>,</w:t>
      </w:r>
      <w:r w:rsidRPr="00D24648">
        <w:rPr>
          <w:rFonts w:ascii="Palatino Linotype" w:hAnsi="Palatino Linotype" w:cs="Arial"/>
          <w:bCs/>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rsidR="00D873A8" w:rsidRDefault="00D873A8" w:rsidP="00D873A8">
      <w:pPr>
        <w:tabs>
          <w:tab w:val="left" w:pos="7088"/>
          <w:tab w:val="left" w:pos="7230"/>
        </w:tabs>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rsidR="00D873A8" w:rsidRPr="00706DE6" w:rsidRDefault="00D873A8" w:rsidP="00D873A8">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rsidR="00D873A8" w:rsidRPr="00706DE6" w:rsidRDefault="00D873A8" w:rsidP="00D873A8">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w:t>
      </w:r>
      <w:r w:rsidRPr="00D24648">
        <w:rPr>
          <w:rFonts w:ascii="Palatino Linotype" w:hAnsi="Palatino Linotype" w:cs="Arial"/>
          <w:bCs/>
          <w:i/>
          <w:lang w:eastAsia="es-MX"/>
        </w:rPr>
        <w:lastRenderedPageBreak/>
        <w:t xml:space="preserve">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rsidR="00D873A8" w:rsidRPr="00461FF0" w:rsidRDefault="00D873A8" w:rsidP="00D873A8">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hAnsi="Palatino Linotype"/>
          <w:b/>
          <w:i/>
          <w:lang w:val="es-ES_tradnl"/>
        </w:rPr>
        <w:t>[Sic]</w:t>
      </w:r>
    </w:p>
    <w:p w:rsidR="00D873A8" w:rsidRPr="00D24648" w:rsidRDefault="00D873A8" w:rsidP="00D873A8">
      <w:pPr>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w:t>
      </w:r>
      <w:r w:rsidRPr="00D24648">
        <w:rPr>
          <w:rFonts w:ascii="Palatino Linotype" w:hAnsi="Palatino Linotype" w:cs="Arial"/>
          <w:bCs/>
          <w:lang w:eastAsia="es-MX"/>
        </w:rPr>
        <w:lastRenderedPageBreak/>
        <w:t xml:space="preserve">anterior de conformidad con el criterio </w:t>
      </w:r>
      <w:r>
        <w:rPr>
          <w:rFonts w:ascii="Palatino Linotype" w:hAnsi="Palatino Linotype" w:cs="Arial"/>
          <w:bCs/>
          <w:lang w:eastAsia="es-MX"/>
        </w:rPr>
        <w:t>01/17</w:t>
      </w:r>
      <w:r w:rsidRPr="00D24648">
        <w:rPr>
          <w:rFonts w:ascii="Palatino Linotype" w:hAnsi="Palatino Linotype" w:cs="Arial"/>
          <w:bCs/>
          <w:lang w:eastAsia="es-MX"/>
        </w:rPr>
        <w:t xml:space="preserve">; por lo que este Órgano Garante insiste en la imposibilidad de entrar al estudio de información novedosa. Criterio que es de la literalidad siguiente: </w:t>
      </w:r>
    </w:p>
    <w:p w:rsidR="00D873A8" w:rsidRPr="00603716" w:rsidRDefault="00D873A8" w:rsidP="00D873A8">
      <w:pPr>
        <w:pStyle w:val="Citas"/>
        <w:rPr>
          <w:b/>
          <w:lang w:eastAsia="es-MX"/>
        </w:rPr>
      </w:pPr>
      <w:r w:rsidRPr="00603716">
        <w:rPr>
          <w:b/>
          <w:lang w:eastAsia="es-MX"/>
        </w:rPr>
        <w:t>“</w:t>
      </w:r>
      <w:bookmarkStart w:id="1" w:name="_Toc103270304"/>
      <w:r w:rsidRPr="00603716">
        <w:rPr>
          <w:b/>
          <w:lang w:eastAsia="es-MX"/>
        </w:rPr>
        <w:t>CRITERIO: 01/17.- Es improcedente ampliar las solicitudes de acceso a información, a través de la interposición del recurso de revisión.</w:t>
      </w:r>
      <w:bookmarkEnd w:id="1"/>
    </w:p>
    <w:p w:rsidR="00D873A8" w:rsidRPr="00603716" w:rsidRDefault="00D873A8" w:rsidP="00D873A8">
      <w:pPr>
        <w:pStyle w:val="Citas"/>
        <w:rPr>
          <w:lang w:eastAsia="es-MX"/>
        </w:rPr>
      </w:pPr>
      <w:r w:rsidRPr="00603716">
        <w:rPr>
          <w:lang w:eastAsia="es-MX"/>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D873A8" w:rsidRPr="00603716" w:rsidRDefault="00D873A8" w:rsidP="00D873A8">
      <w:pPr>
        <w:pStyle w:val="Citas"/>
        <w:rPr>
          <w:lang w:eastAsia="es-MX"/>
        </w:rPr>
      </w:pPr>
      <w:r w:rsidRPr="00603716">
        <w:rPr>
          <w:lang w:eastAsia="es-MX"/>
        </w:rPr>
        <w:t>Resoluciones:</w:t>
      </w:r>
    </w:p>
    <w:p w:rsidR="00D873A8" w:rsidRPr="00603716" w:rsidRDefault="00D873A8" w:rsidP="00D873A8">
      <w:pPr>
        <w:pStyle w:val="Citas"/>
        <w:rPr>
          <w:lang w:eastAsia="es-MX"/>
        </w:rPr>
      </w:pPr>
      <w:r w:rsidRPr="00603716">
        <w:rPr>
          <w:lang w:eastAsia="es-MX"/>
        </w:rPr>
        <w:t>RRA 0196/16. Secretaría de Agricultura, Ganadería, Desarrollo Rural, Pesca y Alimentación. 13 de julio de 2016. Por unanimidad. Comisionado Ponente Joel Salas Suárez.</w:t>
      </w:r>
    </w:p>
    <w:p w:rsidR="00D873A8" w:rsidRPr="00603716" w:rsidRDefault="00D873A8" w:rsidP="00D873A8">
      <w:pPr>
        <w:pStyle w:val="Citas"/>
        <w:rPr>
          <w:lang w:eastAsia="es-MX"/>
        </w:rPr>
      </w:pPr>
      <w:r w:rsidRPr="00603716">
        <w:rPr>
          <w:lang w:eastAsia="es-MX"/>
        </w:rPr>
        <w:t xml:space="preserve">RRA 0130/16. Comisión Nacional del Agua. 09 de agosto de 2016. Por unanimidad. Comisionado Ponente María Patricia </w:t>
      </w:r>
      <w:proofErr w:type="spellStart"/>
      <w:r w:rsidRPr="00603716">
        <w:rPr>
          <w:lang w:eastAsia="es-MX"/>
        </w:rPr>
        <w:t>Kurczyn</w:t>
      </w:r>
      <w:proofErr w:type="spellEnd"/>
      <w:r w:rsidRPr="00603716">
        <w:rPr>
          <w:lang w:eastAsia="es-MX"/>
        </w:rPr>
        <w:t xml:space="preserve"> Villalobos.</w:t>
      </w:r>
    </w:p>
    <w:p w:rsidR="00D873A8" w:rsidRPr="00603716" w:rsidRDefault="00D873A8" w:rsidP="00D873A8">
      <w:pPr>
        <w:pStyle w:val="Citas"/>
        <w:rPr>
          <w:lang w:eastAsia="es-MX"/>
        </w:rPr>
      </w:pPr>
      <w:r w:rsidRPr="00603716">
        <w:rPr>
          <w:lang w:eastAsia="es-MX"/>
        </w:rPr>
        <w:t xml:space="preserve">RRA 0342/16. Colegio de Bachilleres. 24 de agosto de 2016. Por unanimidad. Comisionada Ponente Ximena Puente de la Mora” </w:t>
      </w:r>
      <w:r w:rsidRPr="00603716">
        <w:rPr>
          <w:rFonts w:eastAsia="Times New Roman" w:cs="Times New Roman"/>
          <w:sz w:val="24"/>
          <w:szCs w:val="24"/>
          <w:lang w:val="es-ES_tradnl" w:eastAsia="es-ES"/>
        </w:rPr>
        <w:t>[Sic]</w:t>
      </w:r>
    </w:p>
    <w:p w:rsidR="00D873A8" w:rsidRDefault="00D873A8" w:rsidP="00D873A8">
      <w:pPr>
        <w:tabs>
          <w:tab w:val="left" w:pos="1284"/>
        </w:tabs>
        <w:spacing w:line="360" w:lineRule="auto"/>
        <w:jc w:val="both"/>
        <w:rPr>
          <w:rFonts w:ascii="Palatino Linotype" w:hAnsi="Palatino Linotype" w:cs="Arial"/>
        </w:rPr>
      </w:pPr>
    </w:p>
    <w:p w:rsidR="00D873A8" w:rsidRPr="00D873A8" w:rsidRDefault="00D873A8" w:rsidP="00D873A8">
      <w:pPr>
        <w:pStyle w:val="Sinespaciado"/>
        <w:spacing w:line="360" w:lineRule="auto"/>
        <w:ind w:right="141"/>
        <w:jc w:val="both"/>
        <w:rPr>
          <w:rFonts w:ascii="Palatino Linotype" w:hAnsi="Palatino Linotype"/>
          <w:bCs/>
          <w:sz w:val="24"/>
        </w:rPr>
      </w:pPr>
      <w:r w:rsidRPr="00D873A8">
        <w:rPr>
          <w:rFonts w:ascii="Palatino Linotype" w:hAnsi="Palatino Linotype"/>
          <w:bCs/>
          <w:sz w:val="24"/>
        </w:rPr>
        <w:lastRenderedPageBreak/>
        <w:t xml:space="preserve">En consecuencia, </w:t>
      </w:r>
      <w:r w:rsidRPr="00D873A8">
        <w:rPr>
          <w:rFonts w:ascii="Palatino Linotype" w:hAnsi="Palatino Linotype"/>
          <w:b/>
          <w:bCs/>
          <w:sz w:val="24"/>
        </w:rPr>
        <w:t>El Sujeto Obligado</w:t>
      </w:r>
      <w:r w:rsidRPr="00D873A8">
        <w:rPr>
          <w:rFonts w:ascii="Palatino Linotype" w:hAnsi="Palatino Linotype"/>
          <w:bCs/>
          <w:sz w:val="24"/>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D873A8">
        <w:rPr>
          <w:rFonts w:ascii="Palatino Linotype" w:hAnsi="Palatino Linotype"/>
          <w:b/>
          <w:bCs/>
          <w:sz w:val="24"/>
        </w:rPr>
        <w:t>Sujeto Obligado</w:t>
      </w:r>
      <w:r w:rsidRPr="00D873A8">
        <w:rPr>
          <w:rFonts w:ascii="Palatino Linotype" w:hAnsi="Palatino Linotype"/>
          <w:bCs/>
          <w:sz w:val="24"/>
        </w:rPr>
        <w:t xml:space="preserve"> inicialmente, por lo que este no tuvo la oportunidad legal de analizarla ni de pronunciarse sobre la misma.</w:t>
      </w:r>
    </w:p>
    <w:p w:rsidR="00D873A8" w:rsidRDefault="00D873A8" w:rsidP="00D873A8">
      <w:pPr>
        <w:autoSpaceDE w:val="0"/>
        <w:autoSpaceDN w:val="0"/>
        <w:adjustRightInd w:val="0"/>
        <w:spacing w:line="360" w:lineRule="auto"/>
        <w:jc w:val="both"/>
        <w:rPr>
          <w:rFonts w:ascii="Palatino Linotype" w:hAnsi="Palatino Linotype" w:cs="Arial"/>
        </w:rPr>
      </w:pPr>
    </w:p>
    <w:p w:rsidR="00D873A8" w:rsidRPr="00D34BE0" w:rsidRDefault="00D873A8" w:rsidP="00D873A8">
      <w:pPr>
        <w:autoSpaceDE w:val="0"/>
        <w:autoSpaceDN w:val="0"/>
        <w:adjustRightInd w:val="0"/>
        <w:spacing w:line="360" w:lineRule="auto"/>
        <w:jc w:val="both"/>
        <w:rPr>
          <w:rFonts w:ascii="Palatino Linotype" w:hAnsi="Palatino Linotype" w:cs="Arial"/>
        </w:rPr>
      </w:pPr>
      <w:r w:rsidRPr="00D34BE0">
        <w:rPr>
          <w:rFonts w:ascii="Palatino Linotype" w:hAnsi="Palatino Linotype" w:cs="Arial"/>
        </w:rPr>
        <w:t xml:space="preserve">Hasta lo aquí expuesto, se concluye que </w:t>
      </w:r>
      <w:r w:rsidRPr="00D34BE0">
        <w:rPr>
          <w:rFonts w:ascii="Palatino Linotype" w:hAnsi="Palatino Linotype" w:cs="Arial"/>
          <w:b/>
        </w:rPr>
        <w:t>El Sujeto Obligado</w:t>
      </w:r>
      <w:r w:rsidRPr="00D34BE0">
        <w:rPr>
          <w:rFonts w:ascii="Palatino Linotype" w:hAnsi="Palatino Linotype" w:cs="Arial"/>
        </w:rPr>
        <w:t xml:space="preserve"> satisfizo el derecho de acceso a la información mediante la respuesta primigenia, actualizándose la fracción IV, del arábigo 192, de la Ley de Transparencia vigente en la entidad</w:t>
      </w:r>
      <w:r w:rsidRPr="00D34BE0">
        <w:rPr>
          <w:rFonts w:ascii="Palatino Linotype" w:hAnsi="Palatino Linotype"/>
        </w:rPr>
        <w:t xml:space="preserve">, por darse por satisfechos los elementos que integran dicha hipótesis, </w:t>
      </w:r>
      <w:r w:rsidRPr="00D34BE0">
        <w:rPr>
          <w:rFonts w:ascii="Palatino Linotype" w:hAnsi="Palatino Linotype" w:cs="Arial"/>
        </w:rPr>
        <w:t xml:space="preserve">a saber: </w:t>
      </w:r>
    </w:p>
    <w:p w:rsidR="00D873A8" w:rsidRPr="00D34BE0" w:rsidRDefault="00D873A8" w:rsidP="00D873A8">
      <w:pPr>
        <w:numPr>
          <w:ilvl w:val="0"/>
          <w:numId w:val="10"/>
        </w:numPr>
        <w:tabs>
          <w:tab w:val="left" w:pos="709"/>
        </w:tabs>
        <w:spacing w:after="160" w:line="360" w:lineRule="auto"/>
        <w:ind w:right="51"/>
        <w:jc w:val="both"/>
        <w:rPr>
          <w:rFonts w:ascii="Palatino Linotype" w:hAnsi="Palatino Linotype" w:cs="Arial"/>
        </w:rPr>
      </w:pPr>
      <w:r w:rsidRPr="00D34BE0">
        <w:rPr>
          <w:rFonts w:ascii="Palatino Linotype" w:hAnsi="Palatino Linotype" w:cs="Arial"/>
        </w:rPr>
        <w:t xml:space="preserve">El primero de ellos es que </w:t>
      </w:r>
      <w:r>
        <w:rPr>
          <w:rFonts w:ascii="Palatino Linotype" w:hAnsi="Palatino Linotype" w:cs="Arial"/>
          <w:b/>
        </w:rPr>
        <w:t>E</w:t>
      </w:r>
      <w:r w:rsidRPr="00F45102">
        <w:rPr>
          <w:rFonts w:ascii="Palatino Linotype" w:hAnsi="Palatino Linotype" w:cs="Arial"/>
          <w:b/>
        </w:rPr>
        <w:t>l</w:t>
      </w:r>
      <w:r w:rsidRPr="00D34BE0">
        <w:rPr>
          <w:rFonts w:ascii="Palatino Linotype" w:hAnsi="Palatino Linotype" w:cs="Arial"/>
        </w:rPr>
        <w:t xml:space="preserve"> </w:t>
      </w:r>
      <w:r w:rsidRPr="00D34BE0">
        <w:rPr>
          <w:rFonts w:ascii="Palatino Linotype" w:hAnsi="Palatino Linotype" w:cs="Arial"/>
          <w:b/>
        </w:rPr>
        <w:t>Recurrente</w:t>
      </w:r>
      <w:r w:rsidRPr="00D34BE0">
        <w:rPr>
          <w:rFonts w:ascii="Palatino Linotype" w:hAnsi="Palatino Linotype" w:cs="Arial"/>
        </w:rPr>
        <w:t xml:space="preserve"> amplíe su solicitud en el recurso de revisión, únicamente respecto de los nuevos contenidos, lo que se demuestra con las documentales en la interposición del presente recurso de revisión de fecha </w:t>
      </w:r>
      <w:r>
        <w:rPr>
          <w:rFonts w:ascii="Palatino Linotype" w:hAnsi="Palatino Linotype" w:cs="Arial"/>
          <w:b/>
        </w:rPr>
        <w:t>tres de diciembre de dos mil veinticuatro</w:t>
      </w:r>
      <w:r w:rsidRPr="00D34BE0">
        <w:rPr>
          <w:rFonts w:ascii="Palatino Linotype" w:hAnsi="Palatino Linotype" w:cs="Arial"/>
        </w:rPr>
        <w:t>, el cual deviene de la parte quien emitió el acto impugnado</w:t>
      </w:r>
      <w:r>
        <w:rPr>
          <w:rFonts w:ascii="Palatino Linotype" w:hAnsi="Palatino Linotype" w:cs="Arial"/>
        </w:rPr>
        <w:t xml:space="preserve"> y los motivos de inconformidad</w:t>
      </w:r>
      <w:r w:rsidRPr="00D34BE0">
        <w:rPr>
          <w:rFonts w:ascii="Palatino Linotype" w:hAnsi="Palatino Linotype" w:cs="Arial"/>
        </w:rPr>
        <w:t>.</w:t>
      </w:r>
    </w:p>
    <w:p w:rsidR="00D873A8" w:rsidRPr="00D34BE0" w:rsidRDefault="00D873A8" w:rsidP="00D873A8">
      <w:pPr>
        <w:numPr>
          <w:ilvl w:val="0"/>
          <w:numId w:val="10"/>
        </w:numPr>
        <w:spacing w:line="360" w:lineRule="auto"/>
        <w:ind w:right="51"/>
        <w:jc w:val="both"/>
        <w:rPr>
          <w:rFonts w:ascii="Palatino Linotype" w:hAnsi="Palatino Linotype"/>
        </w:rPr>
      </w:pPr>
      <w:r w:rsidRPr="00D34BE0">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34BE0">
        <w:rPr>
          <w:rFonts w:ascii="Palatino Linotype" w:hAnsi="Palatino Linotype" w:cs="Arial"/>
          <w:b/>
          <w:u w:val="single"/>
        </w:rPr>
        <w:t>ampliar su solicitud de información</w:t>
      </w:r>
      <w:r w:rsidRPr="00D34BE0">
        <w:rPr>
          <w:rFonts w:ascii="Palatino Linotype" w:hAnsi="Palatino Linotype" w:cs="Arial"/>
        </w:rPr>
        <w:t>, proporcionando nuevos elementos en el recurso de revisión</w:t>
      </w:r>
      <w:r w:rsidRPr="00D34BE0">
        <w:rPr>
          <w:rFonts w:ascii="Palatino Linotype" w:hAnsi="Palatino Linotype"/>
          <w:bCs/>
        </w:rPr>
        <w:t>;</w:t>
      </w:r>
      <w:r w:rsidRPr="00D34BE0">
        <w:rPr>
          <w:rFonts w:ascii="Palatino Linotype" w:hAnsi="Palatino Linotype" w:cs="Arial"/>
        </w:rPr>
        <w:t xml:space="preserve"> lo que se vio superado con las referencias electrónicas señaladas en el inciso anterior.</w:t>
      </w:r>
    </w:p>
    <w:p w:rsidR="00D873A8" w:rsidRPr="00D435BA" w:rsidRDefault="00D873A8" w:rsidP="00D873A8">
      <w:pPr>
        <w:autoSpaceDE w:val="0"/>
        <w:autoSpaceDN w:val="0"/>
        <w:adjustRightInd w:val="0"/>
        <w:spacing w:line="360" w:lineRule="auto"/>
        <w:jc w:val="both"/>
        <w:rPr>
          <w:rFonts w:ascii="Palatino Linotype" w:hAnsi="Palatino Linotype" w:cs="Arial"/>
        </w:rPr>
      </w:pPr>
    </w:p>
    <w:p w:rsidR="00D873A8" w:rsidRPr="00D34BE0" w:rsidRDefault="00D873A8" w:rsidP="00D873A8">
      <w:pPr>
        <w:autoSpaceDE w:val="0"/>
        <w:autoSpaceDN w:val="0"/>
        <w:adjustRightInd w:val="0"/>
        <w:spacing w:line="360" w:lineRule="auto"/>
        <w:jc w:val="both"/>
        <w:rPr>
          <w:rFonts w:ascii="Palatino Linotype" w:hAnsi="Palatino Linotype" w:cs="Arial"/>
        </w:rPr>
      </w:pPr>
      <w:r w:rsidRPr="00D34BE0">
        <w:rPr>
          <w:rFonts w:ascii="Palatino Linotype" w:hAnsi="Palatino Linotype" w:cs="Arial"/>
        </w:rPr>
        <w:lastRenderedPageBreak/>
        <w:t>Esta fracción se relaciona con el artículo 191 de la Ley, que prevé siete supuestos de improcedencia, algunas de las cuales pueden aparecer antes de admitir el recurso, o bien, después, de conformidad con lo siguiente:</w:t>
      </w:r>
    </w:p>
    <w:p w:rsidR="00D873A8" w:rsidRPr="00D435BA" w:rsidRDefault="00D873A8" w:rsidP="00D873A8">
      <w:pPr>
        <w:pStyle w:val="Citas"/>
      </w:pPr>
      <w:r>
        <w:rPr>
          <w:b/>
        </w:rPr>
        <w:t>“</w:t>
      </w:r>
      <w:r w:rsidRPr="00D435BA">
        <w:rPr>
          <w:b/>
        </w:rPr>
        <w:t>Artículo 191.</w:t>
      </w:r>
      <w:r w:rsidRPr="00D435BA">
        <w:t xml:space="preserve"> El recurso será desechado por improcedente cuando:</w:t>
      </w:r>
    </w:p>
    <w:p w:rsidR="00D873A8" w:rsidRPr="00D435BA" w:rsidRDefault="00D873A8" w:rsidP="00D873A8">
      <w:pPr>
        <w:pStyle w:val="Citas"/>
        <w:numPr>
          <w:ilvl w:val="0"/>
          <w:numId w:val="12"/>
        </w:numPr>
        <w:ind w:left="1418"/>
      </w:pPr>
      <w:r w:rsidRPr="00D435BA">
        <w:t>Sea extemporáneo por haber transcurrido el plazo establecido en la presente Ley, a partir de la respuesta;</w:t>
      </w:r>
    </w:p>
    <w:p w:rsidR="00D873A8" w:rsidRPr="00D435BA" w:rsidRDefault="00D873A8" w:rsidP="00D873A8">
      <w:pPr>
        <w:pStyle w:val="Citas"/>
        <w:numPr>
          <w:ilvl w:val="0"/>
          <w:numId w:val="12"/>
        </w:numPr>
        <w:ind w:left="1418"/>
      </w:pPr>
      <w:r w:rsidRPr="00D435BA">
        <w:t>Se esté tramitando ante el Poder Judicial de la Federación algún recurso o medio de defensa interpuesto por el recurrente;</w:t>
      </w:r>
    </w:p>
    <w:p w:rsidR="00D873A8" w:rsidRPr="00D435BA" w:rsidRDefault="00D873A8" w:rsidP="00D873A8">
      <w:pPr>
        <w:pStyle w:val="Citas"/>
        <w:numPr>
          <w:ilvl w:val="0"/>
          <w:numId w:val="12"/>
        </w:numPr>
        <w:ind w:left="1418"/>
      </w:pPr>
      <w:r w:rsidRPr="00D435BA">
        <w:t>No actualice alguno de los supuestos previstos en la presente Ley;</w:t>
      </w:r>
    </w:p>
    <w:p w:rsidR="00D873A8" w:rsidRPr="00D435BA" w:rsidRDefault="00D873A8" w:rsidP="00D873A8">
      <w:pPr>
        <w:pStyle w:val="Citas"/>
        <w:numPr>
          <w:ilvl w:val="0"/>
          <w:numId w:val="12"/>
        </w:numPr>
        <w:ind w:left="1418"/>
      </w:pPr>
      <w:r w:rsidRPr="00D435BA">
        <w:t>No se haya desahogado la prevención en los términos establecidos en la presente Ley;</w:t>
      </w:r>
    </w:p>
    <w:p w:rsidR="00D873A8" w:rsidRPr="00D435BA" w:rsidRDefault="00D873A8" w:rsidP="00D873A8">
      <w:pPr>
        <w:pStyle w:val="Citas"/>
        <w:numPr>
          <w:ilvl w:val="0"/>
          <w:numId w:val="12"/>
        </w:numPr>
        <w:ind w:left="1418"/>
      </w:pPr>
      <w:r w:rsidRPr="00D435BA">
        <w:t>Se impugne la veracidad de la información proporcionada;</w:t>
      </w:r>
    </w:p>
    <w:p w:rsidR="00D873A8" w:rsidRPr="00D435BA" w:rsidRDefault="00D873A8" w:rsidP="00D873A8">
      <w:pPr>
        <w:pStyle w:val="Citas"/>
        <w:numPr>
          <w:ilvl w:val="0"/>
          <w:numId w:val="12"/>
        </w:numPr>
        <w:ind w:left="1418"/>
      </w:pPr>
      <w:r w:rsidRPr="00D435BA">
        <w:t>Se trate de una consulta, o trámite en específico; y</w:t>
      </w:r>
    </w:p>
    <w:p w:rsidR="00D873A8" w:rsidRPr="00D435BA" w:rsidRDefault="00D873A8" w:rsidP="00D873A8">
      <w:pPr>
        <w:pStyle w:val="Citas"/>
        <w:numPr>
          <w:ilvl w:val="0"/>
          <w:numId w:val="12"/>
        </w:numPr>
        <w:ind w:left="1418"/>
      </w:pPr>
      <w:r w:rsidRPr="00D34BE0">
        <w:rPr>
          <w:b/>
          <w:u w:val="single"/>
        </w:rPr>
        <w:t>El recurrente amplíe su solicitud en el recurso de revisión, únicamente respecto de los nuevos contenidos</w:t>
      </w:r>
      <w:r w:rsidRPr="00D34BE0">
        <w:rPr>
          <w:u w:val="single"/>
        </w:rPr>
        <w:t>.”</w:t>
      </w:r>
      <w:r>
        <w:t xml:space="preserve"> </w:t>
      </w:r>
      <w:r>
        <w:rPr>
          <w:b/>
        </w:rPr>
        <w:t>(Sic)</w:t>
      </w:r>
    </w:p>
    <w:p w:rsidR="00D873A8" w:rsidRPr="00D435BA" w:rsidRDefault="00D873A8" w:rsidP="00D873A8">
      <w:pPr>
        <w:spacing w:line="360" w:lineRule="auto"/>
        <w:jc w:val="both"/>
        <w:rPr>
          <w:rFonts w:ascii="Palatino Linotype" w:hAnsi="Palatino Linotype"/>
        </w:rPr>
      </w:pPr>
    </w:p>
    <w:p w:rsidR="00D873A8" w:rsidRPr="00F45102" w:rsidRDefault="00D873A8" w:rsidP="00D873A8">
      <w:pPr>
        <w:autoSpaceDE w:val="0"/>
        <w:autoSpaceDN w:val="0"/>
        <w:adjustRightInd w:val="0"/>
        <w:spacing w:line="360" w:lineRule="auto"/>
        <w:jc w:val="both"/>
        <w:rPr>
          <w:rFonts w:ascii="Palatino Linotype" w:hAnsi="Palatino Linotype" w:cs="Arial"/>
        </w:rPr>
      </w:pPr>
      <w:r w:rsidRPr="00F45102">
        <w:rPr>
          <w:rFonts w:ascii="Palatino Linotype" w:hAnsi="Palatino Linotype" w:cs="Arial"/>
        </w:rPr>
        <w:t>En conclusión, la ley de la materia establece en la fracción IV, del artículo 192, de la Ley de Transparencia vigente en la entidad, que a la letra establecen:</w:t>
      </w:r>
    </w:p>
    <w:p w:rsidR="00D873A8" w:rsidRPr="00D435BA" w:rsidRDefault="00D873A8" w:rsidP="00D873A8">
      <w:pPr>
        <w:pStyle w:val="Citas"/>
      </w:pPr>
      <w:r w:rsidRPr="00D435BA">
        <w:t>“Artículo 192. El recurso será sobreseído, en todo o en parte, cuando una vez admitido, se actualicen alguno de los siguientes supuestos:</w:t>
      </w:r>
    </w:p>
    <w:p w:rsidR="00D873A8" w:rsidRPr="00D435BA" w:rsidRDefault="00D873A8" w:rsidP="00D873A8">
      <w:pPr>
        <w:pStyle w:val="Citas"/>
        <w:numPr>
          <w:ilvl w:val="0"/>
          <w:numId w:val="13"/>
        </w:numPr>
      </w:pPr>
      <w:r w:rsidRPr="00D435BA">
        <w:t xml:space="preserve">El recurrente se desista expresamente del recurso; </w:t>
      </w:r>
    </w:p>
    <w:p w:rsidR="00D873A8" w:rsidRPr="00D435BA" w:rsidRDefault="00D873A8" w:rsidP="00D873A8">
      <w:pPr>
        <w:pStyle w:val="Citas"/>
        <w:numPr>
          <w:ilvl w:val="0"/>
          <w:numId w:val="13"/>
        </w:numPr>
      </w:pPr>
      <w:r w:rsidRPr="00D435BA">
        <w:lastRenderedPageBreak/>
        <w:t xml:space="preserve">El recurrente fallezca o, tratándose de personas jurídicas colectivas, se disuelva; </w:t>
      </w:r>
    </w:p>
    <w:p w:rsidR="00D873A8" w:rsidRPr="00D435BA" w:rsidRDefault="00D873A8" w:rsidP="00D873A8">
      <w:pPr>
        <w:pStyle w:val="Citas"/>
        <w:numPr>
          <w:ilvl w:val="0"/>
          <w:numId w:val="13"/>
        </w:numPr>
      </w:pPr>
      <w:r w:rsidRPr="00D435BA">
        <w:t xml:space="preserve">El sujeto obligado responsable del acto lo modifique o revoque de tal manera que el recurso de revisión quede sin materia; </w:t>
      </w:r>
    </w:p>
    <w:p w:rsidR="00D873A8" w:rsidRPr="00F45102" w:rsidRDefault="00D873A8" w:rsidP="00D873A8">
      <w:pPr>
        <w:pStyle w:val="Citas"/>
        <w:numPr>
          <w:ilvl w:val="0"/>
          <w:numId w:val="13"/>
        </w:numPr>
        <w:rPr>
          <w:b/>
          <w:u w:val="single"/>
        </w:rPr>
      </w:pPr>
      <w:r w:rsidRPr="00F45102">
        <w:rPr>
          <w:b/>
          <w:u w:val="single"/>
        </w:rPr>
        <w:t xml:space="preserve">Admitido el recurso de revisión, aparezca alguna causal de improcedencia en los términos de la presente Ley; y </w:t>
      </w:r>
    </w:p>
    <w:p w:rsidR="00D873A8" w:rsidRPr="00D34BE0" w:rsidRDefault="00D873A8" w:rsidP="00D873A8">
      <w:pPr>
        <w:pStyle w:val="Citas"/>
        <w:numPr>
          <w:ilvl w:val="0"/>
          <w:numId w:val="13"/>
        </w:numPr>
        <w:rPr>
          <w:b/>
        </w:rPr>
      </w:pPr>
      <w:r w:rsidRPr="00F45102">
        <w:t>Cuando por cualquier motivo quede sin materia el recurso.”</w:t>
      </w:r>
      <w:r>
        <w:rPr>
          <w:b/>
        </w:rPr>
        <w:t xml:space="preserve"> (Sic)</w:t>
      </w:r>
    </w:p>
    <w:p w:rsidR="00D873A8" w:rsidRPr="00D435BA" w:rsidRDefault="00D873A8" w:rsidP="00D873A8">
      <w:pPr>
        <w:rPr>
          <w:rFonts w:ascii="Palatino Linotype" w:hAnsi="Palatino Linotype"/>
        </w:rPr>
      </w:pPr>
    </w:p>
    <w:p w:rsidR="00D873A8" w:rsidRPr="00F45102" w:rsidRDefault="00D873A8" w:rsidP="00D873A8">
      <w:pPr>
        <w:autoSpaceDE w:val="0"/>
        <w:autoSpaceDN w:val="0"/>
        <w:adjustRightInd w:val="0"/>
        <w:spacing w:line="360" w:lineRule="auto"/>
        <w:jc w:val="both"/>
        <w:rPr>
          <w:rFonts w:ascii="Palatino Linotype" w:hAnsi="Palatino Linotype" w:cs="Arial"/>
        </w:rPr>
      </w:pPr>
      <w:r w:rsidRPr="00F45102">
        <w:rPr>
          <w:rFonts w:ascii="Palatino Linotype" w:hAnsi="Palatino Linotype" w:cs="Arial"/>
        </w:rPr>
        <w:t>Por lo que hace a los requisitos de procedencia del sobreseimiento en términos del artículo 192, de la Ley de Transparencia estatal se establece lo siguiente:</w:t>
      </w:r>
    </w:p>
    <w:p w:rsidR="00D873A8" w:rsidRPr="00F45102" w:rsidRDefault="00D873A8" w:rsidP="00D873A8">
      <w:pPr>
        <w:numPr>
          <w:ilvl w:val="0"/>
          <w:numId w:val="11"/>
        </w:numPr>
        <w:autoSpaceDE w:val="0"/>
        <w:autoSpaceDN w:val="0"/>
        <w:adjustRightInd w:val="0"/>
        <w:spacing w:after="160" w:line="360" w:lineRule="auto"/>
        <w:ind w:left="851" w:right="850" w:firstLine="10"/>
        <w:jc w:val="both"/>
        <w:rPr>
          <w:rFonts w:ascii="Palatino Linotype" w:hAnsi="Palatino Linotype" w:cs="Arial"/>
        </w:rPr>
      </w:pPr>
      <w:r w:rsidRPr="00F45102">
        <w:rPr>
          <w:rFonts w:ascii="Palatino Linotype" w:hAnsi="Palatino Linotype" w:cs="Arial"/>
        </w:rPr>
        <w:t xml:space="preserve">Mediante acuerdo de fecha </w:t>
      </w:r>
      <w:r>
        <w:rPr>
          <w:rFonts w:ascii="Palatino Linotype" w:hAnsi="Palatino Linotype" w:cs="Arial"/>
          <w:b/>
        </w:rPr>
        <w:t>cuatro de diciembre de dos mil veinticuatro</w:t>
      </w:r>
      <w:r w:rsidRPr="00F45102">
        <w:rPr>
          <w:rFonts w:ascii="Palatino Linotype" w:hAnsi="Palatino Linotype" w:cs="Arial"/>
        </w:rPr>
        <w:t xml:space="preserve">, el Comisionado </w:t>
      </w:r>
      <w:r>
        <w:rPr>
          <w:rFonts w:ascii="Palatino Linotype" w:hAnsi="Palatino Linotype" w:cs="Arial"/>
        </w:rPr>
        <w:t>Presidente José Martínez Vilchis</w:t>
      </w:r>
      <w:r w:rsidRPr="00F45102">
        <w:rPr>
          <w:rFonts w:ascii="Palatino Linotype" w:hAnsi="Palatino Linotype" w:cs="Arial"/>
        </w:rPr>
        <w:t>, admitió a trámite el recurso de revisión que nos ocupa.</w:t>
      </w:r>
    </w:p>
    <w:p w:rsidR="00D873A8" w:rsidRPr="00F45102" w:rsidRDefault="00D873A8" w:rsidP="00D873A8">
      <w:pPr>
        <w:numPr>
          <w:ilvl w:val="0"/>
          <w:numId w:val="11"/>
        </w:numPr>
        <w:autoSpaceDE w:val="0"/>
        <w:autoSpaceDN w:val="0"/>
        <w:adjustRightInd w:val="0"/>
        <w:spacing w:after="160" w:line="360" w:lineRule="auto"/>
        <w:ind w:left="851" w:right="850" w:firstLine="10"/>
        <w:jc w:val="both"/>
      </w:pPr>
      <w:r w:rsidRPr="00F45102">
        <w:rPr>
          <w:rFonts w:ascii="Palatino Linotype" w:hAnsi="Palatino Linotype" w:cs="Arial"/>
        </w:rPr>
        <w:t xml:space="preserve">Lo esgrimido por el particular dentro del recurso de revisión impugnado queda sin materia, toda vez que la parte </w:t>
      </w:r>
      <w:r w:rsidRPr="00F45102">
        <w:rPr>
          <w:rFonts w:ascii="Palatino Linotype" w:hAnsi="Palatino Linotype" w:cs="Arial"/>
          <w:b/>
        </w:rPr>
        <w:t xml:space="preserve">Recurrente </w:t>
      </w:r>
      <w:r w:rsidRPr="00F45102">
        <w:rPr>
          <w:rFonts w:ascii="Palatino Linotype" w:hAnsi="Palatino Linotype" w:cs="Arial"/>
        </w:rPr>
        <w:t>amplío su solicitud en el recurso de revisión.</w:t>
      </w:r>
    </w:p>
    <w:p w:rsidR="00D873A8" w:rsidRPr="00F45102" w:rsidRDefault="00D873A8" w:rsidP="00D873A8">
      <w:pPr>
        <w:numPr>
          <w:ilvl w:val="0"/>
          <w:numId w:val="11"/>
        </w:numPr>
        <w:autoSpaceDE w:val="0"/>
        <w:autoSpaceDN w:val="0"/>
        <w:adjustRightInd w:val="0"/>
        <w:spacing w:after="160" w:line="360" w:lineRule="auto"/>
        <w:ind w:left="851" w:right="850" w:firstLine="10"/>
        <w:jc w:val="both"/>
        <w:rPr>
          <w:rFonts w:ascii="Palatino Linotype" w:hAnsi="Palatino Linotype" w:cs="Arial"/>
        </w:rPr>
      </w:pPr>
      <w:r w:rsidRPr="00F45102">
        <w:rPr>
          <w:rFonts w:ascii="Palatino Linotype" w:hAnsi="Palatino Linotype" w:cs="Arial"/>
        </w:rPr>
        <w:t xml:space="preserve">El recurso </w:t>
      </w:r>
      <w:r>
        <w:rPr>
          <w:rFonts w:ascii="Palatino Linotype" w:hAnsi="Palatino Linotype" w:cs="Arial"/>
          <w:b/>
          <w:bCs/>
          <w:lang w:eastAsia="es-MX"/>
        </w:rPr>
        <w:t>07460/INFOEM/IP/RR/2024</w:t>
      </w:r>
      <w:r w:rsidRPr="00F45102">
        <w:rPr>
          <w:rFonts w:ascii="Palatino Linotype" w:hAnsi="Palatino Linotype" w:cs="Arial"/>
          <w:bCs/>
          <w:lang w:eastAsia="es-MX"/>
        </w:rPr>
        <w:t>,</w:t>
      </w:r>
      <w:r w:rsidRPr="00F45102">
        <w:rPr>
          <w:rFonts w:ascii="Palatino Linotype" w:hAnsi="Palatino Linotype" w:cs="Arial"/>
        </w:rPr>
        <w:t xml:space="preserve"> no actualiza ninguna hipótesis de las inmersas en el numeral 179, de la Ley en materia vigente en la entidad.</w:t>
      </w:r>
    </w:p>
    <w:p w:rsidR="00D873A8" w:rsidRPr="00D435BA" w:rsidRDefault="00D873A8" w:rsidP="00D873A8">
      <w:pPr>
        <w:autoSpaceDE w:val="0"/>
        <w:autoSpaceDN w:val="0"/>
        <w:adjustRightInd w:val="0"/>
        <w:spacing w:line="360" w:lineRule="auto"/>
        <w:jc w:val="both"/>
        <w:rPr>
          <w:rFonts w:ascii="Palatino Linotype" w:hAnsi="Palatino Linotype"/>
          <w:sz w:val="16"/>
        </w:rPr>
      </w:pPr>
    </w:p>
    <w:p w:rsidR="00D873A8" w:rsidRPr="00F45102" w:rsidRDefault="00D873A8" w:rsidP="00D873A8">
      <w:pPr>
        <w:autoSpaceDE w:val="0"/>
        <w:autoSpaceDN w:val="0"/>
        <w:adjustRightInd w:val="0"/>
        <w:spacing w:line="360" w:lineRule="auto"/>
        <w:jc w:val="both"/>
        <w:rPr>
          <w:rFonts w:ascii="Palatino Linotype" w:hAnsi="Palatino Linotype"/>
          <w:b/>
          <w:u w:val="single"/>
        </w:rPr>
      </w:pPr>
      <w:r w:rsidRPr="00F45102">
        <w:rPr>
          <w:rFonts w:ascii="Palatino Linotype" w:hAnsi="Palatino Linotype"/>
        </w:rPr>
        <w:t xml:space="preserve">Es importante resaltar a manera de analogía que la Suprema Corte de Justicia de la Nación mediante el número 2 de la Serie </w:t>
      </w:r>
      <w:r w:rsidRPr="00F45102">
        <w:rPr>
          <w:rFonts w:ascii="Palatino Linotype" w:hAnsi="Palatino Linotype"/>
          <w:i/>
        </w:rPr>
        <w:t xml:space="preserve">Estudios Introductorios sobre el Juicio de Amparo </w:t>
      </w:r>
      <w:r w:rsidRPr="00F45102">
        <w:rPr>
          <w:rFonts w:ascii="Palatino Linotype" w:hAnsi="Palatino Linotype"/>
        </w:rPr>
        <w:t xml:space="preserve">relativo a </w:t>
      </w:r>
      <w:r w:rsidRPr="00F45102">
        <w:rPr>
          <w:rFonts w:ascii="Palatino Linotype" w:hAnsi="Palatino Linotype"/>
          <w:i/>
        </w:rPr>
        <w:t xml:space="preserve">LA IMPROCEDENCIA DE LA ACCIÓN DE AMPARO </w:t>
      </w:r>
      <w:r w:rsidRPr="00F45102">
        <w:rPr>
          <w:rFonts w:ascii="Palatino Linotype" w:hAnsi="Palatino Linotype"/>
        </w:rPr>
        <w:t xml:space="preserve">definió a la </w:t>
      </w:r>
      <w:r w:rsidRPr="00F45102">
        <w:rPr>
          <w:rFonts w:ascii="Palatino Linotype" w:hAnsi="Palatino Linotype"/>
        </w:rPr>
        <w:lastRenderedPageBreak/>
        <w:t xml:space="preserve">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45102">
        <w:rPr>
          <w:rFonts w:ascii="Palatino Linotype" w:hAnsi="Palatino Linotype"/>
          <w:b/>
          <w:u w:val="single"/>
        </w:rPr>
        <w:t>lo que generará que la demanda sea desechada; o bien, después de admitida la demanda, lo que tendrá como consecuencia que se sobresea en el juicio.</w:t>
      </w:r>
    </w:p>
    <w:p w:rsidR="00D873A8" w:rsidRPr="00BB5A76" w:rsidRDefault="00D873A8" w:rsidP="00D873A8">
      <w:pPr>
        <w:spacing w:line="360" w:lineRule="auto"/>
        <w:jc w:val="both"/>
        <w:rPr>
          <w:rFonts w:ascii="Palatino Linotype" w:hAnsi="Palatino Linotype" w:cs="Arial"/>
        </w:rPr>
      </w:pPr>
    </w:p>
    <w:p w:rsidR="00D873A8" w:rsidRPr="00C91633" w:rsidRDefault="00D873A8" w:rsidP="00D873A8">
      <w:pPr>
        <w:spacing w:line="360" w:lineRule="auto"/>
        <w:ind w:right="51"/>
        <w:jc w:val="both"/>
        <w:rPr>
          <w:rFonts w:ascii="Palatino Linotype" w:hAnsi="Palatino Linotype" w:cs="Arial"/>
          <w:bCs/>
          <w:lang w:eastAsia="es-MX"/>
        </w:rPr>
      </w:pPr>
      <w:r w:rsidRPr="00BB5A76">
        <w:rPr>
          <w:rFonts w:ascii="Palatino Linotype" w:hAnsi="Palatino Linotype" w:cs="Arial"/>
        </w:rPr>
        <w:t xml:space="preserve">Así, en mérito de lo expuesto en líneas anteriores </w:t>
      </w:r>
      <w:r w:rsidRPr="00BB5A76">
        <w:rPr>
          <w:rFonts w:ascii="Palatino Linotype" w:hAnsi="Palatino Linotype"/>
          <w:noProof/>
          <w:lang w:eastAsia="es-MX"/>
        </w:rPr>
        <w:t xml:space="preserve">resultan </w:t>
      </w:r>
      <w:r>
        <w:rPr>
          <w:rFonts w:ascii="Palatino Linotype" w:hAnsi="Palatino Linotype"/>
          <w:noProof/>
          <w:lang w:eastAsia="es-MX"/>
        </w:rPr>
        <w:t>in</w:t>
      </w:r>
      <w:r w:rsidRPr="0047376C">
        <w:rPr>
          <w:rFonts w:ascii="Palatino Linotype" w:hAnsi="Palatino Linotype"/>
          <w:noProof/>
          <w:lang w:eastAsia="es-MX"/>
        </w:rPr>
        <w:t>fundadas</w:t>
      </w:r>
      <w:r>
        <w:rPr>
          <w:rFonts w:ascii="Palatino Linotype" w:hAnsi="Palatino Linotype"/>
          <w:noProof/>
          <w:lang w:eastAsia="es-MX"/>
        </w:rPr>
        <w:t xml:space="preserve"> </w:t>
      </w:r>
      <w:r w:rsidRPr="00BB5A76">
        <w:rPr>
          <w:rFonts w:ascii="Palatino Linotype" w:hAnsi="Palatino Linotype"/>
          <w:noProof/>
          <w:lang w:eastAsia="es-MX"/>
        </w:rPr>
        <w:t>las razones o motivos de inconformidad que arguye el</w:t>
      </w:r>
      <w:r w:rsidRPr="00BB5A76">
        <w:rPr>
          <w:rFonts w:ascii="Palatino Linotype" w:hAnsi="Palatino Linotype"/>
          <w:b/>
          <w:noProof/>
          <w:lang w:eastAsia="es-MX"/>
        </w:rPr>
        <w:t xml:space="preserve"> Recurrente</w:t>
      </w:r>
      <w:r w:rsidRPr="00BB5A76">
        <w:rPr>
          <w:rFonts w:ascii="Palatino Linotype" w:hAnsi="Palatino Linotype"/>
          <w:noProof/>
          <w:lang w:eastAsia="es-MX"/>
        </w:rPr>
        <w:t xml:space="preserve">, </w:t>
      </w:r>
      <w:r w:rsidRPr="00BB5A76">
        <w:rPr>
          <w:rFonts w:ascii="Palatino Linotype" w:hAnsi="Palatino Linotype" w:cs="Arial"/>
        </w:rPr>
        <w:t>por ello co</w:t>
      </w:r>
      <w:r>
        <w:rPr>
          <w:rFonts w:ascii="Palatino Linotype" w:hAnsi="Palatino Linotype" w:cs="Arial"/>
        </w:rPr>
        <w:t>n fundamento en el artículo 186,</w:t>
      </w:r>
      <w:r w:rsidRPr="00BB5A76">
        <w:rPr>
          <w:rFonts w:ascii="Palatino Linotype" w:hAnsi="Palatino Linotype" w:cs="Arial"/>
        </w:rPr>
        <w:t xml:space="preserve"> fraccion</w:t>
      </w:r>
      <w:r>
        <w:rPr>
          <w:rFonts w:ascii="Palatino Linotype" w:hAnsi="Palatino Linotype" w:cs="Arial"/>
        </w:rPr>
        <w:t>es I y</w:t>
      </w:r>
      <w:r w:rsidRPr="00BB5A76">
        <w:rPr>
          <w:rFonts w:ascii="Palatino Linotype" w:hAnsi="Palatino Linotype" w:cs="Arial"/>
        </w:rPr>
        <w:t xml:space="preserve"> II, de la Ley de Transparencia y Acceso a la Información Pública del Estado de México y Municipios, </w:t>
      </w:r>
      <w:r w:rsidRPr="00F45102">
        <w:rPr>
          <w:rFonts w:ascii="Palatino Linotype" w:hAnsi="Palatino Linotype" w:cs="Arial"/>
        </w:rPr>
        <w:t xml:space="preserve">se </w:t>
      </w:r>
      <w:r w:rsidRPr="00F45102">
        <w:rPr>
          <w:rFonts w:ascii="Palatino Linotype" w:hAnsi="Palatino Linotype" w:cs="Arial"/>
          <w:b/>
        </w:rPr>
        <w:t>SOBRESEE</w:t>
      </w:r>
      <w:r w:rsidRPr="00F45102">
        <w:rPr>
          <w:rFonts w:ascii="Palatino Linotype" w:hAnsi="Palatino Linotype" w:cs="Arial"/>
        </w:rPr>
        <w:t xml:space="preserve"> el recurso de revisión </w:t>
      </w:r>
      <w:r>
        <w:rPr>
          <w:rFonts w:ascii="Palatino Linotype" w:eastAsiaTheme="minorEastAsia" w:hAnsi="Palatino Linotype"/>
          <w:b/>
          <w:lang w:val="es-ES_tradnl"/>
        </w:rPr>
        <w:t>07460/INFOEM/IP/RR/2024</w:t>
      </w:r>
      <w:r w:rsidRPr="00BB5A76">
        <w:rPr>
          <w:rFonts w:ascii="Palatino Linotype" w:hAnsi="Palatino Linotype" w:cs="Arial"/>
          <w:b/>
        </w:rPr>
        <w:t xml:space="preserve"> </w:t>
      </w:r>
      <w:r>
        <w:rPr>
          <w:rFonts w:ascii="Palatino Linotype" w:hAnsi="Palatino Linotype" w:cs="Arial"/>
        </w:rPr>
        <w:t>e</w:t>
      </w:r>
      <w:r w:rsidRPr="00F45102">
        <w:rPr>
          <w:rFonts w:ascii="Palatino Linotype" w:hAnsi="Palatino Linotype" w:cs="Arial"/>
        </w:rPr>
        <w:t xml:space="preserve">n concordancia con el artículo 192, fracción IV, de la Ley de Transparencia y Acceso a la Información Pública del Estado de México y Municipios, </w:t>
      </w:r>
      <w:r>
        <w:rPr>
          <w:rFonts w:ascii="Palatino Linotype" w:hAnsi="Palatino Linotype" w:cs="Arial"/>
          <w:bCs/>
        </w:rPr>
        <w:t>que han</w:t>
      </w:r>
      <w:r w:rsidRPr="00BB5A76">
        <w:rPr>
          <w:rFonts w:ascii="Palatino Linotype" w:hAnsi="Palatino Linotype" w:cs="Arial"/>
          <w:bCs/>
        </w:rPr>
        <w:t xml:space="preserve"> sido materia del presente fallo</w:t>
      </w:r>
      <w:r w:rsidRPr="00BB5A76">
        <w:rPr>
          <w:rFonts w:ascii="Palatino Linotype" w:hAnsi="Palatino Linotype" w:cs="Arial"/>
        </w:rPr>
        <w:t>.</w:t>
      </w:r>
      <w:r w:rsidRPr="00DD561E">
        <w:rPr>
          <w:rFonts w:ascii="Palatino Linotype" w:hAnsi="Palatino Linotype" w:cs="Arial"/>
        </w:rPr>
        <w:t xml:space="preserve"> </w:t>
      </w:r>
    </w:p>
    <w:p w:rsidR="00D873A8" w:rsidRDefault="00D873A8" w:rsidP="00D873A8">
      <w:pPr>
        <w:spacing w:line="360" w:lineRule="auto"/>
        <w:jc w:val="both"/>
        <w:rPr>
          <w:rFonts w:ascii="Palatino Linotype" w:hAnsi="Palatino Linotype"/>
        </w:rPr>
      </w:pPr>
    </w:p>
    <w:p w:rsidR="00D873A8" w:rsidRPr="002C3EC8" w:rsidRDefault="00D873A8" w:rsidP="00D873A8">
      <w:pPr>
        <w:spacing w:line="360" w:lineRule="auto"/>
        <w:jc w:val="both"/>
        <w:rPr>
          <w:rFonts w:ascii="Palatino Linotype" w:hAnsi="Palatino Linotype"/>
        </w:rPr>
      </w:pPr>
      <w:r w:rsidRPr="002C3EC8">
        <w:rPr>
          <w:rFonts w:ascii="Palatino Linotype" w:hAnsi="Palatino Linotype"/>
        </w:rPr>
        <w:t>Por lo antes expuesto y fundado es de resolverse y,</w:t>
      </w:r>
    </w:p>
    <w:p w:rsidR="00D873A8" w:rsidRPr="00C960DD" w:rsidRDefault="00D873A8" w:rsidP="00D873A8">
      <w:pPr>
        <w:autoSpaceDE w:val="0"/>
        <w:autoSpaceDN w:val="0"/>
        <w:adjustRightInd w:val="0"/>
        <w:spacing w:line="360" w:lineRule="auto"/>
        <w:jc w:val="both"/>
        <w:rPr>
          <w:rFonts w:ascii="Palatino Linotype" w:hAnsi="Palatino Linotype" w:cs="Arial"/>
        </w:rPr>
      </w:pPr>
    </w:p>
    <w:p w:rsidR="00D873A8" w:rsidRPr="00C960DD" w:rsidRDefault="00D873A8" w:rsidP="00D873A8">
      <w:pPr>
        <w:spacing w:line="360" w:lineRule="auto"/>
        <w:ind w:left="426"/>
        <w:jc w:val="center"/>
        <w:rPr>
          <w:rFonts w:ascii="Palatino Linotype" w:hAnsi="Palatino Linotype"/>
          <w:b/>
          <w:color w:val="000000"/>
          <w:sz w:val="28"/>
        </w:rPr>
      </w:pPr>
      <w:r w:rsidRPr="00C960DD">
        <w:rPr>
          <w:rFonts w:ascii="Palatino Linotype" w:hAnsi="Palatino Linotype"/>
          <w:b/>
          <w:color w:val="000000"/>
          <w:sz w:val="28"/>
        </w:rPr>
        <w:t>SE    RESUELVE</w:t>
      </w:r>
    </w:p>
    <w:p w:rsidR="00D873A8" w:rsidRPr="00C960DD" w:rsidRDefault="00D873A8" w:rsidP="00D873A8">
      <w:pPr>
        <w:tabs>
          <w:tab w:val="left" w:pos="8647"/>
        </w:tabs>
        <w:spacing w:line="360" w:lineRule="auto"/>
        <w:ind w:right="51"/>
        <w:jc w:val="both"/>
        <w:rPr>
          <w:rFonts w:ascii="Palatino Linotype" w:hAnsi="Palatino Linotype" w:cs="Arial"/>
        </w:rPr>
      </w:pPr>
    </w:p>
    <w:p w:rsidR="00D873A8" w:rsidRPr="00F45102" w:rsidRDefault="00D873A8" w:rsidP="00D873A8">
      <w:pPr>
        <w:spacing w:line="360" w:lineRule="auto"/>
        <w:jc w:val="both"/>
        <w:rPr>
          <w:rFonts w:ascii="Palatino Linotype" w:eastAsiaTheme="minorEastAsia" w:hAnsi="Palatino Linotype"/>
          <w:lang w:val="es-ES_tradnl"/>
        </w:rPr>
      </w:pPr>
      <w:r>
        <w:rPr>
          <w:rFonts w:ascii="Palatino Linotype" w:hAnsi="Palatino Linotype" w:cs="Arial"/>
          <w:b/>
          <w:sz w:val="28"/>
          <w:szCs w:val="28"/>
        </w:rPr>
        <w:t>PRIMERO</w:t>
      </w:r>
      <w:r w:rsidRPr="00D62F3F">
        <w:rPr>
          <w:rFonts w:ascii="Palatino Linotype" w:hAnsi="Palatino Linotype" w:cs="Arial"/>
          <w:b/>
          <w:sz w:val="28"/>
          <w:szCs w:val="28"/>
        </w:rPr>
        <w:t>.</w:t>
      </w:r>
      <w:r>
        <w:rPr>
          <w:rFonts w:ascii="Palatino Linotype" w:hAnsi="Palatino Linotype" w:cs="Arial"/>
          <w:b/>
        </w:rPr>
        <w:t xml:space="preserve"> </w:t>
      </w:r>
      <w:r w:rsidRPr="00F45102">
        <w:rPr>
          <w:rFonts w:ascii="Palatino Linotype" w:hAnsi="Palatino Linotype" w:cs="Arial"/>
          <w:lang w:val="es-ES_tradnl"/>
        </w:rPr>
        <w:t xml:space="preserve">Se </w:t>
      </w:r>
      <w:r w:rsidRPr="00F45102">
        <w:rPr>
          <w:rFonts w:ascii="Palatino Linotype" w:hAnsi="Palatino Linotype" w:cs="Arial"/>
          <w:b/>
          <w:lang w:val="es-ES_tradnl"/>
        </w:rPr>
        <w:t>SOBRESEE</w:t>
      </w:r>
      <w:r w:rsidRPr="00F45102">
        <w:rPr>
          <w:rFonts w:ascii="Palatino Linotype" w:hAnsi="Palatino Linotype" w:cs="Arial"/>
          <w:lang w:val="es-ES_tradnl"/>
        </w:rPr>
        <w:t xml:space="preserve"> el recurso de revisión número </w:t>
      </w:r>
      <w:r>
        <w:rPr>
          <w:rFonts w:ascii="Palatino Linotype" w:hAnsi="Palatino Linotype" w:cs="Arial"/>
          <w:b/>
          <w:lang w:val="es-ES_tradnl"/>
        </w:rPr>
        <w:t>07460/INFOEM/IP/RR/2024</w:t>
      </w:r>
      <w:r w:rsidRPr="00F45102">
        <w:rPr>
          <w:rFonts w:ascii="Palatino Linotype" w:hAnsi="Palatino Linotype" w:cs="Arial"/>
          <w:lang w:val="es-ES_tradnl"/>
        </w:rPr>
        <w:t xml:space="preserve">, </w:t>
      </w:r>
      <w:r w:rsidRPr="009C2F04">
        <w:rPr>
          <w:rFonts w:ascii="Palatino Linotype" w:eastAsia="Palatino Linotype" w:hAnsi="Palatino Linotype" w:cs="Palatino Linotype"/>
          <w:color w:val="000000"/>
        </w:rPr>
        <w:t xml:space="preserve">por improcedente al actualizarse lo dispuesto en el artículo 192 fracción IV, con relación a la fracción </w:t>
      </w:r>
      <w:r>
        <w:rPr>
          <w:rFonts w:ascii="Palatino Linotype" w:eastAsia="Palatino Linotype" w:hAnsi="Palatino Linotype" w:cs="Palatino Linotype"/>
          <w:color w:val="000000"/>
        </w:rPr>
        <w:t>VII</w:t>
      </w:r>
      <w:r w:rsidRPr="009C2F04">
        <w:rPr>
          <w:rFonts w:ascii="Palatino Linotype" w:eastAsia="Palatino Linotype" w:hAnsi="Palatino Linotype" w:cs="Palatino Linotype"/>
          <w:color w:val="000000"/>
        </w:rPr>
        <w:t xml:space="preserve"> del artículo 191 de la Ley de Transparencia y Acceso a la Información Pública del Estado de México y Municipios</w:t>
      </w:r>
      <w:r>
        <w:rPr>
          <w:rFonts w:ascii="Palatino Linotype" w:eastAsia="Palatino Linotype" w:hAnsi="Palatino Linotype" w:cs="Palatino Linotype"/>
          <w:color w:val="000000"/>
        </w:rPr>
        <w:t xml:space="preserve">, </w:t>
      </w:r>
      <w:r w:rsidRPr="00F45102">
        <w:rPr>
          <w:rFonts w:ascii="Palatino Linotype" w:hAnsi="Palatino Linotype" w:cs="Arial"/>
          <w:lang w:val="es-ES_tradnl"/>
        </w:rPr>
        <w:t xml:space="preserve">en términos del Considerando </w:t>
      </w:r>
      <w:r>
        <w:rPr>
          <w:rFonts w:ascii="Palatino Linotype" w:hAnsi="Palatino Linotype" w:cs="Arial"/>
          <w:b/>
          <w:lang w:val="es-ES_tradnl"/>
        </w:rPr>
        <w:t>TERCERO</w:t>
      </w:r>
      <w:r w:rsidRPr="00F45102">
        <w:rPr>
          <w:rFonts w:ascii="Palatino Linotype" w:hAnsi="Palatino Linotype" w:cs="Arial"/>
          <w:lang w:val="es-ES_tradnl"/>
        </w:rPr>
        <w:t xml:space="preserve"> de la presente resolución.</w:t>
      </w:r>
    </w:p>
    <w:p w:rsidR="00D873A8" w:rsidRPr="00F45102" w:rsidRDefault="00D873A8" w:rsidP="00D873A8">
      <w:pPr>
        <w:spacing w:line="360" w:lineRule="auto"/>
        <w:jc w:val="both"/>
        <w:rPr>
          <w:rFonts w:ascii="Palatino Linotype" w:eastAsiaTheme="minorEastAsia" w:hAnsi="Palatino Linotype"/>
          <w:lang w:val="es-ES_tradnl"/>
        </w:rPr>
      </w:pPr>
    </w:p>
    <w:p w:rsidR="00D873A8" w:rsidRPr="00F45102" w:rsidRDefault="00D873A8" w:rsidP="00D873A8">
      <w:pPr>
        <w:spacing w:line="360" w:lineRule="auto"/>
        <w:jc w:val="both"/>
        <w:rPr>
          <w:rFonts w:ascii="Palatino Linotype" w:hAnsi="Palatino Linotype"/>
        </w:rPr>
      </w:pPr>
      <w:r w:rsidRPr="00F566E3">
        <w:rPr>
          <w:rFonts w:ascii="Palatino Linotype" w:hAnsi="Palatino Linotype"/>
          <w:b/>
          <w:sz w:val="28"/>
        </w:rPr>
        <w:t>SEGUNDO</w:t>
      </w:r>
      <w:r w:rsidRPr="00F45102">
        <w:rPr>
          <w:rFonts w:ascii="Palatino Linotype" w:hAnsi="Palatino Linotype"/>
          <w:b/>
        </w:rPr>
        <w:t>.</w:t>
      </w:r>
      <w:r w:rsidRPr="00F45102">
        <w:rPr>
          <w:rFonts w:ascii="Palatino Linotype" w:hAnsi="Palatino Linotype" w:cs="Arial"/>
        </w:rPr>
        <w:t xml:space="preserve"> </w:t>
      </w:r>
      <w:r w:rsidRPr="00F45102">
        <w:rPr>
          <w:rFonts w:ascii="Palatino Linotype" w:hAnsi="Palatino Linotype"/>
          <w:b/>
        </w:rPr>
        <w:t>NOTIFÍQUESE</w:t>
      </w:r>
      <w:r w:rsidRPr="00F45102">
        <w:rPr>
          <w:rFonts w:ascii="Palatino Linotype" w:hAnsi="Palatino Linotype"/>
        </w:rPr>
        <w:t xml:space="preserve"> vía </w:t>
      </w:r>
      <w:r w:rsidRPr="002B7AFD">
        <w:rPr>
          <w:rFonts w:ascii="Palatino Linotype" w:hAnsi="Palatino Linotype"/>
          <w:b/>
        </w:rPr>
        <w:t xml:space="preserve">Sistema de Acceso a la Información Mexiquense </w:t>
      </w:r>
      <w:r w:rsidRPr="00F45102">
        <w:rPr>
          <w:rFonts w:ascii="Palatino Linotype" w:hAnsi="Palatino Linotype"/>
          <w:b/>
        </w:rPr>
        <w:t>(SAIMEX)</w:t>
      </w:r>
      <w:r w:rsidRPr="00F45102">
        <w:rPr>
          <w:rFonts w:ascii="Palatino Linotype" w:hAnsi="Palatino Linotype"/>
        </w:rPr>
        <w:t xml:space="preserve">, la presente resolución al Titular de la Unidad de Transparencia del </w:t>
      </w:r>
      <w:r w:rsidRPr="00F45102">
        <w:rPr>
          <w:rFonts w:ascii="Palatino Linotype" w:hAnsi="Palatino Linotype"/>
          <w:b/>
        </w:rPr>
        <w:t>Sujeto Obligado</w:t>
      </w:r>
      <w:r w:rsidRPr="00F45102">
        <w:rPr>
          <w:rFonts w:ascii="Palatino Linotype" w:hAnsi="Palatino Linotype"/>
        </w:rPr>
        <w:t>.</w:t>
      </w:r>
    </w:p>
    <w:p w:rsidR="00D873A8" w:rsidRPr="00F45102" w:rsidRDefault="00D873A8" w:rsidP="00D873A8">
      <w:pPr>
        <w:spacing w:line="360" w:lineRule="auto"/>
        <w:jc w:val="both"/>
        <w:rPr>
          <w:rFonts w:ascii="Palatino Linotype" w:hAnsi="Palatino Linotype"/>
        </w:rPr>
      </w:pPr>
    </w:p>
    <w:p w:rsidR="00D873A8" w:rsidRDefault="00D873A8" w:rsidP="00D873A8">
      <w:pPr>
        <w:spacing w:line="360" w:lineRule="auto"/>
        <w:jc w:val="both"/>
        <w:rPr>
          <w:rFonts w:ascii="Palatino Linotype" w:hAnsi="Palatino Linotype"/>
        </w:rPr>
      </w:pPr>
      <w:r w:rsidRPr="00F566E3">
        <w:rPr>
          <w:rFonts w:ascii="Palatino Linotype" w:hAnsi="Palatino Linotype" w:cs="Arial"/>
          <w:b/>
          <w:sz w:val="28"/>
        </w:rPr>
        <w:t>TERCERO.</w:t>
      </w:r>
      <w:r w:rsidRPr="00F45102">
        <w:rPr>
          <w:rFonts w:ascii="Palatino Linotype" w:hAnsi="Palatino Linotype" w:cs="Arial"/>
          <w:b/>
        </w:rPr>
        <w:t xml:space="preserve"> </w:t>
      </w:r>
      <w:r w:rsidRPr="00F45102">
        <w:rPr>
          <w:rFonts w:ascii="Palatino Linotype" w:hAnsi="Palatino Linotype"/>
          <w:b/>
        </w:rPr>
        <w:t>NOTIFÍQUESE</w:t>
      </w:r>
      <w:r w:rsidRPr="00F45102">
        <w:rPr>
          <w:rFonts w:ascii="Palatino Linotype" w:hAnsi="Palatino Linotype"/>
        </w:rPr>
        <w:t xml:space="preserve"> al </w:t>
      </w:r>
      <w:r w:rsidRPr="00F45102">
        <w:rPr>
          <w:rFonts w:ascii="Palatino Linotype" w:hAnsi="Palatino Linotype"/>
          <w:b/>
        </w:rPr>
        <w:t xml:space="preserve">Recurrente </w:t>
      </w:r>
      <w:r w:rsidRPr="00F45102">
        <w:rPr>
          <w:rFonts w:ascii="Palatino Linotype" w:hAnsi="Palatino Linotype"/>
        </w:rPr>
        <w:t xml:space="preserve">la presente resolución vía Sistema de Acceso a la Información Mexiquense </w:t>
      </w:r>
      <w:r w:rsidRPr="00F45102">
        <w:rPr>
          <w:rFonts w:ascii="Palatino Linotype" w:hAnsi="Palatino Linotype"/>
          <w:b/>
        </w:rPr>
        <w:t>(SAIMEX)</w:t>
      </w:r>
      <w:r w:rsidRPr="00F45102">
        <w:rPr>
          <w:rFonts w:ascii="Palatino Linotype" w:hAnsi="Palatino Linotype"/>
        </w:rPr>
        <w:t xml:space="preserve">, y </w:t>
      </w:r>
      <w:r w:rsidRPr="00F45102">
        <w:rPr>
          <w:rFonts w:ascii="Palatino Linotype" w:hAnsi="Palatino Linotype" w:cs="Arial"/>
        </w:rPr>
        <w:t>hágase</w:t>
      </w:r>
      <w:r w:rsidRPr="00F45102">
        <w:rPr>
          <w:rFonts w:ascii="Palatino Linotype" w:hAnsi="Palatino Linotype"/>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83112B" w:rsidRDefault="0083112B" w:rsidP="0083112B">
      <w:pPr>
        <w:spacing w:line="360" w:lineRule="auto"/>
        <w:jc w:val="both"/>
        <w:rPr>
          <w:rFonts w:ascii="Palatino Linotype" w:hAnsi="Palatino Linotype" w:cs="Arial"/>
        </w:rPr>
      </w:pPr>
    </w:p>
    <w:p w:rsidR="00DD4A86" w:rsidRDefault="0083112B" w:rsidP="00DD4A86">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DB6661">
        <w:rPr>
          <w:rFonts w:ascii="Palatino Linotype" w:hAnsi="Palatino Linotype" w:cs="Arial"/>
        </w:rPr>
        <w:t>PRIMERA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DB6661">
        <w:rPr>
          <w:rFonts w:ascii="Palatino Linotype" w:hAnsi="Palatino Linotype" w:cs="Arial"/>
        </w:rPr>
        <w:t>QUINCE DE ENERO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p>
    <w:p w:rsidR="0083112B" w:rsidRDefault="0083112B" w:rsidP="0083112B">
      <w:pPr>
        <w:spacing w:line="360" w:lineRule="auto"/>
        <w:jc w:val="both"/>
        <w:rPr>
          <w:rFonts w:ascii="Palatino Linotype" w:hAnsi="Palatino Linotype" w:cs="Arial"/>
          <w:sz w:val="16"/>
        </w:rPr>
      </w:pPr>
      <w:r>
        <w:rPr>
          <w:rFonts w:ascii="Palatino Linotype" w:hAnsi="Palatino Linotype" w:cs="Arial"/>
          <w:sz w:val="16"/>
        </w:rPr>
        <w:t>JMV/CCR/</w:t>
      </w:r>
      <w:r w:rsidR="001E07E6">
        <w:rPr>
          <w:rFonts w:ascii="Palatino Linotype" w:hAnsi="Palatino Linotype" w:cs="Arial"/>
          <w:sz w:val="16"/>
        </w:rPr>
        <w:t>LMST</w:t>
      </w:r>
    </w:p>
    <w:p w:rsidR="0083112B" w:rsidRDefault="0083112B" w:rsidP="0083112B">
      <w:pPr>
        <w:spacing w:line="360" w:lineRule="auto"/>
        <w:jc w:val="both"/>
        <w:rPr>
          <w:rFonts w:ascii="Palatino Linotype" w:hAnsi="Palatino Linotype" w:cs="Arial"/>
          <w:sz w:val="16"/>
        </w:rPr>
      </w:pPr>
    </w:p>
    <w:p w:rsidR="0083112B" w:rsidRDefault="0083112B" w:rsidP="0083112B">
      <w:pPr>
        <w:spacing w:line="360" w:lineRule="auto"/>
        <w:jc w:val="both"/>
        <w:rPr>
          <w:rFonts w:ascii="Palatino Linotype" w:hAnsi="Palatino Linotype" w:cs="Arial"/>
          <w:sz w:val="16"/>
        </w:rPr>
      </w:pPr>
    </w:p>
    <w:p w:rsidR="0083112B" w:rsidRDefault="0083112B" w:rsidP="0083112B">
      <w:pPr>
        <w:spacing w:line="360" w:lineRule="auto"/>
        <w:jc w:val="both"/>
        <w:rPr>
          <w:rFonts w:ascii="Palatino Linotype" w:hAnsi="Palatino Linotype" w:cs="Arial"/>
          <w:sz w:val="16"/>
        </w:rPr>
      </w:pPr>
    </w:p>
    <w:p w:rsidR="0083112B" w:rsidRDefault="0083112B" w:rsidP="0083112B">
      <w:pPr>
        <w:spacing w:line="360" w:lineRule="auto"/>
        <w:jc w:val="both"/>
        <w:rPr>
          <w:rFonts w:ascii="Palatino Linotype" w:hAnsi="Palatino Linotype" w:cs="Arial"/>
          <w:sz w:val="16"/>
        </w:rPr>
      </w:pPr>
    </w:p>
    <w:p w:rsidR="0083112B" w:rsidRPr="00E23C8F" w:rsidRDefault="0083112B" w:rsidP="0083112B">
      <w:pPr>
        <w:spacing w:line="360" w:lineRule="auto"/>
        <w:jc w:val="both"/>
        <w:rPr>
          <w:rFonts w:ascii="Palatino Linotype" w:hAnsi="Palatino Linotype" w:cs="Arial"/>
          <w:sz w:val="16"/>
        </w:rPr>
      </w:pPr>
    </w:p>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83112B" w:rsidRDefault="0083112B" w:rsidP="0083112B"/>
    <w:p w:rsidR="00725DFB" w:rsidRDefault="00725DFB"/>
    <w:sectPr w:rsidR="00725DFB" w:rsidSect="00205720">
      <w:headerReference w:type="default" r:id="rId9"/>
      <w:footerReference w:type="default" r:id="rId10"/>
      <w:headerReference w:type="first" r:id="rId11"/>
      <w:footerReference w:type="first" r:id="rId1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720" w:rsidRDefault="00205720" w:rsidP="0083112B">
      <w:r>
        <w:separator/>
      </w:r>
    </w:p>
  </w:endnote>
  <w:endnote w:type="continuationSeparator" w:id="0">
    <w:p w:rsidR="00205720" w:rsidRDefault="00205720" w:rsidP="00831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20" w:rsidRPr="00A2780F" w:rsidRDefault="00205720" w:rsidP="0020572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22D81">
      <w:rPr>
        <w:rFonts w:ascii="Arial" w:hAnsi="Arial" w:cs="Arial"/>
        <w:b/>
        <w:bCs/>
        <w:noProof/>
        <w:sz w:val="20"/>
        <w:szCs w:val="20"/>
      </w:rPr>
      <w:t>23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22D81">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20" w:rsidRPr="00070856" w:rsidRDefault="00205720" w:rsidP="0020572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22D8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22D81">
      <w:rPr>
        <w:rFonts w:ascii="Arial" w:hAnsi="Arial" w:cs="Arial"/>
        <w:b/>
        <w:bCs/>
        <w:noProof/>
        <w:sz w:val="20"/>
        <w:szCs w:val="20"/>
      </w:rPr>
      <w:t>23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720" w:rsidRDefault="00205720" w:rsidP="0083112B">
      <w:r>
        <w:separator/>
      </w:r>
    </w:p>
  </w:footnote>
  <w:footnote w:type="continuationSeparator" w:id="0">
    <w:p w:rsidR="00205720" w:rsidRDefault="00205720" w:rsidP="0083112B">
      <w:r>
        <w:continuationSeparator/>
      </w:r>
    </w:p>
  </w:footnote>
  <w:footnote w:id="1">
    <w:p w:rsidR="00D873A8" w:rsidRPr="00911081" w:rsidRDefault="00D873A8" w:rsidP="00D873A8">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873A8" w:rsidRPr="00911081" w:rsidRDefault="00D873A8" w:rsidP="00D873A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205720" w:rsidRPr="008F2CCC" w:rsidTr="00205720">
      <w:tc>
        <w:tcPr>
          <w:tcW w:w="3620" w:type="dxa"/>
          <w:shd w:val="clear" w:color="auto" w:fill="auto"/>
        </w:tcPr>
        <w:p w:rsidR="00205720" w:rsidRPr="007E5FC4" w:rsidRDefault="00205720" w:rsidP="0020572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205720" w:rsidRPr="00664658" w:rsidRDefault="00DD4A86" w:rsidP="0083112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205720">
            <w:rPr>
              <w:rFonts w:ascii="Palatino Linotype" w:hAnsi="Palatino Linotype"/>
              <w:b/>
              <w:sz w:val="22"/>
              <w:szCs w:val="22"/>
              <w:lang w:val="es-ES_tradnl"/>
            </w:rPr>
            <w:t>7460/INFOEM/IP/RR/2024</w:t>
          </w:r>
        </w:p>
      </w:tc>
    </w:tr>
    <w:tr w:rsidR="00205720" w:rsidRPr="008F2CCC" w:rsidTr="00205720">
      <w:tc>
        <w:tcPr>
          <w:tcW w:w="3620" w:type="dxa"/>
          <w:shd w:val="clear" w:color="auto" w:fill="auto"/>
        </w:tcPr>
        <w:p w:rsidR="00205720" w:rsidRPr="007E5FC4" w:rsidRDefault="00205720" w:rsidP="0020572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205720" w:rsidRPr="00664658" w:rsidRDefault="00205720" w:rsidP="00205720">
          <w:pPr>
            <w:spacing w:line="276" w:lineRule="auto"/>
            <w:jc w:val="right"/>
            <w:rPr>
              <w:rFonts w:ascii="Palatino Linotype" w:hAnsi="Palatino Linotype"/>
              <w:b/>
              <w:sz w:val="22"/>
              <w:szCs w:val="22"/>
              <w:lang w:val="es-ES_tradnl"/>
            </w:rPr>
          </w:pPr>
          <w:r w:rsidRPr="0083112B">
            <w:rPr>
              <w:rFonts w:ascii="Palatino Linotype" w:hAnsi="Palatino Linotype"/>
              <w:b/>
              <w:sz w:val="22"/>
              <w:szCs w:val="22"/>
            </w:rPr>
            <w:t>Secretaría de Bienestar</w:t>
          </w:r>
        </w:p>
      </w:tc>
    </w:tr>
    <w:tr w:rsidR="00205720" w:rsidRPr="008F2CCC" w:rsidTr="00205720">
      <w:trPr>
        <w:trHeight w:val="228"/>
      </w:trPr>
      <w:tc>
        <w:tcPr>
          <w:tcW w:w="3620" w:type="dxa"/>
          <w:shd w:val="clear" w:color="auto" w:fill="auto"/>
        </w:tcPr>
        <w:p w:rsidR="00205720" w:rsidRPr="007E5FC4" w:rsidRDefault="00205720" w:rsidP="0020572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205720" w:rsidRPr="00664658" w:rsidRDefault="00205720" w:rsidP="0020572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05720" w:rsidRDefault="00205720" w:rsidP="00205720">
    <w:pPr>
      <w:pStyle w:val="Encabezado"/>
      <w:tabs>
        <w:tab w:val="clear" w:pos="4252"/>
        <w:tab w:val="clear" w:pos="8504"/>
        <w:tab w:val="left" w:pos="2326"/>
      </w:tabs>
      <w:rPr>
        <w:rFonts w:ascii="Palatino Linotype" w:hAnsi="Palatino Linotype"/>
        <w:sz w:val="20"/>
      </w:rPr>
    </w:pPr>
  </w:p>
  <w:p w:rsidR="00205720" w:rsidRPr="001779E0" w:rsidRDefault="00205720" w:rsidP="00205720">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C939A80" wp14:editId="759B1469">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205720" w:rsidRPr="008F2CCC" w:rsidTr="00205720">
      <w:tc>
        <w:tcPr>
          <w:tcW w:w="2977" w:type="dxa"/>
          <w:shd w:val="clear" w:color="auto" w:fill="auto"/>
        </w:tcPr>
        <w:p w:rsidR="00205720" w:rsidRPr="007E5FC4" w:rsidRDefault="00205720" w:rsidP="0020572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205720" w:rsidRPr="008F2CCC" w:rsidRDefault="00DD4A86" w:rsidP="0083112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205720">
            <w:rPr>
              <w:rFonts w:ascii="Palatino Linotype" w:hAnsi="Palatino Linotype"/>
              <w:b/>
              <w:sz w:val="22"/>
              <w:szCs w:val="22"/>
              <w:lang w:val="es-ES_tradnl"/>
            </w:rPr>
            <w:t>7460/INFOEM/IP/RR/2024</w:t>
          </w:r>
        </w:p>
      </w:tc>
    </w:tr>
    <w:tr w:rsidR="00205720" w:rsidRPr="008F2CCC" w:rsidTr="00205720">
      <w:tc>
        <w:tcPr>
          <w:tcW w:w="2977" w:type="dxa"/>
          <w:shd w:val="clear" w:color="auto" w:fill="auto"/>
          <w:vAlign w:val="center"/>
        </w:tcPr>
        <w:p w:rsidR="00205720" w:rsidRPr="007E5FC4" w:rsidRDefault="00205720" w:rsidP="0020572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205720" w:rsidRPr="008F2CCC" w:rsidRDefault="00E22D81" w:rsidP="0020572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205720" w:rsidRPr="008F2CCC" w:rsidTr="00205720">
      <w:trPr>
        <w:trHeight w:val="228"/>
      </w:trPr>
      <w:tc>
        <w:tcPr>
          <w:tcW w:w="2977" w:type="dxa"/>
          <w:shd w:val="clear" w:color="auto" w:fill="auto"/>
        </w:tcPr>
        <w:p w:rsidR="00205720" w:rsidRPr="007E5FC4" w:rsidRDefault="00205720" w:rsidP="0020572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205720" w:rsidRPr="00DC41C8" w:rsidRDefault="00205720" w:rsidP="00205720">
          <w:pPr>
            <w:spacing w:line="360" w:lineRule="auto"/>
            <w:jc w:val="right"/>
            <w:rPr>
              <w:rFonts w:ascii="Palatino Linotype" w:hAnsi="Palatino Linotype"/>
              <w:b/>
              <w:sz w:val="22"/>
              <w:szCs w:val="22"/>
            </w:rPr>
          </w:pPr>
          <w:r w:rsidRPr="0083112B">
            <w:rPr>
              <w:rFonts w:ascii="Palatino Linotype" w:hAnsi="Palatino Linotype"/>
              <w:b/>
              <w:sz w:val="22"/>
              <w:szCs w:val="22"/>
            </w:rPr>
            <w:t>Secretaría de Bienestar</w:t>
          </w:r>
        </w:p>
      </w:tc>
    </w:tr>
    <w:tr w:rsidR="00205720" w:rsidRPr="008F2CCC" w:rsidTr="00205720">
      <w:tc>
        <w:tcPr>
          <w:tcW w:w="2977" w:type="dxa"/>
          <w:shd w:val="clear" w:color="auto" w:fill="auto"/>
        </w:tcPr>
        <w:p w:rsidR="00205720" w:rsidRPr="007E5FC4" w:rsidRDefault="00205720" w:rsidP="0020572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205720" w:rsidRPr="008F2CCC" w:rsidRDefault="00205720" w:rsidP="0020572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205720" w:rsidRPr="009F1AB6" w:rsidRDefault="0020572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96B0058" wp14:editId="78F92813">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F83587"/>
    <w:multiLevelType w:val="hybridMultilevel"/>
    <w:tmpl w:val="6B2250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851B5"/>
    <w:multiLevelType w:val="hybridMultilevel"/>
    <w:tmpl w:val="43265422"/>
    <w:lvl w:ilvl="0" w:tplc="63D8E582">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2C2A15C6"/>
    <w:multiLevelType w:val="hybridMultilevel"/>
    <w:tmpl w:val="F3468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750086"/>
    <w:multiLevelType w:val="hybridMultilevel"/>
    <w:tmpl w:val="DB304A12"/>
    <w:lvl w:ilvl="0" w:tplc="ED16098E">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BF6493"/>
    <w:multiLevelType w:val="hybridMultilevel"/>
    <w:tmpl w:val="40D6AF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4AF8533E"/>
    <w:multiLevelType w:val="hybridMultilevel"/>
    <w:tmpl w:val="4BFEC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1D220D"/>
    <w:multiLevelType w:val="hybridMultilevel"/>
    <w:tmpl w:val="262CE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2"/>
  </w:num>
  <w:num w:numId="5">
    <w:abstractNumId w:val="5"/>
  </w:num>
  <w:num w:numId="6">
    <w:abstractNumId w:val="6"/>
  </w:num>
  <w:num w:numId="7">
    <w:abstractNumId w:val="2"/>
  </w:num>
  <w:num w:numId="8">
    <w:abstractNumId w:val="10"/>
  </w:num>
  <w:num w:numId="9">
    <w:abstractNumId w:val="3"/>
  </w:num>
  <w:num w:numId="10">
    <w:abstractNumId w:val="14"/>
  </w:num>
  <w:num w:numId="11">
    <w:abstractNumId w:val="7"/>
  </w:num>
  <w:num w:numId="12">
    <w:abstractNumId w:val="13"/>
  </w:num>
  <w:num w:numId="13">
    <w:abstractNumId w:val="9"/>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12B"/>
    <w:rsid w:val="00090987"/>
    <w:rsid w:val="001D75BF"/>
    <w:rsid w:val="001E07E6"/>
    <w:rsid w:val="00205720"/>
    <w:rsid w:val="004F28AB"/>
    <w:rsid w:val="00533509"/>
    <w:rsid w:val="00725DFB"/>
    <w:rsid w:val="00774C2F"/>
    <w:rsid w:val="0083112B"/>
    <w:rsid w:val="008A7864"/>
    <w:rsid w:val="00990C1E"/>
    <w:rsid w:val="00D873A8"/>
    <w:rsid w:val="00DB6661"/>
    <w:rsid w:val="00DD4A86"/>
    <w:rsid w:val="00E22D81"/>
    <w:rsid w:val="00FA11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36130A-8FBE-4956-A1CB-7403CF9C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1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11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3112B"/>
    <w:rPr>
      <w:rFonts w:eastAsiaTheme="minorEastAsia"/>
      <w:sz w:val="24"/>
      <w:szCs w:val="24"/>
      <w:lang w:val="es-ES_tradnl" w:eastAsia="es-ES"/>
    </w:rPr>
  </w:style>
  <w:style w:type="paragraph" w:styleId="Piedepgina">
    <w:name w:val="footer"/>
    <w:basedOn w:val="Normal"/>
    <w:link w:val="PiedepginaCar"/>
    <w:uiPriority w:val="99"/>
    <w:unhideWhenUsed/>
    <w:rsid w:val="008311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3112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112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112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3112B"/>
    <w:pPr>
      <w:spacing w:after="0" w:line="240" w:lineRule="auto"/>
    </w:pPr>
  </w:style>
  <w:style w:type="character" w:customStyle="1" w:styleId="SinespaciadoCar">
    <w:name w:val="Sin espaciado Car"/>
    <w:aliases w:val="Francesa Car,INAI Car"/>
    <w:link w:val="Sinespaciado"/>
    <w:uiPriority w:val="1"/>
    <w:locked/>
    <w:rsid w:val="0083112B"/>
  </w:style>
  <w:style w:type="character" w:styleId="Hipervnculo">
    <w:name w:val="Hyperlink"/>
    <w:aliases w:val="Hipervínculo1,Hipervínculo11,Hipervínculo12,Hipervínculo13,Hipervínculo14,Hipervínculo15"/>
    <w:basedOn w:val="Fuentedeprrafopredeter"/>
    <w:uiPriority w:val="99"/>
    <w:unhideWhenUsed/>
    <w:rsid w:val="0083112B"/>
    <w:rPr>
      <w:color w:val="0563C1" w:themeColor="hyperlink"/>
      <w:u w:val="single"/>
    </w:rPr>
  </w:style>
  <w:style w:type="paragraph" w:customStyle="1" w:styleId="INFOEM">
    <w:name w:val="INFOEM"/>
    <w:basedOn w:val="Normal"/>
    <w:qFormat/>
    <w:rsid w:val="0083112B"/>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8311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3112B"/>
    <w:rPr>
      <w:vertAlign w:val="superscript"/>
    </w:rPr>
  </w:style>
  <w:style w:type="paragraph" w:customStyle="1" w:styleId="infoemcitas">
    <w:name w:val="infoem citas"/>
    <w:basedOn w:val="Normal"/>
    <w:qFormat/>
    <w:rsid w:val="0083112B"/>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customStyle="1" w:styleId="Citas">
    <w:name w:val="Citas"/>
    <w:basedOn w:val="Normal"/>
    <w:qFormat/>
    <w:rsid w:val="0083112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concuadrcula">
    <w:name w:val="Table Grid"/>
    <w:basedOn w:val="Tablanormal"/>
    <w:uiPriority w:val="39"/>
    <w:rsid w:val="00831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31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23</Pages>
  <Words>4611</Words>
  <Characters>25364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INFOEM557</cp:lastModifiedBy>
  <cp:revision>8</cp:revision>
  <dcterms:created xsi:type="dcterms:W3CDTF">2024-12-16T22:05:00Z</dcterms:created>
  <dcterms:modified xsi:type="dcterms:W3CDTF">2025-01-21T17:45:00Z</dcterms:modified>
</cp:coreProperties>
</file>