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318CB" w14:textId="26EDC84B" w:rsidR="00DF40CC" w:rsidRPr="00632D97" w:rsidRDefault="00222045">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632D9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w:t>
      </w:r>
      <w:r w:rsidR="007A31E7" w:rsidRPr="00632D97">
        <w:rPr>
          <w:rFonts w:ascii="Palatino Linotype" w:eastAsia="Palatino Linotype" w:hAnsi="Palatino Linotype" w:cs="Palatino Linotype"/>
        </w:rPr>
        <w:t xml:space="preserve">n Metepec, Estado de México, a </w:t>
      </w:r>
      <w:r w:rsidR="00151238" w:rsidRPr="00632D97">
        <w:rPr>
          <w:rFonts w:ascii="Palatino Linotype" w:eastAsia="Palatino Linotype" w:hAnsi="Palatino Linotype" w:cs="Palatino Linotype"/>
        </w:rPr>
        <w:t xml:space="preserve">trece </w:t>
      </w:r>
      <w:r w:rsidRPr="00632D97">
        <w:rPr>
          <w:rFonts w:ascii="Palatino Linotype" w:eastAsia="Palatino Linotype" w:hAnsi="Palatino Linotype" w:cs="Palatino Linotype"/>
        </w:rPr>
        <w:t xml:space="preserve">de agosto de dos mil veinticinco. </w:t>
      </w:r>
    </w:p>
    <w:p w14:paraId="660ACA55" w14:textId="6C429C8A" w:rsidR="00DF40CC" w:rsidRPr="00632D97" w:rsidRDefault="00222045">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632D97">
        <w:rPr>
          <w:rFonts w:ascii="Palatino Linotype" w:eastAsia="Palatino Linotype" w:hAnsi="Palatino Linotype" w:cs="Palatino Linotype"/>
          <w:b/>
        </w:rPr>
        <w:t>VISTO</w:t>
      </w:r>
      <w:r w:rsidRPr="00632D97">
        <w:rPr>
          <w:rFonts w:ascii="Palatino Linotype" w:eastAsia="Palatino Linotype" w:hAnsi="Palatino Linotype" w:cs="Palatino Linotype"/>
        </w:rPr>
        <w:t xml:space="preserve"> el expediente formado con motivo del recurso de revisión </w:t>
      </w:r>
      <w:r w:rsidRPr="00632D97">
        <w:rPr>
          <w:rFonts w:ascii="Palatino Linotype" w:eastAsia="Palatino Linotype" w:hAnsi="Palatino Linotype" w:cs="Palatino Linotype"/>
          <w:b/>
        </w:rPr>
        <w:t>0</w:t>
      </w:r>
      <w:r w:rsidR="00151238" w:rsidRPr="00632D97">
        <w:rPr>
          <w:rFonts w:ascii="Palatino Linotype" w:eastAsia="Palatino Linotype" w:hAnsi="Palatino Linotype" w:cs="Palatino Linotype"/>
          <w:b/>
        </w:rPr>
        <w:t>5284</w:t>
      </w:r>
      <w:r w:rsidRPr="00632D97">
        <w:rPr>
          <w:rFonts w:ascii="Palatino Linotype" w:eastAsia="Palatino Linotype" w:hAnsi="Palatino Linotype" w:cs="Palatino Linotype"/>
          <w:b/>
        </w:rPr>
        <w:t>/INFOEM/IP/RR/2025</w:t>
      </w:r>
      <w:r w:rsidRPr="00632D97">
        <w:rPr>
          <w:rFonts w:ascii="Palatino Linotype" w:eastAsia="Palatino Linotype" w:hAnsi="Palatino Linotype" w:cs="Palatino Linotype"/>
        </w:rPr>
        <w:t>, interpuesto por</w:t>
      </w:r>
      <w:r w:rsidRPr="00632D97">
        <w:rPr>
          <w:rFonts w:ascii="Palatino Linotype" w:eastAsia="Palatino Linotype" w:hAnsi="Palatino Linotype" w:cs="Palatino Linotype"/>
          <w:b/>
        </w:rPr>
        <w:t xml:space="preserve"> </w:t>
      </w:r>
      <w:r w:rsidR="00200422" w:rsidRPr="00200422">
        <w:rPr>
          <w:rFonts w:ascii="Palatino Linotype" w:eastAsia="Palatino Linotype" w:hAnsi="Palatino Linotype" w:cs="Palatino Linotype"/>
          <w:b/>
        </w:rPr>
        <w:t>XXXXX XXXX XX XXXXX XXXX</w:t>
      </w:r>
      <w:r w:rsidRPr="00632D97">
        <w:rPr>
          <w:rFonts w:ascii="Palatino Linotype" w:eastAsia="Palatino Linotype" w:hAnsi="Palatino Linotype" w:cs="Palatino Linotype"/>
          <w:b/>
        </w:rPr>
        <w:t>,</w:t>
      </w:r>
      <w:r w:rsidRPr="00632D97">
        <w:rPr>
          <w:rFonts w:ascii="Palatino Linotype" w:eastAsia="Palatino Linotype" w:hAnsi="Palatino Linotype" w:cs="Palatino Linotype"/>
        </w:rPr>
        <w:t xml:space="preserve"> en lo sucesivo</w:t>
      </w:r>
      <w:r w:rsidRPr="00632D97">
        <w:rPr>
          <w:rFonts w:ascii="Palatino Linotype" w:eastAsia="Palatino Linotype" w:hAnsi="Palatino Linotype" w:cs="Palatino Linotype"/>
          <w:b/>
        </w:rPr>
        <w:t xml:space="preserve"> </w:t>
      </w:r>
      <w:r w:rsidRPr="00632D97">
        <w:rPr>
          <w:rFonts w:ascii="Palatino Linotype" w:eastAsia="Palatino Linotype" w:hAnsi="Palatino Linotype" w:cs="Palatino Linotype"/>
        </w:rPr>
        <w:t xml:space="preserve">la parte </w:t>
      </w:r>
      <w:r w:rsidRPr="00632D97">
        <w:rPr>
          <w:rFonts w:ascii="Palatino Linotype" w:eastAsia="Palatino Linotype" w:hAnsi="Palatino Linotype" w:cs="Palatino Linotype"/>
          <w:b/>
        </w:rPr>
        <w:t>Recurrente,</w:t>
      </w:r>
      <w:r w:rsidRPr="00632D97">
        <w:rPr>
          <w:rFonts w:ascii="Palatino Linotype" w:eastAsia="Palatino Linotype" w:hAnsi="Palatino Linotype" w:cs="Palatino Linotype"/>
        </w:rPr>
        <w:t xml:space="preserve"> en contra de la respuesta a la solicitud de información con número de folio</w:t>
      </w:r>
      <w:r w:rsidRPr="00632D97">
        <w:rPr>
          <w:rFonts w:ascii="Palatino Linotype" w:eastAsia="Palatino Linotype" w:hAnsi="Palatino Linotype" w:cs="Palatino Linotype"/>
          <w:b/>
        </w:rPr>
        <w:t xml:space="preserve"> </w:t>
      </w:r>
      <w:r w:rsidR="00151238" w:rsidRPr="00632D97">
        <w:rPr>
          <w:rFonts w:ascii="Palatino Linotype" w:eastAsia="Palatino Linotype" w:hAnsi="Palatino Linotype" w:cs="Palatino Linotype"/>
          <w:b/>
        </w:rPr>
        <w:t>00135/MORELOS/IP/2025</w:t>
      </w:r>
      <w:r w:rsidRPr="00632D97">
        <w:rPr>
          <w:rFonts w:ascii="Palatino Linotype" w:eastAsia="Palatino Linotype" w:hAnsi="Palatino Linotype" w:cs="Palatino Linotype"/>
          <w:b/>
        </w:rPr>
        <w:t xml:space="preserve">, </w:t>
      </w:r>
      <w:r w:rsidRPr="00632D97">
        <w:rPr>
          <w:rFonts w:ascii="Palatino Linotype" w:eastAsia="Palatino Linotype" w:hAnsi="Palatino Linotype" w:cs="Palatino Linotype"/>
        </w:rPr>
        <w:t xml:space="preserve">por parte del </w:t>
      </w:r>
      <w:r w:rsidR="00151238" w:rsidRPr="00632D97">
        <w:rPr>
          <w:rFonts w:ascii="Palatino Linotype" w:eastAsia="Palatino Linotype" w:hAnsi="Palatino Linotype" w:cs="Palatino Linotype"/>
          <w:b/>
        </w:rPr>
        <w:t>Ayuntamiento de Morelos</w:t>
      </w:r>
      <w:r w:rsidRPr="00632D97">
        <w:rPr>
          <w:rFonts w:ascii="Palatino Linotype" w:eastAsia="Palatino Linotype" w:hAnsi="Palatino Linotype" w:cs="Palatino Linotype"/>
          <w:b/>
        </w:rPr>
        <w:t xml:space="preserve">, </w:t>
      </w:r>
      <w:r w:rsidRPr="00632D97">
        <w:rPr>
          <w:rFonts w:ascii="Palatino Linotype" w:eastAsia="Palatino Linotype" w:hAnsi="Palatino Linotype" w:cs="Palatino Linotype"/>
        </w:rPr>
        <w:t xml:space="preserve">en lo sucesivo el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 xml:space="preserve">se procede a dictar la presente resolución con base en los siguientes: </w:t>
      </w:r>
    </w:p>
    <w:p w14:paraId="47010DA0" w14:textId="77777777" w:rsidR="00DF40CC" w:rsidRPr="00632D97" w:rsidRDefault="00222045">
      <w:pPr>
        <w:spacing w:before="240" w:after="240" w:line="360" w:lineRule="auto"/>
        <w:jc w:val="center"/>
        <w:rPr>
          <w:rFonts w:ascii="Palatino Linotype" w:eastAsia="Palatino Linotype" w:hAnsi="Palatino Linotype" w:cs="Palatino Linotype"/>
          <w:b/>
        </w:rPr>
      </w:pPr>
      <w:r w:rsidRPr="00632D97">
        <w:rPr>
          <w:rFonts w:ascii="Palatino Linotype" w:eastAsia="Palatino Linotype" w:hAnsi="Palatino Linotype" w:cs="Palatino Linotype"/>
          <w:b/>
        </w:rPr>
        <w:t>I. A N T E C E D E N T E S</w:t>
      </w:r>
    </w:p>
    <w:p w14:paraId="0E748F71" w14:textId="5D52EF27" w:rsidR="00DF40CC" w:rsidRPr="00632D97" w:rsidRDefault="00222045">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632D97">
        <w:rPr>
          <w:rFonts w:ascii="Palatino Linotype" w:eastAsia="Palatino Linotype" w:hAnsi="Palatino Linotype" w:cs="Palatino Linotype"/>
          <w:b/>
        </w:rPr>
        <w:t>1. Solicitud de acceso a la información.</w:t>
      </w:r>
      <w:r w:rsidRPr="00632D97">
        <w:rPr>
          <w:rFonts w:ascii="Palatino Linotype" w:eastAsia="Palatino Linotype" w:hAnsi="Palatino Linotype" w:cs="Palatino Linotype"/>
        </w:rPr>
        <w:t xml:space="preserve"> El </w:t>
      </w:r>
      <w:r w:rsidR="00151238" w:rsidRPr="00632D97">
        <w:rPr>
          <w:rFonts w:ascii="Palatino Linotype" w:eastAsia="Palatino Linotype" w:hAnsi="Palatino Linotype" w:cs="Palatino Linotype"/>
          <w:b/>
        </w:rPr>
        <w:t xml:space="preserve">ocho </w:t>
      </w:r>
      <w:r w:rsidRPr="00632D97">
        <w:rPr>
          <w:rFonts w:ascii="Palatino Linotype" w:eastAsia="Palatino Linotype" w:hAnsi="Palatino Linotype" w:cs="Palatino Linotype"/>
          <w:b/>
        </w:rPr>
        <w:t>de abril de dos mil veinticinco,</w:t>
      </w:r>
      <w:r w:rsidRPr="00632D97">
        <w:rPr>
          <w:rFonts w:ascii="Palatino Linotype" w:eastAsia="Palatino Linotype" w:hAnsi="Palatino Linotype" w:cs="Palatino Linotype"/>
        </w:rPr>
        <w:t xml:space="preserve"> la parte </w:t>
      </w:r>
      <w:r w:rsidRPr="00632D97">
        <w:rPr>
          <w:rFonts w:ascii="Palatino Linotype" w:eastAsia="Palatino Linotype" w:hAnsi="Palatino Linotype" w:cs="Palatino Linotype"/>
          <w:b/>
        </w:rPr>
        <w:t xml:space="preserve">Recurrente </w:t>
      </w:r>
      <w:r w:rsidRPr="00632D97">
        <w:rPr>
          <w:rFonts w:ascii="Palatino Linotype" w:eastAsia="Palatino Linotype" w:hAnsi="Palatino Linotype" w:cs="Palatino Linotype"/>
        </w:rPr>
        <w:t xml:space="preserve">presentó la solicitud de acceso a la información pública ante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a través del Sistema de Acceso a la Información Mexiquense, en lo subsecuente el </w:t>
      </w:r>
      <w:r w:rsidRPr="00632D97">
        <w:rPr>
          <w:rFonts w:ascii="Palatino Linotype" w:eastAsia="Palatino Linotype" w:hAnsi="Palatino Linotype" w:cs="Palatino Linotype"/>
          <w:b/>
        </w:rPr>
        <w:t>SAIMEX,</w:t>
      </w:r>
      <w:r w:rsidRPr="00632D97">
        <w:rPr>
          <w:rFonts w:ascii="Palatino Linotype" w:eastAsia="Palatino Linotype" w:hAnsi="Palatino Linotype" w:cs="Palatino Linotype"/>
        </w:rPr>
        <w:t xml:space="preserve"> mediante la cual requirió lo siguiente:</w:t>
      </w:r>
    </w:p>
    <w:p w14:paraId="28AF8D23" w14:textId="1405DBDD" w:rsidR="00DF40CC" w:rsidRPr="00632D97" w:rsidRDefault="00222045">
      <w:pPr>
        <w:spacing w:before="120" w:after="120"/>
        <w:ind w:left="851" w:right="902"/>
        <w:jc w:val="both"/>
        <w:rPr>
          <w:rFonts w:ascii="Palatino Linotype" w:eastAsia="Palatino Linotype" w:hAnsi="Palatino Linotype" w:cs="Palatino Linotype"/>
          <w:b/>
          <w:i/>
          <w:sz w:val="22"/>
          <w:szCs w:val="22"/>
        </w:rPr>
      </w:pPr>
      <w:r w:rsidRPr="00632D97">
        <w:rPr>
          <w:rFonts w:ascii="Palatino Linotype" w:eastAsia="Palatino Linotype" w:hAnsi="Palatino Linotype" w:cs="Palatino Linotype"/>
          <w:i/>
          <w:sz w:val="22"/>
          <w:szCs w:val="22"/>
        </w:rPr>
        <w:t xml:space="preserve"> “</w:t>
      </w:r>
      <w:r w:rsidR="00151238" w:rsidRPr="00632D97">
        <w:rPr>
          <w:rFonts w:ascii="Palatino Linotype" w:eastAsia="Palatino Linotype" w:hAnsi="Palatino Linotype" w:cs="Palatino Linotype"/>
          <w:i/>
          <w:sz w:val="22"/>
          <w:szCs w:val="22"/>
        </w:rPr>
        <w:t xml:space="preserve">SOLICITO EL NOMBRE COMPLETO Y SULEDO MENSUAL NETO DE TODOS LOS SERVIDORES PUBLICOS QUE INTEGRARON EL AYUNTAMIENTO DE MORELOS (PERSONAL DE </w:t>
      </w:r>
      <w:proofErr w:type="gramStart"/>
      <w:r w:rsidR="00151238" w:rsidRPr="00632D97">
        <w:rPr>
          <w:rFonts w:ascii="Palatino Linotype" w:eastAsia="Palatino Linotype" w:hAnsi="Palatino Linotype" w:cs="Palatino Linotype"/>
          <w:i/>
          <w:sz w:val="22"/>
          <w:szCs w:val="22"/>
        </w:rPr>
        <w:t>BASE ,</w:t>
      </w:r>
      <w:proofErr w:type="gramEnd"/>
      <w:r w:rsidR="00151238" w:rsidRPr="00632D97">
        <w:rPr>
          <w:rFonts w:ascii="Palatino Linotype" w:eastAsia="Palatino Linotype" w:hAnsi="Palatino Linotype" w:cs="Palatino Linotype"/>
          <w:i/>
          <w:sz w:val="22"/>
          <w:szCs w:val="22"/>
        </w:rPr>
        <w:t xml:space="preserve"> DE CONTRATO, DE CONFIANZA, DE TODOS) POR EL PERIODO DE ENERO A MARZO 2025</w:t>
      </w:r>
      <w:r w:rsidRPr="00632D97">
        <w:rPr>
          <w:rFonts w:ascii="Palatino Linotype" w:eastAsia="Palatino Linotype" w:hAnsi="Palatino Linotype" w:cs="Palatino Linotype"/>
          <w:b/>
          <w:i/>
          <w:sz w:val="22"/>
          <w:szCs w:val="22"/>
        </w:rPr>
        <w:t>”</w:t>
      </w:r>
      <w:r w:rsidRPr="00632D97">
        <w:rPr>
          <w:rFonts w:ascii="Palatino Linotype" w:eastAsia="Palatino Linotype" w:hAnsi="Palatino Linotype" w:cs="Palatino Linotype"/>
          <w:i/>
          <w:sz w:val="22"/>
          <w:szCs w:val="22"/>
        </w:rPr>
        <w:t xml:space="preserve"> (sic) </w:t>
      </w:r>
    </w:p>
    <w:p w14:paraId="71C63C32" w14:textId="77777777" w:rsidR="00DF40CC" w:rsidRPr="00632D97" w:rsidRDefault="00222045">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632D97">
        <w:rPr>
          <w:rFonts w:ascii="Palatino Linotype" w:eastAsia="Palatino Linotype" w:hAnsi="Palatino Linotype" w:cs="Palatino Linotype"/>
          <w:b/>
        </w:rPr>
        <w:t>Modalidad de Entrega:</w:t>
      </w:r>
      <w:r w:rsidRPr="00632D97">
        <w:rPr>
          <w:rFonts w:ascii="Palatino Linotype" w:eastAsia="Palatino Linotype" w:hAnsi="Palatino Linotype" w:cs="Palatino Linotype"/>
        </w:rPr>
        <w:t xml:space="preserve"> a través del</w:t>
      </w:r>
      <w:r w:rsidRPr="00632D97">
        <w:rPr>
          <w:rFonts w:ascii="Palatino Linotype" w:eastAsia="Palatino Linotype" w:hAnsi="Palatino Linotype" w:cs="Palatino Linotype"/>
          <w:b/>
        </w:rPr>
        <w:t xml:space="preserve"> SAIMEX.</w:t>
      </w:r>
    </w:p>
    <w:p w14:paraId="5D004B1D" w14:textId="4E6610A4"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b/>
        </w:rPr>
        <w:lastRenderedPageBreak/>
        <w:t xml:space="preserve">2. Respuesta. </w:t>
      </w:r>
      <w:r w:rsidRPr="00632D97">
        <w:rPr>
          <w:rFonts w:ascii="Palatino Linotype" w:eastAsia="Palatino Linotype" w:hAnsi="Palatino Linotype" w:cs="Palatino Linotype"/>
        </w:rPr>
        <w:t xml:space="preserve">El </w:t>
      </w:r>
      <w:r w:rsidR="00713646" w:rsidRPr="00632D97">
        <w:rPr>
          <w:rFonts w:ascii="Palatino Linotype" w:eastAsia="Palatino Linotype" w:hAnsi="Palatino Linotype" w:cs="Palatino Linotype"/>
          <w:b/>
        </w:rPr>
        <w:t>siete de mayo</w:t>
      </w:r>
      <w:r w:rsidRPr="00632D97">
        <w:rPr>
          <w:rFonts w:ascii="Palatino Linotype" w:eastAsia="Palatino Linotype" w:hAnsi="Palatino Linotype" w:cs="Palatino Linotype"/>
          <w:b/>
        </w:rPr>
        <w:t xml:space="preserve"> de dos mil veinticinco,</w:t>
      </w:r>
      <w:r w:rsidRPr="00632D97">
        <w:rPr>
          <w:rFonts w:ascii="Palatino Linotype" w:eastAsia="Palatino Linotype" w:hAnsi="Palatino Linotype" w:cs="Palatino Linotype"/>
        </w:rPr>
        <w:t xml:space="preserve"> el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6F4E8899" w14:textId="642ACE5B" w:rsidR="00DF40CC" w:rsidRPr="00632D97" w:rsidRDefault="00222045">
      <w:pPr>
        <w:spacing w:before="240" w:after="24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00713646" w:rsidRPr="00632D97">
        <w:rPr>
          <w:rFonts w:ascii="Palatino Linotype" w:eastAsia="Palatino Linotype" w:hAnsi="Palatino Linotype" w:cs="Palatino Linotype"/>
          <w:i/>
          <w:sz w:val="22"/>
          <w:szCs w:val="22"/>
        </w:rPr>
        <w:t>conforme al artículo 152 de la Ley de Transparencia y Acceso a la Información Pública del Estado de México y Municipios, se turnó al Servidor Público Habilitado Tesorero Municipal de Morelos, Estado de México, de lo cual mediante oficio remite así su contestación, la cual se adjunta con el presente oficio en formato PDF.</w:t>
      </w:r>
      <w:r w:rsidRPr="00632D97">
        <w:rPr>
          <w:rFonts w:ascii="Palatino Linotype" w:eastAsia="Palatino Linotype" w:hAnsi="Palatino Linotype" w:cs="Palatino Linotype"/>
          <w:i/>
          <w:sz w:val="22"/>
          <w:szCs w:val="22"/>
        </w:rPr>
        <w:t>..” (sic)</w:t>
      </w:r>
    </w:p>
    <w:p w14:paraId="32DB5975" w14:textId="77777777" w:rsidR="00DF40CC" w:rsidRPr="00632D97" w:rsidRDefault="00222045">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adjuntó lo siguiente:</w:t>
      </w:r>
    </w:p>
    <w:p w14:paraId="2403AB5B" w14:textId="0B60C168" w:rsidR="00DF40CC" w:rsidRPr="00632D97" w:rsidRDefault="00222045">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 Oficio número </w:t>
      </w:r>
      <w:r w:rsidR="00713646" w:rsidRPr="00632D97">
        <w:rPr>
          <w:rFonts w:ascii="Palatino Linotype" w:eastAsia="Palatino Linotype" w:hAnsi="Palatino Linotype" w:cs="Palatino Linotype"/>
        </w:rPr>
        <w:t xml:space="preserve">UT/376/V/2025, </w:t>
      </w:r>
      <w:r w:rsidRPr="00632D97">
        <w:rPr>
          <w:rFonts w:ascii="Palatino Linotype" w:eastAsia="Palatino Linotype" w:hAnsi="Palatino Linotype" w:cs="Palatino Linotype"/>
        </w:rPr>
        <w:t xml:space="preserve">mediante el cual el </w:t>
      </w:r>
      <w:r w:rsidR="00713646" w:rsidRPr="00632D97">
        <w:rPr>
          <w:rFonts w:ascii="Palatino Linotype" w:eastAsia="Palatino Linotype" w:hAnsi="Palatino Linotype" w:cs="Palatino Linotype"/>
        </w:rPr>
        <w:t>titular de la Unidad de Transparencia notificó a la persona solicitante la respuesta proporcionada por el servidor público habilitado de la Tesorería Municipal</w:t>
      </w:r>
      <w:r w:rsidRPr="00632D97">
        <w:rPr>
          <w:rFonts w:ascii="Palatino Linotype" w:eastAsia="Palatino Linotype" w:hAnsi="Palatino Linotype" w:cs="Palatino Linotype"/>
        </w:rPr>
        <w:t xml:space="preserve">. </w:t>
      </w:r>
    </w:p>
    <w:p w14:paraId="01B39A28" w14:textId="360248EB" w:rsidR="00713646" w:rsidRPr="00632D97" w:rsidRDefault="00222045">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 Oficio número </w:t>
      </w:r>
      <w:r w:rsidR="00713646" w:rsidRPr="00632D97">
        <w:rPr>
          <w:rFonts w:ascii="Palatino Linotype" w:eastAsia="Palatino Linotype" w:hAnsi="Palatino Linotype" w:cs="Palatino Linotype"/>
        </w:rPr>
        <w:t>TM/MOR153/V/2025, mediante el cual el Tesorero Municipal proporcionó, para efectos de la consulta de la información, dos direcciones electrónicas en formato cerrado.</w:t>
      </w:r>
    </w:p>
    <w:p w14:paraId="389ACA81" w14:textId="5C6339A4" w:rsidR="00DF40CC" w:rsidRPr="00632D97" w:rsidRDefault="00222045">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b/>
        </w:rPr>
        <w:t xml:space="preserve">3. Interposición del recurso de revisión. </w:t>
      </w:r>
      <w:r w:rsidRPr="00632D97">
        <w:rPr>
          <w:rFonts w:ascii="Palatino Linotype" w:eastAsia="Palatino Linotype" w:hAnsi="Palatino Linotype" w:cs="Palatino Linotype"/>
        </w:rPr>
        <w:t xml:space="preserve">Inconforme con los términos de la respuesta emitida por parte del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el </w:t>
      </w:r>
      <w:r w:rsidR="00E843F6" w:rsidRPr="00632D97">
        <w:rPr>
          <w:rFonts w:ascii="Palatino Linotype" w:eastAsia="Palatino Linotype" w:hAnsi="Palatino Linotype" w:cs="Palatino Linotype"/>
          <w:b/>
        </w:rPr>
        <w:t>nueve</w:t>
      </w:r>
      <w:r w:rsidRPr="00632D97">
        <w:rPr>
          <w:rFonts w:ascii="Palatino Linotype" w:eastAsia="Palatino Linotype" w:hAnsi="Palatino Linotype" w:cs="Palatino Linotype"/>
          <w:b/>
        </w:rPr>
        <w:t xml:space="preserve"> de mayo de dos mil veinticinco,</w:t>
      </w:r>
      <w:r w:rsidRPr="00632D97">
        <w:rPr>
          <w:rFonts w:ascii="Palatino Linotype" w:eastAsia="Palatino Linotype" w:hAnsi="Palatino Linotype" w:cs="Palatino Linotype"/>
        </w:rPr>
        <w:t xml:space="preserve"> la parte </w:t>
      </w:r>
      <w:r w:rsidRPr="00632D97">
        <w:rPr>
          <w:rFonts w:ascii="Palatino Linotype" w:eastAsia="Palatino Linotype" w:hAnsi="Palatino Linotype" w:cs="Palatino Linotype"/>
          <w:b/>
        </w:rPr>
        <w:t>Recurrente</w:t>
      </w:r>
      <w:r w:rsidRPr="00632D97">
        <w:rPr>
          <w:rFonts w:ascii="Palatino Linotype" w:eastAsia="Palatino Linotype" w:hAnsi="Palatino Linotype" w:cs="Palatino Linotype"/>
        </w:rPr>
        <w:t xml:space="preserve"> interpuso el recurso de revisión a través de </w:t>
      </w:r>
      <w:r w:rsidRPr="00632D97">
        <w:rPr>
          <w:rFonts w:ascii="Palatino Linotype" w:eastAsia="Palatino Linotype" w:hAnsi="Palatino Linotype" w:cs="Palatino Linotype"/>
          <w:b/>
        </w:rPr>
        <w:t xml:space="preserve">SAIMEX, </w:t>
      </w:r>
      <w:r w:rsidRPr="00632D97">
        <w:rPr>
          <w:rFonts w:ascii="Palatino Linotype" w:eastAsia="Palatino Linotype" w:hAnsi="Palatino Linotype" w:cs="Palatino Linotype"/>
        </w:rPr>
        <w:t>en donde se manifestó de la siguiente manera:</w:t>
      </w:r>
    </w:p>
    <w:p w14:paraId="25578072" w14:textId="77777777" w:rsidR="00DF40CC" w:rsidRPr="00632D97" w:rsidRDefault="00222045">
      <w:pPr>
        <w:spacing w:before="240" w:after="240" w:line="360" w:lineRule="auto"/>
        <w:ind w:right="49"/>
        <w:jc w:val="both"/>
        <w:rPr>
          <w:rFonts w:ascii="Palatino Linotype" w:eastAsia="Palatino Linotype" w:hAnsi="Palatino Linotype" w:cs="Palatino Linotype"/>
          <w:b/>
        </w:rPr>
      </w:pPr>
      <w:r w:rsidRPr="00632D97">
        <w:rPr>
          <w:rFonts w:ascii="Palatino Linotype" w:eastAsia="Palatino Linotype" w:hAnsi="Palatino Linotype" w:cs="Palatino Linotype"/>
          <w:b/>
        </w:rPr>
        <w:t xml:space="preserve">Acto impugnado: </w:t>
      </w:r>
    </w:p>
    <w:p w14:paraId="28E75721" w14:textId="310D416E" w:rsidR="00DF40CC" w:rsidRPr="00632D97" w:rsidRDefault="00222045">
      <w:pPr>
        <w:tabs>
          <w:tab w:val="left" w:pos="2745"/>
        </w:tabs>
        <w:spacing w:before="240" w:after="240"/>
        <w:ind w:left="851" w:right="900"/>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00754345" w:rsidRPr="00632D97">
        <w:rPr>
          <w:rFonts w:ascii="Palatino Linotype" w:eastAsia="Palatino Linotype" w:hAnsi="Palatino Linotype" w:cs="Palatino Linotype"/>
          <w:i/>
          <w:sz w:val="22"/>
          <w:szCs w:val="22"/>
        </w:rPr>
        <w:t>LA LIGA ELECTRONICA QUE REFIERE LA RESPUESTA NO CONTIENE INFORMACION SOLICIATADA</w:t>
      </w:r>
      <w:r w:rsidRPr="00632D97">
        <w:rPr>
          <w:rFonts w:ascii="Palatino Linotype" w:eastAsia="Palatino Linotype" w:hAnsi="Palatino Linotype" w:cs="Palatino Linotype"/>
          <w:i/>
          <w:sz w:val="22"/>
          <w:szCs w:val="22"/>
        </w:rPr>
        <w:t>” (sic)</w:t>
      </w:r>
    </w:p>
    <w:p w14:paraId="4E064BED" w14:textId="77777777" w:rsidR="00DF40CC" w:rsidRPr="00632D97" w:rsidRDefault="00222045">
      <w:pPr>
        <w:spacing w:line="360" w:lineRule="auto"/>
        <w:jc w:val="both"/>
        <w:rPr>
          <w:rFonts w:ascii="Palatino Linotype" w:eastAsia="Palatino Linotype" w:hAnsi="Palatino Linotype" w:cs="Palatino Linotype"/>
        </w:rPr>
      </w:pPr>
      <w:bookmarkStart w:id="4" w:name="_heading=h.30j0zll" w:colFirst="0" w:colLast="0"/>
      <w:bookmarkEnd w:id="4"/>
      <w:r w:rsidRPr="00632D97">
        <w:rPr>
          <w:rFonts w:ascii="Palatino Linotype" w:eastAsia="Palatino Linotype" w:hAnsi="Palatino Linotype" w:cs="Palatino Linotype"/>
          <w:b/>
        </w:rPr>
        <w:t>Y, Razones o motivos de inconformidad</w:t>
      </w:r>
      <w:r w:rsidRPr="00632D97">
        <w:rPr>
          <w:rFonts w:ascii="Palatino Linotype" w:eastAsia="Palatino Linotype" w:hAnsi="Palatino Linotype" w:cs="Palatino Linotype"/>
        </w:rPr>
        <w:t>:</w:t>
      </w:r>
    </w:p>
    <w:p w14:paraId="629BB31D" w14:textId="60E8B454" w:rsidR="00DF40CC" w:rsidRPr="00632D97" w:rsidRDefault="00222045">
      <w:pPr>
        <w:tabs>
          <w:tab w:val="left" w:pos="2745"/>
        </w:tabs>
        <w:spacing w:before="240" w:after="240"/>
        <w:ind w:left="851" w:right="900"/>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lastRenderedPageBreak/>
        <w:t>“</w:t>
      </w:r>
      <w:r w:rsidR="00754345" w:rsidRPr="00632D97">
        <w:rPr>
          <w:rFonts w:ascii="Palatino Linotype" w:eastAsia="Palatino Linotype" w:hAnsi="Palatino Linotype" w:cs="Palatino Linotype"/>
          <w:i/>
          <w:sz w:val="22"/>
          <w:szCs w:val="22"/>
        </w:rPr>
        <w:t>LA LIGA ELECTRONICA QUE REFIERE LA RESPUESTA NO CONTIENE INFORMACION SOLICIATADA</w:t>
      </w:r>
      <w:r w:rsidRPr="00632D97">
        <w:rPr>
          <w:rFonts w:ascii="Palatino Linotype" w:eastAsia="Palatino Linotype" w:hAnsi="Palatino Linotype" w:cs="Palatino Linotype"/>
          <w:i/>
          <w:sz w:val="22"/>
          <w:szCs w:val="22"/>
        </w:rPr>
        <w:t>” (sic)</w:t>
      </w:r>
    </w:p>
    <w:p w14:paraId="0A334E95" w14:textId="77777777" w:rsidR="00DF40CC" w:rsidRPr="00632D97" w:rsidRDefault="00222045">
      <w:pPr>
        <w:spacing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b/>
        </w:rPr>
        <w:t xml:space="preserve">4. Turno. </w:t>
      </w:r>
      <w:r w:rsidRPr="00632D9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32D97">
        <w:rPr>
          <w:rFonts w:ascii="Palatino Linotype" w:eastAsia="Palatino Linotype" w:hAnsi="Palatino Linotype" w:cs="Palatino Linotype"/>
          <w:b/>
        </w:rPr>
        <w:t xml:space="preserve">Guadalupe Ramírez Peña, </w:t>
      </w:r>
      <w:r w:rsidRPr="00632D97">
        <w:rPr>
          <w:rFonts w:ascii="Palatino Linotype" w:eastAsia="Palatino Linotype" w:hAnsi="Palatino Linotype" w:cs="Palatino Linotype"/>
        </w:rPr>
        <w:t xml:space="preserve">a efecto de que analizara sobre su admisión o su </w:t>
      </w:r>
      <w:proofErr w:type="spellStart"/>
      <w:r w:rsidRPr="00632D97">
        <w:rPr>
          <w:rFonts w:ascii="Palatino Linotype" w:eastAsia="Palatino Linotype" w:hAnsi="Palatino Linotype" w:cs="Palatino Linotype"/>
        </w:rPr>
        <w:t>desechamiento</w:t>
      </w:r>
      <w:proofErr w:type="spellEnd"/>
      <w:r w:rsidRPr="00632D97">
        <w:rPr>
          <w:rFonts w:ascii="Palatino Linotype" w:eastAsia="Palatino Linotype" w:hAnsi="Palatino Linotype" w:cs="Palatino Linotype"/>
        </w:rPr>
        <w:t>.</w:t>
      </w:r>
    </w:p>
    <w:p w14:paraId="6D5A64F2" w14:textId="1579437D" w:rsidR="00DF40CC" w:rsidRPr="00632D97" w:rsidRDefault="00222045">
      <w:pPr>
        <w:spacing w:before="240" w:after="240" w:line="360" w:lineRule="auto"/>
        <w:jc w:val="both"/>
        <w:rPr>
          <w:rFonts w:ascii="Palatino Linotype" w:eastAsia="Palatino Linotype" w:hAnsi="Palatino Linotype" w:cs="Palatino Linotype"/>
          <w:b/>
        </w:rPr>
      </w:pPr>
      <w:r w:rsidRPr="00632D97">
        <w:rPr>
          <w:rFonts w:ascii="Palatino Linotype" w:eastAsia="Palatino Linotype" w:hAnsi="Palatino Linotype" w:cs="Palatino Linotype"/>
          <w:b/>
        </w:rPr>
        <w:t>5. Admisión del Recurso de revisión.</w:t>
      </w:r>
      <w:r w:rsidRPr="00632D97">
        <w:rPr>
          <w:rFonts w:ascii="Palatino Linotype" w:eastAsia="Palatino Linotype" w:hAnsi="Palatino Linotype" w:cs="Palatino Linotype"/>
        </w:rPr>
        <w:t xml:space="preserve"> El</w:t>
      </w:r>
      <w:r w:rsidRPr="00632D97">
        <w:rPr>
          <w:rFonts w:ascii="Palatino Linotype" w:eastAsia="Palatino Linotype" w:hAnsi="Palatino Linotype" w:cs="Palatino Linotype"/>
          <w:b/>
        </w:rPr>
        <w:t xml:space="preserve"> </w:t>
      </w:r>
      <w:r w:rsidR="00754345" w:rsidRPr="00632D97">
        <w:rPr>
          <w:rFonts w:ascii="Palatino Linotype" w:eastAsia="Palatino Linotype" w:hAnsi="Palatino Linotype" w:cs="Palatino Linotype"/>
          <w:b/>
        </w:rPr>
        <w:t>catorce</w:t>
      </w:r>
      <w:r w:rsidRPr="00632D97">
        <w:rPr>
          <w:rFonts w:ascii="Palatino Linotype" w:eastAsia="Palatino Linotype" w:hAnsi="Palatino Linotype" w:cs="Palatino Linotype"/>
          <w:b/>
        </w:rPr>
        <w:t xml:space="preserve"> de mayo de dos mil veinticinco, </w:t>
      </w:r>
      <w:r w:rsidRPr="00632D9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presentara su informe justificado.</w:t>
      </w:r>
    </w:p>
    <w:p w14:paraId="3FDF884F" w14:textId="77777777" w:rsidR="00DF40CC" w:rsidRPr="00632D97" w:rsidRDefault="00222045">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632D97">
        <w:rPr>
          <w:rFonts w:ascii="Palatino Linotype" w:eastAsia="Palatino Linotype" w:hAnsi="Palatino Linotype" w:cs="Palatino Linotype"/>
          <w:b/>
        </w:rPr>
        <w:t>6. Manifestaciones</w:t>
      </w:r>
      <w:r w:rsidRPr="00632D97">
        <w:rPr>
          <w:rFonts w:ascii="Palatino Linotype" w:eastAsia="Palatino Linotype" w:hAnsi="Palatino Linotype" w:cs="Palatino Linotype"/>
        </w:rPr>
        <w:t xml:space="preserve">. De las constancias que obran en el expediente electrónico del SAIMEX se desprende que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no rindió su Informe Justificado, del mismo modo la parte</w:t>
      </w:r>
      <w:r w:rsidRPr="00632D97">
        <w:rPr>
          <w:rFonts w:ascii="Palatino Linotype" w:eastAsia="Palatino Linotype" w:hAnsi="Palatino Linotype" w:cs="Palatino Linotype"/>
          <w:b/>
        </w:rPr>
        <w:t xml:space="preserve"> Recurrente</w:t>
      </w:r>
      <w:r w:rsidRPr="00632D97">
        <w:rPr>
          <w:rFonts w:ascii="Palatino Linotype" w:eastAsia="Palatino Linotype" w:hAnsi="Palatino Linotype" w:cs="Palatino Linotype"/>
        </w:rPr>
        <w:t xml:space="preserve"> omitió realizar manifestaciones, como se observa a continuación:</w:t>
      </w:r>
    </w:p>
    <w:p w14:paraId="681EE188" w14:textId="472EFBA9" w:rsidR="00754345" w:rsidRPr="00632D97" w:rsidRDefault="007543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noProof/>
        </w:rPr>
        <w:lastRenderedPageBreak/>
        <w:drawing>
          <wp:inline distT="0" distB="0" distL="0" distR="0" wp14:anchorId="707957CF" wp14:editId="743C66AC">
            <wp:extent cx="5612130" cy="16090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09090"/>
                    </a:xfrm>
                    <a:prstGeom prst="rect">
                      <a:avLst/>
                    </a:prstGeom>
                  </pic:spPr>
                </pic:pic>
              </a:graphicData>
            </a:graphic>
          </wp:inline>
        </w:drawing>
      </w:r>
    </w:p>
    <w:p w14:paraId="4009DB80" w14:textId="5C6E80A9"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b/>
        </w:rPr>
        <w:t xml:space="preserve">7. Cierre de instrucción. </w:t>
      </w:r>
      <w:r w:rsidRPr="00632D9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632D97">
        <w:rPr>
          <w:rFonts w:ascii="Palatino Linotype" w:eastAsia="Palatino Linotype" w:hAnsi="Palatino Linotype" w:cs="Palatino Linotype"/>
          <w:b/>
        </w:rPr>
        <w:t>veintis</w:t>
      </w:r>
      <w:r w:rsidR="00A210A9" w:rsidRPr="00632D97">
        <w:rPr>
          <w:rFonts w:ascii="Palatino Linotype" w:eastAsia="Palatino Linotype" w:hAnsi="Palatino Linotype" w:cs="Palatino Linotype"/>
          <w:b/>
        </w:rPr>
        <w:t xml:space="preserve">iete </w:t>
      </w:r>
      <w:r w:rsidRPr="00632D97">
        <w:rPr>
          <w:rFonts w:ascii="Palatino Linotype" w:eastAsia="Palatino Linotype" w:hAnsi="Palatino Linotype" w:cs="Palatino Linotype"/>
          <w:b/>
        </w:rPr>
        <w:t>de junio de dos mil veinticinco</w:t>
      </w:r>
      <w:r w:rsidRPr="00632D9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536898D" w14:textId="242B3DE2" w:rsidR="00DF40CC" w:rsidRPr="00632D97" w:rsidRDefault="00222045">
      <w:pPr>
        <w:spacing w:before="240" w:after="240" w:line="360" w:lineRule="auto"/>
        <w:jc w:val="both"/>
        <w:rPr>
          <w:rFonts w:ascii="Palatino Linotype" w:eastAsia="Palatino Linotype" w:hAnsi="Palatino Linotype" w:cs="Palatino Linotype"/>
          <w:b/>
        </w:rPr>
      </w:pPr>
      <w:r w:rsidRPr="00632D97">
        <w:rPr>
          <w:rFonts w:ascii="Palatino Linotype" w:eastAsia="Palatino Linotype" w:hAnsi="Palatino Linotype" w:cs="Palatino Linotype"/>
          <w:b/>
        </w:rPr>
        <w:t>8</w:t>
      </w:r>
      <w:r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b/>
        </w:rPr>
        <w:t>Ampliación del término para resolver</w:t>
      </w:r>
      <w:r w:rsidRPr="00632D97">
        <w:rPr>
          <w:rFonts w:ascii="Palatino Linotype" w:eastAsia="Palatino Linotype" w:hAnsi="Palatino Linotype" w:cs="Palatino Linotype"/>
        </w:rPr>
        <w:t xml:space="preserve">. El </w:t>
      </w:r>
      <w:r w:rsidR="00754345" w:rsidRPr="00632D97">
        <w:rPr>
          <w:rFonts w:ascii="Palatino Linotype" w:eastAsia="Palatino Linotype" w:hAnsi="Palatino Linotype" w:cs="Palatino Linotype"/>
          <w:b/>
        </w:rPr>
        <w:t>cuatro de agosto</w:t>
      </w:r>
      <w:r w:rsidRPr="00632D97">
        <w:rPr>
          <w:rFonts w:ascii="Palatino Linotype" w:eastAsia="Palatino Linotype" w:hAnsi="Palatino Linotype" w:cs="Palatino Linotype"/>
          <w:b/>
        </w:rPr>
        <w:t xml:space="preserve"> de dos mil veinticinco</w:t>
      </w:r>
      <w:r w:rsidRPr="00632D97">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2847CE13"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5B97F4C"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632D97">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185582FE"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8F11D5"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ABDDC3" w14:textId="77777777" w:rsidR="00DF40CC" w:rsidRPr="00632D97" w:rsidRDefault="00222045">
      <w:pPr>
        <w:spacing w:before="240" w:after="240" w:line="360" w:lineRule="auto"/>
        <w:jc w:val="both"/>
        <w:rPr>
          <w:rFonts w:ascii="Palatino Linotype" w:eastAsia="Palatino Linotype" w:hAnsi="Palatino Linotype" w:cs="Palatino Linotype"/>
          <w:strike/>
        </w:rPr>
      </w:pPr>
      <w:r w:rsidRPr="00632D9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6676352" w14:textId="77777777" w:rsidR="00DF40CC" w:rsidRPr="00632D97" w:rsidRDefault="00222045">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75A26B1" w14:textId="77777777" w:rsidR="00DF40CC" w:rsidRPr="00632D97" w:rsidRDefault="00222045">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632D97">
        <w:rPr>
          <w:rFonts w:ascii="Palatino Linotype" w:eastAsia="Palatino Linotype" w:hAnsi="Palatino Linotype" w:cs="Palatino Linotype"/>
        </w:rPr>
        <w:t>Actividad Procesal del interesado. Acciones u omisiones del interesado.</w:t>
      </w:r>
    </w:p>
    <w:p w14:paraId="388B2F57" w14:textId="77777777" w:rsidR="00DF40CC" w:rsidRPr="00632D97" w:rsidRDefault="00222045">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632D97">
        <w:rPr>
          <w:rFonts w:ascii="Palatino Linotype" w:eastAsia="Palatino Linotype" w:hAnsi="Palatino Linotype" w:cs="Palatino Linotype"/>
        </w:rPr>
        <w:t>Conducta de la Autoridad: Las Acciones u omisiones realizadas en el procedimiento. Así como si la autoridad actuó con la debida diligencia.</w:t>
      </w:r>
    </w:p>
    <w:p w14:paraId="4EA3EAAE" w14:textId="77777777" w:rsidR="00DF40CC" w:rsidRPr="00632D97" w:rsidRDefault="00222045">
      <w:pPr>
        <w:tabs>
          <w:tab w:val="left" w:pos="567"/>
        </w:tabs>
        <w:spacing w:before="240" w:after="240" w:line="360" w:lineRule="auto"/>
        <w:ind w:left="284"/>
        <w:jc w:val="both"/>
        <w:rPr>
          <w:rFonts w:ascii="Palatino Linotype" w:eastAsia="Palatino Linotype" w:hAnsi="Palatino Linotype" w:cs="Palatino Linotype"/>
        </w:rPr>
      </w:pPr>
      <w:r w:rsidRPr="00632D97">
        <w:rPr>
          <w:rFonts w:ascii="Palatino Linotype" w:eastAsia="Palatino Linotype" w:hAnsi="Palatino Linotype" w:cs="Palatino Linotype"/>
        </w:rPr>
        <w:t>d) La afectación generada en la situación jurídica de la persona involucrada en el proceso: Violación a sus derechos humanos.</w:t>
      </w:r>
    </w:p>
    <w:p w14:paraId="016EF965"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62458D" w14:textId="77777777" w:rsidR="00DF40CC" w:rsidRPr="00632D97" w:rsidRDefault="00222045">
      <w:pPr>
        <w:spacing w:before="240" w:after="240" w:line="360" w:lineRule="auto"/>
        <w:jc w:val="both"/>
        <w:rPr>
          <w:rFonts w:ascii="Palatino Linotype" w:eastAsia="Palatino Linotype" w:hAnsi="Palatino Linotype" w:cs="Palatino Linotype"/>
          <w:b/>
        </w:rPr>
      </w:pPr>
      <w:r w:rsidRPr="00632D9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32D9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32D97">
        <w:rPr>
          <w:rFonts w:ascii="Palatino Linotype" w:eastAsia="Palatino Linotype" w:hAnsi="Palatino Linotype" w:cs="Palatino Linotype"/>
        </w:rPr>
        <w:t>, visible en la Gaceta del Seminario Judicial de la Federación con el registro digital 205635.</w:t>
      </w:r>
    </w:p>
    <w:p w14:paraId="6A12EBFE"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2F45656"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2A10858" w14:textId="77777777" w:rsidR="00DF40CC" w:rsidRPr="00632D97" w:rsidRDefault="00222045">
      <w:pPr>
        <w:spacing w:before="120" w:after="120"/>
        <w:ind w:left="851" w:right="902"/>
        <w:jc w:val="both"/>
        <w:rPr>
          <w:rFonts w:ascii="Palatino Linotype" w:eastAsia="Palatino Linotype" w:hAnsi="Palatino Linotype" w:cs="Palatino Linotype"/>
          <w:sz w:val="22"/>
          <w:szCs w:val="22"/>
        </w:rPr>
      </w:pPr>
      <w:r w:rsidRPr="00632D97">
        <w:rPr>
          <w:rFonts w:ascii="Palatino Linotype" w:eastAsia="Palatino Linotype" w:hAnsi="Palatino Linotype" w:cs="Palatino Linotype"/>
          <w:sz w:val="22"/>
          <w:szCs w:val="22"/>
        </w:rPr>
        <w:t xml:space="preserve"> </w:t>
      </w: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PLAZO RAZONABLE PARA RESOLVER. DIMENSIÓN Y EFECTOS DE ESTE CONCEPTO CUANDO SE ADUCE EXCESIVA CARGA DE TRABAJO</w:t>
      </w: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sz w:val="22"/>
          <w:szCs w:val="22"/>
        </w:rPr>
        <w:t xml:space="preserve"> consultable en el Seminario Judicial de la Federación y su gaceta, con el registro digital 2002351.</w:t>
      </w:r>
    </w:p>
    <w:p w14:paraId="16C9EF6A" w14:textId="77777777" w:rsidR="00DF40CC" w:rsidRPr="00632D97" w:rsidRDefault="00222045">
      <w:pPr>
        <w:spacing w:before="120" w:after="120"/>
        <w:ind w:left="851" w:right="902"/>
        <w:jc w:val="both"/>
        <w:rPr>
          <w:rFonts w:ascii="Palatino Linotype" w:eastAsia="Palatino Linotype" w:hAnsi="Palatino Linotype" w:cs="Palatino Linotype"/>
          <w:sz w:val="22"/>
          <w:szCs w:val="22"/>
        </w:rPr>
      </w:pP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sz w:val="22"/>
          <w:szCs w:val="22"/>
        </w:rPr>
        <w:t>, visible en el Seminario Judicial de la Federación y su gaceta, con el registro digital 2002350.</w:t>
      </w:r>
    </w:p>
    <w:p w14:paraId="5BF26802"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D8CFEE6"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51BA628" w14:textId="77777777" w:rsidR="00DF40CC" w:rsidRPr="00632D97" w:rsidRDefault="00222045">
      <w:pPr>
        <w:widowControl w:val="0"/>
        <w:spacing w:before="240" w:after="240" w:line="360" w:lineRule="auto"/>
        <w:jc w:val="center"/>
        <w:rPr>
          <w:rFonts w:ascii="Palatino Linotype" w:eastAsia="Palatino Linotype" w:hAnsi="Palatino Linotype" w:cs="Palatino Linotype"/>
          <w:b/>
        </w:rPr>
      </w:pPr>
      <w:r w:rsidRPr="00632D97">
        <w:rPr>
          <w:rFonts w:ascii="Palatino Linotype" w:eastAsia="Palatino Linotype" w:hAnsi="Palatino Linotype" w:cs="Palatino Linotype"/>
          <w:b/>
        </w:rPr>
        <w:t>II. C O N S I D E R A N D O S</w:t>
      </w:r>
    </w:p>
    <w:p w14:paraId="30C215E3"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b/>
        </w:rPr>
        <w:t>Primero. Competencia.</w:t>
      </w:r>
      <w:r w:rsidRPr="00632D9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w:t>
      </w:r>
      <w:r w:rsidRPr="00632D97">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0CE78A3" w14:textId="77777777" w:rsidR="00DF40CC" w:rsidRPr="00632D97" w:rsidRDefault="00222045">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632D97">
        <w:rPr>
          <w:rFonts w:ascii="Palatino Linotype" w:eastAsia="Palatino Linotype" w:hAnsi="Palatino Linotype" w:cs="Palatino Linotype"/>
          <w:b/>
        </w:rPr>
        <w:t>Segundo. Oportunidad y Procedibilidad del Recurso de Revisión</w:t>
      </w:r>
      <w:r w:rsidRPr="00632D9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BF6D085" w14:textId="5BA49B8C"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 xml:space="preserve">remitió la respuesta a la solicitud de información el día </w:t>
      </w:r>
      <w:r w:rsidR="00D06EC5" w:rsidRPr="00632D97">
        <w:rPr>
          <w:rFonts w:ascii="Palatino Linotype" w:eastAsia="Palatino Linotype" w:hAnsi="Palatino Linotype" w:cs="Palatino Linotype"/>
          <w:b/>
        </w:rPr>
        <w:t>siete de mayo</w:t>
      </w:r>
      <w:r w:rsidRPr="00632D97">
        <w:rPr>
          <w:rFonts w:ascii="Palatino Linotype" w:eastAsia="Palatino Linotype" w:hAnsi="Palatino Linotype" w:cs="Palatino Linotype"/>
          <w:b/>
        </w:rPr>
        <w:t xml:space="preserve"> de dos mil veinticinco, </w:t>
      </w:r>
      <w:r w:rsidRPr="00632D97">
        <w:rPr>
          <w:rFonts w:ascii="Palatino Linotype" w:eastAsia="Palatino Linotype" w:hAnsi="Palatino Linotype" w:cs="Palatino Linotype"/>
        </w:rPr>
        <w:t xml:space="preserve">mientras que el recurso de revisión interpuesto por la parte </w:t>
      </w:r>
      <w:r w:rsidRPr="00632D97">
        <w:rPr>
          <w:rFonts w:ascii="Palatino Linotype" w:eastAsia="Palatino Linotype" w:hAnsi="Palatino Linotype" w:cs="Palatino Linotype"/>
          <w:b/>
        </w:rPr>
        <w:t xml:space="preserve">Recurrente, </w:t>
      </w:r>
      <w:r w:rsidRPr="00632D97">
        <w:rPr>
          <w:rFonts w:ascii="Palatino Linotype" w:eastAsia="Palatino Linotype" w:hAnsi="Palatino Linotype" w:cs="Palatino Linotype"/>
        </w:rPr>
        <w:t>se tuvo por presentado el día</w:t>
      </w:r>
      <w:r w:rsidR="00CD5936" w:rsidRPr="00632D97">
        <w:rPr>
          <w:rFonts w:ascii="Palatino Linotype" w:eastAsia="Palatino Linotype" w:hAnsi="Palatino Linotype" w:cs="Palatino Linotype"/>
          <w:b/>
        </w:rPr>
        <w:t xml:space="preserve"> nueve </w:t>
      </w:r>
      <w:r w:rsidRPr="00632D97">
        <w:rPr>
          <w:rFonts w:ascii="Palatino Linotype" w:eastAsia="Palatino Linotype" w:hAnsi="Palatino Linotype" w:cs="Palatino Linotype"/>
          <w:b/>
        </w:rPr>
        <w:t xml:space="preserve">de mayo de dos mil veinticinco, </w:t>
      </w:r>
      <w:r w:rsidRPr="00632D97">
        <w:rPr>
          <w:rFonts w:ascii="Palatino Linotype" w:eastAsia="Palatino Linotype" w:hAnsi="Palatino Linotype" w:cs="Palatino Linotype"/>
        </w:rPr>
        <w:t xml:space="preserve">esto es, al </w:t>
      </w:r>
      <w:r w:rsidR="00CD5936" w:rsidRPr="00632D97">
        <w:rPr>
          <w:rFonts w:ascii="Palatino Linotype" w:eastAsia="Palatino Linotype" w:hAnsi="Palatino Linotype" w:cs="Palatino Linotype"/>
        </w:rPr>
        <w:t>segundo</w:t>
      </w:r>
      <w:r w:rsidRPr="00632D97">
        <w:rPr>
          <w:rFonts w:ascii="Palatino Linotype" w:eastAsia="Palatino Linotype" w:hAnsi="Palatino Linotype" w:cs="Palatino Linotype"/>
        </w:rPr>
        <w:t xml:space="preserve"> día hábil posterior a aquel en el que tuvo conocimiento de la respuesta impugnada. En este sentido, se concluye que el presente recurso de revisión se encuentra dentro de los márgenes temporales previstos en las disposiciones legales referidas.</w:t>
      </w:r>
    </w:p>
    <w:p w14:paraId="36AA46D9" w14:textId="77777777" w:rsidR="00DF40CC" w:rsidRPr="00632D97" w:rsidRDefault="00222045">
      <w:pPr>
        <w:spacing w:line="360" w:lineRule="auto"/>
        <w:jc w:val="both"/>
        <w:rPr>
          <w:rFonts w:ascii="Palatino Linotype" w:eastAsia="Palatino Linotype" w:hAnsi="Palatino Linotype" w:cs="Palatino Linotype"/>
        </w:rPr>
      </w:pPr>
      <w:bookmarkStart w:id="7" w:name="_heading=h.3znysh7" w:colFirst="0" w:colLast="0"/>
      <w:bookmarkEnd w:id="7"/>
      <w:r w:rsidRPr="00632D97">
        <w:rPr>
          <w:rFonts w:ascii="Palatino Linotype" w:eastAsia="Palatino Linotype" w:hAnsi="Palatino Linotype" w:cs="Palatino Linotype"/>
        </w:rPr>
        <w:t>Además, por cuanto hace a la procedibilidad del recurso de revisión, es de suma importancia señalar que la parte</w:t>
      </w:r>
      <w:r w:rsidRPr="00632D97">
        <w:rPr>
          <w:rFonts w:ascii="Palatino Linotype" w:eastAsia="Palatino Linotype" w:hAnsi="Palatino Linotype" w:cs="Palatino Linotype"/>
          <w:b/>
        </w:rPr>
        <w:t xml:space="preserve"> Recurrente</w:t>
      </w:r>
      <w:r w:rsidRPr="00632D97">
        <w:rPr>
          <w:rFonts w:ascii="Palatino Linotype" w:eastAsia="Palatino Linotype" w:hAnsi="Palatino Linotype" w:cs="Palatino Linotype"/>
        </w:rPr>
        <w:t xml:space="preserve">, no señaló </w:t>
      </w:r>
      <w:r w:rsidRPr="00632D97">
        <w:rPr>
          <w:rFonts w:ascii="Palatino Linotype" w:eastAsia="Palatino Linotype" w:hAnsi="Palatino Linotype" w:cs="Palatino Linotype"/>
          <w:b/>
        </w:rPr>
        <w:t>nombre</w:t>
      </w:r>
      <w:r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b/>
        </w:rPr>
        <w:t>completo,</w:t>
      </w:r>
      <w:r w:rsidRPr="00632D97">
        <w:rPr>
          <w:rFonts w:ascii="Palatino Linotype" w:eastAsia="Palatino Linotype" w:hAnsi="Palatino Linotype" w:cs="Palatino Linotype"/>
        </w:rPr>
        <w:t xml:space="preserve"> como se advierte en el detalle de seguimiento del SAIMEX, no obstante no proporcionar un </w:t>
      </w:r>
      <w:r w:rsidRPr="00632D97">
        <w:rPr>
          <w:rFonts w:ascii="Palatino Linotype" w:eastAsia="Palatino Linotype" w:hAnsi="Palatino Linotype" w:cs="Palatino Linotype"/>
        </w:rPr>
        <w:lastRenderedPageBreak/>
        <w:t>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6CC614"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Las solicitudes anónimas</w:t>
      </w:r>
      <w:r w:rsidRPr="00632D97">
        <w:rPr>
          <w:rFonts w:ascii="Palatino Linotype" w:eastAsia="Palatino Linotype" w:hAnsi="Palatino Linotype" w:cs="Palatino Linotype"/>
          <w:i/>
          <w:sz w:val="22"/>
          <w:szCs w:val="22"/>
        </w:rPr>
        <w:t xml:space="preserve">, con nombre incompleto o </w:t>
      </w:r>
      <w:r w:rsidRPr="00632D97">
        <w:rPr>
          <w:rFonts w:ascii="Palatino Linotype" w:eastAsia="Palatino Linotype" w:hAnsi="Palatino Linotype" w:cs="Palatino Linotype"/>
          <w:b/>
          <w:i/>
          <w:sz w:val="22"/>
          <w:szCs w:val="22"/>
        </w:rPr>
        <w:t>seudónimo</w:t>
      </w:r>
      <w:r w:rsidRPr="00632D97">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10F7BF8A" w14:textId="77777777" w:rsidR="00DF40CC" w:rsidRPr="00632D97" w:rsidRDefault="00222045">
      <w:pPr>
        <w:spacing w:before="240" w:after="240" w:line="360" w:lineRule="auto"/>
        <w:jc w:val="both"/>
        <w:rPr>
          <w:rFonts w:ascii="Palatino Linotype" w:eastAsia="Palatino Linotype" w:hAnsi="Palatino Linotype" w:cs="Palatino Linotype"/>
          <w:b/>
        </w:rPr>
      </w:pPr>
      <w:r w:rsidRPr="00632D97">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632D97">
        <w:rPr>
          <w:rFonts w:ascii="Palatino Linotype" w:eastAsia="Palatino Linotype" w:hAnsi="Palatino Linotype" w:cs="Palatino Linotype"/>
          <w:b/>
        </w:rPr>
        <w:t xml:space="preserve"> SAIMEX.</w:t>
      </w:r>
    </w:p>
    <w:p w14:paraId="0B7BD58C" w14:textId="54F03AA0"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Finalmente, se advierte que resulta procedente la interposición del recurso, según lo manifestado por la parte </w:t>
      </w:r>
      <w:r w:rsidRPr="00632D97">
        <w:rPr>
          <w:rFonts w:ascii="Palatino Linotype" w:eastAsia="Palatino Linotype" w:hAnsi="Palatino Linotype" w:cs="Palatino Linotype"/>
          <w:b/>
        </w:rPr>
        <w:t>Recurrente</w:t>
      </w:r>
      <w:r w:rsidRPr="00632D97">
        <w:rPr>
          <w:rFonts w:ascii="Palatino Linotype" w:eastAsia="Palatino Linotype" w:hAnsi="Palatino Linotype" w:cs="Palatino Linotype"/>
        </w:rPr>
        <w:t xml:space="preserve"> en sus motivos de inconformidad, de acuerdo al artículo 179, fracción V</w:t>
      </w:r>
      <w:r w:rsidR="00CD5936" w:rsidRPr="00632D97">
        <w:rPr>
          <w:rFonts w:ascii="Palatino Linotype" w:eastAsia="Palatino Linotype" w:hAnsi="Palatino Linotype" w:cs="Palatino Linotype"/>
        </w:rPr>
        <w:t>I</w:t>
      </w:r>
      <w:r w:rsidRPr="00632D97">
        <w:rPr>
          <w:rFonts w:ascii="Palatino Linotype" w:eastAsia="Palatino Linotype" w:hAnsi="Palatino Linotype" w:cs="Palatino Linotype"/>
        </w:rPr>
        <w:t xml:space="preserve"> del ordenamiento legal citado, que a la letra dice: </w:t>
      </w:r>
    </w:p>
    <w:p w14:paraId="28BC091E" w14:textId="77777777" w:rsidR="00DF40CC" w:rsidRPr="00632D97" w:rsidRDefault="00222045">
      <w:pPr>
        <w:tabs>
          <w:tab w:val="left" w:pos="7938"/>
        </w:tabs>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Artículo 179.</w:t>
      </w:r>
      <w:r w:rsidRPr="00632D9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0B692A6" w14:textId="77777777" w:rsidR="00DF40CC" w:rsidRPr="00632D97" w:rsidRDefault="00222045">
      <w:pPr>
        <w:tabs>
          <w:tab w:val="left" w:pos="7938"/>
        </w:tabs>
        <w:spacing w:before="120" w:after="120"/>
        <w:ind w:left="1134" w:right="900"/>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p>
    <w:p w14:paraId="0724C07A" w14:textId="6C593E03" w:rsidR="00DF40CC" w:rsidRPr="00632D97" w:rsidRDefault="00222045">
      <w:pPr>
        <w:tabs>
          <w:tab w:val="left" w:pos="7938"/>
        </w:tabs>
        <w:spacing w:before="120" w:after="120"/>
        <w:ind w:left="1134" w:right="900"/>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V</w:t>
      </w:r>
      <w:r w:rsidR="00CD5936" w:rsidRPr="00632D97">
        <w:rPr>
          <w:rFonts w:ascii="Palatino Linotype" w:eastAsia="Palatino Linotype" w:hAnsi="Palatino Linotype" w:cs="Palatino Linotype"/>
          <w:b/>
          <w:i/>
          <w:sz w:val="22"/>
          <w:szCs w:val="22"/>
        </w:rPr>
        <w:t>I</w:t>
      </w:r>
      <w:r w:rsidRPr="00632D97">
        <w:rPr>
          <w:rFonts w:ascii="Palatino Linotype" w:eastAsia="Palatino Linotype" w:hAnsi="Palatino Linotype" w:cs="Palatino Linotype"/>
          <w:b/>
          <w:i/>
          <w:sz w:val="22"/>
          <w:szCs w:val="22"/>
        </w:rPr>
        <w:t xml:space="preserve">. </w:t>
      </w:r>
      <w:r w:rsidR="00CD5936" w:rsidRPr="00632D97">
        <w:rPr>
          <w:rFonts w:ascii="Palatino Linotype" w:eastAsia="Palatino Linotype" w:hAnsi="Palatino Linotype" w:cs="Palatino Linotype"/>
          <w:i/>
          <w:sz w:val="22"/>
          <w:szCs w:val="22"/>
        </w:rPr>
        <w:t>La entrega de información que no corresponda con lo solicitado</w:t>
      </w:r>
      <w:r w:rsidRPr="00632D97">
        <w:rPr>
          <w:rFonts w:ascii="Palatino Linotype" w:eastAsia="Palatino Linotype" w:hAnsi="Palatino Linotype" w:cs="Palatino Linotype"/>
          <w:i/>
          <w:sz w:val="22"/>
          <w:szCs w:val="22"/>
        </w:rPr>
        <w:t>;”</w:t>
      </w:r>
    </w:p>
    <w:p w14:paraId="27F8B774" w14:textId="77777777" w:rsidR="00DF40CC" w:rsidRPr="00632D97" w:rsidRDefault="00222045">
      <w:pPr>
        <w:spacing w:before="240" w:after="240" w:line="360" w:lineRule="auto"/>
        <w:jc w:val="both"/>
        <w:rPr>
          <w:rFonts w:ascii="Palatino Linotype" w:eastAsia="Palatino Linotype" w:hAnsi="Palatino Linotype" w:cs="Palatino Linotype"/>
          <w:b/>
        </w:rPr>
      </w:pPr>
      <w:r w:rsidRPr="00632D97">
        <w:rPr>
          <w:rFonts w:ascii="Palatino Linotype" w:eastAsia="Palatino Linotype" w:hAnsi="Palatino Linotype" w:cs="Palatino Linotype"/>
          <w:b/>
        </w:rPr>
        <w:t xml:space="preserve">Tercero. Materia de la revisión. </w:t>
      </w:r>
      <w:r w:rsidRPr="00632D9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32D97">
        <w:rPr>
          <w:rFonts w:ascii="Palatino Linotype" w:eastAsia="Palatino Linotype" w:hAnsi="Palatino Linotype" w:cs="Palatino Linotype"/>
          <w:b/>
        </w:rPr>
        <w:t xml:space="preserve">verificar si la información proporcionada por el Sujeto Obligado es adecuada y </w:t>
      </w:r>
      <w:r w:rsidRPr="00632D97">
        <w:rPr>
          <w:rFonts w:ascii="Palatino Linotype" w:eastAsia="Palatino Linotype" w:hAnsi="Palatino Linotype" w:cs="Palatino Linotype"/>
          <w:b/>
        </w:rPr>
        <w:lastRenderedPageBreak/>
        <w:t xml:space="preserve">suficiente para satisfacer el derecho de acceso a la información pública </w:t>
      </w:r>
      <w:r w:rsidRPr="00632D97">
        <w:rPr>
          <w:rFonts w:ascii="Palatino Linotype" w:eastAsia="Palatino Linotype" w:hAnsi="Palatino Linotype" w:cs="Palatino Linotype"/>
        </w:rPr>
        <w:t xml:space="preserve">de la parte </w:t>
      </w:r>
      <w:r w:rsidRPr="00632D97">
        <w:rPr>
          <w:rFonts w:ascii="Palatino Linotype" w:eastAsia="Palatino Linotype" w:hAnsi="Palatino Linotype" w:cs="Palatino Linotype"/>
          <w:b/>
        </w:rPr>
        <w:t>Recurrente</w:t>
      </w:r>
      <w:r w:rsidRPr="00632D97">
        <w:rPr>
          <w:rFonts w:ascii="Palatino Linotype" w:eastAsia="Palatino Linotype" w:hAnsi="Palatino Linotype" w:cs="Palatino Linotype"/>
        </w:rPr>
        <w:t>, o en su defecto, en caso de ser procedente, ordenar la entrega de información.</w:t>
      </w:r>
    </w:p>
    <w:p w14:paraId="0BA29A49" w14:textId="77777777" w:rsidR="00DF40CC" w:rsidRPr="00632D97" w:rsidRDefault="00222045">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632D97">
        <w:rPr>
          <w:rFonts w:ascii="Palatino Linotype" w:eastAsia="Palatino Linotype" w:hAnsi="Palatino Linotype" w:cs="Palatino Linotype"/>
          <w:b/>
        </w:rPr>
        <w:t xml:space="preserve">Cuarto. Estudio del asunto. </w:t>
      </w:r>
      <w:r w:rsidRPr="00632D97">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8059E62"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Artículo 4</w:t>
      </w:r>
      <w:r w:rsidRPr="00632D9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9A1AD4"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32D9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503E8FE"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32D97">
        <w:rPr>
          <w:rFonts w:ascii="Palatino Linotype" w:eastAsia="Palatino Linotype" w:hAnsi="Palatino Linotype" w:cs="Palatino Linotype"/>
          <w:i/>
          <w:sz w:val="22"/>
          <w:szCs w:val="22"/>
        </w:rPr>
        <w:t>.”</w:t>
      </w:r>
    </w:p>
    <w:p w14:paraId="120E3809"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w:t>
      </w:r>
      <w:r w:rsidRPr="00632D97">
        <w:rPr>
          <w:rFonts w:ascii="Palatino Linotype" w:eastAsia="Palatino Linotype" w:hAnsi="Palatino Linotype" w:cs="Palatino Linotype"/>
        </w:rPr>
        <w:lastRenderedPageBreak/>
        <w:t>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68869FD"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“Artículo 12.-</w:t>
      </w:r>
      <w:r w:rsidRPr="00632D9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A56FC01"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32D97">
        <w:rPr>
          <w:rFonts w:ascii="Palatino Linotype" w:eastAsia="Palatino Linotype" w:hAnsi="Palatino Linotype" w:cs="Palatino Linotype"/>
          <w:i/>
          <w:sz w:val="22"/>
          <w:szCs w:val="22"/>
        </w:rPr>
        <w:t xml:space="preserve">. </w:t>
      </w:r>
      <w:r w:rsidRPr="00632D9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60E9E2F" w14:textId="77777777" w:rsidR="00DF40CC" w:rsidRPr="00632D97" w:rsidRDefault="00222045">
      <w:pPr>
        <w:spacing w:before="240" w:after="240" w:line="360" w:lineRule="auto"/>
        <w:ind w:right="-93"/>
        <w:jc w:val="both"/>
        <w:rPr>
          <w:rFonts w:ascii="Palatino Linotype" w:eastAsia="Palatino Linotype" w:hAnsi="Palatino Linotype" w:cs="Palatino Linotype"/>
        </w:rPr>
      </w:pPr>
      <w:r w:rsidRPr="00632D9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9D7599A" w14:textId="77777777" w:rsidR="00DF40CC" w:rsidRPr="00632D97" w:rsidRDefault="00222045">
      <w:pPr>
        <w:spacing w:before="240" w:after="240" w:line="360" w:lineRule="auto"/>
        <w:jc w:val="both"/>
        <w:rPr>
          <w:rFonts w:ascii="Palatino Linotype" w:eastAsia="Palatino Linotype" w:hAnsi="Palatino Linotype" w:cs="Palatino Linotype"/>
          <w:b/>
        </w:rPr>
      </w:pPr>
      <w:r w:rsidRPr="00632D97">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632D97">
        <w:rPr>
          <w:rFonts w:ascii="Palatino Linotype" w:eastAsia="Palatino Linotype" w:hAnsi="Palatino Linotype" w:cs="Palatino Linotype"/>
        </w:rPr>
        <w:t>que</w:t>
      </w:r>
      <w:proofErr w:type="gramEnd"/>
      <w:r w:rsidRPr="00632D97">
        <w:rPr>
          <w:rFonts w:ascii="Palatino Linotype" w:eastAsia="Palatino Linotype" w:hAnsi="Palatino Linotype" w:cs="Palatino Linotype"/>
        </w:rPr>
        <w:t xml:space="preserve"> por rubro y texto, dispone lo siguiente:</w:t>
      </w:r>
      <w:r w:rsidRPr="00632D97">
        <w:rPr>
          <w:rFonts w:ascii="Palatino Linotype" w:eastAsia="Palatino Linotype" w:hAnsi="Palatino Linotype" w:cs="Palatino Linotype"/>
          <w:b/>
        </w:rPr>
        <w:t xml:space="preserve"> </w:t>
      </w:r>
    </w:p>
    <w:p w14:paraId="45952B68"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lastRenderedPageBreak/>
        <w:t xml:space="preserve"> “</w:t>
      </w:r>
      <w:r w:rsidRPr="00632D97">
        <w:rPr>
          <w:rFonts w:ascii="Palatino Linotype" w:eastAsia="Palatino Linotype" w:hAnsi="Palatino Linotype" w:cs="Palatino Linotype"/>
          <w:b/>
          <w:i/>
          <w:sz w:val="22"/>
          <w:szCs w:val="22"/>
        </w:rPr>
        <w:t>No existe obligación de elaborar documentos ad hoc para atender las solicitudes de acceso a la información.</w:t>
      </w:r>
      <w:r w:rsidRPr="00632D9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6AF130B" w14:textId="77777777" w:rsidR="00DF40CC" w:rsidRPr="00632D97" w:rsidRDefault="00222045">
      <w:pPr>
        <w:spacing w:before="120" w:after="12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7A53CF" w14:textId="77777777" w:rsidR="00DF40CC" w:rsidRPr="00632D97" w:rsidRDefault="00222045">
      <w:pPr>
        <w:spacing w:before="120" w:after="12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0EDD243"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 xml:space="preserve">Artículo 3. </w:t>
      </w:r>
      <w:r w:rsidRPr="00632D97">
        <w:rPr>
          <w:rFonts w:ascii="Palatino Linotype" w:eastAsia="Palatino Linotype" w:hAnsi="Palatino Linotype" w:cs="Palatino Linotype"/>
          <w:i/>
          <w:sz w:val="22"/>
          <w:szCs w:val="22"/>
        </w:rPr>
        <w:t>Para los efectos de la presente Ley se entenderá por:</w:t>
      </w:r>
    </w:p>
    <w:p w14:paraId="7EA838AA"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p>
    <w:p w14:paraId="1692DA48"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lastRenderedPageBreak/>
        <w:t>XI. Documento:</w:t>
      </w:r>
      <w:r w:rsidRPr="00632D97">
        <w:rPr>
          <w:rFonts w:ascii="Palatino Linotype" w:eastAsia="Palatino Linotype" w:hAnsi="Palatino Linotype" w:cs="Palatino Linotype"/>
          <w:i/>
          <w:sz w:val="22"/>
          <w:szCs w:val="22"/>
        </w:rPr>
        <w:t xml:space="preserve"> Los expedientes, reportes, estudios, actas</w:t>
      </w:r>
      <w:r w:rsidRPr="00632D97">
        <w:rPr>
          <w:rFonts w:ascii="Palatino Linotype" w:eastAsia="Palatino Linotype" w:hAnsi="Palatino Linotype" w:cs="Palatino Linotype"/>
          <w:b/>
          <w:i/>
          <w:sz w:val="22"/>
          <w:szCs w:val="22"/>
        </w:rPr>
        <w:t>,</w:t>
      </w:r>
      <w:r w:rsidRPr="00632D9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ACCADD6"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935AEA1"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sz w:val="22"/>
          <w:szCs w:val="22"/>
        </w:rPr>
        <w:t>“</w:t>
      </w:r>
      <w:r w:rsidRPr="00632D9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32D9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791FB1"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 xml:space="preserve">En </w:t>
      </w:r>
      <w:proofErr w:type="gramStart"/>
      <w:r w:rsidRPr="00632D97">
        <w:rPr>
          <w:rFonts w:ascii="Palatino Linotype" w:eastAsia="Palatino Linotype" w:hAnsi="Palatino Linotype" w:cs="Palatino Linotype"/>
          <w:i/>
          <w:sz w:val="22"/>
          <w:szCs w:val="22"/>
        </w:rPr>
        <w:t>consecuencia</w:t>
      </w:r>
      <w:proofErr w:type="gramEnd"/>
      <w:r w:rsidRPr="00632D9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0C1B4E6"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632D97">
        <w:rPr>
          <w:rFonts w:ascii="Palatino Linotype" w:eastAsia="Palatino Linotype" w:hAnsi="Palatino Linotype" w:cs="Palatino Linotype"/>
          <w:i/>
          <w:sz w:val="22"/>
          <w:szCs w:val="22"/>
        </w:rPr>
        <w:t>que</w:t>
      </w:r>
      <w:proofErr w:type="gramEnd"/>
      <w:r w:rsidRPr="00632D97">
        <w:rPr>
          <w:rFonts w:ascii="Palatino Linotype" w:eastAsia="Palatino Linotype" w:hAnsi="Palatino Linotype" w:cs="Palatino Linotype"/>
          <w:i/>
          <w:sz w:val="22"/>
          <w:szCs w:val="22"/>
        </w:rPr>
        <w:t xml:space="preserve"> en ejercicio de las atribuciones conferidas, sea generada por los Sujetos Obligados;</w:t>
      </w:r>
    </w:p>
    <w:p w14:paraId="3245AF1A"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 xml:space="preserve">2) Que se trate de información registrada en cualquier soporte documental, </w:t>
      </w:r>
      <w:proofErr w:type="gramStart"/>
      <w:r w:rsidRPr="00632D97">
        <w:rPr>
          <w:rFonts w:ascii="Palatino Linotype" w:eastAsia="Palatino Linotype" w:hAnsi="Palatino Linotype" w:cs="Palatino Linotype"/>
          <w:i/>
          <w:sz w:val="22"/>
          <w:szCs w:val="22"/>
        </w:rPr>
        <w:t>que</w:t>
      </w:r>
      <w:proofErr w:type="gramEnd"/>
      <w:r w:rsidRPr="00632D97">
        <w:rPr>
          <w:rFonts w:ascii="Palatino Linotype" w:eastAsia="Palatino Linotype" w:hAnsi="Palatino Linotype" w:cs="Palatino Linotype"/>
          <w:i/>
          <w:sz w:val="22"/>
          <w:szCs w:val="22"/>
        </w:rPr>
        <w:t xml:space="preserve"> en ejercicio de las atribuciones conferidas, sea administrada por los Sujetos Obligados, y</w:t>
      </w:r>
    </w:p>
    <w:p w14:paraId="365B403A"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 xml:space="preserve">3) Que se trate de información registrada en cualquier soporte documental, </w:t>
      </w:r>
      <w:proofErr w:type="gramStart"/>
      <w:r w:rsidRPr="00632D97">
        <w:rPr>
          <w:rFonts w:ascii="Palatino Linotype" w:eastAsia="Palatino Linotype" w:hAnsi="Palatino Linotype" w:cs="Palatino Linotype"/>
          <w:i/>
          <w:sz w:val="22"/>
          <w:szCs w:val="22"/>
        </w:rPr>
        <w:t>que</w:t>
      </w:r>
      <w:proofErr w:type="gramEnd"/>
      <w:r w:rsidRPr="00632D97">
        <w:rPr>
          <w:rFonts w:ascii="Palatino Linotype" w:eastAsia="Palatino Linotype" w:hAnsi="Palatino Linotype" w:cs="Palatino Linotype"/>
          <w:i/>
          <w:sz w:val="22"/>
          <w:szCs w:val="22"/>
        </w:rPr>
        <w:t xml:space="preserve"> en ejercicio de las atribuciones conferidas, se encuentre en posesión de los Sujetos Obligados.”</w:t>
      </w:r>
    </w:p>
    <w:p w14:paraId="65BBCB5B" w14:textId="77777777" w:rsidR="00DF40CC" w:rsidRPr="00632D97" w:rsidRDefault="00222045">
      <w:pPr>
        <w:spacing w:before="240" w:after="240" w:line="360" w:lineRule="auto"/>
        <w:ind w:right="51"/>
        <w:jc w:val="both"/>
        <w:rPr>
          <w:rFonts w:ascii="Palatino Linotype" w:eastAsia="Palatino Linotype" w:hAnsi="Palatino Linotype" w:cs="Palatino Linotype"/>
        </w:rPr>
      </w:pPr>
      <w:r w:rsidRPr="00632D97">
        <w:rPr>
          <w:rFonts w:ascii="Palatino Linotype" w:eastAsia="Palatino Linotype" w:hAnsi="Palatino Linotype" w:cs="Palatino Linotype"/>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0755D8A"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1925E28" w14:textId="77777777" w:rsidR="00DF40CC" w:rsidRPr="00632D97" w:rsidRDefault="00222045">
      <w:pPr>
        <w:spacing w:before="240" w:after="240" w:line="360" w:lineRule="auto"/>
        <w:ind w:right="51"/>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632D97">
        <w:rPr>
          <w:rFonts w:ascii="Palatino Linotype" w:eastAsia="Palatino Linotype" w:hAnsi="Palatino Linotype" w:cs="Palatino Linotype"/>
          <w:b/>
        </w:rPr>
        <w:t>Recurrente</w:t>
      </w:r>
      <w:r w:rsidRPr="00632D97">
        <w:rPr>
          <w:rFonts w:ascii="Palatino Linotype" w:eastAsia="Palatino Linotype" w:hAnsi="Palatino Linotype" w:cs="Palatino Linotype"/>
        </w:rPr>
        <w:t xml:space="preserve"> requirió al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le proporcione, información consistente en lo siguiente:</w:t>
      </w:r>
    </w:p>
    <w:p w14:paraId="2996AF75" w14:textId="77777777" w:rsidR="00CD5936" w:rsidRPr="00632D97" w:rsidRDefault="00CD5936">
      <w:pPr>
        <w:spacing w:before="240" w:after="240" w:line="360" w:lineRule="auto"/>
        <w:ind w:left="284" w:right="51"/>
        <w:jc w:val="both"/>
        <w:rPr>
          <w:rFonts w:ascii="Palatino Linotype" w:eastAsia="Palatino Linotype" w:hAnsi="Palatino Linotype" w:cs="Palatino Linotype"/>
        </w:rPr>
      </w:pPr>
      <w:r w:rsidRPr="00632D97">
        <w:rPr>
          <w:rFonts w:ascii="Palatino Linotype" w:eastAsia="Palatino Linotype" w:hAnsi="Palatino Linotype" w:cs="Palatino Linotype"/>
        </w:rPr>
        <w:lastRenderedPageBreak/>
        <w:t>1. Nombre completo y sueldo mensual neto de todos los servidores del ayuntamiento: personal de base, confianza, contrato, del uno de enero al treinta y uno de marzo de dos mil veinticinco.</w:t>
      </w:r>
    </w:p>
    <w:p w14:paraId="2C9AE67A" w14:textId="4195299E" w:rsidR="00CD5936" w:rsidRPr="00632D97" w:rsidRDefault="00222045">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En respuesta,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por conducto del Tesorero</w:t>
      </w:r>
      <w:r w:rsidR="00CD5936" w:rsidRPr="00632D97">
        <w:rPr>
          <w:rFonts w:ascii="Palatino Linotype" w:eastAsia="Palatino Linotype" w:hAnsi="Palatino Linotype" w:cs="Palatino Linotype"/>
        </w:rPr>
        <w:t xml:space="preserve"> Municipal </w:t>
      </w:r>
      <w:r w:rsidR="006B16C8" w:rsidRPr="00632D97">
        <w:rPr>
          <w:rFonts w:ascii="Palatino Linotype" w:eastAsia="Palatino Linotype" w:hAnsi="Palatino Linotype" w:cs="Palatino Linotype"/>
        </w:rPr>
        <w:t>proporcionó dos direcciones electrónicas para la consulta de la información solicitada como se observa a continuación:</w:t>
      </w:r>
    </w:p>
    <w:p w14:paraId="425EC9D0" w14:textId="4C36E809" w:rsidR="006B16C8" w:rsidRPr="00632D97" w:rsidRDefault="006B16C8" w:rsidP="006B16C8">
      <w:pPr>
        <w:spacing w:before="240" w:after="240" w:line="360" w:lineRule="auto"/>
        <w:ind w:right="49"/>
        <w:jc w:val="center"/>
        <w:rPr>
          <w:rFonts w:ascii="Palatino Linotype" w:eastAsia="Palatino Linotype" w:hAnsi="Palatino Linotype" w:cs="Palatino Linotype"/>
        </w:rPr>
      </w:pPr>
      <w:r w:rsidRPr="00632D97">
        <w:rPr>
          <w:rFonts w:ascii="Palatino Linotype" w:eastAsia="Palatino Linotype" w:hAnsi="Palatino Linotype" w:cs="Palatino Linotype"/>
          <w:noProof/>
        </w:rPr>
        <w:drawing>
          <wp:inline distT="0" distB="0" distL="0" distR="0" wp14:anchorId="71707F9A" wp14:editId="4C9801EE">
            <wp:extent cx="4680000" cy="6131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613195"/>
                    </a:xfrm>
                    <a:prstGeom prst="rect">
                      <a:avLst/>
                    </a:prstGeom>
                  </pic:spPr>
                </pic:pic>
              </a:graphicData>
            </a:graphic>
          </wp:inline>
        </w:drawing>
      </w:r>
    </w:p>
    <w:p w14:paraId="7A69EB9A" w14:textId="77777777" w:rsidR="00982DE4" w:rsidRPr="00632D97" w:rsidRDefault="00222045">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Al no estar conforme con los términos de la respuesta proporcionada por el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 xml:space="preserve">la persona solicitante interpuso el recurso de revisión que se resuelve, mediante el cual alegó, en lo medular, que </w:t>
      </w:r>
      <w:r w:rsidR="00982DE4" w:rsidRPr="00632D97">
        <w:rPr>
          <w:rFonts w:ascii="Palatino Linotype" w:eastAsia="Palatino Linotype" w:hAnsi="Palatino Linotype" w:cs="Palatino Linotype"/>
        </w:rPr>
        <w:t>la liga electrónica proporcionada no contiene la información solicitada.</w:t>
      </w:r>
    </w:p>
    <w:p w14:paraId="6D2F2F68" w14:textId="73D1C462"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Durante el periodo de manifestaciones el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 xml:space="preserve">fue omiso en rendir su informe justificado, y la parte </w:t>
      </w:r>
      <w:r w:rsidRPr="00632D97">
        <w:rPr>
          <w:rFonts w:ascii="Palatino Linotype" w:eastAsia="Palatino Linotype" w:hAnsi="Palatino Linotype" w:cs="Palatino Linotype"/>
          <w:b/>
        </w:rPr>
        <w:t xml:space="preserve">Recurrente </w:t>
      </w:r>
      <w:r w:rsidRPr="00632D97">
        <w:rPr>
          <w:rFonts w:ascii="Palatino Linotype" w:eastAsia="Palatino Linotype" w:hAnsi="Palatino Linotype" w:cs="Palatino Linotype"/>
        </w:rPr>
        <w:t xml:space="preserve">fue omisa en hacer valer manifestaciones o rendir alegatos que conforme a derecho resultaran procedentes, por lo </w:t>
      </w:r>
      <w:r w:rsidR="00DD5F55" w:rsidRPr="00632D97">
        <w:rPr>
          <w:rFonts w:ascii="Palatino Linotype" w:eastAsia="Palatino Linotype" w:hAnsi="Palatino Linotype" w:cs="Palatino Linotype"/>
        </w:rPr>
        <w:t>tanto,</w:t>
      </w:r>
      <w:r w:rsidRPr="00632D97">
        <w:rPr>
          <w:rFonts w:ascii="Palatino Linotype" w:eastAsia="Palatino Linotype" w:hAnsi="Palatino Linotype" w:cs="Palatino Linotype"/>
        </w:rPr>
        <w:t xml:space="preserve"> se tiene por precluido su derecho.</w:t>
      </w:r>
    </w:p>
    <w:p w14:paraId="463AAC0E" w14:textId="77777777" w:rsidR="00DF40CC" w:rsidRPr="00632D97" w:rsidRDefault="00222045">
      <w:pPr>
        <w:spacing w:before="280" w:after="28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 xml:space="preserve">en contraposición con el motivo de inconformidad alegado por la parte </w:t>
      </w:r>
      <w:r w:rsidRPr="00632D97">
        <w:rPr>
          <w:rFonts w:ascii="Palatino Linotype" w:eastAsia="Palatino Linotype" w:hAnsi="Palatino Linotype" w:cs="Palatino Linotype"/>
          <w:b/>
        </w:rPr>
        <w:t xml:space="preserve">Recurrente, </w:t>
      </w:r>
      <w:r w:rsidRPr="00632D97">
        <w:rPr>
          <w:rFonts w:ascii="Palatino Linotype" w:eastAsia="Palatino Linotype" w:hAnsi="Palatino Linotype" w:cs="Palatino Linotype"/>
        </w:rPr>
        <w:t xml:space="preserve">con la finalidad de determinar si el Derecho de acceso de esta se satisfizo, o en su defecto, señalar los documentos que en el ejercicio de sus </w:t>
      </w:r>
      <w:r w:rsidRPr="00632D97">
        <w:rPr>
          <w:rFonts w:ascii="Palatino Linotype" w:eastAsia="Palatino Linotype" w:hAnsi="Palatino Linotype" w:cs="Palatino Linotype"/>
        </w:rPr>
        <w:lastRenderedPageBreak/>
        <w:t>atribuciones pudo haber generado, y que, de manera enunciativa más no limitativa, pudieran colmar dicho derecho, en caso de ser procedente.</w:t>
      </w:r>
    </w:p>
    <w:p w14:paraId="6E68DD48" w14:textId="77777777" w:rsidR="00D33021" w:rsidRPr="00632D97" w:rsidRDefault="00222045" w:rsidP="00D33021">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En este tenor, conviene señalar que, en observancia del procedimiento previsto en los artículos 53 fracciones II y IV y 162 de la Ley de Transparencia y Acceso a la Información Pública del Estado de México, la Unidad de Transparencia, turnó la solicitud al área que pudiera </w:t>
      </w:r>
      <w:r w:rsidR="00982DE4" w:rsidRPr="00632D97">
        <w:rPr>
          <w:rFonts w:ascii="Palatino Linotype" w:eastAsia="Palatino Linotype" w:hAnsi="Palatino Linotype" w:cs="Palatino Linotype"/>
        </w:rPr>
        <w:t>tener la información materia de la solicitud</w:t>
      </w:r>
      <w:r w:rsidRPr="00632D97">
        <w:rPr>
          <w:rFonts w:ascii="Palatino Linotype" w:eastAsia="Palatino Linotype" w:hAnsi="Palatino Linotype" w:cs="Palatino Linotype"/>
        </w:rPr>
        <w:t>, de acuerdo a sus atribuciones, competencias o funciones, esto es a la Tesorería</w:t>
      </w:r>
      <w:r w:rsidR="00982DE4" w:rsidRPr="00632D97">
        <w:rPr>
          <w:rFonts w:ascii="Palatino Linotype" w:eastAsia="Palatino Linotype" w:hAnsi="Palatino Linotype" w:cs="Palatino Linotype"/>
        </w:rPr>
        <w:t xml:space="preserve"> Municipal, </w:t>
      </w:r>
      <w:r w:rsidR="00D33021" w:rsidRPr="00632D97">
        <w:rPr>
          <w:rFonts w:ascii="Palatino Linotype" w:eastAsia="Palatino Linotype" w:hAnsi="Palatino Linotype" w:cs="Palatino Linotype"/>
        </w:rPr>
        <w:t xml:space="preserve">como el órgano encargado de la recaudación de los ingresos municipales y </w:t>
      </w:r>
      <w:r w:rsidR="00D33021" w:rsidRPr="00632D97">
        <w:rPr>
          <w:rFonts w:ascii="Palatino Linotype" w:eastAsia="Palatino Linotype" w:hAnsi="Palatino Linotype" w:cs="Palatino Linotype"/>
          <w:b/>
        </w:rPr>
        <w:t>responsable de realizar las erogaciones</w:t>
      </w:r>
      <w:r w:rsidR="00D33021" w:rsidRPr="00632D97">
        <w:rPr>
          <w:rFonts w:ascii="Palatino Linotype" w:eastAsia="Palatino Linotype" w:hAnsi="Palatino Linotype" w:cs="Palatino Linotype"/>
        </w:rPr>
        <w:t xml:space="preserve"> que haga el ayuntamiento </w:t>
      </w:r>
      <w:r w:rsidR="00D33021" w:rsidRPr="00632D97">
        <w:rPr>
          <w:rFonts w:ascii="Palatino Linotype" w:eastAsia="Palatino Linotype" w:hAnsi="Palatino Linotype" w:cs="Palatino Linotype"/>
          <w:b/>
        </w:rPr>
        <w:t>a través de los registros contables, financieros y administrativos</w:t>
      </w:r>
      <w:r w:rsidR="00D33021" w:rsidRPr="00632D97">
        <w:rPr>
          <w:rFonts w:ascii="Palatino Linotype" w:eastAsia="Palatino Linotype" w:hAnsi="Palatino Linotype" w:cs="Palatino Linotype"/>
        </w:rPr>
        <w:t xml:space="preserve"> de los </w:t>
      </w:r>
      <w:r w:rsidR="00D33021" w:rsidRPr="00632D97">
        <w:rPr>
          <w:rFonts w:ascii="Palatino Linotype" w:eastAsia="Palatino Linotype" w:hAnsi="Palatino Linotype" w:cs="Palatino Linotype"/>
          <w:b/>
        </w:rPr>
        <w:t>ingresos</w:t>
      </w:r>
      <w:r w:rsidR="00D33021" w:rsidRPr="00632D97">
        <w:rPr>
          <w:rFonts w:ascii="Palatino Linotype" w:eastAsia="Palatino Linotype" w:hAnsi="Palatino Linotype" w:cs="Palatino Linotype"/>
        </w:rPr>
        <w:t>, egresos e inventarios; entre otras atribuciones, de conformidad con lo establecido en los artículos 93 y 95, fracciones I y IV de la Ley Orgánica Municipal del Estado de México, a saber:</w:t>
      </w:r>
    </w:p>
    <w:p w14:paraId="47FE0DD1" w14:textId="77777777" w:rsidR="00D33021" w:rsidRPr="00632D97" w:rsidRDefault="00D33021" w:rsidP="00D33021">
      <w:pPr>
        <w:spacing w:before="120" w:after="120"/>
        <w:ind w:left="851" w:right="902"/>
        <w:jc w:val="both"/>
        <w:rPr>
          <w:rFonts w:ascii="Palatino Linotype" w:eastAsia="Palatino Linotype" w:hAnsi="Palatino Linotype" w:cs="Palatino Linotype"/>
          <w:i/>
          <w:sz w:val="22"/>
        </w:rPr>
      </w:pPr>
      <w:r w:rsidRPr="00632D97">
        <w:rPr>
          <w:rFonts w:ascii="Palatino Linotype" w:eastAsia="Palatino Linotype" w:hAnsi="Palatino Linotype" w:cs="Palatino Linotype"/>
          <w:i/>
          <w:sz w:val="22"/>
        </w:rPr>
        <w:t>“</w:t>
      </w:r>
      <w:r w:rsidRPr="00632D97">
        <w:rPr>
          <w:rFonts w:ascii="Palatino Linotype" w:eastAsia="Palatino Linotype" w:hAnsi="Palatino Linotype" w:cs="Palatino Linotype"/>
          <w:b/>
          <w:i/>
          <w:sz w:val="22"/>
        </w:rPr>
        <w:t>Artículo 93</w:t>
      </w:r>
      <w:r w:rsidRPr="00632D97">
        <w:rPr>
          <w:rFonts w:ascii="Palatino Linotype" w:eastAsia="Palatino Linotype" w:hAnsi="Palatino Linotype" w:cs="Palatino Linotype"/>
          <w:i/>
          <w:sz w:val="22"/>
        </w:rPr>
        <w:t>.- La tesorería municipal es el órgano encargado de la recaudación de los ingresos municipales y responsable de realizar las erogaciones que haga el ayuntamiento.</w:t>
      </w:r>
    </w:p>
    <w:p w14:paraId="7864E2AA" w14:textId="77777777" w:rsidR="00D33021" w:rsidRPr="00632D97" w:rsidRDefault="00D33021" w:rsidP="00D33021">
      <w:pPr>
        <w:spacing w:before="120" w:after="120"/>
        <w:ind w:left="851" w:right="902"/>
        <w:jc w:val="both"/>
        <w:rPr>
          <w:rFonts w:ascii="Palatino Linotype" w:eastAsia="Palatino Linotype" w:hAnsi="Palatino Linotype" w:cs="Palatino Linotype"/>
          <w:i/>
          <w:sz w:val="22"/>
        </w:rPr>
      </w:pPr>
      <w:r w:rsidRPr="00632D97">
        <w:rPr>
          <w:rFonts w:ascii="Palatino Linotype" w:eastAsia="Palatino Linotype" w:hAnsi="Palatino Linotype" w:cs="Palatino Linotype"/>
          <w:i/>
          <w:sz w:val="22"/>
        </w:rPr>
        <w:t>…</w:t>
      </w:r>
    </w:p>
    <w:p w14:paraId="5158887F" w14:textId="77777777" w:rsidR="00D33021" w:rsidRPr="00632D97" w:rsidRDefault="00D33021" w:rsidP="00D33021">
      <w:pPr>
        <w:spacing w:before="120" w:after="120"/>
        <w:ind w:left="851" w:right="902"/>
        <w:jc w:val="both"/>
        <w:rPr>
          <w:rFonts w:ascii="Palatino Linotype" w:eastAsia="Palatino Linotype" w:hAnsi="Palatino Linotype" w:cs="Palatino Linotype"/>
          <w:i/>
          <w:sz w:val="22"/>
        </w:rPr>
      </w:pPr>
      <w:r w:rsidRPr="00632D97">
        <w:rPr>
          <w:rFonts w:ascii="Palatino Linotype" w:eastAsia="Palatino Linotype" w:hAnsi="Palatino Linotype" w:cs="Palatino Linotype"/>
          <w:b/>
          <w:i/>
          <w:sz w:val="22"/>
        </w:rPr>
        <w:t>Artículo 95</w:t>
      </w:r>
      <w:r w:rsidRPr="00632D97">
        <w:rPr>
          <w:rFonts w:ascii="Palatino Linotype" w:eastAsia="Palatino Linotype" w:hAnsi="Palatino Linotype" w:cs="Palatino Linotype"/>
          <w:i/>
          <w:sz w:val="22"/>
        </w:rPr>
        <w:t xml:space="preserve">.- Son atribuciones del tesorero municipal: </w:t>
      </w:r>
    </w:p>
    <w:p w14:paraId="4C7949FA" w14:textId="77777777" w:rsidR="00D33021" w:rsidRPr="00632D97" w:rsidRDefault="00D33021" w:rsidP="00D33021">
      <w:pPr>
        <w:spacing w:before="120" w:after="120"/>
        <w:ind w:left="1134" w:right="902"/>
        <w:jc w:val="both"/>
        <w:rPr>
          <w:rFonts w:ascii="Palatino Linotype" w:eastAsia="Palatino Linotype" w:hAnsi="Palatino Linotype" w:cs="Palatino Linotype"/>
          <w:i/>
          <w:sz w:val="22"/>
        </w:rPr>
      </w:pPr>
      <w:r w:rsidRPr="00632D97">
        <w:rPr>
          <w:rFonts w:ascii="Palatino Linotype" w:eastAsia="Palatino Linotype" w:hAnsi="Palatino Linotype" w:cs="Palatino Linotype"/>
          <w:b/>
          <w:i/>
          <w:sz w:val="22"/>
        </w:rPr>
        <w:t>I</w:t>
      </w:r>
      <w:r w:rsidRPr="00632D97">
        <w:rPr>
          <w:rFonts w:ascii="Palatino Linotype" w:eastAsia="Palatino Linotype" w:hAnsi="Palatino Linotype" w:cs="Palatino Linotype"/>
          <w:i/>
          <w:sz w:val="22"/>
        </w:rPr>
        <w:t xml:space="preserve">. </w:t>
      </w:r>
      <w:r w:rsidRPr="00632D97">
        <w:rPr>
          <w:rFonts w:ascii="Palatino Linotype" w:eastAsia="Palatino Linotype" w:hAnsi="Palatino Linotype" w:cs="Palatino Linotype"/>
          <w:b/>
          <w:i/>
          <w:sz w:val="22"/>
        </w:rPr>
        <w:t>Administrar la hacienda pública municipal</w:t>
      </w:r>
      <w:r w:rsidRPr="00632D97">
        <w:rPr>
          <w:rFonts w:ascii="Palatino Linotype" w:eastAsia="Palatino Linotype" w:hAnsi="Palatino Linotype" w:cs="Palatino Linotype"/>
          <w:i/>
          <w:sz w:val="22"/>
        </w:rPr>
        <w:t>, de conformidad con las disposiciones legales aplicables;</w:t>
      </w:r>
    </w:p>
    <w:p w14:paraId="6417CD7E" w14:textId="77777777" w:rsidR="00D33021" w:rsidRPr="00632D97" w:rsidRDefault="00D33021" w:rsidP="00D33021">
      <w:pPr>
        <w:spacing w:before="120" w:after="120"/>
        <w:ind w:left="1134" w:right="902"/>
        <w:jc w:val="both"/>
        <w:rPr>
          <w:rFonts w:ascii="Palatino Linotype" w:eastAsia="Palatino Linotype" w:hAnsi="Palatino Linotype" w:cs="Palatino Linotype"/>
          <w:i/>
          <w:sz w:val="22"/>
        </w:rPr>
      </w:pPr>
      <w:r w:rsidRPr="00632D97">
        <w:rPr>
          <w:rFonts w:ascii="Palatino Linotype" w:eastAsia="Palatino Linotype" w:hAnsi="Palatino Linotype" w:cs="Palatino Linotype"/>
          <w:i/>
          <w:sz w:val="22"/>
        </w:rPr>
        <w:t>…</w:t>
      </w:r>
    </w:p>
    <w:p w14:paraId="0033342B" w14:textId="77777777" w:rsidR="00D33021" w:rsidRPr="00632D97" w:rsidRDefault="00D33021" w:rsidP="00D33021">
      <w:pPr>
        <w:spacing w:before="120" w:after="120"/>
        <w:ind w:left="1134" w:right="902"/>
        <w:jc w:val="both"/>
        <w:rPr>
          <w:rFonts w:ascii="Palatino Linotype" w:eastAsia="Palatino Linotype" w:hAnsi="Palatino Linotype" w:cs="Palatino Linotype"/>
          <w:i/>
          <w:sz w:val="22"/>
        </w:rPr>
      </w:pPr>
      <w:r w:rsidRPr="00632D97">
        <w:rPr>
          <w:rFonts w:ascii="Palatino Linotype" w:eastAsia="Palatino Linotype" w:hAnsi="Palatino Linotype" w:cs="Palatino Linotype"/>
          <w:b/>
          <w:i/>
          <w:sz w:val="22"/>
        </w:rPr>
        <w:t>IV.</w:t>
      </w:r>
      <w:r w:rsidRPr="00632D97">
        <w:rPr>
          <w:rFonts w:ascii="Palatino Linotype" w:eastAsia="Palatino Linotype" w:hAnsi="Palatino Linotype" w:cs="Palatino Linotype"/>
          <w:i/>
          <w:sz w:val="22"/>
        </w:rPr>
        <w:t xml:space="preserve"> </w:t>
      </w:r>
      <w:r w:rsidRPr="00632D97">
        <w:rPr>
          <w:rFonts w:ascii="Palatino Linotype" w:eastAsia="Palatino Linotype" w:hAnsi="Palatino Linotype" w:cs="Palatino Linotype"/>
          <w:b/>
          <w:i/>
          <w:sz w:val="22"/>
        </w:rPr>
        <w:t>Llevar los registros contables, financieros y administrativos de los ingresos, egresos</w:t>
      </w:r>
      <w:r w:rsidRPr="00632D97">
        <w:rPr>
          <w:rFonts w:ascii="Palatino Linotype" w:eastAsia="Palatino Linotype" w:hAnsi="Palatino Linotype" w:cs="Palatino Linotype"/>
          <w:i/>
          <w:sz w:val="22"/>
        </w:rPr>
        <w:t xml:space="preserve">, e </w:t>
      </w:r>
      <w:proofErr w:type="gramStart"/>
      <w:r w:rsidRPr="00632D97">
        <w:rPr>
          <w:rFonts w:ascii="Palatino Linotype" w:eastAsia="Palatino Linotype" w:hAnsi="Palatino Linotype" w:cs="Palatino Linotype"/>
          <w:i/>
          <w:sz w:val="22"/>
        </w:rPr>
        <w:t>inventarios;…</w:t>
      </w:r>
      <w:proofErr w:type="gramEnd"/>
      <w:r w:rsidRPr="00632D97">
        <w:rPr>
          <w:rFonts w:ascii="Palatino Linotype" w:eastAsia="Palatino Linotype" w:hAnsi="Palatino Linotype" w:cs="Palatino Linotype"/>
          <w:i/>
          <w:sz w:val="22"/>
        </w:rPr>
        <w:t>”</w:t>
      </w:r>
    </w:p>
    <w:p w14:paraId="1E25B0B2" w14:textId="77777777" w:rsidR="00D33021" w:rsidRPr="00632D97" w:rsidRDefault="00D33021">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Cuyo servidor público habilitado </w:t>
      </w:r>
      <w:r w:rsidR="00222045" w:rsidRPr="00632D97">
        <w:rPr>
          <w:rFonts w:ascii="Palatino Linotype" w:eastAsia="Palatino Linotype" w:hAnsi="Palatino Linotype" w:cs="Palatino Linotype"/>
        </w:rPr>
        <w:t xml:space="preserve">no niega la existencia de la información solicitada, sino por el contrario, se encuentra encaminado a atender el requerimiento de información, por ello es que, una vez analizado, proporcionó </w:t>
      </w:r>
      <w:r w:rsidRPr="00632D97">
        <w:rPr>
          <w:rFonts w:ascii="Palatino Linotype" w:eastAsia="Palatino Linotype" w:hAnsi="Palatino Linotype" w:cs="Palatino Linotype"/>
        </w:rPr>
        <w:t>dos direcciones electrónicas con la finalidad de que la persona solicitante consultara la información.</w:t>
      </w:r>
    </w:p>
    <w:p w14:paraId="53E777EA" w14:textId="47B141AC" w:rsidR="00DF40CC" w:rsidRPr="00632D97" w:rsidRDefault="00D33021">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lastRenderedPageBreak/>
        <w:t>P</w:t>
      </w:r>
      <w:r w:rsidR="00222045" w:rsidRPr="00632D97">
        <w:rPr>
          <w:rFonts w:ascii="Palatino Linotype" w:eastAsia="Palatino Linotype" w:hAnsi="Palatino Linotype" w:cs="Palatino Linotype"/>
        </w:rPr>
        <w:t>or lo tanto, el estudio de la fuente obligacional se obvia, en razón de que dicho análisis se efectúa con la finalidad de determinar si el Sujeto Obligado genera, administra o posee la información que le fue requerida, y al existir la manifestación de poseer la misma, a nada práctico llevaría el mismo.</w:t>
      </w:r>
    </w:p>
    <w:p w14:paraId="71F03C3F" w14:textId="4345CFE8" w:rsidR="00DF40CC" w:rsidRPr="00632D97" w:rsidRDefault="00222045">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En efecto, el hecho de que el servidor público habilitado de la Tesorería </w:t>
      </w:r>
      <w:r w:rsidR="00D33021" w:rsidRPr="00632D97">
        <w:rPr>
          <w:rFonts w:ascii="Palatino Linotype" w:eastAsia="Palatino Linotype" w:hAnsi="Palatino Linotype" w:cs="Palatino Linotype"/>
        </w:rPr>
        <w:t>Municipal</w:t>
      </w:r>
      <w:r w:rsidRPr="00632D97">
        <w:rPr>
          <w:rFonts w:ascii="Palatino Linotype" w:eastAsia="Palatino Linotype" w:hAnsi="Palatino Linotype" w:cs="Palatino Linotype"/>
        </w:rPr>
        <w:t xml:space="preserve">, haya asumido contar con la información pública solicitada, acepta que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la generó, posee y/o administra, en ejercicio de sus funciones de derecho público, motivo por el cual se actualiza el supuesto previsto en el artículo 12 de la Ley de Transparencia y Acceso a la Información Pública del Estado de México y Municipios, previamente citado.</w:t>
      </w:r>
    </w:p>
    <w:p w14:paraId="1B6B94B4" w14:textId="77777777" w:rsidR="004A07D9" w:rsidRPr="00632D97" w:rsidRDefault="004A07D9" w:rsidP="004A07D9">
      <w:pPr>
        <w:spacing w:before="240" w:after="240" w:line="360" w:lineRule="auto"/>
        <w:ind w:right="51"/>
        <w:jc w:val="both"/>
        <w:rPr>
          <w:rFonts w:ascii="Palatino Linotype" w:eastAsia="Palatino Linotype" w:hAnsi="Palatino Linotype" w:cs="Palatino Linotype"/>
        </w:rPr>
      </w:pPr>
      <w:r w:rsidRPr="00632D97">
        <w:rPr>
          <w:rFonts w:ascii="Palatino Linotype" w:eastAsia="Palatino Linotype" w:hAnsi="Palatino Linotype" w:cs="Palatino Linotype"/>
        </w:rPr>
        <w:t>Además de lo anterior, la información relativa a las remuneraciones de los servidores públicos es considerada una obligación de transparencia de oficio, a la luz del artículo 92, fracción VIII de la Ley de Transparencia y Acceso a la Información Pública del Estado de México y Municipios, a saber:</w:t>
      </w:r>
    </w:p>
    <w:p w14:paraId="09347777" w14:textId="77777777" w:rsidR="004A07D9" w:rsidRPr="00632D97" w:rsidRDefault="004A07D9" w:rsidP="004A07D9">
      <w:pPr>
        <w:spacing w:before="240" w:after="240"/>
        <w:ind w:left="851" w:right="900"/>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Artículo 92</w:t>
      </w:r>
      <w:r w:rsidRPr="00632D97">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D7BAF1" w14:textId="77777777" w:rsidR="004A07D9" w:rsidRPr="00632D97" w:rsidRDefault="004A07D9" w:rsidP="004A07D9">
      <w:pPr>
        <w:spacing w:before="240" w:after="240"/>
        <w:ind w:left="1134" w:right="900"/>
        <w:jc w:val="both"/>
        <w:rPr>
          <w:rFonts w:ascii="Palatino Linotype" w:eastAsia="Palatino Linotype" w:hAnsi="Palatino Linotype" w:cs="Palatino Linotype"/>
          <w:b/>
          <w:i/>
          <w:sz w:val="22"/>
          <w:szCs w:val="22"/>
        </w:rPr>
      </w:pPr>
      <w:r w:rsidRPr="00632D97">
        <w:rPr>
          <w:rFonts w:ascii="Palatino Linotype" w:eastAsia="Palatino Linotype" w:hAnsi="Palatino Linotype" w:cs="Palatino Linotype"/>
          <w:b/>
          <w:i/>
          <w:sz w:val="22"/>
          <w:szCs w:val="22"/>
        </w:rPr>
        <w:t>…</w:t>
      </w:r>
    </w:p>
    <w:p w14:paraId="3B2B778F" w14:textId="77777777" w:rsidR="004A07D9" w:rsidRPr="00632D97" w:rsidRDefault="004A07D9" w:rsidP="004A07D9">
      <w:pPr>
        <w:spacing w:before="240" w:after="240"/>
        <w:ind w:left="1134" w:right="900"/>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VIII</w:t>
      </w:r>
      <w:r w:rsidRPr="00632D97">
        <w:rPr>
          <w:rFonts w:ascii="Palatino Linotype" w:eastAsia="Palatino Linotype" w:hAnsi="Palatino Linotype" w:cs="Palatino Linotype"/>
          <w:i/>
          <w:sz w:val="22"/>
          <w:szCs w:val="22"/>
        </w:rPr>
        <w:t xml:space="preserve">. </w:t>
      </w:r>
      <w:r w:rsidRPr="00632D97">
        <w:rPr>
          <w:rFonts w:ascii="Palatino Linotype" w:eastAsia="Palatino Linotype" w:hAnsi="Palatino Linotype" w:cs="Palatino Linotype"/>
          <w:b/>
          <w:i/>
          <w:sz w:val="22"/>
          <w:szCs w:val="22"/>
        </w:rPr>
        <w:t>La remuneración bruta y neta de todos los servidores públicos</w:t>
      </w:r>
      <w:r w:rsidRPr="00632D97">
        <w:rPr>
          <w:rFonts w:ascii="Palatino Linotype" w:eastAsia="Palatino Linotype" w:hAnsi="Palatino Linotype" w:cs="Palatino Linotype"/>
          <w:i/>
          <w:sz w:val="22"/>
          <w:szCs w:val="22"/>
        </w:rPr>
        <w:t xml:space="preserve"> de base o de confianza, de </w:t>
      </w:r>
      <w:r w:rsidRPr="00632D97">
        <w:rPr>
          <w:rFonts w:ascii="Palatino Linotype" w:eastAsia="Palatino Linotype" w:hAnsi="Palatino Linotype" w:cs="Palatino Linotype"/>
          <w:b/>
          <w:i/>
          <w:sz w:val="22"/>
          <w:szCs w:val="22"/>
        </w:rPr>
        <w:t>todas las percepciones</w:t>
      </w:r>
      <w:r w:rsidRPr="00632D97">
        <w:rPr>
          <w:rFonts w:ascii="Palatino Linotype" w:eastAsia="Palatino Linotype" w:hAnsi="Palatino Linotype" w:cs="Palatino Linotype"/>
          <w:i/>
          <w:sz w:val="22"/>
          <w:szCs w:val="22"/>
        </w:rPr>
        <w:t xml:space="preserve">, incluyendo </w:t>
      </w:r>
      <w:r w:rsidRPr="00632D97">
        <w:rPr>
          <w:rFonts w:ascii="Palatino Linotype" w:eastAsia="Palatino Linotype" w:hAnsi="Palatino Linotype" w:cs="Palatino Linotype"/>
          <w:b/>
          <w:i/>
          <w:sz w:val="22"/>
          <w:szCs w:val="22"/>
        </w:rPr>
        <w:t>sueldos, prestaciones, gratificaciones, primas, comisiones, dietas, bonos, estímulos, ingresos y sistemas de compensación</w:t>
      </w:r>
      <w:r w:rsidRPr="00632D97">
        <w:rPr>
          <w:rFonts w:ascii="Palatino Linotype" w:eastAsia="Palatino Linotype" w:hAnsi="Palatino Linotype" w:cs="Palatino Linotype"/>
          <w:i/>
          <w:sz w:val="22"/>
          <w:szCs w:val="22"/>
        </w:rPr>
        <w:t>, señalando la periodicidad de dicha remuneración;”</w:t>
      </w:r>
    </w:p>
    <w:p w14:paraId="2936CCF9" w14:textId="77777777" w:rsidR="00733653" w:rsidRPr="00632D97" w:rsidRDefault="00EA15BA" w:rsidP="00733653">
      <w:pPr>
        <w:tabs>
          <w:tab w:val="left" w:pos="1140"/>
        </w:tabs>
        <w:spacing w:before="240" w:after="240" w:line="360" w:lineRule="auto"/>
        <w:jc w:val="both"/>
        <w:rPr>
          <w:rFonts w:ascii="Palatino Linotype" w:eastAsia="Palatino Linotype" w:hAnsi="Palatino Linotype" w:cs="Palatino Linotype"/>
        </w:rPr>
      </w:pPr>
      <w:bookmarkStart w:id="9" w:name="_heading=h.8gaipez7rs8q" w:colFirst="0" w:colLast="0"/>
      <w:bookmarkEnd w:id="9"/>
      <w:r w:rsidRPr="00632D97">
        <w:rPr>
          <w:rFonts w:ascii="Palatino Linotype" w:eastAsia="Palatino Linotype" w:hAnsi="Palatino Linotype" w:cs="Palatino Linotype"/>
        </w:rPr>
        <w:lastRenderedPageBreak/>
        <w:t>Ahora bien</w:t>
      </w:r>
      <w:r w:rsidR="00222045" w:rsidRPr="00632D97">
        <w:rPr>
          <w:rFonts w:ascii="Palatino Linotype" w:eastAsia="Palatino Linotype" w:hAnsi="Palatino Linotype" w:cs="Palatino Linotype"/>
        </w:rPr>
        <w:t xml:space="preserve">, recordemos que el servidor público habilitado de la Tesorería </w:t>
      </w:r>
      <w:r w:rsidR="007B455E" w:rsidRPr="00632D97">
        <w:rPr>
          <w:rFonts w:ascii="Palatino Linotype" w:eastAsia="Palatino Linotype" w:hAnsi="Palatino Linotype" w:cs="Palatino Linotype"/>
        </w:rPr>
        <w:t xml:space="preserve">Municipal </w:t>
      </w:r>
      <w:r w:rsidR="00222045" w:rsidRPr="00632D97">
        <w:rPr>
          <w:rFonts w:ascii="Palatino Linotype" w:eastAsia="Palatino Linotype" w:hAnsi="Palatino Linotype" w:cs="Palatino Linotype"/>
        </w:rPr>
        <w:t>hizo entrega de</w:t>
      </w:r>
      <w:r w:rsidR="007B455E" w:rsidRPr="00632D97">
        <w:rPr>
          <w:rFonts w:ascii="Palatino Linotype" w:eastAsia="Palatino Linotype" w:hAnsi="Palatino Linotype" w:cs="Palatino Linotype"/>
        </w:rPr>
        <w:t xml:space="preserve"> dos direcciones electrónicas a través de </w:t>
      </w:r>
      <w:r w:rsidR="00733653" w:rsidRPr="00632D97">
        <w:rPr>
          <w:rFonts w:ascii="Palatino Linotype" w:eastAsia="Palatino Linotype" w:hAnsi="Palatino Linotype" w:cs="Palatino Linotype"/>
        </w:rPr>
        <w:t>un documento digitalizado</w:t>
      </w:r>
      <w:r w:rsidR="007B455E" w:rsidRPr="00632D97">
        <w:rPr>
          <w:rFonts w:ascii="Palatino Linotype" w:eastAsia="Palatino Linotype" w:hAnsi="Palatino Linotype" w:cs="Palatino Linotype"/>
        </w:rPr>
        <w:t xml:space="preserve"> en formato cerrado, es decir, que</w:t>
      </w:r>
      <w:r w:rsidR="00733653" w:rsidRPr="00632D97">
        <w:rPr>
          <w:rFonts w:ascii="Palatino Linotype" w:eastAsia="Palatino Linotype" w:hAnsi="Palatino Linotype" w:cs="Palatino Linotype"/>
        </w:rPr>
        <w:t xml:space="preserve"> al</w:t>
      </w:r>
      <w:r w:rsidR="007B455E" w:rsidRPr="00632D97">
        <w:rPr>
          <w:rFonts w:ascii="Palatino Linotype" w:eastAsia="Palatino Linotype" w:hAnsi="Palatino Linotype" w:cs="Palatino Linotype"/>
        </w:rPr>
        <w:t xml:space="preserve"> no permit</w:t>
      </w:r>
      <w:r w:rsidR="00733653" w:rsidRPr="00632D97">
        <w:rPr>
          <w:rFonts w:ascii="Palatino Linotype" w:eastAsia="Palatino Linotype" w:hAnsi="Palatino Linotype" w:cs="Palatino Linotype"/>
        </w:rPr>
        <w:t xml:space="preserve">ir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 decir, letras, números, signos, espacios, etcétera, existe una gran probabilidad de cometer errores en la captura, lo cual implicaría invariablemente la imposibilidad de acceder a la información, por lo que se le insta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00733653" w:rsidRPr="00632D97">
        <w:rPr>
          <w:rFonts w:ascii="Palatino Linotype" w:eastAsia="Palatino Linotype" w:hAnsi="Palatino Linotype" w:cs="Palatino Linotype"/>
          <w:b/>
          <w:u w:val="single"/>
        </w:rPr>
        <w:t>preferentemente a través de enlaces o hipervínculos, que permitan la conexión directa a la página o sitio en el que se aloja la información, al dar clic al mismo</w:t>
      </w:r>
      <w:r w:rsidR="00733653" w:rsidRPr="00632D97">
        <w:rPr>
          <w:rFonts w:ascii="Palatino Linotype" w:eastAsia="Palatino Linotype" w:hAnsi="Palatino Linotype" w:cs="Palatino Linotype"/>
        </w:rPr>
        <w:t>, con la finalidad de asegurar el acceso a la información que es de su interés.</w:t>
      </w:r>
    </w:p>
    <w:p w14:paraId="6A6B45FC" w14:textId="4F72E7B8" w:rsidR="007B455E" w:rsidRPr="00632D97" w:rsidRDefault="00733653">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N</w:t>
      </w:r>
      <w:r w:rsidR="007B455E" w:rsidRPr="00632D97">
        <w:rPr>
          <w:rFonts w:ascii="Palatino Linotype" w:eastAsia="Palatino Linotype" w:hAnsi="Palatino Linotype" w:cs="Palatino Linotype"/>
        </w:rPr>
        <w:t>o obstante,</w:t>
      </w:r>
      <w:r w:rsidR="00255F6B" w:rsidRPr="00632D97">
        <w:rPr>
          <w:rFonts w:ascii="Palatino Linotype" w:eastAsia="Palatino Linotype" w:hAnsi="Palatino Linotype" w:cs="Palatino Linotype"/>
        </w:rPr>
        <w:t xml:space="preserve"> de la lectura del motivo de inconformidad</w:t>
      </w:r>
      <w:r w:rsidR="003765C7" w:rsidRPr="00632D97">
        <w:rPr>
          <w:rFonts w:ascii="Palatino Linotype" w:eastAsia="Palatino Linotype" w:hAnsi="Palatino Linotype" w:cs="Palatino Linotype"/>
        </w:rPr>
        <w:t xml:space="preserve"> hecho valer por la parte </w:t>
      </w:r>
      <w:r w:rsidR="003765C7" w:rsidRPr="00632D97">
        <w:rPr>
          <w:rFonts w:ascii="Palatino Linotype" w:eastAsia="Palatino Linotype" w:hAnsi="Palatino Linotype" w:cs="Palatino Linotype"/>
          <w:b/>
        </w:rPr>
        <w:t>Recurrente</w:t>
      </w:r>
      <w:r w:rsidR="003765C7" w:rsidRPr="00632D97">
        <w:rPr>
          <w:rFonts w:ascii="Palatino Linotype" w:eastAsia="Palatino Linotype" w:hAnsi="Palatino Linotype" w:cs="Palatino Linotype"/>
        </w:rPr>
        <w:t xml:space="preserve"> se advierte que esta accedió a dichas ligas, sin embargo, estas no contienen la información </w:t>
      </w:r>
      <w:r w:rsidRPr="00632D97">
        <w:rPr>
          <w:rFonts w:ascii="Palatino Linotype" w:eastAsia="Palatino Linotype" w:hAnsi="Palatino Linotype" w:cs="Palatino Linotype"/>
        </w:rPr>
        <w:t>que solicitó</w:t>
      </w:r>
      <w:r w:rsidR="003765C7" w:rsidRPr="00632D97">
        <w:rPr>
          <w:rFonts w:ascii="Palatino Linotype" w:eastAsia="Palatino Linotype" w:hAnsi="Palatino Linotype" w:cs="Palatino Linotype"/>
        </w:rPr>
        <w:t>.</w:t>
      </w:r>
    </w:p>
    <w:p w14:paraId="71ED4195" w14:textId="45701CDC" w:rsidR="00F141F1" w:rsidRPr="00632D97" w:rsidRDefault="00EA15BA" w:rsidP="00F141F1">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En este sentido</w:t>
      </w:r>
      <w:r w:rsidR="00F141F1" w:rsidRPr="00632D97">
        <w:rPr>
          <w:rFonts w:ascii="Palatino Linotype" w:eastAsia="Palatino Linotype" w:hAnsi="Palatino Linotype" w:cs="Palatino Linotype"/>
        </w:rPr>
        <w:t xml:space="preserve">, </w:t>
      </w:r>
      <w:r w:rsidR="00733653" w:rsidRPr="00632D97">
        <w:rPr>
          <w:rFonts w:ascii="Palatino Linotype" w:eastAsia="Palatino Linotype" w:hAnsi="Palatino Linotype" w:cs="Palatino Linotype"/>
        </w:rPr>
        <w:t xml:space="preserve">es imprescindible </w:t>
      </w:r>
      <w:r w:rsidR="00F141F1" w:rsidRPr="00632D97">
        <w:rPr>
          <w:rFonts w:ascii="Palatino Linotype" w:eastAsia="Palatino Linotype" w:hAnsi="Palatino Linotype" w:cs="Palatino Linotype"/>
        </w:rPr>
        <w:t>traer a colación el artículo 161 de la Ley de Transparencia y Acceso a la Información Pública del Estado de México y Municipios</w:t>
      </w:r>
      <w:r w:rsidR="00F141F1" w:rsidRPr="00632D97">
        <w:rPr>
          <w:rFonts w:ascii="Palatino Linotype" w:eastAsia="Palatino Linotype" w:hAnsi="Palatino Linotype" w:cs="Palatino Linotype"/>
          <w:i/>
        </w:rPr>
        <w:t xml:space="preserve">, </w:t>
      </w:r>
      <w:r w:rsidR="00F141F1" w:rsidRPr="00632D97">
        <w:rPr>
          <w:rFonts w:ascii="Palatino Linotype" w:eastAsia="Palatino Linotype" w:hAnsi="Palatino Linotype" w:cs="Palatino Linotype"/>
        </w:rPr>
        <w:t xml:space="preserve">el cual establece las características que debe tener la información desde el momento en el que se genera, su publicación y entrega; así como el procedimiento a seguir por los Sujetos Obligados para informar a los solicitantes sobre información que se </w:t>
      </w:r>
      <w:r w:rsidR="00F141F1" w:rsidRPr="00632D97">
        <w:rPr>
          <w:rFonts w:ascii="Palatino Linotype" w:eastAsia="Palatino Linotype" w:hAnsi="Palatino Linotype" w:cs="Palatino Linotype"/>
        </w:rPr>
        <w:lastRenderedPageBreak/>
        <w:t>encuentre disponible en libros, compendios, formatos electrónicos, entre otros, haciéndole saber al solicitante como podrá consultar, reproducir o adquirir la información, en un plazo no mayor a cinco días hábiles, comprendiendo:</w:t>
      </w:r>
    </w:p>
    <w:p w14:paraId="35F9F0EC" w14:textId="77777777" w:rsidR="00F141F1" w:rsidRPr="00632D97" w:rsidRDefault="00F141F1" w:rsidP="00F141F1">
      <w:pPr>
        <w:spacing w:before="120" w:after="120" w:line="276" w:lineRule="auto"/>
        <w:ind w:left="284" w:right="51"/>
        <w:jc w:val="both"/>
        <w:rPr>
          <w:rFonts w:ascii="Palatino Linotype" w:eastAsia="Palatino Linotype" w:hAnsi="Palatino Linotype" w:cs="Palatino Linotype"/>
        </w:rPr>
      </w:pPr>
      <w:r w:rsidRPr="00632D97">
        <w:rPr>
          <w:rFonts w:ascii="Palatino Linotype" w:eastAsia="Palatino Linotype" w:hAnsi="Palatino Linotype" w:cs="Palatino Linotype"/>
        </w:rPr>
        <w:t>a) La fuente</w:t>
      </w:r>
    </w:p>
    <w:p w14:paraId="509C4C4C" w14:textId="77777777" w:rsidR="00F141F1" w:rsidRPr="00632D97" w:rsidRDefault="00F141F1" w:rsidP="00F141F1">
      <w:pPr>
        <w:spacing w:before="120" w:after="120" w:line="276" w:lineRule="auto"/>
        <w:ind w:left="284" w:right="51"/>
        <w:jc w:val="both"/>
        <w:rPr>
          <w:rFonts w:ascii="Palatino Linotype" w:eastAsia="Palatino Linotype" w:hAnsi="Palatino Linotype" w:cs="Palatino Linotype"/>
        </w:rPr>
      </w:pPr>
      <w:r w:rsidRPr="00632D97">
        <w:rPr>
          <w:rFonts w:ascii="Palatino Linotype" w:eastAsia="Palatino Linotype" w:hAnsi="Palatino Linotype" w:cs="Palatino Linotype"/>
        </w:rPr>
        <w:t>b) El lugar y</w:t>
      </w:r>
    </w:p>
    <w:p w14:paraId="1727F327" w14:textId="77777777" w:rsidR="00F141F1" w:rsidRPr="00632D97" w:rsidRDefault="00F141F1" w:rsidP="00F141F1">
      <w:pPr>
        <w:spacing w:before="120" w:after="120" w:line="276" w:lineRule="auto"/>
        <w:ind w:left="284" w:right="51"/>
        <w:jc w:val="both"/>
        <w:rPr>
          <w:rFonts w:ascii="Palatino Linotype" w:eastAsia="Palatino Linotype" w:hAnsi="Palatino Linotype" w:cs="Palatino Linotype"/>
        </w:rPr>
      </w:pPr>
      <w:r w:rsidRPr="00632D97">
        <w:rPr>
          <w:rFonts w:ascii="Palatino Linotype" w:eastAsia="Palatino Linotype" w:hAnsi="Palatino Linotype" w:cs="Palatino Linotype"/>
        </w:rPr>
        <w:t>c) La forma</w:t>
      </w:r>
    </w:p>
    <w:p w14:paraId="72A7D616" w14:textId="77777777" w:rsidR="00F141F1" w:rsidRPr="00632D97" w:rsidRDefault="00F141F1" w:rsidP="00F141F1">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Asimismo, se establece que la fuente de la información deberá ser:</w:t>
      </w:r>
    </w:p>
    <w:p w14:paraId="2BCD0FAA" w14:textId="77777777" w:rsidR="00F141F1" w:rsidRPr="00632D97" w:rsidRDefault="00F141F1" w:rsidP="00F141F1">
      <w:pPr>
        <w:spacing w:before="120" w:after="120" w:line="276" w:lineRule="auto"/>
        <w:ind w:left="284" w:right="51"/>
        <w:jc w:val="both"/>
        <w:rPr>
          <w:rFonts w:ascii="Palatino Linotype" w:eastAsia="Palatino Linotype" w:hAnsi="Palatino Linotype" w:cs="Palatino Linotype"/>
        </w:rPr>
      </w:pPr>
      <w:r w:rsidRPr="00632D97">
        <w:rPr>
          <w:rFonts w:ascii="Palatino Linotype" w:eastAsia="Palatino Linotype" w:hAnsi="Palatino Linotype" w:cs="Palatino Linotype"/>
        </w:rPr>
        <w:t>a) Precisa</w:t>
      </w:r>
    </w:p>
    <w:p w14:paraId="74DEC864" w14:textId="77777777" w:rsidR="00F141F1" w:rsidRPr="00632D97" w:rsidRDefault="00F141F1" w:rsidP="00F141F1">
      <w:pPr>
        <w:spacing w:before="120" w:after="120" w:line="276" w:lineRule="auto"/>
        <w:ind w:left="284" w:right="51"/>
        <w:jc w:val="both"/>
        <w:rPr>
          <w:rFonts w:ascii="Palatino Linotype" w:eastAsia="Palatino Linotype" w:hAnsi="Palatino Linotype" w:cs="Palatino Linotype"/>
        </w:rPr>
      </w:pPr>
      <w:r w:rsidRPr="00632D97">
        <w:rPr>
          <w:rFonts w:ascii="Palatino Linotype" w:eastAsia="Palatino Linotype" w:hAnsi="Palatino Linotype" w:cs="Palatino Linotype"/>
        </w:rPr>
        <w:t>b) Concreta</w:t>
      </w:r>
    </w:p>
    <w:p w14:paraId="21BAAA27" w14:textId="77777777" w:rsidR="00F141F1" w:rsidRPr="00632D97" w:rsidRDefault="00F141F1" w:rsidP="00F141F1">
      <w:pPr>
        <w:spacing w:before="120" w:after="120" w:line="276" w:lineRule="auto"/>
        <w:ind w:left="284" w:right="51"/>
        <w:jc w:val="both"/>
        <w:rPr>
          <w:rFonts w:ascii="Palatino Linotype" w:eastAsia="Palatino Linotype" w:hAnsi="Palatino Linotype" w:cs="Palatino Linotype"/>
        </w:rPr>
      </w:pPr>
      <w:r w:rsidRPr="00632D97">
        <w:rPr>
          <w:rFonts w:ascii="Palatino Linotype" w:eastAsia="Palatino Linotype" w:hAnsi="Palatino Linotype" w:cs="Palatino Linotype"/>
        </w:rPr>
        <w:t>c) Y no debe implicar que el solicitante realice una búsqueda en toda la información que se encuentre disponible.</w:t>
      </w:r>
    </w:p>
    <w:p w14:paraId="111E5D88" w14:textId="77777777" w:rsidR="00F141F1" w:rsidRPr="00632D97" w:rsidRDefault="00F141F1" w:rsidP="00F141F1">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4A7AA4A0" w14:textId="26595BA4" w:rsidR="003765C7" w:rsidRPr="00632D97" w:rsidRDefault="00EA15BA">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Por consiguiente</w:t>
      </w:r>
      <w:r w:rsidR="00F141F1" w:rsidRPr="00632D97">
        <w:rPr>
          <w:rFonts w:ascii="Palatino Linotype" w:eastAsia="Palatino Linotype" w:hAnsi="Palatino Linotype" w:cs="Palatino Linotype"/>
        </w:rPr>
        <w:t xml:space="preserve">, este Organismo Garante procedió a realizar la consulta de la información a través de las ligas </w:t>
      </w:r>
      <w:r w:rsidRPr="00632D97">
        <w:rPr>
          <w:rFonts w:ascii="Palatino Linotype" w:eastAsia="Palatino Linotype" w:hAnsi="Palatino Linotype" w:cs="Palatino Linotype"/>
        </w:rPr>
        <w:t>electrónicas</w:t>
      </w:r>
      <w:r w:rsidR="00F141F1" w:rsidRPr="00632D97">
        <w:rPr>
          <w:rFonts w:ascii="Palatino Linotype" w:eastAsia="Palatino Linotype" w:hAnsi="Palatino Linotype" w:cs="Palatino Linotype"/>
        </w:rPr>
        <w:t xml:space="preserve"> proporcionadas</w:t>
      </w:r>
      <w:r w:rsidRPr="00632D97">
        <w:rPr>
          <w:rFonts w:ascii="Palatino Linotype" w:eastAsia="Palatino Linotype" w:hAnsi="Palatino Linotype" w:cs="Palatino Linotype"/>
        </w:rPr>
        <w:t xml:space="preserve"> por el </w:t>
      </w:r>
      <w:r w:rsidRPr="00632D97">
        <w:rPr>
          <w:rFonts w:ascii="Palatino Linotype" w:eastAsia="Palatino Linotype" w:hAnsi="Palatino Linotype" w:cs="Palatino Linotype"/>
          <w:b/>
        </w:rPr>
        <w:t>Sujeto Obligado</w:t>
      </w:r>
      <w:r w:rsidR="00F141F1" w:rsidRPr="00632D97">
        <w:rPr>
          <w:rFonts w:ascii="Palatino Linotype" w:eastAsia="Palatino Linotype" w:hAnsi="Palatino Linotype" w:cs="Palatino Linotype"/>
        </w:rPr>
        <w:t>, obteniendo como lo siguiente:</w:t>
      </w:r>
    </w:p>
    <w:p w14:paraId="2A6A762A" w14:textId="5005C3AB" w:rsidR="00733653" w:rsidRPr="00632D97" w:rsidRDefault="00200422">
      <w:pPr>
        <w:spacing w:before="240" w:after="240" w:line="360" w:lineRule="auto"/>
        <w:jc w:val="both"/>
        <w:rPr>
          <w:rFonts w:ascii="Palatino Linotype" w:eastAsia="Palatino Linotype" w:hAnsi="Palatino Linotype" w:cs="Palatino Linotype"/>
        </w:rPr>
      </w:pPr>
      <w:hyperlink r:id="rId11" w:anchor="/info.fraccion/10/148/22" w:history="1">
        <w:r w:rsidR="00733653" w:rsidRPr="00632D97">
          <w:rPr>
            <w:rStyle w:val="Hipervnculo"/>
            <w:rFonts w:ascii="Palatino Linotype" w:eastAsia="Palatino Linotype" w:hAnsi="Palatino Linotype" w:cs="Palatino Linotype"/>
            <w:color w:val="auto"/>
          </w:rPr>
          <w:t>https://ipomex.org.mx/ipomex/#/info.fraccion/10/148/22</w:t>
        </w:r>
      </w:hyperlink>
    </w:p>
    <w:p w14:paraId="1422F846" w14:textId="05616CA2" w:rsidR="00EA15BA" w:rsidRPr="00632D97" w:rsidRDefault="00EA15BA" w:rsidP="00EA15BA">
      <w:pPr>
        <w:spacing w:before="240" w:after="240" w:line="360" w:lineRule="auto"/>
        <w:jc w:val="center"/>
        <w:rPr>
          <w:rFonts w:ascii="Palatino Linotype" w:eastAsia="Palatino Linotype" w:hAnsi="Palatino Linotype" w:cs="Palatino Linotype"/>
        </w:rPr>
      </w:pPr>
      <w:r w:rsidRPr="00632D97">
        <w:rPr>
          <w:rFonts w:ascii="Palatino Linotype" w:eastAsia="Palatino Linotype" w:hAnsi="Palatino Linotype" w:cs="Palatino Linotype"/>
          <w:noProof/>
        </w:rPr>
        <w:lastRenderedPageBreak/>
        <w:drawing>
          <wp:inline distT="0" distB="0" distL="0" distR="0" wp14:anchorId="095ACA47" wp14:editId="696CB765">
            <wp:extent cx="5400000" cy="327799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3277999"/>
                    </a:xfrm>
                    <a:prstGeom prst="rect">
                      <a:avLst/>
                    </a:prstGeom>
                  </pic:spPr>
                </pic:pic>
              </a:graphicData>
            </a:graphic>
          </wp:inline>
        </w:drawing>
      </w:r>
    </w:p>
    <w:p w14:paraId="6D7BC7BA" w14:textId="77777777" w:rsidR="00733653" w:rsidRPr="00632D97" w:rsidRDefault="00733653" w:rsidP="00EA15BA">
      <w:pPr>
        <w:spacing w:before="240" w:after="240" w:line="360" w:lineRule="auto"/>
        <w:jc w:val="center"/>
        <w:rPr>
          <w:rFonts w:ascii="Palatino Linotype" w:eastAsia="Palatino Linotype" w:hAnsi="Palatino Linotype" w:cs="Palatino Linotype"/>
        </w:rPr>
      </w:pPr>
    </w:p>
    <w:p w14:paraId="40AA133F" w14:textId="77777777" w:rsidR="00733653" w:rsidRPr="00632D97" w:rsidRDefault="00733653" w:rsidP="00EA15BA">
      <w:pPr>
        <w:spacing w:before="240" w:after="240" w:line="360" w:lineRule="auto"/>
        <w:jc w:val="center"/>
        <w:rPr>
          <w:rFonts w:ascii="Palatino Linotype" w:eastAsia="Palatino Linotype" w:hAnsi="Palatino Linotype" w:cs="Palatino Linotype"/>
        </w:rPr>
      </w:pPr>
    </w:p>
    <w:p w14:paraId="57B136AB" w14:textId="77777777" w:rsidR="00733653" w:rsidRPr="00632D97" w:rsidRDefault="00733653" w:rsidP="00EA15BA">
      <w:pPr>
        <w:spacing w:before="240" w:after="240" w:line="360" w:lineRule="auto"/>
        <w:jc w:val="center"/>
        <w:rPr>
          <w:rFonts w:ascii="Palatino Linotype" w:eastAsia="Palatino Linotype" w:hAnsi="Palatino Linotype" w:cs="Palatino Linotype"/>
        </w:rPr>
      </w:pPr>
    </w:p>
    <w:p w14:paraId="69B5D913" w14:textId="00558FD6" w:rsidR="00733653" w:rsidRPr="00632D97" w:rsidRDefault="00200422" w:rsidP="00733653">
      <w:pPr>
        <w:spacing w:before="240" w:after="240" w:line="360" w:lineRule="auto"/>
        <w:rPr>
          <w:rFonts w:ascii="Palatino Linotype" w:eastAsia="Palatino Linotype" w:hAnsi="Palatino Linotype" w:cs="Palatino Linotype"/>
        </w:rPr>
      </w:pPr>
      <w:hyperlink r:id="rId13" w:history="1">
        <w:r w:rsidR="00733653" w:rsidRPr="00632D97">
          <w:rPr>
            <w:rStyle w:val="Hipervnculo"/>
            <w:rFonts w:ascii="Palatino Linotype" w:eastAsia="Palatino Linotype" w:hAnsi="Palatino Linotype" w:cs="Palatino Linotype"/>
            <w:color w:val="auto"/>
          </w:rPr>
          <w:t>https://repositorio.morelosedomex.gob.mx/index.php/s/rDroDd9bp9goTcL</w:t>
        </w:r>
      </w:hyperlink>
    </w:p>
    <w:p w14:paraId="0DA835EC" w14:textId="35BE8FF4" w:rsidR="00EA15BA" w:rsidRPr="00632D97" w:rsidRDefault="00EA15BA" w:rsidP="00EA15BA">
      <w:pPr>
        <w:spacing w:before="240" w:after="240" w:line="360" w:lineRule="auto"/>
        <w:jc w:val="center"/>
        <w:rPr>
          <w:rFonts w:ascii="Palatino Linotype" w:eastAsia="Palatino Linotype" w:hAnsi="Palatino Linotype" w:cs="Palatino Linotype"/>
        </w:rPr>
      </w:pPr>
      <w:r w:rsidRPr="00632D97">
        <w:rPr>
          <w:rFonts w:ascii="Palatino Linotype" w:eastAsia="Palatino Linotype" w:hAnsi="Palatino Linotype" w:cs="Palatino Linotype"/>
          <w:noProof/>
        </w:rPr>
        <w:lastRenderedPageBreak/>
        <w:drawing>
          <wp:inline distT="0" distB="0" distL="0" distR="0" wp14:anchorId="6AA5481F" wp14:editId="3D38591B">
            <wp:extent cx="5400000" cy="46386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4638697"/>
                    </a:xfrm>
                    <a:prstGeom prst="rect">
                      <a:avLst/>
                    </a:prstGeom>
                  </pic:spPr>
                </pic:pic>
              </a:graphicData>
            </a:graphic>
          </wp:inline>
        </w:drawing>
      </w:r>
    </w:p>
    <w:p w14:paraId="31FDB5E4" w14:textId="389143F6" w:rsidR="00F141F1" w:rsidRPr="00632D97" w:rsidRDefault="00EA15BA">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Como puede observarse, la liga electrónica: </w:t>
      </w:r>
      <w:hyperlink r:id="rId15" w:anchor="/info.fraccion/10/148/22" w:history="1">
        <w:r w:rsidRPr="00632D97">
          <w:rPr>
            <w:rStyle w:val="Hipervnculo"/>
            <w:rFonts w:ascii="Palatino Linotype" w:eastAsia="Palatino Linotype" w:hAnsi="Palatino Linotype" w:cs="Palatino Linotype"/>
            <w:color w:val="auto"/>
          </w:rPr>
          <w:t>https://ipomex.org.mx/ipomex/#/info.fraccion/10/148/22</w:t>
        </w:r>
      </w:hyperlink>
      <w:r w:rsidRPr="00632D97">
        <w:rPr>
          <w:rFonts w:ascii="Palatino Linotype" w:eastAsia="Palatino Linotype" w:hAnsi="Palatino Linotype" w:cs="Palatino Linotype"/>
        </w:rPr>
        <w:t xml:space="preserve"> no contiene información, mientras que la liga electrónica </w:t>
      </w:r>
      <w:hyperlink r:id="rId16" w:history="1">
        <w:r w:rsidRPr="00632D97">
          <w:rPr>
            <w:rStyle w:val="Hipervnculo"/>
            <w:rFonts w:ascii="Palatino Linotype" w:eastAsia="Palatino Linotype" w:hAnsi="Palatino Linotype" w:cs="Palatino Linotype"/>
            <w:color w:val="auto"/>
          </w:rPr>
          <w:t>https://repositorio.morelosedomex.gob.mx/index.php/s/rDroDd9bp9goTcL</w:t>
        </w:r>
      </w:hyperlink>
      <w:r w:rsidR="00532AC9" w:rsidRPr="00632D97">
        <w:rPr>
          <w:rFonts w:ascii="Palatino Linotype" w:eastAsia="Palatino Linotype" w:hAnsi="Palatino Linotype" w:cs="Palatino Linotype"/>
        </w:rPr>
        <w:t xml:space="preserve"> dirige al formato PbRM-05 Tabulador de sueldos para el ejercicio 2025, concluyendo así que el </w:t>
      </w:r>
      <w:r w:rsidR="00835992" w:rsidRPr="00632D97">
        <w:rPr>
          <w:rFonts w:ascii="Palatino Linotype" w:eastAsia="Palatino Linotype" w:hAnsi="Palatino Linotype" w:cs="Palatino Linotype"/>
        </w:rPr>
        <w:t xml:space="preserve">motivo alegado por la persona solicitante </w:t>
      </w:r>
      <w:r w:rsidR="00733653" w:rsidRPr="00632D97">
        <w:rPr>
          <w:rFonts w:ascii="Palatino Linotype" w:eastAsia="Palatino Linotype" w:hAnsi="Palatino Linotype" w:cs="Palatino Linotype"/>
        </w:rPr>
        <w:t>resulta</w:t>
      </w:r>
      <w:r w:rsidR="00835992" w:rsidRPr="00632D97">
        <w:rPr>
          <w:rFonts w:ascii="Palatino Linotype" w:eastAsia="Palatino Linotype" w:hAnsi="Palatino Linotype" w:cs="Palatino Linotype"/>
        </w:rPr>
        <w:t xml:space="preserve"> fundado que si bien el Tabulador de sueldos contiene las remuneraciones</w:t>
      </w:r>
      <w:r w:rsidR="00FC01ED" w:rsidRPr="00632D97">
        <w:rPr>
          <w:rFonts w:ascii="Palatino Linotype" w:eastAsia="Palatino Linotype" w:hAnsi="Palatino Linotype" w:cs="Palatino Linotype"/>
        </w:rPr>
        <w:t xml:space="preserve"> de </w:t>
      </w:r>
      <w:r w:rsidR="00835992" w:rsidRPr="00632D97">
        <w:rPr>
          <w:rFonts w:ascii="Palatino Linotype" w:eastAsia="Palatino Linotype" w:hAnsi="Palatino Linotype" w:cs="Palatino Linotype"/>
        </w:rPr>
        <w:t>los servidores públicos</w:t>
      </w:r>
      <w:r w:rsidR="00FC01ED" w:rsidRPr="00632D97">
        <w:rPr>
          <w:rFonts w:ascii="Palatino Linotype" w:eastAsia="Palatino Linotype" w:hAnsi="Palatino Linotype" w:cs="Palatino Linotype"/>
        </w:rPr>
        <w:t xml:space="preserve">, estas están clasificadas </w:t>
      </w:r>
      <w:r w:rsidR="00835992" w:rsidRPr="00632D97">
        <w:rPr>
          <w:rFonts w:ascii="Palatino Linotype" w:eastAsia="Palatino Linotype" w:hAnsi="Palatino Linotype" w:cs="Palatino Linotype"/>
        </w:rPr>
        <w:t xml:space="preserve">por plaza, </w:t>
      </w:r>
      <w:r w:rsidR="00FC01ED" w:rsidRPr="00632D97">
        <w:rPr>
          <w:rFonts w:ascii="Palatino Linotype" w:eastAsia="Palatino Linotype" w:hAnsi="Palatino Linotype" w:cs="Palatino Linotype"/>
        </w:rPr>
        <w:t xml:space="preserve">sin que sea posible advertir el nombre de los servidores </w:t>
      </w:r>
      <w:r w:rsidR="00FC01ED" w:rsidRPr="00632D97">
        <w:rPr>
          <w:rFonts w:ascii="Palatino Linotype" w:eastAsia="Palatino Linotype" w:hAnsi="Palatino Linotype" w:cs="Palatino Linotype"/>
        </w:rPr>
        <w:lastRenderedPageBreak/>
        <w:t>públicos que ostentan dichas plazas, así como la categoría a la que pertenecen, esto es, si son de base o de confianza, o si se trata de prestadores de servicios.</w:t>
      </w:r>
    </w:p>
    <w:p w14:paraId="656F0D56" w14:textId="2BEA68A3" w:rsidR="00DF40CC" w:rsidRPr="00632D97" w:rsidRDefault="00733653">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Bajo esta línea de pensamiento, </w:t>
      </w:r>
      <w:r w:rsidR="00222045" w:rsidRPr="00632D97">
        <w:rPr>
          <w:rFonts w:ascii="Palatino Linotype" w:eastAsia="Palatino Linotype" w:hAnsi="Palatino Linotype" w:cs="Palatino Linotype"/>
        </w:rPr>
        <w:t xml:space="preserve">se estima que para tener por satisfecho </w:t>
      </w:r>
      <w:r w:rsidRPr="00632D97">
        <w:rPr>
          <w:rFonts w:ascii="Palatino Linotype" w:eastAsia="Palatino Linotype" w:hAnsi="Palatino Linotype" w:cs="Palatino Linotype"/>
        </w:rPr>
        <w:t xml:space="preserve">el </w:t>
      </w:r>
      <w:r w:rsidR="00222045" w:rsidRPr="00632D97">
        <w:rPr>
          <w:rFonts w:ascii="Palatino Linotype" w:eastAsia="Palatino Linotype" w:hAnsi="Palatino Linotype" w:cs="Palatino Linotype"/>
        </w:rPr>
        <w:t>Derecho de acceso</w:t>
      </w:r>
      <w:r w:rsidR="00BE4AC9" w:rsidRPr="00632D97">
        <w:rPr>
          <w:rFonts w:ascii="Palatino Linotype" w:eastAsia="Palatino Linotype" w:hAnsi="Palatino Linotype" w:cs="Palatino Linotype"/>
        </w:rPr>
        <w:t xml:space="preserve"> de la persona solicitante</w:t>
      </w:r>
      <w:r w:rsidR="00222045" w:rsidRPr="00632D97">
        <w:rPr>
          <w:rFonts w:ascii="Palatino Linotype" w:eastAsia="Palatino Linotype" w:hAnsi="Palatino Linotype" w:cs="Palatino Linotype"/>
        </w:rPr>
        <w:t xml:space="preserve"> es necesario que el </w:t>
      </w:r>
      <w:r w:rsidR="00222045" w:rsidRPr="00632D97">
        <w:rPr>
          <w:rFonts w:ascii="Palatino Linotype" w:eastAsia="Palatino Linotype" w:hAnsi="Palatino Linotype" w:cs="Palatino Linotype"/>
          <w:b/>
        </w:rPr>
        <w:t xml:space="preserve">Sujeto Obligado </w:t>
      </w:r>
      <w:r w:rsidR="00222045" w:rsidRPr="00632D97">
        <w:rPr>
          <w:rFonts w:ascii="Palatino Linotype" w:eastAsia="Palatino Linotype" w:hAnsi="Palatino Linotype" w:cs="Palatino Linotype"/>
        </w:rPr>
        <w:t>haga entrega de</w:t>
      </w:r>
      <w:r w:rsidR="00BE4AC9" w:rsidRPr="00632D97">
        <w:rPr>
          <w:rFonts w:ascii="Palatino Linotype" w:eastAsia="Palatino Linotype" w:hAnsi="Palatino Linotype" w:cs="Palatino Linotype"/>
        </w:rPr>
        <w:t>l soporte documental que dé cuenta de lo solicitado, pudiendo ser la conciliación de nómina de enero a marzo de dos mil veinticinco.</w:t>
      </w:r>
    </w:p>
    <w:p w14:paraId="705F7913" w14:textId="51B89339" w:rsidR="00DF40CC" w:rsidRPr="00632D97" w:rsidRDefault="00BE4AC9">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Como sustento a lo anterior</w:t>
      </w:r>
      <w:r w:rsidR="00222045"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rPr>
        <w:t>no obsta mencionar</w:t>
      </w:r>
      <w:r w:rsidR="00222045" w:rsidRPr="00632D97">
        <w:rPr>
          <w:rFonts w:ascii="Palatino Linotype" w:eastAsia="Palatino Linotype" w:hAnsi="Palatino Linotype" w:cs="Palatino Linotype"/>
        </w:rPr>
        <w:t xml:space="preserve"> que el </w:t>
      </w:r>
      <w:r w:rsidR="00222045" w:rsidRPr="00632D97">
        <w:rPr>
          <w:rFonts w:ascii="Palatino Linotype" w:eastAsia="Palatino Linotype" w:hAnsi="Palatino Linotype" w:cs="Palatino Linotype"/>
          <w:b/>
        </w:rPr>
        <w:t xml:space="preserve">Sujeto Obligado </w:t>
      </w:r>
      <w:r w:rsidR="00222045" w:rsidRPr="00632D97">
        <w:rPr>
          <w:rFonts w:ascii="Palatino Linotype" w:eastAsia="Palatino Linotype" w:hAnsi="Palatino Linotype" w:cs="Palatino Linotype"/>
        </w:rPr>
        <w:t xml:space="preserve">se encuentra constreñido a entregar al Órgano Superior de Fiscalización del Estado de México, como parte de los informes trimestrales, la </w:t>
      </w:r>
      <w:r w:rsidR="00222045" w:rsidRPr="00632D97">
        <w:rPr>
          <w:rFonts w:ascii="Palatino Linotype" w:eastAsia="Palatino Linotype" w:hAnsi="Palatino Linotype" w:cs="Palatino Linotype"/>
          <w:i/>
        </w:rPr>
        <w:t>conciliación de nómina</w:t>
      </w:r>
      <w:r w:rsidR="00222045" w:rsidRPr="00632D97">
        <w:rPr>
          <w:rFonts w:ascii="Palatino Linotype" w:eastAsia="Palatino Linotype" w:hAnsi="Palatino Linotype" w:cs="Palatino Linotype"/>
        </w:rPr>
        <w:t>,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19B4D021"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De conformidad con los Lineamientos del ejercicio 2025, la información que generan los entes fiscalizables de carácter municipal con motivo de la nómina, se encuentra contenida en el Módulo 4 Información Administrativa, Submódulo Nómina (Plataforma Digital), como se muestra a continuación:</w:t>
      </w:r>
    </w:p>
    <w:p w14:paraId="5A30F8BD" w14:textId="77777777" w:rsidR="00BE4AC9" w:rsidRPr="00632D97" w:rsidRDefault="00222045">
      <w:pPr>
        <w:spacing w:before="240" w:after="240" w:line="360" w:lineRule="auto"/>
        <w:jc w:val="center"/>
        <w:rPr>
          <w:rFonts w:ascii="Palatino Linotype" w:eastAsia="Palatino Linotype" w:hAnsi="Palatino Linotype" w:cs="Palatino Linotype"/>
        </w:rPr>
      </w:pPr>
      <w:r w:rsidRPr="00632D97">
        <w:rPr>
          <w:rFonts w:ascii="Palatino Linotype" w:eastAsia="Palatino Linotype" w:hAnsi="Palatino Linotype" w:cs="Palatino Linotype"/>
        </w:rPr>
        <w:lastRenderedPageBreak/>
        <w:t xml:space="preserve"> </w:t>
      </w:r>
      <w:r w:rsidRPr="00632D97">
        <w:rPr>
          <w:rFonts w:ascii="Palatino Linotype" w:eastAsia="Palatino Linotype" w:hAnsi="Palatino Linotype" w:cs="Palatino Linotype"/>
          <w:noProof/>
        </w:rPr>
        <w:drawing>
          <wp:inline distT="0" distB="0" distL="0" distR="0" wp14:anchorId="26839C92" wp14:editId="30F4C507">
            <wp:extent cx="4046400" cy="1994400"/>
            <wp:effectExtent l="0" t="0" r="0" b="6350"/>
            <wp:docPr id="2140131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046400" cy="1994400"/>
                    </a:xfrm>
                    <a:prstGeom prst="rect">
                      <a:avLst/>
                    </a:prstGeom>
                    <a:ln/>
                  </pic:spPr>
                </pic:pic>
              </a:graphicData>
            </a:graphic>
          </wp:inline>
        </w:drawing>
      </w:r>
    </w:p>
    <w:p w14:paraId="48A15023" w14:textId="4312BFC9" w:rsidR="00DF40CC" w:rsidRPr="00632D97" w:rsidRDefault="00BE4AC9">
      <w:pPr>
        <w:spacing w:before="240" w:after="240" w:line="360" w:lineRule="auto"/>
        <w:jc w:val="center"/>
        <w:rPr>
          <w:rFonts w:ascii="Palatino Linotype" w:eastAsia="Palatino Linotype" w:hAnsi="Palatino Linotype" w:cs="Palatino Linotype"/>
        </w:rPr>
      </w:pPr>
      <w:r w:rsidRPr="00632D97">
        <w:rPr>
          <w:noProof/>
        </w:rPr>
        <mc:AlternateContent>
          <mc:Choice Requires="wps">
            <w:drawing>
              <wp:anchor distT="0" distB="0" distL="114300" distR="114300" simplePos="0" relativeHeight="251658240" behindDoc="0" locked="0" layoutInCell="1" hidden="0" allowOverlap="1" wp14:anchorId="1CF6B0E4" wp14:editId="0E0C104F">
                <wp:simplePos x="0" y="0"/>
                <wp:positionH relativeFrom="margin">
                  <wp:align>center</wp:align>
                </wp:positionH>
                <wp:positionV relativeFrom="paragraph">
                  <wp:posOffset>2004043</wp:posOffset>
                </wp:positionV>
                <wp:extent cx="4482879" cy="403654"/>
                <wp:effectExtent l="19050" t="19050" r="13335" b="15875"/>
                <wp:wrapNone/>
                <wp:docPr id="2140131839" name="Rectángulo 2140131839"/>
                <wp:cNvGraphicFramePr/>
                <a:graphic xmlns:a="http://schemas.openxmlformats.org/drawingml/2006/main">
                  <a:graphicData uri="http://schemas.microsoft.com/office/word/2010/wordprocessingShape">
                    <wps:wsp>
                      <wps:cNvSpPr/>
                      <wps:spPr>
                        <a:xfrm>
                          <a:off x="0" y="0"/>
                          <a:ext cx="4482879" cy="403654"/>
                        </a:xfrm>
                        <a:prstGeom prst="rect">
                          <a:avLst/>
                        </a:prstGeom>
                        <a:noFill/>
                        <a:ln w="38100" cap="flat" cmpd="sng">
                          <a:solidFill>
                            <a:srgbClr val="C00000"/>
                          </a:solidFill>
                          <a:prstDash val="solid"/>
                          <a:miter lim="800000"/>
                          <a:headEnd type="none" w="sm" len="sm"/>
                          <a:tailEnd type="none" w="sm" len="sm"/>
                        </a:ln>
                      </wps:spPr>
                      <wps:txbx>
                        <w:txbxContent>
                          <w:p w14:paraId="2A2B35BE" w14:textId="77777777" w:rsidR="00FC01ED" w:rsidRDefault="00FC01ED">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oel="http://schemas.microsoft.com/office/2019/extlst">
            <w:pict>
              <v:rect w14:anchorId="1CF6B0E4" id="Rectángulo 2140131839" o:spid="_x0000_s1026" style="position:absolute;left:0;text-align:left;margin-left:0;margin-top:157.8pt;width:353pt;height:31.8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" filled="f" strokecolor="#c00000" strokeweight="3pt">
                <v:stroke startarrowwidth="narrow" startarrowlength="short" endarrowwidth="narrow" endarrowlength="short"/>
                <v:textbox inset="2.53958mm,2.53958mm,2.53958mm,2.53958mm">
                  <w:txbxContent>
                    <w:p w14:paraId="2A2B35BE" w14:textId="77777777" w:rsidR="00FC01ED" w:rsidRDefault="00FC01ED">
                      <w:pPr>
                        <w:textDirection w:val="btLr"/>
                      </w:pPr>
                    </w:p>
                  </w:txbxContent>
                </v:textbox>
                <w10:wrap anchorx="margin"/>
              </v:rect>
            </w:pict>
          </mc:Fallback>
        </mc:AlternateContent>
      </w:r>
      <w:r w:rsidR="00222045" w:rsidRPr="00632D97">
        <w:rPr>
          <w:rFonts w:ascii="Palatino Linotype" w:eastAsia="Palatino Linotype" w:hAnsi="Palatino Linotype" w:cs="Palatino Linotype"/>
          <w:noProof/>
        </w:rPr>
        <w:drawing>
          <wp:inline distT="0" distB="0" distL="0" distR="0" wp14:anchorId="67DB8F13" wp14:editId="6D0CBE8A">
            <wp:extent cx="4500000" cy="2839326"/>
            <wp:effectExtent l="0" t="0" r="0" b="0"/>
            <wp:docPr id="21401318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b="18245"/>
                    <a:stretch>
                      <a:fillRect/>
                    </a:stretch>
                  </pic:blipFill>
                  <pic:spPr>
                    <a:xfrm>
                      <a:off x="0" y="0"/>
                      <a:ext cx="4500000" cy="2839326"/>
                    </a:xfrm>
                    <a:prstGeom prst="rect">
                      <a:avLst/>
                    </a:prstGeom>
                    <a:ln/>
                  </pic:spPr>
                </pic:pic>
              </a:graphicData>
            </a:graphic>
          </wp:inline>
        </w:drawing>
      </w:r>
    </w:p>
    <w:p w14:paraId="6F8C39DC" w14:textId="5F6BBBDC" w:rsidR="00DF40CC" w:rsidRPr="00632D97" w:rsidRDefault="00222045">
      <w:pPr>
        <w:spacing w:before="240" w:after="240" w:line="360" w:lineRule="auto"/>
        <w:jc w:val="both"/>
      </w:pPr>
      <w:r w:rsidRPr="00632D97">
        <w:t xml:space="preserve"> </w:t>
      </w:r>
      <w:r w:rsidRPr="00632D97">
        <w:rPr>
          <w:rFonts w:ascii="Palatino Linotype" w:eastAsia="Palatino Linotype" w:hAnsi="Palatino Linotype" w:cs="Palatino Linotype"/>
        </w:rPr>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7194A361" w14:textId="77777777" w:rsidR="00DF40CC" w:rsidRPr="00632D97" w:rsidRDefault="00222045">
      <w:pPr>
        <w:spacing w:before="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Y, debe presentarse a través de los formatos XLSX y TXT, siendo el primero el siguiente:</w:t>
      </w:r>
    </w:p>
    <w:p w14:paraId="6E4CC72E" w14:textId="77777777" w:rsidR="00DF40CC" w:rsidRPr="00632D97" w:rsidRDefault="00222045">
      <w:pPr>
        <w:spacing w:before="240" w:line="360" w:lineRule="auto"/>
        <w:ind w:right="49"/>
        <w:jc w:val="center"/>
        <w:rPr>
          <w:rFonts w:ascii="Palatino Linotype" w:eastAsia="Palatino Linotype" w:hAnsi="Palatino Linotype" w:cs="Palatino Linotype"/>
        </w:rPr>
      </w:pPr>
      <w:r w:rsidRPr="00632D97">
        <w:rPr>
          <w:noProof/>
        </w:rPr>
        <w:lastRenderedPageBreak/>
        <w:drawing>
          <wp:inline distT="0" distB="0" distL="0" distR="0" wp14:anchorId="20317B4D" wp14:editId="2553F1D8">
            <wp:extent cx="4733925" cy="4198661"/>
            <wp:effectExtent l="0" t="0" r="0" b="0"/>
            <wp:docPr id="21401318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b="23204"/>
                    <a:stretch>
                      <a:fillRect/>
                    </a:stretch>
                  </pic:blipFill>
                  <pic:spPr>
                    <a:xfrm>
                      <a:off x="0" y="0"/>
                      <a:ext cx="4733925" cy="4198661"/>
                    </a:xfrm>
                    <a:prstGeom prst="rect">
                      <a:avLst/>
                    </a:prstGeom>
                    <a:ln/>
                  </pic:spPr>
                </pic:pic>
              </a:graphicData>
            </a:graphic>
          </wp:inline>
        </w:drawing>
      </w:r>
    </w:p>
    <w:p w14:paraId="12823529" w14:textId="77777777" w:rsidR="00DF40CC" w:rsidRPr="00632D97" w:rsidRDefault="00222045">
      <w:pPr>
        <w:spacing w:before="240" w:line="360" w:lineRule="auto"/>
        <w:ind w:right="49"/>
        <w:jc w:val="center"/>
        <w:rPr>
          <w:rFonts w:ascii="Palatino Linotype" w:eastAsia="Palatino Linotype" w:hAnsi="Palatino Linotype" w:cs="Palatino Linotype"/>
        </w:rPr>
      </w:pPr>
      <w:r w:rsidRPr="00632D97">
        <w:rPr>
          <w:noProof/>
        </w:rPr>
        <w:drawing>
          <wp:inline distT="0" distB="0" distL="0" distR="0" wp14:anchorId="2071C024" wp14:editId="46E4E24B">
            <wp:extent cx="4733925" cy="1224227"/>
            <wp:effectExtent l="0" t="0" r="0" b="0"/>
            <wp:docPr id="21401318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77682" b="-74"/>
                    <a:stretch>
                      <a:fillRect/>
                    </a:stretch>
                  </pic:blipFill>
                  <pic:spPr>
                    <a:xfrm>
                      <a:off x="0" y="0"/>
                      <a:ext cx="4733925" cy="1224227"/>
                    </a:xfrm>
                    <a:prstGeom prst="rect">
                      <a:avLst/>
                    </a:prstGeom>
                    <a:ln/>
                  </pic:spPr>
                </pic:pic>
              </a:graphicData>
            </a:graphic>
          </wp:inline>
        </w:drawing>
      </w:r>
    </w:p>
    <w:p w14:paraId="283E2CB4" w14:textId="77777777" w:rsidR="00DF40CC" w:rsidRPr="00632D97" w:rsidRDefault="00222045" w:rsidP="00BE4AC9">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Para el llenado de dicho formato se deben observar las siguientes consideraciones:</w:t>
      </w:r>
    </w:p>
    <w:p w14:paraId="7445C1D1" w14:textId="545D8C9E" w:rsidR="00DF40CC" w:rsidRPr="00632D97" w:rsidRDefault="00BE4AC9" w:rsidP="00BE4AC9">
      <w:pPr>
        <w:spacing w:before="240" w:after="240" w:line="360" w:lineRule="auto"/>
        <w:ind w:right="51"/>
        <w:jc w:val="center"/>
        <w:rPr>
          <w:rFonts w:ascii="Palatino Linotype" w:eastAsia="Palatino Linotype" w:hAnsi="Palatino Linotype" w:cs="Palatino Linotype"/>
        </w:rPr>
      </w:pPr>
      <w:r w:rsidRPr="00632D97">
        <w:rPr>
          <w:noProof/>
        </w:rPr>
        <w:lastRenderedPageBreak/>
        <mc:AlternateContent>
          <mc:Choice Requires="wps">
            <w:drawing>
              <wp:anchor distT="0" distB="0" distL="114300" distR="114300" simplePos="0" relativeHeight="251665408" behindDoc="0" locked="0" layoutInCell="1" allowOverlap="1" wp14:anchorId="64E301D5" wp14:editId="3EB1D352">
                <wp:simplePos x="0" y="0"/>
                <wp:positionH relativeFrom="margin">
                  <wp:posOffset>462915</wp:posOffset>
                </wp:positionH>
                <wp:positionV relativeFrom="paragraph">
                  <wp:posOffset>230488</wp:posOffset>
                </wp:positionV>
                <wp:extent cx="4659630" cy="247015"/>
                <wp:effectExtent l="57150" t="38100" r="83820" b="95885"/>
                <wp:wrapNone/>
                <wp:docPr id="9" name="Rectángulo 9"/>
                <wp:cNvGraphicFramePr/>
                <a:graphic xmlns:a="http://schemas.openxmlformats.org/drawingml/2006/main">
                  <a:graphicData uri="http://schemas.microsoft.com/office/word/2010/wordprocessingShape">
                    <wps:wsp>
                      <wps:cNvSpPr/>
                      <wps:spPr>
                        <a:xfrm>
                          <a:off x="0" y="0"/>
                          <a:ext cx="4659630" cy="24701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F041A87" id="Rectángulo 9" o:spid="_x0000_s1026" style="position:absolute;margin-left:36.45pt;margin-top:18.15pt;width:366.9pt;height:19.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" filled="f" strokecolor="#c00000" strokeweight="3pt">
                <v:shadow on="t" color="black" opacity="22937f" origin=",.5" offset="0,.63889mm"/>
                <w10:wrap anchorx="margin"/>
              </v:rect>
            </w:pict>
          </mc:Fallback>
        </mc:AlternateContent>
      </w:r>
      <w:r w:rsidRPr="00632D97">
        <w:rPr>
          <w:noProof/>
        </w:rPr>
        <mc:AlternateContent>
          <mc:Choice Requires="wps">
            <w:drawing>
              <wp:anchor distT="0" distB="0" distL="114300" distR="114300" simplePos="0" relativeHeight="251663360" behindDoc="0" locked="0" layoutInCell="1" allowOverlap="1" wp14:anchorId="6E393692" wp14:editId="3B630338">
                <wp:simplePos x="0" y="0"/>
                <wp:positionH relativeFrom="margin">
                  <wp:align>center</wp:align>
                </wp:positionH>
                <wp:positionV relativeFrom="paragraph">
                  <wp:posOffset>4958269</wp:posOffset>
                </wp:positionV>
                <wp:extent cx="4660231" cy="172994"/>
                <wp:effectExtent l="57150" t="38100" r="83820" b="93980"/>
                <wp:wrapNone/>
                <wp:docPr id="8" name="Rectángulo 8"/>
                <wp:cNvGraphicFramePr/>
                <a:graphic xmlns:a="http://schemas.openxmlformats.org/drawingml/2006/main">
                  <a:graphicData uri="http://schemas.microsoft.com/office/word/2010/wordprocessingShape">
                    <wps:wsp>
                      <wps:cNvSpPr/>
                      <wps:spPr>
                        <a:xfrm>
                          <a:off x="0" y="0"/>
                          <a:ext cx="4660231" cy="172994"/>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BE83725" id="Rectángulo 8" o:spid="_x0000_s1026" style="position:absolute;margin-left:0;margin-top:390.4pt;width:366.95pt;height:13.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" filled="f" strokecolor="#c00000" strokeweight="3pt">
                <v:shadow on="t" color="black" opacity="22937f" origin=",.5" offset="0,.63889mm"/>
                <w10:wrap anchorx="margin"/>
              </v:rect>
            </w:pict>
          </mc:Fallback>
        </mc:AlternateContent>
      </w:r>
      <w:r w:rsidRPr="00632D97">
        <w:rPr>
          <w:noProof/>
        </w:rPr>
        <mc:AlternateContent>
          <mc:Choice Requires="wps">
            <w:drawing>
              <wp:anchor distT="0" distB="0" distL="114300" distR="114300" simplePos="0" relativeHeight="251661312" behindDoc="0" locked="0" layoutInCell="1" allowOverlap="1" wp14:anchorId="0060D473" wp14:editId="7F1305D4">
                <wp:simplePos x="0" y="0"/>
                <wp:positionH relativeFrom="margin">
                  <wp:posOffset>462915</wp:posOffset>
                </wp:positionH>
                <wp:positionV relativeFrom="paragraph">
                  <wp:posOffset>1365267</wp:posOffset>
                </wp:positionV>
                <wp:extent cx="4660231" cy="247135"/>
                <wp:effectExtent l="57150" t="38100" r="83820" b="95885"/>
                <wp:wrapNone/>
                <wp:docPr id="7" name="Rectángulo 7"/>
                <wp:cNvGraphicFramePr/>
                <a:graphic xmlns:a="http://schemas.openxmlformats.org/drawingml/2006/main">
                  <a:graphicData uri="http://schemas.microsoft.com/office/word/2010/wordprocessingShape">
                    <wps:wsp>
                      <wps:cNvSpPr/>
                      <wps:spPr>
                        <a:xfrm>
                          <a:off x="0" y="0"/>
                          <a:ext cx="4660231" cy="24713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FCB849F" id="Rectángulo 7" o:spid="_x0000_s1026" style="position:absolute;margin-left:36.45pt;margin-top:107.5pt;width:366.95pt;height:1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" filled="f" strokecolor="#c00000" strokeweight="3pt">
                <v:shadow on="t" color="black" opacity="22937f" origin=",.5" offset="0,.63889mm"/>
                <w10:wrap anchorx="margin"/>
              </v:rect>
            </w:pict>
          </mc:Fallback>
        </mc:AlternateContent>
      </w:r>
      <w:r w:rsidRPr="00632D97">
        <w:rPr>
          <w:noProof/>
        </w:rPr>
        <mc:AlternateContent>
          <mc:Choice Requires="wps">
            <w:drawing>
              <wp:anchor distT="0" distB="0" distL="114300" distR="114300" simplePos="0" relativeHeight="251659264" behindDoc="0" locked="0" layoutInCell="1" allowOverlap="1" wp14:anchorId="2E6BD12A" wp14:editId="23E85F7E">
                <wp:simplePos x="0" y="0"/>
                <wp:positionH relativeFrom="margin">
                  <wp:align>center</wp:align>
                </wp:positionH>
                <wp:positionV relativeFrom="paragraph">
                  <wp:posOffset>3000375</wp:posOffset>
                </wp:positionV>
                <wp:extent cx="4660231" cy="172994"/>
                <wp:effectExtent l="57150" t="38100" r="83820" b="93980"/>
                <wp:wrapNone/>
                <wp:docPr id="6" name="Rectángulo 6"/>
                <wp:cNvGraphicFramePr/>
                <a:graphic xmlns:a="http://schemas.openxmlformats.org/drawingml/2006/main">
                  <a:graphicData uri="http://schemas.microsoft.com/office/word/2010/wordprocessingShape">
                    <wps:wsp>
                      <wps:cNvSpPr/>
                      <wps:spPr>
                        <a:xfrm>
                          <a:off x="0" y="0"/>
                          <a:ext cx="4660231" cy="172994"/>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2EB40F6" id="Rectángulo 6" o:spid="_x0000_s1026" style="position:absolute;margin-left:0;margin-top:236.25pt;width:366.95pt;height:13.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" filled="f" strokecolor="#c00000" strokeweight="3pt">
                <v:shadow on="t" color="black" opacity="22937f" origin=",.5" offset="0,.63889mm"/>
                <w10:wrap anchorx="margin"/>
              </v:rect>
            </w:pict>
          </mc:Fallback>
        </mc:AlternateContent>
      </w:r>
      <w:r w:rsidR="00222045" w:rsidRPr="00632D97">
        <w:rPr>
          <w:noProof/>
        </w:rPr>
        <w:drawing>
          <wp:inline distT="0" distB="0" distL="0" distR="0" wp14:anchorId="55CA4072" wp14:editId="4B173027">
            <wp:extent cx="4644000" cy="1276864"/>
            <wp:effectExtent l="0" t="0" r="0" b="0"/>
            <wp:docPr id="2140131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644000" cy="1276864"/>
                    </a:xfrm>
                    <a:prstGeom prst="rect">
                      <a:avLst/>
                    </a:prstGeom>
                    <a:ln/>
                  </pic:spPr>
                </pic:pic>
              </a:graphicData>
            </a:graphic>
          </wp:inline>
        </w:drawing>
      </w:r>
      <w:r w:rsidR="00222045" w:rsidRPr="00632D97">
        <w:rPr>
          <w:noProof/>
        </w:rPr>
        <w:drawing>
          <wp:inline distT="0" distB="0" distL="0" distR="0" wp14:anchorId="539F20BB" wp14:editId="1AB79A99">
            <wp:extent cx="4642622" cy="3952456"/>
            <wp:effectExtent l="0" t="0" r="0" b="0"/>
            <wp:docPr id="2140131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b="18981"/>
                    <a:stretch>
                      <a:fillRect/>
                    </a:stretch>
                  </pic:blipFill>
                  <pic:spPr>
                    <a:xfrm>
                      <a:off x="0" y="0"/>
                      <a:ext cx="4642622" cy="3952456"/>
                    </a:xfrm>
                    <a:prstGeom prst="rect">
                      <a:avLst/>
                    </a:prstGeom>
                    <a:ln/>
                  </pic:spPr>
                </pic:pic>
              </a:graphicData>
            </a:graphic>
          </wp:inline>
        </w:drawing>
      </w:r>
      <w:r w:rsidR="00222045" w:rsidRPr="00632D97">
        <w:rPr>
          <w:noProof/>
        </w:rPr>
        <w:drawing>
          <wp:inline distT="0" distB="0" distL="0" distR="0" wp14:anchorId="10B2B24E" wp14:editId="326F2231">
            <wp:extent cx="4642622" cy="881560"/>
            <wp:effectExtent l="0" t="0" r="0" b="0"/>
            <wp:docPr id="21401318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81504" b="424"/>
                    <a:stretch>
                      <a:fillRect/>
                    </a:stretch>
                  </pic:blipFill>
                  <pic:spPr>
                    <a:xfrm>
                      <a:off x="0" y="0"/>
                      <a:ext cx="4642622" cy="881560"/>
                    </a:xfrm>
                    <a:prstGeom prst="rect">
                      <a:avLst/>
                    </a:prstGeom>
                    <a:ln/>
                  </pic:spPr>
                </pic:pic>
              </a:graphicData>
            </a:graphic>
          </wp:inline>
        </w:drawing>
      </w:r>
    </w:p>
    <w:p w14:paraId="33295342"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Como se logra vislumbrar, el formato de conciliación de nómina que es remitido por los entes fiscalizables municipales al Órgano Superior de Fiscalización del Estado de México, como parte de los informes trimestrales para dar cumplimiento a sus </w:t>
      </w:r>
      <w:r w:rsidRPr="00632D97">
        <w:rPr>
          <w:rFonts w:ascii="Palatino Linotype" w:eastAsia="Palatino Linotype" w:hAnsi="Palatino Linotype" w:cs="Palatino Linotype"/>
        </w:rPr>
        <w:lastRenderedPageBreak/>
        <w:t xml:space="preserve">obligaciones fiscales, contiene los rubros: Número Progresivo, </w:t>
      </w:r>
      <w:r w:rsidRPr="00632D97">
        <w:rPr>
          <w:rFonts w:ascii="Palatino Linotype" w:eastAsia="Palatino Linotype" w:hAnsi="Palatino Linotype" w:cs="Palatino Linotype"/>
          <w:u w:val="single"/>
        </w:rPr>
        <w:t>Número de quincena,</w:t>
      </w:r>
      <w:r w:rsidRPr="00632D97">
        <w:rPr>
          <w:rFonts w:ascii="Palatino Linotype" w:eastAsia="Palatino Linotype" w:hAnsi="Palatino Linotype" w:cs="Palatino Linotype"/>
        </w:rPr>
        <w:t xml:space="preserve"> Número de empleado, R.F.C, CURP, Número de seguridad social (ISSEMYM), </w:t>
      </w:r>
      <w:r w:rsidRPr="00632D97">
        <w:rPr>
          <w:rFonts w:ascii="Palatino Linotype" w:eastAsia="Palatino Linotype" w:hAnsi="Palatino Linotype" w:cs="Palatino Linotype"/>
          <w:b/>
          <w:u w:val="single"/>
        </w:rPr>
        <w:t>Nombre completo</w:t>
      </w:r>
      <w:r w:rsidRPr="00632D97">
        <w:rPr>
          <w:rFonts w:ascii="Palatino Linotype" w:eastAsia="Palatino Linotype" w:hAnsi="Palatino Linotype" w:cs="Palatino Linotype"/>
          <w:u w:val="single"/>
        </w:rPr>
        <w:t>: Apellido Paterno, Apellido Materno, Nombre (s),</w:t>
      </w:r>
      <w:r w:rsidRPr="00632D97">
        <w:rPr>
          <w:rFonts w:ascii="Palatino Linotype" w:eastAsia="Palatino Linotype" w:hAnsi="Palatino Linotype" w:cs="Palatino Linotype"/>
        </w:rPr>
        <w:t xml:space="preserve"> Fecha de alta, Fecha de baja, </w:t>
      </w:r>
      <w:r w:rsidRPr="00632D97">
        <w:rPr>
          <w:rFonts w:ascii="Palatino Linotype" w:eastAsia="Palatino Linotype" w:hAnsi="Palatino Linotype" w:cs="Palatino Linotype"/>
          <w:b/>
        </w:rPr>
        <w:t>Puesto funcional</w:t>
      </w:r>
      <w:r w:rsidRPr="00632D97">
        <w:rPr>
          <w:rFonts w:ascii="Palatino Linotype" w:eastAsia="Palatino Linotype" w:hAnsi="Palatino Linotype" w:cs="Palatino Linotype"/>
        </w:rPr>
        <w:t xml:space="preserve">, Nivel y/o rango, No. de horas laboradas, </w:t>
      </w:r>
      <w:r w:rsidRPr="00632D97">
        <w:rPr>
          <w:rFonts w:ascii="Palatino Linotype" w:eastAsia="Palatino Linotype" w:hAnsi="Palatino Linotype" w:cs="Palatino Linotype"/>
          <w:b/>
        </w:rPr>
        <w:t>Adscripción,</w:t>
      </w:r>
      <w:r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b/>
          <w:u w:val="single"/>
        </w:rPr>
        <w:t>Categoría: Confianza, Sindicalizado o Eventual</w:t>
      </w:r>
      <w:r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b/>
        </w:rPr>
        <w:t>Percepciones ordinarias</w:t>
      </w:r>
      <w:r w:rsidRPr="00632D97">
        <w:rPr>
          <w:rFonts w:ascii="Palatino Linotype" w:eastAsia="Palatino Linotype" w:hAnsi="Palatino Linotype" w:cs="Palatino Linotype"/>
        </w:rPr>
        <w:t xml:space="preserve"> (de acuerdo al tabulador), </w:t>
      </w:r>
      <w:r w:rsidRPr="00632D97">
        <w:rPr>
          <w:rFonts w:ascii="Palatino Linotype" w:eastAsia="Palatino Linotype" w:hAnsi="Palatino Linotype" w:cs="Palatino Linotype"/>
          <w:b/>
        </w:rPr>
        <w:t>Percepciones extraordinarias</w:t>
      </w:r>
      <w:r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b/>
        </w:rPr>
        <w:t xml:space="preserve">Total de percepciones brutas; Deducciones; Total de deducciones, </w:t>
      </w:r>
      <w:r w:rsidRPr="00632D97">
        <w:rPr>
          <w:rFonts w:ascii="Palatino Linotype" w:eastAsia="Palatino Linotype" w:hAnsi="Palatino Linotype" w:cs="Palatino Linotype"/>
          <w:b/>
          <w:u w:val="single"/>
        </w:rPr>
        <w:t>Total neto</w:t>
      </w:r>
      <w:r w:rsidRPr="00632D97">
        <w:rPr>
          <w:rFonts w:ascii="Palatino Linotype" w:eastAsia="Palatino Linotype" w:hAnsi="Palatino Linotype" w:cs="Palatino Linotype"/>
          <w:u w:val="single"/>
        </w:rPr>
        <w:t>,</w:t>
      </w:r>
      <w:r w:rsidRPr="00632D97">
        <w:rPr>
          <w:rFonts w:ascii="Palatino Linotype" w:eastAsia="Palatino Linotype" w:hAnsi="Palatino Linotype" w:cs="Palatino Linotype"/>
        </w:rPr>
        <w:t xml:space="preserve"> Días pagados, Nombre de la fuente de financiamiento, Póliza, y Medio de pago.</w:t>
      </w:r>
    </w:p>
    <w:p w14:paraId="536BC6D8" w14:textId="1CD3DC71"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Por consiguiente, se estima que el documento a través del cual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puede colmar la pretensión de la persona solicitante, es la conciliación de nómina de la primera y segunda quincena de</w:t>
      </w:r>
      <w:r w:rsidR="00F470CD" w:rsidRPr="00632D97">
        <w:rPr>
          <w:rFonts w:ascii="Palatino Linotype" w:eastAsia="Palatino Linotype" w:hAnsi="Palatino Linotype" w:cs="Palatino Linotype"/>
        </w:rPr>
        <w:t xml:space="preserve"> enero, fe</w:t>
      </w:r>
      <w:r w:rsidRPr="00632D97">
        <w:rPr>
          <w:rFonts w:ascii="Palatino Linotype" w:eastAsia="Palatino Linotype" w:hAnsi="Palatino Linotype" w:cs="Palatino Linotype"/>
        </w:rPr>
        <w:t xml:space="preserve">brero y marzo de dos mil veinticinco, </w:t>
      </w:r>
      <w:r w:rsidR="001F71E4" w:rsidRPr="00632D97">
        <w:rPr>
          <w:rFonts w:ascii="Palatino Linotype" w:eastAsia="Palatino Linotype" w:hAnsi="Palatino Linotype" w:cs="Palatino Linotype"/>
        </w:rPr>
        <w:t xml:space="preserve">al de cuyo análisis podrá advertir el nombre completo de los servidores públicos, su sueldo mensual neto, así como la categoría de estos, es decir, si son de base, sindicalizados o eventuales, </w:t>
      </w:r>
      <w:r w:rsidRPr="00632D97">
        <w:rPr>
          <w:rFonts w:ascii="Palatino Linotype" w:eastAsia="Palatino Linotype" w:hAnsi="Palatino Linotype" w:cs="Palatino Linotype"/>
        </w:rPr>
        <w:t>cuya entrega es procedente en versión pública, de conformidad con el considerando siguiente.</w:t>
      </w:r>
    </w:p>
    <w:p w14:paraId="68B82B53" w14:textId="2895D1D5" w:rsidR="00DF40CC" w:rsidRPr="00632D97" w:rsidRDefault="0022204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De lo hasta aquí expuesto, se concluye que los motivos de inconformidad de la parte </w:t>
      </w:r>
      <w:r w:rsidRPr="00632D97">
        <w:rPr>
          <w:rFonts w:ascii="Palatino Linotype" w:eastAsia="Palatino Linotype" w:hAnsi="Palatino Linotype" w:cs="Palatino Linotype"/>
          <w:b/>
        </w:rPr>
        <w:t xml:space="preserve">Recurrente </w:t>
      </w:r>
      <w:r w:rsidRPr="00632D97">
        <w:rPr>
          <w:rFonts w:ascii="Palatino Linotype" w:eastAsia="Palatino Linotype" w:hAnsi="Palatino Linotype" w:cs="Palatino Linotype"/>
        </w:rPr>
        <w:t xml:space="preserve">devienen fundados, siendo procedente </w:t>
      </w:r>
      <w:r w:rsidR="00F470CD" w:rsidRPr="00632D97">
        <w:rPr>
          <w:rFonts w:ascii="Palatino Linotype" w:eastAsia="Palatino Linotype" w:hAnsi="Palatino Linotype" w:cs="Palatino Linotype"/>
          <w:i/>
        </w:rPr>
        <w:t xml:space="preserve">Revocar </w:t>
      </w:r>
      <w:r w:rsidRPr="00632D97">
        <w:rPr>
          <w:rFonts w:ascii="Palatino Linotype" w:eastAsia="Palatino Linotype" w:hAnsi="Palatino Linotype" w:cs="Palatino Linotype"/>
        </w:rPr>
        <w:t xml:space="preserve">la respuesta proporcionada por el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C630DB4" w14:textId="77777777" w:rsidR="00DF40CC" w:rsidRPr="00632D97" w:rsidRDefault="00222045">
      <w:pPr>
        <w:spacing w:before="240" w:after="240" w:line="360" w:lineRule="auto"/>
        <w:ind w:right="51"/>
        <w:jc w:val="both"/>
        <w:rPr>
          <w:rFonts w:ascii="Palatino Linotype" w:eastAsia="Palatino Linotype" w:hAnsi="Palatino Linotype" w:cs="Palatino Linotype"/>
        </w:rPr>
      </w:pPr>
      <w:r w:rsidRPr="00632D97">
        <w:rPr>
          <w:rFonts w:ascii="Palatino Linotype" w:eastAsia="Palatino Linotype" w:hAnsi="Palatino Linotype" w:cs="Palatino Linotype"/>
          <w:b/>
        </w:rPr>
        <w:t xml:space="preserve">Quinto. Versión Pública. </w:t>
      </w:r>
      <w:r w:rsidRPr="00632D97">
        <w:rPr>
          <w:rFonts w:ascii="Palatino Linotype" w:eastAsia="Palatino Linotype" w:hAnsi="Palatino Linotype" w:cs="Palatino Linotype"/>
        </w:rPr>
        <w:t>Cómo fue debidamente apuntado,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w:t>
      </w:r>
      <w:r w:rsidRPr="00632D97">
        <w:rPr>
          <w:rFonts w:ascii="Palatino Linotype" w:eastAsia="Palatino Linotype" w:hAnsi="Palatino Linotype" w:cs="Palatino Linotype"/>
        </w:rPr>
        <w:lastRenderedPageBreak/>
        <w:t>versión pública, toda vez que en los documentos que se ordenan, existe la posibilidad de que obren datos que son considerados confidenciales, cuyo acceso debe ser restringido que deben testarse al momento de la versión pública, atento a lo siguiente:</w:t>
      </w:r>
    </w:p>
    <w:p w14:paraId="7F11AA92" w14:textId="77777777" w:rsidR="00DF40CC" w:rsidRPr="00632D97" w:rsidRDefault="00222045">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3C9B0BA" w14:textId="77777777" w:rsidR="00DF40CC" w:rsidRPr="00632D97" w:rsidRDefault="00222045">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B8DBBFE" w14:textId="77777777" w:rsidR="00DF40CC" w:rsidRPr="00632D97" w:rsidRDefault="00222045">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1771D2BF"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rPr>
        <w:t> </w:t>
      </w: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Artículo 3.</w:t>
      </w:r>
      <w:r w:rsidRPr="00632D97">
        <w:rPr>
          <w:rFonts w:ascii="Palatino Linotype" w:eastAsia="Palatino Linotype" w:hAnsi="Palatino Linotype" w:cs="Palatino Linotype"/>
          <w:i/>
          <w:sz w:val="22"/>
          <w:szCs w:val="22"/>
        </w:rPr>
        <w:t xml:space="preserve"> Para los efectos de la presente Ley se entenderá por:</w:t>
      </w:r>
    </w:p>
    <w:p w14:paraId="04AEAA34" w14:textId="77777777" w:rsidR="00DF40CC" w:rsidRPr="00632D97" w:rsidRDefault="00222045">
      <w:pPr>
        <w:tabs>
          <w:tab w:val="left" w:pos="1276"/>
        </w:tabs>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p>
    <w:p w14:paraId="3BC444F0" w14:textId="77777777" w:rsidR="00DF40CC" w:rsidRPr="00632D97" w:rsidRDefault="00222045">
      <w:pPr>
        <w:tabs>
          <w:tab w:val="left" w:pos="1276"/>
        </w:tabs>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IX. Datos personales</w:t>
      </w:r>
      <w:r w:rsidRPr="00632D97">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73957FEE" w14:textId="77777777" w:rsidR="00DF40CC" w:rsidRPr="00632D97" w:rsidRDefault="00222045">
      <w:pPr>
        <w:tabs>
          <w:tab w:val="left" w:pos="1276"/>
        </w:tabs>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p>
    <w:p w14:paraId="4959B802" w14:textId="77777777" w:rsidR="00DF40CC" w:rsidRPr="00632D97" w:rsidRDefault="00222045">
      <w:pPr>
        <w:tabs>
          <w:tab w:val="left" w:pos="1276"/>
        </w:tabs>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XX. Información clasificada</w:t>
      </w:r>
      <w:r w:rsidRPr="00632D97">
        <w:rPr>
          <w:rFonts w:ascii="Palatino Linotype" w:eastAsia="Palatino Linotype" w:hAnsi="Palatino Linotype" w:cs="Palatino Linotype"/>
          <w:i/>
          <w:sz w:val="22"/>
          <w:szCs w:val="22"/>
        </w:rPr>
        <w:t>: Aquella considerada por la presente Ley como reservada o confidencial;</w:t>
      </w:r>
    </w:p>
    <w:p w14:paraId="11F509F5" w14:textId="77777777" w:rsidR="00DF40CC" w:rsidRPr="00632D97" w:rsidRDefault="00222045">
      <w:pPr>
        <w:tabs>
          <w:tab w:val="left" w:pos="1276"/>
        </w:tabs>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lastRenderedPageBreak/>
        <w:t>XXI. Información confidencial</w:t>
      </w:r>
      <w:r w:rsidRPr="00632D97">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8BBEB2" w14:textId="77777777" w:rsidR="00DF40CC" w:rsidRPr="00632D97" w:rsidRDefault="00222045">
      <w:pPr>
        <w:tabs>
          <w:tab w:val="left" w:pos="1276"/>
        </w:tabs>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p>
    <w:p w14:paraId="0C1F591B" w14:textId="77777777" w:rsidR="00DF40CC" w:rsidRPr="00632D97" w:rsidRDefault="00222045">
      <w:pPr>
        <w:tabs>
          <w:tab w:val="left" w:pos="1276"/>
        </w:tabs>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XXXII. Protección de Datos Personales</w:t>
      </w:r>
      <w:r w:rsidRPr="00632D97">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29AA1B41" w14:textId="77777777" w:rsidR="00DF40CC" w:rsidRPr="00632D97" w:rsidRDefault="00222045">
      <w:pPr>
        <w:tabs>
          <w:tab w:val="left" w:pos="1276"/>
        </w:tabs>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p>
    <w:p w14:paraId="7DE465A9" w14:textId="77777777" w:rsidR="00DF40CC" w:rsidRPr="00632D97" w:rsidRDefault="00222045">
      <w:pPr>
        <w:tabs>
          <w:tab w:val="left" w:pos="1276"/>
        </w:tabs>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XLV. Versión pública</w:t>
      </w:r>
      <w:r w:rsidRPr="00632D9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E1D132C"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 Artículo 6</w:t>
      </w:r>
      <w:r w:rsidRPr="00632D97">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C754A22"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p>
    <w:p w14:paraId="3AAA01AC"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Artículo 91.</w:t>
      </w:r>
      <w:r w:rsidRPr="00632D9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632D97">
        <w:rPr>
          <w:rFonts w:ascii="Palatino Linotype" w:eastAsia="Palatino Linotype" w:hAnsi="Palatino Linotype" w:cs="Palatino Linotype"/>
          <w:i/>
          <w:sz w:val="22"/>
          <w:szCs w:val="22"/>
        </w:rPr>
        <w:br/>
        <w:t>…</w:t>
      </w:r>
    </w:p>
    <w:p w14:paraId="270EFF20"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Artículo 132.</w:t>
      </w:r>
      <w:r w:rsidRPr="00632D97">
        <w:rPr>
          <w:rFonts w:ascii="Palatino Linotype" w:eastAsia="Palatino Linotype" w:hAnsi="Palatino Linotype" w:cs="Palatino Linotype"/>
          <w:i/>
          <w:sz w:val="22"/>
          <w:szCs w:val="22"/>
        </w:rPr>
        <w:t xml:space="preserve"> La clasificación de la información se llevará a cabo en el momento en que:</w:t>
      </w:r>
    </w:p>
    <w:p w14:paraId="055E27B9"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w:t>
      </w:r>
      <w:r w:rsidRPr="00632D97">
        <w:rPr>
          <w:rFonts w:ascii="Palatino Linotype" w:eastAsia="Palatino Linotype" w:hAnsi="Palatino Linotype" w:cs="Palatino Linotype"/>
          <w:i/>
          <w:sz w:val="22"/>
          <w:szCs w:val="22"/>
        </w:rPr>
        <w:t>. Se reciba una solicitud de acceso a la información;</w:t>
      </w:r>
    </w:p>
    <w:p w14:paraId="0826A76C"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II.</w:t>
      </w:r>
      <w:r w:rsidRPr="00632D97">
        <w:rPr>
          <w:rFonts w:ascii="Palatino Linotype" w:eastAsia="Palatino Linotype" w:hAnsi="Palatino Linotype" w:cs="Palatino Linotype"/>
          <w:i/>
          <w:sz w:val="22"/>
          <w:szCs w:val="22"/>
        </w:rPr>
        <w:t xml:space="preserve"> Se determine mediante resolución de autoridad competente; o</w:t>
      </w:r>
    </w:p>
    <w:p w14:paraId="4DF18B16"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III.</w:t>
      </w:r>
      <w:r w:rsidRPr="00632D9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671B551"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w:t>
      </w:r>
    </w:p>
    <w:p w14:paraId="1345B49A"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Artículo 137.</w:t>
      </w:r>
      <w:r w:rsidRPr="00632D9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w:t>
      </w:r>
      <w:r w:rsidRPr="00632D97">
        <w:rPr>
          <w:rFonts w:ascii="Palatino Linotype" w:eastAsia="Palatino Linotype" w:hAnsi="Palatino Linotype" w:cs="Palatino Linotype"/>
          <w:i/>
          <w:sz w:val="22"/>
          <w:szCs w:val="22"/>
        </w:rPr>
        <w:lastRenderedPageBreak/>
        <w:t>pública en la que se testen las partes o secciones clasificadas, indicando su contenido de manera genérica y fundando y motivando su clasificación.</w:t>
      </w:r>
    </w:p>
    <w:p w14:paraId="742E390E"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 Artículo 143.</w:t>
      </w:r>
      <w:r w:rsidRPr="00632D97">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C4FC85F"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w:t>
      </w:r>
      <w:r w:rsidRPr="00632D9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BC6A8C6" w14:textId="77777777" w:rsidR="00DF40CC" w:rsidRPr="00632D97" w:rsidRDefault="00222045">
      <w:pPr>
        <w:spacing w:before="240" w:after="240" w:line="360" w:lineRule="auto"/>
        <w:ind w:right="50"/>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F45799D" w14:textId="77777777" w:rsidR="00DF40CC" w:rsidRPr="00632D97" w:rsidRDefault="00222045">
      <w:pPr>
        <w:spacing w:before="240" w:after="240" w:line="360" w:lineRule="auto"/>
        <w:ind w:right="50"/>
        <w:jc w:val="both"/>
        <w:rPr>
          <w:rFonts w:ascii="Palatino Linotype" w:eastAsia="Palatino Linotype" w:hAnsi="Palatino Linotype" w:cs="Palatino Linotype"/>
        </w:rPr>
      </w:pPr>
      <w:r w:rsidRPr="00632D9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7575308"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derivado del ejercicio de sus atribuciones, tal como </w:t>
      </w:r>
      <w:r w:rsidRPr="00632D97">
        <w:rPr>
          <w:rFonts w:ascii="Palatino Linotype" w:eastAsia="Palatino Linotype" w:hAnsi="Palatino Linotype" w:cs="Palatino Linotype"/>
        </w:rPr>
        <w:lastRenderedPageBreak/>
        <w:t xml:space="preserve">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632D97">
        <w:rPr>
          <w:rFonts w:ascii="Palatino Linotype" w:eastAsia="Palatino Linotype" w:hAnsi="Palatino Linotype" w:cs="Palatino Linotype"/>
          <w:b/>
        </w:rPr>
        <w:t>Registro Federal de Contribuyentes</w:t>
      </w:r>
      <w:r w:rsidRPr="00632D97">
        <w:rPr>
          <w:rFonts w:ascii="Palatino Linotype" w:eastAsia="Palatino Linotype" w:hAnsi="Palatino Linotype" w:cs="Palatino Linotype"/>
        </w:rPr>
        <w:t xml:space="preserve"> (RFC), la </w:t>
      </w:r>
      <w:r w:rsidRPr="00632D97">
        <w:rPr>
          <w:rFonts w:ascii="Palatino Linotype" w:eastAsia="Palatino Linotype" w:hAnsi="Palatino Linotype" w:cs="Palatino Linotype"/>
          <w:b/>
        </w:rPr>
        <w:t>Clave Única de Registro de Población</w:t>
      </w:r>
      <w:r w:rsidRPr="00632D97">
        <w:rPr>
          <w:rFonts w:ascii="Palatino Linotype" w:eastAsia="Palatino Linotype" w:hAnsi="Palatino Linotype" w:cs="Palatino Linotype"/>
        </w:rPr>
        <w:t xml:space="preserve"> (CURP), la </w:t>
      </w:r>
      <w:r w:rsidRPr="00632D97">
        <w:rPr>
          <w:rFonts w:ascii="Palatino Linotype" w:eastAsia="Palatino Linotype" w:hAnsi="Palatino Linotype" w:cs="Palatino Linotype"/>
          <w:b/>
        </w:rPr>
        <w:t>Clave de cualquier tipo de seguridad social</w:t>
      </w:r>
      <w:r w:rsidRPr="00632D97">
        <w:rPr>
          <w:rFonts w:ascii="Palatino Linotype" w:eastAsia="Palatino Linotype" w:hAnsi="Palatino Linotype" w:cs="Palatino Linotype"/>
        </w:rPr>
        <w:t xml:space="preserve"> (ISSEMYM, u otros), los </w:t>
      </w:r>
      <w:r w:rsidRPr="00632D97">
        <w:rPr>
          <w:rFonts w:ascii="Palatino Linotype" w:eastAsia="Palatino Linotype" w:hAnsi="Palatino Linotype" w:cs="Palatino Linotype"/>
          <w:b/>
        </w:rPr>
        <w:t>números de cuentas bancarias</w:t>
      </w:r>
      <w:r w:rsidRPr="00632D97">
        <w:rPr>
          <w:rFonts w:ascii="Palatino Linotype" w:eastAsia="Palatino Linotype" w:hAnsi="Palatino Linotype" w:cs="Palatino Linotype"/>
        </w:rPr>
        <w:t xml:space="preserve">, claves estandarizadas – interbancarias - (CLABES) y de tarjetas, los </w:t>
      </w:r>
      <w:r w:rsidRPr="00632D97">
        <w:rPr>
          <w:rFonts w:ascii="Palatino Linotype" w:eastAsia="Palatino Linotype" w:hAnsi="Palatino Linotype" w:cs="Palatino Linotype"/>
          <w:b/>
        </w:rPr>
        <w:t>préstamos o descuentos</w:t>
      </w:r>
      <w:r w:rsidRPr="00632D97">
        <w:rPr>
          <w:rFonts w:ascii="Palatino Linotype" w:eastAsia="Palatino Linotype" w:hAnsi="Palatino Linotype" w:cs="Palatino Linotype"/>
        </w:rPr>
        <w:t xml:space="preserve"> que se le hagan a la persona y que no tengan relación con los impuestos o la cuota por seguridad social, el</w:t>
      </w:r>
      <w:r w:rsidRPr="00632D97">
        <w:rPr>
          <w:rFonts w:ascii="Palatino Linotype" w:eastAsia="Palatino Linotype" w:hAnsi="Palatino Linotype" w:cs="Palatino Linotype"/>
          <w:b/>
        </w:rPr>
        <w:t xml:space="preserve"> número de empleado, </w:t>
      </w:r>
      <w:r w:rsidRPr="00632D97">
        <w:rPr>
          <w:rFonts w:ascii="Palatino Linotype" w:eastAsia="Palatino Linotype" w:hAnsi="Palatino Linotype" w:cs="Palatino Linotype"/>
        </w:rPr>
        <w:t>y cualquier información de carácter fiscal.</w:t>
      </w:r>
    </w:p>
    <w:p w14:paraId="3C1908F6" w14:textId="77777777" w:rsidR="00DF40CC" w:rsidRPr="00632D97" w:rsidRDefault="00222045">
      <w:pPr>
        <w:spacing w:before="240" w:after="240" w:line="360" w:lineRule="auto"/>
        <w:ind w:right="50"/>
        <w:jc w:val="both"/>
        <w:rPr>
          <w:rFonts w:ascii="Palatino Linotype" w:eastAsia="Palatino Linotype" w:hAnsi="Palatino Linotype" w:cs="Palatino Linotype"/>
        </w:rPr>
      </w:pPr>
      <w:r w:rsidRPr="00632D9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779A1E8"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Por cuanto hace al </w:t>
      </w:r>
      <w:r w:rsidRPr="00632D97">
        <w:rPr>
          <w:rFonts w:ascii="Palatino Linotype" w:eastAsia="Palatino Linotype" w:hAnsi="Palatino Linotype" w:cs="Palatino Linotype"/>
          <w:b/>
        </w:rPr>
        <w:t>Registro Federal de Contribuyentes, RFC,</w:t>
      </w:r>
      <w:r w:rsidRPr="00632D97">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632D97">
        <w:rPr>
          <w:rFonts w:ascii="Palatino Linotype" w:eastAsia="Palatino Linotype" w:hAnsi="Palatino Linotype" w:cs="Palatino Linotype"/>
        </w:rPr>
        <w:t>homoclave</w:t>
      </w:r>
      <w:proofErr w:type="spellEnd"/>
      <w:r w:rsidRPr="00632D97">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00450146"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Ahora bien, las personas físicas tramitan su inscripción en el registro con el propósito de realizar —mediante esa clave de identificación— operaciones o </w:t>
      </w:r>
      <w:r w:rsidRPr="00632D97">
        <w:rPr>
          <w:rFonts w:ascii="Palatino Linotype" w:eastAsia="Palatino Linotype" w:hAnsi="Palatino Linotype" w:cs="Palatino Linotype"/>
        </w:rPr>
        <w:lastRenderedPageBreak/>
        <w:t>actividades de naturaleza fiscal, la cual, les permite hacerse identificables respecto de una situación fiscal determinada.</w:t>
      </w:r>
    </w:p>
    <w:p w14:paraId="724E928C" w14:textId="77777777" w:rsidR="00DF40CC" w:rsidRPr="00632D97" w:rsidRDefault="00222045">
      <w:pPr>
        <w:spacing w:before="240" w:after="240" w:line="360" w:lineRule="auto"/>
        <w:jc w:val="both"/>
        <w:rPr>
          <w:rFonts w:ascii="Palatino Linotype" w:eastAsia="Palatino Linotype" w:hAnsi="Palatino Linotype" w:cs="Palatino Linotype"/>
        </w:rPr>
      </w:pPr>
      <w:bookmarkStart w:id="10" w:name="_heading=h.26in1rg" w:colFirst="0" w:colLast="0"/>
      <w:bookmarkEnd w:id="10"/>
      <w:r w:rsidRPr="00632D97">
        <w:rPr>
          <w:rFonts w:ascii="Palatino Linotype" w:eastAsia="Palatino Linotype" w:hAnsi="Palatino Linotype" w:cs="Palatino Linotype"/>
        </w:rPr>
        <w:t>Lo anterior se apoya del criterio orientador con clave de control SO/019/2017, emitido por el entonces Instituto Nacional de Transparencia, Acceso a la Información y Protección de Datos Personales, INAI, el cual es del tenor literal siguiente:</w:t>
      </w:r>
    </w:p>
    <w:p w14:paraId="4B5906F0"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 xml:space="preserve"> “Registro Federal de Contribuyentes (RFC) de personas físicas</w:t>
      </w:r>
      <w:r w:rsidRPr="00632D97">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16BF3A3"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632D97">
        <w:rPr>
          <w:rFonts w:ascii="Palatino Linotype" w:eastAsia="Palatino Linotype" w:hAnsi="Palatino Linotype" w:cs="Palatino Linotype"/>
        </w:rPr>
        <w:t>homoclave</w:t>
      </w:r>
      <w:proofErr w:type="spellEnd"/>
      <w:r w:rsidRPr="00632D97">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56E94E0"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De igual manera la </w:t>
      </w:r>
      <w:r w:rsidRPr="00632D97">
        <w:rPr>
          <w:rFonts w:ascii="Palatino Linotype" w:eastAsia="Palatino Linotype" w:hAnsi="Palatino Linotype" w:cs="Palatino Linotype"/>
          <w:b/>
        </w:rPr>
        <w:t>Clave Única de Registro de Población</w:t>
      </w:r>
      <w:r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b/>
        </w:rPr>
        <w:t>CURP,</w:t>
      </w:r>
      <w:r w:rsidRPr="00632D97">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632D97">
        <w:rPr>
          <w:rFonts w:ascii="Palatino Linotype" w:eastAsia="Palatino Linotype" w:hAnsi="Palatino Linotype" w:cs="Palatino Linotype"/>
        </w:rPr>
        <w:lastRenderedPageBreak/>
        <w:t>distinguirlo del resto de los habitantes, por tal motivo, se considera que es de carácter confidencial.</w:t>
      </w:r>
    </w:p>
    <w:p w14:paraId="4E5214FD"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Argumento que se apoya del criterio orientador con Clave de control SO/018/2017, emitido por el entonces Instituto Nacional de Transparencia, Acceso a la Información y Protección de Datos Personales, INAI, el cual refiere:</w:t>
      </w:r>
    </w:p>
    <w:p w14:paraId="3DFC0FEB" w14:textId="77777777" w:rsidR="00DF40CC" w:rsidRPr="00632D97" w:rsidRDefault="00222045">
      <w:pPr>
        <w:spacing w:before="120" w:after="120"/>
        <w:ind w:left="851" w:right="902"/>
        <w:jc w:val="both"/>
        <w:rPr>
          <w:rFonts w:ascii="Palatino Linotype" w:eastAsia="Palatino Linotype" w:hAnsi="Palatino Linotype" w:cs="Palatino Linotype"/>
          <w:i/>
        </w:rPr>
      </w:pPr>
      <w:r w:rsidRPr="00632D97">
        <w:rPr>
          <w:rFonts w:ascii="Palatino Linotype" w:eastAsia="Palatino Linotype" w:hAnsi="Palatino Linotype" w:cs="Palatino Linotype"/>
          <w:b/>
          <w:i/>
        </w:rPr>
        <w:t xml:space="preserve"> </w:t>
      </w:r>
      <w:r w:rsidRPr="00632D97">
        <w:rPr>
          <w:rFonts w:ascii="Palatino Linotype" w:eastAsia="Palatino Linotype" w:hAnsi="Palatino Linotype" w:cs="Palatino Linotype"/>
          <w:b/>
          <w:i/>
          <w:sz w:val="22"/>
          <w:szCs w:val="22"/>
        </w:rPr>
        <w:t xml:space="preserve">“Clave Única de Registro de Población (CURP). </w:t>
      </w:r>
      <w:r w:rsidRPr="00632D97">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9FB7454"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Por lo que respecta a la </w:t>
      </w:r>
      <w:r w:rsidRPr="00632D97">
        <w:rPr>
          <w:rFonts w:ascii="Palatino Linotype" w:eastAsia="Palatino Linotype" w:hAnsi="Palatino Linotype" w:cs="Palatino Linotype"/>
          <w:b/>
        </w:rPr>
        <w:t>clave de seguridad social</w:t>
      </w:r>
      <w:r w:rsidRPr="00632D97">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0EAA78B6"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Respecto de los </w:t>
      </w:r>
      <w:r w:rsidRPr="00632D97">
        <w:rPr>
          <w:rFonts w:ascii="Palatino Linotype" w:eastAsia="Palatino Linotype" w:hAnsi="Palatino Linotype" w:cs="Palatino Linotype"/>
          <w:b/>
        </w:rPr>
        <w:t>números de cuentas bancari</w:t>
      </w:r>
      <w:r w:rsidRPr="00632D97">
        <w:rPr>
          <w:rFonts w:ascii="Palatino Linotype" w:eastAsia="Palatino Linotype" w:hAnsi="Palatino Linotype" w:cs="Palatino Linotype"/>
        </w:rPr>
        <w:t xml:space="preserve">as, </w:t>
      </w:r>
      <w:r w:rsidRPr="00632D97">
        <w:rPr>
          <w:rFonts w:ascii="Palatino Linotype" w:eastAsia="Palatino Linotype" w:hAnsi="Palatino Linotype" w:cs="Palatino Linotype"/>
          <w:b/>
        </w:rPr>
        <w:t>claves estandarizadas –interbancarias- (CLABES) y de tarjetas</w:t>
      </w:r>
      <w:r w:rsidRPr="00632D97">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3CE58874"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CB095AB"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lastRenderedPageBreak/>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2D6A9E8F"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6E519AD4"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4BADB0C6"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61637C36"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Cuentas bancarias y/o CLABE interbancaria de personas físicas y morales privadas.</w:t>
      </w:r>
      <w:r w:rsidRPr="00632D97">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0A10D1E"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632D97">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w:t>
      </w:r>
      <w:r w:rsidRPr="00632D97">
        <w:rPr>
          <w:rFonts w:ascii="Palatino Linotype" w:eastAsia="Palatino Linotype" w:hAnsi="Palatino Linotype" w:cs="Palatino Linotype"/>
          <w:i/>
          <w:sz w:val="22"/>
          <w:szCs w:val="22"/>
        </w:rPr>
        <w:lastRenderedPageBreak/>
        <w:t>se administran los recursos públicos, razón por la cual no pueden considerarse como información clasificada.”</w:t>
      </w:r>
    </w:p>
    <w:p w14:paraId="7D810825" w14:textId="77777777" w:rsidR="00DF40CC" w:rsidRPr="00632D97" w:rsidRDefault="00222045">
      <w:pPr>
        <w:spacing w:before="240" w:after="240" w:line="360" w:lineRule="auto"/>
        <w:jc w:val="both"/>
        <w:rPr>
          <w:rFonts w:ascii="Palatino Linotype" w:eastAsia="Palatino Linotype" w:hAnsi="Palatino Linotype" w:cs="Palatino Linotype"/>
        </w:rPr>
      </w:pPr>
      <w:bookmarkStart w:id="11" w:name="_heading=h.35nkun2" w:colFirst="0" w:colLast="0"/>
      <w:bookmarkEnd w:id="11"/>
      <w:r w:rsidRPr="00632D97">
        <w:rPr>
          <w:rFonts w:ascii="Palatino Linotype" w:eastAsia="Palatino Linotype" w:hAnsi="Palatino Linotype" w:cs="Palatino Linotype"/>
        </w:rPr>
        <w:t xml:space="preserve">Por cuanto hace a los </w:t>
      </w:r>
      <w:r w:rsidRPr="00632D97">
        <w:rPr>
          <w:rFonts w:ascii="Palatino Linotype" w:eastAsia="Palatino Linotype" w:hAnsi="Palatino Linotype" w:cs="Palatino Linotype"/>
          <w:b/>
        </w:rPr>
        <w:t>préstamos o descuentos de carácter personal</w:t>
      </w:r>
      <w:r w:rsidRPr="00632D97">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5A2261E2"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74121169" w14:textId="77777777" w:rsidR="00DF40CC" w:rsidRPr="00632D97" w:rsidRDefault="00222045">
      <w:pPr>
        <w:spacing w:before="120" w:after="120"/>
        <w:ind w:left="851" w:right="902"/>
        <w:jc w:val="both"/>
        <w:rPr>
          <w:rFonts w:ascii="Palatino Linotype" w:eastAsia="Palatino Linotype" w:hAnsi="Palatino Linotype" w:cs="Palatino Linotype"/>
          <w:b/>
          <w:i/>
          <w:sz w:val="22"/>
          <w:szCs w:val="22"/>
        </w:rPr>
      </w:pPr>
      <w:bookmarkStart w:id="12" w:name="_heading=h.1ksv4uv" w:colFirst="0" w:colLast="0"/>
      <w:bookmarkEnd w:id="12"/>
      <w:r w:rsidRPr="00632D97">
        <w:rPr>
          <w:rFonts w:ascii="Palatino Linotype" w:eastAsia="Palatino Linotype" w:hAnsi="Palatino Linotype" w:cs="Palatino Linotype"/>
          <w:b/>
          <w:i/>
          <w:sz w:val="22"/>
          <w:szCs w:val="22"/>
        </w:rPr>
        <w:t xml:space="preserve">“ARTÍCULO 84. </w:t>
      </w:r>
      <w:r w:rsidRPr="00632D97">
        <w:rPr>
          <w:rFonts w:ascii="Palatino Linotype" w:eastAsia="Palatino Linotype" w:hAnsi="Palatino Linotype" w:cs="Palatino Linotype"/>
          <w:i/>
          <w:sz w:val="22"/>
          <w:szCs w:val="22"/>
        </w:rPr>
        <w:t>Sólo podrán hacerse retenciones, descuentos o deducciones al sueldo de los servidores públicos por concepto de:</w:t>
      </w:r>
    </w:p>
    <w:p w14:paraId="7432E213"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w:t>
      </w:r>
      <w:r w:rsidRPr="00632D97">
        <w:rPr>
          <w:rFonts w:ascii="Palatino Linotype" w:eastAsia="Palatino Linotype" w:hAnsi="Palatino Linotype" w:cs="Palatino Linotype"/>
          <w:i/>
          <w:sz w:val="22"/>
          <w:szCs w:val="22"/>
        </w:rPr>
        <w:t xml:space="preserve"> Gravámenes fiscales relacionados con el sueldo;</w:t>
      </w:r>
    </w:p>
    <w:p w14:paraId="5F17F9B2"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II.</w:t>
      </w:r>
      <w:r w:rsidRPr="00632D97">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35D3192D"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III.</w:t>
      </w:r>
      <w:r w:rsidRPr="00632D97">
        <w:rPr>
          <w:rFonts w:ascii="Palatino Linotype" w:eastAsia="Palatino Linotype" w:hAnsi="Palatino Linotype" w:cs="Palatino Linotype"/>
          <w:i/>
          <w:sz w:val="22"/>
          <w:szCs w:val="22"/>
        </w:rPr>
        <w:t xml:space="preserve"> </w:t>
      </w:r>
      <w:r w:rsidRPr="00632D97">
        <w:rPr>
          <w:rFonts w:ascii="Palatino Linotype" w:eastAsia="Palatino Linotype" w:hAnsi="Palatino Linotype" w:cs="Palatino Linotype"/>
          <w:b/>
          <w:i/>
          <w:sz w:val="22"/>
          <w:szCs w:val="22"/>
        </w:rPr>
        <w:t>Cuotas sindicales</w:t>
      </w:r>
      <w:r w:rsidRPr="00632D97">
        <w:rPr>
          <w:rFonts w:ascii="Palatino Linotype" w:eastAsia="Palatino Linotype" w:hAnsi="Palatino Linotype" w:cs="Palatino Linotype"/>
          <w:i/>
          <w:sz w:val="22"/>
          <w:szCs w:val="22"/>
        </w:rPr>
        <w:t>;</w:t>
      </w:r>
    </w:p>
    <w:p w14:paraId="7E79A252"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IV.</w:t>
      </w:r>
      <w:r w:rsidRPr="00632D97">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1B550EDD"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V.</w:t>
      </w:r>
      <w:r w:rsidRPr="00632D97">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2927FD7E"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VI.</w:t>
      </w:r>
      <w:r w:rsidRPr="00632D97">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7E349001"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VII.</w:t>
      </w:r>
      <w:r w:rsidRPr="00632D97">
        <w:rPr>
          <w:rFonts w:ascii="Palatino Linotype" w:eastAsia="Palatino Linotype" w:hAnsi="Palatino Linotype" w:cs="Palatino Linotype"/>
          <w:i/>
          <w:sz w:val="22"/>
          <w:szCs w:val="22"/>
        </w:rPr>
        <w:t xml:space="preserve"> Faltas de puntualidad o de asistencia injustificadas;</w:t>
      </w:r>
    </w:p>
    <w:p w14:paraId="41857046"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VIII. Pensiones alimenticias ordenadas por la autoridad judicial;</w:t>
      </w:r>
      <w:r w:rsidRPr="00632D97">
        <w:rPr>
          <w:rFonts w:ascii="Palatino Linotype" w:eastAsia="Palatino Linotype" w:hAnsi="Palatino Linotype" w:cs="Palatino Linotype"/>
          <w:i/>
          <w:sz w:val="22"/>
          <w:szCs w:val="22"/>
        </w:rPr>
        <w:t xml:space="preserve"> o</w:t>
      </w:r>
    </w:p>
    <w:p w14:paraId="3730F549" w14:textId="77777777" w:rsidR="00DF40CC" w:rsidRPr="00632D97" w:rsidRDefault="00222045">
      <w:pPr>
        <w:spacing w:before="120" w:after="120"/>
        <w:ind w:left="1134" w:right="902"/>
        <w:jc w:val="both"/>
        <w:rPr>
          <w:rFonts w:ascii="Palatino Linotype" w:eastAsia="Palatino Linotype" w:hAnsi="Palatino Linotype" w:cs="Palatino Linotype"/>
          <w:b/>
          <w:i/>
          <w:sz w:val="22"/>
          <w:szCs w:val="22"/>
        </w:rPr>
      </w:pPr>
      <w:r w:rsidRPr="00632D97">
        <w:rPr>
          <w:rFonts w:ascii="Palatino Linotype" w:eastAsia="Palatino Linotype" w:hAnsi="Palatino Linotype" w:cs="Palatino Linotype"/>
          <w:b/>
          <w:i/>
          <w:sz w:val="22"/>
          <w:szCs w:val="22"/>
        </w:rPr>
        <w:t>IX. Cualquier otro convenido con instituciones de servicios y aceptado por el servidor público.</w:t>
      </w:r>
    </w:p>
    <w:p w14:paraId="6C3ED2C6"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w:t>
      </w:r>
      <w:r w:rsidRPr="00632D97">
        <w:rPr>
          <w:rFonts w:ascii="Palatino Linotype" w:eastAsia="Palatino Linotype" w:hAnsi="Palatino Linotype" w:cs="Palatino Linotype"/>
          <w:i/>
          <w:sz w:val="22"/>
          <w:szCs w:val="22"/>
        </w:rPr>
        <w:lastRenderedPageBreak/>
        <w:t xml:space="preserve">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128ED4A"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5A24175C"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De este modo, los </w:t>
      </w:r>
      <w:r w:rsidRPr="00632D97">
        <w:rPr>
          <w:rFonts w:ascii="Palatino Linotype" w:eastAsia="Palatino Linotype" w:hAnsi="Palatino Linotype" w:cs="Palatino Linotype"/>
          <w:b/>
        </w:rPr>
        <w:t>descuentos o deducciones por cuotas sindicales</w:t>
      </w:r>
      <w:r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b/>
        </w:rPr>
        <w:t>pensiones alimenticias</w:t>
      </w:r>
      <w:r w:rsidRPr="00632D97">
        <w:rPr>
          <w:rFonts w:ascii="Palatino Linotype" w:eastAsia="Palatino Linotype" w:hAnsi="Palatino Linotype" w:cs="Palatino Linotype"/>
        </w:rPr>
        <w:t xml:space="preserve"> o </w:t>
      </w:r>
      <w:r w:rsidRPr="00632D97">
        <w:rPr>
          <w:rFonts w:ascii="Palatino Linotype" w:eastAsia="Palatino Linotype" w:hAnsi="Palatino Linotype" w:cs="Palatino Linotype"/>
          <w:b/>
        </w:rPr>
        <w:t>créditos adquiridos con instituciones privadas</w:t>
      </w:r>
      <w:r w:rsidRPr="00632D97">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632D97">
        <w:rPr>
          <w:rFonts w:ascii="Palatino Linotype" w:eastAsia="Palatino Linotype" w:hAnsi="Palatino Linotype" w:cs="Palatino Linotype"/>
          <w:b/>
        </w:rPr>
        <w:t>es información que no es de carácter público, sino que constituye información confidencial</w:t>
      </w:r>
      <w:r w:rsidRPr="00632D97">
        <w:rPr>
          <w:rFonts w:ascii="Palatino Linotype" w:eastAsia="Palatino Linotype" w:hAnsi="Palatino Linotype" w:cs="Palatino Linotype"/>
        </w:rPr>
        <w:t xml:space="preserve"> en virtud de que corresponde con decisiones personales, y por tanto, se debe clasificar.</w:t>
      </w:r>
    </w:p>
    <w:p w14:paraId="35A0F858"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7B640C3A"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4835F91E"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lastRenderedPageBreak/>
        <w:t xml:space="preserve">Con relación al </w:t>
      </w:r>
      <w:r w:rsidRPr="00632D97">
        <w:rPr>
          <w:rFonts w:ascii="Palatino Linotype" w:eastAsia="Palatino Linotype" w:hAnsi="Palatino Linotype" w:cs="Palatino Linotype"/>
          <w:b/>
        </w:rPr>
        <w:t>número de empleado</w:t>
      </w:r>
      <w:r w:rsidRPr="00632D97">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632D97">
        <w:rPr>
          <w:rFonts w:ascii="Palatino Linotype" w:eastAsia="Palatino Linotype" w:hAnsi="Palatino Linotype" w:cs="Palatino Linotype"/>
          <w:vertAlign w:val="superscript"/>
        </w:rPr>
        <w:footnoteReference w:id="1"/>
      </w:r>
      <w:r w:rsidRPr="00632D97">
        <w:rPr>
          <w:rFonts w:ascii="Palatino Linotype" w:eastAsia="Palatino Linotype" w:hAnsi="Palatino Linotype" w:cs="Palatino Linotype"/>
        </w:rPr>
        <w:t>.</w:t>
      </w:r>
    </w:p>
    <w:p w14:paraId="59A2CB0A"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555421FD" w14:textId="77777777" w:rsidR="00DF40CC" w:rsidRPr="00632D97" w:rsidRDefault="00222045">
      <w:pPr>
        <w:tabs>
          <w:tab w:val="left" w:pos="7655"/>
        </w:tabs>
        <w:spacing w:before="120" w:after="120"/>
        <w:ind w:left="992" w:right="99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 xml:space="preserve">“Número de empleado. </w:t>
      </w:r>
      <w:r w:rsidRPr="00632D97">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7A8BB35"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w:t>
      </w:r>
      <w:r w:rsidRPr="00632D97">
        <w:rPr>
          <w:rFonts w:ascii="Palatino Linotype" w:eastAsia="Palatino Linotype" w:hAnsi="Palatino Linotype" w:cs="Palatino Linotype"/>
        </w:rPr>
        <w:lastRenderedPageBreak/>
        <w:t xml:space="preserve">su conformación no revele los mismos, por consiguiente, en el caso concreto,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070E342" w14:textId="77777777" w:rsidR="00BC6F52" w:rsidRPr="00632D97" w:rsidRDefault="00BC6F52" w:rsidP="00BC6F52">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632D97">
        <w:rPr>
          <w:rFonts w:ascii="Palatino Linotype" w:eastAsia="Palatino Linotype" w:hAnsi="Palatino Linotype" w:cs="Palatino Linotype"/>
          <w:b/>
          <w:u w:val="single"/>
        </w:rPr>
        <w:t>sólo por cuanto hace al nombre</w:t>
      </w:r>
      <w:r w:rsidRPr="00632D97">
        <w:rPr>
          <w:rFonts w:ascii="Palatino Linotype" w:eastAsia="Palatino Linotype" w:hAnsi="Palatino Linotype" w:cs="Palatino Linotype"/>
          <w:b/>
        </w:rPr>
        <w:t xml:space="preserve">, </w:t>
      </w:r>
      <w:r w:rsidRPr="00632D97">
        <w:rPr>
          <w:rFonts w:ascii="Palatino Linotype" w:eastAsia="Palatino Linotype" w:hAnsi="Palatino Linotype" w:cs="Palatino Linotype"/>
        </w:rPr>
        <w:t xml:space="preserve">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632D97">
        <w:rPr>
          <w:rFonts w:ascii="Palatino Linotype" w:eastAsia="Palatino Linotype" w:hAnsi="Palatino Linotype" w:cs="Palatino Linotype"/>
          <w:b/>
        </w:rPr>
        <w:t>que desempeñen funciones operativas</w:t>
      </w:r>
      <w:r w:rsidRPr="00632D97">
        <w:rPr>
          <w:rFonts w:ascii="Palatino Linotype" w:eastAsia="Palatino Linotype" w:hAnsi="Palatino Linotype" w:cs="Palatino Linotype"/>
        </w:rPr>
        <w:t>.</w:t>
      </w:r>
    </w:p>
    <w:p w14:paraId="75CB26BA" w14:textId="77777777" w:rsidR="00BC6F52" w:rsidRPr="00632D97" w:rsidRDefault="00BC6F52" w:rsidP="00BC6F52">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Al respecto, la información </w:t>
      </w:r>
      <w:r w:rsidRPr="00632D97">
        <w:rPr>
          <w:rFonts w:ascii="Palatino Linotype" w:eastAsia="Palatino Linotype" w:hAnsi="Palatino Linotype" w:cs="Palatino Linotype"/>
          <w:b/>
        </w:rPr>
        <w:t>de los elementos que realizan funciones operativas, entre ellos su nombre y cargo, deben ser protegidos</w:t>
      </w:r>
      <w:r w:rsidRPr="00632D97">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w:t>
      </w:r>
      <w:r w:rsidRPr="00632D97">
        <w:rPr>
          <w:rFonts w:ascii="Palatino Linotype" w:eastAsia="Palatino Linotype" w:hAnsi="Palatino Linotype" w:cs="Palatino Linotype"/>
        </w:rPr>
        <w:lastRenderedPageBreak/>
        <w:t>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0D999FEA" w14:textId="77777777" w:rsidR="00BC6F52" w:rsidRPr="00632D97" w:rsidRDefault="00BC6F52" w:rsidP="00BC6F52">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presentación de la solicitud, así como los requisitos previstos por los numerales Vigésimo tercero y Trigésimo tercero, de los Lineamientos generales en materia de clasificación y desclasificación de la información, así como para la elaboración de versiones públicas, vigentes a la fecha de presentación de la solicitud, al aplicar la prueba de daño correspondiente.</w:t>
      </w:r>
    </w:p>
    <w:p w14:paraId="59988EAD" w14:textId="77777777" w:rsidR="00BC6F52" w:rsidRPr="00632D97" w:rsidRDefault="00BC6F52" w:rsidP="00BC6F52">
      <w:pPr>
        <w:spacing w:before="240" w:after="240" w:line="360" w:lineRule="auto"/>
        <w:jc w:val="both"/>
        <w:rPr>
          <w:rFonts w:ascii="Palatino Linotype" w:eastAsia="Palatino Linotype" w:hAnsi="Palatino Linotype" w:cs="Palatino Linotype"/>
          <w:b/>
        </w:rPr>
      </w:pPr>
      <w:r w:rsidRPr="00632D97">
        <w:rPr>
          <w:rFonts w:ascii="Palatino Linotype" w:eastAsia="Palatino Linotype" w:hAnsi="Palatino Linotype" w:cs="Palatino Linotype"/>
        </w:rPr>
        <w:t xml:space="preserve">Como sustento de lo anterior, es preciso mencionar que el </w:t>
      </w:r>
      <w:r w:rsidRPr="00632D97">
        <w:rPr>
          <w:rFonts w:ascii="Palatino Linotype" w:eastAsia="Palatino Linotype" w:hAnsi="Palatino Linotype" w:cs="Palatino Linotype"/>
          <w:b/>
        </w:rPr>
        <w:t xml:space="preserve">actual Pleno de este Instituto ha sostenido el criterio de no dar a conocer los nombres de aquellos servidores públicos que realizan funciones operativas en materia de seguridad pública, </w:t>
      </w:r>
      <w:r w:rsidRPr="00632D97">
        <w:rPr>
          <w:rFonts w:ascii="Palatino Linotype" w:eastAsia="Palatino Linotype" w:hAnsi="Palatino Linotype" w:cs="Palatino Linotype"/>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w:t>
      </w:r>
      <w:r w:rsidRPr="00632D97">
        <w:rPr>
          <w:rFonts w:ascii="Palatino Linotype" w:eastAsia="Palatino Linotype" w:hAnsi="Palatino Linotype" w:cs="Palatino Linotype"/>
        </w:rPr>
        <w:lastRenderedPageBreak/>
        <w:t xml:space="preserve">integridad de las personas en el combate a la delincuencia; así, dicha información puede ser utilizada para </w:t>
      </w:r>
      <w:r w:rsidRPr="00632D97">
        <w:rPr>
          <w:rFonts w:ascii="Palatino Linotype" w:eastAsia="Palatino Linotype" w:hAnsi="Palatino Linotype" w:cs="Palatino Linotype"/>
          <w:b/>
        </w:rPr>
        <w:t xml:space="preserve">vulnerar la vida, seguridad o salud de dichos elementos, incluso la de sus familias o entorno social. </w:t>
      </w:r>
    </w:p>
    <w:p w14:paraId="4CA6654E" w14:textId="77777777" w:rsidR="00BC6F52" w:rsidRPr="00632D97" w:rsidRDefault="00BC6F52" w:rsidP="00BC6F52">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En tal contexto, es procedente la clasificación del nombre de los elementos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26892EBD" w14:textId="77777777" w:rsidR="00BC6F52" w:rsidRPr="00632D97" w:rsidRDefault="00BC6F52" w:rsidP="00BC6F52">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77D2D47C" w14:textId="77777777" w:rsidR="00BC6F52" w:rsidRPr="00632D97" w:rsidRDefault="00BC6F52" w:rsidP="00BC6F52">
      <w:pPr>
        <w:spacing w:before="120" w:after="12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orientador histórico 06/09, emitido por el entonces Instituto Federal de Acceso a la Información y Protección de Datos, que establece lo siguiente:</w:t>
      </w:r>
    </w:p>
    <w:p w14:paraId="6E2E925A" w14:textId="77777777" w:rsidR="00BC6F52" w:rsidRPr="00632D97" w:rsidRDefault="00BC6F52" w:rsidP="00BC6F52">
      <w:pPr>
        <w:tabs>
          <w:tab w:val="left" w:pos="4962"/>
        </w:tabs>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lastRenderedPageBreak/>
        <w:t>“Nombres de servidores públicos dedicados a actividades en materia de seguridad, por excepción pueden considerarse información reservada.</w:t>
      </w:r>
      <w:r w:rsidRPr="00632D97">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632D97">
        <w:rPr>
          <w:rFonts w:ascii="Palatino Linotype" w:eastAsia="Palatino Linotype" w:hAnsi="Palatino Linotype" w:cs="Palatino Linotype"/>
          <w:i/>
          <w:sz w:val="22"/>
          <w:szCs w:val="22"/>
        </w:rPr>
        <w:t>obstante</w:t>
      </w:r>
      <w:proofErr w:type="gramEnd"/>
      <w:r w:rsidRPr="00632D97">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BB189E6" w14:textId="77777777" w:rsidR="00BC6F52" w:rsidRPr="00632D97" w:rsidRDefault="00BC6F52" w:rsidP="00BC6F52">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632D97">
        <w:rPr>
          <w:rFonts w:ascii="Palatino Linotype" w:eastAsia="Palatino Linotype" w:hAnsi="Palatino Linotype" w:cs="Palatino Linotype"/>
          <w:b/>
        </w:rPr>
        <w:t>funciones de carácter operativo.</w:t>
      </w:r>
    </w:p>
    <w:p w14:paraId="3503F221" w14:textId="77777777" w:rsidR="00BC6F52" w:rsidRPr="00632D97" w:rsidRDefault="00BC6F52" w:rsidP="00BC6F52">
      <w:pPr>
        <w:spacing w:before="240" w:after="36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736CB0F4" w14:textId="77777777" w:rsidR="00BC6F52" w:rsidRPr="00632D97" w:rsidRDefault="00BC6F52" w:rsidP="00BC6F52">
      <w:pPr>
        <w:spacing w:before="120" w:after="120"/>
        <w:ind w:left="851" w:right="760"/>
        <w:jc w:val="both"/>
        <w:rPr>
          <w:rFonts w:ascii="Palatino Linotype" w:eastAsia="Palatino Linotype" w:hAnsi="Palatino Linotype" w:cs="Palatino Linotype"/>
          <w:b/>
          <w:i/>
          <w:sz w:val="22"/>
          <w:szCs w:val="22"/>
        </w:rPr>
      </w:pPr>
      <w:r w:rsidRPr="00632D97">
        <w:rPr>
          <w:rFonts w:ascii="Palatino Linotype" w:eastAsia="Palatino Linotype" w:hAnsi="Palatino Linotype" w:cs="Palatino Linotype"/>
          <w:b/>
          <w:i/>
          <w:sz w:val="22"/>
          <w:szCs w:val="22"/>
        </w:rPr>
        <w:lastRenderedPageBreak/>
        <w:t xml:space="preserve">“DERECHO A LA INFORMACIÓN. SU EJERCICIO SE ENCUENTRA LIMITADO TANTO POR LOS INTERESES NACIONALES Y DE LA SOCIEDAD, COMO POR LOS DERECHOS DE TERCEROS. </w:t>
      </w:r>
      <w:r w:rsidRPr="00632D97">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632D97">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632D97">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632D97">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632D97">
        <w:rPr>
          <w:rFonts w:ascii="Palatino Linotype" w:eastAsia="Palatino Linotype" w:hAnsi="Palatino Linotype" w:cs="Palatino Linotype"/>
          <w:i/>
          <w:sz w:val="22"/>
          <w:szCs w:val="22"/>
        </w:rPr>
        <w:t>”</w:t>
      </w:r>
    </w:p>
    <w:p w14:paraId="2BCD8018" w14:textId="77777777" w:rsidR="00BC6F52" w:rsidRPr="00632D97" w:rsidRDefault="00BC6F52" w:rsidP="00BC6F52">
      <w:pPr>
        <w:spacing w:before="120" w:after="120"/>
        <w:ind w:left="851" w:right="760"/>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632D97">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632D97">
        <w:rPr>
          <w:rFonts w:ascii="Palatino Linotype" w:eastAsia="Palatino Linotype" w:hAnsi="Palatino Linotype" w:cs="Palatino Linotype"/>
          <w:b/>
          <w:i/>
          <w:sz w:val="22"/>
          <w:szCs w:val="22"/>
        </w:rPr>
        <w:t xml:space="preserve">el legislador federal o local establezca </w:t>
      </w:r>
      <w:r w:rsidRPr="00632D97">
        <w:rPr>
          <w:rFonts w:ascii="Palatino Linotype" w:eastAsia="Palatino Linotype" w:hAnsi="Palatino Linotype" w:cs="Palatino Linotype"/>
          <w:b/>
          <w:i/>
          <w:sz w:val="22"/>
          <w:szCs w:val="22"/>
        </w:rPr>
        <w:lastRenderedPageBreak/>
        <w:t>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632D97">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5B7F183" w14:textId="77777777" w:rsidR="00BC6F52" w:rsidRPr="00632D97" w:rsidRDefault="00BC6F52" w:rsidP="00BC6F52">
      <w:pPr>
        <w:widowControl w:val="0"/>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632D97">
        <w:rPr>
          <w:rFonts w:ascii="Palatino Linotype" w:eastAsia="Palatino Linotype" w:hAnsi="Palatino Linotype" w:cs="Palatino Linotype"/>
          <w:b/>
          <w:u w:val="single"/>
        </w:rPr>
        <w:t>razones, motivos o circunstancias especiales</w:t>
      </w:r>
      <w:r w:rsidRPr="00632D97">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3F22A0FE" w14:textId="77777777" w:rsidR="00DF40CC" w:rsidRPr="00632D97" w:rsidRDefault="00222045">
      <w:pPr>
        <w:spacing w:before="240" w:after="240" w:line="360" w:lineRule="auto"/>
        <w:ind w:right="50"/>
        <w:jc w:val="both"/>
        <w:rPr>
          <w:rFonts w:ascii="Palatino Linotype" w:eastAsia="Palatino Linotype" w:hAnsi="Palatino Linotype" w:cs="Palatino Linotype"/>
        </w:rPr>
      </w:pPr>
      <w:r w:rsidRPr="00632D97">
        <w:rPr>
          <w:rFonts w:ascii="Palatino Linotype" w:eastAsia="Palatino Linotype" w:hAnsi="Palatino Linotype" w:cs="Palatino Linotype"/>
        </w:rPr>
        <w:lastRenderedPageBreak/>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632D97">
        <w:rPr>
          <w:rFonts w:ascii="Palatino Linotype" w:eastAsia="Palatino Linotype" w:hAnsi="Palatino Linotype" w:cs="Palatino Linotype"/>
        </w:rPr>
        <w:t>Responsable</w:t>
      </w:r>
      <w:proofErr w:type="gramEnd"/>
      <w:r w:rsidRPr="00632D97">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E8707B7"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“Artículo 49.</w:t>
      </w:r>
      <w:r w:rsidRPr="00632D97">
        <w:rPr>
          <w:rFonts w:ascii="Palatino Linotype" w:eastAsia="Palatino Linotype" w:hAnsi="Palatino Linotype" w:cs="Palatino Linotype"/>
          <w:i/>
          <w:sz w:val="22"/>
          <w:szCs w:val="22"/>
        </w:rPr>
        <w:t xml:space="preserve"> </w:t>
      </w:r>
      <w:r w:rsidRPr="00632D97">
        <w:rPr>
          <w:rFonts w:ascii="Palatino Linotype" w:eastAsia="Palatino Linotype" w:hAnsi="Palatino Linotype" w:cs="Palatino Linotype"/>
          <w:b/>
          <w:i/>
          <w:sz w:val="22"/>
          <w:szCs w:val="22"/>
        </w:rPr>
        <w:t>Los Comités de Transparencia</w:t>
      </w:r>
      <w:r w:rsidRPr="00632D97">
        <w:rPr>
          <w:rFonts w:ascii="Palatino Linotype" w:eastAsia="Palatino Linotype" w:hAnsi="Palatino Linotype" w:cs="Palatino Linotype"/>
          <w:i/>
          <w:sz w:val="22"/>
          <w:szCs w:val="22"/>
        </w:rPr>
        <w:t xml:space="preserve"> tendrán las siguientes atribuciones:</w:t>
      </w:r>
    </w:p>
    <w:p w14:paraId="0D3FD059"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VIII. Aprobar, modificar o revocar la clasificación de la información</w:t>
      </w:r>
      <w:r w:rsidRPr="00632D97">
        <w:rPr>
          <w:rFonts w:ascii="Palatino Linotype" w:eastAsia="Palatino Linotype" w:hAnsi="Palatino Linotype" w:cs="Palatino Linotype"/>
          <w:i/>
          <w:sz w:val="22"/>
          <w:szCs w:val="22"/>
        </w:rPr>
        <w:t>…”</w:t>
      </w:r>
    </w:p>
    <w:p w14:paraId="6428AA24"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Artículo 53.</w:t>
      </w:r>
      <w:r w:rsidRPr="00632D97">
        <w:rPr>
          <w:rFonts w:ascii="Palatino Linotype" w:eastAsia="Palatino Linotype" w:hAnsi="Palatino Linotype" w:cs="Palatino Linotype"/>
          <w:i/>
          <w:sz w:val="22"/>
          <w:szCs w:val="22"/>
        </w:rPr>
        <w:t xml:space="preserve"> Las </w:t>
      </w:r>
      <w:r w:rsidRPr="00632D97">
        <w:rPr>
          <w:rFonts w:ascii="Palatino Linotype" w:eastAsia="Palatino Linotype" w:hAnsi="Palatino Linotype" w:cs="Palatino Linotype"/>
          <w:b/>
          <w:i/>
          <w:sz w:val="22"/>
          <w:szCs w:val="22"/>
        </w:rPr>
        <w:t>Unidades de Transparencia</w:t>
      </w:r>
      <w:r w:rsidRPr="00632D97">
        <w:rPr>
          <w:rFonts w:ascii="Palatino Linotype" w:eastAsia="Palatino Linotype" w:hAnsi="Palatino Linotype" w:cs="Palatino Linotype"/>
          <w:i/>
          <w:sz w:val="22"/>
          <w:szCs w:val="22"/>
        </w:rPr>
        <w:t xml:space="preserve"> tendrán las siguientes </w:t>
      </w:r>
      <w:r w:rsidRPr="00632D97">
        <w:rPr>
          <w:rFonts w:ascii="Palatino Linotype" w:eastAsia="Palatino Linotype" w:hAnsi="Palatino Linotype" w:cs="Palatino Linotype"/>
          <w:b/>
          <w:i/>
          <w:sz w:val="22"/>
          <w:szCs w:val="22"/>
        </w:rPr>
        <w:t>funciones</w:t>
      </w:r>
      <w:r w:rsidRPr="00632D97">
        <w:rPr>
          <w:rFonts w:ascii="Palatino Linotype" w:eastAsia="Palatino Linotype" w:hAnsi="Palatino Linotype" w:cs="Palatino Linotype"/>
          <w:i/>
          <w:sz w:val="22"/>
          <w:szCs w:val="22"/>
        </w:rPr>
        <w:t>:</w:t>
      </w:r>
    </w:p>
    <w:p w14:paraId="07140FAF"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X. Presentar ante el Comité, el proyecto de clasificación de información</w:t>
      </w:r>
      <w:r w:rsidRPr="00632D97">
        <w:rPr>
          <w:rFonts w:ascii="Palatino Linotype" w:eastAsia="Palatino Linotype" w:hAnsi="Palatino Linotype" w:cs="Palatino Linotype"/>
          <w:i/>
          <w:sz w:val="22"/>
          <w:szCs w:val="22"/>
        </w:rPr>
        <w:t xml:space="preserve">…” </w:t>
      </w:r>
    </w:p>
    <w:p w14:paraId="27AA4F91"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“Artículo 59.</w:t>
      </w:r>
      <w:r w:rsidRPr="00632D97">
        <w:rPr>
          <w:rFonts w:ascii="Palatino Linotype" w:eastAsia="Palatino Linotype" w:hAnsi="Palatino Linotype" w:cs="Palatino Linotype"/>
          <w:i/>
          <w:sz w:val="22"/>
          <w:szCs w:val="22"/>
        </w:rPr>
        <w:t xml:space="preserve"> Los </w:t>
      </w:r>
      <w:r w:rsidRPr="00632D97">
        <w:rPr>
          <w:rFonts w:ascii="Palatino Linotype" w:eastAsia="Palatino Linotype" w:hAnsi="Palatino Linotype" w:cs="Palatino Linotype"/>
          <w:b/>
          <w:i/>
          <w:sz w:val="22"/>
          <w:szCs w:val="22"/>
        </w:rPr>
        <w:t>servidores públicos habilitados</w:t>
      </w:r>
      <w:r w:rsidRPr="00632D97">
        <w:rPr>
          <w:rFonts w:ascii="Palatino Linotype" w:eastAsia="Palatino Linotype" w:hAnsi="Palatino Linotype" w:cs="Palatino Linotype"/>
          <w:i/>
          <w:sz w:val="22"/>
          <w:szCs w:val="22"/>
        </w:rPr>
        <w:t xml:space="preserve"> tendrán las </w:t>
      </w:r>
      <w:r w:rsidRPr="00632D97">
        <w:rPr>
          <w:rFonts w:ascii="Palatino Linotype" w:eastAsia="Palatino Linotype" w:hAnsi="Palatino Linotype" w:cs="Palatino Linotype"/>
          <w:b/>
          <w:i/>
          <w:sz w:val="22"/>
          <w:szCs w:val="22"/>
        </w:rPr>
        <w:t>funciones</w:t>
      </w:r>
      <w:r w:rsidRPr="00632D97">
        <w:rPr>
          <w:rFonts w:ascii="Palatino Linotype" w:eastAsia="Palatino Linotype" w:hAnsi="Palatino Linotype" w:cs="Palatino Linotype"/>
          <w:i/>
          <w:sz w:val="22"/>
          <w:szCs w:val="22"/>
        </w:rPr>
        <w:t xml:space="preserve"> siguientes:</w:t>
      </w:r>
    </w:p>
    <w:p w14:paraId="4BBB40D9" w14:textId="77777777" w:rsidR="00DF40CC" w:rsidRPr="00632D97" w:rsidRDefault="00222045">
      <w:pP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32D97">
        <w:rPr>
          <w:rFonts w:ascii="Palatino Linotype" w:eastAsia="Palatino Linotype" w:hAnsi="Palatino Linotype" w:cs="Palatino Linotype"/>
          <w:i/>
          <w:sz w:val="22"/>
          <w:szCs w:val="22"/>
        </w:rPr>
        <w:t>, la cual tendrá los fundamentos y argumentos en que se basa dicha propuesta…”</w:t>
      </w:r>
    </w:p>
    <w:p w14:paraId="69B39022"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8AD573F"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1CF8DF22"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w:t>
      </w:r>
      <w:r w:rsidRPr="00632D97">
        <w:rPr>
          <w:rFonts w:ascii="Palatino Linotype" w:eastAsia="Palatino Linotype" w:hAnsi="Palatino Linotype" w:cs="Palatino Linotype"/>
          <w:b/>
          <w:i/>
          <w:sz w:val="22"/>
          <w:szCs w:val="22"/>
        </w:rPr>
        <w:t>Artículo 149.</w:t>
      </w:r>
      <w:r w:rsidRPr="00632D97">
        <w:rPr>
          <w:rFonts w:ascii="Palatino Linotype" w:eastAsia="Palatino Linotype" w:hAnsi="Palatino Linotype" w:cs="Palatino Linotype"/>
          <w:i/>
          <w:sz w:val="22"/>
          <w:szCs w:val="22"/>
        </w:rPr>
        <w:t xml:space="preserve"> El </w:t>
      </w:r>
      <w:r w:rsidRPr="00632D97">
        <w:rPr>
          <w:rFonts w:ascii="Palatino Linotype" w:eastAsia="Palatino Linotype" w:hAnsi="Palatino Linotype" w:cs="Palatino Linotype"/>
          <w:b/>
          <w:i/>
          <w:sz w:val="22"/>
          <w:szCs w:val="22"/>
        </w:rPr>
        <w:t>acuerdo que clasifique la información como confidencial</w:t>
      </w:r>
      <w:r w:rsidRPr="00632D9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294EDA0" w14:textId="77777777" w:rsidR="00DF40CC" w:rsidRPr="00632D97" w:rsidRDefault="00222045">
      <w:pPr>
        <w:spacing w:before="240" w:after="240" w:line="360" w:lineRule="auto"/>
        <w:ind w:right="51"/>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Es decir,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66CD788" w14:textId="77777777" w:rsidR="00DF40CC" w:rsidRPr="00632D97" w:rsidRDefault="0022204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Asimismo, respecto a las formalidades que deberá llevar el acuerdo de clasificación que deberá emitir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48957664" w14:textId="77777777" w:rsidR="00DF40CC" w:rsidRPr="00632D97" w:rsidRDefault="00222045">
      <w:pP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 xml:space="preserve"> “Quincuagésimo. </w:t>
      </w:r>
      <w:r w:rsidRPr="00632D97">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8EBA914" w14:textId="77777777" w:rsidR="00DF40CC" w:rsidRPr="00632D97" w:rsidRDefault="0022204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lastRenderedPageBreak/>
        <w:t xml:space="preserve">Quincuagésimo primero. </w:t>
      </w:r>
      <w:r w:rsidRPr="00632D97">
        <w:rPr>
          <w:rFonts w:ascii="Palatino Linotype" w:eastAsia="Palatino Linotype" w:hAnsi="Palatino Linotype" w:cs="Palatino Linotype"/>
          <w:i/>
          <w:sz w:val="22"/>
          <w:szCs w:val="22"/>
        </w:rPr>
        <w:t xml:space="preserve">Toda acta del Comité de Transparencia deberá contener: </w:t>
      </w:r>
    </w:p>
    <w:p w14:paraId="73C23A6E" w14:textId="77777777" w:rsidR="00DF40CC" w:rsidRPr="00632D97" w:rsidRDefault="0022204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w:t>
      </w:r>
      <w:r w:rsidRPr="00632D97">
        <w:rPr>
          <w:rFonts w:ascii="Palatino Linotype" w:eastAsia="Palatino Linotype" w:hAnsi="Palatino Linotype" w:cs="Palatino Linotype"/>
          <w:i/>
          <w:sz w:val="22"/>
          <w:szCs w:val="22"/>
        </w:rPr>
        <w:t xml:space="preserve"> El número de sesión y fecha; </w:t>
      </w:r>
    </w:p>
    <w:p w14:paraId="7D4889D0" w14:textId="77777777" w:rsidR="00DF40CC" w:rsidRPr="00632D97" w:rsidRDefault="0022204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II</w:t>
      </w:r>
      <w:r w:rsidRPr="00632D97">
        <w:rPr>
          <w:rFonts w:ascii="Palatino Linotype" w:eastAsia="Palatino Linotype" w:hAnsi="Palatino Linotype" w:cs="Palatino Linotype"/>
          <w:i/>
          <w:sz w:val="22"/>
          <w:szCs w:val="22"/>
        </w:rPr>
        <w:t xml:space="preserve">. El nombre del área que solicitó la clasificación de información; </w:t>
      </w:r>
    </w:p>
    <w:p w14:paraId="62DBFA81" w14:textId="77777777" w:rsidR="00DF40CC" w:rsidRPr="00632D97" w:rsidRDefault="0022204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III</w:t>
      </w:r>
      <w:r w:rsidRPr="00632D97">
        <w:rPr>
          <w:rFonts w:ascii="Palatino Linotype" w:eastAsia="Palatino Linotype" w:hAnsi="Palatino Linotype" w:cs="Palatino Linotype"/>
          <w:i/>
          <w:sz w:val="22"/>
          <w:szCs w:val="22"/>
        </w:rPr>
        <w:t xml:space="preserve">. La fundamentación legal y motivación correspondiente; </w:t>
      </w:r>
    </w:p>
    <w:p w14:paraId="2C261024" w14:textId="77777777" w:rsidR="00DF40CC" w:rsidRPr="00632D97" w:rsidRDefault="0022204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IV</w:t>
      </w:r>
      <w:r w:rsidRPr="00632D97">
        <w:rPr>
          <w:rFonts w:ascii="Palatino Linotype" w:eastAsia="Palatino Linotype" w:hAnsi="Palatino Linotype" w:cs="Palatino Linotype"/>
          <w:i/>
          <w:sz w:val="22"/>
          <w:szCs w:val="22"/>
        </w:rPr>
        <w:t xml:space="preserve">. La resolución o resoluciones aprobadas; y </w:t>
      </w:r>
    </w:p>
    <w:p w14:paraId="4B45F06C" w14:textId="77777777" w:rsidR="00DF40CC" w:rsidRPr="00632D97" w:rsidRDefault="0022204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V</w:t>
      </w:r>
      <w:r w:rsidRPr="00632D97">
        <w:rPr>
          <w:rFonts w:ascii="Palatino Linotype" w:eastAsia="Palatino Linotype" w:hAnsi="Palatino Linotype" w:cs="Palatino Linotype"/>
          <w:i/>
          <w:sz w:val="22"/>
          <w:szCs w:val="22"/>
        </w:rPr>
        <w:t xml:space="preserve">. La rúbrica o firma digital de cada integrante del Comité de Transparencia. </w:t>
      </w:r>
    </w:p>
    <w:p w14:paraId="552533AD" w14:textId="77777777" w:rsidR="00DF40CC" w:rsidRPr="00632D97" w:rsidRDefault="0022204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F3C68E4" w14:textId="77777777" w:rsidR="00DF40CC" w:rsidRPr="00632D97" w:rsidRDefault="0022204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w:t>
      </w:r>
      <w:r w:rsidRPr="00632D97">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B909BAB" w14:textId="77777777" w:rsidR="00DF40CC" w:rsidRPr="00632D97" w:rsidRDefault="00222045">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632D97">
        <w:rPr>
          <w:rFonts w:ascii="Palatino Linotype" w:eastAsia="Palatino Linotype" w:hAnsi="Palatino Linotype" w:cs="Palatino Linotype"/>
          <w:b/>
          <w:i/>
          <w:sz w:val="22"/>
          <w:szCs w:val="22"/>
        </w:rPr>
        <w:t>II</w:t>
      </w:r>
      <w:r w:rsidRPr="00632D97">
        <w:rPr>
          <w:rFonts w:ascii="Palatino Linotype" w:eastAsia="Palatino Linotype" w:hAnsi="Palatino Linotype" w:cs="Palatino Linotype"/>
          <w:i/>
          <w:sz w:val="22"/>
          <w:szCs w:val="22"/>
        </w:rPr>
        <w:t>. Descripción de las partes o secciones reservadas, en caso de clasificación parcial</w:t>
      </w:r>
      <w:r w:rsidRPr="00632D97">
        <w:rPr>
          <w:rFonts w:ascii="Palatino Linotype" w:eastAsia="Palatino Linotype" w:hAnsi="Palatino Linotype" w:cs="Palatino Linotype"/>
          <w:b/>
          <w:i/>
          <w:sz w:val="22"/>
          <w:szCs w:val="22"/>
        </w:rPr>
        <w:t xml:space="preserve">; </w:t>
      </w:r>
    </w:p>
    <w:p w14:paraId="15B0A260" w14:textId="77777777" w:rsidR="00DF40CC" w:rsidRPr="00632D97" w:rsidRDefault="0022204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III.</w:t>
      </w:r>
      <w:r w:rsidRPr="00632D97">
        <w:rPr>
          <w:rFonts w:ascii="Palatino Linotype" w:eastAsia="Palatino Linotype" w:hAnsi="Palatino Linotype" w:cs="Palatino Linotype"/>
          <w:i/>
          <w:sz w:val="22"/>
          <w:szCs w:val="22"/>
        </w:rPr>
        <w:t xml:space="preserve"> El periodo por el que mantendrá su clasificación y fecha de expiración; y </w:t>
      </w:r>
    </w:p>
    <w:p w14:paraId="3451F9A5" w14:textId="77777777" w:rsidR="00DF40CC" w:rsidRPr="00632D97" w:rsidRDefault="0022204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b/>
          <w:i/>
          <w:sz w:val="22"/>
          <w:szCs w:val="22"/>
        </w:rPr>
        <w:t>IV.</w:t>
      </w:r>
      <w:r w:rsidRPr="00632D97">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47E2EE55" w14:textId="77777777" w:rsidR="00DF40CC" w:rsidRPr="00632D97" w:rsidRDefault="0022204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7DDFFFA" w14:textId="77777777" w:rsidR="00DF40CC" w:rsidRPr="00632D97" w:rsidRDefault="0022204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32D9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AB21680"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2D160FEE" w14:textId="77777777" w:rsidR="00DF40CC" w:rsidRPr="00632D97" w:rsidRDefault="00222045">
      <w:pPr>
        <w:spacing w:before="120" w:after="120"/>
        <w:ind w:left="851" w:right="900"/>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i/>
          <w:sz w:val="21"/>
          <w:szCs w:val="21"/>
        </w:rPr>
        <w:t>“</w:t>
      </w:r>
      <w:r w:rsidRPr="00632D97">
        <w:rPr>
          <w:rFonts w:ascii="Palatino Linotype" w:eastAsia="Palatino Linotype" w:hAnsi="Palatino Linotype" w:cs="Palatino Linotype"/>
          <w:b/>
          <w:i/>
          <w:sz w:val="21"/>
          <w:szCs w:val="21"/>
        </w:rPr>
        <w:t>Quincuagésimo segundo</w:t>
      </w:r>
      <w:r w:rsidRPr="00632D97">
        <w:rPr>
          <w:rFonts w:ascii="Palatino Linotype" w:eastAsia="Palatino Linotype" w:hAnsi="Palatino Linotype" w:cs="Palatino Linotype"/>
          <w:i/>
          <w:sz w:val="21"/>
          <w:szCs w:val="21"/>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26DF8B9" w14:textId="77777777" w:rsidR="00DF40CC" w:rsidRPr="00632D97" w:rsidRDefault="00222045">
      <w:pPr>
        <w:spacing w:before="120" w:after="120"/>
        <w:ind w:left="851" w:right="900"/>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i/>
          <w:sz w:val="21"/>
          <w:szCs w:val="21"/>
        </w:rPr>
        <w:lastRenderedPageBreak/>
        <w:t xml:space="preserve">En el caso específico de la clasificación y elaboración de versiones públicas de documentos que contengan información confidencial, las áreas de los sujetos obligados deberán: </w:t>
      </w:r>
    </w:p>
    <w:p w14:paraId="0FEBB431" w14:textId="77777777" w:rsidR="00DF40CC" w:rsidRPr="00632D97" w:rsidRDefault="00222045">
      <w:pPr>
        <w:spacing w:before="120" w:after="120"/>
        <w:ind w:left="1134" w:right="900"/>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b/>
          <w:i/>
          <w:sz w:val="21"/>
          <w:szCs w:val="21"/>
        </w:rPr>
        <w:t>I.</w:t>
      </w:r>
      <w:r w:rsidRPr="00632D97">
        <w:rPr>
          <w:rFonts w:ascii="Palatino Linotype" w:eastAsia="Palatino Linotype" w:hAnsi="Palatino Linotype" w:cs="Palatino Linotype"/>
          <w:i/>
          <w:sz w:val="21"/>
          <w:szCs w:val="21"/>
        </w:rPr>
        <w:t xml:space="preserve"> Fijar la fecha en que se elaboró la versión pública y la fecha en la cual el Comité de Transparencia confirmó dicha versión;</w:t>
      </w:r>
    </w:p>
    <w:p w14:paraId="606C6D40" w14:textId="77777777" w:rsidR="00DF40CC" w:rsidRPr="00632D97" w:rsidRDefault="00222045">
      <w:pPr>
        <w:spacing w:before="120" w:after="120"/>
        <w:ind w:left="1134" w:right="900"/>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b/>
          <w:i/>
          <w:sz w:val="21"/>
          <w:szCs w:val="21"/>
        </w:rPr>
        <w:t>II.</w:t>
      </w:r>
      <w:r w:rsidRPr="00632D97">
        <w:rPr>
          <w:rFonts w:ascii="Palatino Linotype" w:eastAsia="Palatino Linotype" w:hAnsi="Palatino Linotype" w:cs="Palatino Linotype"/>
          <w:i/>
          <w:sz w:val="21"/>
          <w:szCs w:val="21"/>
        </w:rPr>
        <w:t xml:space="preserve"> Señalar dentro del documento el tipo de información confidencial que fue testada en cada caso específico, de conformidad con el lineamiento trigésimo octavo; y</w:t>
      </w:r>
    </w:p>
    <w:p w14:paraId="3AA82BF5" w14:textId="77777777" w:rsidR="00DF40CC" w:rsidRPr="00632D97" w:rsidRDefault="00222045">
      <w:pPr>
        <w:spacing w:before="120" w:after="120"/>
        <w:ind w:left="1134" w:right="900"/>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b/>
          <w:i/>
          <w:sz w:val="21"/>
          <w:szCs w:val="21"/>
        </w:rPr>
        <w:t>III.</w:t>
      </w:r>
      <w:r w:rsidRPr="00632D97">
        <w:rPr>
          <w:rFonts w:ascii="Palatino Linotype" w:eastAsia="Palatino Linotype" w:hAnsi="Palatino Linotype" w:cs="Palatino Linotype"/>
          <w:i/>
          <w:sz w:val="21"/>
          <w:szCs w:val="21"/>
        </w:rPr>
        <w:t xml:space="preserve"> Señalar las personas o instancias autorizadas a acceder a la información clasificada.</w:t>
      </w:r>
    </w:p>
    <w:p w14:paraId="60AB2B92" w14:textId="77777777" w:rsidR="00DF40CC" w:rsidRPr="00632D97" w:rsidRDefault="00222045">
      <w:pPr>
        <w:spacing w:before="120" w:after="120"/>
        <w:ind w:left="851" w:right="900"/>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i/>
          <w:sz w:val="21"/>
          <w:szCs w:val="21"/>
        </w:rPr>
        <w:t>En los documentos de difusión electrónica, señalar en la primera hoja y en el nombre del archivo, que la versión pública corresponde a un documento que contiene información confidencial.”</w:t>
      </w:r>
    </w:p>
    <w:p w14:paraId="21B36A84" w14:textId="77777777" w:rsidR="00DF40CC" w:rsidRPr="00632D97" w:rsidRDefault="00222045">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i/>
          <w:sz w:val="21"/>
          <w:szCs w:val="21"/>
        </w:rPr>
        <w:t>…</w:t>
      </w:r>
    </w:p>
    <w:p w14:paraId="7B0A01B2" w14:textId="77777777" w:rsidR="00DF40CC" w:rsidRPr="00632D97" w:rsidRDefault="00222045">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1"/>
          <w:szCs w:val="21"/>
        </w:rPr>
      </w:pPr>
      <w:r w:rsidRPr="00632D97">
        <w:rPr>
          <w:rFonts w:ascii="Palatino Linotype" w:eastAsia="Palatino Linotype" w:hAnsi="Palatino Linotype" w:cs="Palatino Linotype"/>
          <w:b/>
          <w:i/>
          <w:sz w:val="21"/>
          <w:szCs w:val="21"/>
        </w:rPr>
        <w:t xml:space="preserve">Quincuagésimo cuarto. </w:t>
      </w:r>
      <w:r w:rsidRPr="00632D97">
        <w:rPr>
          <w:rFonts w:ascii="Palatino Linotype" w:eastAsia="Palatino Linotype" w:hAnsi="Palatino Linotype" w:cs="Palatino Linotype"/>
          <w:i/>
          <w:sz w:val="21"/>
          <w:szCs w:val="21"/>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32D97">
        <w:rPr>
          <w:rFonts w:ascii="Palatino Linotype" w:eastAsia="Palatino Linotype" w:hAnsi="Palatino Linotype" w:cs="Palatino Linotype"/>
          <w:b/>
          <w:i/>
          <w:sz w:val="21"/>
          <w:szCs w:val="21"/>
        </w:rPr>
        <w:t xml:space="preserve"> </w:t>
      </w:r>
    </w:p>
    <w:p w14:paraId="49F00F43" w14:textId="77777777" w:rsidR="00DF40CC" w:rsidRPr="00632D97" w:rsidRDefault="00222045">
      <w:pPr>
        <w:spacing w:before="120" w:after="120"/>
        <w:ind w:left="851" w:right="902"/>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b/>
          <w:i/>
          <w:sz w:val="21"/>
          <w:szCs w:val="21"/>
        </w:rPr>
        <w:t xml:space="preserve">Quincuagésimo quinto. </w:t>
      </w:r>
      <w:r w:rsidRPr="00632D97">
        <w:rPr>
          <w:rFonts w:ascii="Palatino Linotype" w:eastAsia="Palatino Linotype" w:hAnsi="Palatino Linotype" w:cs="Palatino Linotype"/>
          <w:i/>
          <w:sz w:val="21"/>
          <w:szCs w:val="21"/>
        </w:rPr>
        <w:t xml:space="preserve">Cada área del sujeto obligado podrá designar formalmente a una o más personas como responsables del </w:t>
      </w:r>
      <w:proofErr w:type="spellStart"/>
      <w:r w:rsidRPr="00632D97">
        <w:rPr>
          <w:rFonts w:ascii="Palatino Linotype" w:eastAsia="Palatino Linotype" w:hAnsi="Palatino Linotype" w:cs="Palatino Linotype"/>
          <w:i/>
          <w:sz w:val="21"/>
          <w:szCs w:val="21"/>
        </w:rPr>
        <w:t>testado</w:t>
      </w:r>
      <w:proofErr w:type="spellEnd"/>
      <w:r w:rsidRPr="00632D97">
        <w:rPr>
          <w:rFonts w:ascii="Palatino Linotype" w:eastAsia="Palatino Linotype" w:hAnsi="Palatino Linotype" w:cs="Palatino Linotype"/>
          <w:i/>
          <w:sz w:val="21"/>
          <w:szCs w:val="21"/>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9865216" w14:textId="77777777" w:rsidR="00DF40CC" w:rsidRPr="00632D97" w:rsidRDefault="00222045">
      <w:pPr>
        <w:spacing w:before="120" w:after="120"/>
        <w:ind w:left="851" w:right="902"/>
        <w:jc w:val="both"/>
        <w:rPr>
          <w:rFonts w:ascii="Palatino Linotype" w:eastAsia="Palatino Linotype" w:hAnsi="Palatino Linotype" w:cs="Palatino Linotype"/>
          <w:b/>
          <w:i/>
          <w:sz w:val="21"/>
          <w:szCs w:val="21"/>
        </w:rPr>
      </w:pPr>
      <w:r w:rsidRPr="00632D97">
        <w:rPr>
          <w:rFonts w:ascii="Palatino Linotype" w:eastAsia="Palatino Linotype" w:hAnsi="Palatino Linotype" w:cs="Palatino Linotype"/>
          <w:b/>
          <w:i/>
          <w:sz w:val="21"/>
          <w:szCs w:val="21"/>
        </w:rPr>
        <w:t>...</w:t>
      </w:r>
    </w:p>
    <w:p w14:paraId="5107DA2D" w14:textId="77777777" w:rsidR="00DF40CC" w:rsidRPr="00632D97" w:rsidRDefault="00222045">
      <w:pPr>
        <w:spacing w:before="120" w:after="120"/>
        <w:ind w:left="851" w:right="902"/>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b/>
          <w:i/>
          <w:sz w:val="21"/>
          <w:szCs w:val="21"/>
        </w:rPr>
        <w:t>Quincuagésimo séptimo</w:t>
      </w:r>
      <w:r w:rsidRPr="00632D97">
        <w:rPr>
          <w:rFonts w:ascii="Palatino Linotype" w:eastAsia="Palatino Linotype" w:hAnsi="Palatino Linotype" w:cs="Palatino Linotype"/>
          <w:i/>
          <w:sz w:val="21"/>
          <w:szCs w:val="21"/>
        </w:rPr>
        <w:t xml:space="preserve">. Se considera, en principio, como información pública y no podrá omitirse de las versiones públicas la siguiente: </w:t>
      </w:r>
    </w:p>
    <w:p w14:paraId="3549D56D" w14:textId="77777777" w:rsidR="00DF40CC" w:rsidRPr="00632D97" w:rsidRDefault="00222045">
      <w:pPr>
        <w:spacing w:before="120" w:after="120"/>
        <w:ind w:left="1134" w:right="902"/>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b/>
          <w:i/>
          <w:sz w:val="21"/>
          <w:szCs w:val="21"/>
        </w:rPr>
        <w:t>I</w:t>
      </w:r>
      <w:r w:rsidRPr="00632D97">
        <w:rPr>
          <w:rFonts w:ascii="Palatino Linotype" w:eastAsia="Palatino Linotype" w:hAnsi="Palatino Linotype" w:cs="Palatino Linotype"/>
          <w:i/>
          <w:sz w:val="21"/>
          <w:szCs w:val="21"/>
        </w:rPr>
        <w:t xml:space="preserve">. La relativa a las Obligaciones de Transparencia que contempla el Título V de la Ley General y las demás disposiciones legales aplicables; </w:t>
      </w:r>
    </w:p>
    <w:p w14:paraId="6C8D91B5" w14:textId="77777777" w:rsidR="00DF40CC" w:rsidRPr="00632D97" w:rsidRDefault="00222045">
      <w:pPr>
        <w:spacing w:before="120" w:after="120"/>
        <w:ind w:left="1134" w:right="902"/>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b/>
          <w:i/>
          <w:sz w:val="21"/>
          <w:szCs w:val="21"/>
        </w:rPr>
        <w:t>II.</w:t>
      </w:r>
      <w:r w:rsidRPr="00632D97">
        <w:rPr>
          <w:rFonts w:ascii="Palatino Linotype" w:eastAsia="Palatino Linotype" w:hAnsi="Palatino Linotype" w:cs="Palatino Linotype"/>
          <w:i/>
          <w:sz w:val="21"/>
          <w:szCs w:val="21"/>
        </w:rPr>
        <w:t xml:space="preserve"> El nombre de los integrantes de los sujetos obligados en los documentos, y sus firmas autógrafas o digitales, cuando sean utilizados en el ejercicio de las facultades conferidas para el desempeño del servicio público, y</w:t>
      </w:r>
    </w:p>
    <w:p w14:paraId="0E1BC82A" w14:textId="77777777" w:rsidR="00DF40CC" w:rsidRPr="00632D97" w:rsidRDefault="00222045">
      <w:pPr>
        <w:spacing w:before="120" w:after="120"/>
        <w:ind w:left="1134" w:right="902"/>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b/>
          <w:i/>
          <w:sz w:val="21"/>
          <w:szCs w:val="21"/>
        </w:rPr>
        <w:t>III</w:t>
      </w:r>
      <w:r w:rsidRPr="00632D97">
        <w:rPr>
          <w:rFonts w:ascii="Palatino Linotype" w:eastAsia="Palatino Linotype" w:hAnsi="Palatino Linotype" w:cs="Palatino Linotype"/>
          <w:i/>
          <w:sz w:val="21"/>
          <w:szCs w:val="21"/>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ADAAD07" w14:textId="77777777" w:rsidR="00DF40CC" w:rsidRPr="00632D97" w:rsidRDefault="00222045">
      <w:pPr>
        <w:spacing w:before="120" w:after="120"/>
        <w:ind w:left="851" w:right="902"/>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i/>
          <w:sz w:val="21"/>
          <w:szCs w:val="21"/>
        </w:rPr>
        <w:lastRenderedPageBreak/>
        <w:t xml:space="preserve">Lo anterior, siempre y cuando no se acredite alguna causal de clasificación, prevista en las leyes o en los tratados internacionales suscritas por el Estado mexicano.  </w:t>
      </w:r>
    </w:p>
    <w:p w14:paraId="122CC11C" w14:textId="77777777" w:rsidR="00DF40CC" w:rsidRPr="00632D97" w:rsidRDefault="00222045">
      <w:pPr>
        <w:spacing w:before="120" w:after="120"/>
        <w:ind w:left="851" w:right="902"/>
        <w:jc w:val="both"/>
        <w:rPr>
          <w:rFonts w:ascii="Palatino Linotype" w:eastAsia="Palatino Linotype" w:hAnsi="Palatino Linotype" w:cs="Palatino Linotype"/>
          <w:i/>
          <w:sz w:val="21"/>
          <w:szCs w:val="21"/>
        </w:rPr>
      </w:pPr>
      <w:r w:rsidRPr="00632D97">
        <w:rPr>
          <w:rFonts w:ascii="Palatino Linotype" w:eastAsia="Palatino Linotype" w:hAnsi="Palatino Linotype" w:cs="Palatino Linotype"/>
          <w:b/>
          <w:i/>
          <w:sz w:val="21"/>
          <w:szCs w:val="21"/>
        </w:rPr>
        <w:t>Quincuagésimo octavo</w:t>
      </w:r>
      <w:r w:rsidRPr="00632D97">
        <w:rPr>
          <w:rFonts w:ascii="Palatino Linotype" w:eastAsia="Palatino Linotype" w:hAnsi="Palatino Linotype" w:cs="Palatino Linotype"/>
          <w:i/>
          <w:sz w:val="21"/>
          <w:szCs w:val="21"/>
        </w:rPr>
        <w:t>. Los sujetos obligados garantizarán que los sistemas o medios empleados para eliminar la información en las versiones públicas sean irreversibles, de tal forma que no permitan su recuperación o la visualización de la misma.”</w:t>
      </w:r>
    </w:p>
    <w:p w14:paraId="59F9014C"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40B3AE4E" w14:textId="77777777" w:rsidR="00DF40CC" w:rsidRPr="00632D97" w:rsidRDefault="0022204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32D97">
        <w:rPr>
          <w:rFonts w:ascii="Palatino Linotype" w:eastAsia="Palatino Linotype" w:hAnsi="Palatino Linotype" w:cs="Palatino Linotype"/>
          <w:b/>
        </w:rPr>
        <w:t>III. R E S U E L V E</w:t>
      </w:r>
    </w:p>
    <w:p w14:paraId="4832BD2D" w14:textId="3DF76DDC" w:rsidR="00DF40CC" w:rsidRPr="00632D97" w:rsidRDefault="00222045">
      <w:pPr>
        <w:spacing w:before="240" w:after="240" w:line="360" w:lineRule="auto"/>
        <w:jc w:val="both"/>
        <w:rPr>
          <w:rFonts w:ascii="Palatino Linotype" w:eastAsia="Palatino Linotype" w:hAnsi="Palatino Linotype" w:cs="Palatino Linotype"/>
        </w:rPr>
      </w:pPr>
      <w:bookmarkStart w:id="13" w:name="_heading=h.1t3h5sf" w:colFirst="0" w:colLast="0"/>
      <w:bookmarkEnd w:id="13"/>
      <w:r w:rsidRPr="00632D97">
        <w:rPr>
          <w:rFonts w:ascii="Palatino Linotype" w:eastAsia="Palatino Linotype" w:hAnsi="Palatino Linotype" w:cs="Palatino Linotype"/>
          <w:b/>
        </w:rPr>
        <w:t xml:space="preserve">Primero. </w:t>
      </w:r>
      <w:r w:rsidRPr="00632D97">
        <w:rPr>
          <w:rFonts w:ascii="Palatino Linotype" w:eastAsia="Palatino Linotype" w:hAnsi="Palatino Linotype" w:cs="Palatino Linotype"/>
        </w:rPr>
        <w:t>Resultan</w:t>
      </w:r>
      <w:r w:rsidRPr="00632D97">
        <w:rPr>
          <w:rFonts w:ascii="Palatino Linotype" w:eastAsia="Palatino Linotype" w:hAnsi="Palatino Linotype" w:cs="Palatino Linotype"/>
          <w:b/>
        </w:rPr>
        <w:t xml:space="preserve"> fundadas</w:t>
      </w:r>
      <w:r w:rsidRPr="00632D97">
        <w:rPr>
          <w:rFonts w:ascii="Palatino Linotype" w:eastAsia="Palatino Linotype" w:hAnsi="Palatino Linotype" w:cs="Palatino Linotype"/>
        </w:rPr>
        <w:t xml:space="preserve"> las razones o motivos de inconformidad hechos valer por la parte</w:t>
      </w:r>
      <w:r w:rsidRPr="00632D97">
        <w:rPr>
          <w:rFonts w:ascii="Palatino Linotype" w:eastAsia="Palatino Linotype" w:hAnsi="Palatino Linotype" w:cs="Palatino Linotype"/>
          <w:b/>
        </w:rPr>
        <w:t xml:space="preserve"> Recurrente</w:t>
      </w:r>
      <w:r w:rsidRPr="00632D97">
        <w:rPr>
          <w:rFonts w:ascii="Palatino Linotype" w:eastAsia="Palatino Linotype" w:hAnsi="Palatino Linotype" w:cs="Palatino Linotype"/>
        </w:rPr>
        <w:t xml:space="preserve"> en el recurso de revisión </w:t>
      </w:r>
      <w:r w:rsidRPr="00632D97">
        <w:rPr>
          <w:rFonts w:ascii="Palatino Linotype" w:eastAsia="Palatino Linotype" w:hAnsi="Palatino Linotype" w:cs="Palatino Linotype"/>
          <w:b/>
        </w:rPr>
        <w:t>05</w:t>
      </w:r>
      <w:r w:rsidR="00BC6F52" w:rsidRPr="00632D97">
        <w:rPr>
          <w:rFonts w:ascii="Palatino Linotype" w:eastAsia="Palatino Linotype" w:hAnsi="Palatino Linotype" w:cs="Palatino Linotype"/>
          <w:b/>
        </w:rPr>
        <w:t>284</w:t>
      </w:r>
      <w:r w:rsidRPr="00632D97">
        <w:rPr>
          <w:rFonts w:ascii="Palatino Linotype" w:eastAsia="Palatino Linotype" w:hAnsi="Palatino Linotype" w:cs="Palatino Linotype"/>
          <w:b/>
        </w:rPr>
        <w:t>/INFOEM/IP/RR/2025</w:t>
      </w:r>
      <w:r w:rsidRPr="00632D97">
        <w:rPr>
          <w:rFonts w:ascii="Palatino Linotype" w:eastAsia="Palatino Linotype" w:hAnsi="Palatino Linotype" w:cs="Palatino Linotype"/>
        </w:rPr>
        <w:t xml:space="preserve">; por lo que, en términos del </w:t>
      </w:r>
      <w:r w:rsidRPr="00632D97">
        <w:rPr>
          <w:rFonts w:ascii="Palatino Linotype" w:eastAsia="Palatino Linotype" w:hAnsi="Palatino Linotype" w:cs="Palatino Linotype"/>
          <w:b/>
        </w:rPr>
        <w:t>Considerando</w:t>
      </w:r>
      <w:r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b/>
        </w:rPr>
        <w:t xml:space="preserve">Cuarto </w:t>
      </w:r>
      <w:r w:rsidRPr="00632D97">
        <w:rPr>
          <w:rFonts w:ascii="Palatino Linotype" w:eastAsia="Palatino Linotype" w:hAnsi="Palatino Linotype" w:cs="Palatino Linotype"/>
        </w:rPr>
        <w:t xml:space="preserve">de esta resolución, se </w:t>
      </w:r>
      <w:r w:rsidR="00BC6F52" w:rsidRPr="00632D97">
        <w:rPr>
          <w:rFonts w:ascii="Palatino Linotype" w:eastAsia="Palatino Linotype" w:hAnsi="Palatino Linotype" w:cs="Palatino Linotype"/>
          <w:b/>
        </w:rPr>
        <w:t>Revoca</w:t>
      </w:r>
      <w:r w:rsidRPr="00632D97">
        <w:rPr>
          <w:rFonts w:ascii="Palatino Linotype" w:eastAsia="Palatino Linotype" w:hAnsi="Palatino Linotype" w:cs="Palatino Linotype"/>
        </w:rPr>
        <w:t xml:space="preserve"> la respuesta emitida por el </w:t>
      </w:r>
      <w:r w:rsidRPr="00632D97">
        <w:rPr>
          <w:rFonts w:ascii="Palatino Linotype" w:eastAsia="Palatino Linotype" w:hAnsi="Palatino Linotype" w:cs="Palatino Linotype"/>
          <w:b/>
        </w:rPr>
        <w:t xml:space="preserve">Sujeto Obligado. </w:t>
      </w:r>
    </w:p>
    <w:p w14:paraId="5D905531" w14:textId="77777777" w:rsidR="00DF40CC" w:rsidRPr="00632D97" w:rsidRDefault="00222045">
      <w:pPr>
        <w:spacing w:before="240" w:after="240" w:line="360" w:lineRule="auto"/>
        <w:ind w:right="49"/>
        <w:jc w:val="both"/>
        <w:rPr>
          <w:rFonts w:ascii="Palatino Linotype" w:eastAsia="Palatino Linotype" w:hAnsi="Palatino Linotype" w:cs="Palatino Linotype"/>
        </w:rPr>
      </w:pPr>
      <w:r w:rsidRPr="00632D97">
        <w:rPr>
          <w:rFonts w:ascii="Palatino Linotype" w:eastAsia="Palatino Linotype" w:hAnsi="Palatino Linotype" w:cs="Palatino Linotype"/>
          <w:b/>
        </w:rPr>
        <w:t xml:space="preserve">Segundo. </w:t>
      </w:r>
      <w:r w:rsidRPr="00632D97">
        <w:rPr>
          <w:rFonts w:ascii="Palatino Linotype" w:eastAsia="Palatino Linotype" w:hAnsi="Palatino Linotype" w:cs="Palatino Linotype"/>
        </w:rPr>
        <w:t xml:space="preserve">Se </w:t>
      </w:r>
      <w:r w:rsidRPr="00632D97">
        <w:rPr>
          <w:rFonts w:ascii="Palatino Linotype" w:eastAsia="Palatino Linotype" w:hAnsi="Palatino Linotype" w:cs="Palatino Linotype"/>
          <w:b/>
        </w:rPr>
        <w:t xml:space="preserve">Ordena </w:t>
      </w:r>
      <w:r w:rsidRPr="00632D97">
        <w:rPr>
          <w:rFonts w:ascii="Palatino Linotype" w:eastAsia="Palatino Linotype" w:hAnsi="Palatino Linotype" w:cs="Palatino Linotype"/>
        </w:rPr>
        <w:t xml:space="preserve">al </w:t>
      </w:r>
      <w:r w:rsidRPr="00632D97">
        <w:rPr>
          <w:rFonts w:ascii="Palatino Linotype" w:eastAsia="Palatino Linotype" w:hAnsi="Palatino Linotype" w:cs="Palatino Linotype"/>
          <w:b/>
        </w:rPr>
        <w:t xml:space="preserve">Sujeto Obligado, </w:t>
      </w:r>
      <w:r w:rsidRPr="00632D97">
        <w:rPr>
          <w:rFonts w:ascii="Palatino Linotype" w:eastAsia="Palatino Linotype" w:hAnsi="Palatino Linotype" w:cs="Palatino Linotype"/>
        </w:rPr>
        <w:t xml:space="preserve">en términos de los </w:t>
      </w:r>
      <w:r w:rsidRPr="00632D97">
        <w:rPr>
          <w:rFonts w:ascii="Palatino Linotype" w:eastAsia="Palatino Linotype" w:hAnsi="Palatino Linotype" w:cs="Palatino Linotype"/>
          <w:b/>
        </w:rPr>
        <w:t>Considerandos</w:t>
      </w:r>
      <w:r w:rsidRPr="00632D97">
        <w:rPr>
          <w:rFonts w:ascii="Palatino Linotype" w:eastAsia="Palatino Linotype" w:hAnsi="Palatino Linotype" w:cs="Palatino Linotype"/>
        </w:rPr>
        <w:t xml:space="preserve"> </w:t>
      </w:r>
      <w:r w:rsidRPr="00632D97">
        <w:rPr>
          <w:rFonts w:ascii="Palatino Linotype" w:eastAsia="Palatino Linotype" w:hAnsi="Palatino Linotype" w:cs="Palatino Linotype"/>
          <w:b/>
        </w:rPr>
        <w:t xml:space="preserve">Cuarto </w:t>
      </w:r>
      <w:r w:rsidRPr="00632D97">
        <w:rPr>
          <w:rFonts w:ascii="Palatino Linotype" w:eastAsia="Palatino Linotype" w:hAnsi="Palatino Linotype" w:cs="Palatino Linotype"/>
        </w:rPr>
        <w:t xml:space="preserve">y </w:t>
      </w:r>
      <w:r w:rsidRPr="00632D97">
        <w:rPr>
          <w:rFonts w:ascii="Palatino Linotype" w:eastAsia="Palatino Linotype" w:hAnsi="Palatino Linotype" w:cs="Palatino Linotype"/>
          <w:b/>
        </w:rPr>
        <w:t xml:space="preserve">Quinto </w:t>
      </w:r>
      <w:r w:rsidRPr="00632D97">
        <w:rPr>
          <w:rFonts w:ascii="Palatino Linotype" w:eastAsia="Palatino Linotype" w:hAnsi="Palatino Linotype" w:cs="Palatino Linotype"/>
        </w:rPr>
        <w:t xml:space="preserve">de esta resolución, haga entrega, vía </w:t>
      </w:r>
      <w:r w:rsidRPr="00632D97">
        <w:rPr>
          <w:rFonts w:ascii="Palatino Linotype" w:eastAsia="Palatino Linotype" w:hAnsi="Palatino Linotype" w:cs="Palatino Linotype"/>
          <w:b/>
        </w:rPr>
        <w:t>SAIMEX</w:t>
      </w:r>
      <w:r w:rsidRPr="00632D97">
        <w:rPr>
          <w:rFonts w:ascii="Palatino Linotype" w:eastAsia="Palatino Linotype" w:hAnsi="Palatino Linotype" w:cs="Palatino Linotype"/>
        </w:rPr>
        <w:t>, en versión pública de lo siguiente:</w:t>
      </w:r>
    </w:p>
    <w:p w14:paraId="05211D95" w14:textId="24C7CB80" w:rsidR="00DF40CC" w:rsidRPr="00632D97" w:rsidRDefault="00222045">
      <w:pPr>
        <w:spacing w:before="240" w:after="240" w:line="360" w:lineRule="auto"/>
        <w:ind w:left="284"/>
        <w:jc w:val="both"/>
        <w:rPr>
          <w:rFonts w:ascii="Palatino Linotype" w:eastAsia="Palatino Linotype" w:hAnsi="Palatino Linotype" w:cs="Palatino Linotype"/>
        </w:rPr>
      </w:pPr>
      <w:bookmarkStart w:id="14" w:name="_heading=h.1fob9te" w:colFirst="0" w:colLast="0"/>
      <w:bookmarkEnd w:id="14"/>
      <w:r w:rsidRPr="00632D97">
        <w:rPr>
          <w:rFonts w:ascii="Palatino Linotype" w:eastAsia="Palatino Linotype" w:hAnsi="Palatino Linotype" w:cs="Palatino Linotype"/>
        </w:rPr>
        <w:t xml:space="preserve">1. La conciliación de nómina de la primera y segunda quincena de </w:t>
      </w:r>
      <w:r w:rsidR="00BC6F52" w:rsidRPr="00632D97">
        <w:rPr>
          <w:rFonts w:ascii="Palatino Linotype" w:eastAsia="Palatino Linotype" w:hAnsi="Palatino Linotype" w:cs="Palatino Linotype"/>
        </w:rPr>
        <w:t xml:space="preserve">enero, </w:t>
      </w:r>
      <w:r w:rsidRPr="00632D97">
        <w:rPr>
          <w:rFonts w:ascii="Palatino Linotype" w:eastAsia="Palatino Linotype" w:hAnsi="Palatino Linotype" w:cs="Palatino Linotype"/>
        </w:rPr>
        <w:t>febrero y marzo de dos mil veinticinco.</w:t>
      </w:r>
    </w:p>
    <w:p w14:paraId="62789C5E" w14:textId="77777777" w:rsidR="00DF40CC" w:rsidRPr="00632D97" w:rsidRDefault="00222045">
      <w:pPr>
        <w:pBdr>
          <w:top w:val="nil"/>
          <w:left w:val="nil"/>
          <w:bottom w:val="nil"/>
          <w:right w:val="nil"/>
          <w:between w:val="nil"/>
        </w:pBdr>
        <w:ind w:left="284"/>
        <w:jc w:val="both"/>
        <w:rPr>
          <w:rFonts w:ascii="Palatino Linotype" w:eastAsia="Palatino Linotype" w:hAnsi="Palatino Linotype" w:cs="Palatino Linotype"/>
          <w:i/>
          <w:sz w:val="20"/>
          <w:szCs w:val="20"/>
        </w:rPr>
      </w:pPr>
      <w:r w:rsidRPr="00632D97">
        <w:rPr>
          <w:rFonts w:ascii="Palatino Linotype" w:eastAsia="Palatino Linotype" w:hAnsi="Palatino Linotype" w:cs="Palatino Linotype"/>
          <w:i/>
          <w:sz w:val="20"/>
          <w:szCs w:val="2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632D97">
        <w:rPr>
          <w:rFonts w:ascii="Palatino Linotype" w:eastAsia="Palatino Linotype" w:hAnsi="Palatino Linotype" w:cs="Palatino Linotype"/>
          <w:b/>
          <w:i/>
          <w:sz w:val="20"/>
          <w:szCs w:val="20"/>
        </w:rPr>
        <w:t>Recurrente</w:t>
      </w:r>
      <w:r w:rsidRPr="00632D97">
        <w:rPr>
          <w:rFonts w:ascii="Palatino Linotype" w:eastAsia="Palatino Linotype" w:hAnsi="Palatino Linotype" w:cs="Palatino Linotype"/>
          <w:i/>
          <w:sz w:val="20"/>
          <w:szCs w:val="20"/>
        </w:rPr>
        <w:t>, mismo que igualmente hará de su conocimiento.</w:t>
      </w:r>
    </w:p>
    <w:p w14:paraId="4813A7AD" w14:textId="77777777" w:rsidR="00DF40CC" w:rsidRPr="00632D97" w:rsidRDefault="00222045">
      <w:pPr>
        <w:spacing w:before="240" w:after="240" w:line="360" w:lineRule="auto"/>
        <w:jc w:val="both"/>
        <w:rPr>
          <w:rFonts w:ascii="Palatino Linotype" w:eastAsia="Palatino Linotype" w:hAnsi="Palatino Linotype" w:cs="Palatino Linotype"/>
        </w:rPr>
      </w:pPr>
      <w:bookmarkStart w:id="15" w:name="_heading=h.hnzxsch5gysz" w:colFirst="0" w:colLast="0"/>
      <w:bookmarkEnd w:id="15"/>
      <w:r w:rsidRPr="00632D97">
        <w:rPr>
          <w:rFonts w:ascii="Palatino Linotype" w:eastAsia="Palatino Linotype" w:hAnsi="Palatino Linotype" w:cs="Palatino Linotype"/>
          <w:b/>
        </w:rPr>
        <w:lastRenderedPageBreak/>
        <w:t xml:space="preserve">Tercero. Notifíquese, </w:t>
      </w:r>
      <w:r w:rsidRPr="00632D97">
        <w:rPr>
          <w:rFonts w:ascii="Palatino Linotype" w:eastAsia="Palatino Linotype" w:hAnsi="Palatino Linotype" w:cs="Palatino Linotype"/>
        </w:rPr>
        <w:t xml:space="preserve">vía </w:t>
      </w:r>
      <w:r w:rsidRPr="00632D97">
        <w:rPr>
          <w:rFonts w:ascii="Palatino Linotype" w:eastAsia="Palatino Linotype" w:hAnsi="Palatino Linotype" w:cs="Palatino Linotype"/>
          <w:b/>
        </w:rPr>
        <w:t>SAIMEX</w:t>
      </w:r>
      <w:r w:rsidRPr="00632D97">
        <w:rPr>
          <w:rFonts w:ascii="Palatino Linotype" w:eastAsia="Palatino Linotype" w:hAnsi="Palatino Linotype" w:cs="Palatino Linotype"/>
        </w:rPr>
        <w:t xml:space="preserve">, al Titular de la Unidad de Transparencia del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147668" w14:textId="77777777" w:rsidR="00DF40CC" w:rsidRPr="00632D97" w:rsidRDefault="00222045">
      <w:pPr>
        <w:spacing w:before="240" w:after="240" w:line="360" w:lineRule="auto"/>
        <w:jc w:val="both"/>
        <w:rPr>
          <w:rFonts w:ascii="Palatino Linotype" w:eastAsia="Palatino Linotype" w:hAnsi="Palatino Linotype" w:cs="Palatino Linotype"/>
        </w:rPr>
      </w:pPr>
      <w:r w:rsidRPr="00632D9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32D97">
        <w:rPr>
          <w:rFonts w:ascii="Palatino Linotype" w:eastAsia="Palatino Linotype" w:hAnsi="Palatino Linotype" w:cs="Palatino Linotype"/>
          <w:b/>
        </w:rPr>
        <w:t>Sujeto Obligado</w:t>
      </w:r>
      <w:r w:rsidRPr="00632D97">
        <w:rPr>
          <w:rFonts w:ascii="Palatino Linotype" w:eastAsia="Palatino Linotype" w:hAnsi="Palatino Linotype" w:cs="Palatino Linotype"/>
        </w:rPr>
        <w:t xml:space="preserve"> de manera fundada y motivada, podrá solicitar una ampliación de plazo para el cumplimiento de la presente resolución.</w:t>
      </w:r>
    </w:p>
    <w:p w14:paraId="6D0F5676" w14:textId="77777777" w:rsidR="00DF40CC" w:rsidRPr="00632D97" w:rsidRDefault="00222045">
      <w:pPr>
        <w:spacing w:before="240" w:after="240" w:line="360" w:lineRule="auto"/>
        <w:jc w:val="both"/>
        <w:rPr>
          <w:rFonts w:ascii="Palatino Linotype" w:eastAsia="Palatino Linotype" w:hAnsi="Palatino Linotype" w:cs="Palatino Linotype"/>
        </w:rPr>
      </w:pPr>
      <w:bookmarkStart w:id="16" w:name="_heading=h.ot3qq6vxa08f" w:colFirst="0" w:colLast="0"/>
      <w:bookmarkEnd w:id="16"/>
      <w:r w:rsidRPr="00632D97">
        <w:rPr>
          <w:rFonts w:ascii="Palatino Linotype" w:eastAsia="Palatino Linotype" w:hAnsi="Palatino Linotype" w:cs="Palatino Linotype"/>
          <w:b/>
        </w:rPr>
        <w:t xml:space="preserve">Cuarto.  Notifíquese, </w:t>
      </w:r>
      <w:r w:rsidRPr="00632D97">
        <w:rPr>
          <w:rFonts w:ascii="Palatino Linotype" w:eastAsia="Palatino Linotype" w:hAnsi="Palatino Linotype" w:cs="Palatino Linotype"/>
        </w:rPr>
        <w:t xml:space="preserve">vía </w:t>
      </w:r>
      <w:r w:rsidRPr="00632D97">
        <w:rPr>
          <w:rFonts w:ascii="Palatino Linotype" w:eastAsia="Palatino Linotype" w:hAnsi="Palatino Linotype" w:cs="Palatino Linotype"/>
          <w:b/>
        </w:rPr>
        <w:t>SAIMEX</w:t>
      </w:r>
      <w:r w:rsidRPr="00632D97">
        <w:rPr>
          <w:rFonts w:ascii="Palatino Linotype" w:eastAsia="Palatino Linotype" w:hAnsi="Palatino Linotype" w:cs="Palatino Linotype"/>
        </w:rPr>
        <w:t xml:space="preserve"> a la parte </w:t>
      </w:r>
      <w:r w:rsidRPr="00632D97">
        <w:rPr>
          <w:rFonts w:ascii="Palatino Linotype" w:eastAsia="Palatino Linotype" w:hAnsi="Palatino Linotype" w:cs="Palatino Linotype"/>
          <w:b/>
        </w:rPr>
        <w:t>Recurrente</w:t>
      </w:r>
      <w:r w:rsidRPr="00632D9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0074CF2D" w14:textId="2399387E" w:rsidR="00DF40CC" w:rsidRPr="005F33B7" w:rsidRDefault="00222045">
      <w:pPr>
        <w:tabs>
          <w:tab w:val="left" w:pos="8647"/>
        </w:tabs>
        <w:spacing w:before="240" w:after="240" w:line="360" w:lineRule="auto"/>
        <w:ind w:right="51"/>
        <w:jc w:val="both"/>
        <w:rPr>
          <w:rFonts w:ascii="Palatino Linotype" w:eastAsia="Palatino Linotype" w:hAnsi="Palatino Linotype" w:cs="Palatino Linotype"/>
        </w:rPr>
      </w:pPr>
      <w:bookmarkStart w:id="17" w:name="_heading=h.lnxbz9" w:colFirst="0" w:colLast="0"/>
      <w:bookmarkEnd w:id="17"/>
      <w:r w:rsidRPr="00632D9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632D97">
        <w:rPr>
          <w:rFonts w:ascii="Palatino Linotype" w:eastAsia="Palatino Linotype" w:hAnsi="Palatino Linotype" w:cs="Palatino Linotype"/>
        </w:rPr>
        <w:lastRenderedPageBreak/>
        <w:t>MORALES MARTÍNEZ, LUIS GUSTAVO PARRA NORIEGA,</w:t>
      </w:r>
      <w:r w:rsidR="005F33B7" w:rsidRPr="00632D97">
        <w:rPr>
          <w:rFonts w:ascii="Palatino Linotype" w:eastAsia="Palatino Linotype" w:hAnsi="Palatino Linotype" w:cs="Palatino Linotype"/>
        </w:rPr>
        <w:t xml:space="preserve"> EMITIENDO VOTO PARTICULARA</w:t>
      </w:r>
      <w:r w:rsidRPr="00632D97">
        <w:rPr>
          <w:rFonts w:ascii="Palatino Linotype" w:eastAsia="Palatino Linotype" w:hAnsi="Palatino Linotype" w:cs="Palatino Linotype"/>
        </w:rPr>
        <w:t xml:space="preserve"> Y GUADALUPE RAMÍREZ PEÑA</w:t>
      </w:r>
      <w:r w:rsidR="005F33B7" w:rsidRPr="00632D97">
        <w:rPr>
          <w:rFonts w:ascii="Palatino Linotype" w:eastAsia="Palatino Linotype" w:hAnsi="Palatino Linotype" w:cs="Palatino Linotype"/>
        </w:rPr>
        <w:t>, EMITIENDO VOTO PARTICULAR</w:t>
      </w:r>
      <w:r w:rsidRPr="00632D97">
        <w:rPr>
          <w:rFonts w:ascii="Palatino Linotype" w:eastAsia="Palatino Linotype" w:hAnsi="Palatino Linotype" w:cs="Palatino Linotype"/>
        </w:rPr>
        <w:t xml:space="preserve">, EN LA VIGÉSIMA </w:t>
      </w:r>
      <w:r w:rsidR="00151238" w:rsidRPr="00632D97">
        <w:rPr>
          <w:rFonts w:ascii="Palatino Linotype" w:eastAsia="Palatino Linotype" w:hAnsi="Palatino Linotype" w:cs="Palatino Linotype"/>
        </w:rPr>
        <w:t>OCTAVA</w:t>
      </w:r>
      <w:r w:rsidRPr="00632D97">
        <w:rPr>
          <w:rFonts w:ascii="Palatino Linotype" w:eastAsia="Palatino Linotype" w:hAnsi="Palatino Linotype" w:cs="Palatino Linotype"/>
        </w:rPr>
        <w:t xml:space="preserve"> SESIÓN ORDINARIA CELEBRADA EL </w:t>
      </w:r>
      <w:r w:rsidR="00151238" w:rsidRPr="00632D97">
        <w:rPr>
          <w:rFonts w:ascii="Palatino Linotype" w:eastAsia="Palatino Linotype" w:hAnsi="Palatino Linotype" w:cs="Palatino Linotype"/>
        </w:rPr>
        <w:t>TRECE</w:t>
      </w:r>
      <w:r w:rsidRPr="00632D97">
        <w:rPr>
          <w:rFonts w:ascii="Palatino Linotype" w:eastAsia="Palatino Linotype" w:hAnsi="Palatino Linotype" w:cs="Palatino Linotype"/>
        </w:rPr>
        <w:t xml:space="preserve"> DE AGOSTO DE DOS MIL VEINTICINCO, ANTE EL SECRETARIO TÉCNICO DEL PLENO ALEXIS TAPIA RAMÍREZ.</w:t>
      </w:r>
    </w:p>
    <w:p w14:paraId="1C3CB0D0" w14:textId="77777777" w:rsidR="00DF40CC" w:rsidRPr="005F33B7" w:rsidRDefault="00DF40CC">
      <w:pPr>
        <w:spacing w:line="360" w:lineRule="auto"/>
        <w:jc w:val="both"/>
        <w:rPr>
          <w:rFonts w:ascii="Palatino Linotype" w:eastAsia="Palatino Linotype" w:hAnsi="Palatino Linotype" w:cs="Palatino Linotype"/>
        </w:rPr>
      </w:pPr>
    </w:p>
    <w:p w14:paraId="5F57EFA2" w14:textId="77777777" w:rsidR="00DF40CC" w:rsidRPr="005F33B7" w:rsidRDefault="00DF40CC">
      <w:pPr>
        <w:spacing w:line="360" w:lineRule="auto"/>
        <w:jc w:val="center"/>
        <w:rPr>
          <w:rFonts w:ascii="Palatino Linotype" w:eastAsia="Palatino Linotype" w:hAnsi="Palatino Linotype" w:cs="Palatino Linotype"/>
        </w:rPr>
      </w:pPr>
    </w:p>
    <w:p w14:paraId="4B90F78D" w14:textId="77777777" w:rsidR="00DF40CC" w:rsidRPr="005F33B7" w:rsidRDefault="00DF40CC">
      <w:pPr>
        <w:spacing w:line="360" w:lineRule="auto"/>
        <w:jc w:val="both"/>
        <w:rPr>
          <w:rFonts w:ascii="Palatino Linotype" w:eastAsia="Palatino Linotype" w:hAnsi="Palatino Linotype" w:cs="Palatino Linotype"/>
        </w:rPr>
      </w:pPr>
    </w:p>
    <w:p w14:paraId="1375A85A" w14:textId="77777777" w:rsidR="00DF40CC" w:rsidRPr="005F33B7" w:rsidRDefault="00DF40CC">
      <w:pPr>
        <w:spacing w:line="360" w:lineRule="auto"/>
        <w:jc w:val="both"/>
        <w:rPr>
          <w:rFonts w:ascii="Palatino Linotype" w:eastAsia="Palatino Linotype" w:hAnsi="Palatino Linotype" w:cs="Palatino Linotype"/>
        </w:rPr>
      </w:pPr>
    </w:p>
    <w:p w14:paraId="23C84D27" w14:textId="77777777" w:rsidR="00DF40CC" w:rsidRPr="005F33B7" w:rsidRDefault="00DF40CC">
      <w:pPr>
        <w:spacing w:line="360" w:lineRule="auto"/>
        <w:jc w:val="both"/>
        <w:rPr>
          <w:rFonts w:ascii="Palatino Linotype" w:eastAsia="Palatino Linotype" w:hAnsi="Palatino Linotype" w:cs="Palatino Linotype"/>
        </w:rPr>
      </w:pPr>
    </w:p>
    <w:p w14:paraId="56449D72" w14:textId="77777777" w:rsidR="00DF40CC" w:rsidRPr="005F33B7" w:rsidRDefault="00DF40CC">
      <w:pPr>
        <w:spacing w:line="360" w:lineRule="auto"/>
        <w:jc w:val="both"/>
        <w:rPr>
          <w:rFonts w:ascii="Palatino Linotype" w:eastAsia="Palatino Linotype" w:hAnsi="Palatino Linotype" w:cs="Palatino Linotype"/>
        </w:rPr>
      </w:pPr>
    </w:p>
    <w:p w14:paraId="2158F4CF" w14:textId="77777777" w:rsidR="00DF40CC" w:rsidRPr="005F33B7" w:rsidRDefault="00DF40CC">
      <w:pPr>
        <w:spacing w:line="360" w:lineRule="auto"/>
        <w:jc w:val="both"/>
        <w:rPr>
          <w:rFonts w:ascii="Palatino Linotype" w:eastAsia="Palatino Linotype" w:hAnsi="Palatino Linotype" w:cs="Palatino Linotype"/>
        </w:rPr>
      </w:pPr>
    </w:p>
    <w:p w14:paraId="6CB46D3B" w14:textId="77777777" w:rsidR="00DF40CC" w:rsidRPr="005F33B7" w:rsidRDefault="00DF40CC">
      <w:pPr>
        <w:spacing w:line="360" w:lineRule="auto"/>
        <w:jc w:val="both"/>
        <w:rPr>
          <w:rFonts w:ascii="Palatino Linotype" w:eastAsia="Palatino Linotype" w:hAnsi="Palatino Linotype" w:cs="Palatino Linotype"/>
        </w:rPr>
      </w:pPr>
    </w:p>
    <w:p w14:paraId="60CF6DF0" w14:textId="77777777" w:rsidR="00DF40CC" w:rsidRPr="005F33B7" w:rsidRDefault="00DF40CC">
      <w:pPr>
        <w:spacing w:line="360" w:lineRule="auto"/>
        <w:jc w:val="both"/>
        <w:rPr>
          <w:rFonts w:ascii="Palatino Linotype" w:eastAsia="Palatino Linotype" w:hAnsi="Palatino Linotype" w:cs="Palatino Linotype"/>
        </w:rPr>
      </w:pPr>
    </w:p>
    <w:p w14:paraId="10B9739F" w14:textId="77777777" w:rsidR="00DF40CC" w:rsidRPr="005F33B7" w:rsidRDefault="00DF40CC">
      <w:pPr>
        <w:spacing w:line="360" w:lineRule="auto"/>
        <w:jc w:val="both"/>
        <w:rPr>
          <w:rFonts w:ascii="Palatino Linotype" w:eastAsia="Palatino Linotype" w:hAnsi="Palatino Linotype" w:cs="Palatino Linotype"/>
        </w:rPr>
      </w:pPr>
    </w:p>
    <w:p w14:paraId="35954FA9" w14:textId="77777777" w:rsidR="00DF40CC" w:rsidRPr="005F33B7" w:rsidRDefault="00DF40CC">
      <w:pPr>
        <w:spacing w:line="360" w:lineRule="auto"/>
        <w:jc w:val="both"/>
        <w:rPr>
          <w:rFonts w:ascii="Palatino Linotype" w:eastAsia="Palatino Linotype" w:hAnsi="Palatino Linotype" w:cs="Palatino Linotype"/>
        </w:rPr>
      </w:pPr>
    </w:p>
    <w:p w14:paraId="3C1DE960" w14:textId="77777777" w:rsidR="00DF40CC" w:rsidRPr="005F33B7" w:rsidRDefault="00DF40CC">
      <w:pPr>
        <w:spacing w:line="360" w:lineRule="auto"/>
        <w:jc w:val="both"/>
        <w:rPr>
          <w:rFonts w:ascii="Palatino Linotype" w:eastAsia="Palatino Linotype" w:hAnsi="Palatino Linotype" w:cs="Palatino Linotype"/>
        </w:rPr>
      </w:pPr>
    </w:p>
    <w:p w14:paraId="628EDFB0" w14:textId="77777777" w:rsidR="00DF40CC" w:rsidRPr="005F33B7" w:rsidRDefault="00DF40CC">
      <w:pPr>
        <w:spacing w:line="360" w:lineRule="auto"/>
        <w:jc w:val="both"/>
        <w:rPr>
          <w:rFonts w:ascii="Palatino Linotype" w:eastAsia="Palatino Linotype" w:hAnsi="Palatino Linotype" w:cs="Palatino Linotype"/>
        </w:rPr>
      </w:pPr>
    </w:p>
    <w:p w14:paraId="1E285EA6" w14:textId="77777777" w:rsidR="00DF40CC" w:rsidRPr="005F33B7" w:rsidRDefault="00DF40CC">
      <w:pPr>
        <w:spacing w:line="360" w:lineRule="auto"/>
        <w:jc w:val="both"/>
        <w:rPr>
          <w:rFonts w:ascii="Palatino Linotype" w:eastAsia="Palatino Linotype" w:hAnsi="Palatino Linotype" w:cs="Palatino Linotype"/>
        </w:rPr>
      </w:pPr>
    </w:p>
    <w:p w14:paraId="0DC3B583" w14:textId="77777777" w:rsidR="00DF40CC" w:rsidRPr="005F33B7" w:rsidRDefault="00DF40CC">
      <w:pPr>
        <w:spacing w:line="360" w:lineRule="auto"/>
        <w:jc w:val="both"/>
        <w:rPr>
          <w:rFonts w:ascii="Palatino Linotype" w:eastAsia="Palatino Linotype" w:hAnsi="Palatino Linotype" w:cs="Palatino Linotype"/>
        </w:rPr>
      </w:pPr>
    </w:p>
    <w:p w14:paraId="281726B4" w14:textId="77777777" w:rsidR="00DF40CC" w:rsidRPr="005F33B7" w:rsidRDefault="00DF40CC">
      <w:pPr>
        <w:spacing w:line="360" w:lineRule="auto"/>
        <w:jc w:val="both"/>
        <w:rPr>
          <w:rFonts w:ascii="Palatino Linotype" w:eastAsia="Palatino Linotype" w:hAnsi="Palatino Linotype" w:cs="Palatino Linotype"/>
        </w:rPr>
      </w:pPr>
    </w:p>
    <w:p w14:paraId="1B347F24" w14:textId="77777777" w:rsidR="00DF40CC" w:rsidRPr="005F33B7" w:rsidRDefault="00DF40CC">
      <w:pPr>
        <w:spacing w:line="360" w:lineRule="auto"/>
        <w:jc w:val="both"/>
        <w:rPr>
          <w:rFonts w:ascii="Palatino Linotype" w:eastAsia="Palatino Linotype" w:hAnsi="Palatino Linotype" w:cs="Palatino Linotype"/>
        </w:rPr>
      </w:pPr>
    </w:p>
    <w:p w14:paraId="47FE40F3" w14:textId="77777777" w:rsidR="00DF40CC" w:rsidRPr="005F33B7" w:rsidRDefault="00DF40CC">
      <w:pPr>
        <w:spacing w:line="360" w:lineRule="auto"/>
        <w:jc w:val="both"/>
        <w:rPr>
          <w:rFonts w:ascii="Palatino Linotype" w:eastAsia="Palatino Linotype" w:hAnsi="Palatino Linotype" w:cs="Palatino Linotype"/>
        </w:rPr>
      </w:pPr>
    </w:p>
    <w:p w14:paraId="000E7EF3" w14:textId="77777777" w:rsidR="00DF40CC" w:rsidRPr="005F33B7" w:rsidRDefault="00DF40CC">
      <w:pPr>
        <w:spacing w:line="360" w:lineRule="auto"/>
        <w:jc w:val="both"/>
        <w:rPr>
          <w:rFonts w:ascii="Palatino Linotype" w:eastAsia="Palatino Linotype" w:hAnsi="Palatino Linotype" w:cs="Palatino Linotype"/>
        </w:rPr>
      </w:pPr>
    </w:p>
    <w:p w14:paraId="4728ED7E" w14:textId="77777777" w:rsidR="00DF40CC" w:rsidRPr="005F33B7" w:rsidRDefault="00DF40CC">
      <w:pPr>
        <w:spacing w:line="360" w:lineRule="auto"/>
        <w:jc w:val="both"/>
        <w:rPr>
          <w:rFonts w:ascii="Palatino Linotype" w:eastAsia="Palatino Linotype" w:hAnsi="Palatino Linotype" w:cs="Palatino Linotype"/>
        </w:rPr>
      </w:pPr>
    </w:p>
    <w:p w14:paraId="082BE3FA" w14:textId="77777777" w:rsidR="00DF40CC" w:rsidRPr="005F33B7" w:rsidRDefault="00DF40CC">
      <w:pPr>
        <w:spacing w:line="360" w:lineRule="auto"/>
        <w:jc w:val="both"/>
        <w:rPr>
          <w:rFonts w:ascii="Palatino Linotype" w:eastAsia="Palatino Linotype" w:hAnsi="Palatino Linotype" w:cs="Palatino Linotype"/>
        </w:rPr>
      </w:pPr>
    </w:p>
    <w:p w14:paraId="16D5AFD6" w14:textId="77777777" w:rsidR="00DF40CC" w:rsidRPr="005F33B7" w:rsidRDefault="00DF40CC">
      <w:pPr>
        <w:spacing w:line="360" w:lineRule="auto"/>
        <w:jc w:val="both"/>
        <w:rPr>
          <w:rFonts w:ascii="Palatino Linotype" w:eastAsia="Palatino Linotype" w:hAnsi="Palatino Linotype" w:cs="Palatino Linotype"/>
        </w:rPr>
      </w:pPr>
    </w:p>
    <w:p w14:paraId="1EC75932" w14:textId="77777777" w:rsidR="00DF40CC" w:rsidRPr="005F33B7" w:rsidRDefault="00DF40CC">
      <w:pPr>
        <w:spacing w:line="360" w:lineRule="auto"/>
        <w:jc w:val="both"/>
        <w:rPr>
          <w:rFonts w:ascii="Palatino Linotype" w:eastAsia="Palatino Linotype" w:hAnsi="Palatino Linotype" w:cs="Palatino Linotype"/>
        </w:rPr>
      </w:pPr>
    </w:p>
    <w:p w14:paraId="60B58C55" w14:textId="77777777" w:rsidR="00DF40CC" w:rsidRPr="005F33B7" w:rsidRDefault="00DF40CC">
      <w:pPr>
        <w:spacing w:line="360" w:lineRule="auto"/>
        <w:jc w:val="both"/>
        <w:rPr>
          <w:rFonts w:ascii="Palatino Linotype" w:eastAsia="Palatino Linotype" w:hAnsi="Palatino Linotype" w:cs="Palatino Linotype"/>
        </w:rPr>
      </w:pPr>
    </w:p>
    <w:p w14:paraId="2FD5896C" w14:textId="77777777" w:rsidR="00DF40CC" w:rsidRPr="005F33B7" w:rsidRDefault="00DF40CC">
      <w:pPr>
        <w:spacing w:line="360" w:lineRule="auto"/>
        <w:jc w:val="both"/>
        <w:rPr>
          <w:rFonts w:ascii="Palatino Linotype" w:eastAsia="Palatino Linotype" w:hAnsi="Palatino Linotype" w:cs="Palatino Linotype"/>
        </w:rPr>
      </w:pPr>
    </w:p>
    <w:p w14:paraId="2E05C755" w14:textId="77777777" w:rsidR="00DF40CC" w:rsidRPr="005F33B7" w:rsidRDefault="00DF40CC">
      <w:pPr>
        <w:spacing w:line="360" w:lineRule="auto"/>
        <w:jc w:val="both"/>
        <w:rPr>
          <w:rFonts w:ascii="Palatino Linotype" w:eastAsia="Palatino Linotype" w:hAnsi="Palatino Linotype" w:cs="Palatino Linotype"/>
        </w:rPr>
      </w:pPr>
    </w:p>
    <w:p w14:paraId="2EBCCC37" w14:textId="77777777" w:rsidR="00DF40CC" w:rsidRPr="005F33B7" w:rsidRDefault="00DF40CC">
      <w:pPr>
        <w:spacing w:line="360" w:lineRule="auto"/>
        <w:jc w:val="both"/>
        <w:rPr>
          <w:rFonts w:ascii="Palatino Linotype" w:eastAsia="Palatino Linotype" w:hAnsi="Palatino Linotype" w:cs="Palatino Linotype"/>
        </w:rPr>
      </w:pPr>
    </w:p>
    <w:p w14:paraId="1BF326A2" w14:textId="77777777" w:rsidR="00DF40CC" w:rsidRPr="005F33B7" w:rsidRDefault="00DF40CC">
      <w:pPr>
        <w:spacing w:line="360" w:lineRule="auto"/>
        <w:jc w:val="both"/>
        <w:rPr>
          <w:rFonts w:ascii="Palatino Linotype" w:eastAsia="Palatino Linotype" w:hAnsi="Palatino Linotype" w:cs="Palatino Linotype"/>
        </w:rPr>
      </w:pPr>
    </w:p>
    <w:p w14:paraId="5A1DE7B9" w14:textId="77777777" w:rsidR="00DF40CC" w:rsidRPr="005F33B7" w:rsidRDefault="00DF40CC">
      <w:pPr>
        <w:spacing w:line="360" w:lineRule="auto"/>
        <w:jc w:val="both"/>
        <w:rPr>
          <w:rFonts w:ascii="Palatino Linotype" w:eastAsia="Palatino Linotype" w:hAnsi="Palatino Linotype" w:cs="Palatino Linotype"/>
        </w:rPr>
      </w:pPr>
    </w:p>
    <w:sectPr w:rsidR="00DF40CC" w:rsidRPr="005F33B7">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3E0A3" w14:textId="77777777" w:rsidR="00C04A09" w:rsidRDefault="00C04A09">
      <w:r>
        <w:separator/>
      </w:r>
    </w:p>
  </w:endnote>
  <w:endnote w:type="continuationSeparator" w:id="0">
    <w:p w14:paraId="3FB3357C" w14:textId="77777777" w:rsidR="00C04A09" w:rsidRDefault="00C0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232A" w14:textId="77777777" w:rsidR="00FC01ED" w:rsidRDefault="00FC01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32D97">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2D97">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420AFD84" w14:textId="77777777" w:rsidR="00FC01ED" w:rsidRDefault="00FC01E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E6CE" w14:textId="77777777" w:rsidR="00FC01ED" w:rsidRDefault="00FC01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32D9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2D97">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6B2334D7" w14:textId="77777777" w:rsidR="00FC01ED" w:rsidRDefault="00FC01E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D6837" w14:textId="77777777" w:rsidR="00C04A09" w:rsidRDefault="00C04A09">
      <w:r>
        <w:separator/>
      </w:r>
    </w:p>
  </w:footnote>
  <w:footnote w:type="continuationSeparator" w:id="0">
    <w:p w14:paraId="0B80A44E" w14:textId="77777777" w:rsidR="00C04A09" w:rsidRDefault="00C04A09">
      <w:r>
        <w:continuationSeparator/>
      </w:r>
    </w:p>
  </w:footnote>
  <w:footnote w:id="1">
    <w:p w14:paraId="499198E6" w14:textId="77777777" w:rsidR="00FC01ED" w:rsidRDefault="00FC01ED">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975A" w14:textId="77777777" w:rsidR="00FC01ED" w:rsidRDefault="00FC01ED">
    <w:pPr>
      <w:rPr>
        <w:rFonts w:ascii="Cambria" w:eastAsia="Cambria" w:hAnsi="Cambria" w:cs="Cambria"/>
        <w:color w:val="000000"/>
      </w:rPr>
    </w:pPr>
    <w:r>
      <w:rPr>
        <w:noProof/>
      </w:rPr>
      <w:drawing>
        <wp:anchor distT="0" distB="0" distL="0" distR="0" simplePos="0" relativeHeight="251658240" behindDoc="1" locked="0" layoutInCell="1" hidden="0" allowOverlap="1" wp14:anchorId="48B934B8" wp14:editId="0428631E">
          <wp:simplePos x="0" y="0"/>
          <wp:positionH relativeFrom="column">
            <wp:posOffset>-1080134</wp:posOffset>
          </wp:positionH>
          <wp:positionV relativeFrom="paragraph">
            <wp:posOffset>-488261</wp:posOffset>
          </wp:positionV>
          <wp:extent cx="7809865" cy="10165715"/>
          <wp:effectExtent l="0" t="0" r="0" b="0"/>
          <wp:wrapNone/>
          <wp:docPr id="21401318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FC01ED" w14:paraId="4FBE8179" w14:textId="77777777">
      <w:tc>
        <w:tcPr>
          <w:tcW w:w="2489" w:type="dxa"/>
          <w:shd w:val="clear" w:color="auto" w:fill="auto"/>
        </w:tcPr>
        <w:p w14:paraId="230C37AE" w14:textId="77777777" w:rsidR="00FC01ED" w:rsidRDefault="00FC01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6C0DBD7" w14:textId="18491E08" w:rsidR="00FC01ED" w:rsidRDefault="00FC01ED" w:rsidP="0015123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05284/INFOEM/IP/RR/2025</w:t>
          </w:r>
        </w:p>
      </w:tc>
    </w:tr>
    <w:tr w:rsidR="00FC01ED" w14:paraId="68E5DB2A" w14:textId="77777777">
      <w:trPr>
        <w:trHeight w:val="228"/>
      </w:trPr>
      <w:tc>
        <w:tcPr>
          <w:tcW w:w="2489" w:type="dxa"/>
          <w:shd w:val="clear" w:color="auto" w:fill="auto"/>
          <w:vAlign w:val="center"/>
        </w:tcPr>
        <w:p w14:paraId="5A79EBE7" w14:textId="77777777" w:rsidR="00FC01ED" w:rsidRDefault="00FC01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25BDACE" w14:textId="66D5B74F" w:rsidR="00FC01ED" w:rsidRDefault="00FC01ED">
          <w:pPr>
            <w:ind w:left="-45" w:right="176"/>
            <w:jc w:val="both"/>
            <w:rPr>
              <w:rFonts w:ascii="Palatino Linotype" w:eastAsia="Palatino Linotype" w:hAnsi="Palatino Linotype" w:cs="Palatino Linotype"/>
              <w:b/>
              <w:sz w:val="22"/>
              <w:szCs w:val="22"/>
            </w:rPr>
          </w:pPr>
          <w:r w:rsidRPr="00151238">
            <w:rPr>
              <w:rFonts w:ascii="Palatino Linotype" w:eastAsia="Palatino Linotype" w:hAnsi="Palatino Linotype" w:cs="Palatino Linotype"/>
              <w:b/>
              <w:sz w:val="22"/>
              <w:szCs w:val="22"/>
            </w:rPr>
            <w:t>Ayuntamiento de Morelos</w:t>
          </w:r>
        </w:p>
      </w:tc>
    </w:tr>
    <w:tr w:rsidR="00FC01ED" w14:paraId="5FE41F01" w14:textId="77777777">
      <w:tc>
        <w:tcPr>
          <w:tcW w:w="2489" w:type="dxa"/>
          <w:shd w:val="clear" w:color="auto" w:fill="auto"/>
          <w:vAlign w:val="center"/>
        </w:tcPr>
        <w:p w14:paraId="5515BB4A" w14:textId="77777777" w:rsidR="00FC01ED" w:rsidRDefault="00FC01E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BEE857" w14:textId="77777777" w:rsidR="00FC01ED" w:rsidRDefault="00FC01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865B8E" w14:textId="77777777" w:rsidR="00FC01ED" w:rsidRDefault="00FC01E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2C9D" w14:textId="77777777" w:rsidR="00FC01ED" w:rsidRDefault="00FC01E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C6F3B6F" wp14:editId="7247DA60">
          <wp:simplePos x="0" y="0"/>
          <wp:positionH relativeFrom="column">
            <wp:posOffset>-1080132</wp:posOffset>
          </wp:positionH>
          <wp:positionV relativeFrom="paragraph">
            <wp:posOffset>-369891</wp:posOffset>
          </wp:positionV>
          <wp:extent cx="7809865" cy="10165715"/>
          <wp:effectExtent l="0" t="0" r="0" b="0"/>
          <wp:wrapNone/>
          <wp:docPr id="21401318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FC01ED" w14:paraId="15D37BCB" w14:textId="77777777">
      <w:tc>
        <w:tcPr>
          <w:tcW w:w="2489" w:type="dxa"/>
          <w:shd w:val="clear" w:color="auto" w:fill="auto"/>
        </w:tcPr>
        <w:p w14:paraId="5E2C3469" w14:textId="77777777" w:rsidR="00FC01ED" w:rsidRDefault="00FC01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0E394E2" w14:textId="207EE386" w:rsidR="00FC01ED" w:rsidRDefault="00FC01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05284/INFOEM/IP/RR/2025</w:t>
          </w:r>
        </w:p>
      </w:tc>
    </w:tr>
    <w:tr w:rsidR="00FC01ED" w14:paraId="692D4EF9" w14:textId="77777777">
      <w:tc>
        <w:tcPr>
          <w:tcW w:w="2489" w:type="dxa"/>
          <w:shd w:val="clear" w:color="auto" w:fill="auto"/>
        </w:tcPr>
        <w:p w14:paraId="6D40DE7B" w14:textId="77777777" w:rsidR="00FC01ED" w:rsidRDefault="00FC01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6CA3F650" w14:textId="1EC39874" w:rsidR="00FC01ED" w:rsidRDefault="00200422">
          <w:pPr>
            <w:ind w:right="175"/>
            <w:jc w:val="both"/>
            <w:rPr>
              <w:rFonts w:ascii="Palatino Linotype" w:eastAsia="Palatino Linotype" w:hAnsi="Palatino Linotype" w:cs="Palatino Linotype"/>
              <w:b/>
              <w:color w:val="FF0000"/>
              <w:sz w:val="22"/>
              <w:szCs w:val="22"/>
              <w:highlight w:val="yellow"/>
            </w:rPr>
          </w:pPr>
          <w:r>
            <w:rPr>
              <w:rFonts w:ascii="Palatino Linotype" w:eastAsia="Palatino Linotype" w:hAnsi="Palatino Linotype" w:cs="Palatino Linotype"/>
              <w:b/>
              <w:sz w:val="22"/>
              <w:szCs w:val="22"/>
            </w:rPr>
            <w:t xml:space="preserve">XXXXX XXXX XX XXXXX XXXX </w:t>
          </w:r>
        </w:p>
      </w:tc>
    </w:tr>
    <w:tr w:rsidR="00FC01ED" w14:paraId="0DCC2C92" w14:textId="77777777">
      <w:trPr>
        <w:trHeight w:val="228"/>
      </w:trPr>
      <w:tc>
        <w:tcPr>
          <w:tcW w:w="2489" w:type="dxa"/>
          <w:shd w:val="clear" w:color="auto" w:fill="auto"/>
          <w:vAlign w:val="center"/>
        </w:tcPr>
        <w:p w14:paraId="0A3BA6AA" w14:textId="77777777" w:rsidR="00FC01ED" w:rsidRDefault="00FC01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D757311" w14:textId="06C221FB" w:rsidR="00FC01ED" w:rsidRDefault="00FC01ED">
          <w:pPr>
            <w:ind w:left="-45" w:right="176"/>
            <w:jc w:val="both"/>
            <w:rPr>
              <w:rFonts w:ascii="Palatino Linotype" w:eastAsia="Palatino Linotype" w:hAnsi="Palatino Linotype" w:cs="Palatino Linotype"/>
              <w:b/>
              <w:sz w:val="22"/>
              <w:szCs w:val="22"/>
            </w:rPr>
          </w:pPr>
          <w:r w:rsidRPr="00151238">
            <w:rPr>
              <w:rFonts w:ascii="Palatino Linotype" w:eastAsia="Palatino Linotype" w:hAnsi="Palatino Linotype" w:cs="Palatino Linotype"/>
              <w:b/>
              <w:sz w:val="22"/>
              <w:szCs w:val="22"/>
            </w:rPr>
            <w:t>Ayuntamiento de Morelos</w:t>
          </w:r>
        </w:p>
      </w:tc>
    </w:tr>
    <w:tr w:rsidR="00FC01ED" w14:paraId="54D75B89" w14:textId="77777777">
      <w:tc>
        <w:tcPr>
          <w:tcW w:w="2489" w:type="dxa"/>
          <w:shd w:val="clear" w:color="auto" w:fill="auto"/>
          <w:vAlign w:val="center"/>
        </w:tcPr>
        <w:p w14:paraId="6CD684E6" w14:textId="77777777" w:rsidR="00FC01ED" w:rsidRDefault="00FC01E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CB55DAB" w14:textId="77777777" w:rsidR="00FC01ED" w:rsidRDefault="00FC01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DF7EB1" w14:textId="77777777" w:rsidR="00FC01ED" w:rsidRDefault="00FC01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D178F"/>
    <w:multiLevelType w:val="multilevel"/>
    <w:tmpl w:val="1974EE8C"/>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CC"/>
    <w:rsid w:val="000173D0"/>
    <w:rsid w:val="000909D3"/>
    <w:rsid w:val="00101168"/>
    <w:rsid w:val="00151238"/>
    <w:rsid w:val="00187B15"/>
    <w:rsid w:val="001F71E4"/>
    <w:rsid w:val="00200422"/>
    <w:rsid w:val="00222045"/>
    <w:rsid w:val="00255F6B"/>
    <w:rsid w:val="003765C7"/>
    <w:rsid w:val="004A07D9"/>
    <w:rsid w:val="00532AC9"/>
    <w:rsid w:val="00534ADA"/>
    <w:rsid w:val="005F33B7"/>
    <w:rsid w:val="00632D97"/>
    <w:rsid w:val="00693C8C"/>
    <w:rsid w:val="006B16C8"/>
    <w:rsid w:val="00713646"/>
    <w:rsid w:val="00733653"/>
    <w:rsid w:val="00754345"/>
    <w:rsid w:val="0079658A"/>
    <w:rsid w:val="007A31E7"/>
    <w:rsid w:val="007B455E"/>
    <w:rsid w:val="00835992"/>
    <w:rsid w:val="00875A27"/>
    <w:rsid w:val="00982DE4"/>
    <w:rsid w:val="00A210A9"/>
    <w:rsid w:val="00A67D20"/>
    <w:rsid w:val="00B749B3"/>
    <w:rsid w:val="00BC0D61"/>
    <w:rsid w:val="00BC6F52"/>
    <w:rsid w:val="00BE4AC9"/>
    <w:rsid w:val="00C04A09"/>
    <w:rsid w:val="00CD5936"/>
    <w:rsid w:val="00D06EC5"/>
    <w:rsid w:val="00D21C93"/>
    <w:rsid w:val="00D33021"/>
    <w:rsid w:val="00DC5184"/>
    <w:rsid w:val="00DD5F55"/>
    <w:rsid w:val="00DF40CC"/>
    <w:rsid w:val="00E843F6"/>
    <w:rsid w:val="00EA15BA"/>
    <w:rsid w:val="00F141F1"/>
    <w:rsid w:val="00F470CD"/>
    <w:rsid w:val="00F646E6"/>
    <w:rsid w:val="00FC01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6454C"/>
  <w15:docId w15:val="{AA816715-1662-4B3B-8B5E-00CB4657E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positorio.morelosedomex.gob.mx/index.php/s/rDroDd9bp9goTcL"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repositorio.morelosedomex.gob.mx/index.php/s/rDroDd9bp9goTc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pomex.org.mx/ipomex/"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ipomex.org.mx/ipomex/"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iOuE9GkoVk4ofFEGgbz8QEIcw==">CgMxLjAyCWguM3JkY3JqbjIOaC5kYWozajJ4bzZxNjYyCGguZ2pkZ3hzMgloLjNkeTZ2a20yCWguMzBqMHpsbDIJaC4yczhleW8xMghoLnR5amN3dDIJaC4zem55c2g3MgloLjJldDkycDAyDmguOGdhaXBlejdyczhxMgloLjI2aW4xcmcyCWguMzVua3VuMjIJaC4xa3N2NHV2MgloLjF0M2g1c2YyCWguMWZvYjl0ZTIOaC5obnp4c2NoNWd5c3oyDmgub3QzcXE2dnhhMDhmMghoLmxueGJ6OTgAciExX3RZdGVFMzlVblRTWldqN3dNVE5rTGpHSUkzQ0ZnMF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3F69B3-991E-4488-B9AB-271AFF745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12005</Words>
  <Characters>66029</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2025-08-15T19:44:00Z</cp:lastPrinted>
  <dcterms:created xsi:type="dcterms:W3CDTF">2025-09-03T21:58:00Z</dcterms:created>
  <dcterms:modified xsi:type="dcterms:W3CDTF">2025-09-03T21:58:00Z</dcterms:modified>
</cp:coreProperties>
</file>