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0252979" w:displacedByCustomXml="next"/>
    <w:bookmarkEnd w:id="0" w:displacedByCustomXml="next"/>
    <w:sdt>
      <w:sdtPr>
        <w:rPr>
          <w:rFonts w:asciiTheme="minorHAnsi" w:eastAsiaTheme="minorHAnsi" w:hAnsiTheme="minorHAnsi" w:cstheme="minorBidi"/>
          <w:color w:val="auto"/>
          <w:sz w:val="22"/>
          <w:szCs w:val="22"/>
          <w:lang w:val="es-ES" w:eastAsia="en-US"/>
        </w:rPr>
        <w:id w:val="333346106"/>
        <w:docPartObj>
          <w:docPartGallery w:val="Table of Contents"/>
          <w:docPartUnique/>
        </w:docPartObj>
      </w:sdtPr>
      <w:sdtEndPr>
        <w:rPr>
          <w:b/>
          <w:bCs/>
        </w:rPr>
      </w:sdtEndPr>
      <w:sdtContent>
        <w:p w14:paraId="5E0E8CBD" w14:textId="62E01704" w:rsidR="00F0352C" w:rsidRPr="00F0352C" w:rsidRDefault="00F0352C" w:rsidP="00F0352C">
          <w:pPr>
            <w:pStyle w:val="TtulodeTDC"/>
            <w:spacing w:before="0" w:line="360" w:lineRule="auto"/>
            <w:jc w:val="center"/>
            <w:rPr>
              <w:rFonts w:ascii="Palatino Linotype" w:hAnsi="Palatino Linotype"/>
              <w:color w:val="auto"/>
              <w:sz w:val="22"/>
              <w:szCs w:val="22"/>
            </w:rPr>
          </w:pPr>
          <w:r w:rsidRPr="00F0352C">
            <w:rPr>
              <w:rFonts w:ascii="Palatino Linotype" w:hAnsi="Palatino Linotype"/>
              <w:color w:val="auto"/>
              <w:sz w:val="22"/>
              <w:szCs w:val="22"/>
              <w:lang w:val="es-ES"/>
            </w:rPr>
            <w:t>RESOLUCIÓN DEL RECURSO DE REVISIÓN 00321/INFOEM/IP/RR/2025</w:t>
          </w:r>
        </w:p>
        <w:p w14:paraId="3BAE94E6" w14:textId="77777777" w:rsidR="00A077A4" w:rsidRPr="00A077A4" w:rsidRDefault="00F0352C" w:rsidP="00A077A4">
          <w:pPr>
            <w:pStyle w:val="TDC1"/>
            <w:tabs>
              <w:tab w:val="right" w:leader="dot" w:pos="8828"/>
            </w:tabs>
            <w:spacing w:line="360" w:lineRule="auto"/>
            <w:rPr>
              <w:rFonts w:ascii="Palatino Linotype" w:eastAsiaTheme="minorEastAsia" w:hAnsi="Palatino Linotype"/>
              <w:noProof/>
              <w:lang w:eastAsia="es-MX"/>
            </w:rPr>
          </w:pPr>
          <w:r w:rsidRPr="00A077A4">
            <w:rPr>
              <w:rFonts w:ascii="Palatino Linotype" w:hAnsi="Palatino Linotype"/>
            </w:rPr>
            <w:fldChar w:fldCharType="begin"/>
          </w:r>
          <w:r w:rsidRPr="00A077A4">
            <w:rPr>
              <w:rFonts w:ascii="Palatino Linotype" w:hAnsi="Palatino Linotype"/>
            </w:rPr>
            <w:instrText xml:space="preserve"> TOC \o "1-3" \h \z \u </w:instrText>
          </w:r>
          <w:r w:rsidRPr="00A077A4">
            <w:rPr>
              <w:rFonts w:ascii="Palatino Linotype" w:hAnsi="Palatino Linotype"/>
            </w:rPr>
            <w:fldChar w:fldCharType="separate"/>
          </w:r>
          <w:hyperlink w:anchor="_Toc190952126" w:history="1">
            <w:r w:rsidR="00A077A4" w:rsidRPr="00A077A4">
              <w:rPr>
                <w:rStyle w:val="Hipervnculo"/>
                <w:rFonts w:ascii="Palatino Linotype" w:eastAsia="Palatino Linotype" w:hAnsi="Palatino Linotype"/>
                <w:noProof/>
                <w:lang w:eastAsia="es-MX"/>
              </w:rPr>
              <w:t>A N T E C E D E N T E S</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_Toc190952126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2</w:t>
            </w:r>
            <w:r w:rsidR="00A077A4" w:rsidRPr="00A077A4">
              <w:rPr>
                <w:rFonts w:ascii="Palatino Linotype" w:hAnsi="Palatino Linotype"/>
                <w:noProof/>
                <w:webHidden/>
              </w:rPr>
              <w:fldChar w:fldCharType="end"/>
            </w:r>
          </w:hyperlink>
        </w:p>
        <w:p w14:paraId="3393080F" w14:textId="77777777" w:rsidR="00A077A4" w:rsidRPr="00A077A4" w:rsidRDefault="001E4AD3" w:rsidP="00A077A4">
          <w:pPr>
            <w:pStyle w:val="TDC2"/>
            <w:tabs>
              <w:tab w:val="right" w:leader="dot" w:pos="8828"/>
            </w:tabs>
            <w:spacing w:line="360" w:lineRule="auto"/>
            <w:rPr>
              <w:rFonts w:ascii="Palatino Linotype" w:eastAsiaTheme="minorEastAsia" w:hAnsi="Palatino Linotype"/>
              <w:noProof/>
              <w:lang w:eastAsia="es-MX"/>
            </w:rPr>
          </w:pPr>
          <w:hyperlink w:anchor="_Toc190952127" w:history="1">
            <w:r w:rsidR="00A077A4" w:rsidRPr="00A077A4">
              <w:rPr>
                <w:rStyle w:val="Hipervnculo"/>
                <w:rFonts w:ascii="Palatino Linotype" w:eastAsia="Palatino Linotype" w:hAnsi="Palatino Linotype"/>
                <w:noProof/>
                <w:lang w:eastAsia="es-MX"/>
              </w:rPr>
              <w:t>I. Presentación de la solicitud de información</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_Toc190952127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2</w:t>
            </w:r>
            <w:r w:rsidR="00A077A4" w:rsidRPr="00A077A4">
              <w:rPr>
                <w:rFonts w:ascii="Palatino Linotype" w:hAnsi="Palatino Linotype"/>
                <w:noProof/>
                <w:webHidden/>
              </w:rPr>
              <w:fldChar w:fldCharType="end"/>
            </w:r>
          </w:hyperlink>
        </w:p>
        <w:p w14:paraId="2AA8EC63" w14:textId="77777777" w:rsidR="00A077A4" w:rsidRPr="00A077A4" w:rsidRDefault="001E4AD3" w:rsidP="00A077A4">
          <w:pPr>
            <w:pStyle w:val="TDC2"/>
            <w:tabs>
              <w:tab w:val="right" w:leader="dot" w:pos="8828"/>
            </w:tabs>
            <w:spacing w:line="360" w:lineRule="auto"/>
            <w:rPr>
              <w:rFonts w:ascii="Palatino Linotype" w:eastAsiaTheme="minorEastAsia" w:hAnsi="Palatino Linotype"/>
              <w:noProof/>
              <w:lang w:eastAsia="es-MX"/>
            </w:rPr>
          </w:pPr>
          <w:hyperlink w:anchor="_Toc190952128" w:history="1">
            <w:r w:rsidR="00A077A4" w:rsidRPr="00A077A4">
              <w:rPr>
                <w:rStyle w:val="Hipervnculo"/>
                <w:rFonts w:ascii="Palatino Linotype" w:eastAsia="Palatino Linotype" w:hAnsi="Palatino Linotype"/>
                <w:noProof/>
                <w:lang w:eastAsia="es-MX"/>
              </w:rPr>
              <w:t>II. Respuesta del Sujeto Obligado</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_Toc190952128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3</w:t>
            </w:r>
            <w:r w:rsidR="00A077A4" w:rsidRPr="00A077A4">
              <w:rPr>
                <w:rFonts w:ascii="Palatino Linotype" w:hAnsi="Palatino Linotype"/>
                <w:noProof/>
                <w:webHidden/>
              </w:rPr>
              <w:fldChar w:fldCharType="end"/>
            </w:r>
          </w:hyperlink>
        </w:p>
        <w:p w14:paraId="2D8149A3" w14:textId="77777777" w:rsidR="00A077A4" w:rsidRPr="00A077A4" w:rsidRDefault="001E4AD3" w:rsidP="00A077A4">
          <w:pPr>
            <w:pStyle w:val="TDC2"/>
            <w:tabs>
              <w:tab w:val="right" w:leader="dot" w:pos="8828"/>
            </w:tabs>
            <w:spacing w:line="360" w:lineRule="auto"/>
            <w:rPr>
              <w:rFonts w:ascii="Palatino Linotype" w:eastAsiaTheme="minorEastAsia" w:hAnsi="Palatino Linotype"/>
              <w:noProof/>
              <w:lang w:eastAsia="es-MX"/>
            </w:rPr>
          </w:pPr>
          <w:hyperlink w:anchor="_Toc190952129" w:history="1">
            <w:r w:rsidR="00A077A4" w:rsidRPr="00A077A4">
              <w:rPr>
                <w:rStyle w:val="Hipervnculo"/>
                <w:rFonts w:ascii="Palatino Linotype" w:eastAsia="Palatino Linotype" w:hAnsi="Palatino Linotype"/>
                <w:noProof/>
                <w:lang w:eastAsia="es-MX"/>
              </w:rPr>
              <w:t>III. Interposición del Recurso de Revisión</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_Toc190952129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3</w:t>
            </w:r>
            <w:r w:rsidR="00A077A4" w:rsidRPr="00A077A4">
              <w:rPr>
                <w:rFonts w:ascii="Palatino Linotype" w:hAnsi="Palatino Linotype"/>
                <w:noProof/>
                <w:webHidden/>
              </w:rPr>
              <w:fldChar w:fldCharType="end"/>
            </w:r>
          </w:hyperlink>
        </w:p>
        <w:p w14:paraId="53F2CA7B" w14:textId="77777777" w:rsidR="00A077A4" w:rsidRPr="00A077A4" w:rsidRDefault="001E4AD3" w:rsidP="00A077A4">
          <w:pPr>
            <w:pStyle w:val="TDC2"/>
            <w:tabs>
              <w:tab w:val="right" w:leader="dot" w:pos="8828"/>
            </w:tabs>
            <w:spacing w:line="360" w:lineRule="auto"/>
            <w:rPr>
              <w:rFonts w:ascii="Palatino Linotype" w:eastAsiaTheme="minorEastAsia" w:hAnsi="Palatino Linotype"/>
              <w:noProof/>
              <w:lang w:eastAsia="es-MX"/>
            </w:rPr>
          </w:pPr>
          <w:hyperlink w:anchor="_Toc190952130" w:history="1">
            <w:r w:rsidR="00A077A4" w:rsidRPr="00A077A4">
              <w:rPr>
                <w:rStyle w:val="Hipervnculo"/>
                <w:rFonts w:ascii="Palatino Linotype" w:eastAsia="Palatino Linotype" w:hAnsi="Palatino Linotype"/>
                <w:noProof/>
                <w:lang w:eastAsia="es-MX"/>
              </w:rPr>
              <w:t>IV. Trámite del Recurso de Revisión ante este Instituto</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_Toc190952130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3</w:t>
            </w:r>
            <w:r w:rsidR="00A077A4" w:rsidRPr="00A077A4">
              <w:rPr>
                <w:rFonts w:ascii="Palatino Linotype" w:hAnsi="Palatino Linotype"/>
                <w:noProof/>
                <w:webHidden/>
              </w:rPr>
              <w:fldChar w:fldCharType="end"/>
            </w:r>
          </w:hyperlink>
        </w:p>
        <w:p w14:paraId="244EA97A" w14:textId="77777777" w:rsidR="00A077A4" w:rsidRPr="00A077A4" w:rsidRDefault="001E4AD3" w:rsidP="00A077A4">
          <w:pPr>
            <w:pStyle w:val="TDC1"/>
            <w:tabs>
              <w:tab w:val="right" w:leader="dot" w:pos="8828"/>
            </w:tabs>
            <w:spacing w:line="360" w:lineRule="auto"/>
            <w:rPr>
              <w:rFonts w:ascii="Palatino Linotype" w:eastAsiaTheme="minorEastAsia" w:hAnsi="Palatino Linotype"/>
              <w:noProof/>
              <w:lang w:eastAsia="es-MX"/>
            </w:rPr>
          </w:pPr>
          <w:hyperlink w:anchor="_Toc190952131" w:history="1">
            <w:r w:rsidR="00A077A4" w:rsidRPr="00A077A4">
              <w:rPr>
                <w:rStyle w:val="Hipervnculo"/>
                <w:rFonts w:ascii="Palatino Linotype" w:eastAsia="Palatino Linotype" w:hAnsi="Palatino Linotype"/>
                <w:noProof/>
                <w:lang w:eastAsia="es-MX"/>
              </w:rPr>
              <w:t>C O N S I D E R A N D O S</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_Toc190952131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5</w:t>
            </w:r>
            <w:r w:rsidR="00A077A4" w:rsidRPr="00A077A4">
              <w:rPr>
                <w:rFonts w:ascii="Palatino Linotype" w:hAnsi="Palatino Linotype"/>
                <w:noProof/>
                <w:webHidden/>
              </w:rPr>
              <w:fldChar w:fldCharType="end"/>
            </w:r>
          </w:hyperlink>
        </w:p>
        <w:p w14:paraId="78C86A29" w14:textId="77777777" w:rsidR="00A077A4" w:rsidRPr="00A077A4" w:rsidRDefault="001E4AD3" w:rsidP="00A077A4">
          <w:pPr>
            <w:pStyle w:val="TDC2"/>
            <w:tabs>
              <w:tab w:val="right" w:leader="dot" w:pos="8828"/>
            </w:tabs>
            <w:spacing w:line="360" w:lineRule="auto"/>
            <w:rPr>
              <w:rFonts w:ascii="Palatino Linotype" w:eastAsiaTheme="minorEastAsia" w:hAnsi="Palatino Linotype"/>
              <w:noProof/>
              <w:lang w:eastAsia="es-MX"/>
            </w:rPr>
          </w:pPr>
          <w:hyperlink w:anchor="_Toc190952132" w:history="1">
            <w:r w:rsidR="00A077A4" w:rsidRPr="00A077A4">
              <w:rPr>
                <w:rStyle w:val="Hipervnculo"/>
                <w:rFonts w:ascii="Palatino Linotype" w:eastAsia="Palatino Linotype" w:hAnsi="Palatino Linotype"/>
                <w:noProof/>
                <w:lang w:eastAsia="es-MX"/>
              </w:rPr>
              <w:t>PRIMERO. Competencia</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_Toc190952132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5</w:t>
            </w:r>
            <w:r w:rsidR="00A077A4" w:rsidRPr="00A077A4">
              <w:rPr>
                <w:rFonts w:ascii="Palatino Linotype" w:hAnsi="Palatino Linotype"/>
                <w:noProof/>
                <w:webHidden/>
              </w:rPr>
              <w:fldChar w:fldCharType="end"/>
            </w:r>
          </w:hyperlink>
        </w:p>
        <w:p w14:paraId="3B9D939E" w14:textId="77777777" w:rsidR="00A077A4" w:rsidRPr="00A077A4" w:rsidRDefault="001E4AD3" w:rsidP="00A077A4">
          <w:pPr>
            <w:pStyle w:val="TDC2"/>
            <w:tabs>
              <w:tab w:val="right" w:leader="dot" w:pos="8828"/>
            </w:tabs>
            <w:spacing w:line="360" w:lineRule="auto"/>
            <w:rPr>
              <w:rFonts w:ascii="Palatino Linotype" w:eastAsiaTheme="minorEastAsia" w:hAnsi="Palatino Linotype"/>
              <w:noProof/>
              <w:lang w:eastAsia="es-MX"/>
            </w:rPr>
          </w:pPr>
          <w:hyperlink w:anchor="_Toc190952133" w:history="1">
            <w:r w:rsidR="00A077A4" w:rsidRPr="00A077A4">
              <w:rPr>
                <w:rStyle w:val="Hipervnculo"/>
                <w:rFonts w:ascii="Palatino Linotype" w:eastAsia="Palatino Linotype" w:hAnsi="Palatino Linotype"/>
                <w:noProof/>
                <w:lang w:eastAsia="es-MX"/>
              </w:rPr>
              <w:t>SEGUNDO. Causales de improcedencia y sobreseimiento</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_Toc190952133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6</w:t>
            </w:r>
            <w:r w:rsidR="00A077A4" w:rsidRPr="00A077A4">
              <w:rPr>
                <w:rFonts w:ascii="Palatino Linotype" w:hAnsi="Palatino Linotype"/>
                <w:noProof/>
                <w:webHidden/>
              </w:rPr>
              <w:fldChar w:fldCharType="end"/>
            </w:r>
          </w:hyperlink>
        </w:p>
        <w:p w14:paraId="2734DD75" w14:textId="77777777" w:rsidR="00A077A4" w:rsidRPr="00A077A4" w:rsidRDefault="001E4AD3" w:rsidP="00A077A4">
          <w:pPr>
            <w:pStyle w:val="TDC2"/>
            <w:tabs>
              <w:tab w:val="right" w:leader="dot" w:pos="8828"/>
            </w:tabs>
            <w:spacing w:line="360" w:lineRule="auto"/>
            <w:rPr>
              <w:rFonts w:ascii="Palatino Linotype" w:eastAsiaTheme="minorEastAsia" w:hAnsi="Palatino Linotype"/>
              <w:noProof/>
              <w:lang w:eastAsia="es-MX"/>
            </w:rPr>
          </w:pPr>
          <w:hyperlink w:anchor="_Toc190952134" w:history="1">
            <w:r w:rsidR="00A077A4" w:rsidRPr="00A077A4">
              <w:rPr>
                <w:rStyle w:val="Hipervnculo"/>
                <w:rFonts w:ascii="Palatino Linotype" w:eastAsia="Palatino Linotype" w:hAnsi="Palatino Linotype"/>
                <w:noProof/>
                <w:lang w:eastAsia="es-MX"/>
              </w:rPr>
              <w:t>TERCERO. Determinación de la Controversia</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_Toc190952134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7</w:t>
            </w:r>
            <w:r w:rsidR="00A077A4" w:rsidRPr="00A077A4">
              <w:rPr>
                <w:rFonts w:ascii="Palatino Linotype" w:hAnsi="Palatino Linotype"/>
                <w:noProof/>
                <w:webHidden/>
              </w:rPr>
              <w:fldChar w:fldCharType="end"/>
            </w:r>
          </w:hyperlink>
        </w:p>
        <w:p w14:paraId="322088CD" w14:textId="77777777" w:rsidR="00A077A4" w:rsidRPr="00A077A4" w:rsidRDefault="001E4AD3" w:rsidP="00A077A4">
          <w:pPr>
            <w:pStyle w:val="TDC2"/>
            <w:tabs>
              <w:tab w:val="right" w:leader="dot" w:pos="8828"/>
            </w:tabs>
            <w:spacing w:line="360" w:lineRule="auto"/>
            <w:rPr>
              <w:rFonts w:ascii="Palatino Linotype" w:eastAsiaTheme="minorEastAsia" w:hAnsi="Palatino Linotype"/>
              <w:noProof/>
              <w:lang w:eastAsia="es-MX"/>
            </w:rPr>
          </w:pPr>
          <w:hyperlink w:anchor="_Toc190952135" w:history="1">
            <w:r w:rsidR="00A077A4" w:rsidRPr="00A077A4">
              <w:rPr>
                <w:rStyle w:val="Hipervnculo"/>
                <w:rFonts w:ascii="Palatino Linotype" w:eastAsia="Palatino Linotype" w:hAnsi="Palatino Linotype"/>
                <w:noProof/>
                <w:lang w:eastAsia="es-MX"/>
              </w:rPr>
              <w:t>CUARTO. Marco normativo aplicable en materia de transparencia y acceso a la información pública</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_Toc190952135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8</w:t>
            </w:r>
            <w:r w:rsidR="00A077A4" w:rsidRPr="00A077A4">
              <w:rPr>
                <w:rFonts w:ascii="Palatino Linotype" w:hAnsi="Palatino Linotype"/>
                <w:noProof/>
                <w:webHidden/>
              </w:rPr>
              <w:fldChar w:fldCharType="end"/>
            </w:r>
          </w:hyperlink>
        </w:p>
        <w:p w14:paraId="252CFC43" w14:textId="77777777" w:rsidR="00A077A4" w:rsidRPr="00A077A4" w:rsidRDefault="001E4AD3" w:rsidP="00A077A4">
          <w:pPr>
            <w:pStyle w:val="TDC2"/>
            <w:tabs>
              <w:tab w:val="right" w:leader="dot" w:pos="8828"/>
            </w:tabs>
            <w:spacing w:line="360" w:lineRule="auto"/>
            <w:rPr>
              <w:rFonts w:ascii="Palatino Linotype" w:eastAsiaTheme="minorEastAsia" w:hAnsi="Palatino Linotype"/>
              <w:noProof/>
              <w:lang w:eastAsia="es-MX"/>
            </w:rPr>
          </w:pPr>
          <w:hyperlink w:anchor="_Toc190952136" w:history="1">
            <w:r w:rsidR="00A077A4" w:rsidRPr="00A077A4">
              <w:rPr>
                <w:rStyle w:val="Hipervnculo"/>
                <w:rFonts w:ascii="Palatino Linotype" w:eastAsia="Palatino Linotype" w:hAnsi="Palatino Linotype"/>
                <w:noProof/>
                <w:lang w:eastAsia="es-MX"/>
              </w:rPr>
              <w:t>QUINTO. Estudio de Fondo</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_Toc190952136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10</w:t>
            </w:r>
            <w:r w:rsidR="00A077A4" w:rsidRPr="00A077A4">
              <w:rPr>
                <w:rFonts w:ascii="Palatino Linotype" w:hAnsi="Palatino Linotype"/>
                <w:noProof/>
                <w:webHidden/>
              </w:rPr>
              <w:fldChar w:fldCharType="end"/>
            </w:r>
          </w:hyperlink>
        </w:p>
        <w:p w14:paraId="49D65D5F" w14:textId="77777777" w:rsidR="00A077A4" w:rsidRPr="00A077A4" w:rsidRDefault="001E4AD3" w:rsidP="00A077A4">
          <w:pPr>
            <w:pStyle w:val="TDC2"/>
            <w:tabs>
              <w:tab w:val="right" w:leader="dot" w:pos="8828"/>
            </w:tabs>
            <w:spacing w:line="360" w:lineRule="auto"/>
            <w:rPr>
              <w:rFonts w:ascii="Palatino Linotype" w:eastAsiaTheme="minorEastAsia" w:hAnsi="Palatino Linotype"/>
              <w:noProof/>
              <w:lang w:eastAsia="es-MX"/>
            </w:rPr>
          </w:pPr>
          <w:hyperlink w:anchor="_Toc190952137" w:history="1">
            <w:r w:rsidR="00A077A4" w:rsidRPr="00A077A4">
              <w:rPr>
                <w:rStyle w:val="Hipervnculo"/>
                <w:rFonts w:ascii="Palatino Linotype" w:eastAsia="Calibri" w:hAnsi="Palatino Linotype"/>
                <w:noProof/>
              </w:rPr>
              <w:t>SEXTO. Decisión</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_Toc190952137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18</w:t>
            </w:r>
            <w:r w:rsidR="00A077A4" w:rsidRPr="00A077A4">
              <w:rPr>
                <w:rFonts w:ascii="Palatino Linotype" w:hAnsi="Palatino Linotype"/>
                <w:noProof/>
                <w:webHidden/>
              </w:rPr>
              <w:fldChar w:fldCharType="end"/>
            </w:r>
          </w:hyperlink>
        </w:p>
        <w:p w14:paraId="3FC8E6D8" w14:textId="77777777" w:rsidR="00A077A4" w:rsidRPr="00A077A4" w:rsidRDefault="001E4AD3" w:rsidP="00A077A4">
          <w:pPr>
            <w:pStyle w:val="TDC1"/>
            <w:tabs>
              <w:tab w:val="right" w:leader="dot" w:pos="8828"/>
            </w:tabs>
            <w:spacing w:line="360" w:lineRule="auto"/>
            <w:rPr>
              <w:rFonts w:ascii="Palatino Linotype" w:eastAsiaTheme="minorEastAsia" w:hAnsi="Palatino Linotype"/>
              <w:noProof/>
              <w:lang w:eastAsia="es-MX"/>
            </w:rPr>
          </w:pPr>
          <w:hyperlink w:anchor="_Toc190952138" w:history="1">
            <w:r w:rsidR="00A077A4" w:rsidRPr="00A077A4">
              <w:rPr>
                <w:rStyle w:val="Hipervnculo"/>
                <w:rFonts w:ascii="Palatino Linotype" w:eastAsia="Calibri" w:hAnsi="Palatino Linotype"/>
                <w:noProof/>
              </w:rPr>
              <w:t>R E S U E L V E</w:t>
            </w:r>
            <w:r w:rsidR="00A077A4" w:rsidRPr="00A077A4">
              <w:rPr>
                <w:rFonts w:ascii="Palatino Linotype" w:hAnsi="Palatino Linotype"/>
                <w:noProof/>
                <w:webHidden/>
              </w:rPr>
              <w:tab/>
            </w:r>
            <w:r w:rsidR="00A077A4" w:rsidRPr="00A077A4">
              <w:rPr>
                <w:rFonts w:ascii="Palatino Linotype" w:hAnsi="Palatino Linotype"/>
                <w:noProof/>
                <w:webHidden/>
              </w:rPr>
              <w:fldChar w:fldCharType="begin"/>
            </w:r>
            <w:r w:rsidR="00A077A4" w:rsidRPr="00A077A4">
              <w:rPr>
                <w:rFonts w:ascii="Palatino Linotype" w:hAnsi="Palatino Linotype"/>
                <w:noProof/>
                <w:webHidden/>
              </w:rPr>
              <w:instrText xml:space="preserve"> PAGEREF _Toc190952138 \h </w:instrText>
            </w:r>
            <w:r w:rsidR="00A077A4" w:rsidRPr="00A077A4">
              <w:rPr>
                <w:rFonts w:ascii="Palatino Linotype" w:hAnsi="Palatino Linotype"/>
                <w:noProof/>
                <w:webHidden/>
              </w:rPr>
            </w:r>
            <w:r w:rsidR="00A077A4" w:rsidRPr="00A077A4">
              <w:rPr>
                <w:rFonts w:ascii="Palatino Linotype" w:hAnsi="Palatino Linotype"/>
                <w:noProof/>
                <w:webHidden/>
              </w:rPr>
              <w:fldChar w:fldCharType="separate"/>
            </w:r>
            <w:r w:rsidR="00F3667F">
              <w:rPr>
                <w:rFonts w:ascii="Palatino Linotype" w:hAnsi="Palatino Linotype"/>
                <w:noProof/>
                <w:webHidden/>
              </w:rPr>
              <w:t>19</w:t>
            </w:r>
            <w:r w:rsidR="00A077A4" w:rsidRPr="00A077A4">
              <w:rPr>
                <w:rFonts w:ascii="Palatino Linotype" w:hAnsi="Palatino Linotype"/>
                <w:noProof/>
                <w:webHidden/>
              </w:rPr>
              <w:fldChar w:fldCharType="end"/>
            </w:r>
          </w:hyperlink>
        </w:p>
        <w:p w14:paraId="6F3A2651" w14:textId="6E16C901" w:rsidR="00F0352C" w:rsidRDefault="00F0352C" w:rsidP="00A077A4">
          <w:pPr>
            <w:spacing w:after="0" w:line="360" w:lineRule="auto"/>
          </w:pPr>
          <w:r w:rsidRPr="00A077A4">
            <w:rPr>
              <w:rFonts w:ascii="Palatino Linotype" w:hAnsi="Palatino Linotype"/>
              <w:b/>
              <w:bCs/>
              <w:lang w:val="es-ES"/>
            </w:rPr>
            <w:fldChar w:fldCharType="end"/>
          </w:r>
        </w:p>
      </w:sdtContent>
    </w:sdt>
    <w:p w14:paraId="6933EB39" w14:textId="77777777" w:rsidR="006909FC" w:rsidRPr="006909FC" w:rsidRDefault="006909FC" w:rsidP="005D6E32">
      <w:pPr>
        <w:widowControl w:val="0"/>
        <w:pBdr>
          <w:top w:val="nil"/>
          <w:left w:val="nil"/>
          <w:bottom w:val="nil"/>
          <w:right w:val="nil"/>
          <w:between w:val="nil"/>
        </w:pBdr>
        <w:spacing w:after="0" w:line="360" w:lineRule="auto"/>
        <w:rPr>
          <w:rFonts w:ascii="Times New Roman" w:eastAsia="Times New Roman" w:hAnsi="Times New Roman" w:cs="Times New Roman"/>
          <w:color w:val="FF0000"/>
          <w:sz w:val="20"/>
          <w:szCs w:val="20"/>
          <w:lang w:eastAsia="es-MX"/>
        </w:rPr>
      </w:pPr>
    </w:p>
    <w:p w14:paraId="434296FA" w14:textId="77777777" w:rsidR="00F0352C" w:rsidRDefault="00F0352C" w:rsidP="005D6E32">
      <w:pPr>
        <w:spacing w:after="0" w:line="360" w:lineRule="auto"/>
        <w:jc w:val="both"/>
        <w:rPr>
          <w:rFonts w:ascii="Palatino Linotype" w:eastAsia="Palatino Linotype" w:hAnsi="Palatino Linotype" w:cs="Palatino Linotype"/>
          <w:lang w:eastAsia="es-MX"/>
        </w:rPr>
      </w:pPr>
    </w:p>
    <w:p w14:paraId="56B4B6AB" w14:textId="77777777" w:rsidR="00F0352C" w:rsidRPr="00F0352C" w:rsidRDefault="00F0352C" w:rsidP="00F0352C">
      <w:pPr>
        <w:rPr>
          <w:rFonts w:ascii="Palatino Linotype" w:eastAsia="Palatino Linotype" w:hAnsi="Palatino Linotype" w:cs="Palatino Linotype"/>
          <w:lang w:eastAsia="es-MX"/>
        </w:rPr>
      </w:pPr>
    </w:p>
    <w:p w14:paraId="7850F3CB" w14:textId="77777777" w:rsidR="00F0352C" w:rsidRPr="00F0352C" w:rsidRDefault="00F0352C" w:rsidP="00F0352C">
      <w:pPr>
        <w:rPr>
          <w:rFonts w:ascii="Palatino Linotype" w:eastAsia="Palatino Linotype" w:hAnsi="Palatino Linotype" w:cs="Palatino Linotype"/>
          <w:lang w:eastAsia="es-MX"/>
        </w:rPr>
      </w:pPr>
    </w:p>
    <w:p w14:paraId="71060618" w14:textId="77777777" w:rsidR="00F0352C" w:rsidRPr="00F0352C" w:rsidRDefault="00F0352C" w:rsidP="00F0352C">
      <w:pPr>
        <w:rPr>
          <w:rFonts w:ascii="Palatino Linotype" w:eastAsia="Palatino Linotype" w:hAnsi="Palatino Linotype" w:cs="Palatino Linotype"/>
          <w:lang w:eastAsia="es-MX"/>
        </w:rPr>
      </w:pPr>
    </w:p>
    <w:p w14:paraId="0FD94A1B" w14:textId="77777777" w:rsidR="00F0352C" w:rsidRDefault="00F0352C" w:rsidP="005D6E32">
      <w:pPr>
        <w:spacing w:after="0" w:line="360" w:lineRule="auto"/>
        <w:jc w:val="both"/>
        <w:rPr>
          <w:rFonts w:ascii="Palatino Linotype" w:eastAsia="Palatino Linotype" w:hAnsi="Palatino Linotype" w:cs="Palatino Linotype"/>
          <w:lang w:eastAsia="es-MX"/>
        </w:rPr>
      </w:pPr>
    </w:p>
    <w:p w14:paraId="7E73EE52" w14:textId="408AAEFC" w:rsidR="00F0352C" w:rsidRDefault="00F0352C" w:rsidP="00F0352C">
      <w:pPr>
        <w:tabs>
          <w:tab w:val="left" w:pos="7080"/>
        </w:tabs>
        <w:spacing w:after="0"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ab/>
      </w:r>
    </w:p>
    <w:p w14:paraId="07D3E890" w14:textId="1DFC9885" w:rsidR="006909FC" w:rsidRPr="006909FC" w:rsidRDefault="005D6E32" w:rsidP="005D6E32">
      <w:pPr>
        <w:spacing w:after="0" w:line="360" w:lineRule="auto"/>
        <w:jc w:val="both"/>
        <w:rPr>
          <w:rFonts w:ascii="Palatino Linotype" w:eastAsia="Palatino Linotype" w:hAnsi="Palatino Linotype" w:cs="Palatino Linotype"/>
          <w:lang w:eastAsia="es-MX"/>
        </w:rPr>
      </w:pPr>
      <w:r w:rsidRPr="00F0352C">
        <w:rPr>
          <w:rFonts w:ascii="Palatino Linotype" w:eastAsia="Palatino Linotype" w:hAnsi="Palatino Linotype" w:cs="Palatino Linotype"/>
          <w:lang w:eastAsia="es-MX"/>
        </w:rPr>
        <w:br w:type="column"/>
      </w:r>
      <w:r w:rsidR="006909FC" w:rsidRPr="006909FC">
        <w:rPr>
          <w:rFonts w:ascii="Palatino Linotype" w:eastAsia="Palatino Linotype" w:hAnsi="Palatino Linotype" w:cs="Palatino Linotype"/>
          <w:lang w:eastAsia="es-MX"/>
        </w:rPr>
        <w:lastRenderedPageBreak/>
        <w:t xml:space="preserve">Resolución del Pleno del Instituto de Transparencia, Acceso a la Información Pública y Protección de Datos Personales del Estado de México y Municipios, con domicilio en Metepec, Estado de México, de fecha </w:t>
      </w:r>
      <w:r w:rsidR="00824F86">
        <w:rPr>
          <w:rFonts w:ascii="Palatino Linotype" w:eastAsia="Palatino Linotype" w:hAnsi="Palatino Linotype" w:cs="Palatino Linotype"/>
          <w:lang w:eastAsia="es-MX"/>
        </w:rPr>
        <w:t>diecinueve</w:t>
      </w:r>
      <w:r w:rsidR="00824F86" w:rsidRPr="00824F86">
        <w:rPr>
          <w:rFonts w:ascii="Palatino Linotype" w:eastAsia="Palatino Linotype" w:hAnsi="Palatino Linotype" w:cs="Palatino Linotype"/>
          <w:lang w:eastAsia="es-MX"/>
        </w:rPr>
        <w:t xml:space="preserve"> de febrero de dos mil veinticinco.</w:t>
      </w:r>
    </w:p>
    <w:p w14:paraId="678DA3A4" w14:textId="77777777" w:rsidR="006909FC" w:rsidRPr="006909FC" w:rsidRDefault="006909FC" w:rsidP="005D6E32">
      <w:pPr>
        <w:spacing w:after="0" w:line="360" w:lineRule="auto"/>
        <w:rPr>
          <w:rFonts w:ascii="Palatino Linotype" w:eastAsia="Palatino Linotype" w:hAnsi="Palatino Linotype" w:cs="Palatino Linotype"/>
          <w:color w:val="FF0000"/>
          <w:lang w:eastAsia="es-MX"/>
        </w:rPr>
      </w:pPr>
    </w:p>
    <w:p w14:paraId="3FCBC7C9"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b/>
          <w:lang w:eastAsia="es-MX"/>
        </w:rPr>
        <w:t xml:space="preserve">VISTO </w:t>
      </w:r>
      <w:r w:rsidRPr="006909FC">
        <w:rPr>
          <w:rFonts w:ascii="Palatino Linotype" w:eastAsia="Palatino Linotype" w:hAnsi="Palatino Linotype" w:cs="Palatino Linotype"/>
          <w:lang w:eastAsia="es-MX"/>
        </w:rPr>
        <w:t xml:space="preserve">el expediente conformado con motivo del Recurso de Revisión </w:t>
      </w:r>
      <w:r w:rsidR="00020B91" w:rsidRPr="00020B91">
        <w:rPr>
          <w:rFonts w:ascii="Palatino Linotype" w:eastAsia="Palatino Linotype" w:hAnsi="Palatino Linotype" w:cs="Palatino Linotype"/>
          <w:b/>
          <w:lang w:eastAsia="es-MX"/>
        </w:rPr>
        <w:t>00321/INFOEM/IP/RR/2025</w:t>
      </w:r>
      <w:r w:rsidRPr="006909FC">
        <w:rPr>
          <w:rFonts w:ascii="Palatino Linotype" w:eastAsia="Palatino Linotype" w:hAnsi="Palatino Linotype" w:cs="Palatino Linotype"/>
          <w:b/>
          <w:lang w:eastAsia="es-MX"/>
        </w:rPr>
        <w:t>,</w:t>
      </w:r>
      <w:r w:rsidRPr="006909FC">
        <w:rPr>
          <w:rFonts w:ascii="Palatino Linotype" w:eastAsia="Palatino Linotype" w:hAnsi="Palatino Linotype" w:cs="Palatino Linotype"/>
          <w:lang w:eastAsia="es-MX"/>
        </w:rPr>
        <w:t xml:space="preserve"> interpuesto por el Recurrente o Particular, en contra de la respuesta del Sujeto Obligado, </w:t>
      </w:r>
      <w:r w:rsidR="00020B91" w:rsidRPr="00020B91">
        <w:rPr>
          <w:rFonts w:ascii="Palatino Linotype" w:eastAsia="Palatino Linotype" w:hAnsi="Palatino Linotype" w:cs="Palatino Linotype"/>
          <w:b/>
          <w:lang w:eastAsia="es-MX"/>
        </w:rPr>
        <w:t>Ayuntamiento de Toluca</w:t>
      </w:r>
      <w:r w:rsidRPr="006909FC">
        <w:rPr>
          <w:rFonts w:ascii="Palatino Linotype" w:eastAsia="Palatino Linotype" w:hAnsi="Palatino Linotype" w:cs="Palatino Linotype"/>
          <w:b/>
          <w:lang w:eastAsia="es-MX"/>
        </w:rPr>
        <w:t>,</w:t>
      </w:r>
      <w:r w:rsidRPr="006909FC">
        <w:rPr>
          <w:rFonts w:ascii="Palatino Linotype" w:eastAsia="Palatino Linotype" w:hAnsi="Palatino Linotype" w:cs="Palatino Linotype"/>
          <w:lang w:eastAsia="es-MX"/>
        </w:rPr>
        <w:t xml:space="preserve"> a la solicitud de acceso a la información pública </w:t>
      </w:r>
      <w:r w:rsidR="00020B91" w:rsidRPr="00020B91">
        <w:rPr>
          <w:rFonts w:ascii="Palatino Linotype" w:eastAsia="Palatino Linotype" w:hAnsi="Palatino Linotype" w:cs="Palatino Linotype"/>
          <w:lang w:eastAsia="es-MX"/>
        </w:rPr>
        <w:t>00452/TOLUCA/IP/2025</w:t>
      </w:r>
      <w:r w:rsidRPr="006909FC">
        <w:rPr>
          <w:rFonts w:ascii="Palatino Linotype" w:eastAsia="Palatino Linotype" w:hAnsi="Palatino Linotype" w:cs="Palatino Linotype"/>
          <w:lang w:eastAsia="es-MX"/>
        </w:rPr>
        <w:t>, se emite la presente Resolución, con base en los Antecedentes y Considerandos que a continuación se exponen:</w:t>
      </w:r>
    </w:p>
    <w:p w14:paraId="07BC3181" w14:textId="77777777" w:rsidR="006909FC" w:rsidRPr="006909FC" w:rsidRDefault="006909FC" w:rsidP="005D6E32">
      <w:pPr>
        <w:spacing w:after="0" w:line="360" w:lineRule="auto"/>
        <w:rPr>
          <w:rFonts w:ascii="Palatino Linotype" w:eastAsia="Palatino Linotype" w:hAnsi="Palatino Linotype" w:cs="Palatino Linotype"/>
          <w:color w:val="FF0000"/>
          <w:lang w:eastAsia="es-MX"/>
        </w:rPr>
      </w:pPr>
    </w:p>
    <w:p w14:paraId="59C3E047" w14:textId="77777777" w:rsidR="006909FC" w:rsidRPr="006909FC" w:rsidRDefault="00020B91" w:rsidP="00F0352C">
      <w:pPr>
        <w:pStyle w:val="Ttulo1"/>
        <w:rPr>
          <w:rFonts w:eastAsia="Palatino Linotype"/>
          <w:lang w:eastAsia="es-MX"/>
        </w:rPr>
      </w:pPr>
      <w:bookmarkStart w:id="1" w:name="_Toc190952126"/>
      <w:r w:rsidRPr="00020B91">
        <w:rPr>
          <w:rFonts w:eastAsia="Palatino Linotype"/>
          <w:lang w:eastAsia="es-MX"/>
        </w:rPr>
        <w:t>A N T E C E D E N T E S</w:t>
      </w:r>
      <w:bookmarkEnd w:id="1"/>
    </w:p>
    <w:p w14:paraId="4A7FE965" w14:textId="77777777" w:rsidR="006909FC" w:rsidRPr="006909FC" w:rsidRDefault="006909FC" w:rsidP="005D6E32">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color w:val="FF0000"/>
          <w:lang w:eastAsia="es-MX"/>
        </w:rPr>
      </w:pPr>
    </w:p>
    <w:p w14:paraId="2829AD39" w14:textId="77777777" w:rsidR="006909FC" w:rsidRPr="006909FC" w:rsidRDefault="006909FC" w:rsidP="00F0352C">
      <w:pPr>
        <w:pStyle w:val="Ttulo2"/>
        <w:rPr>
          <w:rFonts w:eastAsia="Palatino Linotype"/>
          <w:lang w:eastAsia="es-MX"/>
        </w:rPr>
      </w:pPr>
      <w:bookmarkStart w:id="2" w:name="_Toc190952127"/>
      <w:r w:rsidRPr="006909FC">
        <w:rPr>
          <w:rFonts w:eastAsia="Palatino Linotype"/>
          <w:lang w:eastAsia="es-MX"/>
        </w:rPr>
        <w:t>I. Presentación de la solicitud de información</w:t>
      </w:r>
      <w:bookmarkEnd w:id="2"/>
    </w:p>
    <w:p w14:paraId="61E71BE7" w14:textId="77777777" w:rsidR="006909FC" w:rsidRPr="006909FC" w:rsidRDefault="006909FC" w:rsidP="005D6E32">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color w:val="FF0000"/>
          <w:lang w:eastAsia="es-MX"/>
        </w:rPr>
      </w:pPr>
    </w:p>
    <w:p w14:paraId="7A264F98" w14:textId="77777777" w:rsidR="006909FC" w:rsidRPr="006909FC" w:rsidRDefault="006909FC" w:rsidP="005D6E32">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lang w:eastAsia="es-MX"/>
        </w:rPr>
      </w:pPr>
      <w:bookmarkStart w:id="3" w:name="_heading=h.gjdgxs" w:colFirst="0" w:colLast="0"/>
      <w:bookmarkEnd w:id="3"/>
      <w:r w:rsidRPr="006909FC">
        <w:rPr>
          <w:rFonts w:ascii="Palatino Linotype" w:eastAsia="Palatino Linotype" w:hAnsi="Palatino Linotype" w:cs="Palatino Linotype"/>
          <w:lang w:eastAsia="es-MX"/>
        </w:rPr>
        <w:t xml:space="preserve">Con fecha </w:t>
      </w:r>
      <w:r w:rsidR="00020B91" w:rsidRPr="00020B91">
        <w:rPr>
          <w:rFonts w:ascii="Palatino Linotype" w:eastAsia="Palatino Linotype" w:hAnsi="Palatino Linotype" w:cs="Palatino Linotype"/>
          <w:lang w:eastAsia="es-MX"/>
        </w:rPr>
        <w:t>veintitrés de enero de dos mil veinticinco, el</w:t>
      </w:r>
      <w:r w:rsidRPr="006909FC">
        <w:rPr>
          <w:rFonts w:ascii="Palatino Linotype" w:eastAsia="Palatino Linotype" w:hAnsi="Palatino Linotype" w:cs="Palatino Linotype"/>
          <w:lang w:eastAsia="es-MX"/>
        </w:rPr>
        <w:t xml:space="preserve"> Particular presentó una solicitud de acceso a la información pública, a través del Sistema de Acceso a la Información Mexiquense (SAIMEX),</w:t>
      </w:r>
      <w:r w:rsidR="00020B91" w:rsidRPr="00020B91">
        <w:rPr>
          <w:rFonts w:ascii="Palatino Linotype" w:eastAsia="Palatino Linotype" w:hAnsi="Palatino Linotype" w:cs="Palatino Linotype"/>
          <w:lang w:eastAsia="es-MX"/>
        </w:rPr>
        <w:t xml:space="preserve"> ante el Ayuntamiento de Toluca, </w:t>
      </w:r>
      <w:r w:rsidRPr="006909FC">
        <w:rPr>
          <w:rFonts w:ascii="Palatino Linotype" w:eastAsia="Palatino Linotype" w:hAnsi="Palatino Linotype" w:cs="Palatino Linotype"/>
          <w:lang w:eastAsia="es-MX"/>
        </w:rPr>
        <w:t>en los siguientes términos:</w:t>
      </w:r>
    </w:p>
    <w:p w14:paraId="2AC882E4" w14:textId="77777777" w:rsidR="006909FC" w:rsidRPr="006909FC" w:rsidRDefault="006909FC" w:rsidP="005D6E32">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color w:val="FF0000"/>
          <w:lang w:eastAsia="es-MX"/>
        </w:rPr>
      </w:pPr>
    </w:p>
    <w:p w14:paraId="6952244A" w14:textId="77777777" w:rsidR="006909FC" w:rsidRPr="006909FC" w:rsidRDefault="006909FC" w:rsidP="005D6E32">
      <w:pPr>
        <w:tabs>
          <w:tab w:val="left" w:pos="4667"/>
        </w:tabs>
        <w:spacing w:after="0" w:line="360" w:lineRule="auto"/>
        <w:ind w:left="567" w:right="567"/>
        <w:jc w:val="both"/>
        <w:rPr>
          <w:rFonts w:ascii="Palatino Linotype" w:eastAsia="Palatino Linotype" w:hAnsi="Palatino Linotype" w:cs="Palatino Linotype"/>
          <w:b/>
          <w:i/>
          <w:sz w:val="20"/>
          <w:szCs w:val="20"/>
          <w:lang w:eastAsia="es-MX"/>
        </w:rPr>
      </w:pPr>
      <w:r w:rsidRPr="006909FC">
        <w:rPr>
          <w:rFonts w:ascii="Palatino Linotype" w:eastAsia="Palatino Linotype" w:hAnsi="Palatino Linotype" w:cs="Palatino Linotype"/>
          <w:b/>
          <w:i/>
          <w:sz w:val="20"/>
          <w:szCs w:val="20"/>
          <w:lang w:eastAsia="es-MX"/>
        </w:rPr>
        <w:t>“DESCRIPCIÓN CLARA Y PRECISA DE LA INFORMACIÓN SOLICITADA</w:t>
      </w:r>
    </w:p>
    <w:p w14:paraId="0F472552" w14:textId="77777777" w:rsidR="006909FC" w:rsidRPr="006909FC" w:rsidRDefault="00020B91" w:rsidP="005D6E32">
      <w:pPr>
        <w:tabs>
          <w:tab w:val="left" w:pos="4667"/>
        </w:tabs>
        <w:spacing w:after="0" w:line="360" w:lineRule="auto"/>
        <w:ind w:left="567" w:right="567"/>
        <w:jc w:val="both"/>
        <w:rPr>
          <w:rFonts w:ascii="Palatino Linotype" w:eastAsia="Palatino Linotype" w:hAnsi="Palatino Linotype" w:cs="Palatino Linotype"/>
          <w:i/>
          <w:sz w:val="20"/>
          <w:szCs w:val="20"/>
          <w:lang w:eastAsia="es-MX"/>
        </w:rPr>
      </w:pPr>
      <w:proofErr w:type="spellStart"/>
      <w:r w:rsidRPr="00020B91">
        <w:rPr>
          <w:rFonts w:ascii="Palatino Linotype" w:eastAsia="Palatino Linotype" w:hAnsi="Palatino Linotype" w:cs="Palatino Linotype"/>
          <w:i/>
          <w:sz w:val="20"/>
          <w:szCs w:val="20"/>
          <w:lang w:eastAsia="es-MX"/>
        </w:rPr>
        <w:t>Rl</w:t>
      </w:r>
      <w:proofErr w:type="spellEnd"/>
      <w:r w:rsidRPr="00020B91">
        <w:rPr>
          <w:rFonts w:ascii="Palatino Linotype" w:eastAsia="Palatino Linotype" w:hAnsi="Palatino Linotype" w:cs="Palatino Linotype"/>
          <w:i/>
          <w:sz w:val="20"/>
          <w:szCs w:val="20"/>
          <w:lang w:eastAsia="es-MX"/>
        </w:rPr>
        <w:t xml:space="preserve"> programa y estudios para implementar el hoy no circula en Toluca qué menciono en su mañanera a no conferencia el presidente qué s preocupa más por eso que por darnos calles dignas”</w:t>
      </w:r>
      <w:r w:rsidR="006909FC" w:rsidRPr="006909FC">
        <w:rPr>
          <w:rFonts w:ascii="Palatino Linotype" w:eastAsia="Palatino Linotype" w:hAnsi="Palatino Linotype" w:cs="Palatino Linotype"/>
          <w:i/>
          <w:sz w:val="20"/>
          <w:szCs w:val="20"/>
          <w:lang w:eastAsia="es-MX"/>
        </w:rPr>
        <w:t xml:space="preserve"> (Sic)</w:t>
      </w:r>
    </w:p>
    <w:p w14:paraId="47C0C591" w14:textId="77777777" w:rsidR="006909FC" w:rsidRPr="006909FC" w:rsidRDefault="006909FC" w:rsidP="005D6E32">
      <w:pPr>
        <w:tabs>
          <w:tab w:val="left" w:pos="4667"/>
        </w:tabs>
        <w:spacing w:after="0" w:line="360" w:lineRule="auto"/>
        <w:ind w:left="567" w:right="567"/>
        <w:jc w:val="both"/>
        <w:rPr>
          <w:rFonts w:ascii="Palatino Linotype" w:eastAsia="Palatino Linotype" w:hAnsi="Palatino Linotype" w:cs="Palatino Linotype"/>
          <w:i/>
          <w:lang w:eastAsia="es-MX"/>
        </w:rPr>
      </w:pPr>
    </w:p>
    <w:p w14:paraId="4968236B" w14:textId="77777777" w:rsidR="006909FC" w:rsidRPr="006909FC" w:rsidRDefault="006909FC" w:rsidP="005D6E32">
      <w:pPr>
        <w:tabs>
          <w:tab w:val="left" w:pos="4667"/>
        </w:tabs>
        <w:spacing w:after="0" w:line="360" w:lineRule="auto"/>
        <w:ind w:left="567" w:right="567"/>
        <w:jc w:val="both"/>
        <w:rPr>
          <w:rFonts w:ascii="Palatino Linotype" w:eastAsia="Palatino Linotype" w:hAnsi="Palatino Linotype" w:cs="Palatino Linotype"/>
          <w:i/>
          <w:sz w:val="20"/>
          <w:szCs w:val="20"/>
          <w:lang w:eastAsia="es-MX"/>
        </w:rPr>
      </w:pPr>
      <w:r w:rsidRPr="006909FC">
        <w:rPr>
          <w:rFonts w:ascii="Palatino Linotype" w:eastAsia="Palatino Linotype" w:hAnsi="Palatino Linotype" w:cs="Palatino Linotype"/>
          <w:b/>
          <w:i/>
          <w:sz w:val="20"/>
          <w:szCs w:val="20"/>
          <w:lang w:eastAsia="es-MX"/>
        </w:rPr>
        <w:t>“MODALIDAD DE ENTREGA</w:t>
      </w:r>
    </w:p>
    <w:p w14:paraId="244B70F1" w14:textId="7D38A297" w:rsidR="00F0352C" w:rsidRDefault="006909FC" w:rsidP="00F0352C">
      <w:pPr>
        <w:tabs>
          <w:tab w:val="left" w:pos="4667"/>
        </w:tabs>
        <w:spacing w:after="0" w:line="360" w:lineRule="auto"/>
        <w:ind w:left="567" w:right="567"/>
        <w:jc w:val="both"/>
        <w:rPr>
          <w:rFonts w:ascii="Palatino Linotype" w:eastAsia="Palatino Linotype" w:hAnsi="Palatino Linotype" w:cs="Palatino Linotype"/>
          <w:i/>
          <w:sz w:val="20"/>
          <w:szCs w:val="20"/>
          <w:lang w:eastAsia="es-MX"/>
        </w:rPr>
      </w:pPr>
      <w:r w:rsidRPr="006909FC">
        <w:rPr>
          <w:rFonts w:ascii="Palatino Linotype" w:eastAsia="Palatino Linotype" w:hAnsi="Palatino Linotype" w:cs="Palatino Linotype"/>
          <w:i/>
          <w:sz w:val="20"/>
          <w:szCs w:val="20"/>
          <w:lang w:eastAsia="es-MX"/>
        </w:rPr>
        <w:t>A través del SAIMEX”</w:t>
      </w:r>
    </w:p>
    <w:p w14:paraId="40E6558A" w14:textId="77777777" w:rsidR="00F0352C" w:rsidRPr="00F0352C" w:rsidRDefault="00F0352C" w:rsidP="00F0352C">
      <w:pPr>
        <w:tabs>
          <w:tab w:val="left" w:pos="4667"/>
        </w:tabs>
        <w:spacing w:after="0" w:line="360" w:lineRule="auto"/>
        <w:ind w:left="567" w:right="567"/>
        <w:jc w:val="both"/>
        <w:rPr>
          <w:rFonts w:ascii="Palatino Linotype" w:eastAsia="Palatino Linotype" w:hAnsi="Palatino Linotype" w:cs="Palatino Linotype"/>
          <w:i/>
          <w:sz w:val="20"/>
          <w:szCs w:val="20"/>
          <w:lang w:eastAsia="es-MX"/>
        </w:rPr>
      </w:pPr>
    </w:p>
    <w:p w14:paraId="61F85180" w14:textId="4B9167E4" w:rsidR="006909FC" w:rsidRPr="006909FC" w:rsidRDefault="006909FC" w:rsidP="00F0352C">
      <w:pPr>
        <w:pStyle w:val="Ttulo2"/>
        <w:rPr>
          <w:rFonts w:eastAsia="Palatino Linotype"/>
          <w:lang w:eastAsia="es-MX"/>
        </w:rPr>
      </w:pPr>
      <w:bookmarkStart w:id="4" w:name="_Toc190952128"/>
      <w:r w:rsidRPr="006909FC">
        <w:rPr>
          <w:rFonts w:eastAsia="Palatino Linotype"/>
          <w:lang w:eastAsia="es-MX"/>
        </w:rPr>
        <w:lastRenderedPageBreak/>
        <w:t>II. Respuesta del Sujeto Obligado</w:t>
      </w:r>
      <w:bookmarkEnd w:id="4"/>
    </w:p>
    <w:p w14:paraId="0E5B7D23" w14:textId="77777777" w:rsidR="006909FC" w:rsidRPr="006909FC" w:rsidRDefault="006909FC" w:rsidP="005D6E32">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color w:val="FF0000"/>
          <w:lang w:eastAsia="es-MX"/>
        </w:rPr>
      </w:pPr>
    </w:p>
    <w:p w14:paraId="66DC4ED3" w14:textId="0750F40D" w:rsidR="004B393F" w:rsidRDefault="006909FC" w:rsidP="005D6E32">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 xml:space="preserve">Con </w:t>
      </w:r>
      <w:r w:rsidR="004B393F" w:rsidRPr="004B393F">
        <w:rPr>
          <w:rFonts w:ascii="Palatino Linotype" w:eastAsia="Palatino Linotype" w:hAnsi="Palatino Linotype" w:cs="Palatino Linotype"/>
          <w:lang w:eastAsia="es-MX"/>
        </w:rPr>
        <w:t xml:space="preserve">fecha veintiocho de enero de dos mil veinticinco, </w:t>
      </w:r>
      <w:r w:rsidRPr="006909FC">
        <w:rPr>
          <w:rFonts w:ascii="Palatino Linotype" w:eastAsia="Palatino Linotype" w:hAnsi="Palatino Linotype" w:cs="Palatino Linotype"/>
          <w:lang w:eastAsia="es-MX"/>
        </w:rPr>
        <w:t xml:space="preserve">el Sujeto Obligado, notificó al Solicitante, mediante el Sistema de Acceso a la Información Mexiquense (SAIMEX), la respuesta a la solicitud de acceso a la información, por medio de la digitalización del </w:t>
      </w:r>
      <w:r w:rsidR="004B393F">
        <w:rPr>
          <w:rFonts w:ascii="Palatino Linotype" w:eastAsia="Palatino Linotype" w:hAnsi="Palatino Linotype" w:cs="Palatino Linotype"/>
          <w:lang w:eastAsia="es-MX"/>
        </w:rPr>
        <w:t xml:space="preserve">Acuerdo de </w:t>
      </w:r>
      <w:r w:rsidR="00070297">
        <w:rPr>
          <w:rFonts w:ascii="Palatino Linotype" w:eastAsia="Palatino Linotype" w:hAnsi="Palatino Linotype" w:cs="Palatino Linotype"/>
          <w:lang w:eastAsia="es-MX"/>
        </w:rPr>
        <w:t>Incompetencia Total</w:t>
      </w:r>
      <w:r w:rsidR="005D6E32">
        <w:rPr>
          <w:rFonts w:ascii="Palatino Linotype" w:eastAsia="Palatino Linotype" w:hAnsi="Palatino Linotype" w:cs="Palatino Linotype"/>
          <w:lang w:eastAsia="es-MX"/>
        </w:rPr>
        <w:t>,</w:t>
      </w:r>
      <w:r w:rsidR="00070297">
        <w:rPr>
          <w:rFonts w:ascii="Palatino Linotype" w:eastAsia="Palatino Linotype" w:hAnsi="Palatino Linotype" w:cs="Palatino Linotype"/>
          <w:lang w:eastAsia="es-MX"/>
        </w:rPr>
        <w:t xml:space="preserve"> del veintiocho de enero de dos mil veinticinco, por medio de la cual</w:t>
      </w:r>
      <w:r w:rsidR="005D6E32">
        <w:rPr>
          <w:rFonts w:ascii="Palatino Linotype" w:eastAsia="Palatino Linotype" w:hAnsi="Palatino Linotype" w:cs="Palatino Linotype"/>
          <w:lang w:eastAsia="es-MX"/>
        </w:rPr>
        <w:t xml:space="preserve">, se estableció que el Sujeto Obligado no tenía atribuciones para conocer de lo solicitado, dado que el programa era implementado por </w:t>
      </w:r>
      <w:r w:rsidR="00070297">
        <w:rPr>
          <w:rFonts w:ascii="Palatino Linotype" w:eastAsia="Palatino Linotype" w:hAnsi="Palatino Linotype" w:cs="Palatino Linotype"/>
          <w:lang w:eastAsia="es-MX"/>
        </w:rPr>
        <w:t>la Secretaría del Medio Ambiente y Desarrollo Sostenible del Gobierno del Estado de México, sugiriendo al hoy Recurrente a presentar su solicitud ante dicha dependencia.</w:t>
      </w:r>
    </w:p>
    <w:p w14:paraId="2CC8EDD0" w14:textId="77777777" w:rsidR="004B393F" w:rsidRDefault="004B393F" w:rsidP="005D6E32">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lang w:eastAsia="es-MX"/>
        </w:rPr>
      </w:pPr>
    </w:p>
    <w:p w14:paraId="33581363" w14:textId="77777777" w:rsidR="006909FC" w:rsidRPr="006909FC" w:rsidRDefault="006909FC" w:rsidP="00F0352C">
      <w:pPr>
        <w:pStyle w:val="Ttulo2"/>
        <w:rPr>
          <w:rFonts w:eastAsia="Palatino Linotype"/>
          <w:lang w:eastAsia="es-MX"/>
        </w:rPr>
      </w:pPr>
      <w:bookmarkStart w:id="5" w:name="_Toc190952129"/>
      <w:r w:rsidRPr="006909FC">
        <w:rPr>
          <w:rFonts w:eastAsia="Palatino Linotype"/>
          <w:lang w:eastAsia="es-MX"/>
        </w:rPr>
        <w:t>III. Interposición del Recurso de Revisión</w:t>
      </w:r>
      <w:bookmarkEnd w:id="5"/>
    </w:p>
    <w:p w14:paraId="54EC9A1A" w14:textId="77777777" w:rsidR="006909FC" w:rsidRPr="006909FC" w:rsidRDefault="006909FC" w:rsidP="005D6E32">
      <w:pPr>
        <w:spacing w:after="0" w:line="360" w:lineRule="auto"/>
        <w:jc w:val="both"/>
        <w:rPr>
          <w:rFonts w:ascii="Palatino Linotype" w:eastAsia="Palatino Linotype" w:hAnsi="Palatino Linotype" w:cs="Palatino Linotype"/>
          <w:b/>
          <w:color w:val="FF0000"/>
          <w:lang w:eastAsia="es-MX"/>
        </w:rPr>
      </w:pPr>
    </w:p>
    <w:p w14:paraId="13E0A8D2"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 xml:space="preserve">Con fecha </w:t>
      </w:r>
      <w:r w:rsidR="007A6DA1" w:rsidRPr="007A6DA1">
        <w:rPr>
          <w:rFonts w:ascii="Palatino Linotype" w:eastAsia="Palatino Linotype" w:hAnsi="Palatino Linotype" w:cs="Palatino Linotype"/>
          <w:lang w:eastAsia="es-MX"/>
        </w:rPr>
        <w:t xml:space="preserve">veintiocho de enero de dos mil veinticinco, </w:t>
      </w:r>
      <w:r w:rsidRPr="006909FC">
        <w:rPr>
          <w:rFonts w:ascii="Palatino Linotype" w:eastAsia="Palatino Linotype" w:hAnsi="Palatino Linotype" w:cs="Palatino Linotype"/>
          <w:lang w:eastAsia="es-MX"/>
        </w:rPr>
        <w:t>se recibió en este Instituto, a través del Sistema de Acceso a la Información Mexiquense (SAIMEX), el Recurso de Revisión interpuesto por la parte Recurrente, en contra de la respuesta del Sujeto Obligado, en los siguientes términos:</w:t>
      </w:r>
    </w:p>
    <w:p w14:paraId="2CB93DCF" w14:textId="77777777" w:rsidR="006909FC" w:rsidRPr="006909FC" w:rsidRDefault="006909FC" w:rsidP="005D6E32">
      <w:pPr>
        <w:widowControl w:val="0"/>
        <w:spacing w:after="0" w:line="360" w:lineRule="auto"/>
        <w:jc w:val="both"/>
        <w:rPr>
          <w:rFonts w:ascii="Palatino Linotype" w:eastAsia="Palatino Linotype" w:hAnsi="Palatino Linotype" w:cs="Palatino Linotype"/>
          <w:color w:val="FF0000"/>
          <w:lang w:eastAsia="es-MX"/>
        </w:rPr>
      </w:pPr>
    </w:p>
    <w:p w14:paraId="5984E68B" w14:textId="77777777" w:rsidR="006909FC" w:rsidRPr="006909FC" w:rsidRDefault="006909FC" w:rsidP="005D6E32">
      <w:pPr>
        <w:spacing w:after="0" w:line="360" w:lineRule="auto"/>
        <w:ind w:left="567" w:right="567"/>
        <w:jc w:val="both"/>
        <w:rPr>
          <w:rFonts w:ascii="Palatino Linotype" w:eastAsia="Palatino Linotype" w:hAnsi="Palatino Linotype" w:cs="Palatino Linotype"/>
          <w:i/>
          <w:sz w:val="20"/>
          <w:szCs w:val="20"/>
          <w:lang w:eastAsia="es-MX"/>
        </w:rPr>
      </w:pPr>
      <w:r w:rsidRPr="006909FC">
        <w:rPr>
          <w:rFonts w:ascii="Palatino Linotype" w:eastAsia="Palatino Linotype" w:hAnsi="Palatino Linotype" w:cs="Palatino Linotype"/>
          <w:b/>
          <w:i/>
          <w:sz w:val="20"/>
          <w:szCs w:val="20"/>
          <w:lang w:eastAsia="es-MX"/>
        </w:rPr>
        <w:t>“ACTO IMPUGNADO</w:t>
      </w:r>
    </w:p>
    <w:p w14:paraId="5A8D531D" w14:textId="77777777" w:rsidR="006909FC" w:rsidRPr="006909FC" w:rsidRDefault="007A6DA1" w:rsidP="005D6E32">
      <w:pPr>
        <w:spacing w:after="0" w:line="360" w:lineRule="auto"/>
        <w:ind w:left="567" w:right="567"/>
        <w:jc w:val="both"/>
        <w:rPr>
          <w:rFonts w:ascii="Palatino Linotype" w:eastAsia="Palatino Linotype" w:hAnsi="Palatino Linotype" w:cs="Palatino Linotype"/>
          <w:i/>
          <w:sz w:val="20"/>
          <w:szCs w:val="20"/>
          <w:lang w:eastAsia="es-MX"/>
        </w:rPr>
      </w:pPr>
      <w:r w:rsidRPr="007A6DA1">
        <w:rPr>
          <w:rFonts w:ascii="Palatino Linotype" w:eastAsia="Palatino Linotype" w:hAnsi="Palatino Linotype" w:cs="Palatino Linotype"/>
          <w:i/>
          <w:sz w:val="20"/>
          <w:szCs w:val="20"/>
          <w:lang w:eastAsia="es-MX"/>
        </w:rPr>
        <w:t xml:space="preserve">No entrega la información </w:t>
      </w:r>
      <w:proofErr w:type="spellStart"/>
      <w:r w:rsidRPr="007A6DA1">
        <w:rPr>
          <w:rFonts w:ascii="Palatino Linotype" w:eastAsia="Palatino Linotype" w:hAnsi="Palatino Linotype" w:cs="Palatino Linotype"/>
          <w:i/>
          <w:sz w:val="20"/>
          <w:szCs w:val="20"/>
          <w:lang w:eastAsia="es-MX"/>
        </w:rPr>
        <w:t>constestan</w:t>
      </w:r>
      <w:proofErr w:type="spellEnd"/>
      <w:r w:rsidRPr="007A6DA1">
        <w:rPr>
          <w:rFonts w:ascii="Palatino Linotype" w:eastAsia="Palatino Linotype" w:hAnsi="Palatino Linotype" w:cs="Palatino Linotype"/>
          <w:i/>
          <w:sz w:val="20"/>
          <w:szCs w:val="20"/>
          <w:lang w:eastAsia="es-MX"/>
        </w:rPr>
        <w:t xml:space="preserve"> que no les compete pero su presidente lo anuncio </w:t>
      </w:r>
      <w:proofErr w:type="spellStart"/>
      <w:r w:rsidRPr="007A6DA1">
        <w:rPr>
          <w:rFonts w:ascii="Palatino Linotype" w:eastAsia="Palatino Linotype" w:hAnsi="Palatino Linotype" w:cs="Palatino Linotype"/>
          <w:i/>
          <w:sz w:val="20"/>
          <w:szCs w:val="20"/>
          <w:lang w:eastAsia="es-MX"/>
        </w:rPr>
        <w:t>salio</w:t>
      </w:r>
      <w:proofErr w:type="spellEnd"/>
      <w:r w:rsidRPr="007A6DA1">
        <w:rPr>
          <w:rFonts w:ascii="Palatino Linotype" w:eastAsia="Palatino Linotype" w:hAnsi="Palatino Linotype" w:cs="Palatino Linotype"/>
          <w:i/>
          <w:sz w:val="20"/>
          <w:szCs w:val="20"/>
          <w:lang w:eastAsia="es-MX"/>
        </w:rPr>
        <w:t xml:space="preserve"> en medio y en su conferencia de prensa son opacos y no entregan lo que solicito</w:t>
      </w:r>
      <w:r w:rsidR="006909FC" w:rsidRPr="006909FC">
        <w:rPr>
          <w:rFonts w:ascii="Palatino Linotype" w:eastAsia="Palatino Linotype" w:hAnsi="Palatino Linotype" w:cs="Palatino Linotype"/>
          <w:i/>
          <w:sz w:val="20"/>
          <w:szCs w:val="20"/>
          <w:lang w:eastAsia="es-MX"/>
        </w:rPr>
        <w:t xml:space="preserve">” </w:t>
      </w:r>
      <w:r>
        <w:rPr>
          <w:rFonts w:ascii="Palatino Linotype" w:eastAsia="Palatino Linotype" w:hAnsi="Palatino Linotype" w:cs="Palatino Linotype"/>
          <w:i/>
          <w:sz w:val="20"/>
          <w:szCs w:val="20"/>
          <w:lang w:eastAsia="es-MX"/>
        </w:rPr>
        <w:t>(Sic)</w:t>
      </w:r>
    </w:p>
    <w:p w14:paraId="7ABA5999" w14:textId="77777777" w:rsidR="006909FC" w:rsidRPr="006909FC" w:rsidRDefault="006909FC" w:rsidP="005D6E32">
      <w:pPr>
        <w:spacing w:after="0" w:line="360" w:lineRule="auto"/>
        <w:ind w:right="567"/>
        <w:jc w:val="both"/>
        <w:rPr>
          <w:rFonts w:ascii="Palatino Linotype" w:eastAsia="Palatino Linotype" w:hAnsi="Palatino Linotype" w:cs="Palatino Linotype"/>
          <w:i/>
          <w:color w:val="FF0000"/>
          <w:sz w:val="20"/>
          <w:szCs w:val="20"/>
          <w:lang w:eastAsia="es-MX"/>
        </w:rPr>
      </w:pPr>
    </w:p>
    <w:p w14:paraId="5A0C2928" w14:textId="77777777" w:rsidR="006909FC" w:rsidRPr="006909FC" w:rsidRDefault="006909FC" w:rsidP="005D6E32">
      <w:pPr>
        <w:spacing w:after="0" w:line="360" w:lineRule="auto"/>
        <w:ind w:left="567" w:right="567"/>
        <w:jc w:val="both"/>
        <w:rPr>
          <w:rFonts w:ascii="Palatino Linotype" w:eastAsia="Palatino Linotype" w:hAnsi="Palatino Linotype" w:cs="Palatino Linotype"/>
          <w:b/>
          <w:i/>
          <w:sz w:val="20"/>
          <w:szCs w:val="20"/>
          <w:lang w:eastAsia="es-MX"/>
        </w:rPr>
      </w:pPr>
      <w:r w:rsidRPr="006909FC">
        <w:rPr>
          <w:rFonts w:ascii="Palatino Linotype" w:eastAsia="Palatino Linotype" w:hAnsi="Palatino Linotype" w:cs="Palatino Linotype"/>
          <w:b/>
          <w:i/>
          <w:sz w:val="20"/>
          <w:szCs w:val="20"/>
          <w:lang w:eastAsia="es-MX"/>
        </w:rPr>
        <w:t>“RAZONES O MOTIVOS DE LA INCONFORMIDAD</w:t>
      </w:r>
    </w:p>
    <w:p w14:paraId="1F93D700" w14:textId="77777777" w:rsidR="006909FC" w:rsidRPr="00EC2CD5" w:rsidRDefault="00EC2CD5" w:rsidP="005D6E32">
      <w:pPr>
        <w:spacing w:after="0" w:line="360" w:lineRule="auto"/>
        <w:ind w:left="567" w:right="567"/>
        <w:jc w:val="both"/>
        <w:rPr>
          <w:rFonts w:ascii="Palatino Linotype" w:eastAsia="Palatino Linotype" w:hAnsi="Palatino Linotype" w:cs="Palatino Linotype"/>
          <w:i/>
          <w:sz w:val="20"/>
          <w:szCs w:val="20"/>
          <w:lang w:eastAsia="es-MX"/>
        </w:rPr>
      </w:pPr>
      <w:r w:rsidRPr="00EC2CD5">
        <w:rPr>
          <w:rFonts w:ascii="Palatino Linotype" w:eastAsia="Palatino Linotype" w:hAnsi="Palatino Linotype" w:cs="Palatino Linotype"/>
          <w:i/>
          <w:sz w:val="20"/>
          <w:szCs w:val="20"/>
          <w:lang w:eastAsia="es-MX"/>
        </w:rPr>
        <w:t>Niegan la información” (Sic)</w:t>
      </w:r>
    </w:p>
    <w:p w14:paraId="05ABCAF5" w14:textId="77777777" w:rsidR="006909FC" w:rsidRPr="006909FC" w:rsidRDefault="006909FC" w:rsidP="005D6E32">
      <w:pPr>
        <w:spacing w:after="0" w:line="360" w:lineRule="auto"/>
        <w:jc w:val="both"/>
        <w:rPr>
          <w:rFonts w:ascii="Palatino Linotype" w:eastAsia="Palatino Linotype" w:hAnsi="Palatino Linotype" w:cs="Palatino Linotype"/>
          <w:b/>
          <w:color w:val="FF0000"/>
          <w:lang w:eastAsia="es-MX"/>
        </w:rPr>
      </w:pPr>
    </w:p>
    <w:p w14:paraId="2A95D612" w14:textId="77777777" w:rsidR="006909FC" w:rsidRPr="006909FC" w:rsidRDefault="006909FC" w:rsidP="00F0352C">
      <w:pPr>
        <w:pStyle w:val="Ttulo2"/>
        <w:rPr>
          <w:rFonts w:eastAsia="Palatino Linotype"/>
          <w:lang w:eastAsia="es-MX"/>
        </w:rPr>
      </w:pPr>
      <w:bookmarkStart w:id="6" w:name="_Toc190952130"/>
      <w:r w:rsidRPr="006909FC">
        <w:rPr>
          <w:rFonts w:eastAsia="Palatino Linotype"/>
          <w:lang w:eastAsia="es-MX"/>
        </w:rPr>
        <w:t>IV. Trámite del Recurso de Revisión ante este Instituto</w:t>
      </w:r>
      <w:bookmarkEnd w:id="6"/>
    </w:p>
    <w:p w14:paraId="51424BCD" w14:textId="77777777" w:rsidR="006909FC" w:rsidRDefault="006909FC" w:rsidP="005D6E32">
      <w:pPr>
        <w:spacing w:after="0" w:line="360" w:lineRule="auto"/>
        <w:jc w:val="both"/>
        <w:rPr>
          <w:rFonts w:ascii="Palatino Linotype" w:eastAsia="Palatino Linotype" w:hAnsi="Palatino Linotype" w:cs="Palatino Linotype"/>
          <w:b/>
          <w:color w:val="FF0000"/>
          <w:lang w:eastAsia="es-MX"/>
        </w:rPr>
      </w:pPr>
    </w:p>
    <w:p w14:paraId="2DA3F6D6" w14:textId="77777777" w:rsidR="005D6E32" w:rsidRDefault="005D6E32" w:rsidP="005D6E32">
      <w:pPr>
        <w:spacing w:after="0" w:line="360" w:lineRule="auto"/>
        <w:jc w:val="both"/>
        <w:rPr>
          <w:rFonts w:ascii="Palatino Linotype" w:eastAsia="Palatino Linotype" w:hAnsi="Palatino Linotype" w:cs="Palatino Linotype"/>
          <w:b/>
          <w:color w:val="FF0000"/>
          <w:lang w:eastAsia="es-MX"/>
        </w:rPr>
      </w:pPr>
    </w:p>
    <w:p w14:paraId="7762DA73" w14:textId="3D25F39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b/>
          <w:lang w:eastAsia="es-MX"/>
        </w:rPr>
        <w:t xml:space="preserve">a) Turno del Recurso de Revisión. </w:t>
      </w:r>
      <w:r w:rsidRPr="006909FC">
        <w:rPr>
          <w:rFonts w:ascii="Palatino Linotype" w:eastAsia="Palatino Linotype" w:hAnsi="Palatino Linotype" w:cs="Palatino Linotype"/>
          <w:lang w:eastAsia="es-MX"/>
        </w:rPr>
        <w:t xml:space="preserve">El </w:t>
      </w:r>
      <w:r w:rsidR="00AC61DC" w:rsidRPr="00AC61DC">
        <w:rPr>
          <w:rFonts w:ascii="Palatino Linotype" w:eastAsia="Palatino Linotype" w:hAnsi="Palatino Linotype" w:cs="Palatino Linotype"/>
          <w:lang w:eastAsia="es-MX"/>
        </w:rPr>
        <w:t xml:space="preserve">veintiocho de enero de dos mil veinticinco, </w:t>
      </w:r>
      <w:r w:rsidRPr="006909FC">
        <w:rPr>
          <w:rFonts w:ascii="Palatino Linotype" w:eastAsia="Palatino Linotype" w:hAnsi="Palatino Linotype" w:cs="Palatino Linotype"/>
          <w:lang w:eastAsia="es-MX"/>
        </w:rPr>
        <w:t xml:space="preserve">el Sistema de Acceso a la Información Mexiquense (SAIMEX), asignó el número de </w:t>
      </w:r>
      <w:r w:rsidR="005D2CE9" w:rsidRPr="006909FC">
        <w:rPr>
          <w:rFonts w:ascii="Palatino Linotype" w:eastAsia="Palatino Linotype" w:hAnsi="Palatino Linotype" w:cs="Palatino Linotype"/>
          <w:lang w:eastAsia="es-MX"/>
        </w:rPr>
        <w:t xml:space="preserve">expediente </w:t>
      </w:r>
      <w:r w:rsidR="005D2CE9" w:rsidRPr="00AC61DC">
        <w:rPr>
          <w:rFonts w:ascii="Palatino Linotype" w:eastAsia="Palatino Linotype" w:hAnsi="Palatino Linotype" w:cs="Palatino Linotype"/>
          <w:b/>
          <w:lang w:eastAsia="es-MX"/>
        </w:rPr>
        <w:t>00321</w:t>
      </w:r>
      <w:r w:rsidR="00AC61DC" w:rsidRPr="00AC61DC">
        <w:rPr>
          <w:rFonts w:ascii="Palatino Linotype" w:eastAsia="Palatino Linotype" w:hAnsi="Palatino Linotype" w:cs="Palatino Linotype"/>
          <w:b/>
          <w:lang w:eastAsia="es-MX"/>
        </w:rPr>
        <w:t>/INFOEM/IP/RR/2025</w:t>
      </w:r>
      <w:r w:rsidRPr="006909FC">
        <w:rPr>
          <w:rFonts w:ascii="Palatino Linotype" w:eastAsia="Palatino Linotype" w:hAnsi="Palatino Linotype" w:cs="Palatino Linotype"/>
          <w:lang w:eastAsia="es-MX"/>
        </w:rPr>
        <w:t xml:space="preserve">, al medio de impugnación que nos ocupa, con base en el sistema aprobado por el Pleno de este </w:t>
      </w:r>
      <w:r w:rsidR="005D6E32">
        <w:rPr>
          <w:rFonts w:ascii="Palatino Linotype" w:eastAsia="Palatino Linotype" w:hAnsi="Palatino Linotype" w:cs="Palatino Linotype"/>
          <w:lang w:eastAsia="es-MX"/>
        </w:rPr>
        <w:t>O</w:t>
      </w:r>
      <w:r w:rsidRPr="006909FC">
        <w:rPr>
          <w:rFonts w:ascii="Palatino Linotype" w:eastAsia="Palatino Linotype" w:hAnsi="Palatino Linotype" w:cs="Palatino Linotype"/>
          <w:lang w:eastAsia="es-MX"/>
        </w:rPr>
        <w:t>rgan</w:t>
      </w:r>
      <w:r w:rsidR="005D6E32">
        <w:rPr>
          <w:rFonts w:ascii="Palatino Linotype" w:eastAsia="Palatino Linotype" w:hAnsi="Palatino Linotype" w:cs="Palatino Linotype"/>
          <w:lang w:eastAsia="es-MX"/>
        </w:rPr>
        <w:t>ismo</w:t>
      </w:r>
      <w:r w:rsidRPr="006909FC">
        <w:rPr>
          <w:rFonts w:ascii="Palatino Linotype" w:eastAsia="Palatino Linotype" w:hAnsi="Palatino Linotype" w:cs="Palatino Linotype"/>
          <w:lang w:eastAsia="es-MX"/>
        </w:rPr>
        <w:t xml:space="preserve"> Garante y lo turnó al Comisionado Ponente Luis Gustavo Parra Noriega, para los efectos del artículo 185, fracción I de la Ley de Transparencia y Acceso a la Información Pública del Estado de México y Municipios.</w:t>
      </w:r>
    </w:p>
    <w:p w14:paraId="26636BF5" w14:textId="77777777" w:rsidR="006909FC" w:rsidRPr="006909FC" w:rsidRDefault="006909FC" w:rsidP="005D6E32">
      <w:pPr>
        <w:spacing w:after="0" w:line="360" w:lineRule="auto"/>
        <w:jc w:val="both"/>
        <w:rPr>
          <w:rFonts w:ascii="Palatino Linotype" w:eastAsia="Palatino Linotype" w:hAnsi="Palatino Linotype" w:cs="Palatino Linotype"/>
          <w:color w:val="FF0000"/>
          <w:lang w:eastAsia="es-MX"/>
        </w:rPr>
      </w:pPr>
    </w:p>
    <w:p w14:paraId="4F316B59"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b/>
          <w:lang w:eastAsia="es-MX"/>
        </w:rPr>
        <w:t xml:space="preserve">b) Admisión de los Recursos de Revisión. </w:t>
      </w:r>
      <w:r w:rsidRPr="006909FC">
        <w:rPr>
          <w:rFonts w:ascii="Palatino Linotype" w:eastAsia="Palatino Linotype" w:hAnsi="Palatino Linotype" w:cs="Palatino Linotype"/>
          <w:lang w:eastAsia="es-MX"/>
        </w:rPr>
        <w:t xml:space="preserve">El </w:t>
      </w:r>
      <w:r w:rsidR="00AC61DC" w:rsidRPr="00AC61DC">
        <w:rPr>
          <w:rFonts w:ascii="Palatino Linotype" w:eastAsia="Palatino Linotype" w:hAnsi="Palatino Linotype" w:cs="Palatino Linotype"/>
          <w:lang w:eastAsia="es-MX"/>
        </w:rPr>
        <w:t xml:space="preserve">treinta de enero de dos mil veinticinco, </w:t>
      </w:r>
      <w:r w:rsidRPr="006909FC">
        <w:rPr>
          <w:rFonts w:ascii="Palatino Linotype" w:eastAsia="Palatino Linotype" w:hAnsi="Palatino Linotype" w:cs="Palatino Linotype"/>
          <w:lang w:eastAsia="es-MX"/>
        </w:rPr>
        <w:t>se acordó la admisión del Recurso de Revisión, interpuesto por el Recurrente, en contra del Sujeto Obligado, en términos del artículo 185, fracciones I y II de la Ley de Transparencia y Acceso a la Información Pública del Estado de México y Municipios, el cua</w:t>
      </w:r>
      <w:r w:rsidR="00AC61DC" w:rsidRPr="00AC61DC">
        <w:rPr>
          <w:rFonts w:ascii="Palatino Linotype" w:eastAsia="Palatino Linotype" w:hAnsi="Palatino Linotype" w:cs="Palatino Linotype"/>
          <w:lang w:eastAsia="es-MX"/>
        </w:rPr>
        <w:t>l fue notificado a las partes el mismo día</w:t>
      </w:r>
      <w:r w:rsidRPr="006909FC">
        <w:rPr>
          <w:rFonts w:ascii="Palatino Linotype" w:eastAsia="Palatino Linotype" w:hAnsi="Palatino Linotype" w:cs="Palatino Linotype"/>
          <w:lang w:eastAsia="es-MX"/>
        </w:rPr>
        <w:t>, a través del Sistema de Acceso a la Información Mexiquense (SAIMEX), en el que se les otorgó un plazo de siete días hábiles posteriores a la misma, para que manifestaran lo que a su derecho conviniera y formularan alegatos.</w:t>
      </w:r>
    </w:p>
    <w:p w14:paraId="35F00AE7" w14:textId="77777777" w:rsidR="006909FC" w:rsidRPr="006909FC" w:rsidRDefault="006909FC" w:rsidP="005D6E32">
      <w:pPr>
        <w:spacing w:after="0" w:line="360" w:lineRule="auto"/>
        <w:jc w:val="both"/>
        <w:rPr>
          <w:rFonts w:ascii="Palatino Linotype" w:eastAsia="Palatino Linotype" w:hAnsi="Palatino Linotype" w:cs="Palatino Linotype"/>
          <w:color w:val="FF0000"/>
          <w:lang w:eastAsia="es-MX"/>
        </w:rPr>
      </w:pPr>
    </w:p>
    <w:p w14:paraId="575CC487" w14:textId="40EDA4CA" w:rsidR="009F3DED" w:rsidRPr="009F3DED" w:rsidRDefault="006909FC" w:rsidP="005D6E32">
      <w:pPr>
        <w:spacing w:after="0" w:line="360" w:lineRule="auto"/>
        <w:jc w:val="both"/>
        <w:rPr>
          <w:rFonts w:ascii="Palatino Linotype" w:eastAsia="Calibri" w:hAnsi="Palatino Linotype" w:cs="Times New Roman"/>
          <w:highlight w:val="yellow"/>
        </w:rPr>
      </w:pPr>
      <w:r w:rsidRPr="006909FC">
        <w:rPr>
          <w:rFonts w:ascii="Palatino Linotype" w:eastAsia="Palatino Linotype" w:hAnsi="Palatino Linotype" w:cs="Palatino Linotype"/>
          <w:b/>
          <w:lang w:eastAsia="es-MX"/>
        </w:rPr>
        <w:t>c) Informe Justificado</w:t>
      </w:r>
      <w:r w:rsidRPr="009F3DED">
        <w:rPr>
          <w:rFonts w:ascii="Palatino Linotype" w:eastAsia="Palatino Linotype" w:hAnsi="Palatino Linotype" w:cs="Palatino Linotype"/>
          <w:b/>
          <w:lang w:eastAsia="es-MX"/>
        </w:rPr>
        <w:t>.</w:t>
      </w:r>
      <w:r w:rsidRPr="009F3DED">
        <w:rPr>
          <w:rFonts w:ascii="Palatino Linotype" w:eastAsia="Palatino Linotype" w:hAnsi="Palatino Linotype" w:cs="Palatino Linotype"/>
          <w:lang w:eastAsia="es-MX"/>
        </w:rPr>
        <w:t xml:space="preserve"> </w:t>
      </w:r>
      <w:r w:rsidR="009F3DED" w:rsidRPr="009F3DED">
        <w:rPr>
          <w:rFonts w:ascii="Palatino Linotype" w:eastAsia="Palatino Linotype" w:hAnsi="Palatino Linotype" w:cs="Palatino Linotype"/>
          <w:lang w:eastAsia="es-MX"/>
        </w:rPr>
        <w:t>El once de febrero de dos mil veinticinco, a través del Sistema de Acceso a la Información Mexiquense (SAIMEX), se recibió en este Instituto el informe justificado por parte del Sujeto Obligado, a través de la digitalización de un escrito de fecha once de febrero de dos mil veinticinco, suscrito por el Titular de la Unidad de Transparencia, dirigido al Comisionado Ponente, por medio del cual ratifico su respuesta inicial.</w:t>
      </w:r>
    </w:p>
    <w:p w14:paraId="67506148" w14:textId="4E5A72C4" w:rsidR="009F3DED" w:rsidRDefault="009F3DED" w:rsidP="005D6E32">
      <w:pPr>
        <w:spacing w:after="0" w:line="360" w:lineRule="auto"/>
        <w:jc w:val="both"/>
        <w:rPr>
          <w:rFonts w:ascii="Palatino Linotype" w:eastAsia="Palatino Linotype" w:hAnsi="Palatino Linotype" w:cs="Palatino Linotype"/>
          <w:lang w:eastAsia="es-MX"/>
        </w:rPr>
      </w:pPr>
    </w:p>
    <w:p w14:paraId="49991E2B" w14:textId="78D3F680" w:rsidR="009F3DED" w:rsidRPr="009F3DED" w:rsidRDefault="009F3DED" w:rsidP="005D6E32">
      <w:pPr>
        <w:spacing w:after="0" w:line="360" w:lineRule="auto"/>
        <w:jc w:val="both"/>
        <w:rPr>
          <w:rFonts w:ascii="Palatino Linotype" w:eastAsia="Calibri" w:hAnsi="Palatino Linotype" w:cs="Times New Roman"/>
        </w:rPr>
      </w:pPr>
      <w:r w:rsidRPr="009F3DED">
        <w:rPr>
          <w:rFonts w:ascii="Palatino Linotype" w:eastAsia="Palatino Linotype" w:hAnsi="Palatino Linotype" w:cs="Palatino Linotype"/>
          <w:b/>
          <w:bCs/>
          <w:lang w:eastAsia="es-MX"/>
        </w:rPr>
        <w:t>d)Vista al Informe Justificado.</w:t>
      </w:r>
      <w:r w:rsidRPr="009F3DED">
        <w:rPr>
          <w:rFonts w:ascii="Palatino Linotype" w:eastAsia="Calibri" w:hAnsi="Palatino Linotype" w:cs="Times New Roman"/>
        </w:rPr>
        <w:t xml:space="preserve"> El doce de febrero de dos mil veinticinco, se notificó a través del Sistema de Acceso a la Información Mexiquense (SAIMEX), el acuerdo mediante el cual se puso a la vista del Particular el Informe Justificado del Recurso de Revisión, proveído por el cual se le otorgó un término de tres días hábiles contados a partir del día siguiente a la </w:t>
      </w:r>
      <w:r w:rsidRPr="009F3DED">
        <w:rPr>
          <w:rFonts w:ascii="Palatino Linotype" w:eastAsia="Calibri" w:hAnsi="Palatino Linotype" w:cs="Times New Roman"/>
        </w:rPr>
        <w:lastRenderedPageBreak/>
        <w:t xml:space="preserve">notificación, a fin de emitir las manifestaciones que conforme a sus intereses convinieran. </w:t>
      </w:r>
      <w:r w:rsidRPr="009F3DED">
        <w:rPr>
          <w:rFonts w:ascii="Palatino Linotype" w:eastAsia="Calibri" w:hAnsi="Palatino Linotype" w:cs="Times New Roman"/>
          <w:b/>
          <w:bCs/>
        </w:rPr>
        <w:t>Cabe señalar que el Particular fue omiso en realizar manifestación alguna.</w:t>
      </w:r>
    </w:p>
    <w:p w14:paraId="19FF8C87" w14:textId="12273EA7" w:rsidR="009F3DED" w:rsidRDefault="009F3DED" w:rsidP="005D6E32">
      <w:pPr>
        <w:spacing w:after="0" w:line="360" w:lineRule="auto"/>
        <w:jc w:val="both"/>
        <w:rPr>
          <w:rFonts w:ascii="Palatino Linotype" w:eastAsia="Palatino Linotype" w:hAnsi="Palatino Linotype" w:cs="Palatino Linotype"/>
          <w:b/>
          <w:bCs/>
          <w:lang w:eastAsia="es-MX"/>
        </w:rPr>
      </w:pPr>
    </w:p>
    <w:p w14:paraId="44FE0BE7" w14:textId="688480B9" w:rsidR="006909FC" w:rsidRPr="006909FC" w:rsidRDefault="009F3DED" w:rsidP="005D6E32">
      <w:pPr>
        <w:spacing w:after="0" w:line="360" w:lineRule="auto"/>
        <w:jc w:val="both"/>
        <w:rPr>
          <w:rFonts w:ascii="Palatino Linotype" w:eastAsia="Palatino Linotype" w:hAnsi="Palatino Linotype" w:cs="Palatino Linotype"/>
          <w:lang w:eastAsia="es-MX"/>
        </w:rPr>
      </w:pPr>
      <w:r w:rsidRPr="009F3DED">
        <w:rPr>
          <w:rFonts w:ascii="Palatino Linotype" w:eastAsia="Palatino Linotype" w:hAnsi="Palatino Linotype" w:cs="Palatino Linotype"/>
          <w:b/>
          <w:bCs/>
          <w:iCs/>
          <w:sz w:val="20"/>
          <w:szCs w:val="20"/>
          <w:lang w:eastAsia="es-MX"/>
        </w:rPr>
        <w:t>e</w:t>
      </w:r>
      <w:r w:rsidR="006909FC" w:rsidRPr="009F3DED">
        <w:rPr>
          <w:rFonts w:ascii="Palatino Linotype" w:eastAsia="Palatino Linotype" w:hAnsi="Palatino Linotype" w:cs="Palatino Linotype"/>
          <w:b/>
          <w:lang w:eastAsia="es-MX"/>
        </w:rPr>
        <w:t>) Cierre de instrucción.</w:t>
      </w:r>
      <w:r w:rsidR="006909FC" w:rsidRPr="009F3DED">
        <w:rPr>
          <w:rFonts w:ascii="Palatino Linotype" w:eastAsia="Palatino Linotype" w:hAnsi="Palatino Linotype" w:cs="Palatino Linotype"/>
          <w:lang w:eastAsia="es-MX"/>
        </w:rPr>
        <w:t xml:space="preserve"> El </w:t>
      </w:r>
      <w:r w:rsidRPr="009F3DED">
        <w:rPr>
          <w:rFonts w:ascii="Palatino Linotype" w:eastAsia="Palatino Linotype" w:hAnsi="Palatino Linotype" w:cs="Palatino Linotype"/>
          <w:lang w:eastAsia="es-MX"/>
        </w:rPr>
        <w:t>dieciocho</w:t>
      </w:r>
      <w:r w:rsidR="00301FF4" w:rsidRPr="009F3DED">
        <w:rPr>
          <w:rFonts w:ascii="Palatino Linotype" w:eastAsia="Palatino Linotype" w:hAnsi="Palatino Linotype" w:cs="Palatino Linotype"/>
          <w:lang w:eastAsia="es-MX"/>
        </w:rPr>
        <w:t xml:space="preserve"> de febrero de dos mil veinticinco, </w:t>
      </w:r>
      <w:r w:rsidR="006909FC" w:rsidRPr="009F3DED">
        <w:rPr>
          <w:rFonts w:ascii="Palatino Linotype" w:eastAsia="Palatino Linotype" w:hAnsi="Palatino Linotype" w:cs="Palatino Linotype"/>
          <w:lang w:eastAsia="es-MX"/>
        </w:rPr>
        <w:t>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w:t>
      </w:r>
    </w:p>
    <w:p w14:paraId="611B7196" w14:textId="77777777" w:rsidR="006909FC" w:rsidRPr="006909FC" w:rsidRDefault="006909FC" w:rsidP="005D6E32">
      <w:pPr>
        <w:spacing w:after="0" w:line="360" w:lineRule="auto"/>
        <w:jc w:val="both"/>
        <w:rPr>
          <w:rFonts w:ascii="Palatino Linotype" w:eastAsia="Palatino Linotype" w:hAnsi="Palatino Linotype" w:cs="Palatino Linotype"/>
          <w:b/>
          <w:lang w:eastAsia="es-MX"/>
        </w:rPr>
      </w:pPr>
    </w:p>
    <w:p w14:paraId="74E16B12"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 xml:space="preserve">En razón de que fue debidamente sustanciado el expediente electrónico y no existe diligencia pendiente de desahogo, se emite la resolución que conforme a Derecho proceda, de acuerdo a los siguientes: </w:t>
      </w:r>
    </w:p>
    <w:p w14:paraId="06D57ABE" w14:textId="77777777" w:rsidR="006909FC" w:rsidRPr="006909FC" w:rsidRDefault="006909FC" w:rsidP="005D6E32">
      <w:pPr>
        <w:spacing w:after="0" w:line="360" w:lineRule="auto"/>
        <w:jc w:val="center"/>
        <w:rPr>
          <w:rFonts w:ascii="Palatino Linotype" w:eastAsia="Palatino Linotype" w:hAnsi="Palatino Linotype" w:cs="Palatino Linotype"/>
          <w:b/>
          <w:lang w:eastAsia="es-MX"/>
        </w:rPr>
      </w:pPr>
    </w:p>
    <w:p w14:paraId="46D27F66" w14:textId="77777777" w:rsidR="006909FC" w:rsidRPr="006909FC" w:rsidRDefault="00301FF4" w:rsidP="00F0352C">
      <w:pPr>
        <w:pStyle w:val="Ttulo1"/>
        <w:rPr>
          <w:rFonts w:eastAsia="Palatino Linotype"/>
          <w:lang w:eastAsia="es-MX"/>
        </w:rPr>
      </w:pPr>
      <w:bookmarkStart w:id="7" w:name="_Toc190952131"/>
      <w:r w:rsidRPr="00301FF4">
        <w:rPr>
          <w:rFonts w:eastAsia="Palatino Linotype"/>
          <w:lang w:eastAsia="es-MX"/>
        </w:rPr>
        <w:t>C O N S I D E R A N D O S</w:t>
      </w:r>
      <w:bookmarkEnd w:id="7"/>
    </w:p>
    <w:p w14:paraId="146E449F" w14:textId="77777777" w:rsidR="006909FC" w:rsidRPr="006909FC" w:rsidRDefault="006909FC" w:rsidP="005D6E32">
      <w:pPr>
        <w:spacing w:after="0" w:line="360" w:lineRule="auto"/>
        <w:jc w:val="both"/>
        <w:rPr>
          <w:rFonts w:ascii="Palatino Linotype" w:eastAsia="Palatino Linotype" w:hAnsi="Palatino Linotype" w:cs="Palatino Linotype"/>
          <w:b/>
          <w:color w:val="FF0000"/>
          <w:lang w:eastAsia="es-MX"/>
        </w:rPr>
      </w:pPr>
    </w:p>
    <w:p w14:paraId="654B560F" w14:textId="77777777" w:rsidR="006909FC" w:rsidRPr="006909FC" w:rsidRDefault="006909FC" w:rsidP="00F0352C">
      <w:pPr>
        <w:pStyle w:val="Ttulo2"/>
        <w:rPr>
          <w:rFonts w:eastAsia="Palatino Linotype"/>
          <w:lang w:eastAsia="es-MX"/>
        </w:rPr>
      </w:pPr>
      <w:bookmarkStart w:id="8" w:name="_Toc190952132"/>
      <w:r w:rsidRPr="006909FC">
        <w:rPr>
          <w:rFonts w:eastAsia="Palatino Linotype"/>
          <w:lang w:eastAsia="es-MX"/>
        </w:rPr>
        <w:t>PRIMERO. Competencia</w:t>
      </w:r>
      <w:bookmarkEnd w:id="8"/>
    </w:p>
    <w:p w14:paraId="16317689" w14:textId="77777777" w:rsidR="006909FC" w:rsidRPr="006909FC" w:rsidRDefault="006909FC" w:rsidP="005D6E32">
      <w:pPr>
        <w:spacing w:after="0" w:line="360" w:lineRule="auto"/>
        <w:jc w:val="both"/>
        <w:rPr>
          <w:rFonts w:ascii="Palatino Linotype" w:eastAsia="Palatino Linotype" w:hAnsi="Palatino Linotype" w:cs="Palatino Linotype"/>
          <w:b/>
          <w:lang w:eastAsia="es-MX"/>
        </w:rPr>
      </w:pPr>
    </w:p>
    <w:p w14:paraId="029D2DA1"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w:t>
      </w:r>
      <w:r w:rsidR="00301FF4" w:rsidRPr="00301FF4">
        <w:rPr>
          <w:rFonts w:ascii="Palatino Linotype" w:eastAsia="Palatino Linotype" w:hAnsi="Palatino Linotype" w:cs="Palatino Linotype"/>
          <w:lang w:eastAsia="es-MX"/>
        </w:rPr>
        <w:t xml:space="preserve">uesto en los artículos, </w:t>
      </w:r>
      <w:r w:rsidRPr="006909FC">
        <w:rPr>
          <w:rFonts w:ascii="Palatino Linotype" w:eastAsia="Palatino Linotype" w:hAnsi="Palatino Linotype" w:cs="Palatino Linotype"/>
          <w:lang w:eastAsia="es-MX"/>
        </w:rPr>
        <w:t xml:space="preserve">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w:t>
      </w:r>
      <w:r w:rsidRPr="006909FC">
        <w:rPr>
          <w:rFonts w:ascii="Palatino Linotype" w:eastAsia="Palatino Linotype" w:hAnsi="Palatino Linotype" w:cs="Palatino Linotype"/>
          <w:lang w:eastAsia="es-MX"/>
        </w:rPr>
        <w:lastRenderedPageBreak/>
        <w:t>del Estado de México y Municipios; 7°, 9°, fracciones I y XXIII y 11 del Reglamento Interior del Instituto de Transparencia, Acceso a la Información Pública y Protección de Datos Personales del Estado de México y Municipios.</w:t>
      </w:r>
    </w:p>
    <w:p w14:paraId="62EC3461"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1AA2649B" w14:textId="77777777" w:rsidR="006909FC" w:rsidRPr="006909FC" w:rsidRDefault="006909FC" w:rsidP="00F0352C">
      <w:pPr>
        <w:pStyle w:val="Ttulo2"/>
        <w:rPr>
          <w:rFonts w:eastAsia="Palatino Linotype"/>
          <w:lang w:eastAsia="es-MX"/>
        </w:rPr>
      </w:pPr>
      <w:bookmarkStart w:id="9" w:name="_Toc190952133"/>
      <w:r w:rsidRPr="006909FC">
        <w:rPr>
          <w:rFonts w:eastAsia="Palatino Linotype"/>
          <w:lang w:eastAsia="es-MX"/>
        </w:rPr>
        <w:t>SEGUNDO. Causales de improcedencia y sobreseimiento</w:t>
      </w:r>
      <w:bookmarkEnd w:id="9"/>
    </w:p>
    <w:p w14:paraId="62FA3FFC"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357590CC"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 xml:space="preserve">De las constancias que forma parte del Recurso de Revisión que se analiza, se advierte que previo al estudio del fondo de la </w:t>
      </w:r>
      <w:r w:rsidRPr="006909FC">
        <w:rPr>
          <w:rFonts w:ascii="Palatino Linotype" w:eastAsia="Palatino Linotype" w:hAnsi="Palatino Linotype" w:cs="Palatino Linotype"/>
          <w:i/>
          <w:lang w:eastAsia="es-MX"/>
        </w:rPr>
        <w:t>litis</w:t>
      </w:r>
      <w:r w:rsidRPr="006909FC">
        <w:rPr>
          <w:rFonts w:ascii="Palatino Linotype" w:eastAsia="Palatino Linotype" w:hAnsi="Palatino Linotype" w:cs="Palatino Linotype"/>
          <w:lang w:eastAsia="es-MX"/>
        </w:rPr>
        <w:t>, es necesario estudiar las causales de improcedencia y sobreseimiento que se adviertan, para determinar lo que en Derecho proceda.</w:t>
      </w:r>
    </w:p>
    <w:p w14:paraId="7A40AB50"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1DF907A9" w14:textId="77777777" w:rsidR="006909FC" w:rsidRPr="006909FC" w:rsidRDefault="006909FC" w:rsidP="005D6E32">
      <w:pPr>
        <w:spacing w:after="0" w:line="360" w:lineRule="auto"/>
        <w:jc w:val="both"/>
        <w:rPr>
          <w:rFonts w:ascii="Palatino Linotype" w:eastAsia="Palatino Linotype" w:hAnsi="Palatino Linotype" w:cs="Palatino Linotype"/>
          <w:b/>
          <w:lang w:eastAsia="es-MX"/>
        </w:rPr>
      </w:pPr>
      <w:r w:rsidRPr="006909FC">
        <w:rPr>
          <w:rFonts w:ascii="Palatino Linotype" w:eastAsia="Palatino Linotype" w:hAnsi="Palatino Linotype" w:cs="Palatino Linotype"/>
          <w:b/>
          <w:lang w:eastAsia="es-MX"/>
        </w:rPr>
        <w:t>Causales de improcedencia</w:t>
      </w:r>
    </w:p>
    <w:p w14:paraId="75A7B1F0"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3D623255"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 (Semanario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w:t>
      </w:r>
    </w:p>
    <w:p w14:paraId="7B31C150" w14:textId="77777777" w:rsidR="006909FC" w:rsidRPr="006909FC" w:rsidRDefault="006909FC" w:rsidP="005D6E32">
      <w:pPr>
        <w:spacing w:after="0" w:line="360" w:lineRule="auto"/>
        <w:jc w:val="both"/>
        <w:rPr>
          <w:rFonts w:ascii="Palatino Linotype" w:eastAsia="Palatino Linotype" w:hAnsi="Palatino Linotype" w:cs="Palatino Linotype"/>
          <w:color w:val="FF0000"/>
          <w:lang w:eastAsia="es-MX"/>
        </w:rPr>
      </w:pPr>
    </w:p>
    <w:p w14:paraId="3ED2237B"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 xml:space="preserve">En el presente caso, </w:t>
      </w:r>
      <w:r w:rsidRPr="006909FC">
        <w:rPr>
          <w:rFonts w:ascii="Palatino Linotype" w:eastAsia="Palatino Linotype" w:hAnsi="Palatino Linotype" w:cs="Palatino Linotype"/>
          <w:b/>
          <w:lang w:eastAsia="es-MX"/>
        </w:rPr>
        <w:t>no se actualiza alguna de las causales de improcedencia</w:t>
      </w:r>
      <w:r w:rsidRPr="006909FC">
        <w:rPr>
          <w:rFonts w:ascii="Palatino Linotype" w:eastAsia="Palatino Linotype" w:hAnsi="Palatino Linotype" w:cs="Palatino Linotype"/>
          <w:lang w:eastAsia="es-MX"/>
        </w:rPr>
        <w:t xml:space="preserve">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no se realizó una consulta o ampliación a los alcances del </w:t>
      </w:r>
      <w:r w:rsidRPr="006909FC">
        <w:rPr>
          <w:rFonts w:ascii="Palatino Linotype" w:eastAsia="Palatino Linotype" w:hAnsi="Palatino Linotype" w:cs="Palatino Linotype"/>
          <w:lang w:eastAsia="es-MX"/>
        </w:rPr>
        <w:lastRenderedPageBreak/>
        <w:t>requerimiento informativo, aunado a que el medio de impugnación fue presentado en tiempo.</w:t>
      </w:r>
    </w:p>
    <w:p w14:paraId="1EA8049F"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2EC6008F" w14:textId="361986FE" w:rsidR="006909FC" w:rsidRPr="006909FC" w:rsidRDefault="006909FC" w:rsidP="005D6E32">
      <w:pPr>
        <w:widowControl w:val="0"/>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 xml:space="preserve">Asimismo, se actualiza la causal de procedencia del Recurso de Revisión señalada en el artículo 179, fracción IV, de la Ley en cita, pues el Recurrente se </w:t>
      </w:r>
      <w:r w:rsidR="005D6E32" w:rsidRPr="006909FC">
        <w:rPr>
          <w:rFonts w:ascii="Palatino Linotype" w:eastAsia="Palatino Linotype" w:hAnsi="Palatino Linotype" w:cs="Palatino Linotype"/>
          <w:lang w:eastAsia="es-MX"/>
        </w:rPr>
        <w:t>inconformó con</w:t>
      </w:r>
      <w:r w:rsidRPr="006909FC">
        <w:rPr>
          <w:rFonts w:ascii="Palatino Linotype" w:eastAsia="Palatino Linotype" w:hAnsi="Palatino Linotype" w:cs="Palatino Linotype"/>
          <w:lang w:eastAsia="es-MX"/>
        </w:rPr>
        <w:t xml:space="preserve"> la incompetencia manifestada.</w:t>
      </w:r>
    </w:p>
    <w:p w14:paraId="7D103BA5" w14:textId="77777777" w:rsidR="006909FC" w:rsidRPr="006909FC" w:rsidRDefault="006909FC" w:rsidP="005D6E32">
      <w:pPr>
        <w:widowControl w:val="0"/>
        <w:spacing w:after="0" w:line="360" w:lineRule="auto"/>
        <w:jc w:val="both"/>
        <w:rPr>
          <w:rFonts w:ascii="Palatino Linotype" w:eastAsia="Palatino Linotype" w:hAnsi="Palatino Linotype" w:cs="Palatino Linotype"/>
          <w:lang w:eastAsia="es-MX"/>
        </w:rPr>
      </w:pPr>
    </w:p>
    <w:p w14:paraId="72CD3701"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b/>
          <w:lang w:eastAsia="es-MX"/>
        </w:rPr>
        <w:t>Causales de sobreseimiento</w:t>
      </w:r>
    </w:p>
    <w:p w14:paraId="45C40A30"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0CC7B1C7"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Por ser de previo y especial pronunciamiento, este Instituto analiza si se actualiza alguna causal de sobreseimiento.</w:t>
      </w:r>
    </w:p>
    <w:p w14:paraId="63FBC6B4"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4D02D60F"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00DAE228" w14:textId="77777777" w:rsidR="006909FC" w:rsidRPr="006909FC" w:rsidRDefault="006909FC" w:rsidP="005D6E32">
      <w:pPr>
        <w:spacing w:after="0" w:line="360" w:lineRule="auto"/>
        <w:jc w:val="both"/>
        <w:rPr>
          <w:rFonts w:ascii="Palatino Linotype" w:eastAsia="Palatino Linotype" w:hAnsi="Palatino Linotype" w:cs="Palatino Linotype"/>
          <w:color w:val="FF0000"/>
          <w:lang w:eastAsia="es-MX"/>
        </w:rPr>
      </w:pPr>
    </w:p>
    <w:p w14:paraId="6822D0CD"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Por tales motivos, se considera procedente entrar al fondo del presente asunto.</w:t>
      </w:r>
    </w:p>
    <w:p w14:paraId="1AB13220"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1ADCB8EA" w14:textId="77777777" w:rsidR="006909FC" w:rsidRPr="006909FC" w:rsidRDefault="006909FC" w:rsidP="00F0352C">
      <w:pPr>
        <w:pStyle w:val="Ttulo2"/>
        <w:rPr>
          <w:rFonts w:eastAsia="Palatino Linotype"/>
          <w:lang w:eastAsia="es-MX"/>
        </w:rPr>
      </w:pPr>
      <w:bookmarkStart w:id="10" w:name="_Toc190952134"/>
      <w:r w:rsidRPr="006909FC">
        <w:rPr>
          <w:rFonts w:eastAsia="Palatino Linotype"/>
          <w:lang w:eastAsia="es-MX"/>
        </w:rPr>
        <w:t>TERCERO. Determinación de la Controversia</w:t>
      </w:r>
      <w:bookmarkEnd w:id="10"/>
    </w:p>
    <w:p w14:paraId="20AEA0D5" w14:textId="77777777" w:rsidR="006909FC" w:rsidRPr="006909FC" w:rsidRDefault="006909FC" w:rsidP="005D6E32">
      <w:pPr>
        <w:spacing w:after="0" w:line="360" w:lineRule="auto"/>
        <w:jc w:val="both"/>
        <w:rPr>
          <w:rFonts w:ascii="Palatino Linotype" w:eastAsia="Palatino Linotype" w:hAnsi="Palatino Linotype" w:cs="Palatino Linotype"/>
          <w:b/>
          <w:color w:val="FF0000"/>
          <w:lang w:eastAsia="es-MX"/>
        </w:rPr>
      </w:pPr>
    </w:p>
    <w:p w14:paraId="665CCB37" w14:textId="77777777" w:rsidR="006909FC" w:rsidRDefault="006909FC" w:rsidP="005D6E32">
      <w:pPr>
        <w:spacing w:after="0" w:line="360" w:lineRule="auto"/>
        <w:ind w:right="-28"/>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lastRenderedPageBreak/>
        <w:t>Con el objetivo de ilustrar la controversia planteada, resulta conveniente precisar, que una vez realizado el estudio de las constancias que integran el expediente en el que se actúa, se desprende que el Particular requirió</w:t>
      </w:r>
      <w:bookmarkStart w:id="11" w:name="_Hlk158642445"/>
      <w:r w:rsidRPr="006909FC">
        <w:rPr>
          <w:rFonts w:ascii="Palatino Linotype" w:eastAsia="Palatino Linotype" w:hAnsi="Palatino Linotype" w:cs="Palatino Linotype"/>
          <w:lang w:eastAsia="es-MX"/>
        </w:rPr>
        <w:t xml:space="preserve">, </w:t>
      </w:r>
      <w:r w:rsidR="00301FF4">
        <w:rPr>
          <w:rFonts w:ascii="Palatino Linotype" w:eastAsia="Palatino Linotype" w:hAnsi="Palatino Linotype" w:cs="Palatino Linotype"/>
          <w:lang w:eastAsia="es-MX"/>
        </w:rPr>
        <w:t>el programa y estudios para implementar el “Hoy no Circula” en Toluca.</w:t>
      </w:r>
    </w:p>
    <w:p w14:paraId="10ECF3E5" w14:textId="77777777" w:rsidR="00301FF4" w:rsidRPr="006909FC" w:rsidRDefault="00301FF4" w:rsidP="005D6E32">
      <w:pPr>
        <w:spacing w:after="0" w:line="360" w:lineRule="auto"/>
        <w:ind w:right="-28"/>
        <w:jc w:val="both"/>
        <w:rPr>
          <w:rFonts w:ascii="Palatino Linotype" w:eastAsia="Palatino Linotype" w:hAnsi="Palatino Linotype" w:cs="Palatino Linotype"/>
          <w:lang w:eastAsia="es-MX"/>
        </w:rPr>
      </w:pPr>
    </w:p>
    <w:bookmarkEnd w:id="11"/>
    <w:p w14:paraId="6D5555C8" w14:textId="58731384"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 xml:space="preserve">En respuesta, </w:t>
      </w:r>
      <w:r w:rsidR="005D6E32">
        <w:rPr>
          <w:rFonts w:ascii="Palatino Linotype" w:eastAsia="Palatino Linotype" w:hAnsi="Palatino Linotype" w:cs="Palatino Linotype"/>
          <w:lang w:eastAsia="es-MX"/>
        </w:rPr>
        <w:t>el</w:t>
      </w:r>
      <w:r w:rsidR="00301FF4" w:rsidRPr="00F639D0">
        <w:rPr>
          <w:rFonts w:ascii="Palatino Linotype" w:eastAsia="Palatino Linotype" w:hAnsi="Palatino Linotype" w:cs="Palatino Linotype"/>
          <w:lang w:eastAsia="es-MX"/>
        </w:rPr>
        <w:t xml:space="preserve"> Ayuntamiento de Toluca</w:t>
      </w:r>
      <w:r w:rsidR="005D6E32">
        <w:rPr>
          <w:rFonts w:ascii="Palatino Linotype" w:eastAsia="Palatino Linotype" w:hAnsi="Palatino Linotype" w:cs="Palatino Linotype"/>
          <w:lang w:eastAsia="es-MX"/>
        </w:rPr>
        <w:t xml:space="preserve"> se declaró incompetente para conocer de la información solicitada, toda vez que la Secretaría de</w:t>
      </w:r>
      <w:r w:rsidR="00301FF4" w:rsidRPr="00F639D0">
        <w:rPr>
          <w:rFonts w:ascii="Palatino Linotype" w:eastAsia="Palatino Linotype" w:hAnsi="Palatino Linotype" w:cs="Palatino Linotype"/>
          <w:lang w:eastAsia="es-MX"/>
        </w:rPr>
        <w:t>l Medio Ambiente y Desarrollo Sostenible del Gobierno del Estado de México</w:t>
      </w:r>
      <w:r w:rsidR="005D6E32">
        <w:rPr>
          <w:rFonts w:ascii="Palatino Linotype" w:eastAsia="Palatino Linotype" w:hAnsi="Palatino Linotype" w:cs="Palatino Linotype"/>
          <w:lang w:eastAsia="es-MX"/>
        </w:rPr>
        <w:t>, era la que tenía atribuciones</w:t>
      </w:r>
      <w:r w:rsidRPr="006909FC">
        <w:rPr>
          <w:rFonts w:ascii="Palatino Linotype" w:eastAsia="Palatino Linotype" w:hAnsi="Palatino Linotype" w:cs="Palatino Linotype"/>
          <w:lang w:eastAsia="es-MX"/>
        </w:rPr>
        <w:t xml:space="preserve">; ante dicha situación, la parte Recurrente se inconformó de la declaración de incompetencia por el Sujeto Obligado, lo cual actualiza los supuestos previstos en los artículos 179, fracción IV, de la Ley de Transparencia y Acceso a la Información Pública del Estado de México y Municipios. Así las cosas, una vez admitido y notificado el Recurso de Revisión, </w:t>
      </w:r>
      <w:r w:rsidR="00301FF4" w:rsidRPr="00F639D0">
        <w:rPr>
          <w:rFonts w:ascii="Palatino Linotype" w:eastAsia="Palatino Linotype" w:hAnsi="Palatino Linotype" w:cs="Palatino Linotype"/>
          <w:lang w:eastAsia="es-MX"/>
        </w:rPr>
        <w:t xml:space="preserve">las partes </w:t>
      </w:r>
      <w:r w:rsidR="009F3DED">
        <w:rPr>
          <w:rFonts w:ascii="Palatino Linotype" w:eastAsia="Palatino Linotype" w:hAnsi="Palatino Linotype" w:cs="Palatino Linotype"/>
          <w:lang w:eastAsia="es-MX"/>
        </w:rPr>
        <w:t xml:space="preserve">el Sujeto Obligado </w:t>
      </w:r>
      <w:r w:rsidR="005D6E32">
        <w:rPr>
          <w:rFonts w:ascii="Palatino Linotype" w:eastAsia="Palatino Linotype" w:hAnsi="Palatino Linotype" w:cs="Palatino Linotype"/>
          <w:lang w:eastAsia="es-MX"/>
        </w:rPr>
        <w:t>remitió su</w:t>
      </w:r>
      <w:r w:rsidR="009F3DED">
        <w:rPr>
          <w:rFonts w:ascii="Palatino Linotype" w:eastAsia="Palatino Linotype" w:hAnsi="Palatino Linotype" w:cs="Palatino Linotype"/>
          <w:lang w:eastAsia="es-MX"/>
        </w:rPr>
        <w:t xml:space="preserve"> informe justificado por medio del cual ratifico su respuesta.</w:t>
      </w:r>
    </w:p>
    <w:p w14:paraId="7DC8BF55" w14:textId="77777777" w:rsidR="006909FC" w:rsidRPr="006909FC" w:rsidRDefault="006909FC" w:rsidP="005D6E32">
      <w:pPr>
        <w:spacing w:after="0" w:line="360" w:lineRule="auto"/>
        <w:jc w:val="both"/>
        <w:rPr>
          <w:rFonts w:ascii="Palatino Linotype" w:eastAsia="Palatino Linotype" w:hAnsi="Palatino Linotype" w:cs="Palatino Linotype"/>
          <w:color w:val="FF0000"/>
          <w:lang w:eastAsia="es-MX"/>
        </w:rPr>
      </w:pPr>
    </w:p>
    <w:p w14:paraId="19610C74"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 xml:space="preserve">Lo anterior, se desprende de las documentales que obran en el expediente de referencia, materia de la presente resolución, consistentes en: la solicitud de acceso a la información; la respuesta proporcionada por el Sujeto Obligado y 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14:paraId="3B277942"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7463BEE0" w14:textId="77777777" w:rsidR="006909FC" w:rsidRPr="006909FC" w:rsidRDefault="006909FC" w:rsidP="00F0352C">
      <w:pPr>
        <w:pStyle w:val="Ttulo2"/>
        <w:rPr>
          <w:rFonts w:eastAsia="Palatino Linotype"/>
          <w:lang w:eastAsia="es-MX"/>
        </w:rPr>
      </w:pPr>
      <w:bookmarkStart w:id="12" w:name="_Toc190952135"/>
      <w:r w:rsidRPr="006909FC">
        <w:rPr>
          <w:rFonts w:eastAsia="Palatino Linotype"/>
          <w:lang w:eastAsia="es-MX"/>
        </w:rPr>
        <w:t xml:space="preserve">CUARTO. Marco normativo aplicable en materia de transparencia y </w:t>
      </w:r>
      <w:r w:rsidR="00F639D0" w:rsidRPr="00F639D0">
        <w:rPr>
          <w:rFonts w:eastAsia="Palatino Linotype"/>
          <w:lang w:eastAsia="es-MX"/>
        </w:rPr>
        <w:t>acceso a la información pública</w:t>
      </w:r>
      <w:bookmarkEnd w:id="12"/>
    </w:p>
    <w:p w14:paraId="319E98C7" w14:textId="77777777" w:rsidR="006909FC" w:rsidRPr="006909FC" w:rsidRDefault="006909FC" w:rsidP="005D6E32">
      <w:pPr>
        <w:spacing w:after="0" w:line="360" w:lineRule="auto"/>
        <w:jc w:val="both"/>
        <w:rPr>
          <w:rFonts w:ascii="Palatino Linotype" w:eastAsia="Palatino Linotype" w:hAnsi="Palatino Linotype" w:cs="Palatino Linotype"/>
          <w:b/>
          <w:color w:val="FF0000"/>
          <w:lang w:eastAsia="es-MX"/>
        </w:rPr>
      </w:pPr>
    </w:p>
    <w:p w14:paraId="2C57D872"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1175233"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36B93EA0"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14:paraId="7BA460A1"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6C1BFEE4"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90E5B28"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06CBB76C" w14:textId="77777777" w:rsid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Por su parte, la Ley de Transparencia y Acceso a la Información Pública del Estado de México y Municipios (Reglamentaria del artículo 5° de la Constitución Local), establece lo siguiente:</w:t>
      </w:r>
    </w:p>
    <w:p w14:paraId="2CD73E4B" w14:textId="77777777" w:rsidR="00241024" w:rsidRPr="006909FC" w:rsidRDefault="00241024" w:rsidP="005D6E32">
      <w:pPr>
        <w:spacing w:after="0" w:line="360" w:lineRule="auto"/>
        <w:jc w:val="both"/>
        <w:rPr>
          <w:rFonts w:ascii="Palatino Linotype" w:eastAsia="Palatino Linotype" w:hAnsi="Palatino Linotype" w:cs="Palatino Linotype"/>
          <w:lang w:eastAsia="es-MX"/>
        </w:rPr>
      </w:pPr>
    </w:p>
    <w:p w14:paraId="50484BF4"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El artículo 12, que, quienes generen, recopilen, administren, manejen, procesen, archiven o conserven información pública serán responsables de la misma.</w:t>
      </w:r>
    </w:p>
    <w:p w14:paraId="00969F72"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p>
    <w:p w14:paraId="2D6F76B0"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2829001A" w14:textId="77777777" w:rsidR="006909FC" w:rsidRDefault="006909FC" w:rsidP="005D6E32">
      <w:pPr>
        <w:spacing w:after="0" w:line="360" w:lineRule="auto"/>
        <w:jc w:val="both"/>
        <w:rPr>
          <w:rFonts w:ascii="Palatino Linotype" w:eastAsia="Palatino Linotype" w:hAnsi="Palatino Linotype" w:cs="Palatino Linotype"/>
          <w:lang w:eastAsia="es-MX"/>
        </w:rPr>
      </w:pPr>
    </w:p>
    <w:p w14:paraId="23F18150" w14:textId="77777777" w:rsidR="00AE31C5" w:rsidRPr="006909FC" w:rsidRDefault="00AE31C5" w:rsidP="005D6E32">
      <w:pPr>
        <w:spacing w:after="0" w:line="360" w:lineRule="auto"/>
        <w:jc w:val="both"/>
        <w:rPr>
          <w:rFonts w:ascii="Palatino Linotype" w:eastAsia="Palatino Linotype" w:hAnsi="Palatino Linotype" w:cs="Palatino Linotype"/>
          <w:lang w:eastAsia="es-MX"/>
        </w:rPr>
      </w:pPr>
    </w:p>
    <w:p w14:paraId="47F5B355" w14:textId="77777777" w:rsidR="006909FC" w:rsidRPr="006909FC" w:rsidRDefault="006909FC" w:rsidP="005D6E32">
      <w:pPr>
        <w:spacing w:after="0" w:line="360" w:lineRule="auto"/>
        <w:jc w:val="both"/>
        <w:rPr>
          <w:rFonts w:ascii="Palatino Linotype" w:eastAsia="Palatino Linotype" w:hAnsi="Palatino Linotype" w:cs="Palatino Linotype"/>
          <w:lang w:eastAsia="es-MX"/>
        </w:rPr>
      </w:pPr>
      <w:r w:rsidRPr="006909FC">
        <w:rPr>
          <w:rFonts w:ascii="Palatino Linotype" w:eastAsia="Palatino Linotype" w:hAnsi="Palatino Linotype" w:cs="Palatino Linotype"/>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7EDA9D2" w14:textId="77777777" w:rsidR="006909FC" w:rsidRPr="006909FC" w:rsidRDefault="006909FC" w:rsidP="005D6E32">
      <w:pPr>
        <w:spacing w:after="0" w:line="360" w:lineRule="auto"/>
        <w:jc w:val="both"/>
        <w:rPr>
          <w:rFonts w:ascii="Palatino Linotype" w:eastAsia="Palatino Linotype" w:hAnsi="Palatino Linotype" w:cs="Palatino Linotype"/>
          <w:color w:val="FF0000"/>
          <w:lang w:eastAsia="es-MX"/>
        </w:rPr>
      </w:pPr>
    </w:p>
    <w:p w14:paraId="3398A8AB" w14:textId="77777777" w:rsidR="006909FC" w:rsidRPr="006909FC" w:rsidRDefault="006909FC" w:rsidP="00F0352C">
      <w:pPr>
        <w:pStyle w:val="Ttulo2"/>
        <w:rPr>
          <w:rFonts w:eastAsia="Palatino Linotype"/>
          <w:lang w:eastAsia="es-MX"/>
        </w:rPr>
      </w:pPr>
      <w:bookmarkStart w:id="13" w:name="_Toc190952136"/>
      <w:r w:rsidRPr="006909FC">
        <w:rPr>
          <w:rFonts w:eastAsia="Palatino Linotype"/>
          <w:lang w:eastAsia="es-MX"/>
        </w:rPr>
        <w:t>QUINTO. Estudio de Fondo</w:t>
      </w:r>
      <w:bookmarkEnd w:id="13"/>
    </w:p>
    <w:p w14:paraId="028B77A0" w14:textId="77777777" w:rsidR="006909FC" w:rsidRPr="006909FC" w:rsidRDefault="006909FC" w:rsidP="005D6E32">
      <w:pPr>
        <w:spacing w:after="0" w:line="360" w:lineRule="auto"/>
        <w:jc w:val="both"/>
        <w:rPr>
          <w:rFonts w:ascii="Palatino Linotype" w:eastAsia="Palatino Linotype" w:hAnsi="Palatino Linotype" w:cs="Palatino Linotype"/>
          <w:color w:val="FF0000"/>
          <w:lang w:eastAsia="es-MX"/>
        </w:rPr>
      </w:pPr>
    </w:p>
    <w:p w14:paraId="71494831" w14:textId="7B87C8C4" w:rsidR="005D2CE9" w:rsidRPr="00487984" w:rsidRDefault="006909FC" w:rsidP="005D2CE9">
      <w:pPr>
        <w:spacing w:after="0" w:line="360" w:lineRule="auto"/>
        <w:jc w:val="both"/>
        <w:rPr>
          <w:rFonts w:ascii="Palatino Linotype" w:eastAsia="Palatino Linotype" w:hAnsi="Palatino Linotype" w:cs="Palatino Linotype"/>
          <w:lang w:eastAsia="es-MX"/>
        </w:rPr>
      </w:pPr>
      <w:r w:rsidRPr="00DA6790">
        <w:rPr>
          <w:rFonts w:ascii="Palatino Linotype" w:eastAsia="Palatino Linotype" w:hAnsi="Palatino Linotype" w:cs="Palatino Linotype"/>
          <w:lang w:eastAsia="es-MX"/>
        </w:rPr>
        <w:t>Expuestas las posturas de las partes, se procede al análisis del agravio hecho valer por el ahora Recurrente</w:t>
      </w:r>
      <w:r w:rsidR="005D2CE9">
        <w:rPr>
          <w:rFonts w:ascii="Palatino Linotype" w:eastAsia="Palatino Linotype" w:hAnsi="Palatino Linotype" w:cs="Palatino Linotype"/>
          <w:lang w:eastAsia="es-MX"/>
        </w:rPr>
        <w:t xml:space="preserve">; para lo cual, </w:t>
      </w:r>
      <w:r w:rsidR="005D2CE9" w:rsidRPr="00487984">
        <w:rPr>
          <w:rFonts w:ascii="Palatino Linotype" w:eastAsia="Palatino Linotype" w:hAnsi="Palatino Linotype" w:cs="Palatino Linotype"/>
          <w:lang w:eastAsia="es-MX"/>
        </w:rPr>
        <w:t>tanto en respuesta</w:t>
      </w:r>
      <w:r w:rsidR="005D2CE9">
        <w:rPr>
          <w:rFonts w:ascii="Palatino Linotype" w:eastAsia="Palatino Linotype" w:hAnsi="Palatino Linotype" w:cs="Palatino Linotype"/>
          <w:lang w:eastAsia="es-MX"/>
        </w:rPr>
        <w:t>, como en Informe Justificado</w:t>
      </w:r>
      <w:r w:rsidR="005D2CE9" w:rsidRPr="00487984">
        <w:rPr>
          <w:rFonts w:ascii="Palatino Linotype" w:eastAsia="Palatino Linotype" w:hAnsi="Palatino Linotype" w:cs="Palatino Linotype"/>
          <w:lang w:eastAsia="es-MX"/>
        </w:rPr>
        <w:t xml:space="preserve">, el Sujeto Obligado precisó que era incompetente para conocer de la solicitud de información, al señalar que la Secretaría del Medio Ambiente y Desarrollo Sostenible podía conocer de la información; al respecto, los artículos 49, fracción II, 53, fracción III y 167 de la Ley de Transparencia y Acceso a la Información Pública del Estado de México, se desprende que las Unidades de Transparencia son responsables de orientar a los particulares respecto de la dependencia, entidad u órgano que pudiera tener la información requerida, </w:t>
      </w:r>
      <w:r w:rsidR="005D2CE9" w:rsidRPr="00487984">
        <w:rPr>
          <w:rFonts w:ascii="Palatino Linotype" w:eastAsia="Palatino Linotype" w:hAnsi="Palatino Linotype" w:cs="Palatino Linotype"/>
          <w:b/>
          <w:bCs/>
          <w:lang w:eastAsia="es-MX"/>
        </w:rPr>
        <w:t>cuando la misma no sea competencia del sujeto obligado ante el cual se formule la solicitud de acceso.</w:t>
      </w:r>
    </w:p>
    <w:p w14:paraId="23637D4F" w14:textId="77777777" w:rsidR="005D2CE9" w:rsidRPr="006909FC" w:rsidRDefault="005D2CE9" w:rsidP="005D2CE9">
      <w:pPr>
        <w:spacing w:after="0" w:line="360" w:lineRule="auto"/>
        <w:ind w:right="-28"/>
        <w:jc w:val="both"/>
        <w:rPr>
          <w:rFonts w:ascii="Palatino Linotype" w:eastAsia="Palatino Linotype" w:hAnsi="Palatino Linotype" w:cs="Palatino Linotype"/>
          <w:color w:val="FF0000"/>
          <w:lang w:eastAsia="es-MX"/>
        </w:rPr>
      </w:pPr>
    </w:p>
    <w:p w14:paraId="3ACAFCC4" w14:textId="77777777" w:rsidR="005D2CE9" w:rsidRDefault="005D2CE9" w:rsidP="005D2CE9">
      <w:pPr>
        <w:widowControl w:val="0"/>
        <w:spacing w:after="0" w:line="360" w:lineRule="auto"/>
        <w:jc w:val="both"/>
        <w:rPr>
          <w:rFonts w:ascii="Palatino Linotype" w:eastAsia="Palatino Linotype" w:hAnsi="Palatino Linotype" w:cs="Palatino Linotype"/>
          <w:lang w:eastAsia="es-MX"/>
        </w:rPr>
      </w:pPr>
      <w:r w:rsidRPr="00487984">
        <w:rPr>
          <w:rFonts w:ascii="Palatino Linotype" w:eastAsia="Palatino Linotype" w:hAnsi="Palatino Linotype" w:cs="Palatino Linotype"/>
          <w:lang w:eastAsia="es-MX"/>
        </w:rPr>
        <w:t>Como se logra observar, si bien la Ley de la materia, prevé el supuesto de incompetencia para que los sujetos obligados den atención a solitudes de información, también lo es, que no se precisa en que consiste dicho concepto; al respecto, Cabanellas, Guillermo (1993), en el “Diccionario Jurídico Elemental” (p. 32 y 161), precisó los siguientes conceptos:</w:t>
      </w:r>
    </w:p>
    <w:p w14:paraId="184FC678" w14:textId="77777777" w:rsidR="005D2CE9" w:rsidRPr="00487984" w:rsidRDefault="005D2CE9" w:rsidP="005D2CE9">
      <w:pPr>
        <w:widowControl w:val="0"/>
        <w:spacing w:after="0" w:line="360" w:lineRule="auto"/>
        <w:jc w:val="both"/>
        <w:rPr>
          <w:rFonts w:ascii="Palatino Linotype" w:eastAsia="Palatino Linotype" w:hAnsi="Palatino Linotype" w:cs="Palatino Linotype"/>
          <w:lang w:eastAsia="es-MX"/>
        </w:rPr>
      </w:pPr>
    </w:p>
    <w:p w14:paraId="477DA636" w14:textId="77777777" w:rsidR="005D2CE9" w:rsidRDefault="005D2CE9" w:rsidP="005D2CE9">
      <w:pPr>
        <w:widowControl w:val="0"/>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lang w:eastAsia="es-MX"/>
        </w:rPr>
      </w:pPr>
      <w:r w:rsidRPr="00487984">
        <w:rPr>
          <w:rFonts w:ascii="Palatino Linotype" w:eastAsia="Palatino Linotype" w:hAnsi="Palatino Linotype" w:cs="Palatino Linotype"/>
          <w:b/>
          <w:lang w:eastAsia="es-MX"/>
        </w:rPr>
        <w:t>Competencia:</w:t>
      </w:r>
      <w:r w:rsidRPr="00487984">
        <w:rPr>
          <w:rFonts w:ascii="Palatino Linotype" w:eastAsia="Palatino Linotype" w:hAnsi="Palatino Linotype" w:cs="Palatino Linotype"/>
          <w:lang w:eastAsia="es-MX"/>
        </w:rPr>
        <w:t xml:space="preserve"> La capacidad de una autoridad para conocer sobre una materia o asunto.</w:t>
      </w:r>
    </w:p>
    <w:p w14:paraId="7EC6B86A" w14:textId="77777777" w:rsidR="006F56F6" w:rsidRPr="00487984" w:rsidRDefault="006F56F6" w:rsidP="006F56F6">
      <w:pPr>
        <w:widowControl w:val="0"/>
        <w:pBdr>
          <w:top w:val="nil"/>
          <w:left w:val="nil"/>
          <w:bottom w:val="nil"/>
          <w:right w:val="nil"/>
          <w:between w:val="nil"/>
        </w:pBdr>
        <w:spacing w:after="0" w:line="360" w:lineRule="auto"/>
        <w:ind w:left="720"/>
        <w:jc w:val="both"/>
        <w:rPr>
          <w:rFonts w:ascii="Palatino Linotype" w:eastAsia="Palatino Linotype" w:hAnsi="Palatino Linotype" w:cs="Palatino Linotype"/>
          <w:lang w:eastAsia="es-MX"/>
        </w:rPr>
      </w:pPr>
    </w:p>
    <w:p w14:paraId="3A5E3D6F" w14:textId="77777777" w:rsidR="005D2CE9" w:rsidRPr="00487984" w:rsidRDefault="005D2CE9" w:rsidP="005D2CE9">
      <w:pPr>
        <w:widowControl w:val="0"/>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lang w:eastAsia="es-MX"/>
        </w:rPr>
      </w:pPr>
      <w:r w:rsidRPr="00487984">
        <w:rPr>
          <w:rFonts w:ascii="Palatino Linotype" w:eastAsia="Palatino Linotype" w:hAnsi="Palatino Linotype" w:cs="Palatino Linotype"/>
          <w:b/>
          <w:lang w:eastAsia="es-MX"/>
        </w:rPr>
        <w:t>Incompetencia:</w:t>
      </w:r>
      <w:r w:rsidRPr="00487984">
        <w:rPr>
          <w:rFonts w:ascii="Palatino Linotype" w:eastAsia="Palatino Linotype" w:hAnsi="Palatino Linotype" w:cs="Palatino Linotype"/>
          <w:lang w:eastAsia="es-MX"/>
        </w:rPr>
        <w:t xml:space="preserve"> Falta de Competencia.</w:t>
      </w:r>
    </w:p>
    <w:p w14:paraId="4C67A0AB" w14:textId="77777777" w:rsidR="005D2CE9" w:rsidRPr="00487984" w:rsidRDefault="005D2CE9" w:rsidP="005D2CE9">
      <w:pPr>
        <w:widowControl w:val="0"/>
        <w:spacing w:after="0" w:line="360" w:lineRule="auto"/>
        <w:jc w:val="both"/>
        <w:rPr>
          <w:rFonts w:ascii="Palatino Linotype" w:eastAsia="Palatino Linotype" w:hAnsi="Palatino Linotype" w:cs="Palatino Linotype"/>
          <w:lang w:eastAsia="es-MX"/>
        </w:rPr>
      </w:pPr>
    </w:p>
    <w:p w14:paraId="3E8B95B1" w14:textId="77777777" w:rsidR="005D2CE9" w:rsidRPr="00487984" w:rsidRDefault="005D2CE9" w:rsidP="005D2CE9">
      <w:pPr>
        <w:widowControl w:val="0"/>
        <w:spacing w:after="0" w:line="360" w:lineRule="auto"/>
        <w:jc w:val="both"/>
        <w:rPr>
          <w:rFonts w:ascii="Palatino Linotype" w:eastAsia="Palatino Linotype" w:hAnsi="Palatino Linotype" w:cs="Palatino Linotype"/>
          <w:lang w:eastAsia="es-MX"/>
        </w:rPr>
      </w:pPr>
      <w:r w:rsidRPr="00487984">
        <w:rPr>
          <w:rFonts w:ascii="Palatino Linotype" w:eastAsia="Palatino Linotype" w:hAnsi="Palatino Linotype" w:cs="Palatino Linotype"/>
          <w:lang w:eastAsia="es-MX"/>
        </w:rPr>
        <w:t>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w:t>
      </w:r>
    </w:p>
    <w:p w14:paraId="0BFA6B6A" w14:textId="77777777" w:rsidR="005D2CE9" w:rsidRPr="00487984" w:rsidRDefault="005D2CE9" w:rsidP="005D2CE9">
      <w:pPr>
        <w:widowControl w:val="0"/>
        <w:spacing w:after="0" w:line="360" w:lineRule="auto"/>
        <w:jc w:val="both"/>
        <w:rPr>
          <w:rFonts w:ascii="Palatino Linotype" w:eastAsia="Palatino Linotype" w:hAnsi="Palatino Linotype" w:cs="Palatino Linotype"/>
          <w:lang w:eastAsia="es-MX"/>
        </w:rPr>
      </w:pPr>
    </w:p>
    <w:p w14:paraId="20F77942" w14:textId="77777777" w:rsidR="005D2CE9" w:rsidRPr="00487984" w:rsidRDefault="005D2CE9" w:rsidP="005D2CE9">
      <w:pPr>
        <w:spacing w:after="0" w:line="360" w:lineRule="auto"/>
        <w:ind w:left="567" w:right="567"/>
        <w:jc w:val="both"/>
        <w:rPr>
          <w:rFonts w:ascii="Palatino Linotype" w:eastAsia="Palatino Linotype" w:hAnsi="Palatino Linotype" w:cs="Palatino Linotype"/>
          <w:i/>
          <w:sz w:val="20"/>
          <w:szCs w:val="20"/>
          <w:lang w:eastAsia="es-MX"/>
        </w:rPr>
      </w:pPr>
      <w:r w:rsidRPr="00487984">
        <w:rPr>
          <w:rFonts w:ascii="Palatino Linotype" w:eastAsia="Palatino Linotype" w:hAnsi="Palatino Linotype" w:cs="Palatino Linotype"/>
          <w:b/>
          <w:i/>
          <w:sz w:val="20"/>
          <w:szCs w:val="20"/>
          <w:lang w:eastAsia="es-MX"/>
        </w:rPr>
        <w:t>LEGITIMACIÓN DE FUNCIONARIOS PÚBLICOS. LOS TRIBUNALES DE AMPARO, POR ESTAR VINCULADOS CON EL CONCEPTO DE COMPETENCIA A QUE SE REFIERE EL ARTÍCULO 16 CONSTITUCIONAL, NO PUEDEN CONOCER DE AQUÉLLA</w:t>
      </w:r>
      <w:r w:rsidRPr="00487984">
        <w:rPr>
          <w:rFonts w:ascii="Palatino Linotype" w:eastAsia="Palatino Linotype" w:hAnsi="Palatino Linotype" w:cs="Palatino Linotype"/>
          <w:i/>
          <w:sz w:val="20"/>
          <w:szCs w:val="20"/>
          <w:lang w:eastAsia="es-MX"/>
        </w:rPr>
        <w:t>.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50F391D9" w14:textId="77777777" w:rsidR="005D2CE9" w:rsidRPr="006909FC" w:rsidRDefault="005D2CE9" w:rsidP="005D2CE9">
      <w:pPr>
        <w:widowControl w:val="0"/>
        <w:spacing w:after="0" w:line="360" w:lineRule="auto"/>
        <w:jc w:val="both"/>
        <w:rPr>
          <w:rFonts w:ascii="Palatino Linotype" w:eastAsia="Palatino Linotype" w:hAnsi="Palatino Linotype" w:cs="Palatino Linotype"/>
          <w:color w:val="FF0000"/>
          <w:lang w:eastAsia="es-MX"/>
        </w:rPr>
      </w:pPr>
    </w:p>
    <w:p w14:paraId="2B2F0681" w14:textId="77777777" w:rsidR="005D2CE9" w:rsidRPr="00487984" w:rsidRDefault="005D2CE9" w:rsidP="005D2CE9">
      <w:pPr>
        <w:widowControl w:val="0"/>
        <w:spacing w:after="0" w:line="360" w:lineRule="auto"/>
        <w:jc w:val="both"/>
        <w:rPr>
          <w:rFonts w:ascii="Palatino Linotype" w:eastAsia="Palatino Linotype" w:hAnsi="Palatino Linotype" w:cs="Palatino Linotype"/>
          <w:lang w:eastAsia="es-MX"/>
        </w:rPr>
      </w:pPr>
      <w:r w:rsidRPr="00487984">
        <w:rPr>
          <w:rFonts w:ascii="Palatino Linotype" w:eastAsia="Palatino Linotype" w:hAnsi="Palatino Linotype" w:cs="Palatino Linotype"/>
          <w:lang w:eastAsia="es-MX"/>
        </w:rPr>
        <w:t xml:space="preserve">De la misma manera, resulta necesario traer a colación, el Criterio de Interpretación, de la Segunda Época, con número de registro SO/013/2017, emitido por el Instituto Nacional de Transparencia, Acceso a la Información y Protección de Datos Personales, </w:t>
      </w:r>
      <w:r>
        <w:rPr>
          <w:rFonts w:ascii="Palatino Linotype" w:eastAsia="Palatino Linotype" w:hAnsi="Palatino Linotype" w:cs="Palatino Linotype"/>
          <w:lang w:eastAsia="es-MX"/>
        </w:rPr>
        <w:t xml:space="preserve">el cual establece que </w:t>
      </w:r>
      <w:r w:rsidRPr="00487984">
        <w:rPr>
          <w:rFonts w:ascii="Palatino Linotype" w:eastAsia="Palatino Linotype" w:hAnsi="Palatino Linotype" w:cs="Palatino Linotype"/>
          <w:b/>
          <w:bCs/>
          <w:lang w:eastAsia="es-MX"/>
        </w:rPr>
        <w:t>la incompetencia implica</w:t>
      </w:r>
      <w:r w:rsidRPr="00487984">
        <w:rPr>
          <w:rFonts w:ascii="Palatino Linotype" w:eastAsia="Palatino Linotype" w:hAnsi="Palatino Linotype" w:cs="Palatino Linotype"/>
          <w:lang w:eastAsia="es-MX"/>
        </w:rPr>
        <w:t xml:space="preserve"> que, de conformidad con las atribuciones conferidas al Sujeto Obligado, no habría razón por la cual éste deba contar con la información solicitada, en cuyo caso, tendría que orientar al particular para que acuda a la instancia competente. En otro </w:t>
      </w:r>
      <w:r w:rsidRPr="00487984">
        <w:rPr>
          <w:rFonts w:ascii="Palatino Linotype" w:eastAsia="Palatino Linotype" w:hAnsi="Palatino Linotype" w:cs="Palatino Linotype"/>
          <w:lang w:eastAsia="es-MX"/>
        </w:rPr>
        <w:lastRenderedPageBreak/>
        <w:t>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46194014" w14:textId="77777777" w:rsidR="005D2CE9" w:rsidRPr="006909FC" w:rsidRDefault="005D2CE9" w:rsidP="005D2CE9">
      <w:pPr>
        <w:widowControl w:val="0"/>
        <w:spacing w:after="0" w:line="360" w:lineRule="auto"/>
        <w:jc w:val="both"/>
        <w:rPr>
          <w:rFonts w:ascii="Palatino Linotype" w:eastAsia="Palatino Linotype" w:hAnsi="Palatino Linotype" w:cs="Palatino Linotype"/>
          <w:color w:val="FF0000"/>
          <w:lang w:eastAsia="es-MX"/>
        </w:rPr>
      </w:pPr>
    </w:p>
    <w:p w14:paraId="0789F90C" w14:textId="35892546" w:rsidR="005D2CE9" w:rsidRPr="005D2CE9" w:rsidRDefault="005D2CE9" w:rsidP="005D2CE9">
      <w:pPr>
        <w:spacing w:after="0" w:line="360" w:lineRule="auto"/>
        <w:jc w:val="both"/>
        <w:rPr>
          <w:rFonts w:ascii="Palatino Linotype" w:eastAsia="Calibri" w:hAnsi="Palatino Linotype" w:cs="Times New Roman"/>
          <w:bCs/>
          <w:color w:val="000000"/>
          <w:lang w:eastAsia="es-MX"/>
        </w:rPr>
      </w:pPr>
      <w:r w:rsidRPr="00487984">
        <w:rPr>
          <w:rFonts w:ascii="Palatino Linotype" w:eastAsia="Palatino Linotype" w:hAnsi="Palatino Linotype" w:cs="Palatino Linotype"/>
          <w:lang w:eastAsia="es-MX"/>
        </w:rPr>
        <w:t>Por tanto, a continuación, se analiza si en la especie, el Ente Recurrido cuenta con atribuciones para conocer sobre la información requerida</w:t>
      </w:r>
      <w:r>
        <w:rPr>
          <w:rFonts w:ascii="Palatino Linotype" w:eastAsia="Palatino Linotype" w:hAnsi="Palatino Linotype" w:cs="Palatino Linotype"/>
          <w:lang w:eastAsia="es-MX"/>
        </w:rPr>
        <w:t xml:space="preserve">; para lo cual, </w:t>
      </w:r>
      <w:r w:rsidRPr="005D2CE9">
        <w:rPr>
          <w:rFonts w:ascii="Palatino Linotype" w:eastAsia="Calibri" w:hAnsi="Palatino Linotype" w:cs="Times New Roman"/>
          <w:bCs/>
          <w:color w:val="000000"/>
          <w:lang w:eastAsia="es-MX"/>
        </w:rPr>
        <w:t>el artículo 115 de la Constitución Política de los Estados Unidos Mexicanos, con relación al 122 de la Constitución Política del Estado Libre y Soberano de México, que precisan que los Estados adoptarán, para su régimen interior, la forma de gobierno republicano, representativo, democrático, laico y popular, teniendo como base de su división territorial y de su organización política y administrativa, el municipio libre, encargado de realizar las funciones y servicios públicos siguientes:</w:t>
      </w:r>
    </w:p>
    <w:p w14:paraId="5323EC11" w14:textId="77777777" w:rsidR="005D2CE9" w:rsidRPr="005D2CE9" w:rsidRDefault="005D2CE9" w:rsidP="005D2CE9">
      <w:pPr>
        <w:spacing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bCs/>
          <w:color w:val="000000"/>
          <w:lang w:eastAsia="es-MX"/>
        </w:rPr>
        <w:t xml:space="preserve"> </w:t>
      </w:r>
    </w:p>
    <w:p w14:paraId="2424368C" w14:textId="77777777" w:rsidR="005D2CE9" w:rsidRPr="00F0352C" w:rsidRDefault="005D2CE9" w:rsidP="005D2CE9">
      <w:pPr>
        <w:numPr>
          <w:ilvl w:val="0"/>
          <w:numId w:val="16"/>
        </w:numPr>
        <w:spacing w:before="100" w:beforeAutospacing="1" w:after="0" w:line="360" w:lineRule="auto"/>
        <w:contextualSpacing/>
        <w:jc w:val="both"/>
        <w:rPr>
          <w:rFonts w:ascii="Palatino Linotype" w:eastAsia="Calibri" w:hAnsi="Palatino Linotype" w:cs="Times New Roman"/>
          <w:color w:val="000000"/>
          <w:lang w:eastAsia="es-MX"/>
        </w:rPr>
      </w:pPr>
      <w:r w:rsidRPr="00F0352C">
        <w:rPr>
          <w:rFonts w:ascii="Palatino Linotype" w:eastAsia="Calibri" w:hAnsi="Palatino Linotype" w:cs="Times New Roman"/>
          <w:color w:val="000000"/>
          <w:lang w:eastAsia="es-MX"/>
        </w:rPr>
        <w:t>Agua potable, drenaje, alcantarillado, tratamiento y disposición de sus aguas residuales;</w:t>
      </w:r>
    </w:p>
    <w:p w14:paraId="1C4D61B1" w14:textId="77777777" w:rsidR="005D2CE9" w:rsidRPr="005D2CE9" w:rsidRDefault="005D2CE9" w:rsidP="005D2CE9">
      <w:pPr>
        <w:numPr>
          <w:ilvl w:val="0"/>
          <w:numId w:val="16"/>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Alumbrado público;</w:t>
      </w:r>
    </w:p>
    <w:p w14:paraId="5FA98C0E" w14:textId="77777777" w:rsidR="005D2CE9" w:rsidRPr="005D2CE9" w:rsidRDefault="005D2CE9" w:rsidP="005D2CE9">
      <w:pPr>
        <w:numPr>
          <w:ilvl w:val="0"/>
          <w:numId w:val="16"/>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Limpia, recolección, traslado, tratamiento y disposición final de residuos;</w:t>
      </w:r>
    </w:p>
    <w:p w14:paraId="066EDD3D" w14:textId="77777777" w:rsidR="005D2CE9" w:rsidRPr="005D2CE9" w:rsidRDefault="005D2CE9" w:rsidP="005D2CE9">
      <w:pPr>
        <w:numPr>
          <w:ilvl w:val="0"/>
          <w:numId w:val="16"/>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Mercados y centrales de abasto;</w:t>
      </w:r>
    </w:p>
    <w:p w14:paraId="662A3311" w14:textId="77777777" w:rsidR="005D2CE9" w:rsidRPr="005D2CE9" w:rsidRDefault="005D2CE9" w:rsidP="005D2CE9">
      <w:pPr>
        <w:numPr>
          <w:ilvl w:val="0"/>
          <w:numId w:val="16"/>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 xml:space="preserve">Panteones; </w:t>
      </w:r>
    </w:p>
    <w:p w14:paraId="7BF5FF12" w14:textId="77777777" w:rsidR="005D2CE9" w:rsidRPr="005D2CE9" w:rsidRDefault="005D2CE9" w:rsidP="005D2CE9">
      <w:pPr>
        <w:numPr>
          <w:ilvl w:val="0"/>
          <w:numId w:val="16"/>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 xml:space="preserve">Rastro; </w:t>
      </w:r>
    </w:p>
    <w:p w14:paraId="274744F6" w14:textId="77777777" w:rsidR="005D2CE9" w:rsidRPr="005D2CE9" w:rsidRDefault="005D2CE9" w:rsidP="005D2CE9">
      <w:pPr>
        <w:numPr>
          <w:ilvl w:val="0"/>
          <w:numId w:val="16"/>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Calles, parques y jardines y su equipamiento, y</w:t>
      </w:r>
    </w:p>
    <w:p w14:paraId="742D48BD" w14:textId="77777777" w:rsidR="005D2CE9" w:rsidRPr="005D2CE9" w:rsidRDefault="005D2CE9" w:rsidP="005D2CE9">
      <w:pPr>
        <w:numPr>
          <w:ilvl w:val="0"/>
          <w:numId w:val="16"/>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Seguridad pública, policía preventiva municipal y tránsito;</w:t>
      </w:r>
    </w:p>
    <w:p w14:paraId="084C5D6B" w14:textId="77777777" w:rsidR="005D2CE9" w:rsidRPr="005D2CE9" w:rsidRDefault="005D2CE9" w:rsidP="005D2CE9">
      <w:pPr>
        <w:spacing w:after="0" w:line="360" w:lineRule="auto"/>
        <w:ind w:left="360"/>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bCs/>
          <w:color w:val="000000"/>
          <w:lang w:eastAsia="es-MX"/>
        </w:rPr>
        <w:t xml:space="preserve"> </w:t>
      </w:r>
    </w:p>
    <w:p w14:paraId="74A894EE" w14:textId="77777777" w:rsidR="005D2CE9" w:rsidRPr="005D2CE9" w:rsidRDefault="005D2CE9" w:rsidP="005D2CE9">
      <w:pPr>
        <w:spacing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bCs/>
          <w:color w:val="000000"/>
          <w:lang w:eastAsia="es-MX"/>
        </w:rPr>
        <w:t>Además, el artículo 31 de la Ley Orgánica Municipal del Estado de México, precisa que los Ayuntamientos tendrán las siguientes funciones:</w:t>
      </w:r>
    </w:p>
    <w:p w14:paraId="02665E1C" w14:textId="77777777" w:rsidR="005D2CE9" w:rsidRDefault="005D2CE9" w:rsidP="005D2CE9">
      <w:pPr>
        <w:spacing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bCs/>
          <w:color w:val="000000"/>
          <w:lang w:eastAsia="es-MX"/>
        </w:rPr>
        <w:t xml:space="preserve"> </w:t>
      </w:r>
    </w:p>
    <w:p w14:paraId="4A6A140B" w14:textId="77777777" w:rsidR="005D2CE9" w:rsidRPr="005D2CE9" w:rsidRDefault="005D2CE9" w:rsidP="005D2CE9">
      <w:pPr>
        <w:spacing w:after="0" w:line="360" w:lineRule="auto"/>
        <w:contextualSpacing/>
        <w:jc w:val="both"/>
        <w:rPr>
          <w:rFonts w:ascii="Palatino Linotype" w:eastAsia="Calibri" w:hAnsi="Palatino Linotype" w:cs="Times New Roman"/>
          <w:bCs/>
          <w:color w:val="000000"/>
          <w:lang w:eastAsia="es-MX"/>
        </w:rPr>
      </w:pPr>
    </w:p>
    <w:p w14:paraId="2C34FE29"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Expedir y reformar el Bando Municipal, así como los reglamentos, circulares y disposiciones administrativas de observancia general dentro del territorio del municipio;</w:t>
      </w:r>
    </w:p>
    <w:p w14:paraId="08074843"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Aprobar e implementar programas y acciones que promuevan un proceso constante de mejora regulatoria;</w:t>
      </w:r>
    </w:p>
    <w:p w14:paraId="1A6BE2E5"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Aprobar y promover un programa para el otorgamiento de la licencia o permiso provisional de funcionamiento para negocios de bajo riesgo que no impliquen riesgos sanitarios, ambientales o de protección civil;</w:t>
      </w:r>
    </w:p>
    <w:p w14:paraId="37EC39A4"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Formular, aprobar, implementar y ejecutar las políticas, programas y acciones en materia de Gobierno Digital;</w:t>
      </w:r>
    </w:p>
    <w:p w14:paraId="7C6C293B"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Formular, aprobar, implementar y ejecutar los programas y acciones para la prevención, atención y en su caso, el pago de las responsabilidades económicas;</w:t>
      </w:r>
    </w:p>
    <w:p w14:paraId="5C76C8C6"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Celebrar convenios;</w:t>
      </w:r>
    </w:p>
    <w:p w14:paraId="54013603"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Acordar la división territorial municipal en delegaciones, subdelegaciones, colonias, sectores y manzanas;</w:t>
      </w:r>
    </w:p>
    <w:p w14:paraId="4D81E203"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color w:val="000000"/>
          <w:lang w:eastAsia="es-MX"/>
        </w:rPr>
      </w:pPr>
      <w:r w:rsidRPr="005D2CE9">
        <w:rPr>
          <w:rFonts w:ascii="Palatino Linotype" w:eastAsia="Calibri" w:hAnsi="Palatino Linotype" w:cs="Times New Roman"/>
          <w:color w:val="000000"/>
          <w:lang w:eastAsia="es-MX"/>
        </w:rPr>
        <w:t>Convenir, contratar o concesionar, la ejecución de obras y la prestación de servicios públicos;</w:t>
      </w:r>
    </w:p>
    <w:p w14:paraId="0AC86D87"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color w:val="000000"/>
          <w:lang w:eastAsia="es-MX"/>
        </w:rPr>
      </w:pPr>
      <w:r w:rsidRPr="005D2CE9">
        <w:rPr>
          <w:rFonts w:ascii="Palatino Linotype" w:eastAsia="Calibri" w:hAnsi="Palatino Linotype" w:cs="Times New Roman"/>
          <w:color w:val="000000"/>
          <w:lang w:eastAsia="es-MX"/>
        </w:rPr>
        <w:t>Concluir las obras iniciadas por administraciones anteriores y dar mantenimiento a la infraestructura e instalaciones de los servicios públicos municipales;</w:t>
      </w:r>
    </w:p>
    <w:p w14:paraId="461E7EC1"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color w:val="000000"/>
          <w:lang w:eastAsia="es-MX"/>
        </w:rPr>
      </w:pPr>
      <w:r w:rsidRPr="005D2CE9">
        <w:rPr>
          <w:rFonts w:ascii="Palatino Linotype" w:eastAsia="Calibri" w:hAnsi="Palatino Linotype" w:cs="Times New Roman"/>
          <w:color w:val="000000"/>
          <w:lang w:eastAsia="es-MX"/>
        </w:rPr>
        <w:t>Crear las unidades administrativas necesarias para el adecuado funcionamiento de la administración pública municipal;</w:t>
      </w:r>
    </w:p>
    <w:p w14:paraId="1AF17A1F"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color w:val="000000"/>
          <w:lang w:eastAsia="es-MX"/>
        </w:rPr>
      </w:pPr>
      <w:r w:rsidRPr="005D2CE9">
        <w:rPr>
          <w:rFonts w:ascii="Palatino Linotype" w:eastAsia="Calibri" w:hAnsi="Palatino Linotype" w:cs="Times New Roman"/>
          <w:color w:val="000000"/>
          <w:lang w:eastAsia="es-MX"/>
        </w:rPr>
        <w:t>Conocer los informes contables y financieros anuales;</w:t>
      </w:r>
    </w:p>
    <w:p w14:paraId="3CE6C018"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color w:val="000000"/>
          <w:lang w:eastAsia="es-MX"/>
        </w:rPr>
      </w:pPr>
      <w:r w:rsidRPr="005D2CE9">
        <w:rPr>
          <w:rFonts w:ascii="Palatino Linotype" w:eastAsia="Calibri" w:hAnsi="Palatino Linotype" w:cs="Times New Roman"/>
          <w:color w:val="000000"/>
          <w:lang w:eastAsia="es-MX"/>
        </w:rPr>
        <w:t>Municipalizar los servicios públicos;</w:t>
      </w:r>
    </w:p>
    <w:p w14:paraId="7B642179" w14:textId="77777777" w:rsid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color w:val="000000"/>
          <w:lang w:eastAsia="es-MX"/>
        </w:rPr>
      </w:pPr>
      <w:r w:rsidRPr="005D2CE9">
        <w:rPr>
          <w:rFonts w:ascii="Palatino Linotype" w:eastAsia="Calibri" w:hAnsi="Palatino Linotype" w:cs="Times New Roman"/>
          <w:color w:val="000000"/>
          <w:lang w:eastAsia="es-MX"/>
        </w:rPr>
        <w:t>Administrar su hacienda en términos de ley;</w:t>
      </w:r>
    </w:p>
    <w:p w14:paraId="44B7B962" w14:textId="77777777" w:rsidR="006F56F6" w:rsidRDefault="006F56F6" w:rsidP="006F56F6">
      <w:pPr>
        <w:widowControl w:val="0"/>
        <w:spacing w:before="100" w:beforeAutospacing="1" w:after="0" w:line="360" w:lineRule="auto"/>
        <w:ind w:left="720"/>
        <w:contextualSpacing/>
        <w:jc w:val="both"/>
        <w:rPr>
          <w:rFonts w:ascii="Palatino Linotype" w:eastAsia="Calibri" w:hAnsi="Palatino Linotype" w:cs="Times New Roman"/>
          <w:color w:val="000000"/>
          <w:lang w:eastAsia="es-MX"/>
        </w:rPr>
      </w:pPr>
    </w:p>
    <w:p w14:paraId="29A2E2B7" w14:textId="77777777" w:rsidR="006F56F6" w:rsidRPr="005D2CE9" w:rsidRDefault="006F56F6" w:rsidP="006F56F6">
      <w:pPr>
        <w:widowControl w:val="0"/>
        <w:spacing w:before="100" w:beforeAutospacing="1" w:after="0" w:line="360" w:lineRule="auto"/>
        <w:ind w:left="720"/>
        <w:contextualSpacing/>
        <w:jc w:val="both"/>
        <w:rPr>
          <w:rFonts w:ascii="Palatino Linotype" w:eastAsia="Calibri" w:hAnsi="Palatino Linotype" w:cs="Times New Roman"/>
          <w:color w:val="000000"/>
          <w:lang w:eastAsia="es-MX"/>
        </w:rPr>
      </w:pPr>
    </w:p>
    <w:p w14:paraId="4B65071B"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color w:val="000000"/>
          <w:lang w:eastAsia="es-MX"/>
        </w:rPr>
      </w:pPr>
      <w:r w:rsidRPr="005D2CE9">
        <w:rPr>
          <w:rFonts w:ascii="Palatino Linotype" w:eastAsia="Calibri" w:hAnsi="Palatino Linotype" w:cs="Times New Roman"/>
          <w:color w:val="000000"/>
          <w:lang w:eastAsia="es-MX"/>
        </w:rPr>
        <w:t>Autorizar la contratación de empréstitos;</w:t>
      </w:r>
    </w:p>
    <w:p w14:paraId="7DCE833A"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Formular, aprobar y ejecutar los planes de desarrollo municipal y los Programas correspondientes;</w:t>
      </w:r>
    </w:p>
    <w:p w14:paraId="768D41E7"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Promover, desarrollar, vigilar y evaluar en su municipio, los programas en materia de protección civil;</w:t>
      </w:r>
    </w:p>
    <w:p w14:paraId="2426223F"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Dotar de servicios públicos a los habitantes del municipio;</w:t>
      </w:r>
    </w:p>
    <w:p w14:paraId="65FC90F1" w14:textId="77777777"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sidRPr="005D2CE9">
        <w:rPr>
          <w:rFonts w:ascii="Palatino Linotype" w:eastAsia="Calibri" w:hAnsi="Palatino Linotype" w:cs="Times New Roman"/>
          <w:color w:val="000000"/>
          <w:lang w:eastAsia="es-MX"/>
        </w:rPr>
        <w:t>Promover la creación, desarrollo y actualización permanente, de los atlas municipales de riesgos;</w:t>
      </w:r>
    </w:p>
    <w:p w14:paraId="42278598" w14:textId="7BC6CB18" w:rsidR="005D2CE9" w:rsidRPr="005D2CE9" w:rsidRDefault="005D2CE9" w:rsidP="005D2CE9">
      <w:pPr>
        <w:widowControl w:val="0"/>
        <w:numPr>
          <w:ilvl w:val="0"/>
          <w:numId w:val="17"/>
        </w:numPr>
        <w:spacing w:before="100" w:beforeAutospacing="1" w:after="0" w:line="360" w:lineRule="auto"/>
        <w:contextualSpacing/>
        <w:jc w:val="both"/>
        <w:rPr>
          <w:rFonts w:ascii="Palatino Linotype" w:eastAsia="Calibri" w:hAnsi="Palatino Linotype" w:cs="Times New Roman"/>
          <w:bCs/>
          <w:color w:val="000000"/>
          <w:lang w:eastAsia="es-MX"/>
        </w:rPr>
      </w:pPr>
      <w:r>
        <w:rPr>
          <w:rFonts w:ascii="Palatino Linotype" w:eastAsia="Calibri" w:hAnsi="Palatino Linotype" w:cs="Times New Roman"/>
          <w:color w:val="000000"/>
          <w:lang w:eastAsia="es-MX"/>
        </w:rPr>
        <w:t>Entre otras.</w:t>
      </w:r>
    </w:p>
    <w:p w14:paraId="38324EB4" w14:textId="77777777" w:rsidR="005D2CE9" w:rsidRDefault="005D2CE9" w:rsidP="005D6E32">
      <w:pPr>
        <w:spacing w:after="0" w:line="360" w:lineRule="auto"/>
        <w:jc w:val="both"/>
        <w:rPr>
          <w:rFonts w:ascii="Palatino Linotype" w:eastAsia="Palatino Linotype" w:hAnsi="Palatino Linotype" w:cs="Palatino Linotype"/>
          <w:lang w:eastAsia="es-MX"/>
        </w:rPr>
      </w:pPr>
    </w:p>
    <w:p w14:paraId="37E22033" w14:textId="22DA0D78" w:rsidR="002A2FCF" w:rsidRDefault="005D2CE9" w:rsidP="005D2CE9">
      <w:pPr>
        <w:spacing w:after="0"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 xml:space="preserve">Conforme a lo anterior, se logra vislumbrar que el Sujeto Obligado, en primera instancia, carece de atribuciones para conocer del Programa “Hoy no Circula”; lo cual toma sustento, pues conforme a la </w:t>
      </w:r>
      <w:r w:rsidR="008365B9">
        <w:rPr>
          <w:rFonts w:ascii="Palatino Linotype" w:eastAsia="Palatino Linotype" w:hAnsi="Palatino Linotype" w:cs="Palatino Linotype"/>
          <w:lang w:eastAsia="es-MX"/>
        </w:rPr>
        <w:t xml:space="preserve">Ley Orgánica de la Administración Pública del Estado de México señala que la Secretaría del Medio Ambiente y Desarrollo Sostenible, dentro de sus atribuciones se encarga entre otras cosas de </w:t>
      </w:r>
      <w:r w:rsidR="008365B9" w:rsidRPr="008365B9">
        <w:rPr>
          <w:rFonts w:ascii="Palatino Linotype" w:eastAsia="Palatino Linotype" w:hAnsi="Palatino Linotype" w:cs="Palatino Linotype"/>
          <w:u w:val="single"/>
          <w:lang w:eastAsia="es-MX"/>
        </w:rPr>
        <w:t>proponer y coordinar las acciones y medidas</w:t>
      </w:r>
      <w:r w:rsidR="008365B9" w:rsidRPr="008365B9">
        <w:rPr>
          <w:rFonts w:ascii="Palatino Linotype" w:eastAsia="Palatino Linotype" w:hAnsi="Palatino Linotype" w:cs="Palatino Linotype"/>
          <w:lang w:eastAsia="es-MX"/>
        </w:rPr>
        <w:t xml:space="preserve"> necesarias con el fin de proteger, conservar, preservar y restaurar el equilibrio ecológico y mantener la estabilidad ambiental de los ecosistemas, los servicios ambientales, y el capital natural, así como mitigar el cambio climático en el Estado, en acuerdo con el Gobierno Federal, las dependencias de la Administración Pública</w:t>
      </w:r>
      <w:r w:rsidR="008365B9">
        <w:rPr>
          <w:rFonts w:ascii="Palatino Linotype" w:eastAsia="Palatino Linotype" w:hAnsi="Palatino Linotype" w:cs="Palatino Linotype"/>
          <w:lang w:eastAsia="es-MX"/>
        </w:rPr>
        <w:t>.</w:t>
      </w:r>
    </w:p>
    <w:p w14:paraId="2C2727F2" w14:textId="77777777" w:rsidR="002A2FCF" w:rsidRDefault="002A2FCF" w:rsidP="005D6E32">
      <w:pPr>
        <w:spacing w:after="0" w:line="360" w:lineRule="auto"/>
        <w:ind w:right="-28"/>
        <w:jc w:val="both"/>
        <w:rPr>
          <w:rFonts w:ascii="Palatino Linotype" w:eastAsia="Palatino Linotype" w:hAnsi="Palatino Linotype" w:cs="Palatino Linotype"/>
          <w:lang w:eastAsia="es-MX"/>
        </w:rPr>
      </w:pPr>
    </w:p>
    <w:p w14:paraId="6D2D3233" w14:textId="6F4B87D3" w:rsidR="00DA6790" w:rsidRPr="003E42D3" w:rsidRDefault="005D2CE9" w:rsidP="005D6E32">
      <w:pPr>
        <w:spacing w:after="0" w:line="360" w:lineRule="auto"/>
        <w:ind w:right="-28"/>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En ese contexto</w:t>
      </w:r>
      <w:r w:rsidR="00AE4295">
        <w:rPr>
          <w:rFonts w:ascii="Palatino Linotype" w:eastAsia="Palatino Linotype" w:hAnsi="Palatino Linotype" w:cs="Palatino Linotype"/>
          <w:lang w:eastAsia="es-MX"/>
        </w:rPr>
        <w:t>,</w:t>
      </w:r>
      <w:r>
        <w:rPr>
          <w:rFonts w:ascii="Palatino Linotype" w:eastAsia="Palatino Linotype" w:hAnsi="Palatino Linotype" w:cs="Palatino Linotype"/>
          <w:lang w:eastAsia="es-MX"/>
        </w:rPr>
        <w:t xml:space="preserve"> en</w:t>
      </w:r>
      <w:r w:rsidR="00AE4295">
        <w:rPr>
          <w:rFonts w:ascii="Palatino Linotype" w:eastAsia="Palatino Linotype" w:hAnsi="Palatino Linotype" w:cs="Palatino Linotype"/>
          <w:lang w:eastAsia="es-MX"/>
        </w:rPr>
        <w:t xml:space="preserve"> la </w:t>
      </w:r>
      <w:r w:rsidR="003E42D3" w:rsidRPr="003E42D3">
        <w:rPr>
          <w:rFonts w:ascii="Palatino Linotype" w:eastAsia="Palatino Linotype" w:hAnsi="Palatino Linotype" w:cs="Palatino Linotype"/>
          <w:lang w:eastAsia="es-MX"/>
        </w:rPr>
        <w:t xml:space="preserve">página de la Secretaría del Medio Ambiente y Desarrollo Sostenible </w:t>
      </w:r>
      <w:r w:rsidR="00AE4295">
        <w:rPr>
          <w:rFonts w:ascii="Palatino Linotype" w:eastAsia="Palatino Linotype" w:hAnsi="Palatino Linotype" w:cs="Palatino Linotype"/>
          <w:lang w:eastAsia="es-MX"/>
        </w:rPr>
        <w:t xml:space="preserve"> </w:t>
      </w:r>
      <w:hyperlink r:id="rId8" w:history="1">
        <w:r w:rsidR="00AE4295" w:rsidRPr="00091367">
          <w:rPr>
            <w:rStyle w:val="Hipervnculo"/>
            <w:rFonts w:ascii="Palatino Linotype" w:eastAsia="Palatino Linotype" w:hAnsi="Palatino Linotype" w:cs="Palatino Linotype"/>
            <w:lang w:eastAsia="es-MX"/>
          </w:rPr>
          <w:t>https://sma.edomex.gob.mx/hoy_no_circula</w:t>
        </w:r>
      </w:hyperlink>
      <w:r w:rsidR="003E42D3" w:rsidRPr="003E42D3">
        <w:rPr>
          <w:rFonts w:ascii="Palatino Linotype" w:eastAsia="Palatino Linotype" w:hAnsi="Palatino Linotype" w:cs="Palatino Linotype"/>
          <w:lang w:eastAsia="es-MX"/>
        </w:rPr>
        <w:t xml:space="preserve"> (consultada el once de febrero de dos mil veinticinco), refiere que el programa “Hoy No Circula”</w:t>
      </w:r>
      <w:r w:rsidR="00564370">
        <w:rPr>
          <w:rFonts w:ascii="Palatino Linotype" w:eastAsia="Palatino Linotype" w:hAnsi="Palatino Linotype" w:cs="Palatino Linotype"/>
          <w:lang w:eastAsia="es-MX"/>
        </w:rPr>
        <w:t xml:space="preserve"> además de ser uno de sus programas, </w:t>
      </w:r>
      <w:r w:rsidR="003E42D3" w:rsidRPr="003E42D3">
        <w:rPr>
          <w:rFonts w:ascii="Palatino Linotype" w:eastAsia="Palatino Linotype" w:hAnsi="Palatino Linotype" w:cs="Palatino Linotype"/>
          <w:lang w:eastAsia="es-MX"/>
        </w:rPr>
        <w:t xml:space="preserve"> es un acuerdo que establece las medidas para limitar la circulación de los vehículos automotores en los municipios conurbados del Estado de México de la Zona </w:t>
      </w:r>
      <w:r w:rsidR="003E42D3" w:rsidRPr="003E42D3">
        <w:rPr>
          <w:rFonts w:ascii="Palatino Linotype" w:eastAsia="Palatino Linotype" w:hAnsi="Palatino Linotype" w:cs="Palatino Linotype"/>
          <w:lang w:eastAsia="es-MX"/>
        </w:rPr>
        <w:lastRenderedPageBreak/>
        <w:t>Metropolitana del Valle de México para controlar y reducir la contaminación atmosférica y contingencias ambientales atmosféricas.</w:t>
      </w:r>
    </w:p>
    <w:p w14:paraId="79EBCF7A" w14:textId="77777777" w:rsidR="003E42D3" w:rsidRDefault="003E42D3" w:rsidP="005D6E32">
      <w:pPr>
        <w:spacing w:after="0" w:line="360" w:lineRule="auto"/>
        <w:ind w:right="-28"/>
        <w:jc w:val="both"/>
        <w:rPr>
          <w:rFonts w:ascii="Palatino Linotype" w:eastAsia="Palatino Linotype" w:hAnsi="Palatino Linotype" w:cs="Palatino Linotype"/>
          <w:color w:val="FF0000"/>
          <w:lang w:eastAsia="es-MX"/>
        </w:rPr>
      </w:pPr>
    </w:p>
    <w:p w14:paraId="28AFC90B" w14:textId="0B86E99B" w:rsidR="009A444B" w:rsidRDefault="009D12FB" w:rsidP="005D6E32">
      <w:pPr>
        <w:spacing w:after="0" w:line="360" w:lineRule="auto"/>
        <w:ind w:right="-28"/>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 xml:space="preserve">En ese contexto, la página oficial de la Secretaría del </w:t>
      </w:r>
      <w:r w:rsidRPr="003E42D3">
        <w:rPr>
          <w:rFonts w:ascii="Palatino Linotype" w:eastAsia="Palatino Linotype" w:hAnsi="Palatino Linotype" w:cs="Palatino Linotype"/>
          <w:lang w:eastAsia="es-MX"/>
        </w:rPr>
        <w:t>Medio Ambiente y Desarrollo Sostenible</w:t>
      </w:r>
      <w:r>
        <w:rPr>
          <w:rFonts w:ascii="Palatino Linotype" w:eastAsia="Palatino Linotype" w:hAnsi="Palatino Linotype" w:cs="Palatino Linotype"/>
          <w:lang w:eastAsia="es-MX"/>
        </w:rPr>
        <w:t xml:space="preserve"> </w:t>
      </w:r>
      <w:hyperlink r:id="rId9" w:history="1">
        <w:r w:rsidRPr="00534E53">
          <w:rPr>
            <w:rStyle w:val="Hipervnculo"/>
            <w:rFonts w:ascii="Palatino Linotype" w:eastAsia="Palatino Linotype" w:hAnsi="Palatino Linotype" w:cs="Palatino Linotype"/>
            <w:lang w:eastAsia="es-MX"/>
          </w:rPr>
          <w:t>https://sma.edomex.gob.mx/dg_prevencion_control_contaminacion_atmosferica</w:t>
        </w:r>
      </w:hyperlink>
      <w:r>
        <w:rPr>
          <w:rFonts w:ascii="Palatino Linotype" w:eastAsia="Palatino Linotype" w:hAnsi="Palatino Linotype" w:cs="Palatino Linotype"/>
          <w:lang w:eastAsia="es-MX"/>
        </w:rPr>
        <w:t xml:space="preserve"> (consultada el once de febrero de dos mil </w:t>
      </w:r>
      <w:r w:rsidRPr="00FC6620">
        <w:rPr>
          <w:rFonts w:ascii="Palatino Linotype" w:eastAsia="Palatino Linotype" w:hAnsi="Palatino Linotype" w:cs="Palatino Linotype"/>
          <w:lang w:eastAsia="es-MX"/>
        </w:rPr>
        <w:t>veinticuatro</w:t>
      </w:r>
      <w:r w:rsidR="0059728B" w:rsidRPr="00FC6620">
        <w:rPr>
          <w:rFonts w:ascii="Palatino Linotype" w:eastAsia="Palatino Linotype" w:hAnsi="Palatino Linotype" w:cs="Palatino Linotype"/>
          <w:lang w:eastAsia="es-MX"/>
        </w:rPr>
        <w:t>)</w:t>
      </w:r>
      <w:r w:rsidRPr="00FC6620">
        <w:rPr>
          <w:rFonts w:ascii="Palatino Linotype" w:eastAsia="Palatino Linotype" w:hAnsi="Palatino Linotype" w:cs="Palatino Linotype"/>
          <w:lang w:eastAsia="es-MX"/>
        </w:rPr>
        <w:t>, establece</w:t>
      </w:r>
      <w:bookmarkStart w:id="14" w:name="_GoBack"/>
      <w:bookmarkEnd w:id="14"/>
      <w:r>
        <w:rPr>
          <w:rFonts w:ascii="Palatino Linotype" w:eastAsia="Palatino Linotype" w:hAnsi="Palatino Linotype" w:cs="Palatino Linotype"/>
          <w:lang w:eastAsia="es-MX"/>
        </w:rPr>
        <w:t xml:space="preserve"> que la </w:t>
      </w:r>
      <w:r w:rsidRPr="003671C9">
        <w:rPr>
          <w:rFonts w:ascii="Palatino Linotype" w:eastAsia="Palatino Linotype" w:hAnsi="Palatino Linotype" w:cs="Palatino Linotype"/>
          <w:b/>
          <w:lang w:eastAsia="es-MX"/>
        </w:rPr>
        <w:t>Dirección General de Prevención y Control de la Contaminación Atmosférica</w:t>
      </w:r>
      <w:r>
        <w:rPr>
          <w:rFonts w:ascii="Palatino Linotype" w:eastAsia="Palatino Linotype" w:hAnsi="Palatino Linotype" w:cs="Palatino Linotype"/>
          <w:lang w:eastAsia="es-MX"/>
        </w:rPr>
        <w:t xml:space="preserve"> </w:t>
      </w:r>
      <w:r w:rsidRPr="003671C9">
        <w:rPr>
          <w:rFonts w:ascii="Palatino Linotype" w:eastAsia="Palatino Linotype" w:hAnsi="Palatino Linotype" w:cs="Palatino Linotype"/>
          <w:u w:val="single"/>
          <w:lang w:eastAsia="es-MX"/>
        </w:rPr>
        <w:t>tiene como objetivo  vigilar la observancia de las disposiciones jurídicas y normativas vigentes en materia de prevención y control de la contaminación atmosférica y cambio climático</w:t>
      </w:r>
      <w:r w:rsidRPr="009D12FB">
        <w:rPr>
          <w:rFonts w:ascii="Palatino Linotype" w:eastAsia="Palatino Linotype" w:hAnsi="Palatino Linotype" w:cs="Palatino Linotype"/>
          <w:lang w:eastAsia="es-MX"/>
        </w:rPr>
        <w:t xml:space="preserve"> para la protección al ambiente y conservación ecológica, así como autorizar los permisos, licencias, registros, concesiones, autorizaciones y revalidaciones en materia ambiental a fuentes fijas establecidas en el Estado de México, incluyendo las fuentes móviles o vehículos automotores que circulen en el territorio estatal.</w:t>
      </w:r>
    </w:p>
    <w:p w14:paraId="2094DAB0" w14:textId="77777777" w:rsidR="00AE4295" w:rsidRDefault="00AE4295" w:rsidP="005D6E32">
      <w:pPr>
        <w:spacing w:after="0" w:line="360" w:lineRule="auto"/>
        <w:ind w:right="-28"/>
        <w:jc w:val="both"/>
        <w:rPr>
          <w:rFonts w:ascii="Palatino Linotype" w:eastAsia="Palatino Linotype" w:hAnsi="Palatino Linotype" w:cs="Palatino Linotype"/>
          <w:lang w:eastAsia="es-MX"/>
        </w:rPr>
      </w:pPr>
    </w:p>
    <w:p w14:paraId="7AC07625" w14:textId="03A3B93E" w:rsidR="009D12FB" w:rsidRDefault="00AE31C5" w:rsidP="005D6E32">
      <w:pPr>
        <w:spacing w:after="0" w:line="360" w:lineRule="auto"/>
        <w:ind w:right="-28"/>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Además, la Secretaría mencionada es</w:t>
      </w:r>
      <w:r w:rsidR="00746FA4">
        <w:rPr>
          <w:rFonts w:ascii="Palatino Linotype" w:eastAsia="Palatino Linotype" w:hAnsi="Palatino Linotype" w:cs="Palatino Linotype"/>
          <w:lang w:eastAsia="es-MX"/>
        </w:rPr>
        <w:t xml:space="preserve"> </w:t>
      </w:r>
      <w:r w:rsidR="00746FA4" w:rsidRPr="00746FA4">
        <w:rPr>
          <w:rFonts w:ascii="Palatino Linotype" w:eastAsia="Palatino Linotype" w:hAnsi="Palatino Linotype" w:cs="Palatino Linotype"/>
          <w:b/>
          <w:lang w:eastAsia="es-MX"/>
        </w:rPr>
        <w:t>dar seguimiento al acuerdo que establece las medidas para limitar la circulación de los vehículos automotores en los municipios conurbados del Estado de México en la Zona Metropolitana del Valle de México (Hoy No Circula), para controlar y reducir la contaminación atmosférica y contingencias ambientales atmosféricas</w:t>
      </w:r>
      <w:r w:rsidR="00746FA4" w:rsidRPr="00746FA4">
        <w:rPr>
          <w:rFonts w:ascii="Palatino Linotype" w:eastAsia="Palatino Linotype" w:hAnsi="Palatino Linotype" w:cs="Palatino Linotype"/>
          <w:lang w:eastAsia="es-MX"/>
        </w:rPr>
        <w:t>, así como los que se establezcan en otras zonas del Estado</w:t>
      </w:r>
      <w:r w:rsidR="00746FA4">
        <w:rPr>
          <w:rFonts w:ascii="Palatino Linotype" w:eastAsia="Palatino Linotype" w:hAnsi="Palatino Linotype" w:cs="Palatino Linotype"/>
          <w:lang w:eastAsia="es-MX"/>
        </w:rPr>
        <w:t>.</w:t>
      </w:r>
    </w:p>
    <w:p w14:paraId="448170C3" w14:textId="77777777" w:rsidR="00DF3C14" w:rsidRDefault="00DF3C14" w:rsidP="005D6E32">
      <w:pPr>
        <w:spacing w:after="0" w:line="360" w:lineRule="auto"/>
        <w:ind w:right="-28"/>
        <w:jc w:val="both"/>
        <w:rPr>
          <w:rFonts w:ascii="Palatino Linotype" w:eastAsia="Palatino Linotype" w:hAnsi="Palatino Linotype" w:cs="Palatino Linotype"/>
          <w:lang w:eastAsia="es-MX"/>
        </w:rPr>
      </w:pPr>
    </w:p>
    <w:p w14:paraId="34CFC47A" w14:textId="3B06261D" w:rsidR="00DF3C14" w:rsidRDefault="006F4DD6" w:rsidP="005D6E32">
      <w:pPr>
        <w:spacing w:after="0" w:line="360" w:lineRule="auto"/>
        <w:ind w:right="-28"/>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 xml:space="preserve">Ahora bien, la Comisión Estatal de la Megalópolis,  </w:t>
      </w:r>
      <w:r w:rsidRPr="006F4DD6">
        <w:rPr>
          <w:rFonts w:ascii="Palatino Linotype" w:eastAsia="Palatino Linotype" w:hAnsi="Palatino Linotype" w:cs="Palatino Linotype"/>
          <w:lang w:eastAsia="es-MX"/>
        </w:rPr>
        <w:t xml:space="preserve">un órgano de coordinación, </w:t>
      </w:r>
      <w:r w:rsidRPr="006F4DD6">
        <w:rPr>
          <w:rFonts w:ascii="Palatino Linotype" w:eastAsia="Palatino Linotype" w:hAnsi="Palatino Linotype" w:cs="Palatino Linotype"/>
          <w:b/>
          <w:lang w:eastAsia="es-MX"/>
        </w:rPr>
        <w:t>para llevar a cabo, entre otras acciones, la planeación y ejecución de acciones en materia de protección al ambient</w:t>
      </w:r>
      <w:r w:rsidRPr="006F4DD6">
        <w:rPr>
          <w:rFonts w:ascii="Palatino Linotype" w:eastAsia="Palatino Linotype" w:hAnsi="Palatino Linotype" w:cs="Palatino Linotype"/>
          <w:lang w:eastAsia="es-MX"/>
        </w:rPr>
        <w:t>e, de preservación y restauración del equilibrio ecológico en la zona, conformada por los órganos político administrativos desconcentrados del Distrito Federal</w:t>
      </w:r>
      <w:r>
        <w:rPr>
          <w:rFonts w:ascii="Palatino Linotype" w:eastAsia="Palatino Linotype" w:hAnsi="Palatino Linotype" w:cs="Palatino Linotype"/>
          <w:lang w:eastAsia="es-MX"/>
        </w:rPr>
        <w:t xml:space="preserve"> hoy Ciudad de México</w:t>
      </w:r>
      <w:r w:rsidRPr="006F4DD6">
        <w:rPr>
          <w:rFonts w:ascii="Palatino Linotype" w:eastAsia="Palatino Linotype" w:hAnsi="Palatino Linotype" w:cs="Palatino Linotype"/>
          <w:lang w:eastAsia="es-MX"/>
        </w:rPr>
        <w:t>, así como los municipios de los Estados de Hidalgo, Méxi</w:t>
      </w:r>
      <w:r>
        <w:rPr>
          <w:rFonts w:ascii="Palatino Linotype" w:eastAsia="Palatino Linotype" w:hAnsi="Palatino Linotype" w:cs="Palatino Linotype"/>
          <w:lang w:eastAsia="es-MX"/>
        </w:rPr>
        <w:t>co, Morelos, Puebla y Tlaxcala</w:t>
      </w:r>
      <w:r w:rsidR="004C551B">
        <w:rPr>
          <w:rFonts w:ascii="Palatino Linotype" w:eastAsia="Palatino Linotype" w:hAnsi="Palatino Linotype" w:cs="Palatino Linotype"/>
          <w:lang w:eastAsia="es-MX"/>
        </w:rPr>
        <w:t xml:space="preserve">, la cual dentro de sus funciones se encarga de </w:t>
      </w:r>
      <w:r w:rsidR="004C551B" w:rsidRPr="004C551B">
        <w:rPr>
          <w:rFonts w:ascii="Palatino Linotype" w:eastAsia="Palatino Linotype" w:hAnsi="Palatino Linotype" w:cs="Palatino Linotype"/>
          <w:lang w:eastAsia="es-MX"/>
        </w:rPr>
        <w:t xml:space="preserve">definir, coordinar y dar seguimiento, </w:t>
      </w:r>
      <w:r w:rsidR="004C551B" w:rsidRPr="004C551B">
        <w:rPr>
          <w:rFonts w:ascii="Palatino Linotype" w:eastAsia="Palatino Linotype" w:hAnsi="Palatino Linotype" w:cs="Palatino Linotype"/>
          <w:lang w:eastAsia="es-MX"/>
        </w:rPr>
        <w:lastRenderedPageBreak/>
        <w:t xml:space="preserve">en forma concurrente, a las políticas, programas, proyectos y acciones que </w:t>
      </w:r>
      <w:r w:rsidR="00BE57BE">
        <w:rPr>
          <w:rFonts w:ascii="Palatino Linotype" w:eastAsia="Palatino Linotype" w:hAnsi="Palatino Linotype" w:cs="Palatino Linotype"/>
          <w:lang w:eastAsia="es-MX"/>
        </w:rPr>
        <w:t xml:space="preserve">sus miembros </w:t>
      </w:r>
      <w:r w:rsidR="004C551B" w:rsidRPr="004C551B">
        <w:rPr>
          <w:rFonts w:ascii="Palatino Linotype" w:eastAsia="Palatino Linotype" w:hAnsi="Palatino Linotype" w:cs="Palatino Linotype"/>
          <w:lang w:eastAsia="es-MX"/>
        </w:rPr>
        <w:t>deban observar y ejecutar en materia de protección y mejoramiento del ambiente y de preservación y restauración del equilibrio ecológico.</w:t>
      </w:r>
    </w:p>
    <w:p w14:paraId="21B15BC8" w14:textId="77777777" w:rsidR="003671C9" w:rsidRDefault="003671C9" w:rsidP="005D6E32">
      <w:pPr>
        <w:spacing w:after="0" w:line="360" w:lineRule="auto"/>
        <w:ind w:right="-28"/>
        <w:jc w:val="both"/>
      </w:pPr>
    </w:p>
    <w:p w14:paraId="2C1ACADE" w14:textId="33480501" w:rsidR="00876E53" w:rsidRDefault="00BE57BE" w:rsidP="005D6E32">
      <w:pPr>
        <w:spacing w:after="0" w:line="360" w:lineRule="auto"/>
        <w:ind w:right="-28"/>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 xml:space="preserve">Hecho </w:t>
      </w:r>
      <w:r w:rsidR="00876E53">
        <w:rPr>
          <w:rFonts w:ascii="Palatino Linotype" w:eastAsia="Palatino Linotype" w:hAnsi="Palatino Linotype" w:cs="Palatino Linotype"/>
          <w:lang w:eastAsia="es-MX"/>
        </w:rPr>
        <w:t>que se robustece</w:t>
      </w:r>
      <w:r>
        <w:rPr>
          <w:rFonts w:ascii="Palatino Linotype" w:eastAsia="Palatino Linotype" w:hAnsi="Palatino Linotype" w:cs="Palatino Linotype"/>
          <w:lang w:eastAsia="es-MX"/>
        </w:rPr>
        <w:t>,</w:t>
      </w:r>
      <w:r w:rsidR="00876E53">
        <w:rPr>
          <w:rFonts w:ascii="Palatino Linotype" w:eastAsia="Palatino Linotype" w:hAnsi="Palatino Linotype" w:cs="Palatino Linotype"/>
          <w:lang w:eastAsia="es-MX"/>
        </w:rPr>
        <w:t xml:space="preserve"> pues en la página del Gobierno del Estado de México, se encontró la publicación de la Guía para la aplicación del programa Hoy No Circula en la Zona Metropolitana del Valle de México (ZMVM), dos mil veinticinco</w:t>
      </w:r>
      <w:r w:rsidR="00AE31C5">
        <w:rPr>
          <w:rFonts w:ascii="Palatino Linotype" w:eastAsia="Palatino Linotype" w:hAnsi="Palatino Linotype" w:cs="Palatino Linotype"/>
          <w:lang w:eastAsia="es-MX"/>
        </w:rPr>
        <w:t>.</w:t>
      </w:r>
    </w:p>
    <w:p w14:paraId="1AE57DDE" w14:textId="26DE57CD" w:rsidR="00876E53" w:rsidRDefault="00876E53" w:rsidP="005D6E32">
      <w:pPr>
        <w:spacing w:after="0" w:line="360" w:lineRule="auto"/>
        <w:ind w:right="-28"/>
        <w:jc w:val="center"/>
        <w:rPr>
          <w:rFonts w:ascii="Palatino Linotype" w:eastAsia="Palatino Linotype" w:hAnsi="Palatino Linotype" w:cs="Palatino Linotype"/>
          <w:lang w:eastAsia="es-MX"/>
        </w:rPr>
      </w:pPr>
    </w:p>
    <w:p w14:paraId="29CF34E0" w14:textId="69550FDC" w:rsidR="006909FC" w:rsidRDefault="006F56F6" w:rsidP="005D6E32">
      <w:pPr>
        <w:spacing w:after="0" w:line="360" w:lineRule="auto"/>
        <w:jc w:val="both"/>
        <w:rPr>
          <w:rFonts w:ascii="Palatino Linotype" w:eastAsia="Calibri" w:hAnsi="Palatino Linotype" w:cs="Tahoma"/>
          <w:bCs/>
        </w:rPr>
      </w:pPr>
      <w:r>
        <w:rPr>
          <w:rFonts w:ascii="Palatino Linotype" w:eastAsia="Times New Roman" w:hAnsi="Palatino Linotype" w:cs="Times New Roman"/>
          <w:lang w:eastAsia="es-ES"/>
        </w:rPr>
        <w:t>Conforme a lo anterior, se advierte que</w:t>
      </w:r>
      <w:r w:rsidR="006909FC" w:rsidRPr="002A2FCF">
        <w:rPr>
          <w:rFonts w:ascii="Palatino Linotype" w:eastAsia="Times New Roman" w:hAnsi="Palatino Linotype" w:cs="Times New Roman"/>
          <w:lang w:eastAsia="es-ES"/>
        </w:rPr>
        <w:t xml:space="preserve"> </w:t>
      </w:r>
      <w:r w:rsidR="002A2FCF" w:rsidRPr="002A2FCF">
        <w:rPr>
          <w:rFonts w:ascii="Palatino Linotype" w:eastAsia="Times New Roman" w:hAnsi="Palatino Linotype" w:cs="Times New Roman"/>
          <w:lang w:eastAsia="es-ES"/>
        </w:rPr>
        <w:t>el Ayuntamiento de Toluca</w:t>
      </w:r>
      <w:r>
        <w:rPr>
          <w:rFonts w:ascii="Palatino Linotype" w:eastAsia="Times New Roman" w:hAnsi="Palatino Linotype" w:cs="Times New Roman"/>
          <w:lang w:eastAsia="es-ES"/>
        </w:rPr>
        <w:t xml:space="preserve"> no tiene</w:t>
      </w:r>
      <w:r w:rsidR="006909FC" w:rsidRPr="002A2FCF">
        <w:rPr>
          <w:rFonts w:ascii="Palatino Linotype" w:eastAsia="Times New Roman" w:hAnsi="Palatino Linotype" w:cs="Times New Roman"/>
          <w:lang w:eastAsia="es-ES"/>
        </w:rPr>
        <w:t xml:space="preserve"> tiene facultades para conocer de la ejecución </w:t>
      </w:r>
      <w:r>
        <w:rPr>
          <w:rFonts w:ascii="Palatino Linotype" w:eastAsia="Times New Roman" w:hAnsi="Palatino Linotype" w:cs="Times New Roman"/>
          <w:lang w:eastAsia="es-ES"/>
        </w:rPr>
        <w:t>del Programa</w:t>
      </w:r>
      <w:r w:rsidR="002A2FCF" w:rsidRPr="002A2FCF">
        <w:rPr>
          <w:rFonts w:ascii="Palatino Linotype" w:eastAsia="Times New Roman" w:hAnsi="Palatino Linotype" w:cs="Times New Roman"/>
          <w:lang w:eastAsia="es-ES"/>
        </w:rPr>
        <w:t xml:space="preserve"> “Hoy No Circula”</w:t>
      </w:r>
      <w:r>
        <w:rPr>
          <w:rFonts w:ascii="Palatino Linotype" w:eastAsia="Times New Roman" w:hAnsi="Palatino Linotype" w:cs="Times New Roman"/>
          <w:lang w:eastAsia="es-ES"/>
        </w:rPr>
        <w:t xml:space="preserve">, </w:t>
      </w:r>
      <w:r w:rsidR="006909FC" w:rsidRPr="002A2FCF">
        <w:rPr>
          <w:rFonts w:ascii="Palatino Linotype" w:eastAsia="Times New Roman" w:hAnsi="Palatino Linotype" w:cs="Times New Roman"/>
          <w:lang w:eastAsia="es-ES"/>
        </w:rPr>
        <w:t xml:space="preserve">y, por lo tanto, </w:t>
      </w:r>
      <w:r w:rsidR="006909FC" w:rsidRPr="002A2FCF">
        <w:rPr>
          <w:rFonts w:ascii="Palatino Linotype" w:eastAsia="Times New Roman" w:hAnsi="Palatino Linotype" w:cs="Times New Roman"/>
          <w:b/>
          <w:bCs/>
          <w:lang w:eastAsia="es-ES"/>
        </w:rPr>
        <w:t>carece de atribuciones, para conocer de la información peticionada</w:t>
      </w:r>
      <w:r>
        <w:rPr>
          <w:rFonts w:ascii="Palatino Linotype" w:eastAsia="Times New Roman" w:hAnsi="Palatino Linotype" w:cs="Times New Roman"/>
          <w:b/>
          <w:bCs/>
          <w:lang w:eastAsia="es-ES"/>
        </w:rPr>
        <w:t xml:space="preserve"> </w:t>
      </w:r>
      <w:r w:rsidRPr="006F56F6">
        <w:rPr>
          <w:rFonts w:ascii="Palatino Linotype" w:eastAsia="Times New Roman" w:hAnsi="Palatino Linotype" w:cs="Times New Roman"/>
          <w:lang w:eastAsia="es-ES"/>
        </w:rPr>
        <w:t>y por lo tanto,</w:t>
      </w:r>
      <w:r w:rsidR="006909FC" w:rsidRPr="006F56F6">
        <w:rPr>
          <w:rFonts w:ascii="Palatino Linotype" w:eastAsia="Calibri" w:hAnsi="Palatino Linotype" w:cs="Tahoma"/>
        </w:rPr>
        <w:t xml:space="preserve"> es</w:t>
      </w:r>
      <w:r w:rsidR="006909FC" w:rsidRPr="00FA3740">
        <w:rPr>
          <w:rFonts w:ascii="Palatino Linotype" w:eastAsia="Calibri" w:hAnsi="Palatino Linotype" w:cs="Tahoma"/>
          <w:bCs/>
        </w:rPr>
        <w:t xml:space="preserve"> </w:t>
      </w:r>
      <w:r w:rsidR="006909FC" w:rsidRPr="00FA3740">
        <w:rPr>
          <w:rFonts w:ascii="Palatino Linotype" w:eastAsia="Calibri" w:hAnsi="Palatino Linotype" w:cs="Tahoma"/>
          <w:b/>
        </w:rPr>
        <w:t>notoriamente incompetente</w:t>
      </w:r>
      <w:r w:rsidR="006909FC" w:rsidRPr="00FA3740">
        <w:rPr>
          <w:rFonts w:ascii="Palatino Linotype" w:eastAsia="Calibri" w:hAnsi="Palatino Linotype" w:cs="Tahoma"/>
          <w:bCs/>
        </w:rPr>
        <w:t xml:space="preserve"> para conocer de la información solicitada por el Particular</w:t>
      </w:r>
      <w:r>
        <w:rPr>
          <w:rFonts w:ascii="Palatino Linotype" w:eastAsia="Calibri" w:hAnsi="Palatino Linotype" w:cs="Tahoma"/>
          <w:bCs/>
        </w:rPr>
        <w:t xml:space="preserve">; pues </w:t>
      </w:r>
      <w:r w:rsidR="006909FC" w:rsidRPr="00FA3740">
        <w:rPr>
          <w:rFonts w:ascii="Palatino Linotype" w:eastAsia="Calibri" w:hAnsi="Palatino Linotype" w:cs="Tahoma"/>
          <w:bCs/>
        </w:rPr>
        <w:t>inclusive, el Sujeto Obligado orientó al Solicitante a uno de los posibles Sujetos Obligados, que podrían conocer de la información peticionada, a saber, la Secretaría de</w:t>
      </w:r>
      <w:r w:rsidR="00FA3740" w:rsidRPr="00FA3740">
        <w:rPr>
          <w:rFonts w:ascii="Palatino Linotype" w:eastAsia="Calibri" w:hAnsi="Palatino Linotype" w:cs="Tahoma"/>
          <w:bCs/>
        </w:rPr>
        <w:t>l Medio Ambiente y Desarrollo Sostenible.</w:t>
      </w:r>
    </w:p>
    <w:p w14:paraId="5DAB38C0" w14:textId="77777777" w:rsidR="0019587C" w:rsidRDefault="0019587C" w:rsidP="005D6E32">
      <w:pPr>
        <w:spacing w:after="0" w:line="360" w:lineRule="auto"/>
        <w:jc w:val="both"/>
        <w:rPr>
          <w:rFonts w:ascii="Palatino Linotype" w:eastAsia="Calibri" w:hAnsi="Palatino Linotype" w:cs="Tahoma"/>
          <w:bCs/>
        </w:rPr>
      </w:pPr>
    </w:p>
    <w:p w14:paraId="66ED3C1F" w14:textId="67752007" w:rsidR="0019587C" w:rsidRDefault="0019587C" w:rsidP="005D6E32">
      <w:pPr>
        <w:spacing w:after="0" w:line="360" w:lineRule="auto"/>
        <w:jc w:val="both"/>
        <w:rPr>
          <w:rFonts w:ascii="Palatino Linotype" w:eastAsia="Calibri" w:hAnsi="Palatino Linotype" w:cs="Tahoma"/>
          <w:bCs/>
        </w:rPr>
      </w:pPr>
      <w:r>
        <w:rPr>
          <w:rFonts w:ascii="Palatino Linotype" w:eastAsia="Calibri" w:hAnsi="Palatino Linotype" w:cs="Tahoma"/>
          <w:bCs/>
        </w:rPr>
        <w:t>Lo cual, toma relevancia pues en la Toluqueña 2, del veintinueve de enero de dos mil veinticinco, en la cual el actual Presidente Municipal Toluca, Ricardo Moreno Bastida, precisó que en ningún momento había señalado que implementaría el programa “Hoy no Circula”, dado que es la Autoridad Estatal la encargada de regularlo.</w:t>
      </w:r>
    </w:p>
    <w:p w14:paraId="4A4602A9" w14:textId="77777777" w:rsidR="00FA3740" w:rsidRDefault="00FA3740" w:rsidP="005D6E32">
      <w:pPr>
        <w:spacing w:after="0" w:line="360" w:lineRule="auto"/>
        <w:jc w:val="both"/>
        <w:rPr>
          <w:rFonts w:ascii="Palatino Linotype" w:eastAsia="Calibri" w:hAnsi="Palatino Linotype" w:cs="Tahoma"/>
          <w:bCs/>
        </w:rPr>
      </w:pPr>
    </w:p>
    <w:p w14:paraId="6156053E" w14:textId="62B73735" w:rsidR="009B2D65" w:rsidRDefault="0019587C" w:rsidP="005D6E32">
      <w:pPr>
        <w:spacing w:after="0" w:line="360" w:lineRule="auto"/>
        <w:jc w:val="both"/>
        <w:rPr>
          <w:rFonts w:ascii="Palatino Linotype" w:eastAsia="Calibri" w:hAnsi="Palatino Linotype" w:cs="Tahoma"/>
          <w:bCs/>
        </w:rPr>
      </w:pPr>
      <w:r>
        <w:rPr>
          <w:rFonts w:ascii="Palatino Linotype" w:eastAsia="Calibri" w:hAnsi="Palatino Linotype" w:cs="Tahoma"/>
          <w:bCs/>
        </w:rPr>
        <w:t>Además</w:t>
      </w:r>
      <w:r w:rsidR="00FA3740">
        <w:rPr>
          <w:rFonts w:ascii="Palatino Linotype" w:eastAsia="Calibri" w:hAnsi="Palatino Linotype" w:cs="Tahoma"/>
          <w:bCs/>
        </w:rPr>
        <w:t>, este instituto localizó en las redes sociales oficiales de la Secretaría del Medio Ambiente y Desarrollo Sostenible que dicha Secretaría realiza operativos informativos, en diversos municipios del Estado de México, a fin de brindar orientación sobre el Programa “Hoy No Circula”, tal como se desprende de las siguientes capturas de pantalla:</w:t>
      </w:r>
    </w:p>
    <w:p w14:paraId="594507F2" w14:textId="77777777" w:rsidR="009B2D65" w:rsidRDefault="009B2D65" w:rsidP="005D6E32">
      <w:pPr>
        <w:spacing w:after="0" w:line="360" w:lineRule="auto"/>
        <w:jc w:val="both"/>
        <w:rPr>
          <w:rFonts w:ascii="Palatino Linotype" w:eastAsia="Calibri" w:hAnsi="Palatino Linotype" w:cs="Tahoma"/>
          <w:bCs/>
          <w:noProof/>
        </w:rPr>
      </w:pPr>
    </w:p>
    <w:p w14:paraId="4DCC5166" w14:textId="7F2A64A9" w:rsidR="006F56F6" w:rsidRDefault="009B2D65" w:rsidP="005D6E32">
      <w:pPr>
        <w:spacing w:after="0" w:line="360" w:lineRule="auto"/>
        <w:jc w:val="center"/>
        <w:rPr>
          <w:rFonts w:ascii="Palatino Linotype" w:eastAsia="Calibri" w:hAnsi="Palatino Linotype" w:cs="Tahoma"/>
          <w:bCs/>
          <w:noProof/>
        </w:rPr>
      </w:pPr>
      <w:r>
        <w:rPr>
          <w:rFonts w:ascii="Palatino Linotype" w:eastAsia="Calibri" w:hAnsi="Palatino Linotype" w:cs="Tahoma"/>
          <w:bCs/>
          <w:noProof/>
          <w:lang w:eastAsia="es-MX"/>
        </w:rPr>
        <w:lastRenderedPageBreak/>
        <w:drawing>
          <wp:inline distT="0" distB="0" distL="0" distR="0" wp14:anchorId="7BE4B6E5" wp14:editId="64A347D6">
            <wp:extent cx="1546860" cy="2704027"/>
            <wp:effectExtent l="0" t="0" r="0" b="1270"/>
            <wp:docPr id="598068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68507" name="Imagen 598068507"/>
                    <pic:cNvPicPr/>
                  </pic:nvPicPr>
                  <pic:blipFill rotWithShape="1">
                    <a:blip r:embed="rId10" cstate="print">
                      <a:extLst>
                        <a:ext uri="{28A0092B-C50C-407E-A947-70E740481C1C}">
                          <a14:useLocalDpi xmlns:a14="http://schemas.microsoft.com/office/drawing/2010/main" val="0"/>
                        </a:ext>
                      </a:extLst>
                    </a:blip>
                    <a:srcRect t="20328" r="5010" b="5521"/>
                    <a:stretch/>
                  </pic:blipFill>
                  <pic:spPr bwMode="auto">
                    <a:xfrm>
                      <a:off x="0" y="0"/>
                      <a:ext cx="1552660" cy="2714166"/>
                    </a:xfrm>
                    <a:prstGeom prst="rect">
                      <a:avLst/>
                    </a:prstGeom>
                    <a:ln>
                      <a:noFill/>
                    </a:ln>
                    <a:extLst>
                      <a:ext uri="{53640926-AAD7-44D8-BBD7-CCE9431645EC}">
                        <a14:shadowObscured xmlns:a14="http://schemas.microsoft.com/office/drawing/2010/main"/>
                      </a:ext>
                    </a:extLst>
                  </pic:spPr>
                </pic:pic>
              </a:graphicData>
            </a:graphic>
          </wp:inline>
        </w:drawing>
      </w:r>
      <w:r w:rsidR="006F56F6">
        <w:rPr>
          <w:rFonts w:ascii="Palatino Linotype" w:eastAsia="Calibri" w:hAnsi="Palatino Linotype" w:cs="Tahoma"/>
          <w:bCs/>
          <w:noProof/>
        </w:rPr>
        <w:t xml:space="preserve">  </w:t>
      </w:r>
      <w:r>
        <w:rPr>
          <w:rFonts w:ascii="Palatino Linotype" w:eastAsia="Calibri" w:hAnsi="Palatino Linotype" w:cs="Tahoma"/>
          <w:bCs/>
          <w:noProof/>
          <w:lang w:eastAsia="es-MX"/>
        </w:rPr>
        <w:drawing>
          <wp:inline distT="0" distB="0" distL="0" distR="0" wp14:anchorId="60D40E4D" wp14:editId="520D55D9">
            <wp:extent cx="1661160" cy="2678594"/>
            <wp:effectExtent l="0" t="0" r="0" b="7620"/>
            <wp:docPr id="16715105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10511" name="Imagen 1671510511"/>
                    <pic:cNvPicPr/>
                  </pic:nvPicPr>
                  <pic:blipFill rotWithShape="1">
                    <a:blip r:embed="rId11" cstate="print">
                      <a:extLst>
                        <a:ext uri="{28A0092B-C50C-407E-A947-70E740481C1C}">
                          <a14:useLocalDpi xmlns:a14="http://schemas.microsoft.com/office/drawing/2010/main" val="0"/>
                        </a:ext>
                      </a:extLst>
                    </a:blip>
                    <a:srcRect l="1" t="23647" r="-3056" b="8504"/>
                    <a:stretch/>
                  </pic:blipFill>
                  <pic:spPr bwMode="auto">
                    <a:xfrm>
                      <a:off x="0" y="0"/>
                      <a:ext cx="1696831" cy="2736113"/>
                    </a:xfrm>
                    <a:prstGeom prst="rect">
                      <a:avLst/>
                    </a:prstGeom>
                    <a:ln>
                      <a:noFill/>
                    </a:ln>
                    <a:extLst>
                      <a:ext uri="{53640926-AAD7-44D8-BBD7-CCE9431645EC}">
                        <a14:shadowObscured xmlns:a14="http://schemas.microsoft.com/office/drawing/2010/main"/>
                      </a:ext>
                    </a:extLst>
                  </pic:spPr>
                </pic:pic>
              </a:graphicData>
            </a:graphic>
          </wp:inline>
        </w:drawing>
      </w:r>
    </w:p>
    <w:p w14:paraId="398B7099" w14:textId="0AC8A0C5" w:rsidR="009B2D65" w:rsidRDefault="009B2D65" w:rsidP="005D6E32">
      <w:pPr>
        <w:spacing w:after="0" w:line="360" w:lineRule="auto"/>
        <w:jc w:val="center"/>
        <w:rPr>
          <w:rFonts w:ascii="Palatino Linotype" w:eastAsia="Calibri" w:hAnsi="Palatino Linotype" w:cs="Tahoma"/>
          <w:bCs/>
          <w:noProof/>
        </w:rPr>
      </w:pPr>
      <w:r>
        <w:rPr>
          <w:rFonts w:ascii="Palatino Linotype" w:eastAsia="Calibri" w:hAnsi="Palatino Linotype" w:cs="Tahoma"/>
          <w:bCs/>
          <w:noProof/>
          <w:lang w:eastAsia="es-MX"/>
        </w:rPr>
        <w:drawing>
          <wp:inline distT="0" distB="0" distL="0" distR="0" wp14:anchorId="2AA35B6C" wp14:editId="23FD936C">
            <wp:extent cx="1706880" cy="2651760"/>
            <wp:effectExtent l="0" t="0" r="7620" b="0"/>
            <wp:docPr id="1423650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5056" name="Imagen 142365056"/>
                    <pic:cNvPicPr/>
                  </pic:nvPicPr>
                  <pic:blipFill rotWithShape="1">
                    <a:blip r:embed="rId12" cstate="print">
                      <a:extLst>
                        <a:ext uri="{28A0092B-C50C-407E-A947-70E740481C1C}">
                          <a14:useLocalDpi xmlns:a14="http://schemas.microsoft.com/office/drawing/2010/main" val="0"/>
                        </a:ext>
                      </a:extLst>
                    </a:blip>
                    <a:srcRect t="15777" r="-206" b="5798"/>
                    <a:stretch/>
                  </pic:blipFill>
                  <pic:spPr bwMode="auto">
                    <a:xfrm>
                      <a:off x="0" y="0"/>
                      <a:ext cx="1774985" cy="2757566"/>
                    </a:xfrm>
                    <a:prstGeom prst="rect">
                      <a:avLst/>
                    </a:prstGeom>
                    <a:ln>
                      <a:noFill/>
                    </a:ln>
                    <a:extLst>
                      <a:ext uri="{53640926-AAD7-44D8-BBD7-CCE9431645EC}">
                        <a14:shadowObscured xmlns:a14="http://schemas.microsoft.com/office/drawing/2010/main"/>
                      </a:ext>
                    </a:extLst>
                  </pic:spPr>
                </pic:pic>
              </a:graphicData>
            </a:graphic>
          </wp:inline>
        </w:drawing>
      </w:r>
    </w:p>
    <w:p w14:paraId="00E4F219" w14:textId="77777777" w:rsidR="006F56F6" w:rsidRDefault="006F56F6" w:rsidP="005D6E32">
      <w:pPr>
        <w:spacing w:after="0" w:line="360" w:lineRule="auto"/>
        <w:jc w:val="both"/>
        <w:rPr>
          <w:rFonts w:ascii="Palatino Linotype" w:eastAsia="Calibri" w:hAnsi="Palatino Linotype" w:cs="Times New Roman"/>
          <w:bCs/>
        </w:rPr>
      </w:pPr>
    </w:p>
    <w:p w14:paraId="414F75CD" w14:textId="68E05334" w:rsidR="00A708A4" w:rsidRDefault="0019587C" w:rsidP="005D6E32">
      <w:pPr>
        <w:spacing w:after="0" w:line="360" w:lineRule="auto"/>
        <w:jc w:val="both"/>
        <w:rPr>
          <w:rFonts w:ascii="Palatino Linotype" w:eastAsia="Calibri" w:hAnsi="Palatino Linotype" w:cs="Times New Roman"/>
          <w:bCs/>
        </w:rPr>
      </w:pPr>
      <w:r>
        <w:rPr>
          <w:rFonts w:ascii="Palatino Linotype" w:eastAsia="Calibri" w:hAnsi="Palatino Linotype" w:cs="Times New Roman"/>
          <w:bCs/>
        </w:rPr>
        <w:t>Además, el Acuerdo que establece las Medidas para Limitar la Circulación de los Vehículos Automotores en los Municipios Conurbados del Estado de México de la Zona Metropolitana del Valle de México (ZMVM) (Hoy No Circula) para controlar y reducir la contaminación atmosférica y contingencias ambientales atmosféricas</w:t>
      </w:r>
      <w:r w:rsidR="00A708A4">
        <w:rPr>
          <w:rFonts w:ascii="Palatino Linotype" w:eastAsia="Calibri" w:hAnsi="Palatino Linotype" w:cs="Times New Roman"/>
          <w:bCs/>
        </w:rPr>
        <w:t xml:space="preserve">, precisan que la Secretaría del Medio Ambiente del Estado de México [ahora </w:t>
      </w:r>
      <w:r w:rsidR="00A708A4" w:rsidRPr="00A708A4">
        <w:rPr>
          <w:rFonts w:ascii="Palatino Linotype" w:eastAsia="Calibri" w:hAnsi="Palatino Linotype" w:cs="Times New Roman"/>
          <w:bCs/>
        </w:rPr>
        <w:t xml:space="preserve">Secretaría del Medio Ambiente y Desarrollo </w:t>
      </w:r>
      <w:r w:rsidR="00A708A4" w:rsidRPr="00A708A4">
        <w:rPr>
          <w:rFonts w:ascii="Palatino Linotype" w:eastAsia="Calibri" w:hAnsi="Palatino Linotype" w:cs="Times New Roman"/>
          <w:bCs/>
        </w:rPr>
        <w:lastRenderedPageBreak/>
        <w:t>Sostenible</w:t>
      </w:r>
      <w:r w:rsidR="00A708A4">
        <w:rPr>
          <w:rFonts w:ascii="Palatino Linotype" w:eastAsia="Calibri" w:hAnsi="Palatino Linotype" w:cs="Times New Roman"/>
          <w:bCs/>
        </w:rPr>
        <w:t>] es la encarga de definir los criterios para exentar la limitación de la circulación vehicular; por lo que, es la autoridad principal para vigilar el cumplimiento del programa.</w:t>
      </w:r>
    </w:p>
    <w:p w14:paraId="35C0D28E" w14:textId="77777777" w:rsidR="00A708A4" w:rsidRDefault="00A708A4" w:rsidP="005D6E32">
      <w:pPr>
        <w:spacing w:after="0" w:line="360" w:lineRule="auto"/>
        <w:ind w:right="-93"/>
        <w:jc w:val="both"/>
        <w:rPr>
          <w:rFonts w:ascii="Palatino Linotype" w:eastAsia="Times New Roman" w:hAnsi="Palatino Linotype" w:cs="Tahoma"/>
          <w:bCs/>
          <w:lang w:val="es-ES" w:eastAsia="es-ES"/>
        </w:rPr>
      </w:pPr>
    </w:p>
    <w:p w14:paraId="3D2B581A" w14:textId="4522C2E8" w:rsidR="006909FC" w:rsidRPr="00E06298" w:rsidRDefault="006909FC" w:rsidP="00A708A4">
      <w:pPr>
        <w:spacing w:after="0" w:line="360" w:lineRule="auto"/>
        <w:ind w:right="-93"/>
        <w:jc w:val="both"/>
        <w:rPr>
          <w:rFonts w:ascii="Palatino Linotype" w:eastAsia="Times New Roman" w:hAnsi="Palatino Linotype" w:cs="Tahoma"/>
          <w:bCs/>
          <w:iCs/>
          <w:lang w:eastAsia="es-ES"/>
        </w:rPr>
      </w:pPr>
      <w:r w:rsidRPr="009B2D65">
        <w:rPr>
          <w:rFonts w:ascii="Palatino Linotype" w:eastAsia="Times New Roman" w:hAnsi="Palatino Linotype" w:cs="Tahoma"/>
          <w:bCs/>
          <w:lang w:val="es-ES" w:eastAsia="es-ES"/>
        </w:rPr>
        <w:t xml:space="preserve">Conforme a lo expuesto, se considera que el Sujeto Obligado fue congruente con su respuesta, al señalar que carecía de atribuciones para conocer de lo peticionado; por lo que, se concluye que </w:t>
      </w:r>
      <w:r w:rsidR="009B2D65">
        <w:rPr>
          <w:rFonts w:ascii="Palatino Linotype" w:eastAsia="Times New Roman" w:hAnsi="Palatino Linotype" w:cs="Tahoma"/>
          <w:bCs/>
          <w:lang w:val="es-ES" w:eastAsia="es-ES"/>
        </w:rPr>
        <w:t>el Ayuntamiento de Toluca</w:t>
      </w:r>
      <w:r w:rsidR="009B2D65">
        <w:rPr>
          <w:rFonts w:ascii="Palatino Linotype" w:eastAsia="Times New Roman" w:hAnsi="Palatino Linotype" w:cs="Tahoma"/>
          <w:bCs/>
          <w:color w:val="FF0000"/>
          <w:lang w:val="es-ES" w:eastAsia="es-ES"/>
        </w:rPr>
        <w:t xml:space="preserve"> </w:t>
      </w:r>
      <w:r w:rsidRPr="009B2D65">
        <w:rPr>
          <w:rFonts w:ascii="Palatino Linotype" w:eastAsia="Times New Roman" w:hAnsi="Palatino Linotype" w:cs="Tahoma"/>
          <w:lang w:val="es-ES" w:eastAsia="es-ES"/>
        </w:rPr>
        <w:t xml:space="preserve">es </w:t>
      </w:r>
      <w:r w:rsidRPr="009B2D65">
        <w:rPr>
          <w:rFonts w:ascii="Palatino Linotype" w:eastAsia="Times New Roman" w:hAnsi="Palatino Linotype" w:cs="Tahoma"/>
          <w:b/>
          <w:lang w:val="es-ES" w:eastAsia="es-ES"/>
        </w:rPr>
        <w:t>notoriamente incompetente</w:t>
      </w:r>
      <w:r w:rsidRPr="009B2D65">
        <w:rPr>
          <w:rFonts w:ascii="Palatino Linotype" w:eastAsia="Times New Roman" w:hAnsi="Palatino Linotype" w:cs="Tahoma"/>
          <w:lang w:val="es-ES" w:eastAsia="es-ES"/>
        </w:rPr>
        <w:t xml:space="preserve"> para conocer de la solicitud de información</w:t>
      </w:r>
      <w:r w:rsidRPr="009B2D65">
        <w:rPr>
          <w:rFonts w:ascii="Palatino Linotype" w:eastAsia="Calibri" w:hAnsi="Palatino Linotype" w:cs="Tahoma"/>
          <w:bCs/>
        </w:rPr>
        <w:t xml:space="preserve">, y, por lo tanto, el </w:t>
      </w:r>
      <w:r w:rsidRPr="009B2D65">
        <w:rPr>
          <w:rFonts w:ascii="Palatino Linotype" w:eastAsia="Times New Roman" w:hAnsi="Palatino Linotype" w:cs="Tahoma"/>
          <w:lang w:val="es-ES" w:eastAsia="es-ES"/>
        </w:rPr>
        <w:t xml:space="preserve">agravio del Recurrente deviene de </w:t>
      </w:r>
      <w:r w:rsidRPr="009B2D65">
        <w:rPr>
          <w:rFonts w:ascii="Palatino Linotype" w:eastAsia="Times New Roman" w:hAnsi="Palatino Linotype" w:cs="Tahoma"/>
          <w:b/>
          <w:bCs/>
          <w:lang w:val="es-ES" w:eastAsia="es-ES"/>
        </w:rPr>
        <w:t>INFUNDADO.</w:t>
      </w:r>
      <w:r w:rsidRPr="009B2D65">
        <w:rPr>
          <w:rFonts w:ascii="Palatino Linotype" w:eastAsia="Times New Roman" w:hAnsi="Palatino Linotype" w:cs="Tahoma"/>
          <w:lang w:val="es-ES" w:eastAsia="es-ES"/>
        </w:rPr>
        <w:t xml:space="preserve"> </w:t>
      </w:r>
    </w:p>
    <w:p w14:paraId="42DFA899" w14:textId="77777777" w:rsidR="006909FC" w:rsidRPr="00E06298" w:rsidRDefault="006909FC" w:rsidP="005D6E32">
      <w:pPr>
        <w:spacing w:after="0" w:line="360" w:lineRule="auto"/>
        <w:jc w:val="both"/>
        <w:rPr>
          <w:rFonts w:ascii="Palatino Linotype" w:eastAsia="Times New Roman" w:hAnsi="Palatino Linotype" w:cs="Tahoma"/>
          <w:bCs/>
          <w:iCs/>
          <w:lang w:eastAsia="es-ES"/>
        </w:rPr>
      </w:pPr>
    </w:p>
    <w:p w14:paraId="1953D68B" w14:textId="4EC7C2F0" w:rsidR="006909FC" w:rsidRPr="00E06298" w:rsidRDefault="006909FC" w:rsidP="00F0352C">
      <w:pPr>
        <w:pStyle w:val="Ttulo2"/>
        <w:rPr>
          <w:rFonts w:eastAsia="Calibri"/>
        </w:rPr>
      </w:pPr>
      <w:bookmarkStart w:id="15" w:name="_Toc190952137"/>
      <w:r w:rsidRPr="00E06298">
        <w:rPr>
          <w:rFonts w:eastAsia="Calibri"/>
        </w:rPr>
        <w:t>SEXTO. Decisión</w:t>
      </w:r>
      <w:bookmarkEnd w:id="15"/>
    </w:p>
    <w:p w14:paraId="283A59B8" w14:textId="77777777" w:rsidR="006F56F6" w:rsidRPr="00E06298" w:rsidRDefault="006F56F6" w:rsidP="005D6E32">
      <w:pPr>
        <w:spacing w:after="0" w:line="360" w:lineRule="auto"/>
        <w:jc w:val="both"/>
        <w:rPr>
          <w:rFonts w:ascii="Palatino Linotype" w:eastAsia="Calibri" w:hAnsi="Palatino Linotype" w:cs="Tahoma"/>
          <w:b/>
        </w:rPr>
      </w:pPr>
    </w:p>
    <w:p w14:paraId="627A7048" w14:textId="77777777" w:rsidR="006909FC" w:rsidRPr="00E06298" w:rsidRDefault="006909FC" w:rsidP="005D6E32">
      <w:pPr>
        <w:spacing w:after="0" w:line="360" w:lineRule="auto"/>
        <w:jc w:val="both"/>
        <w:rPr>
          <w:rFonts w:ascii="Palatino Linotype" w:eastAsia="Times New Roman" w:hAnsi="Palatino Linotype" w:cs="Tahoma"/>
          <w:lang w:eastAsia="es-ES"/>
        </w:rPr>
      </w:pPr>
      <w:r w:rsidRPr="00E06298">
        <w:rPr>
          <w:rFonts w:ascii="Palatino Linotype" w:eastAsia="Times New Roman" w:hAnsi="Palatino Linotype" w:cs="Tahoma"/>
          <w:lang w:eastAsia="es-ES"/>
        </w:rPr>
        <w:t xml:space="preserve">Con fundamento en el artículo 186, fracción II, de la Ley de Transparencia y Acceso a la Información Pública del Estado de México y Municipios, este Instituto considera procedente </w:t>
      </w:r>
      <w:r w:rsidRPr="00E06298">
        <w:rPr>
          <w:rFonts w:ascii="Palatino Linotype" w:eastAsia="Times New Roman" w:hAnsi="Palatino Linotype" w:cs="Tahoma"/>
          <w:b/>
          <w:lang w:eastAsia="es-ES"/>
        </w:rPr>
        <w:t xml:space="preserve">CONFIRMAR </w:t>
      </w:r>
      <w:r w:rsidRPr="00E06298">
        <w:rPr>
          <w:rFonts w:ascii="Palatino Linotype" w:eastAsia="Times New Roman" w:hAnsi="Palatino Linotype" w:cs="Tahoma"/>
          <w:lang w:eastAsia="es-ES"/>
        </w:rPr>
        <w:t xml:space="preserve">la respuesta otorgada por el Sujeto Obligado. </w:t>
      </w:r>
    </w:p>
    <w:p w14:paraId="0E326BFA" w14:textId="77777777" w:rsidR="006909FC" w:rsidRPr="006909FC" w:rsidRDefault="006909FC" w:rsidP="005D6E32">
      <w:pPr>
        <w:spacing w:after="0" w:line="360" w:lineRule="auto"/>
        <w:jc w:val="both"/>
        <w:rPr>
          <w:rFonts w:ascii="Palatino Linotype" w:eastAsia="Calibri" w:hAnsi="Palatino Linotype" w:cs="Tahoma"/>
          <w:b/>
          <w:bCs/>
          <w:color w:val="FF0000"/>
        </w:rPr>
      </w:pPr>
    </w:p>
    <w:p w14:paraId="3F6505ED" w14:textId="608E549E" w:rsidR="006909FC" w:rsidRPr="00E06298" w:rsidRDefault="006909FC" w:rsidP="005D6E32">
      <w:pPr>
        <w:spacing w:after="0" w:line="360" w:lineRule="auto"/>
        <w:jc w:val="both"/>
        <w:rPr>
          <w:rFonts w:ascii="Palatino Linotype" w:eastAsia="Calibri" w:hAnsi="Palatino Linotype" w:cs="Tahoma"/>
          <w:b/>
          <w:bCs/>
        </w:rPr>
      </w:pPr>
      <w:r w:rsidRPr="00E06298">
        <w:rPr>
          <w:rFonts w:ascii="Palatino Linotype" w:eastAsia="Calibri" w:hAnsi="Palatino Linotype" w:cs="Tahoma"/>
          <w:b/>
          <w:bCs/>
        </w:rPr>
        <w:t>Términos de la Resolución para conocimiento del Particular</w:t>
      </w:r>
    </w:p>
    <w:p w14:paraId="21A1201A" w14:textId="77777777" w:rsidR="006909FC" w:rsidRPr="00E06298" w:rsidRDefault="006909FC" w:rsidP="005D6E32">
      <w:pPr>
        <w:spacing w:after="0" w:line="360" w:lineRule="auto"/>
        <w:jc w:val="both"/>
        <w:rPr>
          <w:rFonts w:ascii="Palatino Linotype" w:eastAsia="Calibri" w:hAnsi="Palatino Linotype" w:cs="Tahoma"/>
          <w:b/>
          <w:bCs/>
        </w:rPr>
      </w:pPr>
    </w:p>
    <w:p w14:paraId="2E00C875" w14:textId="68C40B92" w:rsidR="006F56F6" w:rsidRPr="006F56F6" w:rsidRDefault="00A708A4" w:rsidP="006F56F6">
      <w:pPr>
        <w:widowControl w:val="0"/>
        <w:spacing w:after="0" w:line="360" w:lineRule="auto"/>
        <w:jc w:val="both"/>
        <w:rPr>
          <w:rFonts w:ascii="Palatino Linotype" w:eastAsia="Calibri" w:hAnsi="Palatino Linotype" w:cs="Times New Roman"/>
          <w:color w:val="000000"/>
        </w:rPr>
      </w:pPr>
      <w:r>
        <w:rPr>
          <w:rFonts w:ascii="Palatino Linotype" w:eastAsia="Calibri" w:hAnsi="Palatino Linotype" w:cs="Tahoma"/>
          <w:bCs/>
          <w:iCs/>
        </w:rPr>
        <w:t>Así, se le informa</w:t>
      </w:r>
      <w:r w:rsidR="006909FC" w:rsidRPr="00E06298">
        <w:rPr>
          <w:rFonts w:ascii="Palatino Linotype" w:eastAsia="Calibri" w:hAnsi="Palatino Linotype" w:cs="Tahoma"/>
          <w:bCs/>
          <w:iCs/>
        </w:rPr>
        <w:t xml:space="preserve"> que, en el presente caso, no se le da la razón pues el Sujeto Obligado es incompetente para conocer sobre el requerimiento de información</w:t>
      </w:r>
      <w:r w:rsidR="006F56F6">
        <w:rPr>
          <w:rFonts w:ascii="Palatino Linotype" w:eastAsia="Calibri" w:hAnsi="Palatino Linotype" w:cs="Tahoma"/>
          <w:bCs/>
          <w:iCs/>
        </w:rPr>
        <w:t>, pues corresponde a un programa Estatal, regulado por una Secretaría del Poder Ejecutivo del Estado de México. A</w:t>
      </w:r>
      <w:r w:rsidR="006909FC" w:rsidRPr="00E06298">
        <w:rPr>
          <w:rFonts w:ascii="Palatino Linotype" w:eastAsia="Calibri" w:hAnsi="Palatino Linotype" w:cs="Tahoma"/>
          <w:bCs/>
          <w:iCs/>
        </w:rPr>
        <w:t>demás, se le dejan a salvo sus derechos, a efecto de que, si es de su interés, presente la solicitud ante la Secretaría de</w:t>
      </w:r>
      <w:r w:rsidR="00E06298" w:rsidRPr="00E06298">
        <w:rPr>
          <w:rFonts w:ascii="Palatino Linotype" w:eastAsia="Calibri" w:hAnsi="Palatino Linotype" w:cs="Tahoma"/>
          <w:bCs/>
          <w:iCs/>
        </w:rPr>
        <w:t>l Medio Ambiente y Desarrollo Sostenible</w:t>
      </w:r>
      <w:r w:rsidR="006F56F6">
        <w:rPr>
          <w:rFonts w:ascii="Palatino Linotype" w:eastAsia="Calibri" w:hAnsi="Palatino Linotype" w:cs="Tahoma"/>
          <w:bCs/>
          <w:iCs/>
        </w:rPr>
        <w:t xml:space="preserve">, al ser la competente para ejecutar el programa referido en la solicitud. </w:t>
      </w:r>
      <w:r w:rsidR="006F56F6" w:rsidRPr="006F56F6">
        <w:rPr>
          <w:rFonts w:ascii="Palatino Linotype" w:eastAsia="Calibri" w:hAnsi="Palatino Linotype" w:cs="Times New Roman"/>
          <w:color w:val="000000"/>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4A003106" w14:textId="77777777" w:rsidR="006F56F6" w:rsidRDefault="006F56F6" w:rsidP="005D6E32">
      <w:pPr>
        <w:widowControl w:val="0"/>
        <w:spacing w:after="0" w:line="360" w:lineRule="auto"/>
        <w:jc w:val="both"/>
        <w:rPr>
          <w:rFonts w:ascii="Palatino Linotype" w:eastAsia="Calibri" w:hAnsi="Palatino Linotype" w:cs="Times New Roman"/>
        </w:rPr>
      </w:pPr>
    </w:p>
    <w:p w14:paraId="27A3B0F6" w14:textId="77777777" w:rsidR="006909FC" w:rsidRPr="00E06298" w:rsidRDefault="006909FC" w:rsidP="005D6E32">
      <w:pPr>
        <w:spacing w:after="0" w:line="360" w:lineRule="auto"/>
        <w:jc w:val="both"/>
        <w:rPr>
          <w:rFonts w:ascii="Palatino Linotype" w:eastAsia="Calibri" w:hAnsi="Palatino Linotype" w:cs="Tahoma"/>
          <w:bCs/>
        </w:rPr>
      </w:pPr>
      <w:r w:rsidRPr="00E06298">
        <w:rPr>
          <w:rFonts w:ascii="Palatino Linotype" w:eastAsia="Calibri" w:hAnsi="Palatino Linotype" w:cs="Tahoma"/>
          <w:bCs/>
        </w:rPr>
        <w:lastRenderedPageBreak/>
        <w:t>Por lo expuesto y fundado, este Pleno:</w:t>
      </w:r>
    </w:p>
    <w:p w14:paraId="4DC89E24" w14:textId="77777777" w:rsidR="006909FC" w:rsidRPr="00E06298" w:rsidRDefault="006909FC" w:rsidP="005D6E32">
      <w:pPr>
        <w:spacing w:after="0" w:line="360" w:lineRule="auto"/>
        <w:jc w:val="both"/>
        <w:rPr>
          <w:rFonts w:ascii="Palatino Linotype" w:eastAsia="Calibri" w:hAnsi="Palatino Linotype" w:cs="Tahoma"/>
          <w:bCs/>
        </w:rPr>
      </w:pPr>
    </w:p>
    <w:p w14:paraId="24679D94" w14:textId="26C8C339" w:rsidR="006909FC" w:rsidRPr="00E06298" w:rsidRDefault="006909FC" w:rsidP="00F0352C">
      <w:pPr>
        <w:pStyle w:val="Ttulo1"/>
        <w:rPr>
          <w:rFonts w:eastAsia="Calibri"/>
        </w:rPr>
      </w:pPr>
      <w:bookmarkStart w:id="16" w:name="_Toc190952138"/>
      <w:r w:rsidRPr="00E06298">
        <w:rPr>
          <w:rFonts w:eastAsia="Calibri"/>
        </w:rPr>
        <w:t>R E S U E L V E</w:t>
      </w:r>
      <w:bookmarkEnd w:id="16"/>
    </w:p>
    <w:p w14:paraId="3614E9B8" w14:textId="77777777" w:rsidR="006909FC" w:rsidRPr="006909FC" w:rsidRDefault="006909FC" w:rsidP="005D6E32">
      <w:pPr>
        <w:spacing w:after="0" w:line="360" w:lineRule="auto"/>
        <w:ind w:right="-91"/>
        <w:jc w:val="center"/>
        <w:rPr>
          <w:rFonts w:ascii="Palatino Linotype" w:eastAsia="Calibri" w:hAnsi="Palatino Linotype" w:cs="Tahoma"/>
          <w:b/>
          <w:bCs/>
          <w:color w:val="FF0000"/>
        </w:rPr>
      </w:pPr>
    </w:p>
    <w:p w14:paraId="5B56FF19" w14:textId="3DC2FD0F" w:rsidR="006909FC" w:rsidRPr="006909FC" w:rsidRDefault="006909FC" w:rsidP="005D6E32">
      <w:pPr>
        <w:spacing w:after="0" w:line="360" w:lineRule="auto"/>
        <w:contextualSpacing/>
        <w:jc w:val="both"/>
        <w:rPr>
          <w:rFonts w:ascii="Palatino Linotype" w:eastAsia="Calibri" w:hAnsi="Palatino Linotype" w:cs="Tahoma"/>
          <w:iCs/>
          <w:color w:val="FF0000"/>
        </w:rPr>
      </w:pPr>
      <w:r w:rsidRPr="00E06298">
        <w:rPr>
          <w:rFonts w:ascii="Palatino Linotype" w:eastAsia="Calibri" w:hAnsi="Palatino Linotype" w:cs="Tahoma"/>
          <w:b/>
          <w:bCs/>
          <w:iCs/>
        </w:rPr>
        <w:t xml:space="preserve">PRIMERO. </w:t>
      </w:r>
      <w:r w:rsidRPr="00E06298">
        <w:rPr>
          <w:rFonts w:ascii="Palatino Linotype" w:eastAsia="Calibri" w:hAnsi="Palatino Linotype" w:cs="Tahoma"/>
          <w:bCs/>
          <w:iCs/>
        </w:rPr>
        <w:t xml:space="preserve">Se </w:t>
      </w:r>
      <w:r w:rsidRPr="00E06298">
        <w:rPr>
          <w:rFonts w:ascii="Palatino Linotype" w:eastAsia="Calibri" w:hAnsi="Palatino Linotype" w:cs="Tahoma"/>
          <w:b/>
          <w:bCs/>
          <w:iCs/>
        </w:rPr>
        <w:t xml:space="preserve">CONFIRMA </w:t>
      </w:r>
      <w:r w:rsidRPr="00E06298">
        <w:rPr>
          <w:rFonts w:ascii="Palatino Linotype" w:eastAsia="Calibri" w:hAnsi="Palatino Linotype" w:cs="Tahoma"/>
          <w:iCs/>
        </w:rPr>
        <w:t xml:space="preserve">la respuesta entregada por el Sujeto Obligado a la solicitud de acceso a la información </w:t>
      </w:r>
      <w:r w:rsidR="00E06298" w:rsidRPr="00E06298">
        <w:rPr>
          <w:rFonts w:ascii="Palatino Linotype" w:eastAsia="Times New Roman" w:hAnsi="Palatino Linotype" w:cs="Tahoma"/>
          <w:bCs/>
          <w:lang w:eastAsia="es-ES"/>
        </w:rPr>
        <w:t>00452/TOLUCA/IP/2025</w:t>
      </w:r>
      <w:r w:rsidRPr="00E06298">
        <w:rPr>
          <w:rFonts w:ascii="Palatino Linotype" w:eastAsia="Times New Roman" w:hAnsi="Palatino Linotype" w:cs="Tahoma"/>
          <w:bCs/>
          <w:lang w:eastAsia="es-ES"/>
        </w:rPr>
        <w:t xml:space="preserve">, </w:t>
      </w:r>
      <w:r w:rsidRPr="00E06298">
        <w:rPr>
          <w:rFonts w:ascii="Palatino Linotype" w:eastAsia="Calibri" w:hAnsi="Palatino Linotype" w:cs="Tahoma"/>
          <w:bCs/>
          <w:iCs/>
        </w:rPr>
        <w:t xml:space="preserve">por resultar </w:t>
      </w:r>
      <w:r w:rsidRPr="00E06298">
        <w:rPr>
          <w:rFonts w:ascii="Palatino Linotype" w:eastAsia="Calibri" w:hAnsi="Palatino Linotype" w:cs="Tahoma"/>
          <w:b/>
          <w:bCs/>
          <w:iCs/>
        </w:rPr>
        <w:t>INFUNDADAS</w:t>
      </w:r>
      <w:r w:rsidRPr="00E06298">
        <w:rPr>
          <w:rFonts w:ascii="Palatino Linotype" w:eastAsia="Calibri" w:hAnsi="Palatino Linotype" w:cs="Tahoma"/>
          <w:bCs/>
          <w:iCs/>
        </w:rPr>
        <w:t xml:space="preserve"> las razones o motivos de inconformidad hechos valer por el Recurrente, en términos de los Considerandos </w:t>
      </w:r>
      <w:r w:rsidRPr="00E06298">
        <w:rPr>
          <w:rFonts w:ascii="Palatino Linotype" w:eastAsia="Calibri" w:hAnsi="Palatino Linotype" w:cs="Tahoma"/>
          <w:iCs/>
        </w:rPr>
        <w:t>QUINTO y SEXTO</w:t>
      </w:r>
      <w:r w:rsidRPr="00E06298">
        <w:rPr>
          <w:rFonts w:ascii="Palatino Linotype" w:eastAsia="Calibri" w:hAnsi="Palatino Linotype" w:cs="Tahoma"/>
          <w:b/>
          <w:bCs/>
          <w:iCs/>
        </w:rPr>
        <w:t xml:space="preserve"> </w:t>
      </w:r>
      <w:r w:rsidRPr="00E06298">
        <w:rPr>
          <w:rFonts w:ascii="Palatino Linotype" w:eastAsia="Calibri" w:hAnsi="Palatino Linotype" w:cs="Tahoma"/>
          <w:bCs/>
          <w:iCs/>
        </w:rPr>
        <w:t>de esta Resolución.</w:t>
      </w:r>
    </w:p>
    <w:p w14:paraId="33855852" w14:textId="77777777" w:rsidR="006909FC" w:rsidRPr="006909FC" w:rsidRDefault="006909FC" w:rsidP="005D6E32">
      <w:pPr>
        <w:spacing w:after="0" w:line="360" w:lineRule="auto"/>
        <w:contextualSpacing/>
        <w:jc w:val="both"/>
        <w:rPr>
          <w:rFonts w:ascii="Palatino Linotype" w:eastAsia="Calibri" w:hAnsi="Palatino Linotype" w:cs="Tahoma"/>
          <w:bCs/>
          <w:iCs/>
          <w:color w:val="FF0000"/>
        </w:rPr>
      </w:pPr>
    </w:p>
    <w:p w14:paraId="1D9A0D65" w14:textId="02D06F66" w:rsidR="006909FC" w:rsidRPr="00E06298" w:rsidRDefault="006909FC" w:rsidP="005D6E32">
      <w:pPr>
        <w:spacing w:after="0" w:line="360" w:lineRule="auto"/>
        <w:contextualSpacing/>
        <w:jc w:val="both"/>
        <w:rPr>
          <w:rFonts w:ascii="Palatino Linotype" w:eastAsia="Calibri" w:hAnsi="Palatino Linotype" w:cs="Tahoma"/>
          <w:bCs/>
          <w:i/>
          <w:iCs/>
        </w:rPr>
      </w:pPr>
      <w:r w:rsidRPr="00E06298">
        <w:rPr>
          <w:rFonts w:ascii="Palatino Linotype" w:eastAsia="Calibri" w:hAnsi="Palatino Linotype" w:cs="Tahoma"/>
          <w:b/>
          <w:bCs/>
          <w:iCs/>
        </w:rPr>
        <w:t>SEGUNDO. NOTIFÍQUESE</w:t>
      </w:r>
      <w:r w:rsidR="00E06298">
        <w:rPr>
          <w:rFonts w:ascii="Palatino Linotype" w:eastAsia="Calibri" w:hAnsi="Palatino Linotype" w:cs="Tahoma"/>
          <w:b/>
          <w:bCs/>
          <w:iCs/>
        </w:rPr>
        <w:t xml:space="preserve"> POR SAIMEX</w:t>
      </w:r>
      <w:r w:rsidRPr="00E06298">
        <w:rPr>
          <w:rFonts w:ascii="Palatino Linotype" w:eastAsia="Calibri" w:hAnsi="Palatino Linotype" w:cs="Tahoma"/>
          <w:b/>
          <w:bCs/>
          <w:iCs/>
        </w:rPr>
        <w:t xml:space="preserve"> </w:t>
      </w:r>
      <w:r w:rsidRPr="00E06298">
        <w:rPr>
          <w:rFonts w:ascii="Palatino Linotype" w:eastAsia="Calibri" w:hAnsi="Palatino Linotype" w:cs="Tahoma"/>
          <w:bCs/>
          <w:iCs/>
        </w:rPr>
        <w:t>la presente resolución al Titular de la Unidad de Transparencia del Sujeto Obligado.</w:t>
      </w:r>
    </w:p>
    <w:p w14:paraId="3A0099BC" w14:textId="77777777" w:rsidR="006909FC" w:rsidRPr="006909FC" w:rsidRDefault="006909FC" w:rsidP="005D6E32">
      <w:pPr>
        <w:spacing w:after="0" w:line="360" w:lineRule="auto"/>
        <w:contextualSpacing/>
        <w:jc w:val="both"/>
        <w:rPr>
          <w:rFonts w:ascii="Palatino Linotype" w:eastAsia="Calibri" w:hAnsi="Palatino Linotype" w:cs="Tahoma"/>
          <w:bCs/>
          <w:iCs/>
          <w:color w:val="FF0000"/>
        </w:rPr>
      </w:pPr>
    </w:p>
    <w:p w14:paraId="4416840F" w14:textId="4DD9283D" w:rsidR="006909FC" w:rsidRPr="00E06298" w:rsidRDefault="006909FC" w:rsidP="005D6E32">
      <w:pPr>
        <w:spacing w:after="0" w:line="360" w:lineRule="auto"/>
        <w:contextualSpacing/>
        <w:jc w:val="both"/>
        <w:rPr>
          <w:rFonts w:ascii="Palatino Linotype" w:eastAsia="Calibri" w:hAnsi="Palatino Linotype" w:cs="Tahoma"/>
          <w:bCs/>
          <w:iCs/>
        </w:rPr>
      </w:pPr>
      <w:r w:rsidRPr="00E06298">
        <w:rPr>
          <w:rFonts w:ascii="Palatino Linotype" w:eastAsia="Calibri" w:hAnsi="Palatino Linotype" w:cs="Tahoma"/>
          <w:b/>
          <w:bCs/>
          <w:iCs/>
        </w:rPr>
        <w:t xml:space="preserve">TERCERO. </w:t>
      </w:r>
      <w:r w:rsidR="00E06298" w:rsidRPr="00E06298">
        <w:rPr>
          <w:rFonts w:ascii="Palatino Linotype" w:eastAsia="Calibri" w:hAnsi="Palatino Linotype" w:cs="Tahoma"/>
          <w:b/>
          <w:bCs/>
          <w:iCs/>
        </w:rPr>
        <w:t>NOTIFÍQUESE</w:t>
      </w:r>
      <w:r w:rsidR="00E06298" w:rsidRPr="00E06298">
        <w:rPr>
          <w:rFonts w:ascii="Palatino Linotype" w:eastAsia="Calibri" w:hAnsi="Palatino Linotype" w:cs="Tahoma"/>
          <w:bCs/>
          <w:iCs/>
        </w:rPr>
        <w:t xml:space="preserve"> POR</w:t>
      </w:r>
      <w:r w:rsidR="00E06298" w:rsidRPr="00E06298">
        <w:rPr>
          <w:rFonts w:ascii="Palatino Linotype" w:eastAsia="Calibri" w:hAnsi="Palatino Linotype" w:cs="Tahoma"/>
          <w:b/>
          <w:iCs/>
        </w:rPr>
        <w:t xml:space="preserve"> SAIMEX</w:t>
      </w:r>
      <w:r w:rsidR="00E06298" w:rsidRPr="00E06298">
        <w:rPr>
          <w:rFonts w:ascii="Palatino Linotype" w:eastAsia="Calibri" w:hAnsi="Palatino Linotype" w:cs="Tahoma"/>
          <w:bCs/>
          <w:iCs/>
        </w:rPr>
        <w:t xml:space="preserve"> </w:t>
      </w:r>
      <w:r w:rsidRPr="00E06298">
        <w:rPr>
          <w:rFonts w:ascii="Palatino Linotype" w:eastAsia="Calibri" w:hAnsi="Palatino Linotype" w:cs="Tahoma"/>
          <w:bCs/>
          <w:iCs/>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ED50738" w14:textId="77777777" w:rsidR="006909FC" w:rsidRPr="006909FC" w:rsidRDefault="006909FC" w:rsidP="005D6E32">
      <w:pPr>
        <w:spacing w:after="0" w:line="360" w:lineRule="auto"/>
        <w:jc w:val="both"/>
        <w:rPr>
          <w:rFonts w:ascii="Palatino Linotype" w:eastAsia="Times New Roman" w:hAnsi="Palatino Linotype" w:cs="Arial"/>
          <w:b/>
          <w:bCs/>
          <w:color w:val="FF0000"/>
          <w:lang w:eastAsia="es-ES"/>
        </w:rPr>
      </w:pPr>
    </w:p>
    <w:p w14:paraId="3D82CC08" w14:textId="0D4010F8" w:rsidR="006909FC" w:rsidRPr="00E06298" w:rsidRDefault="006909FC" w:rsidP="005D6E32">
      <w:pPr>
        <w:spacing w:after="0" w:line="360" w:lineRule="auto"/>
        <w:jc w:val="both"/>
        <w:rPr>
          <w:rFonts w:ascii="Palatino Linotype" w:eastAsia="Calibri" w:hAnsi="Palatino Linotype" w:cs="Tahoma"/>
          <w:bCs/>
        </w:rPr>
      </w:pPr>
      <w:r w:rsidRPr="00E06298">
        <w:rPr>
          <w:rFonts w:ascii="Palatino Linotype" w:eastAsia="Calibri" w:hAnsi="Palatino Linotype" w:cs="Tahoma"/>
          <w:bCs/>
        </w:rPr>
        <w:t>ASÍ LO RESUELVE, POR </w:t>
      </w:r>
      <w:r w:rsidRPr="00E06298">
        <w:rPr>
          <w:rFonts w:ascii="Palatino Linotype" w:eastAsia="Calibri" w:hAnsi="Palatino Linotype" w:cs="Tahoma"/>
          <w:b/>
          <w:bCs/>
        </w:rPr>
        <w:t>UNANIMIDAD</w:t>
      </w:r>
      <w:r w:rsidRPr="00E06298">
        <w:rPr>
          <w:rFonts w:ascii="Palatino Linotype" w:eastAsia="Calibri" w:hAnsi="Palatino Linotype"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w:t>
      </w:r>
      <w:r w:rsidR="00E06298" w:rsidRPr="00E06298">
        <w:rPr>
          <w:rFonts w:ascii="Palatino Linotype" w:eastAsia="Calibri" w:hAnsi="Palatino Linotype" w:cs="Tahoma"/>
          <w:bCs/>
        </w:rPr>
        <w:t xml:space="preserve">DIECINUEVE DE </w:t>
      </w:r>
      <w:r w:rsidRPr="00E06298">
        <w:rPr>
          <w:rFonts w:ascii="Palatino Linotype" w:eastAsia="Calibri" w:hAnsi="Palatino Linotype" w:cs="Tahoma"/>
          <w:bCs/>
        </w:rPr>
        <w:t>FEBRERO DE DOS MIL VEINTIC</w:t>
      </w:r>
      <w:r w:rsidR="00E06298" w:rsidRPr="00E06298">
        <w:rPr>
          <w:rFonts w:ascii="Palatino Linotype" w:eastAsia="Calibri" w:hAnsi="Palatino Linotype" w:cs="Tahoma"/>
          <w:bCs/>
        </w:rPr>
        <w:t>INCO</w:t>
      </w:r>
      <w:r w:rsidRPr="00E06298">
        <w:rPr>
          <w:rFonts w:ascii="Palatino Linotype" w:eastAsia="Calibri" w:hAnsi="Palatino Linotype" w:cs="Tahoma"/>
          <w:bCs/>
        </w:rPr>
        <w:t>, ANTE EL SECRETARIO TÉCNICO DEL PLENO, ALEXIS TAPIA RAMÍREZ.</w:t>
      </w:r>
    </w:p>
    <w:p w14:paraId="5DDA1CD5" w14:textId="77777777" w:rsidR="006909FC" w:rsidRPr="006909FC" w:rsidRDefault="006909FC" w:rsidP="005D6E32">
      <w:pPr>
        <w:spacing w:after="0" w:line="360" w:lineRule="auto"/>
        <w:jc w:val="both"/>
        <w:rPr>
          <w:rFonts w:ascii="Palatino Linotype" w:eastAsia="Calibri" w:hAnsi="Palatino Linotype" w:cs="Tahoma"/>
          <w:bCs/>
          <w:color w:val="FF0000"/>
        </w:rPr>
      </w:pPr>
    </w:p>
    <w:p w14:paraId="1390EDA0" w14:textId="77777777" w:rsidR="006909FC" w:rsidRPr="006909FC" w:rsidRDefault="006909FC" w:rsidP="005D6E32">
      <w:pPr>
        <w:spacing w:after="0" w:line="360" w:lineRule="auto"/>
        <w:jc w:val="both"/>
        <w:rPr>
          <w:rFonts w:ascii="Palatino Linotype" w:eastAsia="Calibri" w:hAnsi="Palatino Linotype" w:cs="Tahoma"/>
          <w:bCs/>
          <w:color w:val="FF0000"/>
        </w:rPr>
      </w:pPr>
    </w:p>
    <w:p w14:paraId="39F8C939" w14:textId="77777777" w:rsidR="006909FC" w:rsidRPr="006909FC" w:rsidRDefault="006909FC" w:rsidP="005D6E32">
      <w:pPr>
        <w:spacing w:after="0" w:line="360" w:lineRule="auto"/>
        <w:jc w:val="both"/>
        <w:rPr>
          <w:rFonts w:ascii="Palatino Linotype" w:eastAsia="Palatino Linotype" w:hAnsi="Palatino Linotype" w:cs="Palatino Linotype"/>
          <w:color w:val="FF0000"/>
          <w:lang w:eastAsia="es-MX"/>
        </w:rPr>
      </w:pPr>
    </w:p>
    <w:p w14:paraId="184C6F18" w14:textId="77777777" w:rsidR="00D32631" w:rsidRPr="00824F86" w:rsidRDefault="00D32631" w:rsidP="005D6E32">
      <w:pPr>
        <w:spacing w:after="0" w:line="360" w:lineRule="auto"/>
        <w:rPr>
          <w:color w:val="FF0000"/>
        </w:rPr>
      </w:pPr>
    </w:p>
    <w:sectPr w:rsidR="00D32631" w:rsidRPr="00824F86">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D62E0" w14:textId="77777777" w:rsidR="001E4AD3" w:rsidRDefault="001E4AD3" w:rsidP="00824F86">
      <w:pPr>
        <w:spacing w:after="0" w:line="240" w:lineRule="auto"/>
      </w:pPr>
      <w:r>
        <w:separator/>
      </w:r>
    </w:p>
  </w:endnote>
  <w:endnote w:type="continuationSeparator" w:id="0">
    <w:p w14:paraId="306EE1BF" w14:textId="77777777" w:rsidR="001E4AD3" w:rsidRDefault="001E4AD3" w:rsidP="0082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929A8" w14:textId="77777777" w:rsidR="00487984" w:rsidRDefault="00487984">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F3667F">
      <w:rPr>
        <w:rFonts w:ascii="Palatino Linotype" w:eastAsia="Palatino Linotype" w:hAnsi="Palatino Linotype" w:cs="Palatino Linotype"/>
        <w:b/>
        <w:noProof/>
        <w:color w:val="000000"/>
      </w:rPr>
      <w:t>20</w:t>
    </w:r>
    <w:r>
      <w:rPr>
        <w:rFonts w:ascii="Palatino Linotype" w:eastAsia="Palatino Linotype" w:hAnsi="Palatino Linotype" w:cs="Palatino Linotype"/>
        <w:b/>
        <w:color w:val="000000"/>
      </w:rPr>
      <w:fldChar w:fldCharType="end"/>
    </w:r>
  </w:p>
  <w:p w14:paraId="6F1FED5E" w14:textId="77777777" w:rsidR="00487984" w:rsidRDefault="0048798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9A7EE" w14:textId="77777777" w:rsidR="00487984" w:rsidRDefault="00487984">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FC6620">
      <w:rPr>
        <w:rFonts w:ascii="Palatino Linotype" w:eastAsia="Palatino Linotype" w:hAnsi="Palatino Linotype" w:cs="Palatino Linotype"/>
        <w:b/>
        <w:noProof/>
        <w:color w:val="000000"/>
      </w:rPr>
      <w:t>18</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FC6620">
      <w:rPr>
        <w:rFonts w:ascii="Palatino Linotype" w:eastAsia="Palatino Linotype" w:hAnsi="Palatino Linotype" w:cs="Palatino Linotype"/>
        <w:b/>
        <w:noProof/>
        <w:color w:val="000000"/>
      </w:rPr>
      <w:t>20</w:t>
    </w:r>
    <w:r>
      <w:rPr>
        <w:rFonts w:ascii="Palatino Linotype" w:eastAsia="Palatino Linotype" w:hAnsi="Palatino Linotype" w:cs="Palatino Linotype"/>
        <w:b/>
        <w:color w:val="000000"/>
      </w:rPr>
      <w:fldChar w:fldCharType="end"/>
    </w:r>
  </w:p>
  <w:p w14:paraId="10DC12C1" w14:textId="77777777" w:rsidR="00487984" w:rsidRDefault="00487984">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5DFBF" w14:textId="77777777" w:rsidR="00487984" w:rsidRDefault="0048798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FC6620">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FC6620">
      <w:rPr>
        <w:rFonts w:ascii="Palatino Linotype" w:eastAsia="Palatino Linotype" w:hAnsi="Palatino Linotype" w:cs="Palatino Linotype"/>
        <w:b/>
        <w:noProof/>
        <w:color w:val="000000"/>
      </w:rPr>
      <w:t>20</w:t>
    </w:r>
    <w:r>
      <w:rPr>
        <w:rFonts w:ascii="Palatino Linotype" w:eastAsia="Palatino Linotype" w:hAnsi="Palatino Linotype" w:cs="Palatino Linotype"/>
        <w:b/>
        <w:color w:val="000000"/>
      </w:rPr>
      <w:fldChar w:fldCharType="end"/>
    </w:r>
  </w:p>
  <w:p w14:paraId="6595690B" w14:textId="77777777" w:rsidR="00487984" w:rsidRDefault="0048798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CD8D9" w14:textId="77777777" w:rsidR="001E4AD3" w:rsidRDefault="001E4AD3" w:rsidP="00824F86">
      <w:pPr>
        <w:spacing w:after="0" w:line="240" w:lineRule="auto"/>
      </w:pPr>
      <w:r>
        <w:separator/>
      </w:r>
    </w:p>
  </w:footnote>
  <w:footnote w:type="continuationSeparator" w:id="0">
    <w:p w14:paraId="676CDDF8" w14:textId="77777777" w:rsidR="001E4AD3" w:rsidRDefault="001E4AD3" w:rsidP="00824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CD5D9" w14:textId="77777777" w:rsidR="00487984" w:rsidRDefault="00487984">
    <w:pPr>
      <w:widowControl w:val="0"/>
      <w:pBdr>
        <w:top w:val="nil"/>
        <w:left w:val="nil"/>
        <w:bottom w:val="nil"/>
        <w:right w:val="nil"/>
        <w:between w:val="nil"/>
      </w:pBdr>
      <w:spacing w:line="276" w:lineRule="auto"/>
      <w:rPr>
        <w:color w:val="000000"/>
      </w:rPr>
    </w:pPr>
  </w:p>
  <w:tbl>
    <w:tblPr>
      <w:tblW w:w="9705" w:type="dxa"/>
      <w:tblInd w:w="-115" w:type="dxa"/>
      <w:tblLayout w:type="fixed"/>
      <w:tblLook w:val="0400" w:firstRow="0" w:lastRow="0" w:firstColumn="0" w:lastColumn="0" w:noHBand="0" w:noVBand="1"/>
    </w:tblPr>
    <w:tblGrid>
      <w:gridCol w:w="2972"/>
      <w:gridCol w:w="6733"/>
    </w:tblGrid>
    <w:tr w:rsidR="00487984" w14:paraId="11DD4D82" w14:textId="77777777">
      <w:trPr>
        <w:trHeight w:val="1435"/>
      </w:trPr>
      <w:tc>
        <w:tcPr>
          <w:tcW w:w="2972" w:type="dxa"/>
        </w:tcPr>
        <w:p w14:paraId="3264BE2C" w14:textId="77777777" w:rsidR="00487984" w:rsidRDefault="00487984">
          <w:pPr>
            <w:tabs>
              <w:tab w:val="right" w:pos="4273"/>
            </w:tabs>
            <w:spacing w:line="256" w:lineRule="auto"/>
            <w:rPr>
              <w:rFonts w:ascii="Garamond" w:eastAsia="Garamond" w:hAnsi="Garamond" w:cs="Garamond"/>
            </w:rPr>
          </w:pPr>
        </w:p>
      </w:tc>
      <w:tc>
        <w:tcPr>
          <w:tcW w:w="6733" w:type="dxa"/>
        </w:tcPr>
        <w:p w14:paraId="5DE07DBE" w14:textId="77777777" w:rsidR="00487984" w:rsidRDefault="00487984">
          <w:pPr>
            <w:widowControl w:val="0"/>
            <w:pBdr>
              <w:top w:val="nil"/>
              <w:left w:val="nil"/>
              <w:bottom w:val="nil"/>
              <w:right w:val="nil"/>
              <w:between w:val="nil"/>
            </w:pBdr>
            <w:spacing w:line="276" w:lineRule="auto"/>
            <w:rPr>
              <w:rFonts w:ascii="Garamond" w:eastAsia="Garamond" w:hAnsi="Garamond" w:cs="Garamond"/>
            </w:rPr>
          </w:pPr>
        </w:p>
        <w:tbl>
          <w:tblPr>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447"/>
            <w:gridCol w:w="3088"/>
          </w:tblGrid>
          <w:tr w:rsidR="00487984" w14:paraId="34A22ABE" w14:textId="77777777">
            <w:trPr>
              <w:trHeight w:val="144"/>
            </w:trPr>
            <w:tc>
              <w:tcPr>
                <w:tcW w:w="2447" w:type="dxa"/>
              </w:tcPr>
              <w:p w14:paraId="0844C11C" w14:textId="77777777" w:rsidR="00487984" w:rsidRDefault="00487984">
                <w:pPr>
                  <w:tabs>
                    <w:tab w:val="right" w:pos="8838"/>
                  </w:tabs>
                  <w:ind w:left="-69"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088" w:type="dxa"/>
              </w:tcPr>
              <w:p w14:paraId="50B115E7" w14:textId="77777777" w:rsidR="00487984" w:rsidRDefault="00487984">
                <w:pPr>
                  <w:tabs>
                    <w:tab w:val="right" w:pos="8838"/>
                  </w:tabs>
                  <w:ind w:left="-74" w:right="-105"/>
                  <w:jc w:val="both"/>
                  <w:rPr>
                    <w:rFonts w:ascii="Palatino Linotype" w:eastAsia="Palatino Linotype" w:hAnsi="Palatino Linotype" w:cs="Palatino Linotype"/>
                  </w:rPr>
                </w:pPr>
                <w:r>
                  <w:rPr>
                    <w:rFonts w:ascii="Palatino Linotype" w:eastAsia="Palatino Linotype" w:hAnsi="Palatino Linotype" w:cs="Palatino Linotype"/>
                  </w:rPr>
                  <w:t>02946/INFOEM/IP/RR/2021</w:t>
                </w:r>
              </w:p>
            </w:tc>
          </w:tr>
          <w:tr w:rsidR="00487984" w14:paraId="1820780E" w14:textId="77777777">
            <w:trPr>
              <w:trHeight w:val="283"/>
            </w:trPr>
            <w:tc>
              <w:tcPr>
                <w:tcW w:w="2447" w:type="dxa"/>
              </w:tcPr>
              <w:p w14:paraId="4C4E7D1C" w14:textId="77777777" w:rsidR="00487984" w:rsidRDefault="0048798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088" w:type="dxa"/>
              </w:tcPr>
              <w:p w14:paraId="7A227CF3" w14:textId="77777777" w:rsidR="00487984" w:rsidRDefault="00487984">
                <w:pPr>
                  <w:tabs>
                    <w:tab w:val="left" w:pos="2834"/>
                    <w:tab w:val="right" w:pos="8838"/>
                  </w:tabs>
                  <w:ind w:left="-74" w:right="-105"/>
                  <w:jc w:val="both"/>
                  <w:rPr>
                    <w:rFonts w:ascii="Palatino Linotype" w:eastAsia="Palatino Linotype" w:hAnsi="Palatino Linotype" w:cs="Palatino Linotype"/>
                    <w:b/>
                  </w:rPr>
                </w:pPr>
                <w:r>
                  <w:rPr>
                    <w:rFonts w:ascii="Palatino Linotype" w:eastAsia="Palatino Linotype" w:hAnsi="Palatino Linotype" w:cs="Palatino Linotype"/>
                  </w:rPr>
                  <w:t>Ayuntamiento de San Antonio la Isla</w:t>
                </w:r>
              </w:p>
            </w:tc>
          </w:tr>
          <w:tr w:rsidR="00487984" w14:paraId="029230DE" w14:textId="77777777">
            <w:trPr>
              <w:trHeight w:val="283"/>
            </w:trPr>
            <w:tc>
              <w:tcPr>
                <w:tcW w:w="2447" w:type="dxa"/>
              </w:tcPr>
              <w:p w14:paraId="30AA7BA4" w14:textId="77777777" w:rsidR="00487984" w:rsidRDefault="0048798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088" w:type="dxa"/>
              </w:tcPr>
              <w:p w14:paraId="17561228" w14:textId="77777777" w:rsidR="00487984" w:rsidRDefault="00487984">
                <w:pPr>
                  <w:tabs>
                    <w:tab w:val="right" w:pos="8838"/>
                  </w:tabs>
                  <w:ind w:left="-74" w:right="-105"/>
                  <w:jc w:val="both"/>
                  <w:rPr>
                    <w:rFonts w:ascii="Palatino Linotype" w:eastAsia="Palatino Linotype" w:hAnsi="Palatino Linotype" w:cs="Palatino Linotype"/>
                  </w:rPr>
                </w:pPr>
                <w:r>
                  <w:rPr>
                    <w:rFonts w:ascii="Palatino Linotype" w:eastAsia="Palatino Linotype" w:hAnsi="Palatino Linotype" w:cs="Palatino Linotype"/>
                  </w:rPr>
                  <w:t>Luis Gustavo Parra Noriega</w:t>
                </w:r>
              </w:p>
              <w:p w14:paraId="5C033842" w14:textId="77777777" w:rsidR="00487984" w:rsidRDefault="00487984">
                <w:pPr>
                  <w:tabs>
                    <w:tab w:val="right" w:pos="8838"/>
                  </w:tabs>
                  <w:ind w:left="-74" w:right="-105"/>
                  <w:jc w:val="both"/>
                  <w:rPr>
                    <w:rFonts w:ascii="Palatino Linotype" w:eastAsia="Palatino Linotype" w:hAnsi="Palatino Linotype" w:cs="Palatino Linotype"/>
                    <w:b/>
                  </w:rPr>
                </w:pPr>
              </w:p>
            </w:tc>
          </w:tr>
        </w:tbl>
        <w:p w14:paraId="3D6975E9" w14:textId="77777777" w:rsidR="00487984" w:rsidRDefault="00487984">
          <w:pPr>
            <w:tabs>
              <w:tab w:val="right" w:pos="8838"/>
            </w:tabs>
            <w:spacing w:line="256" w:lineRule="auto"/>
            <w:ind w:left="-28"/>
            <w:jc w:val="both"/>
            <w:rPr>
              <w:rFonts w:ascii="Arial" w:eastAsia="Arial" w:hAnsi="Arial" w:cs="Arial"/>
              <w:b/>
            </w:rPr>
          </w:pPr>
        </w:p>
      </w:tc>
    </w:tr>
  </w:tbl>
  <w:p w14:paraId="71F320E2" w14:textId="77777777" w:rsidR="00487984" w:rsidRDefault="00487984">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lang w:eastAsia="es-MX"/>
      </w:rPr>
      <w:drawing>
        <wp:anchor distT="0" distB="0" distL="0" distR="0" simplePos="0" relativeHeight="251657728" behindDoc="1" locked="0" layoutInCell="1" hidden="0" allowOverlap="1" wp14:anchorId="6AA3C4D3" wp14:editId="27C2B197">
          <wp:simplePos x="0" y="0"/>
          <wp:positionH relativeFrom="margin">
            <wp:posOffset>-1381123</wp:posOffset>
          </wp:positionH>
          <wp:positionV relativeFrom="margin">
            <wp:posOffset>-1611628</wp:posOffset>
          </wp:positionV>
          <wp:extent cx="5612130" cy="7308215"/>
          <wp:effectExtent l="0" t="0" r="0" b="0"/>
          <wp:wrapNone/>
          <wp:docPr id="214047135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5" w:type="dxa"/>
      <w:tblInd w:w="-115" w:type="dxa"/>
      <w:tblLayout w:type="fixed"/>
      <w:tblLook w:val="0400" w:firstRow="0" w:lastRow="0" w:firstColumn="0" w:lastColumn="0" w:noHBand="0" w:noVBand="1"/>
    </w:tblPr>
    <w:tblGrid>
      <w:gridCol w:w="2972"/>
      <w:gridCol w:w="6733"/>
    </w:tblGrid>
    <w:tr w:rsidR="00487984" w14:paraId="6ECF2039" w14:textId="77777777">
      <w:trPr>
        <w:trHeight w:val="1435"/>
      </w:trPr>
      <w:tc>
        <w:tcPr>
          <w:tcW w:w="2972" w:type="dxa"/>
        </w:tcPr>
        <w:p w14:paraId="042FFF8A" w14:textId="531340AF" w:rsidR="00487984" w:rsidRDefault="005D6E32">
          <w:pPr>
            <w:tabs>
              <w:tab w:val="right" w:pos="4273"/>
            </w:tabs>
            <w:spacing w:line="256" w:lineRule="auto"/>
            <w:rPr>
              <w:rFonts w:ascii="Garamond" w:eastAsia="Garamond" w:hAnsi="Garamond" w:cs="Garamond"/>
            </w:rPr>
          </w:pPr>
          <w:r>
            <w:rPr>
              <w:rFonts w:ascii="Garamond" w:eastAsia="Garamond" w:hAnsi="Garamond" w:cs="Garamond"/>
              <w:noProof/>
              <w:color w:val="000000"/>
              <w:lang w:eastAsia="es-MX"/>
            </w:rPr>
            <w:drawing>
              <wp:anchor distT="0" distB="0" distL="0" distR="0" simplePos="0" relativeHeight="251656704" behindDoc="1" locked="0" layoutInCell="1" hidden="0" allowOverlap="1" wp14:anchorId="7323A6A6" wp14:editId="552F56C3">
                <wp:simplePos x="0" y="0"/>
                <wp:positionH relativeFrom="page">
                  <wp:posOffset>-794385</wp:posOffset>
                </wp:positionH>
                <wp:positionV relativeFrom="margin">
                  <wp:posOffset>-448310</wp:posOffset>
                </wp:positionV>
                <wp:extent cx="7835900" cy="10203815"/>
                <wp:effectExtent l="0" t="0" r="0" b="0"/>
                <wp:wrapNone/>
                <wp:docPr id="214047136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p>
      </w:tc>
      <w:tc>
        <w:tcPr>
          <w:tcW w:w="6733" w:type="dxa"/>
        </w:tcPr>
        <w:p w14:paraId="2FEB53DD" w14:textId="77777777" w:rsidR="005D6E32" w:rsidRDefault="005D6E32" w:rsidP="005D6E32">
          <w:pPr>
            <w:spacing w:after="0" w:line="276" w:lineRule="auto"/>
          </w:pPr>
        </w:p>
        <w:tbl>
          <w:tblPr>
            <w:tblW w:w="5670" w:type="dxa"/>
            <w:tblInd w:w="716" w:type="dxa"/>
            <w:tblBorders>
              <w:top w:val="nil"/>
              <w:left w:val="nil"/>
              <w:bottom w:val="nil"/>
              <w:right w:val="nil"/>
              <w:insideH w:val="nil"/>
              <w:insideV w:val="nil"/>
            </w:tblBorders>
            <w:tblLayout w:type="fixed"/>
            <w:tblLook w:val="0400" w:firstRow="0" w:lastRow="0" w:firstColumn="0" w:lastColumn="0" w:noHBand="0" w:noVBand="1"/>
          </w:tblPr>
          <w:tblGrid>
            <w:gridCol w:w="2419"/>
            <w:gridCol w:w="3251"/>
          </w:tblGrid>
          <w:tr w:rsidR="00487984" w14:paraId="03F6C614" w14:textId="77777777" w:rsidTr="00F639D0">
            <w:trPr>
              <w:trHeight w:val="168"/>
            </w:trPr>
            <w:tc>
              <w:tcPr>
                <w:tcW w:w="2419" w:type="dxa"/>
              </w:tcPr>
              <w:p w14:paraId="63EA6E5C" w14:textId="77777777" w:rsidR="00487984" w:rsidRDefault="00487984" w:rsidP="005D6E32">
                <w:pPr>
                  <w:tabs>
                    <w:tab w:val="right" w:pos="8838"/>
                  </w:tabs>
                  <w:spacing w:after="0" w:line="276" w:lineRule="auto"/>
                  <w:ind w:left="-69"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251" w:type="dxa"/>
              </w:tcPr>
              <w:p w14:paraId="3398B223" w14:textId="77777777" w:rsidR="00487984" w:rsidRDefault="00487984" w:rsidP="005D6E32">
                <w:pPr>
                  <w:tabs>
                    <w:tab w:val="right" w:pos="8838"/>
                  </w:tabs>
                  <w:spacing w:after="0" w:line="276" w:lineRule="auto"/>
                  <w:ind w:left="-74" w:right="-105"/>
                  <w:jc w:val="both"/>
                  <w:rPr>
                    <w:rFonts w:ascii="Palatino Linotype" w:eastAsia="Palatino Linotype" w:hAnsi="Palatino Linotype" w:cs="Palatino Linotype"/>
                  </w:rPr>
                </w:pPr>
                <w:r>
                  <w:rPr>
                    <w:rFonts w:ascii="Palatino Linotype" w:eastAsia="Palatino Linotype" w:hAnsi="Palatino Linotype" w:cs="Palatino Linotype"/>
                  </w:rPr>
                  <w:t>00321/INFOEM/IP/RR/2025</w:t>
                </w:r>
              </w:p>
            </w:tc>
          </w:tr>
          <w:tr w:rsidR="00487984" w14:paraId="500AB1E7" w14:textId="77777777" w:rsidTr="00F639D0">
            <w:trPr>
              <w:trHeight w:val="331"/>
            </w:trPr>
            <w:tc>
              <w:tcPr>
                <w:tcW w:w="2419" w:type="dxa"/>
              </w:tcPr>
              <w:p w14:paraId="2D19AD2E" w14:textId="77777777" w:rsidR="00487984" w:rsidRDefault="00487984" w:rsidP="005D6E32">
                <w:pPr>
                  <w:tabs>
                    <w:tab w:val="right" w:pos="8838"/>
                  </w:tabs>
                  <w:spacing w:after="0" w:line="276" w:lineRule="auto"/>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251" w:type="dxa"/>
              </w:tcPr>
              <w:p w14:paraId="4D15953A" w14:textId="77777777" w:rsidR="00487984" w:rsidRDefault="00487984" w:rsidP="005D6E32">
                <w:pPr>
                  <w:tabs>
                    <w:tab w:val="left" w:pos="2834"/>
                    <w:tab w:val="right" w:pos="8838"/>
                  </w:tabs>
                  <w:spacing w:after="0" w:line="276" w:lineRule="auto"/>
                  <w:ind w:left="-74" w:right="-105"/>
                  <w:jc w:val="both"/>
                  <w:rPr>
                    <w:rFonts w:ascii="Palatino Linotype" w:eastAsia="Palatino Linotype" w:hAnsi="Palatino Linotype" w:cs="Palatino Linotype"/>
                    <w:b/>
                  </w:rPr>
                </w:pPr>
                <w:r>
                  <w:rPr>
                    <w:rFonts w:ascii="Palatino Linotype" w:eastAsia="Palatino Linotype" w:hAnsi="Palatino Linotype" w:cs="Palatino Linotype"/>
                  </w:rPr>
                  <w:t>Ayuntamiento de Toluca</w:t>
                </w:r>
              </w:p>
            </w:tc>
          </w:tr>
          <w:tr w:rsidR="00487984" w14:paraId="6194AF5F" w14:textId="77777777" w:rsidTr="00F639D0">
            <w:trPr>
              <w:trHeight w:val="331"/>
            </w:trPr>
            <w:tc>
              <w:tcPr>
                <w:tcW w:w="2419" w:type="dxa"/>
              </w:tcPr>
              <w:p w14:paraId="4557D0F8" w14:textId="77777777" w:rsidR="00487984" w:rsidRDefault="00487984" w:rsidP="005D6E32">
                <w:pPr>
                  <w:tabs>
                    <w:tab w:val="right" w:pos="8838"/>
                  </w:tabs>
                  <w:spacing w:after="0" w:line="276" w:lineRule="auto"/>
                  <w:ind w:left="-74" w:right="-105"/>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251" w:type="dxa"/>
              </w:tcPr>
              <w:p w14:paraId="54F8A311" w14:textId="77777777" w:rsidR="00487984" w:rsidRDefault="00487984" w:rsidP="005D6E32">
                <w:pPr>
                  <w:tabs>
                    <w:tab w:val="right" w:pos="8838"/>
                  </w:tabs>
                  <w:spacing w:after="0" w:line="276" w:lineRule="auto"/>
                  <w:ind w:left="-74" w:right="-105"/>
                  <w:jc w:val="both"/>
                  <w:rPr>
                    <w:rFonts w:ascii="Palatino Linotype" w:eastAsia="Palatino Linotype" w:hAnsi="Palatino Linotype" w:cs="Palatino Linotype"/>
                  </w:rPr>
                </w:pPr>
                <w:r>
                  <w:rPr>
                    <w:rFonts w:ascii="Palatino Linotype" w:eastAsia="Palatino Linotype" w:hAnsi="Palatino Linotype" w:cs="Palatino Linotype"/>
                  </w:rPr>
                  <w:t>Luis Gustavo Parra Noriega</w:t>
                </w:r>
              </w:p>
            </w:tc>
          </w:tr>
        </w:tbl>
        <w:p w14:paraId="2018B471" w14:textId="77777777" w:rsidR="00487984" w:rsidRDefault="00487984">
          <w:pPr>
            <w:tabs>
              <w:tab w:val="right" w:pos="8838"/>
            </w:tabs>
            <w:spacing w:line="256" w:lineRule="auto"/>
            <w:ind w:left="-28"/>
            <w:jc w:val="both"/>
            <w:rPr>
              <w:rFonts w:ascii="Arial" w:eastAsia="Arial" w:hAnsi="Arial" w:cs="Arial"/>
              <w:b/>
            </w:rPr>
          </w:pPr>
        </w:p>
      </w:tc>
    </w:tr>
  </w:tbl>
  <w:p w14:paraId="1B142E5C" w14:textId="0F1FD3F6" w:rsidR="00487984" w:rsidRPr="005D6E32" w:rsidRDefault="00487984">
    <w:pPr>
      <w:pBdr>
        <w:top w:val="nil"/>
        <w:left w:val="nil"/>
        <w:bottom w:val="nil"/>
        <w:right w:val="nil"/>
        <w:between w:val="nil"/>
      </w:pBdr>
      <w:tabs>
        <w:tab w:val="center" w:pos="4419"/>
        <w:tab w:val="right" w:pos="8838"/>
      </w:tabs>
      <w:rPr>
        <w:color w:val="000000"/>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8F0FD" w14:textId="77777777" w:rsidR="00487984" w:rsidRDefault="001E4AD3">
    <w:pPr>
      <w:widowControl w:val="0"/>
      <w:pBdr>
        <w:top w:val="nil"/>
        <w:left w:val="nil"/>
        <w:bottom w:val="nil"/>
        <w:right w:val="nil"/>
        <w:between w:val="nil"/>
      </w:pBdr>
      <w:spacing w:line="276" w:lineRule="auto"/>
      <w:rPr>
        <w:color w:val="000000"/>
      </w:rPr>
    </w:pPr>
    <w:r>
      <w:rPr>
        <w:rFonts w:ascii="Garamond" w:eastAsia="Garamond" w:hAnsi="Garamond" w:cs="Garamond"/>
        <w:color w:val="000000"/>
      </w:rPr>
      <w:pict w14:anchorId="27DC5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69.3pt;margin-top:-127.9pt;width:663.5pt;height:12in;z-index:-251657728;mso-position-horizontal-relative:margin;mso-position-vertical-relative:margin">
          <v:imagedata r:id="rId1" o:title="image4"/>
          <w10:wrap anchorx="margin" anchory="margin"/>
        </v:shape>
      </w:pict>
    </w:r>
  </w:p>
  <w:tbl>
    <w:tblPr>
      <w:tblW w:w="9639" w:type="dxa"/>
      <w:tblInd w:w="-115" w:type="dxa"/>
      <w:tblLayout w:type="fixed"/>
      <w:tblLook w:val="0400" w:firstRow="0" w:lastRow="0" w:firstColumn="0" w:lastColumn="0" w:noHBand="0" w:noVBand="1"/>
    </w:tblPr>
    <w:tblGrid>
      <w:gridCol w:w="2552"/>
      <w:gridCol w:w="7087"/>
    </w:tblGrid>
    <w:tr w:rsidR="00487984" w14:paraId="387C097E" w14:textId="77777777">
      <w:trPr>
        <w:trHeight w:val="1435"/>
      </w:trPr>
      <w:tc>
        <w:tcPr>
          <w:tcW w:w="2552" w:type="dxa"/>
        </w:tcPr>
        <w:p w14:paraId="5F51F2D9" w14:textId="77777777" w:rsidR="00487984" w:rsidRDefault="00487984">
          <w:pPr>
            <w:tabs>
              <w:tab w:val="right" w:pos="4273"/>
            </w:tabs>
            <w:spacing w:line="256" w:lineRule="auto"/>
            <w:rPr>
              <w:rFonts w:ascii="Garamond" w:eastAsia="Garamond" w:hAnsi="Garamond" w:cs="Garamond"/>
            </w:rPr>
          </w:pPr>
        </w:p>
      </w:tc>
      <w:tc>
        <w:tcPr>
          <w:tcW w:w="7087" w:type="dxa"/>
        </w:tcPr>
        <w:tbl>
          <w:tblPr>
            <w:tblW w:w="5245" w:type="dxa"/>
            <w:tblInd w:w="994" w:type="dxa"/>
            <w:tblBorders>
              <w:top w:val="nil"/>
              <w:left w:val="nil"/>
              <w:bottom w:val="nil"/>
              <w:right w:val="nil"/>
              <w:insideH w:val="nil"/>
              <w:insideV w:val="nil"/>
            </w:tblBorders>
            <w:tblLayout w:type="fixed"/>
            <w:tblLook w:val="0400" w:firstRow="0" w:lastRow="0" w:firstColumn="0" w:lastColumn="0" w:noHBand="0" w:noVBand="1"/>
          </w:tblPr>
          <w:tblGrid>
            <w:gridCol w:w="2447"/>
            <w:gridCol w:w="2798"/>
          </w:tblGrid>
          <w:tr w:rsidR="00487984" w14:paraId="73C47604" w14:textId="77777777" w:rsidTr="00F639D0">
            <w:trPr>
              <w:trHeight w:val="144"/>
            </w:trPr>
            <w:tc>
              <w:tcPr>
                <w:tcW w:w="2447" w:type="dxa"/>
              </w:tcPr>
              <w:p w14:paraId="1F14B7F0" w14:textId="77777777" w:rsidR="00487984" w:rsidRDefault="00487984" w:rsidP="005D6E32">
                <w:pPr>
                  <w:tabs>
                    <w:tab w:val="right" w:pos="8838"/>
                  </w:tabs>
                  <w:spacing w:after="0"/>
                  <w:ind w:left="-69"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2798" w:type="dxa"/>
              </w:tcPr>
              <w:p w14:paraId="78E13BEA" w14:textId="77777777" w:rsidR="00487984" w:rsidRDefault="00487984" w:rsidP="005D6E32">
                <w:pPr>
                  <w:tabs>
                    <w:tab w:val="left" w:pos="2834"/>
                    <w:tab w:val="right" w:pos="8838"/>
                  </w:tabs>
                  <w:spacing w:after="0"/>
                  <w:ind w:left="-74" w:right="-105"/>
                  <w:jc w:val="both"/>
                  <w:rPr>
                    <w:rFonts w:ascii="Palatino Linotype" w:eastAsia="Palatino Linotype" w:hAnsi="Palatino Linotype" w:cs="Palatino Linotype"/>
                  </w:rPr>
                </w:pPr>
                <w:r w:rsidRPr="00824F86">
                  <w:rPr>
                    <w:rFonts w:ascii="Palatino Linotype" w:eastAsia="Palatino Linotype" w:hAnsi="Palatino Linotype" w:cs="Palatino Linotype"/>
                  </w:rPr>
                  <w:t>00321/INFOEM/IP/RR/2025</w:t>
                </w:r>
              </w:p>
            </w:tc>
          </w:tr>
          <w:tr w:rsidR="00487984" w14:paraId="7F6E9AD6" w14:textId="77777777" w:rsidTr="00F639D0">
            <w:trPr>
              <w:trHeight w:val="144"/>
            </w:trPr>
            <w:tc>
              <w:tcPr>
                <w:tcW w:w="2447" w:type="dxa"/>
              </w:tcPr>
              <w:p w14:paraId="52F07AF4" w14:textId="77777777" w:rsidR="00487984" w:rsidRDefault="00487984" w:rsidP="005D6E32">
                <w:pPr>
                  <w:tabs>
                    <w:tab w:val="right" w:pos="8838"/>
                  </w:tabs>
                  <w:spacing w:after="0"/>
                  <w:ind w:left="-74" w:right="-10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2798" w:type="dxa"/>
              </w:tcPr>
              <w:p w14:paraId="6EA9B416" w14:textId="77777777" w:rsidR="00487984" w:rsidRDefault="00487984" w:rsidP="005D6E32">
                <w:pPr>
                  <w:tabs>
                    <w:tab w:val="left" w:pos="3122"/>
                    <w:tab w:val="right" w:pos="8838"/>
                  </w:tabs>
                  <w:spacing w:after="0"/>
                  <w:ind w:left="-74" w:right="-105"/>
                  <w:jc w:val="both"/>
                  <w:rPr>
                    <w:rFonts w:ascii="Palatino Linotype" w:eastAsia="Palatino Linotype" w:hAnsi="Palatino Linotype" w:cs="Palatino Linotype"/>
                  </w:rPr>
                </w:pPr>
              </w:p>
            </w:tc>
          </w:tr>
          <w:tr w:rsidR="00487984" w14:paraId="0ECE2672" w14:textId="77777777" w:rsidTr="00F639D0">
            <w:trPr>
              <w:trHeight w:val="283"/>
            </w:trPr>
            <w:tc>
              <w:tcPr>
                <w:tcW w:w="2447" w:type="dxa"/>
              </w:tcPr>
              <w:p w14:paraId="513704D8" w14:textId="77777777" w:rsidR="00487984" w:rsidRDefault="00487984" w:rsidP="005D6E32">
                <w:pPr>
                  <w:tabs>
                    <w:tab w:val="right" w:pos="8838"/>
                  </w:tabs>
                  <w:spacing w:after="0"/>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2798" w:type="dxa"/>
              </w:tcPr>
              <w:p w14:paraId="46C1AB1C" w14:textId="77777777" w:rsidR="00487984" w:rsidRDefault="00487984" w:rsidP="005D6E32">
                <w:pPr>
                  <w:tabs>
                    <w:tab w:val="left" w:pos="2834"/>
                    <w:tab w:val="right" w:pos="8838"/>
                  </w:tabs>
                  <w:spacing w:after="0"/>
                  <w:ind w:left="-74" w:right="-105"/>
                  <w:jc w:val="both"/>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487984" w14:paraId="00184E4B" w14:textId="77777777" w:rsidTr="00F639D0">
            <w:trPr>
              <w:trHeight w:val="283"/>
            </w:trPr>
            <w:tc>
              <w:tcPr>
                <w:tcW w:w="2447" w:type="dxa"/>
              </w:tcPr>
              <w:p w14:paraId="15A58BA7" w14:textId="77777777" w:rsidR="00487984" w:rsidRDefault="00487984" w:rsidP="005D6E32">
                <w:pPr>
                  <w:tabs>
                    <w:tab w:val="right" w:pos="8838"/>
                  </w:tabs>
                  <w:spacing w:after="0"/>
                  <w:ind w:left="-74" w:right="-105"/>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2798" w:type="dxa"/>
              </w:tcPr>
              <w:p w14:paraId="0AEB4DE7" w14:textId="77777777" w:rsidR="00487984" w:rsidRPr="004E6F8B" w:rsidRDefault="00487984" w:rsidP="005D6E32">
                <w:pPr>
                  <w:tabs>
                    <w:tab w:val="right" w:pos="8838"/>
                  </w:tabs>
                  <w:spacing w:after="0"/>
                  <w:ind w:left="-74" w:right="-105"/>
                  <w:jc w:val="both"/>
                  <w:rPr>
                    <w:rFonts w:ascii="Palatino Linotype" w:eastAsia="Palatino Linotype" w:hAnsi="Palatino Linotype" w:cs="Palatino Linotype"/>
                  </w:rPr>
                </w:pPr>
                <w:r>
                  <w:rPr>
                    <w:rFonts w:ascii="Palatino Linotype" w:eastAsia="Palatino Linotype" w:hAnsi="Palatino Linotype" w:cs="Palatino Linotype"/>
                  </w:rPr>
                  <w:t>Luis Gustavo Parra Noriega</w:t>
                </w:r>
              </w:p>
            </w:tc>
          </w:tr>
        </w:tbl>
        <w:p w14:paraId="3F804FA3" w14:textId="77777777" w:rsidR="00487984" w:rsidRDefault="00487984">
          <w:pPr>
            <w:tabs>
              <w:tab w:val="right" w:pos="8838"/>
            </w:tabs>
            <w:spacing w:line="256" w:lineRule="auto"/>
            <w:ind w:left="-28"/>
            <w:jc w:val="both"/>
            <w:rPr>
              <w:rFonts w:ascii="Arial" w:eastAsia="Arial" w:hAnsi="Arial" w:cs="Arial"/>
              <w:b/>
            </w:rPr>
          </w:pPr>
        </w:p>
      </w:tc>
    </w:tr>
  </w:tbl>
  <w:p w14:paraId="0984EFC2" w14:textId="77777777" w:rsidR="00487984" w:rsidRPr="005D6E32" w:rsidRDefault="00487984" w:rsidP="005D6E32">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57FD"/>
    <w:multiLevelType w:val="hybridMultilevel"/>
    <w:tmpl w:val="5DB45F54"/>
    <w:lvl w:ilvl="0" w:tplc="A810F63E">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C23ABD"/>
    <w:multiLevelType w:val="hybridMultilevel"/>
    <w:tmpl w:val="51D6E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F7141"/>
    <w:multiLevelType w:val="hybridMultilevel"/>
    <w:tmpl w:val="3D9E5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F41B49"/>
    <w:multiLevelType w:val="hybridMultilevel"/>
    <w:tmpl w:val="DF44B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76701B"/>
    <w:multiLevelType w:val="multilevel"/>
    <w:tmpl w:val="FCB42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12DC9"/>
    <w:multiLevelType w:val="hybridMultilevel"/>
    <w:tmpl w:val="7FF67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5B52A2"/>
    <w:multiLevelType w:val="hybridMultilevel"/>
    <w:tmpl w:val="C2C0F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2A003F"/>
    <w:multiLevelType w:val="hybridMultilevel"/>
    <w:tmpl w:val="506CB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546DC5"/>
    <w:multiLevelType w:val="hybridMultilevel"/>
    <w:tmpl w:val="B8644C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FD20FF"/>
    <w:multiLevelType w:val="hybridMultilevel"/>
    <w:tmpl w:val="284658E6"/>
    <w:lvl w:ilvl="0" w:tplc="10B0792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6B777623"/>
    <w:multiLevelType w:val="hybridMultilevel"/>
    <w:tmpl w:val="DDB86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BA1419D"/>
    <w:multiLevelType w:val="hybridMultilevel"/>
    <w:tmpl w:val="EB56C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8F6193"/>
    <w:multiLevelType w:val="hybridMultilevel"/>
    <w:tmpl w:val="2A9AB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CB454D"/>
    <w:multiLevelType w:val="multilevel"/>
    <w:tmpl w:val="D82CA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13039B"/>
    <w:multiLevelType w:val="hybridMultilevel"/>
    <w:tmpl w:val="DAF6B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4677C7"/>
    <w:multiLevelType w:val="multilevel"/>
    <w:tmpl w:val="C9E04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12"/>
  </w:num>
  <w:num w:numId="5">
    <w:abstractNumId w:val="0"/>
  </w:num>
  <w:num w:numId="6">
    <w:abstractNumId w:val="5"/>
  </w:num>
  <w:num w:numId="7">
    <w:abstractNumId w:val="14"/>
  </w:num>
  <w:num w:numId="8">
    <w:abstractNumId w:val="3"/>
  </w:num>
  <w:num w:numId="9">
    <w:abstractNumId w:val="2"/>
  </w:num>
  <w:num w:numId="10">
    <w:abstractNumId w:val="8"/>
  </w:num>
  <w:num w:numId="11">
    <w:abstractNumId w:val="9"/>
  </w:num>
  <w:num w:numId="12">
    <w:abstractNumId w:val="1"/>
  </w:num>
  <w:num w:numId="13">
    <w:abstractNumId w:val="13"/>
  </w:num>
  <w:num w:numId="14">
    <w:abstractNumId w:val="7"/>
  </w:num>
  <w:num w:numId="15">
    <w:abstractNumId w:val="11"/>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C"/>
    <w:rsid w:val="00001C46"/>
    <w:rsid w:val="00020B91"/>
    <w:rsid w:val="00047914"/>
    <w:rsid w:val="00062003"/>
    <w:rsid w:val="00070297"/>
    <w:rsid w:val="0008376E"/>
    <w:rsid w:val="000C5B45"/>
    <w:rsid w:val="001072EE"/>
    <w:rsid w:val="001220C5"/>
    <w:rsid w:val="00174962"/>
    <w:rsid w:val="0019587C"/>
    <w:rsid w:val="001E1147"/>
    <w:rsid w:val="001E4AD3"/>
    <w:rsid w:val="00203647"/>
    <w:rsid w:val="00241024"/>
    <w:rsid w:val="00245A16"/>
    <w:rsid w:val="002A2FCF"/>
    <w:rsid w:val="00301FF4"/>
    <w:rsid w:val="003671C9"/>
    <w:rsid w:val="003837A9"/>
    <w:rsid w:val="00395492"/>
    <w:rsid w:val="003E42D3"/>
    <w:rsid w:val="004075DC"/>
    <w:rsid w:val="0046728B"/>
    <w:rsid w:val="00487984"/>
    <w:rsid w:val="004B393F"/>
    <w:rsid w:val="004C551B"/>
    <w:rsid w:val="00564370"/>
    <w:rsid w:val="005644F3"/>
    <w:rsid w:val="00586D4A"/>
    <w:rsid w:val="0059728B"/>
    <w:rsid w:val="005B4F54"/>
    <w:rsid w:val="005D2CE9"/>
    <w:rsid w:val="005D6E32"/>
    <w:rsid w:val="006261FA"/>
    <w:rsid w:val="006909FC"/>
    <w:rsid w:val="006F4DD6"/>
    <w:rsid w:val="006F56F6"/>
    <w:rsid w:val="00746FA4"/>
    <w:rsid w:val="0075695C"/>
    <w:rsid w:val="007A6DA1"/>
    <w:rsid w:val="007B73B3"/>
    <w:rsid w:val="007B73C8"/>
    <w:rsid w:val="00824F86"/>
    <w:rsid w:val="008365B9"/>
    <w:rsid w:val="00871DAC"/>
    <w:rsid w:val="00876E53"/>
    <w:rsid w:val="008D1D19"/>
    <w:rsid w:val="00992574"/>
    <w:rsid w:val="009A444B"/>
    <w:rsid w:val="009B2D65"/>
    <w:rsid w:val="009D12FB"/>
    <w:rsid w:val="009F3DED"/>
    <w:rsid w:val="00A077A4"/>
    <w:rsid w:val="00A708A4"/>
    <w:rsid w:val="00AC057C"/>
    <w:rsid w:val="00AC61DC"/>
    <w:rsid w:val="00AE31C5"/>
    <w:rsid w:val="00AE4295"/>
    <w:rsid w:val="00B10F88"/>
    <w:rsid w:val="00B15ACF"/>
    <w:rsid w:val="00BD3FF3"/>
    <w:rsid w:val="00BE57BE"/>
    <w:rsid w:val="00BF1EE8"/>
    <w:rsid w:val="00D32631"/>
    <w:rsid w:val="00DA6790"/>
    <w:rsid w:val="00DF3C14"/>
    <w:rsid w:val="00DF3FFB"/>
    <w:rsid w:val="00E06298"/>
    <w:rsid w:val="00EC2CD5"/>
    <w:rsid w:val="00F0352C"/>
    <w:rsid w:val="00F3667F"/>
    <w:rsid w:val="00F639D0"/>
    <w:rsid w:val="00FA3740"/>
    <w:rsid w:val="00FA4EF4"/>
    <w:rsid w:val="00FC6620"/>
    <w:rsid w:val="00FC7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565D2F"/>
  <w15:chartTrackingRefBased/>
  <w15:docId w15:val="{7DF878B7-EBBD-44AD-9347-23706C77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0352C"/>
    <w:pPr>
      <w:keepNext/>
      <w:keepLines/>
      <w:spacing w:after="0" w:line="360" w:lineRule="auto"/>
      <w:jc w:val="center"/>
      <w:outlineLvl w:val="0"/>
    </w:pPr>
    <w:rPr>
      <w:rFonts w:ascii="Palatino Linotype" w:eastAsiaTheme="majorEastAsia" w:hAnsi="Palatino Linotype" w:cstheme="majorBidi"/>
      <w:b/>
      <w:color w:val="000000" w:themeColor="text1"/>
      <w:szCs w:val="32"/>
    </w:rPr>
  </w:style>
  <w:style w:type="paragraph" w:styleId="Ttulo2">
    <w:name w:val="heading 2"/>
    <w:basedOn w:val="Normal"/>
    <w:next w:val="Normal"/>
    <w:link w:val="Ttulo2Car"/>
    <w:uiPriority w:val="9"/>
    <w:unhideWhenUsed/>
    <w:qFormat/>
    <w:rsid w:val="00F0352C"/>
    <w:pPr>
      <w:keepNext/>
      <w:keepLines/>
      <w:spacing w:after="0" w:line="360" w:lineRule="auto"/>
      <w:jc w:val="both"/>
      <w:outlineLvl w:val="1"/>
    </w:pPr>
    <w:rPr>
      <w:rFonts w:ascii="Palatino Linotype" w:eastAsiaTheme="majorEastAsia" w:hAnsi="Palatino Linotype"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61DC"/>
    <w:pPr>
      <w:ind w:left="720"/>
      <w:contextualSpacing/>
    </w:pPr>
  </w:style>
  <w:style w:type="character" w:styleId="Hipervnculo">
    <w:name w:val="Hyperlink"/>
    <w:basedOn w:val="Fuentedeprrafopredeter"/>
    <w:uiPriority w:val="99"/>
    <w:unhideWhenUsed/>
    <w:rsid w:val="003E42D3"/>
    <w:rPr>
      <w:color w:val="0563C1" w:themeColor="hyperlink"/>
      <w:u w:val="single"/>
    </w:rPr>
  </w:style>
  <w:style w:type="character" w:customStyle="1" w:styleId="UnresolvedMention">
    <w:name w:val="Unresolved Mention"/>
    <w:basedOn w:val="Fuentedeprrafopredeter"/>
    <w:uiPriority w:val="99"/>
    <w:semiHidden/>
    <w:unhideWhenUsed/>
    <w:rsid w:val="002A2FCF"/>
    <w:rPr>
      <w:color w:val="605E5C"/>
      <w:shd w:val="clear" w:color="auto" w:fill="E1DFDD"/>
    </w:rPr>
  </w:style>
  <w:style w:type="character" w:styleId="Hipervnculovisitado">
    <w:name w:val="FollowedHyperlink"/>
    <w:basedOn w:val="Fuentedeprrafopredeter"/>
    <w:uiPriority w:val="99"/>
    <w:semiHidden/>
    <w:unhideWhenUsed/>
    <w:rsid w:val="00AE31C5"/>
    <w:rPr>
      <w:color w:val="954F72" w:themeColor="followedHyperlink"/>
      <w:u w:val="single"/>
    </w:rPr>
  </w:style>
  <w:style w:type="character" w:customStyle="1" w:styleId="Ttulo1Car">
    <w:name w:val="Título 1 Car"/>
    <w:basedOn w:val="Fuentedeprrafopredeter"/>
    <w:link w:val="Ttulo1"/>
    <w:uiPriority w:val="9"/>
    <w:rsid w:val="00F0352C"/>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F0352C"/>
    <w:rPr>
      <w:rFonts w:ascii="Palatino Linotype" w:eastAsiaTheme="majorEastAsia" w:hAnsi="Palatino Linotype" w:cstheme="majorBidi"/>
      <w:b/>
      <w:szCs w:val="26"/>
    </w:rPr>
  </w:style>
  <w:style w:type="paragraph" w:styleId="TtulodeTDC">
    <w:name w:val="TOC Heading"/>
    <w:basedOn w:val="Ttulo1"/>
    <w:next w:val="Normal"/>
    <w:uiPriority w:val="39"/>
    <w:unhideWhenUsed/>
    <w:qFormat/>
    <w:rsid w:val="00F0352C"/>
    <w:pPr>
      <w:spacing w:before="24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F0352C"/>
    <w:pPr>
      <w:spacing w:after="100"/>
    </w:pPr>
  </w:style>
  <w:style w:type="paragraph" w:styleId="TDC2">
    <w:name w:val="toc 2"/>
    <w:basedOn w:val="Normal"/>
    <w:next w:val="Normal"/>
    <w:autoRedefine/>
    <w:uiPriority w:val="39"/>
    <w:unhideWhenUsed/>
    <w:rsid w:val="00F0352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50140">
      <w:bodyDiv w:val="1"/>
      <w:marLeft w:val="0"/>
      <w:marRight w:val="0"/>
      <w:marTop w:val="0"/>
      <w:marBottom w:val="0"/>
      <w:divBdr>
        <w:top w:val="none" w:sz="0" w:space="0" w:color="auto"/>
        <w:left w:val="none" w:sz="0" w:space="0" w:color="auto"/>
        <w:bottom w:val="none" w:sz="0" w:space="0" w:color="auto"/>
        <w:right w:val="none" w:sz="0" w:space="0" w:color="auto"/>
      </w:divBdr>
    </w:div>
    <w:div w:id="849103984">
      <w:bodyDiv w:val="1"/>
      <w:marLeft w:val="0"/>
      <w:marRight w:val="0"/>
      <w:marTop w:val="0"/>
      <w:marBottom w:val="0"/>
      <w:divBdr>
        <w:top w:val="none" w:sz="0" w:space="0" w:color="auto"/>
        <w:left w:val="none" w:sz="0" w:space="0" w:color="auto"/>
        <w:bottom w:val="none" w:sz="0" w:space="0" w:color="auto"/>
        <w:right w:val="none" w:sz="0" w:space="0" w:color="auto"/>
      </w:divBdr>
    </w:div>
    <w:div w:id="1265192511">
      <w:bodyDiv w:val="1"/>
      <w:marLeft w:val="0"/>
      <w:marRight w:val="0"/>
      <w:marTop w:val="0"/>
      <w:marBottom w:val="0"/>
      <w:divBdr>
        <w:top w:val="none" w:sz="0" w:space="0" w:color="auto"/>
        <w:left w:val="none" w:sz="0" w:space="0" w:color="auto"/>
        <w:bottom w:val="none" w:sz="0" w:space="0" w:color="auto"/>
        <w:right w:val="none" w:sz="0" w:space="0" w:color="auto"/>
      </w:divBdr>
    </w:div>
    <w:div w:id="1571423992">
      <w:bodyDiv w:val="1"/>
      <w:marLeft w:val="0"/>
      <w:marRight w:val="0"/>
      <w:marTop w:val="0"/>
      <w:marBottom w:val="0"/>
      <w:divBdr>
        <w:top w:val="none" w:sz="0" w:space="0" w:color="auto"/>
        <w:left w:val="none" w:sz="0" w:space="0" w:color="auto"/>
        <w:bottom w:val="none" w:sz="0" w:space="0" w:color="auto"/>
        <w:right w:val="none" w:sz="0" w:space="0" w:color="auto"/>
      </w:divBdr>
    </w:div>
    <w:div w:id="20560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edomex.gob.mx/hoy_no_circul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ma.edomex.gob.mx/dg_prevencion_control_contaminacion_atmosferi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DA61E-2D91-4F4B-8595-5D10DF4B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4456</Words>
  <Characters>24513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2025-02-21T15:37:00Z</cp:lastPrinted>
  <dcterms:created xsi:type="dcterms:W3CDTF">2025-02-21T15:37:00Z</dcterms:created>
  <dcterms:modified xsi:type="dcterms:W3CDTF">2025-04-29T19:13:00Z</dcterms:modified>
</cp:coreProperties>
</file>