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02D" w:rsidRPr="009172AF" w:rsidRDefault="001E252F" w:rsidP="00AA0AC2">
      <w:pPr>
        <w:pStyle w:val="Prrafodelista"/>
        <w:spacing w:line="360" w:lineRule="auto"/>
        <w:ind w:left="0"/>
        <w:jc w:val="both"/>
        <w:rPr>
          <w:rFonts w:ascii="Palatino Linotype" w:eastAsia="Calibri" w:hAnsi="Palatino Linotype" w:cs="Arial"/>
          <w:b/>
        </w:rPr>
      </w:pPr>
      <w:bookmarkStart w:id="0" w:name="_Toc48841664"/>
      <w:bookmarkStart w:id="1" w:name="_Toc466418172"/>
      <w:bookmarkStart w:id="2" w:name="_Toc462402153"/>
      <w:bookmarkStart w:id="3" w:name="_Toc495430768"/>
      <w:r w:rsidRPr="009172AF">
        <w:rPr>
          <w:rFonts w:ascii="Palatino Linotype" w:eastAsia="Calibri" w:hAnsi="Palatino Linotype" w:cs="Arial"/>
        </w:rPr>
        <w:t xml:space="preserve">Resolución del Pleno del Instituto de Transparencia, Acceso a la Información Pública y Protección de Datos Personales del Estado de México y Municipios, con domicilio en Metepec, Estado de México; de </w:t>
      </w:r>
      <w:r w:rsidR="00D03BE7" w:rsidRPr="009172AF">
        <w:rPr>
          <w:rFonts w:ascii="Palatino Linotype" w:eastAsia="Calibri" w:hAnsi="Palatino Linotype" w:cs="Arial"/>
          <w:b/>
        </w:rPr>
        <w:t>nueve</w:t>
      </w:r>
      <w:r w:rsidRPr="009172AF">
        <w:rPr>
          <w:rFonts w:ascii="Palatino Linotype" w:eastAsia="Calibri" w:hAnsi="Palatino Linotype" w:cs="Arial"/>
          <w:b/>
        </w:rPr>
        <w:t xml:space="preserve"> de </w:t>
      </w:r>
      <w:r w:rsidR="00D03BE7" w:rsidRPr="009172AF">
        <w:rPr>
          <w:rFonts w:ascii="Palatino Linotype" w:eastAsia="Calibri" w:hAnsi="Palatino Linotype" w:cs="Arial"/>
          <w:b/>
        </w:rPr>
        <w:t>abril de dos mil veinticinco</w:t>
      </w:r>
      <w:r w:rsidRPr="009172AF">
        <w:rPr>
          <w:rFonts w:ascii="Palatino Linotype" w:eastAsia="Calibri" w:hAnsi="Palatino Linotype" w:cs="Arial"/>
          <w:b/>
        </w:rPr>
        <w:t>.</w:t>
      </w:r>
    </w:p>
    <w:p w:rsidR="00E3702D" w:rsidRPr="009172AF" w:rsidRDefault="00E3702D" w:rsidP="00AA0AC2">
      <w:pPr>
        <w:pStyle w:val="Prrafodelista"/>
        <w:spacing w:line="360" w:lineRule="auto"/>
        <w:ind w:left="0"/>
        <w:jc w:val="both"/>
        <w:rPr>
          <w:rFonts w:ascii="Palatino Linotype" w:eastAsia="Calibri" w:hAnsi="Palatino Linotype" w:cs="Arial"/>
          <w:b/>
        </w:rPr>
      </w:pPr>
    </w:p>
    <w:p w:rsidR="00E3702D" w:rsidRPr="009172AF" w:rsidRDefault="001E252F" w:rsidP="00AA0AC2">
      <w:pPr>
        <w:pStyle w:val="Prrafodelista"/>
        <w:spacing w:line="360" w:lineRule="auto"/>
        <w:ind w:left="0"/>
        <w:jc w:val="both"/>
        <w:rPr>
          <w:rFonts w:ascii="Palatino Linotype" w:eastAsia="Calibri" w:hAnsi="Palatino Linotype" w:cs="Arial"/>
        </w:rPr>
      </w:pPr>
      <w:r w:rsidRPr="009172AF">
        <w:rPr>
          <w:rFonts w:ascii="Palatino Linotype" w:eastAsia="Calibri" w:hAnsi="Palatino Linotype" w:cs="Arial"/>
          <w:b/>
        </w:rPr>
        <w:t>VISTOS</w:t>
      </w:r>
      <w:r w:rsidRPr="009172AF">
        <w:rPr>
          <w:rFonts w:ascii="Palatino Linotype" w:eastAsia="Calibri" w:hAnsi="Palatino Linotype" w:cs="Arial"/>
        </w:rPr>
        <w:t xml:space="preserve"> los expedientes electrónicos formados con motivo de los Recursos de Revisión </w:t>
      </w:r>
      <w:r w:rsidR="00D03BE7" w:rsidRPr="009172AF">
        <w:rPr>
          <w:rFonts w:ascii="Palatino Linotype" w:hAnsi="Palatino Linotype" w:cs="Arial"/>
          <w:b/>
          <w:bCs/>
          <w:lang w:eastAsia="es-MX"/>
        </w:rPr>
        <w:t>00518/INFOEM/IP/RR/2025 y 00519/INFOEM/IP/RR/2025</w:t>
      </w:r>
      <w:r w:rsidRPr="009172AF">
        <w:rPr>
          <w:rFonts w:ascii="Palatino Linotype" w:hAnsi="Palatino Linotype"/>
          <w:b/>
          <w:bCs/>
          <w:color w:val="000000"/>
        </w:rPr>
        <w:t xml:space="preserve"> </w:t>
      </w:r>
      <w:r w:rsidRPr="009172AF">
        <w:rPr>
          <w:rFonts w:ascii="Palatino Linotype" w:eastAsia="Calibri" w:hAnsi="Palatino Linotype" w:cs="Arial"/>
        </w:rPr>
        <w:t>acumulados, promovidos por  </w:t>
      </w:r>
      <w:r w:rsidR="00D03BE7" w:rsidRPr="009172AF">
        <w:rPr>
          <w:rFonts w:ascii="Palatino Linotype" w:eastAsia="Times New Roman" w:hAnsi="Palatino Linotype" w:cs="Times New Roman"/>
          <w:b/>
          <w:bCs/>
          <w:color w:val="000000" w:themeColor="text1"/>
        </w:rPr>
        <w:t>una persona que no proporciono datos de identificación</w:t>
      </w:r>
      <w:r w:rsidRPr="009172AF">
        <w:rPr>
          <w:rFonts w:ascii="Palatino Linotype" w:eastAsia="Calibri" w:hAnsi="Palatino Linotype" w:cs="Arial"/>
        </w:rPr>
        <w:t xml:space="preserve">, a través del Sistema de Acceso a la Información Mexiquense (SAIMEX), a quien en lo sucesivo se le identificará como </w:t>
      </w:r>
      <w:r w:rsidRPr="009172AF">
        <w:rPr>
          <w:rFonts w:ascii="Palatino Linotype" w:eastAsia="Calibri" w:hAnsi="Palatino Linotype" w:cs="Arial"/>
          <w:b/>
        </w:rPr>
        <w:t>LA RECURRENTE</w:t>
      </w:r>
      <w:r w:rsidRPr="009172AF">
        <w:rPr>
          <w:rFonts w:ascii="Palatino Linotype" w:eastAsia="Calibri" w:hAnsi="Palatino Linotype" w:cs="Arial"/>
        </w:rPr>
        <w:t xml:space="preserve">, en contra de las respuestas del </w:t>
      </w:r>
      <w:r w:rsidR="00D03BE7" w:rsidRPr="009172AF">
        <w:rPr>
          <w:rFonts w:ascii="Palatino Linotype" w:eastAsia="Calibri" w:hAnsi="Palatino Linotype" w:cs="Arial"/>
          <w:b/>
        </w:rPr>
        <w:t>Ayuntamiento de Toluca</w:t>
      </w:r>
      <w:r w:rsidRPr="009172AF">
        <w:rPr>
          <w:rFonts w:ascii="Palatino Linotype" w:eastAsia="Calibri" w:hAnsi="Palatino Linotype" w:cs="Arial"/>
        </w:rPr>
        <w:t xml:space="preserve">, en lo sucesivo </w:t>
      </w:r>
      <w:r w:rsidRPr="009172AF">
        <w:rPr>
          <w:rFonts w:ascii="Palatino Linotype" w:eastAsia="Calibri" w:hAnsi="Palatino Linotype" w:cs="Arial"/>
          <w:b/>
        </w:rPr>
        <w:t>EL SUJETO OBLIGADO</w:t>
      </w:r>
      <w:r w:rsidRPr="009172AF">
        <w:rPr>
          <w:rFonts w:ascii="Palatino Linotype" w:eastAsia="Calibri" w:hAnsi="Palatino Linotype" w:cs="Arial"/>
        </w:rPr>
        <w:t xml:space="preserve">, se procede a dictar la presente </w:t>
      </w:r>
      <w:r w:rsidR="00D03BE7" w:rsidRPr="009172AF">
        <w:rPr>
          <w:rFonts w:ascii="Palatino Linotype" w:eastAsia="Calibri" w:hAnsi="Palatino Linotype" w:cs="Arial"/>
        </w:rPr>
        <w:t>R</w:t>
      </w:r>
      <w:r w:rsidRPr="009172AF">
        <w:rPr>
          <w:rFonts w:ascii="Palatino Linotype" w:eastAsia="Calibri" w:hAnsi="Palatino Linotype" w:cs="Arial"/>
        </w:rPr>
        <w:t>esolución, con base en los siguientes:</w:t>
      </w:r>
      <w:bookmarkStart w:id="4" w:name="_Toc85733154"/>
    </w:p>
    <w:p w:rsidR="00E3702D" w:rsidRPr="009172AF" w:rsidRDefault="00E3702D" w:rsidP="00AA0AC2">
      <w:pPr>
        <w:pStyle w:val="Prrafodelista"/>
        <w:spacing w:line="360" w:lineRule="auto"/>
        <w:ind w:left="0"/>
        <w:jc w:val="both"/>
        <w:rPr>
          <w:rFonts w:ascii="Palatino Linotype" w:eastAsia="Calibri" w:hAnsi="Palatino Linotype" w:cs="Arial"/>
        </w:rPr>
      </w:pPr>
    </w:p>
    <w:p w:rsidR="00E3702D" w:rsidRPr="009172AF" w:rsidRDefault="001E252F" w:rsidP="00AA0AC2">
      <w:pPr>
        <w:pStyle w:val="Prrafodelista"/>
        <w:spacing w:line="360" w:lineRule="auto"/>
        <w:ind w:left="0"/>
        <w:jc w:val="center"/>
        <w:rPr>
          <w:rFonts w:ascii="Palatino Linotype" w:eastAsia="Calibri" w:hAnsi="Palatino Linotype" w:cs="Arial"/>
          <w:b/>
        </w:rPr>
      </w:pPr>
      <w:r w:rsidRPr="009172AF">
        <w:rPr>
          <w:rFonts w:ascii="Palatino Linotype" w:eastAsia="Calibri" w:hAnsi="Palatino Linotype" w:cs="Arial"/>
          <w:b/>
        </w:rPr>
        <w:t>A N T E C E D E N T E S</w:t>
      </w:r>
      <w:bookmarkEnd w:id="4"/>
    </w:p>
    <w:p w:rsidR="00E3702D" w:rsidRPr="009172AF" w:rsidRDefault="00E3702D" w:rsidP="00AA0AC2">
      <w:pPr>
        <w:spacing w:line="360" w:lineRule="auto"/>
        <w:rPr>
          <w:rFonts w:ascii="Palatino Linotype" w:hAnsi="Palatino Linotype"/>
          <w:lang w:val="es-ES"/>
        </w:rPr>
      </w:pPr>
    </w:p>
    <w:p w:rsidR="00E3702D" w:rsidRPr="009172AF" w:rsidRDefault="00D03BE7" w:rsidP="00D03BE7">
      <w:pPr>
        <w:pStyle w:val="Prrafodelista"/>
        <w:numPr>
          <w:ilvl w:val="0"/>
          <w:numId w:val="1"/>
        </w:numPr>
        <w:spacing w:line="360" w:lineRule="auto"/>
        <w:ind w:left="0" w:firstLine="142"/>
        <w:contextualSpacing w:val="0"/>
        <w:jc w:val="both"/>
        <w:rPr>
          <w:rFonts w:ascii="Palatino Linotype" w:eastAsia="Calibri" w:hAnsi="Palatino Linotype" w:cs="Arial"/>
        </w:rPr>
      </w:pPr>
      <w:r w:rsidRPr="009172AF">
        <w:rPr>
          <w:rFonts w:ascii="Palatino Linotype" w:eastAsia="Calibri" w:hAnsi="Palatino Linotype" w:cs="Arial"/>
        </w:rPr>
        <w:t>El</w:t>
      </w:r>
      <w:r w:rsidR="001E252F" w:rsidRPr="009172AF">
        <w:rPr>
          <w:rFonts w:ascii="Palatino Linotype" w:eastAsia="Calibri" w:hAnsi="Palatino Linotype" w:cs="Arial"/>
        </w:rPr>
        <w:t xml:space="preserve"> día </w:t>
      </w:r>
      <w:r w:rsidRPr="009172AF">
        <w:rPr>
          <w:rFonts w:ascii="Palatino Linotype" w:eastAsia="Calibri" w:hAnsi="Palatino Linotype" w:cs="Arial"/>
          <w:b/>
        </w:rPr>
        <w:t>once</w:t>
      </w:r>
      <w:r w:rsidR="001E252F" w:rsidRPr="009172AF">
        <w:rPr>
          <w:rFonts w:ascii="Palatino Linotype" w:eastAsia="Calibri" w:hAnsi="Palatino Linotype" w:cs="Arial"/>
          <w:b/>
        </w:rPr>
        <w:t xml:space="preserve"> de </w:t>
      </w:r>
      <w:r w:rsidRPr="009172AF">
        <w:rPr>
          <w:rFonts w:ascii="Palatino Linotype" w:eastAsia="Calibri" w:hAnsi="Palatino Linotype" w:cs="Arial"/>
          <w:b/>
        </w:rPr>
        <w:t>dic</w:t>
      </w:r>
      <w:r w:rsidR="001E252F" w:rsidRPr="009172AF">
        <w:rPr>
          <w:rFonts w:ascii="Palatino Linotype" w:eastAsia="Calibri" w:hAnsi="Palatino Linotype" w:cs="Arial"/>
          <w:b/>
        </w:rPr>
        <w:t>iembre de dos mil veinticuatro</w:t>
      </w:r>
      <w:r w:rsidR="001E252F" w:rsidRPr="009172AF">
        <w:rPr>
          <w:rFonts w:ascii="Palatino Linotype" w:hAnsi="Palatino Linotype"/>
          <w:b/>
        </w:rPr>
        <w:t xml:space="preserve">, </w:t>
      </w:r>
      <w:r w:rsidR="001E252F" w:rsidRPr="009172AF">
        <w:rPr>
          <w:rFonts w:ascii="Palatino Linotype" w:eastAsia="Calibri" w:hAnsi="Palatino Linotype" w:cs="Arial"/>
        </w:rPr>
        <w:t xml:space="preserve">se presentó ante el </w:t>
      </w:r>
      <w:r w:rsidR="001E252F" w:rsidRPr="009172AF">
        <w:rPr>
          <w:rFonts w:ascii="Palatino Linotype" w:eastAsia="Calibri" w:hAnsi="Palatino Linotype" w:cs="Arial"/>
          <w:b/>
        </w:rPr>
        <w:t xml:space="preserve">SUJETO </w:t>
      </w:r>
      <w:r w:rsidR="001E252F" w:rsidRPr="009172AF">
        <w:rPr>
          <w:rFonts w:ascii="Palatino Linotype" w:hAnsi="Palatino Linotype" w:cs="Arial"/>
          <w:b/>
        </w:rPr>
        <w:t>OBLIGADO</w:t>
      </w:r>
      <w:r w:rsidR="001E252F" w:rsidRPr="009172AF">
        <w:rPr>
          <w:rFonts w:ascii="Palatino Linotype" w:eastAsia="Calibri" w:hAnsi="Palatino Linotype" w:cs="Arial"/>
        </w:rPr>
        <w:t xml:space="preserve"> vía </w:t>
      </w:r>
      <w:r w:rsidR="001E252F" w:rsidRPr="009172AF">
        <w:rPr>
          <w:rFonts w:ascii="Palatino Linotype" w:eastAsia="Calibri" w:hAnsi="Palatino Linotype" w:cs="Arial"/>
          <w:b/>
        </w:rPr>
        <w:t>SAIMEX</w:t>
      </w:r>
      <w:r w:rsidR="001E252F" w:rsidRPr="009172AF">
        <w:rPr>
          <w:rFonts w:ascii="Palatino Linotype" w:eastAsia="Calibri" w:hAnsi="Palatino Linotype" w:cs="Arial"/>
        </w:rPr>
        <w:t>, las solicitudes de información pública registradas con los números</w:t>
      </w:r>
      <w:r w:rsidR="001E252F" w:rsidRPr="009172AF">
        <w:rPr>
          <w:rFonts w:ascii="Palatino Linotype" w:hAnsi="Palatino Linotype"/>
          <w:b/>
          <w:bCs/>
          <w:color w:val="000000" w:themeColor="text1"/>
        </w:rPr>
        <w:t xml:space="preserve"> </w:t>
      </w:r>
      <w:r w:rsidRPr="009172AF">
        <w:rPr>
          <w:rFonts w:ascii="Palatino Linotype" w:hAnsi="Palatino Linotype"/>
          <w:b/>
          <w:bCs/>
          <w:color w:val="000000" w:themeColor="text1"/>
        </w:rPr>
        <w:t>03451/TOLUCA/IP/2024 y 0345</w:t>
      </w:r>
      <w:r w:rsidR="00F43829" w:rsidRPr="009172AF">
        <w:rPr>
          <w:rFonts w:ascii="Palatino Linotype" w:hAnsi="Palatino Linotype"/>
          <w:b/>
          <w:bCs/>
          <w:color w:val="000000" w:themeColor="text1"/>
        </w:rPr>
        <w:t>2</w:t>
      </w:r>
      <w:r w:rsidRPr="009172AF">
        <w:rPr>
          <w:rFonts w:ascii="Palatino Linotype" w:hAnsi="Palatino Linotype"/>
          <w:b/>
          <w:bCs/>
          <w:color w:val="000000" w:themeColor="text1"/>
        </w:rPr>
        <w:t xml:space="preserve">/TOLUCA/IP/2024 </w:t>
      </w:r>
      <w:r w:rsidR="001E252F" w:rsidRPr="009172AF">
        <w:rPr>
          <w:rFonts w:ascii="Palatino Linotype" w:eastAsia="Calibri" w:hAnsi="Palatino Linotype" w:cs="Arial"/>
        </w:rPr>
        <w:t>mediante las cuales se solicitó la siguiente información:</w:t>
      </w:r>
    </w:p>
    <w:p w:rsidR="00E3702D" w:rsidRPr="009172AF" w:rsidRDefault="00E3702D" w:rsidP="00AA0AC2">
      <w:pPr>
        <w:pStyle w:val="Prrafodelista"/>
        <w:spacing w:line="360" w:lineRule="auto"/>
        <w:ind w:left="0"/>
        <w:jc w:val="both"/>
        <w:rPr>
          <w:rFonts w:ascii="Palatino Linotype" w:eastAsia="Calibri" w:hAnsi="Palatino Linotype" w:cs="Arial"/>
          <w:b/>
        </w:rPr>
      </w:pPr>
    </w:p>
    <w:p w:rsidR="00E3702D" w:rsidRPr="009172AF" w:rsidRDefault="001E252F" w:rsidP="00AA0AC2">
      <w:pPr>
        <w:pStyle w:val="Prrafodelista"/>
        <w:spacing w:line="360" w:lineRule="auto"/>
        <w:ind w:left="426" w:right="425"/>
        <w:jc w:val="both"/>
        <w:rPr>
          <w:rFonts w:ascii="Palatino Linotype" w:eastAsia="Calibri" w:hAnsi="Palatino Linotype" w:cs="Arial"/>
          <w:b/>
        </w:rPr>
      </w:pPr>
      <w:r w:rsidRPr="009172AF">
        <w:rPr>
          <w:rFonts w:ascii="Palatino Linotype" w:eastAsia="Calibri" w:hAnsi="Palatino Linotype" w:cs="Arial"/>
          <w:b/>
        </w:rPr>
        <w:t xml:space="preserve">Número de Folio de la Solicitud: </w:t>
      </w:r>
      <w:r w:rsidR="00D03BE7" w:rsidRPr="009172AF">
        <w:rPr>
          <w:rFonts w:ascii="Palatino Linotype" w:hAnsi="Palatino Linotype"/>
          <w:b/>
          <w:bCs/>
          <w:color w:val="000000" w:themeColor="text1"/>
        </w:rPr>
        <w:t>03451/TOLUCA/IP/2024</w:t>
      </w:r>
    </w:p>
    <w:p w:rsidR="00E3702D" w:rsidRPr="009172AF" w:rsidRDefault="001E252F" w:rsidP="00AA0AC2">
      <w:pPr>
        <w:pStyle w:val="Prrafodelista"/>
        <w:spacing w:line="360" w:lineRule="auto"/>
        <w:ind w:left="426" w:right="425"/>
        <w:jc w:val="both"/>
        <w:rPr>
          <w:rFonts w:ascii="Palatino Linotype" w:eastAsia="Calibri" w:hAnsi="Palatino Linotype" w:cs="Arial"/>
          <w:i/>
        </w:rPr>
      </w:pPr>
      <w:r w:rsidRPr="009172AF">
        <w:rPr>
          <w:rFonts w:ascii="Palatino Linotype" w:eastAsia="Calibri" w:hAnsi="Palatino Linotype" w:cs="Arial"/>
          <w:i/>
        </w:rPr>
        <w:lastRenderedPageBreak/>
        <w:t>“</w:t>
      </w:r>
      <w:r w:rsidR="00D03BE7" w:rsidRPr="009172AF">
        <w:rPr>
          <w:rFonts w:ascii="Palatino Linotype" w:eastAsia="Calibri" w:hAnsi="Palatino Linotype" w:cs="Arial"/>
          <w:i/>
        </w:rPr>
        <w:t>Al ser un derecho de acceso a la información pública se solicita todos los informes que recibio la Defensoria municipal de derechos humanos por parte de la Dirección de seguridad pública en la Administración 2019 a 2021.</w:t>
      </w:r>
      <w:r w:rsidRPr="009172AF">
        <w:rPr>
          <w:rFonts w:ascii="Palatino Linotype" w:eastAsia="Calibri" w:hAnsi="Palatino Linotype" w:cs="Arial"/>
          <w:i/>
        </w:rPr>
        <w:t>”</w:t>
      </w:r>
    </w:p>
    <w:p w:rsidR="00E3702D" w:rsidRPr="009172AF" w:rsidRDefault="00E3702D" w:rsidP="00AA0AC2">
      <w:pPr>
        <w:pStyle w:val="Prrafodelista"/>
        <w:spacing w:line="360" w:lineRule="auto"/>
        <w:ind w:left="426" w:right="425"/>
        <w:jc w:val="both"/>
        <w:rPr>
          <w:rFonts w:ascii="Palatino Linotype" w:eastAsia="Calibri" w:hAnsi="Palatino Linotype" w:cs="Arial"/>
        </w:rPr>
      </w:pPr>
    </w:p>
    <w:p w:rsidR="00E3702D" w:rsidRPr="009172AF" w:rsidRDefault="001E252F" w:rsidP="00AA0AC2">
      <w:pPr>
        <w:pStyle w:val="Prrafodelista"/>
        <w:spacing w:line="360" w:lineRule="auto"/>
        <w:ind w:left="426" w:right="425"/>
        <w:jc w:val="both"/>
        <w:rPr>
          <w:rFonts w:ascii="Palatino Linotype" w:eastAsia="Calibri" w:hAnsi="Palatino Linotype" w:cs="Arial"/>
          <w:b/>
        </w:rPr>
      </w:pPr>
      <w:r w:rsidRPr="009172AF">
        <w:rPr>
          <w:rFonts w:ascii="Palatino Linotype" w:eastAsia="Calibri" w:hAnsi="Palatino Linotype" w:cs="Arial"/>
          <w:b/>
        </w:rPr>
        <w:t xml:space="preserve">Número de Folio de la Solicitud: </w:t>
      </w:r>
      <w:r w:rsidR="00D03BE7" w:rsidRPr="009172AF">
        <w:rPr>
          <w:rFonts w:ascii="Palatino Linotype" w:hAnsi="Palatino Linotype"/>
          <w:b/>
          <w:bCs/>
          <w:color w:val="000000" w:themeColor="text1"/>
        </w:rPr>
        <w:t>03452/TOLUCA/IP/2024</w:t>
      </w:r>
    </w:p>
    <w:p w:rsidR="00E3702D" w:rsidRPr="009172AF" w:rsidRDefault="001E252F" w:rsidP="00AA0AC2">
      <w:pPr>
        <w:pStyle w:val="Prrafodelista"/>
        <w:spacing w:line="360" w:lineRule="auto"/>
        <w:ind w:left="426" w:right="425"/>
        <w:jc w:val="both"/>
        <w:rPr>
          <w:rFonts w:ascii="Palatino Linotype" w:eastAsia="Calibri" w:hAnsi="Palatino Linotype" w:cs="Arial"/>
          <w:i/>
        </w:rPr>
      </w:pPr>
      <w:r w:rsidRPr="009172AF">
        <w:rPr>
          <w:rFonts w:ascii="Palatino Linotype" w:eastAsia="Calibri" w:hAnsi="Palatino Linotype" w:cs="Arial"/>
          <w:i/>
        </w:rPr>
        <w:t>“</w:t>
      </w:r>
      <w:r w:rsidR="00D03BE7" w:rsidRPr="009172AF">
        <w:rPr>
          <w:rFonts w:ascii="Palatino Linotype" w:eastAsia="Calibri" w:hAnsi="Palatino Linotype" w:cs="Arial"/>
          <w:i/>
        </w:rPr>
        <w:t>Al ser un derecho de acceso a la información pública se solicita todos los informes que recibio la Defensoria municipal de derechos humanos por parte de la Dirección de seguridad pública en la Administración 2022 a 2024.</w:t>
      </w:r>
      <w:r w:rsidRPr="009172AF">
        <w:rPr>
          <w:rFonts w:ascii="Palatino Linotype" w:eastAsia="Calibri" w:hAnsi="Palatino Linotype" w:cs="Arial"/>
          <w:i/>
        </w:rPr>
        <w:t>”</w:t>
      </w:r>
    </w:p>
    <w:p w:rsidR="00E3702D" w:rsidRPr="009172AF" w:rsidRDefault="00E3702D" w:rsidP="00AA0AC2">
      <w:pPr>
        <w:spacing w:line="360" w:lineRule="auto"/>
        <w:ind w:right="425"/>
        <w:jc w:val="both"/>
        <w:rPr>
          <w:rFonts w:ascii="Palatino Linotype" w:eastAsia="Calibri" w:hAnsi="Palatino Linotype" w:cs="Arial"/>
          <w:i/>
        </w:rPr>
      </w:pPr>
    </w:p>
    <w:p w:rsidR="00E3702D" w:rsidRPr="009172AF" w:rsidRDefault="001E252F" w:rsidP="00AA0AC2">
      <w:pPr>
        <w:pStyle w:val="Prrafodelista"/>
        <w:numPr>
          <w:ilvl w:val="0"/>
          <w:numId w:val="2"/>
        </w:numPr>
        <w:spacing w:line="360" w:lineRule="auto"/>
        <w:ind w:left="709" w:right="474"/>
        <w:jc w:val="both"/>
        <w:rPr>
          <w:rFonts w:ascii="Palatino Linotype" w:eastAsia="Calibri" w:hAnsi="Palatino Linotype" w:cs="Arial"/>
        </w:rPr>
      </w:pPr>
      <w:r w:rsidRPr="009172AF">
        <w:rPr>
          <w:rFonts w:ascii="Palatino Linotype" w:eastAsia="Calibri" w:hAnsi="Palatino Linotype" w:cs="Arial"/>
          <w:b/>
        </w:rPr>
        <w:t>Modalidad de entrega</w:t>
      </w:r>
      <w:r w:rsidRPr="009172AF">
        <w:rPr>
          <w:rFonts w:ascii="Palatino Linotype" w:eastAsia="Calibri" w:hAnsi="Palatino Linotype" w:cs="Arial"/>
        </w:rPr>
        <w:t>: Vía SAIMEX.</w:t>
      </w:r>
    </w:p>
    <w:p w:rsidR="00E3702D" w:rsidRPr="009172AF" w:rsidRDefault="00E3702D" w:rsidP="00AA0AC2">
      <w:pPr>
        <w:pStyle w:val="Prrafodelista"/>
        <w:spacing w:line="360" w:lineRule="auto"/>
        <w:ind w:left="0"/>
        <w:jc w:val="both"/>
        <w:rPr>
          <w:rFonts w:ascii="Palatino Linotype" w:hAnsi="Palatino Linotype" w:cs="Arial"/>
          <w:i/>
        </w:rPr>
      </w:pPr>
    </w:p>
    <w:p w:rsidR="00750DAA" w:rsidRPr="009172AF" w:rsidRDefault="001E252F" w:rsidP="003B66DF">
      <w:pPr>
        <w:pStyle w:val="Prrafodelista"/>
        <w:numPr>
          <w:ilvl w:val="0"/>
          <w:numId w:val="1"/>
        </w:numPr>
        <w:spacing w:line="360" w:lineRule="auto"/>
        <w:ind w:left="0" w:firstLine="0"/>
        <w:contextualSpacing w:val="0"/>
        <w:jc w:val="both"/>
        <w:rPr>
          <w:rFonts w:ascii="Palatino Linotype" w:hAnsi="Palatino Linotype" w:cs="Arial"/>
          <w:b/>
          <w:i/>
        </w:rPr>
      </w:pPr>
      <w:r w:rsidRPr="009172AF">
        <w:rPr>
          <w:rFonts w:ascii="Palatino Linotype" w:hAnsi="Palatino Linotype" w:cs="Arial"/>
        </w:rPr>
        <w:t xml:space="preserve">El </w:t>
      </w:r>
      <w:r w:rsidR="00D03BE7" w:rsidRPr="009172AF">
        <w:rPr>
          <w:rFonts w:ascii="Palatino Linotype" w:hAnsi="Palatino Linotype" w:cs="Arial"/>
          <w:b/>
        </w:rPr>
        <w:t>veintidós</w:t>
      </w:r>
      <w:r w:rsidR="00AE28DC" w:rsidRPr="009172AF">
        <w:rPr>
          <w:rFonts w:ascii="Palatino Linotype" w:hAnsi="Palatino Linotype" w:cs="Arial"/>
          <w:b/>
        </w:rPr>
        <w:t xml:space="preserve"> de enero</w:t>
      </w:r>
      <w:r w:rsidRPr="009172AF">
        <w:rPr>
          <w:rFonts w:ascii="Palatino Linotype" w:hAnsi="Palatino Linotype" w:cs="Arial"/>
          <w:b/>
        </w:rPr>
        <w:t xml:space="preserve"> de dos mil veinticuatro</w:t>
      </w:r>
      <w:r w:rsidRPr="009172AF">
        <w:rPr>
          <w:rFonts w:ascii="Palatino Linotype" w:hAnsi="Palatino Linotype" w:cs="Arial"/>
        </w:rPr>
        <w:t xml:space="preserve">, el </w:t>
      </w:r>
      <w:r w:rsidRPr="009172AF">
        <w:rPr>
          <w:rFonts w:ascii="Palatino Linotype" w:hAnsi="Palatino Linotype" w:cs="Arial"/>
          <w:b/>
        </w:rPr>
        <w:t>SUJETO OBLIGADO</w:t>
      </w:r>
      <w:r w:rsidR="005F6141" w:rsidRPr="009172AF">
        <w:rPr>
          <w:rFonts w:ascii="Palatino Linotype" w:hAnsi="Palatino Linotype" w:cs="Arial"/>
        </w:rPr>
        <w:t xml:space="preserve"> </w:t>
      </w:r>
      <w:r w:rsidR="003B66DF" w:rsidRPr="009172AF">
        <w:rPr>
          <w:rFonts w:ascii="Palatino Linotype" w:hAnsi="Palatino Linotype" w:cs="Arial"/>
        </w:rPr>
        <w:t>solicitó una prórroga para dar atención a las solicitudes de información, lo que quedó asentado en el acuerdo CT/SE/26/01/2025, de la Vigésima Sexta Sesión Extraordinaria 2025 del Comité de Transparencia del Municipio de Toluca, Administración 2025- 2027, de fecha 22 de enero del año en curso.</w:t>
      </w:r>
    </w:p>
    <w:p w:rsidR="00750DAA" w:rsidRPr="009172AF" w:rsidRDefault="00750DAA" w:rsidP="00AA0AC2">
      <w:pPr>
        <w:pStyle w:val="Prrafodelista"/>
        <w:spacing w:line="360" w:lineRule="auto"/>
        <w:ind w:left="142"/>
        <w:contextualSpacing w:val="0"/>
        <w:jc w:val="both"/>
        <w:rPr>
          <w:rFonts w:ascii="Palatino Linotype" w:hAnsi="Palatino Linotype" w:cs="Arial"/>
          <w:b/>
          <w:i/>
        </w:rPr>
      </w:pPr>
    </w:p>
    <w:p w:rsidR="002F4948" w:rsidRPr="009172AF" w:rsidRDefault="002F4948" w:rsidP="00AA0AC2">
      <w:pPr>
        <w:pStyle w:val="Prrafodelista"/>
        <w:numPr>
          <w:ilvl w:val="0"/>
          <w:numId w:val="1"/>
        </w:numPr>
        <w:spacing w:line="360" w:lineRule="auto"/>
        <w:ind w:left="0" w:firstLine="0"/>
        <w:contextualSpacing w:val="0"/>
        <w:jc w:val="both"/>
        <w:rPr>
          <w:rFonts w:ascii="Palatino Linotype" w:hAnsi="Palatino Linotype" w:cs="Arial"/>
          <w:b/>
          <w:i/>
        </w:rPr>
      </w:pPr>
      <w:r w:rsidRPr="009172AF">
        <w:rPr>
          <w:rFonts w:ascii="Palatino Linotype" w:hAnsi="Palatino Linotype" w:cs="Arial"/>
        </w:rPr>
        <w:t>Posteriormente se emi</w:t>
      </w:r>
      <w:r w:rsidR="00923638" w:rsidRPr="009172AF">
        <w:rPr>
          <w:rFonts w:ascii="Palatino Linotype" w:hAnsi="Palatino Linotype" w:cs="Arial"/>
        </w:rPr>
        <w:t>tió una respuesta en fecha</w:t>
      </w:r>
      <w:r w:rsidRPr="009172AF">
        <w:rPr>
          <w:rFonts w:ascii="Palatino Linotype" w:hAnsi="Palatino Linotype" w:cs="Arial"/>
        </w:rPr>
        <w:t xml:space="preserve"> </w:t>
      </w:r>
      <w:r w:rsidR="00923638" w:rsidRPr="009172AF">
        <w:rPr>
          <w:rFonts w:ascii="Palatino Linotype" w:hAnsi="Palatino Linotype" w:cs="Arial"/>
          <w:b/>
        </w:rPr>
        <w:t>treinta y uno de enero de dos mil veinticinco</w:t>
      </w:r>
      <w:r w:rsidR="00923638" w:rsidRPr="009172AF">
        <w:rPr>
          <w:rFonts w:ascii="Palatino Linotype" w:hAnsi="Palatino Linotype" w:cs="Arial"/>
        </w:rPr>
        <w:t>, a la solicitudes de información, de la siguiente manera:</w:t>
      </w:r>
    </w:p>
    <w:p w:rsidR="00923638" w:rsidRPr="009172AF" w:rsidRDefault="00923638" w:rsidP="00923638">
      <w:pPr>
        <w:pStyle w:val="Prrafodelista"/>
        <w:rPr>
          <w:rFonts w:ascii="Palatino Linotype" w:hAnsi="Palatino Linotype" w:cs="Arial"/>
          <w:b/>
          <w:i/>
        </w:rPr>
      </w:pPr>
    </w:p>
    <w:p w:rsidR="00923638" w:rsidRPr="009172AF" w:rsidRDefault="00923638" w:rsidP="00923638">
      <w:pPr>
        <w:spacing w:line="360" w:lineRule="auto"/>
        <w:ind w:left="708"/>
        <w:jc w:val="both"/>
        <w:rPr>
          <w:rFonts w:ascii="Palatino Linotype" w:hAnsi="Palatino Linotype" w:cs="Arial"/>
          <w:b/>
        </w:rPr>
      </w:pPr>
      <w:r w:rsidRPr="009172AF">
        <w:rPr>
          <w:rFonts w:ascii="Palatino Linotype" w:hAnsi="Palatino Linotype" w:cs="Arial"/>
          <w:b/>
        </w:rPr>
        <w:t>Folio de la solicitud: 03452/TOLUCA/IP/2024</w:t>
      </w:r>
    </w:p>
    <w:p w:rsidR="00923638" w:rsidRPr="009172AF" w:rsidRDefault="00923638" w:rsidP="00923638">
      <w:pPr>
        <w:spacing w:line="360" w:lineRule="auto"/>
        <w:ind w:left="708"/>
        <w:jc w:val="both"/>
        <w:rPr>
          <w:rFonts w:ascii="Palatino Linotype" w:hAnsi="Palatino Linotype" w:cs="Arial"/>
        </w:rPr>
      </w:pPr>
      <w:r w:rsidRPr="009172AF">
        <w:rPr>
          <w:rFonts w:ascii="Palatino Linotype" w:hAnsi="Palatino Linotype" w:cs="Arial"/>
          <w:b/>
        </w:rPr>
        <w:lastRenderedPageBreak/>
        <w:t xml:space="preserve">Anexo solicitud 03452-TOLUCA-IP-2024.pdf, </w:t>
      </w:r>
      <w:r w:rsidRPr="009172AF">
        <w:rPr>
          <w:rFonts w:ascii="Palatino Linotype" w:hAnsi="Palatino Linotype" w:cs="Arial"/>
        </w:rPr>
        <w:t>que contiene 327 fojas con informes remitidos a la Defensoría Municipal de Derechos Humanos por parte de la Dirección Jurídica, del año 2022 al año 2024.</w:t>
      </w:r>
    </w:p>
    <w:p w:rsidR="00923638" w:rsidRPr="009172AF" w:rsidRDefault="00923638" w:rsidP="00923638">
      <w:pPr>
        <w:spacing w:line="360" w:lineRule="auto"/>
        <w:ind w:left="708"/>
        <w:jc w:val="both"/>
        <w:rPr>
          <w:rFonts w:ascii="Palatino Linotype" w:hAnsi="Palatino Linotype" w:cs="Arial"/>
          <w:b/>
        </w:rPr>
      </w:pPr>
      <w:r w:rsidRPr="009172AF">
        <w:rPr>
          <w:rFonts w:ascii="Palatino Linotype" w:hAnsi="Palatino Linotype" w:cs="Arial"/>
          <w:b/>
        </w:rPr>
        <w:t>RESPUESTA 03452. 2024</w:t>
      </w:r>
      <w:proofErr w:type="gramStart"/>
      <w:r w:rsidRPr="009172AF">
        <w:rPr>
          <w:rFonts w:ascii="Palatino Linotype" w:hAnsi="Palatino Linotype" w:cs="Arial"/>
          <w:b/>
        </w:rPr>
        <w:t>.pdf</w:t>
      </w:r>
      <w:proofErr w:type="gramEnd"/>
      <w:r w:rsidRPr="009172AF">
        <w:rPr>
          <w:rFonts w:ascii="Palatino Linotype" w:hAnsi="Palatino Linotype" w:cs="Arial"/>
          <w:b/>
        </w:rPr>
        <w:t xml:space="preserve">, </w:t>
      </w:r>
      <w:r w:rsidRPr="009172AF">
        <w:rPr>
          <w:rFonts w:ascii="Palatino Linotype" w:hAnsi="Palatino Linotype" w:cs="Arial"/>
        </w:rPr>
        <w:t>que corresponde a un oficio signado por la Titular de la Unidad de Transparencia en donde informa al solicitante de la respuesta emitida.</w:t>
      </w:r>
    </w:p>
    <w:p w:rsidR="00923638" w:rsidRPr="009172AF" w:rsidRDefault="00923638" w:rsidP="00923638">
      <w:pPr>
        <w:spacing w:line="360" w:lineRule="auto"/>
        <w:ind w:left="708"/>
        <w:jc w:val="both"/>
        <w:rPr>
          <w:rFonts w:ascii="Palatino Linotype" w:hAnsi="Palatino Linotype" w:cs="Arial"/>
          <w:b/>
        </w:rPr>
      </w:pPr>
    </w:p>
    <w:p w:rsidR="00923638" w:rsidRPr="009172AF" w:rsidRDefault="00923638" w:rsidP="00923638">
      <w:pPr>
        <w:spacing w:line="360" w:lineRule="auto"/>
        <w:ind w:left="708"/>
        <w:jc w:val="both"/>
        <w:rPr>
          <w:rFonts w:ascii="Palatino Linotype" w:hAnsi="Palatino Linotype" w:cs="Arial"/>
          <w:b/>
        </w:rPr>
      </w:pPr>
      <w:r w:rsidRPr="009172AF">
        <w:rPr>
          <w:rFonts w:ascii="Palatino Linotype" w:hAnsi="Palatino Linotype" w:cs="Arial"/>
          <w:b/>
        </w:rPr>
        <w:t xml:space="preserve">ACTA DE LA CUADRAGÉSIMA QUINTA SESIÓN EXTRAORDINARIA 2025.pdf, </w:t>
      </w:r>
      <w:r w:rsidRPr="009172AF">
        <w:rPr>
          <w:rFonts w:ascii="Palatino Linotype" w:hAnsi="Palatino Linotype" w:cs="Arial"/>
        </w:rPr>
        <w:t>que corresponde al Acuerdo del Comité de Transparencia en el que se sustenta la versión publica del soporte documental entregado en calidad de respuesta.</w:t>
      </w:r>
    </w:p>
    <w:p w:rsidR="005F6141" w:rsidRPr="009172AF" w:rsidRDefault="005F6141" w:rsidP="00AA0AC2">
      <w:pPr>
        <w:pStyle w:val="Prrafodelista"/>
        <w:spacing w:line="360" w:lineRule="auto"/>
        <w:ind w:left="0"/>
        <w:contextualSpacing w:val="0"/>
        <w:jc w:val="both"/>
        <w:rPr>
          <w:rFonts w:ascii="Palatino Linotype" w:hAnsi="Palatino Linotype" w:cs="Arial"/>
        </w:rPr>
      </w:pPr>
    </w:p>
    <w:p w:rsidR="00923638" w:rsidRPr="009172AF" w:rsidRDefault="00923638" w:rsidP="00923638">
      <w:pPr>
        <w:spacing w:line="360" w:lineRule="auto"/>
        <w:ind w:left="708"/>
        <w:jc w:val="both"/>
        <w:rPr>
          <w:rFonts w:ascii="Palatino Linotype" w:hAnsi="Palatino Linotype" w:cs="Arial"/>
          <w:b/>
        </w:rPr>
      </w:pPr>
      <w:r w:rsidRPr="009172AF">
        <w:rPr>
          <w:rFonts w:ascii="Palatino Linotype" w:hAnsi="Palatino Linotype" w:cs="Arial"/>
          <w:b/>
        </w:rPr>
        <w:t>Folio de la solicitud: 03451/TOLUCA/IP/2024</w:t>
      </w:r>
    </w:p>
    <w:p w:rsidR="00923638" w:rsidRPr="009172AF" w:rsidRDefault="00923638" w:rsidP="00923638">
      <w:pPr>
        <w:spacing w:line="360" w:lineRule="auto"/>
        <w:ind w:left="708"/>
        <w:jc w:val="both"/>
        <w:rPr>
          <w:rFonts w:ascii="Palatino Linotype" w:hAnsi="Palatino Linotype" w:cs="Arial"/>
        </w:rPr>
      </w:pPr>
      <w:r w:rsidRPr="009172AF">
        <w:rPr>
          <w:rFonts w:ascii="Palatino Linotype" w:hAnsi="Palatino Linotype" w:cs="Arial"/>
          <w:b/>
        </w:rPr>
        <w:t xml:space="preserve">Anexo solicitud 03451-TOLUCA-IP-2024.pdf, </w:t>
      </w:r>
      <w:r w:rsidRPr="009172AF">
        <w:rPr>
          <w:rFonts w:ascii="Palatino Linotype" w:hAnsi="Palatino Linotype" w:cs="Arial"/>
        </w:rPr>
        <w:t>que contiene 327 fojas con informes remitidos a la Defensoría Municipal de Derechos Humanos por parte de la Dirección Jurídica, del año 2018 al año 2021.</w:t>
      </w:r>
    </w:p>
    <w:p w:rsidR="00923638" w:rsidRPr="009172AF" w:rsidRDefault="00923638" w:rsidP="00923638">
      <w:pPr>
        <w:spacing w:line="360" w:lineRule="auto"/>
        <w:ind w:left="708"/>
        <w:jc w:val="both"/>
        <w:rPr>
          <w:rFonts w:ascii="Palatino Linotype" w:hAnsi="Palatino Linotype" w:cs="Arial"/>
        </w:rPr>
      </w:pPr>
    </w:p>
    <w:p w:rsidR="00923638" w:rsidRPr="009172AF" w:rsidRDefault="00923638" w:rsidP="00923638">
      <w:pPr>
        <w:spacing w:line="360" w:lineRule="auto"/>
        <w:ind w:left="708"/>
        <w:jc w:val="both"/>
        <w:rPr>
          <w:rFonts w:ascii="Palatino Linotype" w:hAnsi="Palatino Linotype" w:cs="Arial"/>
          <w:b/>
        </w:rPr>
      </w:pPr>
      <w:r w:rsidRPr="009172AF">
        <w:rPr>
          <w:rFonts w:ascii="Palatino Linotype" w:hAnsi="Palatino Linotype" w:cs="Arial"/>
          <w:b/>
        </w:rPr>
        <w:t>RESPUESTA 03451. 2024</w:t>
      </w:r>
      <w:proofErr w:type="gramStart"/>
      <w:r w:rsidRPr="009172AF">
        <w:rPr>
          <w:rFonts w:ascii="Palatino Linotype" w:hAnsi="Palatino Linotype" w:cs="Arial"/>
          <w:b/>
        </w:rPr>
        <w:t>.pdf</w:t>
      </w:r>
      <w:proofErr w:type="gramEnd"/>
      <w:r w:rsidRPr="009172AF">
        <w:rPr>
          <w:rFonts w:ascii="Palatino Linotype" w:hAnsi="Palatino Linotype" w:cs="Arial"/>
          <w:b/>
        </w:rPr>
        <w:t xml:space="preserve">, </w:t>
      </w:r>
      <w:r w:rsidRPr="009172AF">
        <w:rPr>
          <w:rFonts w:ascii="Palatino Linotype" w:hAnsi="Palatino Linotype" w:cs="Arial"/>
        </w:rPr>
        <w:t>que corresponde a un oficio signado por la Titular de la Unidad de Transparencia en donde informa al solicitante de la respuesta emitida.</w:t>
      </w:r>
    </w:p>
    <w:p w:rsidR="00923638" w:rsidRPr="009172AF" w:rsidRDefault="00923638" w:rsidP="00923638">
      <w:pPr>
        <w:spacing w:line="360" w:lineRule="auto"/>
        <w:ind w:left="708"/>
        <w:jc w:val="both"/>
        <w:rPr>
          <w:rFonts w:ascii="Palatino Linotype" w:hAnsi="Palatino Linotype" w:cs="Arial"/>
          <w:b/>
        </w:rPr>
      </w:pPr>
    </w:p>
    <w:p w:rsidR="00923638" w:rsidRPr="009172AF" w:rsidRDefault="00923638" w:rsidP="00923638">
      <w:pPr>
        <w:spacing w:line="360" w:lineRule="auto"/>
        <w:ind w:left="708"/>
        <w:jc w:val="both"/>
        <w:rPr>
          <w:rFonts w:ascii="Palatino Linotype" w:hAnsi="Palatino Linotype" w:cs="Arial"/>
          <w:b/>
        </w:rPr>
      </w:pPr>
      <w:r w:rsidRPr="009172AF">
        <w:rPr>
          <w:rFonts w:ascii="Palatino Linotype" w:hAnsi="Palatino Linotype" w:cs="Arial"/>
          <w:b/>
        </w:rPr>
        <w:lastRenderedPageBreak/>
        <w:t xml:space="preserve">ACTA DE LA CUADRAGÉSIMA QUINTA SESIÓN EXTRAORDINARIA 2025.pdf, </w:t>
      </w:r>
      <w:r w:rsidRPr="009172AF">
        <w:rPr>
          <w:rFonts w:ascii="Palatino Linotype" w:hAnsi="Palatino Linotype" w:cs="Arial"/>
        </w:rPr>
        <w:t>que corresponde al Acuerdo del Comité de Transparencia en el que se sustenta la versión publica del soporte documental entregado en calidad de respuesta.</w:t>
      </w:r>
    </w:p>
    <w:p w:rsidR="00923638" w:rsidRPr="009172AF" w:rsidRDefault="00923638" w:rsidP="00AA0AC2">
      <w:pPr>
        <w:pStyle w:val="Prrafodelista"/>
        <w:spacing w:line="360" w:lineRule="auto"/>
        <w:ind w:left="0"/>
        <w:contextualSpacing w:val="0"/>
        <w:jc w:val="both"/>
        <w:rPr>
          <w:rFonts w:ascii="Palatino Linotype" w:hAnsi="Palatino Linotype" w:cs="Arial"/>
        </w:rPr>
      </w:pPr>
    </w:p>
    <w:p w:rsidR="00E3702D" w:rsidRPr="009172AF" w:rsidRDefault="001E252F" w:rsidP="00AA0AC2">
      <w:pPr>
        <w:pStyle w:val="Prrafodelista"/>
        <w:numPr>
          <w:ilvl w:val="0"/>
          <w:numId w:val="1"/>
        </w:numPr>
        <w:spacing w:line="360" w:lineRule="auto"/>
        <w:ind w:left="0" w:firstLine="0"/>
        <w:contextualSpacing w:val="0"/>
        <w:jc w:val="both"/>
        <w:rPr>
          <w:rFonts w:ascii="Palatino Linotype" w:hAnsi="Palatino Linotype"/>
        </w:rPr>
      </w:pPr>
      <w:r w:rsidRPr="009172AF">
        <w:rPr>
          <w:rFonts w:ascii="Palatino Linotype" w:eastAsia="Calibri" w:hAnsi="Palatino Linotype" w:cs="Arial"/>
          <w:lang w:val="es-AR"/>
        </w:rPr>
        <w:t xml:space="preserve">El </w:t>
      </w:r>
      <w:r w:rsidR="00F023FB" w:rsidRPr="009172AF">
        <w:rPr>
          <w:rFonts w:ascii="Palatino Linotype" w:eastAsia="Calibri" w:hAnsi="Palatino Linotype" w:cs="Arial"/>
          <w:lang w:val="es-AR"/>
        </w:rPr>
        <w:t>día</w:t>
      </w:r>
      <w:r w:rsidR="00F023FB" w:rsidRPr="009172AF">
        <w:rPr>
          <w:rFonts w:ascii="Palatino Linotype" w:eastAsia="Calibri" w:hAnsi="Palatino Linotype" w:cs="Arial"/>
          <w:b/>
          <w:lang w:val="es-AR"/>
        </w:rPr>
        <w:t xml:space="preserve"> diez</w:t>
      </w:r>
      <w:r w:rsidRPr="009172AF">
        <w:rPr>
          <w:rFonts w:ascii="Palatino Linotype" w:eastAsia="Calibri" w:hAnsi="Palatino Linotype" w:cs="Arial"/>
          <w:b/>
          <w:lang w:val="es-AR"/>
        </w:rPr>
        <w:t xml:space="preserve"> de</w:t>
      </w:r>
      <w:r w:rsidR="00F023FB" w:rsidRPr="009172AF">
        <w:rPr>
          <w:rFonts w:ascii="Palatino Linotype" w:eastAsia="Calibri" w:hAnsi="Palatino Linotype" w:cs="Arial"/>
          <w:b/>
          <w:lang w:val="es-AR"/>
        </w:rPr>
        <w:t xml:space="preserve"> julio</w:t>
      </w:r>
      <w:r w:rsidRPr="009172AF">
        <w:rPr>
          <w:rFonts w:ascii="Palatino Linotype" w:eastAsia="Calibri" w:hAnsi="Palatino Linotype" w:cs="Arial"/>
          <w:b/>
          <w:lang w:val="es-AR"/>
        </w:rPr>
        <w:t xml:space="preserve"> dos mil veinticuatro</w:t>
      </w:r>
      <w:r w:rsidRPr="009172AF">
        <w:rPr>
          <w:rFonts w:ascii="Palatino Linotype" w:hAnsi="Palatino Linotype"/>
        </w:rPr>
        <w:t xml:space="preserve">, el </w:t>
      </w:r>
      <w:r w:rsidRPr="009172AF">
        <w:rPr>
          <w:rFonts w:ascii="Palatino Linotype" w:hAnsi="Palatino Linotype" w:cs="Arial"/>
        </w:rPr>
        <w:t>solicitante</w:t>
      </w:r>
      <w:r w:rsidRPr="009172AF">
        <w:rPr>
          <w:rFonts w:ascii="Palatino Linotype" w:hAnsi="Palatino Linotype"/>
        </w:rPr>
        <w:t xml:space="preserve"> interpuso recurso de revisión en las solicitudes de información</w:t>
      </w:r>
      <w:r w:rsidRPr="009172AF">
        <w:rPr>
          <w:rFonts w:ascii="Palatino Linotype" w:hAnsi="Palatino Linotype"/>
          <w:b/>
          <w:bCs/>
          <w:lang w:val="es-MX"/>
        </w:rPr>
        <w:t xml:space="preserve"> </w:t>
      </w:r>
      <w:r w:rsidRPr="009172AF">
        <w:rPr>
          <w:rFonts w:ascii="Palatino Linotype" w:hAnsi="Palatino Linotype"/>
          <w:bCs/>
          <w:lang w:val="es-MX"/>
        </w:rPr>
        <w:t>objeto de la presente acumulación</w:t>
      </w:r>
      <w:r w:rsidRPr="009172AF">
        <w:rPr>
          <w:rFonts w:ascii="Palatino Linotype" w:hAnsi="Palatino Linotype" w:cs="Arial"/>
        </w:rPr>
        <w:t>, señalando las siguientes razones o motivos de inconformidad:</w:t>
      </w:r>
    </w:p>
    <w:p w:rsidR="00E3702D" w:rsidRPr="009172AF" w:rsidRDefault="00E3702D" w:rsidP="00AA0AC2">
      <w:pPr>
        <w:pStyle w:val="Prrafodelista"/>
        <w:spacing w:line="360" w:lineRule="auto"/>
        <w:ind w:left="0"/>
        <w:contextualSpacing w:val="0"/>
        <w:jc w:val="both"/>
        <w:rPr>
          <w:rFonts w:ascii="Palatino Linotype" w:hAnsi="Palatino Linotype"/>
        </w:rPr>
      </w:pPr>
    </w:p>
    <w:tbl>
      <w:tblPr>
        <w:tblStyle w:val="Tablaconcuadrcula"/>
        <w:tblW w:w="0" w:type="auto"/>
        <w:tblLayout w:type="fixed"/>
        <w:tblLook w:val="04A0" w:firstRow="1" w:lastRow="0" w:firstColumn="1" w:lastColumn="0" w:noHBand="0" w:noVBand="1"/>
      </w:tblPr>
      <w:tblGrid>
        <w:gridCol w:w="3256"/>
        <w:gridCol w:w="5523"/>
      </w:tblGrid>
      <w:tr w:rsidR="00E3702D" w:rsidRPr="009172AF">
        <w:tc>
          <w:tcPr>
            <w:tcW w:w="3256" w:type="dxa"/>
          </w:tcPr>
          <w:p w:rsidR="00E3702D" w:rsidRPr="009172AF" w:rsidRDefault="001E252F" w:rsidP="00AA0AC2">
            <w:pPr>
              <w:pStyle w:val="Prrafodelista"/>
              <w:spacing w:line="360" w:lineRule="auto"/>
              <w:ind w:left="0"/>
              <w:jc w:val="center"/>
              <w:rPr>
                <w:rFonts w:ascii="Palatino Linotype" w:hAnsi="Palatino Linotype" w:cs="Arial"/>
                <w:b/>
              </w:rPr>
            </w:pPr>
            <w:r w:rsidRPr="009172AF">
              <w:rPr>
                <w:rFonts w:ascii="Palatino Linotype" w:hAnsi="Palatino Linotype" w:cs="Arial"/>
                <w:b/>
              </w:rPr>
              <w:t>Recursos de Revisión</w:t>
            </w:r>
          </w:p>
        </w:tc>
        <w:tc>
          <w:tcPr>
            <w:tcW w:w="5523" w:type="dxa"/>
          </w:tcPr>
          <w:p w:rsidR="00E3702D" w:rsidRPr="009172AF" w:rsidRDefault="001E252F" w:rsidP="00AA0AC2">
            <w:pPr>
              <w:pStyle w:val="Prrafodelista"/>
              <w:spacing w:line="360" w:lineRule="auto"/>
              <w:ind w:left="0"/>
              <w:jc w:val="center"/>
              <w:rPr>
                <w:rFonts w:ascii="Palatino Linotype" w:hAnsi="Palatino Linotype" w:cs="Arial"/>
                <w:b/>
              </w:rPr>
            </w:pPr>
            <w:r w:rsidRPr="009172AF">
              <w:rPr>
                <w:rFonts w:ascii="Palatino Linotype" w:hAnsi="Palatino Linotype" w:cs="Arial"/>
                <w:b/>
              </w:rPr>
              <w:t>Acto Impugnado y Razones o Motivos de Inconformidad</w:t>
            </w:r>
          </w:p>
        </w:tc>
      </w:tr>
      <w:tr w:rsidR="00E3702D" w:rsidRPr="009172AF">
        <w:tc>
          <w:tcPr>
            <w:tcW w:w="3256" w:type="dxa"/>
          </w:tcPr>
          <w:p w:rsidR="00E3702D" w:rsidRPr="009172AF" w:rsidRDefault="00923638" w:rsidP="00AA0AC2">
            <w:pPr>
              <w:pStyle w:val="Prrafodelista"/>
              <w:spacing w:line="360" w:lineRule="auto"/>
              <w:ind w:left="0"/>
              <w:rPr>
                <w:rFonts w:ascii="Palatino Linotype" w:hAnsi="Palatino Linotype" w:cs="Arial"/>
              </w:rPr>
            </w:pPr>
            <w:r w:rsidRPr="009172AF">
              <w:rPr>
                <w:rFonts w:ascii="Palatino Linotype" w:hAnsi="Palatino Linotype" w:cs="Arial"/>
              </w:rPr>
              <w:t>00518/INFOEM/IP/RR/2025</w:t>
            </w:r>
          </w:p>
        </w:tc>
        <w:tc>
          <w:tcPr>
            <w:tcW w:w="5523" w:type="dxa"/>
          </w:tcPr>
          <w:p w:rsidR="00923638" w:rsidRPr="009172AF" w:rsidRDefault="00923638" w:rsidP="00923638">
            <w:pPr>
              <w:spacing w:line="360" w:lineRule="auto"/>
              <w:jc w:val="both"/>
              <w:rPr>
                <w:rFonts w:ascii="Palatino Linotype" w:hAnsi="Palatino Linotype" w:cs="Arial"/>
                <w:b/>
                <w:i/>
              </w:rPr>
            </w:pPr>
            <w:r w:rsidRPr="009172AF">
              <w:rPr>
                <w:rFonts w:ascii="Palatino Linotype" w:hAnsi="Palatino Linotype" w:cs="Arial"/>
                <w:b/>
                <w:i/>
              </w:rPr>
              <w:t>ACTO IMPUGNADO</w:t>
            </w:r>
            <w:r w:rsidRPr="009172AF">
              <w:rPr>
                <w:rFonts w:ascii="Palatino Linotype" w:hAnsi="Palatino Linotype" w:cs="Arial"/>
                <w:b/>
                <w:i/>
              </w:rPr>
              <w:tab/>
            </w:r>
          </w:p>
          <w:p w:rsidR="00923638" w:rsidRPr="009172AF" w:rsidRDefault="00923638" w:rsidP="00923638">
            <w:pPr>
              <w:spacing w:line="360" w:lineRule="auto"/>
              <w:jc w:val="both"/>
              <w:rPr>
                <w:rFonts w:ascii="Palatino Linotype" w:hAnsi="Palatino Linotype" w:cs="Arial"/>
                <w:i/>
              </w:rPr>
            </w:pPr>
            <w:r w:rsidRPr="009172AF">
              <w:rPr>
                <w:rFonts w:ascii="Palatino Linotype" w:hAnsi="Palatino Linotype" w:cs="Arial"/>
                <w:i/>
              </w:rPr>
              <w:t>No entrega la información</w:t>
            </w:r>
          </w:p>
          <w:p w:rsidR="00923638" w:rsidRPr="009172AF" w:rsidRDefault="00923638" w:rsidP="00923638">
            <w:pPr>
              <w:spacing w:line="360" w:lineRule="auto"/>
              <w:jc w:val="both"/>
              <w:rPr>
                <w:rFonts w:ascii="Palatino Linotype" w:hAnsi="Palatino Linotype" w:cs="Arial"/>
                <w:b/>
                <w:i/>
              </w:rPr>
            </w:pPr>
          </w:p>
          <w:p w:rsidR="00923638" w:rsidRPr="009172AF" w:rsidRDefault="00923638" w:rsidP="00923638">
            <w:pPr>
              <w:spacing w:line="360" w:lineRule="auto"/>
              <w:jc w:val="both"/>
              <w:rPr>
                <w:rFonts w:ascii="Palatino Linotype" w:hAnsi="Palatino Linotype" w:cs="Arial"/>
                <w:b/>
                <w:i/>
              </w:rPr>
            </w:pPr>
            <w:r w:rsidRPr="009172AF">
              <w:rPr>
                <w:rFonts w:ascii="Palatino Linotype" w:hAnsi="Palatino Linotype" w:cs="Arial"/>
                <w:b/>
                <w:i/>
              </w:rPr>
              <w:t>RAZONES O MOTIVOS DE LA INCONFORMIDAD</w:t>
            </w:r>
            <w:r w:rsidRPr="009172AF">
              <w:rPr>
                <w:rFonts w:ascii="Palatino Linotype" w:hAnsi="Palatino Linotype" w:cs="Arial"/>
                <w:b/>
                <w:i/>
              </w:rPr>
              <w:tab/>
            </w:r>
          </w:p>
          <w:p w:rsidR="00F023FB" w:rsidRPr="009172AF" w:rsidRDefault="00923638" w:rsidP="00923638">
            <w:pPr>
              <w:pStyle w:val="Prrafodelista"/>
              <w:spacing w:line="360" w:lineRule="auto"/>
              <w:ind w:left="0"/>
              <w:jc w:val="both"/>
              <w:rPr>
                <w:rFonts w:ascii="Palatino Linotype" w:hAnsi="Palatino Linotype" w:cs="Arial"/>
                <w:i/>
              </w:rPr>
            </w:pPr>
            <w:r w:rsidRPr="009172AF">
              <w:rPr>
                <w:rFonts w:ascii="Palatino Linotype" w:hAnsi="Palatino Linotype" w:cs="Arial"/>
                <w:i/>
              </w:rPr>
              <w:t>No esta completo la información</w:t>
            </w:r>
          </w:p>
          <w:p w:rsidR="00923638" w:rsidRPr="009172AF" w:rsidRDefault="00923638" w:rsidP="00923638">
            <w:pPr>
              <w:pStyle w:val="Prrafodelista"/>
              <w:spacing w:line="360" w:lineRule="auto"/>
              <w:ind w:left="0"/>
              <w:jc w:val="both"/>
              <w:rPr>
                <w:rFonts w:ascii="Palatino Linotype" w:hAnsi="Palatino Linotype" w:cs="Arial"/>
                <w:i/>
              </w:rPr>
            </w:pPr>
          </w:p>
        </w:tc>
      </w:tr>
      <w:tr w:rsidR="00E3702D" w:rsidRPr="009172AF">
        <w:tc>
          <w:tcPr>
            <w:tcW w:w="3256" w:type="dxa"/>
          </w:tcPr>
          <w:p w:rsidR="00E3702D" w:rsidRPr="009172AF" w:rsidRDefault="00E22CF4" w:rsidP="00AA0AC2">
            <w:pPr>
              <w:pStyle w:val="Prrafodelista"/>
              <w:spacing w:line="360" w:lineRule="auto"/>
              <w:ind w:left="0"/>
              <w:rPr>
                <w:rFonts w:ascii="Palatino Linotype" w:hAnsi="Palatino Linotype" w:cs="Arial"/>
              </w:rPr>
            </w:pPr>
            <w:r w:rsidRPr="009172AF">
              <w:rPr>
                <w:rFonts w:ascii="Palatino Linotype" w:hAnsi="Palatino Linotype" w:cs="Arial"/>
              </w:rPr>
              <w:t>00519/INFOEM/IP/RR/2025</w:t>
            </w:r>
          </w:p>
        </w:tc>
        <w:tc>
          <w:tcPr>
            <w:tcW w:w="5523" w:type="dxa"/>
          </w:tcPr>
          <w:p w:rsidR="00E22CF4" w:rsidRPr="009172AF" w:rsidRDefault="00E22CF4" w:rsidP="00E22CF4">
            <w:pPr>
              <w:spacing w:line="360" w:lineRule="auto"/>
              <w:jc w:val="both"/>
              <w:rPr>
                <w:rFonts w:ascii="Palatino Linotype" w:hAnsi="Palatino Linotype" w:cs="Arial"/>
                <w:b/>
                <w:i/>
              </w:rPr>
            </w:pPr>
            <w:r w:rsidRPr="009172AF">
              <w:rPr>
                <w:rFonts w:ascii="Palatino Linotype" w:hAnsi="Palatino Linotype" w:cs="Arial"/>
                <w:b/>
                <w:i/>
              </w:rPr>
              <w:t>ACTO IMPUGNADO</w:t>
            </w:r>
            <w:r w:rsidRPr="009172AF">
              <w:rPr>
                <w:rFonts w:ascii="Palatino Linotype" w:hAnsi="Palatino Linotype" w:cs="Arial"/>
                <w:b/>
                <w:i/>
              </w:rPr>
              <w:tab/>
            </w:r>
          </w:p>
          <w:p w:rsidR="00E22CF4" w:rsidRPr="009172AF" w:rsidRDefault="00E22CF4" w:rsidP="00E22CF4">
            <w:pPr>
              <w:spacing w:line="360" w:lineRule="auto"/>
              <w:jc w:val="both"/>
              <w:rPr>
                <w:rFonts w:ascii="Palatino Linotype" w:hAnsi="Palatino Linotype" w:cs="Arial"/>
                <w:i/>
              </w:rPr>
            </w:pPr>
            <w:r w:rsidRPr="009172AF">
              <w:rPr>
                <w:rFonts w:ascii="Palatino Linotype" w:hAnsi="Palatino Linotype" w:cs="Arial"/>
                <w:i/>
              </w:rPr>
              <w:t>No entrega la información</w:t>
            </w:r>
          </w:p>
          <w:p w:rsidR="00E22CF4" w:rsidRPr="009172AF" w:rsidRDefault="00E22CF4" w:rsidP="00E22CF4">
            <w:pPr>
              <w:spacing w:line="360" w:lineRule="auto"/>
              <w:jc w:val="both"/>
              <w:rPr>
                <w:rFonts w:ascii="Palatino Linotype" w:hAnsi="Palatino Linotype" w:cs="Arial"/>
                <w:b/>
                <w:i/>
              </w:rPr>
            </w:pPr>
          </w:p>
          <w:p w:rsidR="00E22CF4" w:rsidRPr="009172AF" w:rsidRDefault="00E22CF4" w:rsidP="00E22CF4">
            <w:pPr>
              <w:spacing w:line="360" w:lineRule="auto"/>
              <w:jc w:val="both"/>
              <w:rPr>
                <w:rFonts w:ascii="Palatino Linotype" w:hAnsi="Palatino Linotype" w:cs="Arial"/>
                <w:b/>
                <w:i/>
              </w:rPr>
            </w:pPr>
            <w:r w:rsidRPr="009172AF">
              <w:rPr>
                <w:rFonts w:ascii="Palatino Linotype" w:hAnsi="Palatino Linotype" w:cs="Arial"/>
                <w:b/>
                <w:i/>
              </w:rPr>
              <w:lastRenderedPageBreak/>
              <w:t>RAZONES O MOTIVOS DE LA INCONFORMIDAD</w:t>
            </w:r>
            <w:r w:rsidRPr="009172AF">
              <w:rPr>
                <w:rFonts w:ascii="Palatino Linotype" w:hAnsi="Palatino Linotype" w:cs="Arial"/>
                <w:b/>
                <w:i/>
              </w:rPr>
              <w:tab/>
            </w:r>
          </w:p>
          <w:p w:rsidR="000F5783" w:rsidRPr="009172AF" w:rsidRDefault="00E22CF4" w:rsidP="00E22CF4">
            <w:pPr>
              <w:spacing w:line="360" w:lineRule="auto"/>
              <w:jc w:val="both"/>
              <w:rPr>
                <w:rFonts w:ascii="Palatino Linotype" w:hAnsi="Palatino Linotype" w:cs="Arial"/>
                <w:i/>
              </w:rPr>
            </w:pPr>
            <w:r w:rsidRPr="009172AF">
              <w:rPr>
                <w:rFonts w:ascii="Palatino Linotype" w:hAnsi="Palatino Linotype" w:cs="Arial"/>
                <w:i/>
              </w:rPr>
              <w:t>No esta completa la información</w:t>
            </w:r>
          </w:p>
        </w:tc>
      </w:tr>
    </w:tbl>
    <w:p w:rsidR="00E3702D" w:rsidRPr="009172AF" w:rsidRDefault="00E3702D" w:rsidP="00AA0AC2">
      <w:pPr>
        <w:pStyle w:val="Prrafodelista"/>
        <w:spacing w:line="360" w:lineRule="auto"/>
        <w:ind w:left="0"/>
        <w:contextualSpacing w:val="0"/>
        <w:jc w:val="both"/>
        <w:rPr>
          <w:rFonts w:ascii="Palatino Linotype" w:hAnsi="Palatino Linotype"/>
        </w:rPr>
      </w:pPr>
    </w:p>
    <w:p w:rsidR="00E3702D" w:rsidRPr="009172AF" w:rsidRDefault="00E22CF4" w:rsidP="00AA0AC2">
      <w:pPr>
        <w:pStyle w:val="Prrafodelista"/>
        <w:numPr>
          <w:ilvl w:val="0"/>
          <w:numId w:val="1"/>
        </w:numPr>
        <w:spacing w:line="360" w:lineRule="auto"/>
        <w:ind w:left="0" w:firstLine="0"/>
        <w:contextualSpacing w:val="0"/>
        <w:jc w:val="both"/>
        <w:rPr>
          <w:rFonts w:ascii="Palatino Linotype" w:hAnsi="Palatino Linotype"/>
          <w:color w:val="000000"/>
        </w:rPr>
      </w:pPr>
      <w:r w:rsidRPr="009172AF">
        <w:rPr>
          <w:rFonts w:ascii="Palatino Linotype" w:hAnsi="Palatino Linotype"/>
        </w:rPr>
        <w:t>Los Comisionados P</w:t>
      </w:r>
      <w:r w:rsidR="001E252F" w:rsidRPr="009172AF">
        <w:rPr>
          <w:rFonts w:ascii="Palatino Linotype" w:hAnsi="Palatino Linotype"/>
        </w:rPr>
        <w:t>onentes de origen</w:t>
      </w:r>
      <w:r w:rsidR="001E252F" w:rsidRPr="009172AF">
        <w:rPr>
          <w:rFonts w:ascii="Palatino Linotype" w:hAnsi="Palatino Linotype"/>
          <w:color w:val="000000"/>
        </w:rPr>
        <w:t xml:space="preserve"> con fundamento en lo dispuesto por el artículo 185 </w:t>
      </w:r>
      <w:r w:rsidR="001E252F" w:rsidRPr="009172AF">
        <w:rPr>
          <w:rFonts w:ascii="Palatino Linotype" w:eastAsia="Calibri" w:hAnsi="Palatino Linotype" w:cs="Arial"/>
        </w:rPr>
        <w:t>fracción</w:t>
      </w:r>
      <w:r w:rsidR="001E252F" w:rsidRPr="009172AF">
        <w:rPr>
          <w:rFonts w:ascii="Palatino Linotype" w:hAnsi="Palatino Linotype"/>
          <w:color w:val="000000"/>
        </w:rPr>
        <w:t xml:space="preserve"> II de la ley de la materia, a través de</w:t>
      </w:r>
      <w:r w:rsidR="00D85996" w:rsidRPr="009172AF">
        <w:rPr>
          <w:rFonts w:ascii="Palatino Linotype" w:hAnsi="Palatino Linotype"/>
          <w:color w:val="000000"/>
        </w:rPr>
        <w:t xml:space="preserve"> </w:t>
      </w:r>
      <w:r w:rsidR="001E252F" w:rsidRPr="009172AF">
        <w:rPr>
          <w:rFonts w:ascii="Palatino Linotype" w:hAnsi="Palatino Linotype"/>
          <w:color w:val="000000"/>
        </w:rPr>
        <w:t xml:space="preserve">los </w:t>
      </w:r>
      <w:r w:rsidR="00860004" w:rsidRPr="009172AF">
        <w:rPr>
          <w:rFonts w:ascii="Palatino Linotype" w:hAnsi="Palatino Linotype"/>
          <w:b/>
          <w:color w:val="000000"/>
        </w:rPr>
        <w:t>acuerdo</w:t>
      </w:r>
      <w:r w:rsidR="001E252F" w:rsidRPr="009172AF">
        <w:rPr>
          <w:rFonts w:ascii="Palatino Linotype" w:hAnsi="Palatino Linotype"/>
          <w:b/>
          <w:color w:val="000000"/>
        </w:rPr>
        <w:t xml:space="preserve"> de admisión </w:t>
      </w:r>
      <w:r w:rsidR="001E252F" w:rsidRPr="009172AF">
        <w:rPr>
          <w:rFonts w:ascii="Palatino Linotype" w:hAnsi="Palatino Linotype"/>
          <w:color w:val="000000"/>
        </w:rPr>
        <w:t>de fechas</w:t>
      </w:r>
      <w:r w:rsidR="001E252F" w:rsidRPr="009172AF">
        <w:rPr>
          <w:rFonts w:ascii="Palatino Linotype" w:hAnsi="Palatino Linotype"/>
          <w:b/>
        </w:rPr>
        <w:t xml:space="preserve"> </w:t>
      </w:r>
      <w:r w:rsidRPr="009172AF">
        <w:rPr>
          <w:rFonts w:ascii="Palatino Linotype" w:hAnsi="Palatino Linotype"/>
          <w:b/>
        </w:rPr>
        <w:t xml:space="preserve">cuatro y siete </w:t>
      </w:r>
      <w:r w:rsidR="000F5783" w:rsidRPr="009172AF">
        <w:rPr>
          <w:rFonts w:ascii="Palatino Linotype" w:hAnsi="Palatino Linotype"/>
          <w:b/>
        </w:rPr>
        <w:t xml:space="preserve">de </w:t>
      </w:r>
      <w:r w:rsidRPr="009172AF">
        <w:rPr>
          <w:rFonts w:ascii="Palatino Linotype" w:hAnsi="Palatino Linotype"/>
          <w:b/>
        </w:rPr>
        <w:t>febrero</w:t>
      </w:r>
      <w:r w:rsidR="000F5783" w:rsidRPr="009172AF">
        <w:rPr>
          <w:rFonts w:ascii="Palatino Linotype" w:hAnsi="Palatino Linotype"/>
          <w:b/>
        </w:rPr>
        <w:t xml:space="preserve"> </w:t>
      </w:r>
      <w:r w:rsidRPr="009172AF">
        <w:rPr>
          <w:rFonts w:ascii="Palatino Linotype" w:hAnsi="Palatino Linotype"/>
          <w:b/>
        </w:rPr>
        <w:t>de dos mil veinticinco</w:t>
      </w:r>
      <w:r w:rsidR="001E252F" w:rsidRPr="009172AF">
        <w:rPr>
          <w:rFonts w:ascii="Palatino Linotype" w:hAnsi="Palatino Linotype"/>
          <w:color w:val="000000"/>
        </w:rPr>
        <w:t>, pusieron a disposición</w:t>
      </w:r>
      <w:r w:rsidR="00860004" w:rsidRPr="009172AF">
        <w:rPr>
          <w:rFonts w:ascii="Palatino Linotype" w:hAnsi="Palatino Linotype"/>
          <w:color w:val="000000"/>
        </w:rPr>
        <w:t xml:space="preserve"> de las partes los</w:t>
      </w:r>
      <w:r w:rsidR="001E252F" w:rsidRPr="009172AF">
        <w:rPr>
          <w:rFonts w:ascii="Palatino Linotype" w:hAnsi="Palatino Linotype"/>
          <w:color w:val="000000"/>
        </w:rPr>
        <w:t xml:space="preserve"> expediente</w:t>
      </w:r>
      <w:r w:rsidR="00860004" w:rsidRPr="009172AF">
        <w:rPr>
          <w:rFonts w:ascii="Palatino Linotype" w:hAnsi="Palatino Linotype"/>
          <w:color w:val="000000"/>
        </w:rPr>
        <w:t>s</w:t>
      </w:r>
      <w:r w:rsidR="001E252F" w:rsidRPr="009172AF">
        <w:rPr>
          <w:rFonts w:ascii="Palatino Linotype" w:hAnsi="Palatino Linotype"/>
          <w:color w:val="000000"/>
        </w:rPr>
        <w:t xml:space="preserve"> electrónico</w:t>
      </w:r>
      <w:r w:rsidR="00860004" w:rsidRPr="009172AF">
        <w:rPr>
          <w:rFonts w:ascii="Palatino Linotype" w:hAnsi="Palatino Linotype"/>
          <w:color w:val="000000"/>
        </w:rPr>
        <w:t>s</w:t>
      </w:r>
      <w:r w:rsidR="001E252F" w:rsidRPr="009172AF">
        <w:rPr>
          <w:rFonts w:ascii="Palatino Linotype" w:hAnsi="Palatino Linotype"/>
          <w:color w:val="000000"/>
        </w:rPr>
        <w:t xml:space="preserve"> vía SAIMEX a efecto de que en un plazo máximo de siete </w:t>
      </w:r>
      <w:r w:rsidR="001E252F" w:rsidRPr="009172AF">
        <w:rPr>
          <w:rFonts w:ascii="Palatino Linotype" w:eastAsia="Calibri" w:hAnsi="Palatino Linotype" w:cs="Arial"/>
          <w:lang w:val="es-ES"/>
        </w:rPr>
        <w:t>días</w:t>
      </w:r>
      <w:r w:rsidR="001E252F" w:rsidRPr="009172AF">
        <w:rPr>
          <w:rFonts w:ascii="Palatino Linotype" w:hAnsi="Palatino Linotype"/>
          <w:color w:val="000000"/>
        </w:rPr>
        <w:t xml:space="preserve"> manifestaran lo que a su derecho conviniera, ofrecieran pruebas y alegatos según corresponda al caso concreto, de esta forma para que el </w:t>
      </w:r>
      <w:r w:rsidR="001E252F" w:rsidRPr="009172AF">
        <w:rPr>
          <w:rFonts w:ascii="Palatino Linotype" w:hAnsi="Palatino Linotype"/>
          <w:b/>
          <w:color w:val="000000"/>
        </w:rPr>
        <w:t xml:space="preserve">SUJETO OBLIGADO </w:t>
      </w:r>
      <w:r w:rsidR="001E252F" w:rsidRPr="009172AF">
        <w:rPr>
          <w:rFonts w:ascii="Palatino Linotype" w:hAnsi="Palatino Linotype"/>
          <w:color w:val="000000"/>
        </w:rPr>
        <w:t>presentara el Informe Justificado procedente.</w:t>
      </w:r>
    </w:p>
    <w:p w:rsidR="00E3702D" w:rsidRPr="009172AF" w:rsidRDefault="00E3702D" w:rsidP="00AA0AC2">
      <w:pPr>
        <w:pStyle w:val="Prrafodelista"/>
        <w:spacing w:line="360" w:lineRule="auto"/>
        <w:ind w:left="0"/>
        <w:jc w:val="both"/>
        <w:rPr>
          <w:rFonts w:ascii="Palatino Linotype" w:hAnsi="Palatino Linotype"/>
          <w:color w:val="000000"/>
        </w:rPr>
      </w:pPr>
    </w:p>
    <w:p w:rsidR="00E3702D" w:rsidRPr="009172AF" w:rsidRDefault="001E252F" w:rsidP="00AA0AC2">
      <w:pPr>
        <w:pStyle w:val="Prrafodelista"/>
        <w:numPr>
          <w:ilvl w:val="0"/>
          <w:numId w:val="1"/>
        </w:numPr>
        <w:spacing w:line="360" w:lineRule="auto"/>
        <w:ind w:left="0" w:firstLine="0"/>
        <w:contextualSpacing w:val="0"/>
        <w:jc w:val="both"/>
        <w:rPr>
          <w:rFonts w:ascii="Palatino Linotype" w:hAnsi="Palatino Linotype"/>
        </w:rPr>
      </w:pPr>
      <w:r w:rsidRPr="009172AF">
        <w:rPr>
          <w:rFonts w:ascii="Palatino Linotype" w:eastAsia="Calibri" w:hAnsi="Palatino Linotype" w:cs="Arial"/>
          <w:lang w:val="es-ES"/>
        </w:rPr>
        <w:t>Posteriormente</w:t>
      </w:r>
      <w:r w:rsidRPr="009172AF">
        <w:rPr>
          <w:rFonts w:ascii="Palatino Linotype" w:hAnsi="Palatino Linotype"/>
        </w:rPr>
        <w:t xml:space="preserve"> el Pleno de este Órgano Autónomo,</w:t>
      </w:r>
      <w:r w:rsidR="00E22CF4" w:rsidRPr="009172AF">
        <w:rPr>
          <w:rFonts w:ascii="Palatino Linotype" w:hAnsi="Palatino Linotype"/>
        </w:rPr>
        <w:t xml:space="preserve"> en la Quinta Sesión Ordinaria </w:t>
      </w:r>
      <w:r w:rsidR="00860004" w:rsidRPr="009172AF">
        <w:rPr>
          <w:rFonts w:ascii="Palatino Linotype" w:hAnsi="Palatino Linotype"/>
        </w:rPr>
        <w:t xml:space="preserve">de </w:t>
      </w:r>
      <w:r w:rsidRPr="009172AF">
        <w:rPr>
          <w:rFonts w:ascii="Palatino Linotype" w:hAnsi="Palatino Linotype"/>
        </w:rPr>
        <w:t>fecha</w:t>
      </w:r>
      <w:r w:rsidRPr="009172AF">
        <w:rPr>
          <w:rFonts w:ascii="Palatino Linotype" w:hAnsi="Palatino Linotype"/>
          <w:b/>
        </w:rPr>
        <w:t xml:space="preserve"> </w:t>
      </w:r>
      <w:r w:rsidR="00E22CF4" w:rsidRPr="009172AF">
        <w:rPr>
          <w:rFonts w:ascii="Palatino Linotype" w:hAnsi="Palatino Linotype"/>
          <w:b/>
        </w:rPr>
        <w:t>doce</w:t>
      </w:r>
      <w:r w:rsidRPr="009172AF">
        <w:rPr>
          <w:rFonts w:ascii="Palatino Linotype" w:hAnsi="Palatino Linotype"/>
          <w:b/>
        </w:rPr>
        <w:t xml:space="preserve"> de </w:t>
      </w:r>
      <w:r w:rsidR="001F246E" w:rsidRPr="009172AF">
        <w:rPr>
          <w:rFonts w:ascii="Palatino Linotype" w:hAnsi="Palatino Linotype"/>
          <w:b/>
        </w:rPr>
        <w:t>febrero</w:t>
      </w:r>
      <w:r w:rsidRPr="009172AF">
        <w:rPr>
          <w:rFonts w:ascii="Palatino Linotype" w:hAnsi="Palatino Linotype"/>
        </w:rPr>
        <w:t xml:space="preserve"> </w:t>
      </w:r>
      <w:r w:rsidR="001F246E" w:rsidRPr="009172AF">
        <w:rPr>
          <w:rFonts w:ascii="Palatino Linotype" w:hAnsi="Palatino Linotype"/>
          <w:b/>
        </w:rPr>
        <w:t>de dos mil veinticinco</w:t>
      </w:r>
      <w:r w:rsidRPr="009172AF">
        <w:rPr>
          <w:rFonts w:ascii="Palatino Linotype" w:hAnsi="Palatino Linotype"/>
        </w:rPr>
        <w:t xml:space="preserve">; ordenó la acumulación de los recursos de revisión de mérito, a efecto de que la Ponencia de la </w:t>
      </w:r>
      <w:r w:rsidRPr="009172AF">
        <w:rPr>
          <w:rFonts w:ascii="Palatino Linotype" w:hAnsi="Palatino Linotype"/>
          <w:b/>
        </w:rPr>
        <w:t xml:space="preserve">Comisionada María del Rosario Mejía Ayala </w:t>
      </w:r>
      <w:r w:rsidRPr="009172AF">
        <w:rPr>
          <w:rFonts w:ascii="Palatino Linotype" w:hAnsi="Palatino Linotype"/>
        </w:rPr>
        <w:t>de manera conjunta</w:t>
      </w:r>
      <w:r w:rsidRPr="009172AF">
        <w:rPr>
          <w:rFonts w:ascii="Palatino Linotype" w:hAnsi="Palatino Linotype"/>
          <w:b/>
        </w:rPr>
        <w:t xml:space="preserve"> </w:t>
      </w:r>
      <w:r w:rsidRPr="009172AF">
        <w:rPr>
          <w:rFonts w:ascii="Palatino Linotype" w:hAnsi="Palatino Linotype"/>
        </w:rPr>
        <w:t xml:space="preserve">formulara y presentara el proyecto de resolución correspondiente, de conformidad con el numeral ONCE incisos b) y c) de los Lineamientos para la Recepción, Trámite y Resolución de las Solicitudes de Acceso a la Información Pública, así como de los Recursos de </w:t>
      </w:r>
      <w:r w:rsidRPr="009172AF">
        <w:rPr>
          <w:rFonts w:ascii="Palatino Linotype" w:hAnsi="Palatino Linotype"/>
        </w:rPr>
        <w:lastRenderedPageBreak/>
        <w:t>Revisión que deberán observar los Sujetos Obligados por la Ley de Transparencia Estatal</w:t>
      </w:r>
      <w:r w:rsidRPr="009172AF">
        <w:rPr>
          <w:rFonts w:ascii="Palatino Linotype" w:hAnsi="Palatino Linotype"/>
          <w:i/>
          <w:vertAlign w:val="superscript"/>
        </w:rPr>
        <w:footnoteReference w:id="1"/>
      </w:r>
      <w:r w:rsidRPr="009172AF">
        <w:rPr>
          <w:rFonts w:ascii="Palatino Linotype" w:hAnsi="Palatino Linotype"/>
        </w:rPr>
        <w:t>, que señala:</w:t>
      </w:r>
    </w:p>
    <w:p w:rsidR="00E3702D" w:rsidRPr="009172AF" w:rsidRDefault="00E3702D" w:rsidP="00AA0AC2">
      <w:pPr>
        <w:pStyle w:val="Prrafodelista"/>
        <w:spacing w:line="360" w:lineRule="auto"/>
        <w:ind w:left="1134" w:right="900"/>
        <w:jc w:val="both"/>
        <w:rPr>
          <w:rFonts w:ascii="Palatino Linotype" w:hAnsi="Palatino Linotype"/>
        </w:rPr>
      </w:pPr>
    </w:p>
    <w:p w:rsidR="00E3702D" w:rsidRPr="009172AF" w:rsidRDefault="001E252F" w:rsidP="00AA0AC2">
      <w:pPr>
        <w:pStyle w:val="Prrafodelista"/>
        <w:tabs>
          <w:tab w:val="left" w:pos="426"/>
        </w:tabs>
        <w:spacing w:line="360" w:lineRule="auto"/>
        <w:ind w:left="1134" w:right="900"/>
        <w:jc w:val="both"/>
        <w:rPr>
          <w:rFonts w:ascii="Palatino Linotype" w:hAnsi="Palatino Linotype"/>
          <w:i/>
        </w:rPr>
      </w:pPr>
      <w:r w:rsidRPr="009172AF">
        <w:rPr>
          <w:rFonts w:ascii="Palatino Linotype" w:hAnsi="Palatino Linotype"/>
          <w:b/>
          <w:i/>
        </w:rPr>
        <w:t>“ONCE.</w:t>
      </w:r>
      <w:r w:rsidRPr="009172AF">
        <w:rPr>
          <w:rFonts w:ascii="Palatino Linotype" w:hAnsi="Palatino Linotype"/>
          <w:i/>
        </w:rPr>
        <w:t xml:space="preserve"> El Instituto, para mejor resolver y evitar la emisión de resoluciones contradictorias, podrá acordar la acumulación de los expedientes de recursos de revisión, de oficio o a petición de parte cuando:</w:t>
      </w:r>
    </w:p>
    <w:p w:rsidR="00E3702D" w:rsidRPr="009172AF" w:rsidRDefault="001E252F" w:rsidP="00AA0AC2">
      <w:pPr>
        <w:pStyle w:val="Prrafodelista"/>
        <w:tabs>
          <w:tab w:val="left" w:pos="426"/>
        </w:tabs>
        <w:spacing w:line="360" w:lineRule="auto"/>
        <w:ind w:left="1134" w:right="900"/>
        <w:jc w:val="both"/>
        <w:rPr>
          <w:rFonts w:ascii="Palatino Linotype" w:hAnsi="Palatino Linotype"/>
          <w:i/>
        </w:rPr>
      </w:pPr>
      <w:r w:rsidRPr="009172AF">
        <w:rPr>
          <w:rFonts w:ascii="Palatino Linotype" w:hAnsi="Palatino Linotype"/>
          <w:i/>
        </w:rPr>
        <w:t>…</w:t>
      </w:r>
      <w:r w:rsidRPr="009172AF">
        <w:rPr>
          <w:rFonts w:ascii="Palatino Linotype" w:hAnsi="Palatino Linotype"/>
          <w:i/>
        </w:rPr>
        <w:tab/>
      </w:r>
    </w:p>
    <w:p w:rsidR="00E3702D" w:rsidRPr="009172AF" w:rsidRDefault="001E252F" w:rsidP="00AA0AC2">
      <w:pPr>
        <w:pStyle w:val="Prrafodelista"/>
        <w:tabs>
          <w:tab w:val="left" w:pos="426"/>
        </w:tabs>
        <w:spacing w:line="360" w:lineRule="auto"/>
        <w:ind w:left="1134" w:right="900"/>
        <w:jc w:val="both"/>
        <w:rPr>
          <w:rFonts w:ascii="Palatino Linotype" w:hAnsi="Palatino Linotype"/>
          <w:i/>
        </w:rPr>
      </w:pPr>
      <w:r w:rsidRPr="009172AF">
        <w:rPr>
          <w:rFonts w:ascii="Palatino Linotype" w:hAnsi="Palatino Linotype"/>
          <w:i/>
        </w:rPr>
        <w:t>b) Las partes o los actos impugnados sean iguales</w:t>
      </w:r>
    </w:p>
    <w:p w:rsidR="00E3702D" w:rsidRPr="009172AF" w:rsidRDefault="001E252F" w:rsidP="00AA0AC2">
      <w:pPr>
        <w:pStyle w:val="Prrafodelista"/>
        <w:tabs>
          <w:tab w:val="left" w:pos="426"/>
        </w:tabs>
        <w:spacing w:line="360" w:lineRule="auto"/>
        <w:ind w:left="1134" w:right="900"/>
        <w:jc w:val="both"/>
        <w:rPr>
          <w:rFonts w:ascii="Palatino Linotype" w:hAnsi="Palatino Linotype"/>
          <w:i/>
        </w:rPr>
      </w:pPr>
      <w:r w:rsidRPr="009172AF">
        <w:rPr>
          <w:rFonts w:ascii="Palatino Linotype" w:hAnsi="Palatino Linotype"/>
          <w:i/>
        </w:rPr>
        <w:t>c) Cuando se trate del mismo solicitante, el mismo SUJETO OBLIGADO, aunque se trate de solicitudes diversas;</w:t>
      </w:r>
    </w:p>
    <w:p w:rsidR="00E3702D" w:rsidRPr="009172AF" w:rsidRDefault="001E252F" w:rsidP="00AA0AC2">
      <w:pPr>
        <w:pStyle w:val="Prrafodelista"/>
        <w:tabs>
          <w:tab w:val="left" w:pos="426"/>
        </w:tabs>
        <w:spacing w:line="360" w:lineRule="auto"/>
        <w:ind w:left="1134" w:right="900"/>
        <w:jc w:val="both"/>
        <w:rPr>
          <w:rFonts w:ascii="Palatino Linotype" w:hAnsi="Palatino Linotype"/>
          <w:i/>
        </w:rPr>
      </w:pPr>
      <w:r w:rsidRPr="009172AF">
        <w:rPr>
          <w:rFonts w:ascii="Palatino Linotype" w:hAnsi="Palatino Linotype"/>
          <w:i/>
        </w:rPr>
        <w:t>(…)”</w:t>
      </w:r>
    </w:p>
    <w:p w:rsidR="00E3702D" w:rsidRPr="009172AF" w:rsidRDefault="001E252F" w:rsidP="00AA0AC2">
      <w:pPr>
        <w:pStyle w:val="Prrafodelista"/>
        <w:tabs>
          <w:tab w:val="left" w:pos="426"/>
        </w:tabs>
        <w:spacing w:line="360" w:lineRule="auto"/>
        <w:ind w:left="1134" w:right="900"/>
        <w:jc w:val="both"/>
        <w:rPr>
          <w:rFonts w:ascii="Palatino Linotype" w:hAnsi="Palatino Linotype"/>
        </w:rPr>
      </w:pPr>
      <w:r w:rsidRPr="009172AF">
        <w:rPr>
          <w:rFonts w:ascii="Palatino Linotype" w:hAnsi="Palatino Linotype"/>
        </w:rPr>
        <w:t>(Énfasis añadido)</w:t>
      </w:r>
    </w:p>
    <w:p w:rsidR="00E3702D" w:rsidRPr="009172AF" w:rsidRDefault="00E3702D" w:rsidP="00AA0AC2">
      <w:pPr>
        <w:pStyle w:val="Prrafodelista"/>
        <w:tabs>
          <w:tab w:val="left" w:pos="426"/>
        </w:tabs>
        <w:spacing w:line="360" w:lineRule="auto"/>
        <w:ind w:left="567" w:right="616"/>
        <w:jc w:val="both"/>
        <w:rPr>
          <w:rFonts w:ascii="Palatino Linotype" w:hAnsi="Palatino Linotype"/>
        </w:rPr>
      </w:pPr>
    </w:p>
    <w:p w:rsidR="00E3702D" w:rsidRPr="009172AF" w:rsidRDefault="001E252F" w:rsidP="00AA0AC2">
      <w:pPr>
        <w:pStyle w:val="Prrafodelista"/>
        <w:numPr>
          <w:ilvl w:val="0"/>
          <w:numId w:val="1"/>
        </w:numPr>
        <w:spacing w:line="360" w:lineRule="auto"/>
        <w:ind w:left="0" w:firstLine="0"/>
        <w:contextualSpacing w:val="0"/>
        <w:jc w:val="both"/>
        <w:rPr>
          <w:rFonts w:ascii="Palatino Linotype" w:hAnsi="Palatino Linotype"/>
        </w:rPr>
      </w:pPr>
      <w:r w:rsidRPr="009172AF">
        <w:rPr>
          <w:rFonts w:ascii="Palatino Linotype" w:hAnsi="Palatino Linotype"/>
        </w:rPr>
        <w:t>Es así que,</w:t>
      </w:r>
      <w:r w:rsidRPr="009172AF">
        <w:rPr>
          <w:rFonts w:ascii="Palatino Linotype" w:hAnsi="Palatino Linotype"/>
          <w:i/>
        </w:rPr>
        <w:t xml:space="preserve"> </w:t>
      </w:r>
      <w:r w:rsidRPr="009172AF">
        <w:rPr>
          <w:rFonts w:ascii="Palatino Linotype" w:hAnsi="Palatino Linotype"/>
        </w:rPr>
        <w:t xml:space="preserve">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w:t>
      </w:r>
      <w:r w:rsidRPr="009172AF">
        <w:rPr>
          <w:rFonts w:ascii="Palatino Linotype" w:hAnsi="Palatino Linotype"/>
        </w:rPr>
        <w:lastRenderedPageBreak/>
        <w:t>artículo 195 de la Ley de Transparencia y Acceso a la Información Pública del Estado de México y Municipios en vigor, que a la letra señalan:</w:t>
      </w:r>
    </w:p>
    <w:p w:rsidR="00E3702D" w:rsidRPr="009172AF" w:rsidRDefault="001E252F" w:rsidP="00AA0AC2">
      <w:pPr>
        <w:pStyle w:val="Textoindependienteprimerasangra2"/>
        <w:tabs>
          <w:tab w:val="left" w:pos="7889"/>
        </w:tabs>
        <w:spacing w:line="360" w:lineRule="auto"/>
        <w:ind w:left="567" w:right="900" w:firstLine="0"/>
        <w:jc w:val="both"/>
        <w:rPr>
          <w:rFonts w:ascii="Palatino Linotype" w:hAnsi="Palatino Linotype"/>
          <w:b/>
          <w:i/>
        </w:rPr>
      </w:pPr>
      <w:r w:rsidRPr="009172AF">
        <w:rPr>
          <w:rFonts w:ascii="Palatino Linotype" w:hAnsi="Palatino Linotype"/>
          <w:b/>
          <w:i/>
        </w:rPr>
        <w:t>Código de Procedimientos Administrativos del Estado de México.</w:t>
      </w:r>
    </w:p>
    <w:p w:rsidR="00E3702D" w:rsidRPr="009172AF" w:rsidRDefault="001E252F" w:rsidP="00AA0AC2">
      <w:pPr>
        <w:pStyle w:val="Textoindependienteprimerasangra2"/>
        <w:tabs>
          <w:tab w:val="left" w:pos="7889"/>
        </w:tabs>
        <w:spacing w:line="360" w:lineRule="auto"/>
        <w:ind w:left="567" w:right="900" w:firstLine="0"/>
        <w:jc w:val="both"/>
        <w:rPr>
          <w:rFonts w:ascii="Palatino Linotype" w:hAnsi="Palatino Linotype"/>
          <w:i/>
        </w:rPr>
      </w:pPr>
      <w:r w:rsidRPr="009172AF">
        <w:rPr>
          <w:rFonts w:ascii="Palatino Linotype" w:hAnsi="Palatino Linotype"/>
          <w:b/>
          <w:i/>
        </w:rPr>
        <w:t>“Artículo 18.-</w:t>
      </w:r>
      <w:r w:rsidRPr="009172AF">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D85996" w:rsidRPr="009172AF" w:rsidRDefault="00D85996" w:rsidP="00AA0AC2">
      <w:pPr>
        <w:pStyle w:val="Textoindependienteprimerasangra2"/>
        <w:tabs>
          <w:tab w:val="left" w:pos="7889"/>
        </w:tabs>
        <w:spacing w:line="360" w:lineRule="auto"/>
        <w:ind w:left="567" w:right="900" w:firstLine="0"/>
        <w:jc w:val="both"/>
        <w:rPr>
          <w:rFonts w:ascii="Palatino Linotype" w:hAnsi="Palatino Linotype"/>
          <w:i/>
        </w:rPr>
      </w:pPr>
    </w:p>
    <w:p w:rsidR="00E3702D" w:rsidRPr="009172AF" w:rsidRDefault="001E252F" w:rsidP="00AA0AC2">
      <w:pPr>
        <w:pStyle w:val="Textoindependienteprimerasangra2"/>
        <w:tabs>
          <w:tab w:val="left" w:pos="7889"/>
        </w:tabs>
        <w:spacing w:line="360" w:lineRule="auto"/>
        <w:ind w:left="567" w:right="900" w:firstLine="0"/>
        <w:jc w:val="both"/>
        <w:rPr>
          <w:rFonts w:ascii="Palatino Linotype" w:hAnsi="Palatino Linotype"/>
          <w:b/>
          <w:i/>
        </w:rPr>
      </w:pPr>
      <w:r w:rsidRPr="009172AF">
        <w:rPr>
          <w:rFonts w:ascii="Palatino Linotype" w:hAnsi="Palatino Linotype"/>
          <w:b/>
          <w:i/>
        </w:rPr>
        <w:t>Ley de Transparencia y Acceso a la Información Pública del Estado de México y Municipios</w:t>
      </w:r>
    </w:p>
    <w:p w:rsidR="00E3702D" w:rsidRPr="009172AF" w:rsidRDefault="001E252F" w:rsidP="00AA0AC2">
      <w:pPr>
        <w:pStyle w:val="Textoindependienteprimerasangra2"/>
        <w:tabs>
          <w:tab w:val="left" w:pos="7889"/>
        </w:tabs>
        <w:spacing w:line="360" w:lineRule="auto"/>
        <w:ind w:left="567" w:right="900" w:firstLine="0"/>
        <w:jc w:val="both"/>
        <w:rPr>
          <w:rFonts w:ascii="Palatino Linotype" w:hAnsi="Palatino Linotype"/>
          <w:i/>
        </w:rPr>
      </w:pPr>
      <w:r w:rsidRPr="009172AF">
        <w:rPr>
          <w:rFonts w:ascii="Palatino Linotype" w:hAnsi="Palatino Linotype"/>
          <w:b/>
          <w:i/>
        </w:rPr>
        <w:t>“Artículo 195.</w:t>
      </w:r>
      <w:r w:rsidRPr="009172AF">
        <w:rPr>
          <w:rFonts w:ascii="Palatino Linotype" w:hAnsi="Palatino Linotype"/>
          <w:i/>
        </w:rPr>
        <w:t xml:space="preserve"> En la tramitación del recurso de revisión se aplicarán supletoriamente las disposiciones contenidas en el Código de Procedimientos Administrativos del Estado de México.”</w:t>
      </w:r>
    </w:p>
    <w:p w:rsidR="00E3702D" w:rsidRPr="009172AF" w:rsidRDefault="001E252F" w:rsidP="00AA0AC2">
      <w:pPr>
        <w:pStyle w:val="Textoindependienteprimerasangra2"/>
        <w:tabs>
          <w:tab w:val="left" w:pos="7889"/>
        </w:tabs>
        <w:spacing w:line="360" w:lineRule="auto"/>
        <w:ind w:left="567" w:right="900" w:firstLine="0"/>
        <w:jc w:val="both"/>
        <w:rPr>
          <w:rFonts w:ascii="Palatino Linotype" w:hAnsi="Palatino Linotype"/>
        </w:rPr>
      </w:pPr>
      <w:r w:rsidRPr="009172AF">
        <w:rPr>
          <w:rFonts w:ascii="Palatino Linotype" w:hAnsi="Palatino Linotype"/>
        </w:rPr>
        <w:t>(Énfasis añadido)</w:t>
      </w:r>
    </w:p>
    <w:p w:rsidR="00E3702D" w:rsidRPr="009172AF" w:rsidRDefault="00E3702D" w:rsidP="00AA0AC2">
      <w:pPr>
        <w:pStyle w:val="Textoindependienteprimerasangra2"/>
        <w:spacing w:line="360" w:lineRule="auto"/>
        <w:rPr>
          <w:rFonts w:ascii="Palatino Linotype" w:hAnsi="Palatino Linotype"/>
          <w:i/>
        </w:rPr>
      </w:pPr>
    </w:p>
    <w:p w:rsidR="00E3702D" w:rsidRPr="009172AF" w:rsidRDefault="001E252F" w:rsidP="00AA0AC2">
      <w:pPr>
        <w:pStyle w:val="Prrafodelista"/>
        <w:numPr>
          <w:ilvl w:val="0"/>
          <w:numId w:val="1"/>
        </w:numPr>
        <w:spacing w:line="360" w:lineRule="auto"/>
        <w:ind w:left="0" w:firstLine="0"/>
        <w:contextualSpacing w:val="0"/>
        <w:jc w:val="both"/>
        <w:rPr>
          <w:rFonts w:ascii="Palatino Linotype" w:hAnsi="Palatino Linotype"/>
          <w:b/>
        </w:rPr>
      </w:pPr>
      <w:r w:rsidRPr="009172AF">
        <w:rPr>
          <w:rFonts w:ascii="Palatino Linotype" w:hAnsi="Palatino Linotype"/>
        </w:rPr>
        <w:t xml:space="preserve">De lo anterior, el </w:t>
      </w:r>
      <w:r w:rsidRPr="009172AF">
        <w:rPr>
          <w:rFonts w:ascii="Palatino Linotype" w:hAnsi="Palatino Linotype"/>
          <w:b/>
        </w:rPr>
        <w:t xml:space="preserve">SUJETO OBLIGADO </w:t>
      </w:r>
      <w:r w:rsidRPr="009172AF">
        <w:rPr>
          <w:rFonts w:ascii="Palatino Linotype" w:hAnsi="Palatino Linotype"/>
        </w:rPr>
        <w:t xml:space="preserve">rindió informe justificado a los recursos de revisión los días </w:t>
      </w:r>
      <w:r w:rsidR="00E22CF4" w:rsidRPr="009172AF">
        <w:rPr>
          <w:rFonts w:ascii="Palatino Linotype" w:hAnsi="Palatino Linotype"/>
        </w:rPr>
        <w:t xml:space="preserve">trece y dieciocho </w:t>
      </w:r>
      <w:r w:rsidRPr="009172AF">
        <w:rPr>
          <w:rFonts w:ascii="Palatino Linotype" w:hAnsi="Palatino Linotype"/>
        </w:rPr>
        <w:t xml:space="preserve">de </w:t>
      </w:r>
      <w:r w:rsidR="00E22CF4" w:rsidRPr="009172AF">
        <w:rPr>
          <w:rFonts w:ascii="Palatino Linotype" w:hAnsi="Palatino Linotype"/>
        </w:rPr>
        <w:t>febrero</w:t>
      </w:r>
      <w:r w:rsidRPr="009172AF">
        <w:rPr>
          <w:rFonts w:ascii="Palatino Linotype" w:hAnsi="Palatino Linotype"/>
        </w:rPr>
        <w:t xml:space="preserve"> del año en curso de la siguiente manera: </w:t>
      </w:r>
    </w:p>
    <w:p w:rsidR="00E3702D" w:rsidRPr="009172AF" w:rsidRDefault="00E3702D" w:rsidP="00AA0AC2">
      <w:pPr>
        <w:spacing w:line="360" w:lineRule="auto"/>
        <w:jc w:val="both"/>
        <w:rPr>
          <w:rFonts w:ascii="Palatino Linotype" w:hAnsi="Palatino Linotype"/>
          <w:b/>
        </w:rPr>
      </w:pPr>
    </w:p>
    <w:p w:rsidR="00E3702D" w:rsidRPr="009172AF" w:rsidRDefault="00860004" w:rsidP="00AA0AC2">
      <w:pPr>
        <w:spacing w:line="360" w:lineRule="auto"/>
        <w:jc w:val="both"/>
        <w:rPr>
          <w:rFonts w:ascii="Palatino Linotype" w:hAnsi="Palatino Linotype"/>
          <w:b/>
        </w:rPr>
      </w:pPr>
      <w:r w:rsidRPr="009172AF">
        <w:rPr>
          <w:rFonts w:ascii="Palatino Linotype" w:hAnsi="Palatino Linotype"/>
          <w:b/>
        </w:rPr>
        <w:lastRenderedPageBreak/>
        <w:t xml:space="preserve">Folio Recurso de Revisión: </w:t>
      </w:r>
      <w:r w:rsidR="009F32A6" w:rsidRPr="009172AF">
        <w:rPr>
          <w:rFonts w:ascii="Palatino Linotype" w:hAnsi="Palatino Linotype"/>
          <w:b/>
        </w:rPr>
        <w:t>00518/INFOEM/IP/RR/2025</w:t>
      </w:r>
    </w:p>
    <w:p w:rsidR="00860004" w:rsidRPr="009172AF" w:rsidRDefault="00860004" w:rsidP="00AA0AC2">
      <w:pPr>
        <w:spacing w:line="360" w:lineRule="auto"/>
        <w:jc w:val="both"/>
        <w:rPr>
          <w:rFonts w:ascii="Palatino Linotype" w:hAnsi="Palatino Linotype"/>
        </w:rPr>
      </w:pPr>
      <w:r w:rsidRPr="009172AF">
        <w:rPr>
          <w:rFonts w:ascii="Palatino Linotype" w:hAnsi="Palatino Linotype"/>
        </w:rPr>
        <w:t xml:space="preserve">Se adjuntaron cinco archivos de </w:t>
      </w:r>
      <w:r w:rsidR="000054AC" w:rsidRPr="009172AF">
        <w:rPr>
          <w:rFonts w:ascii="Palatino Linotype" w:hAnsi="Palatino Linotype"/>
        </w:rPr>
        <w:t>nombres:</w:t>
      </w:r>
    </w:p>
    <w:p w:rsidR="00DF53E6" w:rsidRPr="009172AF" w:rsidRDefault="009F32A6" w:rsidP="00AA0AC2">
      <w:pPr>
        <w:spacing w:line="360" w:lineRule="auto"/>
        <w:jc w:val="both"/>
        <w:rPr>
          <w:rFonts w:ascii="Palatino Linotype" w:hAnsi="Palatino Linotype"/>
        </w:rPr>
      </w:pPr>
      <w:r w:rsidRPr="009172AF">
        <w:rPr>
          <w:rFonts w:ascii="Palatino Linotype" w:hAnsi="Palatino Linotype"/>
          <w:b/>
        </w:rPr>
        <w:t>Informe Justificado 518.pdf</w:t>
      </w:r>
      <w:r w:rsidR="000054AC" w:rsidRPr="009172AF">
        <w:rPr>
          <w:rFonts w:ascii="Palatino Linotype" w:hAnsi="Palatino Linotype"/>
          <w:b/>
        </w:rPr>
        <w:t>,</w:t>
      </w:r>
      <w:r w:rsidR="000054AC" w:rsidRPr="009172AF">
        <w:rPr>
          <w:rFonts w:ascii="Palatino Linotype" w:hAnsi="Palatino Linotype"/>
        </w:rPr>
        <w:t xml:space="preserve"> que </w:t>
      </w:r>
      <w:r w:rsidR="00DF53E6" w:rsidRPr="009172AF">
        <w:rPr>
          <w:rFonts w:ascii="Palatino Linotype" w:hAnsi="Palatino Linotype"/>
        </w:rPr>
        <w:t>corresponden a</w:t>
      </w:r>
      <w:r w:rsidRPr="009172AF">
        <w:rPr>
          <w:rFonts w:ascii="Palatino Linotype" w:hAnsi="Palatino Linotype"/>
        </w:rPr>
        <w:t>l informe justificado emitido por la Titular de la Unidad de Transparencia, en donde ratifica la respuesta inicial solicitando se confirme la respuesta.</w:t>
      </w:r>
    </w:p>
    <w:p w:rsidR="00860004" w:rsidRPr="009172AF" w:rsidRDefault="00860004" w:rsidP="00AA0AC2">
      <w:pPr>
        <w:spacing w:line="360" w:lineRule="auto"/>
        <w:jc w:val="both"/>
        <w:rPr>
          <w:rFonts w:ascii="Palatino Linotype" w:hAnsi="Palatino Linotype"/>
          <w:b/>
        </w:rPr>
      </w:pPr>
    </w:p>
    <w:p w:rsidR="009F32A6" w:rsidRPr="009172AF" w:rsidRDefault="009F32A6" w:rsidP="009F32A6">
      <w:pPr>
        <w:spacing w:line="360" w:lineRule="auto"/>
        <w:jc w:val="both"/>
        <w:rPr>
          <w:rFonts w:ascii="Palatino Linotype" w:hAnsi="Palatino Linotype"/>
          <w:b/>
        </w:rPr>
      </w:pPr>
      <w:r w:rsidRPr="009172AF">
        <w:rPr>
          <w:rFonts w:ascii="Palatino Linotype" w:hAnsi="Palatino Linotype"/>
          <w:b/>
        </w:rPr>
        <w:t>Folio Recurso de Revisión: 00519/INFOEM/IP/RR/2025</w:t>
      </w:r>
    </w:p>
    <w:p w:rsidR="009F32A6" w:rsidRPr="009172AF" w:rsidRDefault="009F32A6" w:rsidP="009F32A6">
      <w:pPr>
        <w:spacing w:line="360" w:lineRule="auto"/>
        <w:jc w:val="both"/>
        <w:rPr>
          <w:rFonts w:ascii="Palatino Linotype" w:hAnsi="Palatino Linotype"/>
        </w:rPr>
      </w:pPr>
      <w:r w:rsidRPr="009172AF">
        <w:rPr>
          <w:rFonts w:ascii="Palatino Linotype" w:hAnsi="Palatino Linotype"/>
        </w:rPr>
        <w:t>Se adjuntaron cinco archivos de nombres:</w:t>
      </w:r>
    </w:p>
    <w:p w:rsidR="009F32A6" w:rsidRPr="009172AF" w:rsidRDefault="009F32A6" w:rsidP="009F32A6">
      <w:pPr>
        <w:spacing w:line="360" w:lineRule="auto"/>
        <w:jc w:val="both"/>
        <w:rPr>
          <w:rFonts w:ascii="Palatino Linotype" w:hAnsi="Palatino Linotype"/>
        </w:rPr>
      </w:pPr>
      <w:r w:rsidRPr="009172AF">
        <w:rPr>
          <w:rFonts w:ascii="Palatino Linotype" w:hAnsi="Palatino Linotype"/>
          <w:b/>
        </w:rPr>
        <w:t xml:space="preserve">BRN3C2AF4B162E2_239235.pdf </w:t>
      </w:r>
      <w:r w:rsidRPr="009172AF">
        <w:rPr>
          <w:rFonts w:ascii="Palatino Linotype" w:hAnsi="Palatino Linotype"/>
        </w:rPr>
        <w:t>e,</w:t>
      </w:r>
      <w:r w:rsidRPr="009172AF">
        <w:rPr>
          <w:rFonts w:ascii="Palatino Linotype" w:hAnsi="Palatino Linotype"/>
          <w:b/>
        </w:rPr>
        <w:t xml:space="preserve"> INFORME JUSTIFICADO 519-2025.pdf,</w:t>
      </w:r>
      <w:r w:rsidRPr="009172AF">
        <w:rPr>
          <w:rFonts w:ascii="Palatino Linotype" w:hAnsi="Palatino Linotype"/>
        </w:rPr>
        <w:t xml:space="preserve"> que corresponden al informe justificado emitido por la Titular de la Unidad de Transparencia, en donde ratifica la respuesta inicial solicitando se confirme la respuesta.</w:t>
      </w:r>
    </w:p>
    <w:p w:rsidR="005C6E1D" w:rsidRPr="009172AF" w:rsidRDefault="005C6E1D" w:rsidP="00AA0AC2">
      <w:pPr>
        <w:pStyle w:val="Prrafodelista"/>
        <w:spacing w:line="360" w:lineRule="auto"/>
        <w:ind w:left="0"/>
        <w:contextualSpacing w:val="0"/>
        <w:jc w:val="both"/>
        <w:rPr>
          <w:rFonts w:ascii="Palatino Linotype" w:hAnsi="Palatino Linotype"/>
          <w:b/>
        </w:rPr>
      </w:pPr>
    </w:p>
    <w:p w:rsidR="00E3702D" w:rsidRPr="009172AF" w:rsidRDefault="005C6E1D" w:rsidP="00AA0AC2">
      <w:pPr>
        <w:pStyle w:val="Prrafodelista"/>
        <w:numPr>
          <w:ilvl w:val="0"/>
          <w:numId w:val="1"/>
        </w:numPr>
        <w:spacing w:line="360" w:lineRule="auto"/>
        <w:ind w:left="0" w:firstLine="0"/>
        <w:contextualSpacing w:val="0"/>
        <w:jc w:val="both"/>
        <w:rPr>
          <w:rFonts w:ascii="Palatino Linotype" w:hAnsi="Palatino Linotype"/>
          <w:b/>
          <w:color w:val="000000" w:themeColor="text1"/>
        </w:rPr>
      </w:pPr>
      <w:r w:rsidRPr="009172AF">
        <w:rPr>
          <w:rFonts w:ascii="Palatino Linotype" w:eastAsia="Palatino Linotype" w:hAnsi="Palatino Linotype" w:cs="Palatino Linotype"/>
          <w:color w:val="000000"/>
        </w:rPr>
        <w:t xml:space="preserve">Seguidamente, se ampliaron los plazos para emitir resolución al periodo ordinario de 30 días hábiles, </w:t>
      </w:r>
      <w:r w:rsidR="009F32A6" w:rsidRPr="009172AF">
        <w:rPr>
          <w:rFonts w:ascii="Palatino Linotype" w:eastAsia="Palatino Linotype" w:hAnsi="Palatino Linotype" w:cs="Palatino Linotype"/>
          <w:color w:val="000000"/>
        </w:rPr>
        <w:t>mediante acuerdo de día tres de abril de dos mil veinticinco</w:t>
      </w:r>
      <w:r w:rsidRPr="009172AF">
        <w:rPr>
          <w:rFonts w:ascii="Palatino Linotype" w:eastAsia="Palatino Linotype" w:hAnsi="Palatino Linotype" w:cs="Palatino Linotype"/>
        </w:rPr>
        <w:t>.</w:t>
      </w:r>
      <w:r w:rsidR="009F32A6" w:rsidRPr="009172AF">
        <w:rPr>
          <w:rFonts w:ascii="Palatino Linotype" w:eastAsia="Palatino Linotype" w:hAnsi="Palatino Linotype" w:cs="Palatino Linotype"/>
        </w:rPr>
        <w:t xml:space="preserve"> </w:t>
      </w:r>
      <w:r w:rsidR="001E252F" w:rsidRPr="009172AF">
        <w:rPr>
          <w:rFonts w:ascii="Palatino Linotype" w:hAnsi="Palatino Linotype"/>
        </w:rPr>
        <w:t xml:space="preserve">Finalmente, </w:t>
      </w:r>
      <w:r w:rsidR="009F32A6" w:rsidRPr="009172AF">
        <w:rPr>
          <w:rFonts w:ascii="Palatino Linotype" w:hAnsi="Palatino Linotype"/>
        </w:rPr>
        <w:t xml:space="preserve">al no existir pendiente o diligencia por desahogar, </w:t>
      </w:r>
      <w:r w:rsidR="001E252F" w:rsidRPr="009172AF">
        <w:rPr>
          <w:rFonts w:ascii="Palatino Linotype" w:hAnsi="Palatino Linotype"/>
        </w:rPr>
        <w:t>la Comisionada Ponente mediante acuerdo de fecha</w:t>
      </w:r>
      <w:r w:rsidR="001E252F" w:rsidRPr="009172AF">
        <w:rPr>
          <w:rFonts w:ascii="Palatino Linotype" w:hAnsi="Palatino Linotype"/>
          <w:b/>
        </w:rPr>
        <w:t xml:space="preserve"> </w:t>
      </w:r>
      <w:r w:rsidR="009F32A6" w:rsidRPr="009172AF">
        <w:rPr>
          <w:rFonts w:ascii="Palatino Linotype" w:hAnsi="Palatino Linotype"/>
          <w:b/>
        </w:rPr>
        <w:t>nueve de abril</w:t>
      </w:r>
      <w:r w:rsidR="00EB18EF" w:rsidRPr="009172AF">
        <w:rPr>
          <w:rFonts w:ascii="Palatino Linotype" w:hAnsi="Palatino Linotype"/>
          <w:b/>
        </w:rPr>
        <w:t xml:space="preserve"> de dos mil veinticinco</w:t>
      </w:r>
      <w:r w:rsidR="00EB18EF" w:rsidRPr="009172AF">
        <w:rPr>
          <w:rFonts w:ascii="Palatino Linotype" w:hAnsi="Palatino Linotype"/>
        </w:rPr>
        <w:t xml:space="preserve">, </w:t>
      </w:r>
      <w:r w:rsidR="009F32A6" w:rsidRPr="009172AF">
        <w:rPr>
          <w:rFonts w:ascii="Palatino Linotype" w:hAnsi="Palatino Linotype"/>
        </w:rPr>
        <w:t xml:space="preserve">se </w:t>
      </w:r>
      <w:r w:rsidR="0099096E" w:rsidRPr="009172AF">
        <w:rPr>
          <w:rFonts w:ascii="Palatino Linotype" w:hAnsi="Palatino Linotype"/>
        </w:rPr>
        <w:t>decretó</w:t>
      </w:r>
      <w:r w:rsidR="001E252F" w:rsidRPr="009172AF">
        <w:rPr>
          <w:rFonts w:ascii="Palatino Linotype" w:hAnsi="Palatino Linotype"/>
        </w:rPr>
        <w:t xml:space="preserve"> el cierre de instrucción de los expedientes</w:t>
      </w:r>
      <w:r w:rsidR="001E252F" w:rsidRPr="009172AF">
        <w:rPr>
          <w:rFonts w:ascii="Palatino Linotype" w:hAnsi="Palatino Linotype" w:cs="Arial"/>
        </w:rPr>
        <w:t>, por lo que no hab</w:t>
      </w:r>
      <w:r w:rsidR="00EB18EF" w:rsidRPr="009172AF">
        <w:rPr>
          <w:rFonts w:ascii="Palatino Linotype" w:hAnsi="Palatino Linotype" w:cs="Arial"/>
        </w:rPr>
        <w:t>iendo más que hacer constar, y---------------------------------------------</w:t>
      </w:r>
      <w:r w:rsidR="009F32A6" w:rsidRPr="009172AF">
        <w:rPr>
          <w:rFonts w:ascii="Palatino Linotype" w:hAnsi="Palatino Linotype" w:cs="Arial"/>
        </w:rPr>
        <w:t>-------------------</w:t>
      </w:r>
    </w:p>
    <w:p w:rsidR="00E3702D" w:rsidRPr="009172AF" w:rsidRDefault="00E3702D" w:rsidP="00AA0AC2">
      <w:pPr>
        <w:pStyle w:val="Prrafodelista"/>
        <w:spacing w:line="360" w:lineRule="auto"/>
        <w:ind w:left="0"/>
        <w:contextualSpacing w:val="0"/>
        <w:jc w:val="both"/>
        <w:rPr>
          <w:rFonts w:ascii="Palatino Linotype" w:hAnsi="Palatino Linotype"/>
          <w:b/>
          <w:color w:val="000000" w:themeColor="text1"/>
        </w:rPr>
      </w:pPr>
    </w:p>
    <w:p w:rsidR="00E3702D" w:rsidRPr="009172AF" w:rsidRDefault="001E252F" w:rsidP="00AA0AC2">
      <w:pPr>
        <w:pStyle w:val="Ttulo1"/>
        <w:tabs>
          <w:tab w:val="left" w:pos="567"/>
        </w:tabs>
        <w:spacing w:before="0" w:line="360" w:lineRule="auto"/>
        <w:jc w:val="center"/>
        <w:rPr>
          <w:szCs w:val="24"/>
        </w:rPr>
      </w:pPr>
      <w:bookmarkStart w:id="5" w:name="_Toc70526127"/>
      <w:r w:rsidRPr="009172AF">
        <w:rPr>
          <w:szCs w:val="24"/>
        </w:rPr>
        <w:t>CONSIDERANDO</w:t>
      </w:r>
      <w:bookmarkEnd w:id="0"/>
      <w:bookmarkEnd w:id="5"/>
    </w:p>
    <w:p w:rsidR="00E3702D" w:rsidRPr="009172AF" w:rsidRDefault="00E3702D" w:rsidP="00AA0AC2">
      <w:pPr>
        <w:spacing w:line="360" w:lineRule="auto"/>
        <w:rPr>
          <w:rFonts w:ascii="Palatino Linotype" w:hAnsi="Palatino Linotype"/>
          <w:lang w:val="es-MX" w:eastAsia="en-US"/>
        </w:rPr>
      </w:pPr>
    </w:p>
    <w:p w:rsidR="00E3702D" w:rsidRPr="009172AF" w:rsidRDefault="001E252F" w:rsidP="00AA0AC2">
      <w:pPr>
        <w:pStyle w:val="Ttulo1"/>
        <w:tabs>
          <w:tab w:val="left" w:pos="567"/>
        </w:tabs>
        <w:spacing w:before="0" w:line="360" w:lineRule="auto"/>
        <w:rPr>
          <w:b w:val="0"/>
          <w:bCs/>
          <w:spacing w:val="60"/>
          <w:szCs w:val="24"/>
        </w:rPr>
      </w:pPr>
      <w:bookmarkStart w:id="6" w:name="_Toc70526128"/>
      <w:bookmarkStart w:id="7" w:name="_Toc48841665"/>
      <w:r w:rsidRPr="009172AF">
        <w:rPr>
          <w:szCs w:val="24"/>
        </w:rPr>
        <w:lastRenderedPageBreak/>
        <w:t>PRIMERO. De la competencia</w:t>
      </w:r>
      <w:bookmarkEnd w:id="6"/>
      <w:bookmarkEnd w:id="7"/>
    </w:p>
    <w:p w:rsidR="00E3702D" w:rsidRPr="009172AF" w:rsidRDefault="00E3702D" w:rsidP="00AA0AC2">
      <w:pPr>
        <w:pStyle w:val="Prrafodelista"/>
        <w:tabs>
          <w:tab w:val="left" w:pos="567"/>
        </w:tabs>
        <w:spacing w:line="360" w:lineRule="auto"/>
        <w:ind w:left="0"/>
        <w:jc w:val="both"/>
        <w:rPr>
          <w:rFonts w:ascii="Palatino Linotype" w:hAnsi="Palatino Linotype"/>
          <w:color w:val="000000"/>
        </w:rPr>
      </w:pPr>
    </w:p>
    <w:bookmarkEnd w:id="1"/>
    <w:bookmarkEnd w:id="2"/>
    <w:bookmarkEnd w:id="3"/>
    <w:p w:rsidR="00E3702D" w:rsidRPr="009172AF" w:rsidRDefault="001E252F" w:rsidP="00AA0AC2">
      <w:pPr>
        <w:pStyle w:val="Prrafodelista"/>
        <w:numPr>
          <w:ilvl w:val="0"/>
          <w:numId w:val="1"/>
        </w:numPr>
        <w:spacing w:line="360" w:lineRule="auto"/>
        <w:ind w:left="0" w:firstLine="0"/>
        <w:contextualSpacing w:val="0"/>
        <w:jc w:val="both"/>
        <w:rPr>
          <w:rFonts w:ascii="Palatino Linotype" w:hAnsi="Palatino Linotype"/>
        </w:rPr>
      </w:pPr>
      <w:r w:rsidRPr="009172AF">
        <w:rPr>
          <w:rFonts w:ascii="Palatino Linotype" w:hAnsi="Palatino Linotype"/>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E3702D" w:rsidRPr="009172AF" w:rsidRDefault="00E3702D" w:rsidP="00AA0AC2">
      <w:pPr>
        <w:pStyle w:val="Prrafodelista"/>
        <w:tabs>
          <w:tab w:val="left" w:pos="426"/>
          <w:tab w:val="left" w:pos="567"/>
        </w:tabs>
        <w:spacing w:line="360" w:lineRule="auto"/>
        <w:ind w:left="0"/>
        <w:jc w:val="both"/>
        <w:rPr>
          <w:rFonts w:ascii="Palatino Linotype" w:hAnsi="Palatino Linotype"/>
        </w:rPr>
      </w:pPr>
    </w:p>
    <w:p w:rsidR="00E3702D" w:rsidRPr="009172AF" w:rsidRDefault="001E252F" w:rsidP="00AA0AC2">
      <w:pPr>
        <w:pStyle w:val="Ttulo2"/>
        <w:spacing w:before="0" w:line="360" w:lineRule="auto"/>
        <w:rPr>
          <w:b w:val="0"/>
          <w:color w:val="auto"/>
          <w:szCs w:val="24"/>
        </w:rPr>
      </w:pPr>
      <w:bookmarkStart w:id="8" w:name="_Toc66315411"/>
      <w:bookmarkStart w:id="9" w:name="_Toc70526129"/>
      <w:r w:rsidRPr="009172AF">
        <w:rPr>
          <w:color w:val="auto"/>
          <w:szCs w:val="24"/>
        </w:rPr>
        <w:t>SEGUNDO. De la oportunidad y procedencia.</w:t>
      </w:r>
      <w:bookmarkEnd w:id="8"/>
      <w:bookmarkEnd w:id="9"/>
    </w:p>
    <w:p w:rsidR="00E3702D" w:rsidRPr="009172AF" w:rsidRDefault="00E3702D" w:rsidP="00AA0AC2">
      <w:pPr>
        <w:spacing w:line="360" w:lineRule="auto"/>
        <w:rPr>
          <w:rFonts w:ascii="Palatino Linotype" w:hAnsi="Palatino Linotype"/>
          <w:lang w:val="es-MX" w:eastAsia="en-US"/>
        </w:rPr>
      </w:pPr>
    </w:p>
    <w:p w:rsidR="005C6E1D" w:rsidRPr="009172AF" w:rsidRDefault="001E252F" w:rsidP="00AA0AC2">
      <w:pPr>
        <w:pStyle w:val="Prrafodelista"/>
        <w:numPr>
          <w:ilvl w:val="0"/>
          <w:numId w:val="1"/>
        </w:numPr>
        <w:spacing w:line="360" w:lineRule="auto"/>
        <w:ind w:left="0" w:firstLine="0"/>
        <w:contextualSpacing w:val="0"/>
        <w:jc w:val="both"/>
        <w:rPr>
          <w:rFonts w:ascii="Palatino Linotype" w:hAnsi="Palatino Linotype"/>
        </w:rPr>
      </w:pPr>
      <w:r w:rsidRPr="009172AF">
        <w:rPr>
          <w:rFonts w:ascii="Palatino Linotype" w:eastAsia="Palatino Linotype" w:hAnsi="Palatino Linotype" w:cs="Palatino Linotype"/>
        </w:rPr>
        <w:t xml:space="preserve">Este Órgano Garante considera que los medios de impugnación reúnen los requisitos de </w:t>
      </w:r>
      <w:r w:rsidRPr="009172AF">
        <w:rPr>
          <w:rFonts w:ascii="Palatino Linotype" w:hAnsi="Palatino Linotype"/>
        </w:rPr>
        <w:t>procedencia</w:t>
      </w:r>
      <w:r w:rsidRPr="009172AF">
        <w:rPr>
          <w:rFonts w:ascii="Palatino Linotype" w:eastAsia="Palatino Linotype" w:hAnsi="Palatino Linotype" w:cs="Palatino Linotype"/>
        </w:rPr>
        <w:t xml:space="preserve"> </w:t>
      </w:r>
      <w:r w:rsidRPr="009172AF">
        <w:rPr>
          <w:rFonts w:ascii="Palatino Linotype" w:eastAsia="Palatino Linotype" w:hAnsi="Palatino Linotype" w:cs="Palatino Linotype"/>
          <w:color w:val="000000"/>
        </w:rPr>
        <w:t xml:space="preserve">toda vez que: los recursos fueron presentados dentro del plazo establecido en el artículo 178 de la Ley de Transparencia y Acceso a la Información Pública </w:t>
      </w:r>
      <w:r w:rsidRPr="009172AF">
        <w:rPr>
          <w:rFonts w:ascii="Palatino Linotype" w:eastAsia="Palatino Linotype" w:hAnsi="Palatino Linotype" w:cs="Palatino Linotype"/>
        </w:rPr>
        <w:t>del</w:t>
      </w:r>
      <w:r w:rsidRPr="009172AF">
        <w:rPr>
          <w:rFonts w:ascii="Palatino Linotype" w:eastAsia="Palatino Linotype" w:hAnsi="Palatino Linotype" w:cs="Palatino Linotype"/>
          <w:color w:val="000000"/>
        </w:rPr>
        <w:t xml:space="preserve"> Estado de México y Municipios; asimismo no se tiene conocimiento de que se encuentre en trámite algún medio de defensa presentado por </w:t>
      </w:r>
      <w:r w:rsidRPr="009172AF">
        <w:rPr>
          <w:rFonts w:ascii="Palatino Linotype" w:eastAsia="Palatino Linotype" w:hAnsi="Palatino Linotype" w:cs="Palatino Linotype"/>
          <w:b/>
          <w:color w:val="000000"/>
        </w:rPr>
        <w:t>LA RECURRENTE</w:t>
      </w:r>
      <w:r w:rsidRPr="009172AF">
        <w:rPr>
          <w:rFonts w:ascii="Palatino Linotype" w:eastAsia="Palatino Linotype" w:hAnsi="Palatino Linotype" w:cs="Palatino Linotype"/>
          <w:color w:val="000000"/>
        </w:rPr>
        <w:t xml:space="preserve"> ante otra instancia.</w:t>
      </w:r>
    </w:p>
    <w:p w:rsidR="00EB18EF" w:rsidRPr="009172AF" w:rsidRDefault="00EB18EF" w:rsidP="00AA0AC2">
      <w:pPr>
        <w:pStyle w:val="Prrafodelista"/>
        <w:spacing w:line="360" w:lineRule="auto"/>
        <w:ind w:left="0"/>
        <w:contextualSpacing w:val="0"/>
        <w:jc w:val="both"/>
        <w:rPr>
          <w:rFonts w:ascii="Palatino Linotype" w:hAnsi="Palatino Linotype"/>
        </w:rPr>
      </w:pPr>
    </w:p>
    <w:p w:rsidR="00D91D21" w:rsidRPr="009172AF" w:rsidRDefault="00D91D21" w:rsidP="00AA0AC2">
      <w:pPr>
        <w:pStyle w:val="Prrafodelista"/>
        <w:numPr>
          <w:ilvl w:val="0"/>
          <w:numId w:val="1"/>
        </w:numPr>
        <w:spacing w:line="360" w:lineRule="auto"/>
        <w:ind w:left="0" w:firstLine="0"/>
        <w:contextualSpacing w:val="0"/>
        <w:jc w:val="both"/>
        <w:rPr>
          <w:rFonts w:ascii="Palatino Linotype" w:hAnsi="Palatino Linotype"/>
        </w:rPr>
      </w:pPr>
      <w:r w:rsidRPr="009172AF">
        <w:rPr>
          <w:rFonts w:ascii="Palatino Linotype" w:eastAsia="Palatino Linotype" w:hAnsi="Palatino Linotype" w:cs="Palatino Linotype"/>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D91D21" w:rsidRPr="009172AF" w:rsidRDefault="00D91D21" w:rsidP="00AA0AC2">
      <w:pPr>
        <w:spacing w:line="360" w:lineRule="auto"/>
        <w:ind w:left="709" w:right="425"/>
        <w:jc w:val="both"/>
        <w:rPr>
          <w:rFonts w:ascii="Palatino Linotype" w:eastAsia="Palatino Linotype" w:hAnsi="Palatino Linotype" w:cs="Palatino Linotype"/>
          <w:i/>
        </w:rPr>
      </w:pPr>
      <w:r w:rsidRPr="009172AF">
        <w:rPr>
          <w:rFonts w:ascii="Palatino Linotype" w:eastAsia="Palatino Linotype" w:hAnsi="Palatino Linotype" w:cs="Palatino Linotype"/>
          <w:i/>
        </w:rPr>
        <w:t>"</w:t>
      </w:r>
      <w:r w:rsidRPr="009172AF">
        <w:rPr>
          <w:rFonts w:ascii="Palatino Linotype" w:eastAsia="Palatino Linotype" w:hAnsi="Palatino Linotype" w:cs="Palatino Linotype"/>
          <w:b/>
          <w:i/>
        </w:rPr>
        <w:t>Las solicitudes anónimas</w:t>
      </w:r>
      <w:r w:rsidRPr="009172AF">
        <w:rPr>
          <w:rFonts w:ascii="Palatino Linotype" w:eastAsia="Palatino Linotype" w:hAnsi="Palatino Linotype" w:cs="Palatino Linotype"/>
          <w:i/>
        </w:rPr>
        <w:t xml:space="preserve">, con nombre incompleto o seudónimo </w:t>
      </w:r>
      <w:r w:rsidRPr="009172AF">
        <w:rPr>
          <w:rFonts w:ascii="Palatino Linotype" w:eastAsia="Palatino Linotype" w:hAnsi="Palatino Linotype" w:cs="Palatino Linotype"/>
          <w:b/>
          <w:i/>
        </w:rPr>
        <w:t>serán procedentes para su trámite por parte del sujeto obligado ante quien se presente</w:t>
      </w:r>
      <w:r w:rsidRPr="009172AF">
        <w:rPr>
          <w:rFonts w:ascii="Palatino Linotype" w:eastAsia="Palatino Linotype" w:hAnsi="Palatino Linotype" w:cs="Palatino Linotype"/>
          <w:i/>
        </w:rPr>
        <w:t>. No podrá requerirse información adicional con motivo del nombre proporcionado por el solicitante."</w:t>
      </w:r>
    </w:p>
    <w:p w:rsidR="00D91D21" w:rsidRPr="009172AF" w:rsidRDefault="00D91D21" w:rsidP="00AA0AC2">
      <w:pPr>
        <w:spacing w:line="360" w:lineRule="auto"/>
        <w:ind w:right="-592"/>
        <w:jc w:val="both"/>
        <w:rPr>
          <w:rFonts w:ascii="Palatino Linotype" w:eastAsia="Palatino Linotype" w:hAnsi="Palatino Linotype" w:cs="Palatino Linotype"/>
        </w:rPr>
      </w:pPr>
    </w:p>
    <w:p w:rsidR="00D91D21" w:rsidRPr="009172AF" w:rsidRDefault="00D91D21" w:rsidP="00AA0AC2">
      <w:pPr>
        <w:pStyle w:val="Prrafodelista"/>
        <w:numPr>
          <w:ilvl w:val="0"/>
          <w:numId w:val="1"/>
        </w:numPr>
        <w:spacing w:line="360" w:lineRule="auto"/>
        <w:ind w:left="0" w:firstLine="0"/>
        <w:contextualSpacing w:val="0"/>
        <w:jc w:val="both"/>
        <w:rPr>
          <w:rFonts w:ascii="Palatino Linotype" w:hAnsi="Palatino Linotype"/>
        </w:rPr>
      </w:pPr>
      <w:r w:rsidRPr="009172AF">
        <w:rPr>
          <w:rFonts w:ascii="Palatino Linotype" w:eastAsia="Palatino Linotype" w:hAnsi="Palatino Linotype" w:cs="Palatino Linotype"/>
        </w:rPr>
        <w:t>Robusteciendo lo anterior se encuentra lo dispuesto en el artículo 6, Apartado A, fracciones III de la Constitución Política de los Estados Unidos Mexicanos que establece:</w:t>
      </w:r>
    </w:p>
    <w:p w:rsidR="00D91D21" w:rsidRPr="009172AF" w:rsidRDefault="00D91D21" w:rsidP="00AA0AC2">
      <w:pPr>
        <w:spacing w:line="360" w:lineRule="auto"/>
        <w:ind w:left="851" w:right="257"/>
        <w:jc w:val="both"/>
        <w:rPr>
          <w:rFonts w:ascii="Palatino Linotype" w:eastAsia="Palatino Linotype" w:hAnsi="Palatino Linotype" w:cs="Palatino Linotype"/>
          <w:i/>
        </w:rPr>
      </w:pPr>
      <w:r w:rsidRPr="009172AF">
        <w:rPr>
          <w:rFonts w:ascii="Palatino Linotype" w:eastAsia="Palatino Linotype" w:hAnsi="Palatino Linotype" w:cs="Palatino Linotype"/>
          <w:i/>
        </w:rPr>
        <w:t>"</w:t>
      </w:r>
      <w:r w:rsidRPr="009172AF">
        <w:rPr>
          <w:rFonts w:ascii="Palatino Linotype" w:eastAsia="Palatino Linotype" w:hAnsi="Palatino Linotype" w:cs="Palatino Linotype"/>
          <w:b/>
          <w:i/>
        </w:rPr>
        <w:t>Artículo 6.-</w:t>
      </w:r>
      <w:r w:rsidRPr="009172AF">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D91D21" w:rsidRPr="009172AF" w:rsidRDefault="00D91D21" w:rsidP="00AA0AC2">
      <w:pPr>
        <w:spacing w:line="360" w:lineRule="auto"/>
        <w:ind w:left="851" w:right="257"/>
        <w:jc w:val="both"/>
        <w:rPr>
          <w:rFonts w:ascii="Palatino Linotype" w:eastAsia="Palatino Linotype" w:hAnsi="Palatino Linotype" w:cs="Palatino Linotype"/>
          <w:i/>
        </w:rPr>
      </w:pPr>
      <w:r w:rsidRPr="009172AF">
        <w:rPr>
          <w:rFonts w:ascii="Palatino Linotype" w:eastAsia="Palatino Linotype" w:hAnsi="Palatino Linotype" w:cs="Palatino Linotype"/>
          <w:i/>
        </w:rPr>
        <w:t>Para efectos de lo dispuesto en el presente artículo se observará lo siguiente:</w:t>
      </w:r>
    </w:p>
    <w:p w:rsidR="00D91D21" w:rsidRPr="009172AF" w:rsidRDefault="00D91D21" w:rsidP="00AA0AC2">
      <w:pPr>
        <w:spacing w:line="360" w:lineRule="auto"/>
        <w:ind w:left="851" w:right="257"/>
        <w:jc w:val="both"/>
        <w:rPr>
          <w:rFonts w:ascii="Palatino Linotype" w:eastAsia="Palatino Linotype" w:hAnsi="Palatino Linotype" w:cs="Palatino Linotype"/>
          <w:i/>
        </w:rPr>
      </w:pPr>
    </w:p>
    <w:p w:rsidR="00D91D21" w:rsidRPr="009172AF" w:rsidRDefault="00D91D21" w:rsidP="00AA0AC2">
      <w:pPr>
        <w:spacing w:line="360" w:lineRule="auto"/>
        <w:ind w:left="851" w:right="257"/>
        <w:jc w:val="both"/>
        <w:rPr>
          <w:rFonts w:ascii="Palatino Linotype" w:eastAsia="Palatino Linotype" w:hAnsi="Palatino Linotype" w:cs="Palatino Linotype"/>
          <w:i/>
        </w:rPr>
      </w:pPr>
      <w:r w:rsidRPr="009172AF">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D91D21" w:rsidRPr="009172AF" w:rsidRDefault="00D91D21" w:rsidP="00AA0AC2">
      <w:pPr>
        <w:spacing w:line="360" w:lineRule="auto"/>
        <w:ind w:left="851" w:right="257"/>
        <w:jc w:val="both"/>
        <w:rPr>
          <w:rFonts w:ascii="Palatino Linotype" w:eastAsia="Palatino Linotype" w:hAnsi="Palatino Linotype" w:cs="Palatino Linotype"/>
          <w:i/>
        </w:rPr>
      </w:pPr>
      <w:r w:rsidRPr="009172AF">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rsidR="00D91D21" w:rsidRPr="009172AF" w:rsidRDefault="00D91D21" w:rsidP="00AA0AC2">
      <w:pPr>
        <w:spacing w:line="360" w:lineRule="auto"/>
        <w:ind w:left="851" w:right="257"/>
        <w:jc w:val="both"/>
        <w:rPr>
          <w:rFonts w:ascii="Palatino Linotype" w:eastAsia="Palatino Linotype" w:hAnsi="Palatino Linotype" w:cs="Palatino Linotype"/>
          <w:i/>
        </w:rPr>
      </w:pPr>
    </w:p>
    <w:p w:rsidR="00D91D21" w:rsidRPr="009172AF" w:rsidRDefault="00D91D21" w:rsidP="00AA0AC2">
      <w:pPr>
        <w:pStyle w:val="Prrafodelista"/>
        <w:numPr>
          <w:ilvl w:val="0"/>
          <w:numId w:val="1"/>
        </w:numPr>
        <w:spacing w:line="360" w:lineRule="auto"/>
        <w:ind w:left="0" w:firstLine="0"/>
        <w:contextualSpacing w:val="0"/>
        <w:jc w:val="both"/>
        <w:rPr>
          <w:rFonts w:ascii="Palatino Linotype" w:hAnsi="Palatino Linotype"/>
        </w:rPr>
      </w:pPr>
      <w:r w:rsidRPr="009172AF">
        <w:rPr>
          <w:rFonts w:ascii="Palatino Linotype" w:eastAsia="Palatino Linotype" w:hAnsi="Palatino Linotype" w:cs="Palatino Linotype"/>
        </w:rPr>
        <w:t>Así como el artículo 5 fracción III, párrafo vigésimo noveno, trigésimo y trigésimo primero, de la Constitución Política del Estado Libre y Soberano de México, que determina lo siguiente:</w:t>
      </w:r>
    </w:p>
    <w:p w:rsidR="00D91D21" w:rsidRPr="009172AF" w:rsidRDefault="00D91D21" w:rsidP="00AA0AC2">
      <w:pPr>
        <w:spacing w:line="360" w:lineRule="auto"/>
        <w:ind w:left="851" w:right="257"/>
        <w:jc w:val="both"/>
        <w:rPr>
          <w:rFonts w:ascii="Palatino Linotype" w:eastAsia="Palatino Linotype" w:hAnsi="Palatino Linotype" w:cs="Palatino Linotype"/>
          <w:i/>
        </w:rPr>
      </w:pPr>
      <w:r w:rsidRPr="009172AF">
        <w:rPr>
          <w:rFonts w:ascii="Palatino Linotype" w:eastAsia="Palatino Linotype" w:hAnsi="Palatino Linotype" w:cs="Palatino Linotype"/>
          <w:i/>
        </w:rPr>
        <w:t>"</w:t>
      </w:r>
      <w:r w:rsidRPr="009172AF">
        <w:rPr>
          <w:rFonts w:ascii="Palatino Linotype" w:eastAsia="Palatino Linotype" w:hAnsi="Palatino Linotype" w:cs="Palatino Linotype"/>
          <w:b/>
          <w:i/>
        </w:rPr>
        <w:t>Artículo 5.-</w:t>
      </w:r>
      <w:r w:rsidRPr="009172AF">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D91D21" w:rsidRPr="009172AF" w:rsidRDefault="00D91D21" w:rsidP="00AA0AC2">
      <w:pPr>
        <w:spacing w:line="360" w:lineRule="auto"/>
        <w:ind w:left="1134" w:right="257"/>
        <w:jc w:val="both"/>
        <w:rPr>
          <w:rFonts w:ascii="Palatino Linotype" w:eastAsia="Palatino Linotype" w:hAnsi="Palatino Linotype" w:cs="Palatino Linotype"/>
          <w:i/>
        </w:rPr>
      </w:pPr>
      <w:r w:rsidRPr="009172AF">
        <w:rPr>
          <w:rFonts w:ascii="Palatino Linotype" w:eastAsia="Palatino Linotype" w:hAnsi="Palatino Linotype" w:cs="Palatino Linotype"/>
          <w:i/>
        </w:rPr>
        <w:t>…</w:t>
      </w:r>
    </w:p>
    <w:p w:rsidR="00D91D21" w:rsidRPr="009172AF" w:rsidRDefault="00D91D21" w:rsidP="00AA0AC2">
      <w:pPr>
        <w:spacing w:line="360" w:lineRule="auto"/>
        <w:ind w:left="851" w:right="257"/>
        <w:jc w:val="both"/>
        <w:rPr>
          <w:rFonts w:ascii="Palatino Linotype" w:eastAsia="Palatino Linotype" w:hAnsi="Palatino Linotype" w:cs="Palatino Linotype"/>
          <w:i/>
        </w:rPr>
      </w:pPr>
      <w:r w:rsidRPr="009172AF">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D91D21" w:rsidRPr="009172AF" w:rsidRDefault="00D91D21" w:rsidP="00AA0AC2">
      <w:pPr>
        <w:spacing w:line="360" w:lineRule="auto"/>
        <w:ind w:left="1134" w:right="257"/>
        <w:jc w:val="both"/>
        <w:rPr>
          <w:rFonts w:ascii="Palatino Linotype" w:eastAsia="Palatino Linotype" w:hAnsi="Palatino Linotype" w:cs="Palatino Linotype"/>
          <w:i/>
        </w:rPr>
      </w:pPr>
      <w:r w:rsidRPr="009172AF">
        <w:rPr>
          <w:rFonts w:ascii="Palatino Linotype" w:eastAsia="Palatino Linotype" w:hAnsi="Palatino Linotype" w:cs="Palatino Linotype"/>
          <w:i/>
        </w:rPr>
        <w:lastRenderedPageBreak/>
        <w:t>...</w:t>
      </w:r>
    </w:p>
    <w:p w:rsidR="00D91D21" w:rsidRPr="009172AF" w:rsidRDefault="00D91D21" w:rsidP="00AA0AC2">
      <w:pPr>
        <w:spacing w:line="360" w:lineRule="auto"/>
        <w:ind w:left="851" w:right="257"/>
        <w:jc w:val="both"/>
        <w:rPr>
          <w:rFonts w:ascii="Palatino Linotype" w:eastAsia="Palatino Linotype" w:hAnsi="Palatino Linotype" w:cs="Palatino Linotype"/>
          <w:i/>
        </w:rPr>
      </w:pPr>
      <w:r w:rsidRPr="009172AF">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D91D21" w:rsidRPr="009172AF" w:rsidRDefault="00D91D21" w:rsidP="00AA0AC2">
      <w:pPr>
        <w:spacing w:line="360" w:lineRule="auto"/>
        <w:ind w:left="851" w:right="257"/>
        <w:jc w:val="both"/>
        <w:rPr>
          <w:rFonts w:ascii="Palatino Linotype" w:eastAsia="Palatino Linotype" w:hAnsi="Palatino Linotype" w:cs="Palatino Linotype"/>
          <w:i/>
        </w:rPr>
      </w:pPr>
      <w:r w:rsidRPr="009172AF">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D91D21" w:rsidRPr="009172AF" w:rsidRDefault="00D91D21" w:rsidP="00AA0AC2">
      <w:pPr>
        <w:spacing w:line="360" w:lineRule="auto"/>
        <w:ind w:left="851" w:right="257"/>
        <w:jc w:val="both"/>
        <w:rPr>
          <w:rFonts w:ascii="Palatino Linotype" w:eastAsia="Palatino Linotype" w:hAnsi="Palatino Linotype" w:cs="Palatino Linotype"/>
          <w:i/>
        </w:rPr>
      </w:pPr>
      <w:r w:rsidRPr="009172AF">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D91D21" w:rsidRPr="009172AF" w:rsidRDefault="00D91D21" w:rsidP="00AA0AC2">
      <w:pPr>
        <w:spacing w:line="360" w:lineRule="auto"/>
        <w:ind w:left="1134" w:right="257"/>
        <w:jc w:val="both"/>
        <w:rPr>
          <w:rFonts w:ascii="Palatino Linotype" w:eastAsia="Palatino Linotype" w:hAnsi="Palatino Linotype" w:cs="Palatino Linotype"/>
          <w:i/>
        </w:rPr>
      </w:pPr>
      <w:r w:rsidRPr="009172AF">
        <w:rPr>
          <w:rFonts w:ascii="Palatino Linotype" w:eastAsia="Palatino Linotype" w:hAnsi="Palatino Linotype" w:cs="Palatino Linotype"/>
          <w:i/>
        </w:rPr>
        <w:t>...</w:t>
      </w:r>
    </w:p>
    <w:p w:rsidR="00D91D21" w:rsidRPr="009172AF" w:rsidRDefault="00D91D21" w:rsidP="00AA0AC2">
      <w:pPr>
        <w:spacing w:line="360" w:lineRule="auto"/>
        <w:ind w:left="851" w:right="257"/>
        <w:jc w:val="both"/>
        <w:rPr>
          <w:rFonts w:ascii="Palatino Linotype" w:eastAsia="Palatino Linotype" w:hAnsi="Palatino Linotype" w:cs="Palatino Linotype"/>
          <w:i/>
        </w:rPr>
      </w:pPr>
      <w:r w:rsidRPr="009172AF">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9172AF">
        <w:rPr>
          <w:rFonts w:ascii="Palatino Linotype" w:eastAsia="Palatino Linotype" w:hAnsi="Palatino Linotype" w:cs="Palatino Linotype"/>
        </w:rPr>
        <w:t>(Sic)</w:t>
      </w:r>
    </w:p>
    <w:p w:rsidR="00D91D21" w:rsidRPr="009172AF" w:rsidRDefault="00D91D21" w:rsidP="00AA0AC2">
      <w:pPr>
        <w:spacing w:line="360" w:lineRule="auto"/>
        <w:ind w:left="426" w:right="-592"/>
        <w:jc w:val="both"/>
        <w:rPr>
          <w:rFonts w:ascii="Palatino Linotype" w:eastAsia="Palatino Linotype" w:hAnsi="Palatino Linotype" w:cs="Palatino Linotype"/>
          <w:i/>
        </w:rPr>
      </w:pPr>
    </w:p>
    <w:p w:rsidR="00D91D21" w:rsidRPr="009172AF" w:rsidRDefault="00D91D21" w:rsidP="00AA0AC2">
      <w:pPr>
        <w:pStyle w:val="Prrafodelista"/>
        <w:numPr>
          <w:ilvl w:val="0"/>
          <w:numId w:val="1"/>
        </w:numPr>
        <w:spacing w:line="360" w:lineRule="auto"/>
        <w:ind w:left="0" w:firstLine="0"/>
        <w:contextualSpacing w:val="0"/>
        <w:jc w:val="both"/>
        <w:rPr>
          <w:rFonts w:ascii="Palatino Linotype" w:hAnsi="Palatino Linotype"/>
        </w:rPr>
      </w:pPr>
      <w:r w:rsidRPr="009172AF">
        <w:rPr>
          <w:rFonts w:ascii="Palatino Linotype" w:eastAsia="Palatino Linotype" w:hAnsi="Palatino Linotype" w:cs="Palatino Linotype"/>
        </w:rPr>
        <w:lastRenderedPageBreak/>
        <w:t>Por otra parte, del contenido del artículo 1 de la Constitución Política de los Estados Unidos mexicanos, se destaca lo siguiente:</w:t>
      </w:r>
    </w:p>
    <w:p w:rsidR="00D91D21" w:rsidRPr="009172AF" w:rsidRDefault="00D91D21" w:rsidP="00AA0AC2">
      <w:pPr>
        <w:spacing w:line="360" w:lineRule="auto"/>
        <w:ind w:left="851" w:right="257"/>
        <w:jc w:val="both"/>
        <w:rPr>
          <w:rFonts w:ascii="Palatino Linotype" w:eastAsia="Palatino Linotype" w:hAnsi="Palatino Linotype" w:cs="Palatino Linotype"/>
          <w:i/>
        </w:rPr>
      </w:pPr>
      <w:r w:rsidRPr="009172AF">
        <w:rPr>
          <w:rFonts w:ascii="Palatino Linotype" w:eastAsia="Palatino Linotype" w:hAnsi="Palatino Linotype" w:cs="Palatino Linotype"/>
          <w:i/>
        </w:rPr>
        <w:t>"</w:t>
      </w:r>
      <w:r w:rsidRPr="009172AF">
        <w:rPr>
          <w:rFonts w:ascii="Palatino Linotype" w:eastAsia="Palatino Linotype" w:hAnsi="Palatino Linotype" w:cs="Palatino Linotype"/>
          <w:b/>
          <w:i/>
        </w:rPr>
        <w:t>Artículo 1</w:t>
      </w:r>
      <w:r w:rsidRPr="009172AF">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91D21" w:rsidRPr="009172AF" w:rsidRDefault="00D91D21" w:rsidP="00AA0AC2">
      <w:pPr>
        <w:spacing w:line="360" w:lineRule="auto"/>
        <w:ind w:left="851" w:right="257"/>
        <w:jc w:val="both"/>
        <w:rPr>
          <w:rFonts w:ascii="Palatino Linotype" w:eastAsia="Palatino Linotype" w:hAnsi="Palatino Linotype" w:cs="Palatino Linotype"/>
          <w:i/>
        </w:rPr>
      </w:pPr>
      <w:r w:rsidRPr="009172AF">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D91D21" w:rsidRPr="009172AF" w:rsidRDefault="00D91D21" w:rsidP="00AA0AC2">
      <w:pPr>
        <w:spacing w:line="360" w:lineRule="auto"/>
        <w:ind w:left="851" w:right="257"/>
        <w:jc w:val="both"/>
        <w:rPr>
          <w:rFonts w:ascii="Palatino Linotype" w:eastAsia="Palatino Linotype" w:hAnsi="Palatino Linotype" w:cs="Palatino Linotype"/>
          <w:i/>
        </w:rPr>
      </w:pPr>
      <w:r w:rsidRPr="009172AF">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91D21" w:rsidRPr="009172AF" w:rsidRDefault="00D91D21" w:rsidP="00AA0AC2">
      <w:pPr>
        <w:spacing w:line="360" w:lineRule="auto"/>
        <w:ind w:left="426" w:right="-592"/>
        <w:jc w:val="both"/>
        <w:rPr>
          <w:rFonts w:ascii="Palatino Linotype" w:eastAsia="Palatino Linotype" w:hAnsi="Palatino Linotype" w:cs="Palatino Linotype"/>
          <w:i/>
        </w:rPr>
      </w:pPr>
    </w:p>
    <w:p w:rsidR="00D91D21" w:rsidRPr="009172AF" w:rsidRDefault="00D91D21" w:rsidP="00AA0AC2">
      <w:pPr>
        <w:pStyle w:val="Prrafodelista"/>
        <w:numPr>
          <w:ilvl w:val="0"/>
          <w:numId w:val="1"/>
        </w:numPr>
        <w:spacing w:line="360" w:lineRule="auto"/>
        <w:ind w:left="0" w:firstLine="0"/>
        <w:contextualSpacing w:val="0"/>
        <w:jc w:val="both"/>
        <w:rPr>
          <w:rFonts w:ascii="Palatino Linotype" w:hAnsi="Palatino Linotype"/>
        </w:rPr>
      </w:pPr>
      <w:r w:rsidRPr="009172AF">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9172AF">
        <w:rPr>
          <w:rFonts w:ascii="Palatino Linotype" w:eastAsia="Palatino Linotype" w:hAnsi="Palatino Linotype" w:cs="Palatino Linotype"/>
          <w:i/>
        </w:rPr>
        <w:t>derecho fundamental exime a quien lo ejerce</w:t>
      </w:r>
      <w:r w:rsidRPr="009172AF">
        <w:rPr>
          <w:rFonts w:ascii="Palatino Linotype" w:eastAsia="Palatino Linotype" w:hAnsi="Palatino Linotype" w:cs="Palatino Linotype"/>
        </w:rPr>
        <w:t xml:space="preserve">, de acreditar su legitimación en la causa o su interés en el asunto, lo que permite la posibilidad de que, incluso, la solicitud de acceso a </w:t>
      </w:r>
      <w:r w:rsidRPr="009172AF">
        <w:rPr>
          <w:rFonts w:ascii="Palatino Linotype" w:eastAsia="Palatino Linotype" w:hAnsi="Palatino Linotype" w:cs="Palatino Linotype"/>
        </w:rPr>
        <w:lastRenderedPageBreak/>
        <w:t>la información pueda ser anónima o no contener un nombre que identifique al solicitante o que permita tener certeza sobre su identidad.</w:t>
      </w:r>
    </w:p>
    <w:p w:rsidR="00D91D21" w:rsidRPr="009172AF" w:rsidRDefault="00D91D21" w:rsidP="00AA0AC2">
      <w:pPr>
        <w:spacing w:line="360" w:lineRule="auto"/>
        <w:ind w:right="-592"/>
        <w:jc w:val="both"/>
        <w:rPr>
          <w:rFonts w:ascii="Palatino Linotype" w:eastAsia="Palatino Linotype" w:hAnsi="Palatino Linotype" w:cs="Palatino Linotype"/>
        </w:rPr>
      </w:pPr>
    </w:p>
    <w:p w:rsidR="00D91D21" w:rsidRPr="009172AF" w:rsidRDefault="00D91D21" w:rsidP="00AA0AC2">
      <w:pPr>
        <w:pStyle w:val="Prrafodelista"/>
        <w:numPr>
          <w:ilvl w:val="0"/>
          <w:numId w:val="1"/>
        </w:numPr>
        <w:spacing w:line="360" w:lineRule="auto"/>
        <w:ind w:left="0" w:firstLine="0"/>
        <w:contextualSpacing w:val="0"/>
        <w:jc w:val="both"/>
        <w:rPr>
          <w:rFonts w:ascii="Palatino Linotype" w:hAnsi="Palatino Linotype"/>
        </w:rPr>
      </w:pPr>
      <w:r w:rsidRPr="009172AF">
        <w:rPr>
          <w:rFonts w:ascii="Palatino Linotype" w:eastAsia="Palatino Linotype" w:hAnsi="Palatino Linotype" w:cs="Palatino Linotype"/>
        </w:rPr>
        <w:t xml:space="preserve">En consecuencia, dado lo expuesto y fundado con anterioridad, se estima que el requisito relativo al nombre del </w:t>
      </w:r>
      <w:r w:rsidRPr="009172AF">
        <w:rPr>
          <w:rFonts w:ascii="Palatino Linotype" w:eastAsia="Palatino Linotype" w:hAnsi="Palatino Linotype" w:cs="Palatino Linotype"/>
          <w:b/>
        </w:rPr>
        <w:t>RECURRENTE</w:t>
      </w:r>
      <w:r w:rsidRPr="009172AF">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D91D21" w:rsidRPr="009172AF" w:rsidRDefault="00D91D21" w:rsidP="00AA0AC2">
      <w:pPr>
        <w:pStyle w:val="Prrafodelista"/>
        <w:spacing w:line="360" w:lineRule="auto"/>
        <w:ind w:left="0"/>
        <w:contextualSpacing w:val="0"/>
        <w:jc w:val="both"/>
        <w:rPr>
          <w:rFonts w:ascii="Palatino Linotype" w:hAnsi="Palatino Linotype"/>
        </w:rPr>
      </w:pPr>
    </w:p>
    <w:p w:rsidR="00E3702D" w:rsidRPr="009172AF" w:rsidRDefault="001E252F" w:rsidP="00AA0AC2">
      <w:pPr>
        <w:pStyle w:val="Prrafodelista"/>
        <w:numPr>
          <w:ilvl w:val="0"/>
          <w:numId w:val="1"/>
        </w:numPr>
        <w:spacing w:line="360" w:lineRule="auto"/>
        <w:ind w:left="0" w:firstLine="0"/>
        <w:contextualSpacing w:val="0"/>
        <w:jc w:val="both"/>
        <w:rPr>
          <w:rFonts w:ascii="Palatino Linotype" w:hAnsi="Palatino Linotype"/>
          <w:color w:val="000000"/>
        </w:rPr>
      </w:pPr>
      <w:r w:rsidRPr="009172AF">
        <w:rPr>
          <w:rFonts w:ascii="Palatino Linotype" w:eastAsia="Palatino Linotype" w:hAnsi="Palatino Linotype" w:cs="Palatino Linotype"/>
          <w:color w:val="000000"/>
        </w:rPr>
        <w:t xml:space="preserve">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w:t>
      </w:r>
      <w:r w:rsidRPr="009172AF">
        <w:rPr>
          <w:rFonts w:ascii="Palatino Linotype" w:eastAsia="Palatino Linotype" w:hAnsi="Palatino Linotype" w:cs="Palatino Linotype"/>
          <w:color w:val="000000"/>
        </w:rPr>
        <w:lastRenderedPageBreak/>
        <w:t>la Información Pública y Protección de Datos Personales del Estado de México y Municipios, conozca y resuelva el presente recurso.</w:t>
      </w:r>
    </w:p>
    <w:p w:rsidR="00E3702D" w:rsidRPr="009172AF" w:rsidRDefault="00E3702D" w:rsidP="00AA0AC2">
      <w:pPr>
        <w:spacing w:line="360" w:lineRule="auto"/>
        <w:rPr>
          <w:rFonts w:ascii="Palatino Linotype" w:eastAsia="Palatino Linotype" w:hAnsi="Palatino Linotype" w:cs="Palatino Linotype"/>
          <w:color w:val="000000"/>
        </w:rPr>
      </w:pPr>
    </w:p>
    <w:p w:rsidR="00E3702D" w:rsidRPr="009172AF" w:rsidRDefault="001E252F" w:rsidP="00AA0AC2">
      <w:pPr>
        <w:pStyle w:val="Ttulo2"/>
        <w:spacing w:before="0" w:line="360" w:lineRule="auto"/>
        <w:rPr>
          <w:b w:val="0"/>
          <w:szCs w:val="24"/>
        </w:rPr>
      </w:pPr>
      <w:bookmarkStart w:id="10" w:name="_Toc66998086"/>
      <w:bookmarkStart w:id="11" w:name="_Toc70526130"/>
      <w:bookmarkStart w:id="12" w:name="_Toc66315412"/>
      <w:r w:rsidRPr="009172AF">
        <w:rPr>
          <w:color w:val="auto"/>
          <w:szCs w:val="24"/>
        </w:rPr>
        <w:t xml:space="preserve">TERCERO. </w:t>
      </w:r>
      <w:bookmarkStart w:id="13" w:name="_Toc50033991"/>
      <w:bookmarkStart w:id="14" w:name="_Toc34246179"/>
      <w:bookmarkStart w:id="15" w:name="_Toc51259588"/>
      <w:bookmarkStart w:id="16" w:name="_Toc83128581"/>
      <w:bookmarkStart w:id="17" w:name="_Toc501021589"/>
      <w:bookmarkStart w:id="18" w:name="_Toc83128582"/>
      <w:bookmarkStart w:id="19" w:name="_Toc495427545"/>
      <w:bookmarkStart w:id="20" w:name="_Toc23414596"/>
      <w:bookmarkStart w:id="21" w:name="_Toc34819433"/>
      <w:bookmarkStart w:id="22" w:name="_Toc51259589"/>
      <w:bookmarkEnd w:id="10"/>
      <w:bookmarkEnd w:id="11"/>
      <w:bookmarkEnd w:id="12"/>
      <w:r w:rsidRPr="009172AF">
        <w:rPr>
          <w:szCs w:val="24"/>
        </w:rPr>
        <w:t xml:space="preserve">Del planteamiento de la </w:t>
      </w:r>
      <w:r w:rsidRPr="009172AF">
        <w:rPr>
          <w:i/>
          <w:szCs w:val="24"/>
        </w:rPr>
        <w:t>Litis</w:t>
      </w:r>
      <w:r w:rsidRPr="009172AF">
        <w:rPr>
          <w:szCs w:val="24"/>
        </w:rPr>
        <w:t>.</w:t>
      </w:r>
      <w:bookmarkEnd w:id="13"/>
      <w:bookmarkEnd w:id="14"/>
      <w:bookmarkEnd w:id="15"/>
      <w:bookmarkEnd w:id="16"/>
      <w:bookmarkEnd w:id="17"/>
    </w:p>
    <w:p w:rsidR="00E3702D" w:rsidRPr="009172AF" w:rsidRDefault="00E3702D" w:rsidP="00AA0AC2">
      <w:pPr>
        <w:spacing w:line="360" w:lineRule="auto"/>
        <w:rPr>
          <w:rFonts w:ascii="Palatino Linotype" w:hAnsi="Palatino Linotype"/>
          <w:lang w:val="es-MX" w:eastAsia="en-US"/>
        </w:rPr>
      </w:pPr>
    </w:p>
    <w:p w:rsidR="00E3702D" w:rsidRPr="009172AF" w:rsidRDefault="001E252F" w:rsidP="00AA0AC2">
      <w:pPr>
        <w:pStyle w:val="Prrafodelista"/>
        <w:numPr>
          <w:ilvl w:val="0"/>
          <w:numId w:val="1"/>
        </w:numPr>
        <w:spacing w:line="360" w:lineRule="auto"/>
        <w:ind w:left="0" w:firstLine="0"/>
        <w:contextualSpacing w:val="0"/>
        <w:jc w:val="both"/>
        <w:rPr>
          <w:rFonts w:ascii="Palatino Linotype" w:hAnsi="Palatino Linotype" w:cs="Arial"/>
        </w:rPr>
      </w:pPr>
      <w:r w:rsidRPr="009172AF">
        <w:rPr>
          <w:rFonts w:ascii="Palatino Linotype" w:hAnsi="Palatino Linotype" w:cs="Arial"/>
        </w:rPr>
        <w:t xml:space="preserve">Se </w:t>
      </w:r>
      <w:r w:rsidRPr="009172AF">
        <w:rPr>
          <w:rFonts w:ascii="Palatino Linotype" w:eastAsia="Calibri" w:hAnsi="Palatino Linotype" w:cs="Arial"/>
        </w:rPr>
        <w:t>solicitó</w:t>
      </w:r>
      <w:r w:rsidRPr="009172AF">
        <w:rPr>
          <w:rFonts w:ascii="Palatino Linotype" w:hAnsi="Palatino Linotype" w:cs="Arial"/>
        </w:rPr>
        <w:t xml:space="preserve"> tener acceso, a la información que a continuación se desagrega:</w:t>
      </w:r>
    </w:p>
    <w:p w:rsidR="00E3702D" w:rsidRPr="009172AF" w:rsidRDefault="00E3702D" w:rsidP="00AA0AC2">
      <w:pPr>
        <w:spacing w:line="360" w:lineRule="auto"/>
        <w:ind w:right="758"/>
        <w:jc w:val="both"/>
        <w:rPr>
          <w:rFonts w:ascii="Palatino Linotype" w:hAnsi="Palatino Linotype" w:cs="Arial"/>
        </w:rPr>
      </w:pPr>
    </w:p>
    <w:p w:rsidR="003F1C82" w:rsidRPr="009172AF" w:rsidRDefault="00E2504D" w:rsidP="00E2504D">
      <w:pPr>
        <w:pStyle w:val="Prrafodelista"/>
        <w:numPr>
          <w:ilvl w:val="0"/>
          <w:numId w:val="32"/>
        </w:numPr>
        <w:spacing w:line="360" w:lineRule="auto"/>
        <w:jc w:val="both"/>
        <w:rPr>
          <w:rFonts w:ascii="Palatino Linotype" w:hAnsi="Palatino Linotype"/>
          <w:b/>
        </w:rPr>
      </w:pPr>
      <w:r w:rsidRPr="009172AF">
        <w:rPr>
          <w:rFonts w:ascii="Palatino Linotype" w:hAnsi="Palatino Linotype"/>
          <w:b/>
        </w:rPr>
        <w:t>Informes recibidos por la Defensoría Municipal de Derechos Humanos por parte de la Dirección de Seguridad Pública del año 2019 a 2024.</w:t>
      </w:r>
    </w:p>
    <w:p w:rsidR="00E3702D" w:rsidRPr="009172AF" w:rsidRDefault="00E3702D" w:rsidP="00AA0AC2">
      <w:pPr>
        <w:pStyle w:val="Prrafodelista"/>
        <w:spacing w:line="360" w:lineRule="auto"/>
        <w:rPr>
          <w:rFonts w:ascii="Palatino Linotype" w:hAnsi="Palatino Linotype" w:cs="Arial"/>
        </w:rPr>
      </w:pPr>
    </w:p>
    <w:p w:rsidR="00E3702D" w:rsidRPr="009172AF" w:rsidRDefault="001E252F" w:rsidP="00AA0AC2">
      <w:pPr>
        <w:pStyle w:val="Prrafodelista"/>
        <w:numPr>
          <w:ilvl w:val="0"/>
          <w:numId w:val="1"/>
        </w:numPr>
        <w:spacing w:line="360" w:lineRule="auto"/>
        <w:ind w:left="0" w:firstLine="0"/>
        <w:contextualSpacing w:val="0"/>
        <w:jc w:val="both"/>
        <w:rPr>
          <w:rFonts w:ascii="Palatino Linotype" w:hAnsi="Palatino Linotype" w:cs="Arial"/>
          <w:i/>
          <w:color w:val="000000" w:themeColor="text1"/>
        </w:rPr>
      </w:pPr>
      <w:r w:rsidRPr="009172AF">
        <w:rPr>
          <w:rFonts w:ascii="Palatino Linotype" w:hAnsi="Palatino Linotype" w:cs="Arial"/>
        </w:rPr>
        <w:t xml:space="preserve">En </w:t>
      </w:r>
      <w:r w:rsidRPr="009172AF">
        <w:rPr>
          <w:rFonts w:ascii="Palatino Linotype" w:eastAsia="MS Mincho" w:hAnsi="Palatino Linotype" w:cs="Arial"/>
        </w:rPr>
        <w:t>respuesta</w:t>
      </w:r>
      <w:r w:rsidRPr="009172AF">
        <w:rPr>
          <w:rFonts w:ascii="Palatino Linotype" w:hAnsi="Palatino Linotype" w:cs="Arial"/>
        </w:rPr>
        <w:t xml:space="preserve">, el </w:t>
      </w:r>
      <w:r w:rsidRPr="009172AF">
        <w:rPr>
          <w:rFonts w:ascii="Palatino Linotype" w:hAnsi="Palatino Linotype" w:cs="Arial"/>
          <w:b/>
        </w:rPr>
        <w:t xml:space="preserve">SUJETO OBLIGADO </w:t>
      </w:r>
      <w:r w:rsidRPr="009172AF">
        <w:rPr>
          <w:rFonts w:ascii="Palatino Linotype" w:hAnsi="Palatino Linotype" w:cs="Arial"/>
        </w:rPr>
        <w:t xml:space="preserve">informo lo ya descrito en el anterior </w:t>
      </w:r>
      <w:r w:rsidRPr="009172AF">
        <w:rPr>
          <w:rFonts w:ascii="Palatino Linotype" w:hAnsi="Palatino Linotype" w:cs="Arial"/>
          <w:b/>
          <w:color w:val="000000" w:themeColor="text1"/>
        </w:rPr>
        <w:t xml:space="preserve">Párrafo </w:t>
      </w:r>
      <w:r w:rsidR="00D85996" w:rsidRPr="009172AF">
        <w:rPr>
          <w:rFonts w:ascii="Palatino Linotype" w:hAnsi="Palatino Linotype" w:cs="Arial"/>
          <w:b/>
          <w:color w:val="000000" w:themeColor="text1"/>
        </w:rPr>
        <w:t>3</w:t>
      </w:r>
      <w:r w:rsidRPr="009172AF">
        <w:rPr>
          <w:rFonts w:ascii="Palatino Linotype" w:hAnsi="Palatino Linotype" w:cs="Arial"/>
          <w:color w:val="000000" w:themeColor="text1"/>
        </w:rPr>
        <w:t>; lo que motivó la inconformidad de la ahora Recurrente de manera general impugnando la entrega de información incompleta.</w:t>
      </w:r>
    </w:p>
    <w:p w:rsidR="00E3702D" w:rsidRPr="009172AF" w:rsidRDefault="001E252F" w:rsidP="00AA0AC2">
      <w:pPr>
        <w:pStyle w:val="Prrafodelista"/>
        <w:spacing w:line="360" w:lineRule="auto"/>
        <w:ind w:left="0"/>
        <w:contextualSpacing w:val="0"/>
        <w:jc w:val="both"/>
        <w:rPr>
          <w:rFonts w:ascii="Palatino Linotype" w:hAnsi="Palatino Linotype" w:cs="Arial"/>
          <w:i/>
          <w:color w:val="000000" w:themeColor="text1"/>
        </w:rPr>
      </w:pPr>
      <w:r w:rsidRPr="009172AF">
        <w:rPr>
          <w:rFonts w:ascii="Palatino Linotype" w:hAnsi="Palatino Linotype" w:cs="Arial"/>
          <w:i/>
          <w:color w:val="000000" w:themeColor="text1"/>
        </w:rPr>
        <w:t xml:space="preserve"> </w:t>
      </w:r>
    </w:p>
    <w:p w:rsidR="00E3702D" w:rsidRPr="009172AF" w:rsidRDefault="001E252F" w:rsidP="00AA0AC2">
      <w:pPr>
        <w:pStyle w:val="Prrafodelista"/>
        <w:numPr>
          <w:ilvl w:val="0"/>
          <w:numId w:val="1"/>
        </w:numPr>
        <w:spacing w:line="360" w:lineRule="auto"/>
        <w:ind w:left="0" w:firstLine="0"/>
        <w:contextualSpacing w:val="0"/>
        <w:jc w:val="both"/>
        <w:rPr>
          <w:rFonts w:ascii="Palatino Linotype" w:eastAsia="MS Mincho" w:hAnsi="Palatino Linotype" w:cs="Arial"/>
        </w:rPr>
      </w:pPr>
      <w:r w:rsidRPr="009172AF">
        <w:rPr>
          <w:rFonts w:ascii="Palatino Linotype" w:eastAsia="MS Mincho" w:hAnsi="Palatino Linotype" w:cs="Arial"/>
        </w:rPr>
        <w:t xml:space="preserve">En </w:t>
      </w:r>
      <w:r w:rsidRPr="009172AF">
        <w:rPr>
          <w:rFonts w:ascii="Palatino Linotype" w:hAnsi="Palatino Linotype" w:cs="Arial"/>
          <w:lang w:eastAsia="es-MX"/>
        </w:rPr>
        <w:t>dichas</w:t>
      </w:r>
      <w:r w:rsidRPr="009172AF">
        <w:rPr>
          <w:rFonts w:ascii="Palatino Linotype" w:eastAsia="Times New Roman" w:hAnsi="Palatino Linotype" w:cs="Arial"/>
        </w:rPr>
        <w:t xml:space="preserve"> condiciones, la </w:t>
      </w:r>
      <w:r w:rsidRPr="009172AF">
        <w:rPr>
          <w:rFonts w:ascii="Palatino Linotype" w:eastAsia="Times New Roman" w:hAnsi="Palatino Linotype" w:cs="Arial"/>
          <w:i/>
        </w:rPr>
        <w:t>Litis</w:t>
      </w:r>
      <w:r w:rsidRPr="009172AF">
        <w:rPr>
          <w:rFonts w:ascii="Palatino Linotype" w:eastAsia="Times New Roman" w:hAnsi="Palatino Linotype" w:cs="Arial"/>
        </w:rPr>
        <w:t xml:space="preserve"> a resolver en este recurso se circunscribe a determinar si </w:t>
      </w:r>
      <w:r w:rsidRPr="009172AF">
        <w:rPr>
          <w:rFonts w:ascii="Palatino Linotype" w:eastAsia="MS Mincho" w:hAnsi="Palatino Linotype" w:cs="Arial"/>
        </w:rPr>
        <w:t xml:space="preserve">se actualiza la causal de procedencia prevista en el artículo 179, </w:t>
      </w:r>
      <w:r w:rsidRPr="009172AF">
        <w:rPr>
          <w:rFonts w:ascii="Palatino Linotype" w:eastAsia="MS Mincho" w:hAnsi="Palatino Linotype" w:cs="Arial"/>
          <w:b/>
        </w:rPr>
        <w:t xml:space="preserve">fracción V </w:t>
      </w:r>
      <w:r w:rsidRPr="009172AF">
        <w:rPr>
          <w:rFonts w:ascii="Palatino Linotype" w:eastAsia="MS Mincho" w:hAnsi="Palatino Linotype" w:cs="Arial"/>
        </w:rPr>
        <w:t xml:space="preserve">de la </w:t>
      </w:r>
      <w:r w:rsidRPr="009172AF">
        <w:rPr>
          <w:rFonts w:ascii="Palatino Linotype" w:eastAsia="MS Mincho" w:hAnsi="Palatino Linotype" w:cs="Arial"/>
          <w:b/>
        </w:rPr>
        <w:t>Ley de Transparencia y Acceso a la Información Pública del Estado de México y Municipios</w:t>
      </w:r>
      <w:r w:rsidRPr="009172AF">
        <w:rPr>
          <w:rFonts w:ascii="Palatino Linotype" w:eastAsia="MS Mincho" w:hAnsi="Palatino Linotype" w:cs="Arial"/>
        </w:rPr>
        <w:t xml:space="preserve">; </w:t>
      </w:r>
      <w:r w:rsidRPr="009172AF">
        <w:rPr>
          <w:rFonts w:ascii="Palatino Linotype" w:eastAsia="Times New Roman" w:hAnsi="Palatino Linotype" w:cs="Arial"/>
          <w:color w:val="000000" w:themeColor="text1"/>
          <w:lang w:val="es-ES" w:eastAsia="es-MX"/>
        </w:rPr>
        <w:t xml:space="preserve">fracción que determina las  hipótesis jurídica relativa </w:t>
      </w:r>
      <w:r w:rsidRPr="009172AF">
        <w:rPr>
          <w:rFonts w:ascii="Palatino Linotype" w:eastAsia="Times New Roman" w:hAnsi="Palatino Linotype" w:cs="Arial"/>
          <w:color w:val="000000" w:themeColor="text1"/>
          <w:lang w:eastAsia="es-MX"/>
        </w:rPr>
        <w:t>a la entrega de información incompleta;</w:t>
      </w:r>
      <w:r w:rsidRPr="009172AF">
        <w:rPr>
          <w:rFonts w:ascii="Palatino Linotype" w:eastAsia="Times New Roman" w:hAnsi="Palatino Linotype" w:cs="Arial"/>
          <w:color w:val="000000" w:themeColor="text1"/>
          <w:lang w:val="es-ES" w:eastAsia="es-MX"/>
        </w:rPr>
        <w:t xml:space="preserve"> </w:t>
      </w:r>
      <w:r w:rsidRPr="009172AF">
        <w:rPr>
          <w:rFonts w:ascii="Palatino Linotype" w:eastAsia="MS Mincho" w:hAnsi="Palatino Linotype" w:cs="Arial"/>
        </w:rPr>
        <w:t xml:space="preserve">contexto del cual se dolió </w:t>
      </w:r>
      <w:r w:rsidRPr="009172AF">
        <w:rPr>
          <w:rFonts w:ascii="Palatino Linotype" w:eastAsia="MS Mincho" w:hAnsi="Palatino Linotype" w:cs="Arial"/>
          <w:b/>
        </w:rPr>
        <w:t xml:space="preserve">LA RECURRENTE </w:t>
      </w:r>
      <w:r w:rsidRPr="009172AF">
        <w:rPr>
          <w:rFonts w:ascii="Palatino Linotype" w:eastAsia="MS Mincho" w:hAnsi="Palatino Linotype" w:cs="Arial"/>
        </w:rPr>
        <w:t>al momento de interponer su inconformidad.</w:t>
      </w:r>
      <w:r w:rsidRPr="009172AF">
        <w:rPr>
          <w:rFonts w:ascii="Palatino Linotype" w:eastAsia="Times New Roman" w:hAnsi="Palatino Linotype" w:cs="Arial"/>
          <w:color w:val="000000" w:themeColor="text1"/>
          <w:lang w:val="es-ES" w:eastAsia="es-MX"/>
        </w:rPr>
        <w:t xml:space="preserve"> De modo tal </w:t>
      </w:r>
      <w:r w:rsidRPr="009172AF">
        <w:rPr>
          <w:rFonts w:ascii="Palatino Linotype" w:hAnsi="Palatino Linotype" w:cs="Arial"/>
          <w:color w:val="000000" w:themeColor="text1"/>
        </w:rPr>
        <w:t xml:space="preserve">que los presentes recursos de revisión se abocaran en determinar si el </w:t>
      </w:r>
      <w:r w:rsidRPr="009172AF">
        <w:rPr>
          <w:rFonts w:ascii="Palatino Linotype" w:hAnsi="Palatino Linotype" w:cs="Arial"/>
          <w:b/>
          <w:color w:val="000000" w:themeColor="text1"/>
        </w:rPr>
        <w:t>SUJETO</w:t>
      </w:r>
      <w:r w:rsidRPr="009172AF">
        <w:rPr>
          <w:rFonts w:ascii="Palatino Linotype" w:hAnsi="Palatino Linotype" w:cs="Arial"/>
          <w:color w:val="000000" w:themeColor="text1"/>
        </w:rPr>
        <w:t xml:space="preserve"> </w:t>
      </w:r>
      <w:r w:rsidRPr="009172AF">
        <w:rPr>
          <w:rFonts w:ascii="Palatino Linotype" w:hAnsi="Palatino Linotype" w:cs="Arial"/>
          <w:b/>
          <w:color w:val="000000" w:themeColor="text1"/>
        </w:rPr>
        <w:lastRenderedPageBreak/>
        <w:t>OBLIGADO</w:t>
      </w:r>
      <w:r w:rsidRPr="009172AF">
        <w:rPr>
          <w:rFonts w:ascii="Palatino Linotype" w:hAnsi="Palatino Linotype" w:cs="Arial"/>
          <w:color w:val="000000" w:themeColor="text1"/>
        </w:rPr>
        <w:t xml:space="preserve"> con sus respuestas ciertamente </w:t>
      </w:r>
      <w:r w:rsidRPr="009172AF">
        <w:rPr>
          <w:rFonts w:ascii="Palatino Linotype" w:eastAsia="Times New Roman" w:hAnsi="Palatino Linotype"/>
          <w:color w:val="000000" w:themeColor="text1"/>
        </w:rPr>
        <w:t>actualizan las causales de procedencia</w:t>
      </w:r>
      <w:r w:rsidRPr="009172AF">
        <w:rPr>
          <w:rFonts w:ascii="Palatino Linotype" w:eastAsia="Times New Roman" w:hAnsi="Palatino Linotype"/>
          <w:b/>
          <w:color w:val="000000" w:themeColor="text1"/>
        </w:rPr>
        <w:t xml:space="preserve"> </w:t>
      </w:r>
      <w:r w:rsidRPr="009172AF">
        <w:rPr>
          <w:rFonts w:ascii="Palatino Linotype" w:eastAsia="Times New Roman" w:hAnsi="Palatino Linotype" w:cs="Arial"/>
          <w:color w:val="000000" w:themeColor="text1"/>
          <w:lang w:eastAsia="es-MX"/>
        </w:rPr>
        <w:t xml:space="preserve">antes señaladas. </w:t>
      </w:r>
    </w:p>
    <w:p w:rsidR="00E3702D" w:rsidRPr="009172AF" w:rsidRDefault="00E3702D" w:rsidP="00AA0AC2">
      <w:pPr>
        <w:pStyle w:val="Prrafodelista"/>
        <w:tabs>
          <w:tab w:val="left" w:pos="426"/>
          <w:tab w:val="left" w:pos="567"/>
        </w:tabs>
        <w:spacing w:line="360" w:lineRule="auto"/>
        <w:ind w:left="0"/>
        <w:jc w:val="both"/>
        <w:rPr>
          <w:rFonts w:ascii="Palatino Linotype" w:eastAsia="Times New Roman" w:hAnsi="Palatino Linotype" w:cs="Arial"/>
          <w:color w:val="000000" w:themeColor="text1"/>
          <w:lang w:eastAsia="es-MX"/>
        </w:rPr>
      </w:pPr>
    </w:p>
    <w:bookmarkEnd w:id="18"/>
    <w:bookmarkEnd w:id="19"/>
    <w:bookmarkEnd w:id="20"/>
    <w:bookmarkEnd w:id="21"/>
    <w:bookmarkEnd w:id="22"/>
    <w:p w:rsidR="00E3702D" w:rsidRPr="009172AF" w:rsidRDefault="001E252F" w:rsidP="00AA0AC2">
      <w:pPr>
        <w:pStyle w:val="Ttulo2"/>
        <w:spacing w:before="0" w:line="360" w:lineRule="auto"/>
        <w:rPr>
          <w:rFonts w:eastAsia="Palatino Linotype" w:cs="Palatino Linotype"/>
          <w:b w:val="0"/>
          <w:color w:val="000000"/>
          <w:szCs w:val="24"/>
        </w:rPr>
      </w:pPr>
      <w:r w:rsidRPr="009172AF">
        <w:rPr>
          <w:rFonts w:eastAsia="Palatino Linotype" w:cs="Palatino Linotype"/>
          <w:color w:val="000000"/>
          <w:szCs w:val="24"/>
        </w:rPr>
        <w:t>CUARTO. Del estudio y resolución del asunto.</w:t>
      </w:r>
    </w:p>
    <w:p w:rsidR="0099096E" w:rsidRPr="009172AF" w:rsidRDefault="0099096E" w:rsidP="0099096E">
      <w:pPr>
        <w:pStyle w:val="Prrafodelista"/>
        <w:numPr>
          <w:ilvl w:val="0"/>
          <w:numId w:val="1"/>
        </w:numPr>
        <w:spacing w:line="360" w:lineRule="auto"/>
        <w:ind w:left="0" w:firstLine="0"/>
        <w:contextualSpacing w:val="0"/>
        <w:jc w:val="both"/>
        <w:rPr>
          <w:rFonts w:ascii="Palatino Linotype" w:eastAsia="Palatino Linotype" w:hAnsi="Palatino Linotype" w:cs="Palatino Linotype"/>
        </w:rPr>
      </w:pPr>
      <w:r w:rsidRPr="009172AF">
        <w:rPr>
          <w:rFonts w:ascii="Palatino Linotype" w:eastAsia="Palatino Linotype" w:hAnsi="Palatino Linotype" w:cs="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99096E" w:rsidRPr="009172AF" w:rsidRDefault="0099096E" w:rsidP="0099096E">
      <w:pPr>
        <w:spacing w:line="360" w:lineRule="auto"/>
        <w:ind w:right="-929"/>
        <w:jc w:val="both"/>
        <w:rPr>
          <w:rFonts w:ascii="Palatino Linotype" w:eastAsia="Palatino Linotype" w:hAnsi="Palatino Linotype" w:cs="Palatino Linotype"/>
        </w:rPr>
      </w:pPr>
    </w:p>
    <w:p w:rsidR="0099096E" w:rsidRPr="009172AF" w:rsidRDefault="0099096E" w:rsidP="00F84223">
      <w:pPr>
        <w:pStyle w:val="Prrafodelista"/>
        <w:numPr>
          <w:ilvl w:val="0"/>
          <w:numId w:val="1"/>
        </w:numPr>
        <w:spacing w:line="360" w:lineRule="auto"/>
        <w:ind w:left="0" w:firstLine="0"/>
        <w:contextualSpacing w:val="0"/>
        <w:jc w:val="both"/>
        <w:rPr>
          <w:rFonts w:ascii="Palatino Linotype" w:eastAsia="Palatino Linotype" w:hAnsi="Palatino Linotype" w:cs="Palatino Linotype"/>
        </w:rPr>
      </w:pPr>
      <w:r w:rsidRPr="009172AF">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99096E" w:rsidRPr="009172AF" w:rsidRDefault="0099096E" w:rsidP="0099096E">
      <w:pPr>
        <w:pBdr>
          <w:top w:val="nil"/>
          <w:left w:val="nil"/>
          <w:bottom w:val="nil"/>
          <w:right w:val="nil"/>
          <w:between w:val="nil"/>
        </w:pBdr>
        <w:spacing w:line="360" w:lineRule="auto"/>
        <w:ind w:left="720" w:right="-929"/>
        <w:rPr>
          <w:rFonts w:ascii="Palatino Linotype" w:eastAsia="Palatino Linotype" w:hAnsi="Palatino Linotype" w:cs="Palatino Linotype"/>
          <w:color w:val="000000"/>
        </w:rPr>
      </w:pPr>
    </w:p>
    <w:p w:rsidR="0099096E" w:rsidRPr="009172AF" w:rsidRDefault="0099096E" w:rsidP="00F84223">
      <w:pPr>
        <w:pStyle w:val="Prrafodelista"/>
        <w:numPr>
          <w:ilvl w:val="0"/>
          <w:numId w:val="1"/>
        </w:numPr>
        <w:spacing w:line="360" w:lineRule="auto"/>
        <w:ind w:left="0" w:firstLine="0"/>
        <w:contextualSpacing w:val="0"/>
        <w:jc w:val="both"/>
        <w:rPr>
          <w:rFonts w:ascii="Palatino Linotype" w:eastAsia="Palatino Linotype" w:hAnsi="Palatino Linotype" w:cs="Palatino Linotype"/>
        </w:rPr>
      </w:pPr>
      <w:r w:rsidRPr="009172AF">
        <w:rPr>
          <w:rFonts w:ascii="Palatino Linotype" w:eastAsia="Palatino Linotype" w:hAnsi="Palatino Linotype" w:cs="Palatino Linotype"/>
        </w:rPr>
        <w:lastRenderedPageBreak/>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99096E" w:rsidRPr="009172AF" w:rsidRDefault="0099096E" w:rsidP="0099096E">
      <w:pPr>
        <w:pBdr>
          <w:top w:val="nil"/>
          <w:left w:val="nil"/>
          <w:bottom w:val="nil"/>
          <w:right w:val="nil"/>
          <w:between w:val="nil"/>
        </w:pBdr>
        <w:spacing w:line="360" w:lineRule="auto"/>
        <w:ind w:left="720" w:right="-929"/>
        <w:rPr>
          <w:rFonts w:ascii="Palatino Linotype" w:eastAsia="Palatino Linotype" w:hAnsi="Palatino Linotype" w:cs="Palatino Linotype"/>
          <w:color w:val="000000"/>
        </w:rPr>
      </w:pPr>
    </w:p>
    <w:p w:rsidR="00E3702D" w:rsidRPr="009172AF" w:rsidRDefault="001E252F" w:rsidP="00AA0AC2">
      <w:pPr>
        <w:pStyle w:val="Prrafodelista"/>
        <w:numPr>
          <w:ilvl w:val="0"/>
          <w:numId w:val="1"/>
        </w:numPr>
        <w:spacing w:line="360" w:lineRule="auto"/>
        <w:ind w:left="0" w:firstLine="0"/>
        <w:contextualSpacing w:val="0"/>
        <w:jc w:val="both"/>
        <w:rPr>
          <w:rFonts w:ascii="Palatino Linotype" w:eastAsia="Palatino Linotype" w:hAnsi="Palatino Linotype" w:cs="Palatino Linotype"/>
        </w:rPr>
      </w:pPr>
      <w:bookmarkStart w:id="23" w:name="_heading=h.2s8eyo1" w:colFirst="0" w:colLast="0"/>
      <w:bookmarkEnd w:id="23"/>
      <w:r w:rsidRPr="009172AF">
        <w:rPr>
          <w:rFonts w:ascii="Palatino Linotype" w:eastAsia="Palatino Linotype" w:hAnsi="Palatino Linotype" w:cs="Palatino Linotype"/>
        </w:rPr>
        <w:t xml:space="preserve">Así entonces, se procede analizar, en primer lugar, si el </w:t>
      </w:r>
      <w:r w:rsidRPr="009172AF">
        <w:rPr>
          <w:rFonts w:ascii="Palatino Linotype" w:eastAsia="Palatino Linotype" w:hAnsi="Palatino Linotype" w:cs="Palatino Linotype"/>
          <w:b/>
        </w:rPr>
        <w:t>SUJETO OBLIGADO</w:t>
      </w:r>
      <w:r w:rsidRPr="009172AF">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E3702D" w:rsidRPr="009172AF" w:rsidRDefault="00E3702D" w:rsidP="00AA0AC2">
      <w:pPr>
        <w:spacing w:line="360" w:lineRule="auto"/>
        <w:ind w:right="49"/>
        <w:jc w:val="both"/>
        <w:rPr>
          <w:rFonts w:ascii="Palatino Linotype" w:eastAsia="Palatino Linotype" w:hAnsi="Palatino Linotype" w:cs="Palatino Linotype"/>
        </w:rPr>
      </w:pPr>
    </w:p>
    <w:p w:rsidR="00E3702D" w:rsidRPr="009172AF" w:rsidRDefault="00DE32DF" w:rsidP="00AA0AC2">
      <w:pPr>
        <w:pStyle w:val="Prrafodelista"/>
        <w:numPr>
          <w:ilvl w:val="0"/>
          <w:numId w:val="4"/>
        </w:numPr>
        <w:spacing w:line="360" w:lineRule="auto"/>
        <w:contextualSpacing w:val="0"/>
        <w:jc w:val="both"/>
        <w:rPr>
          <w:rFonts w:ascii="Palatino Linotype" w:hAnsi="Palatino Linotype"/>
          <w:color w:val="000000" w:themeColor="text1"/>
        </w:rPr>
      </w:pPr>
      <w:bookmarkStart w:id="24" w:name="_heading=h.17dp8vu" w:colFirst="0" w:colLast="0"/>
      <w:bookmarkEnd w:id="24"/>
      <w:r w:rsidRPr="009172AF">
        <w:rPr>
          <w:rFonts w:ascii="Palatino Linotype" w:eastAsia="Palatino Linotype" w:hAnsi="Palatino Linotype" w:cs="Palatino Linotype"/>
          <w:b/>
          <w:color w:val="000000"/>
          <w:lang w:val="es-MX" w:eastAsia="en-US"/>
        </w:rPr>
        <w:t>Del Recurso de Revisión: 0220</w:t>
      </w:r>
      <w:r w:rsidR="001E252F" w:rsidRPr="009172AF">
        <w:rPr>
          <w:rFonts w:ascii="Palatino Linotype" w:eastAsia="Palatino Linotype" w:hAnsi="Palatino Linotype" w:cs="Palatino Linotype"/>
          <w:b/>
          <w:color w:val="000000"/>
          <w:lang w:val="es-MX" w:eastAsia="en-US"/>
        </w:rPr>
        <w:t xml:space="preserve">3/INFOEM/IP/RR/2024 </w:t>
      </w:r>
    </w:p>
    <w:tbl>
      <w:tblPr>
        <w:tblStyle w:val="Tablaconcuadrcula"/>
        <w:tblW w:w="0" w:type="auto"/>
        <w:tblLook w:val="04A0" w:firstRow="1" w:lastRow="0" w:firstColumn="1" w:lastColumn="0" w:noHBand="0" w:noVBand="1"/>
      </w:tblPr>
      <w:tblGrid>
        <w:gridCol w:w="4248"/>
        <w:gridCol w:w="4531"/>
      </w:tblGrid>
      <w:tr w:rsidR="00E3702D" w:rsidRPr="009172AF" w:rsidTr="00EB2318">
        <w:tc>
          <w:tcPr>
            <w:tcW w:w="4248" w:type="dxa"/>
          </w:tcPr>
          <w:p w:rsidR="00E3702D" w:rsidRPr="009172AF" w:rsidRDefault="001E252F" w:rsidP="00AA0AC2">
            <w:pPr>
              <w:pStyle w:val="Prrafodelista"/>
              <w:spacing w:line="360" w:lineRule="auto"/>
              <w:ind w:left="0"/>
              <w:contextualSpacing w:val="0"/>
              <w:jc w:val="center"/>
              <w:rPr>
                <w:rFonts w:ascii="Palatino Linotype" w:hAnsi="Palatino Linotype"/>
                <w:b/>
                <w:color w:val="000000" w:themeColor="text1"/>
              </w:rPr>
            </w:pPr>
            <w:r w:rsidRPr="009172AF">
              <w:rPr>
                <w:rFonts w:ascii="Palatino Linotype" w:hAnsi="Palatino Linotype"/>
                <w:b/>
                <w:color w:val="000000" w:themeColor="text1"/>
              </w:rPr>
              <w:t>Solicitud de información</w:t>
            </w:r>
          </w:p>
        </w:tc>
        <w:tc>
          <w:tcPr>
            <w:tcW w:w="4531" w:type="dxa"/>
          </w:tcPr>
          <w:p w:rsidR="00E3702D" w:rsidRPr="009172AF" w:rsidRDefault="001E252F" w:rsidP="00AA0AC2">
            <w:pPr>
              <w:pStyle w:val="Prrafodelista"/>
              <w:spacing w:line="360" w:lineRule="auto"/>
              <w:ind w:left="0"/>
              <w:contextualSpacing w:val="0"/>
              <w:jc w:val="center"/>
              <w:rPr>
                <w:rFonts w:ascii="Palatino Linotype" w:hAnsi="Palatino Linotype"/>
                <w:b/>
                <w:color w:val="000000" w:themeColor="text1"/>
              </w:rPr>
            </w:pPr>
            <w:r w:rsidRPr="009172AF">
              <w:rPr>
                <w:rFonts w:ascii="Palatino Linotype" w:hAnsi="Palatino Linotype"/>
                <w:b/>
                <w:color w:val="000000" w:themeColor="text1"/>
              </w:rPr>
              <w:t>Respuesta</w:t>
            </w:r>
          </w:p>
        </w:tc>
      </w:tr>
      <w:tr w:rsidR="00E3702D" w:rsidRPr="009172AF" w:rsidTr="00EB2318">
        <w:tc>
          <w:tcPr>
            <w:tcW w:w="4248" w:type="dxa"/>
          </w:tcPr>
          <w:p w:rsidR="00E3702D" w:rsidRPr="009172AF" w:rsidRDefault="00EB2318" w:rsidP="00EB2318">
            <w:pPr>
              <w:pStyle w:val="Prrafodelista"/>
              <w:spacing w:line="360" w:lineRule="auto"/>
              <w:ind w:left="0"/>
              <w:contextualSpacing w:val="0"/>
              <w:jc w:val="both"/>
              <w:rPr>
                <w:rFonts w:ascii="Palatino Linotype" w:hAnsi="Palatino Linotype"/>
                <w:color w:val="000000" w:themeColor="text1"/>
              </w:rPr>
            </w:pPr>
            <w:r w:rsidRPr="009172AF">
              <w:rPr>
                <w:rFonts w:ascii="Palatino Linotype" w:hAnsi="Palatino Linotype"/>
                <w:color w:val="000000" w:themeColor="text1"/>
              </w:rPr>
              <w:lastRenderedPageBreak/>
              <w:t>Informes recibidos por la Defensoría Municipal de Derechos Humanos por parte de la Dirección de Seguridad Pública del año 2022 a 2024.</w:t>
            </w:r>
          </w:p>
        </w:tc>
        <w:tc>
          <w:tcPr>
            <w:tcW w:w="4531" w:type="dxa"/>
          </w:tcPr>
          <w:p w:rsidR="00081373" w:rsidRPr="009172AF" w:rsidRDefault="00EB2318" w:rsidP="00AA0AC2">
            <w:pPr>
              <w:pStyle w:val="Prrafodelista"/>
              <w:spacing w:line="360" w:lineRule="auto"/>
              <w:ind w:left="0"/>
              <w:contextualSpacing w:val="0"/>
              <w:jc w:val="both"/>
              <w:rPr>
                <w:rFonts w:ascii="Palatino Linotype" w:hAnsi="Palatino Linotype" w:cs="Arial"/>
              </w:rPr>
            </w:pPr>
            <w:r w:rsidRPr="009172AF">
              <w:rPr>
                <w:rFonts w:ascii="Palatino Linotype" w:hAnsi="Palatino Linotype" w:cs="Arial"/>
              </w:rPr>
              <w:t>Se remitió anexo de 327 fojas con informes remitidos por parte de la Dirección Jurídica a la Defensoría Municipal de Derechos Humanos, que van del 13 de enero de 2022 al 4 de julio.</w:t>
            </w:r>
          </w:p>
          <w:p w:rsidR="00EB2318" w:rsidRPr="009172AF" w:rsidRDefault="00EB2318" w:rsidP="00AA0AC2">
            <w:pPr>
              <w:pStyle w:val="Prrafodelista"/>
              <w:spacing w:line="360" w:lineRule="auto"/>
              <w:ind w:left="0"/>
              <w:contextualSpacing w:val="0"/>
              <w:jc w:val="both"/>
              <w:rPr>
                <w:rFonts w:ascii="Palatino Linotype" w:hAnsi="Palatino Linotype" w:cs="Arial"/>
                <w:b/>
                <w:i/>
              </w:rPr>
            </w:pPr>
          </w:p>
        </w:tc>
      </w:tr>
      <w:tr w:rsidR="00EB2318" w:rsidRPr="009172AF" w:rsidTr="00EB2318">
        <w:tc>
          <w:tcPr>
            <w:tcW w:w="4248" w:type="dxa"/>
          </w:tcPr>
          <w:p w:rsidR="00EB2318" w:rsidRPr="009172AF" w:rsidRDefault="00EB2318" w:rsidP="00EB2318">
            <w:pPr>
              <w:pStyle w:val="Prrafodelista"/>
              <w:spacing w:line="360" w:lineRule="auto"/>
              <w:ind w:left="0"/>
              <w:contextualSpacing w:val="0"/>
              <w:jc w:val="both"/>
              <w:rPr>
                <w:rFonts w:ascii="Palatino Linotype" w:hAnsi="Palatino Linotype"/>
                <w:color w:val="000000" w:themeColor="text1"/>
              </w:rPr>
            </w:pPr>
            <w:r w:rsidRPr="009172AF">
              <w:rPr>
                <w:rFonts w:ascii="Palatino Linotype" w:hAnsi="Palatino Linotype"/>
                <w:color w:val="000000" w:themeColor="text1"/>
              </w:rPr>
              <w:t>Informes recibidos por la Defensoría Municipal de Derechos Humanos por parte de la Dirección de Seguridad Pública del año 2019 a 2021.</w:t>
            </w:r>
          </w:p>
        </w:tc>
        <w:tc>
          <w:tcPr>
            <w:tcW w:w="4531" w:type="dxa"/>
          </w:tcPr>
          <w:p w:rsidR="00EB2318" w:rsidRPr="009172AF" w:rsidRDefault="00EB2318" w:rsidP="00CB144A">
            <w:pPr>
              <w:pStyle w:val="Prrafodelista"/>
              <w:spacing w:line="360" w:lineRule="auto"/>
              <w:ind w:left="0"/>
              <w:contextualSpacing w:val="0"/>
              <w:jc w:val="both"/>
              <w:rPr>
                <w:rFonts w:ascii="Palatino Linotype" w:hAnsi="Palatino Linotype" w:cs="Arial"/>
              </w:rPr>
            </w:pPr>
            <w:r w:rsidRPr="009172AF">
              <w:rPr>
                <w:rFonts w:ascii="Palatino Linotype" w:hAnsi="Palatino Linotype" w:cs="Arial"/>
              </w:rPr>
              <w:t xml:space="preserve">Se remitió anexo de 266 fojas con informes remitidos por parte de la Dirección Jurídica a la Defensoría Municipal de Derechos Humanos, que van del 15 de enero de 2019 al </w:t>
            </w:r>
            <w:r w:rsidR="00CB144A" w:rsidRPr="009172AF">
              <w:rPr>
                <w:rFonts w:ascii="Palatino Linotype" w:hAnsi="Palatino Linotype" w:cs="Arial"/>
              </w:rPr>
              <w:t>30</w:t>
            </w:r>
            <w:r w:rsidRPr="009172AF">
              <w:rPr>
                <w:rFonts w:ascii="Palatino Linotype" w:hAnsi="Palatino Linotype" w:cs="Arial"/>
              </w:rPr>
              <w:t xml:space="preserve"> de ju</w:t>
            </w:r>
            <w:r w:rsidR="00CB144A" w:rsidRPr="009172AF">
              <w:rPr>
                <w:rFonts w:ascii="Palatino Linotype" w:hAnsi="Palatino Linotype" w:cs="Arial"/>
              </w:rPr>
              <w:t>n</w:t>
            </w:r>
            <w:r w:rsidRPr="009172AF">
              <w:rPr>
                <w:rFonts w:ascii="Palatino Linotype" w:hAnsi="Palatino Linotype" w:cs="Arial"/>
              </w:rPr>
              <w:t>io</w:t>
            </w:r>
            <w:r w:rsidR="00CB144A" w:rsidRPr="009172AF">
              <w:rPr>
                <w:rFonts w:ascii="Palatino Linotype" w:hAnsi="Palatino Linotype" w:cs="Arial"/>
              </w:rPr>
              <w:t xml:space="preserve"> de 2021</w:t>
            </w:r>
            <w:r w:rsidRPr="009172AF">
              <w:rPr>
                <w:rFonts w:ascii="Palatino Linotype" w:hAnsi="Palatino Linotype" w:cs="Arial"/>
              </w:rPr>
              <w:t>.</w:t>
            </w:r>
          </w:p>
        </w:tc>
      </w:tr>
    </w:tbl>
    <w:p w:rsidR="00E3702D" w:rsidRPr="009172AF" w:rsidRDefault="00E3702D" w:rsidP="00AA0AC2">
      <w:pPr>
        <w:pStyle w:val="Prrafodelista"/>
        <w:spacing w:line="360" w:lineRule="auto"/>
        <w:ind w:left="0"/>
        <w:contextualSpacing w:val="0"/>
        <w:jc w:val="both"/>
        <w:rPr>
          <w:rFonts w:ascii="Palatino Linotype" w:hAnsi="Palatino Linotype"/>
          <w:color w:val="000000" w:themeColor="text1"/>
        </w:rPr>
      </w:pPr>
    </w:p>
    <w:p w:rsidR="00CB144A" w:rsidRPr="009172AF" w:rsidRDefault="00CB144A" w:rsidP="00CB144A">
      <w:pPr>
        <w:pStyle w:val="Prrafodelista"/>
        <w:numPr>
          <w:ilvl w:val="0"/>
          <w:numId w:val="1"/>
        </w:numPr>
        <w:spacing w:line="360" w:lineRule="auto"/>
        <w:ind w:left="0" w:firstLine="0"/>
        <w:contextualSpacing w:val="0"/>
        <w:jc w:val="both"/>
        <w:rPr>
          <w:rFonts w:ascii="Palatino Linotype" w:eastAsia="Palatino Linotype" w:hAnsi="Palatino Linotype" w:cs="Palatino Linotype"/>
        </w:rPr>
      </w:pPr>
      <w:r w:rsidRPr="009172AF">
        <w:rPr>
          <w:rFonts w:ascii="Palatino Linotype" w:eastAsia="Palatino Linotype" w:hAnsi="Palatino Linotype" w:cs="Palatino Linotype"/>
        </w:rPr>
        <w:t xml:space="preserve">Como se </w:t>
      </w:r>
      <w:r w:rsidR="00704D91" w:rsidRPr="009172AF">
        <w:rPr>
          <w:rFonts w:ascii="Palatino Linotype" w:eastAsia="Palatino Linotype" w:hAnsi="Palatino Linotype" w:cs="Palatino Linotype"/>
        </w:rPr>
        <w:t>aprecia</w:t>
      </w:r>
      <w:r w:rsidRPr="009172AF">
        <w:rPr>
          <w:rFonts w:ascii="Palatino Linotype" w:eastAsia="Palatino Linotype" w:hAnsi="Palatino Linotype" w:cs="Palatino Linotype"/>
        </w:rPr>
        <w:t>, si se e</w:t>
      </w:r>
      <w:r w:rsidR="00584F6A" w:rsidRPr="009172AF">
        <w:rPr>
          <w:rFonts w:ascii="Palatino Linotype" w:eastAsia="Palatino Linotype" w:hAnsi="Palatino Linotype" w:cs="Palatino Linotype"/>
        </w:rPr>
        <w:t>ntrega información,</w:t>
      </w:r>
      <w:r w:rsidRPr="009172AF">
        <w:rPr>
          <w:rFonts w:ascii="Palatino Linotype" w:eastAsia="Palatino Linotype" w:hAnsi="Palatino Linotype" w:cs="Palatino Linotype"/>
        </w:rPr>
        <w:t xml:space="preserve"> contrario a lo aseverado en el Recurso de Revisión</w:t>
      </w:r>
      <w:r w:rsidR="00704D91" w:rsidRPr="009172AF">
        <w:rPr>
          <w:rFonts w:ascii="Palatino Linotype" w:eastAsia="Palatino Linotype" w:hAnsi="Palatino Linotype" w:cs="Palatino Linotype"/>
        </w:rPr>
        <w:t xml:space="preserve"> </w:t>
      </w:r>
      <w:r w:rsidRPr="009172AF">
        <w:rPr>
          <w:rFonts w:ascii="Palatino Linotype" w:eastAsia="Palatino Linotype" w:hAnsi="Palatino Linotype" w:cs="Palatino Linotype"/>
        </w:rPr>
        <w:t>00518/INFOEM/IP/RR/2025, en donde adicionalmente</w:t>
      </w:r>
      <w:r w:rsidR="00704D91" w:rsidRPr="009172AF">
        <w:rPr>
          <w:rFonts w:ascii="Palatino Linotype" w:eastAsia="Palatino Linotype" w:hAnsi="Palatino Linotype" w:cs="Palatino Linotype"/>
        </w:rPr>
        <w:t xml:space="preserve"> el particular</w:t>
      </w:r>
      <w:r w:rsidRPr="009172AF">
        <w:rPr>
          <w:rFonts w:ascii="Palatino Linotype" w:eastAsia="Palatino Linotype" w:hAnsi="Palatino Linotype" w:cs="Palatino Linotype"/>
        </w:rPr>
        <w:t xml:space="preserve"> refiere que no se entrega información, contexto que</w:t>
      </w:r>
      <w:r w:rsidR="00704D91" w:rsidRPr="009172AF">
        <w:rPr>
          <w:rFonts w:ascii="Palatino Linotype" w:eastAsia="Palatino Linotype" w:hAnsi="Palatino Linotype" w:cs="Palatino Linotype"/>
        </w:rPr>
        <w:t xml:space="preserve"> evidentemente</w:t>
      </w:r>
      <w:r w:rsidRPr="009172AF">
        <w:rPr>
          <w:rFonts w:ascii="Palatino Linotype" w:eastAsia="Palatino Linotype" w:hAnsi="Palatino Linotype" w:cs="Palatino Linotype"/>
        </w:rPr>
        <w:t xml:space="preserve"> deviene improcedente.</w:t>
      </w:r>
    </w:p>
    <w:p w:rsidR="00CB144A" w:rsidRPr="009172AF" w:rsidRDefault="00CB144A" w:rsidP="00CB144A">
      <w:pPr>
        <w:pStyle w:val="Prrafodelista"/>
        <w:spacing w:line="360" w:lineRule="auto"/>
        <w:jc w:val="both"/>
        <w:rPr>
          <w:rFonts w:ascii="Palatino Linotype" w:eastAsia="Palatino Linotype" w:hAnsi="Palatino Linotype" w:cs="Palatino Linotype"/>
        </w:rPr>
      </w:pPr>
    </w:p>
    <w:p w:rsidR="000E7673" w:rsidRPr="009172AF" w:rsidRDefault="00CB144A" w:rsidP="00CB144A">
      <w:pPr>
        <w:pStyle w:val="Prrafodelista"/>
        <w:numPr>
          <w:ilvl w:val="0"/>
          <w:numId w:val="1"/>
        </w:numPr>
        <w:spacing w:line="360" w:lineRule="auto"/>
        <w:ind w:left="0" w:firstLine="0"/>
        <w:contextualSpacing w:val="0"/>
        <w:jc w:val="both"/>
        <w:rPr>
          <w:rFonts w:ascii="Palatino Linotype" w:eastAsia="Palatino Linotype" w:hAnsi="Palatino Linotype" w:cs="Palatino Linotype"/>
        </w:rPr>
      </w:pPr>
      <w:r w:rsidRPr="009172AF">
        <w:rPr>
          <w:rFonts w:ascii="Palatino Linotype" w:eastAsia="Palatino Linotype" w:hAnsi="Palatino Linotype" w:cs="Palatino Linotype"/>
        </w:rPr>
        <w:t xml:space="preserve">Por otro lado respecto a la entrega de información incompleta, el </w:t>
      </w:r>
      <w:r w:rsidRPr="009172AF">
        <w:rPr>
          <w:rFonts w:ascii="Palatino Linotype" w:eastAsia="Palatino Linotype" w:hAnsi="Palatino Linotype" w:cs="Palatino Linotype"/>
          <w:b/>
        </w:rPr>
        <w:t>SUJETO OBLIGADO</w:t>
      </w:r>
      <w:r w:rsidRPr="009172AF">
        <w:rPr>
          <w:rFonts w:ascii="Palatino Linotype" w:eastAsia="Palatino Linotype" w:hAnsi="Palatino Linotype" w:cs="Palatino Linotype"/>
        </w:rPr>
        <w:t xml:space="preserve"> emite un pronunciamiento puntual que la búsqueda se realizó de manera exhaustiva y razonable, entregando la totalidad de lo generado, poseído y administrado al respecto, remitiéndola en el estado en que se encuentra</w:t>
      </w:r>
      <w:r w:rsidR="00704D91" w:rsidRPr="009172AF">
        <w:rPr>
          <w:rFonts w:ascii="Palatino Linotype" w:eastAsia="Palatino Linotype" w:hAnsi="Palatino Linotype" w:cs="Palatino Linotype"/>
        </w:rPr>
        <w:t xml:space="preserve">, respuestas </w:t>
      </w:r>
      <w:r w:rsidR="00704D91" w:rsidRPr="009172AF">
        <w:rPr>
          <w:rFonts w:ascii="Palatino Linotype" w:eastAsia="Palatino Linotype" w:hAnsi="Palatino Linotype" w:cs="Palatino Linotype"/>
        </w:rPr>
        <w:lastRenderedPageBreak/>
        <w:t>que fueran emitidas por la servidora pública habilitada como lo es la propia Defensoría Municipal de Derechos Humanos.</w:t>
      </w:r>
    </w:p>
    <w:p w:rsidR="00CB144A" w:rsidRPr="009172AF" w:rsidRDefault="00CB144A" w:rsidP="00CB144A">
      <w:pPr>
        <w:pStyle w:val="Prrafodelista"/>
        <w:spacing w:line="360" w:lineRule="auto"/>
        <w:ind w:left="0"/>
        <w:contextualSpacing w:val="0"/>
        <w:jc w:val="both"/>
        <w:rPr>
          <w:rFonts w:ascii="Palatino Linotype" w:eastAsia="Palatino Linotype" w:hAnsi="Palatino Linotype" w:cs="Palatino Linotype"/>
        </w:rPr>
      </w:pPr>
    </w:p>
    <w:p w:rsidR="003E0EA9" w:rsidRPr="009172AF" w:rsidRDefault="003E0EA9" w:rsidP="00AA0AC2">
      <w:pPr>
        <w:pStyle w:val="Prrafodelista"/>
        <w:numPr>
          <w:ilvl w:val="0"/>
          <w:numId w:val="1"/>
        </w:numPr>
        <w:spacing w:line="360" w:lineRule="auto"/>
        <w:ind w:left="0" w:firstLine="0"/>
        <w:contextualSpacing w:val="0"/>
        <w:jc w:val="both"/>
        <w:rPr>
          <w:rFonts w:ascii="Palatino Linotype" w:eastAsia="MS Mincho" w:hAnsi="Palatino Linotype" w:cs="Arial"/>
          <w:b/>
        </w:rPr>
      </w:pPr>
      <w:r w:rsidRPr="009172AF">
        <w:rPr>
          <w:rFonts w:ascii="Palatino Linotype" w:eastAsia="Times New Roman" w:hAnsi="Palatino Linotype" w:cs="Arial"/>
        </w:rPr>
        <w:t xml:space="preserve">Al respecto, el procedimiento de acceso a la información pública, descrito en el Título Séptimo de la Ley de Transparencia describe los pasos que debe seguir la autoridad para atender las solicitudes que presenten las personas en ejercicio </w:t>
      </w:r>
      <w:r w:rsidRPr="009172AF">
        <w:rPr>
          <w:rFonts w:ascii="Palatino Linotype" w:eastAsia="Palatino Linotype" w:hAnsi="Palatino Linotype" w:cs="Palatino Linotype"/>
          <w:lang w:eastAsia="es-MX"/>
        </w:rPr>
        <w:t>de</w:t>
      </w:r>
      <w:r w:rsidRPr="009172AF">
        <w:rPr>
          <w:rFonts w:ascii="Palatino Linotype" w:eastAsia="Times New Roman" w:hAnsi="Palatino Linotype" w:cs="Arial"/>
        </w:rPr>
        <w:t xml:space="preserv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w:t>
      </w:r>
    </w:p>
    <w:p w:rsidR="003E0EA9" w:rsidRPr="009172AF" w:rsidRDefault="003E0EA9" w:rsidP="00AA0AC2">
      <w:pPr>
        <w:spacing w:line="360" w:lineRule="auto"/>
        <w:ind w:right="49"/>
        <w:contextualSpacing/>
        <w:jc w:val="both"/>
        <w:rPr>
          <w:rFonts w:ascii="Palatino Linotype" w:eastAsia="MS Mincho" w:hAnsi="Palatino Linotype" w:cs="Arial"/>
          <w:b/>
        </w:rPr>
      </w:pPr>
    </w:p>
    <w:p w:rsidR="003E0EA9" w:rsidRPr="009172AF" w:rsidRDefault="003E0EA9" w:rsidP="00AA0AC2">
      <w:pPr>
        <w:spacing w:line="360" w:lineRule="auto"/>
        <w:ind w:left="567" w:right="616"/>
        <w:contextualSpacing/>
        <w:jc w:val="both"/>
        <w:rPr>
          <w:rFonts w:ascii="Palatino Linotype" w:eastAsia="MS Mincho" w:hAnsi="Palatino Linotype" w:cs="Arial"/>
          <w:i/>
          <w:u w:val="single"/>
        </w:rPr>
      </w:pPr>
      <w:r w:rsidRPr="009172AF">
        <w:rPr>
          <w:rFonts w:ascii="Palatino Linotype" w:eastAsia="MS Mincho" w:hAnsi="Palatino Linotype" w:cs="Arial"/>
          <w:b/>
          <w:i/>
        </w:rPr>
        <w:t>“Artículo 162.</w:t>
      </w:r>
      <w:r w:rsidRPr="009172AF">
        <w:rPr>
          <w:rFonts w:ascii="Palatino Linotype" w:eastAsia="MS Mincho" w:hAnsi="Palatino Linotype" w:cs="Arial"/>
          <w:i/>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3E0EA9" w:rsidRPr="009172AF" w:rsidRDefault="003E0EA9" w:rsidP="00AA0AC2">
      <w:pPr>
        <w:spacing w:line="360" w:lineRule="auto"/>
        <w:ind w:left="567" w:right="616"/>
        <w:contextualSpacing/>
        <w:jc w:val="both"/>
        <w:rPr>
          <w:rFonts w:ascii="Palatino Linotype" w:eastAsia="MS Mincho" w:hAnsi="Palatino Linotype" w:cs="Arial"/>
          <w:i/>
        </w:rPr>
      </w:pPr>
    </w:p>
    <w:p w:rsidR="003E0EA9" w:rsidRPr="009172AF" w:rsidRDefault="003E0EA9" w:rsidP="00AA0AC2">
      <w:pPr>
        <w:pStyle w:val="Prrafodelista"/>
        <w:numPr>
          <w:ilvl w:val="0"/>
          <w:numId w:val="1"/>
        </w:numPr>
        <w:spacing w:line="360" w:lineRule="auto"/>
        <w:ind w:left="0" w:firstLine="0"/>
        <w:contextualSpacing w:val="0"/>
        <w:jc w:val="both"/>
        <w:rPr>
          <w:rFonts w:ascii="Palatino Linotype" w:eastAsia="Palatino Linotype" w:hAnsi="Palatino Linotype" w:cs="Palatino Linotype"/>
        </w:rPr>
      </w:pPr>
      <w:r w:rsidRPr="009172AF">
        <w:rPr>
          <w:rFonts w:ascii="Palatino Linotype" w:eastAsia="Times New Roman" w:hAnsi="Palatino Linotype" w:cs="Arial"/>
        </w:rPr>
        <w:t>El buscar exhaustivamente en sus archivos, es identificar la unidad(s) administrativa(s) que resguarda el documento al que una persona pretende acceder, es practicar una adecuada gestión documental que nos permite localizar el documento, como bien señala el artículo 159 de la Ley de Transparencia.</w:t>
      </w:r>
    </w:p>
    <w:p w:rsidR="003E0EA9" w:rsidRPr="009172AF" w:rsidRDefault="003E0EA9" w:rsidP="00AA0AC2">
      <w:pPr>
        <w:pStyle w:val="Prrafodelista"/>
        <w:spacing w:line="360" w:lineRule="auto"/>
        <w:ind w:left="0"/>
        <w:contextualSpacing w:val="0"/>
        <w:jc w:val="both"/>
        <w:rPr>
          <w:rFonts w:ascii="Palatino Linotype" w:eastAsia="Palatino Linotype" w:hAnsi="Palatino Linotype" w:cs="Palatino Linotype"/>
        </w:rPr>
      </w:pPr>
    </w:p>
    <w:p w:rsidR="00D11FD6" w:rsidRPr="009172AF" w:rsidRDefault="00D11FD6" w:rsidP="00AA0AC2">
      <w:pPr>
        <w:pStyle w:val="Prrafodelista"/>
        <w:numPr>
          <w:ilvl w:val="0"/>
          <w:numId w:val="1"/>
        </w:numPr>
        <w:spacing w:line="360" w:lineRule="auto"/>
        <w:ind w:left="0" w:firstLine="0"/>
        <w:contextualSpacing w:val="0"/>
        <w:jc w:val="both"/>
        <w:rPr>
          <w:rFonts w:ascii="Palatino Linotype" w:hAnsi="Palatino Linotype" w:cs="Arial"/>
          <w:lang w:val="es-ES"/>
        </w:rPr>
      </w:pPr>
      <w:r w:rsidRPr="009172AF">
        <w:rPr>
          <w:rFonts w:ascii="Palatino Linotype" w:hAnsi="Palatino Linotype" w:cs="Arial"/>
          <w:lang w:val="es-ES"/>
        </w:rPr>
        <w:t xml:space="preserve">En consecuencia, para responder a las solicitudes de acceso a la información en </w:t>
      </w:r>
      <w:r w:rsidRPr="009172AF">
        <w:rPr>
          <w:rFonts w:ascii="Palatino Linotype" w:eastAsia="Times New Roman" w:hAnsi="Palatino Linotype" w:cs="Arial"/>
        </w:rPr>
        <w:t>cuestión</w:t>
      </w:r>
      <w:r w:rsidRPr="009172AF">
        <w:rPr>
          <w:rFonts w:ascii="Palatino Linotype" w:hAnsi="Palatino Linotype" w:cs="Arial"/>
          <w:lang w:val="es-ES"/>
        </w:rPr>
        <w:t xml:space="preserve"> el </w:t>
      </w:r>
      <w:r w:rsidRPr="009172AF">
        <w:rPr>
          <w:rFonts w:ascii="Palatino Linotype" w:hAnsi="Palatino Linotype" w:cs="Arial"/>
          <w:b/>
          <w:bCs/>
          <w:color w:val="000000"/>
          <w:lang w:val="es-ES_tradnl"/>
        </w:rPr>
        <w:t>SUJETO OBLIGADO</w:t>
      </w:r>
      <w:r w:rsidRPr="009172AF">
        <w:rPr>
          <w:rFonts w:ascii="Palatino Linotype" w:hAnsi="Palatino Linotype" w:cs="Arial"/>
          <w:color w:val="000000"/>
          <w:lang w:val="es-ES_tradnl"/>
        </w:rPr>
        <w:t xml:space="preserve"> </w:t>
      </w:r>
      <w:r w:rsidRPr="009172AF">
        <w:rPr>
          <w:rFonts w:ascii="Palatino Linotype" w:hAnsi="Palatino Linotype" w:cs="Arial"/>
          <w:lang w:val="es-ES"/>
        </w:rPr>
        <w:t>deberá de verificar si éstas corresponden a una facultad, competencia o función explícita o implícita. Si no estuvieran comprendidas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las solicitudes a todas las áreas competentes que cuenten o deban tener la información, con objeto de que realicen una búsqueda exhaustiva y razonable de la información solicitada.</w:t>
      </w:r>
    </w:p>
    <w:p w:rsidR="00D11FD6" w:rsidRPr="009172AF" w:rsidRDefault="00D11FD6" w:rsidP="00AA0AC2">
      <w:pPr>
        <w:pStyle w:val="Prrafodelista"/>
        <w:spacing w:line="360" w:lineRule="auto"/>
        <w:ind w:left="0"/>
        <w:contextualSpacing w:val="0"/>
        <w:jc w:val="both"/>
        <w:rPr>
          <w:rFonts w:ascii="Palatino Linotype" w:hAnsi="Palatino Linotype" w:cs="Arial"/>
          <w:lang w:val="es-ES"/>
        </w:rPr>
      </w:pPr>
    </w:p>
    <w:p w:rsidR="00D11FD6" w:rsidRPr="009172AF" w:rsidRDefault="00D11FD6" w:rsidP="00AA0AC2">
      <w:pPr>
        <w:pStyle w:val="Prrafodelista"/>
        <w:numPr>
          <w:ilvl w:val="0"/>
          <w:numId w:val="1"/>
        </w:numPr>
        <w:spacing w:line="360" w:lineRule="auto"/>
        <w:ind w:left="0" w:firstLine="0"/>
        <w:contextualSpacing w:val="0"/>
        <w:jc w:val="both"/>
        <w:rPr>
          <w:rFonts w:ascii="Palatino Linotype" w:hAnsi="Palatino Linotype" w:cs="Arial"/>
          <w:lang w:val="es-ES"/>
        </w:rPr>
      </w:pPr>
      <w:r w:rsidRPr="009172AF">
        <w:rPr>
          <w:rFonts w:ascii="Palatino Linotype" w:hAnsi="Palatino Linotype" w:cs="Arial"/>
          <w:lang w:val="es-ES"/>
        </w:rPr>
        <w:t xml:space="preserve">Una vez que la información sea localizada, los servidores públicos habilitados deberán de valorar si se entrega en su totalidad, en versión pública o si </w:t>
      </w:r>
      <w:r w:rsidR="00704D91" w:rsidRPr="009172AF">
        <w:rPr>
          <w:rFonts w:ascii="Palatino Linotype" w:hAnsi="Palatino Linotype" w:cs="Arial"/>
          <w:lang w:val="es-ES"/>
        </w:rPr>
        <w:t xml:space="preserve">es susceptible de clasificarse, contexto que en el caso concreto se actualiza de acuerdo a las constancias que obran en el expediente electrónico en que se </w:t>
      </w:r>
      <w:r w:rsidR="00584F6A" w:rsidRPr="009172AF">
        <w:rPr>
          <w:rFonts w:ascii="Palatino Linotype" w:hAnsi="Palatino Linotype" w:cs="Arial"/>
          <w:lang w:val="es-ES"/>
        </w:rPr>
        <w:t>actúa</w:t>
      </w:r>
      <w:r w:rsidR="00704D91" w:rsidRPr="009172AF">
        <w:rPr>
          <w:rFonts w:ascii="Palatino Linotype" w:hAnsi="Palatino Linotype" w:cs="Arial"/>
          <w:lang w:val="es-ES"/>
        </w:rPr>
        <w:t>.</w:t>
      </w:r>
    </w:p>
    <w:p w:rsidR="00D11FD6" w:rsidRPr="009172AF" w:rsidRDefault="00D11FD6" w:rsidP="00AA0AC2">
      <w:pPr>
        <w:pStyle w:val="Prrafodelista"/>
        <w:spacing w:line="360" w:lineRule="auto"/>
        <w:ind w:left="0"/>
        <w:contextualSpacing w:val="0"/>
        <w:jc w:val="both"/>
        <w:rPr>
          <w:rFonts w:ascii="Palatino Linotype" w:hAnsi="Palatino Linotype" w:cs="Arial"/>
          <w:lang w:val="es-ES"/>
        </w:rPr>
      </w:pPr>
    </w:p>
    <w:p w:rsidR="002B2328" w:rsidRPr="009172AF" w:rsidRDefault="002B2328" w:rsidP="002B2328">
      <w:pPr>
        <w:pStyle w:val="Prrafodelista"/>
        <w:numPr>
          <w:ilvl w:val="0"/>
          <w:numId w:val="1"/>
        </w:numPr>
        <w:spacing w:line="360" w:lineRule="auto"/>
        <w:ind w:left="0" w:firstLine="0"/>
        <w:contextualSpacing w:val="0"/>
        <w:jc w:val="both"/>
        <w:rPr>
          <w:rFonts w:ascii="Palatino Linotype" w:hAnsi="Palatino Linotype"/>
          <w:b/>
          <w:color w:val="000000"/>
        </w:rPr>
      </w:pPr>
      <w:r w:rsidRPr="009172AF">
        <w:rPr>
          <w:rFonts w:ascii="Palatino Linotype" w:eastAsia="Palatino Linotype" w:hAnsi="Palatino Linotype" w:cs="Palatino Linotype"/>
        </w:rPr>
        <w:t xml:space="preserve">Ahora bien, en relación a la totalidad de la información, es de explorado derecho que este Órgano Garante carece de facultades para dudar de la veracidad de la respuesta emitida. </w:t>
      </w:r>
      <w:r w:rsidRPr="009172AF">
        <w:rPr>
          <w:rFonts w:ascii="Palatino Linotype" w:hAnsi="Palatino Linotype" w:cs="Arial"/>
        </w:rPr>
        <w:t xml:space="preserve">Por lo anterior  resulta </w:t>
      </w:r>
      <w:r w:rsidRPr="009172AF">
        <w:rPr>
          <w:rFonts w:ascii="Palatino Linotype" w:hAnsi="Palatino Linotype" w:cs="Arial"/>
          <w:lang w:val="es-ES"/>
        </w:rPr>
        <w:t>necesario</w:t>
      </w:r>
      <w:r w:rsidRPr="009172AF">
        <w:rPr>
          <w:rFonts w:ascii="Palatino Linotype" w:hAnsi="Palatino Linotype" w:cs="Arial"/>
        </w:rPr>
        <w:t xml:space="preserve"> puntualizar con claridad que éste Órgano Garante no está facultado para pronunciarse sobre la veracidad de la información que los Sujetos Obligados ponen a disposición de los solicitantes; </w:t>
      </w:r>
      <w:r w:rsidRPr="009172AF">
        <w:rPr>
          <w:rFonts w:ascii="Palatino Linotype" w:hAnsi="Palatino Linotype" w:cs="Arial"/>
        </w:rPr>
        <w:lastRenderedPageBreak/>
        <w:t xml:space="preserve">situación que se aleja de las atribuciones de este Instituto </w:t>
      </w:r>
      <w:r w:rsidRPr="009172AF">
        <w:rPr>
          <w:rFonts w:ascii="Palatino Linotype" w:hAnsi="Palatino Linotype"/>
          <w:i/>
          <w:color w:val="000000"/>
        </w:rPr>
        <w:t>máxime</w:t>
      </w:r>
      <w:r w:rsidRPr="009172AF">
        <w:rPr>
          <w:rFonts w:ascii="Palatino Linotype" w:hAnsi="Palatino Linotype"/>
          <w:color w:val="000000"/>
        </w:rPr>
        <w:t xml:space="preserve"> que </w:t>
      </w:r>
      <w:r w:rsidRPr="009172AF">
        <w:rPr>
          <w:rFonts w:ascii="Palatino Linotype" w:hAnsi="Palatino Linotype"/>
          <w:b/>
          <w:color w:val="000000"/>
          <w:u w:val="single"/>
        </w:rPr>
        <w:t>al momento que ponen a disposición ésta, la misma tiene el carácter oficial y se presume veraz, tan es así que la misma queda registrada en el Sistema de Acceso a la Información Mexiquense (SAIMEX).</w:t>
      </w:r>
    </w:p>
    <w:p w:rsidR="002B2328" w:rsidRPr="009172AF" w:rsidRDefault="002B2328" w:rsidP="002B2328">
      <w:pPr>
        <w:pStyle w:val="Default"/>
        <w:spacing w:line="360" w:lineRule="auto"/>
        <w:ind w:left="851" w:right="850"/>
        <w:jc w:val="both"/>
        <w:rPr>
          <w:rFonts w:ascii="Palatino Linotype" w:hAnsi="Palatino Linotype"/>
          <w:i/>
        </w:rPr>
      </w:pPr>
    </w:p>
    <w:p w:rsidR="002B2328" w:rsidRPr="009172AF" w:rsidRDefault="002B2328" w:rsidP="002B2328">
      <w:pPr>
        <w:pStyle w:val="Prrafodelista"/>
        <w:numPr>
          <w:ilvl w:val="0"/>
          <w:numId w:val="1"/>
        </w:numPr>
        <w:spacing w:line="360" w:lineRule="auto"/>
        <w:ind w:left="0" w:firstLine="0"/>
        <w:contextualSpacing w:val="0"/>
        <w:jc w:val="both"/>
        <w:rPr>
          <w:rFonts w:ascii="Palatino Linotype" w:hAnsi="Palatino Linotype" w:cs="Arial"/>
        </w:rPr>
      </w:pPr>
      <w:r w:rsidRPr="009172AF">
        <w:rPr>
          <w:rFonts w:ascii="Palatino Linotype" w:hAnsi="Palatino Linotype" w:cs="Arial"/>
        </w:rPr>
        <w:t xml:space="preserve">Así mismo, la </w:t>
      </w:r>
      <w:r w:rsidRPr="009172AF">
        <w:rPr>
          <w:rFonts w:ascii="Palatino Linotype" w:hAnsi="Palatino Linotype" w:cs="Arial"/>
          <w:b/>
        </w:rPr>
        <w:t>Ley de Transparencia y Acceso a la Información Pública del Estado de México y Municipios</w:t>
      </w:r>
      <w:r w:rsidRPr="009172AF">
        <w:rPr>
          <w:rFonts w:ascii="Palatino Linotype" w:hAnsi="Palatino Linotype" w:cs="Arial"/>
        </w:rPr>
        <w:t xml:space="preserve"> establece que la información pública generada, administrada o en </w:t>
      </w:r>
      <w:r w:rsidRPr="009172AF">
        <w:rPr>
          <w:rFonts w:ascii="Palatino Linotype" w:eastAsia="Palatino Linotype" w:hAnsi="Palatino Linotype" w:cs="Palatino Linotype"/>
        </w:rPr>
        <w:t>posesión</w:t>
      </w:r>
      <w:r w:rsidRPr="009172AF">
        <w:rPr>
          <w:rFonts w:ascii="Palatino Linotype" w:hAnsi="Palatino Linotype" w:cs="Arial"/>
        </w:rPr>
        <w:t xml:space="preserve">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2B2328" w:rsidRPr="009172AF" w:rsidRDefault="002B2328" w:rsidP="002B2328">
      <w:pPr>
        <w:pStyle w:val="Prrafodelista"/>
        <w:spacing w:line="360" w:lineRule="auto"/>
        <w:ind w:left="0"/>
        <w:jc w:val="both"/>
        <w:rPr>
          <w:rFonts w:ascii="Palatino Linotype" w:hAnsi="Palatino Linotype" w:cs="Arial"/>
        </w:rPr>
      </w:pPr>
    </w:p>
    <w:p w:rsidR="002B2328" w:rsidRPr="009172AF" w:rsidRDefault="002B2328" w:rsidP="002B2328">
      <w:pPr>
        <w:pStyle w:val="Prrafodelista"/>
        <w:spacing w:line="360" w:lineRule="auto"/>
        <w:ind w:left="644" w:right="902"/>
        <w:jc w:val="both"/>
        <w:rPr>
          <w:rFonts w:ascii="Palatino Linotype" w:hAnsi="Palatino Linotype" w:cs="Arial"/>
          <w:b/>
          <w:i/>
        </w:rPr>
      </w:pPr>
      <w:r w:rsidRPr="009172AF">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9172AF">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2B2328" w:rsidRPr="009172AF" w:rsidRDefault="002B2328" w:rsidP="002B2328">
      <w:pPr>
        <w:spacing w:line="360" w:lineRule="auto"/>
        <w:ind w:right="902"/>
        <w:jc w:val="both"/>
        <w:rPr>
          <w:rFonts w:ascii="Palatino Linotype" w:hAnsi="Palatino Linotype" w:cs="Arial"/>
          <w:b/>
          <w:i/>
        </w:rPr>
      </w:pPr>
    </w:p>
    <w:p w:rsidR="002B2328" w:rsidRPr="009172AF" w:rsidRDefault="002B2328" w:rsidP="002B2328">
      <w:pPr>
        <w:pStyle w:val="Prrafodelista"/>
        <w:numPr>
          <w:ilvl w:val="0"/>
          <w:numId w:val="1"/>
        </w:numPr>
        <w:spacing w:line="360" w:lineRule="auto"/>
        <w:ind w:left="0" w:firstLine="0"/>
        <w:contextualSpacing w:val="0"/>
        <w:jc w:val="both"/>
        <w:rPr>
          <w:rFonts w:ascii="Palatino Linotype" w:hAnsi="Palatino Linotype" w:cs="Arial"/>
          <w:noProof/>
        </w:rPr>
      </w:pPr>
      <w:r w:rsidRPr="009172AF">
        <w:rPr>
          <w:rFonts w:ascii="Palatino Linotype" w:hAnsi="Palatino Linotype" w:cs="Arial"/>
          <w:noProof/>
        </w:rPr>
        <w:lastRenderedPageBreak/>
        <w:t xml:space="preserve">Numerales que compelen al </w:t>
      </w:r>
      <w:r w:rsidRPr="009172AF">
        <w:rPr>
          <w:rFonts w:ascii="Palatino Linotype" w:hAnsi="Palatino Linotype" w:cs="Arial"/>
          <w:b/>
          <w:noProof/>
        </w:rPr>
        <w:t>SUJETO OBLIGADO</w:t>
      </w:r>
      <w:r w:rsidRPr="009172AF">
        <w:rPr>
          <w:rFonts w:ascii="Palatino Linotype" w:hAnsi="Palatino Linotype" w:cs="Arial"/>
          <w:noProof/>
        </w:rPr>
        <w:t xml:space="preserve"> a apegarse en todo momento a los criterios ya expuestos, imipidiendo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w:t>
      </w:r>
      <w:r w:rsidRPr="009172AF">
        <w:rPr>
          <w:rFonts w:ascii="Palatino Linotype" w:eastAsia="MS Gothic" w:hAnsi="Palatino Linotype" w:cstheme="majorBidi"/>
        </w:rPr>
        <w:t>.</w:t>
      </w:r>
    </w:p>
    <w:p w:rsidR="002B2328" w:rsidRPr="009172AF" w:rsidRDefault="002B2328" w:rsidP="002B2328">
      <w:pPr>
        <w:pStyle w:val="Prrafodelista"/>
        <w:spacing w:line="360" w:lineRule="auto"/>
        <w:ind w:left="0"/>
        <w:contextualSpacing w:val="0"/>
        <w:jc w:val="both"/>
        <w:rPr>
          <w:rFonts w:ascii="Palatino Linotype" w:hAnsi="Palatino Linotype" w:cs="Arial"/>
          <w:noProof/>
        </w:rPr>
      </w:pPr>
    </w:p>
    <w:p w:rsidR="00800AF4" w:rsidRPr="009172AF" w:rsidRDefault="00800AF4" w:rsidP="00ED22C3">
      <w:pPr>
        <w:pStyle w:val="Prrafodelista"/>
        <w:numPr>
          <w:ilvl w:val="0"/>
          <w:numId w:val="1"/>
        </w:numPr>
        <w:spacing w:line="360" w:lineRule="auto"/>
        <w:ind w:left="0" w:firstLine="0"/>
        <w:contextualSpacing w:val="0"/>
        <w:jc w:val="both"/>
        <w:rPr>
          <w:rFonts w:ascii="Palatino Linotype" w:hAnsi="Palatino Linotype"/>
          <w:color w:val="000000" w:themeColor="text1"/>
        </w:rPr>
      </w:pPr>
      <w:r w:rsidRPr="009172AF">
        <w:rPr>
          <w:rFonts w:ascii="Palatino Linotype" w:hAnsi="Palatino Linotype"/>
          <w:color w:val="000000" w:themeColor="text1"/>
        </w:rPr>
        <w:t>A más de lo anterior, no pasa desapercibido, que no existe fuente obligacional para que en todos los días que integran el lapso temporal de los años de los que se requiere la información se haya generado información al respecto, por corresponder a informes que se remiten a la Defensoría</w:t>
      </w:r>
      <w:r w:rsidR="00ED22C3" w:rsidRPr="009172AF">
        <w:rPr>
          <w:rFonts w:ascii="Palatino Linotype" w:hAnsi="Palatino Linotype"/>
          <w:color w:val="000000" w:themeColor="text1"/>
        </w:rPr>
        <w:t xml:space="preserve"> Municipal de Derechos Humanos </w:t>
      </w:r>
      <w:r w:rsidR="00982965" w:rsidRPr="009172AF">
        <w:rPr>
          <w:rFonts w:ascii="Palatino Linotype" w:hAnsi="Palatino Linotype"/>
          <w:color w:val="000000" w:themeColor="text1"/>
        </w:rPr>
        <w:t xml:space="preserve">solo </w:t>
      </w:r>
      <w:r w:rsidR="00ED22C3" w:rsidRPr="009172AF">
        <w:rPr>
          <w:rFonts w:ascii="Palatino Linotype" w:hAnsi="Palatino Linotype"/>
          <w:color w:val="000000" w:themeColor="text1"/>
        </w:rPr>
        <w:t xml:space="preserve">cuando se actualizan </w:t>
      </w:r>
      <w:r w:rsidRPr="009172AF">
        <w:rPr>
          <w:rFonts w:ascii="Palatino Linotype" w:hAnsi="Palatino Linotype"/>
          <w:color w:val="000000" w:themeColor="text1"/>
        </w:rPr>
        <w:t xml:space="preserve">situaciones relacionadas con violaciones o posibles afectaciones a </w:t>
      </w:r>
      <w:r w:rsidRPr="009172AF">
        <w:rPr>
          <w:rFonts w:ascii="Palatino Linotype" w:hAnsi="Palatino Linotype" w:cs="Arial"/>
          <w:noProof/>
        </w:rPr>
        <w:t>derechos</w:t>
      </w:r>
      <w:r w:rsidRPr="009172AF">
        <w:rPr>
          <w:rFonts w:ascii="Palatino Linotype" w:hAnsi="Palatino Linotype"/>
          <w:color w:val="000000" w:themeColor="text1"/>
        </w:rPr>
        <w:t xml:space="preserve"> humanos en el </w:t>
      </w:r>
      <w:r w:rsidR="00ED22C3" w:rsidRPr="009172AF">
        <w:rPr>
          <w:rFonts w:ascii="Palatino Linotype" w:hAnsi="Palatino Linotype"/>
          <w:color w:val="000000" w:themeColor="text1"/>
        </w:rPr>
        <w:t>ámbito municipal, los cuales pueden ser</w:t>
      </w:r>
      <w:r w:rsidRPr="009172AF">
        <w:rPr>
          <w:rFonts w:ascii="Palatino Linotype" w:hAnsi="Palatino Linotype"/>
          <w:color w:val="000000" w:themeColor="text1"/>
        </w:rPr>
        <w:t xml:space="preserve"> presentados por diferentes </w:t>
      </w:r>
      <w:r w:rsidR="00ED22C3" w:rsidRPr="009172AF">
        <w:rPr>
          <w:rFonts w:ascii="Palatino Linotype" w:hAnsi="Palatino Linotype"/>
          <w:color w:val="000000" w:themeColor="text1"/>
        </w:rPr>
        <w:t>áreas de la estructura organizacional con</w:t>
      </w:r>
      <w:r w:rsidRPr="009172AF">
        <w:rPr>
          <w:rFonts w:ascii="Palatino Linotype" w:hAnsi="Palatino Linotype"/>
          <w:color w:val="000000" w:themeColor="text1"/>
        </w:rPr>
        <w:t xml:space="preserve"> </w:t>
      </w:r>
      <w:r w:rsidR="00ED22C3" w:rsidRPr="009172AF">
        <w:rPr>
          <w:rFonts w:ascii="Palatino Linotype" w:hAnsi="Palatino Linotype"/>
          <w:color w:val="000000" w:themeColor="text1"/>
        </w:rPr>
        <w:t xml:space="preserve">el </w:t>
      </w:r>
      <w:r w:rsidRPr="009172AF">
        <w:rPr>
          <w:rFonts w:ascii="Palatino Linotype" w:hAnsi="Palatino Linotype"/>
          <w:color w:val="000000" w:themeColor="text1"/>
        </w:rPr>
        <w:t xml:space="preserve">objetivo </w:t>
      </w:r>
      <w:r w:rsidR="00ED22C3" w:rsidRPr="009172AF">
        <w:rPr>
          <w:rFonts w:ascii="Palatino Linotype" w:hAnsi="Palatino Linotype"/>
          <w:color w:val="000000" w:themeColor="text1"/>
        </w:rPr>
        <w:t>de</w:t>
      </w:r>
      <w:r w:rsidRPr="009172AF">
        <w:rPr>
          <w:rFonts w:ascii="Palatino Linotype" w:hAnsi="Palatino Linotype"/>
          <w:color w:val="000000" w:themeColor="text1"/>
        </w:rPr>
        <w:t xml:space="preserve"> garantizar la protección, promoción y defens</w:t>
      </w:r>
      <w:r w:rsidR="00ED22C3" w:rsidRPr="009172AF">
        <w:rPr>
          <w:rFonts w:ascii="Palatino Linotype" w:hAnsi="Palatino Linotype"/>
          <w:color w:val="000000" w:themeColor="text1"/>
        </w:rPr>
        <w:t>a de los derechos fundamentales; en el caso concreto por parte de la Dirección General de Seguridad, por distintas razones que derivado de sus funciones y atribuciones suele ser de manera enunciativa mas no limitativa por abusos de autoridad, detenciones arbitrarias o uso excesivo de la fuerza.</w:t>
      </w:r>
    </w:p>
    <w:p w:rsidR="00ED22C3" w:rsidRPr="009172AF" w:rsidRDefault="00ED22C3" w:rsidP="00ED22C3">
      <w:pPr>
        <w:pStyle w:val="Prrafodelista"/>
        <w:rPr>
          <w:rFonts w:ascii="Palatino Linotype" w:hAnsi="Palatino Linotype"/>
          <w:color w:val="000000" w:themeColor="text1"/>
        </w:rPr>
      </w:pPr>
    </w:p>
    <w:p w:rsidR="00ED22C3" w:rsidRPr="009172AF" w:rsidRDefault="00ED22C3" w:rsidP="00ED22C3">
      <w:pPr>
        <w:pStyle w:val="Prrafodelista"/>
        <w:numPr>
          <w:ilvl w:val="0"/>
          <w:numId w:val="1"/>
        </w:numPr>
        <w:spacing w:line="360" w:lineRule="auto"/>
        <w:ind w:left="0" w:firstLine="0"/>
        <w:contextualSpacing w:val="0"/>
        <w:jc w:val="both"/>
        <w:rPr>
          <w:rFonts w:ascii="Palatino Linotype" w:hAnsi="Palatino Linotype"/>
          <w:color w:val="000000" w:themeColor="text1"/>
        </w:rPr>
      </w:pPr>
      <w:r w:rsidRPr="009172AF">
        <w:rPr>
          <w:rFonts w:ascii="Palatino Linotype" w:hAnsi="Palatino Linotype"/>
          <w:color w:val="000000" w:themeColor="text1"/>
        </w:rPr>
        <w:lastRenderedPageBreak/>
        <w:t xml:space="preserve">Para seguidamente al recibir estos informes, la Defensoría pueda de ser el caso, investigar las denuncias, mediar entre las partes afectadas, recomendar soluciones o, promover acciones para prevenir futuras violaciones; luego entonces de no actualizarse ninguna situaciones relacionadas con violaciones o posibles afectaciones a </w:t>
      </w:r>
      <w:r w:rsidRPr="009172AF">
        <w:rPr>
          <w:rFonts w:ascii="Palatino Linotype" w:hAnsi="Palatino Linotype" w:cs="Arial"/>
          <w:noProof/>
        </w:rPr>
        <w:t>derechos</w:t>
      </w:r>
      <w:r w:rsidRPr="009172AF">
        <w:rPr>
          <w:rFonts w:ascii="Palatino Linotype" w:hAnsi="Palatino Linotype"/>
          <w:color w:val="000000" w:themeColor="text1"/>
        </w:rPr>
        <w:t xml:space="preserve"> humanos en la que sea competente la Dirección General de Seguridad</w:t>
      </w:r>
      <w:r w:rsidR="0094568F" w:rsidRPr="009172AF">
        <w:rPr>
          <w:rFonts w:ascii="Palatino Linotype" w:hAnsi="Palatino Linotype"/>
          <w:color w:val="000000" w:themeColor="text1"/>
        </w:rPr>
        <w:t xml:space="preserve">, </w:t>
      </w:r>
      <w:r w:rsidR="0094568F" w:rsidRPr="009172AF">
        <w:rPr>
          <w:rFonts w:ascii="Palatino Linotype" w:hAnsi="Palatino Linotype" w:cs="Arial"/>
          <w:lang w:eastAsia="es-MX"/>
        </w:rPr>
        <w:t>resulta inconcuso que se posea, administre ni genere información requerida por el particular en todos los días que integran los extremos temporales</w:t>
      </w:r>
      <w:r w:rsidR="00715AF1" w:rsidRPr="009172AF">
        <w:rPr>
          <w:rFonts w:ascii="Palatino Linotype" w:hAnsi="Palatino Linotype" w:cs="Arial"/>
          <w:lang w:eastAsia="es-MX"/>
        </w:rPr>
        <w:t xml:space="preserve"> que integran las solicitudes de información</w:t>
      </w:r>
      <w:r w:rsidR="0094568F" w:rsidRPr="009172AF">
        <w:rPr>
          <w:rFonts w:ascii="Palatino Linotype" w:hAnsi="Palatino Linotype" w:cs="Arial"/>
          <w:lang w:eastAsia="es-MX"/>
        </w:rPr>
        <w:t>.</w:t>
      </w:r>
    </w:p>
    <w:p w:rsidR="00F33A97" w:rsidRPr="009172AF" w:rsidRDefault="00F33A97" w:rsidP="00F33A97">
      <w:pPr>
        <w:pStyle w:val="Prrafodelista"/>
        <w:spacing w:line="360" w:lineRule="auto"/>
        <w:ind w:left="0"/>
        <w:contextualSpacing w:val="0"/>
        <w:jc w:val="both"/>
        <w:rPr>
          <w:rFonts w:ascii="Palatino Linotype" w:hAnsi="Palatino Linotype"/>
          <w:color w:val="000000" w:themeColor="text1"/>
        </w:rPr>
      </w:pPr>
    </w:p>
    <w:p w:rsidR="00704D91" w:rsidRPr="009172AF" w:rsidRDefault="001F246E" w:rsidP="002B2328">
      <w:pPr>
        <w:pStyle w:val="Prrafodelista"/>
        <w:numPr>
          <w:ilvl w:val="0"/>
          <w:numId w:val="1"/>
        </w:numPr>
        <w:spacing w:line="360" w:lineRule="auto"/>
        <w:ind w:left="0" w:firstLine="0"/>
        <w:contextualSpacing w:val="0"/>
        <w:jc w:val="both"/>
        <w:rPr>
          <w:rFonts w:ascii="Palatino Linotype" w:hAnsi="Palatino Linotype"/>
          <w:color w:val="000000" w:themeColor="text1"/>
        </w:rPr>
      </w:pPr>
      <w:r w:rsidRPr="009172AF">
        <w:rPr>
          <w:rFonts w:ascii="Palatino Linotype" w:hAnsi="Palatino Linotype"/>
          <w:color w:val="000000" w:themeColor="text1"/>
        </w:rPr>
        <w:t>No obstante no se puede tene</w:t>
      </w:r>
      <w:r w:rsidR="0022639E" w:rsidRPr="009172AF">
        <w:rPr>
          <w:rFonts w:ascii="Palatino Linotype" w:hAnsi="Palatino Linotype"/>
          <w:color w:val="000000" w:themeColor="text1"/>
        </w:rPr>
        <w:t>r por colmado a cabalidad las solicitudes de información con las respuestas de referencia</w:t>
      </w:r>
      <w:r w:rsidRPr="009172AF">
        <w:rPr>
          <w:rFonts w:ascii="Palatino Linotype" w:hAnsi="Palatino Linotype"/>
          <w:color w:val="000000" w:themeColor="text1"/>
        </w:rPr>
        <w:t>; toda vez que el soporte documental remitido se encuentra en</w:t>
      </w:r>
      <w:r w:rsidR="002B2328" w:rsidRPr="009172AF">
        <w:rPr>
          <w:rFonts w:ascii="Palatino Linotype" w:eastAsia="Arial Unicode MS" w:hAnsi="Palatino Linotype" w:cs="Arial"/>
        </w:rPr>
        <w:t xml:space="preserve"> versión pública, ya que dada su propia y especial naturaleza obran datos personales; toda vez que los informes que se remiten a la Defensoría Municipal de Derechos Humanos son </w:t>
      </w:r>
      <w:r w:rsidR="002B2328" w:rsidRPr="009172AF">
        <w:rPr>
          <w:rFonts w:ascii="Palatino Linotype" w:hAnsi="Palatino Linotype" w:cs="Arial"/>
          <w:noProof/>
        </w:rPr>
        <w:t>documentos</w:t>
      </w:r>
      <w:r w:rsidR="002B2328" w:rsidRPr="009172AF">
        <w:rPr>
          <w:rFonts w:ascii="Palatino Linotype" w:eastAsia="Arial Unicode MS" w:hAnsi="Palatino Linotype" w:cs="Arial"/>
        </w:rPr>
        <w:t xml:space="preserve"> que contienen datos, análisis o investigaciones sobre situaciones relacionadas con violaciones o posibles afectaciones a derechos humanos en el ámbito municipal, cuyo objetivo es eventualmente garantizar la protección, promoción y defensa de los derechos fundamentales, por lo que contienen datos personales de particulares involucrados.</w:t>
      </w:r>
    </w:p>
    <w:p w:rsidR="002B2328" w:rsidRPr="009172AF" w:rsidRDefault="002B2328" w:rsidP="00AA0AC2">
      <w:pPr>
        <w:pStyle w:val="Prrafodelista"/>
        <w:spacing w:line="360" w:lineRule="auto"/>
        <w:ind w:left="0"/>
        <w:contextualSpacing w:val="0"/>
        <w:jc w:val="both"/>
        <w:rPr>
          <w:rFonts w:ascii="Palatino Linotype" w:hAnsi="Palatino Linotype"/>
          <w:color w:val="000000" w:themeColor="text1"/>
        </w:rPr>
      </w:pPr>
    </w:p>
    <w:p w:rsidR="00416974" w:rsidRPr="009172AF" w:rsidRDefault="00416974" w:rsidP="00416974">
      <w:pPr>
        <w:pStyle w:val="Prrafodelista"/>
        <w:numPr>
          <w:ilvl w:val="0"/>
          <w:numId w:val="1"/>
        </w:numPr>
        <w:tabs>
          <w:tab w:val="left" w:pos="284"/>
        </w:tabs>
        <w:spacing w:line="360" w:lineRule="auto"/>
        <w:ind w:left="0" w:right="49" w:firstLine="0"/>
        <w:jc w:val="both"/>
        <w:rPr>
          <w:rFonts w:ascii="Palatino Linotype" w:eastAsia="Palatino Linotype" w:hAnsi="Palatino Linotype" w:cs="Palatino Linotype"/>
          <w:color w:val="000000"/>
        </w:rPr>
      </w:pPr>
      <w:r w:rsidRPr="009172AF">
        <w:rPr>
          <w:rFonts w:ascii="Palatino Linotype" w:eastAsia="Palatino Linotype" w:hAnsi="Palatino Linotype" w:cs="Palatino Linotype"/>
          <w:color w:val="000000"/>
        </w:rPr>
        <w:t xml:space="preserve">Luego entonces el Comité de </w:t>
      </w:r>
      <w:r w:rsidRPr="009172AF">
        <w:rPr>
          <w:rFonts w:ascii="Palatino Linotype" w:eastAsia="Arial Unicode MS" w:hAnsi="Palatino Linotype" w:cs="Arial"/>
        </w:rPr>
        <w:t>Transparencia</w:t>
      </w:r>
      <w:r w:rsidRPr="009172AF">
        <w:rPr>
          <w:rFonts w:ascii="Palatino Linotype" w:eastAsia="Palatino Linotype" w:hAnsi="Palatino Linotype" w:cs="Palatino Linotype"/>
          <w:color w:val="000000"/>
        </w:rPr>
        <w:t xml:space="preserve">, cuenta con las facultades para aprobar, modificar o revocar la clasificación de la información que haya propuesto. La decisión de aprobar, modificar o revocar la clasificación deberá de </w:t>
      </w:r>
      <w:r w:rsidRPr="009172AF">
        <w:rPr>
          <w:rFonts w:ascii="Palatino Linotype" w:eastAsia="Palatino Linotype" w:hAnsi="Palatino Linotype" w:cs="Palatino Linotype"/>
          <w:color w:val="000000"/>
        </w:rPr>
        <w:lastRenderedPageBreak/>
        <w:t>asentarse en un documento que registre la determinación a la que se llegue después de un análisis minucioso a partir de lo propuesto por el titular del área que administra la información, dicho Acuerdo del Comité de Transparencia, en el que de manera fundada y motivada</w:t>
      </w:r>
      <w:r w:rsidR="001F246E" w:rsidRPr="009172AF">
        <w:rPr>
          <w:rFonts w:ascii="Palatino Linotype" w:eastAsia="Palatino Linotype" w:hAnsi="Palatino Linotype" w:cs="Palatino Linotype"/>
          <w:color w:val="000000"/>
        </w:rPr>
        <w:t xml:space="preserve"> se sustente la versión pública.</w:t>
      </w:r>
    </w:p>
    <w:p w:rsidR="00416974" w:rsidRPr="009172AF" w:rsidRDefault="00416974" w:rsidP="00AA0AC2">
      <w:pPr>
        <w:pStyle w:val="Prrafodelista"/>
        <w:spacing w:line="360" w:lineRule="auto"/>
        <w:ind w:left="0"/>
        <w:contextualSpacing w:val="0"/>
        <w:jc w:val="both"/>
        <w:rPr>
          <w:rFonts w:ascii="Palatino Linotype" w:hAnsi="Palatino Linotype"/>
          <w:color w:val="000000" w:themeColor="text1"/>
        </w:rPr>
      </w:pPr>
    </w:p>
    <w:p w:rsidR="001F246E" w:rsidRPr="009172AF" w:rsidRDefault="001F246E" w:rsidP="00715AF1">
      <w:pPr>
        <w:pStyle w:val="Prrafodelista"/>
        <w:numPr>
          <w:ilvl w:val="0"/>
          <w:numId w:val="1"/>
        </w:numPr>
        <w:tabs>
          <w:tab w:val="left" w:pos="284"/>
        </w:tabs>
        <w:spacing w:line="360" w:lineRule="auto"/>
        <w:ind w:left="0" w:right="49" w:firstLine="0"/>
        <w:jc w:val="both"/>
        <w:rPr>
          <w:rFonts w:ascii="Palatino Linotype" w:eastAsia="Palatino Linotype" w:hAnsi="Palatino Linotype" w:cs="Palatino Linotype"/>
          <w:color w:val="000000"/>
        </w:rPr>
      </w:pPr>
      <w:r w:rsidRPr="009172AF">
        <w:rPr>
          <w:rFonts w:ascii="Palatino Linotype" w:eastAsia="Palatino Linotype" w:hAnsi="Palatino Linotype" w:cs="Palatino Linotype"/>
          <w:color w:val="000000"/>
        </w:rPr>
        <w:t>Sin embargo del Acuerdo entregado se aprecia que no contiene la totalidad de firmas de los integrantes del Comité que participaron, como se observa:</w:t>
      </w:r>
    </w:p>
    <w:p w:rsidR="001F246E" w:rsidRPr="009172AF" w:rsidRDefault="001F246E" w:rsidP="001F246E">
      <w:pPr>
        <w:pStyle w:val="Prrafodelista"/>
        <w:rPr>
          <w:rFonts w:ascii="Palatino Linotype" w:eastAsia="Palatino Linotype" w:hAnsi="Palatino Linotype" w:cs="Palatino Linotype"/>
          <w:color w:val="000000"/>
        </w:rPr>
      </w:pPr>
    </w:p>
    <w:p w:rsidR="001F246E" w:rsidRPr="009172AF" w:rsidRDefault="001F246E" w:rsidP="001F246E">
      <w:pPr>
        <w:tabs>
          <w:tab w:val="left" w:pos="284"/>
        </w:tabs>
        <w:spacing w:line="360" w:lineRule="auto"/>
        <w:ind w:right="49"/>
        <w:jc w:val="center"/>
        <w:rPr>
          <w:rFonts w:ascii="Palatino Linotype" w:eastAsia="Palatino Linotype" w:hAnsi="Palatino Linotype" w:cs="Palatino Linotype"/>
          <w:color w:val="000000"/>
        </w:rPr>
      </w:pPr>
      <w:r w:rsidRPr="009172AF">
        <w:rPr>
          <w:rFonts w:ascii="Palatino Linotype" w:eastAsia="Palatino Linotype" w:hAnsi="Palatino Linotype" w:cs="Palatino Linotype"/>
          <w:noProof/>
          <w:color w:val="000000"/>
          <w:lang w:val="es-MX" w:eastAsia="es-MX"/>
        </w:rPr>
        <w:drawing>
          <wp:inline distT="0" distB="0" distL="0" distR="0" wp14:anchorId="14A0AE21" wp14:editId="1A7FC674">
            <wp:extent cx="3102864" cy="3076207"/>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10064" cy="3083346"/>
                    </a:xfrm>
                    <a:prstGeom prst="rect">
                      <a:avLst/>
                    </a:prstGeom>
                  </pic:spPr>
                </pic:pic>
              </a:graphicData>
            </a:graphic>
          </wp:inline>
        </w:drawing>
      </w:r>
    </w:p>
    <w:p w:rsidR="001F246E" w:rsidRPr="009172AF" w:rsidRDefault="001F246E" w:rsidP="001F246E">
      <w:pPr>
        <w:pStyle w:val="Prrafodelista"/>
        <w:rPr>
          <w:rFonts w:ascii="Palatino Linotype" w:eastAsia="Palatino Linotype" w:hAnsi="Palatino Linotype" w:cs="Palatino Linotype"/>
          <w:color w:val="000000"/>
        </w:rPr>
      </w:pPr>
    </w:p>
    <w:p w:rsidR="001F246E" w:rsidRPr="009172AF" w:rsidRDefault="001F246E" w:rsidP="001F246E">
      <w:pPr>
        <w:pStyle w:val="Prrafodelista"/>
        <w:tabs>
          <w:tab w:val="left" w:pos="284"/>
        </w:tabs>
        <w:spacing w:line="360" w:lineRule="auto"/>
        <w:ind w:left="0" w:right="49"/>
        <w:jc w:val="both"/>
        <w:rPr>
          <w:rFonts w:ascii="Palatino Linotype" w:eastAsia="Palatino Linotype" w:hAnsi="Palatino Linotype" w:cs="Palatino Linotype"/>
          <w:color w:val="000000"/>
        </w:rPr>
      </w:pPr>
    </w:p>
    <w:p w:rsidR="009E3B91" w:rsidRPr="009172AF" w:rsidRDefault="009E3B91" w:rsidP="000504A5">
      <w:pPr>
        <w:pStyle w:val="Prrafodelista"/>
        <w:numPr>
          <w:ilvl w:val="0"/>
          <w:numId w:val="1"/>
        </w:numPr>
        <w:tabs>
          <w:tab w:val="left" w:pos="284"/>
        </w:tabs>
        <w:spacing w:line="360" w:lineRule="auto"/>
        <w:ind w:left="0" w:right="49" w:firstLine="0"/>
        <w:jc w:val="both"/>
        <w:rPr>
          <w:rFonts w:ascii="Palatino Linotype" w:eastAsia="Palatino Linotype" w:hAnsi="Palatino Linotype" w:cs="Palatino Linotype"/>
          <w:color w:val="000000"/>
        </w:rPr>
      </w:pPr>
      <w:r w:rsidRPr="009172AF">
        <w:rPr>
          <w:rFonts w:ascii="Palatino Linotype" w:eastAsia="Palatino Linotype" w:hAnsi="Palatino Linotype" w:cs="Palatino Linotype"/>
          <w:color w:val="000000"/>
        </w:rPr>
        <w:t xml:space="preserve">Al respecto, existe la necesidad de que el acuerdo del Comité de Transparencia que sustenta una versión pública deba estar </w:t>
      </w:r>
      <w:r w:rsidR="000504A5" w:rsidRPr="009172AF">
        <w:rPr>
          <w:rFonts w:ascii="Palatino Linotype" w:eastAsia="Palatino Linotype" w:hAnsi="Palatino Linotype" w:cs="Palatino Linotype"/>
          <w:color w:val="000000"/>
        </w:rPr>
        <w:t xml:space="preserve">firmado; toda vez que </w:t>
      </w:r>
      <w:r w:rsidRPr="009172AF">
        <w:rPr>
          <w:rFonts w:ascii="Palatino Linotype" w:eastAsia="Palatino Linotype" w:hAnsi="Palatino Linotype" w:cs="Palatino Linotype"/>
          <w:color w:val="000000"/>
        </w:rPr>
        <w:lastRenderedPageBreak/>
        <w:t>la fir</w:t>
      </w:r>
      <w:r w:rsidR="000504A5" w:rsidRPr="009172AF">
        <w:rPr>
          <w:rFonts w:ascii="Palatino Linotype" w:eastAsia="Palatino Linotype" w:hAnsi="Palatino Linotype" w:cs="Palatino Linotype"/>
          <w:color w:val="000000"/>
        </w:rPr>
        <w:t xml:space="preserve">ma tiene varias funciones clave, como lo es dar validez y formalidad del acuerdo; asimismo, porque la firma identifica a quienes aprueban la versión pública de lo que se entrega y garantiza que la decisión no fue alterada y que los miembros del Comité asumen responsabilidad sobre lo entregado y finalmente para dar un cumplimiento legal a la normatividad que rige las </w:t>
      </w:r>
      <w:r w:rsidR="000504A5" w:rsidRPr="009172AF">
        <w:rPr>
          <w:rFonts w:ascii="Palatino Linotype" w:eastAsia="Palatino Linotype" w:hAnsi="Palatino Linotype" w:cs="Palatino Linotype"/>
        </w:rPr>
        <w:t>formalidades para emitir el acuerdo de clasificación.</w:t>
      </w:r>
    </w:p>
    <w:p w:rsidR="00F33A02" w:rsidRPr="009172AF" w:rsidRDefault="00F33A02" w:rsidP="00F33A02">
      <w:pPr>
        <w:pStyle w:val="Prrafodelista"/>
        <w:tabs>
          <w:tab w:val="left" w:pos="284"/>
        </w:tabs>
        <w:spacing w:line="360" w:lineRule="auto"/>
        <w:ind w:left="0" w:right="49"/>
        <w:jc w:val="both"/>
        <w:rPr>
          <w:rFonts w:ascii="Palatino Linotype" w:eastAsia="Palatino Linotype" w:hAnsi="Palatino Linotype" w:cs="Palatino Linotype"/>
          <w:color w:val="000000"/>
        </w:rPr>
      </w:pPr>
    </w:p>
    <w:p w:rsidR="00F33A02" w:rsidRPr="009172AF" w:rsidRDefault="00F33A02" w:rsidP="00F33A02">
      <w:pPr>
        <w:pStyle w:val="Prrafodelista"/>
        <w:numPr>
          <w:ilvl w:val="0"/>
          <w:numId w:val="1"/>
        </w:numPr>
        <w:tabs>
          <w:tab w:val="left" w:pos="284"/>
        </w:tabs>
        <w:spacing w:line="360" w:lineRule="auto"/>
        <w:ind w:left="0" w:right="49" w:firstLine="0"/>
        <w:jc w:val="both"/>
        <w:rPr>
          <w:rFonts w:ascii="Palatino Linotype" w:eastAsia="Palatino Linotype" w:hAnsi="Palatino Linotype" w:cs="Palatino Linotype"/>
          <w:color w:val="000000"/>
        </w:rPr>
      </w:pPr>
      <w:r w:rsidRPr="009172AF">
        <w:rPr>
          <w:rFonts w:ascii="Palatino Linotype" w:eastAsia="Palatino Linotype" w:hAnsi="Palatino Linotype" w:cs="Palatino Linotype"/>
          <w:color w:val="000000"/>
        </w:rPr>
        <w:t xml:space="preserve">Por otro lado, en los informes de </w:t>
      </w:r>
      <w:r w:rsidRPr="009172AF">
        <w:rPr>
          <w:rFonts w:ascii="Palatino Linotype" w:eastAsia="Palatino Linotype" w:hAnsi="Palatino Linotype" w:cs="Palatino Linotype"/>
        </w:rPr>
        <w:t>2022</w:t>
      </w:r>
      <w:r w:rsidRPr="009172AF">
        <w:rPr>
          <w:rFonts w:ascii="Palatino Linotype" w:eastAsia="Palatino Linotype" w:hAnsi="Palatino Linotype" w:cs="Palatino Linotype"/>
          <w:color w:val="000000"/>
        </w:rPr>
        <w:t>-2024, se está clasificó el número de empleado y si bien dicho dato puede hacer identificable a un servidor público como denunciante o probable víctima, no está contemplado dicho dato en el acuerdo de clasificación; asimismo se contempla la clasificación de la firma pero no se aprecia que testen firmas dentro del soporte documental entregado, por lo que deberá entregarse el Acuerdo del Comité de Transparencia que sustente de manera fundada y motivado lo remitido en calidad de respuesta.</w:t>
      </w:r>
    </w:p>
    <w:p w:rsidR="009E3B91" w:rsidRPr="009172AF" w:rsidRDefault="009E3B91" w:rsidP="009E3B91">
      <w:pPr>
        <w:pStyle w:val="Prrafodelista"/>
        <w:tabs>
          <w:tab w:val="left" w:pos="284"/>
        </w:tabs>
        <w:spacing w:line="360" w:lineRule="auto"/>
        <w:ind w:left="0" w:right="49"/>
        <w:jc w:val="both"/>
        <w:rPr>
          <w:rFonts w:ascii="Palatino Linotype" w:eastAsia="Palatino Linotype" w:hAnsi="Palatino Linotype" w:cs="Palatino Linotype"/>
          <w:color w:val="000000"/>
        </w:rPr>
      </w:pPr>
    </w:p>
    <w:p w:rsidR="00387557" w:rsidRPr="009172AF" w:rsidRDefault="000504A5" w:rsidP="00387557">
      <w:pPr>
        <w:pStyle w:val="Prrafodelista"/>
        <w:numPr>
          <w:ilvl w:val="0"/>
          <w:numId w:val="1"/>
        </w:numPr>
        <w:tabs>
          <w:tab w:val="left" w:pos="284"/>
        </w:tabs>
        <w:spacing w:line="360" w:lineRule="auto"/>
        <w:ind w:left="0" w:right="49" w:firstLine="0"/>
        <w:jc w:val="both"/>
        <w:rPr>
          <w:rFonts w:ascii="Palatino Linotype" w:eastAsia="Palatino Linotype" w:hAnsi="Palatino Linotype" w:cs="Palatino Linotype"/>
          <w:color w:val="000000"/>
        </w:rPr>
      </w:pPr>
      <w:r w:rsidRPr="009172AF">
        <w:rPr>
          <w:rFonts w:ascii="Palatino Linotype" w:eastAsia="Palatino Linotype" w:hAnsi="Palatino Linotype" w:cs="Palatino Linotype"/>
          <w:color w:val="000000"/>
        </w:rPr>
        <w:t>En esa tesitura también es dable señalar que en relación</w:t>
      </w:r>
      <w:r w:rsidR="00E87F9F" w:rsidRPr="009172AF">
        <w:rPr>
          <w:rFonts w:ascii="Palatino Linotype" w:eastAsia="Palatino Linotype" w:hAnsi="Palatino Linotype" w:cs="Palatino Linotype"/>
          <w:color w:val="000000"/>
        </w:rPr>
        <w:t xml:space="preserve"> a la versión publica en el archivo denominado </w:t>
      </w:r>
      <w:r w:rsidR="00387557" w:rsidRPr="009172AF">
        <w:rPr>
          <w:rFonts w:ascii="Palatino Linotype" w:eastAsia="Palatino Linotype" w:hAnsi="Palatino Linotype" w:cs="Palatino Linotype"/>
          <w:b/>
          <w:i/>
          <w:color w:val="000000"/>
        </w:rPr>
        <w:t>Anexo solicitud 03452-TOLUCA-IP-2024.pdf</w:t>
      </w:r>
      <w:r w:rsidR="00387557" w:rsidRPr="009172AF">
        <w:rPr>
          <w:rFonts w:ascii="Palatino Linotype" w:eastAsia="Palatino Linotype" w:hAnsi="Palatino Linotype" w:cs="Palatino Linotype"/>
          <w:color w:val="000000"/>
        </w:rPr>
        <w:t>, se dejaron a la vista datos personales de denunciantes como lo es de manera enunciativa mas no limitativa en la página 210.</w:t>
      </w:r>
    </w:p>
    <w:p w:rsidR="00387557" w:rsidRPr="009172AF" w:rsidRDefault="00387557" w:rsidP="00387557">
      <w:pPr>
        <w:pStyle w:val="Prrafodelista"/>
        <w:rPr>
          <w:rFonts w:ascii="Palatino Linotype" w:eastAsia="Palatino Linotype" w:hAnsi="Palatino Linotype" w:cs="Palatino Linotype"/>
          <w:color w:val="000000"/>
        </w:rPr>
      </w:pPr>
    </w:p>
    <w:p w:rsidR="00387557" w:rsidRPr="009172AF" w:rsidRDefault="0022639E" w:rsidP="00387557">
      <w:pPr>
        <w:pStyle w:val="Prrafodelista"/>
        <w:numPr>
          <w:ilvl w:val="0"/>
          <w:numId w:val="1"/>
        </w:numPr>
        <w:tabs>
          <w:tab w:val="left" w:pos="284"/>
        </w:tabs>
        <w:spacing w:line="360" w:lineRule="auto"/>
        <w:ind w:left="0" w:right="49" w:firstLine="0"/>
        <w:jc w:val="both"/>
        <w:rPr>
          <w:rFonts w:ascii="Palatino Linotype" w:hAnsi="Palatino Linotype" w:cs="Arial"/>
        </w:rPr>
      </w:pPr>
      <w:r w:rsidRPr="009172AF">
        <w:rPr>
          <w:rFonts w:ascii="Palatino Linotype" w:eastAsia="MS Mincho" w:hAnsi="Palatino Linotype" w:cs="Times New Roman"/>
        </w:rPr>
        <w:t>Al respecto</w:t>
      </w:r>
      <w:r w:rsidR="00387557" w:rsidRPr="009172AF">
        <w:rPr>
          <w:rFonts w:ascii="Palatino Linotype" w:eastAsia="MS Mincho" w:hAnsi="Palatino Linotype" w:cs="Times New Roman"/>
        </w:rPr>
        <w:t xml:space="preserve">, es </w:t>
      </w:r>
      <w:r w:rsidR="00387557" w:rsidRPr="009172AF">
        <w:rPr>
          <w:rFonts w:ascii="Palatino Linotype" w:eastAsia="MS Gothic" w:hAnsi="Palatino Linotype" w:cs="Times New Roman"/>
        </w:rPr>
        <w:t xml:space="preserve">necesario resaltar que el recurso de revisión previsto en la Ley de la materia no es el medio para </w:t>
      </w:r>
      <w:r w:rsidR="00387557" w:rsidRPr="009172AF">
        <w:rPr>
          <w:rFonts w:ascii="Palatino Linotype" w:eastAsia="Times New Roman" w:hAnsi="Palatino Linotype" w:cs="Arial"/>
          <w:bCs/>
          <w:color w:val="000000" w:themeColor="text1"/>
          <w:lang w:val="es-ES"/>
        </w:rPr>
        <w:t>investigar</w:t>
      </w:r>
      <w:r w:rsidR="00387557" w:rsidRPr="009172AF">
        <w:rPr>
          <w:rFonts w:ascii="Palatino Linotype" w:eastAsia="MS Gothic" w:hAnsi="Palatino Linotype" w:cs="Times New Roman"/>
        </w:rPr>
        <w:t xml:space="preserve"> y, en su caso, sancionar a servidores </w:t>
      </w:r>
      <w:r w:rsidR="00387557" w:rsidRPr="009172AF">
        <w:rPr>
          <w:rFonts w:ascii="Palatino Linotype" w:eastAsia="MS Gothic" w:hAnsi="Palatino Linotype" w:cs="Times New Roman"/>
        </w:rPr>
        <w:lastRenderedPageBreak/>
        <w:t xml:space="preserve">públicos </w:t>
      </w:r>
      <w:r w:rsidR="00387557" w:rsidRPr="009172AF">
        <w:rPr>
          <w:rFonts w:ascii="Palatino Linotype" w:eastAsia="Times New Roman" w:hAnsi="Palatino Linotype" w:cs="Arial"/>
          <w:bCs/>
          <w:color w:val="000000" w:themeColor="text1"/>
          <w:lang w:val="es-ES"/>
        </w:rPr>
        <w:t>por</w:t>
      </w:r>
      <w:r w:rsidR="00387557" w:rsidRPr="009172AF">
        <w:rPr>
          <w:rFonts w:ascii="Palatino Linotype" w:eastAsia="MS Gothic" w:hAnsi="Palatino Linotype" w:cs="Times New Roman"/>
        </w:rPr>
        <w:t xml:space="preserve"> la falta de cuidado de la protección de datos personales; sin embargo, derivado de los planteamientos señalados en el estudio de la presente resolución, relativo a la exposición de datos personales contenidos en el archivo de referencia,  se dará vista al área competente para que </w:t>
      </w:r>
      <w:r w:rsidR="00387557" w:rsidRPr="009172AF">
        <w:rPr>
          <w:rFonts w:ascii="Palatino Linotype" w:eastAsia="MS Mincho" w:hAnsi="Palatino Linotype" w:cs="Times New Roman"/>
        </w:rPr>
        <w:t>en</w:t>
      </w:r>
      <w:r w:rsidR="00387557" w:rsidRPr="009172AF">
        <w:rPr>
          <w:rFonts w:ascii="Palatino Linotype" w:eastAsia="MS Gothic" w:hAnsi="Palatino Linotype" w:cs="Times New Roman"/>
        </w:rPr>
        <w:t xml:space="preserve"> ejercicio de sus atribuciones realice las investigaciones pertinentes por las omisiones detectadas atribuibles al </w:t>
      </w:r>
      <w:r w:rsidR="00387557" w:rsidRPr="009172AF">
        <w:rPr>
          <w:rFonts w:ascii="Palatino Linotype" w:eastAsia="MS Gothic" w:hAnsi="Palatino Linotype" w:cs="Times New Roman"/>
          <w:b/>
        </w:rPr>
        <w:t>SUJETO OBLIGADO</w:t>
      </w:r>
      <w:r w:rsidR="00387557" w:rsidRPr="009172AF">
        <w:rPr>
          <w:rFonts w:ascii="Palatino Linotype" w:eastAsia="MS Gothic" w:hAnsi="Palatino Linotype" w:cs="Times New Roman"/>
        </w:rPr>
        <w:t>.</w:t>
      </w:r>
    </w:p>
    <w:p w:rsidR="00387557" w:rsidRPr="009172AF" w:rsidRDefault="00387557" w:rsidP="00387557">
      <w:pPr>
        <w:pStyle w:val="Prrafodelista"/>
        <w:rPr>
          <w:rFonts w:ascii="Palatino Linotype" w:hAnsi="Palatino Linotype" w:cs="Arial"/>
        </w:rPr>
      </w:pPr>
    </w:p>
    <w:p w:rsidR="00387557" w:rsidRPr="009172AF" w:rsidRDefault="00387557" w:rsidP="00387557">
      <w:pPr>
        <w:pStyle w:val="Prrafodelista"/>
        <w:numPr>
          <w:ilvl w:val="0"/>
          <w:numId w:val="1"/>
        </w:numPr>
        <w:tabs>
          <w:tab w:val="left" w:pos="284"/>
        </w:tabs>
        <w:spacing w:line="360" w:lineRule="auto"/>
        <w:ind w:left="0" w:right="49" w:firstLine="0"/>
        <w:jc w:val="both"/>
        <w:rPr>
          <w:rFonts w:ascii="Palatino Linotype" w:hAnsi="Palatino Linotype"/>
          <w:color w:val="000000" w:themeColor="text1"/>
        </w:rPr>
      </w:pPr>
      <w:r w:rsidRPr="009172AF">
        <w:rPr>
          <w:rFonts w:ascii="Palatino Linotype" w:eastAsia="MS Gothic" w:hAnsi="Palatino Linotype" w:cs="Times New Roman"/>
          <w:lang w:val="es-ES"/>
        </w:rPr>
        <w:t xml:space="preserve">Por </w:t>
      </w:r>
      <w:r w:rsidRPr="009172AF">
        <w:rPr>
          <w:rFonts w:ascii="Palatino Linotype" w:eastAsia="MS Gothic" w:hAnsi="Palatino Linotype" w:cs="Times New Roman"/>
        </w:rPr>
        <w:t xml:space="preserve">ello, es conveniente señalar las fracciones XIV, XXII, XXIII y XXV, del artículo 82, de la Ley </w:t>
      </w:r>
      <w:r w:rsidRPr="009172AF">
        <w:rPr>
          <w:rFonts w:ascii="Palatino Linotype" w:eastAsia="MS Mincho" w:hAnsi="Palatino Linotype" w:cs="Times New Roman"/>
        </w:rPr>
        <w:t>de</w:t>
      </w:r>
      <w:r w:rsidRPr="009172AF">
        <w:rPr>
          <w:rFonts w:ascii="Palatino Linotype" w:eastAsia="MS Gothic" w:hAnsi="Palatino Linotype" w:cs="Times New Roman"/>
        </w:rPr>
        <w:t xml:space="preserve"> </w:t>
      </w:r>
      <w:r w:rsidRPr="009172AF">
        <w:rPr>
          <w:rFonts w:ascii="Palatino Linotype" w:eastAsia="MS Mincho" w:hAnsi="Palatino Linotype" w:cs="Times New Roman"/>
        </w:rPr>
        <w:t>Protección</w:t>
      </w:r>
      <w:r w:rsidRPr="009172AF">
        <w:rPr>
          <w:rFonts w:ascii="Palatino Linotype" w:eastAsia="MS Gothic" w:hAnsi="Palatino Linotype" w:cs="Times New Roman"/>
        </w:rPr>
        <w:t xml:space="preserve"> de Datos Personales en Posesión de Sujetos Obligados del Estado de México y Municipios, que establece:</w:t>
      </w:r>
    </w:p>
    <w:p w:rsidR="00387557" w:rsidRPr="009172AF" w:rsidRDefault="00387557" w:rsidP="00387557">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b/>
          <w:i/>
        </w:rPr>
      </w:pPr>
      <w:r w:rsidRPr="009172AF">
        <w:rPr>
          <w:rFonts w:ascii="Palatino Linotype" w:hAnsi="Palatino Linotype"/>
          <w:b/>
          <w:i/>
        </w:rPr>
        <w:t xml:space="preserve">Atribuciones del Instituto </w:t>
      </w:r>
    </w:p>
    <w:p w:rsidR="00387557" w:rsidRPr="009172AF" w:rsidRDefault="00387557" w:rsidP="00387557">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9172AF">
        <w:rPr>
          <w:rFonts w:ascii="Palatino Linotype" w:hAnsi="Palatino Linotype"/>
          <w:b/>
          <w:i/>
        </w:rPr>
        <w:t>Artículo 82.</w:t>
      </w:r>
      <w:r w:rsidRPr="009172AF">
        <w:rPr>
          <w:rFonts w:ascii="Palatino Linotype" w:hAnsi="Palatino Linotype"/>
          <w:i/>
        </w:rPr>
        <w:t xml:space="preserve"> El Instituto, además de las atribuciones encomendadas por la Ley de Transparencia y normatividad aplicable, tendrá las atribuciones siguientes:</w:t>
      </w:r>
    </w:p>
    <w:p w:rsidR="00387557" w:rsidRPr="009172AF" w:rsidRDefault="00387557" w:rsidP="00387557">
      <w:pPr>
        <w:pStyle w:val="Prrafodelista"/>
        <w:tabs>
          <w:tab w:val="left" w:pos="142"/>
          <w:tab w:val="left" w:pos="284"/>
          <w:tab w:val="left" w:pos="426"/>
          <w:tab w:val="left" w:pos="993"/>
        </w:tabs>
        <w:spacing w:before="240" w:after="240" w:line="276" w:lineRule="auto"/>
        <w:ind w:left="567" w:right="567"/>
        <w:jc w:val="both"/>
        <w:rPr>
          <w:rFonts w:ascii="Palatino Linotype" w:eastAsia="MS Mincho" w:hAnsi="Palatino Linotype" w:cs="Times New Roman"/>
          <w:i/>
        </w:rPr>
      </w:pPr>
      <w:r w:rsidRPr="009172AF">
        <w:rPr>
          <w:rFonts w:ascii="Palatino Linotype" w:hAnsi="Palatino Linotype"/>
          <w:i/>
        </w:rPr>
        <w:t>(…)</w:t>
      </w:r>
    </w:p>
    <w:p w:rsidR="00387557" w:rsidRPr="009172AF" w:rsidRDefault="00387557" w:rsidP="00387557">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9172AF">
        <w:rPr>
          <w:rFonts w:ascii="Palatino Linotype" w:hAnsi="Palatino Linotype"/>
          <w:b/>
          <w:i/>
        </w:rPr>
        <w:t>XIV.</w:t>
      </w:r>
      <w:r w:rsidRPr="009172AF">
        <w:rPr>
          <w:rFonts w:ascii="Palatino Linotype" w:hAnsi="Palatino Linotype"/>
          <w:i/>
        </w:rPr>
        <w:t xml:space="preserve"> </w:t>
      </w:r>
      <w:r w:rsidRPr="009172AF">
        <w:rPr>
          <w:rFonts w:ascii="Palatino Linotype" w:hAnsi="Palatino Linotype"/>
          <w:b/>
          <w:i/>
        </w:rPr>
        <w:t>Formular observaciones y recomendaciones</w:t>
      </w:r>
      <w:r w:rsidRPr="009172AF">
        <w:rPr>
          <w:rFonts w:ascii="Palatino Linotype" w:hAnsi="Palatino Linotype"/>
          <w:i/>
        </w:rPr>
        <w:t xml:space="preserve"> a los sujetos obligados que incumplan esta Ley.</w:t>
      </w:r>
    </w:p>
    <w:p w:rsidR="00387557" w:rsidRPr="009172AF" w:rsidRDefault="00387557" w:rsidP="00387557">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9172AF">
        <w:rPr>
          <w:rFonts w:ascii="Palatino Linotype" w:hAnsi="Palatino Linotype"/>
          <w:i/>
        </w:rPr>
        <w:t>(…)</w:t>
      </w:r>
    </w:p>
    <w:p w:rsidR="00387557" w:rsidRPr="009172AF" w:rsidRDefault="00387557" w:rsidP="00387557">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9172AF">
        <w:rPr>
          <w:rFonts w:ascii="Palatino Linotype" w:hAnsi="Palatino Linotype"/>
          <w:b/>
          <w:i/>
        </w:rPr>
        <w:t>XXII.</w:t>
      </w:r>
      <w:r w:rsidRPr="009172AF">
        <w:rPr>
          <w:rFonts w:ascii="Palatino Linotype" w:hAnsi="Palatino Linotype"/>
          <w:i/>
        </w:rPr>
        <w:t xml:space="preserve"> </w:t>
      </w:r>
      <w:r w:rsidRPr="009172AF">
        <w:rPr>
          <w:rFonts w:ascii="Palatino Linotype" w:hAnsi="Palatino Linotype"/>
          <w:b/>
          <w:i/>
        </w:rPr>
        <w:t>Verificar el cumplimiento</w:t>
      </w:r>
      <w:r w:rsidRPr="009172AF">
        <w:rPr>
          <w:rFonts w:ascii="Palatino Linotype" w:hAnsi="Palatino Linotype"/>
          <w:i/>
        </w:rPr>
        <w:t xml:space="preserve"> de las disposiciones previstas en esta Ley a través de los procedimientos de revisión que resulten compatibles con las disposiciones de esta Ley.</w:t>
      </w:r>
    </w:p>
    <w:p w:rsidR="00387557" w:rsidRPr="009172AF" w:rsidRDefault="00387557" w:rsidP="00387557">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9172AF">
        <w:rPr>
          <w:rFonts w:ascii="Palatino Linotype" w:hAnsi="Palatino Linotype"/>
          <w:b/>
          <w:i/>
        </w:rPr>
        <w:t>XXIII.</w:t>
      </w:r>
      <w:r w:rsidRPr="009172AF">
        <w:rPr>
          <w:rFonts w:ascii="Palatino Linotype" w:hAnsi="Palatino Linotype"/>
          <w:i/>
        </w:rPr>
        <w:t xml:space="preserve"> </w:t>
      </w:r>
      <w:r w:rsidRPr="009172AF">
        <w:rPr>
          <w:rFonts w:ascii="Palatino Linotype" w:hAnsi="Palatino Linotype"/>
          <w:b/>
          <w:i/>
        </w:rPr>
        <w:t>Implementar</w:t>
      </w:r>
      <w:r w:rsidRPr="009172AF">
        <w:rPr>
          <w:rFonts w:ascii="Palatino Linotype" w:hAnsi="Palatino Linotype"/>
          <w:i/>
        </w:rPr>
        <w:t xml:space="preserve"> los </w:t>
      </w:r>
      <w:r w:rsidRPr="009172AF">
        <w:rPr>
          <w:rFonts w:ascii="Palatino Linotype" w:hAnsi="Palatino Linotype"/>
          <w:b/>
          <w:i/>
        </w:rPr>
        <w:t>procedimientos</w:t>
      </w:r>
      <w:r w:rsidRPr="009172AF">
        <w:rPr>
          <w:rFonts w:ascii="Palatino Linotype" w:hAnsi="Palatino Linotype"/>
          <w:i/>
        </w:rPr>
        <w:t xml:space="preserve"> que resulten necesarios </w:t>
      </w:r>
      <w:r w:rsidRPr="009172AF">
        <w:rPr>
          <w:rFonts w:ascii="Palatino Linotype" w:hAnsi="Palatino Linotype"/>
          <w:b/>
          <w:i/>
        </w:rPr>
        <w:t xml:space="preserve">para el cumplimiento </w:t>
      </w:r>
      <w:r w:rsidRPr="009172AF">
        <w:rPr>
          <w:rFonts w:ascii="Palatino Linotype" w:hAnsi="Palatino Linotype"/>
          <w:i/>
        </w:rPr>
        <w:t>de las disposiciones de esta Ley y para asegurar la protección de datos personales de los titulares. (…)</w:t>
      </w:r>
    </w:p>
    <w:p w:rsidR="00387557" w:rsidRPr="009172AF" w:rsidRDefault="00387557" w:rsidP="00387557">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9172AF">
        <w:rPr>
          <w:rFonts w:ascii="Palatino Linotype" w:hAnsi="Palatino Linotype"/>
          <w:b/>
          <w:i/>
        </w:rPr>
        <w:t>XXV.</w:t>
      </w:r>
      <w:r w:rsidRPr="009172AF">
        <w:rPr>
          <w:rFonts w:ascii="Palatino Linotype" w:hAnsi="Palatino Linotype"/>
          <w:i/>
        </w:rPr>
        <w:t xml:space="preserve"> </w:t>
      </w:r>
      <w:r w:rsidRPr="009172AF">
        <w:rPr>
          <w:rFonts w:ascii="Palatino Linotype" w:hAnsi="Palatino Linotype"/>
          <w:b/>
          <w:i/>
        </w:rPr>
        <w:t>Investigar</w:t>
      </w:r>
      <w:r w:rsidRPr="009172AF">
        <w:rPr>
          <w:rFonts w:ascii="Palatino Linotype" w:hAnsi="Palatino Linotype"/>
          <w:i/>
        </w:rPr>
        <w:t xml:space="preserve"> las </w:t>
      </w:r>
      <w:r w:rsidRPr="009172AF">
        <w:rPr>
          <w:rFonts w:ascii="Palatino Linotype" w:hAnsi="Palatino Linotype"/>
          <w:b/>
          <w:i/>
        </w:rPr>
        <w:t>posibles violaciones</w:t>
      </w:r>
      <w:r w:rsidRPr="009172AF">
        <w:rPr>
          <w:rFonts w:ascii="Palatino Linotype" w:hAnsi="Palatino Linotype"/>
          <w:i/>
        </w:rPr>
        <w:t xml:space="preserve"> a la seguridad de los datos personales a fin de determinar la práctica de verificaciones.</w:t>
      </w:r>
    </w:p>
    <w:p w:rsidR="00387557" w:rsidRPr="009172AF" w:rsidRDefault="00387557" w:rsidP="00387557">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9172AF">
        <w:rPr>
          <w:rFonts w:ascii="Palatino Linotype" w:hAnsi="Palatino Linotype"/>
          <w:i/>
        </w:rPr>
        <w:t>(…)”</w:t>
      </w:r>
    </w:p>
    <w:p w:rsidR="00387557" w:rsidRPr="009172AF" w:rsidRDefault="00387557" w:rsidP="00387557">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color w:val="000000" w:themeColor="text1"/>
        </w:rPr>
      </w:pPr>
      <w:r w:rsidRPr="009172AF">
        <w:rPr>
          <w:rFonts w:ascii="Palatino Linotype" w:hAnsi="Palatino Linotype"/>
        </w:rPr>
        <w:lastRenderedPageBreak/>
        <w:t>(Énfasis añadido)</w:t>
      </w:r>
    </w:p>
    <w:p w:rsidR="00387557" w:rsidRPr="009172AF" w:rsidRDefault="00387557" w:rsidP="00387557">
      <w:pPr>
        <w:pStyle w:val="Prrafodelista"/>
        <w:tabs>
          <w:tab w:val="left" w:pos="426"/>
        </w:tabs>
        <w:spacing w:before="240" w:after="240" w:line="360" w:lineRule="auto"/>
        <w:ind w:left="0" w:right="51"/>
        <w:jc w:val="both"/>
        <w:rPr>
          <w:rFonts w:ascii="Palatino Linotype" w:hAnsi="Palatino Linotype"/>
          <w:color w:val="000000" w:themeColor="text1"/>
        </w:rPr>
      </w:pPr>
    </w:p>
    <w:p w:rsidR="00387557" w:rsidRPr="009172AF" w:rsidRDefault="00387557" w:rsidP="00387557">
      <w:pPr>
        <w:pStyle w:val="Prrafodelista"/>
        <w:numPr>
          <w:ilvl w:val="0"/>
          <w:numId w:val="1"/>
        </w:numPr>
        <w:tabs>
          <w:tab w:val="left" w:pos="284"/>
        </w:tabs>
        <w:spacing w:line="360" w:lineRule="auto"/>
        <w:ind w:left="0" w:right="49" w:firstLine="0"/>
        <w:jc w:val="both"/>
        <w:rPr>
          <w:rFonts w:ascii="Palatino Linotype" w:hAnsi="Palatino Linotype"/>
          <w:color w:val="000000" w:themeColor="text1"/>
        </w:rPr>
      </w:pPr>
      <w:r w:rsidRPr="009172AF">
        <w:rPr>
          <w:rFonts w:ascii="Palatino Linotype" w:eastAsia="MS Mincho" w:hAnsi="Palatino Linotype" w:cs="Times New Roman"/>
        </w:rPr>
        <w:t xml:space="preserve">Luego entonces, </w:t>
      </w:r>
      <w:r w:rsidRPr="009172AF">
        <w:rPr>
          <w:rFonts w:ascii="Palatino Linotype" w:eastAsia="MS Gothic" w:hAnsi="Palatino Linotype" w:cs="Times New Roman"/>
        </w:rPr>
        <w:t xml:space="preserve">este Pleno hará del conocimiento de la Dirección General de Datos </w:t>
      </w:r>
      <w:r w:rsidRPr="009172AF">
        <w:rPr>
          <w:rFonts w:ascii="Palatino Linotype" w:eastAsia="MS Mincho" w:hAnsi="Palatino Linotype" w:cs="Times New Roman"/>
        </w:rPr>
        <w:t>Personales</w:t>
      </w:r>
      <w:r w:rsidRPr="009172AF">
        <w:rPr>
          <w:rFonts w:ascii="Palatino Linotype" w:eastAsia="MS Gothic" w:hAnsi="Palatino Linotype" w:cs="Times New Roman"/>
        </w:rPr>
        <w:t xml:space="preserve"> de </w:t>
      </w:r>
      <w:r w:rsidRPr="009172AF">
        <w:rPr>
          <w:rFonts w:ascii="Palatino Linotype" w:eastAsia="MS Gothic" w:hAnsi="Palatino Linotype" w:cs="Times New Roman"/>
          <w:lang w:val="es-ES"/>
        </w:rPr>
        <w:t>este</w:t>
      </w:r>
      <w:r w:rsidRPr="009172AF">
        <w:rPr>
          <w:rFonts w:ascii="Palatino Linotype" w:eastAsia="MS Gothic" w:hAnsi="Palatino Linotype" w:cs="Times New Roman"/>
        </w:rPr>
        <w:t xml:space="preserve"> Instituto de las infracciones en que el </w:t>
      </w:r>
      <w:r w:rsidRPr="009172AF">
        <w:rPr>
          <w:rFonts w:ascii="Palatino Linotype" w:eastAsia="MS Gothic" w:hAnsi="Palatino Linotype" w:cs="Times New Roman"/>
          <w:b/>
        </w:rPr>
        <w:t>SUJETO OBLIGADO</w:t>
      </w:r>
      <w:r w:rsidRPr="009172AF">
        <w:rPr>
          <w:rFonts w:ascii="Palatino Linotype" w:eastAsia="MS Gothic" w:hAnsi="Palatino Linotype" w:cs="Times New Roman"/>
        </w:rPr>
        <w:t xml:space="preserve"> </w:t>
      </w:r>
      <w:r w:rsidRPr="009172AF">
        <w:rPr>
          <w:rFonts w:ascii="Palatino Linotype" w:eastAsia="MS Gothic" w:hAnsi="Palatino Linotype" w:cs="Times New Roman"/>
          <w:lang w:val="es-ES"/>
        </w:rPr>
        <w:t>incurrió</w:t>
      </w:r>
      <w:r w:rsidRPr="009172AF">
        <w:rPr>
          <w:rFonts w:ascii="Palatino Linotype" w:eastAsia="MS Gothic" w:hAnsi="Palatino Linotype" w:cs="Times New Roman"/>
        </w:rPr>
        <w:t xml:space="preserve">, toda vez que la naturaleza de investigar omisiones relativas a la esfera de obligaciones de protección de datos personales en posesión de Sujetos </w:t>
      </w:r>
      <w:r w:rsidRPr="009172AF">
        <w:rPr>
          <w:rFonts w:ascii="Palatino Linotype" w:eastAsia="MS Mincho" w:hAnsi="Palatino Linotype" w:cs="Times New Roman"/>
        </w:rPr>
        <w:t>Obligados</w:t>
      </w:r>
      <w:r w:rsidRPr="009172AF">
        <w:rPr>
          <w:rFonts w:ascii="Palatino Linotype" w:eastAsia="MS Gothic" w:hAnsi="Palatino Linotype" w:cs="Times New Roman"/>
        </w:rPr>
        <w:t xml:space="preserve"> corresponde a un ente distinto a éste, a través de un procedimiento diferente al recurso de revisión. </w:t>
      </w:r>
    </w:p>
    <w:p w:rsidR="00387557" w:rsidRPr="009172AF" w:rsidRDefault="00387557" w:rsidP="00387557">
      <w:pPr>
        <w:pBdr>
          <w:top w:val="nil"/>
          <w:left w:val="nil"/>
          <w:bottom w:val="nil"/>
          <w:right w:val="nil"/>
          <w:between w:val="nil"/>
        </w:pBdr>
        <w:tabs>
          <w:tab w:val="left" w:pos="0"/>
        </w:tabs>
        <w:spacing w:line="360" w:lineRule="auto"/>
        <w:ind w:right="49"/>
        <w:jc w:val="both"/>
        <w:rPr>
          <w:rFonts w:ascii="Palatino Linotype" w:hAnsi="Palatino Linotype"/>
          <w:color w:val="000000" w:themeColor="text1"/>
        </w:rPr>
      </w:pPr>
    </w:p>
    <w:p w:rsidR="00387557" w:rsidRPr="009172AF" w:rsidRDefault="00387557" w:rsidP="00387557">
      <w:pPr>
        <w:pStyle w:val="Prrafodelista"/>
        <w:numPr>
          <w:ilvl w:val="0"/>
          <w:numId w:val="1"/>
        </w:numPr>
        <w:tabs>
          <w:tab w:val="left" w:pos="284"/>
        </w:tabs>
        <w:spacing w:line="360" w:lineRule="auto"/>
        <w:ind w:left="0" w:right="49" w:firstLine="0"/>
        <w:jc w:val="both"/>
        <w:rPr>
          <w:rFonts w:ascii="Palatino Linotype" w:eastAsia="Palatino Linotype" w:hAnsi="Palatino Linotype" w:cs="Palatino Linotype"/>
          <w:b/>
          <w:color w:val="000000"/>
        </w:rPr>
      </w:pPr>
      <w:r w:rsidRPr="009172AF">
        <w:rPr>
          <w:rFonts w:ascii="Palatino Linotype" w:eastAsia="MS Mincho" w:hAnsi="Palatino Linotype" w:cs="Times New Roman"/>
        </w:rPr>
        <w:t xml:space="preserve">Por </w:t>
      </w:r>
      <w:r w:rsidRPr="009172AF">
        <w:rPr>
          <w:rFonts w:ascii="Palatino Linotype" w:eastAsia="MS Gothic" w:hAnsi="Palatino Linotype" w:cs="Times New Roman"/>
          <w:lang w:val="es-ES"/>
        </w:rPr>
        <w:t xml:space="preserve">lo anterior, se insiste resulta conveniente dar vista a la Dirección de Protección de </w:t>
      </w:r>
      <w:r w:rsidRPr="009172AF">
        <w:rPr>
          <w:rFonts w:ascii="Palatino Linotype" w:eastAsia="MS Mincho" w:hAnsi="Palatino Linotype" w:cs="Times New Roman"/>
        </w:rPr>
        <w:t>Datos</w:t>
      </w:r>
      <w:r w:rsidRPr="009172AF">
        <w:rPr>
          <w:rFonts w:ascii="Palatino Linotype" w:eastAsia="MS Gothic" w:hAnsi="Palatino Linotype" w:cs="Times New Roman"/>
          <w:lang w:val="es-ES"/>
        </w:rPr>
        <w:t xml:space="preserve"> Personales de este Instituto, para que en ejercicio de sus atribuciones </w:t>
      </w:r>
      <w:r w:rsidRPr="009172AF">
        <w:rPr>
          <w:rFonts w:ascii="Palatino Linotype" w:eastAsia="MS Mincho" w:hAnsi="Palatino Linotype" w:cs="Times New Roman"/>
        </w:rPr>
        <w:t>contenidas</w:t>
      </w:r>
      <w:r w:rsidRPr="009172AF">
        <w:rPr>
          <w:rFonts w:ascii="Palatino Linotype" w:eastAsia="MS Gothic" w:hAnsi="Palatino Linotype" w:cs="Times New Roman"/>
          <w:lang w:val="es-ES"/>
        </w:rPr>
        <w:t xml:space="preserve"> </w:t>
      </w:r>
      <w:r w:rsidRPr="009172AF">
        <w:rPr>
          <w:rFonts w:ascii="Palatino Linotype" w:eastAsia="MS Mincho" w:hAnsi="Palatino Linotype" w:cs="Times New Roman"/>
        </w:rPr>
        <w:t>en</w:t>
      </w:r>
      <w:r w:rsidRPr="009172AF">
        <w:rPr>
          <w:rFonts w:ascii="Palatino Linotype" w:eastAsia="MS Gothic" w:hAnsi="Palatino Linotype" w:cs="Times New Roman"/>
          <w:lang w:val="es-ES"/>
        </w:rPr>
        <w:t xml:space="preserve"> el numeral 23, fracciones V, XI y XII, del Reglamento Interior del Instituto de Transparencia, Acceso a la </w:t>
      </w:r>
      <w:r w:rsidRPr="009172AF">
        <w:rPr>
          <w:rFonts w:ascii="Palatino Linotype" w:eastAsia="MS Mincho" w:hAnsi="Palatino Linotype" w:cs="Times New Roman"/>
        </w:rPr>
        <w:t>Información</w:t>
      </w:r>
      <w:r w:rsidRPr="009172AF">
        <w:rPr>
          <w:rFonts w:ascii="Palatino Linotype" w:eastAsia="MS Gothic" w:hAnsi="Palatino Linotype" w:cs="Times New Roman"/>
          <w:lang w:val="es-ES"/>
        </w:rPr>
        <w:t xml:space="preserve"> Pública y Protección de Datos Personales del Estado de México y Municipios, investigue y sancione las omisiones en las que el </w:t>
      </w:r>
      <w:r w:rsidRPr="009172AF">
        <w:rPr>
          <w:rFonts w:ascii="Palatino Linotype" w:eastAsia="MS Gothic" w:hAnsi="Palatino Linotype" w:cs="Times New Roman"/>
          <w:b/>
          <w:lang w:val="es-ES"/>
        </w:rPr>
        <w:t>SUJETO OBLIGADO</w:t>
      </w:r>
      <w:r w:rsidRPr="009172AF">
        <w:rPr>
          <w:rFonts w:ascii="Palatino Linotype" w:eastAsia="MS Gothic" w:hAnsi="Palatino Linotype" w:cs="Times New Roman"/>
          <w:lang w:val="es-ES"/>
        </w:rPr>
        <w:t xml:space="preserve"> pudo haber incurrido por el incumplimiento a las obligaciones previstas en la Ley de Protección de Datos Personales en Posesión de Sujetos Obligados del Estado de México y Municipios y, las demás disposiciones jurídicas aplicables en la materia. Por otro lado se conmina a la parte </w:t>
      </w:r>
      <w:r w:rsidRPr="009172AF">
        <w:rPr>
          <w:rFonts w:ascii="Palatino Linotype" w:eastAsia="MS Gothic" w:hAnsi="Palatino Linotype" w:cs="Times New Roman"/>
          <w:b/>
          <w:lang w:val="es-ES"/>
        </w:rPr>
        <w:t xml:space="preserve">RECURRENTE, </w:t>
      </w:r>
      <w:r w:rsidRPr="009172AF">
        <w:rPr>
          <w:rFonts w:ascii="Palatino Linotype" w:eastAsia="MS Gothic" w:hAnsi="Palatino Linotype" w:cs="Times New Roman"/>
          <w:lang w:val="es-ES"/>
        </w:rPr>
        <w:t>no hacer uso inadecuado de la información confidencial a la cual ya tuvo acceso.</w:t>
      </w:r>
    </w:p>
    <w:p w:rsidR="00387557" w:rsidRPr="009172AF" w:rsidRDefault="00387557" w:rsidP="00387557">
      <w:pPr>
        <w:pStyle w:val="Prrafodelista"/>
        <w:rPr>
          <w:rFonts w:ascii="Palatino Linotype" w:eastAsia="Palatino Linotype" w:hAnsi="Palatino Linotype" w:cs="Palatino Linotype"/>
          <w:b/>
          <w:color w:val="000000"/>
        </w:rPr>
      </w:pPr>
    </w:p>
    <w:p w:rsidR="000504A5" w:rsidRPr="009172AF" w:rsidRDefault="00387557" w:rsidP="00387557">
      <w:pPr>
        <w:pStyle w:val="Prrafodelista"/>
        <w:numPr>
          <w:ilvl w:val="0"/>
          <w:numId w:val="1"/>
        </w:numPr>
        <w:tabs>
          <w:tab w:val="left" w:pos="284"/>
        </w:tabs>
        <w:spacing w:line="360" w:lineRule="auto"/>
        <w:ind w:left="0" w:right="49" w:firstLine="0"/>
        <w:jc w:val="both"/>
        <w:rPr>
          <w:rFonts w:ascii="Palatino Linotype" w:eastAsia="Palatino Linotype" w:hAnsi="Palatino Linotype" w:cs="Palatino Linotype"/>
          <w:color w:val="000000"/>
        </w:rPr>
      </w:pPr>
      <w:r w:rsidRPr="009172AF">
        <w:rPr>
          <w:rFonts w:ascii="Palatino Linotype" w:eastAsia="Palatino Linotype" w:hAnsi="Palatino Linotype" w:cs="Palatino Linotype"/>
          <w:color w:val="000000"/>
        </w:rPr>
        <w:lastRenderedPageBreak/>
        <w:t xml:space="preserve">Por otro lado, del mismo archivo de referencia, se desprende que de manera enunciativa </w:t>
      </w:r>
      <w:r w:rsidR="00D67526" w:rsidRPr="009172AF">
        <w:rPr>
          <w:rFonts w:ascii="Palatino Linotype" w:eastAsia="Palatino Linotype" w:hAnsi="Palatino Linotype" w:cs="Palatino Linotype"/>
          <w:color w:val="000000"/>
        </w:rPr>
        <w:t>más</w:t>
      </w:r>
      <w:r w:rsidRPr="009172AF">
        <w:rPr>
          <w:rFonts w:ascii="Palatino Linotype" w:eastAsia="Palatino Linotype" w:hAnsi="Palatino Linotype" w:cs="Palatino Linotype"/>
          <w:color w:val="000000"/>
        </w:rPr>
        <w:t xml:space="preserve"> no limitativa en su foja 213, se dejó a la vista el nombre de una oficial adscrita a la Dirección de Seguridad Pública</w:t>
      </w:r>
      <w:r w:rsidR="00D67526" w:rsidRPr="009172AF">
        <w:rPr>
          <w:rFonts w:ascii="Palatino Linotype" w:eastAsia="Palatino Linotype" w:hAnsi="Palatino Linotype" w:cs="Palatino Linotype"/>
          <w:color w:val="000000"/>
        </w:rPr>
        <w:t>.</w:t>
      </w:r>
    </w:p>
    <w:p w:rsidR="00D67526" w:rsidRPr="009172AF" w:rsidRDefault="00D67526" w:rsidP="00D67526">
      <w:pPr>
        <w:pStyle w:val="Prrafodelista"/>
        <w:rPr>
          <w:rFonts w:ascii="Palatino Linotype" w:eastAsia="Palatino Linotype" w:hAnsi="Palatino Linotype" w:cs="Palatino Linotype"/>
          <w:color w:val="000000"/>
        </w:rPr>
      </w:pPr>
    </w:p>
    <w:p w:rsidR="00D67526" w:rsidRPr="009172AF" w:rsidRDefault="00D67526" w:rsidP="00D67526">
      <w:pPr>
        <w:pStyle w:val="Prrafodelista"/>
        <w:numPr>
          <w:ilvl w:val="0"/>
          <w:numId w:val="1"/>
        </w:numPr>
        <w:tabs>
          <w:tab w:val="left" w:pos="284"/>
        </w:tabs>
        <w:spacing w:line="360" w:lineRule="auto"/>
        <w:ind w:left="0" w:right="49" w:firstLine="0"/>
        <w:jc w:val="both"/>
        <w:rPr>
          <w:rFonts w:ascii="Palatino Linotype" w:eastAsia="MS Mincho" w:hAnsi="Palatino Linotype" w:cs="Arial"/>
        </w:rPr>
      </w:pPr>
      <w:r w:rsidRPr="009172AF">
        <w:rPr>
          <w:rFonts w:ascii="Palatino Linotype" w:eastAsia="MS Mincho" w:hAnsi="Palatino Linotype" w:cs="Arial"/>
          <w:lang w:val="es-ES_tradnl"/>
        </w:rPr>
        <w:t xml:space="preserve">Al respecto, cabe hacer mención que el artículo 81 fracción III de la Ley de Seguridad del Estado de México, establece lo siguiente: </w:t>
      </w:r>
    </w:p>
    <w:p w:rsidR="00D67526" w:rsidRPr="009172AF" w:rsidRDefault="00D67526" w:rsidP="00D67526">
      <w:pPr>
        <w:spacing w:line="360" w:lineRule="auto"/>
        <w:ind w:left="720" w:right="851"/>
        <w:contextualSpacing/>
        <w:jc w:val="both"/>
        <w:rPr>
          <w:rFonts w:ascii="Palatino Linotype" w:eastAsia="MS Mincho" w:hAnsi="Palatino Linotype" w:cs="Arial"/>
          <w:i/>
          <w:lang w:val="es-ES_tradnl"/>
        </w:rPr>
      </w:pPr>
    </w:p>
    <w:p w:rsidR="00D67526" w:rsidRPr="009172AF" w:rsidRDefault="00D67526" w:rsidP="00D67526">
      <w:pPr>
        <w:spacing w:line="360" w:lineRule="auto"/>
        <w:ind w:left="720" w:right="567"/>
        <w:contextualSpacing/>
        <w:jc w:val="both"/>
        <w:rPr>
          <w:rFonts w:ascii="Palatino Linotype" w:eastAsia="MS Mincho" w:hAnsi="Palatino Linotype" w:cs="Arial"/>
          <w:i/>
          <w:lang w:val="es-ES_tradnl"/>
        </w:rPr>
      </w:pPr>
      <w:r w:rsidRPr="009172AF">
        <w:rPr>
          <w:rFonts w:ascii="Palatino Linotype" w:eastAsia="MS Mincho" w:hAnsi="Palatino Linotype" w:cs="Arial"/>
          <w:i/>
          <w:lang w:val="es-ES_tradnl"/>
        </w:rPr>
        <w:t>“</w:t>
      </w:r>
      <w:r w:rsidRPr="009172AF">
        <w:rPr>
          <w:rFonts w:ascii="Palatino Linotype" w:eastAsia="MS Mincho" w:hAnsi="Palatino Linotype" w:cs="Arial"/>
          <w:b/>
          <w:i/>
          <w:lang w:val="es-ES_tradnl"/>
        </w:rPr>
        <w:t>Artículo 81.-</w:t>
      </w:r>
      <w:r w:rsidRPr="009172AF">
        <w:rPr>
          <w:rFonts w:ascii="Palatino Linotype" w:eastAsia="MS Mincho" w:hAnsi="Palatino Linotype" w:cs="Arial"/>
          <w:i/>
          <w:lang w:val="es-ES_tradnl"/>
        </w:rPr>
        <w:t xml:space="preserve"> </w:t>
      </w:r>
      <w:r w:rsidRPr="009172AF">
        <w:rPr>
          <w:rFonts w:ascii="Palatino Linotype" w:eastAsia="MS Mincho" w:hAnsi="Palatino Linotype" w:cs="Arial"/>
          <w:b/>
          <w:i/>
          <w:lang w:val="es-ES_tradnl"/>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9172AF">
        <w:rPr>
          <w:rFonts w:ascii="Palatino Linotype" w:eastAsia="MS Mincho" w:hAnsi="Palatino Linotype" w:cs="Arial"/>
          <w:i/>
          <w:lang w:val="es-ES_tradnl"/>
        </w:rPr>
        <w:t xml:space="preserve"> en los casos siguientes:</w:t>
      </w:r>
    </w:p>
    <w:p w:rsidR="00D67526" w:rsidRPr="009172AF" w:rsidRDefault="00D67526" w:rsidP="00D67526">
      <w:pPr>
        <w:spacing w:line="360" w:lineRule="auto"/>
        <w:ind w:left="720" w:right="567"/>
        <w:contextualSpacing/>
        <w:jc w:val="both"/>
        <w:rPr>
          <w:rFonts w:ascii="Palatino Linotype" w:eastAsia="MS Mincho" w:hAnsi="Palatino Linotype" w:cs="Arial"/>
          <w:i/>
          <w:lang w:val="es-ES_tradnl"/>
        </w:rPr>
      </w:pPr>
      <w:r w:rsidRPr="009172AF">
        <w:rPr>
          <w:rFonts w:ascii="Palatino Linotype" w:eastAsia="MS Mincho" w:hAnsi="Palatino Linotype" w:cs="Arial"/>
          <w:i/>
          <w:lang w:val="es-ES_tradnl"/>
        </w:rPr>
        <w:t>…</w:t>
      </w:r>
    </w:p>
    <w:p w:rsidR="00D67526" w:rsidRPr="009172AF" w:rsidRDefault="00D67526" w:rsidP="00D67526">
      <w:pPr>
        <w:spacing w:line="360" w:lineRule="auto"/>
        <w:ind w:left="720" w:right="567"/>
        <w:contextualSpacing/>
        <w:jc w:val="both"/>
        <w:rPr>
          <w:rFonts w:ascii="Palatino Linotype" w:eastAsia="MS Mincho" w:hAnsi="Palatino Linotype" w:cs="Arial"/>
          <w:i/>
          <w:lang w:val="es-ES_tradnl"/>
        </w:rPr>
      </w:pPr>
      <w:r w:rsidRPr="009172AF">
        <w:rPr>
          <w:rFonts w:ascii="Palatino Linotype" w:eastAsia="MS Mincho" w:hAnsi="Palatino Linotype" w:cs="Arial"/>
          <w:b/>
          <w:i/>
          <w:lang w:val="es-ES_tradnl"/>
        </w:rPr>
        <w:t>III.</w:t>
      </w:r>
      <w:r w:rsidRPr="009172AF">
        <w:rPr>
          <w:rFonts w:ascii="Palatino Linotype" w:eastAsia="MS Mincho" w:hAnsi="Palatino Linotype" w:cs="Arial"/>
          <w:i/>
          <w:lang w:val="es-ES_tradnl"/>
        </w:rPr>
        <w:t xml:space="preserve"> </w:t>
      </w:r>
      <w:r w:rsidRPr="009172AF">
        <w:rPr>
          <w:rFonts w:ascii="Palatino Linotype" w:eastAsia="MS Mincho" w:hAnsi="Palatino Linotype" w:cs="Arial"/>
          <w:b/>
          <w:i/>
          <w:lang w:val="es-ES_tradnl"/>
        </w:rPr>
        <w:t>La relativa a servidores públicos miembros de las instituciones de seguridad pública, cuya revelación pueda poner en riesgo su vida e integridad física con motivo de sus funciones;</w:t>
      </w:r>
      <w:r w:rsidRPr="009172AF">
        <w:rPr>
          <w:rFonts w:ascii="Palatino Linotype" w:eastAsia="MS Mincho" w:hAnsi="Palatino Linotype" w:cs="Arial"/>
          <w:i/>
          <w:lang w:val="es-ES_tradnl"/>
        </w:rPr>
        <w:t>”</w:t>
      </w:r>
    </w:p>
    <w:p w:rsidR="00D67526" w:rsidRPr="009172AF" w:rsidRDefault="00D67526" w:rsidP="00D67526">
      <w:pPr>
        <w:spacing w:line="360" w:lineRule="auto"/>
        <w:ind w:left="720" w:right="851"/>
        <w:contextualSpacing/>
        <w:jc w:val="both"/>
        <w:rPr>
          <w:rFonts w:ascii="Palatino Linotype" w:eastAsia="MS Mincho" w:hAnsi="Palatino Linotype" w:cs="Arial"/>
          <w:lang w:val="es-ES_tradnl"/>
        </w:rPr>
      </w:pPr>
      <w:r w:rsidRPr="009172AF">
        <w:rPr>
          <w:rFonts w:ascii="Palatino Linotype" w:eastAsia="MS Mincho" w:hAnsi="Palatino Linotype" w:cs="Arial"/>
          <w:lang w:val="es-ES_tradnl"/>
        </w:rPr>
        <w:t>(Énfasis añadido)</w:t>
      </w:r>
    </w:p>
    <w:p w:rsidR="00D67526" w:rsidRPr="009172AF" w:rsidRDefault="00D67526" w:rsidP="00D67526">
      <w:pPr>
        <w:spacing w:line="360" w:lineRule="auto"/>
        <w:jc w:val="both"/>
        <w:rPr>
          <w:rFonts w:ascii="Palatino Linotype" w:eastAsia="MS Mincho" w:hAnsi="Palatino Linotype" w:cs="Arial"/>
        </w:rPr>
      </w:pPr>
    </w:p>
    <w:p w:rsidR="00D67526" w:rsidRPr="009172AF" w:rsidRDefault="00D67526" w:rsidP="00D67526">
      <w:pPr>
        <w:pStyle w:val="Prrafodelista"/>
        <w:numPr>
          <w:ilvl w:val="0"/>
          <w:numId w:val="1"/>
        </w:numPr>
        <w:tabs>
          <w:tab w:val="left" w:pos="284"/>
        </w:tabs>
        <w:spacing w:line="360" w:lineRule="auto"/>
        <w:ind w:left="0" w:right="49" w:firstLine="0"/>
        <w:jc w:val="both"/>
        <w:rPr>
          <w:rFonts w:ascii="Palatino Linotype" w:eastAsia="MS Mincho" w:hAnsi="Palatino Linotype" w:cs="Arial"/>
        </w:rPr>
      </w:pPr>
      <w:r w:rsidRPr="009172AF">
        <w:rPr>
          <w:rFonts w:ascii="Palatino Linotype" w:hAnsi="Palatino Linotype" w:cs="Arial"/>
        </w:rPr>
        <w:t>Argumento que se fortalece con lo estipulado en el criterio número 6-09, del Instituto Nacional de Transparencia, Acceso a la Información y Protección de Datos Personales, antes (INAI)</w:t>
      </w:r>
      <w:r w:rsidRPr="009172AF">
        <w:rPr>
          <w:rFonts w:ascii="Palatino Linotype" w:hAnsi="Palatino Linotype" w:cs="Arial"/>
          <w:b/>
          <w:bCs/>
        </w:rPr>
        <w:t xml:space="preserve">, </w:t>
      </w:r>
      <w:r w:rsidRPr="009172AF">
        <w:rPr>
          <w:rFonts w:ascii="Palatino Linotype" w:hAnsi="Palatino Linotype" w:cs="Arial"/>
        </w:rPr>
        <w:t xml:space="preserve">el cual refiere: </w:t>
      </w:r>
    </w:p>
    <w:p w:rsidR="00D67526" w:rsidRPr="009172AF" w:rsidRDefault="00D67526" w:rsidP="00D67526">
      <w:pPr>
        <w:spacing w:line="360" w:lineRule="auto"/>
        <w:jc w:val="both"/>
        <w:rPr>
          <w:rFonts w:ascii="Palatino Linotype" w:hAnsi="Palatino Linotype" w:cs="Arial"/>
        </w:rPr>
      </w:pPr>
    </w:p>
    <w:p w:rsidR="00D67526" w:rsidRPr="009172AF" w:rsidRDefault="00D67526" w:rsidP="00D67526">
      <w:pPr>
        <w:autoSpaceDE w:val="0"/>
        <w:autoSpaceDN w:val="0"/>
        <w:adjustRightInd w:val="0"/>
        <w:spacing w:line="360" w:lineRule="auto"/>
        <w:ind w:left="720" w:right="567"/>
        <w:contextualSpacing/>
        <w:jc w:val="center"/>
        <w:rPr>
          <w:rFonts w:ascii="Palatino Linotype" w:hAnsi="Palatino Linotype" w:cs="Arial"/>
          <w:i/>
        </w:rPr>
      </w:pPr>
      <w:r w:rsidRPr="009172AF">
        <w:rPr>
          <w:rFonts w:ascii="Palatino Linotype" w:hAnsi="Palatino Linotype" w:cs="Arial"/>
          <w:b/>
          <w:bCs/>
          <w:i/>
        </w:rPr>
        <w:lastRenderedPageBreak/>
        <w:t>“Criterio 6-09</w:t>
      </w:r>
    </w:p>
    <w:p w:rsidR="00D67526" w:rsidRPr="009172AF" w:rsidRDefault="00D67526" w:rsidP="00D67526">
      <w:pPr>
        <w:autoSpaceDE w:val="0"/>
        <w:autoSpaceDN w:val="0"/>
        <w:adjustRightInd w:val="0"/>
        <w:spacing w:line="360" w:lineRule="auto"/>
        <w:ind w:left="720" w:right="567"/>
        <w:contextualSpacing/>
        <w:jc w:val="both"/>
        <w:rPr>
          <w:rFonts w:ascii="Palatino Linotype" w:hAnsi="Palatino Linotype" w:cs="Arial"/>
          <w:i/>
        </w:rPr>
      </w:pPr>
      <w:r w:rsidRPr="009172AF">
        <w:rPr>
          <w:rFonts w:ascii="Palatino Linotype" w:hAnsi="Palatino Linotype" w:cs="Arial"/>
          <w:b/>
          <w:bCs/>
          <w:i/>
        </w:rPr>
        <w:t xml:space="preserve">Nombres de servidores públicos dedicados a actividades en materia de seguridad, por excepción pueden considerarse información reservada. </w:t>
      </w:r>
      <w:r w:rsidRPr="009172AF">
        <w:rPr>
          <w:rFonts w:ascii="Palatino Linotype" w:hAnsi="Palatino Linotype" w:cs="Arial"/>
          <w:bCs/>
          <w:i/>
        </w:rPr>
        <w:t xml:space="preserve">De conformidad con el artículo 7, fracciones I y III de la Ley Federal de Transparencia y Acceso a la Información Pública Gubernamental </w:t>
      </w:r>
      <w:r w:rsidRPr="009172AF">
        <w:rPr>
          <w:rFonts w:ascii="Palatino Linotype" w:hAnsi="Palatino Linotype" w:cs="Arial"/>
          <w:b/>
          <w:bCs/>
          <w:i/>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9172AF">
        <w:rPr>
          <w:rFonts w:ascii="Palatino Linotype" w:hAnsi="Palatino Linotype" w:cs="Arial"/>
          <w:bCs/>
          <w:i/>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9172AF">
        <w:rPr>
          <w:rFonts w:ascii="Palatino Linotype" w:hAnsi="Palatino Linotype" w:cs="Arial"/>
          <w:b/>
          <w:bCs/>
          <w:i/>
        </w:rPr>
        <w:t>el artículo 13, fracción I de la ley de referencia se establece que podrá clasificarse aquella información cuya difusión pueda comprometer la seguridad nacional y pública</w:t>
      </w:r>
      <w:r w:rsidRPr="009172AF">
        <w:rPr>
          <w:rFonts w:ascii="Palatino Linotype" w:hAnsi="Palatino Linotype" w:cs="Arial"/>
          <w:bCs/>
          <w:i/>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9172AF">
        <w:rPr>
          <w:rFonts w:ascii="Palatino Linotype" w:hAnsi="Palatino Linotype" w:cs="Arial"/>
          <w:b/>
          <w:bCs/>
          <w:i/>
        </w:rPr>
        <w:t xml:space="preserve">por lo que la reserva de la relación de los nombres y las funciones que desempeñan los servidores </w:t>
      </w:r>
      <w:r w:rsidRPr="009172AF">
        <w:rPr>
          <w:rFonts w:ascii="Palatino Linotype" w:hAnsi="Palatino Linotype" w:cs="Arial"/>
          <w:b/>
          <w:bCs/>
          <w:i/>
        </w:rPr>
        <w:lastRenderedPageBreak/>
        <w:t>públicos que prestan sus servicios en áreas de seguridad nacional o pública</w:t>
      </w:r>
      <w:r w:rsidRPr="009172AF">
        <w:rPr>
          <w:rFonts w:ascii="Palatino Linotype" w:hAnsi="Palatino Linotype" w:cs="Arial"/>
          <w:bCs/>
          <w:i/>
        </w:rPr>
        <w:t>, puede llegar a constituirse en un componente fundamental en el esfuerzo que realiza el Estado Mexicano para garantizar la seguridad del país en sus diferentes vertientes</w:t>
      </w:r>
      <w:r w:rsidRPr="009172AF">
        <w:rPr>
          <w:rFonts w:ascii="Palatino Linotype" w:hAnsi="Palatino Linotype" w:cs="Arial"/>
          <w:i/>
        </w:rPr>
        <w:t>” (Sic)</w:t>
      </w:r>
    </w:p>
    <w:p w:rsidR="00D67526" w:rsidRPr="009172AF" w:rsidRDefault="00D67526" w:rsidP="00D67526">
      <w:pPr>
        <w:tabs>
          <w:tab w:val="left" w:pos="3583"/>
        </w:tabs>
        <w:autoSpaceDE w:val="0"/>
        <w:autoSpaceDN w:val="0"/>
        <w:adjustRightInd w:val="0"/>
        <w:spacing w:line="360" w:lineRule="auto"/>
        <w:ind w:left="720" w:right="567"/>
        <w:contextualSpacing/>
        <w:jc w:val="both"/>
        <w:rPr>
          <w:rFonts w:ascii="Palatino Linotype" w:hAnsi="Palatino Linotype" w:cs="Arial"/>
        </w:rPr>
      </w:pPr>
      <w:r w:rsidRPr="009172AF">
        <w:rPr>
          <w:rFonts w:ascii="Palatino Linotype" w:hAnsi="Palatino Linotype" w:cs="Arial"/>
        </w:rPr>
        <w:t>(Énfasis añadido).</w:t>
      </w:r>
    </w:p>
    <w:p w:rsidR="00D67526" w:rsidRPr="009172AF" w:rsidRDefault="00D67526" w:rsidP="00D67526">
      <w:pPr>
        <w:tabs>
          <w:tab w:val="left" w:pos="3583"/>
        </w:tabs>
        <w:autoSpaceDE w:val="0"/>
        <w:autoSpaceDN w:val="0"/>
        <w:adjustRightInd w:val="0"/>
        <w:spacing w:line="360" w:lineRule="auto"/>
        <w:ind w:left="720" w:right="567"/>
        <w:contextualSpacing/>
        <w:jc w:val="both"/>
        <w:rPr>
          <w:rFonts w:ascii="Palatino Linotype" w:hAnsi="Palatino Linotype" w:cs="Arial"/>
        </w:rPr>
      </w:pPr>
    </w:p>
    <w:p w:rsidR="00D67526" w:rsidRPr="009172AF" w:rsidRDefault="00D67526" w:rsidP="00D67526">
      <w:pPr>
        <w:pStyle w:val="Prrafodelista"/>
        <w:numPr>
          <w:ilvl w:val="0"/>
          <w:numId w:val="1"/>
        </w:numPr>
        <w:tabs>
          <w:tab w:val="left" w:pos="284"/>
        </w:tabs>
        <w:spacing w:line="360" w:lineRule="auto"/>
        <w:ind w:left="0" w:right="49" w:firstLine="0"/>
        <w:jc w:val="both"/>
        <w:rPr>
          <w:rFonts w:ascii="Palatino Linotype" w:hAnsi="Palatino Linotype"/>
        </w:rPr>
      </w:pPr>
      <w:r w:rsidRPr="009172AF">
        <w:rPr>
          <w:rFonts w:ascii="Palatino Linotype" w:hAnsi="Palatino Linotype"/>
        </w:rPr>
        <w:t xml:space="preserve">Precisado lo anterior, resulta conducente dar vista a la Secretaría Técnica del Pleno, para que en el ejercicio de las competencias reservadas integre y remita al Órgano Interno de Control un expediente formado con motivo de las presuntas infracciones de carácter omisivo cometidas en detrimento al derecho de acceso a la información.  </w:t>
      </w:r>
    </w:p>
    <w:p w:rsidR="00D67526" w:rsidRPr="009172AF" w:rsidRDefault="00D67526" w:rsidP="00D67526">
      <w:pPr>
        <w:pStyle w:val="Prrafodelista"/>
        <w:spacing w:line="360" w:lineRule="auto"/>
        <w:ind w:left="360"/>
        <w:jc w:val="both"/>
        <w:rPr>
          <w:rFonts w:ascii="Palatino Linotype" w:hAnsi="Palatino Linotype"/>
        </w:rPr>
      </w:pPr>
    </w:p>
    <w:p w:rsidR="00D67526" w:rsidRPr="009172AF" w:rsidRDefault="00D67526" w:rsidP="00D67526">
      <w:pPr>
        <w:pStyle w:val="Prrafodelista"/>
        <w:numPr>
          <w:ilvl w:val="0"/>
          <w:numId w:val="1"/>
        </w:numPr>
        <w:tabs>
          <w:tab w:val="left" w:pos="284"/>
        </w:tabs>
        <w:spacing w:line="360" w:lineRule="auto"/>
        <w:ind w:left="0" w:right="49" w:firstLine="0"/>
        <w:jc w:val="both"/>
        <w:rPr>
          <w:rFonts w:ascii="Palatino Linotype" w:hAnsi="Palatino Linotype"/>
        </w:rPr>
      </w:pPr>
      <w:r w:rsidRPr="009172AF">
        <w:rPr>
          <w:rFonts w:ascii="Palatino Linotype" w:hAnsi="Palatino Linotype"/>
        </w:rPr>
        <w:t>En efecto, la Secretaría técnica del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rsidR="00D67526" w:rsidRPr="009172AF" w:rsidRDefault="00D67526" w:rsidP="00D67526">
      <w:pPr>
        <w:pStyle w:val="Prrafodelista"/>
        <w:ind w:left="360"/>
        <w:rPr>
          <w:rFonts w:ascii="Palatino Linotype" w:hAnsi="Palatino Linotype"/>
        </w:rPr>
      </w:pPr>
    </w:p>
    <w:p w:rsidR="00D67526" w:rsidRPr="009172AF" w:rsidRDefault="00D67526" w:rsidP="00D67526">
      <w:pPr>
        <w:pStyle w:val="Prrafodelista"/>
        <w:spacing w:line="276" w:lineRule="auto"/>
        <w:ind w:left="851" w:right="822"/>
        <w:jc w:val="both"/>
        <w:rPr>
          <w:rFonts w:ascii="Palatino Linotype" w:hAnsi="Palatino Linotype"/>
          <w:i/>
        </w:rPr>
      </w:pPr>
      <w:r w:rsidRPr="009172AF">
        <w:rPr>
          <w:rFonts w:ascii="Palatino Linotype" w:hAnsi="Palatino Linotype"/>
          <w:i/>
        </w:rPr>
        <w:t xml:space="preserve">“Artículo 190. Cuando el Instituto determine durante la sustanciación del recurso de revisión que pudo haberse incurrido en una probable </w:t>
      </w:r>
      <w:r w:rsidRPr="009172AF">
        <w:rPr>
          <w:rFonts w:ascii="Palatino Linotype" w:hAnsi="Palatino Linotype"/>
          <w:i/>
        </w:rPr>
        <w:lastRenderedPageBreak/>
        <w:t>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D67526" w:rsidRPr="009172AF" w:rsidRDefault="00D67526" w:rsidP="00D67526">
      <w:pPr>
        <w:pStyle w:val="Prrafodelista"/>
        <w:spacing w:line="276" w:lineRule="auto"/>
        <w:ind w:left="851" w:right="822"/>
        <w:jc w:val="both"/>
        <w:rPr>
          <w:rFonts w:ascii="Palatino Linotype" w:hAnsi="Palatino Linotype"/>
          <w:i/>
        </w:rPr>
      </w:pPr>
    </w:p>
    <w:p w:rsidR="00D67526" w:rsidRPr="009172AF" w:rsidRDefault="00D67526" w:rsidP="00D67526">
      <w:pPr>
        <w:pStyle w:val="Prrafodelista"/>
        <w:spacing w:line="276" w:lineRule="auto"/>
        <w:ind w:left="851" w:right="822"/>
        <w:jc w:val="both"/>
        <w:rPr>
          <w:rFonts w:ascii="Palatino Linotype" w:hAnsi="Palatino Linotype"/>
          <w:i/>
        </w:rPr>
      </w:pPr>
      <w:r w:rsidRPr="009172AF">
        <w:rPr>
          <w:rFonts w:ascii="Palatino Linotype" w:hAnsi="Palatino Linotype"/>
          <w:i/>
        </w:rPr>
        <w:t>Artículo 222. Son causas de responsabilidad administrativa de los servidores públicos de los sujetos obligados, por incumplimiento de las obligaciones establecidas en la materia de la presente Ley, las siguientes:</w:t>
      </w:r>
    </w:p>
    <w:p w:rsidR="00D67526" w:rsidRPr="009172AF" w:rsidRDefault="00D67526" w:rsidP="00D67526">
      <w:pPr>
        <w:pStyle w:val="Prrafodelista"/>
        <w:spacing w:line="276" w:lineRule="auto"/>
        <w:ind w:left="851" w:right="822"/>
        <w:jc w:val="both"/>
        <w:rPr>
          <w:rFonts w:ascii="Palatino Linotype" w:hAnsi="Palatino Linotype"/>
          <w:i/>
        </w:rPr>
      </w:pPr>
      <w:r w:rsidRPr="009172AF">
        <w:rPr>
          <w:rFonts w:ascii="Palatino Linotype" w:hAnsi="Palatino Linotype"/>
          <w:i/>
        </w:rPr>
        <w:t>(…)</w:t>
      </w:r>
    </w:p>
    <w:p w:rsidR="00D67526" w:rsidRPr="009172AF" w:rsidRDefault="00D67526" w:rsidP="00D67526">
      <w:pPr>
        <w:pStyle w:val="Prrafodelista"/>
        <w:spacing w:line="276" w:lineRule="auto"/>
        <w:ind w:left="851" w:right="822"/>
        <w:jc w:val="both"/>
        <w:rPr>
          <w:rFonts w:ascii="Palatino Linotype" w:hAnsi="Palatino Linotype"/>
          <w:i/>
        </w:rPr>
      </w:pPr>
      <w:r w:rsidRPr="009172AF">
        <w:rPr>
          <w:rFonts w:ascii="Palatino Linotype" w:hAnsi="Palatino Linotype"/>
          <w:i/>
        </w:rPr>
        <w:t>I. Cualquier acto u omisión que provoque la suspensión o deficiencia en la atención de las solicitudes de información;</w:t>
      </w:r>
    </w:p>
    <w:p w:rsidR="00D67526" w:rsidRPr="009172AF" w:rsidRDefault="00D67526" w:rsidP="00D67526">
      <w:pPr>
        <w:pStyle w:val="Prrafodelista"/>
        <w:spacing w:line="276" w:lineRule="auto"/>
        <w:ind w:left="851" w:right="822"/>
        <w:jc w:val="both"/>
        <w:rPr>
          <w:rFonts w:ascii="Palatino Linotype" w:hAnsi="Palatino Linotype"/>
          <w:i/>
        </w:rPr>
      </w:pPr>
      <w:r w:rsidRPr="009172AF">
        <w:rPr>
          <w:rFonts w:ascii="Palatino Linotype" w:hAnsi="Palatino Linotype"/>
          <w:i/>
        </w:rPr>
        <w:t>…</w:t>
      </w:r>
    </w:p>
    <w:p w:rsidR="00D67526" w:rsidRPr="009172AF" w:rsidRDefault="00D67526" w:rsidP="00D67526">
      <w:pPr>
        <w:pStyle w:val="Prrafodelista"/>
        <w:spacing w:line="276" w:lineRule="auto"/>
        <w:ind w:left="851"/>
        <w:rPr>
          <w:rFonts w:ascii="Palatino Linotype" w:hAnsi="Palatino Linotype"/>
          <w:i/>
        </w:rPr>
      </w:pPr>
      <w:r w:rsidRPr="009172AF">
        <w:rPr>
          <w:rFonts w:ascii="Palatino Linotype" w:hAnsi="Palatino Linotype"/>
          <w:i/>
        </w:rPr>
        <w:t>IV. Entregar información clasificada como reservada;</w:t>
      </w:r>
    </w:p>
    <w:p w:rsidR="00D67526" w:rsidRPr="009172AF" w:rsidRDefault="00D67526" w:rsidP="00D67526">
      <w:pPr>
        <w:pStyle w:val="Prrafodelista"/>
        <w:spacing w:line="276" w:lineRule="auto"/>
        <w:ind w:left="851" w:right="822"/>
        <w:jc w:val="both"/>
        <w:rPr>
          <w:rFonts w:ascii="Palatino Linotype" w:hAnsi="Palatino Linotype"/>
          <w:i/>
        </w:rPr>
      </w:pPr>
      <w:r w:rsidRPr="009172AF">
        <w:rPr>
          <w:rFonts w:ascii="Palatino Linotype" w:hAnsi="Palatino Linotype"/>
          <w:i/>
        </w:rPr>
        <w:t xml:space="preserve">(…)” </w:t>
      </w:r>
    </w:p>
    <w:p w:rsidR="00D67526" w:rsidRPr="009172AF" w:rsidRDefault="00D67526" w:rsidP="00D67526">
      <w:pPr>
        <w:tabs>
          <w:tab w:val="left" w:pos="0"/>
        </w:tabs>
        <w:spacing w:after="160" w:line="360" w:lineRule="auto"/>
        <w:contextualSpacing/>
        <w:jc w:val="both"/>
        <w:rPr>
          <w:rFonts w:ascii="Palatino Linotype" w:hAnsi="Palatino Linotype"/>
        </w:rPr>
      </w:pPr>
    </w:p>
    <w:p w:rsidR="00D67526" w:rsidRPr="009172AF" w:rsidRDefault="00D67526" w:rsidP="00D67526">
      <w:pPr>
        <w:pStyle w:val="Prrafodelista"/>
        <w:numPr>
          <w:ilvl w:val="0"/>
          <w:numId w:val="1"/>
        </w:numPr>
        <w:tabs>
          <w:tab w:val="left" w:pos="284"/>
        </w:tabs>
        <w:spacing w:line="360" w:lineRule="auto"/>
        <w:ind w:left="0" w:right="49" w:firstLine="0"/>
        <w:jc w:val="both"/>
        <w:rPr>
          <w:rFonts w:ascii="Palatino Linotype" w:hAnsi="Palatino Linotype"/>
          <w:lang w:eastAsia="en-US"/>
        </w:rPr>
      </w:pPr>
      <w:r w:rsidRPr="009172AF">
        <w:rPr>
          <w:rFonts w:ascii="Palatino Linotype" w:hAnsi="Palatino Linotype"/>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rsidR="00D67526" w:rsidRPr="009172AF" w:rsidRDefault="00D67526" w:rsidP="00D67526">
      <w:pPr>
        <w:pStyle w:val="Prrafodelista"/>
        <w:spacing w:line="360" w:lineRule="auto"/>
        <w:ind w:left="0"/>
        <w:jc w:val="both"/>
        <w:rPr>
          <w:rFonts w:ascii="Palatino Linotype" w:hAnsi="Palatino Linotype"/>
          <w:lang w:eastAsia="en-US"/>
        </w:rPr>
      </w:pPr>
    </w:p>
    <w:p w:rsidR="00D67526" w:rsidRPr="009172AF" w:rsidRDefault="00D67526" w:rsidP="00D67526">
      <w:pPr>
        <w:tabs>
          <w:tab w:val="left" w:pos="851"/>
        </w:tabs>
        <w:spacing w:after="160" w:line="360" w:lineRule="auto"/>
        <w:ind w:left="851"/>
        <w:contextualSpacing/>
        <w:jc w:val="both"/>
        <w:rPr>
          <w:rFonts w:ascii="Palatino Linotype" w:hAnsi="Palatino Linotype"/>
        </w:rPr>
      </w:pPr>
      <w:r w:rsidRPr="009172AF">
        <w:rPr>
          <w:rFonts w:ascii="Palatino Linotype" w:hAnsi="Palatino Linotype"/>
          <w:i/>
        </w:rPr>
        <w:t>“Artículo 19. Corresponde a la Secretaría Técnica del Pleno ejercer las atribuciones siguientes:</w:t>
      </w:r>
    </w:p>
    <w:p w:rsidR="00D67526" w:rsidRPr="009172AF" w:rsidRDefault="00D67526" w:rsidP="00D67526">
      <w:pPr>
        <w:pStyle w:val="Prrafodelista"/>
        <w:spacing w:before="240" w:after="240" w:line="360" w:lineRule="auto"/>
        <w:ind w:left="851" w:right="822"/>
        <w:jc w:val="both"/>
        <w:rPr>
          <w:rFonts w:ascii="Palatino Linotype" w:hAnsi="Palatino Linotype"/>
          <w:i/>
        </w:rPr>
      </w:pPr>
      <w:r w:rsidRPr="009172AF">
        <w:rPr>
          <w:rFonts w:ascii="Palatino Linotype" w:hAnsi="Palatino Linotype"/>
          <w:i/>
        </w:rPr>
        <w:t>…</w:t>
      </w:r>
    </w:p>
    <w:p w:rsidR="00D67526" w:rsidRPr="009172AF" w:rsidRDefault="00D67526" w:rsidP="00D67526">
      <w:pPr>
        <w:pStyle w:val="Prrafodelista"/>
        <w:spacing w:before="240" w:after="240" w:line="360" w:lineRule="auto"/>
        <w:ind w:left="851" w:right="822"/>
        <w:jc w:val="both"/>
        <w:rPr>
          <w:rFonts w:ascii="Palatino Linotype" w:hAnsi="Palatino Linotype"/>
          <w:i/>
        </w:rPr>
      </w:pPr>
      <w:r w:rsidRPr="009172AF">
        <w:rPr>
          <w:rFonts w:ascii="Palatino Linotype" w:hAnsi="Palatino Linotype"/>
          <w:i/>
        </w:rPr>
        <w:lastRenderedPageBreak/>
        <w:t>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w:t>
      </w:r>
    </w:p>
    <w:p w:rsidR="00D67526" w:rsidRPr="009172AF" w:rsidRDefault="00D67526" w:rsidP="00D67526">
      <w:pPr>
        <w:pStyle w:val="Prrafodelista"/>
        <w:spacing w:before="240" w:after="240" w:line="360" w:lineRule="auto"/>
        <w:ind w:left="851" w:right="822"/>
        <w:jc w:val="both"/>
        <w:rPr>
          <w:rFonts w:ascii="Palatino Linotype" w:hAnsi="Palatino Linotype"/>
          <w:i/>
        </w:rPr>
      </w:pPr>
      <w:r w:rsidRPr="009172AF">
        <w:rPr>
          <w:rFonts w:ascii="Palatino Linotype" w:hAnsi="Palatino Linotype"/>
          <w:i/>
        </w:rPr>
        <w:t>…”</w:t>
      </w:r>
    </w:p>
    <w:p w:rsidR="00D67526" w:rsidRPr="009172AF" w:rsidRDefault="00D67526" w:rsidP="00D67526">
      <w:pPr>
        <w:pStyle w:val="Prrafodelista"/>
        <w:spacing w:before="240" w:after="240" w:line="360" w:lineRule="auto"/>
        <w:ind w:left="851" w:right="822"/>
        <w:jc w:val="both"/>
        <w:rPr>
          <w:rFonts w:ascii="Palatino Linotype" w:hAnsi="Palatino Linotype"/>
          <w:i/>
          <w:color w:val="000000" w:themeColor="text1"/>
        </w:rPr>
      </w:pPr>
    </w:p>
    <w:p w:rsidR="00D67526" w:rsidRPr="009172AF" w:rsidRDefault="00D67526" w:rsidP="00D67526">
      <w:pPr>
        <w:pStyle w:val="Prrafodelista"/>
        <w:numPr>
          <w:ilvl w:val="0"/>
          <w:numId w:val="1"/>
        </w:numPr>
        <w:tabs>
          <w:tab w:val="left" w:pos="284"/>
        </w:tabs>
        <w:spacing w:line="360" w:lineRule="auto"/>
        <w:ind w:left="0" w:right="49" w:firstLine="0"/>
        <w:jc w:val="both"/>
        <w:rPr>
          <w:rFonts w:ascii="Palatino Linotype" w:hAnsi="Palatino Linotype"/>
          <w:lang w:eastAsia="en-US"/>
        </w:rPr>
      </w:pPr>
      <w:r w:rsidRPr="009172AF">
        <w:rPr>
          <w:rFonts w:ascii="Palatino Linotype" w:hAnsi="Palatino Linotype"/>
        </w:rPr>
        <w:t>Por lo que es menester en este asunto, dar vista a la Secretaría Técnica del Pleno a efecto de que ejerza las atribuciones previstas en la normatividad aplicable y comunique al  Órgano de Control Interno de este Instituto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B361D" w:rsidRPr="009172AF" w:rsidRDefault="00AB361D" w:rsidP="000504A5">
      <w:pPr>
        <w:pStyle w:val="Prrafodelista"/>
        <w:rPr>
          <w:rFonts w:ascii="Palatino Linotype" w:eastAsia="Palatino Linotype" w:hAnsi="Palatino Linotype" w:cs="Palatino Linotype"/>
          <w:color w:val="000000"/>
        </w:rPr>
      </w:pPr>
    </w:p>
    <w:p w:rsidR="00AB361D" w:rsidRPr="009172AF" w:rsidRDefault="00AB361D" w:rsidP="000504A5">
      <w:pPr>
        <w:pStyle w:val="Prrafodelista"/>
        <w:rPr>
          <w:rFonts w:ascii="Palatino Linotype" w:eastAsia="Palatino Linotype" w:hAnsi="Palatino Linotype" w:cs="Palatino Linotype"/>
          <w:color w:val="000000"/>
        </w:rPr>
      </w:pPr>
    </w:p>
    <w:p w:rsidR="0034765B" w:rsidRPr="009172AF" w:rsidRDefault="00D67526" w:rsidP="0034765B">
      <w:pPr>
        <w:pStyle w:val="Prrafodelista"/>
        <w:numPr>
          <w:ilvl w:val="0"/>
          <w:numId w:val="1"/>
        </w:numPr>
        <w:tabs>
          <w:tab w:val="left" w:pos="284"/>
        </w:tabs>
        <w:spacing w:line="360" w:lineRule="auto"/>
        <w:ind w:left="0" w:right="49" w:firstLine="0"/>
        <w:jc w:val="both"/>
        <w:rPr>
          <w:rFonts w:ascii="Palatino Linotype" w:eastAsia="Palatino Linotype" w:hAnsi="Palatino Linotype" w:cs="Palatino Linotype"/>
          <w:color w:val="000000"/>
        </w:rPr>
      </w:pPr>
      <w:r w:rsidRPr="009172AF">
        <w:rPr>
          <w:rFonts w:ascii="Palatino Linotype" w:eastAsia="Palatino Linotype" w:hAnsi="Palatino Linotype" w:cs="Palatino Linotype"/>
          <w:color w:val="000000"/>
        </w:rPr>
        <w:lastRenderedPageBreak/>
        <w:t>En otra línea de pensamiento, de la versión pública se testan además de datos de particulares</w:t>
      </w:r>
      <w:r w:rsidR="0022639E" w:rsidRPr="009172AF">
        <w:rPr>
          <w:rFonts w:ascii="Palatino Linotype" w:eastAsia="Palatino Linotype" w:hAnsi="Palatino Linotype" w:cs="Palatino Linotype"/>
          <w:color w:val="000000"/>
        </w:rPr>
        <w:t xml:space="preserve">, </w:t>
      </w:r>
      <w:r w:rsidR="0034765B" w:rsidRPr="009172AF">
        <w:rPr>
          <w:rFonts w:ascii="Palatino Linotype" w:eastAsia="Palatino Linotype" w:hAnsi="Palatino Linotype" w:cs="Palatino Linotype"/>
          <w:color w:val="000000"/>
        </w:rPr>
        <w:t xml:space="preserve">datos como el </w:t>
      </w:r>
      <w:r w:rsidR="0034765B" w:rsidRPr="009172AF">
        <w:rPr>
          <w:rFonts w:ascii="Palatino Linotype" w:eastAsia="Palatino Linotype" w:hAnsi="Palatino Linotype" w:cs="Palatino Linotype"/>
          <w:i/>
          <w:color w:val="000000"/>
        </w:rPr>
        <w:t xml:space="preserve">género; </w:t>
      </w:r>
      <w:r w:rsidR="0034765B" w:rsidRPr="009172AF">
        <w:rPr>
          <w:rFonts w:ascii="Palatino Linotype" w:eastAsia="Palatino Linotype" w:hAnsi="Palatino Linotype" w:cs="Palatino Linotype"/>
          <w:color w:val="000000"/>
        </w:rPr>
        <w:t xml:space="preserve">dato que en el contexto de la protección de datos personales, el género (masculino, femenino, no binario, etc.) es considerado un dato personal, ya que puede identificar o hacer identificable a una persona. Sin embargo este por sí mismo, sin estar asociado a un nombre y constar en el texto únicamente como un pronombre, no lo hace un dato </w:t>
      </w:r>
      <w:r w:rsidR="0022639E" w:rsidRPr="009172AF">
        <w:rPr>
          <w:rFonts w:ascii="Palatino Linotype" w:eastAsia="Palatino Linotype" w:hAnsi="Palatino Linotype" w:cs="Palatino Linotype"/>
          <w:color w:val="000000"/>
        </w:rPr>
        <w:t>susceptible</w:t>
      </w:r>
      <w:r w:rsidR="0034765B" w:rsidRPr="009172AF">
        <w:rPr>
          <w:rFonts w:ascii="Palatino Linotype" w:eastAsia="Palatino Linotype" w:hAnsi="Palatino Linotype" w:cs="Palatino Linotype"/>
          <w:color w:val="000000"/>
        </w:rPr>
        <w:t xml:space="preserve"> de ser testado como confidencial, como se desprende de múltiples hojas del archivo antes referido.</w:t>
      </w:r>
    </w:p>
    <w:p w:rsidR="0034765B" w:rsidRPr="009172AF" w:rsidRDefault="0034765B" w:rsidP="0034765B">
      <w:pPr>
        <w:pStyle w:val="Prrafodelista"/>
        <w:tabs>
          <w:tab w:val="left" w:pos="284"/>
        </w:tabs>
        <w:spacing w:line="360" w:lineRule="auto"/>
        <w:ind w:left="0" w:right="49"/>
        <w:jc w:val="both"/>
        <w:rPr>
          <w:rFonts w:ascii="Palatino Linotype" w:eastAsia="Palatino Linotype" w:hAnsi="Palatino Linotype" w:cs="Palatino Linotype"/>
          <w:color w:val="000000"/>
        </w:rPr>
      </w:pPr>
    </w:p>
    <w:p w:rsidR="0034765B" w:rsidRPr="009172AF" w:rsidRDefault="0034765B" w:rsidP="0034765B">
      <w:pPr>
        <w:pStyle w:val="Prrafodelista"/>
        <w:numPr>
          <w:ilvl w:val="0"/>
          <w:numId w:val="1"/>
        </w:numPr>
        <w:tabs>
          <w:tab w:val="left" w:pos="284"/>
        </w:tabs>
        <w:spacing w:line="360" w:lineRule="auto"/>
        <w:ind w:left="0" w:right="49" w:firstLine="0"/>
        <w:jc w:val="both"/>
        <w:rPr>
          <w:rFonts w:ascii="Palatino Linotype" w:eastAsia="Palatino Linotype" w:hAnsi="Palatino Linotype" w:cs="Palatino Linotype"/>
          <w:color w:val="000000"/>
        </w:rPr>
      </w:pPr>
      <w:r w:rsidRPr="009172AF">
        <w:rPr>
          <w:rFonts w:ascii="Palatino Linotype" w:eastAsia="Palatino Linotype" w:hAnsi="Palatino Linotype" w:cs="Palatino Linotype"/>
          <w:color w:val="000000"/>
        </w:rPr>
        <w:t xml:space="preserve">Cabe hacer la aclaración que en muchos casos, junto con otros datos (nombre, fecha de nacimiento, etc.), puede servir para distinguir a una persona, incluso corresponde a un dato sensible porque eventualmente puede podría usarse para discriminación a las personas titulares, toda vez que revela el origen racial u, orientación sexual. No obstante se insiste que ello no implica que se deban de testar pronombres en un texto cuando estos no se encuentran asociados a otros datos personales que permitan hacer identificable a una persona, como se desprende de lo remitido en respuesta del siguiente ejemplo, extraído, del archivo </w:t>
      </w:r>
      <w:r w:rsidRPr="009172AF">
        <w:rPr>
          <w:rFonts w:ascii="Palatino Linotype" w:eastAsia="Palatino Linotype" w:hAnsi="Palatino Linotype" w:cs="Palatino Linotype"/>
          <w:b/>
          <w:i/>
          <w:color w:val="000000"/>
        </w:rPr>
        <w:t>Anexo solicitud 03451-TOLUCA-IP-2024.pdf,</w:t>
      </w:r>
      <w:r w:rsidRPr="009172AF">
        <w:rPr>
          <w:rFonts w:ascii="Palatino Linotype" w:eastAsia="Palatino Linotype" w:hAnsi="Palatino Linotype" w:cs="Palatino Linotype"/>
          <w:color w:val="000000"/>
        </w:rPr>
        <w:t xml:space="preserve"> diverso del anteriormente analizado que corresponde a la solicitud de información 03451/TOLUCA/IP/2024.</w:t>
      </w:r>
    </w:p>
    <w:p w:rsidR="0034765B" w:rsidRPr="009172AF" w:rsidRDefault="0034765B" w:rsidP="0034765B">
      <w:pPr>
        <w:pStyle w:val="Prrafodelista"/>
        <w:rPr>
          <w:rFonts w:ascii="Palatino Linotype" w:eastAsia="Palatino Linotype" w:hAnsi="Palatino Linotype" w:cs="Palatino Linotype"/>
          <w:color w:val="000000"/>
        </w:rPr>
      </w:pPr>
    </w:p>
    <w:p w:rsidR="0034765B" w:rsidRPr="009172AF" w:rsidRDefault="0034765B" w:rsidP="0034765B">
      <w:pPr>
        <w:tabs>
          <w:tab w:val="left" w:pos="284"/>
        </w:tabs>
        <w:spacing w:line="360" w:lineRule="auto"/>
        <w:ind w:right="49"/>
        <w:jc w:val="center"/>
        <w:rPr>
          <w:rFonts w:ascii="Palatino Linotype" w:eastAsia="Palatino Linotype" w:hAnsi="Palatino Linotype" w:cs="Palatino Linotype"/>
          <w:color w:val="000000"/>
        </w:rPr>
      </w:pPr>
      <w:r w:rsidRPr="009172AF">
        <w:rPr>
          <w:rFonts w:ascii="Palatino Linotype" w:eastAsia="Palatino Linotype" w:hAnsi="Palatino Linotype" w:cs="Palatino Linotype"/>
          <w:noProof/>
          <w:color w:val="000000"/>
          <w:lang w:val="es-MX" w:eastAsia="es-MX"/>
        </w:rPr>
        <w:lastRenderedPageBreak/>
        <w:drawing>
          <wp:inline distT="0" distB="0" distL="0" distR="0" wp14:anchorId="320B722D" wp14:editId="6A34E4BA">
            <wp:extent cx="4400105" cy="1347216"/>
            <wp:effectExtent l="0" t="0" r="635"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06966" cy="1349317"/>
                    </a:xfrm>
                    <a:prstGeom prst="rect">
                      <a:avLst/>
                    </a:prstGeom>
                  </pic:spPr>
                </pic:pic>
              </a:graphicData>
            </a:graphic>
          </wp:inline>
        </w:drawing>
      </w:r>
    </w:p>
    <w:p w:rsidR="0034765B" w:rsidRPr="009172AF" w:rsidRDefault="0034765B" w:rsidP="0034765B">
      <w:pPr>
        <w:tabs>
          <w:tab w:val="left" w:pos="284"/>
        </w:tabs>
        <w:spacing w:line="360" w:lineRule="auto"/>
        <w:ind w:right="49"/>
        <w:jc w:val="both"/>
        <w:rPr>
          <w:rFonts w:ascii="Palatino Linotype" w:eastAsia="Palatino Linotype" w:hAnsi="Palatino Linotype" w:cs="Palatino Linotype"/>
          <w:color w:val="000000"/>
        </w:rPr>
      </w:pPr>
    </w:p>
    <w:p w:rsidR="00715AF1" w:rsidRPr="009172AF" w:rsidRDefault="0034765B" w:rsidP="00715AF1">
      <w:pPr>
        <w:pStyle w:val="Prrafodelista"/>
        <w:numPr>
          <w:ilvl w:val="0"/>
          <w:numId w:val="1"/>
        </w:numPr>
        <w:tabs>
          <w:tab w:val="left" w:pos="284"/>
        </w:tabs>
        <w:spacing w:line="360" w:lineRule="auto"/>
        <w:ind w:left="0" w:right="49" w:firstLine="0"/>
        <w:jc w:val="both"/>
        <w:rPr>
          <w:rFonts w:ascii="Palatino Linotype" w:eastAsia="Palatino Linotype" w:hAnsi="Palatino Linotype" w:cs="Palatino Linotype"/>
          <w:color w:val="000000"/>
        </w:rPr>
      </w:pPr>
      <w:r w:rsidRPr="009172AF">
        <w:rPr>
          <w:rFonts w:ascii="Palatino Linotype" w:eastAsia="Palatino Linotype" w:hAnsi="Palatino Linotype" w:cs="Palatino Linotype"/>
          <w:color w:val="000000"/>
        </w:rPr>
        <w:t xml:space="preserve">Por lo que en relatadas circunstancias resulta dable ordenar los multicitados informes en una correcta versión pública. </w:t>
      </w:r>
      <w:r w:rsidR="00715AF1" w:rsidRPr="009172AF">
        <w:rPr>
          <w:rFonts w:ascii="Palatino Linotype" w:eastAsia="Palatino Linotype" w:hAnsi="Palatino Linotype" w:cs="Palatino Linotype"/>
          <w:color w:val="000000"/>
        </w:rPr>
        <w:t xml:space="preserve">Con la determinación anterior se determina </w:t>
      </w:r>
      <w:r w:rsidR="000504A5" w:rsidRPr="009172AF">
        <w:rPr>
          <w:rFonts w:ascii="Palatino Linotype" w:eastAsia="Palatino Linotype" w:hAnsi="Palatino Linotype" w:cs="Palatino Linotype"/>
          <w:color w:val="000000"/>
        </w:rPr>
        <w:t>quedará por</w:t>
      </w:r>
      <w:r w:rsidR="00715AF1" w:rsidRPr="009172AF">
        <w:rPr>
          <w:rFonts w:ascii="Palatino Linotype" w:eastAsia="Palatino Linotype" w:hAnsi="Palatino Linotype" w:cs="Palatino Linotype"/>
          <w:color w:val="000000"/>
        </w:rPr>
        <w:t xml:space="preserve"> colmado el derecho de acceso a la información del ahora </w:t>
      </w:r>
      <w:r w:rsidR="00715AF1" w:rsidRPr="009172AF">
        <w:rPr>
          <w:rFonts w:ascii="Palatino Linotype" w:eastAsia="Palatino Linotype" w:hAnsi="Palatino Linotype" w:cs="Palatino Linotype"/>
        </w:rPr>
        <w:t>Recurrente</w:t>
      </w:r>
      <w:r w:rsidR="00715AF1" w:rsidRPr="009172AF">
        <w:rPr>
          <w:rFonts w:ascii="Palatino Linotype" w:eastAsia="Palatino Linotype" w:hAnsi="Palatino Linotype" w:cs="Palatino Linotype"/>
          <w:color w:val="000000"/>
        </w:rPr>
        <w:t xml:space="preserve">; toda vez que el Derecho que tutela este Órgano Garante </w:t>
      </w:r>
      <w:r w:rsidR="00715AF1" w:rsidRPr="009172AF">
        <w:rPr>
          <w:rFonts w:ascii="Palatino Linotype" w:eastAsia="Palatino Linotype" w:hAnsi="Palatino Linotype" w:cs="Palatino Linotype"/>
          <w:color w:val="000000" w:themeColor="text1"/>
        </w:rPr>
        <w:t>corresponde</w:t>
      </w:r>
      <w:r w:rsidR="00715AF1" w:rsidRPr="009172AF">
        <w:rPr>
          <w:rFonts w:ascii="Palatino Linotype" w:eastAsia="Palatino Linotype" w:hAnsi="Palatino Linotype" w:cs="Palatino Linotype"/>
          <w:color w:val="000000"/>
        </w:rPr>
        <w:t xml:space="preserve"> a la  </w:t>
      </w:r>
      <w:r w:rsidR="00715AF1" w:rsidRPr="009172AF">
        <w:rPr>
          <w:rFonts w:ascii="Palatino Linotype" w:eastAsia="Palatino Linotype" w:hAnsi="Palatino Linotype" w:cs="Palatino Linotype"/>
          <w:i/>
          <w:color w:val="000000"/>
        </w:rPr>
        <w:t>igualdad de oportunidades para recibir, buscar e impartir información</w:t>
      </w:r>
      <w:r w:rsidR="00715AF1" w:rsidRPr="009172AF">
        <w:rPr>
          <w:rFonts w:ascii="Palatino Linotype" w:eastAsia="Palatino Linotype" w:hAnsi="Palatino Linotype" w:cs="Palatino Linotype"/>
          <w:i/>
          <w:color w:val="000000"/>
          <w:vertAlign w:val="superscript"/>
        </w:rPr>
        <w:footnoteReference w:id="2"/>
      </w:r>
      <w:r w:rsidR="00715AF1" w:rsidRPr="009172AF">
        <w:rPr>
          <w:rFonts w:ascii="Palatino Linotype" w:eastAsia="Palatino Linotype" w:hAnsi="Palatino Linotype" w:cs="Palatino Linotype"/>
          <w:i/>
          <w:color w:val="000000"/>
        </w:rPr>
        <w:t xml:space="preserve"> en posesión de cualquier autoridad, entidad, órgano y organismo de los </w:t>
      </w:r>
      <w:r w:rsidR="00715AF1" w:rsidRPr="009172AF">
        <w:rPr>
          <w:rFonts w:ascii="Palatino Linotype" w:eastAsia="Palatino Linotype" w:hAnsi="Palatino Linotype" w:cs="Palatino Linotype"/>
        </w:rPr>
        <w:t>poderes</w:t>
      </w:r>
      <w:r w:rsidR="00715AF1" w:rsidRPr="009172AF">
        <w:rPr>
          <w:rFonts w:ascii="Palatino Linotype" w:eastAsia="Palatino Linotype" w:hAnsi="Palatino Linotype" w:cs="Palatino Linotype"/>
          <w:i/>
          <w:color w:val="000000"/>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715AF1" w:rsidRPr="009172AF">
        <w:rPr>
          <w:rFonts w:ascii="Palatino Linotype" w:eastAsia="Palatino Linotype" w:hAnsi="Palatino Linotype" w:cs="Palatino Linotype"/>
          <w:color w:val="000000"/>
          <w:vertAlign w:val="superscript"/>
        </w:rPr>
        <w:footnoteReference w:id="3"/>
      </w:r>
      <w:r w:rsidR="00715AF1" w:rsidRPr="009172AF">
        <w:rPr>
          <w:rFonts w:ascii="Palatino Linotype" w:eastAsia="Palatino Linotype" w:hAnsi="Palatino Linotype" w:cs="Palatino Linotype"/>
          <w:i/>
          <w:color w:val="000000"/>
        </w:rPr>
        <w:t xml:space="preserve"> </w:t>
      </w:r>
      <w:r w:rsidR="00715AF1" w:rsidRPr="009172AF">
        <w:rPr>
          <w:rFonts w:ascii="Palatino Linotype" w:eastAsia="Palatino Linotype" w:hAnsi="Palatino Linotype" w:cs="Palatino Linotype"/>
          <w:color w:val="000000"/>
        </w:rPr>
        <w:t xml:space="preserve">que se constituye como una herramienta fundamental para </w:t>
      </w:r>
      <w:r w:rsidR="00715AF1" w:rsidRPr="009172AF">
        <w:rPr>
          <w:rFonts w:ascii="Palatino Linotype" w:eastAsia="Palatino Linotype" w:hAnsi="Palatino Linotype" w:cs="Palatino Linotype"/>
          <w:i/>
          <w:color w:val="000000"/>
        </w:rPr>
        <w:t>ejercer control democrático de las gestiones estatales, de forma tal que puedan cuestionar, indagar y considerar si se está dando un adecuado cumplimiento de las funciones públicas,</w:t>
      </w:r>
      <w:r w:rsidR="00715AF1" w:rsidRPr="009172AF">
        <w:rPr>
          <w:rFonts w:ascii="Palatino Linotype" w:eastAsia="Palatino Linotype" w:hAnsi="Palatino Linotype" w:cs="Palatino Linotype"/>
          <w:i/>
          <w:color w:val="000000"/>
          <w:vertAlign w:val="superscript"/>
        </w:rPr>
        <w:footnoteReference w:id="4"/>
      </w:r>
      <w:r w:rsidR="00715AF1" w:rsidRPr="009172AF">
        <w:rPr>
          <w:rFonts w:ascii="Palatino Linotype" w:eastAsia="Palatino Linotype" w:hAnsi="Palatino Linotype" w:cs="Palatino Linotype"/>
          <w:color w:val="000000"/>
        </w:rPr>
        <w:t>fomentando</w:t>
      </w:r>
      <w:r w:rsidR="00715AF1" w:rsidRPr="009172AF">
        <w:rPr>
          <w:rFonts w:ascii="Palatino Linotype" w:eastAsia="Palatino Linotype" w:hAnsi="Palatino Linotype" w:cs="Palatino Linotype"/>
          <w:i/>
          <w:color w:val="000000"/>
        </w:rPr>
        <w:t xml:space="preserve"> la transparencia de las actividades </w:t>
      </w:r>
      <w:r w:rsidR="00715AF1" w:rsidRPr="009172AF">
        <w:rPr>
          <w:rFonts w:ascii="Palatino Linotype" w:eastAsia="Palatino Linotype" w:hAnsi="Palatino Linotype" w:cs="Palatino Linotype"/>
          <w:i/>
          <w:color w:val="000000"/>
        </w:rPr>
        <w:lastRenderedPageBreak/>
        <w:t>estatales y</w:t>
      </w:r>
      <w:r w:rsidR="00715AF1" w:rsidRPr="009172AF">
        <w:rPr>
          <w:rFonts w:ascii="Palatino Linotype" w:eastAsia="Palatino Linotype" w:hAnsi="Palatino Linotype" w:cs="Palatino Linotype"/>
          <w:color w:val="000000"/>
        </w:rPr>
        <w:t xml:space="preserve"> promoviendo</w:t>
      </w:r>
      <w:r w:rsidR="00715AF1" w:rsidRPr="009172AF">
        <w:rPr>
          <w:rFonts w:ascii="Palatino Linotype" w:eastAsia="Palatino Linotype" w:hAnsi="Palatino Linotype" w:cs="Palatino Linotype"/>
          <w:i/>
          <w:color w:val="000000"/>
        </w:rPr>
        <w:t xml:space="preserve"> la responsabilidad de los funcionarios sobre su gestión pública</w:t>
      </w:r>
      <w:r w:rsidR="00715AF1" w:rsidRPr="009172AF">
        <w:rPr>
          <w:rFonts w:ascii="Palatino Linotype" w:eastAsia="Palatino Linotype" w:hAnsi="Palatino Linotype" w:cs="Palatino Linotype"/>
          <w:i/>
          <w:color w:val="000000"/>
          <w:vertAlign w:val="superscript"/>
        </w:rPr>
        <w:footnoteReference w:id="5"/>
      </w:r>
      <w:r w:rsidR="00715AF1" w:rsidRPr="009172AF">
        <w:rPr>
          <w:rFonts w:ascii="Palatino Linotype" w:eastAsia="Palatino Linotype" w:hAnsi="Palatino Linotype" w:cs="Palatino Linotype"/>
          <w:i/>
          <w:color w:val="000000"/>
        </w:rPr>
        <w:t xml:space="preserve"> </w:t>
      </w:r>
      <w:r w:rsidR="00715AF1" w:rsidRPr="009172AF">
        <w:rPr>
          <w:rFonts w:ascii="Palatino Linotype" w:eastAsia="Palatino Linotype" w:hAnsi="Palatino Linotype" w:cs="Palatino Linotype"/>
          <w:color w:val="000000"/>
        </w:rPr>
        <w:t>que permite</w:t>
      </w:r>
      <w:r w:rsidR="00715AF1" w:rsidRPr="009172AF">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r w:rsidR="00715AF1" w:rsidRPr="009172AF">
        <w:rPr>
          <w:rFonts w:ascii="Palatino Linotype" w:eastAsia="Palatino Linotype" w:hAnsi="Palatino Linotype" w:cs="Palatino Linotype"/>
          <w:i/>
          <w:color w:val="000000"/>
          <w:vertAlign w:val="superscript"/>
        </w:rPr>
        <w:footnoteReference w:id="6"/>
      </w:r>
      <w:r w:rsidR="00715AF1" w:rsidRPr="009172AF">
        <w:rPr>
          <w:rFonts w:ascii="Palatino Linotype" w:eastAsia="Palatino Linotype" w:hAnsi="Palatino Linotype" w:cs="Palatino Linotype"/>
          <w:color w:val="000000"/>
        </w:rPr>
        <w:t xml:space="preserve"> ” </w:t>
      </w:r>
    </w:p>
    <w:p w:rsidR="00715AF1" w:rsidRPr="009172AF" w:rsidRDefault="00715AF1" w:rsidP="00715AF1">
      <w:pPr>
        <w:pBdr>
          <w:top w:val="nil"/>
          <w:left w:val="nil"/>
          <w:bottom w:val="nil"/>
          <w:right w:val="nil"/>
          <w:between w:val="nil"/>
        </w:pBdr>
        <w:tabs>
          <w:tab w:val="left" w:pos="284"/>
        </w:tabs>
        <w:spacing w:line="360" w:lineRule="auto"/>
        <w:ind w:right="-929"/>
        <w:jc w:val="both"/>
        <w:rPr>
          <w:rFonts w:ascii="Palatino Linotype" w:eastAsia="Palatino Linotype" w:hAnsi="Palatino Linotype" w:cs="Palatino Linotype"/>
          <w:color w:val="000000"/>
        </w:rPr>
      </w:pPr>
    </w:p>
    <w:p w:rsidR="00715AF1" w:rsidRPr="009172AF" w:rsidRDefault="00715AF1" w:rsidP="00715AF1">
      <w:pPr>
        <w:pStyle w:val="Prrafodelista"/>
        <w:numPr>
          <w:ilvl w:val="0"/>
          <w:numId w:val="1"/>
        </w:numPr>
        <w:tabs>
          <w:tab w:val="left" w:pos="284"/>
        </w:tabs>
        <w:spacing w:line="360" w:lineRule="auto"/>
        <w:ind w:left="0" w:right="49" w:firstLine="0"/>
        <w:jc w:val="both"/>
        <w:rPr>
          <w:rFonts w:ascii="Palatino Linotype" w:eastAsia="Palatino Linotype" w:hAnsi="Palatino Linotype" w:cs="Palatino Linotype"/>
          <w:color w:val="000000"/>
        </w:rPr>
      </w:pPr>
      <w:r w:rsidRPr="009172AF">
        <w:rPr>
          <w:rFonts w:ascii="Palatino Linotype" w:eastAsia="Palatino Linotype" w:hAnsi="Palatino Linotype" w:cs="Palatino Linotype"/>
          <w:color w:val="000000"/>
        </w:rPr>
        <w:t xml:space="preserve">Para entender los alcances de la información pública se considera importante citar el criterio de interpretación </w:t>
      </w:r>
      <w:r w:rsidRPr="009172AF">
        <w:rPr>
          <w:rFonts w:ascii="Palatino Linotype" w:eastAsia="Palatino Linotype" w:hAnsi="Palatino Linotype" w:cs="Palatino Linotype"/>
        </w:rPr>
        <w:t>en</w:t>
      </w:r>
      <w:r w:rsidRPr="009172AF">
        <w:rPr>
          <w:rFonts w:ascii="Palatino Linotype" w:eastAsia="Palatino Linotype" w:hAnsi="Palatino Linotype" w:cs="Palatino Linotype"/>
          <w:color w:val="000000"/>
        </w:rPr>
        <w:t xml:space="preserve">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715AF1" w:rsidRPr="009172AF" w:rsidRDefault="00715AF1" w:rsidP="00715AF1">
      <w:pPr>
        <w:spacing w:line="360" w:lineRule="auto"/>
        <w:ind w:left="426" w:right="-220"/>
        <w:jc w:val="both"/>
        <w:rPr>
          <w:rFonts w:ascii="Palatino Linotype" w:eastAsia="Palatino Linotype" w:hAnsi="Palatino Linotype" w:cs="Palatino Linotype"/>
          <w:b/>
          <w:i/>
          <w:color w:val="000000"/>
        </w:rPr>
      </w:pPr>
      <w:r w:rsidRPr="009172AF">
        <w:rPr>
          <w:rFonts w:ascii="Palatino Linotype" w:eastAsia="Palatino Linotype" w:hAnsi="Palatino Linotype" w:cs="Palatino Linotype"/>
          <w:b/>
          <w:i/>
          <w:color w:val="000000"/>
        </w:rPr>
        <w:t>“CRITERIO 0002-11</w:t>
      </w:r>
    </w:p>
    <w:p w:rsidR="00715AF1" w:rsidRPr="009172AF" w:rsidRDefault="00715AF1" w:rsidP="00715AF1">
      <w:pPr>
        <w:spacing w:line="360" w:lineRule="auto"/>
        <w:ind w:left="426" w:right="-220"/>
        <w:jc w:val="both"/>
        <w:rPr>
          <w:rFonts w:ascii="Palatino Linotype" w:eastAsia="Palatino Linotype" w:hAnsi="Palatino Linotype" w:cs="Palatino Linotype"/>
          <w:i/>
          <w:color w:val="000000"/>
        </w:rPr>
      </w:pPr>
      <w:r w:rsidRPr="009172AF">
        <w:rPr>
          <w:rFonts w:ascii="Palatino Linotype" w:eastAsia="Palatino Linotype" w:hAnsi="Palatino Linotype" w:cs="Palatino Linotype"/>
          <w:b/>
          <w:i/>
          <w:color w:val="000000"/>
        </w:rPr>
        <w:t>INFORMACIÓN PÚBLICA, CONCEPTO DE, EN MATERIA DE TRANSPARENCIA. INTERPRETACIÓN TEMÁTICA DE LOS ARTÍCULOS 2, FRACCIÓN V, XV, Y XVI, 3, 4,11 Y 41.</w:t>
      </w:r>
      <w:r w:rsidRPr="009172AF">
        <w:rPr>
          <w:rFonts w:ascii="Palatino Linotype" w:eastAsia="Palatino Linotype" w:hAnsi="Palatino Linotype" w:cs="Palatino Linotype"/>
          <w:i/>
          <w:color w:val="000000"/>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w:t>
      </w:r>
      <w:r w:rsidRPr="009172AF">
        <w:rPr>
          <w:rFonts w:ascii="Palatino Linotype" w:eastAsia="Palatino Linotype" w:hAnsi="Palatino Linotype" w:cs="Palatino Linotype"/>
          <w:i/>
          <w:color w:val="000000"/>
        </w:rPr>
        <w:lastRenderedPageBreak/>
        <w:t>del ejercicio de sus funciones de derecho público, sin importar su fuente, soporte o fecha de elaboración.</w:t>
      </w:r>
    </w:p>
    <w:p w:rsidR="00715AF1" w:rsidRPr="009172AF" w:rsidRDefault="00715AF1" w:rsidP="00715AF1">
      <w:pPr>
        <w:spacing w:line="360" w:lineRule="auto"/>
        <w:ind w:left="426" w:right="-220"/>
        <w:jc w:val="both"/>
        <w:rPr>
          <w:rFonts w:ascii="Palatino Linotype" w:eastAsia="Palatino Linotype" w:hAnsi="Palatino Linotype" w:cs="Palatino Linotype"/>
          <w:i/>
          <w:color w:val="000000"/>
        </w:rPr>
      </w:pPr>
      <w:r w:rsidRPr="009172AF">
        <w:rPr>
          <w:rFonts w:ascii="Palatino Linotype" w:eastAsia="Palatino Linotype" w:hAnsi="Palatino Linotype" w:cs="Palatino Linotype"/>
          <w:i/>
          <w:color w:val="000000"/>
        </w:rPr>
        <w:t>En consecuencia el acceso a la información se refiere a que se cumplan cualquiera de los siguientes tres supuestos:</w:t>
      </w:r>
    </w:p>
    <w:p w:rsidR="00715AF1" w:rsidRPr="009172AF" w:rsidRDefault="00715AF1" w:rsidP="00715AF1">
      <w:pPr>
        <w:spacing w:line="360" w:lineRule="auto"/>
        <w:ind w:left="426" w:right="-220"/>
        <w:jc w:val="both"/>
        <w:rPr>
          <w:rFonts w:ascii="Palatino Linotype" w:eastAsia="Palatino Linotype" w:hAnsi="Palatino Linotype" w:cs="Palatino Linotype"/>
          <w:i/>
          <w:color w:val="000000"/>
        </w:rPr>
      </w:pPr>
      <w:r w:rsidRPr="009172AF">
        <w:rPr>
          <w:rFonts w:ascii="Palatino Linotype" w:eastAsia="Palatino Linotype" w:hAnsi="Palatino Linotype" w:cs="Palatino Linotype"/>
          <w:i/>
          <w:color w:val="000000"/>
        </w:rPr>
        <w:t>Que se trate de información registrada en cualquier soporte documental, que en ejercicio de las atribuciones conferidas, sea generada por los Sujetos Obligados;</w:t>
      </w:r>
    </w:p>
    <w:p w:rsidR="00715AF1" w:rsidRPr="009172AF" w:rsidRDefault="00715AF1" w:rsidP="00715AF1">
      <w:pPr>
        <w:spacing w:line="360" w:lineRule="auto"/>
        <w:ind w:left="426" w:right="-220"/>
        <w:jc w:val="both"/>
        <w:rPr>
          <w:rFonts w:ascii="Palatino Linotype" w:eastAsia="Palatino Linotype" w:hAnsi="Palatino Linotype" w:cs="Palatino Linotype"/>
          <w:i/>
          <w:color w:val="000000"/>
        </w:rPr>
      </w:pPr>
      <w:r w:rsidRPr="009172AF">
        <w:rPr>
          <w:rFonts w:ascii="Palatino Linotype" w:eastAsia="Palatino Linotype" w:hAnsi="Palatino Linotype" w:cs="Palatino Linotype"/>
          <w:i/>
          <w:color w:val="000000"/>
        </w:rPr>
        <w:t>Que se trate de información registrada en cualquier soporte documental, que en ejercicio de las atribuciones conferidas, sea administrada por los Sujetos Obligados, y</w:t>
      </w:r>
    </w:p>
    <w:p w:rsidR="00715AF1" w:rsidRPr="009172AF" w:rsidRDefault="00715AF1" w:rsidP="00715AF1">
      <w:pPr>
        <w:spacing w:line="360" w:lineRule="auto"/>
        <w:ind w:left="426" w:right="-220"/>
        <w:jc w:val="both"/>
        <w:rPr>
          <w:rFonts w:ascii="Palatino Linotype" w:eastAsia="Palatino Linotype" w:hAnsi="Palatino Linotype" w:cs="Palatino Linotype"/>
          <w:i/>
          <w:color w:val="000000"/>
        </w:rPr>
      </w:pPr>
      <w:r w:rsidRPr="009172AF">
        <w:rPr>
          <w:rFonts w:ascii="Palatino Linotype" w:eastAsia="Palatino Linotype" w:hAnsi="Palatino Linotype" w:cs="Palatino Linotype"/>
          <w:i/>
          <w:color w:val="000000"/>
        </w:rPr>
        <w:t>Que se trate de información registrada en cualquier soporte documental, que en ejercicio de las atribuciones conferidas, se encuentre en posesión de los Sujetos Obligados.”</w:t>
      </w:r>
    </w:p>
    <w:p w:rsidR="00715AF1" w:rsidRPr="009172AF" w:rsidRDefault="00715AF1" w:rsidP="00715AF1">
      <w:pPr>
        <w:spacing w:line="360" w:lineRule="auto"/>
        <w:ind w:left="567" w:right="-929"/>
        <w:jc w:val="both"/>
        <w:rPr>
          <w:rFonts w:ascii="Palatino Linotype" w:eastAsia="Palatino Linotype" w:hAnsi="Palatino Linotype" w:cs="Palatino Linotype"/>
          <w:i/>
          <w:color w:val="000000"/>
        </w:rPr>
      </w:pPr>
    </w:p>
    <w:p w:rsidR="00715AF1" w:rsidRPr="009172AF" w:rsidRDefault="00715AF1" w:rsidP="00715AF1">
      <w:pPr>
        <w:pStyle w:val="Prrafodelista"/>
        <w:numPr>
          <w:ilvl w:val="0"/>
          <w:numId w:val="1"/>
        </w:numPr>
        <w:tabs>
          <w:tab w:val="left" w:pos="284"/>
        </w:tabs>
        <w:spacing w:line="360" w:lineRule="auto"/>
        <w:ind w:left="0" w:right="49" w:firstLine="0"/>
        <w:jc w:val="both"/>
        <w:rPr>
          <w:rFonts w:ascii="Palatino Linotype" w:eastAsia="Palatino Linotype" w:hAnsi="Palatino Linotype" w:cs="Palatino Linotype"/>
          <w:color w:val="000000"/>
        </w:rPr>
      </w:pPr>
      <w:r w:rsidRPr="009172AF">
        <w:rPr>
          <w:rFonts w:ascii="Palatino Linotype" w:eastAsia="Palatino Linotype" w:hAnsi="Palatino Linotype" w:cs="Palatino Linotype"/>
          <w:color w:val="000000"/>
        </w:rPr>
        <w:t>El derecho de acceso a la información encuentra su materia elemental en los documentos, y la Ley de Transparencia local  nos brinda el siguiente concepto, para darnos un mejor panorama:</w:t>
      </w:r>
    </w:p>
    <w:p w:rsidR="00715AF1" w:rsidRPr="009172AF" w:rsidRDefault="00715AF1" w:rsidP="00715AF1">
      <w:pPr>
        <w:spacing w:line="360" w:lineRule="auto"/>
        <w:ind w:left="426" w:right="-220"/>
        <w:jc w:val="both"/>
        <w:rPr>
          <w:rFonts w:ascii="Palatino Linotype" w:eastAsia="Palatino Linotype" w:hAnsi="Palatino Linotype" w:cs="Palatino Linotype"/>
          <w:i/>
          <w:color w:val="000000"/>
        </w:rPr>
      </w:pPr>
      <w:r w:rsidRPr="009172AF">
        <w:rPr>
          <w:rFonts w:ascii="Palatino Linotype" w:eastAsia="Palatino Linotype" w:hAnsi="Palatino Linotype" w:cs="Palatino Linotype"/>
          <w:b/>
          <w:i/>
          <w:color w:val="000000"/>
        </w:rPr>
        <w:t xml:space="preserve">XI. Documento: </w:t>
      </w:r>
      <w:r w:rsidRPr="009172AF">
        <w:rPr>
          <w:rFonts w:ascii="Palatino Linotype" w:eastAsia="Palatino Linotype" w:hAnsi="Palatino Linotype" w:cs="Palatino Linotype"/>
          <w:i/>
          <w:color w:val="000000"/>
        </w:rPr>
        <w:t xml:space="preserve">Los expedientes, reportes, estudios, actas, resoluciones, oficios, correspondencia, acuerdos, directivas, directrices, circulares, contratos, convenios, instructivos, notas, memorandos, estadísticas o bien, </w:t>
      </w:r>
      <w:r w:rsidRPr="009172AF">
        <w:rPr>
          <w:rFonts w:ascii="Palatino Linotype" w:eastAsia="Palatino Linotype" w:hAnsi="Palatino Linotype" w:cs="Palatino Linotype"/>
          <w:b/>
          <w:i/>
          <w:color w:val="000000"/>
        </w:rPr>
        <w:t>cualquier otro registro</w:t>
      </w:r>
      <w:r w:rsidRPr="009172AF">
        <w:rPr>
          <w:rFonts w:ascii="Palatino Linotype" w:eastAsia="Palatino Linotype" w:hAnsi="Palatino Linotype" w:cs="Palatino Linotype"/>
          <w:i/>
          <w:color w:val="000000"/>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15AF1" w:rsidRPr="009172AF" w:rsidRDefault="00715AF1" w:rsidP="00715AF1">
      <w:pPr>
        <w:spacing w:line="360" w:lineRule="auto"/>
        <w:ind w:left="567" w:right="-929"/>
        <w:jc w:val="both"/>
        <w:rPr>
          <w:rFonts w:ascii="Palatino Linotype" w:eastAsia="Palatino Linotype" w:hAnsi="Palatino Linotype" w:cs="Palatino Linotype"/>
          <w:i/>
          <w:color w:val="000000"/>
        </w:rPr>
      </w:pPr>
    </w:p>
    <w:p w:rsidR="00715AF1" w:rsidRPr="009172AF" w:rsidRDefault="00715AF1" w:rsidP="00715AF1">
      <w:pPr>
        <w:pStyle w:val="Prrafodelista"/>
        <w:numPr>
          <w:ilvl w:val="0"/>
          <w:numId w:val="1"/>
        </w:numPr>
        <w:tabs>
          <w:tab w:val="left" w:pos="284"/>
        </w:tabs>
        <w:spacing w:line="360" w:lineRule="auto"/>
        <w:ind w:left="0" w:right="49" w:firstLine="0"/>
        <w:jc w:val="both"/>
        <w:rPr>
          <w:rFonts w:ascii="Palatino Linotype" w:eastAsia="Palatino Linotype" w:hAnsi="Palatino Linotype" w:cs="Palatino Linotype"/>
          <w:color w:val="000000"/>
        </w:rPr>
      </w:pPr>
      <w:r w:rsidRPr="009172AF">
        <w:rPr>
          <w:rFonts w:ascii="Palatino Linotype" w:eastAsia="Palatino Linotype" w:hAnsi="Palatino Linotype" w:cs="Palatino Linotype"/>
          <w:color w:val="000000"/>
        </w:rPr>
        <w:lastRenderedPageBreak/>
        <w:t xml:space="preserve">Es así que, todos los actos de autoridad que realicen los Sujetos Obligados </w:t>
      </w:r>
      <w:r w:rsidRPr="009172AF">
        <w:rPr>
          <w:rFonts w:ascii="Palatino Linotype" w:eastAsia="Palatino Linotype" w:hAnsi="Palatino Linotype" w:cs="Palatino Linotype"/>
          <w:b/>
          <w:color w:val="000000"/>
        </w:rPr>
        <w:t xml:space="preserve">deben estar </w:t>
      </w:r>
      <w:r w:rsidRPr="009172AF">
        <w:rPr>
          <w:rFonts w:ascii="Palatino Linotype" w:eastAsia="Palatino Linotype" w:hAnsi="Palatino Linotype" w:cs="Palatino Linotype"/>
          <w:color w:val="000000"/>
        </w:rPr>
        <w:t>documentados y, bajo el más alto estándar de transparencia deberán poner toda la información que se encuentre en su posesión, a disposición de los particulares que la soliciten.</w:t>
      </w:r>
    </w:p>
    <w:p w:rsidR="00715AF1" w:rsidRPr="009172AF" w:rsidRDefault="00715AF1" w:rsidP="00715AF1">
      <w:pPr>
        <w:pBdr>
          <w:top w:val="nil"/>
          <w:left w:val="nil"/>
          <w:bottom w:val="nil"/>
          <w:right w:val="nil"/>
          <w:between w:val="nil"/>
        </w:pBdr>
        <w:tabs>
          <w:tab w:val="left" w:pos="284"/>
        </w:tabs>
        <w:spacing w:line="360" w:lineRule="auto"/>
        <w:ind w:right="-929"/>
        <w:jc w:val="both"/>
        <w:rPr>
          <w:rFonts w:ascii="Palatino Linotype" w:eastAsia="Palatino Linotype" w:hAnsi="Palatino Linotype" w:cs="Palatino Linotype"/>
          <w:color w:val="000000"/>
        </w:rPr>
      </w:pPr>
    </w:p>
    <w:p w:rsidR="00715AF1" w:rsidRPr="009172AF" w:rsidRDefault="00715AF1" w:rsidP="00715AF1">
      <w:pPr>
        <w:pStyle w:val="Prrafodelista"/>
        <w:numPr>
          <w:ilvl w:val="0"/>
          <w:numId w:val="1"/>
        </w:numPr>
        <w:tabs>
          <w:tab w:val="left" w:pos="284"/>
        </w:tabs>
        <w:spacing w:line="360" w:lineRule="auto"/>
        <w:ind w:left="0" w:right="49" w:firstLine="0"/>
        <w:jc w:val="both"/>
        <w:rPr>
          <w:rFonts w:ascii="Palatino Linotype" w:eastAsia="Palatino Linotype" w:hAnsi="Palatino Linotype" w:cs="Palatino Linotype"/>
          <w:color w:val="000000"/>
        </w:rPr>
      </w:pPr>
      <w:r w:rsidRPr="009172AF">
        <w:rPr>
          <w:rFonts w:ascii="Palatino Linotype" w:eastAsia="Palatino Linotype" w:hAnsi="Palatino Linotype" w:cs="Palatino Linotype"/>
          <w:color w:val="000000"/>
        </w:rPr>
        <w:t>Además, debemos tomar en cuenta los artículos 4 y 12 (antes transcrito), de la Ley de Transparencia y Acceso a la Información Pública del Estado de México y Municipios, los cuales establecen lo siguiente:</w:t>
      </w:r>
    </w:p>
    <w:p w:rsidR="00715AF1" w:rsidRPr="009172AF" w:rsidRDefault="00715AF1" w:rsidP="00715AF1">
      <w:pPr>
        <w:spacing w:line="360" w:lineRule="auto"/>
        <w:ind w:left="426" w:right="-220"/>
        <w:jc w:val="both"/>
        <w:rPr>
          <w:rFonts w:ascii="Palatino Linotype" w:eastAsia="Palatino Linotype" w:hAnsi="Palatino Linotype" w:cs="Palatino Linotype"/>
          <w:i/>
          <w:color w:val="000000"/>
        </w:rPr>
      </w:pPr>
      <w:r w:rsidRPr="009172AF">
        <w:rPr>
          <w:rFonts w:ascii="Palatino Linotype" w:eastAsia="Palatino Linotype" w:hAnsi="Palatino Linotype" w:cs="Palatino Linotype"/>
          <w:b/>
          <w:i/>
          <w:color w:val="000000"/>
        </w:rPr>
        <w:t xml:space="preserve">“Artículo 4. </w:t>
      </w:r>
      <w:r w:rsidRPr="009172AF">
        <w:rPr>
          <w:rFonts w:ascii="Palatino Linotype" w:eastAsia="Palatino Linotype" w:hAnsi="Palatino Linotype" w:cs="Palatino Linotype"/>
          <w:i/>
          <w:color w:val="000000"/>
        </w:rPr>
        <w:t>El derecho humano de acceso a la información pública es la prerrogativa de las personas para buscar, difundir, investigar, recabar, recibir y solicitar información pública, sin necesidad de acreditar personalidad ni interés jurídico.</w:t>
      </w:r>
    </w:p>
    <w:p w:rsidR="00715AF1" w:rsidRPr="009172AF" w:rsidRDefault="00715AF1" w:rsidP="00715AF1">
      <w:pPr>
        <w:spacing w:line="360" w:lineRule="auto"/>
        <w:ind w:left="426" w:right="-220"/>
        <w:jc w:val="both"/>
        <w:rPr>
          <w:rFonts w:ascii="Palatino Linotype" w:eastAsia="Palatino Linotype" w:hAnsi="Palatino Linotype" w:cs="Palatino Linotype"/>
          <w:i/>
          <w:color w:val="000000"/>
        </w:rPr>
      </w:pPr>
      <w:r w:rsidRPr="009172AF">
        <w:rPr>
          <w:rFonts w:ascii="Palatino Linotype" w:eastAsia="Palatino Linotype" w:hAnsi="Palatino Linotype" w:cs="Palatino Linotype"/>
          <w:b/>
          <w:i/>
          <w:color w:val="000000"/>
        </w:rPr>
        <w:t>Toda la información</w:t>
      </w:r>
      <w:r w:rsidRPr="009172AF">
        <w:rPr>
          <w:rFonts w:ascii="Palatino Linotype" w:eastAsia="Palatino Linotype" w:hAnsi="Palatino Linotype" w:cs="Palatino Linotype"/>
          <w:i/>
          <w:color w:val="000000"/>
        </w:rPr>
        <w:t xml:space="preserve"> generada, obtenida, adquirida, transformada, administrada o </w:t>
      </w:r>
      <w:r w:rsidRPr="009172AF">
        <w:rPr>
          <w:rFonts w:ascii="Palatino Linotype" w:eastAsia="Palatino Linotype" w:hAnsi="Palatino Linotype" w:cs="Palatino Linotype"/>
          <w:b/>
          <w:i/>
          <w:color w:val="000000"/>
        </w:rPr>
        <w:t>en posesión de los sujetos obligados es pública</w:t>
      </w:r>
      <w:r w:rsidRPr="009172AF">
        <w:rPr>
          <w:rFonts w:ascii="Palatino Linotype" w:eastAsia="Palatino Linotype" w:hAnsi="Palatino Linotype" w:cs="Palatino Linotype"/>
          <w:i/>
          <w:color w:val="000000"/>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15AF1" w:rsidRPr="009172AF" w:rsidRDefault="00715AF1" w:rsidP="00715AF1">
      <w:pPr>
        <w:spacing w:line="360" w:lineRule="auto"/>
        <w:ind w:left="426" w:right="-220"/>
        <w:jc w:val="both"/>
        <w:rPr>
          <w:rFonts w:ascii="Palatino Linotype" w:eastAsia="Palatino Linotype" w:hAnsi="Palatino Linotype" w:cs="Palatino Linotype"/>
          <w:i/>
          <w:color w:val="000000"/>
        </w:rPr>
      </w:pPr>
      <w:r w:rsidRPr="009172AF">
        <w:rPr>
          <w:rFonts w:ascii="Palatino Linotype" w:eastAsia="Palatino Linotype" w:hAnsi="Palatino Linotype" w:cs="Palatino Linotype"/>
          <w:i/>
          <w:color w:val="000000"/>
        </w:rPr>
        <w:t>Los sujetos obligados deben poner en práctica, políticas y programas de acceso a la información que se apeguen a criterios de publicidad, veracidad, oportunidad, precisión y suficiencia en beneficio de los solicitantes.”</w:t>
      </w:r>
    </w:p>
    <w:p w:rsidR="00715AF1" w:rsidRPr="009172AF" w:rsidRDefault="00715AF1" w:rsidP="00715AF1">
      <w:pPr>
        <w:spacing w:line="360" w:lineRule="auto"/>
        <w:ind w:left="567" w:right="-929"/>
        <w:jc w:val="both"/>
        <w:rPr>
          <w:rFonts w:ascii="Palatino Linotype" w:eastAsia="Palatino Linotype" w:hAnsi="Palatino Linotype" w:cs="Palatino Linotype"/>
          <w:i/>
          <w:color w:val="000000"/>
        </w:rPr>
      </w:pPr>
    </w:p>
    <w:p w:rsidR="00715AF1" w:rsidRPr="009172AF" w:rsidRDefault="00715AF1" w:rsidP="00715AF1">
      <w:pPr>
        <w:pStyle w:val="Prrafodelista"/>
        <w:numPr>
          <w:ilvl w:val="0"/>
          <w:numId w:val="1"/>
        </w:numPr>
        <w:tabs>
          <w:tab w:val="left" w:pos="284"/>
        </w:tabs>
        <w:spacing w:line="360" w:lineRule="auto"/>
        <w:ind w:left="0" w:right="49" w:firstLine="0"/>
        <w:jc w:val="both"/>
        <w:rPr>
          <w:rFonts w:ascii="Palatino Linotype" w:eastAsia="Palatino Linotype" w:hAnsi="Palatino Linotype" w:cs="Palatino Linotype"/>
          <w:color w:val="000000"/>
        </w:rPr>
      </w:pPr>
      <w:r w:rsidRPr="009172AF">
        <w:rPr>
          <w:rFonts w:ascii="Palatino Linotype" w:eastAsia="Palatino Linotype" w:hAnsi="Palatino Linotype" w:cs="Palatino Linotype"/>
          <w:color w:val="000000"/>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9172AF">
        <w:rPr>
          <w:rFonts w:ascii="Palatino Linotype" w:eastAsia="Palatino Linotype" w:hAnsi="Palatino Linotype" w:cs="Palatino Linotype"/>
          <w:color w:val="000000"/>
          <w:vertAlign w:val="superscript"/>
        </w:rPr>
        <w:footnoteReference w:id="7"/>
      </w:r>
      <w:r w:rsidRPr="009172AF">
        <w:rPr>
          <w:rFonts w:ascii="Palatino Linotype" w:eastAsia="Palatino Linotype" w:hAnsi="Palatino Linotype" w:cs="Palatino Linotype"/>
          <w:color w:val="000000"/>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715AF1" w:rsidRPr="009172AF" w:rsidRDefault="00715AF1" w:rsidP="00715AF1">
      <w:pPr>
        <w:spacing w:line="360" w:lineRule="auto"/>
        <w:ind w:right="-929"/>
        <w:jc w:val="both"/>
        <w:rPr>
          <w:rFonts w:ascii="Palatino Linotype" w:eastAsia="Palatino Linotype" w:hAnsi="Palatino Linotype" w:cs="Palatino Linotype"/>
          <w:color w:val="000000"/>
        </w:rPr>
      </w:pPr>
    </w:p>
    <w:p w:rsidR="00715AF1" w:rsidRPr="009172AF" w:rsidRDefault="00715AF1" w:rsidP="00715AF1">
      <w:pPr>
        <w:pStyle w:val="Prrafodelista"/>
        <w:numPr>
          <w:ilvl w:val="0"/>
          <w:numId w:val="1"/>
        </w:numPr>
        <w:tabs>
          <w:tab w:val="left" w:pos="284"/>
        </w:tabs>
        <w:spacing w:line="360" w:lineRule="auto"/>
        <w:ind w:left="0" w:right="49" w:firstLine="0"/>
        <w:jc w:val="both"/>
        <w:rPr>
          <w:rFonts w:ascii="Palatino Linotype" w:eastAsia="Palatino Linotype" w:hAnsi="Palatino Linotype" w:cs="Palatino Linotype"/>
          <w:color w:val="000000"/>
        </w:rPr>
      </w:pPr>
      <w:r w:rsidRPr="009172AF">
        <w:rPr>
          <w:rFonts w:ascii="Palatino Linotype" w:eastAsia="Palatino Linotype" w:hAnsi="Palatino Linotype" w:cs="Palatino Linotype"/>
          <w:color w:val="000000"/>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715AF1" w:rsidRPr="009172AF" w:rsidRDefault="00715AF1" w:rsidP="00715AF1">
      <w:pPr>
        <w:pBdr>
          <w:top w:val="nil"/>
          <w:left w:val="nil"/>
          <w:bottom w:val="nil"/>
          <w:right w:val="nil"/>
          <w:between w:val="nil"/>
        </w:pBdr>
        <w:tabs>
          <w:tab w:val="left" w:pos="851"/>
        </w:tabs>
        <w:spacing w:line="360" w:lineRule="auto"/>
        <w:ind w:left="425" w:right="-220"/>
        <w:jc w:val="both"/>
        <w:rPr>
          <w:rFonts w:ascii="Palatino Linotype" w:eastAsia="Palatino Linotype" w:hAnsi="Palatino Linotype" w:cs="Palatino Linotype"/>
          <w:i/>
          <w:color w:val="000000"/>
        </w:rPr>
      </w:pPr>
      <w:r w:rsidRPr="009172AF">
        <w:rPr>
          <w:rFonts w:ascii="Palatino Linotype" w:eastAsia="Palatino Linotype" w:hAnsi="Palatino Linotype" w:cs="Palatino Linotype"/>
          <w:b/>
          <w:i/>
          <w:color w:val="000000"/>
        </w:rPr>
        <w:t>ACCESO A LA INFORMACIÓN. IMPLICACIÓN DEL PRINCIPIO DE MÁXIMA PUBLICIDAD EN EL DERECHO FUNDAMENTAL RELATIVO.</w:t>
      </w:r>
      <w:r w:rsidRPr="009172AF">
        <w:rPr>
          <w:rFonts w:ascii="Palatino Linotype" w:eastAsia="Palatino Linotype" w:hAnsi="Palatino Linotype" w:cs="Palatino Linotype"/>
          <w:i/>
          <w:color w:val="000000"/>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w:t>
      </w:r>
      <w:r w:rsidRPr="009172AF">
        <w:rPr>
          <w:rFonts w:ascii="Palatino Linotype" w:eastAsia="Palatino Linotype" w:hAnsi="Palatino Linotype" w:cs="Palatino Linotype"/>
          <w:i/>
          <w:color w:val="000000"/>
        </w:rPr>
        <w:lastRenderedPageBreak/>
        <w:t>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F33A97" w:rsidRPr="009172AF" w:rsidRDefault="00F33A97" w:rsidP="00715AF1">
      <w:pPr>
        <w:pBdr>
          <w:top w:val="nil"/>
          <w:left w:val="nil"/>
          <w:bottom w:val="nil"/>
          <w:right w:val="nil"/>
          <w:between w:val="nil"/>
        </w:pBdr>
        <w:tabs>
          <w:tab w:val="left" w:pos="851"/>
        </w:tabs>
        <w:spacing w:line="360" w:lineRule="auto"/>
        <w:ind w:left="425" w:right="-220"/>
        <w:jc w:val="both"/>
        <w:rPr>
          <w:rFonts w:ascii="Palatino Linotype" w:eastAsia="Palatino Linotype" w:hAnsi="Palatino Linotype" w:cs="Palatino Linotype"/>
          <w:i/>
          <w:color w:val="000000"/>
        </w:rPr>
      </w:pPr>
    </w:p>
    <w:p w:rsidR="008F71D7" w:rsidRPr="009172AF" w:rsidRDefault="008F71D7" w:rsidP="008F71D7">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b/>
          <w:color w:val="000000"/>
        </w:rPr>
      </w:pPr>
      <w:r w:rsidRPr="009172AF">
        <w:rPr>
          <w:rFonts w:ascii="Palatino Linotype" w:eastAsia="Palatino Linotype" w:hAnsi="Palatino Linotype" w:cs="Palatino Linotype"/>
          <w:b/>
          <w:color w:val="000000"/>
        </w:rPr>
        <w:t>QUINTO. De la versión pública.</w:t>
      </w:r>
    </w:p>
    <w:p w:rsidR="008F71D7" w:rsidRPr="009172AF" w:rsidRDefault="008F71D7" w:rsidP="008F71D7">
      <w:pPr>
        <w:pStyle w:val="Prrafodelista"/>
        <w:numPr>
          <w:ilvl w:val="0"/>
          <w:numId w:val="1"/>
        </w:numPr>
        <w:tabs>
          <w:tab w:val="left" w:pos="284"/>
        </w:tabs>
        <w:spacing w:line="360" w:lineRule="auto"/>
        <w:ind w:left="0" w:right="49" w:firstLine="0"/>
        <w:jc w:val="both"/>
        <w:rPr>
          <w:rFonts w:ascii="Palatino Linotype" w:hAnsi="Palatino Linotype"/>
          <w:color w:val="000000"/>
        </w:rPr>
      </w:pPr>
      <w:r w:rsidRPr="009172AF">
        <w:rPr>
          <w:rFonts w:ascii="Palatino Linotype" w:eastAsia="Palatino Linotype" w:hAnsi="Palatino Linotype" w:cs="Palatino Linotype"/>
          <w:color w:val="000000"/>
        </w:rPr>
        <w:t xml:space="preserve">No pasa desapercibido para este Órgano Garante que los </w:t>
      </w:r>
      <w:r w:rsidRPr="009172AF">
        <w:rPr>
          <w:rFonts w:ascii="Palatino Linotype" w:eastAsia="Palatino Linotype" w:hAnsi="Palatino Linotype" w:cs="Palatino Linotype"/>
          <w:b/>
          <w:color w:val="000000"/>
        </w:rPr>
        <w:t xml:space="preserve">Sujetos Obligados </w:t>
      </w:r>
      <w:r w:rsidRPr="009172AF">
        <w:rPr>
          <w:rFonts w:ascii="Palatino Linotype" w:eastAsia="Palatino Linotype" w:hAnsi="Palatino Linotype" w:cs="Palatino Linotype"/>
          <w:color w:val="000000"/>
        </w:rPr>
        <w:t xml:space="preserve">serán responsables de los datos personales en su posesión y que, en caso de </w:t>
      </w:r>
      <w:r w:rsidRPr="009172AF">
        <w:rPr>
          <w:rFonts w:ascii="Palatino Linotype" w:eastAsia="Palatino Linotype" w:hAnsi="Palatino Linotype" w:cs="Palatino Linotype"/>
          <w:color w:val="000000"/>
        </w:rPr>
        <w:lastRenderedPageBreak/>
        <w:t>localizarse datos concernientes a terceros, éstos no podrán difundir, distribuir o comercializar los datos personales.</w:t>
      </w:r>
    </w:p>
    <w:p w:rsidR="008F71D7" w:rsidRPr="009172AF" w:rsidRDefault="008F71D7" w:rsidP="008F71D7">
      <w:pPr>
        <w:tabs>
          <w:tab w:val="left" w:pos="284"/>
        </w:tabs>
        <w:spacing w:line="360" w:lineRule="auto"/>
        <w:ind w:right="49"/>
        <w:jc w:val="both"/>
        <w:rPr>
          <w:rFonts w:ascii="Palatino Linotype" w:hAnsi="Palatino Linotype"/>
          <w:color w:val="000000"/>
        </w:rPr>
      </w:pPr>
    </w:p>
    <w:p w:rsidR="008F71D7" w:rsidRPr="009172AF" w:rsidRDefault="008F71D7" w:rsidP="008F71D7">
      <w:pPr>
        <w:pStyle w:val="Prrafodelista"/>
        <w:numPr>
          <w:ilvl w:val="0"/>
          <w:numId w:val="1"/>
        </w:numPr>
        <w:tabs>
          <w:tab w:val="left" w:pos="284"/>
        </w:tabs>
        <w:spacing w:line="360" w:lineRule="auto"/>
        <w:ind w:left="0" w:right="49" w:firstLine="0"/>
        <w:jc w:val="both"/>
        <w:rPr>
          <w:rFonts w:ascii="Palatino Linotype" w:eastAsia="Palatino Linotype" w:hAnsi="Palatino Linotype" w:cs="Palatino Linotype"/>
          <w:color w:val="000000"/>
        </w:rPr>
      </w:pPr>
      <w:r w:rsidRPr="009172AF">
        <w:rPr>
          <w:rFonts w:ascii="Palatino Linotype" w:hAnsi="Palatino Linotype"/>
          <w:color w:val="000000"/>
        </w:rPr>
        <w:t xml:space="preserve">Del </w:t>
      </w:r>
      <w:r w:rsidRPr="009172AF">
        <w:rPr>
          <w:rFonts w:ascii="Palatino Linotype" w:eastAsia="Palatino Linotype" w:hAnsi="Palatino Linotype" w:cs="Palatino Linotype"/>
          <w:color w:val="000000"/>
        </w:rPr>
        <w:t>caso</w:t>
      </w:r>
      <w:r w:rsidRPr="009172AF">
        <w:rPr>
          <w:rFonts w:ascii="Palatino Linotype" w:hAnsi="Palatino Linotype"/>
          <w:color w:val="000000"/>
        </w:rPr>
        <w:t xml:space="preserve"> concreto resulta evidentemente conforme al Considerando anterior que se deberá de entregar lo remitido en respuesta en correcta versión pública. Luego entonces </w:t>
      </w:r>
      <w:r w:rsidRPr="009172AF">
        <w:rPr>
          <w:rFonts w:ascii="Palatino Linotype" w:eastAsia="Palatino Linotype" w:hAnsi="Palatino Linotype" w:cs="Palatino Linotype"/>
          <w:color w:val="000000"/>
        </w:rPr>
        <w:t xml:space="preserve">el sujeto obligado para dar satisfacción de la derecho humano de acceso a la información de la persona solicitante, deberá considerar que ello no es absoluto, sino que encuentra como excepciones que la información sobre la cual se peticiona el acceso, contenga datos que deban ser clasificados en los términos que la misma Ley de la Materia señala, el </w:t>
      </w:r>
      <w:r w:rsidRPr="009172AF">
        <w:rPr>
          <w:rFonts w:ascii="Palatino Linotype" w:eastAsia="Palatino Linotype" w:hAnsi="Palatino Linotype" w:cs="Palatino Linotype"/>
          <w:b/>
          <w:color w:val="000000"/>
        </w:rPr>
        <w:t>Sujeto Obligado</w:t>
      </w:r>
      <w:r w:rsidRPr="009172AF">
        <w:rPr>
          <w:rFonts w:ascii="Palatino Linotype" w:eastAsia="Palatino Linotype" w:hAnsi="Palatino Linotype" w:cs="Palatino Linotype"/>
          <w:color w:val="000000"/>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rsidR="008F71D7" w:rsidRPr="009172AF" w:rsidRDefault="008F71D7" w:rsidP="008F71D7">
      <w:pPr>
        <w:spacing w:line="360" w:lineRule="auto"/>
        <w:jc w:val="both"/>
        <w:rPr>
          <w:rFonts w:ascii="Palatino Linotype" w:eastAsia="Palatino Linotype" w:hAnsi="Palatino Linotype" w:cs="Palatino Linotype"/>
        </w:rPr>
      </w:pPr>
    </w:p>
    <w:p w:rsidR="008F71D7" w:rsidRPr="009172AF" w:rsidRDefault="008F71D7" w:rsidP="008F71D7">
      <w:pPr>
        <w:pStyle w:val="Prrafodelista"/>
        <w:numPr>
          <w:ilvl w:val="0"/>
          <w:numId w:val="1"/>
        </w:numPr>
        <w:tabs>
          <w:tab w:val="left" w:pos="284"/>
        </w:tabs>
        <w:spacing w:line="360" w:lineRule="auto"/>
        <w:ind w:left="0" w:right="49" w:firstLine="0"/>
        <w:jc w:val="both"/>
        <w:rPr>
          <w:rFonts w:ascii="Palatino Linotype" w:eastAsia="Palatino Linotype" w:hAnsi="Palatino Linotype" w:cs="Palatino Linotype"/>
          <w:color w:val="000000"/>
        </w:rPr>
      </w:pPr>
      <w:r w:rsidRPr="009172AF">
        <w:rPr>
          <w:rFonts w:ascii="Palatino Linotype" w:eastAsia="Palatino Linotype" w:hAnsi="Palatino Linotype" w:cs="Palatino Linotype"/>
          <w:color w:val="000000"/>
        </w:rPr>
        <w:t xml:space="preserve">Lo anterior, de </w:t>
      </w:r>
      <w:r w:rsidRPr="009172AF">
        <w:rPr>
          <w:rFonts w:ascii="Palatino Linotype" w:hAnsi="Palatino Linotype"/>
          <w:color w:val="000000"/>
        </w:rPr>
        <w:t>conformidad</w:t>
      </w:r>
      <w:r w:rsidRPr="009172AF">
        <w:rPr>
          <w:rFonts w:ascii="Palatino Linotype" w:eastAsia="Palatino Linotype" w:hAnsi="Palatino Linotype" w:cs="Palatino Linotype"/>
          <w:color w:val="000000"/>
        </w:rPr>
        <w:t xml:space="preserve"> a lo que señalan los artículos 3 fracciones IX, XX, XXI y XLV, 91, 132 fracciones II y III, y 143 fracción I de la Ley de Transparencia y Acceso a la Información Pública del Estado de México y Municipios que establecen:</w:t>
      </w:r>
    </w:p>
    <w:p w:rsidR="008F71D7" w:rsidRPr="009172AF" w:rsidRDefault="008F71D7" w:rsidP="008F71D7">
      <w:pPr>
        <w:pBdr>
          <w:top w:val="nil"/>
          <w:left w:val="nil"/>
          <w:bottom w:val="nil"/>
          <w:right w:val="nil"/>
          <w:between w:val="nil"/>
        </w:pBdr>
        <w:spacing w:line="360" w:lineRule="auto"/>
        <w:ind w:right="50"/>
        <w:jc w:val="both"/>
        <w:rPr>
          <w:rFonts w:ascii="Palatino Linotype" w:eastAsia="Palatino Linotype" w:hAnsi="Palatino Linotype" w:cs="Palatino Linotype"/>
          <w:color w:val="000000"/>
        </w:rPr>
      </w:pPr>
    </w:p>
    <w:p w:rsidR="008F71D7" w:rsidRPr="009172AF" w:rsidRDefault="008F71D7" w:rsidP="008F71D7">
      <w:pPr>
        <w:pBdr>
          <w:top w:val="nil"/>
          <w:left w:val="nil"/>
          <w:bottom w:val="nil"/>
          <w:right w:val="nil"/>
          <w:between w:val="nil"/>
        </w:pBdr>
        <w:spacing w:line="276" w:lineRule="auto"/>
        <w:ind w:left="567" w:right="902"/>
        <w:jc w:val="both"/>
        <w:rPr>
          <w:rFonts w:ascii="Palatino Linotype" w:eastAsia="Palatino Linotype" w:hAnsi="Palatino Linotype" w:cs="Palatino Linotype"/>
          <w:color w:val="000000"/>
        </w:rPr>
      </w:pPr>
      <w:r w:rsidRPr="009172AF">
        <w:rPr>
          <w:rFonts w:ascii="Palatino Linotype" w:eastAsia="Palatino Linotype" w:hAnsi="Palatino Linotype" w:cs="Palatino Linotype"/>
          <w:i/>
          <w:color w:val="000000"/>
        </w:rPr>
        <w:t>“</w:t>
      </w:r>
      <w:r w:rsidRPr="009172AF">
        <w:rPr>
          <w:rFonts w:ascii="Palatino Linotype" w:eastAsia="Palatino Linotype" w:hAnsi="Palatino Linotype" w:cs="Palatino Linotype"/>
          <w:b/>
          <w:i/>
          <w:color w:val="000000"/>
        </w:rPr>
        <w:t>Artículo 3</w:t>
      </w:r>
      <w:r w:rsidRPr="009172AF">
        <w:rPr>
          <w:rFonts w:ascii="Palatino Linotype" w:eastAsia="Palatino Linotype" w:hAnsi="Palatino Linotype" w:cs="Palatino Linotype"/>
          <w:i/>
          <w:color w:val="000000"/>
        </w:rPr>
        <w:t>. Para los efectos de la presente Ley se entenderá por:</w:t>
      </w:r>
    </w:p>
    <w:p w:rsidR="008F71D7" w:rsidRPr="009172AF" w:rsidRDefault="008F71D7" w:rsidP="008F71D7">
      <w:pPr>
        <w:pBdr>
          <w:top w:val="nil"/>
          <w:left w:val="nil"/>
          <w:bottom w:val="nil"/>
          <w:right w:val="nil"/>
          <w:between w:val="nil"/>
        </w:pBdr>
        <w:spacing w:line="276" w:lineRule="auto"/>
        <w:ind w:left="567" w:right="902"/>
        <w:jc w:val="both"/>
        <w:rPr>
          <w:rFonts w:ascii="Palatino Linotype" w:eastAsia="Palatino Linotype" w:hAnsi="Palatino Linotype" w:cs="Palatino Linotype"/>
          <w:color w:val="000000"/>
        </w:rPr>
      </w:pPr>
      <w:r w:rsidRPr="009172AF">
        <w:rPr>
          <w:rFonts w:ascii="Palatino Linotype" w:eastAsia="Palatino Linotype" w:hAnsi="Palatino Linotype" w:cs="Palatino Linotype"/>
          <w:i/>
          <w:color w:val="000000"/>
        </w:rPr>
        <w:t>[…]</w:t>
      </w:r>
    </w:p>
    <w:p w:rsidR="008F71D7" w:rsidRPr="009172AF" w:rsidRDefault="008F71D7" w:rsidP="008F71D7">
      <w:pPr>
        <w:pBdr>
          <w:top w:val="nil"/>
          <w:left w:val="nil"/>
          <w:bottom w:val="nil"/>
          <w:right w:val="nil"/>
          <w:between w:val="nil"/>
        </w:pBdr>
        <w:spacing w:line="276" w:lineRule="auto"/>
        <w:ind w:left="567" w:right="902"/>
        <w:jc w:val="both"/>
        <w:rPr>
          <w:rFonts w:ascii="Palatino Linotype" w:eastAsia="Palatino Linotype" w:hAnsi="Palatino Linotype" w:cs="Palatino Linotype"/>
          <w:color w:val="000000"/>
        </w:rPr>
      </w:pPr>
      <w:r w:rsidRPr="009172AF">
        <w:rPr>
          <w:rFonts w:ascii="Palatino Linotype" w:eastAsia="Palatino Linotype" w:hAnsi="Palatino Linotype" w:cs="Palatino Linotype"/>
          <w:b/>
          <w:i/>
          <w:color w:val="000000"/>
        </w:rPr>
        <w:lastRenderedPageBreak/>
        <w:t>IX. Datos personales:</w:t>
      </w:r>
      <w:r w:rsidRPr="009172AF">
        <w:rPr>
          <w:rFonts w:ascii="Palatino Linotype" w:eastAsia="Palatino Linotype" w:hAnsi="Palatino Linotype" w:cs="Palatino Linotype"/>
          <w:i/>
          <w:color w:val="000000"/>
        </w:rPr>
        <w:t xml:space="preserve"> La información concerniente a una persona, identificada o identificable según lo dispuesto por la Ley de Protección de Datos Personales del Estado de México; </w:t>
      </w:r>
    </w:p>
    <w:p w:rsidR="008F71D7" w:rsidRPr="009172AF" w:rsidRDefault="008F71D7" w:rsidP="008F71D7">
      <w:pPr>
        <w:pBdr>
          <w:top w:val="nil"/>
          <w:left w:val="nil"/>
          <w:bottom w:val="nil"/>
          <w:right w:val="nil"/>
          <w:between w:val="nil"/>
        </w:pBdr>
        <w:spacing w:line="276" w:lineRule="auto"/>
        <w:ind w:left="567" w:right="902"/>
        <w:jc w:val="both"/>
        <w:rPr>
          <w:rFonts w:ascii="Palatino Linotype" w:eastAsia="Palatino Linotype" w:hAnsi="Palatino Linotype" w:cs="Palatino Linotype"/>
          <w:color w:val="000000"/>
        </w:rPr>
      </w:pPr>
      <w:r w:rsidRPr="009172AF">
        <w:rPr>
          <w:rFonts w:ascii="Palatino Linotype" w:eastAsia="Palatino Linotype" w:hAnsi="Palatino Linotype" w:cs="Palatino Linotype"/>
          <w:b/>
          <w:i/>
          <w:color w:val="000000"/>
        </w:rPr>
        <w:t>XX. Información clasificada</w:t>
      </w:r>
      <w:r w:rsidRPr="009172AF">
        <w:rPr>
          <w:rFonts w:ascii="Palatino Linotype" w:eastAsia="Palatino Linotype" w:hAnsi="Palatino Linotype" w:cs="Palatino Linotype"/>
          <w:i/>
          <w:color w:val="000000"/>
        </w:rPr>
        <w:t>: Aquella considerada por la presente Ley como reservada o confidencial;</w:t>
      </w:r>
    </w:p>
    <w:p w:rsidR="008F71D7" w:rsidRPr="009172AF" w:rsidRDefault="008F71D7" w:rsidP="008F71D7">
      <w:pPr>
        <w:pBdr>
          <w:top w:val="nil"/>
          <w:left w:val="nil"/>
          <w:bottom w:val="nil"/>
          <w:right w:val="nil"/>
          <w:between w:val="nil"/>
        </w:pBdr>
        <w:spacing w:line="276" w:lineRule="auto"/>
        <w:ind w:left="567" w:right="902"/>
        <w:jc w:val="both"/>
        <w:rPr>
          <w:rFonts w:ascii="Palatino Linotype" w:eastAsia="Palatino Linotype" w:hAnsi="Palatino Linotype" w:cs="Palatino Linotype"/>
          <w:color w:val="000000"/>
        </w:rPr>
      </w:pPr>
      <w:r w:rsidRPr="009172AF">
        <w:rPr>
          <w:rFonts w:ascii="Palatino Linotype" w:eastAsia="Palatino Linotype" w:hAnsi="Palatino Linotype" w:cs="Palatino Linotype"/>
          <w:b/>
          <w:i/>
          <w:color w:val="000000"/>
        </w:rPr>
        <w:t>XXI. Información confidencial:</w:t>
      </w:r>
      <w:r w:rsidRPr="009172AF">
        <w:rPr>
          <w:rFonts w:ascii="Palatino Linotype" w:eastAsia="Palatino Linotype" w:hAnsi="Palatino Linotype" w:cs="Palatino Linotype"/>
          <w:i/>
          <w:color w:val="000000"/>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8F71D7" w:rsidRPr="009172AF" w:rsidRDefault="008F71D7" w:rsidP="008F71D7">
      <w:pPr>
        <w:pBdr>
          <w:top w:val="nil"/>
          <w:left w:val="nil"/>
          <w:bottom w:val="nil"/>
          <w:right w:val="nil"/>
          <w:between w:val="nil"/>
        </w:pBdr>
        <w:spacing w:line="276" w:lineRule="auto"/>
        <w:ind w:left="567" w:right="902"/>
        <w:jc w:val="both"/>
        <w:rPr>
          <w:rFonts w:ascii="Palatino Linotype" w:eastAsia="Palatino Linotype" w:hAnsi="Palatino Linotype" w:cs="Palatino Linotype"/>
          <w:color w:val="000000"/>
        </w:rPr>
      </w:pPr>
      <w:r w:rsidRPr="009172AF">
        <w:rPr>
          <w:rFonts w:ascii="Palatino Linotype" w:eastAsia="Palatino Linotype" w:hAnsi="Palatino Linotype" w:cs="Palatino Linotype"/>
          <w:b/>
          <w:i/>
          <w:color w:val="000000"/>
        </w:rPr>
        <w:t>XLV. Versión pública:</w:t>
      </w:r>
      <w:r w:rsidRPr="009172AF">
        <w:rPr>
          <w:rFonts w:ascii="Palatino Linotype" w:eastAsia="Palatino Linotype" w:hAnsi="Palatino Linotype" w:cs="Palatino Linotype"/>
          <w:i/>
          <w:color w:val="000000"/>
        </w:rPr>
        <w:t xml:space="preserve"> Documento en el que se elimine, suprime o borra la información clasificada como reservada o confidencial para permitir su acceso.</w:t>
      </w:r>
    </w:p>
    <w:p w:rsidR="008F71D7" w:rsidRPr="009172AF" w:rsidRDefault="008F71D7" w:rsidP="008F71D7">
      <w:pPr>
        <w:pBdr>
          <w:top w:val="nil"/>
          <w:left w:val="nil"/>
          <w:bottom w:val="nil"/>
          <w:right w:val="nil"/>
          <w:between w:val="nil"/>
        </w:pBdr>
        <w:spacing w:line="276" w:lineRule="auto"/>
        <w:ind w:left="567" w:right="902"/>
        <w:jc w:val="both"/>
        <w:rPr>
          <w:rFonts w:ascii="Palatino Linotype" w:eastAsia="Palatino Linotype" w:hAnsi="Palatino Linotype" w:cs="Palatino Linotype"/>
          <w:color w:val="000000"/>
        </w:rPr>
      </w:pPr>
      <w:r w:rsidRPr="009172AF">
        <w:rPr>
          <w:rFonts w:ascii="Palatino Linotype" w:eastAsia="Palatino Linotype" w:hAnsi="Palatino Linotype" w:cs="Palatino Linotype"/>
          <w:i/>
          <w:color w:val="000000"/>
        </w:rPr>
        <w:t>[…]</w:t>
      </w:r>
    </w:p>
    <w:p w:rsidR="008F71D7" w:rsidRPr="009172AF" w:rsidRDefault="008F71D7" w:rsidP="008F71D7">
      <w:pPr>
        <w:pBdr>
          <w:top w:val="nil"/>
          <w:left w:val="nil"/>
          <w:bottom w:val="nil"/>
          <w:right w:val="nil"/>
          <w:between w:val="nil"/>
        </w:pBdr>
        <w:spacing w:line="276" w:lineRule="auto"/>
        <w:ind w:left="567" w:right="902"/>
        <w:jc w:val="both"/>
        <w:rPr>
          <w:rFonts w:ascii="Palatino Linotype" w:eastAsia="Palatino Linotype" w:hAnsi="Palatino Linotype" w:cs="Palatino Linotype"/>
          <w:color w:val="000000"/>
        </w:rPr>
      </w:pPr>
      <w:r w:rsidRPr="009172AF">
        <w:rPr>
          <w:rFonts w:ascii="Palatino Linotype" w:eastAsia="Palatino Linotype" w:hAnsi="Palatino Linotype" w:cs="Palatino Linotype"/>
          <w:b/>
          <w:i/>
          <w:color w:val="000000"/>
        </w:rPr>
        <w:t xml:space="preserve">Artículo 91. </w:t>
      </w:r>
      <w:r w:rsidRPr="009172AF">
        <w:rPr>
          <w:rFonts w:ascii="Palatino Linotype" w:eastAsia="Palatino Linotype" w:hAnsi="Palatino Linotype" w:cs="Palatino Linotype"/>
          <w:i/>
          <w:color w:val="000000"/>
        </w:rPr>
        <w:t>El acceso a la información pública será restringido excepcionalmente, cuando ésta sea clasificada como reservada o confidencial.</w:t>
      </w:r>
    </w:p>
    <w:p w:rsidR="008F71D7" w:rsidRPr="009172AF" w:rsidRDefault="008F71D7" w:rsidP="008F71D7">
      <w:pPr>
        <w:pBdr>
          <w:top w:val="nil"/>
          <w:left w:val="nil"/>
          <w:bottom w:val="nil"/>
          <w:right w:val="nil"/>
          <w:between w:val="nil"/>
        </w:pBdr>
        <w:spacing w:line="276" w:lineRule="auto"/>
        <w:ind w:left="567" w:right="902"/>
        <w:jc w:val="both"/>
        <w:rPr>
          <w:rFonts w:ascii="Palatino Linotype" w:eastAsia="Palatino Linotype" w:hAnsi="Palatino Linotype" w:cs="Palatino Linotype"/>
          <w:color w:val="000000"/>
        </w:rPr>
      </w:pPr>
      <w:r w:rsidRPr="009172AF">
        <w:rPr>
          <w:rFonts w:ascii="Palatino Linotype" w:eastAsia="Palatino Linotype" w:hAnsi="Palatino Linotype" w:cs="Palatino Linotype"/>
          <w:b/>
          <w:i/>
          <w:color w:val="000000"/>
        </w:rPr>
        <w:t xml:space="preserve">Artículo 132. </w:t>
      </w:r>
      <w:r w:rsidRPr="009172AF">
        <w:rPr>
          <w:rFonts w:ascii="Palatino Linotype" w:eastAsia="Palatino Linotype" w:hAnsi="Palatino Linotype" w:cs="Palatino Linotype"/>
          <w:i/>
          <w:color w:val="000000"/>
        </w:rPr>
        <w:t>La clasificación de la información se llevará a cabo en el momento en que:</w:t>
      </w:r>
    </w:p>
    <w:p w:rsidR="008F71D7" w:rsidRPr="009172AF" w:rsidRDefault="008F71D7" w:rsidP="008F71D7">
      <w:pPr>
        <w:pBdr>
          <w:top w:val="nil"/>
          <w:left w:val="nil"/>
          <w:bottom w:val="nil"/>
          <w:right w:val="nil"/>
          <w:between w:val="nil"/>
        </w:pBdr>
        <w:spacing w:line="276" w:lineRule="auto"/>
        <w:ind w:left="567" w:right="902"/>
        <w:jc w:val="both"/>
        <w:rPr>
          <w:rFonts w:ascii="Palatino Linotype" w:eastAsia="Palatino Linotype" w:hAnsi="Palatino Linotype" w:cs="Palatino Linotype"/>
          <w:color w:val="000000"/>
        </w:rPr>
      </w:pPr>
      <w:r w:rsidRPr="009172AF">
        <w:rPr>
          <w:rFonts w:ascii="Palatino Linotype" w:eastAsia="Palatino Linotype" w:hAnsi="Palatino Linotype" w:cs="Palatino Linotype"/>
          <w:b/>
          <w:i/>
          <w:color w:val="000000"/>
        </w:rPr>
        <w:t>I</w:t>
      </w:r>
      <w:r w:rsidRPr="009172AF">
        <w:rPr>
          <w:rFonts w:ascii="Palatino Linotype" w:eastAsia="Palatino Linotype" w:hAnsi="Palatino Linotype" w:cs="Palatino Linotype"/>
          <w:i/>
          <w:color w:val="000000"/>
        </w:rPr>
        <w:t>. Se reciba una solicitud de acceso a la información;</w:t>
      </w:r>
    </w:p>
    <w:p w:rsidR="008F71D7" w:rsidRPr="009172AF" w:rsidRDefault="008F71D7" w:rsidP="008F71D7">
      <w:pPr>
        <w:pBdr>
          <w:top w:val="nil"/>
          <w:left w:val="nil"/>
          <w:bottom w:val="nil"/>
          <w:right w:val="nil"/>
          <w:between w:val="nil"/>
        </w:pBdr>
        <w:spacing w:line="276" w:lineRule="auto"/>
        <w:ind w:left="567" w:right="902"/>
        <w:jc w:val="both"/>
        <w:rPr>
          <w:rFonts w:ascii="Palatino Linotype" w:eastAsia="Palatino Linotype" w:hAnsi="Palatino Linotype" w:cs="Palatino Linotype"/>
          <w:color w:val="000000"/>
        </w:rPr>
      </w:pPr>
      <w:r w:rsidRPr="009172AF">
        <w:rPr>
          <w:rFonts w:ascii="Palatino Linotype" w:eastAsia="Palatino Linotype" w:hAnsi="Palatino Linotype" w:cs="Palatino Linotype"/>
          <w:b/>
          <w:i/>
          <w:color w:val="000000"/>
        </w:rPr>
        <w:t>II</w:t>
      </w:r>
      <w:r w:rsidRPr="009172AF">
        <w:rPr>
          <w:rFonts w:ascii="Palatino Linotype" w:eastAsia="Palatino Linotype" w:hAnsi="Palatino Linotype" w:cs="Palatino Linotype"/>
          <w:i/>
          <w:color w:val="000000"/>
        </w:rPr>
        <w:t>. Se determine mediante resolución de autoridad competente; o</w:t>
      </w:r>
    </w:p>
    <w:p w:rsidR="008F71D7" w:rsidRPr="009172AF" w:rsidRDefault="008F71D7" w:rsidP="008F71D7">
      <w:pPr>
        <w:pBdr>
          <w:top w:val="nil"/>
          <w:left w:val="nil"/>
          <w:bottom w:val="nil"/>
          <w:right w:val="nil"/>
          <w:between w:val="nil"/>
        </w:pBdr>
        <w:spacing w:line="276" w:lineRule="auto"/>
        <w:ind w:left="567" w:right="902"/>
        <w:jc w:val="both"/>
        <w:rPr>
          <w:rFonts w:ascii="Palatino Linotype" w:eastAsia="Palatino Linotype" w:hAnsi="Palatino Linotype" w:cs="Palatino Linotype"/>
          <w:color w:val="000000"/>
        </w:rPr>
      </w:pPr>
      <w:r w:rsidRPr="009172AF">
        <w:rPr>
          <w:rFonts w:ascii="Palatino Linotype" w:eastAsia="Palatino Linotype" w:hAnsi="Palatino Linotype" w:cs="Palatino Linotype"/>
          <w:b/>
          <w:i/>
          <w:color w:val="000000"/>
        </w:rPr>
        <w:t>III</w:t>
      </w:r>
      <w:r w:rsidRPr="009172AF">
        <w:rPr>
          <w:rFonts w:ascii="Palatino Linotype" w:eastAsia="Palatino Linotype" w:hAnsi="Palatino Linotype" w:cs="Palatino Linotype"/>
          <w:i/>
          <w:color w:val="000000"/>
        </w:rPr>
        <w:t>. Se generen versiones públicas para dar cumplimiento a las obligaciones de transparencia previstas en esta Ley.</w:t>
      </w:r>
    </w:p>
    <w:p w:rsidR="008F71D7" w:rsidRPr="009172AF" w:rsidRDefault="008F71D7" w:rsidP="008F71D7">
      <w:pPr>
        <w:pBdr>
          <w:top w:val="nil"/>
          <w:left w:val="nil"/>
          <w:bottom w:val="nil"/>
          <w:right w:val="nil"/>
          <w:between w:val="nil"/>
        </w:pBdr>
        <w:spacing w:line="276" w:lineRule="auto"/>
        <w:ind w:left="567" w:right="902"/>
        <w:jc w:val="both"/>
        <w:rPr>
          <w:rFonts w:ascii="Palatino Linotype" w:eastAsia="Palatino Linotype" w:hAnsi="Palatino Linotype" w:cs="Palatino Linotype"/>
          <w:color w:val="000000"/>
        </w:rPr>
      </w:pPr>
      <w:r w:rsidRPr="009172AF">
        <w:rPr>
          <w:rFonts w:ascii="Palatino Linotype" w:eastAsia="Palatino Linotype" w:hAnsi="Palatino Linotype" w:cs="Palatino Linotype"/>
          <w:i/>
          <w:color w:val="000000"/>
        </w:rPr>
        <w:t>[…]</w:t>
      </w:r>
    </w:p>
    <w:p w:rsidR="008F71D7" w:rsidRPr="009172AF" w:rsidRDefault="008F71D7" w:rsidP="008F71D7">
      <w:pPr>
        <w:pBdr>
          <w:top w:val="nil"/>
          <w:left w:val="nil"/>
          <w:bottom w:val="nil"/>
          <w:right w:val="nil"/>
          <w:between w:val="nil"/>
        </w:pBdr>
        <w:spacing w:line="276" w:lineRule="auto"/>
        <w:ind w:left="567" w:right="902"/>
        <w:jc w:val="both"/>
        <w:rPr>
          <w:rFonts w:ascii="Palatino Linotype" w:eastAsia="Palatino Linotype" w:hAnsi="Palatino Linotype" w:cs="Palatino Linotype"/>
          <w:color w:val="000000"/>
        </w:rPr>
      </w:pPr>
      <w:r w:rsidRPr="009172AF">
        <w:rPr>
          <w:rFonts w:ascii="Palatino Linotype" w:eastAsia="Palatino Linotype" w:hAnsi="Palatino Linotype" w:cs="Palatino Linotype"/>
          <w:b/>
          <w:i/>
          <w:color w:val="000000"/>
        </w:rPr>
        <w:t>Artículo 143</w:t>
      </w:r>
      <w:r w:rsidRPr="009172AF">
        <w:rPr>
          <w:rFonts w:ascii="Palatino Linotype" w:eastAsia="Palatino Linotype" w:hAnsi="Palatino Linotype" w:cs="Palatino Linotype"/>
          <w:i/>
          <w:color w:val="000000"/>
        </w:rPr>
        <w:t>. Para los efectos de esta Ley se considera información confidencial, la clasificada como tal, de manera permanente, por su naturaleza, cuando:</w:t>
      </w:r>
    </w:p>
    <w:p w:rsidR="008F71D7" w:rsidRPr="009172AF" w:rsidRDefault="008F71D7" w:rsidP="008F71D7">
      <w:pPr>
        <w:pBdr>
          <w:top w:val="nil"/>
          <w:left w:val="nil"/>
          <w:bottom w:val="nil"/>
          <w:right w:val="nil"/>
          <w:between w:val="nil"/>
        </w:pBdr>
        <w:spacing w:line="276" w:lineRule="auto"/>
        <w:ind w:left="567" w:right="902"/>
        <w:jc w:val="both"/>
        <w:rPr>
          <w:rFonts w:ascii="Palatino Linotype" w:eastAsia="Palatino Linotype" w:hAnsi="Palatino Linotype" w:cs="Palatino Linotype"/>
          <w:color w:val="000000"/>
        </w:rPr>
      </w:pPr>
      <w:r w:rsidRPr="009172AF">
        <w:rPr>
          <w:rFonts w:ascii="Palatino Linotype" w:eastAsia="Palatino Linotype" w:hAnsi="Palatino Linotype" w:cs="Palatino Linotype"/>
          <w:b/>
          <w:i/>
          <w:color w:val="000000"/>
        </w:rPr>
        <w:t>I.</w:t>
      </w:r>
      <w:r w:rsidRPr="009172AF">
        <w:rPr>
          <w:rFonts w:ascii="Palatino Linotype" w:eastAsia="Palatino Linotype" w:hAnsi="Palatino Linotype" w:cs="Palatino Linotype"/>
          <w:i/>
          <w:color w:val="000000"/>
        </w:rPr>
        <w:t xml:space="preserve"> Se refiera a la información privada y los datos personales concernientes a una persona física o </w:t>
      </w:r>
      <w:proofErr w:type="gramStart"/>
      <w:r w:rsidRPr="009172AF">
        <w:rPr>
          <w:rFonts w:ascii="Palatino Linotype" w:eastAsia="Palatino Linotype" w:hAnsi="Palatino Linotype" w:cs="Palatino Linotype"/>
          <w:i/>
          <w:color w:val="000000"/>
        </w:rPr>
        <w:t>jurídico</w:t>
      </w:r>
      <w:proofErr w:type="gramEnd"/>
      <w:r w:rsidRPr="009172AF">
        <w:rPr>
          <w:rFonts w:ascii="Palatino Linotype" w:eastAsia="Palatino Linotype" w:hAnsi="Palatino Linotype" w:cs="Palatino Linotype"/>
          <w:i/>
          <w:color w:val="000000"/>
        </w:rPr>
        <w:t xml:space="preserve"> colectiva identificada o identificable;</w:t>
      </w:r>
    </w:p>
    <w:p w:rsidR="008F71D7" w:rsidRPr="009172AF" w:rsidRDefault="008F71D7" w:rsidP="008F71D7">
      <w:pPr>
        <w:pBdr>
          <w:top w:val="nil"/>
          <w:left w:val="nil"/>
          <w:bottom w:val="nil"/>
          <w:right w:val="nil"/>
          <w:between w:val="nil"/>
        </w:pBdr>
        <w:spacing w:line="276" w:lineRule="auto"/>
        <w:ind w:left="567" w:right="902"/>
        <w:jc w:val="both"/>
        <w:rPr>
          <w:rFonts w:ascii="Palatino Linotype" w:eastAsia="Palatino Linotype" w:hAnsi="Palatino Linotype" w:cs="Palatino Linotype"/>
          <w:color w:val="000000"/>
        </w:rPr>
      </w:pPr>
      <w:r w:rsidRPr="009172AF">
        <w:rPr>
          <w:rFonts w:ascii="Palatino Linotype" w:eastAsia="Palatino Linotype" w:hAnsi="Palatino Linotype" w:cs="Palatino Linotype"/>
          <w:b/>
          <w:i/>
          <w:color w:val="000000"/>
        </w:rPr>
        <w:lastRenderedPageBreak/>
        <w:t>II.</w:t>
      </w:r>
      <w:r w:rsidRPr="009172AF">
        <w:rPr>
          <w:rFonts w:ascii="Palatino Linotype" w:eastAsia="Palatino Linotype" w:hAnsi="Palatino Linotype" w:cs="Palatino Linotype"/>
          <w:i/>
          <w:color w:val="000000"/>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8F71D7" w:rsidRPr="009172AF" w:rsidRDefault="008F71D7" w:rsidP="008F71D7">
      <w:pPr>
        <w:pBdr>
          <w:top w:val="nil"/>
          <w:left w:val="nil"/>
          <w:bottom w:val="nil"/>
          <w:right w:val="nil"/>
          <w:between w:val="nil"/>
        </w:pBdr>
        <w:spacing w:line="276" w:lineRule="auto"/>
        <w:ind w:left="567" w:right="902"/>
        <w:jc w:val="both"/>
        <w:rPr>
          <w:rFonts w:ascii="Palatino Linotype" w:eastAsia="Palatino Linotype" w:hAnsi="Palatino Linotype" w:cs="Palatino Linotype"/>
          <w:color w:val="000000"/>
        </w:rPr>
      </w:pPr>
      <w:r w:rsidRPr="009172AF">
        <w:rPr>
          <w:rFonts w:ascii="Palatino Linotype" w:eastAsia="Palatino Linotype" w:hAnsi="Palatino Linotype" w:cs="Palatino Linotype"/>
          <w:b/>
          <w:i/>
          <w:color w:val="000000"/>
        </w:rPr>
        <w:t>III</w:t>
      </w:r>
      <w:r w:rsidRPr="009172AF">
        <w:rPr>
          <w:rFonts w:ascii="Palatino Linotype" w:eastAsia="Palatino Linotype" w:hAnsi="Palatino Linotype" w:cs="Palatino Linotype"/>
          <w:i/>
          <w:color w:val="000000"/>
        </w:rPr>
        <w:t>. La que presenten los particulares a los sujetos obligados, de conformidad con lo dispuesto por las leyes o los tratados internacionales.</w:t>
      </w:r>
    </w:p>
    <w:p w:rsidR="008F71D7" w:rsidRPr="009172AF" w:rsidRDefault="008F71D7" w:rsidP="008F71D7">
      <w:pPr>
        <w:pBdr>
          <w:top w:val="nil"/>
          <w:left w:val="nil"/>
          <w:bottom w:val="nil"/>
          <w:right w:val="nil"/>
          <w:between w:val="nil"/>
        </w:pBdr>
        <w:spacing w:line="276" w:lineRule="auto"/>
        <w:ind w:left="567" w:right="902"/>
        <w:jc w:val="both"/>
        <w:rPr>
          <w:rFonts w:ascii="Palatino Linotype" w:eastAsia="Palatino Linotype" w:hAnsi="Palatino Linotype" w:cs="Palatino Linotype"/>
          <w:color w:val="000000"/>
        </w:rPr>
      </w:pPr>
      <w:r w:rsidRPr="009172AF">
        <w:rPr>
          <w:rFonts w:ascii="Palatino Linotype" w:eastAsia="Palatino Linotype" w:hAnsi="Palatino Linotype" w:cs="Palatino Linotype"/>
          <w:i/>
          <w:color w:val="000000"/>
        </w:rPr>
        <w:t>La información confidencial no estará sujeta a temporalidad alguna y sólo podrán tener acceso a ella los titulares de la misma, sus representantes y los servidores públicos facultados para ello.</w:t>
      </w:r>
    </w:p>
    <w:p w:rsidR="008F71D7" w:rsidRPr="009172AF" w:rsidRDefault="008F71D7" w:rsidP="008F71D7">
      <w:pPr>
        <w:pBdr>
          <w:top w:val="nil"/>
          <w:left w:val="nil"/>
          <w:bottom w:val="nil"/>
          <w:right w:val="nil"/>
          <w:between w:val="nil"/>
        </w:pBdr>
        <w:spacing w:line="276" w:lineRule="auto"/>
        <w:ind w:left="567" w:right="902"/>
        <w:jc w:val="both"/>
        <w:rPr>
          <w:rFonts w:ascii="Palatino Linotype" w:eastAsia="Palatino Linotype" w:hAnsi="Palatino Linotype" w:cs="Palatino Linotype"/>
          <w:i/>
          <w:color w:val="000000"/>
        </w:rPr>
      </w:pPr>
      <w:r w:rsidRPr="009172AF">
        <w:rPr>
          <w:rFonts w:ascii="Palatino Linotype" w:eastAsia="Palatino Linotype" w:hAnsi="Palatino Linotype" w:cs="Palatino Linotype"/>
          <w:i/>
          <w:color w:val="000000"/>
        </w:rPr>
        <w:t>No se considerará confidencial la información que se encuentre en los registros públicos o en fuentes de acceso público, ni tampoco la que sea considerada por la presente ley como información pública.”</w:t>
      </w:r>
    </w:p>
    <w:p w:rsidR="008F71D7" w:rsidRPr="009172AF" w:rsidRDefault="008F71D7" w:rsidP="008F71D7">
      <w:pPr>
        <w:pBdr>
          <w:top w:val="nil"/>
          <w:left w:val="nil"/>
          <w:bottom w:val="nil"/>
          <w:right w:val="nil"/>
          <w:between w:val="nil"/>
        </w:pBdr>
        <w:spacing w:line="276" w:lineRule="auto"/>
        <w:ind w:left="567" w:right="902"/>
        <w:jc w:val="both"/>
        <w:rPr>
          <w:rFonts w:ascii="Palatino Linotype" w:eastAsia="Palatino Linotype" w:hAnsi="Palatino Linotype" w:cs="Palatino Linotype"/>
          <w:color w:val="000000"/>
        </w:rPr>
      </w:pPr>
    </w:p>
    <w:p w:rsidR="008F71D7" w:rsidRPr="009172AF" w:rsidRDefault="008F71D7" w:rsidP="008F71D7">
      <w:pPr>
        <w:pStyle w:val="Prrafodelista"/>
        <w:numPr>
          <w:ilvl w:val="0"/>
          <w:numId w:val="1"/>
        </w:numPr>
        <w:tabs>
          <w:tab w:val="left" w:pos="284"/>
        </w:tabs>
        <w:spacing w:line="360" w:lineRule="auto"/>
        <w:ind w:left="0" w:right="49" w:firstLine="0"/>
        <w:jc w:val="both"/>
        <w:rPr>
          <w:rFonts w:ascii="Palatino Linotype" w:eastAsia="Palatino Linotype" w:hAnsi="Palatino Linotype" w:cs="Palatino Linotype"/>
          <w:color w:val="000000"/>
        </w:rPr>
      </w:pPr>
      <w:r w:rsidRPr="009172AF">
        <w:rPr>
          <w:rFonts w:ascii="Palatino Linotype" w:eastAsia="Palatino Linotype" w:hAnsi="Palatino Linotype" w:cs="Palatino Linotype"/>
          <w:color w:val="000000"/>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8F71D7" w:rsidRPr="009172AF" w:rsidRDefault="008F71D7" w:rsidP="008F71D7">
      <w:pPr>
        <w:tabs>
          <w:tab w:val="left" w:pos="284"/>
        </w:tabs>
        <w:spacing w:line="360" w:lineRule="auto"/>
        <w:ind w:right="49"/>
        <w:jc w:val="both"/>
        <w:rPr>
          <w:rFonts w:ascii="Palatino Linotype" w:eastAsia="Palatino Linotype" w:hAnsi="Palatino Linotype" w:cs="Palatino Linotype"/>
          <w:color w:val="000000"/>
        </w:rPr>
      </w:pPr>
    </w:p>
    <w:p w:rsidR="008F71D7" w:rsidRPr="009172AF" w:rsidRDefault="008F71D7" w:rsidP="008F71D7">
      <w:pPr>
        <w:pStyle w:val="Prrafodelista"/>
        <w:numPr>
          <w:ilvl w:val="0"/>
          <w:numId w:val="1"/>
        </w:numPr>
        <w:tabs>
          <w:tab w:val="left" w:pos="284"/>
        </w:tabs>
        <w:spacing w:line="360" w:lineRule="auto"/>
        <w:ind w:left="0" w:right="49" w:firstLine="0"/>
        <w:jc w:val="both"/>
        <w:rPr>
          <w:rFonts w:ascii="Palatino Linotype" w:eastAsia="Calibri" w:hAnsi="Palatino Linotype" w:cs="Tahoma"/>
          <w:bCs/>
          <w:lang w:eastAsia="en-US"/>
        </w:rPr>
      </w:pPr>
      <w:r w:rsidRPr="009172AF">
        <w:rPr>
          <w:rFonts w:ascii="Palatino Linotype" w:eastAsia="Calibri" w:hAnsi="Palatino Linotype" w:cs="Tahoma"/>
          <w:bCs/>
          <w:lang w:eastAsia="en-US"/>
        </w:rPr>
        <w:t xml:space="preserve">En ese contexto, es de destacar que, </w:t>
      </w:r>
      <w:r w:rsidRPr="009172AF">
        <w:rPr>
          <w:rFonts w:ascii="Palatino Linotype" w:eastAsia="Calibri" w:hAnsi="Palatino Linotype" w:cs="Tahoma"/>
          <w:b/>
          <w:bCs/>
          <w:lang w:eastAsia="en-US"/>
        </w:rPr>
        <w:t xml:space="preserve">los datos de servidores públicos, entre los que se encuentran el nombre de los trabajadores, por regla general, </w:t>
      </w:r>
      <w:r w:rsidRPr="009172AF">
        <w:rPr>
          <w:rFonts w:ascii="Palatino Linotype" w:eastAsia="Calibri" w:hAnsi="Palatino Linotype" w:cs="Tahoma"/>
          <w:bCs/>
          <w:lang w:eastAsia="en-US"/>
        </w:rPr>
        <w:t xml:space="preserve">son de </w:t>
      </w:r>
      <w:r w:rsidRPr="009172AF">
        <w:rPr>
          <w:rFonts w:ascii="Palatino Linotype" w:eastAsia="Calibri" w:hAnsi="Palatino Linotype" w:cs="Tahoma"/>
          <w:bCs/>
          <w:lang w:eastAsia="en-US"/>
        </w:rPr>
        <w:lastRenderedPageBreak/>
        <w:t>naturaleza pública, ya que su publicidad orienta a cumplir los objetivos que persigue la Ley.</w:t>
      </w:r>
    </w:p>
    <w:p w:rsidR="008F71D7" w:rsidRPr="009172AF" w:rsidRDefault="008F71D7" w:rsidP="008F71D7">
      <w:pPr>
        <w:spacing w:line="360" w:lineRule="auto"/>
        <w:contextualSpacing/>
        <w:jc w:val="both"/>
        <w:rPr>
          <w:rFonts w:ascii="Palatino Linotype" w:eastAsia="Calibri" w:hAnsi="Palatino Linotype" w:cs="Tahoma"/>
          <w:bCs/>
          <w:lang w:eastAsia="en-US"/>
        </w:rPr>
      </w:pPr>
    </w:p>
    <w:p w:rsidR="008F71D7" w:rsidRPr="009172AF" w:rsidRDefault="008F71D7" w:rsidP="008F71D7">
      <w:pPr>
        <w:pStyle w:val="Prrafodelista"/>
        <w:numPr>
          <w:ilvl w:val="0"/>
          <w:numId w:val="1"/>
        </w:numPr>
        <w:tabs>
          <w:tab w:val="left" w:pos="284"/>
        </w:tabs>
        <w:spacing w:line="360" w:lineRule="auto"/>
        <w:ind w:left="0" w:right="49" w:firstLine="0"/>
        <w:jc w:val="both"/>
        <w:rPr>
          <w:rFonts w:ascii="Palatino Linotype" w:hAnsi="Palatino Linotype" w:cs="Tahoma"/>
        </w:rPr>
      </w:pPr>
      <w:r w:rsidRPr="009172AF">
        <w:rPr>
          <w:rFonts w:ascii="Palatino Linotype" w:eastAsia="Calibri" w:hAnsi="Palatino Linotype" w:cs="Tahoma"/>
          <w:bCs/>
          <w:lang w:eastAsia="en-US"/>
        </w:rPr>
        <w:t xml:space="preserve">No obstante, resulta necesario traer a colación por analogía, el Criterio 06/09, emitido por </w:t>
      </w:r>
      <w:r w:rsidRPr="009172AF">
        <w:rPr>
          <w:rFonts w:ascii="Palatino Linotype" w:hAnsi="Palatino Linotype" w:cs="Tahoma"/>
        </w:rPr>
        <w:t>el entonces Instituto Federal de Acceso a la Información y Protección de Datos ahora Instituto Nacional de Transparencia, Acceso a la Información y Protección de Datos Personales, que establece lo siguiente:</w:t>
      </w:r>
    </w:p>
    <w:p w:rsidR="008F71D7" w:rsidRPr="009172AF" w:rsidRDefault="008F71D7" w:rsidP="008F71D7">
      <w:pPr>
        <w:contextualSpacing/>
        <w:jc w:val="both"/>
        <w:rPr>
          <w:rFonts w:ascii="Palatino Linotype" w:hAnsi="Palatino Linotype" w:cs="Tahoma"/>
          <w:i/>
        </w:rPr>
      </w:pPr>
    </w:p>
    <w:p w:rsidR="008F71D7" w:rsidRPr="009172AF" w:rsidRDefault="008F71D7" w:rsidP="008F71D7">
      <w:pPr>
        <w:tabs>
          <w:tab w:val="left" w:pos="4962"/>
        </w:tabs>
        <w:ind w:left="850" w:right="901"/>
        <w:contextualSpacing/>
        <w:jc w:val="both"/>
        <w:rPr>
          <w:rFonts w:ascii="Palatino Linotype" w:hAnsi="Palatino Linotype" w:cs="Tahoma"/>
          <w:i/>
        </w:rPr>
      </w:pPr>
      <w:r w:rsidRPr="009172AF">
        <w:rPr>
          <w:rFonts w:ascii="Palatino Linotype" w:hAnsi="Palatino Linotype" w:cs="Tahoma"/>
          <w:b/>
          <w:i/>
        </w:rPr>
        <w:t>Nombres de servidores públicos dedicados a actividades en materia de seguridad, por excepción pueden considerarse información reservada.</w:t>
      </w:r>
      <w:r w:rsidRPr="009172AF">
        <w:rPr>
          <w:rFonts w:ascii="Palatino Linotype" w:hAnsi="Palatino Linotype" w:cs="Tahoma"/>
          <w:i/>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w:t>
      </w:r>
      <w:r w:rsidRPr="009172AF">
        <w:rPr>
          <w:rFonts w:ascii="Palatino Linotype" w:hAnsi="Palatino Linotype" w:cs="Tahoma"/>
          <w:i/>
        </w:rPr>
        <w:lastRenderedPageBreak/>
        <w:t>servidores públicos que prestan sus servicios en áreas de seguridad nacional o pública, puede llegar a constituirse en un componente fundamental en el esfuerzo que realiza el Estado Mexicano para garantizar la seguridad del país en sus diferentes vertientes.</w:t>
      </w:r>
    </w:p>
    <w:p w:rsidR="008F71D7" w:rsidRPr="009172AF" w:rsidRDefault="008F71D7" w:rsidP="008F71D7">
      <w:pPr>
        <w:contextualSpacing/>
        <w:jc w:val="both"/>
        <w:rPr>
          <w:rFonts w:ascii="Palatino Linotype" w:eastAsia="Calibri" w:hAnsi="Palatino Linotype" w:cs="Tahoma"/>
          <w:bCs/>
          <w:lang w:eastAsia="en-US"/>
        </w:rPr>
      </w:pPr>
    </w:p>
    <w:p w:rsidR="008F71D7" w:rsidRPr="009172AF" w:rsidRDefault="008F71D7" w:rsidP="008F71D7">
      <w:pPr>
        <w:pStyle w:val="Prrafodelista"/>
        <w:numPr>
          <w:ilvl w:val="0"/>
          <w:numId w:val="1"/>
        </w:numPr>
        <w:tabs>
          <w:tab w:val="left" w:pos="284"/>
        </w:tabs>
        <w:spacing w:line="360" w:lineRule="auto"/>
        <w:ind w:left="0" w:right="49" w:firstLine="0"/>
        <w:jc w:val="both"/>
        <w:rPr>
          <w:rFonts w:ascii="Palatino Linotype" w:eastAsia="Calibri" w:hAnsi="Palatino Linotype" w:cs="Tahoma"/>
          <w:bCs/>
          <w:lang w:eastAsia="en-US"/>
        </w:rPr>
      </w:pPr>
      <w:r w:rsidRPr="009172AF">
        <w:rPr>
          <w:rFonts w:ascii="Palatino Linotype" w:eastAsia="Calibri" w:hAnsi="Palatino Linotype" w:cs="Tahoma"/>
          <w:bCs/>
          <w:lang w:eastAsia="en-U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rsidR="008F71D7" w:rsidRPr="009172AF" w:rsidRDefault="008F71D7" w:rsidP="008F71D7">
      <w:pPr>
        <w:spacing w:line="360" w:lineRule="auto"/>
        <w:contextualSpacing/>
        <w:jc w:val="both"/>
        <w:rPr>
          <w:rFonts w:ascii="Palatino Linotype" w:eastAsia="Calibri" w:hAnsi="Palatino Linotype" w:cs="Tahoma"/>
          <w:bCs/>
          <w:lang w:eastAsia="en-US"/>
        </w:rPr>
      </w:pPr>
    </w:p>
    <w:p w:rsidR="008F71D7" w:rsidRPr="009172AF" w:rsidRDefault="008F71D7" w:rsidP="008F71D7">
      <w:pPr>
        <w:pStyle w:val="Prrafodelista"/>
        <w:numPr>
          <w:ilvl w:val="0"/>
          <w:numId w:val="1"/>
        </w:numPr>
        <w:tabs>
          <w:tab w:val="left" w:pos="284"/>
        </w:tabs>
        <w:spacing w:line="360" w:lineRule="auto"/>
        <w:ind w:left="0" w:right="49" w:firstLine="0"/>
        <w:jc w:val="both"/>
        <w:rPr>
          <w:rFonts w:ascii="Palatino Linotype" w:eastAsia="Calibri" w:hAnsi="Palatino Linotype" w:cs="Tahoma"/>
          <w:bCs/>
          <w:lang w:eastAsia="en-US"/>
        </w:rPr>
      </w:pPr>
      <w:r w:rsidRPr="009172AF">
        <w:rPr>
          <w:rFonts w:ascii="Palatino Linotype" w:eastAsia="Calibri" w:hAnsi="Palatino Linotype" w:cs="Tahoma"/>
          <w:bCs/>
          <w:lang w:eastAsia="en-US"/>
        </w:rPr>
        <w:t xml:space="preserve">En ese orden de ideas, si bien por regla general los nombres de los trabajadores gubernamentales son información pública de oficio, existe una excepción relativa a </w:t>
      </w:r>
      <w:r w:rsidRPr="009172AF">
        <w:rPr>
          <w:rFonts w:ascii="Palatino Linotype" w:eastAsia="Calibri" w:hAnsi="Palatino Linotype" w:cs="Tahoma"/>
          <w:b/>
          <w:bCs/>
          <w:lang w:eastAsia="en-US"/>
        </w:rPr>
        <w:t>aquellos que realicen actividades operativas en materia de seguridad,</w:t>
      </w:r>
      <w:r w:rsidRPr="009172AF">
        <w:rPr>
          <w:rFonts w:ascii="Palatino Linotype" w:eastAsia="Calibri" w:hAnsi="Palatino Linotype" w:cs="Tahoma"/>
          <w:bCs/>
          <w:lang w:eastAsia="en-US"/>
        </w:rPr>
        <w:t xml:space="preserve"> como es el caso de los elementos operativos y la policía municipal.</w:t>
      </w:r>
    </w:p>
    <w:p w:rsidR="008F71D7" w:rsidRPr="009172AF" w:rsidRDefault="008F71D7" w:rsidP="008F71D7">
      <w:pPr>
        <w:spacing w:line="360" w:lineRule="auto"/>
        <w:contextualSpacing/>
        <w:jc w:val="both"/>
        <w:rPr>
          <w:rFonts w:ascii="Palatino Linotype" w:eastAsia="Calibri" w:hAnsi="Palatino Linotype" w:cs="Tahoma"/>
          <w:bCs/>
          <w:lang w:eastAsia="en-US"/>
        </w:rPr>
      </w:pPr>
    </w:p>
    <w:p w:rsidR="008F71D7" w:rsidRPr="009172AF" w:rsidRDefault="008F71D7" w:rsidP="008F71D7">
      <w:pPr>
        <w:pStyle w:val="Prrafodelista"/>
        <w:numPr>
          <w:ilvl w:val="0"/>
          <w:numId w:val="1"/>
        </w:numPr>
        <w:tabs>
          <w:tab w:val="left" w:pos="284"/>
        </w:tabs>
        <w:spacing w:line="360" w:lineRule="auto"/>
        <w:ind w:left="0" w:right="49" w:firstLine="0"/>
        <w:jc w:val="both"/>
        <w:rPr>
          <w:rFonts w:ascii="Palatino Linotype" w:eastAsia="Calibri" w:hAnsi="Palatino Linotype" w:cs="Tahoma"/>
          <w:bCs/>
          <w:lang w:eastAsia="en-US"/>
        </w:rPr>
      </w:pPr>
      <w:r w:rsidRPr="009172AF">
        <w:rPr>
          <w:rFonts w:ascii="Palatino Linotype" w:eastAsia="Calibri" w:hAnsi="Palatino Linotype" w:cs="Tahoma"/>
          <w:bCs/>
          <w:lang w:eastAsia="en-US"/>
        </w:rPr>
        <w:t xml:space="preserve">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w:t>
      </w:r>
      <w:r w:rsidRPr="009172AF">
        <w:rPr>
          <w:rFonts w:ascii="Palatino Linotype" w:eastAsia="Calibri" w:hAnsi="Palatino Linotype" w:cs="Tahoma"/>
          <w:bCs/>
          <w:lang w:eastAsia="en-US"/>
        </w:rPr>
        <w:lastRenderedPageBreak/>
        <w:t>instancias encargadas de aplicar las infracción administrativas, y de las demás autoridades de las instancias encargadas de aplicar las infracciones administrativas.</w:t>
      </w:r>
    </w:p>
    <w:p w:rsidR="008F71D7" w:rsidRPr="009172AF" w:rsidRDefault="008F71D7" w:rsidP="008F71D7">
      <w:pPr>
        <w:spacing w:line="360" w:lineRule="auto"/>
        <w:contextualSpacing/>
        <w:jc w:val="both"/>
        <w:rPr>
          <w:rFonts w:ascii="Palatino Linotype" w:eastAsia="Calibri" w:hAnsi="Palatino Linotype" w:cs="Tahoma"/>
          <w:bCs/>
          <w:lang w:eastAsia="en-US"/>
        </w:rPr>
      </w:pPr>
    </w:p>
    <w:p w:rsidR="008F71D7" w:rsidRPr="009172AF" w:rsidRDefault="008F71D7" w:rsidP="008F71D7">
      <w:pPr>
        <w:pStyle w:val="Prrafodelista"/>
        <w:numPr>
          <w:ilvl w:val="0"/>
          <w:numId w:val="1"/>
        </w:numPr>
        <w:tabs>
          <w:tab w:val="left" w:pos="284"/>
        </w:tabs>
        <w:spacing w:line="360" w:lineRule="auto"/>
        <w:ind w:left="0" w:right="49" w:firstLine="0"/>
        <w:jc w:val="both"/>
        <w:rPr>
          <w:rFonts w:ascii="Palatino Linotype" w:eastAsia="Calibri" w:hAnsi="Palatino Linotype" w:cs="Tahoma"/>
          <w:bCs/>
          <w:lang w:eastAsia="en-US"/>
        </w:rPr>
      </w:pPr>
      <w:r w:rsidRPr="009172AF">
        <w:rPr>
          <w:rFonts w:ascii="Palatino Linotype" w:eastAsia="Calibri" w:hAnsi="Palatino Linotype" w:cs="Tahoma"/>
          <w:bCs/>
          <w:lang w:eastAsia="en-US"/>
        </w:rPr>
        <w:t>En ese contexto, el artículo 6, fracciones XI y XII de dicho ordenamiento jurídico, establece los siguientes conceptos:</w:t>
      </w:r>
    </w:p>
    <w:p w:rsidR="008F71D7" w:rsidRPr="009172AF" w:rsidRDefault="008F71D7" w:rsidP="008F71D7">
      <w:pPr>
        <w:spacing w:line="360" w:lineRule="auto"/>
        <w:contextualSpacing/>
        <w:jc w:val="both"/>
        <w:rPr>
          <w:rFonts w:ascii="Palatino Linotype" w:eastAsia="Calibri" w:hAnsi="Palatino Linotype" w:cs="Tahoma"/>
          <w:bCs/>
          <w:lang w:eastAsia="en-US"/>
        </w:rPr>
      </w:pPr>
    </w:p>
    <w:p w:rsidR="008F71D7" w:rsidRPr="009172AF" w:rsidRDefault="008F71D7" w:rsidP="008F71D7">
      <w:pPr>
        <w:pStyle w:val="Prrafodelista"/>
        <w:numPr>
          <w:ilvl w:val="0"/>
          <w:numId w:val="38"/>
        </w:numPr>
        <w:spacing w:line="360" w:lineRule="auto"/>
        <w:jc w:val="both"/>
        <w:rPr>
          <w:rFonts w:ascii="Palatino Linotype" w:eastAsia="Calibri" w:hAnsi="Palatino Linotype" w:cs="Tahoma"/>
          <w:b/>
          <w:bCs/>
          <w:lang w:eastAsia="en-US"/>
        </w:rPr>
      </w:pPr>
      <w:r w:rsidRPr="009172AF">
        <w:rPr>
          <w:rFonts w:ascii="Palatino Linotype" w:eastAsia="Calibri" w:hAnsi="Palatino Linotype" w:cs="Tahoma"/>
          <w:b/>
          <w:bCs/>
          <w:lang w:eastAsia="en-US"/>
        </w:rPr>
        <w:t xml:space="preserve">Instituciones Policiales: </w:t>
      </w:r>
      <w:r w:rsidRPr="009172AF">
        <w:rPr>
          <w:rFonts w:ascii="Palatino Linotype" w:eastAsia="Calibri" w:hAnsi="Palatino Linotype" w:cs="Tahoma"/>
          <w:bCs/>
          <w:lang w:eastAsia="en-US"/>
        </w:rPr>
        <w:t xml:space="preserve">Son los cuerpos de policía, de vigilancia y custodia de los establecimientos penitenciarios, detención preventiva, centros de arraigo y en general, </w:t>
      </w:r>
      <w:r w:rsidRPr="009172AF">
        <w:rPr>
          <w:rFonts w:ascii="Palatino Linotype" w:eastAsia="Calibri" w:hAnsi="Palatino Linotype" w:cs="Tahoma"/>
          <w:b/>
          <w:bCs/>
          <w:lang w:eastAsia="en-US"/>
        </w:rPr>
        <w:t>todas las dependencias encargadas de la seguridad pública a nivel</w:t>
      </w:r>
      <w:r w:rsidRPr="009172AF">
        <w:rPr>
          <w:rFonts w:ascii="Palatino Linotype" w:eastAsia="Calibri" w:hAnsi="Palatino Linotype" w:cs="Tahoma"/>
          <w:bCs/>
          <w:lang w:eastAsia="en-US"/>
        </w:rPr>
        <w:t xml:space="preserve"> estatal y </w:t>
      </w:r>
      <w:r w:rsidRPr="009172AF">
        <w:rPr>
          <w:rFonts w:ascii="Palatino Linotype" w:eastAsia="Calibri" w:hAnsi="Palatino Linotype" w:cs="Tahoma"/>
          <w:b/>
          <w:bCs/>
          <w:lang w:eastAsia="en-US"/>
        </w:rPr>
        <w:t>municipal.</w:t>
      </w:r>
    </w:p>
    <w:p w:rsidR="008F71D7" w:rsidRPr="009172AF" w:rsidRDefault="008F71D7" w:rsidP="008F71D7">
      <w:pPr>
        <w:pStyle w:val="Prrafodelista"/>
        <w:spacing w:line="360" w:lineRule="auto"/>
        <w:jc w:val="both"/>
        <w:rPr>
          <w:rFonts w:ascii="Palatino Linotype" w:eastAsia="Calibri" w:hAnsi="Palatino Linotype" w:cs="Tahoma"/>
          <w:bCs/>
          <w:lang w:eastAsia="en-US"/>
        </w:rPr>
      </w:pPr>
    </w:p>
    <w:p w:rsidR="008F71D7" w:rsidRPr="009172AF" w:rsidRDefault="008F71D7" w:rsidP="008F71D7">
      <w:pPr>
        <w:pStyle w:val="Prrafodelista"/>
        <w:numPr>
          <w:ilvl w:val="0"/>
          <w:numId w:val="38"/>
        </w:numPr>
        <w:spacing w:line="360" w:lineRule="auto"/>
        <w:jc w:val="both"/>
        <w:rPr>
          <w:rFonts w:ascii="Palatino Linotype" w:eastAsia="Calibri" w:hAnsi="Palatino Linotype" w:cs="Tahoma"/>
          <w:b/>
          <w:bCs/>
          <w:lang w:eastAsia="en-US"/>
        </w:rPr>
      </w:pPr>
      <w:r w:rsidRPr="009172AF">
        <w:rPr>
          <w:rFonts w:ascii="Palatino Linotype" w:eastAsia="Calibri" w:hAnsi="Palatino Linotype" w:cs="Tahoma"/>
          <w:b/>
          <w:bCs/>
          <w:lang w:eastAsia="en-US"/>
        </w:rPr>
        <w:t xml:space="preserve">Instituciones de Seguridad Pública: </w:t>
      </w:r>
      <w:r w:rsidRPr="009172AF">
        <w:rPr>
          <w:rFonts w:ascii="Palatino Linotype" w:eastAsia="Calibri" w:hAnsi="Palatino Linotype" w:cs="Tahoma"/>
          <w:bCs/>
          <w:lang w:eastAsia="en-US"/>
        </w:rPr>
        <w:t xml:space="preserve">Instituciones Policiales, Procuración de Justicia, Sistema Penitenciario y </w:t>
      </w:r>
      <w:r w:rsidRPr="009172AF">
        <w:rPr>
          <w:rFonts w:ascii="Palatino Linotype" w:eastAsia="Calibri" w:hAnsi="Palatino Linotype" w:cs="Tahoma"/>
          <w:b/>
          <w:bCs/>
          <w:lang w:eastAsia="en-US"/>
        </w:rPr>
        <w:t xml:space="preserve">dependencias encargadas de la seguridad pública a nivel </w:t>
      </w:r>
      <w:r w:rsidRPr="009172AF">
        <w:rPr>
          <w:rFonts w:ascii="Palatino Linotype" w:eastAsia="Calibri" w:hAnsi="Palatino Linotype" w:cs="Tahoma"/>
          <w:bCs/>
          <w:lang w:eastAsia="en-US"/>
        </w:rPr>
        <w:t xml:space="preserve">estatal y </w:t>
      </w:r>
      <w:r w:rsidRPr="009172AF">
        <w:rPr>
          <w:rFonts w:ascii="Palatino Linotype" w:eastAsia="Calibri" w:hAnsi="Palatino Linotype" w:cs="Tahoma"/>
          <w:b/>
          <w:bCs/>
          <w:lang w:eastAsia="en-US"/>
        </w:rPr>
        <w:t>municipal.</w:t>
      </w:r>
    </w:p>
    <w:p w:rsidR="008F71D7" w:rsidRPr="009172AF" w:rsidRDefault="008F71D7" w:rsidP="008F71D7">
      <w:pPr>
        <w:pStyle w:val="Prrafodelista"/>
        <w:spacing w:line="360" w:lineRule="auto"/>
        <w:rPr>
          <w:rFonts w:ascii="Palatino Linotype" w:eastAsia="Calibri" w:hAnsi="Palatino Linotype" w:cs="Tahoma"/>
          <w:b/>
          <w:bCs/>
          <w:lang w:eastAsia="en-US"/>
        </w:rPr>
      </w:pPr>
    </w:p>
    <w:p w:rsidR="008F71D7" w:rsidRPr="009172AF" w:rsidRDefault="008F71D7" w:rsidP="008F71D7">
      <w:pPr>
        <w:pStyle w:val="Prrafodelista"/>
        <w:numPr>
          <w:ilvl w:val="0"/>
          <w:numId w:val="1"/>
        </w:numPr>
        <w:tabs>
          <w:tab w:val="left" w:pos="284"/>
        </w:tabs>
        <w:spacing w:line="360" w:lineRule="auto"/>
        <w:ind w:left="0" w:right="49" w:firstLine="0"/>
        <w:jc w:val="both"/>
        <w:rPr>
          <w:rFonts w:ascii="Palatino Linotype" w:eastAsia="Calibri" w:hAnsi="Palatino Linotype" w:cs="Tahoma"/>
          <w:bCs/>
          <w:lang w:eastAsia="en-US"/>
        </w:rPr>
      </w:pPr>
      <w:r w:rsidRPr="009172AF">
        <w:rPr>
          <w:rFonts w:ascii="Palatino Linotype" w:eastAsia="Calibri" w:hAnsi="Palatino Linotype" w:cs="Tahoma"/>
          <w:iCs/>
          <w:lang w:val="es-ES" w:eastAsia="es-ES_tradnl"/>
        </w:rPr>
        <w:t>Conforme a lo anterior</w:t>
      </w:r>
      <w:r w:rsidRPr="009172AF">
        <w:rPr>
          <w:rFonts w:ascii="Palatino Linotype" w:eastAsia="Calibri" w:hAnsi="Palatino Linotype" w:cs="Tahoma"/>
          <w:bCs/>
          <w:lang w:eastAsia="en-US"/>
        </w:rPr>
        <w:t>, se puede deducir que la Dirección de Seguridad Pública Municipal, es una institución de seguridad pública, pues tiene como atribución principal resguardar el orden público y la paz social, la prevención de delitos y la inhibición de manifestaciones de conductas antisociales.</w:t>
      </w:r>
    </w:p>
    <w:p w:rsidR="008F71D7" w:rsidRPr="009172AF" w:rsidRDefault="008F71D7" w:rsidP="008F71D7">
      <w:pPr>
        <w:spacing w:line="360" w:lineRule="auto"/>
        <w:contextualSpacing/>
        <w:jc w:val="both"/>
        <w:rPr>
          <w:rFonts w:ascii="Palatino Linotype" w:eastAsia="Calibri" w:hAnsi="Palatino Linotype" w:cs="Tahoma"/>
          <w:bCs/>
          <w:lang w:eastAsia="en-US"/>
        </w:rPr>
      </w:pPr>
    </w:p>
    <w:p w:rsidR="008F71D7" w:rsidRPr="009172AF" w:rsidRDefault="008F71D7" w:rsidP="008F71D7">
      <w:pPr>
        <w:pStyle w:val="Prrafodelista"/>
        <w:numPr>
          <w:ilvl w:val="0"/>
          <w:numId w:val="1"/>
        </w:numPr>
        <w:tabs>
          <w:tab w:val="left" w:pos="284"/>
        </w:tabs>
        <w:spacing w:line="360" w:lineRule="auto"/>
        <w:ind w:left="0" w:right="49" w:firstLine="0"/>
        <w:jc w:val="both"/>
        <w:rPr>
          <w:rFonts w:ascii="Palatino Linotype" w:eastAsia="Calibri" w:hAnsi="Palatino Linotype" w:cs="Tahoma"/>
          <w:bCs/>
          <w:lang w:eastAsia="en-US"/>
        </w:rPr>
      </w:pPr>
      <w:r w:rsidRPr="009172AF">
        <w:rPr>
          <w:rFonts w:ascii="Palatino Linotype" w:eastAsia="Calibri" w:hAnsi="Palatino Linotype" w:cs="Tahoma"/>
          <w:bCs/>
          <w:lang w:val="es-ES" w:eastAsia="en-US"/>
        </w:rPr>
        <w:lastRenderedPageBreak/>
        <w:t xml:space="preserve">Además, </w:t>
      </w:r>
      <w:r w:rsidRPr="009172AF">
        <w:rPr>
          <w:rFonts w:ascii="Palatino Linotype" w:eastAsia="Calibri" w:hAnsi="Palatino Linotype" w:cs="Tahoma"/>
          <w:bCs/>
          <w:lang w:eastAsia="en-US"/>
        </w:rPr>
        <w:t xml:space="preserve">el Instructivo de llenado del Formato “Personal de Seguridad Pública”, del </w:t>
      </w:r>
      <w:r w:rsidRPr="009172AF">
        <w:rPr>
          <w:rFonts w:ascii="Palatino Linotype" w:eastAsia="Calibri" w:hAnsi="Palatino Linotype" w:cs="Tahoma"/>
          <w:iCs/>
          <w:lang w:val="es-ES" w:eastAsia="es-ES_tradnl"/>
        </w:rPr>
        <w:t>Secretariado</w:t>
      </w:r>
      <w:r w:rsidRPr="009172AF">
        <w:rPr>
          <w:rFonts w:ascii="Palatino Linotype" w:eastAsia="Calibri" w:hAnsi="Palatino Linotype" w:cs="Tahoma"/>
          <w:bCs/>
          <w:lang w:eastAsia="en-US"/>
        </w:rPr>
        <w:t xml:space="preserve"> Ejecutivo del Sistema Nacional de Seguridad Pública (consultado el veinte de abril de dos mil veintidós, a las dieciocho horas, en la liga electrónica </w:t>
      </w:r>
      <w:hyperlink r:id="rId10" w:history="1">
        <w:r w:rsidRPr="009172AF">
          <w:rPr>
            <w:rFonts w:ascii="Palatino Linotype" w:eastAsia="Calibri" w:hAnsi="Palatino Linotype" w:cs="Tahoma"/>
            <w:bCs/>
            <w:color w:val="0563C1"/>
            <w:u w:val="single"/>
            <w:lang w:eastAsia="en-US"/>
          </w:rPr>
          <w:t>http://secretariadoejecutivo.gob.mx/work/models/SecretariadoEjecutivo/Resource/328/1/images/instructivo_final_edo_fuerza(1).pdf</w:t>
        </w:r>
      </w:hyperlink>
      <w:r w:rsidRPr="009172AF">
        <w:rPr>
          <w:rFonts w:ascii="Palatino Linotype" w:eastAsia="Calibri" w:hAnsi="Palatino Linotype" w:cs="Tahoma"/>
          <w:bCs/>
          <w:lang w:eastAsia="en-US"/>
        </w:rPr>
        <w:t xml:space="preserve">), establece que los elementos operativos de seguridad pública, son aquellos que desempeñan funciones de campo (policiacas, especializadas o equivalentes y que no </w:t>
      </w:r>
      <w:r w:rsidRPr="009172AF">
        <w:rPr>
          <w:rFonts w:ascii="Palatino Linotype" w:eastAsia="Calibri" w:hAnsi="Palatino Linotype" w:cs="Tahoma"/>
          <w:b/>
          <w:bCs/>
          <w:lang w:eastAsia="en-US"/>
        </w:rPr>
        <w:t>desempeña funciones de mando</w:t>
      </w:r>
      <w:r w:rsidRPr="009172AF">
        <w:rPr>
          <w:rFonts w:ascii="Palatino Linotype" w:eastAsia="Calibri" w:hAnsi="Palatino Linotype" w:cs="Tahoma"/>
          <w:bCs/>
          <w:lang w:eastAsia="en-US"/>
        </w:rPr>
        <w:t xml:space="preserve">), entre los cuales, se encuentra </w:t>
      </w:r>
      <w:r w:rsidRPr="009172AF">
        <w:rPr>
          <w:rFonts w:ascii="Palatino Linotype" w:eastAsia="Calibri" w:hAnsi="Palatino Linotype" w:cs="Tahoma"/>
          <w:b/>
          <w:bCs/>
          <w:lang w:eastAsia="en-US"/>
        </w:rPr>
        <w:t>la Policía Municipal</w:t>
      </w:r>
      <w:r w:rsidRPr="009172AF">
        <w:rPr>
          <w:rFonts w:ascii="Palatino Linotype" w:eastAsia="Calibri" w:hAnsi="Palatino Linotype" w:cs="Tahoma"/>
          <w:bCs/>
          <w:lang w:eastAsia="en-US"/>
        </w:rPr>
        <w:t>.</w:t>
      </w:r>
    </w:p>
    <w:p w:rsidR="008F71D7" w:rsidRPr="009172AF" w:rsidRDefault="008F71D7" w:rsidP="008F71D7">
      <w:pPr>
        <w:tabs>
          <w:tab w:val="left" w:pos="4962"/>
        </w:tabs>
        <w:spacing w:line="360" w:lineRule="auto"/>
        <w:contextualSpacing/>
        <w:jc w:val="both"/>
        <w:rPr>
          <w:rFonts w:ascii="Palatino Linotype" w:eastAsia="Calibri" w:hAnsi="Palatino Linotype" w:cs="Tahoma"/>
          <w:bCs/>
          <w:lang w:eastAsia="en-US"/>
        </w:rPr>
      </w:pPr>
    </w:p>
    <w:p w:rsidR="008F71D7" w:rsidRPr="009172AF" w:rsidRDefault="008F71D7" w:rsidP="008F71D7">
      <w:pPr>
        <w:pStyle w:val="Prrafodelista"/>
        <w:numPr>
          <w:ilvl w:val="0"/>
          <w:numId w:val="1"/>
        </w:numPr>
        <w:tabs>
          <w:tab w:val="left" w:pos="284"/>
        </w:tabs>
        <w:spacing w:line="360" w:lineRule="auto"/>
        <w:ind w:left="0" w:right="49" w:firstLine="0"/>
        <w:jc w:val="both"/>
        <w:rPr>
          <w:rFonts w:ascii="Palatino Linotype" w:eastAsia="Calibri" w:hAnsi="Palatino Linotype" w:cs="Tahoma"/>
          <w:bCs/>
          <w:lang w:eastAsia="en-US"/>
        </w:rPr>
      </w:pPr>
      <w:r w:rsidRPr="009172AF">
        <w:rPr>
          <w:rFonts w:ascii="Palatino Linotype" w:eastAsia="Calibri" w:hAnsi="Palatino Linotype" w:cs="Tahoma"/>
          <w:bCs/>
          <w:lang w:eastAsia="en-US"/>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 De tales circunstancias, se puede observar que la Dirección de Seguridad Pública, tiene dos clases de servidores públicos, por una parte, los operativos (policía municipal) y por otra, los administrativos, de apoyo y personal de mando, los cuales no realizan funciones operativas.</w:t>
      </w:r>
    </w:p>
    <w:p w:rsidR="008F71D7" w:rsidRPr="009172AF" w:rsidRDefault="008F71D7" w:rsidP="008F71D7">
      <w:pPr>
        <w:spacing w:line="360" w:lineRule="auto"/>
        <w:contextualSpacing/>
        <w:jc w:val="both"/>
        <w:rPr>
          <w:rFonts w:ascii="Palatino Linotype" w:eastAsia="Calibri" w:hAnsi="Palatino Linotype" w:cs="Tahoma"/>
          <w:bCs/>
          <w:lang w:eastAsia="en-US"/>
        </w:rPr>
      </w:pPr>
    </w:p>
    <w:p w:rsidR="008F71D7" w:rsidRPr="009172AF" w:rsidRDefault="008F71D7" w:rsidP="008F71D7">
      <w:pPr>
        <w:pStyle w:val="Prrafodelista"/>
        <w:numPr>
          <w:ilvl w:val="0"/>
          <w:numId w:val="1"/>
        </w:numPr>
        <w:tabs>
          <w:tab w:val="left" w:pos="284"/>
        </w:tabs>
        <w:spacing w:line="360" w:lineRule="auto"/>
        <w:ind w:left="0" w:right="49" w:firstLine="0"/>
        <w:jc w:val="both"/>
        <w:rPr>
          <w:rFonts w:ascii="Palatino Linotype" w:eastAsia="Calibri" w:hAnsi="Palatino Linotype" w:cs="Tahoma"/>
          <w:bCs/>
          <w:lang w:eastAsia="en-US"/>
        </w:rPr>
      </w:pPr>
      <w:r w:rsidRPr="009172AF">
        <w:rPr>
          <w:rFonts w:ascii="Palatino Linotype" w:eastAsia="Calibri" w:hAnsi="Palatino Linotype" w:cs="Tahoma"/>
          <w:bCs/>
          <w:lang w:eastAsia="en-US"/>
        </w:rPr>
        <w:t xml:space="preserve">Así, dar a conocer el nombre de las personas, vinculado con el hecho que son elementos operativos o policías municipales, los vuelve identificables y </w:t>
      </w:r>
      <w:r w:rsidRPr="009172AF">
        <w:rPr>
          <w:rFonts w:ascii="Palatino Linotype" w:eastAsia="Calibri" w:hAnsi="Palatino Linotype" w:cs="Tahoma"/>
          <w:bCs/>
          <w:lang w:eastAsia="en-US"/>
        </w:rPr>
        <w:lastRenderedPageBreak/>
        <w:t>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rsidR="008F71D7" w:rsidRPr="009172AF" w:rsidRDefault="008F71D7" w:rsidP="008F71D7">
      <w:pPr>
        <w:spacing w:line="360" w:lineRule="auto"/>
        <w:contextualSpacing/>
        <w:jc w:val="both"/>
        <w:rPr>
          <w:rFonts w:ascii="Palatino Linotype" w:eastAsia="Calibri" w:hAnsi="Palatino Linotype" w:cs="Tahoma"/>
          <w:bCs/>
          <w:lang w:eastAsia="en-US"/>
        </w:rPr>
      </w:pPr>
    </w:p>
    <w:p w:rsidR="008F71D7" w:rsidRPr="009172AF" w:rsidRDefault="008F71D7" w:rsidP="008F71D7">
      <w:pPr>
        <w:pStyle w:val="Prrafodelista"/>
        <w:numPr>
          <w:ilvl w:val="0"/>
          <w:numId w:val="1"/>
        </w:numPr>
        <w:tabs>
          <w:tab w:val="left" w:pos="284"/>
        </w:tabs>
        <w:spacing w:line="360" w:lineRule="auto"/>
        <w:ind w:left="0" w:right="49" w:firstLine="0"/>
        <w:jc w:val="both"/>
        <w:rPr>
          <w:rFonts w:ascii="Palatino Linotype" w:eastAsia="Calibri" w:hAnsi="Palatino Linotype" w:cs="Tahoma"/>
          <w:bCs/>
          <w:lang w:eastAsia="en-US"/>
        </w:rPr>
      </w:pPr>
      <w:r w:rsidRPr="009172AF">
        <w:rPr>
          <w:rFonts w:ascii="Palatino Linotype" w:eastAsia="Calibri" w:hAnsi="Palatino Linotype" w:cs="Tahoma"/>
          <w:bCs/>
          <w:lang w:eastAsia="en-US"/>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rsidR="008F71D7" w:rsidRPr="009172AF" w:rsidRDefault="008F71D7" w:rsidP="008F71D7">
      <w:pPr>
        <w:pStyle w:val="Prrafodelista"/>
        <w:spacing w:line="360" w:lineRule="auto"/>
        <w:rPr>
          <w:rFonts w:ascii="Palatino Linotype" w:eastAsia="Calibri" w:hAnsi="Palatino Linotype" w:cs="Tahoma"/>
          <w:bCs/>
          <w:lang w:eastAsia="en-US"/>
        </w:rPr>
      </w:pPr>
    </w:p>
    <w:p w:rsidR="008F71D7" w:rsidRPr="009172AF" w:rsidRDefault="008F71D7" w:rsidP="008F71D7">
      <w:pPr>
        <w:pStyle w:val="Prrafodelista"/>
        <w:numPr>
          <w:ilvl w:val="0"/>
          <w:numId w:val="1"/>
        </w:numPr>
        <w:tabs>
          <w:tab w:val="left" w:pos="284"/>
        </w:tabs>
        <w:spacing w:line="360" w:lineRule="auto"/>
        <w:ind w:left="0" w:right="49" w:firstLine="0"/>
        <w:jc w:val="both"/>
        <w:rPr>
          <w:rFonts w:ascii="Palatino Linotype" w:eastAsia="Calibri" w:hAnsi="Palatino Linotype" w:cs="Tahoma"/>
          <w:b/>
          <w:iCs/>
          <w:lang w:val="es-ES" w:eastAsia="es-ES_tradnl"/>
        </w:rPr>
      </w:pPr>
      <w:r w:rsidRPr="009172AF">
        <w:rPr>
          <w:rFonts w:ascii="Palatino Linotype" w:eastAsia="Calibri" w:hAnsi="Palatino Linotype" w:cs="Tahoma"/>
          <w:bCs/>
          <w:lang w:eastAsia="en-US"/>
        </w:rPr>
        <w:t xml:space="preserve">Por tales consideraciones, </w:t>
      </w:r>
      <w:r w:rsidRPr="009172AF">
        <w:rPr>
          <w:rFonts w:ascii="Palatino Linotype" w:eastAsia="Calibri" w:hAnsi="Palatino Linotype" w:cs="Tahoma"/>
          <w:b/>
          <w:bCs/>
          <w:lang w:eastAsia="en-US"/>
        </w:rPr>
        <w:t xml:space="preserve">resulta procedente la reserva del nombre de los elementos operativos de la Dirección de Seguridad Pública Municipal, en </w:t>
      </w:r>
      <w:r w:rsidRPr="009172AF">
        <w:rPr>
          <w:rFonts w:ascii="Palatino Linotype" w:eastAsia="Calibri" w:hAnsi="Palatino Linotype" w:cs="Tahoma"/>
          <w:b/>
          <w:bCs/>
          <w:lang w:eastAsia="en-US"/>
        </w:rPr>
        <w:lastRenderedPageBreak/>
        <w:t xml:space="preserve">términos del artículo 140, fracción IV, de </w:t>
      </w:r>
      <w:r w:rsidRPr="009172AF">
        <w:rPr>
          <w:rFonts w:ascii="Palatino Linotype" w:eastAsia="Calibri" w:hAnsi="Palatino Linotype" w:cs="Tahoma"/>
          <w:b/>
          <w:iCs/>
          <w:lang w:val="es-ES" w:eastAsia="es-ES_tradnl"/>
        </w:rPr>
        <w:t>de la Ley de Transparencia y Acceso a la Información Pública del Estado de México y Municipios.</w:t>
      </w:r>
    </w:p>
    <w:p w:rsidR="008F71D7" w:rsidRPr="009172AF" w:rsidRDefault="008F71D7" w:rsidP="008F71D7">
      <w:pPr>
        <w:tabs>
          <w:tab w:val="left" w:pos="284"/>
        </w:tabs>
        <w:spacing w:line="360" w:lineRule="auto"/>
        <w:ind w:right="49"/>
        <w:jc w:val="both"/>
        <w:rPr>
          <w:rFonts w:ascii="Palatino Linotype" w:hAnsi="Palatino Linotype"/>
          <w:color w:val="000000"/>
        </w:rPr>
      </w:pPr>
    </w:p>
    <w:p w:rsidR="008F71D7" w:rsidRPr="009172AF" w:rsidRDefault="008F71D7" w:rsidP="008F71D7">
      <w:pPr>
        <w:pStyle w:val="Prrafodelista"/>
        <w:numPr>
          <w:ilvl w:val="0"/>
          <w:numId w:val="1"/>
        </w:numPr>
        <w:tabs>
          <w:tab w:val="left" w:pos="284"/>
        </w:tabs>
        <w:spacing w:line="360" w:lineRule="auto"/>
        <w:ind w:left="0" w:right="49" w:firstLine="0"/>
        <w:jc w:val="both"/>
        <w:rPr>
          <w:rFonts w:ascii="Palatino Linotype" w:hAnsi="Palatino Linotype"/>
          <w:color w:val="000000"/>
        </w:rPr>
      </w:pPr>
      <w:r w:rsidRPr="009172AF">
        <w:rPr>
          <w:rFonts w:ascii="Palatino Linotype" w:eastAsia="Palatino Linotype" w:hAnsi="Palatino Linotype" w:cs="Palatino Linotype"/>
          <w:color w:val="000000"/>
        </w:rPr>
        <w:t xml:space="preserve"> Cabe destacar que, para la realización de la clasificación de la información, se deben seguir una serie de pasos y procedimientos, por lo que es menester reiterar los mismos:</w:t>
      </w:r>
    </w:p>
    <w:p w:rsidR="008F71D7" w:rsidRPr="009172AF" w:rsidRDefault="008F71D7" w:rsidP="008F71D7">
      <w:pPr>
        <w:tabs>
          <w:tab w:val="left" w:pos="284"/>
        </w:tabs>
        <w:spacing w:line="360" w:lineRule="auto"/>
        <w:ind w:right="49"/>
        <w:jc w:val="both"/>
        <w:rPr>
          <w:rFonts w:ascii="Palatino Linotype" w:eastAsia="Palatino Linotype" w:hAnsi="Palatino Linotype" w:cs="Palatino Linotype"/>
          <w:color w:val="000000"/>
        </w:rPr>
      </w:pPr>
    </w:p>
    <w:tbl>
      <w:tblPr>
        <w:tblW w:w="9450" w:type="dxa"/>
        <w:tblInd w:w="1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20"/>
        <w:gridCol w:w="7530"/>
      </w:tblGrid>
      <w:tr w:rsidR="008F71D7" w:rsidRPr="009172AF" w:rsidTr="00D3381B">
        <w:tc>
          <w:tcPr>
            <w:tcW w:w="1920" w:type="dxa"/>
            <w:tcBorders>
              <w:bottom w:val="single" w:sz="4" w:space="0" w:color="BFBFBF"/>
            </w:tcBorders>
          </w:tcPr>
          <w:p w:rsidR="008F71D7" w:rsidRPr="009172AF" w:rsidRDefault="008F71D7" w:rsidP="00D3381B">
            <w:pPr>
              <w:tabs>
                <w:tab w:val="left" w:pos="284"/>
              </w:tabs>
              <w:spacing w:line="360" w:lineRule="auto"/>
              <w:rPr>
                <w:rFonts w:ascii="Palatino Linotype" w:eastAsia="Palatino Linotype" w:hAnsi="Palatino Linotype" w:cs="Palatino Linotype"/>
              </w:rPr>
            </w:pPr>
            <w:r w:rsidRPr="009172AF">
              <w:rPr>
                <w:rFonts w:ascii="Palatino Linotype" w:eastAsia="Palatino Linotype" w:hAnsi="Palatino Linotype" w:cs="Palatino Linotype"/>
              </w:rPr>
              <w:t>a) Requisitos previos.</w:t>
            </w:r>
          </w:p>
        </w:tc>
        <w:tc>
          <w:tcPr>
            <w:tcW w:w="7530" w:type="dxa"/>
            <w:tcBorders>
              <w:bottom w:val="single" w:sz="4" w:space="0" w:color="BFBFBF"/>
            </w:tcBorders>
          </w:tcPr>
          <w:p w:rsidR="008F71D7" w:rsidRPr="009172AF" w:rsidRDefault="008F71D7" w:rsidP="00D3381B">
            <w:pPr>
              <w:tabs>
                <w:tab w:val="left" w:pos="284"/>
              </w:tabs>
              <w:spacing w:line="360" w:lineRule="auto"/>
              <w:ind w:right="49"/>
              <w:jc w:val="both"/>
              <w:rPr>
                <w:rFonts w:ascii="Palatino Linotype" w:eastAsia="Palatino Linotype" w:hAnsi="Palatino Linotype" w:cs="Palatino Linotype"/>
                <w:color w:val="000000"/>
              </w:rPr>
            </w:pPr>
            <w:r w:rsidRPr="009172AF">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8F71D7" w:rsidRPr="009172AF" w:rsidRDefault="008F71D7" w:rsidP="00D3381B">
            <w:pPr>
              <w:tabs>
                <w:tab w:val="left" w:pos="284"/>
              </w:tabs>
              <w:spacing w:line="360" w:lineRule="auto"/>
              <w:ind w:right="49"/>
              <w:jc w:val="both"/>
              <w:rPr>
                <w:rFonts w:ascii="Palatino Linotype" w:eastAsia="Palatino Linotype" w:hAnsi="Palatino Linotype" w:cs="Palatino Linotype"/>
                <w:color w:val="000000"/>
              </w:rPr>
            </w:pPr>
            <w:r w:rsidRPr="009172AF">
              <w:rPr>
                <w:rFonts w:ascii="Palatino Linotype" w:eastAsia="Palatino Linotype" w:hAnsi="Palatino Linotype" w:cs="Palatino Linotype"/>
                <w:color w:val="000000"/>
              </w:rPr>
              <w:t>Al hacerlo tienen que precisar de qué información se trata, señalando el supuesto de clasificación (confidencialidad o reserva).</w:t>
            </w:r>
          </w:p>
          <w:p w:rsidR="008F71D7" w:rsidRPr="009172AF" w:rsidRDefault="008F71D7" w:rsidP="00D3381B">
            <w:pPr>
              <w:tabs>
                <w:tab w:val="left" w:pos="284"/>
              </w:tabs>
              <w:spacing w:line="360" w:lineRule="auto"/>
              <w:ind w:right="49"/>
              <w:jc w:val="both"/>
              <w:rPr>
                <w:rFonts w:ascii="Palatino Linotype" w:eastAsia="Palatino Linotype" w:hAnsi="Palatino Linotype" w:cs="Palatino Linotype"/>
                <w:color w:val="000000"/>
              </w:rPr>
            </w:pPr>
            <w:r w:rsidRPr="009172AF">
              <w:rPr>
                <w:rFonts w:ascii="Palatino Linotype" w:eastAsia="Palatino Linotype" w:hAnsi="Palatino Linotype" w:cs="Palatino Linotype"/>
                <w:color w:val="000000"/>
              </w:rPr>
              <w:t>Además, se debe señalar el procedimiento, de los tres que establecen los artículos 132 y 106 de la Ley Estatal y General, respectivamente.</w:t>
            </w:r>
          </w:p>
          <w:p w:rsidR="008F71D7" w:rsidRPr="009172AF" w:rsidRDefault="008F71D7" w:rsidP="00D3381B">
            <w:pPr>
              <w:tabs>
                <w:tab w:val="left" w:pos="284"/>
              </w:tabs>
              <w:spacing w:line="360" w:lineRule="auto"/>
              <w:jc w:val="both"/>
              <w:rPr>
                <w:rFonts w:ascii="Palatino Linotype" w:eastAsia="Palatino Linotype" w:hAnsi="Palatino Linotype" w:cs="Palatino Linotype"/>
              </w:rPr>
            </w:pPr>
            <w:r w:rsidRPr="009172AF">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9172AF">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9172AF">
              <w:rPr>
                <w:rFonts w:ascii="Palatino Linotype" w:eastAsia="Palatino Linotype" w:hAnsi="Palatino Linotype" w:cs="Palatino Linotype"/>
                <w:color w:val="000000"/>
              </w:rPr>
              <w:t xml:space="preserve"> individualizar su análisis y tampoco se puede hacer un acuerdo por cada dato que se vaya a </w:t>
            </w:r>
            <w:r w:rsidRPr="009172AF">
              <w:rPr>
                <w:rFonts w:ascii="Palatino Linotype" w:eastAsia="Palatino Linotype" w:hAnsi="Palatino Linotype" w:cs="Palatino Linotype"/>
                <w:color w:val="000000"/>
              </w:rPr>
              <w:lastRenderedPageBreak/>
              <w:t>clasificar dentro de un documento con diez datos, por ejemplo, susceptibles de ser clasificados.</w:t>
            </w:r>
          </w:p>
        </w:tc>
      </w:tr>
      <w:tr w:rsidR="008F71D7" w:rsidRPr="009172AF" w:rsidTr="00D3381B">
        <w:tc>
          <w:tcPr>
            <w:tcW w:w="1920" w:type="dxa"/>
            <w:shd w:val="clear" w:color="auto" w:fill="FFFFFF"/>
          </w:tcPr>
          <w:p w:rsidR="008F71D7" w:rsidRPr="009172AF" w:rsidRDefault="008F71D7" w:rsidP="00D3381B">
            <w:pPr>
              <w:tabs>
                <w:tab w:val="left" w:pos="284"/>
              </w:tabs>
              <w:spacing w:line="360" w:lineRule="auto"/>
              <w:rPr>
                <w:rFonts w:ascii="Palatino Linotype" w:eastAsia="Palatino Linotype" w:hAnsi="Palatino Linotype" w:cs="Palatino Linotype"/>
              </w:rPr>
            </w:pPr>
            <w:r w:rsidRPr="009172AF">
              <w:rPr>
                <w:rFonts w:ascii="Palatino Linotype" w:eastAsia="Palatino Linotype" w:hAnsi="Palatino Linotype" w:cs="Palatino Linotype"/>
              </w:rPr>
              <w:lastRenderedPageBreak/>
              <w:t>b) Supuestos de clasificación.</w:t>
            </w:r>
          </w:p>
        </w:tc>
        <w:tc>
          <w:tcPr>
            <w:tcW w:w="7530" w:type="dxa"/>
            <w:shd w:val="clear" w:color="auto" w:fill="FFFFFF"/>
          </w:tcPr>
          <w:p w:rsidR="008F71D7" w:rsidRPr="009172AF" w:rsidRDefault="008F71D7" w:rsidP="00D3381B">
            <w:pPr>
              <w:tabs>
                <w:tab w:val="left" w:pos="284"/>
              </w:tabs>
              <w:spacing w:line="360" w:lineRule="auto"/>
              <w:ind w:right="49"/>
              <w:jc w:val="both"/>
              <w:rPr>
                <w:rFonts w:ascii="Palatino Linotype" w:eastAsia="Palatino Linotype" w:hAnsi="Palatino Linotype" w:cs="Palatino Linotype"/>
                <w:color w:val="000000"/>
              </w:rPr>
            </w:pPr>
            <w:r w:rsidRPr="009172AF">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8F71D7" w:rsidRPr="009172AF" w:rsidRDefault="008F71D7" w:rsidP="00D3381B">
            <w:pPr>
              <w:tabs>
                <w:tab w:val="left" w:pos="284"/>
              </w:tabs>
              <w:spacing w:line="360" w:lineRule="auto"/>
              <w:ind w:right="49"/>
              <w:jc w:val="both"/>
              <w:rPr>
                <w:rFonts w:ascii="Palatino Linotype" w:eastAsia="Palatino Linotype" w:hAnsi="Palatino Linotype" w:cs="Palatino Linotype"/>
                <w:color w:val="000000"/>
              </w:rPr>
            </w:pPr>
            <w:r w:rsidRPr="009172AF">
              <w:rPr>
                <w:rFonts w:ascii="Palatino Linotype" w:eastAsia="Palatino Linotype" w:hAnsi="Palatino Linotype" w:cs="Palatino Linotype"/>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8F71D7" w:rsidRPr="009172AF" w:rsidRDefault="008F71D7" w:rsidP="00D3381B">
            <w:pPr>
              <w:tabs>
                <w:tab w:val="left" w:pos="284"/>
              </w:tabs>
              <w:spacing w:line="360" w:lineRule="auto"/>
              <w:jc w:val="both"/>
              <w:rPr>
                <w:rFonts w:ascii="Palatino Linotype" w:eastAsia="Palatino Linotype" w:hAnsi="Palatino Linotype" w:cs="Palatino Linotype"/>
              </w:rPr>
            </w:pPr>
            <w:r w:rsidRPr="009172AF">
              <w:rPr>
                <w:rFonts w:ascii="Palatino Linotype" w:eastAsia="Palatino Linotype" w:hAnsi="Palatino Linotype" w:cs="Palatino Linotype"/>
                <w:color w:val="000000"/>
              </w:rPr>
              <w:t xml:space="preserve">El </w:t>
            </w:r>
            <w:r w:rsidRPr="009172AF">
              <w:rPr>
                <w:rFonts w:ascii="Palatino Linotype" w:eastAsia="Palatino Linotype" w:hAnsi="Palatino Linotype" w:cs="Palatino Linotype"/>
                <w:b/>
                <w:color w:val="000000"/>
              </w:rPr>
              <w:t>Sujeto Obligado</w:t>
            </w:r>
            <w:r w:rsidRPr="009172AF">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F71D7" w:rsidRPr="009172AF" w:rsidTr="00D3381B">
        <w:tc>
          <w:tcPr>
            <w:tcW w:w="1920" w:type="dxa"/>
            <w:tcBorders>
              <w:bottom w:val="single" w:sz="4" w:space="0" w:color="BFBFBF"/>
            </w:tcBorders>
          </w:tcPr>
          <w:p w:rsidR="008F71D7" w:rsidRPr="009172AF" w:rsidRDefault="008F71D7" w:rsidP="00D3381B">
            <w:pPr>
              <w:tabs>
                <w:tab w:val="left" w:pos="284"/>
              </w:tabs>
              <w:spacing w:line="360" w:lineRule="auto"/>
              <w:rPr>
                <w:rFonts w:ascii="Palatino Linotype" w:eastAsia="Palatino Linotype" w:hAnsi="Palatino Linotype" w:cs="Palatino Linotype"/>
              </w:rPr>
            </w:pPr>
            <w:r w:rsidRPr="009172AF">
              <w:rPr>
                <w:rFonts w:ascii="Palatino Linotype" w:eastAsia="Palatino Linotype" w:hAnsi="Palatino Linotype" w:cs="Palatino Linotype"/>
              </w:rPr>
              <w:t xml:space="preserve">c) Formalidades para emitir el </w:t>
            </w:r>
            <w:r w:rsidRPr="009172AF">
              <w:rPr>
                <w:rFonts w:ascii="Palatino Linotype" w:eastAsia="Palatino Linotype" w:hAnsi="Palatino Linotype" w:cs="Palatino Linotype"/>
              </w:rPr>
              <w:lastRenderedPageBreak/>
              <w:t>acuerdo de clasificación.</w:t>
            </w:r>
          </w:p>
        </w:tc>
        <w:tc>
          <w:tcPr>
            <w:tcW w:w="7530" w:type="dxa"/>
            <w:tcBorders>
              <w:bottom w:val="single" w:sz="4" w:space="0" w:color="BFBFBF"/>
            </w:tcBorders>
          </w:tcPr>
          <w:p w:rsidR="008F71D7" w:rsidRPr="009172AF" w:rsidRDefault="008F71D7" w:rsidP="00D3381B">
            <w:pPr>
              <w:tabs>
                <w:tab w:val="left" w:pos="284"/>
              </w:tabs>
              <w:spacing w:line="360" w:lineRule="auto"/>
              <w:ind w:right="49"/>
              <w:jc w:val="both"/>
              <w:rPr>
                <w:rFonts w:ascii="Palatino Linotype" w:eastAsia="Palatino Linotype" w:hAnsi="Palatino Linotype" w:cs="Palatino Linotype"/>
                <w:color w:val="000000"/>
              </w:rPr>
            </w:pPr>
            <w:r w:rsidRPr="009172AF">
              <w:rPr>
                <w:rFonts w:ascii="Palatino Linotype" w:eastAsia="Palatino Linotype" w:hAnsi="Palatino Linotype" w:cs="Palatino Linotype"/>
                <w:color w:val="000000"/>
              </w:rPr>
              <w:lastRenderedPageBreak/>
              <w:t xml:space="preserve">El Comité de Transparencia, según lo dispuesto en los artículos cuenta con las facultades para aprobar, modificar o revocar la clasificación de la información que haya propuesto. </w:t>
            </w:r>
          </w:p>
          <w:p w:rsidR="008F71D7" w:rsidRPr="009172AF" w:rsidRDefault="008F71D7" w:rsidP="00D3381B">
            <w:pPr>
              <w:tabs>
                <w:tab w:val="left" w:pos="284"/>
              </w:tabs>
              <w:spacing w:line="360" w:lineRule="auto"/>
              <w:ind w:right="49"/>
              <w:jc w:val="both"/>
              <w:rPr>
                <w:rFonts w:ascii="Palatino Linotype" w:eastAsia="Palatino Linotype" w:hAnsi="Palatino Linotype" w:cs="Palatino Linotype"/>
                <w:color w:val="000000"/>
              </w:rPr>
            </w:pPr>
            <w:r w:rsidRPr="009172AF">
              <w:rPr>
                <w:rFonts w:ascii="Palatino Linotype" w:eastAsia="Palatino Linotype" w:hAnsi="Palatino Linotype" w:cs="Palatino Linotype"/>
                <w:color w:val="000000"/>
              </w:rPr>
              <w:lastRenderedPageBreak/>
              <w:t xml:space="preserve">Es necesario que </w:t>
            </w:r>
            <w:r w:rsidRPr="009172AF">
              <w:rPr>
                <w:rFonts w:ascii="Palatino Linotype" w:eastAsia="Palatino Linotype" w:hAnsi="Palatino Linotype" w:cs="Palatino Linotype"/>
                <w:b/>
                <w:color w:val="000000"/>
                <w:u w:val="single"/>
              </w:rPr>
              <w:t>el acto reúna con los requisitos elementales</w:t>
            </w:r>
            <w:r w:rsidRPr="009172AF">
              <w:rPr>
                <w:rFonts w:ascii="Palatino Linotype" w:eastAsia="Palatino Linotype" w:hAnsi="Palatino Linotype" w:cs="Palatino Linotype"/>
                <w:color w:val="000000"/>
              </w:rPr>
              <w:t>, entre ellos, que la autoridad que va a emitir el acto de autoridad sea la legalmente facultada para ello.</w:t>
            </w:r>
          </w:p>
          <w:p w:rsidR="008F71D7" w:rsidRPr="009172AF" w:rsidRDefault="008F71D7" w:rsidP="00D3381B">
            <w:pPr>
              <w:tabs>
                <w:tab w:val="left" w:pos="284"/>
              </w:tabs>
              <w:spacing w:line="360" w:lineRule="auto"/>
              <w:jc w:val="both"/>
              <w:rPr>
                <w:rFonts w:ascii="Palatino Linotype" w:eastAsia="Palatino Linotype" w:hAnsi="Palatino Linotype" w:cs="Palatino Linotype"/>
              </w:rPr>
            </w:pPr>
            <w:r w:rsidRPr="009172AF">
              <w:rPr>
                <w:rFonts w:ascii="Palatino Linotype" w:eastAsia="Palatino Linotype" w:hAnsi="Palatino Linotype" w:cs="Palatino Linotype"/>
                <w:color w:val="000000"/>
              </w:rPr>
              <w:t xml:space="preserve">La decisión de aprobar, modificar o revocar la clasificación deberá de asentarse en un documento que registre la determinación a la que se llegue después de un análisis minucioso a partir de lo propuesto por el Titular del I. </w:t>
            </w:r>
            <w:r w:rsidRPr="009172AF">
              <w:rPr>
                <w:rFonts w:ascii="Palatino Linotype" w:eastAsia="Palatino Linotype" w:hAnsi="Palatino Linotype" w:cs="Palatino Linotype"/>
              </w:rPr>
              <w:t>El área</w:t>
            </w:r>
            <w:r w:rsidRPr="009172AF">
              <w:rPr>
                <w:rFonts w:ascii="Palatino Linotype" w:eastAsia="Palatino Linotype" w:hAnsi="Palatino Linotype" w:cs="Palatino Linotype"/>
                <w:color w:val="000000"/>
              </w:rPr>
              <w:t xml:space="preserve">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F71D7" w:rsidRPr="009172AF" w:rsidTr="00D3381B">
        <w:tc>
          <w:tcPr>
            <w:tcW w:w="1920" w:type="dxa"/>
            <w:shd w:val="clear" w:color="auto" w:fill="FFFFFF"/>
          </w:tcPr>
          <w:p w:rsidR="008F71D7" w:rsidRPr="009172AF" w:rsidRDefault="008F71D7" w:rsidP="00D3381B">
            <w:pPr>
              <w:tabs>
                <w:tab w:val="left" w:pos="284"/>
              </w:tabs>
              <w:spacing w:line="360" w:lineRule="auto"/>
              <w:rPr>
                <w:rFonts w:ascii="Palatino Linotype" w:eastAsia="Palatino Linotype" w:hAnsi="Palatino Linotype" w:cs="Palatino Linotype"/>
              </w:rPr>
            </w:pPr>
          </w:p>
          <w:p w:rsidR="008F71D7" w:rsidRPr="009172AF" w:rsidRDefault="008F71D7" w:rsidP="00D3381B">
            <w:pPr>
              <w:tabs>
                <w:tab w:val="left" w:pos="284"/>
              </w:tabs>
              <w:spacing w:line="360" w:lineRule="auto"/>
              <w:jc w:val="both"/>
              <w:rPr>
                <w:rFonts w:ascii="Palatino Linotype" w:eastAsia="Palatino Linotype" w:hAnsi="Palatino Linotype" w:cs="Palatino Linotype"/>
              </w:rPr>
            </w:pPr>
            <w:r w:rsidRPr="009172AF">
              <w:rPr>
                <w:rFonts w:ascii="Palatino Linotype" w:eastAsia="Palatino Linotype" w:hAnsi="Palatino Linotype" w:cs="Palatino Linotype"/>
                <w:color w:val="000000"/>
              </w:rPr>
              <w:t xml:space="preserve">d) Requisitos de fondo del acuerdo de clasificación. </w:t>
            </w:r>
          </w:p>
        </w:tc>
        <w:tc>
          <w:tcPr>
            <w:tcW w:w="7530" w:type="dxa"/>
            <w:shd w:val="clear" w:color="auto" w:fill="FFFFFF"/>
          </w:tcPr>
          <w:p w:rsidR="008F71D7" w:rsidRPr="009172AF" w:rsidRDefault="008F71D7" w:rsidP="00D3381B">
            <w:pPr>
              <w:tabs>
                <w:tab w:val="left" w:pos="284"/>
              </w:tabs>
              <w:spacing w:line="360" w:lineRule="auto"/>
              <w:ind w:right="49"/>
              <w:jc w:val="both"/>
              <w:rPr>
                <w:rFonts w:ascii="Palatino Linotype" w:eastAsia="Palatino Linotype" w:hAnsi="Palatino Linotype" w:cs="Palatino Linotype"/>
                <w:color w:val="000000"/>
              </w:rPr>
            </w:pPr>
            <w:r w:rsidRPr="009172AF">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172AF">
              <w:rPr>
                <w:rFonts w:ascii="Palatino Linotype" w:eastAsia="Palatino Linotype" w:hAnsi="Palatino Linotype" w:cs="Palatino Linotype"/>
                <w:b/>
                <w:color w:val="000000"/>
              </w:rPr>
              <w:t>Sujetos Obligados</w:t>
            </w:r>
            <w:r w:rsidRPr="009172AF">
              <w:rPr>
                <w:rFonts w:ascii="Palatino Linotype" w:eastAsia="Palatino Linotype" w:hAnsi="Palatino Linotype" w:cs="Palatino Linotype"/>
                <w:color w:val="000000"/>
              </w:rPr>
              <w:t xml:space="preserve">, por lo que deberán fundar y motivar debidamente la clasificación. </w:t>
            </w:r>
          </w:p>
          <w:p w:rsidR="008F71D7" w:rsidRPr="009172AF" w:rsidRDefault="008F71D7" w:rsidP="00D3381B">
            <w:pPr>
              <w:tabs>
                <w:tab w:val="left" w:pos="284"/>
              </w:tabs>
              <w:spacing w:line="360" w:lineRule="auto"/>
              <w:ind w:right="49"/>
              <w:jc w:val="both"/>
              <w:rPr>
                <w:rFonts w:ascii="Palatino Linotype" w:eastAsia="Palatino Linotype" w:hAnsi="Palatino Linotype" w:cs="Palatino Linotype"/>
                <w:color w:val="000000"/>
              </w:rPr>
            </w:pPr>
            <w:r w:rsidRPr="009172AF">
              <w:rPr>
                <w:rFonts w:ascii="Palatino Linotype" w:eastAsia="Palatino Linotype" w:hAnsi="Palatino Linotype" w:cs="Palatino Linotype"/>
                <w:color w:val="000000"/>
              </w:rPr>
              <w:t xml:space="preserve">De lo anterior, se desprende que para una correcta </w:t>
            </w:r>
            <w:r w:rsidRPr="009172AF">
              <w:rPr>
                <w:rFonts w:ascii="Palatino Linotype" w:eastAsia="Palatino Linotype" w:hAnsi="Palatino Linotype" w:cs="Palatino Linotype"/>
                <w:b/>
                <w:color w:val="000000"/>
              </w:rPr>
              <w:t>clasificación total o parcial</w:t>
            </w:r>
            <w:r w:rsidRPr="009172AF">
              <w:rPr>
                <w:rFonts w:ascii="Palatino Linotype" w:eastAsia="Palatino Linotype" w:hAnsi="Palatino Linotype" w:cs="Palatino Linotype"/>
                <w:color w:val="000000"/>
              </w:rPr>
              <w:t xml:space="preserve">, esto es determinar los datos que se suprimen en las versiones públicas, es necesario fundar y motivar, de manera </w:t>
            </w:r>
            <w:r w:rsidRPr="009172AF">
              <w:rPr>
                <w:rFonts w:ascii="Palatino Linotype" w:eastAsia="Palatino Linotype" w:hAnsi="Palatino Linotype" w:cs="Palatino Linotype"/>
                <w:color w:val="000000"/>
              </w:rPr>
              <w:lastRenderedPageBreak/>
              <w:t>correcta, la clasificación; considerando que todo acto que la autoridad pronuncie en el ejercicio de sus atribuciones, debe expresar los fundamentos legales que le dieron origen y las razones por las que se deben aplicar al caso concreto.</w:t>
            </w:r>
          </w:p>
          <w:p w:rsidR="008F71D7" w:rsidRPr="009172AF" w:rsidRDefault="008F71D7" w:rsidP="00D3381B">
            <w:pPr>
              <w:tabs>
                <w:tab w:val="left" w:pos="284"/>
              </w:tabs>
              <w:spacing w:line="360" w:lineRule="auto"/>
              <w:ind w:right="49"/>
              <w:jc w:val="both"/>
              <w:rPr>
                <w:rFonts w:ascii="Palatino Linotype" w:eastAsia="Palatino Linotype" w:hAnsi="Palatino Linotype" w:cs="Palatino Linotype"/>
                <w:color w:val="000000"/>
              </w:rPr>
            </w:pPr>
            <w:r w:rsidRPr="009172AF">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8F71D7" w:rsidRPr="009172AF" w:rsidRDefault="008F71D7" w:rsidP="00D3381B">
            <w:pPr>
              <w:tabs>
                <w:tab w:val="left" w:pos="284"/>
              </w:tabs>
              <w:spacing w:line="360" w:lineRule="auto"/>
              <w:ind w:right="49"/>
              <w:jc w:val="both"/>
              <w:rPr>
                <w:rFonts w:ascii="Palatino Linotype" w:eastAsia="Palatino Linotype" w:hAnsi="Palatino Linotype" w:cs="Palatino Linotype"/>
                <w:color w:val="000000"/>
              </w:rPr>
            </w:pPr>
            <w:r w:rsidRPr="009172AF">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8F71D7" w:rsidRPr="009172AF" w:rsidRDefault="008F71D7" w:rsidP="00D3381B">
            <w:pPr>
              <w:tabs>
                <w:tab w:val="left" w:pos="284"/>
              </w:tabs>
              <w:spacing w:line="360" w:lineRule="auto"/>
              <w:ind w:right="49"/>
              <w:jc w:val="both"/>
              <w:rPr>
                <w:rFonts w:ascii="Palatino Linotype" w:eastAsia="Palatino Linotype" w:hAnsi="Palatino Linotype" w:cs="Palatino Linotype"/>
                <w:color w:val="000000"/>
              </w:rPr>
            </w:pPr>
            <w:r w:rsidRPr="009172AF">
              <w:rPr>
                <w:rFonts w:ascii="Palatino Linotype" w:eastAsia="Palatino Linotype" w:hAnsi="Palatino Linotype" w:cs="Palatino Linotype"/>
                <w:color w:val="000000"/>
              </w:rPr>
              <w:t xml:space="preserve">Ahora bien, </w:t>
            </w:r>
            <w:r w:rsidRPr="009172AF">
              <w:rPr>
                <w:rFonts w:ascii="Palatino Linotype" w:eastAsia="Palatino Linotype" w:hAnsi="Palatino Linotype" w:cs="Palatino Linotype"/>
                <w:b/>
                <w:color w:val="000000"/>
                <w:u w:val="single"/>
              </w:rPr>
              <w:t>para cada caso además de fundar y motivar</w:t>
            </w:r>
            <w:r w:rsidRPr="009172AF">
              <w:rPr>
                <w:rFonts w:ascii="Palatino Linotype" w:eastAsia="Palatino Linotype" w:hAnsi="Palatino Linotype" w:cs="Palatino Linotype"/>
                <w:color w:val="000000"/>
              </w:rPr>
              <w:t xml:space="preserve">, se debe identificar con claridad </w:t>
            </w:r>
            <w:r w:rsidRPr="009172AF">
              <w:rPr>
                <w:rFonts w:ascii="Palatino Linotype" w:eastAsia="Palatino Linotype" w:hAnsi="Palatino Linotype" w:cs="Palatino Linotype"/>
              </w:rPr>
              <w:t>qué</w:t>
            </w:r>
            <w:r w:rsidRPr="009172AF">
              <w:rPr>
                <w:rFonts w:ascii="Palatino Linotype" w:eastAsia="Palatino Linotype" w:hAnsi="Palatino Linotype" w:cs="Palatino Linotype"/>
                <w:color w:val="000000"/>
              </w:rPr>
              <w:t xml:space="preserv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F71D7" w:rsidRPr="009172AF" w:rsidTr="00D3381B">
        <w:tc>
          <w:tcPr>
            <w:tcW w:w="1920" w:type="dxa"/>
          </w:tcPr>
          <w:p w:rsidR="008F71D7" w:rsidRPr="009172AF" w:rsidRDefault="008F71D7" w:rsidP="00D3381B">
            <w:pPr>
              <w:tabs>
                <w:tab w:val="left" w:pos="284"/>
              </w:tabs>
              <w:spacing w:line="360" w:lineRule="auto"/>
              <w:ind w:right="49"/>
              <w:jc w:val="both"/>
              <w:rPr>
                <w:rFonts w:ascii="Palatino Linotype" w:eastAsia="Palatino Linotype" w:hAnsi="Palatino Linotype" w:cs="Palatino Linotype"/>
              </w:rPr>
            </w:pPr>
            <w:r w:rsidRPr="009172AF">
              <w:rPr>
                <w:rFonts w:ascii="Palatino Linotype" w:eastAsia="Palatino Linotype" w:hAnsi="Palatino Linotype" w:cs="Palatino Linotype"/>
              </w:rPr>
              <w:lastRenderedPageBreak/>
              <w:t xml:space="preserve">e) Condiciones especiales de la clasificación de la información como confidencial. </w:t>
            </w:r>
          </w:p>
        </w:tc>
        <w:tc>
          <w:tcPr>
            <w:tcW w:w="7530" w:type="dxa"/>
          </w:tcPr>
          <w:p w:rsidR="008F71D7" w:rsidRPr="009172AF" w:rsidRDefault="008F71D7" w:rsidP="00D3381B">
            <w:pPr>
              <w:tabs>
                <w:tab w:val="left" w:pos="284"/>
              </w:tabs>
              <w:spacing w:line="360" w:lineRule="auto"/>
              <w:ind w:right="49"/>
              <w:jc w:val="both"/>
              <w:rPr>
                <w:rFonts w:ascii="Palatino Linotype" w:eastAsia="Palatino Linotype" w:hAnsi="Palatino Linotype" w:cs="Palatino Linotype"/>
                <w:color w:val="000000"/>
              </w:rPr>
            </w:pPr>
            <w:r w:rsidRPr="009172AF">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rsidR="008F71D7" w:rsidRPr="009172AF" w:rsidRDefault="008F71D7" w:rsidP="00D3381B">
            <w:pPr>
              <w:tabs>
                <w:tab w:val="left" w:pos="284"/>
              </w:tabs>
              <w:spacing w:line="360" w:lineRule="auto"/>
              <w:ind w:right="49"/>
              <w:jc w:val="both"/>
              <w:rPr>
                <w:rFonts w:ascii="Palatino Linotype" w:eastAsia="Palatino Linotype" w:hAnsi="Palatino Linotype" w:cs="Palatino Linotype"/>
                <w:color w:val="000000"/>
              </w:rPr>
            </w:pPr>
            <w:r w:rsidRPr="009172AF">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8F71D7" w:rsidRPr="009172AF" w:rsidRDefault="008F71D7" w:rsidP="00D3381B">
            <w:pPr>
              <w:tabs>
                <w:tab w:val="left" w:pos="284"/>
              </w:tabs>
              <w:spacing w:line="360" w:lineRule="auto"/>
              <w:rPr>
                <w:rFonts w:ascii="Palatino Linotype" w:eastAsia="Palatino Linotype" w:hAnsi="Palatino Linotype" w:cs="Palatino Linotype"/>
              </w:rPr>
            </w:pPr>
            <w:r w:rsidRPr="009172AF">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8F71D7" w:rsidRPr="009172AF" w:rsidRDefault="008F71D7" w:rsidP="008F71D7">
      <w:pPr>
        <w:pBdr>
          <w:top w:val="nil"/>
          <w:left w:val="nil"/>
          <w:bottom w:val="nil"/>
          <w:right w:val="nil"/>
          <w:between w:val="nil"/>
        </w:pBdr>
        <w:tabs>
          <w:tab w:val="left" w:pos="284"/>
        </w:tabs>
        <w:spacing w:line="360" w:lineRule="auto"/>
        <w:rPr>
          <w:rFonts w:ascii="Palatino Linotype" w:eastAsia="Palatino Linotype" w:hAnsi="Palatino Linotype" w:cs="Palatino Linotype"/>
          <w:color w:val="000000"/>
        </w:rPr>
      </w:pPr>
    </w:p>
    <w:p w:rsidR="008F71D7" w:rsidRPr="009172AF" w:rsidRDefault="008F71D7" w:rsidP="008F71D7">
      <w:pPr>
        <w:pStyle w:val="Prrafodelista"/>
        <w:numPr>
          <w:ilvl w:val="0"/>
          <w:numId w:val="1"/>
        </w:numPr>
        <w:tabs>
          <w:tab w:val="left" w:pos="284"/>
        </w:tabs>
        <w:spacing w:line="360" w:lineRule="auto"/>
        <w:ind w:left="0" w:right="49" w:firstLine="0"/>
        <w:jc w:val="both"/>
        <w:rPr>
          <w:rFonts w:ascii="Palatino Linotype" w:hAnsi="Palatino Linotype"/>
          <w:color w:val="000000"/>
        </w:rPr>
      </w:pPr>
      <w:r w:rsidRPr="009172AF">
        <w:rPr>
          <w:rFonts w:ascii="Palatino Linotype" w:eastAsia="Palatino Linotype" w:hAnsi="Palatino Linotype" w:cs="Palatino Linotype"/>
          <w:color w:val="000000"/>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8F71D7" w:rsidRPr="009172AF" w:rsidRDefault="008F71D7" w:rsidP="008F71D7">
      <w:pPr>
        <w:pStyle w:val="Prrafodelista"/>
        <w:tabs>
          <w:tab w:val="left" w:pos="284"/>
        </w:tabs>
        <w:spacing w:line="360" w:lineRule="auto"/>
        <w:ind w:left="0" w:right="49"/>
        <w:jc w:val="both"/>
        <w:rPr>
          <w:rFonts w:ascii="Palatino Linotype" w:hAnsi="Palatino Linotype"/>
          <w:color w:val="000000"/>
        </w:rPr>
      </w:pPr>
    </w:p>
    <w:p w:rsidR="00715AF1" w:rsidRPr="009172AF" w:rsidRDefault="00715AF1" w:rsidP="00715AF1">
      <w:pPr>
        <w:pStyle w:val="Prrafodelista"/>
        <w:numPr>
          <w:ilvl w:val="0"/>
          <w:numId w:val="1"/>
        </w:numPr>
        <w:tabs>
          <w:tab w:val="left" w:pos="284"/>
        </w:tabs>
        <w:spacing w:line="360" w:lineRule="auto"/>
        <w:ind w:left="0" w:right="49" w:firstLine="0"/>
        <w:jc w:val="both"/>
        <w:rPr>
          <w:rFonts w:ascii="Palatino Linotype" w:eastAsia="Palatino Linotype" w:hAnsi="Palatino Linotype" w:cs="Palatino Linotype"/>
        </w:rPr>
      </w:pPr>
      <w:r w:rsidRPr="009172AF">
        <w:rPr>
          <w:rFonts w:ascii="Palatino Linotype" w:eastAsia="Palatino Linotype" w:hAnsi="Palatino Linotype" w:cs="Palatino Linotype"/>
          <w:color w:val="222222"/>
        </w:rPr>
        <w:t xml:space="preserve">Por lo </w:t>
      </w:r>
      <w:r w:rsidRPr="009172AF">
        <w:rPr>
          <w:rFonts w:ascii="Palatino Linotype" w:eastAsia="Palatino Linotype" w:hAnsi="Palatino Linotype" w:cs="Palatino Linotype"/>
          <w:color w:val="000000"/>
        </w:rPr>
        <w:t>anteriormente</w:t>
      </w:r>
      <w:r w:rsidRPr="009172AF">
        <w:rPr>
          <w:rFonts w:ascii="Palatino Linotype" w:eastAsia="Palatino Linotype" w:hAnsi="Palatino Linotype" w:cs="Palatino Linotype"/>
          <w:color w:val="222222"/>
        </w:rPr>
        <w:t xml:space="preserve"> expuesto y fundado, este </w:t>
      </w:r>
      <w:r w:rsidRPr="009172AF">
        <w:rPr>
          <w:rFonts w:ascii="Palatino Linotype" w:eastAsia="Palatino Linotype" w:hAnsi="Palatino Linotype" w:cs="Palatino Linotype"/>
          <w:b/>
          <w:color w:val="222222"/>
        </w:rPr>
        <w:t>ÓRGANO GARANTE</w:t>
      </w:r>
      <w:r w:rsidRPr="009172AF">
        <w:rPr>
          <w:rFonts w:ascii="Palatino Linotype" w:eastAsia="Palatino Linotype" w:hAnsi="Palatino Linotype" w:cs="Palatino Linotype"/>
          <w:color w:val="222222"/>
        </w:rPr>
        <w:t xml:space="preserve"> emite los siguientes:</w:t>
      </w:r>
    </w:p>
    <w:p w:rsidR="00715AF1" w:rsidRPr="009172AF" w:rsidRDefault="00715AF1" w:rsidP="00715AF1">
      <w:pPr>
        <w:keepNext/>
        <w:keepLines/>
        <w:spacing w:line="360" w:lineRule="auto"/>
        <w:ind w:right="-929"/>
        <w:jc w:val="center"/>
        <w:rPr>
          <w:rFonts w:ascii="Palatino Linotype" w:eastAsia="Palatino Linotype" w:hAnsi="Palatino Linotype" w:cs="Palatino Linotype"/>
          <w:b/>
          <w:color w:val="000000"/>
        </w:rPr>
      </w:pPr>
      <w:r w:rsidRPr="009172AF">
        <w:rPr>
          <w:rFonts w:ascii="Palatino Linotype" w:eastAsia="Palatino Linotype" w:hAnsi="Palatino Linotype" w:cs="Palatino Linotype"/>
          <w:b/>
          <w:color w:val="000000"/>
        </w:rPr>
        <w:lastRenderedPageBreak/>
        <w:t>R E S O L U T I V O S</w:t>
      </w:r>
    </w:p>
    <w:p w:rsidR="00715AF1" w:rsidRPr="009172AF" w:rsidRDefault="00715AF1" w:rsidP="00715AF1">
      <w:pPr>
        <w:spacing w:line="360" w:lineRule="auto"/>
        <w:ind w:right="-929"/>
        <w:jc w:val="both"/>
        <w:rPr>
          <w:rFonts w:ascii="Palatino Linotype" w:eastAsia="Palatino Linotype" w:hAnsi="Palatino Linotype" w:cs="Palatino Linotype"/>
          <w:b/>
        </w:rPr>
      </w:pPr>
      <w:r w:rsidRPr="009172AF">
        <w:rPr>
          <w:rFonts w:ascii="Palatino Linotype" w:eastAsia="Palatino Linotype" w:hAnsi="Palatino Linotype" w:cs="Palatino Linotype"/>
          <w:b/>
        </w:rPr>
        <w:tab/>
      </w:r>
    </w:p>
    <w:p w:rsidR="00AB361D" w:rsidRPr="009172AF" w:rsidRDefault="00AB361D" w:rsidP="00AB361D">
      <w:pPr>
        <w:spacing w:line="360" w:lineRule="auto"/>
        <w:jc w:val="both"/>
        <w:rPr>
          <w:rFonts w:ascii="Palatino Linotype" w:eastAsia="Palatino Linotype" w:hAnsi="Palatino Linotype" w:cs="Palatino Linotype"/>
        </w:rPr>
      </w:pPr>
      <w:r w:rsidRPr="009172AF">
        <w:rPr>
          <w:rFonts w:ascii="Palatino Linotype" w:eastAsia="Palatino Linotype" w:hAnsi="Palatino Linotype" w:cs="Palatino Linotype"/>
          <w:b/>
        </w:rPr>
        <w:t>PRIMERO</w:t>
      </w:r>
      <w:r w:rsidRPr="009172AF">
        <w:rPr>
          <w:rFonts w:ascii="Palatino Linotype" w:eastAsia="Palatino Linotype" w:hAnsi="Palatino Linotype" w:cs="Palatino Linotype"/>
        </w:rPr>
        <w:t xml:space="preserve">. Resultan parcialmente fundadas las razones o motivos de inconformidad hechos valer en los Recursos de Revisión </w:t>
      </w:r>
      <w:r w:rsidRPr="009172AF">
        <w:rPr>
          <w:rFonts w:ascii="Palatino Linotype" w:eastAsia="Palatino Linotype" w:hAnsi="Palatino Linotype" w:cs="Palatino Linotype"/>
          <w:b/>
        </w:rPr>
        <w:t xml:space="preserve">00518/INFOEM/IP/RR/2025 </w:t>
      </w:r>
      <w:r w:rsidRPr="009172AF">
        <w:rPr>
          <w:rFonts w:ascii="Palatino Linotype" w:eastAsia="Palatino Linotype" w:hAnsi="Palatino Linotype" w:cs="Palatino Linotype"/>
        </w:rPr>
        <w:t>y</w:t>
      </w:r>
      <w:r w:rsidRPr="009172AF">
        <w:rPr>
          <w:rFonts w:ascii="Palatino Linotype" w:eastAsia="Palatino Linotype" w:hAnsi="Palatino Linotype" w:cs="Palatino Linotype"/>
          <w:b/>
        </w:rPr>
        <w:t xml:space="preserve"> 00519/INFOEM/IP/RR/2025 </w:t>
      </w:r>
      <w:r w:rsidRPr="009172AF">
        <w:rPr>
          <w:rFonts w:ascii="Palatino Linotype" w:eastAsia="Palatino Linotype" w:hAnsi="Palatino Linotype" w:cs="Palatino Linotype"/>
        </w:rPr>
        <w:t>acumulados,</w:t>
      </w:r>
      <w:r w:rsidRPr="009172AF">
        <w:rPr>
          <w:rFonts w:ascii="Palatino Linotype" w:eastAsia="Palatino Linotype" w:hAnsi="Palatino Linotype" w:cs="Palatino Linotype"/>
          <w:b/>
        </w:rPr>
        <w:t xml:space="preserve"> </w:t>
      </w:r>
      <w:r w:rsidRPr="009172AF">
        <w:rPr>
          <w:rFonts w:ascii="Palatino Linotype" w:eastAsia="Palatino Linotype" w:hAnsi="Palatino Linotype" w:cs="Palatino Linotype"/>
        </w:rPr>
        <w:t>en términos de</w:t>
      </w:r>
      <w:r w:rsidR="0034765B" w:rsidRPr="009172AF">
        <w:rPr>
          <w:rFonts w:ascii="Palatino Linotype" w:eastAsia="Palatino Linotype" w:hAnsi="Palatino Linotype" w:cs="Palatino Linotype"/>
        </w:rPr>
        <w:t xml:space="preserve"> </w:t>
      </w:r>
      <w:r w:rsidRPr="009172AF">
        <w:rPr>
          <w:rFonts w:ascii="Palatino Linotype" w:eastAsia="Palatino Linotype" w:hAnsi="Palatino Linotype" w:cs="Palatino Linotype"/>
        </w:rPr>
        <w:t>l</w:t>
      </w:r>
      <w:r w:rsidR="0034765B" w:rsidRPr="009172AF">
        <w:rPr>
          <w:rFonts w:ascii="Palatino Linotype" w:eastAsia="Palatino Linotype" w:hAnsi="Palatino Linotype" w:cs="Palatino Linotype"/>
        </w:rPr>
        <w:t>os</w:t>
      </w:r>
      <w:r w:rsidRPr="009172AF">
        <w:rPr>
          <w:rFonts w:ascii="Palatino Linotype" w:eastAsia="Palatino Linotype" w:hAnsi="Palatino Linotype" w:cs="Palatino Linotype"/>
        </w:rPr>
        <w:t xml:space="preserve"> Considerando</w:t>
      </w:r>
      <w:r w:rsidR="0034765B" w:rsidRPr="009172AF">
        <w:rPr>
          <w:rFonts w:ascii="Palatino Linotype" w:eastAsia="Palatino Linotype" w:hAnsi="Palatino Linotype" w:cs="Palatino Linotype"/>
        </w:rPr>
        <w:t>s</w:t>
      </w:r>
      <w:r w:rsidRPr="009172AF">
        <w:rPr>
          <w:rFonts w:ascii="Palatino Linotype" w:eastAsia="Palatino Linotype" w:hAnsi="Palatino Linotype" w:cs="Palatino Linotype"/>
        </w:rPr>
        <w:t xml:space="preserve"> </w:t>
      </w:r>
      <w:r w:rsidRPr="009172AF">
        <w:rPr>
          <w:rFonts w:ascii="Palatino Linotype" w:eastAsia="Palatino Linotype" w:hAnsi="Palatino Linotype" w:cs="Palatino Linotype"/>
          <w:b/>
        </w:rPr>
        <w:t xml:space="preserve">Cuarto </w:t>
      </w:r>
      <w:r w:rsidR="0034765B" w:rsidRPr="009172AF">
        <w:rPr>
          <w:rFonts w:ascii="Palatino Linotype" w:eastAsia="Palatino Linotype" w:hAnsi="Palatino Linotype" w:cs="Palatino Linotype"/>
        </w:rPr>
        <w:t>y</w:t>
      </w:r>
      <w:r w:rsidR="0034765B" w:rsidRPr="009172AF">
        <w:rPr>
          <w:rFonts w:ascii="Palatino Linotype" w:eastAsia="Palatino Linotype" w:hAnsi="Palatino Linotype" w:cs="Palatino Linotype"/>
          <w:b/>
        </w:rPr>
        <w:t xml:space="preserve"> Quinto</w:t>
      </w:r>
      <w:r w:rsidR="0034765B" w:rsidRPr="009172AF">
        <w:rPr>
          <w:rFonts w:ascii="Palatino Linotype" w:eastAsia="Palatino Linotype" w:hAnsi="Palatino Linotype" w:cs="Palatino Linotype"/>
        </w:rPr>
        <w:t xml:space="preserve"> </w:t>
      </w:r>
      <w:r w:rsidRPr="009172AF">
        <w:rPr>
          <w:rFonts w:ascii="Palatino Linotype" w:eastAsia="Palatino Linotype" w:hAnsi="Palatino Linotype" w:cs="Palatino Linotype"/>
        </w:rPr>
        <w:t xml:space="preserve">de la presente Resolución. </w:t>
      </w:r>
    </w:p>
    <w:p w:rsidR="00AB361D" w:rsidRPr="009172AF" w:rsidRDefault="00AB361D" w:rsidP="00AB361D">
      <w:pPr>
        <w:spacing w:line="360" w:lineRule="auto"/>
        <w:jc w:val="both"/>
        <w:rPr>
          <w:rFonts w:ascii="Palatino Linotype" w:eastAsia="Palatino Linotype" w:hAnsi="Palatino Linotype" w:cs="Palatino Linotype"/>
        </w:rPr>
      </w:pPr>
    </w:p>
    <w:p w:rsidR="00AB361D" w:rsidRPr="009172AF" w:rsidRDefault="00AB361D" w:rsidP="00AB361D">
      <w:pPr>
        <w:spacing w:line="360" w:lineRule="auto"/>
        <w:jc w:val="both"/>
        <w:rPr>
          <w:rFonts w:ascii="Palatino Linotype" w:eastAsia="Palatino Linotype" w:hAnsi="Palatino Linotype" w:cs="Palatino Linotype"/>
        </w:rPr>
      </w:pPr>
      <w:bookmarkStart w:id="25" w:name="_heading=h.1ksv4uv" w:colFirst="0" w:colLast="0"/>
      <w:bookmarkEnd w:id="25"/>
      <w:r w:rsidRPr="009172AF">
        <w:rPr>
          <w:rFonts w:ascii="Palatino Linotype" w:eastAsia="Palatino Linotype" w:hAnsi="Palatino Linotype" w:cs="Palatino Linotype"/>
          <w:b/>
        </w:rPr>
        <w:t xml:space="preserve">SEGUNDO. </w:t>
      </w:r>
      <w:r w:rsidRPr="009172AF">
        <w:rPr>
          <w:rFonts w:ascii="Palatino Linotype" w:eastAsia="Palatino Linotype" w:hAnsi="Palatino Linotype" w:cs="Palatino Linotype"/>
          <w:color w:val="000000"/>
        </w:rPr>
        <w:t xml:space="preserve">Se </w:t>
      </w:r>
      <w:r w:rsidRPr="009172AF">
        <w:rPr>
          <w:rFonts w:ascii="Palatino Linotype" w:eastAsia="Palatino Linotype" w:hAnsi="Palatino Linotype" w:cs="Palatino Linotype"/>
          <w:b/>
          <w:color w:val="000000"/>
        </w:rPr>
        <w:t xml:space="preserve">MODIFICA </w:t>
      </w:r>
      <w:r w:rsidRPr="009172AF">
        <w:rPr>
          <w:rFonts w:ascii="Palatino Linotype" w:eastAsia="Palatino Linotype" w:hAnsi="Palatino Linotype" w:cs="Palatino Linotype"/>
          <w:color w:val="000000"/>
        </w:rPr>
        <w:t xml:space="preserve">la respuesta emitida por el </w:t>
      </w:r>
      <w:r w:rsidRPr="009172AF">
        <w:rPr>
          <w:rFonts w:ascii="Palatino Linotype" w:eastAsia="Palatino Linotype" w:hAnsi="Palatino Linotype" w:cs="Palatino Linotype"/>
          <w:b/>
          <w:color w:val="000000"/>
        </w:rPr>
        <w:t xml:space="preserve">Ayuntamiento de Toluca </w:t>
      </w:r>
      <w:r w:rsidRPr="009172AF">
        <w:rPr>
          <w:rFonts w:ascii="Palatino Linotype" w:eastAsia="Palatino Linotype" w:hAnsi="Palatino Linotype" w:cs="Palatino Linotype"/>
          <w:color w:val="000000"/>
        </w:rPr>
        <w:t xml:space="preserve">y se </w:t>
      </w:r>
      <w:r w:rsidRPr="009172AF">
        <w:rPr>
          <w:rFonts w:ascii="Palatino Linotype" w:eastAsia="Palatino Linotype" w:hAnsi="Palatino Linotype" w:cs="Palatino Linotype"/>
          <w:b/>
          <w:color w:val="000000"/>
        </w:rPr>
        <w:t>ORDENA</w:t>
      </w:r>
      <w:r w:rsidRPr="009172AF">
        <w:rPr>
          <w:rFonts w:ascii="Palatino Linotype" w:eastAsia="Palatino Linotype" w:hAnsi="Palatino Linotype" w:cs="Palatino Linotype"/>
          <w:color w:val="000000"/>
        </w:rPr>
        <w:t xml:space="preserve"> entregar vía Sistema de Acceso a la Información</w:t>
      </w:r>
      <w:r w:rsidR="00D67526" w:rsidRPr="009172AF">
        <w:rPr>
          <w:rFonts w:ascii="Palatino Linotype" w:eastAsia="Palatino Linotype" w:hAnsi="Palatino Linotype" w:cs="Palatino Linotype"/>
          <w:color w:val="000000"/>
        </w:rPr>
        <w:t xml:space="preserve"> Mexiquense</w:t>
      </w:r>
      <w:r w:rsidRPr="009172AF">
        <w:rPr>
          <w:rFonts w:ascii="Palatino Linotype" w:eastAsia="Palatino Linotype" w:hAnsi="Palatino Linotype" w:cs="Palatino Linotype"/>
          <w:color w:val="000000"/>
        </w:rPr>
        <w:t>,</w:t>
      </w:r>
      <w:r w:rsidRPr="009172AF">
        <w:rPr>
          <w:rFonts w:ascii="Palatino Linotype" w:eastAsia="Palatino Linotype" w:hAnsi="Palatino Linotype" w:cs="Palatino Linotype"/>
        </w:rPr>
        <w:t xml:space="preserve"> la siguiente información</w:t>
      </w:r>
      <w:r w:rsidR="00254A6D" w:rsidRPr="009172AF">
        <w:rPr>
          <w:rFonts w:ascii="Palatino Linotype" w:eastAsia="Palatino Linotype" w:hAnsi="Palatino Linotype" w:cs="Palatino Linotype"/>
        </w:rPr>
        <w:t xml:space="preserve"> en correcta versión pública</w:t>
      </w:r>
      <w:r w:rsidRPr="009172AF">
        <w:rPr>
          <w:rFonts w:ascii="Palatino Linotype" w:eastAsia="Palatino Linotype" w:hAnsi="Palatino Linotype" w:cs="Palatino Linotype"/>
        </w:rPr>
        <w:t xml:space="preserve">: </w:t>
      </w:r>
    </w:p>
    <w:p w:rsidR="00AB361D" w:rsidRPr="009172AF" w:rsidRDefault="00AB361D" w:rsidP="00AB361D">
      <w:pPr>
        <w:spacing w:line="360" w:lineRule="auto"/>
        <w:jc w:val="both"/>
        <w:rPr>
          <w:rFonts w:ascii="Palatino Linotype" w:eastAsia="Palatino Linotype" w:hAnsi="Palatino Linotype" w:cs="Palatino Linotype"/>
        </w:rPr>
      </w:pPr>
    </w:p>
    <w:p w:rsidR="00254A6D" w:rsidRPr="009172AF" w:rsidRDefault="00254A6D" w:rsidP="00254A6D">
      <w:pPr>
        <w:pStyle w:val="Prrafodelista"/>
        <w:numPr>
          <w:ilvl w:val="0"/>
          <w:numId w:val="36"/>
        </w:numPr>
        <w:spacing w:line="360" w:lineRule="auto"/>
        <w:jc w:val="both"/>
        <w:rPr>
          <w:rFonts w:ascii="Palatino Linotype" w:hAnsi="Palatino Linotype"/>
          <w:b/>
        </w:rPr>
      </w:pPr>
      <w:bookmarkStart w:id="26" w:name="_heading=h.lnxbz9" w:colFirst="0" w:colLast="0"/>
      <w:bookmarkEnd w:id="26"/>
      <w:r w:rsidRPr="009172AF">
        <w:rPr>
          <w:rFonts w:ascii="Palatino Linotype" w:hAnsi="Palatino Linotype"/>
          <w:b/>
        </w:rPr>
        <w:t>Informes recibidos por la Defensoría Municipal de Derechos Humanos por parte de la Dirección de Seguridad Pública del año 2019 a 2024, remitidos en respuesta a las solicitudes de información</w:t>
      </w:r>
      <w:r w:rsidR="002224BB" w:rsidRPr="009172AF">
        <w:rPr>
          <w:rFonts w:ascii="Palatino Linotype" w:hAnsi="Palatino Linotype"/>
          <w:b/>
        </w:rPr>
        <w:t xml:space="preserve"> </w:t>
      </w:r>
      <w:r w:rsidR="00210202" w:rsidRPr="009172AF">
        <w:rPr>
          <w:rFonts w:ascii="Palatino Linotype" w:hAnsi="Palatino Linotype"/>
          <w:b/>
          <w:bCs/>
          <w:color w:val="000000" w:themeColor="text1"/>
        </w:rPr>
        <w:t>03451/TOLUCA/IP/2024 y 03452/TOLUCA/IP/2024</w:t>
      </w:r>
      <w:r w:rsidR="008F71D7" w:rsidRPr="009172AF">
        <w:rPr>
          <w:rFonts w:ascii="Palatino Linotype" w:hAnsi="Palatino Linotype"/>
          <w:b/>
          <w:bCs/>
          <w:color w:val="000000" w:themeColor="text1"/>
        </w:rPr>
        <w:t>.</w:t>
      </w:r>
    </w:p>
    <w:p w:rsidR="008F71D7" w:rsidRPr="009172AF" w:rsidRDefault="008F71D7" w:rsidP="008F71D7">
      <w:pPr>
        <w:pStyle w:val="Prrafodelista"/>
        <w:spacing w:line="360" w:lineRule="auto"/>
        <w:jc w:val="both"/>
        <w:rPr>
          <w:rFonts w:ascii="Palatino Linotype" w:eastAsia="Palatino Linotype" w:hAnsi="Palatino Linotype" w:cs="Palatino Linotype"/>
        </w:rPr>
      </w:pPr>
    </w:p>
    <w:p w:rsidR="008F71D7" w:rsidRPr="009172AF" w:rsidRDefault="008F71D7" w:rsidP="008F71D7">
      <w:pPr>
        <w:pStyle w:val="Prrafodelista"/>
        <w:spacing w:line="360" w:lineRule="auto"/>
        <w:jc w:val="both"/>
        <w:rPr>
          <w:rFonts w:ascii="Palatino Linotype" w:eastAsia="Palatino Linotype" w:hAnsi="Palatino Linotype" w:cs="Palatino Linotype"/>
        </w:rPr>
      </w:pPr>
      <w:r w:rsidRPr="009172AF">
        <w:rPr>
          <w:rFonts w:ascii="Palatino Linotype" w:eastAsia="Palatino Linotype" w:hAnsi="Palatino Linotype" w:cs="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w:t>
      </w:r>
      <w:r w:rsidRPr="009172AF">
        <w:rPr>
          <w:rFonts w:ascii="Palatino Linotype" w:eastAsia="Palatino Linotype" w:hAnsi="Palatino Linotype" w:cs="Palatino Linotype"/>
        </w:rPr>
        <w:lastRenderedPageBreak/>
        <w:t xml:space="preserve">de las versiones públicas que se formulen y se ponga a disposición de la parte recurrente. </w:t>
      </w:r>
    </w:p>
    <w:p w:rsidR="00AB361D" w:rsidRPr="009172AF" w:rsidRDefault="00AB361D" w:rsidP="00254A6D">
      <w:pPr>
        <w:pStyle w:val="Prrafodelista"/>
        <w:tabs>
          <w:tab w:val="left" w:pos="8080"/>
        </w:tabs>
        <w:spacing w:line="360" w:lineRule="auto"/>
        <w:jc w:val="both"/>
        <w:rPr>
          <w:rFonts w:ascii="Palatino Linotype" w:eastAsia="Palatino Linotype" w:hAnsi="Palatino Linotype" w:cs="Palatino Linotype"/>
          <w:b/>
        </w:rPr>
      </w:pPr>
    </w:p>
    <w:p w:rsidR="00AB361D" w:rsidRPr="009172AF" w:rsidRDefault="00AB361D" w:rsidP="00AB361D">
      <w:pPr>
        <w:tabs>
          <w:tab w:val="left" w:pos="8080"/>
        </w:tabs>
        <w:spacing w:line="360" w:lineRule="auto"/>
        <w:jc w:val="both"/>
        <w:rPr>
          <w:rFonts w:ascii="Palatino Linotype" w:eastAsia="Palatino Linotype" w:hAnsi="Palatino Linotype" w:cs="Palatino Linotype"/>
          <w:color w:val="222222"/>
        </w:rPr>
      </w:pPr>
      <w:r w:rsidRPr="009172AF">
        <w:rPr>
          <w:rFonts w:ascii="Palatino Linotype" w:eastAsia="Palatino Linotype" w:hAnsi="Palatino Linotype" w:cs="Palatino Linotype"/>
          <w:b/>
        </w:rPr>
        <w:t xml:space="preserve">TERCERO. </w:t>
      </w:r>
      <w:r w:rsidRPr="009172AF">
        <w:rPr>
          <w:rFonts w:ascii="Palatino Linotype" w:eastAsia="Palatino Linotype" w:hAnsi="Palatino Linotype" w:cs="Palatino Linotype"/>
          <w:b/>
          <w:color w:val="222222"/>
        </w:rPr>
        <w:t>NOTIFÍQUESE</w:t>
      </w:r>
      <w:r w:rsidRPr="009172AF">
        <w:rPr>
          <w:rFonts w:ascii="Palatino Linotype" w:eastAsia="Palatino Linotype" w:hAnsi="Palatino Linotype" w:cs="Palatino Linotype"/>
          <w:color w:val="222222"/>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9172AF">
        <w:rPr>
          <w:rFonts w:ascii="Palatino Linotype" w:eastAsia="Palatino Linotype" w:hAnsi="Palatino Linotype" w:cs="Palatino Linotype"/>
          <w:b/>
          <w:color w:val="222222"/>
        </w:rPr>
        <w:t xml:space="preserve">dé cumplimiento a lo ordenado dentro del plazo de diez días hábiles, </w:t>
      </w:r>
      <w:r w:rsidRPr="009172AF">
        <w:rPr>
          <w:rFonts w:ascii="Palatino Linotype" w:eastAsia="Palatino Linotype" w:hAnsi="Palatino Linotype" w:cs="Palatino Linotype"/>
          <w:color w:val="222222"/>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AB361D" w:rsidRPr="009172AF" w:rsidRDefault="00AB361D" w:rsidP="00AB361D">
      <w:pPr>
        <w:tabs>
          <w:tab w:val="left" w:pos="8080"/>
        </w:tabs>
        <w:spacing w:line="360" w:lineRule="auto"/>
        <w:jc w:val="both"/>
        <w:rPr>
          <w:rFonts w:ascii="Palatino Linotype" w:eastAsia="Palatino Linotype" w:hAnsi="Palatino Linotype" w:cs="Palatino Linotype"/>
          <w:color w:val="222222"/>
        </w:rPr>
      </w:pPr>
    </w:p>
    <w:p w:rsidR="00AB361D" w:rsidRPr="009172AF" w:rsidRDefault="00AB361D" w:rsidP="00AB361D">
      <w:pPr>
        <w:spacing w:line="360" w:lineRule="auto"/>
        <w:jc w:val="both"/>
        <w:rPr>
          <w:rFonts w:ascii="Palatino Linotype" w:eastAsia="Palatino Linotype" w:hAnsi="Palatino Linotype" w:cs="Palatino Linotype"/>
        </w:rPr>
      </w:pPr>
      <w:r w:rsidRPr="009172AF">
        <w:rPr>
          <w:rFonts w:ascii="Palatino Linotype" w:eastAsia="Palatino Linotype" w:hAnsi="Palatino Linotype" w:cs="Palatino Linotype"/>
          <w:b/>
        </w:rPr>
        <w:t xml:space="preserve">CUARTO. </w:t>
      </w:r>
      <w:r w:rsidRPr="009172AF">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9172AF">
        <w:rPr>
          <w:rFonts w:ascii="Palatino Linotype" w:eastAsia="Palatino Linotype" w:hAnsi="Palatino Linotype" w:cs="Palatino Linotype"/>
          <w:b/>
        </w:rPr>
        <w:t>SUJETO OBLIGADO</w:t>
      </w:r>
      <w:r w:rsidRPr="009172AF">
        <w:rPr>
          <w:rFonts w:ascii="Palatino Linotype" w:eastAsia="Palatino Linotype" w:hAnsi="Palatino Linotype" w:cs="Palatino Linotype"/>
        </w:rPr>
        <w:t xml:space="preserve"> de manera fundada y motivada, podrá solicitar una ampliación de plazo para el cumplimiento de la presente resolución.</w:t>
      </w:r>
    </w:p>
    <w:p w:rsidR="00AB361D" w:rsidRPr="009172AF" w:rsidRDefault="00AB361D" w:rsidP="00AB361D">
      <w:pPr>
        <w:spacing w:line="360" w:lineRule="auto"/>
        <w:jc w:val="both"/>
        <w:rPr>
          <w:rFonts w:ascii="Palatino Linotype" w:eastAsia="Palatino Linotype" w:hAnsi="Palatino Linotype" w:cs="Palatino Linotype"/>
        </w:rPr>
      </w:pPr>
    </w:p>
    <w:p w:rsidR="00AB361D" w:rsidRPr="009172AF" w:rsidRDefault="00AB361D" w:rsidP="00AB361D">
      <w:pPr>
        <w:shd w:val="clear" w:color="auto" w:fill="FFFFFF"/>
        <w:spacing w:line="360" w:lineRule="auto"/>
        <w:jc w:val="both"/>
        <w:rPr>
          <w:rFonts w:ascii="Palatino Linotype" w:eastAsia="Palatino Linotype" w:hAnsi="Palatino Linotype" w:cs="Palatino Linotype"/>
        </w:rPr>
      </w:pPr>
      <w:bookmarkStart w:id="27" w:name="_heading=h.2jxsxqh" w:colFirst="0" w:colLast="0"/>
      <w:bookmarkEnd w:id="27"/>
      <w:r w:rsidRPr="009172AF">
        <w:rPr>
          <w:rFonts w:ascii="Palatino Linotype" w:eastAsia="Palatino Linotype" w:hAnsi="Palatino Linotype" w:cs="Palatino Linotype"/>
          <w:b/>
        </w:rPr>
        <w:t xml:space="preserve">QUINTO. </w:t>
      </w:r>
      <w:r w:rsidRPr="009172AF">
        <w:rPr>
          <w:rFonts w:ascii="Palatino Linotype" w:eastAsia="Palatino Linotype" w:hAnsi="Palatino Linotype" w:cs="Palatino Linotype"/>
        </w:rPr>
        <w:t xml:space="preserve">Notifíquese a </w:t>
      </w:r>
      <w:r w:rsidRPr="009172AF">
        <w:rPr>
          <w:rFonts w:ascii="Palatino Linotype" w:eastAsia="Palatino Linotype" w:hAnsi="Palatino Linotype" w:cs="Palatino Linotype"/>
          <w:b/>
        </w:rPr>
        <w:t>LA RECURRENTE</w:t>
      </w:r>
      <w:r w:rsidR="00D67526" w:rsidRPr="009172AF">
        <w:rPr>
          <w:rFonts w:ascii="Palatino Linotype" w:eastAsia="Palatino Linotype" w:hAnsi="Palatino Linotype" w:cs="Palatino Linotype"/>
        </w:rPr>
        <w:t xml:space="preserve"> la presente R</w:t>
      </w:r>
      <w:r w:rsidRPr="009172AF">
        <w:rPr>
          <w:rFonts w:ascii="Palatino Linotype" w:eastAsia="Palatino Linotype" w:hAnsi="Palatino Linotype" w:cs="Palatino Linotype"/>
        </w:rPr>
        <w:t>esolución, vía SAIMEX.</w:t>
      </w:r>
    </w:p>
    <w:p w:rsidR="00AB361D" w:rsidRPr="009172AF" w:rsidRDefault="00AB361D" w:rsidP="00AB361D">
      <w:pPr>
        <w:shd w:val="clear" w:color="auto" w:fill="FFFFFF"/>
        <w:spacing w:line="360" w:lineRule="auto"/>
        <w:jc w:val="both"/>
        <w:rPr>
          <w:rFonts w:ascii="Palatino Linotype" w:eastAsia="Palatino Linotype" w:hAnsi="Palatino Linotype" w:cs="Palatino Linotype"/>
          <w:b/>
        </w:rPr>
      </w:pPr>
    </w:p>
    <w:p w:rsidR="00AB361D" w:rsidRPr="009172AF" w:rsidRDefault="00AB361D" w:rsidP="00AB361D">
      <w:pPr>
        <w:shd w:val="clear" w:color="auto" w:fill="FFFFFF"/>
        <w:spacing w:line="360" w:lineRule="auto"/>
        <w:jc w:val="both"/>
        <w:rPr>
          <w:rFonts w:ascii="Palatino Linotype" w:eastAsia="Palatino Linotype" w:hAnsi="Palatino Linotype" w:cs="Palatino Linotype"/>
        </w:rPr>
      </w:pPr>
      <w:r w:rsidRPr="009172AF">
        <w:rPr>
          <w:rFonts w:ascii="Palatino Linotype" w:eastAsia="Palatino Linotype" w:hAnsi="Palatino Linotype" w:cs="Palatino Linotype"/>
          <w:b/>
        </w:rPr>
        <w:lastRenderedPageBreak/>
        <w:t xml:space="preserve">SEXTO. </w:t>
      </w:r>
      <w:r w:rsidRPr="009172AF">
        <w:rPr>
          <w:rFonts w:ascii="Palatino Linotype" w:eastAsia="Palatino Linotype" w:hAnsi="Palatino Linotype" w:cs="Palatino Linotype"/>
        </w:rPr>
        <w:t xml:space="preserve">Se hace del conocimiento de la </w:t>
      </w:r>
      <w:r w:rsidRPr="009172AF">
        <w:rPr>
          <w:rFonts w:ascii="Palatino Linotype" w:eastAsia="Palatino Linotype" w:hAnsi="Palatino Linotype" w:cs="Palatino Linotype"/>
          <w:b/>
        </w:rPr>
        <w:t>RECURRENTE</w:t>
      </w:r>
      <w:r w:rsidRPr="009172AF">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AB361D" w:rsidRPr="009172AF" w:rsidRDefault="00AB361D" w:rsidP="00AB361D">
      <w:pPr>
        <w:shd w:val="clear" w:color="auto" w:fill="FFFFFF"/>
        <w:spacing w:line="360" w:lineRule="auto"/>
        <w:jc w:val="both"/>
        <w:rPr>
          <w:rFonts w:ascii="Palatino Linotype" w:eastAsia="Palatino Linotype" w:hAnsi="Palatino Linotype" w:cs="Palatino Linotype"/>
        </w:rPr>
      </w:pPr>
    </w:p>
    <w:p w:rsidR="00AB361D" w:rsidRPr="009172AF" w:rsidRDefault="00AB361D" w:rsidP="00AB361D">
      <w:pPr>
        <w:spacing w:line="360" w:lineRule="auto"/>
        <w:jc w:val="both"/>
        <w:rPr>
          <w:rFonts w:ascii="Palatino Linotype" w:eastAsiaTheme="minorHAnsi" w:hAnsi="Palatino Linotype"/>
          <w:lang w:eastAsia="es-ES_tradnl"/>
        </w:rPr>
      </w:pPr>
      <w:r w:rsidRPr="009172AF">
        <w:rPr>
          <w:rFonts w:ascii="Palatino Linotype" w:eastAsia="MS Mincho" w:hAnsi="Palatino Linotype"/>
          <w:b/>
          <w:bCs/>
          <w:color w:val="000000"/>
          <w:lang w:val="es-ES"/>
        </w:rPr>
        <w:t>SÉPTIMO.</w:t>
      </w:r>
      <w:r w:rsidRPr="009172AF">
        <w:rPr>
          <w:rFonts w:ascii="Palatino Linotype" w:eastAsia="MS Mincho" w:hAnsi="Palatino Linotype"/>
          <w:color w:val="000000"/>
          <w:lang w:val="es-ES"/>
        </w:rPr>
        <w:t xml:space="preserve"> </w:t>
      </w:r>
      <w:r w:rsidRPr="009172AF">
        <w:rPr>
          <w:rFonts w:ascii="Palatino Linotype" w:eastAsiaTheme="minorHAnsi" w:hAnsi="Palatino Linotype"/>
          <w:b/>
          <w:lang w:eastAsia="es-ES_tradnl"/>
        </w:rPr>
        <w:t>Gírese</w:t>
      </w:r>
      <w:r w:rsidRPr="009172AF">
        <w:rPr>
          <w:rFonts w:ascii="Palatino Linotype" w:eastAsiaTheme="minorHAnsi" w:hAnsi="Palatino Linotype"/>
          <w:lang w:eastAsia="es-ES_tradnl"/>
        </w:rPr>
        <w:t xml:space="preserve"> oficio al Titular de la Dirección General de Protección de Datos Personales, en atención al artículo 82, fracción XXVII de la Ley de Protección de Datos Personales del Estado de México y Municipios en términos de lo señalado en el </w:t>
      </w:r>
      <w:r w:rsidRPr="009172AF">
        <w:rPr>
          <w:rFonts w:ascii="Palatino Linotype" w:eastAsiaTheme="minorHAnsi" w:hAnsi="Palatino Linotype"/>
          <w:b/>
          <w:bCs/>
          <w:lang w:eastAsia="es-ES_tradnl"/>
        </w:rPr>
        <w:t>Considerando CUARTO</w:t>
      </w:r>
      <w:r w:rsidRPr="009172AF">
        <w:rPr>
          <w:rFonts w:ascii="Palatino Linotype" w:eastAsiaTheme="minorHAnsi" w:hAnsi="Palatino Linotype"/>
          <w:lang w:eastAsia="es-ES_tradnl"/>
        </w:rPr>
        <w:t xml:space="preserve"> de la presente resolución.</w:t>
      </w:r>
    </w:p>
    <w:p w:rsidR="00AB361D" w:rsidRPr="009172AF" w:rsidRDefault="00AB361D" w:rsidP="00AB361D">
      <w:pPr>
        <w:spacing w:line="360" w:lineRule="auto"/>
        <w:jc w:val="both"/>
        <w:rPr>
          <w:rFonts w:ascii="Palatino Linotype" w:eastAsiaTheme="minorHAnsi" w:hAnsi="Palatino Linotype"/>
          <w:lang w:eastAsia="es-ES_tradnl"/>
        </w:rPr>
      </w:pPr>
    </w:p>
    <w:p w:rsidR="00AB361D" w:rsidRPr="009172AF" w:rsidRDefault="00AB361D" w:rsidP="00AB361D">
      <w:pPr>
        <w:spacing w:line="360" w:lineRule="auto"/>
        <w:jc w:val="both"/>
        <w:rPr>
          <w:rFonts w:ascii="Palatino Linotype" w:eastAsiaTheme="minorHAnsi" w:hAnsi="Palatino Linotype"/>
          <w:b/>
          <w:lang w:eastAsia="es-ES_tradnl"/>
        </w:rPr>
      </w:pPr>
      <w:r w:rsidRPr="009172AF">
        <w:rPr>
          <w:rFonts w:ascii="Palatino Linotype" w:eastAsiaTheme="minorHAnsi" w:hAnsi="Palatino Linotype"/>
          <w:b/>
          <w:lang w:eastAsia="es-ES_tradnl"/>
        </w:rPr>
        <w:t>OCTAVO. Gírese</w:t>
      </w:r>
      <w:r w:rsidRPr="009172AF">
        <w:rPr>
          <w:rFonts w:ascii="Palatino Linotype" w:eastAsiaTheme="minorHAnsi" w:hAnsi="Palatino Linotype"/>
          <w:lang w:eastAsia="es-ES_tradnl"/>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9172AF">
        <w:rPr>
          <w:rFonts w:ascii="Palatino Linotype" w:eastAsiaTheme="minorHAnsi" w:hAnsi="Palatino Linotype"/>
          <w:b/>
          <w:lang w:eastAsia="es-ES_tradnl"/>
        </w:rPr>
        <w:t>Considerando</w:t>
      </w:r>
      <w:r w:rsidRPr="009172AF">
        <w:rPr>
          <w:rFonts w:ascii="Palatino Linotype" w:eastAsiaTheme="minorHAnsi" w:hAnsi="Palatino Linotype"/>
          <w:lang w:eastAsia="es-ES_tradnl"/>
        </w:rPr>
        <w:t xml:space="preserve"> </w:t>
      </w:r>
      <w:r w:rsidRPr="009172AF">
        <w:rPr>
          <w:rFonts w:ascii="Palatino Linotype" w:eastAsiaTheme="minorHAnsi" w:hAnsi="Palatino Linotype"/>
          <w:b/>
          <w:lang w:eastAsia="es-ES_tradnl"/>
        </w:rPr>
        <w:t>CUARTO</w:t>
      </w:r>
      <w:r w:rsidRPr="009172AF">
        <w:rPr>
          <w:rFonts w:ascii="Palatino Linotype" w:eastAsiaTheme="minorHAnsi" w:hAnsi="Palatino Linotype"/>
          <w:lang w:eastAsia="es-ES_tradnl"/>
        </w:rPr>
        <w:t xml:space="preserve"> de la presente resolución.</w:t>
      </w:r>
    </w:p>
    <w:p w:rsidR="00715AF1" w:rsidRPr="009172AF" w:rsidRDefault="00715AF1" w:rsidP="00715AF1">
      <w:pPr>
        <w:shd w:val="clear" w:color="auto" w:fill="FFFFFF"/>
        <w:spacing w:line="360" w:lineRule="auto"/>
        <w:jc w:val="both"/>
        <w:rPr>
          <w:rFonts w:ascii="Palatino Linotype" w:eastAsia="Times New Roman" w:hAnsi="Palatino Linotype" w:cs="Times New Roman"/>
        </w:rPr>
      </w:pPr>
    </w:p>
    <w:p w:rsidR="00732A67" w:rsidRPr="009172AF" w:rsidRDefault="00732A67" w:rsidP="00732A67">
      <w:pPr>
        <w:spacing w:before="240" w:after="240" w:line="360" w:lineRule="auto"/>
        <w:ind w:right="49"/>
        <w:jc w:val="both"/>
        <w:rPr>
          <w:rFonts w:ascii="Palatino Linotype" w:eastAsia="Palatino Linotype" w:hAnsi="Palatino Linotype" w:cs="Palatino Linotype"/>
        </w:rPr>
      </w:pPr>
      <w:r w:rsidRPr="009172AF">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w:t>
      </w:r>
      <w:r w:rsidRPr="009172AF">
        <w:rPr>
          <w:rFonts w:ascii="Palatino Linotype" w:eastAsia="Palatino Linotype" w:hAnsi="Palatino Linotype" w:cs="Palatino Linotype"/>
        </w:rPr>
        <w:lastRenderedPageBreak/>
        <w:t>MUNICIPIOS, CONFORMADO POR LOS COMISIONADOS JOSÉ MARTÍNEZ VILCHIS, MARÍA DEL ROSARIO MEJÍA AYALA, SHARON CRISTINA MORALES MARTÍNEZ, LUIS GUSTAVO PARRA NORIEGA Y GUADALUPE RAMÍREZ PEÑA; EN LA DÉCIMA TERCERA SESIÓN ORDINARIA, CELEBRADA EL NUEVE (09) DE ABRIL DE DOS MIL VEINTICINCO, ANTE EL SECRETARIO TÉCNICO DEL PLENO ALEXIS TAPIA RAMÍREZ.</w:t>
      </w:r>
    </w:p>
    <w:p w:rsidR="00E3702D" w:rsidRPr="00732A67" w:rsidRDefault="001E252F" w:rsidP="00AA0AC2">
      <w:pPr>
        <w:spacing w:line="360" w:lineRule="auto"/>
        <w:jc w:val="both"/>
        <w:rPr>
          <w:rFonts w:ascii="Palatino Linotype" w:hAnsi="Palatino Linotype"/>
        </w:rPr>
      </w:pPr>
      <w:r w:rsidRPr="009172AF">
        <w:rPr>
          <w:rFonts w:ascii="Palatino Linotype" w:hAnsi="Palatino Linotype"/>
        </w:rPr>
        <w:t>.</w:t>
      </w:r>
      <w:bookmarkStart w:id="28" w:name="_GoBack"/>
      <w:bookmarkEnd w:id="28"/>
    </w:p>
    <w:p w:rsidR="00E3702D" w:rsidRPr="00732A67" w:rsidRDefault="00E3702D" w:rsidP="00AA0AC2">
      <w:pPr>
        <w:spacing w:line="360" w:lineRule="auto"/>
        <w:jc w:val="both"/>
        <w:rPr>
          <w:rFonts w:ascii="Palatino Linotype" w:hAnsi="Palatino Linotype"/>
        </w:rPr>
      </w:pPr>
    </w:p>
    <w:p w:rsidR="00E3702D" w:rsidRPr="00732A67" w:rsidRDefault="001E252F" w:rsidP="00AA0AC2">
      <w:pPr>
        <w:shd w:val="clear" w:color="auto" w:fill="FFFFFF"/>
        <w:spacing w:line="360" w:lineRule="auto"/>
        <w:jc w:val="both"/>
        <w:rPr>
          <w:rFonts w:ascii="Palatino Linotype" w:hAnsi="Palatino Linotype" w:cs="Arial"/>
        </w:rPr>
      </w:pPr>
      <w:r w:rsidRPr="00732A67">
        <w:rPr>
          <w:rFonts w:ascii="Palatino Linotype" w:hAnsi="Palatino Linotype" w:cs="Arial"/>
        </w:rPr>
        <w:t xml:space="preserve">  </w:t>
      </w:r>
    </w:p>
    <w:p w:rsidR="00E3702D" w:rsidRPr="00732A67" w:rsidRDefault="00E3702D" w:rsidP="00AA0AC2">
      <w:pPr>
        <w:shd w:val="clear" w:color="auto" w:fill="FFFFFF"/>
        <w:spacing w:line="360" w:lineRule="auto"/>
        <w:jc w:val="both"/>
        <w:rPr>
          <w:rFonts w:ascii="Palatino Linotype" w:hAnsi="Palatino Linotype" w:cs="Arial"/>
        </w:rPr>
      </w:pPr>
    </w:p>
    <w:p w:rsidR="00E3702D" w:rsidRPr="00732A67" w:rsidRDefault="00E3702D" w:rsidP="00AA0AC2">
      <w:pPr>
        <w:shd w:val="clear" w:color="auto" w:fill="FFFFFF"/>
        <w:spacing w:line="360" w:lineRule="auto"/>
        <w:jc w:val="both"/>
        <w:rPr>
          <w:rFonts w:ascii="Palatino Linotype" w:hAnsi="Palatino Linotype" w:cs="Arial"/>
        </w:rPr>
      </w:pPr>
    </w:p>
    <w:p w:rsidR="00E3702D" w:rsidRPr="00732A67" w:rsidRDefault="00E3702D" w:rsidP="00AA0AC2">
      <w:pPr>
        <w:shd w:val="clear" w:color="auto" w:fill="FFFFFF"/>
        <w:spacing w:line="360" w:lineRule="auto"/>
        <w:jc w:val="both"/>
        <w:rPr>
          <w:rFonts w:ascii="Palatino Linotype" w:hAnsi="Palatino Linotype" w:cs="Arial"/>
        </w:rPr>
      </w:pPr>
    </w:p>
    <w:p w:rsidR="00E3702D" w:rsidRPr="00732A67" w:rsidRDefault="00E3702D" w:rsidP="00AA0AC2">
      <w:pPr>
        <w:shd w:val="clear" w:color="auto" w:fill="FFFFFF"/>
        <w:spacing w:line="360" w:lineRule="auto"/>
        <w:jc w:val="both"/>
        <w:rPr>
          <w:rFonts w:ascii="Palatino Linotype" w:hAnsi="Palatino Linotype" w:cs="Arial"/>
        </w:rPr>
      </w:pPr>
    </w:p>
    <w:p w:rsidR="00E3702D" w:rsidRPr="00732A67" w:rsidRDefault="00E3702D" w:rsidP="00AA0AC2">
      <w:pPr>
        <w:shd w:val="clear" w:color="auto" w:fill="FFFFFF"/>
        <w:spacing w:line="360" w:lineRule="auto"/>
        <w:jc w:val="both"/>
        <w:rPr>
          <w:rFonts w:ascii="Palatino Linotype" w:hAnsi="Palatino Linotype" w:cs="Arial"/>
        </w:rPr>
      </w:pPr>
    </w:p>
    <w:p w:rsidR="00E3702D" w:rsidRPr="00732A67" w:rsidRDefault="00E3702D" w:rsidP="00AA0AC2">
      <w:pPr>
        <w:shd w:val="clear" w:color="auto" w:fill="FFFFFF"/>
        <w:spacing w:line="360" w:lineRule="auto"/>
        <w:jc w:val="both"/>
        <w:rPr>
          <w:rFonts w:ascii="Palatino Linotype" w:hAnsi="Palatino Linotype" w:cs="Arial"/>
        </w:rPr>
      </w:pPr>
    </w:p>
    <w:p w:rsidR="00E3702D" w:rsidRPr="00732A67" w:rsidRDefault="00E3702D" w:rsidP="00AA0AC2">
      <w:pPr>
        <w:shd w:val="clear" w:color="auto" w:fill="FFFFFF"/>
        <w:spacing w:line="360" w:lineRule="auto"/>
        <w:jc w:val="both"/>
        <w:rPr>
          <w:rFonts w:ascii="Palatino Linotype" w:hAnsi="Palatino Linotype" w:cs="Arial"/>
        </w:rPr>
      </w:pPr>
    </w:p>
    <w:p w:rsidR="00E3702D" w:rsidRPr="00732A67" w:rsidRDefault="00E3702D" w:rsidP="00AA0AC2">
      <w:pPr>
        <w:shd w:val="clear" w:color="auto" w:fill="FFFFFF"/>
        <w:spacing w:line="360" w:lineRule="auto"/>
        <w:jc w:val="both"/>
        <w:rPr>
          <w:rFonts w:ascii="Palatino Linotype" w:hAnsi="Palatino Linotype" w:cs="Arial"/>
        </w:rPr>
      </w:pPr>
    </w:p>
    <w:p w:rsidR="00E3702D" w:rsidRPr="00732A67" w:rsidRDefault="00E3702D" w:rsidP="00AA0AC2">
      <w:pPr>
        <w:shd w:val="clear" w:color="auto" w:fill="FFFFFF"/>
        <w:spacing w:line="360" w:lineRule="auto"/>
        <w:jc w:val="both"/>
        <w:rPr>
          <w:rFonts w:ascii="Palatino Linotype" w:hAnsi="Palatino Linotype" w:cs="Arial"/>
        </w:rPr>
      </w:pPr>
    </w:p>
    <w:p w:rsidR="00E3702D" w:rsidRPr="00732A67" w:rsidRDefault="00E3702D" w:rsidP="00AA0AC2">
      <w:pPr>
        <w:shd w:val="clear" w:color="auto" w:fill="FFFFFF"/>
        <w:spacing w:line="360" w:lineRule="auto"/>
        <w:jc w:val="both"/>
        <w:rPr>
          <w:rFonts w:ascii="Palatino Linotype" w:hAnsi="Palatino Linotype" w:cs="Arial"/>
        </w:rPr>
      </w:pPr>
    </w:p>
    <w:p w:rsidR="00E3702D" w:rsidRPr="00732A67" w:rsidRDefault="00E3702D" w:rsidP="00AA0AC2">
      <w:pPr>
        <w:shd w:val="clear" w:color="auto" w:fill="FFFFFF"/>
        <w:spacing w:line="360" w:lineRule="auto"/>
        <w:jc w:val="both"/>
        <w:rPr>
          <w:rFonts w:ascii="Palatino Linotype" w:hAnsi="Palatino Linotype" w:cs="Arial"/>
        </w:rPr>
      </w:pPr>
    </w:p>
    <w:p w:rsidR="00E3702D" w:rsidRPr="00732A67" w:rsidRDefault="00E3702D" w:rsidP="00AA0AC2">
      <w:pPr>
        <w:shd w:val="clear" w:color="auto" w:fill="FFFFFF"/>
        <w:spacing w:line="360" w:lineRule="auto"/>
        <w:jc w:val="both"/>
        <w:rPr>
          <w:rFonts w:ascii="Palatino Linotype" w:hAnsi="Palatino Linotype" w:cs="Arial"/>
        </w:rPr>
      </w:pPr>
    </w:p>
    <w:p w:rsidR="00E3702D" w:rsidRPr="00732A67" w:rsidRDefault="00E3702D" w:rsidP="00AA0AC2">
      <w:pPr>
        <w:shd w:val="clear" w:color="auto" w:fill="FFFFFF"/>
        <w:spacing w:line="360" w:lineRule="auto"/>
        <w:jc w:val="both"/>
        <w:rPr>
          <w:rFonts w:ascii="Palatino Linotype" w:hAnsi="Palatino Linotype" w:cs="Arial"/>
        </w:rPr>
      </w:pPr>
    </w:p>
    <w:p w:rsidR="00E3702D" w:rsidRPr="00732A67" w:rsidRDefault="00E3702D" w:rsidP="00AA0AC2">
      <w:pPr>
        <w:shd w:val="clear" w:color="auto" w:fill="FFFFFF"/>
        <w:spacing w:line="360" w:lineRule="auto"/>
        <w:jc w:val="both"/>
        <w:rPr>
          <w:rFonts w:ascii="Palatino Linotype" w:hAnsi="Palatino Linotype" w:cs="Arial"/>
        </w:rPr>
      </w:pPr>
    </w:p>
    <w:p w:rsidR="00E3702D" w:rsidRPr="00732A67" w:rsidRDefault="00E3702D" w:rsidP="00AA0AC2">
      <w:pPr>
        <w:shd w:val="clear" w:color="auto" w:fill="FFFFFF"/>
        <w:spacing w:line="360" w:lineRule="auto"/>
        <w:jc w:val="both"/>
        <w:rPr>
          <w:rFonts w:ascii="Palatino Linotype" w:hAnsi="Palatino Linotype" w:cs="Arial"/>
        </w:rPr>
      </w:pPr>
    </w:p>
    <w:p w:rsidR="00E3702D" w:rsidRPr="00732A67" w:rsidRDefault="00E3702D" w:rsidP="00AA0AC2">
      <w:pPr>
        <w:shd w:val="clear" w:color="auto" w:fill="FFFFFF"/>
        <w:spacing w:line="360" w:lineRule="auto"/>
        <w:jc w:val="both"/>
        <w:rPr>
          <w:rFonts w:ascii="Palatino Linotype" w:hAnsi="Palatino Linotype" w:cs="Arial"/>
        </w:rPr>
      </w:pPr>
    </w:p>
    <w:p w:rsidR="00E3702D" w:rsidRPr="00732A67" w:rsidRDefault="00E3702D" w:rsidP="00AA0AC2">
      <w:pPr>
        <w:shd w:val="clear" w:color="auto" w:fill="FFFFFF"/>
        <w:spacing w:line="360" w:lineRule="auto"/>
        <w:jc w:val="both"/>
        <w:rPr>
          <w:rFonts w:ascii="Palatino Linotype" w:hAnsi="Palatino Linotype" w:cs="Arial"/>
        </w:rPr>
      </w:pPr>
    </w:p>
    <w:p w:rsidR="00E3702D" w:rsidRPr="00732A67" w:rsidRDefault="00E3702D" w:rsidP="00AA0AC2">
      <w:pPr>
        <w:shd w:val="clear" w:color="auto" w:fill="FFFFFF"/>
        <w:spacing w:line="360" w:lineRule="auto"/>
        <w:jc w:val="both"/>
        <w:rPr>
          <w:rFonts w:ascii="Palatino Linotype" w:hAnsi="Palatino Linotype" w:cs="Arial"/>
        </w:rPr>
      </w:pPr>
    </w:p>
    <w:p w:rsidR="00E3702D" w:rsidRPr="00732A67" w:rsidRDefault="00E3702D" w:rsidP="00AA0AC2">
      <w:pPr>
        <w:shd w:val="clear" w:color="auto" w:fill="FFFFFF"/>
        <w:spacing w:line="360" w:lineRule="auto"/>
        <w:jc w:val="both"/>
        <w:rPr>
          <w:rFonts w:ascii="Palatino Linotype" w:hAnsi="Palatino Linotype" w:cs="Arial"/>
        </w:rPr>
      </w:pPr>
    </w:p>
    <w:p w:rsidR="00E3702D" w:rsidRPr="00732A67" w:rsidRDefault="00E3702D" w:rsidP="00AA0AC2">
      <w:pPr>
        <w:shd w:val="clear" w:color="auto" w:fill="FFFFFF"/>
        <w:spacing w:line="360" w:lineRule="auto"/>
        <w:jc w:val="both"/>
        <w:rPr>
          <w:rFonts w:ascii="Palatino Linotype" w:hAnsi="Palatino Linotype" w:cs="Arial"/>
        </w:rPr>
      </w:pPr>
    </w:p>
    <w:p w:rsidR="00E3702D" w:rsidRPr="00732A67" w:rsidRDefault="00E3702D" w:rsidP="00AA0AC2">
      <w:pPr>
        <w:shd w:val="clear" w:color="auto" w:fill="FFFFFF"/>
        <w:spacing w:line="360" w:lineRule="auto"/>
        <w:jc w:val="both"/>
        <w:rPr>
          <w:rFonts w:ascii="Palatino Linotype" w:hAnsi="Palatino Linotype" w:cs="Arial"/>
        </w:rPr>
      </w:pPr>
    </w:p>
    <w:p w:rsidR="00E3702D" w:rsidRPr="00732A67" w:rsidRDefault="00E3702D" w:rsidP="00AA0AC2">
      <w:pPr>
        <w:spacing w:line="360" w:lineRule="auto"/>
        <w:rPr>
          <w:rFonts w:ascii="Palatino Linotype" w:hAnsi="Palatino Linotype"/>
        </w:rPr>
      </w:pPr>
    </w:p>
    <w:p w:rsidR="00E3702D" w:rsidRPr="00732A67" w:rsidRDefault="00E3702D" w:rsidP="00AA0AC2">
      <w:pPr>
        <w:spacing w:line="360" w:lineRule="auto"/>
        <w:rPr>
          <w:rFonts w:ascii="Palatino Linotype" w:hAnsi="Palatino Linotype"/>
        </w:rPr>
      </w:pPr>
    </w:p>
    <w:sectPr w:rsidR="00E3702D" w:rsidRPr="00732A67">
      <w:headerReference w:type="default" r:id="rId11"/>
      <w:footerReference w:type="default" r:id="rId12"/>
      <w:headerReference w:type="first" r:id="rId13"/>
      <w:footerReference w:type="first" r:id="rId14"/>
      <w:pgSz w:w="12240" w:h="15840"/>
      <w:pgMar w:top="1691" w:right="1750" w:bottom="170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A59" w:rsidRDefault="00966A59">
      <w:r>
        <w:separator/>
      </w:r>
    </w:p>
  </w:endnote>
  <w:endnote w:type="continuationSeparator" w:id="0">
    <w:p w:rsidR="00966A59" w:rsidRDefault="00966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49220604"/>
      <w:docPartObj>
        <w:docPartGallery w:val="AutoText"/>
      </w:docPartObj>
    </w:sdtPr>
    <w:sdtEndPr/>
    <w:sdtContent>
      <w:sdt>
        <w:sdtPr>
          <w:rPr>
            <w:rFonts w:ascii="Palatino Linotype" w:hAnsi="Palatino Linotype"/>
            <w:sz w:val="28"/>
          </w:rPr>
          <w:id w:val="-985478480"/>
          <w:docPartObj>
            <w:docPartGallery w:val="AutoText"/>
          </w:docPartObj>
        </w:sdtPr>
        <w:sdtEndPr/>
        <w:sdtContent>
          <w:p w:rsidR="00210202" w:rsidRDefault="00210202">
            <w:pPr>
              <w:pStyle w:val="Piedepgina"/>
              <w:jc w:val="right"/>
              <w:rPr>
                <w:rFonts w:ascii="Palatino Linotype" w:hAnsi="Palatino Linotype"/>
                <w:b/>
                <w:bCs/>
                <w:sz w:val="22"/>
                <w:szCs w:val="20"/>
              </w:rPr>
            </w:pPr>
            <w:r>
              <w:rPr>
                <w:rFonts w:ascii="Palatino Linotype" w:hAnsi="Palatino Linotype"/>
                <w:sz w:val="22"/>
                <w:szCs w:val="20"/>
                <w:lang w:val="es-ES"/>
              </w:rPr>
              <w:t xml:space="preserve">Página </w:t>
            </w:r>
            <w:r>
              <w:rPr>
                <w:rFonts w:ascii="Palatino Linotype" w:hAnsi="Palatino Linotype"/>
                <w:b/>
                <w:bCs/>
                <w:sz w:val="22"/>
                <w:szCs w:val="20"/>
              </w:rPr>
              <w:fldChar w:fldCharType="begin"/>
            </w:r>
            <w:r>
              <w:rPr>
                <w:rFonts w:ascii="Palatino Linotype" w:hAnsi="Palatino Linotype"/>
                <w:b/>
                <w:bCs/>
                <w:sz w:val="22"/>
                <w:szCs w:val="20"/>
              </w:rPr>
              <w:instrText>PAGE</w:instrText>
            </w:r>
            <w:r>
              <w:rPr>
                <w:rFonts w:ascii="Palatino Linotype" w:hAnsi="Palatino Linotype"/>
                <w:b/>
                <w:bCs/>
                <w:sz w:val="22"/>
                <w:szCs w:val="20"/>
              </w:rPr>
              <w:fldChar w:fldCharType="separate"/>
            </w:r>
            <w:r w:rsidR="009172AF">
              <w:rPr>
                <w:rFonts w:ascii="Palatino Linotype" w:hAnsi="Palatino Linotype"/>
                <w:b/>
                <w:bCs/>
                <w:noProof/>
                <w:sz w:val="22"/>
                <w:szCs w:val="20"/>
              </w:rPr>
              <w:t>54</w:t>
            </w:r>
            <w:r>
              <w:rPr>
                <w:rFonts w:ascii="Palatino Linotype" w:hAnsi="Palatino Linotype"/>
                <w:b/>
                <w:bCs/>
                <w:sz w:val="22"/>
                <w:szCs w:val="20"/>
              </w:rPr>
              <w:fldChar w:fldCharType="end"/>
            </w:r>
            <w:r>
              <w:rPr>
                <w:rFonts w:ascii="Palatino Linotype" w:hAnsi="Palatino Linotype"/>
                <w:sz w:val="22"/>
                <w:szCs w:val="20"/>
                <w:lang w:val="es-ES"/>
              </w:rPr>
              <w:t xml:space="preserve"> de </w:t>
            </w:r>
            <w:r>
              <w:rPr>
                <w:rFonts w:ascii="Palatino Linotype" w:hAnsi="Palatino Linotype"/>
                <w:b/>
                <w:bCs/>
                <w:sz w:val="22"/>
                <w:szCs w:val="20"/>
              </w:rPr>
              <w:fldChar w:fldCharType="begin"/>
            </w:r>
            <w:r>
              <w:rPr>
                <w:rFonts w:ascii="Palatino Linotype" w:hAnsi="Palatino Linotype"/>
                <w:b/>
                <w:bCs/>
                <w:sz w:val="22"/>
                <w:szCs w:val="20"/>
              </w:rPr>
              <w:instrText>NUMPAGES</w:instrText>
            </w:r>
            <w:r>
              <w:rPr>
                <w:rFonts w:ascii="Palatino Linotype" w:hAnsi="Palatino Linotype"/>
                <w:b/>
                <w:bCs/>
                <w:sz w:val="22"/>
                <w:szCs w:val="20"/>
              </w:rPr>
              <w:fldChar w:fldCharType="separate"/>
            </w:r>
            <w:r w:rsidR="009172AF">
              <w:rPr>
                <w:rFonts w:ascii="Palatino Linotype" w:hAnsi="Palatino Linotype"/>
                <w:b/>
                <w:bCs/>
                <w:noProof/>
                <w:sz w:val="22"/>
                <w:szCs w:val="20"/>
              </w:rPr>
              <w:t>57</w:t>
            </w:r>
            <w:r>
              <w:rPr>
                <w:rFonts w:ascii="Palatino Linotype" w:hAnsi="Palatino Linotype"/>
                <w:b/>
                <w:bCs/>
                <w:sz w:val="22"/>
                <w:szCs w:val="20"/>
              </w:rPr>
              <w:fldChar w:fldCharType="end"/>
            </w:r>
          </w:p>
          <w:p w:rsidR="00210202" w:rsidRDefault="00966A59">
            <w:pPr>
              <w:pStyle w:val="Piedepgina"/>
              <w:rPr>
                <w:rFonts w:ascii="Palatino Linotype" w:hAnsi="Palatino Linotype"/>
                <w:sz w:val="28"/>
              </w:rPr>
            </w:pPr>
          </w:p>
        </w:sdtContent>
      </w:sdt>
    </w:sdtContent>
  </w:sdt>
  <w:p w:rsidR="00210202" w:rsidRDefault="0021020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202" w:rsidRDefault="00210202">
    <w:pPr>
      <w:pStyle w:val="Piedepgina"/>
      <w:jc w:val="right"/>
      <w:rPr>
        <w:rFonts w:ascii="Palatino Linotype" w:hAnsi="Palatino Linotype"/>
        <w:sz w:val="22"/>
        <w:szCs w:val="22"/>
      </w:rPr>
    </w:pPr>
    <w:r>
      <w:rPr>
        <w:rFonts w:ascii="Palatino Linotype" w:hAnsi="Palatino Linotype"/>
        <w:sz w:val="22"/>
        <w:szCs w:val="22"/>
        <w:lang w:val="es-ES"/>
      </w:rPr>
      <w:t xml:space="preserve">Página </w:t>
    </w:r>
    <w:r>
      <w:rPr>
        <w:rFonts w:ascii="Palatino Linotype" w:hAnsi="Palatino Linotype"/>
        <w:sz w:val="22"/>
        <w:szCs w:val="22"/>
      </w:rPr>
      <w:fldChar w:fldCharType="begin"/>
    </w:r>
    <w:r>
      <w:rPr>
        <w:rFonts w:ascii="Palatino Linotype" w:hAnsi="Palatino Linotype"/>
        <w:sz w:val="22"/>
        <w:szCs w:val="22"/>
      </w:rPr>
      <w:instrText>PAGE  \* Arabic  \* MERGEFORMAT</w:instrText>
    </w:r>
    <w:r>
      <w:rPr>
        <w:rFonts w:ascii="Palatino Linotype" w:hAnsi="Palatino Linotype"/>
        <w:sz w:val="22"/>
        <w:szCs w:val="22"/>
      </w:rPr>
      <w:fldChar w:fldCharType="separate"/>
    </w:r>
    <w:r w:rsidR="009172AF" w:rsidRPr="009172AF">
      <w:rPr>
        <w:rFonts w:ascii="Palatino Linotype" w:hAnsi="Palatino Linotype"/>
        <w:noProof/>
        <w:sz w:val="22"/>
        <w:szCs w:val="22"/>
        <w:lang w:val="es-ES"/>
      </w:rPr>
      <w:t>1</w:t>
    </w:r>
    <w:r>
      <w:rPr>
        <w:rFonts w:ascii="Palatino Linotype" w:hAnsi="Palatino Linotype"/>
        <w:sz w:val="22"/>
        <w:szCs w:val="22"/>
      </w:rPr>
      <w:fldChar w:fldCharType="end"/>
    </w:r>
    <w:r>
      <w:rPr>
        <w:rFonts w:ascii="Palatino Linotype" w:hAnsi="Palatino Linotype"/>
        <w:sz w:val="22"/>
        <w:szCs w:val="22"/>
        <w:lang w:val="es-ES"/>
      </w:rPr>
      <w:t xml:space="preserve"> de </w:t>
    </w:r>
    <w:r>
      <w:rPr>
        <w:rFonts w:ascii="Palatino Linotype" w:hAnsi="Palatino Linotype"/>
        <w:sz w:val="22"/>
        <w:szCs w:val="22"/>
      </w:rPr>
      <w:fldChar w:fldCharType="begin"/>
    </w:r>
    <w:r>
      <w:rPr>
        <w:rFonts w:ascii="Palatino Linotype" w:hAnsi="Palatino Linotype"/>
        <w:sz w:val="22"/>
        <w:szCs w:val="22"/>
      </w:rPr>
      <w:instrText>NUMPAGES  \* Arabic  \* MERGEFORMAT</w:instrText>
    </w:r>
    <w:r>
      <w:rPr>
        <w:rFonts w:ascii="Palatino Linotype" w:hAnsi="Palatino Linotype"/>
        <w:sz w:val="22"/>
        <w:szCs w:val="22"/>
      </w:rPr>
      <w:fldChar w:fldCharType="separate"/>
    </w:r>
    <w:r w:rsidR="009172AF" w:rsidRPr="009172AF">
      <w:rPr>
        <w:rFonts w:ascii="Palatino Linotype" w:hAnsi="Palatino Linotype"/>
        <w:noProof/>
        <w:sz w:val="22"/>
        <w:szCs w:val="22"/>
        <w:lang w:val="es-ES"/>
      </w:rPr>
      <w:t>57</w:t>
    </w:r>
    <w:r>
      <w:rPr>
        <w:rFonts w:ascii="Palatino Linotype" w:hAnsi="Palatino Linotype"/>
        <w:sz w:val="22"/>
        <w:szCs w:val="22"/>
      </w:rPr>
      <w:fldChar w:fldCharType="end"/>
    </w:r>
  </w:p>
  <w:p w:rsidR="00210202" w:rsidRDefault="00210202">
    <w:pPr>
      <w:pStyle w:val="Piedepgina"/>
      <w:rPr>
        <w:rFonts w:ascii="Palatino Linotype" w:hAnsi="Palatino Linotype"/>
        <w:sz w:val="22"/>
        <w:szCs w:val="22"/>
      </w:rPr>
    </w:pPr>
  </w:p>
  <w:p w:rsidR="00210202" w:rsidRDefault="0021020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A59" w:rsidRDefault="00966A59">
      <w:r>
        <w:separator/>
      </w:r>
    </w:p>
  </w:footnote>
  <w:footnote w:type="continuationSeparator" w:id="0">
    <w:p w:rsidR="00966A59" w:rsidRDefault="00966A59">
      <w:r>
        <w:continuationSeparator/>
      </w:r>
    </w:p>
  </w:footnote>
  <w:footnote w:id="1">
    <w:p w:rsidR="00210202" w:rsidRDefault="00210202">
      <w:pPr>
        <w:pStyle w:val="Textonotapie"/>
        <w:jc w:val="both"/>
        <w:rPr>
          <w:rFonts w:ascii="Palatino Linotype" w:hAnsi="Palatino Linotype"/>
          <w:sz w:val="16"/>
          <w:szCs w:val="16"/>
        </w:rPr>
      </w:pPr>
      <w:r>
        <w:rPr>
          <w:rStyle w:val="Refdenotaalpie"/>
          <w:rFonts w:ascii="Palatino Linotype" w:hAnsi="Palatino Linotype"/>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210202" w:rsidRDefault="00210202" w:rsidP="00715AF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3">
    <w:p w:rsidR="00210202" w:rsidRDefault="00210202" w:rsidP="00715AF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4">
    <w:p w:rsidR="00210202" w:rsidRDefault="00210202" w:rsidP="00715AF1">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5">
    <w:p w:rsidR="00210202" w:rsidRDefault="00210202" w:rsidP="00715AF1">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6">
    <w:p w:rsidR="00210202" w:rsidRDefault="00210202" w:rsidP="00715AF1">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7">
    <w:p w:rsidR="00210202" w:rsidRDefault="00210202" w:rsidP="00715AF1">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rsidR="00210202" w:rsidRDefault="00210202" w:rsidP="00715AF1">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rsidR="00210202" w:rsidRDefault="00210202" w:rsidP="00715AF1">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202" w:rsidRDefault="00210202">
    <w:pPr>
      <w:pStyle w:val="Encabezado"/>
    </w:pPr>
    <w:r>
      <w:rPr>
        <w:rFonts w:ascii="Palatino Linotype" w:hAnsi="Palatino Linotype"/>
        <w:noProof/>
        <w:lang w:val="es-MX" w:eastAsia="es-MX"/>
      </w:rPr>
      <w:drawing>
        <wp:anchor distT="0" distB="0" distL="114300" distR="114300" simplePos="0" relativeHeight="251660288" behindDoc="1" locked="0" layoutInCell="1" allowOverlap="1">
          <wp:simplePos x="0" y="0"/>
          <wp:positionH relativeFrom="page">
            <wp:posOffset>203200</wp:posOffset>
          </wp:positionH>
          <wp:positionV relativeFrom="paragraph">
            <wp:posOffset>-421005</wp:posOffset>
          </wp:positionV>
          <wp:extent cx="7809865" cy="10165715"/>
          <wp:effectExtent l="0" t="0" r="635" b="698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809876" cy="10165823"/>
                  </a:xfrm>
                  <a:prstGeom prst="rect">
                    <a:avLst/>
                  </a:prstGeom>
                  <a:noFill/>
                </pic:spPr>
              </pic:pic>
            </a:graphicData>
          </a:graphic>
        </wp:anchor>
      </w:drawing>
    </w:r>
  </w:p>
  <w:tbl>
    <w:tblPr>
      <w:tblStyle w:val="Tablaconcuadrcula"/>
      <w:tblW w:w="6460" w:type="dxa"/>
      <w:tblInd w:w="3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6"/>
      <w:gridCol w:w="3584"/>
    </w:tblGrid>
    <w:tr w:rsidR="00210202" w:rsidRPr="00EC2BCD" w:rsidTr="00EC2BCD">
      <w:trPr>
        <w:trHeight w:val="138"/>
      </w:trPr>
      <w:tc>
        <w:tcPr>
          <w:tcW w:w="2876" w:type="dxa"/>
          <w:vAlign w:val="center"/>
        </w:tcPr>
        <w:p w:rsidR="00210202" w:rsidRDefault="00210202">
          <w:pPr>
            <w:rPr>
              <w:rFonts w:ascii="Palatino Linotype" w:hAnsi="Palatino Linotype"/>
              <w:b/>
            </w:rPr>
          </w:pPr>
          <w:r w:rsidRPr="00EC2BCD">
            <w:rPr>
              <w:rFonts w:ascii="Palatino Linotype" w:hAnsi="Palatino Linotype"/>
              <w:b/>
            </w:rPr>
            <w:t>Recurso de Revisión:</w:t>
          </w:r>
          <w:r w:rsidR="0033019A">
            <w:rPr>
              <w:rFonts w:ascii="Palatino Linotype" w:hAnsi="Palatino Linotype"/>
              <w:b/>
            </w:rPr>
            <w:t xml:space="preserve"> </w:t>
          </w:r>
        </w:p>
        <w:p w:rsidR="0033019A" w:rsidRDefault="0033019A">
          <w:pPr>
            <w:rPr>
              <w:rFonts w:ascii="Palatino Linotype" w:hAnsi="Palatino Linotype"/>
              <w:b/>
            </w:rPr>
          </w:pPr>
        </w:p>
        <w:p w:rsidR="0033019A" w:rsidRPr="00EC2BCD" w:rsidRDefault="0033019A">
          <w:pPr>
            <w:rPr>
              <w:rFonts w:ascii="Palatino Linotype" w:hAnsi="Palatino Linotype"/>
              <w:b/>
            </w:rPr>
          </w:pPr>
        </w:p>
      </w:tc>
      <w:tc>
        <w:tcPr>
          <w:tcW w:w="3584" w:type="dxa"/>
          <w:vAlign w:val="center"/>
        </w:tcPr>
        <w:p w:rsidR="00210202" w:rsidRDefault="00210202" w:rsidP="00EC2BCD">
          <w:pPr>
            <w:pStyle w:val="Encabezado"/>
            <w:tabs>
              <w:tab w:val="clear" w:pos="4252"/>
            </w:tabs>
            <w:rPr>
              <w:rFonts w:ascii="Palatino Linotype" w:hAnsi="Palatino Linotype" w:cs="Arial"/>
              <w:bCs/>
              <w:lang w:eastAsia="es-MX"/>
            </w:rPr>
          </w:pPr>
          <w:r w:rsidRPr="0033019A">
            <w:rPr>
              <w:rFonts w:ascii="Palatino Linotype" w:hAnsi="Palatino Linotype" w:cs="Arial"/>
              <w:bCs/>
              <w:lang w:eastAsia="es-MX"/>
            </w:rPr>
            <w:t>00518/INFOEM/IP/RR/2025</w:t>
          </w:r>
          <w:r w:rsidR="00EC2BCD" w:rsidRPr="0033019A">
            <w:rPr>
              <w:rFonts w:ascii="Palatino Linotype" w:hAnsi="Palatino Linotype" w:cs="Arial"/>
              <w:bCs/>
              <w:lang w:eastAsia="es-MX"/>
            </w:rPr>
            <w:t xml:space="preserve"> </w:t>
          </w:r>
          <w:r w:rsidRPr="0033019A">
            <w:rPr>
              <w:rFonts w:ascii="Palatino Linotype" w:hAnsi="Palatino Linotype" w:cs="Arial"/>
              <w:bCs/>
              <w:lang w:eastAsia="es-MX"/>
            </w:rPr>
            <w:t>y 00519/INFOEM/IP/RR/2025</w:t>
          </w:r>
        </w:p>
        <w:p w:rsidR="0033019A" w:rsidRPr="0033019A" w:rsidRDefault="0033019A" w:rsidP="00EC2BCD">
          <w:pPr>
            <w:pStyle w:val="Encabezado"/>
            <w:tabs>
              <w:tab w:val="clear" w:pos="4252"/>
            </w:tabs>
            <w:rPr>
              <w:rFonts w:ascii="Palatino Linotype" w:hAnsi="Palatino Linotype"/>
            </w:rPr>
          </w:pPr>
        </w:p>
      </w:tc>
    </w:tr>
    <w:tr w:rsidR="00210202" w:rsidRPr="00EC2BCD" w:rsidTr="00EC2BCD">
      <w:trPr>
        <w:trHeight w:val="321"/>
      </w:trPr>
      <w:tc>
        <w:tcPr>
          <w:tcW w:w="2876" w:type="dxa"/>
          <w:vAlign w:val="center"/>
        </w:tcPr>
        <w:p w:rsidR="00210202" w:rsidRDefault="00210202">
          <w:pPr>
            <w:rPr>
              <w:rFonts w:ascii="Palatino Linotype" w:hAnsi="Palatino Linotype"/>
              <w:b/>
            </w:rPr>
          </w:pPr>
          <w:r w:rsidRPr="00EC2BCD">
            <w:rPr>
              <w:rFonts w:ascii="Palatino Linotype" w:hAnsi="Palatino Linotype"/>
              <w:b/>
            </w:rPr>
            <w:t>Sujeto Obligado:</w:t>
          </w:r>
        </w:p>
        <w:p w:rsidR="0033019A" w:rsidRPr="00EC2BCD" w:rsidRDefault="0033019A">
          <w:pPr>
            <w:rPr>
              <w:rFonts w:ascii="Palatino Linotype" w:hAnsi="Palatino Linotype"/>
              <w:b/>
            </w:rPr>
          </w:pPr>
        </w:p>
      </w:tc>
      <w:tc>
        <w:tcPr>
          <w:tcW w:w="3584" w:type="dxa"/>
          <w:vAlign w:val="center"/>
        </w:tcPr>
        <w:p w:rsidR="00210202" w:rsidRDefault="00210202" w:rsidP="00EC2BCD">
          <w:pPr>
            <w:rPr>
              <w:rFonts w:ascii="Palatino Linotype" w:hAnsi="Palatino Linotype"/>
              <w:bCs/>
            </w:rPr>
          </w:pPr>
          <w:r w:rsidRPr="0033019A">
            <w:rPr>
              <w:rFonts w:ascii="Palatino Linotype" w:hAnsi="Palatino Linotype"/>
              <w:bCs/>
            </w:rPr>
            <w:t>Ayuntamiento de Toluca</w:t>
          </w:r>
        </w:p>
        <w:p w:rsidR="0033019A" w:rsidRPr="0033019A" w:rsidRDefault="0033019A" w:rsidP="00EC2BCD">
          <w:pPr>
            <w:rPr>
              <w:rFonts w:ascii="Palatino Linotype" w:hAnsi="Palatino Linotype"/>
            </w:rPr>
          </w:pPr>
        </w:p>
      </w:tc>
    </w:tr>
    <w:tr w:rsidR="00210202" w:rsidRPr="00EC2BCD" w:rsidTr="00EC2BCD">
      <w:trPr>
        <w:trHeight w:val="321"/>
      </w:trPr>
      <w:tc>
        <w:tcPr>
          <w:tcW w:w="2876" w:type="dxa"/>
          <w:vAlign w:val="center"/>
        </w:tcPr>
        <w:p w:rsidR="00210202" w:rsidRPr="00EC2BCD" w:rsidRDefault="00210202">
          <w:pPr>
            <w:rPr>
              <w:rFonts w:ascii="Palatino Linotype" w:hAnsi="Palatino Linotype"/>
              <w:b/>
            </w:rPr>
          </w:pPr>
          <w:r w:rsidRPr="00EC2BCD">
            <w:rPr>
              <w:rFonts w:ascii="Palatino Linotype" w:hAnsi="Palatino Linotype"/>
              <w:b/>
            </w:rPr>
            <w:t>Comisionada Ponente:</w:t>
          </w:r>
        </w:p>
      </w:tc>
      <w:tc>
        <w:tcPr>
          <w:tcW w:w="3584" w:type="dxa"/>
          <w:vAlign w:val="center"/>
        </w:tcPr>
        <w:p w:rsidR="00210202" w:rsidRPr="0033019A" w:rsidRDefault="00210202">
          <w:pPr>
            <w:pStyle w:val="Encabezado"/>
            <w:jc w:val="right"/>
            <w:rPr>
              <w:rFonts w:ascii="Palatino Linotype" w:hAnsi="Palatino Linotype"/>
            </w:rPr>
          </w:pPr>
          <w:r w:rsidRPr="0033019A">
            <w:rPr>
              <w:rFonts w:ascii="Palatino Linotype" w:hAnsi="Palatino Linotype"/>
            </w:rPr>
            <w:t>María del Rosario Mejía Ayala</w:t>
          </w:r>
        </w:p>
      </w:tc>
    </w:tr>
  </w:tbl>
  <w:p w:rsidR="00210202" w:rsidRDefault="00210202">
    <w:pPr>
      <w:pStyle w:val="Encabezado"/>
    </w:pPr>
  </w:p>
  <w:p w:rsidR="00210202" w:rsidRDefault="0021020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202" w:rsidRDefault="00210202">
    <w:pPr>
      <w:pStyle w:val="Encabezado"/>
      <w:tabs>
        <w:tab w:val="clear" w:pos="4252"/>
        <w:tab w:val="clear" w:pos="8504"/>
        <w:tab w:val="left" w:pos="3103"/>
      </w:tabs>
    </w:pPr>
    <w:r>
      <w:rPr>
        <w:rFonts w:ascii="Palatino Linotype" w:hAnsi="Palatino Linotype"/>
        <w:noProof/>
        <w:lang w:val="es-MX" w:eastAsia="es-MX"/>
      </w:rPr>
      <w:drawing>
        <wp:anchor distT="0" distB="0" distL="114300" distR="114300" simplePos="0" relativeHeight="251659264" behindDoc="1" locked="0" layoutInCell="1" allowOverlap="1">
          <wp:simplePos x="0" y="0"/>
          <wp:positionH relativeFrom="page">
            <wp:posOffset>141605</wp:posOffset>
          </wp:positionH>
          <wp:positionV relativeFrom="paragraph">
            <wp:posOffset>-452120</wp:posOffset>
          </wp:positionV>
          <wp:extent cx="7809865" cy="10165715"/>
          <wp:effectExtent l="0" t="0" r="635" b="698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809865" cy="10165715"/>
                  </a:xfrm>
                  <a:prstGeom prst="rect">
                    <a:avLst/>
                  </a:prstGeom>
                  <a:noFill/>
                </pic:spPr>
              </pic:pic>
            </a:graphicData>
          </a:graphic>
        </wp:anchor>
      </w:drawing>
    </w:r>
    <w:r>
      <w:tab/>
    </w:r>
    <w:r>
      <w:tab/>
    </w:r>
  </w:p>
  <w:tbl>
    <w:tblPr>
      <w:tblStyle w:val="Tablaconcuadrcula"/>
      <w:tblW w:w="6835"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725"/>
      <w:gridCol w:w="236"/>
      <w:gridCol w:w="3874"/>
    </w:tblGrid>
    <w:tr w:rsidR="00210202" w:rsidRPr="00EC2BCD" w:rsidTr="00D54216">
      <w:trPr>
        <w:trHeight w:val="138"/>
      </w:trPr>
      <w:tc>
        <w:tcPr>
          <w:tcW w:w="2725" w:type="dxa"/>
          <w:vAlign w:val="center"/>
        </w:tcPr>
        <w:p w:rsidR="00210202" w:rsidRDefault="00210202">
          <w:pPr>
            <w:rPr>
              <w:rFonts w:ascii="Palatino Linotype" w:hAnsi="Palatino Linotype"/>
              <w:b/>
            </w:rPr>
          </w:pPr>
          <w:r w:rsidRPr="00EC2BCD">
            <w:rPr>
              <w:rFonts w:ascii="Palatino Linotype" w:hAnsi="Palatino Linotype"/>
              <w:b/>
            </w:rPr>
            <w:t>Recurso de Revisión:</w:t>
          </w:r>
        </w:p>
        <w:p w:rsidR="0033019A" w:rsidRPr="00EC2BCD" w:rsidRDefault="0033019A">
          <w:pPr>
            <w:rPr>
              <w:rFonts w:ascii="Palatino Linotype" w:hAnsi="Palatino Linotype"/>
              <w:b/>
            </w:rPr>
          </w:pPr>
        </w:p>
      </w:tc>
      <w:tc>
        <w:tcPr>
          <w:tcW w:w="236" w:type="dxa"/>
          <w:vAlign w:val="center"/>
        </w:tcPr>
        <w:p w:rsidR="00210202" w:rsidRPr="00EC2BCD" w:rsidRDefault="00210202">
          <w:pPr>
            <w:pStyle w:val="Encabezado"/>
            <w:jc w:val="center"/>
            <w:rPr>
              <w:rFonts w:ascii="Palatino Linotype" w:hAnsi="Palatino Linotype"/>
              <w:b/>
            </w:rPr>
          </w:pPr>
        </w:p>
      </w:tc>
      <w:tc>
        <w:tcPr>
          <w:tcW w:w="3874" w:type="dxa"/>
          <w:vAlign w:val="center"/>
        </w:tcPr>
        <w:p w:rsidR="00210202" w:rsidRPr="0033019A" w:rsidRDefault="00210202" w:rsidP="003042B9">
          <w:pPr>
            <w:pStyle w:val="Encabezado"/>
            <w:rPr>
              <w:rFonts w:ascii="Palatino Linotype" w:hAnsi="Palatino Linotype"/>
            </w:rPr>
          </w:pPr>
          <w:r w:rsidRPr="0033019A">
            <w:rPr>
              <w:rFonts w:ascii="Palatino Linotype" w:hAnsi="Palatino Linotype" w:cs="Arial"/>
              <w:bCs/>
              <w:lang w:eastAsia="es-MX"/>
            </w:rPr>
            <w:t>00518/INFOEM/IP/RR/2025 y 00519/INFOEM/IP/RR/2025</w:t>
          </w:r>
        </w:p>
      </w:tc>
    </w:tr>
    <w:tr w:rsidR="00210202" w:rsidRPr="00EC2BCD" w:rsidTr="00D54216">
      <w:trPr>
        <w:trHeight w:val="227"/>
      </w:trPr>
      <w:tc>
        <w:tcPr>
          <w:tcW w:w="2725" w:type="dxa"/>
          <w:vAlign w:val="center"/>
        </w:tcPr>
        <w:p w:rsidR="00210202" w:rsidRPr="00EC2BCD" w:rsidRDefault="00210202">
          <w:pPr>
            <w:rPr>
              <w:rFonts w:ascii="Palatino Linotype" w:hAnsi="Palatino Linotype"/>
              <w:b/>
            </w:rPr>
          </w:pPr>
          <w:r w:rsidRPr="00EC2BCD">
            <w:rPr>
              <w:rFonts w:ascii="Palatino Linotype" w:hAnsi="Palatino Linotype"/>
              <w:b/>
            </w:rPr>
            <w:t>Recurrente:</w:t>
          </w:r>
        </w:p>
      </w:tc>
      <w:tc>
        <w:tcPr>
          <w:tcW w:w="236" w:type="dxa"/>
          <w:vAlign w:val="center"/>
        </w:tcPr>
        <w:p w:rsidR="00210202" w:rsidRPr="00EC2BCD" w:rsidRDefault="00210202">
          <w:pPr>
            <w:pStyle w:val="Encabezado"/>
            <w:jc w:val="center"/>
            <w:rPr>
              <w:rFonts w:ascii="Palatino Linotype" w:hAnsi="Palatino Linotype"/>
              <w:b/>
            </w:rPr>
          </w:pPr>
        </w:p>
      </w:tc>
      <w:tc>
        <w:tcPr>
          <w:tcW w:w="3874" w:type="dxa"/>
          <w:vAlign w:val="center"/>
        </w:tcPr>
        <w:p w:rsidR="00210202" w:rsidRPr="0033019A" w:rsidRDefault="00210202">
          <w:pPr>
            <w:pStyle w:val="Encabezado"/>
            <w:rPr>
              <w:rFonts w:ascii="Palatino Linotype" w:hAnsi="Palatino Linotype"/>
            </w:rPr>
          </w:pPr>
        </w:p>
      </w:tc>
    </w:tr>
    <w:tr w:rsidR="00210202" w:rsidRPr="00EC2BCD" w:rsidTr="00D54216">
      <w:trPr>
        <w:trHeight w:val="232"/>
      </w:trPr>
      <w:tc>
        <w:tcPr>
          <w:tcW w:w="2725" w:type="dxa"/>
          <w:vAlign w:val="center"/>
        </w:tcPr>
        <w:p w:rsidR="00210202" w:rsidRPr="00EC2BCD" w:rsidRDefault="00210202">
          <w:pPr>
            <w:rPr>
              <w:rFonts w:ascii="Palatino Linotype" w:hAnsi="Palatino Linotype"/>
              <w:b/>
            </w:rPr>
          </w:pPr>
          <w:r w:rsidRPr="00EC2BCD">
            <w:rPr>
              <w:rFonts w:ascii="Palatino Linotype" w:hAnsi="Palatino Linotype"/>
              <w:b/>
            </w:rPr>
            <w:t>Sujeto Obligado:</w:t>
          </w:r>
        </w:p>
      </w:tc>
      <w:tc>
        <w:tcPr>
          <w:tcW w:w="236" w:type="dxa"/>
          <w:vAlign w:val="center"/>
        </w:tcPr>
        <w:p w:rsidR="00210202" w:rsidRPr="00EC2BCD" w:rsidRDefault="00210202">
          <w:pPr>
            <w:pStyle w:val="Encabezado"/>
            <w:jc w:val="center"/>
            <w:rPr>
              <w:rFonts w:ascii="Palatino Linotype" w:hAnsi="Palatino Linotype"/>
              <w:b/>
            </w:rPr>
          </w:pPr>
        </w:p>
      </w:tc>
      <w:tc>
        <w:tcPr>
          <w:tcW w:w="3874" w:type="dxa"/>
          <w:vAlign w:val="center"/>
        </w:tcPr>
        <w:p w:rsidR="00210202" w:rsidRPr="0033019A" w:rsidRDefault="00210202">
          <w:r w:rsidRPr="0033019A">
            <w:rPr>
              <w:rFonts w:ascii="Palatino Linotype" w:hAnsi="Palatino Linotype"/>
              <w:bCs/>
            </w:rPr>
            <w:t>Ayuntamiento de Toluca</w:t>
          </w:r>
        </w:p>
      </w:tc>
    </w:tr>
    <w:tr w:rsidR="00210202" w:rsidRPr="00EC2BCD" w:rsidTr="00D54216">
      <w:trPr>
        <w:trHeight w:val="320"/>
      </w:trPr>
      <w:tc>
        <w:tcPr>
          <w:tcW w:w="2725" w:type="dxa"/>
          <w:vAlign w:val="center"/>
        </w:tcPr>
        <w:p w:rsidR="00210202" w:rsidRPr="00EC2BCD" w:rsidRDefault="00210202">
          <w:pPr>
            <w:rPr>
              <w:rFonts w:ascii="Palatino Linotype" w:hAnsi="Palatino Linotype"/>
              <w:b/>
            </w:rPr>
          </w:pPr>
          <w:r w:rsidRPr="00EC2BCD">
            <w:rPr>
              <w:rFonts w:ascii="Palatino Linotype" w:hAnsi="Palatino Linotype"/>
              <w:b/>
            </w:rPr>
            <w:t>Comisionada Ponente:</w:t>
          </w:r>
        </w:p>
      </w:tc>
      <w:tc>
        <w:tcPr>
          <w:tcW w:w="236" w:type="dxa"/>
          <w:vAlign w:val="center"/>
        </w:tcPr>
        <w:p w:rsidR="00210202" w:rsidRPr="00EC2BCD" w:rsidRDefault="00210202">
          <w:pPr>
            <w:pStyle w:val="Encabezado"/>
            <w:jc w:val="center"/>
            <w:rPr>
              <w:rFonts w:ascii="Palatino Linotype" w:hAnsi="Palatino Linotype"/>
              <w:b/>
            </w:rPr>
          </w:pPr>
        </w:p>
      </w:tc>
      <w:tc>
        <w:tcPr>
          <w:tcW w:w="3874" w:type="dxa"/>
          <w:vAlign w:val="center"/>
        </w:tcPr>
        <w:p w:rsidR="00EC2BCD" w:rsidRPr="0033019A" w:rsidRDefault="00EC2BCD">
          <w:pPr>
            <w:pStyle w:val="Encabezado"/>
            <w:rPr>
              <w:rFonts w:ascii="Palatino Linotype" w:hAnsi="Palatino Linotype"/>
            </w:rPr>
          </w:pPr>
        </w:p>
        <w:p w:rsidR="00210202" w:rsidRDefault="00210202" w:rsidP="00D54216">
          <w:pPr>
            <w:pStyle w:val="Encabezado"/>
            <w:tabs>
              <w:tab w:val="clear" w:pos="4252"/>
            </w:tabs>
            <w:rPr>
              <w:rFonts w:ascii="Palatino Linotype" w:hAnsi="Palatino Linotype"/>
            </w:rPr>
          </w:pPr>
          <w:r w:rsidRPr="0033019A">
            <w:rPr>
              <w:rFonts w:ascii="Palatino Linotype" w:hAnsi="Palatino Linotype"/>
            </w:rPr>
            <w:t>María del Rosario Mejía Ayala</w:t>
          </w:r>
        </w:p>
        <w:p w:rsidR="0033019A" w:rsidRPr="0033019A" w:rsidRDefault="0033019A" w:rsidP="00D54216">
          <w:pPr>
            <w:pStyle w:val="Encabezado"/>
            <w:tabs>
              <w:tab w:val="clear" w:pos="4252"/>
            </w:tabs>
            <w:rPr>
              <w:rFonts w:ascii="Palatino Linotype" w:hAnsi="Palatino Linotype"/>
            </w:rPr>
          </w:pPr>
        </w:p>
      </w:tc>
    </w:tr>
  </w:tbl>
  <w:p w:rsidR="00210202" w:rsidRDefault="00210202">
    <w:pPr>
      <w:pStyle w:val="Encabezado"/>
    </w:pPr>
  </w:p>
  <w:p w:rsidR="00210202" w:rsidRDefault="002102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43C3D"/>
    <w:multiLevelType w:val="multilevel"/>
    <w:tmpl w:val="64E2A434"/>
    <w:lvl w:ilvl="0">
      <w:start w:val="2"/>
      <w:numFmt w:val="lowerLetter"/>
      <w:lvlText w:val="%1)"/>
      <w:lvlJc w:val="left"/>
      <w:pPr>
        <w:ind w:left="1440" w:hanging="360"/>
      </w:pPr>
      <w:rPr>
        <w:rFonts w:hint="default"/>
        <w:b/>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
    <w:nsid w:val="078D4F7C"/>
    <w:multiLevelType w:val="multilevel"/>
    <w:tmpl w:val="31B8D300"/>
    <w:lvl w:ilvl="0">
      <w:start w:val="1"/>
      <w:numFmt w:val="decimal"/>
      <w:lvlText w:val="%1"/>
      <w:lvlJc w:val="left"/>
      <w:pPr>
        <w:ind w:left="360" w:hanging="360"/>
      </w:pPr>
      <w:rPr>
        <w:rFonts w:hint="default"/>
      </w:rPr>
    </w:lvl>
    <w:lvl w:ilvl="1">
      <w:start w:val="1"/>
      <w:numFmt w:val="bullet"/>
      <w:lvlText w:val=""/>
      <w:lvlJc w:val="left"/>
      <w:pPr>
        <w:ind w:left="2520" w:hanging="360"/>
      </w:pPr>
      <w:rPr>
        <w:rFonts w:ascii="Symbol" w:hAnsi="Symbol" w:hint="default"/>
        <w:b/>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
    <w:nsid w:val="08F722DC"/>
    <w:multiLevelType w:val="hybridMultilevel"/>
    <w:tmpl w:val="0086532A"/>
    <w:lvl w:ilvl="0" w:tplc="F1CE063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0A662F3C"/>
    <w:multiLevelType w:val="multilevel"/>
    <w:tmpl w:val="9D0688E6"/>
    <w:lvl w:ilvl="0">
      <w:start w:val="1"/>
      <w:numFmt w:val="decimal"/>
      <w:lvlText w:val="%1"/>
      <w:lvlJc w:val="left"/>
      <w:pPr>
        <w:ind w:left="360" w:hanging="360"/>
      </w:pPr>
      <w:rPr>
        <w:rFonts w:hint="default"/>
      </w:rPr>
    </w:lvl>
    <w:lvl w:ilvl="1">
      <w:start w:val="1"/>
      <w:numFmt w:val="decimal"/>
      <w:lvlText w:val="%1.%2"/>
      <w:lvlJc w:val="left"/>
      <w:pPr>
        <w:ind w:left="3096" w:hanging="360"/>
      </w:pPr>
      <w:rPr>
        <w:rFonts w:hint="default"/>
      </w:rPr>
    </w:lvl>
    <w:lvl w:ilvl="2">
      <w:start w:val="1"/>
      <w:numFmt w:val="decimal"/>
      <w:lvlText w:val="%1.%2.%3"/>
      <w:lvlJc w:val="left"/>
      <w:pPr>
        <w:ind w:left="6192" w:hanging="720"/>
      </w:pPr>
      <w:rPr>
        <w:rFonts w:hint="default"/>
      </w:rPr>
    </w:lvl>
    <w:lvl w:ilvl="3">
      <w:start w:val="1"/>
      <w:numFmt w:val="decimal"/>
      <w:lvlText w:val="%1.%2.%3.%4"/>
      <w:lvlJc w:val="left"/>
      <w:pPr>
        <w:ind w:left="8928" w:hanging="720"/>
      </w:pPr>
      <w:rPr>
        <w:rFonts w:hint="default"/>
      </w:rPr>
    </w:lvl>
    <w:lvl w:ilvl="4">
      <w:start w:val="1"/>
      <w:numFmt w:val="decimal"/>
      <w:lvlText w:val="%1.%2.%3.%4.%5"/>
      <w:lvlJc w:val="left"/>
      <w:pPr>
        <w:ind w:left="12024" w:hanging="1080"/>
      </w:pPr>
      <w:rPr>
        <w:rFonts w:hint="default"/>
      </w:rPr>
    </w:lvl>
    <w:lvl w:ilvl="5">
      <w:start w:val="1"/>
      <w:numFmt w:val="decimal"/>
      <w:lvlText w:val="%1.%2.%3.%4.%5.%6"/>
      <w:lvlJc w:val="left"/>
      <w:pPr>
        <w:ind w:left="14760" w:hanging="1080"/>
      </w:pPr>
      <w:rPr>
        <w:rFonts w:hint="default"/>
      </w:rPr>
    </w:lvl>
    <w:lvl w:ilvl="6">
      <w:start w:val="1"/>
      <w:numFmt w:val="decimal"/>
      <w:lvlText w:val="%1.%2.%3.%4.%5.%6.%7"/>
      <w:lvlJc w:val="left"/>
      <w:pPr>
        <w:ind w:left="17856" w:hanging="1440"/>
      </w:pPr>
      <w:rPr>
        <w:rFonts w:hint="default"/>
      </w:rPr>
    </w:lvl>
    <w:lvl w:ilvl="7">
      <w:start w:val="1"/>
      <w:numFmt w:val="decimal"/>
      <w:lvlText w:val="%1.%2.%3.%4.%5.%6.%7.%8"/>
      <w:lvlJc w:val="left"/>
      <w:pPr>
        <w:ind w:left="20592" w:hanging="1440"/>
      </w:pPr>
      <w:rPr>
        <w:rFonts w:hint="default"/>
      </w:rPr>
    </w:lvl>
    <w:lvl w:ilvl="8">
      <w:start w:val="1"/>
      <w:numFmt w:val="decimal"/>
      <w:lvlText w:val="%1.%2.%3.%4.%5.%6.%7.%8.%9"/>
      <w:lvlJc w:val="left"/>
      <w:pPr>
        <w:ind w:left="23688" w:hanging="1800"/>
      </w:pPr>
      <w:rPr>
        <w:rFonts w:hint="default"/>
      </w:rPr>
    </w:lvl>
  </w:abstractNum>
  <w:abstractNum w:abstractNumId="4">
    <w:nsid w:val="1B2D5048"/>
    <w:multiLevelType w:val="multilevel"/>
    <w:tmpl w:val="4FACD004"/>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8"/>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C232967"/>
    <w:multiLevelType w:val="hybridMultilevel"/>
    <w:tmpl w:val="3BF2404E"/>
    <w:lvl w:ilvl="0" w:tplc="6494ECB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2FC65C7"/>
    <w:multiLevelType w:val="hybridMultilevel"/>
    <w:tmpl w:val="6D362E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2E488E"/>
    <w:multiLevelType w:val="hybridMultilevel"/>
    <w:tmpl w:val="7AAE087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nsid w:val="239E19F6"/>
    <w:multiLevelType w:val="hybridMultilevel"/>
    <w:tmpl w:val="3BAEFFB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D705D22"/>
    <w:multiLevelType w:val="hybridMultilevel"/>
    <w:tmpl w:val="7BD625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42298C"/>
    <w:multiLevelType w:val="multilevel"/>
    <w:tmpl w:val="531E0EEA"/>
    <w:lvl w:ilvl="0">
      <w:start w:val="1"/>
      <w:numFmt w:val="decimal"/>
      <w:lvlText w:val="%1."/>
      <w:lvlJc w:val="left"/>
      <w:pPr>
        <w:ind w:left="359"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3196"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8072039"/>
    <w:multiLevelType w:val="multilevel"/>
    <w:tmpl w:val="C73E1AA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3B8B10C8"/>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3F561888"/>
    <w:multiLevelType w:val="multilevel"/>
    <w:tmpl w:val="ACCC93AE"/>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4E66A55"/>
    <w:multiLevelType w:val="multilevel"/>
    <w:tmpl w:val="44E66A55"/>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9">
    <w:nsid w:val="4F5E120B"/>
    <w:multiLevelType w:val="multilevel"/>
    <w:tmpl w:val="ECAE52B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nsid w:val="502D186C"/>
    <w:multiLevelType w:val="hybridMultilevel"/>
    <w:tmpl w:val="2B3016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22943E2"/>
    <w:multiLevelType w:val="hybridMultilevel"/>
    <w:tmpl w:val="FDF2D9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26953F8"/>
    <w:multiLevelType w:val="hybridMultilevel"/>
    <w:tmpl w:val="312EFB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3F11811"/>
    <w:multiLevelType w:val="multilevel"/>
    <w:tmpl w:val="0568B9FC"/>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4910C55"/>
    <w:multiLevelType w:val="multilevel"/>
    <w:tmpl w:val="54910C55"/>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60839D1"/>
    <w:multiLevelType w:val="multilevel"/>
    <w:tmpl w:val="560839D1"/>
    <w:lvl w:ilvl="0">
      <w:start w:val="1"/>
      <w:numFmt w:val="decimal"/>
      <w:lvlText w:val="%1."/>
      <w:lvlJc w:val="left"/>
      <w:pPr>
        <w:ind w:left="502" w:hanging="360"/>
      </w:pPr>
      <w:rPr>
        <w:rFonts w:ascii="Palatino Linotype" w:hAnsi="Palatino Linotype" w:hint="default"/>
        <w:b/>
        <w:i w:val="0"/>
        <w:color w:val="000000" w:themeColor="text1"/>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7260385"/>
    <w:multiLevelType w:val="hybridMultilevel"/>
    <w:tmpl w:val="73E80B40"/>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27">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81B4E8F"/>
    <w:multiLevelType w:val="multilevel"/>
    <w:tmpl w:val="581B4E8F"/>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29">
    <w:nsid w:val="5ECC7249"/>
    <w:multiLevelType w:val="hybridMultilevel"/>
    <w:tmpl w:val="658C38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03D589F"/>
    <w:multiLevelType w:val="hybridMultilevel"/>
    <w:tmpl w:val="17DA4EB4"/>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1">
    <w:nsid w:val="649A415B"/>
    <w:multiLevelType w:val="multilevel"/>
    <w:tmpl w:val="112E8372"/>
    <w:lvl w:ilvl="0">
      <w:start w:val="1"/>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32">
    <w:nsid w:val="6A6B624E"/>
    <w:multiLevelType w:val="multilevel"/>
    <w:tmpl w:val="6A6B624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3">
    <w:nsid w:val="6E616099"/>
    <w:multiLevelType w:val="multilevel"/>
    <w:tmpl w:val="6E616099"/>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34">
    <w:nsid w:val="6FDE557A"/>
    <w:multiLevelType w:val="hybridMultilevel"/>
    <w:tmpl w:val="DE947E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1">
      <w:start w:val="1"/>
      <w:numFmt w:val="bullet"/>
      <w:lvlText w:val=""/>
      <w:lvlJc w:val="left"/>
      <w:pPr>
        <w:ind w:left="2160" w:hanging="360"/>
      </w:pPr>
      <w:rPr>
        <w:rFonts w:ascii="Symbol" w:hAnsi="Symbol"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70136A0"/>
    <w:multiLevelType w:val="hybridMultilevel"/>
    <w:tmpl w:val="E8964A2C"/>
    <w:lvl w:ilvl="0" w:tplc="0F74318E">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8DD0428"/>
    <w:multiLevelType w:val="hybridMultilevel"/>
    <w:tmpl w:val="457E74DC"/>
    <w:lvl w:ilvl="0" w:tplc="838648E0">
      <w:start w:val="1"/>
      <w:numFmt w:val="lowerLetter"/>
      <w:lvlText w:val="%1)"/>
      <w:lvlJc w:val="left"/>
      <w:pPr>
        <w:ind w:left="2160" w:hanging="360"/>
      </w:pPr>
      <w:rPr>
        <w:b/>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7">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5"/>
  </w:num>
  <w:num w:numId="2">
    <w:abstractNumId w:val="33"/>
  </w:num>
  <w:num w:numId="3">
    <w:abstractNumId w:val="24"/>
  </w:num>
  <w:num w:numId="4">
    <w:abstractNumId w:val="18"/>
  </w:num>
  <w:num w:numId="5">
    <w:abstractNumId w:val="28"/>
  </w:num>
  <w:num w:numId="6">
    <w:abstractNumId w:val="32"/>
  </w:num>
  <w:num w:numId="7">
    <w:abstractNumId w:val="0"/>
  </w:num>
  <w:num w:numId="8">
    <w:abstractNumId w:val="11"/>
  </w:num>
  <w:num w:numId="9">
    <w:abstractNumId w:val="19"/>
  </w:num>
  <w:num w:numId="10">
    <w:abstractNumId w:val="21"/>
  </w:num>
  <w:num w:numId="11">
    <w:abstractNumId w:val="4"/>
  </w:num>
  <w:num w:numId="12">
    <w:abstractNumId w:val="29"/>
  </w:num>
  <w:num w:numId="13">
    <w:abstractNumId w:val="12"/>
  </w:num>
  <w:num w:numId="14">
    <w:abstractNumId w:val="35"/>
  </w:num>
  <w:num w:numId="15">
    <w:abstractNumId w:val="15"/>
  </w:num>
  <w:num w:numId="16">
    <w:abstractNumId w:val="36"/>
  </w:num>
  <w:num w:numId="17">
    <w:abstractNumId w:val="26"/>
  </w:num>
  <w:num w:numId="18">
    <w:abstractNumId w:val="20"/>
  </w:num>
  <w:num w:numId="19">
    <w:abstractNumId w:val="30"/>
  </w:num>
  <w:num w:numId="20">
    <w:abstractNumId w:val="8"/>
  </w:num>
  <w:num w:numId="21">
    <w:abstractNumId w:val="6"/>
  </w:num>
  <w:num w:numId="22">
    <w:abstractNumId w:val="2"/>
  </w:num>
  <w:num w:numId="23">
    <w:abstractNumId w:val="5"/>
  </w:num>
  <w:num w:numId="24">
    <w:abstractNumId w:val="14"/>
  </w:num>
  <w:num w:numId="25">
    <w:abstractNumId w:val="3"/>
  </w:num>
  <w:num w:numId="26">
    <w:abstractNumId w:val="22"/>
  </w:num>
  <w:num w:numId="27">
    <w:abstractNumId w:val="34"/>
  </w:num>
  <w:num w:numId="28">
    <w:abstractNumId w:val="1"/>
  </w:num>
  <w:num w:numId="29">
    <w:abstractNumId w:val="27"/>
  </w:num>
  <w:num w:numId="30">
    <w:abstractNumId w:val="17"/>
  </w:num>
  <w:num w:numId="31">
    <w:abstractNumId w:val="31"/>
  </w:num>
  <w:num w:numId="32">
    <w:abstractNumId w:val="7"/>
  </w:num>
  <w:num w:numId="33">
    <w:abstractNumId w:val="16"/>
  </w:num>
  <w:num w:numId="34">
    <w:abstractNumId w:val="9"/>
  </w:num>
  <w:num w:numId="35">
    <w:abstractNumId w:val="13"/>
  </w:num>
  <w:num w:numId="36">
    <w:abstractNumId w:val="10"/>
  </w:num>
  <w:num w:numId="37">
    <w:abstractNumId w:val="23"/>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47A"/>
    <w:rsid w:val="00002A66"/>
    <w:rsid w:val="000054AC"/>
    <w:rsid w:val="000077EE"/>
    <w:rsid w:val="000118CB"/>
    <w:rsid w:val="000504A5"/>
    <w:rsid w:val="00064BDC"/>
    <w:rsid w:val="00065522"/>
    <w:rsid w:val="0006681E"/>
    <w:rsid w:val="00067AE7"/>
    <w:rsid w:val="00072CCA"/>
    <w:rsid w:val="00081373"/>
    <w:rsid w:val="00082A0D"/>
    <w:rsid w:val="000925C6"/>
    <w:rsid w:val="00094244"/>
    <w:rsid w:val="00096E18"/>
    <w:rsid w:val="000A0A9B"/>
    <w:rsid w:val="000C11C3"/>
    <w:rsid w:val="000D42A0"/>
    <w:rsid w:val="000E23FE"/>
    <w:rsid w:val="000E7673"/>
    <w:rsid w:val="000F5783"/>
    <w:rsid w:val="00103627"/>
    <w:rsid w:val="0010611A"/>
    <w:rsid w:val="00126F1C"/>
    <w:rsid w:val="00135AD1"/>
    <w:rsid w:val="0015056B"/>
    <w:rsid w:val="001630FB"/>
    <w:rsid w:val="00185174"/>
    <w:rsid w:val="00197794"/>
    <w:rsid w:val="001A0699"/>
    <w:rsid w:val="001B0C53"/>
    <w:rsid w:val="001B4984"/>
    <w:rsid w:val="001B5AEB"/>
    <w:rsid w:val="001B67D5"/>
    <w:rsid w:val="001C085D"/>
    <w:rsid w:val="001C3AF8"/>
    <w:rsid w:val="001E092E"/>
    <w:rsid w:val="001E0F74"/>
    <w:rsid w:val="001E1038"/>
    <w:rsid w:val="001E252F"/>
    <w:rsid w:val="001E7821"/>
    <w:rsid w:val="001F0B2D"/>
    <w:rsid w:val="001F246E"/>
    <w:rsid w:val="001F4AF8"/>
    <w:rsid w:val="001F5B47"/>
    <w:rsid w:val="001F5CD8"/>
    <w:rsid w:val="001F6846"/>
    <w:rsid w:val="001F7C91"/>
    <w:rsid w:val="00200D36"/>
    <w:rsid w:val="00201773"/>
    <w:rsid w:val="00210202"/>
    <w:rsid w:val="0021108A"/>
    <w:rsid w:val="00213746"/>
    <w:rsid w:val="002224BB"/>
    <w:rsid w:val="0022600F"/>
    <w:rsid w:val="0022639E"/>
    <w:rsid w:val="0023782C"/>
    <w:rsid w:val="00250109"/>
    <w:rsid w:val="00252204"/>
    <w:rsid w:val="00254A6D"/>
    <w:rsid w:val="002551A0"/>
    <w:rsid w:val="002613B4"/>
    <w:rsid w:val="00270845"/>
    <w:rsid w:val="002824FA"/>
    <w:rsid w:val="002A00E2"/>
    <w:rsid w:val="002A3B56"/>
    <w:rsid w:val="002A3D4C"/>
    <w:rsid w:val="002A6498"/>
    <w:rsid w:val="002B0322"/>
    <w:rsid w:val="002B2328"/>
    <w:rsid w:val="002B45C4"/>
    <w:rsid w:val="002C6A36"/>
    <w:rsid w:val="002D34EC"/>
    <w:rsid w:val="002F4948"/>
    <w:rsid w:val="003042B9"/>
    <w:rsid w:val="003073C8"/>
    <w:rsid w:val="00317781"/>
    <w:rsid w:val="003238B7"/>
    <w:rsid w:val="00327A3C"/>
    <w:rsid w:val="0033019A"/>
    <w:rsid w:val="00332774"/>
    <w:rsid w:val="00332895"/>
    <w:rsid w:val="00346F84"/>
    <w:rsid w:val="0034765B"/>
    <w:rsid w:val="0036688D"/>
    <w:rsid w:val="00383652"/>
    <w:rsid w:val="00383CCC"/>
    <w:rsid w:val="00385DD0"/>
    <w:rsid w:val="00386AC7"/>
    <w:rsid w:val="00387557"/>
    <w:rsid w:val="003A3873"/>
    <w:rsid w:val="003B66DF"/>
    <w:rsid w:val="003E0EA9"/>
    <w:rsid w:val="003E29E4"/>
    <w:rsid w:val="003E375C"/>
    <w:rsid w:val="003F0DFC"/>
    <w:rsid w:val="003F0FD0"/>
    <w:rsid w:val="003F1C82"/>
    <w:rsid w:val="0040676E"/>
    <w:rsid w:val="00416974"/>
    <w:rsid w:val="00426F11"/>
    <w:rsid w:val="004300A0"/>
    <w:rsid w:val="0043647A"/>
    <w:rsid w:val="00444D8D"/>
    <w:rsid w:val="0045269F"/>
    <w:rsid w:val="00453421"/>
    <w:rsid w:val="00474C76"/>
    <w:rsid w:val="004860EE"/>
    <w:rsid w:val="004A647D"/>
    <w:rsid w:val="004B17C5"/>
    <w:rsid w:val="004C0757"/>
    <w:rsid w:val="004C544E"/>
    <w:rsid w:val="004E4D60"/>
    <w:rsid w:val="004E515E"/>
    <w:rsid w:val="004F4A99"/>
    <w:rsid w:val="005279DB"/>
    <w:rsid w:val="00534FF3"/>
    <w:rsid w:val="00546B82"/>
    <w:rsid w:val="00570F68"/>
    <w:rsid w:val="00577E7B"/>
    <w:rsid w:val="005818B2"/>
    <w:rsid w:val="005845E3"/>
    <w:rsid w:val="00584F6A"/>
    <w:rsid w:val="005A3A85"/>
    <w:rsid w:val="005A435B"/>
    <w:rsid w:val="005A4E7D"/>
    <w:rsid w:val="005C6E1D"/>
    <w:rsid w:val="005D7A17"/>
    <w:rsid w:val="005F6141"/>
    <w:rsid w:val="005F6DF4"/>
    <w:rsid w:val="005F6F50"/>
    <w:rsid w:val="006011F7"/>
    <w:rsid w:val="00601C1B"/>
    <w:rsid w:val="00644CC3"/>
    <w:rsid w:val="0064501D"/>
    <w:rsid w:val="00671AA5"/>
    <w:rsid w:val="006A1812"/>
    <w:rsid w:val="006B2990"/>
    <w:rsid w:val="006B3E95"/>
    <w:rsid w:val="006B64A4"/>
    <w:rsid w:val="006D5DEF"/>
    <w:rsid w:val="006E4BD0"/>
    <w:rsid w:val="006E7AA3"/>
    <w:rsid w:val="006F21A8"/>
    <w:rsid w:val="006F3851"/>
    <w:rsid w:val="006F5786"/>
    <w:rsid w:val="00700902"/>
    <w:rsid w:val="00704D91"/>
    <w:rsid w:val="00712DBA"/>
    <w:rsid w:val="00715AF1"/>
    <w:rsid w:val="0072330E"/>
    <w:rsid w:val="00732A67"/>
    <w:rsid w:val="00737E80"/>
    <w:rsid w:val="00741226"/>
    <w:rsid w:val="007455E6"/>
    <w:rsid w:val="007479F5"/>
    <w:rsid w:val="007507CD"/>
    <w:rsid w:val="00750DAA"/>
    <w:rsid w:val="0076050D"/>
    <w:rsid w:val="00775634"/>
    <w:rsid w:val="00795733"/>
    <w:rsid w:val="007975C8"/>
    <w:rsid w:val="007B1874"/>
    <w:rsid w:val="007B2617"/>
    <w:rsid w:val="007B49FA"/>
    <w:rsid w:val="007B5330"/>
    <w:rsid w:val="007C136F"/>
    <w:rsid w:val="007C4A5B"/>
    <w:rsid w:val="007C6EAF"/>
    <w:rsid w:val="007D747A"/>
    <w:rsid w:val="00800AF4"/>
    <w:rsid w:val="00804596"/>
    <w:rsid w:val="008265C3"/>
    <w:rsid w:val="00836EC0"/>
    <w:rsid w:val="00860004"/>
    <w:rsid w:val="00865DF2"/>
    <w:rsid w:val="0087672C"/>
    <w:rsid w:val="008838FC"/>
    <w:rsid w:val="0088773D"/>
    <w:rsid w:val="00890139"/>
    <w:rsid w:val="008B12BD"/>
    <w:rsid w:val="008C0471"/>
    <w:rsid w:val="008C0BC0"/>
    <w:rsid w:val="008C6D7D"/>
    <w:rsid w:val="008F71D7"/>
    <w:rsid w:val="00902AA7"/>
    <w:rsid w:val="00914DB8"/>
    <w:rsid w:val="009160F2"/>
    <w:rsid w:val="00916967"/>
    <w:rsid w:val="009172AF"/>
    <w:rsid w:val="00923638"/>
    <w:rsid w:val="00924081"/>
    <w:rsid w:val="0093188A"/>
    <w:rsid w:val="0094568F"/>
    <w:rsid w:val="009460EB"/>
    <w:rsid w:val="009463F4"/>
    <w:rsid w:val="009522CD"/>
    <w:rsid w:val="00961461"/>
    <w:rsid w:val="009615BC"/>
    <w:rsid w:val="00966A59"/>
    <w:rsid w:val="0097545D"/>
    <w:rsid w:val="00980054"/>
    <w:rsid w:val="00982965"/>
    <w:rsid w:val="0099096E"/>
    <w:rsid w:val="009958FC"/>
    <w:rsid w:val="009C1C60"/>
    <w:rsid w:val="009C23EA"/>
    <w:rsid w:val="009C3BA0"/>
    <w:rsid w:val="009D09BC"/>
    <w:rsid w:val="009D257C"/>
    <w:rsid w:val="009D3482"/>
    <w:rsid w:val="009D3B92"/>
    <w:rsid w:val="009E234C"/>
    <w:rsid w:val="009E3B91"/>
    <w:rsid w:val="009E7DB5"/>
    <w:rsid w:val="009F0782"/>
    <w:rsid w:val="009F32A6"/>
    <w:rsid w:val="009F5316"/>
    <w:rsid w:val="009F62B4"/>
    <w:rsid w:val="009F7C87"/>
    <w:rsid w:val="00A109C5"/>
    <w:rsid w:val="00A4072B"/>
    <w:rsid w:val="00A42462"/>
    <w:rsid w:val="00A5080D"/>
    <w:rsid w:val="00A5703C"/>
    <w:rsid w:val="00A60940"/>
    <w:rsid w:val="00A60F9A"/>
    <w:rsid w:val="00A62731"/>
    <w:rsid w:val="00A87814"/>
    <w:rsid w:val="00A95757"/>
    <w:rsid w:val="00AA0AC2"/>
    <w:rsid w:val="00AA3C8F"/>
    <w:rsid w:val="00AB2668"/>
    <w:rsid w:val="00AB361D"/>
    <w:rsid w:val="00AB612E"/>
    <w:rsid w:val="00AD10D8"/>
    <w:rsid w:val="00AE28DC"/>
    <w:rsid w:val="00AE36DA"/>
    <w:rsid w:val="00AF027E"/>
    <w:rsid w:val="00AF5850"/>
    <w:rsid w:val="00AF58B7"/>
    <w:rsid w:val="00B00CE4"/>
    <w:rsid w:val="00B027A1"/>
    <w:rsid w:val="00B05057"/>
    <w:rsid w:val="00B2020E"/>
    <w:rsid w:val="00B209AB"/>
    <w:rsid w:val="00B24F3B"/>
    <w:rsid w:val="00B36184"/>
    <w:rsid w:val="00B45245"/>
    <w:rsid w:val="00B4785E"/>
    <w:rsid w:val="00B67DC8"/>
    <w:rsid w:val="00B70B64"/>
    <w:rsid w:val="00B76A81"/>
    <w:rsid w:val="00B9290D"/>
    <w:rsid w:val="00B92AAC"/>
    <w:rsid w:val="00BC44DD"/>
    <w:rsid w:val="00BC45E2"/>
    <w:rsid w:val="00BC6114"/>
    <w:rsid w:val="00BD524E"/>
    <w:rsid w:val="00C030AF"/>
    <w:rsid w:val="00C05E3A"/>
    <w:rsid w:val="00C069FB"/>
    <w:rsid w:val="00C14B2B"/>
    <w:rsid w:val="00C173AB"/>
    <w:rsid w:val="00C300C8"/>
    <w:rsid w:val="00C31773"/>
    <w:rsid w:val="00C4421E"/>
    <w:rsid w:val="00C47CFC"/>
    <w:rsid w:val="00C506DF"/>
    <w:rsid w:val="00C57920"/>
    <w:rsid w:val="00C77F85"/>
    <w:rsid w:val="00C87356"/>
    <w:rsid w:val="00CA0B1F"/>
    <w:rsid w:val="00CB144A"/>
    <w:rsid w:val="00CB400F"/>
    <w:rsid w:val="00CC19E8"/>
    <w:rsid w:val="00CD154A"/>
    <w:rsid w:val="00CD16A8"/>
    <w:rsid w:val="00CF26C0"/>
    <w:rsid w:val="00CF522C"/>
    <w:rsid w:val="00CF72C1"/>
    <w:rsid w:val="00CF7A1A"/>
    <w:rsid w:val="00D00E5E"/>
    <w:rsid w:val="00D017DE"/>
    <w:rsid w:val="00D03BE7"/>
    <w:rsid w:val="00D05439"/>
    <w:rsid w:val="00D11FD6"/>
    <w:rsid w:val="00D42DAE"/>
    <w:rsid w:val="00D42E9A"/>
    <w:rsid w:val="00D507C9"/>
    <w:rsid w:val="00D54216"/>
    <w:rsid w:val="00D67526"/>
    <w:rsid w:val="00D843E9"/>
    <w:rsid w:val="00D85996"/>
    <w:rsid w:val="00D90894"/>
    <w:rsid w:val="00D91D21"/>
    <w:rsid w:val="00D94460"/>
    <w:rsid w:val="00DB13B3"/>
    <w:rsid w:val="00DC367A"/>
    <w:rsid w:val="00DC59CC"/>
    <w:rsid w:val="00DD6A6C"/>
    <w:rsid w:val="00DE32DF"/>
    <w:rsid w:val="00DF53E6"/>
    <w:rsid w:val="00DF6B51"/>
    <w:rsid w:val="00E219A3"/>
    <w:rsid w:val="00E22893"/>
    <w:rsid w:val="00E22CF4"/>
    <w:rsid w:val="00E2504D"/>
    <w:rsid w:val="00E30332"/>
    <w:rsid w:val="00E30926"/>
    <w:rsid w:val="00E3702D"/>
    <w:rsid w:val="00E654A8"/>
    <w:rsid w:val="00E711FB"/>
    <w:rsid w:val="00E718EE"/>
    <w:rsid w:val="00E87F9F"/>
    <w:rsid w:val="00E914A3"/>
    <w:rsid w:val="00E96626"/>
    <w:rsid w:val="00E979D5"/>
    <w:rsid w:val="00EA356D"/>
    <w:rsid w:val="00EB18EF"/>
    <w:rsid w:val="00EB2318"/>
    <w:rsid w:val="00EB3996"/>
    <w:rsid w:val="00EC0F23"/>
    <w:rsid w:val="00EC2BCD"/>
    <w:rsid w:val="00ED22C3"/>
    <w:rsid w:val="00ED39C8"/>
    <w:rsid w:val="00EE3CEE"/>
    <w:rsid w:val="00EE47C9"/>
    <w:rsid w:val="00EE62F0"/>
    <w:rsid w:val="00EF7623"/>
    <w:rsid w:val="00F023FB"/>
    <w:rsid w:val="00F30743"/>
    <w:rsid w:val="00F33A02"/>
    <w:rsid w:val="00F33A97"/>
    <w:rsid w:val="00F41DA7"/>
    <w:rsid w:val="00F421D8"/>
    <w:rsid w:val="00F43829"/>
    <w:rsid w:val="00F50463"/>
    <w:rsid w:val="00F61BE3"/>
    <w:rsid w:val="00F62620"/>
    <w:rsid w:val="00F76ED3"/>
    <w:rsid w:val="00F84223"/>
    <w:rsid w:val="00F902EF"/>
    <w:rsid w:val="00FA0CC5"/>
    <w:rsid w:val="00FB72B4"/>
    <w:rsid w:val="00FC44BF"/>
    <w:rsid w:val="00FD2098"/>
    <w:rsid w:val="00FE4653"/>
    <w:rsid w:val="00FE715E"/>
    <w:rsid w:val="00FF4039"/>
    <w:rsid w:val="624E425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F67917-3470-4DB7-AE4D-CBA136971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s-US" w:eastAsia="es-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lang w:eastAsia="es-ES"/>
    </w:rPr>
  </w:style>
  <w:style w:type="paragraph" w:styleId="Ttulo1">
    <w:name w:val="heading 1"/>
    <w:basedOn w:val="Normal"/>
    <w:next w:val="Normal"/>
    <w:link w:val="Ttulo1Car"/>
    <w:uiPriority w:val="9"/>
    <w:qFormat/>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Textoennegrita">
    <w:name w:val="Strong"/>
    <w:basedOn w:val="Fuentedeprrafopredeter"/>
    <w:uiPriority w:val="22"/>
    <w:qFormat/>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eastAsiaTheme="minorHAnsi"/>
      <w:sz w:val="20"/>
      <w:szCs w:val="20"/>
      <w:lang w:val="es-MX" w:eastAsia="en-US"/>
    </w:rPr>
  </w:style>
  <w:style w:type="paragraph" w:styleId="Encabezado">
    <w:name w:val="header"/>
    <w:basedOn w:val="Normal"/>
    <w:link w:val="EncabezadoCar"/>
    <w:uiPriority w:val="99"/>
    <w:unhideWhenUsed/>
    <w:pPr>
      <w:tabs>
        <w:tab w:val="center" w:pos="4252"/>
        <w:tab w:val="right" w:pos="8504"/>
      </w:tabs>
    </w:pPr>
  </w:style>
  <w:style w:type="paragraph" w:styleId="Sangradetextonormal">
    <w:name w:val="Body Text Indent"/>
    <w:basedOn w:val="Normal"/>
    <w:link w:val="SangradetextonormalCar"/>
    <w:uiPriority w:val="99"/>
    <w:semiHidden/>
    <w:unhideWhenUsed/>
    <w:pPr>
      <w:spacing w:after="120"/>
      <w:ind w:left="283"/>
    </w:p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lang w:val="es-MX" w:eastAsia="es-MX"/>
    </w:rPr>
  </w:style>
  <w:style w:type="paragraph" w:styleId="Piedepgina">
    <w:name w:val="footer"/>
    <w:basedOn w:val="Normal"/>
    <w:link w:val="PiedepginaCar"/>
    <w:uiPriority w:val="99"/>
    <w:unhideWhenUsed/>
    <w:pPr>
      <w:tabs>
        <w:tab w:val="center" w:pos="4252"/>
        <w:tab w:val="right" w:pos="8504"/>
      </w:tabs>
    </w:pPr>
  </w:style>
  <w:style w:type="paragraph" w:styleId="Textoindependienteprimerasangra2">
    <w:name w:val="Body Text First Indent 2"/>
    <w:basedOn w:val="Sangradetextonormal"/>
    <w:link w:val="Textoindependienteprimerasangra2Car"/>
    <w:uiPriority w:val="99"/>
    <w:unhideWhenUsed/>
    <w:pPr>
      <w:spacing w:after="0"/>
      <w:ind w:left="360" w:firstLine="360"/>
    </w:pPr>
    <w:rPr>
      <w:rFonts w:ascii="Times New Roman" w:eastAsia="Times New Roman" w:hAnsi="Times New Roman" w:cs="Times New Roman"/>
      <w:lang w:val="es-MX" w:eastAsia="es-MX"/>
    </w:rPr>
  </w:style>
  <w:style w:type="table" w:styleId="Tablaconcuadrcula">
    <w:name w:val="Table Grid"/>
    <w:basedOn w:val="Tablanormal"/>
    <w:uiPriority w:val="59"/>
    <w:qFormat/>
    <w:rPr>
      <w:rFonts w:eastAsiaTheme="minorEastAsia"/>
      <w:sz w:val="24"/>
      <w:szCs w:val="24"/>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Palatino Linotype" w:eastAsiaTheme="majorEastAsia" w:hAnsi="Palatino Linotype" w:cstheme="majorBidi"/>
      <w:b/>
      <w:color w:val="000000" w:themeColor="text1"/>
      <w:sz w:val="24"/>
      <w:szCs w:val="32"/>
    </w:rPr>
  </w:style>
  <w:style w:type="character" w:customStyle="1" w:styleId="Ttulo2Car">
    <w:name w:val="Título 2 Car"/>
    <w:basedOn w:val="Fuentedeprrafopredeter"/>
    <w:link w:val="Ttulo2"/>
    <w:uiPriority w:val="9"/>
    <w:rPr>
      <w:rFonts w:ascii="Palatino Linotype" w:eastAsiaTheme="majorEastAsia" w:hAnsi="Palatino Linotype" w:cstheme="majorBidi"/>
      <w:b/>
      <w:color w:val="000000" w:themeColor="text1"/>
      <w:sz w:val="24"/>
      <w:szCs w:val="26"/>
    </w:rPr>
  </w:style>
  <w:style w:type="character" w:customStyle="1" w:styleId="EncabezadoCar">
    <w:name w:val="Encabezado Car"/>
    <w:basedOn w:val="Fuentedeprrafopredeter"/>
    <w:link w:val="Encabezado"/>
    <w:uiPriority w:val="99"/>
    <w:rPr>
      <w:rFonts w:eastAsiaTheme="minorEastAsia"/>
      <w:sz w:val="24"/>
      <w:szCs w:val="24"/>
      <w:lang w:eastAsia="es-ES"/>
    </w:rPr>
  </w:style>
  <w:style w:type="character" w:customStyle="1" w:styleId="PiedepginaCar">
    <w:name w:val="Pie de página Car"/>
    <w:basedOn w:val="Fuentedeprrafopredeter"/>
    <w:link w:val="Piedepgina"/>
    <w:uiPriority w:val="99"/>
    <w:rPr>
      <w:rFonts w:eastAsiaTheme="minorEastAsia"/>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Pr>
      <w:rFonts w:eastAsiaTheme="minorEastAsia"/>
      <w:sz w:val="24"/>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sz w:val="20"/>
      <w:szCs w:val="20"/>
    </w:rPr>
  </w:style>
  <w:style w:type="character" w:customStyle="1" w:styleId="SangradetextonormalCar">
    <w:name w:val="Sangría de texto normal Car"/>
    <w:basedOn w:val="Fuentedeprrafopredeter"/>
    <w:link w:val="Sangradetextonormal"/>
    <w:uiPriority w:val="99"/>
    <w:semiHidden/>
    <w:rPr>
      <w:rFonts w:eastAsiaTheme="minorEastAsia"/>
      <w:sz w:val="24"/>
      <w:szCs w:val="24"/>
      <w:lang w:eastAsia="es-ES"/>
    </w:rPr>
  </w:style>
  <w:style w:type="character" w:customStyle="1" w:styleId="Textoindependienteprimerasangra2Car">
    <w:name w:val="Texto independiente primera sangría 2 Car"/>
    <w:basedOn w:val="SangradetextonormalCar"/>
    <w:link w:val="Textoindependienteprimerasangra2"/>
    <w:uiPriority w:val="99"/>
    <w:rPr>
      <w:rFonts w:ascii="Times New Roman" w:eastAsia="Times New Roman" w:hAnsi="Times New Roman" w:cs="Times New Roman"/>
      <w:sz w:val="24"/>
      <w:szCs w:val="24"/>
      <w:lang w:eastAsia="es-MX"/>
    </w:rPr>
  </w:style>
  <w:style w:type="paragraph" w:customStyle="1" w:styleId="Citas">
    <w:name w:val="Citas"/>
    <w:basedOn w:val="Normal"/>
    <w:qFormat/>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eNormal5">
    <w:name w:val="Table Normal5"/>
    <w:rPr>
      <w:rFonts w:ascii="Times New Roman" w:eastAsia="Times New Roman" w:hAnsi="Times New Roman" w:cs="Times New Roman"/>
      <w:sz w:val="24"/>
      <w:szCs w:val="24"/>
      <w:lang w:eastAsia="es-MX"/>
    </w:rPr>
    <w:tblPr>
      <w:tblCellMar>
        <w:top w:w="0" w:type="dxa"/>
        <w:left w:w="0" w:type="dxa"/>
        <w:bottom w:w="0" w:type="dxa"/>
        <w:right w:w="0" w:type="dxa"/>
      </w:tblCellMar>
    </w:tblPr>
  </w:style>
  <w:style w:type="paragraph" w:customStyle="1" w:styleId="Default">
    <w:name w:val="Default"/>
    <w:qFormat/>
    <w:pPr>
      <w:autoSpaceDE w:val="0"/>
      <w:autoSpaceDN w:val="0"/>
      <w:adjustRightInd w:val="0"/>
    </w:pPr>
    <w:rPr>
      <w:rFonts w:ascii="Arial" w:hAnsi="Arial" w:cs="Arial"/>
      <w:color w:val="000000"/>
      <w:sz w:val="24"/>
      <w:szCs w:val="24"/>
      <w:lang w:val="es-MX" w:eastAsia="en-US"/>
    </w:rPr>
  </w:style>
  <w:style w:type="paragraph" w:styleId="Sinespaciado">
    <w:name w:val="No Spacing"/>
    <w:link w:val="SinespaciadoCar"/>
    <w:uiPriority w:val="1"/>
    <w:qFormat/>
    <w:rPr>
      <w:sz w:val="22"/>
      <w:szCs w:val="22"/>
      <w:lang w:val="es-MX" w:eastAsia="en-US"/>
    </w:rPr>
  </w:style>
  <w:style w:type="character" w:customStyle="1" w:styleId="SinespaciadoCar">
    <w:name w:val="Sin espaciado Car"/>
    <w:link w:val="Sinespaciado"/>
    <w:uiPriority w:val="1"/>
    <w:qFormat/>
    <w:locked/>
  </w:style>
  <w:style w:type="character" w:styleId="Hipervnculo">
    <w:name w:val="Hyperlink"/>
    <w:aliases w:val="Hipervínculo1,Hipervínculo11,Hipervínculo12,Hipervínculo13,Hipervínculo14,Hipervínculo15"/>
    <w:basedOn w:val="Fuentedeprrafopredeter"/>
    <w:uiPriority w:val="99"/>
    <w:unhideWhenUsed/>
    <w:rsid w:val="008C04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cretariadoejecutivo.gob.mx/work/models/SecretariadoEjecutivo/Resource/328/1/images/instructivo_final_edo_fuerza(1).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C9CF8002-1671-48D0-9928-42A634794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57</Pages>
  <Words>10993</Words>
  <Characters>60464</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71315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INFOEM416</cp:lastModifiedBy>
  <cp:revision>17</cp:revision>
  <cp:lastPrinted>2025-04-10T22:07:00Z</cp:lastPrinted>
  <dcterms:created xsi:type="dcterms:W3CDTF">2025-04-07T23:15:00Z</dcterms:created>
  <dcterms:modified xsi:type="dcterms:W3CDTF">2025-04-10T22:07:00Z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2058-12.2.0.18911</vt:lpwstr>
  </property>
  <property fmtid="{D5CDD505-2E9C-101B-9397-08002B2CF9AE}" pid="3" name="ICV">
    <vt:lpwstr>C641EF00E0BB42EC9A99D5AD9BA61195_13</vt:lpwstr>
  </property>
</Properties>
</file>