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517DB5D" w14:textId="77777777" w:rsidR="00DE7FC4" w:rsidRPr="00D82002" w:rsidRDefault="00EB2EDB">
      <w:pPr>
        <w:spacing w:line="360" w:lineRule="auto"/>
        <w:ind w:right="49"/>
        <w:jc w:val="both"/>
        <w:rPr>
          <w:rFonts w:ascii="Palatino Linotype" w:eastAsia="Palatino Linotype" w:hAnsi="Palatino Linotype" w:cs="Palatino Linotype"/>
          <w:sz w:val="22"/>
          <w:szCs w:val="22"/>
        </w:rPr>
      </w:pPr>
      <w:r w:rsidRPr="00D82002">
        <w:rPr>
          <w:rFonts w:ascii="Palatino Linotype" w:eastAsia="Palatino Linotype" w:hAnsi="Palatino Linotype" w:cs="Palatino Linotype"/>
          <w:sz w:val="22"/>
          <w:szCs w:val="22"/>
        </w:rPr>
        <w:t xml:space="preserve">Resolución del Pleno del Instituto de Transparencia, Acceso a la Información Pública y Protección de Datos Personales del Estado de México y Municipios, con domicilio en Metepec, Estado de México, de fecha </w:t>
      </w:r>
      <w:r w:rsidRPr="00D82002">
        <w:rPr>
          <w:rFonts w:ascii="Palatino Linotype" w:eastAsia="Palatino Linotype" w:hAnsi="Palatino Linotype" w:cs="Palatino Linotype"/>
          <w:b/>
          <w:sz w:val="22"/>
          <w:szCs w:val="22"/>
        </w:rPr>
        <w:t>cinco de noviembre</w:t>
      </w:r>
      <w:r w:rsidRPr="00D82002">
        <w:rPr>
          <w:rFonts w:ascii="Palatino Linotype" w:eastAsia="Palatino Linotype" w:hAnsi="Palatino Linotype" w:cs="Palatino Linotype"/>
          <w:sz w:val="22"/>
          <w:szCs w:val="22"/>
        </w:rPr>
        <w:t xml:space="preserve"> </w:t>
      </w:r>
      <w:r w:rsidRPr="00D82002">
        <w:rPr>
          <w:rFonts w:ascii="Palatino Linotype" w:eastAsia="Palatino Linotype" w:hAnsi="Palatino Linotype" w:cs="Palatino Linotype"/>
          <w:b/>
          <w:sz w:val="22"/>
          <w:szCs w:val="22"/>
        </w:rPr>
        <w:t>de dos mil veinticinco.</w:t>
      </w:r>
    </w:p>
    <w:p w14:paraId="1F47575A" w14:textId="77777777" w:rsidR="00DE7FC4" w:rsidRPr="00D82002" w:rsidRDefault="00DE7FC4">
      <w:pPr>
        <w:spacing w:line="360" w:lineRule="auto"/>
        <w:ind w:right="49"/>
        <w:jc w:val="both"/>
        <w:rPr>
          <w:rFonts w:ascii="Palatino Linotype" w:eastAsia="Palatino Linotype" w:hAnsi="Palatino Linotype" w:cs="Palatino Linotype"/>
          <w:sz w:val="22"/>
          <w:szCs w:val="22"/>
        </w:rPr>
      </w:pPr>
    </w:p>
    <w:p w14:paraId="0EEEE600" w14:textId="4F3169FD" w:rsidR="00DE7FC4" w:rsidRPr="00D82002" w:rsidRDefault="00EB2EDB">
      <w:pPr>
        <w:spacing w:line="360" w:lineRule="auto"/>
        <w:ind w:right="49"/>
        <w:jc w:val="both"/>
        <w:rPr>
          <w:rFonts w:ascii="Palatino Linotype" w:eastAsia="Palatino Linotype" w:hAnsi="Palatino Linotype" w:cs="Palatino Linotype"/>
          <w:sz w:val="22"/>
          <w:szCs w:val="22"/>
        </w:rPr>
      </w:pPr>
      <w:r w:rsidRPr="00D82002">
        <w:rPr>
          <w:rFonts w:ascii="Palatino Linotype" w:eastAsia="Palatino Linotype" w:hAnsi="Palatino Linotype" w:cs="Palatino Linotype"/>
          <w:b/>
          <w:sz w:val="22"/>
          <w:szCs w:val="22"/>
        </w:rPr>
        <w:t xml:space="preserve">VISTO </w:t>
      </w:r>
      <w:r w:rsidRPr="00D82002">
        <w:rPr>
          <w:rFonts w:ascii="Palatino Linotype" w:eastAsia="Palatino Linotype" w:hAnsi="Palatino Linotype" w:cs="Palatino Linotype"/>
          <w:sz w:val="22"/>
          <w:szCs w:val="22"/>
        </w:rPr>
        <w:t xml:space="preserve">el expediente relativo al recurso de revisión </w:t>
      </w:r>
      <w:r w:rsidRPr="00D82002">
        <w:rPr>
          <w:rFonts w:ascii="Palatino Linotype" w:eastAsia="Palatino Linotype" w:hAnsi="Palatino Linotype" w:cs="Palatino Linotype"/>
          <w:b/>
          <w:sz w:val="22"/>
          <w:szCs w:val="22"/>
        </w:rPr>
        <w:t xml:space="preserve">10419/INFOEM/IP/RR/2025, </w:t>
      </w:r>
      <w:r w:rsidRPr="00D82002">
        <w:rPr>
          <w:rFonts w:ascii="Palatino Linotype" w:eastAsia="Palatino Linotype" w:hAnsi="Palatino Linotype" w:cs="Palatino Linotype"/>
          <w:sz w:val="22"/>
          <w:szCs w:val="22"/>
        </w:rPr>
        <w:t xml:space="preserve">interpuesto por </w:t>
      </w:r>
      <w:r w:rsidR="0004573F" w:rsidRPr="0004573F">
        <w:rPr>
          <w:rFonts w:ascii="Palatino Linotype" w:eastAsia="Palatino Linotype" w:hAnsi="Palatino Linotype" w:cs="Palatino Linotype"/>
          <w:b/>
          <w:sz w:val="20"/>
          <w:szCs w:val="20"/>
        </w:rPr>
        <w:t>XXXX XXXXX XXXXXXX XXXX</w:t>
      </w:r>
      <w:r w:rsidRPr="0004573F">
        <w:rPr>
          <w:rFonts w:ascii="Palatino Linotype" w:eastAsia="Palatino Linotype" w:hAnsi="Palatino Linotype" w:cs="Palatino Linotype"/>
          <w:b/>
          <w:sz w:val="20"/>
          <w:szCs w:val="20"/>
        </w:rPr>
        <w:t>,</w:t>
      </w:r>
      <w:bookmarkStart w:id="0" w:name="_GoBack"/>
      <w:bookmarkEnd w:id="0"/>
      <w:r w:rsidRPr="00D82002">
        <w:rPr>
          <w:rFonts w:ascii="Palatino Linotype" w:eastAsia="Palatino Linotype" w:hAnsi="Palatino Linotype" w:cs="Palatino Linotype"/>
          <w:sz w:val="22"/>
          <w:szCs w:val="22"/>
        </w:rPr>
        <w:t xml:space="preserve"> en lo sucesivo la parte </w:t>
      </w:r>
      <w:r w:rsidRPr="00D82002">
        <w:rPr>
          <w:rFonts w:ascii="Palatino Linotype" w:eastAsia="Palatino Linotype" w:hAnsi="Palatino Linotype" w:cs="Palatino Linotype"/>
          <w:b/>
          <w:sz w:val="22"/>
          <w:szCs w:val="22"/>
        </w:rPr>
        <w:t>Recurrente</w:t>
      </w:r>
      <w:r w:rsidRPr="00D82002">
        <w:rPr>
          <w:rFonts w:ascii="Palatino Linotype" w:eastAsia="Palatino Linotype" w:hAnsi="Palatino Linotype" w:cs="Palatino Linotype"/>
          <w:sz w:val="22"/>
          <w:szCs w:val="22"/>
        </w:rPr>
        <w:t xml:space="preserve">, en contra de la respuesta a la solicitud de información por parte del </w:t>
      </w:r>
      <w:r w:rsidRPr="00D82002">
        <w:rPr>
          <w:rFonts w:ascii="Palatino Linotype" w:eastAsia="Palatino Linotype" w:hAnsi="Palatino Linotype" w:cs="Palatino Linotype"/>
          <w:b/>
          <w:sz w:val="22"/>
          <w:szCs w:val="22"/>
        </w:rPr>
        <w:t>Ayuntamiento de Almoloya de Juárez</w:t>
      </w:r>
      <w:r w:rsidRPr="00D82002">
        <w:rPr>
          <w:rFonts w:ascii="Palatino Linotype" w:eastAsia="Palatino Linotype" w:hAnsi="Palatino Linotype" w:cs="Palatino Linotype"/>
          <w:sz w:val="22"/>
          <w:szCs w:val="22"/>
        </w:rPr>
        <w:t xml:space="preserve">, en lo sucesivo el </w:t>
      </w:r>
      <w:r w:rsidRPr="00D82002">
        <w:rPr>
          <w:rFonts w:ascii="Palatino Linotype" w:eastAsia="Palatino Linotype" w:hAnsi="Palatino Linotype" w:cs="Palatino Linotype"/>
          <w:b/>
          <w:sz w:val="22"/>
          <w:szCs w:val="22"/>
        </w:rPr>
        <w:t xml:space="preserve">Sujeto Obligado; </w:t>
      </w:r>
      <w:r w:rsidRPr="00D82002">
        <w:rPr>
          <w:rFonts w:ascii="Palatino Linotype" w:eastAsia="Palatino Linotype" w:hAnsi="Palatino Linotype" w:cs="Palatino Linotype"/>
          <w:sz w:val="22"/>
          <w:szCs w:val="22"/>
        </w:rPr>
        <w:t>se procede a dictar la presente resolución, con base en lo siguiente.</w:t>
      </w:r>
    </w:p>
    <w:p w14:paraId="7DFA3A5B" w14:textId="77777777" w:rsidR="00DE7FC4" w:rsidRPr="00D82002" w:rsidRDefault="00DE7FC4">
      <w:pPr>
        <w:spacing w:line="360" w:lineRule="auto"/>
        <w:ind w:right="49"/>
        <w:jc w:val="both"/>
        <w:rPr>
          <w:rFonts w:ascii="Palatino Linotype" w:eastAsia="Palatino Linotype" w:hAnsi="Palatino Linotype" w:cs="Palatino Linotype"/>
          <w:sz w:val="22"/>
          <w:szCs w:val="22"/>
        </w:rPr>
      </w:pPr>
    </w:p>
    <w:p w14:paraId="039DA348" w14:textId="77777777" w:rsidR="00DE7FC4" w:rsidRPr="00D82002" w:rsidRDefault="00EB2EDB">
      <w:pPr>
        <w:spacing w:line="360" w:lineRule="auto"/>
        <w:ind w:right="49"/>
        <w:jc w:val="center"/>
        <w:rPr>
          <w:rFonts w:ascii="Palatino Linotype" w:eastAsia="Palatino Linotype" w:hAnsi="Palatino Linotype" w:cs="Palatino Linotype"/>
          <w:b/>
          <w:sz w:val="22"/>
          <w:szCs w:val="22"/>
        </w:rPr>
      </w:pPr>
      <w:r w:rsidRPr="00D82002">
        <w:rPr>
          <w:rFonts w:ascii="Palatino Linotype" w:eastAsia="Palatino Linotype" w:hAnsi="Palatino Linotype" w:cs="Palatino Linotype"/>
          <w:b/>
          <w:sz w:val="22"/>
          <w:szCs w:val="22"/>
        </w:rPr>
        <w:t>I.</w:t>
      </w:r>
      <w:r w:rsidRPr="00D82002">
        <w:rPr>
          <w:rFonts w:ascii="Palatino Linotype" w:eastAsia="Palatino Linotype" w:hAnsi="Palatino Linotype" w:cs="Palatino Linotype"/>
          <w:b/>
          <w:sz w:val="22"/>
          <w:szCs w:val="22"/>
        </w:rPr>
        <w:tab/>
        <w:t>A N T E C E D E N T E S</w:t>
      </w:r>
    </w:p>
    <w:p w14:paraId="518DBC20" w14:textId="77777777" w:rsidR="00DE7FC4" w:rsidRPr="00D82002" w:rsidRDefault="00DE7FC4">
      <w:pPr>
        <w:spacing w:line="360" w:lineRule="auto"/>
        <w:ind w:right="49"/>
        <w:jc w:val="both"/>
        <w:rPr>
          <w:rFonts w:ascii="Palatino Linotype" w:eastAsia="Palatino Linotype" w:hAnsi="Palatino Linotype" w:cs="Palatino Linotype"/>
          <w:sz w:val="22"/>
          <w:szCs w:val="22"/>
        </w:rPr>
      </w:pPr>
    </w:p>
    <w:p w14:paraId="4576EF97" w14:textId="77777777" w:rsidR="00DE7FC4" w:rsidRPr="00D82002" w:rsidRDefault="00EB2EDB">
      <w:pPr>
        <w:spacing w:line="360" w:lineRule="auto"/>
        <w:jc w:val="both"/>
        <w:rPr>
          <w:rFonts w:ascii="Palatino Linotype" w:eastAsia="Palatino Linotype" w:hAnsi="Palatino Linotype" w:cs="Palatino Linotype"/>
          <w:sz w:val="22"/>
          <w:szCs w:val="22"/>
        </w:rPr>
      </w:pPr>
      <w:r w:rsidRPr="00D82002">
        <w:rPr>
          <w:rFonts w:ascii="Palatino Linotype" w:eastAsia="Palatino Linotype" w:hAnsi="Palatino Linotype" w:cs="Palatino Linotype"/>
          <w:b/>
          <w:sz w:val="22"/>
          <w:szCs w:val="22"/>
        </w:rPr>
        <w:t>1.</w:t>
      </w:r>
      <w:r w:rsidRPr="00D82002">
        <w:rPr>
          <w:rFonts w:ascii="Palatino Linotype" w:eastAsia="Palatino Linotype" w:hAnsi="Palatino Linotype" w:cs="Palatino Linotype"/>
          <w:sz w:val="22"/>
          <w:szCs w:val="22"/>
        </w:rPr>
        <w:t xml:space="preserve"> </w:t>
      </w:r>
      <w:r w:rsidRPr="00D82002">
        <w:rPr>
          <w:rFonts w:ascii="Palatino Linotype" w:eastAsia="Palatino Linotype" w:hAnsi="Palatino Linotype" w:cs="Palatino Linotype"/>
          <w:b/>
          <w:sz w:val="22"/>
          <w:szCs w:val="22"/>
        </w:rPr>
        <w:t xml:space="preserve">Solicitud de Acceso a la Información. El </w:t>
      </w:r>
      <w:proofErr w:type="spellStart"/>
      <w:r w:rsidRPr="00D82002">
        <w:rPr>
          <w:rFonts w:ascii="Palatino Linotype" w:eastAsia="Palatino Linotype" w:hAnsi="Palatino Linotype" w:cs="Palatino Linotype"/>
          <w:b/>
          <w:sz w:val="22"/>
          <w:szCs w:val="22"/>
        </w:rPr>
        <w:t>veintitres</w:t>
      </w:r>
      <w:proofErr w:type="spellEnd"/>
      <w:r w:rsidRPr="00D82002">
        <w:rPr>
          <w:rFonts w:ascii="Palatino Linotype" w:eastAsia="Palatino Linotype" w:hAnsi="Palatino Linotype" w:cs="Palatino Linotype"/>
          <w:b/>
          <w:sz w:val="22"/>
          <w:szCs w:val="22"/>
        </w:rPr>
        <w:t xml:space="preserve"> de julio de dos mil veinticinco</w:t>
      </w:r>
      <w:r w:rsidRPr="00D82002">
        <w:rPr>
          <w:rFonts w:ascii="Palatino Linotype" w:eastAsia="Palatino Linotype" w:hAnsi="Palatino Linotype" w:cs="Palatino Linotype"/>
          <w:sz w:val="22"/>
          <w:szCs w:val="22"/>
        </w:rPr>
        <w:t xml:space="preserve">, </w:t>
      </w:r>
      <w:r w:rsidRPr="00D82002">
        <w:rPr>
          <w:rFonts w:ascii="Palatino Linotype" w:eastAsia="Palatino Linotype" w:hAnsi="Palatino Linotype" w:cs="Palatino Linotype"/>
          <w:b/>
          <w:sz w:val="22"/>
          <w:szCs w:val="22"/>
        </w:rPr>
        <w:t>LA PARTE</w:t>
      </w:r>
      <w:r w:rsidRPr="00D82002">
        <w:rPr>
          <w:rFonts w:ascii="Palatino Linotype" w:eastAsia="Palatino Linotype" w:hAnsi="Palatino Linotype" w:cs="Palatino Linotype"/>
          <w:sz w:val="22"/>
          <w:szCs w:val="22"/>
        </w:rPr>
        <w:t xml:space="preserve"> </w:t>
      </w:r>
      <w:r w:rsidRPr="00D82002">
        <w:rPr>
          <w:rFonts w:ascii="Palatino Linotype" w:eastAsia="Palatino Linotype" w:hAnsi="Palatino Linotype" w:cs="Palatino Linotype"/>
          <w:b/>
          <w:sz w:val="22"/>
          <w:szCs w:val="22"/>
        </w:rPr>
        <w:t>RECURRENTE</w:t>
      </w:r>
      <w:r w:rsidRPr="00D82002">
        <w:rPr>
          <w:rFonts w:ascii="Palatino Linotype" w:eastAsia="Palatino Linotype" w:hAnsi="Palatino Linotype" w:cs="Palatino Linotype"/>
          <w:sz w:val="22"/>
          <w:szCs w:val="22"/>
        </w:rPr>
        <w:t xml:space="preserve"> formuló solicitud de acceso a información pública a través del </w:t>
      </w:r>
      <w:r w:rsidRPr="00D82002">
        <w:rPr>
          <w:rFonts w:ascii="Palatino Linotype" w:eastAsia="Palatino Linotype" w:hAnsi="Palatino Linotype" w:cs="Palatino Linotype"/>
          <w:b/>
          <w:sz w:val="22"/>
          <w:szCs w:val="22"/>
        </w:rPr>
        <w:t>SAIMEX</w:t>
      </w:r>
      <w:r w:rsidRPr="00D82002">
        <w:rPr>
          <w:rFonts w:ascii="Palatino Linotype" w:eastAsia="Palatino Linotype" w:hAnsi="Palatino Linotype" w:cs="Palatino Linotype"/>
          <w:sz w:val="22"/>
          <w:szCs w:val="22"/>
        </w:rPr>
        <w:t xml:space="preserve">; sin embargo, al ser día inhábil, se tuvo por </w:t>
      </w:r>
      <w:proofErr w:type="spellStart"/>
      <w:r w:rsidRPr="00D82002">
        <w:rPr>
          <w:rFonts w:ascii="Palatino Linotype" w:eastAsia="Palatino Linotype" w:hAnsi="Palatino Linotype" w:cs="Palatino Linotype"/>
          <w:sz w:val="22"/>
          <w:szCs w:val="22"/>
        </w:rPr>
        <w:t>prrsentado</w:t>
      </w:r>
      <w:proofErr w:type="spellEnd"/>
      <w:r w:rsidRPr="00D82002">
        <w:rPr>
          <w:rFonts w:ascii="Palatino Linotype" w:eastAsia="Palatino Linotype" w:hAnsi="Palatino Linotype" w:cs="Palatino Linotype"/>
          <w:sz w:val="22"/>
          <w:szCs w:val="22"/>
        </w:rPr>
        <w:t xml:space="preserve"> el cuatro de agosto de dos mil veinticinco, en la que requirió lo siguiente:</w:t>
      </w:r>
    </w:p>
    <w:p w14:paraId="7ED25722" w14:textId="77777777" w:rsidR="00DE7FC4" w:rsidRPr="00D82002" w:rsidRDefault="00DE7FC4">
      <w:pPr>
        <w:spacing w:line="360" w:lineRule="auto"/>
        <w:jc w:val="both"/>
        <w:rPr>
          <w:rFonts w:ascii="Palatino Linotype" w:eastAsia="Palatino Linotype" w:hAnsi="Palatino Linotype" w:cs="Palatino Linotype"/>
          <w:sz w:val="22"/>
          <w:szCs w:val="22"/>
        </w:rPr>
      </w:pPr>
    </w:p>
    <w:p w14:paraId="6665A70A" w14:textId="77777777" w:rsidR="00DE7FC4" w:rsidRPr="00D82002" w:rsidRDefault="00EB2EDB">
      <w:pPr>
        <w:numPr>
          <w:ilvl w:val="0"/>
          <w:numId w:val="3"/>
        </w:numPr>
        <w:pBdr>
          <w:top w:val="nil"/>
          <w:left w:val="nil"/>
          <w:bottom w:val="nil"/>
          <w:right w:val="nil"/>
          <w:between w:val="nil"/>
        </w:pBdr>
        <w:spacing w:line="360" w:lineRule="auto"/>
        <w:ind w:left="426" w:right="49"/>
        <w:jc w:val="both"/>
        <w:rPr>
          <w:rFonts w:ascii="Palatino Linotype" w:eastAsia="Palatino Linotype" w:hAnsi="Palatino Linotype" w:cs="Palatino Linotype"/>
          <w:b/>
          <w:sz w:val="22"/>
          <w:szCs w:val="22"/>
        </w:rPr>
      </w:pPr>
      <w:bookmarkStart w:id="1" w:name="_heading=h.3znysh7" w:colFirst="0" w:colLast="0"/>
      <w:bookmarkEnd w:id="1"/>
      <w:r w:rsidRPr="00D82002">
        <w:rPr>
          <w:rFonts w:ascii="Palatino Linotype" w:eastAsia="Palatino Linotype" w:hAnsi="Palatino Linotype" w:cs="Palatino Linotype"/>
          <w:b/>
          <w:sz w:val="22"/>
          <w:szCs w:val="22"/>
        </w:rPr>
        <w:t>00362/ALMOJU/IP/2025</w:t>
      </w:r>
    </w:p>
    <w:p w14:paraId="64C615DA" w14:textId="77777777" w:rsidR="00DE7FC4" w:rsidRPr="00D82002" w:rsidRDefault="00EB2EDB">
      <w:pPr>
        <w:spacing w:line="276" w:lineRule="auto"/>
        <w:ind w:left="567" w:right="843"/>
        <w:jc w:val="both"/>
        <w:rPr>
          <w:rFonts w:ascii="Palatino Linotype" w:eastAsia="Palatino Linotype" w:hAnsi="Palatino Linotype" w:cs="Palatino Linotype"/>
          <w:b/>
          <w:i/>
          <w:sz w:val="22"/>
          <w:szCs w:val="22"/>
        </w:rPr>
      </w:pPr>
      <w:r w:rsidRPr="00D82002">
        <w:rPr>
          <w:rFonts w:ascii="Palatino Linotype" w:eastAsia="Palatino Linotype" w:hAnsi="Palatino Linotype" w:cs="Palatino Linotype"/>
          <w:i/>
          <w:sz w:val="22"/>
          <w:szCs w:val="22"/>
        </w:rPr>
        <w:t xml:space="preserve">"Se solicita del municipio, el presupuesto por ramos y el plan para la ejecución del presupuesto municipal de 2025, así como copia de la documentación sobre el Control del gasto público y seguimiento de las erogaciones. </w:t>
      </w:r>
      <w:proofErr w:type="spellStart"/>
      <w:r w:rsidRPr="00D82002">
        <w:rPr>
          <w:rFonts w:ascii="Palatino Linotype" w:eastAsia="Palatino Linotype" w:hAnsi="Palatino Linotype" w:cs="Palatino Linotype"/>
          <w:i/>
          <w:sz w:val="22"/>
          <w:szCs w:val="22"/>
        </w:rPr>
        <w:t>Asi</w:t>
      </w:r>
      <w:proofErr w:type="spellEnd"/>
      <w:r w:rsidRPr="00D82002">
        <w:rPr>
          <w:rFonts w:ascii="Palatino Linotype" w:eastAsia="Palatino Linotype" w:hAnsi="Palatino Linotype" w:cs="Palatino Linotype"/>
          <w:i/>
          <w:sz w:val="22"/>
          <w:szCs w:val="22"/>
        </w:rPr>
        <w:t xml:space="preserve"> mismo indique la </w:t>
      </w:r>
      <w:proofErr w:type="spellStart"/>
      <w:r w:rsidRPr="00D82002">
        <w:rPr>
          <w:rFonts w:ascii="Palatino Linotype" w:eastAsia="Palatino Linotype" w:hAnsi="Palatino Linotype" w:cs="Palatino Linotype"/>
          <w:i/>
          <w:sz w:val="22"/>
          <w:szCs w:val="22"/>
        </w:rPr>
        <w:t>fomra</w:t>
      </w:r>
      <w:proofErr w:type="spellEnd"/>
      <w:r w:rsidRPr="00D82002">
        <w:rPr>
          <w:rFonts w:ascii="Palatino Linotype" w:eastAsia="Palatino Linotype" w:hAnsi="Palatino Linotype" w:cs="Palatino Linotype"/>
          <w:i/>
          <w:sz w:val="22"/>
          <w:szCs w:val="22"/>
        </w:rPr>
        <w:t xml:space="preserve"> de gestión para la administración de los recursos disponibles para garantizar la </w:t>
      </w:r>
      <w:proofErr w:type="gramStart"/>
      <w:r w:rsidRPr="00D82002">
        <w:rPr>
          <w:rFonts w:ascii="Palatino Linotype" w:eastAsia="Palatino Linotype" w:hAnsi="Palatino Linotype" w:cs="Palatino Linotype"/>
          <w:i/>
          <w:sz w:val="22"/>
          <w:szCs w:val="22"/>
        </w:rPr>
        <w:t>liquidez..</w:t>
      </w:r>
      <w:proofErr w:type="gramEnd"/>
      <w:r w:rsidRPr="00D82002">
        <w:rPr>
          <w:rFonts w:ascii="Palatino Linotype" w:eastAsia="Palatino Linotype" w:hAnsi="Palatino Linotype" w:cs="Palatino Linotype"/>
          <w:i/>
          <w:sz w:val="22"/>
          <w:szCs w:val="22"/>
        </w:rPr>
        <w:t>"</w:t>
      </w:r>
      <w:r w:rsidRPr="00D82002">
        <w:rPr>
          <w:rFonts w:ascii="Palatino Linotype" w:eastAsia="Palatino Linotype" w:hAnsi="Palatino Linotype" w:cs="Palatino Linotype"/>
          <w:b/>
          <w:i/>
          <w:sz w:val="22"/>
          <w:szCs w:val="22"/>
        </w:rPr>
        <w:t>” (Sic.)</w:t>
      </w:r>
    </w:p>
    <w:p w14:paraId="1E4149A1" w14:textId="77777777" w:rsidR="00DE7FC4" w:rsidRPr="00D82002" w:rsidRDefault="00DE7FC4">
      <w:pPr>
        <w:spacing w:line="360" w:lineRule="auto"/>
        <w:ind w:left="567" w:right="843"/>
        <w:jc w:val="both"/>
        <w:rPr>
          <w:rFonts w:ascii="Palatino Linotype" w:eastAsia="Palatino Linotype" w:hAnsi="Palatino Linotype" w:cs="Palatino Linotype"/>
          <w:i/>
          <w:sz w:val="22"/>
          <w:szCs w:val="22"/>
        </w:rPr>
      </w:pPr>
    </w:p>
    <w:p w14:paraId="49B25B83" w14:textId="77777777" w:rsidR="00DE7FC4" w:rsidRPr="00D82002" w:rsidRDefault="00EB2EDB">
      <w:pPr>
        <w:spacing w:line="360" w:lineRule="auto"/>
        <w:ind w:right="49"/>
        <w:jc w:val="both"/>
        <w:rPr>
          <w:rFonts w:ascii="Palatino Linotype" w:eastAsia="Palatino Linotype" w:hAnsi="Palatino Linotype" w:cs="Palatino Linotype"/>
          <w:sz w:val="22"/>
          <w:szCs w:val="22"/>
        </w:rPr>
      </w:pPr>
      <w:r w:rsidRPr="00D82002">
        <w:rPr>
          <w:rFonts w:ascii="Palatino Linotype" w:eastAsia="Palatino Linotype" w:hAnsi="Palatino Linotype" w:cs="Palatino Linotype"/>
          <w:b/>
          <w:sz w:val="22"/>
          <w:szCs w:val="22"/>
        </w:rPr>
        <w:t>Modalidad elegida para la entrega de la información:</w:t>
      </w:r>
      <w:r w:rsidRPr="00D82002">
        <w:rPr>
          <w:rFonts w:ascii="Palatino Linotype" w:eastAsia="Palatino Linotype" w:hAnsi="Palatino Linotype" w:cs="Palatino Linotype"/>
          <w:sz w:val="22"/>
          <w:szCs w:val="22"/>
        </w:rPr>
        <w:t xml:space="preserve"> a través del Sistema de Acceso a la Información Mexiquense (SAIMEX).</w:t>
      </w:r>
    </w:p>
    <w:p w14:paraId="5A6D8901" w14:textId="77777777" w:rsidR="00DE7FC4" w:rsidRPr="00D82002" w:rsidRDefault="00DE7FC4">
      <w:pPr>
        <w:widowControl w:val="0"/>
        <w:spacing w:line="360" w:lineRule="auto"/>
        <w:jc w:val="both"/>
        <w:rPr>
          <w:rFonts w:ascii="Palatino Linotype" w:eastAsia="Palatino Linotype" w:hAnsi="Palatino Linotype" w:cs="Palatino Linotype"/>
          <w:b/>
          <w:sz w:val="22"/>
          <w:szCs w:val="22"/>
        </w:rPr>
      </w:pPr>
    </w:p>
    <w:p w14:paraId="372DD217" w14:textId="77777777" w:rsidR="00DE7FC4" w:rsidRPr="00D82002" w:rsidRDefault="00EB2EDB">
      <w:pPr>
        <w:widowControl w:val="0"/>
        <w:spacing w:line="360" w:lineRule="auto"/>
        <w:jc w:val="both"/>
        <w:rPr>
          <w:rFonts w:ascii="Palatino Linotype" w:eastAsia="Palatino Linotype" w:hAnsi="Palatino Linotype" w:cs="Palatino Linotype"/>
          <w:b/>
          <w:sz w:val="22"/>
          <w:szCs w:val="22"/>
        </w:rPr>
      </w:pPr>
      <w:r w:rsidRPr="00D82002">
        <w:rPr>
          <w:rFonts w:ascii="Palatino Linotype" w:eastAsia="Palatino Linotype" w:hAnsi="Palatino Linotype" w:cs="Palatino Linotype"/>
          <w:b/>
          <w:sz w:val="22"/>
          <w:szCs w:val="22"/>
        </w:rPr>
        <w:t xml:space="preserve">2.Prórroga. </w:t>
      </w:r>
      <w:r w:rsidRPr="00D82002">
        <w:rPr>
          <w:rFonts w:ascii="Palatino Linotype" w:eastAsia="Palatino Linotype" w:hAnsi="Palatino Linotype" w:cs="Palatino Linotype"/>
          <w:sz w:val="22"/>
          <w:szCs w:val="22"/>
        </w:rPr>
        <w:t>El veintidós de agosto de dos mil veinticinco el Sujeto Obligado solicitó una prórroga para dar respuesta a la solicitud, adjuntando el Acta de la Séptima Sesión Extraordinaria del Comité de Transparencia.</w:t>
      </w:r>
    </w:p>
    <w:p w14:paraId="73E19751" w14:textId="77777777" w:rsidR="00DE7FC4" w:rsidRPr="00D82002" w:rsidRDefault="00DE7FC4">
      <w:pPr>
        <w:widowControl w:val="0"/>
        <w:spacing w:line="360" w:lineRule="auto"/>
        <w:jc w:val="both"/>
        <w:rPr>
          <w:rFonts w:ascii="Palatino Linotype" w:eastAsia="Palatino Linotype" w:hAnsi="Palatino Linotype" w:cs="Palatino Linotype"/>
          <w:b/>
          <w:sz w:val="22"/>
          <w:szCs w:val="22"/>
        </w:rPr>
      </w:pPr>
    </w:p>
    <w:p w14:paraId="3076EBE6" w14:textId="77777777" w:rsidR="00DE7FC4" w:rsidRPr="00D82002" w:rsidRDefault="00EB2EDB">
      <w:pPr>
        <w:widowControl w:val="0"/>
        <w:spacing w:line="360" w:lineRule="auto"/>
        <w:jc w:val="both"/>
        <w:rPr>
          <w:rFonts w:ascii="Palatino Linotype" w:eastAsia="Palatino Linotype" w:hAnsi="Palatino Linotype" w:cs="Palatino Linotype"/>
          <w:sz w:val="22"/>
          <w:szCs w:val="22"/>
        </w:rPr>
      </w:pPr>
      <w:r w:rsidRPr="00D82002">
        <w:rPr>
          <w:rFonts w:ascii="Palatino Linotype" w:eastAsia="Palatino Linotype" w:hAnsi="Palatino Linotype" w:cs="Palatino Linotype"/>
          <w:b/>
          <w:sz w:val="22"/>
          <w:szCs w:val="22"/>
        </w:rPr>
        <w:t>3. Respuesta.</w:t>
      </w:r>
      <w:r w:rsidRPr="00D82002">
        <w:rPr>
          <w:rFonts w:ascii="Palatino Linotype" w:eastAsia="Palatino Linotype" w:hAnsi="Palatino Linotype" w:cs="Palatino Linotype"/>
          <w:sz w:val="22"/>
          <w:szCs w:val="22"/>
        </w:rPr>
        <w:t xml:space="preserve"> El </w:t>
      </w:r>
      <w:r w:rsidRPr="00D82002">
        <w:rPr>
          <w:rFonts w:ascii="Palatino Linotype" w:eastAsia="Palatino Linotype" w:hAnsi="Palatino Linotype" w:cs="Palatino Linotype"/>
          <w:b/>
          <w:sz w:val="22"/>
          <w:szCs w:val="22"/>
        </w:rPr>
        <w:t>tres de septiembre de dos mil veinticinco</w:t>
      </w:r>
      <w:r w:rsidRPr="00D82002">
        <w:rPr>
          <w:rFonts w:ascii="Palatino Linotype" w:eastAsia="Palatino Linotype" w:hAnsi="Palatino Linotype" w:cs="Palatino Linotype"/>
          <w:sz w:val="22"/>
          <w:szCs w:val="22"/>
        </w:rPr>
        <w:t xml:space="preserve">, el Sujeto Obligado dio respuesta a la solicitud a través del documento electrónico denominado </w:t>
      </w:r>
      <w:r w:rsidRPr="00D82002">
        <w:rPr>
          <w:rFonts w:ascii="Palatino Linotype" w:eastAsia="Palatino Linotype" w:hAnsi="Palatino Linotype" w:cs="Palatino Linotype"/>
          <w:b/>
          <w:sz w:val="22"/>
          <w:szCs w:val="22"/>
        </w:rPr>
        <w:t xml:space="preserve">Oficio Atención a Solicitud 00362-25.pdf </w:t>
      </w:r>
      <w:r w:rsidRPr="00D82002">
        <w:rPr>
          <w:rFonts w:ascii="Palatino Linotype" w:eastAsia="Palatino Linotype" w:hAnsi="Palatino Linotype" w:cs="Palatino Linotype"/>
          <w:sz w:val="22"/>
          <w:szCs w:val="22"/>
        </w:rPr>
        <w:t>que contiene el oficio ADJ/PM/TM/673/2025 suscrito por el Tesorero Municipal mediante el cual refiere que la información requerida corresponde a obligaciones de transparencia común y proporciona las siguientes direcciones electrónicas:</w:t>
      </w:r>
    </w:p>
    <w:p w14:paraId="5D449891" w14:textId="77777777" w:rsidR="00DE7FC4" w:rsidRPr="00D82002" w:rsidRDefault="00DE7FC4">
      <w:pPr>
        <w:widowControl w:val="0"/>
        <w:spacing w:line="360" w:lineRule="auto"/>
        <w:jc w:val="both"/>
        <w:rPr>
          <w:rFonts w:ascii="Palatino Linotype" w:eastAsia="Palatino Linotype" w:hAnsi="Palatino Linotype" w:cs="Palatino Linotype"/>
          <w:sz w:val="22"/>
          <w:szCs w:val="22"/>
        </w:rPr>
      </w:pPr>
    </w:p>
    <w:p w14:paraId="2B9DCD7E" w14:textId="77777777" w:rsidR="00DE7FC4" w:rsidRPr="00D82002" w:rsidRDefault="00EB2EDB">
      <w:pPr>
        <w:widowControl w:val="0"/>
        <w:spacing w:line="360" w:lineRule="auto"/>
        <w:jc w:val="both"/>
        <w:rPr>
          <w:rFonts w:ascii="Palatino Linotype" w:eastAsia="Palatino Linotype" w:hAnsi="Palatino Linotype" w:cs="Palatino Linotype"/>
          <w:sz w:val="22"/>
          <w:szCs w:val="22"/>
        </w:rPr>
      </w:pPr>
      <w:r w:rsidRPr="00D82002">
        <w:rPr>
          <w:rFonts w:ascii="Palatino Linotype" w:eastAsia="Palatino Linotype" w:hAnsi="Palatino Linotype" w:cs="Palatino Linotype"/>
          <w:noProof/>
          <w:sz w:val="22"/>
          <w:szCs w:val="22"/>
        </w:rPr>
        <w:drawing>
          <wp:inline distT="0" distB="0" distL="0" distR="0" wp14:anchorId="4833BF31" wp14:editId="043A8F06">
            <wp:extent cx="5756275" cy="2056130"/>
            <wp:effectExtent l="0" t="0" r="0" b="0"/>
            <wp:docPr id="1450129441" name="image5.png" descr="Tabla&#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5.png" descr="Tabla&#10;&#10;El contenido generado por IA puede ser incorrecto."/>
                    <pic:cNvPicPr preferRelativeResize="0"/>
                  </pic:nvPicPr>
                  <pic:blipFill>
                    <a:blip r:embed="rId8"/>
                    <a:srcRect/>
                    <a:stretch>
                      <a:fillRect/>
                    </a:stretch>
                  </pic:blipFill>
                  <pic:spPr>
                    <a:xfrm>
                      <a:off x="0" y="0"/>
                      <a:ext cx="5756275" cy="2056130"/>
                    </a:xfrm>
                    <a:prstGeom prst="rect">
                      <a:avLst/>
                    </a:prstGeom>
                    <a:ln/>
                  </pic:spPr>
                </pic:pic>
              </a:graphicData>
            </a:graphic>
          </wp:inline>
        </w:drawing>
      </w:r>
    </w:p>
    <w:p w14:paraId="5FE113F1" w14:textId="77777777" w:rsidR="00DE7FC4" w:rsidRPr="00D82002" w:rsidRDefault="00EB2EDB">
      <w:pPr>
        <w:spacing w:line="360" w:lineRule="auto"/>
        <w:jc w:val="both"/>
        <w:rPr>
          <w:rFonts w:ascii="Palatino Linotype" w:eastAsia="Palatino Linotype" w:hAnsi="Palatino Linotype" w:cs="Palatino Linotype"/>
          <w:sz w:val="22"/>
          <w:szCs w:val="22"/>
        </w:rPr>
      </w:pPr>
      <w:r w:rsidRPr="00D82002">
        <w:rPr>
          <w:rFonts w:ascii="Palatino Linotype" w:eastAsia="Palatino Linotype" w:hAnsi="Palatino Linotype" w:cs="Palatino Linotype"/>
          <w:b/>
          <w:sz w:val="22"/>
          <w:szCs w:val="22"/>
        </w:rPr>
        <w:t xml:space="preserve">4. Del Recurso de Revisión. </w:t>
      </w:r>
      <w:r w:rsidRPr="00D82002">
        <w:rPr>
          <w:rFonts w:ascii="Palatino Linotype" w:eastAsia="Palatino Linotype" w:hAnsi="Palatino Linotype" w:cs="Palatino Linotype"/>
          <w:sz w:val="22"/>
          <w:szCs w:val="22"/>
        </w:rPr>
        <w:t>Inconforme con la respuesta del</w:t>
      </w:r>
      <w:r w:rsidRPr="00D82002">
        <w:rPr>
          <w:rFonts w:ascii="Palatino Linotype" w:eastAsia="Palatino Linotype" w:hAnsi="Palatino Linotype" w:cs="Palatino Linotype"/>
          <w:b/>
          <w:sz w:val="22"/>
          <w:szCs w:val="22"/>
        </w:rPr>
        <w:t xml:space="preserve"> SUJETO OBLIGADO, </w:t>
      </w:r>
      <w:r w:rsidRPr="00D82002">
        <w:rPr>
          <w:rFonts w:ascii="Palatino Linotype" w:eastAsia="Palatino Linotype" w:hAnsi="Palatino Linotype" w:cs="Palatino Linotype"/>
          <w:sz w:val="22"/>
          <w:szCs w:val="22"/>
        </w:rPr>
        <w:t xml:space="preserve">el </w:t>
      </w:r>
      <w:r w:rsidRPr="00D82002">
        <w:rPr>
          <w:rFonts w:ascii="Palatino Linotype" w:eastAsia="Palatino Linotype" w:hAnsi="Palatino Linotype" w:cs="Palatino Linotype"/>
          <w:b/>
          <w:sz w:val="22"/>
          <w:szCs w:val="22"/>
        </w:rPr>
        <w:t>tres de septiembre</w:t>
      </w:r>
      <w:r w:rsidRPr="00D82002">
        <w:rPr>
          <w:rFonts w:ascii="Palatino Linotype" w:eastAsia="Palatino Linotype" w:hAnsi="Palatino Linotype" w:cs="Palatino Linotype"/>
          <w:sz w:val="22"/>
          <w:szCs w:val="22"/>
        </w:rPr>
        <w:t xml:space="preserve"> </w:t>
      </w:r>
      <w:r w:rsidRPr="00D82002">
        <w:rPr>
          <w:rFonts w:ascii="Palatino Linotype" w:eastAsia="Palatino Linotype" w:hAnsi="Palatino Linotype" w:cs="Palatino Linotype"/>
          <w:b/>
          <w:sz w:val="22"/>
          <w:szCs w:val="22"/>
        </w:rPr>
        <w:t xml:space="preserve">de dos mil veinticinco, LA PARTE RECURRENTE </w:t>
      </w:r>
      <w:r w:rsidRPr="00D82002">
        <w:rPr>
          <w:rFonts w:ascii="Palatino Linotype" w:eastAsia="Palatino Linotype" w:hAnsi="Palatino Linotype" w:cs="Palatino Linotype"/>
          <w:sz w:val="22"/>
          <w:szCs w:val="22"/>
        </w:rPr>
        <w:t xml:space="preserve">interpuso el recurso de revisión, mediante el cual y manifestó lo siguiente: </w:t>
      </w:r>
    </w:p>
    <w:p w14:paraId="58C6F518" w14:textId="77777777" w:rsidR="00DE7FC4" w:rsidRPr="00D82002" w:rsidRDefault="00DE7FC4">
      <w:pPr>
        <w:spacing w:line="360" w:lineRule="auto"/>
        <w:jc w:val="both"/>
        <w:rPr>
          <w:rFonts w:ascii="Palatino Linotype" w:eastAsia="Palatino Linotype" w:hAnsi="Palatino Linotype" w:cs="Palatino Linotype"/>
          <w:sz w:val="22"/>
          <w:szCs w:val="22"/>
        </w:rPr>
      </w:pPr>
    </w:p>
    <w:p w14:paraId="63B56CD0" w14:textId="77777777" w:rsidR="00DE7FC4" w:rsidRPr="00D82002" w:rsidRDefault="00EB2EDB">
      <w:pPr>
        <w:numPr>
          <w:ilvl w:val="0"/>
          <w:numId w:val="2"/>
        </w:numPr>
        <w:pBdr>
          <w:top w:val="nil"/>
          <w:left w:val="nil"/>
          <w:bottom w:val="nil"/>
          <w:right w:val="nil"/>
          <w:between w:val="nil"/>
        </w:pBdr>
        <w:spacing w:line="276" w:lineRule="auto"/>
        <w:ind w:right="560"/>
        <w:jc w:val="both"/>
        <w:rPr>
          <w:rFonts w:ascii="Palatino Linotype" w:eastAsia="Palatino Linotype" w:hAnsi="Palatino Linotype" w:cs="Palatino Linotype"/>
          <w:i/>
          <w:sz w:val="22"/>
          <w:szCs w:val="22"/>
        </w:rPr>
      </w:pPr>
      <w:r w:rsidRPr="00D82002">
        <w:rPr>
          <w:rFonts w:ascii="Palatino Linotype" w:eastAsia="Palatino Linotype" w:hAnsi="Palatino Linotype" w:cs="Palatino Linotype"/>
          <w:b/>
          <w:i/>
          <w:sz w:val="22"/>
          <w:szCs w:val="22"/>
        </w:rPr>
        <w:t>Acto Impugnado:</w:t>
      </w:r>
      <w:r w:rsidRPr="00D82002">
        <w:rPr>
          <w:rFonts w:ascii="Palatino Linotype" w:eastAsia="Palatino Linotype" w:hAnsi="Palatino Linotype" w:cs="Palatino Linotype"/>
          <w:i/>
          <w:sz w:val="22"/>
          <w:szCs w:val="22"/>
        </w:rPr>
        <w:t xml:space="preserve"> “NO PROPORCIONA LA INFORMACIÓN SOLICITADA.” (Sic.)</w:t>
      </w:r>
    </w:p>
    <w:p w14:paraId="421C5243" w14:textId="77777777" w:rsidR="00DE7FC4" w:rsidRPr="00D82002" w:rsidRDefault="00DE7FC4">
      <w:pPr>
        <w:pBdr>
          <w:top w:val="nil"/>
          <w:left w:val="nil"/>
          <w:bottom w:val="nil"/>
          <w:right w:val="nil"/>
          <w:between w:val="nil"/>
        </w:pBdr>
        <w:spacing w:line="276" w:lineRule="auto"/>
        <w:ind w:left="720" w:right="560"/>
        <w:jc w:val="both"/>
        <w:rPr>
          <w:rFonts w:ascii="Palatino Linotype" w:eastAsia="Palatino Linotype" w:hAnsi="Palatino Linotype" w:cs="Palatino Linotype"/>
          <w:i/>
          <w:sz w:val="22"/>
          <w:szCs w:val="22"/>
        </w:rPr>
      </w:pPr>
    </w:p>
    <w:p w14:paraId="538CA0FE" w14:textId="77777777" w:rsidR="00DE7FC4" w:rsidRPr="00D82002" w:rsidRDefault="00EB2EDB">
      <w:pPr>
        <w:numPr>
          <w:ilvl w:val="0"/>
          <w:numId w:val="2"/>
        </w:numPr>
        <w:pBdr>
          <w:top w:val="nil"/>
          <w:left w:val="nil"/>
          <w:bottom w:val="nil"/>
          <w:right w:val="nil"/>
          <w:between w:val="nil"/>
        </w:pBdr>
        <w:spacing w:line="276" w:lineRule="auto"/>
        <w:ind w:right="560"/>
        <w:jc w:val="both"/>
        <w:rPr>
          <w:rFonts w:ascii="Palatino Linotype" w:eastAsia="Palatino Linotype" w:hAnsi="Palatino Linotype" w:cs="Palatino Linotype"/>
          <w:i/>
          <w:sz w:val="22"/>
          <w:szCs w:val="22"/>
        </w:rPr>
      </w:pPr>
      <w:r w:rsidRPr="00D82002">
        <w:rPr>
          <w:rFonts w:ascii="Palatino Linotype" w:eastAsia="Palatino Linotype" w:hAnsi="Palatino Linotype" w:cs="Palatino Linotype"/>
          <w:b/>
          <w:i/>
          <w:sz w:val="22"/>
          <w:szCs w:val="22"/>
        </w:rPr>
        <w:lastRenderedPageBreak/>
        <w:t>Motivo de inconformidad:</w:t>
      </w:r>
      <w:r w:rsidRPr="00D82002">
        <w:rPr>
          <w:rFonts w:ascii="Palatino Linotype" w:eastAsia="Palatino Linotype" w:hAnsi="Palatino Linotype" w:cs="Palatino Linotype"/>
          <w:i/>
          <w:sz w:val="22"/>
          <w:szCs w:val="22"/>
        </w:rPr>
        <w:t xml:space="preserve"> “NO PROPORCIONA LA INFORMACIÓN SOLICITADA” (Sic.)</w:t>
      </w:r>
    </w:p>
    <w:p w14:paraId="55090325" w14:textId="77777777" w:rsidR="00DE7FC4" w:rsidRPr="00D82002" w:rsidRDefault="00DE7FC4">
      <w:pPr>
        <w:spacing w:line="360" w:lineRule="auto"/>
        <w:ind w:left="142" w:right="560"/>
        <w:jc w:val="both"/>
        <w:rPr>
          <w:rFonts w:ascii="Palatino Linotype" w:eastAsia="Palatino Linotype" w:hAnsi="Palatino Linotype" w:cs="Palatino Linotype"/>
          <w:i/>
          <w:sz w:val="22"/>
          <w:szCs w:val="22"/>
        </w:rPr>
      </w:pPr>
    </w:p>
    <w:p w14:paraId="55CA783C" w14:textId="77777777" w:rsidR="00DE7FC4" w:rsidRPr="00D82002" w:rsidRDefault="00EB2EDB">
      <w:pPr>
        <w:spacing w:line="360" w:lineRule="auto"/>
        <w:jc w:val="both"/>
        <w:rPr>
          <w:rFonts w:ascii="Palatino Linotype" w:eastAsia="Palatino Linotype" w:hAnsi="Palatino Linotype" w:cs="Palatino Linotype"/>
          <w:sz w:val="22"/>
          <w:szCs w:val="22"/>
        </w:rPr>
      </w:pPr>
      <w:r w:rsidRPr="00D82002">
        <w:rPr>
          <w:rFonts w:ascii="Palatino Linotype" w:eastAsia="Palatino Linotype" w:hAnsi="Palatino Linotype" w:cs="Palatino Linotype"/>
          <w:b/>
          <w:sz w:val="22"/>
          <w:szCs w:val="22"/>
        </w:rPr>
        <w:t xml:space="preserve">5. Turno. </w:t>
      </w:r>
      <w:r w:rsidRPr="00D82002">
        <w:rPr>
          <w:rFonts w:ascii="Palatino Linotype" w:eastAsia="Palatino Linotype" w:hAnsi="Palatino Linotype" w:cs="Palatino Linotype"/>
          <w:sz w:val="22"/>
          <w:szCs w:val="22"/>
        </w:rPr>
        <w:t xml:space="preserve">De conformidad con el artículo 185, fracción I de la Ley de Transparencia y Acceso a la Información Pública del Estado de México y Municipios, el recurso de revisión número </w:t>
      </w:r>
      <w:r w:rsidRPr="00D82002">
        <w:rPr>
          <w:rFonts w:ascii="Palatino Linotype" w:eastAsia="Palatino Linotype" w:hAnsi="Palatino Linotype" w:cs="Palatino Linotype"/>
          <w:b/>
          <w:sz w:val="22"/>
          <w:szCs w:val="22"/>
        </w:rPr>
        <w:t>10419/INFOEM/IP/RR/2025</w:t>
      </w:r>
      <w:r w:rsidRPr="00D82002">
        <w:rPr>
          <w:rFonts w:ascii="Palatino Linotype" w:eastAsia="Palatino Linotype" w:hAnsi="Palatino Linotype" w:cs="Palatino Linotype"/>
          <w:sz w:val="22"/>
          <w:szCs w:val="22"/>
        </w:rPr>
        <w:t xml:space="preserve">, se turnó por el sistema electrónico del Instituto de Transparencia, Acceso a la Información Pública y Protección de Datos Personales del Estado de México y Municipios, a la Comisionada </w:t>
      </w:r>
      <w:r w:rsidRPr="00D82002">
        <w:rPr>
          <w:rFonts w:ascii="Palatino Linotype" w:eastAsia="Palatino Linotype" w:hAnsi="Palatino Linotype" w:cs="Palatino Linotype"/>
          <w:b/>
          <w:sz w:val="22"/>
          <w:szCs w:val="22"/>
        </w:rPr>
        <w:t>Guadalupe Ramírez Peña</w:t>
      </w:r>
      <w:r w:rsidRPr="00D82002">
        <w:rPr>
          <w:rFonts w:ascii="Palatino Linotype" w:eastAsia="Palatino Linotype" w:hAnsi="Palatino Linotype" w:cs="Palatino Linotype"/>
          <w:sz w:val="22"/>
          <w:szCs w:val="22"/>
        </w:rPr>
        <w:t>, para su análisis, estudio, elaboración del proyecto y presentación ante el Pleno de este Instituto.</w:t>
      </w:r>
    </w:p>
    <w:p w14:paraId="53736ED0" w14:textId="77777777" w:rsidR="00DE7FC4" w:rsidRPr="00D82002" w:rsidRDefault="00DE7FC4">
      <w:pPr>
        <w:spacing w:line="360" w:lineRule="auto"/>
        <w:jc w:val="both"/>
        <w:rPr>
          <w:rFonts w:ascii="Palatino Linotype" w:eastAsia="Palatino Linotype" w:hAnsi="Palatino Linotype" w:cs="Palatino Linotype"/>
          <w:sz w:val="22"/>
          <w:szCs w:val="22"/>
        </w:rPr>
      </w:pPr>
    </w:p>
    <w:p w14:paraId="0E6EF350" w14:textId="77777777" w:rsidR="00DE7FC4" w:rsidRPr="00D82002" w:rsidRDefault="00EB2EDB">
      <w:pPr>
        <w:spacing w:line="360" w:lineRule="auto"/>
        <w:jc w:val="both"/>
        <w:rPr>
          <w:rFonts w:ascii="Palatino Linotype" w:eastAsia="Palatino Linotype" w:hAnsi="Palatino Linotype" w:cs="Palatino Linotype"/>
          <w:b/>
          <w:sz w:val="22"/>
          <w:szCs w:val="22"/>
        </w:rPr>
      </w:pPr>
      <w:r w:rsidRPr="00D82002">
        <w:rPr>
          <w:rFonts w:ascii="Palatino Linotype" w:eastAsia="Palatino Linotype" w:hAnsi="Palatino Linotype" w:cs="Palatino Linotype"/>
          <w:b/>
          <w:sz w:val="22"/>
          <w:szCs w:val="22"/>
        </w:rPr>
        <w:t xml:space="preserve">6. Admisión. </w:t>
      </w:r>
      <w:r w:rsidRPr="00D82002">
        <w:rPr>
          <w:rFonts w:ascii="Palatino Linotype" w:eastAsia="Palatino Linotype" w:hAnsi="Palatino Linotype" w:cs="Palatino Linotype"/>
          <w:sz w:val="22"/>
          <w:szCs w:val="22"/>
        </w:rPr>
        <w:t>El</w:t>
      </w:r>
      <w:r w:rsidRPr="00D82002">
        <w:rPr>
          <w:rFonts w:ascii="Palatino Linotype" w:eastAsia="Palatino Linotype" w:hAnsi="Palatino Linotype" w:cs="Palatino Linotype"/>
          <w:b/>
          <w:sz w:val="22"/>
          <w:szCs w:val="22"/>
        </w:rPr>
        <w:t xml:space="preserve"> ocho de septiembre de dos mil veinticinco</w:t>
      </w:r>
      <w:r w:rsidRPr="00D82002">
        <w:rPr>
          <w:rFonts w:ascii="Palatino Linotype" w:eastAsia="Palatino Linotype" w:hAnsi="Palatino Linotype" w:cs="Palatino Linotype"/>
          <w:sz w:val="22"/>
          <w:szCs w:val="22"/>
        </w:rPr>
        <w:t>, en términos de lo dispuesto en el artículo 185 fracciones I, II y IV de la Ley de Transparencia y Acceso a la Información Pública del Estado de México y Municipios, se admitió a trámite el recurso de revisión</w:t>
      </w:r>
      <w:r w:rsidRPr="00D82002">
        <w:rPr>
          <w:rFonts w:ascii="Palatino Linotype" w:eastAsia="Palatino Linotype" w:hAnsi="Palatino Linotype" w:cs="Palatino Linotype"/>
          <w:b/>
          <w:sz w:val="22"/>
          <w:szCs w:val="22"/>
        </w:rPr>
        <w:t>.</w:t>
      </w:r>
    </w:p>
    <w:p w14:paraId="5178FE0E" w14:textId="77777777" w:rsidR="00DE7FC4" w:rsidRPr="00D82002" w:rsidRDefault="00DE7FC4">
      <w:pPr>
        <w:spacing w:line="360" w:lineRule="auto"/>
        <w:jc w:val="both"/>
        <w:rPr>
          <w:rFonts w:ascii="Palatino Linotype" w:eastAsia="Palatino Linotype" w:hAnsi="Palatino Linotype" w:cs="Palatino Linotype"/>
          <w:b/>
          <w:sz w:val="22"/>
          <w:szCs w:val="22"/>
        </w:rPr>
      </w:pPr>
    </w:p>
    <w:p w14:paraId="29B74F8E" w14:textId="77777777" w:rsidR="00DE7FC4" w:rsidRPr="00D82002" w:rsidRDefault="00EB2EDB">
      <w:pPr>
        <w:spacing w:line="360" w:lineRule="auto"/>
        <w:jc w:val="both"/>
        <w:rPr>
          <w:rFonts w:ascii="Palatino Linotype" w:eastAsia="Palatino Linotype" w:hAnsi="Palatino Linotype" w:cs="Palatino Linotype"/>
          <w:sz w:val="22"/>
          <w:szCs w:val="22"/>
        </w:rPr>
      </w:pPr>
      <w:r w:rsidRPr="00D82002">
        <w:rPr>
          <w:rFonts w:ascii="Palatino Linotype" w:eastAsia="Palatino Linotype" w:hAnsi="Palatino Linotype" w:cs="Palatino Linotype"/>
          <w:b/>
          <w:sz w:val="22"/>
          <w:szCs w:val="22"/>
        </w:rPr>
        <w:t>7. Manifestaciones.</w:t>
      </w:r>
      <w:r w:rsidRPr="00D82002">
        <w:rPr>
          <w:rFonts w:ascii="Palatino Linotype" w:eastAsia="Palatino Linotype" w:hAnsi="Palatino Linotype" w:cs="Palatino Linotype"/>
          <w:sz w:val="22"/>
          <w:szCs w:val="22"/>
        </w:rPr>
        <w:t xml:space="preserve"> De las constancias que obran en el expediente electrónico del SAIMEX, se advierte que tanto el Recurrente como el Sujeto Obligado fueron omisos en realizar manifestaciones; se inserta imagen de referencia:</w:t>
      </w:r>
    </w:p>
    <w:p w14:paraId="7873C6B6" w14:textId="77777777" w:rsidR="00DE7FC4" w:rsidRPr="00D82002" w:rsidRDefault="00EB2EDB">
      <w:pPr>
        <w:spacing w:line="360" w:lineRule="auto"/>
        <w:jc w:val="both"/>
        <w:rPr>
          <w:rFonts w:ascii="Palatino Linotype" w:eastAsia="Palatino Linotype" w:hAnsi="Palatino Linotype" w:cs="Palatino Linotype"/>
          <w:sz w:val="22"/>
          <w:szCs w:val="22"/>
        </w:rPr>
      </w:pPr>
      <w:r w:rsidRPr="00D82002">
        <w:rPr>
          <w:rFonts w:ascii="Palatino Linotype" w:eastAsia="Palatino Linotype" w:hAnsi="Palatino Linotype" w:cs="Palatino Linotype"/>
          <w:noProof/>
          <w:sz w:val="22"/>
          <w:szCs w:val="22"/>
        </w:rPr>
        <w:drawing>
          <wp:inline distT="0" distB="0" distL="0" distR="0" wp14:anchorId="558D92F3" wp14:editId="334B4FD7">
            <wp:extent cx="5756275" cy="1746885"/>
            <wp:effectExtent l="0" t="0" r="0" b="0"/>
            <wp:docPr id="1450129443" name="image2.png" descr="Tabla&#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2.png" descr="Tabla&#10;&#10;El contenido generado por IA puede ser incorrecto."/>
                    <pic:cNvPicPr preferRelativeResize="0"/>
                  </pic:nvPicPr>
                  <pic:blipFill>
                    <a:blip r:embed="rId9"/>
                    <a:srcRect/>
                    <a:stretch>
                      <a:fillRect/>
                    </a:stretch>
                  </pic:blipFill>
                  <pic:spPr>
                    <a:xfrm>
                      <a:off x="0" y="0"/>
                      <a:ext cx="5756275" cy="1746885"/>
                    </a:xfrm>
                    <a:prstGeom prst="rect">
                      <a:avLst/>
                    </a:prstGeom>
                    <a:ln/>
                  </pic:spPr>
                </pic:pic>
              </a:graphicData>
            </a:graphic>
          </wp:inline>
        </w:drawing>
      </w:r>
    </w:p>
    <w:p w14:paraId="0C9B22F1" w14:textId="77777777" w:rsidR="00DE7FC4" w:rsidRPr="00D82002" w:rsidRDefault="00DE7FC4">
      <w:pPr>
        <w:spacing w:line="360" w:lineRule="auto"/>
        <w:jc w:val="both"/>
        <w:rPr>
          <w:rFonts w:ascii="Palatino Linotype" w:eastAsia="Palatino Linotype" w:hAnsi="Palatino Linotype" w:cs="Palatino Linotype"/>
          <w:sz w:val="22"/>
          <w:szCs w:val="22"/>
        </w:rPr>
      </w:pPr>
    </w:p>
    <w:p w14:paraId="36981D8A" w14:textId="77777777" w:rsidR="00DE7FC4" w:rsidRPr="00D82002" w:rsidRDefault="00EB2EDB">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D82002">
        <w:rPr>
          <w:rFonts w:ascii="Palatino Linotype" w:eastAsia="Palatino Linotype" w:hAnsi="Palatino Linotype" w:cs="Palatino Linotype"/>
          <w:b/>
          <w:sz w:val="22"/>
          <w:szCs w:val="22"/>
        </w:rPr>
        <w:t>8. Ampliación de plazo. El treinta de octubre de dos mil veinticinco</w:t>
      </w:r>
      <w:r w:rsidRPr="00D82002">
        <w:rPr>
          <w:rFonts w:ascii="Palatino Linotype" w:eastAsia="Palatino Linotype" w:hAnsi="Palatino Linotype" w:cs="Palatino Linotype"/>
          <w:sz w:val="22"/>
          <w:szCs w:val="22"/>
        </w:rPr>
        <w:t xml:space="preserve">, se amplió el término para resolver el recurso de revisión en términos del artículo 181 párrafo tercero de la Ley de Transparencia y Acceso a la Información Pública del Estado de México y Municipios. </w:t>
      </w:r>
    </w:p>
    <w:p w14:paraId="04B2147F" w14:textId="77777777" w:rsidR="00DE7FC4" w:rsidRPr="00D82002" w:rsidRDefault="00DE7FC4">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3EC90C0D" w14:textId="77777777" w:rsidR="00DE7FC4" w:rsidRPr="00D82002" w:rsidRDefault="00EB2EDB">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D82002">
        <w:rPr>
          <w:rFonts w:ascii="Palatino Linotype" w:eastAsia="Palatino Linotype" w:hAnsi="Palatino Linotype" w:cs="Palatino Linotype"/>
          <w:b/>
          <w:sz w:val="22"/>
          <w:szCs w:val="22"/>
        </w:rPr>
        <w:t>9. Cierre de instrucción</w:t>
      </w:r>
      <w:r w:rsidRPr="00D82002">
        <w:rPr>
          <w:rFonts w:ascii="Palatino Linotype" w:eastAsia="Palatino Linotype" w:hAnsi="Palatino Linotype" w:cs="Palatino Linotype"/>
          <w:sz w:val="22"/>
          <w:szCs w:val="22"/>
        </w:rPr>
        <w:t xml:space="preserve">. En fecha </w:t>
      </w:r>
      <w:r w:rsidRPr="00D82002">
        <w:rPr>
          <w:rFonts w:ascii="Palatino Linotype" w:eastAsia="Palatino Linotype" w:hAnsi="Palatino Linotype" w:cs="Palatino Linotype"/>
          <w:b/>
          <w:sz w:val="22"/>
          <w:szCs w:val="22"/>
        </w:rPr>
        <w:t>treinta</w:t>
      </w:r>
      <w:r w:rsidRPr="00D82002">
        <w:rPr>
          <w:rFonts w:ascii="Palatino Linotype" w:eastAsia="Palatino Linotype" w:hAnsi="Palatino Linotype" w:cs="Palatino Linotype"/>
          <w:sz w:val="22"/>
          <w:szCs w:val="22"/>
        </w:rPr>
        <w:t xml:space="preserve"> </w:t>
      </w:r>
      <w:r w:rsidRPr="00D82002">
        <w:rPr>
          <w:rFonts w:ascii="Palatino Linotype" w:eastAsia="Palatino Linotype" w:hAnsi="Palatino Linotype" w:cs="Palatino Linotype"/>
          <w:b/>
          <w:sz w:val="22"/>
          <w:szCs w:val="22"/>
        </w:rPr>
        <w:t>de octubre de dos mil veinticinco</w:t>
      </w:r>
      <w:r w:rsidRPr="00D82002">
        <w:rPr>
          <w:rFonts w:ascii="Palatino Linotype" w:eastAsia="Palatino Linotype" w:hAnsi="Palatino Linotype" w:cs="Palatino Linotype"/>
          <w:sz w:val="22"/>
          <w:szCs w:val="22"/>
        </w:rPr>
        <w:t>, la Comisionada Ponente determinó el cierre de instrucción en términos de la fracción VI del artículo 185 de la Ley de Transparencia y Acceso a la Información Pública del Estado de México y Municipios.</w:t>
      </w:r>
    </w:p>
    <w:p w14:paraId="41E0263D" w14:textId="77777777" w:rsidR="00DE7FC4" w:rsidRPr="00D82002" w:rsidRDefault="00DE7FC4">
      <w:pPr>
        <w:spacing w:line="360" w:lineRule="auto"/>
        <w:ind w:right="49"/>
        <w:jc w:val="both"/>
        <w:rPr>
          <w:rFonts w:ascii="Palatino Linotype" w:eastAsia="Palatino Linotype" w:hAnsi="Palatino Linotype" w:cs="Palatino Linotype"/>
          <w:sz w:val="22"/>
          <w:szCs w:val="22"/>
        </w:rPr>
      </w:pPr>
    </w:p>
    <w:p w14:paraId="4F27D1FE" w14:textId="77777777" w:rsidR="00DE7FC4" w:rsidRPr="00D82002" w:rsidRDefault="00EB2EDB">
      <w:pPr>
        <w:spacing w:line="360" w:lineRule="auto"/>
        <w:ind w:right="49"/>
        <w:jc w:val="both"/>
        <w:rPr>
          <w:rFonts w:ascii="Palatino Linotype" w:eastAsia="Palatino Linotype" w:hAnsi="Palatino Linotype" w:cs="Palatino Linotype"/>
          <w:sz w:val="22"/>
          <w:szCs w:val="22"/>
        </w:rPr>
      </w:pPr>
      <w:r w:rsidRPr="00D82002">
        <w:rPr>
          <w:rFonts w:ascii="Palatino Linotype" w:eastAsia="Palatino Linotype" w:hAnsi="Palatino Linotype" w:cs="Palatino Linotype"/>
          <w:sz w:val="22"/>
          <w:szCs w:val="22"/>
        </w:rPr>
        <w:t xml:space="preserve">Debido a que fueron debidamente sustanciados los expedientes electrónicos y no existe diligencia pendiente de desahogo, se emite la Resolución que conforme a Derecho proceda, de acuerdo con los siguientes: </w:t>
      </w:r>
    </w:p>
    <w:p w14:paraId="45AFE353" w14:textId="77777777" w:rsidR="00DE7FC4" w:rsidRPr="00D82002" w:rsidRDefault="00DE7FC4">
      <w:pPr>
        <w:spacing w:line="360" w:lineRule="auto"/>
        <w:ind w:right="49"/>
        <w:jc w:val="both"/>
        <w:rPr>
          <w:rFonts w:ascii="Palatino Linotype" w:eastAsia="Palatino Linotype" w:hAnsi="Palatino Linotype" w:cs="Palatino Linotype"/>
          <w:sz w:val="22"/>
          <w:szCs w:val="22"/>
        </w:rPr>
      </w:pPr>
    </w:p>
    <w:p w14:paraId="07B0D021" w14:textId="77777777" w:rsidR="00DE7FC4" w:rsidRPr="00D82002" w:rsidRDefault="00EB2EDB">
      <w:pPr>
        <w:spacing w:line="360" w:lineRule="auto"/>
        <w:ind w:right="49"/>
        <w:jc w:val="center"/>
        <w:rPr>
          <w:rFonts w:ascii="Palatino Linotype" w:eastAsia="Palatino Linotype" w:hAnsi="Palatino Linotype" w:cs="Palatino Linotype"/>
          <w:b/>
          <w:sz w:val="22"/>
          <w:szCs w:val="22"/>
        </w:rPr>
      </w:pPr>
      <w:r w:rsidRPr="00D82002">
        <w:rPr>
          <w:rFonts w:ascii="Palatino Linotype" w:eastAsia="Palatino Linotype" w:hAnsi="Palatino Linotype" w:cs="Palatino Linotype"/>
          <w:b/>
          <w:sz w:val="22"/>
          <w:szCs w:val="22"/>
        </w:rPr>
        <w:t>II.</w:t>
      </w:r>
      <w:r w:rsidRPr="00D82002">
        <w:rPr>
          <w:rFonts w:ascii="Palatino Linotype" w:eastAsia="Palatino Linotype" w:hAnsi="Palatino Linotype" w:cs="Palatino Linotype"/>
          <w:b/>
          <w:sz w:val="22"/>
          <w:szCs w:val="22"/>
        </w:rPr>
        <w:tab/>
        <w:t>C O N S I D E R A N D O:</w:t>
      </w:r>
    </w:p>
    <w:p w14:paraId="252D47D3" w14:textId="77777777" w:rsidR="00DE7FC4" w:rsidRPr="00D82002" w:rsidRDefault="00DE7FC4">
      <w:pPr>
        <w:spacing w:line="360" w:lineRule="auto"/>
        <w:ind w:right="49"/>
        <w:jc w:val="both"/>
        <w:rPr>
          <w:rFonts w:ascii="Palatino Linotype" w:eastAsia="Palatino Linotype" w:hAnsi="Palatino Linotype" w:cs="Palatino Linotype"/>
          <w:sz w:val="22"/>
          <w:szCs w:val="22"/>
        </w:rPr>
      </w:pPr>
    </w:p>
    <w:p w14:paraId="55292837" w14:textId="688FA736" w:rsidR="00DE7FC4" w:rsidRPr="00D82002" w:rsidRDefault="00EB2EDB">
      <w:pPr>
        <w:spacing w:line="360" w:lineRule="auto"/>
        <w:jc w:val="both"/>
        <w:rPr>
          <w:rFonts w:ascii="Palatino Linotype" w:eastAsia="Palatino Linotype" w:hAnsi="Palatino Linotype" w:cs="Palatino Linotype"/>
          <w:sz w:val="22"/>
          <w:szCs w:val="22"/>
        </w:rPr>
      </w:pPr>
      <w:r w:rsidRPr="00D82002">
        <w:rPr>
          <w:rFonts w:ascii="Palatino Linotype" w:eastAsia="Palatino Linotype" w:hAnsi="Palatino Linotype" w:cs="Palatino Linotype"/>
          <w:b/>
          <w:sz w:val="22"/>
          <w:szCs w:val="22"/>
        </w:rPr>
        <w:t>Primero. Competencia.</w:t>
      </w:r>
      <w:r w:rsidRPr="00D82002">
        <w:rPr>
          <w:rFonts w:ascii="Palatino Linotype" w:eastAsia="Palatino Linotype" w:hAnsi="Palatino Linotype" w:cs="Palatino Linotype"/>
          <w:sz w:val="22"/>
          <w:szCs w:val="22"/>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w:t>
      </w:r>
      <w:r w:rsidR="00687488" w:rsidRPr="00D82002">
        <w:rPr>
          <w:rFonts w:ascii="Palatino Linotype" w:eastAsia="Palatino Linotype" w:hAnsi="Palatino Linotype" w:cs="Palatino Linotype"/>
          <w:sz w:val="22"/>
          <w:szCs w:val="22"/>
        </w:rPr>
        <w:t>5 párrafos cuadragésimo cuarto, cuadragésimo quinto y cuadragésimo sexto, fracciones IV y V de la Constitución Política del Estado Libre y Soberano de México; transitorio Cuarto del Decreto número 198 de la “LXII” Legislatura del Estado de México</w:t>
      </w:r>
      <w:r w:rsidRPr="00D82002">
        <w:rPr>
          <w:rFonts w:ascii="Palatino Linotype" w:eastAsia="Palatino Linotype" w:hAnsi="Palatino Linotype" w:cs="Palatino Linotype"/>
          <w:sz w:val="22"/>
          <w:szCs w:val="22"/>
        </w:rPr>
        <w:t>;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26F8B986" w14:textId="77777777" w:rsidR="00DE7FC4" w:rsidRPr="00D82002" w:rsidRDefault="00EB2EDB">
      <w:pPr>
        <w:spacing w:before="240" w:after="240" w:line="360" w:lineRule="auto"/>
        <w:jc w:val="both"/>
        <w:rPr>
          <w:rFonts w:ascii="Palatino Linotype" w:eastAsia="Palatino Linotype" w:hAnsi="Palatino Linotype" w:cs="Palatino Linotype"/>
          <w:sz w:val="22"/>
          <w:szCs w:val="22"/>
        </w:rPr>
      </w:pPr>
      <w:r w:rsidRPr="00D82002">
        <w:rPr>
          <w:rFonts w:ascii="Palatino Linotype" w:eastAsia="Palatino Linotype" w:hAnsi="Palatino Linotype" w:cs="Palatino Linotype"/>
          <w:b/>
          <w:sz w:val="22"/>
          <w:szCs w:val="22"/>
        </w:rPr>
        <w:t xml:space="preserve">Segundo. Oportunidad y Procedibilidad del Recurso de Revisión. </w:t>
      </w:r>
      <w:r w:rsidRPr="00D82002">
        <w:rPr>
          <w:rFonts w:ascii="Palatino Linotype" w:eastAsia="Palatino Linotype" w:hAnsi="Palatino Linotype" w:cs="Palatino Linotype"/>
          <w:sz w:val="22"/>
          <w:szCs w:val="22"/>
        </w:rPr>
        <w:t>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2EF2009A" w14:textId="77777777" w:rsidR="00DE7FC4" w:rsidRPr="00D82002" w:rsidRDefault="00EB2EDB">
      <w:pPr>
        <w:spacing w:before="240" w:after="240" w:line="360" w:lineRule="auto"/>
        <w:jc w:val="both"/>
        <w:rPr>
          <w:rFonts w:ascii="Palatino Linotype" w:eastAsia="Palatino Linotype" w:hAnsi="Palatino Linotype" w:cs="Palatino Linotype"/>
          <w:sz w:val="22"/>
          <w:szCs w:val="22"/>
        </w:rPr>
      </w:pPr>
      <w:r w:rsidRPr="00D82002">
        <w:rPr>
          <w:rFonts w:ascii="Palatino Linotype" w:eastAsia="Palatino Linotype" w:hAnsi="Palatino Linotype" w:cs="Palatino Linotype"/>
          <w:sz w:val="22"/>
          <w:szCs w:val="22"/>
        </w:rPr>
        <w:t>Al respecto la Ley de Transparencia y Acceso a la Información Pública del Estado de México y Municipios, establece lo siguiente:</w:t>
      </w:r>
    </w:p>
    <w:p w14:paraId="150DF342" w14:textId="77777777" w:rsidR="00DE7FC4" w:rsidRPr="00D82002" w:rsidRDefault="00EB2EDB">
      <w:pPr>
        <w:spacing w:line="360" w:lineRule="auto"/>
        <w:ind w:left="851" w:right="900"/>
        <w:jc w:val="both"/>
        <w:rPr>
          <w:rFonts w:ascii="Palatino Linotype" w:eastAsia="Palatino Linotype" w:hAnsi="Palatino Linotype" w:cs="Palatino Linotype"/>
          <w:i/>
          <w:sz w:val="22"/>
          <w:szCs w:val="22"/>
        </w:rPr>
      </w:pPr>
      <w:r w:rsidRPr="00D82002">
        <w:rPr>
          <w:rFonts w:ascii="Palatino Linotype" w:eastAsia="Palatino Linotype" w:hAnsi="Palatino Linotype" w:cs="Palatino Linotype"/>
          <w:b/>
          <w:i/>
          <w:sz w:val="22"/>
          <w:szCs w:val="22"/>
        </w:rPr>
        <w:t xml:space="preserve">“Artículo 178. </w:t>
      </w:r>
      <w:r w:rsidRPr="00D82002">
        <w:rPr>
          <w:rFonts w:ascii="Palatino Linotype" w:eastAsia="Palatino Linotype" w:hAnsi="Palatino Linotype" w:cs="Palatino Linotype"/>
          <w:i/>
          <w:sz w:val="22"/>
          <w:szCs w:val="22"/>
        </w:rPr>
        <w:t>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5339E040" w14:textId="77777777" w:rsidR="00DE7FC4" w:rsidRPr="00D82002" w:rsidRDefault="00EB2EDB">
      <w:pPr>
        <w:spacing w:before="240" w:after="240" w:line="360" w:lineRule="auto"/>
        <w:ind w:right="49"/>
        <w:jc w:val="both"/>
        <w:rPr>
          <w:rFonts w:ascii="Palatino Linotype" w:eastAsia="Palatino Linotype" w:hAnsi="Palatino Linotype" w:cs="Palatino Linotype"/>
          <w:sz w:val="22"/>
          <w:szCs w:val="22"/>
        </w:rPr>
      </w:pPr>
      <w:r w:rsidRPr="00D82002">
        <w:rPr>
          <w:rFonts w:ascii="Palatino Linotype" w:eastAsia="Palatino Linotype" w:hAnsi="Palatino Linotype" w:cs="Palatino Linotype"/>
          <w:sz w:val="22"/>
          <w:szCs w:val="22"/>
        </w:rPr>
        <w:t xml:space="preserve">Del precepto legal transcrito, se desprende que cuando los solicitantes de información en el ejercicio del derecho de acceso a la información no se encuentren satisfechos con la información entregada por los sujetos obligados, podrán interponer recurso de revisión de manera directa o por medios electrónicos dentro de los quince días hábiles siguientes a la fecha de notificación de la respuesta, y, toda vez que el </w:t>
      </w:r>
      <w:r w:rsidRPr="00D82002">
        <w:rPr>
          <w:rFonts w:ascii="Palatino Linotype" w:eastAsia="Palatino Linotype" w:hAnsi="Palatino Linotype" w:cs="Palatino Linotype"/>
          <w:b/>
          <w:sz w:val="22"/>
          <w:szCs w:val="22"/>
        </w:rPr>
        <w:t>SUJETO OBLIGADO</w:t>
      </w:r>
      <w:r w:rsidRPr="00D82002">
        <w:rPr>
          <w:rFonts w:ascii="Palatino Linotype" w:eastAsia="Palatino Linotype" w:hAnsi="Palatino Linotype" w:cs="Palatino Linotype"/>
          <w:sz w:val="22"/>
          <w:szCs w:val="22"/>
        </w:rPr>
        <w:t xml:space="preserve"> remitió la respuesta a la solicitud de información el día </w:t>
      </w:r>
      <w:r w:rsidRPr="00D82002">
        <w:rPr>
          <w:rFonts w:ascii="Palatino Linotype" w:eastAsia="Palatino Linotype" w:hAnsi="Palatino Linotype" w:cs="Palatino Linotype"/>
          <w:b/>
          <w:sz w:val="22"/>
          <w:szCs w:val="22"/>
        </w:rPr>
        <w:t xml:space="preserve">tres de septiembre de dos mil veinticinco, </w:t>
      </w:r>
      <w:r w:rsidRPr="00D82002">
        <w:rPr>
          <w:rFonts w:ascii="Palatino Linotype" w:eastAsia="Palatino Linotype" w:hAnsi="Palatino Linotype" w:cs="Palatino Linotype"/>
          <w:sz w:val="22"/>
          <w:szCs w:val="22"/>
        </w:rPr>
        <w:t xml:space="preserve">mientras que el recurso de revisión interpuesto por la parte </w:t>
      </w:r>
      <w:r w:rsidRPr="00D82002">
        <w:rPr>
          <w:rFonts w:ascii="Palatino Linotype" w:eastAsia="Palatino Linotype" w:hAnsi="Palatino Linotype" w:cs="Palatino Linotype"/>
          <w:b/>
          <w:sz w:val="22"/>
          <w:szCs w:val="22"/>
        </w:rPr>
        <w:t>RECURRENTE</w:t>
      </w:r>
      <w:r w:rsidRPr="00D82002">
        <w:rPr>
          <w:rFonts w:ascii="Palatino Linotype" w:eastAsia="Palatino Linotype" w:hAnsi="Palatino Linotype" w:cs="Palatino Linotype"/>
          <w:sz w:val="22"/>
          <w:szCs w:val="22"/>
        </w:rPr>
        <w:t xml:space="preserve">, se tuvo por presentado el </w:t>
      </w:r>
      <w:r w:rsidRPr="00D82002">
        <w:rPr>
          <w:rFonts w:ascii="Palatino Linotype" w:eastAsia="Palatino Linotype" w:hAnsi="Palatino Linotype" w:cs="Palatino Linotype"/>
          <w:b/>
          <w:sz w:val="22"/>
          <w:szCs w:val="22"/>
        </w:rPr>
        <w:t>tres de septiembre de dos mil veinticinco</w:t>
      </w:r>
      <w:r w:rsidRPr="00D82002">
        <w:rPr>
          <w:rFonts w:ascii="Palatino Linotype" w:eastAsia="Palatino Linotype" w:hAnsi="Palatino Linotype" w:cs="Palatino Linotype"/>
          <w:sz w:val="22"/>
          <w:szCs w:val="22"/>
        </w:rPr>
        <w:t>; esto es, el mismo día que se tuvo conocimiento de la respuesta.</w:t>
      </w:r>
    </w:p>
    <w:p w14:paraId="6E5CD6B5" w14:textId="77777777" w:rsidR="00DE7FC4" w:rsidRPr="00D82002" w:rsidRDefault="00EB2EDB">
      <w:pPr>
        <w:pBdr>
          <w:top w:val="nil"/>
          <w:left w:val="nil"/>
          <w:bottom w:val="nil"/>
          <w:right w:val="nil"/>
          <w:between w:val="nil"/>
        </w:pBdr>
        <w:spacing w:before="240" w:after="240" w:line="360" w:lineRule="auto"/>
        <w:jc w:val="both"/>
      </w:pPr>
      <w:r w:rsidRPr="00D82002">
        <w:rPr>
          <w:rFonts w:ascii="Palatino Linotype" w:eastAsia="Palatino Linotype" w:hAnsi="Palatino Linotype" w:cs="Palatino Linotype"/>
          <w:sz w:val="22"/>
          <w:szCs w:val="22"/>
        </w:rPr>
        <w:t>Sin que contraríe a lo anterior, el artículo 178 en análisis, refiere que el plazo de quince días hábiles se contará a partir del día siguiente de la fecha en que el afectado tuvo conocimiento de la resolución materia de impugnación, ya que ello debe entenderse para el efecto de que transcurrido dicho plazo ya no podrá presentarse el medio de impugnación o si es que se presenta, el mismo se considerará extemporáneo, no así cuando el medio de defensa se interponga antes de que comience a correr el plazo legal; tiene aplicación por analogía, la jurisprudencia 1ª. /J.41/2015, publicada en el Semanario Judicial de la Federación y su Gaceta, Libro 19, Junio de 2015, Tomo I, página 569 de la Décima época que lleva por rubro y texto los siguientes:</w:t>
      </w:r>
    </w:p>
    <w:p w14:paraId="7AA5C753" w14:textId="77777777" w:rsidR="00DE7FC4" w:rsidRPr="00D82002" w:rsidRDefault="00EB2EDB">
      <w:pPr>
        <w:pBdr>
          <w:top w:val="nil"/>
          <w:left w:val="nil"/>
          <w:bottom w:val="nil"/>
          <w:right w:val="nil"/>
          <w:between w:val="nil"/>
        </w:pBdr>
        <w:spacing w:before="120" w:after="120"/>
        <w:ind w:left="860" w:right="900"/>
        <w:jc w:val="both"/>
      </w:pPr>
      <w:r w:rsidRPr="00D82002">
        <w:rPr>
          <w:rFonts w:ascii="Palatino Linotype" w:eastAsia="Palatino Linotype" w:hAnsi="Palatino Linotype" w:cs="Palatino Linotype"/>
          <w:b/>
          <w:i/>
          <w:sz w:val="22"/>
          <w:szCs w:val="22"/>
        </w:rPr>
        <w:t>“RECURSO DE RECLAMACIÓN. SU INTERPOSICIÓN NO ES EXTEMPORÁNEA SI SE REALIZA ANTES DE QUE INICIE EL PLAZO PARA HACERLO</w:t>
      </w:r>
      <w:r w:rsidRPr="00D82002">
        <w:rPr>
          <w:rFonts w:ascii="Palatino Linotype" w:eastAsia="Palatino Linotype" w:hAnsi="Palatino Linotype" w:cs="Palatino Linotype"/>
          <w:i/>
          <w:sz w:val="22"/>
          <w:szCs w:val="22"/>
        </w:rPr>
        <w:t>.</w:t>
      </w:r>
    </w:p>
    <w:p w14:paraId="44DCB8CF" w14:textId="77777777" w:rsidR="00DE7FC4" w:rsidRPr="00D82002" w:rsidRDefault="00EB2EDB">
      <w:pPr>
        <w:pBdr>
          <w:top w:val="nil"/>
          <w:left w:val="nil"/>
          <w:bottom w:val="nil"/>
          <w:right w:val="nil"/>
          <w:between w:val="nil"/>
        </w:pBdr>
        <w:spacing w:before="120" w:after="120"/>
        <w:ind w:left="860" w:right="900"/>
        <w:jc w:val="both"/>
      </w:pPr>
      <w:r w:rsidRPr="00D82002">
        <w:rPr>
          <w:rFonts w:ascii="Palatino Linotype" w:eastAsia="Palatino Linotype" w:hAnsi="Palatino Linotype" w:cs="Palatino Linotype"/>
          <w:i/>
          <w:sz w:val="22"/>
          <w:szCs w:val="22"/>
        </w:rPr>
        <w:t>“Conforme al artículo 104, párrafo segundo, de la Ley de Amparo, el recurso de reclamación podrá interponerse por cualquiera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que si dicho recurso se interpone antes de que inicie el plazo para hacerlo, su presentación no es extemporánea.”</w:t>
      </w:r>
    </w:p>
    <w:p w14:paraId="62AAA833" w14:textId="77777777" w:rsidR="00DE7FC4" w:rsidRPr="00D82002" w:rsidRDefault="00EB2EDB">
      <w:pPr>
        <w:spacing w:before="240" w:after="240" w:line="360" w:lineRule="auto"/>
        <w:ind w:right="49"/>
        <w:jc w:val="both"/>
        <w:rPr>
          <w:rFonts w:ascii="Palatino Linotype" w:eastAsia="Palatino Linotype" w:hAnsi="Palatino Linotype" w:cs="Palatino Linotype"/>
          <w:sz w:val="22"/>
          <w:szCs w:val="22"/>
        </w:rPr>
      </w:pPr>
      <w:r w:rsidRPr="00D82002">
        <w:rPr>
          <w:rFonts w:ascii="Palatino Linotype" w:eastAsia="Palatino Linotype" w:hAnsi="Palatino Linotype" w:cs="Palatino Linotype"/>
          <w:sz w:val="22"/>
          <w:szCs w:val="22"/>
        </w:rPr>
        <w:t>Así también, por cuanto hace a la procedibilidad del recurso de revisión, una vez realizado el análisis de los formatos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4803A5E9" w14:textId="77777777" w:rsidR="00DE7FC4" w:rsidRPr="00D82002" w:rsidRDefault="00EB2EDB">
      <w:pPr>
        <w:spacing w:before="240" w:after="240" w:line="360" w:lineRule="auto"/>
        <w:jc w:val="both"/>
        <w:rPr>
          <w:rFonts w:ascii="Palatino Linotype" w:eastAsia="Palatino Linotype" w:hAnsi="Palatino Linotype" w:cs="Palatino Linotype"/>
          <w:sz w:val="22"/>
          <w:szCs w:val="22"/>
        </w:rPr>
      </w:pPr>
      <w:r w:rsidRPr="00D82002">
        <w:rPr>
          <w:rFonts w:ascii="Palatino Linotype" w:eastAsia="Palatino Linotype" w:hAnsi="Palatino Linotype" w:cs="Palatino Linotype"/>
          <w:sz w:val="22"/>
          <w:szCs w:val="22"/>
        </w:rPr>
        <w:t>Asimismo, resulta procedente la interposición del recurso de revisión al rubro anotado, toda vez que se actualiza las hipótesis previstas en el artículo 179, fracción I de la ley de la materia, que a la letra dice:</w:t>
      </w:r>
    </w:p>
    <w:p w14:paraId="4F00BF60" w14:textId="77777777" w:rsidR="00DE7FC4" w:rsidRPr="00D82002" w:rsidRDefault="00EB2EDB">
      <w:pPr>
        <w:spacing w:line="360" w:lineRule="auto"/>
        <w:ind w:left="851" w:right="1041"/>
        <w:jc w:val="both"/>
        <w:rPr>
          <w:rFonts w:ascii="Palatino Linotype" w:eastAsia="Palatino Linotype" w:hAnsi="Palatino Linotype" w:cs="Palatino Linotype"/>
          <w:i/>
          <w:sz w:val="22"/>
          <w:szCs w:val="22"/>
        </w:rPr>
      </w:pPr>
      <w:r w:rsidRPr="00D82002">
        <w:rPr>
          <w:rFonts w:ascii="Palatino Linotype" w:eastAsia="Palatino Linotype" w:hAnsi="Palatino Linotype" w:cs="Palatino Linotype"/>
          <w:i/>
          <w:sz w:val="22"/>
          <w:szCs w:val="22"/>
        </w:rPr>
        <w:t>“</w:t>
      </w:r>
      <w:r w:rsidRPr="00D82002">
        <w:rPr>
          <w:rFonts w:ascii="Palatino Linotype" w:eastAsia="Palatino Linotype" w:hAnsi="Palatino Linotype" w:cs="Palatino Linotype"/>
          <w:b/>
          <w:i/>
          <w:sz w:val="22"/>
          <w:szCs w:val="22"/>
        </w:rPr>
        <w:t xml:space="preserve">Artículo 179. </w:t>
      </w:r>
      <w:r w:rsidRPr="00D82002">
        <w:rPr>
          <w:rFonts w:ascii="Palatino Linotype" w:eastAsia="Palatino Linotype" w:hAnsi="Palatino Linotype" w:cs="Palatino Linotype"/>
          <w:i/>
          <w:sz w:val="22"/>
          <w:szCs w:val="22"/>
        </w:rPr>
        <w:t>El recurso de revisión es un medio de protección que la Ley otorga a los particulares, para hacer valer su derecho de acceso a la información pública, y procederá en contra de las siguientes causas:</w:t>
      </w:r>
    </w:p>
    <w:p w14:paraId="6ABA96A5" w14:textId="77777777" w:rsidR="00DE7FC4" w:rsidRPr="00D82002" w:rsidRDefault="00EB2EDB">
      <w:pPr>
        <w:spacing w:line="360" w:lineRule="auto"/>
        <w:ind w:left="851" w:right="1041"/>
        <w:jc w:val="both"/>
        <w:rPr>
          <w:rFonts w:ascii="Palatino Linotype" w:eastAsia="Palatino Linotype" w:hAnsi="Palatino Linotype" w:cs="Palatino Linotype"/>
          <w:i/>
          <w:sz w:val="22"/>
          <w:szCs w:val="22"/>
        </w:rPr>
      </w:pPr>
      <w:r w:rsidRPr="00D82002">
        <w:rPr>
          <w:rFonts w:ascii="Palatino Linotype" w:eastAsia="Palatino Linotype" w:hAnsi="Palatino Linotype" w:cs="Palatino Linotype"/>
          <w:i/>
          <w:sz w:val="22"/>
          <w:szCs w:val="22"/>
        </w:rPr>
        <w:t>I. La negativa a la información solicitada</w:t>
      </w:r>
    </w:p>
    <w:p w14:paraId="133230CE" w14:textId="77777777" w:rsidR="00DE7FC4" w:rsidRPr="00D82002" w:rsidRDefault="00EB2EDB">
      <w:pPr>
        <w:spacing w:line="360" w:lineRule="auto"/>
        <w:ind w:left="851" w:right="1041"/>
        <w:jc w:val="both"/>
        <w:rPr>
          <w:rFonts w:ascii="Palatino Linotype" w:eastAsia="Palatino Linotype" w:hAnsi="Palatino Linotype" w:cs="Palatino Linotype"/>
          <w:i/>
          <w:sz w:val="22"/>
          <w:szCs w:val="22"/>
        </w:rPr>
      </w:pPr>
      <w:r w:rsidRPr="00D82002">
        <w:rPr>
          <w:rFonts w:ascii="Palatino Linotype" w:eastAsia="Palatino Linotype" w:hAnsi="Palatino Linotype" w:cs="Palatino Linotype"/>
          <w:i/>
          <w:sz w:val="22"/>
          <w:szCs w:val="22"/>
        </w:rPr>
        <w:t>…</w:t>
      </w:r>
    </w:p>
    <w:p w14:paraId="078701CA" w14:textId="77777777" w:rsidR="00DE7FC4" w:rsidRPr="00D82002" w:rsidRDefault="00EB2EDB">
      <w:pPr>
        <w:spacing w:before="240" w:after="240" w:line="360" w:lineRule="auto"/>
        <w:jc w:val="both"/>
        <w:rPr>
          <w:rFonts w:ascii="Palatino Linotype" w:eastAsia="Palatino Linotype" w:hAnsi="Palatino Linotype" w:cs="Palatino Linotype"/>
          <w:sz w:val="22"/>
          <w:szCs w:val="22"/>
        </w:rPr>
      </w:pPr>
      <w:r w:rsidRPr="00D82002">
        <w:rPr>
          <w:rFonts w:ascii="Palatino Linotype" w:eastAsia="Palatino Linotype" w:hAnsi="Palatino Linotype" w:cs="Palatino Linotype"/>
          <w:b/>
          <w:sz w:val="22"/>
          <w:szCs w:val="22"/>
        </w:rPr>
        <w:t xml:space="preserve">Tercero. Materia de la revisión. </w:t>
      </w:r>
      <w:r w:rsidRPr="00D82002">
        <w:rPr>
          <w:rFonts w:ascii="Palatino Linotype" w:eastAsia="Palatino Linotype" w:hAnsi="Palatino Linotype" w:cs="Palatino Linotype"/>
          <w:sz w:val="22"/>
          <w:szCs w:val="22"/>
        </w:rPr>
        <w:t xml:space="preserve">De la revisión a las constancias y documentos que obran en el expediente electrónico se advierte, que el tema sobre el que este Organismo Garante de Transparencia y Acceso a la Información se pronunciará será: </w:t>
      </w:r>
      <w:r w:rsidRPr="00D82002">
        <w:rPr>
          <w:rFonts w:ascii="Palatino Linotype" w:eastAsia="Palatino Linotype" w:hAnsi="Palatino Linotype" w:cs="Palatino Linotype"/>
          <w:b/>
          <w:sz w:val="22"/>
          <w:szCs w:val="22"/>
        </w:rPr>
        <w:t xml:space="preserve">verificar si la respuesta otorgada por el Sujeto Obligado es adecuada y suficiente para satisfacer el derecho de acceso a la información pública </w:t>
      </w:r>
      <w:r w:rsidRPr="00D82002">
        <w:rPr>
          <w:rFonts w:ascii="Palatino Linotype" w:eastAsia="Palatino Linotype" w:hAnsi="Palatino Linotype" w:cs="Palatino Linotype"/>
          <w:sz w:val="22"/>
          <w:szCs w:val="22"/>
        </w:rPr>
        <w:t xml:space="preserve">de la parte </w:t>
      </w:r>
      <w:r w:rsidRPr="00D82002">
        <w:rPr>
          <w:rFonts w:ascii="Palatino Linotype" w:eastAsia="Palatino Linotype" w:hAnsi="Palatino Linotype" w:cs="Palatino Linotype"/>
          <w:b/>
          <w:sz w:val="22"/>
          <w:szCs w:val="22"/>
        </w:rPr>
        <w:t>Recurrente</w:t>
      </w:r>
      <w:r w:rsidRPr="00D82002">
        <w:rPr>
          <w:rFonts w:ascii="Palatino Linotype" w:eastAsia="Palatino Linotype" w:hAnsi="Palatino Linotype" w:cs="Palatino Linotype"/>
          <w:sz w:val="22"/>
          <w:szCs w:val="22"/>
        </w:rPr>
        <w:t>, o en su defecto, en caso de ser procedente, ordenar la entrega de información.</w:t>
      </w:r>
    </w:p>
    <w:p w14:paraId="615C69A3" w14:textId="77777777" w:rsidR="00DE7FC4" w:rsidRPr="00D82002" w:rsidRDefault="00EB2EDB">
      <w:pPr>
        <w:spacing w:line="360" w:lineRule="auto"/>
        <w:jc w:val="both"/>
        <w:rPr>
          <w:rFonts w:ascii="Palatino Linotype" w:eastAsia="Palatino Linotype" w:hAnsi="Palatino Linotype" w:cs="Palatino Linotype"/>
          <w:sz w:val="22"/>
          <w:szCs w:val="22"/>
        </w:rPr>
      </w:pPr>
      <w:r w:rsidRPr="00D82002">
        <w:rPr>
          <w:rFonts w:ascii="Palatino Linotype" w:eastAsia="Palatino Linotype" w:hAnsi="Palatino Linotype" w:cs="Palatino Linotype"/>
          <w:b/>
          <w:sz w:val="22"/>
          <w:szCs w:val="22"/>
        </w:rPr>
        <w:t xml:space="preserve">Cuarto. Estudio del asunto. </w:t>
      </w:r>
      <w:r w:rsidRPr="00D82002">
        <w:rPr>
          <w:rFonts w:ascii="Palatino Linotype" w:eastAsia="Palatino Linotype" w:hAnsi="Palatino Linotype" w:cs="Palatino Linotype"/>
          <w:sz w:val="22"/>
          <w:szCs w:val="22"/>
        </w:rPr>
        <w:t xml:space="preserve">En principio, es conveniente analizar si la respuesta del </w:t>
      </w:r>
      <w:r w:rsidRPr="00D82002">
        <w:rPr>
          <w:rFonts w:ascii="Palatino Linotype" w:eastAsia="Palatino Linotype" w:hAnsi="Palatino Linotype" w:cs="Palatino Linotype"/>
          <w:b/>
          <w:sz w:val="22"/>
          <w:szCs w:val="22"/>
        </w:rPr>
        <w:t>SUJETO OBLIGADO</w:t>
      </w:r>
      <w:r w:rsidRPr="00D82002">
        <w:rPr>
          <w:rFonts w:ascii="Palatino Linotype" w:eastAsia="Palatino Linotype" w:hAnsi="Palatino Linotype" w:cs="Palatino Linotype"/>
          <w:sz w:val="22"/>
          <w:szCs w:val="22"/>
        </w:rPr>
        <w:t xml:space="preserve"> cumple con los requisitos y procedimientos del derecho de acceso a la información pública, en atención a que en la Ley de Transparencia y Acceso a la Información Pública del Estado de México y Municipios en su artículo 4, que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trascribe para un mejor entendimiento:</w:t>
      </w:r>
    </w:p>
    <w:p w14:paraId="314D8874" w14:textId="77777777" w:rsidR="00DE7FC4" w:rsidRPr="00D82002" w:rsidRDefault="00DE7FC4">
      <w:pPr>
        <w:spacing w:line="360" w:lineRule="auto"/>
        <w:jc w:val="both"/>
        <w:rPr>
          <w:rFonts w:ascii="Palatino Linotype" w:eastAsia="Palatino Linotype" w:hAnsi="Palatino Linotype" w:cs="Palatino Linotype"/>
          <w:sz w:val="22"/>
          <w:szCs w:val="22"/>
        </w:rPr>
      </w:pPr>
    </w:p>
    <w:p w14:paraId="067895BF" w14:textId="77777777" w:rsidR="00DE7FC4" w:rsidRPr="00D82002" w:rsidRDefault="00EB2EDB">
      <w:pPr>
        <w:spacing w:line="276" w:lineRule="auto"/>
        <w:ind w:left="567" w:right="616"/>
        <w:jc w:val="both"/>
        <w:rPr>
          <w:rFonts w:ascii="Palatino Linotype" w:eastAsia="Palatino Linotype" w:hAnsi="Palatino Linotype" w:cs="Palatino Linotype"/>
          <w:i/>
          <w:sz w:val="22"/>
          <w:szCs w:val="22"/>
        </w:rPr>
      </w:pPr>
      <w:r w:rsidRPr="00D82002">
        <w:rPr>
          <w:rFonts w:ascii="Palatino Linotype" w:eastAsia="Palatino Linotype" w:hAnsi="Palatino Linotype" w:cs="Palatino Linotype"/>
          <w:i/>
          <w:sz w:val="22"/>
          <w:szCs w:val="22"/>
        </w:rPr>
        <w:t>“</w:t>
      </w:r>
      <w:r w:rsidRPr="00D82002">
        <w:rPr>
          <w:rFonts w:ascii="Palatino Linotype" w:eastAsia="Palatino Linotype" w:hAnsi="Palatino Linotype" w:cs="Palatino Linotype"/>
          <w:b/>
          <w:i/>
          <w:sz w:val="22"/>
          <w:szCs w:val="22"/>
        </w:rPr>
        <w:t>Artículo 4</w:t>
      </w:r>
      <w:r w:rsidRPr="00D82002">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5B157E6D" w14:textId="77777777" w:rsidR="00DE7FC4" w:rsidRPr="00D82002" w:rsidRDefault="00EB2EDB">
      <w:pPr>
        <w:spacing w:line="276" w:lineRule="auto"/>
        <w:ind w:left="567" w:right="616"/>
        <w:jc w:val="both"/>
        <w:rPr>
          <w:rFonts w:ascii="Palatino Linotype" w:eastAsia="Palatino Linotype" w:hAnsi="Palatino Linotype" w:cs="Palatino Linotype"/>
          <w:i/>
          <w:sz w:val="22"/>
          <w:szCs w:val="22"/>
        </w:rPr>
      </w:pPr>
      <w:r w:rsidRPr="00D82002">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D82002">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62A004B8" w14:textId="77777777" w:rsidR="00DE7FC4" w:rsidRPr="00D82002" w:rsidRDefault="00EB2EDB">
      <w:pPr>
        <w:spacing w:line="276" w:lineRule="auto"/>
        <w:ind w:left="567" w:right="616"/>
        <w:jc w:val="both"/>
        <w:rPr>
          <w:rFonts w:ascii="Palatino Linotype" w:eastAsia="Palatino Linotype" w:hAnsi="Palatino Linotype" w:cs="Palatino Linotype"/>
          <w:i/>
          <w:sz w:val="22"/>
          <w:szCs w:val="22"/>
        </w:rPr>
      </w:pPr>
      <w:r w:rsidRPr="00D82002">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r w:rsidRPr="00D82002">
        <w:rPr>
          <w:rFonts w:ascii="Palatino Linotype" w:eastAsia="Palatino Linotype" w:hAnsi="Palatino Linotype" w:cs="Palatino Linotype"/>
          <w:i/>
          <w:sz w:val="22"/>
          <w:szCs w:val="22"/>
        </w:rPr>
        <w:t>.”</w:t>
      </w:r>
    </w:p>
    <w:p w14:paraId="2FE200FA" w14:textId="77777777" w:rsidR="00DE7FC4" w:rsidRPr="00D82002" w:rsidRDefault="00DE7FC4">
      <w:pPr>
        <w:spacing w:line="276" w:lineRule="auto"/>
        <w:jc w:val="both"/>
        <w:rPr>
          <w:rFonts w:ascii="Palatino Linotype" w:eastAsia="Palatino Linotype" w:hAnsi="Palatino Linotype" w:cs="Palatino Linotype"/>
          <w:sz w:val="22"/>
          <w:szCs w:val="22"/>
        </w:rPr>
      </w:pPr>
    </w:p>
    <w:p w14:paraId="0C4C5383" w14:textId="77777777" w:rsidR="00DE7FC4" w:rsidRPr="00D82002" w:rsidRDefault="00EB2EDB">
      <w:pPr>
        <w:spacing w:line="360" w:lineRule="auto"/>
        <w:jc w:val="both"/>
        <w:rPr>
          <w:rFonts w:ascii="Palatino Linotype" w:eastAsia="Palatino Linotype" w:hAnsi="Palatino Linotype" w:cs="Palatino Linotype"/>
          <w:sz w:val="22"/>
          <w:szCs w:val="22"/>
        </w:rPr>
      </w:pPr>
      <w:r w:rsidRPr="00D82002">
        <w:rPr>
          <w:rFonts w:ascii="Palatino Linotype" w:eastAsia="Palatino Linotype" w:hAnsi="Palatino Linotype" w:cs="Palatino Linotype"/>
          <w:sz w:val="22"/>
          <w:szCs w:val="22"/>
        </w:rPr>
        <w:t>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14:paraId="672C7026" w14:textId="77777777" w:rsidR="00DE7FC4" w:rsidRPr="00D82002" w:rsidRDefault="00DE7FC4">
      <w:pPr>
        <w:spacing w:line="360" w:lineRule="auto"/>
        <w:jc w:val="both"/>
        <w:rPr>
          <w:rFonts w:ascii="Palatino Linotype" w:eastAsia="Palatino Linotype" w:hAnsi="Palatino Linotype" w:cs="Palatino Linotype"/>
          <w:sz w:val="22"/>
          <w:szCs w:val="22"/>
        </w:rPr>
      </w:pPr>
    </w:p>
    <w:p w14:paraId="2ED75E69" w14:textId="77777777" w:rsidR="00DE7FC4" w:rsidRPr="00D82002" w:rsidRDefault="00EB2EDB">
      <w:pPr>
        <w:spacing w:line="276" w:lineRule="auto"/>
        <w:ind w:left="567" w:right="616"/>
        <w:jc w:val="both"/>
        <w:rPr>
          <w:rFonts w:ascii="Palatino Linotype" w:eastAsia="Palatino Linotype" w:hAnsi="Palatino Linotype" w:cs="Palatino Linotype"/>
          <w:i/>
          <w:sz w:val="22"/>
          <w:szCs w:val="22"/>
        </w:rPr>
      </w:pPr>
      <w:r w:rsidRPr="00D82002">
        <w:rPr>
          <w:rFonts w:ascii="Palatino Linotype" w:eastAsia="Palatino Linotype" w:hAnsi="Palatino Linotype" w:cs="Palatino Linotype"/>
          <w:b/>
          <w:i/>
          <w:sz w:val="22"/>
          <w:szCs w:val="22"/>
        </w:rPr>
        <w:t>“Artículo 12.-</w:t>
      </w:r>
      <w:r w:rsidRPr="00D82002">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174DBE9C" w14:textId="77777777" w:rsidR="00DE7FC4" w:rsidRPr="00D82002" w:rsidRDefault="00DE7FC4">
      <w:pPr>
        <w:spacing w:line="276" w:lineRule="auto"/>
        <w:ind w:left="567" w:right="616"/>
        <w:jc w:val="both"/>
        <w:rPr>
          <w:rFonts w:ascii="Palatino Linotype" w:eastAsia="Palatino Linotype" w:hAnsi="Palatino Linotype" w:cs="Palatino Linotype"/>
          <w:i/>
          <w:sz w:val="22"/>
          <w:szCs w:val="22"/>
        </w:rPr>
      </w:pPr>
    </w:p>
    <w:p w14:paraId="1C961FB2" w14:textId="77777777" w:rsidR="00DE7FC4" w:rsidRPr="00D82002" w:rsidRDefault="00EB2EDB">
      <w:pPr>
        <w:spacing w:line="276" w:lineRule="auto"/>
        <w:ind w:left="567" w:right="616"/>
        <w:jc w:val="both"/>
        <w:rPr>
          <w:rFonts w:ascii="Palatino Linotype" w:eastAsia="Palatino Linotype" w:hAnsi="Palatino Linotype" w:cs="Palatino Linotype"/>
          <w:i/>
          <w:sz w:val="22"/>
          <w:szCs w:val="22"/>
        </w:rPr>
      </w:pPr>
      <w:r w:rsidRPr="00D82002">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sidRPr="00D82002">
        <w:rPr>
          <w:rFonts w:ascii="Palatino Linotype" w:eastAsia="Palatino Linotype" w:hAnsi="Palatino Linotype" w:cs="Palatino Linotype"/>
          <w:i/>
          <w:sz w:val="22"/>
          <w:szCs w:val="22"/>
        </w:rPr>
        <w:t xml:space="preserve">. </w:t>
      </w:r>
      <w:r w:rsidRPr="00D82002">
        <w:rPr>
          <w:rFonts w:ascii="Palatino Linotype" w:eastAsia="Palatino Linotype" w:hAnsi="Palatino Linotype" w:cs="Palatino Linotype"/>
          <w:b/>
          <w:i/>
          <w:sz w:val="22"/>
          <w:szCs w:val="22"/>
        </w:rPr>
        <w:t xml:space="preserve">La obligación de proporcionar información no comprende el procesamiento de la misma, ni el presentarla conforme al interés del solicitante; no estarán obligados a generarla, resumirla, efectuar cálculos o practicar investigaciones.” </w:t>
      </w:r>
    </w:p>
    <w:p w14:paraId="464AABE8" w14:textId="77777777" w:rsidR="00DE7FC4" w:rsidRPr="00D82002" w:rsidRDefault="00DE7FC4">
      <w:pPr>
        <w:spacing w:line="360" w:lineRule="auto"/>
        <w:ind w:right="-93"/>
        <w:jc w:val="both"/>
        <w:rPr>
          <w:rFonts w:ascii="Palatino Linotype" w:eastAsia="Palatino Linotype" w:hAnsi="Palatino Linotype" w:cs="Palatino Linotype"/>
          <w:sz w:val="22"/>
          <w:szCs w:val="22"/>
        </w:rPr>
      </w:pPr>
    </w:p>
    <w:p w14:paraId="39B1BE9F" w14:textId="77777777" w:rsidR="00DE7FC4" w:rsidRPr="00D82002" w:rsidRDefault="00EB2EDB">
      <w:pPr>
        <w:spacing w:line="360" w:lineRule="auto"/>
        <w:ind w:right="-93"/>
        <w:jc w:val="both"/>
        <w:rPr>
          <w:rFonts w:ascii="Palatino Linotype" w:eastAsia="Palatino Linotype" w:hAnsi="Palatino Linotype" w:cs="Palatino Linotype"/>
          <w:sz w:val="22"/>
          <w:szCs w:val="22"/>
        </w:rPr>
      </w:pPr>
      <w:r w:rsidRPr="00D82002">
        <w:rPr>
          <w:rFonts w:ascii="Palatino Linotype" w:eastAsia="Palatino Linotype" w:hAnsi="Palatino Linotype" w:cs="Palatino Linotype"/>
          <w:sz w:val="22"/>
          <w:szCs w:val="22"/>
        </w:rPr>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solo se concretaran a proporcionar la información solicitada que tengan en su poder en el estado que se encuentran, sin necesidad de concretarse al interés o términos específicos del solicitante.</w:t>
      </w:r>
    </w:p>
    <w:p w14:paraId="72EA9D58" w14:textId="77777777" w:rsidR="00DE7FC4" w:rsidRPr="00D82002" w:rsidRDefault="00DE7FC4">
      <w:pPr>
        <w:spacing w:line="360" w:lineRule="auto"/>
        <w:ind w:right="-93"/>
        <w:jc w:val="both"/>
        <w:rPr>
          <w:rFonts w:ascii="Palatino Linotype" w:eastAsia="Palatino Linotype" w:hAnsi="Palatino Linotype" w:cs="Palatino Linotype"/>
          <w:sz w:val="22"/>
          <w:szCs w:val="22"/>
        </w:rPr>
      </w:pPr>
    </w:p>
    <w:p w14:paraId="2DA33307" w14:textId="77777777" w:rsidR="00DE7FC4" w:rsidRPr="00D82002" w:rsidRDefault="00EB2EDB">
      <w:pPr>
        <w:spacing w:line="360" w:lineRule="auto"/>
        <w:ind w:right="-93"/>
        <w:jc w:val="both"/>
        <w:rPr>
          <w:rFonts w:ascii="Palatino Linotype" w:eastAsia="Palatino Linotype" w:hAnsi="Palatino Linotype" w:cs="Palatino Linotype"/>
          <w:sz w:val="22"/>
          <w:szCs w:val="22"/>
        </w:rPr>
      </w:pPr>
      <w:r w:rsidRPr="00D82002">
        <w:rPr>
          <w:rFonts w:ascii="Palatino Linotype" w:eastAsia="Palatino Linotype" w:hAnsi="Palatino Linotype" w:cs="Palatino Linotype"/>
          <w:sz w:val="22"/>
          <w:szCs w:val="22"/>
        </w:rPr>
        <w:t>Sirve de apoyo a lo anterior, el criterio orientador 03-17, expuesto por el entonces Instituto Nacional de Transparencia, Acceso a la Información y Protección de Datos Personales, que dice:</w:t>
      </w:r>
      <w:r w:rsidRPr="00D82002">
        <w:rPr>
          <w:rFonts w:ascii="Palatino Linotype" w:eastAsia="Palatino Linotype" w:hAnsi="Palatino Linotype" w:cs="Palatino Linotype"/>
          <w:b/>
          <w:sz w:val="22"/>
          <w:szCs w:val="22"/>
        </w:rPr>
        <w:t xml:space="preserve"> </w:t>
      </w:r>
    </w:p>
    <w:p w14:paraId="68E96955" w14:textId="77777777" w:rsidR="00DE7FC4" w:rsidRPr="00D82002" w:rsidRDefault="00DE7FC4">
      <w:pPr>
        <w:spacing w:line="360" w:lineRule="auto"/>
        <w:jc w:val="both"/>
        <w:rPr>
          <w:rFonts w:ascii="Palatino Linotype" w:eastAsia="Palatino Linotype" w:hAnsi="Palatino Linotype" w:cs="Palatino Linotype"/>
          <w:b/>
          <w:sz w:val="22"/>
          <w:szCs w:val="22"/>
        </w:rPr>
      </w:pPr>
    </w:p>
    <w:p w14:paraId="5D7AE141" w14:textId="77777777" w:rsidR="00DE7FC4" w:rsidRPr="00D82002" w:rsidRDefault="00EB2EDB">
      <w:pPr>
        <w:ind w:left="567" w:right="616"/>
        <w:jc w:val="both"/>
        <w:rPr>
          <w:rFonts w:ascii="Palatino Linotype" w:eastAsia="Palatino Linotype" w:hAnsi="Palatino Linotype" w:cs="Palatino Linotype"/>
          <w:i/>
          <w:sz w:val="22"/>
          <w:szCs w:val="22"/>
        </w:rPr>
      </w:pPr>
      <w:r w:rsidRPr="00D82002">
        <w:rPr>
          <w:rFonts w:ascii="Palatino Linotype" w:eastAsia="Palatino Linotype" w:hAnsi="Palatino Linotype" w:cs="Palatino Linotype"/>
          <w:i/>
          <w:sz w:val="22"/>
          <w:szCs w:val="22"/>
        </w:rPr>
        <w:t>“</w:t>
      </w:r>
      <w:r w:rsidRPr="00D82002">
        <w:rPr>
          <w:rFonts w:ascii="Palatino Linotype" w:eastAsia="Palatino Linotype" w:hAnsi="Palatino Linotype" w:cs="Palatino Linotype"/>
          <w:b/>
          <w:i/>
          <w:sz w:val="22"/>
          <w:szCs w:val="22"/>
        </w:rPr>
        <w:t>No existe obligación de elaborar documentos ad hoc para atender las solicitudes de acceso a la información.</w:t>
      </w:r>
      <w:r w:rsidRPr="00D82002">
        <w:rPr>
          <w:rFonts w:ascii="Palatino Linotype" w:eastAsia="Palatino Linotype" w:hAnsi="Palatino Linotype" w:cs="Palatino Linotype"/>
          <w:i/>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14:paraId="4E2072B9" w14:textId="77777777" w:rsidR="00DE7FC4" w:rsidRPr="00D82002" w:rsidRDefault="00DE7FC4">
      <w:pPr>
        <w:spacing w:line="360" w:lineRule="auto"/>
        <w:ind w:right="-93"/>
        <w:jc w:val="both"/>
        <w:rPr>
          <w:rFonts w:ascii="Palatino Linotype" w:eastAsia="Palatino Linotype" w:hAnsi="Palatino Linotype" w:cs="Palatino Linotype"/>
          <w:sz w:val="22"/>
          <w:szCs w:val="22"/>
        </w:rPr>
      </w:pPr>
    </w:p>
    <w:p w14:paraId="4DDE0390" w14:textId="77777777" w:rsidR="00DE7FC4" w:rsidRPr="00D82002" w:rsidRDefault="00EB2EDB">
      <w:pPr>
        <w:spacing w:line="360" w:lineRule="auto"/>
        <w:jc w:val="both"/>
        <w:rPr>
          <w:rFonts w:ascii="Palatino Linotype" w:eastAsia="Palatino Linotype" w:hAnsi="Palatino Linotype" w:cs="Palatino Linotype"/>
          <w:sz w:val="22"/>
          <w:szCs w:val="22"/>
        </w:rPr>
      </w:pPr>
      <w:r w:rsidRPr="00D82002">
        <w:rPr>
          <w:rFonts w:ascii="Palatino Linotype" w:eastAsia="Palatino Linotype" w:hAnsi="Palatino Linotype" w:cs="Palatino Linotype"/>
          <w:sz w:val="22"/>
          <w:szCs w:val="22"/>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593B9BC7" w14:textId="77777777" w:rsidR="00DE7FC4" w:rsidRPr="00D82002" w:rsidRDefault="00DE7FC4">
      <w:pPr>
        <w:spacing w:line="360" w:lineRule="auto"/>
        <w:jc w:val="both"/>
        <w:rPr>
          <w:rFonts w:ascii="Palatino Linotype" w:eastAsia="Palatino Linotype" w:hAnsi="Palatino Linotype" w:cs="Palatino Linotype"/>
          <w:sz w:val="22"/>
          <w:szCs w:val="22"/>
        </w:rPr>
      </w:pPr>
    </w:p>
    <w:p w14:paraId="5ED413C8" w14:textId="77777777" w:rsidR="00DE7FC4" w:rsidRPr="00D82002" w:rsidRDefault="00EB2EDB">
      <w:pPr>
        <w:spacing w:line="360" w:lineRule="auto"/>
        <w:ind w:right="49"/>
        <w:jc w:val="both"/>
        <w:rPr>
          <w:rFonts w:ascii="Palatino Linotype" w:eastAsia="Palatino Linotype" w:hAnsi="Palatino Linotype" w:cs="Palatino Linotype"/>
          <w:sz w:val="22"/>
          <w:szCs w:val="22"/>
        </w:rPr>
      </w:pPr>
      <w:r w:rsidRPr="00D82002">
        <w:rPr>
          <w:rFonts w:ascii="Palatino Linotype" w:eastAsia="Palatino Linotype" w:hAnsi="Palatino Linotype" w:cs="Palatino Linotype"/>
          <w:sz w:val="22"/>
          <w:szCs w:val="22"/>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0907CE7B" w14:textId="77777777" w:rsidR="00DE7FC4" w:rsidRPr="00D82002" w:rsidRDefault="00DE7FC4">
      <w:pPr>
        <w:spacing w:line="360" w:lineRule="auto"/>
        <w:ind w:right="49"/>
        <w:jc w:val="both"/>
        <w:rPr>
          <w:rFonts w:ascii="Palatino Linotype" w:eastAsia="Palatino Linotype" w:hAnsi="Palatino Linotype" w:cs="Palatino Linotype"/>
          <w:sz w:val="22"/>
          <w:szCs w:val="22"/>
        </w:rPr>
      </w:pPr>
    </w:p>
    <w:p w14:paraId="0B88EA9A" w14:textId="77777777" w:rsidR="00DE7FC4" w:rsidRPr="00D82002" w:rsidRDefault="00EB2EDB">
      <w:pPr>
        <w:spacing w:line="360" w:lineRule="auto"/>
        <w:jc w:val="both"/>
        <w:rPr>
          <w:rFonts w:ascii="Palatino Linotype" w:eastAsia="Palatino Linotype" w:hAnsi="Palatino Linotype" w:cs="Palatino Linotype"/>
          <w:sz w:val="22"/>
          <w:szCs w:val="22"/>
        </w:rPr>
      </w:pPr>
      <w:r w:rsidRPr="00D82002">
        <w:rPr>
          <w:rFonts w:ascii="Palatino Linotype" w:eastAsia="Palatino Linotype" w:hAnsi="Palatino Linotype" w:cs="Palatino Linotype"/>
          <w:sz w:val="22"/>
          <w:szCs w:val="22"/>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1E9CC5FA" w14:textId="77777777" w:rsidR="00DE7FC4" w:rsidRPr="00D82002" w:rsidRDefault="00DE7FC4">
      <w:pPr>
        <w:spacing w:line="360" w:lineRule="auto"/>
        <w:ind w:left="567" w:right="616"/>
        <w:jc w:val="both"/>
        <w:rPr>
          <w:rFonts w:ascii="Palatino Linotype" w:eastAsia="Palatino Linotype" w:hAnsi="Palatino Linotype" w:cs="Palatino Linotype"/>
          <w:i/>
          <w:sz w:val="22"/>
          <w:szCs w:val="22"/>
        </w:rPr>
      </w:pPr>
    </w:p>
    <w:p w14:paraId="7F63CBDA" w14:textId="77777777" w:rsidR="00DE7FC4" w:rsidRPr="00D82002" w:rsidRDefault="00EB2EDB">
      <w:pPr>
        <w:ind w:left="567" w:right="616"/>
        <w:jc w:val="both"/>
        <w:rPr>
          <w:rFonts w:ascii="Palatino Linotype" w:eastAsia="Palatino Linotype" w:hAnsi="Palatino Linotype" w:cs="Palatino Linotype"/>
          <w:i/>
          <w:sz w:val="22"/>
          <w:szCs w:val="22"/>
        </w:rPr>
      </w:pPr>
      <w:r w:rsidRPr="00D82002">
        <w:rPr>
          <w:rFonts w:ascii="Palatino Linotype" w:eastAsia="Palatino Linotype" w:hAnsi="Palatino Linotype" w:cs="Palatino Linotype"/>
          <w:i/>
          <w:sz w:val="22"/>
          <w:szCs w:val="22"/>
        </w:rPr>
        <w:t>“</w:t>
      </w:r>
      <w:r w:rsidRPr="00D82002">
        <w:rPr>
          <w:rFonts w:ascii="Palatino Linotype" w:eastAsia="Palatino Linotype" w:hAnsi="Palatino Linotype" w:cs="Palatino Linotype"/>
          <w:b/>
          <w:i/>
          <w:sz w:val="22"/>
          <w:szCs w:val="22"/>
        </w:rPr>
        <w:t xml:space="preserve">Artículo 3. </w:t>
      </w:r>
      <w:r w:rsidRPr="00D82002">
        <w:rPr>
          <w:rFonts w:ascii="Palatino Linotype" w:eastAsia="Palatino Linotype" w:hAnsi="Palatino Linotype" w:cs="Palatino Linotype"/>
          <w:i/>
          <w:sz w:val="22"/>
          <w:szCs w:val="22"/>
        </w:rPr>
        <w:t>Para los efectos de la presente Ley se entenderá por:</w:t>
      </w:r>
    </w:p>
    <w:p w14:paraId="329067B4" w14:textId="77777777" w:rsidR="00DE7FC4" w:rsidRPr="00D82002" w:rsidRDefault="00EB2EDB">
      <w:pPr>
        <w:ind w:left="567" w:right="616"/>
        <w:jc w:val="both"/>
        <w:rPr>
          <w:rFonts w:ascii="Palatino Linotype" w:eastAsia="Palatino Linotype" w:hAnsi="Palatino Linotype" w:cs="Palatino Linotype"/>
          <w:i/>
          <w:sz w:val="22"/>
          <w:szCs w:val="22"/>
        </w:rPr>
      </w:pPr>
      <w:r w:rsidRPr="00D82002">
        <w:rPr>
          <w:rFonts w:ascii="Palatino Linotype" w:eastAsia="Palatino Linotype" w:hAnsi="Palatino Linotype" w:cs="Palatino Linotype"/>
          <w:i/>
          <w:sz w:val="22"/>
          <w:szCs w:val="22"/>
        </w:rPr>
        <w:t>…</w:t>
      </w:r>
    </w:p>
    <w:p w14:paraId="68E72174" w14:textId="77777777" w:rsidR="00DE7FC4" w:rsidRPr="00D82002" w:rsidRDefault="00EB2EDB">
      <w:pPr>
        <w:ind w:left="567" w:right="616"/>
        <w:jc w:val="both"/>
        <w:rPr>
          <w:rFonts w:ascii="Palatino Linotype" w:eastAsia="Palatino Linotype" w:hAnsi="Palatino Linotype" w:cs="Palatino Linotype"/>
          <w:i/>
          <w:sz w:val="22"/>
          <w:szCs w:val="22"/>
        </w:rPr>
      </w:pPr>
      <w:r w:rsidRPr="00D82002">
        <w:rPr>
          <w:rFonts w:ascii="Palatino Linotype" w:eastAsia="Palatino Linotype" w:hAnsi="Palatino Linotype" w:cs="Palatino Linotype"/>
          <w:b/>
          <w:i/>
          <w:sz w:val="22"/>
          <w:szCs w:val="22"/>
        </w:rPr>
        <w:t>XI. Documento:</w:t>
      </w:r>
      <w:r w:rsidRPr="00D82002">
        <w:rPr>
          <w:rFonts w:ascii="Palatino Linotype" w:eastAsia="Palatino Linotype" w:hAnsi="Palatino Linotype" w:cs="Palatino Linotype"/>
          <w:i/>
          <w:sz w:val="22"/>
          <w:szCs w:val="22"/>
        </w:rPr>
        <w:t xml:space="preserve"> Los expedientes, reportes, estudios, actas</w:t>
      </w:r>
      <w:r w:rsidRPr="00D82002">
        <w:rPr>
          <w:rFonts w:ascii="Palatino Linotype" w:eastAsia="Palatino Linotype" w:hAnsi="Palatino Linotype" w:cs="Palatino Linotype"/>
          <w:b/>
          <w:i/>
          <w:sz w:val="22"/>
          <w:szCs w:val="22"/>
        </w:rPr>
        <w:t>,</w:t>
      </w:r>
      <w:r w:rsidRPr="00D82002">
        <w:rPr>
          <w:rFonts w:ascii="Palatino Linotype" w:eastAsia="Palatino Linotype" w:hAnsi="Palatino Linotype" w:cs="Palatino Linotype"/>
          <w:i/>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14:paraId="05FB60C5" w14:textId="77777777" w:rsidR="00DE7FC4" w:rsidRPr="00D82002" w:rsidRDefault="00DE7FC4">
      <w:pPr>
        <w:spacing w:line="360" w:lineRule="auto"/>
        <w:ind w:left="851" w:right="899"/>
        <w:jc w:val="both"/>
        <w:rPr>
          <w:rFonts w:ascii="Palatino Linotype" w:eastAsia="Palatino Linotype" w:hAnsi="Palatino Linotype" w:cs="Palatino Linotype"/>
          <w:sz w:val="22"/>
          <w:szCs w:val="22"/>
        </w:rPr>
      </w:pPr>
    </w:p>
    <w:p w14:paraId="17BC2230" w14:textId="77777777" w:rsidR="00DE7FC4" w:rsidRPr="00D82002" w:rsidRDefault="00EB2EDB">
      <w:pPr>
        <w:spacing w:line="360" w:lineRule="auto"/>
        <w:jc w:val="both"/>
        <w:rPr>
          <w:rFonts w:ascii="Palatino Linotype" w:eastAsia="Palatino Linotype" w:hAnsi="Palatino Linotype" w:cs="Palatino Linotype"/>
          <w:sz w:val="22"/>
          <w:szCs w:val="22"/>
        </w:rPr>
      </w:pPr>
      <w:r w:rsidRPr="00D82002">
        <w:rPr>
          <w:rFonts w:ascii="Palatino Linotype" w:eastAsia="Palatino Linotype" w:hAnsi="Palatino Linotype" w:cs="Palatino Linotype"/>
          <w:sz w:val="22"/>
          <w:szCs w:val="22"/>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27783CE4" w14:textId="77777777" w:rsidR="00DE7FC4" w:rsidRPr="00D82002" w:rsidRDefault="00DE7FC4">
      <w:pPr>
        <w:spacing w:line="360" w:lineRule="auto"/>
        <w:jc w:val="both"/>
        <w:rPr>
          <w:rFonts w:ascii="Palatino Linotype" w:eastAsia="Palatino Linotype" w:hAnsi="Palatino Linotype" w:cs="Palatino Linotype"/>
          <w:sz w:val="22"/>
          <w:szCs w:val="22"/>
        </w:rPr>
      </w:pPr>
    </w:p>
    <w:p w14:paraId="4AC4CC2C" w14:textId="77777777" w:rsidR="00DE7FC4" w:rsidRPr="00D82002" w:rsidRDefault="00EB2EDB">
      <w:pPr>
        <w:ind w:left="567" w:right="616"/>
        <w:jc w:val="both"/>
        <w:rPr>
          <w:rFonts w:ascii="Palatino Linotype" w:eastAsia="Palatino Linotype" w:hAnsi="Palatino Linotype" w:cs="Palatino Linotype"/>
          <w:b/>
          <w:i/>
          <w:sz w:val="22"/>
          <w:szCs w:val="22"/>
        </w:rPr>
      </w:pPr>
      <w:r w:rsidRPr="00D82002">
        <w:rPr>
          <w:rFonts w:ascii="Palatino Linotype" w:eastAsia="Palatino Linotype" w:hAnsi="Palatino Linotype" w:cs="Palatino Linotype"/>
          <w:b/>
          <w:sz w:val="22"/>
          <w:szCs w:val="22"/>
        </w:rPr>
        <w:t>“</w:t>
      </w:r>
      <w:r w:rsidRPr="00D82002">
        <w:rPr>
          <w:rFonts w:ascii="Palatino Linotype" w:eastAsia="Palatino Linotype" w:hAnsi="Palatino Linotype" w:cs="Palatino Linotype"/>
          <w:b/>
          <w:i/>
          <w:sz w:val="22"/>
          <w:szCs w:val="22"/>
        </w:rPr>
        <w:t>CRITERIO 0002-11. INFORMACIÓN PÚBLICA, CONCEPTO DE, EN MATERIA DE TRANSPARENCIA. INTERPRETACIÓN SISTEMÁTICA DE LOS ARTÍCULOS 2°, FRACCIÓN V, XV, Y XVI, 3°, 4°, 11 Y 41.</w:t>
      </w:r>
      <w:r w:rsidRPr="00D82002">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7AD9898D" w14:textId="77777777" w:rsidR="00DE7FC4" w:rsidRPr="00D82002" w:rsidRDefault="00EB2EDB">
      <w:pPr>
        <w:ind w:left="567" w:right="616"/>
        <w:jc w:val="both"/>
        <w:rPr>
          <w:rFonts w:ascii="Palatino Linotype" w:eastAsia="Palatino Linotype" w:hAnsi="Palatino Linotype" w:cs="Palatino Linotype"/>
          <w:i/>
          <w:sz w:val="22"/>
          <w:szCs w:val="22"/>
        </w:rPr>
      </w:pPr>
      <w:r w:rsidRPr="00D82002">
        <w:rPr>
          <w:rFonts w:ascii="Palatino Linotype" w:eastAsia="Palatino Linotype" w:hAnsi="Palatino Linotype" w:cs="Palatino Linotype"/>
          <w:i/>
          <w:sz w:val="22"/>
          <w:szCs w:val="22"/>
        </w:rPr>
        <w:t>En consecuencia el acceso a la información se refiere a que se cumplan cualquiera de los siguientes tres supuestos:</w:t>
      </w:r>
    </w:p>
    <w:p w14:paraId="067ED0B3" w14:textId="77777777" w:rsidR="00DE7FC4" w:rsidRPr="00D82002" w:rsidRDefault="00EB2EDB">
      <w:pPr>
        <w:ind w:left="567" w:right="616"/>
        <w:jc w:val="both"/>
        <w:rPr>
          <w:rFonts w:ascii="Palatino Linotype" w:eastAsia="Palatino Linotype" w:hAnsi="Palatino Linotype" w:cs="Palatino Linotype"/>
          <w:i/>
          <w:sz w:val="22"/>
          <w:szCs w:val="22"/>
        </w:rPr>
      </w:pPr>
      <w:r w:rsidRPr="00D82002">
        <w:rPr>
          <w:rFonts w:ascii="Palatino Linotype" w:eastAsia="Palatino Linotype" w:hAnsi="Palatino Linotype" w:cs="Palatino Linotype"/>
          <w:i/>
          <w:sz w:val="22"/>
          <w:szCs w:val="22"/>
        </w:rPr>
        <w:t>1) Que se trate de información registrada en cualquier soporte documental, que en ejercicio de las atribuciones conferidas, sea generada por los Sujetos Obligados;</w:t>
      </w:r>
    </w:p>
    <w:p w14:paraId="4A191AD9" w14:textId="77777777" w:rsidR="00DE7FC4" w:rsidRPr="00D82002" w:rsidRDefault="00EB2EDB">
      <w:pPr>
        <w:ind w:left="567" w:right="616"/>
        <w:jc w:val="both"/>
        <w:rPr>
          <w:rFonts w:ascii="Palatino Linotype" w:eastAsia="Palatino Linotype" w:hAnsi="Palatino Linotype" w:cs="Palatino Linotype"/>
          <w:b/>
          <w:i/>
          <w:sz w:val="22"/>
          <w:szCs w:val="22"/>
        </w:rPr>
      </w:pPr>
      <w:r w:rsidRPr="00D82002">
        <w:rPr>
          <w:rFonts w:ascii="Palatino Linotype" w:eastAsia="Palatino Linotype" w:hAnsi="Palatino Linotype" w:cs="Palatino Linotype"/>
          <w:b/>
          <w:i/>
          <w:sz w:val="22"/>
          <w:szCs w:val="22"/>
        </w:rPr>
        <w:t>2) Que se trate de información registrada en cualquier soporte documental, que en ejercicio de las atribuciones conferidas, sea administrada por los Sujetos Obligados, y</w:t>
      </w:r>
    </w:p>
    <w:p w14:paraId="4027DD09" w14:textId="77777777" w:rsidR="00DE7FC4" w:rsidRPr="00D82002" w:rsidRDefault="00EB2EDB">
      <w:pPr>
        <w:ind w:left="567" w:right="616"/>
        <w:jc w:val="both"/>
        <w:rPr>
          <w:rFonts w:ascii="Palatino Linotype" w:eastAsia="Palatino Linotype" w:hAnsi="Palatino Linotype" w:cs="Palatino Linotype"/>
          <w:b/>
          <w:i/>
          <w:sz w:val="22"/>
          <w:szCs w:val="22"/>
        </w:rPr>
      </w:pPr>
      <w:r w:rsidRPr="00D82002">
        <w:rPr>
          <w:rFonts w:ascii="Palatino Linotype" w:eastAsia="Palatino Linotype" w:hAnsi="Palatino Linotype" w:cs="Palatino Linotype"/>
          <w:b/>
          <w:i/>
          <w:sz w:val="22"/>
          <w:szCs w:val="22"/>
        </w:rPr>
        <w:t xml:space="preserve">3) Que se trate de información registrada en cualquier soporte documental, que en ejercicio de las atribuciones conferidas, se encuentre en posesión de los Sujetos Obligados.” </w:t>
      </w:r>
    </w:p>
    <w:p w14:paraId="545772D1" w14:textId="77777777" w:rsidR="00DE7FC4" w:rsidRPr="00D82002" w:rsidRDefault="00DE7FC4">
      <w:pPr>
        <w:tabs>
          <w:tab w:val="left" w:pos="8647"/>
        </w:tabs>
        <w:spacing w:line="360" w:lineRule="auto"/>
        <w:jc w:val="both"/>
        <w:rPr>
          <w:rFonts w:ascii="Palatino Linotype" w:eastAsia="Palatino Linotype" w:hAnsi="Palatino Linotype" w:cs="Palatino Linotype"/>
          <w:b/>
          <w:sz w:val="22"/>
          <w:szCs w:val="22"/>
        </w:rPr>
      </w:pPr>
    </w:p>
    <w:p w14:paraId="39DC9FE1" w14:textId="77777777" w:rsidR="00DE7FC4" w:rsidRPr="00D82002" w:rsidRDefault="00EB2EDB">
      <w:pPr>
        <w:spacing w:after="240" w:line="360" w:lineRule="auto"/>
        <w:jc w:val="both"/>
        <w:rPr>
          <w:rFonts w:ascii="Palatino Linotype" w:eastAsia="Palatino Linotype" w:hAnsi="Palatino Linotype" w:cs="Palatino Linotype"/>
          <w:b/>
          <w:sz w:val="22"/>
          <w:szCs w:val="22"/>
        </w:rPr>
      </w:pPr>
      <w:r w:rsidRPr="00D82002">
        <w:rPr>
          <w:rFonts w:ascii="Palatino Linotype" w:eastAsia="Palatino Linotype" w:hAnsi="Palatino Linotype" w:cs="Palatino Linotype"/>
          <w:sz w:val="22"/>
          <w:szCs w:val="22"/>
        </w:rPr>
        <w:t xml:space="preserve">Del análisis de la solicitud de información motivo del recurso de revisión que ahora se resuelve, se advierte que el particular requirió al </w:t>
      </w:r>
      <w:r w:rsidRPr="00D82002">
        <w:rPr>
          <w:rFonts w:ascii="Palatino Linotype" w:eastAsia="Palatino Linotype" w:hAnsi="Palatino Linotype" w:cs="Palatino Linotype"/>
          <w:b/>
          <w:sz w:val="22"/>
          <w:szCs w:val="22"/>
        </w:rPr>
        <w:t>Ayuntamiento de Almoloya de Juárez la siguiente información:</w:t>
      </w:r>
    </w:p>
    <w:p w14:paraId="5FEE606A" w14:textId="77777777" w:rsidR="00DE7FC4" w:rsidRPr="00D82002" w:rsidRDefault="00EB2EDB">
      <w:pPr>
        <w:numPr>
          <w:ilvl w:val="0"/>
          <w:numId w:val="1"/>
        </w:numPr>
        <w:pBdr>
          <w:top w:val="nil"/>
          <w:left w:val="nil"/>
          <w:bottom w:val="nil"/>
          <w:right w:val="nil"/>
          <w:between w:val="nil"/>
        </w:pBdr>
        <w:spacing w:line="360" w:lineRule="auto"/>
        <w:jc w:val="both"/>
        <w:rPr>
          <w:rFonts w:ascii="Palatino Linotype" w:eastAsia="Palatino Linotype" w:hAnsi="Palatino Linotype" w:cs="Palatino Linotype"/>
          <w:b/>
          <w:sz w:val="22"/>
          <w:szCs w:val="22"/>
        </w:rPr>
      </w:pPr>
      <w:r w:rsidRPr="00D82002">
        <w:rPr>
          <w:rFonts w:ascii="Palatino Linotype" w:eastAsia="Palatino Linotype" w:hAnsi="Palatino Linotype" w:cs="Palatino Linotype"/>
          <w:b/>
          <w:sz w:val="22"/>
          <w:szCs w:val="22"/>
        </w:rPr>
        <w:t>Presupuesto por ramos;</w:t>
      </w:r>
    </w:p>
    <w:p w14:paraId="56F5AF01" w14:textId="77777777" w:rsidR="00DE7FC4" w:rsidRPr="00D82002" w:rsidRDefault="00EB2EDB">
      <w:pPr>
        <w:numPr>
          <w:ilvl w:val="0"/>
          <w:numId w:val="1"/>
        </w:numPr>
        <w:pBdr>
          <w:top w:val="nil"/>
          <w:left w:val="nil"/>
          <w:bottom w:val="nil"/>
          <w:right w:val="nil"/>
          <w:between w:val="nil"/>
        </w:pBdr>
        <w:spacing w:line="360" w:lineRule="auto"/>
        <w:jc w:val="both"/>
        <w:rPr>
          <w:rFonts w:ascii="Palatino Linotype" w:eastAsia="Palatino Linotype" w:hAnsi="Palatino Linotype" w:cs="Palatino Linotype"/>
          <w:b/>
          <w:sz w:val="22"/>
          <w:szCs w:val="22"/>
        </w:rPr>
      </w:pPr>
      <w:r w:rsidRPr="00D82002">
        <w:rPr>
          <w:rFonts w:ascii="Palatino Linotype" w:eastAsia="Palatino Linotype" w:hAnsi="Palatino Linotype" w:cs="Palatino Linotype"/>
          <w:b/>
          <w:sz w:val="22"/>
          <w:szCs w:val="22"/>
        </w:rPr>
        <w:t>Plan para la ejecución del presupuesto 2025;</w:t>
      </w:r>
    </w:p>
    <w:p w14:paraId="2A4793CE" w14:textId="77777777" w:rsidR="00DE7FC4" w:rsidRPr="00D82002" w:rsidRDefault="00EB2EDB">
      <w:pPr>
        <w:numPr>
          <w:ilvl w:val="0"/>
          <w:numId w:val="1"/>
        </w:numPr>
        <w:pBdr>
          <w:top w:val="nil"/>
          <w:left w:val="nil"/>
          <w:bottom w:val="nil"/>
          <w:right w:val="nil"/>
          <w:between w:val="nil"/>
        </w:pBdr>
        <w:spacing w:line="360" w:lineRule="auto"/>
        <w:jc w:val="both"/>
        <w:rPr>
          <w:rFonts w:ascii="Palatino Linotype" w:eastAsia="Palatino Linotype" w:hAnsi="Palatino Linotype" w:cs="Palatino Linotype"/>
          <w:b/>
          <w:sz w:val="22"/>
          <w:szCs w:val="22"/>
        </w:rPr>
      </w:pPr>
      <w:r w:rsidRPr="00D82002">
        <w:rPr>
          <w:rFonts w:ascii="Palatino Linotype" w:eastAsia="Palatino Linotype" w:hAnsi="Palatino Linotype" w:cs="Palatino Linotype"/>
          <w:b/>
          <w:sz w:val="22"/>
          <w:szCs w:val="22"/>
        </w:rPr>
        <w:t>Documentos sobre el control de gastos y seguimiento a las erogaciones; y,</w:t>
      </w:r>
    </w:p>
    <w:p w14:paraId="16FE0288" w14:textId="77777777" w:rsidR="00DE7FC4" w:rsidRPr="00D82002" w:rsidRDefault="00EB2EDB">
      <w:pPr>
        <w:numPr>
          <w:ilvl w:val="0"/>
          <w:numId w:val="1"/>
        </w:numPr>
        <w:pBdr>
          <w:top w:val="nil"/>
          <w:left w:val="nil"/>
          <w:bottom w:val="nil"/>
          <w:right w:val="nil"/>
          <w:between w:val="nil"/>
        </w:pBdr>
        <w:spacing w:after="240" w:line="360" w:lineRule="auto"/>
        <w:jc w:val="both"/>
        <w:rPr>
          <w:rFonts w:ascii="Palatino Linotype" w:eastAsia="Palatino Linotype" w:hAnsi="Palatino Linotype" w:cs="Palatino Linotype"/>
          <w:b/>
          <w:sz w:val="22"/>
          <w:szCs w:val="22"/>
        </w:rPr>
      </w:pPr>
      <w:r w:rsidRPr="00D82002">
        <w:rPr>
          <w:rFonts w:ascii="Palatino Linotype" w:eastAsia="Palatino Linotype" w:hAnsi="Palatino Linotype" w:cs="Palatino Linotype"/>
          <w:b/>
          <w:sz w:val="22"/>
          <w:szCs w:val="22"/>
        </w:rPr>
        <w:t xml:space="preserve">Forma de gestión para la </w:t>
      </w:r>
      <w:proofErr w:type="spellStart"/>
      <w:r w:rsidRPr="00D82002">
        <w:rPr>
          <w:rFonts w:ascii="Palatino Linotype" w:eastAsia="Palatino Linotype" w:hAnsi="Palatino Linotype" w:cs="Palatino Linotype"/>
          <w:b/>
          <w:sz w:val="22"/>
          <w:szCs w:val="22"/>
        </w:rPr>
        <w:t>admininistración</w:t>
      </w:r>
      <w:proofErr w:type="spellEnd"/>
      <w:r w:rsidRPr="00D82002">
        <w:rPr>
          <w:rFonts w:ascii="Palatino Linotype" w:eastAsia="Palatino Linotype" w:hAnsi="Palatino Linotype" w:cs="Palatino Linotype"/>
          <w:b/>
          <w:sz w:val="22"/>
          <w:szCs w:val="22"/>
        </w:rPr>
        <w:t xml:space="preserve"> de los recursos para garantizar la liquidez.</w:t>
      </w:r>
    </w:p>
    <w:p w14:paraId="29B3D3D4" w14:textId="77777777" w:rsidR="00DE7FC4" w:rsidRPr="00D82002" w:rsidRDefault="00EB2EDB">
      <w:pPr>
        <w:spacing w:after="240" w:line="360" w:lineRule="auto"/>
        <w:jc w:val="both"/>
        <w:rPr>
          <w:rFonts w:ascii="Palatino Linotype" w:eastAsia="Palatino Linotype" w:hAnsi="Palatino Linotype" w:cs="Palatino Linotype"/>
          <w:sz w:val="22"/>
          <w:szCs w:val="22"/>
        </w:rPr>
      </w:pPr>
      <w:r w:rsidRPr="00D82002">
        <w:rPr>
          <w:rFonts w:ascii="Palatino Linotype" w:eastAsia="Palatino Linotype" w:hAnsi="Palatino Linotype" w:cs="Palatino Linotype"/>
          <w:sz w:val="22"/>
          <w:szCs w:val="22"/>
        </w:rPr>
        <w:t>Se advierte que, quien dio respuesta a la solicitud es el Tesorero Municipal, por lo que es necesario traer a contexto la Ley Orgánica Municipal del Estado México, que dispone lo siguiente:</w:t>
      </w:r>
    </w:p>
    <w:p w14:paraId="72D23D3C" w14:textId="77777777" w:rsidR="00DE7FC4" w:rsidRPr="00D82002" w:rsidRDefault="00EB2EDB">
      <w:pPr>
        <w:pBdr>
          <w:top w:val="nil"/>
          <w:left w:val="nil"/>
          <w:bottom w:val="nil"/>
          <w:right w:val="nil"/>
          <w:between w:val="nil"/>
        </w:pBdr>
        <w:ind w:left="851" w:right="616"/>
        <w:jc w:val="center"/>
      </w:pPr>
      <w:r w:rsidRPr="00D82002">
        <w:rPr>
          <w:rFonts w:ascii="Palatino Linotype" w:eastAsia="Palatino Linotype" w:hAnsi="Palatino Linotype" w:cs="Palatino Linotype"/>
          <w:b/>
          <w:i/>
          <w:sz w:val="22"/>
          <w:szCs w:val="22"/>
        </w:rPr>
        <w:t>LEY ORGÁNICA MUNICIPAL DEL ESTADO DE MÉXICO</w:t>
      </w:r>
    </w:p>
    <w:p w14:paraId="0684231B" w14:textId="77777777" w:rsidR="00DE7FC4" w:rsidRPr="00D82002" w:rsidRDefault="00EB2EDB">
      <w:pPr>
        <w:pBdr>
          <w:top w:val="nil"/>
          <w:left w:val="nil"/>
          <w:bottom w:val="nil"/>
          <w:right w:val="nil"/>
          <w:between w:val="nil"/>
        </w:pBdr>
        <w:ind w:left="851" w:right="616"/>
        <w:jc w:val="both"/>
      </w:pPr>
      <w:r w:rsidRPr="00D82002">
        <w:rPr>
          <w:rFonts w:ascii="Palatino Linotype" w:eastAsia="Palatino Linotype" w:hAnsi="Palatino Linotype" w:cs="Palatino Linotype"/>
          <w:i/>
          <w:sz w:val="22"/>
          <w:szCs w:val="22"/>
        </w:rPr>
        <w:t>TITULO IV Régimen Administrativo </w:t>
      </w:r>
    </w:p>
    <w:p w14:paraId="16438379" w14:textId="77777777" w:rsidR="00DE7FC4" w:rsidRPr="00D82002" w:rsidRDefault="00EB2EDB">
      <w:pPr>
        <w:pBdr>
          <w:top w:val="nil"/>
          <w:left w:val="nil"/>
          <w:bottom w:val="nil"/>
          <w:right w:val="nil"/>
          <w:between w:val="nil"/>
        </w:pBdr>
        <w:ind w:left="851" w:right="616"/>
        <w:jc w:val="both"/>
      </w:pPr>
      <w:r w:rsidRPr="00D82002">
        <w:rPr>
          <w:rFonts w:ascii="Palatino Linotype" w:eastAsia="Palatino Linotype" w:hAnsi="Palatino Linotype" w:cs="Palatino Linotype"/>
          <w:i/>
          <w:sz w:val="22"/>
          <w:szCs w:val="22"/>
        </w:rPr>
        <w:t>CAPITULO PRIMERO De las Dependencias Administrativas</w:t>
      </w:r>
    </w:p>
    <w:p w14:paraId="3717896E" w14:textId="77777777" w:rsidR="00DE7FC4" w:rsidRPr="00D82002" w:rsidRDefault="00EB2EDB">
      <w:pPr>
        <w:pBdr>
          <w:top w:val="nil"/>
          <w:left w:val="nil"/>
          <w:bottom w:val="nil"/>
          <w:right w:val="nil"/>
          <w:between w:val="nil"/>
        </w:pBdr>
        <w:ind w:left="851" w:right="616"/>
        <w:jc w:val="both"/>
      </w:pPr>
      <w:r w:rsidRPr="00D82002">
        <w:rPr>
          <w:rFonts w:ascii="Palatino Linotype" w:eastAsia="Palatino Linotype" w:hAnsi="Palatino Linotype" w:cs="Palatino Linotype"/>
          <w:b/>
          <w:i/>
          <w:sz w:val="22"/>
          <w:szCs w:val="22"/>
        </w:rPr>
        <w:t>Artículo 87.-</w:t>
      </w:r>
      <w:r w:rsidRPr="00D82002">
        <w:rPr>
          <w:rFonts w:ascii="Palatino Linotype" w:eastAsia="Palatino Linotype" w:hAnsi="Palatino Linotype" w:cs="Palatino Linotype"/>
          <w:i/>
          <w:sz w:val="22"/>
          <w:szCs w:val="22"/>
        </w:rPr>
        <w:t xml:space="preserve"> Para el despacho, estudio y planeación de los diversos asuntos de la administración municipal, el ayuntamiento contará por lo menos con las siguientes Dependencias: </w:t>
      </w:r>
    </w:p>
    <w:p w14:paraId="1D001DF3" w14:textId="77777777" w:rsidR="00DE7FC4" w:rsidRPr="00D82002" w:rsidRDefault="00EB2EDB">
      <w:pPr>
        <w:pBdr>
          <w:top w:val="nil"/>
          <w:left w:val="nil"/>
          <w:bottom w:val="nil"/>
          <w:right w:val="nil"/>
          <w:between w:val="nil"/>
        </w:pBdr>
        <w:ind w:left="851" w:right="616"/>
        <w:jc w:val="both"/>
      </w:pPr>
      <w:r w:rsidRPr="00D82002">
        <w:rPr>
          <w:rFonts w:ascii="Palatino Linotype" w:eastAsia="Palatino Linotype" w:hAnsi="Palatino Linotype" w:cs="Palatino Linotype"/>
          <w:i/>
          <w:sz w:val="22"/>
          <w:szCs w:val="22"/>
        </w:rPr>
        <w:t>(…)</w:t>
      </w:r>
    </w:p>
    <w:p w14:paraId="2889B6B7" w14:textId="77777777" w:rsidR="00DE7FC4" w:rsidRPr="00D82002" w:rsidRDefault="00EB2EDB">
      <w:pPr>
        <w:pBdr>
          <w:top w:val="nil"/>
          <w:left w:val="nil"/>
          <w:bottom w:val="nil"/>
          <w:right w:val="nil"/>
          <w:between w:val="nil"/>
        </w:pBdr>
        <w:ind w:left="851" w:right="616"/>
        <w:jc w:val="both"/>
      </w:pPr>
      <w:r w:rsidRPr="00D82002">
        <w:rPr>
          <w:rFonts w:ascii="Palatino Linotype" w:eastAsia="Palatino Linotype" w:hAnsi="Palatino Linotype" w:cs="Palatino Linotype"/>
          <w:b/>
          <w:i/>
          <w:sz w:val="22"/>
          <w:szCs w:val="22"/>
        </w:rPr>
        <w:t>II. La tesorería municipal.</w:t>
      </w:r>
    </w:p>
    <w:p w14:paraId="4633503D" w14:textId="77777777" w:rsidR="00DE7FC4" w:rsidRPr="00D82002" w:rsidRDefault="00EB2EDB">
      <w:pPr>
        <w:pBdr>
          <w:top w:val="nil"/>
          <w:left w:val="nil"/>
          <w:bottom w:val="nil"/>
          <w:right w:val="nil"/>
          <w:between w:val="nil"/>
        </w:pBdr>
        <w:ind w:left="851" w:right="616"/>
        <w:jc w:val="both"/>
      </w:pPr>
      <w:r w:rsidRPr="00D82002">
        <w:rPr>
          <w:rFonts w:ascii="Palatino Linotype" w:eastAsia="Palatino Linotype" w:hAnsi="Palatino Linotype" w:cs="Palatino Linotype"/>
          <w:i/>
          <w:sz w:val="22"/>
          <w:szCs w:val="22"/>
        </w:rPr>
        <w:t>(…)</w:t>
      </w:r>
    </w:p>
    <w:p w14:paraId="399A121F" w14:textId="77777777" w:rsidR="00DE7FC4" w:rsidRPr="00D82002" w:rsidRDefault="00DE7FC4"/>
    <w:p w14:paraId="66B6008F" w14:textId="77777777" w:rsidR="00DE7FC4" w:rsidRPr="00D82002" w:rsidRDefault="00EB2EDB">
      <w:pPr>
        <w:pBdr>
          <w:top w:val="nil"/>
          <w:left w:val="nil"/>
          <w:bottom w:val="nil"/>
          <w:right w:val="nil"/>
          <w:between w:val="nil"/>
        </w:pBdr>
        <w:ind w:left="851" w:right="616"/>
        <w:jc w:val="both"/>
      </w:pPr>
      <w:r w:rsidRPr="00D82002">
        <w:rPr>
          <w:rFonts w:ascii="Palatino Linotype" w:eastAsia="Palatino Linotype" w:hAnsi="Palatino Linotype" w:cs="Palatino Linotype"/>
          <w:i/>
          <w:sz w:val="22"/>
          <w:szCs w:val="22"/>
        </w:rPr>
        <w:t>CAPITULO SEGUNDO De la Tesorería Municipal </w:t>
      </w:r>
    </w:p>
    <w:p w14:paraId="6F404ADC" w14:textId="77777777" w:rsidR="00DE7FC4" w:rsidRPr="00D82002" w:rsidRDefault="00EB2EDB">
      <w:pPr>
        <w:pBdr>
          <w:top w:val="nil"/>
          <w:left w:val="nil"/>
          <w:bottom w:val="nil"/>
          <w:right w:val="nil"/>
          <w:between w:val="nil"/>
        </w:pBdr>
        <w:ind w:left="851" w:right="616"/>
        <w:jc w:val="both"/>
      </w:pPr>
      <w:r w:rsidRPr="00D82002">
        <w:rPr>
          <w:rFonts w:ascii="Palatino Linotype" w:eastAsia="Palatino Linotype" w:hAnsi="Palatino Linotype" w:cs="Palatino Linotype"/>
          <w:b/>
          <w:i/>
          <w:sz w:val="22"/>
          <w:szCs w:val="22"/>
        </w:rPr>
        <w:t>Artículo 93.- La tesorería municipal es el órgano encargado de la recaudación de los ingresos municipales y responsable de realizar las erogaciones que haga el ayuntamiento.</w:t>
      </w:r>
    </w:p>
    <w:p w14:paraId="1084BCC1" w14:textId="77777777" w:rsidR="00DE7FC4" w:rsidRPr="00D82002" w:rsidRDefault="00DE7FC4"/>
    <w:p w14:paraId="4F4A0211" w14:textId="77777777" w:rsidR="00DE7FC4" w:rsidRPr="00D82002" w:rsidRDefault="00EB2EDB">
      <w:pPr>
        <w:pBdr>
          <w:top w:val="nil"/>
          <w:left w:val="nil"/>
          <w:bottom w:val="nil"/>
          <w:right w:val="nil"/>
          <w:between w:val="nil"/>
        </w:pBdr>
        <w:ind w:left="851" w:right="616"/>
        <w:jc w:val="both"/>
      </w:pPr>
      <w:r w:rsidRPr="00D82002">
        <w:rPr>
          <w:rFonts w:ascii="Palatino Linotype" w:eastAsia="Palatino Linotype" w:hAnsi="Palatino Linotype" w:cs="Palatino Linotype"/>
          <w:b/>
          <w:i/>
          <w:sz w:val="22"/>
          <w:szCs w:val="22"/>
        </w:rPr>
        <w:t>Artículo 95.-</w:t>
      </w:r>
      <w:r w:rsidRPr="00D82002">
        <w:rPr>
          <w:rFonts w:ascii="Palatino Linotype" w:eastAsia="Palatino Linotype" w:hAnsi="Palatino Linotype" w:cs="Palatino Linotype"/>
          <w:i/>
          <w:sz w:val="22"/>
          <w:szCs w:val="22"/>
        </w:rPr>
        <w:t xml:space="preserve"> Son atribuciones del </w:t>
      </w:r>
      <w:r w:rsidRPr="00D82002">
        <w:rPr>
          <w:rFonts w:ascii="Palatino Linotype" w:eastAsia="Palatino Linotype" w:hAnsi="Palatino Linotype" w:cs="Palatino Linotype"/>
          <w:b/>
          <w:i/>
          <w:sz w:val="22"/>
          <w:szCs w:val="22"/>
        </w:rPr>
        <w:t>tesorero municipal</w:t>
      </w:r>
      <w:r w:rsidRPr="00D82002">
        <w:rPr>
          <w:rFonts w:ascii="Palatino Linotype" w:eastAsia="Palatino Linotype" w:hAnsi="Palatino Linotype" w:cs="Palatino Linotype"/>
          <w:i/>
          <w:sz w:val="22"/>
          <w:szCs w:val="22"/>
        </w:rPr>
        <w:t>: </w:t>
      </w:r>
    </w:p>
    <w:p w14:paraId="653E2ABA" w14:textId="77777777" w:rsidR="00DE7FC4" w:rsidRPr="00D82002" w:rsidRDefault="00EB2EDB">
      <w:pPr>
        <w:pBdr>
          <w:top w:val="nil"/>
          <w:left w:val="nil"/>
          <w:bottom w:val="nil"/>
          <w:right w:val="nil"/>
          <w:between w:val="nil"/>
        </w:pBdr>
        <w:ind w:left="851" w:right="616"/>
        <w:jc w:val="both"/>
      </w:pPr>
      <w:r w:rsidRPr="00D82002">
        <w:rPr>
          <w:rFonts w:ascii="Palatino Linotype" w:eastAsia="Palatino Linotype" w:hAnsi="Palatino Linotype" w:cs="Palatino Linotype"/>
          <w:b/>
          <w:i/>
          <w:sz w:val="22"/>
          <w:szCs w:val="22"/>
        </w:rPr>
        <w:t>I. Administrar la hacienda pública municipal, de conformidad con las disposiciones legales aplicables; </w:t>
      </w:r>
    </w:p>
    <w:p w14:paraId="1CFA18A2" w14:textId="77777777" w:rsidR="00DE7FC4" w:rsidRPr="00D82002" w:rsidRDefault="00EB2EDB">
      <w:pPr>
        <w:pBdr>
          <w:top w:val="nil"/>
          <w:left w:val="nil"/>
          <w:bottom w:val="nil"/>
          <w:right w:val="nil"/>
          <w:between w:val="nil"/>
        </w:pBdr>
        <w:ind w:left="851" w:right="616"/>
        <w:jc w:val="both"/>
      </w:pPr>
      <w:r w:rsidRPr="00D82002">
        <w:rPr>
          <w:rFonts w:ascii="Palatino Linotype" w:eastAsia="Palatino Linotype" w:hAnsi="Palatino Linotype" w:cs="Palatino Linotype"/>
          <w:b/>
          <w:i/>
          <w:sz w:val="22"/>
          <w:szCs w:val="22"/>
        </w:rPr>
        <w:t>(…)</w:t>
      </w:r>
    </w:p>
    <w:p w14:paraId="418FCA61" w14:textId="77777777" w:rsidR="00DE7FC4" w:rsidRPr="00D82002" w:rsidRDefault="00EB2EDB">
      <w:pPr>
        <w:pBdr>
          <w:top w:val="nil"/>
          <w:left w:val="nil"/>
          <w:bottom w:val="nil"/>
          <w:right w:val="nil"/>
          <w:between w:val="nil"/>
        </w:pBdr>
        <w:ind w:left="851" w:right="616"/>
        <w:jc w:val="both"/>
      </w:pPr>
      <w:r w:rsidRPr="00D82002">
        <w:rPr>
          <w:rFonts w:ascii="Palatino Linotype" w:eastAsia="Palatino Linotype" w:hAnsi="Palatino Linotype" w:cs="Palatino Linotype"/>
          <w:b/>
          <w:i/>
          <w:sz w:val="22"/>
          <w:szCs w:val="22"/>
        </w:rPr>
        <w:t>IV. Llevar los registros contables, financieros y administrativos de los ingresos, egresos, e inventarios;</w:t>
      </w:r>
    </w:p>
    <w:p w14:paraId="4453C8AD" w14:textId="77777777" w:rsidR="00DE7FC4" w:rsidRPr="00D82002" w:rsidRDefault="00EB2EDB">
      <w:pPr>
        <w:pBdr>
          <w:top w:val="nil"/>
          <w:left w:val="nil"/>
          <w:bottom w:val="nil"/>
          <w:right w:val="nil"/>
          <w:between w:val="nil"/>
        </w:pBdr>
        <w:ind w:left="851" w:right="616"/>
        <w:jc w:val="both"/>
      </w:pPr>
      <w:r w:rsidRPr="00D82002">
        <w:rPr>
          <w:rFonts w:ascii="Palatino Linotype" w:eastAsia="Palatino Linotype" w:hAnsi="Palatino Linotype" w:cs="Palatino Linotype"/>
          <w:i/>
          <w:sz w:val="22"/>
          <w:szCs w:val="22"/>
        </w:rPr>
        <w:t>(…)</w:t>
      </w:r>
    </w:p>
    <w:p w14:paraId="5D465BBA" w14:textId="77777777" w:rsidR="00DE7FC4" w:rsidRPr="00D82002" w:rsidRDefault="00DE7FC4">
      <w:pPr>
        <w:spacing w:after="240"/>
      </w:pPr>
    </w:p>
    <w:p w14:paraId="6F39E854" w14:textId="77777777" w:rsidR="00DE7FC4" w:rsidRPr="00D82002" w:rsidRDefault="00DE7FC4"/>
    <w:p w14:paraId="1B92BEBA" w14:textId="77777777" w:rsidR="00DE7FC4" w:rsidRPr="00D82002" w:rsidRDefault="00EB2EDB">
      <w:pPr>
        <w:spacing w:after="240" w:line="360" w:lineRule="auto"/>
        <w:jc w:val="both"/>
        <w:rPr>
          <w:rFonts w:ascii="Palatino Linotype" w:eastAsia="Palatino Linotype" w:hAnsi="Palatino Linotype" w:cs="Palatino Linotype"/>
          <w:sz w:val="22"/>
          <w:szCs w:val="22"/>
        </w:rPr>
      </w:pPr>
      <w:r w:rsidRPr="00D82002">
        <w:rPr>
          <w:rFonts w:ascii="Palatino Linotype" w:eastAsia="Palatino Linotype" w:hAnsi="Palatino Linotype" w:cs="Palatino Linotype"/>
          <w:sz w:val="22"/>
          <w:szCs w:val="22"/>
        </w:rPr>
        <w:t xml:space="preserve">Asimismo, resulta pertinente señalar que el artículo 125, párrafo cuarto de la Constitución Política del Estado Libre y Soberano de México, contempla que el plazo para </w:t>
      </w:r>
      <w:r w:rsidRPr="00D82002">
        <w:rPr>
          <w:rFonts w:ascii="Palatino Linotype" w:eastAsia="Palatino Linotype" w:hAnsi="Palatino Linotype" w:cs="Palatino Linotype"/>
          <w:b/>
          <w:sz w:val="22"/>
          <w:szCs w:val="22"/>
        </w:rPr>
        <w:t>la publicación y promulgación del Presupuesto de Egresos Municipal deberá realizarse a más tardar, el 25 de febrero de cada año, enviándolo al Órgano Superior de Fiscalización en esa misma fecha</w:t>
      </w:r>
      <w:r w:rsidRPr="00D82002">
        <w:rPr>
          <w:rFonts w:ascii="Palatino Linotype" w:eastAsia="Palatino Linotype" w:hAnsi="Palatino Linotype" w:cs="Palatino Linotype"/>
          <w:sz w:val="22"/>
          <w:szCs w:val="22"/>
        </w:rPr>
        <w:t xml:space="preserve">, dicha circunstancia es replicada por el artículo 351 del Código Financiero del Estado de México y Municipios. </w:t>
      </w:r>
    </w:p>
    <w:p w14:paraId="67ABA1BC" w14:textId="77777777" w:rsidR="00DE7FC4" w:rsidRPr="00D82002" w:rsidRDefault="00EB2EDB">
      <w:pPr>
        <w:spacing w:line="360" w:lineRule="auto"/>
        <w:ind w:right="51"/>
        <w:jc w:val="both"/>
        <w:rPr>
          <w:rFonts w:ascii="Palatino Linotype" w:eastAsia="Palatino Linotype" w:hAnsi="Palatino Linotype" w:cs="Palatino Linotype"/>
          <w:b/>
          <w:sz w:val="22"/>
          <w:szCs w:val="22"/>
        </w:rPr>
      </w:pPr>
      <w:r w:rsidRPr="00D82002">
        <w:rPr>
          <w:rFonts w:ascii="Palatino Linotype" w:eastAsia="Palatino Linotype" w:hAnsi="Palatino Linotype" w:cs="Palatino Linotype"/>
          <w:sz w:val="22"/>
          <w:szCs w:val="22"/>
        </w:rPr>
        <w:t xml:space="preserve">Para robustecer lo anteriormente estudiado, este Instituto consultó los Lineamientos para la Integración, Envío y Recepción Electrónica del Paquete Presupuestal Municipal 2025, obteniendo así que este documento normativo contempla que la firma del envío/recepción del Paquete Presupuestal Municipal 2025, validado con la firma electrónica avanzada, </w:t>
      </w:r>
      <w:r w:rsidRPr="00D82002">
        <w:rPr>
          <w:rFonts w:ascii="Palatino Linotype" w:eastAsia="Palatino Linotype" w:hAnsi="Palatino Linotype" w:cs="Palatino Linotype"/>
          <w:b/>
          <w:sz w:val="22"/>
          <w:szCs w:val="22"/>
        </w:rPr>
        <w:t>será a más tardar el martes 25 de febrero de 2025.</w:t>
      </w:r>
    </w:p>
    <w:p w14:paraId="3E68A408" w14:textId="77777777" w:rsidR="00DE7FC4" w:rsidRPr="00D82002" w:rsidRDefault="00DE7FC4">
      <w:pPr>
        <w:spacing w:line="360" w:lineRule="auto"/>
        <w:ind w:right="51"/>
        <w:jc w:val="both"/>
        <w:rPr>
          <w:rFonts w:ascii="Palatino Linotype" w:eastAsia="Palatino Linotype" w:hAnsi="Palatino Linotype" w:cs="Palatino Linotype"/>
          <w:b/>
          <w:sz w:val="22"/>
          <w:szCs w:val="22"/>
        </w:rPr>
      </w:pPr>
    </w:p>
    <w:p w14:paraId="4F698E9D" w14:textId="77777777" w:rsidR="00DE7FC4" w:rsidRPr="00D82002" w:rsidRDefault="00EB2EDB">
      <w:pPr>
        <w:spacing w:line="360" w:lineRule="auto"/>
        <w:ind w:right="51"/>
        <w:jc w:val="both"/>
        <w:rPr>
          <w:rFonts w:ascii="Palatino Linotype" w:eastAsia="Palatino Linotype" w:hAnsi="Palatino Linotype" w:cs="Palatino Linotype"/>
          <w:sz w:val="22"/>
          <w:szCs w:val="22"/>
        </w:rPr>
      </w:pPr>
      <w:r w:rsidRPr="00D82002">
        <w:rPr>
          <w:rFonts w:ascii="Palatino Linotype" w:eastAsia="Palatino Linotype" w:hAnsi="Palatino Linotype" w:cs="Palatino Linotype"/>
          <w:sz w:val="22"/>
          <w:szCs w:val="22"/>
        </w:rPr>
        <w:t>Dicho Presupuesto contendrá lo siguiente:</w:t>
      </w:r>
    </w:p>
    <w:p w14:paraId="1F90F05C" w14:textId="77777777" w:rsidR="00DE7FC4" w:rsidRPr="00D82002" w:rsidRDefault="00DE7FC4">
      <w:pPr>
        <w:spacing w:line="360" w:lineRule="auto"/>
        <w:ind w:right="51"/>
        <w:jc w:val="both"/>
        <w:rPr>
          <w:rFonts w:ascii="Palatino Linotype" w:eastAsia="Palatino Linotype" w:hAnsi="Palatino Linotype" w:cs="Palatino Linotype"/>
          <w:b/>
          <w:sz w:val="22"/>
          <w:szCs w:val="22"/>
        </w:rPr>
      </w:pPr>
    </w:p>
    <w:p w14:paraId="1661AC4D" w14:textId="77777777" w:rsidR="00DE7FC4" w:rsidRPr="00D82002" w:rsidRDefault="00EB2EDB">
      <w:pPr>
        <w:spacing w:line="360" w:lineRule="auto"/>
        <w:ind w:right="51"/>
        <w:jc w:val="both"/>
        <w:rPr>
          <w:rFonts w:ascii="Palatino Linotype" w:eastAsia="Palatino Linotype" w:hAnsi="Palatino Linotype" w:cs="Palatino Linotype"/>
          <w:sz w:val="22"/>
          <w:szCs w:val="22"/>
        </w:rPr>
      </w:pPr>
      <w:r w:rsidRPr="00D82002">
        <w:rPr>
          <w:rFonts w:ascii="Palatino Linotype" w:eastAsia="Palatino Linotype" w:hAnsi="Palatino Linotype" w:cs="Palatino Linotype"/>
          <w:noProof/>
          <w:sz w:val="22"/>
          <w:szCs w:val="22"/>
        </w:rPr>
        <w:drawing>
          <wp:inline distT="0" distB="0" distL="0" distR="0" wp14:anchorId="6B42C398" wp14:editId="7B568BE9">
            <wp:extent cx="5031276" cy="2718870"/>
            <wp:effectExtent l="0" t="0" r="0" b="0"/>
            <wp:docPr id="1450129442" name="image3.png" descr="Interfaz de usuario gráfica, Aplicación&#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3.png" descr="Interfaz de usuario gráfica, Aplicación&#10;&#10;El contenido generado por IA puede ser incorrecto."/>
                    <pic:cNvPicPr preferRelativeResize="0"/>
                  </pic:nvPicPr>
                  <pic:blipFill>
                    <a:blip r:embed="rId10"/>
                    <a:srcRect/>
                    <a:stretch>
                      <a:fillRect/>
                    </a:stretch>
                  </pic:blipFill>
                  <pic:spPr>
                    <a:xfrm>
                      <a:off x="0" y="0"/>
                      <a:ext cx="5031276" cy="2718870"/>
                    </a:xfrm>
                    <a:prstGeom prst="rect">
                      <a:avLst/>
                    </a:prstGeom>
                    <a:ln/>
                  </pic:spPr>
                </pic:pic>
              </a:graphicData>
            </a:graphic>
          </wp:inline>
        </w:drawing>
      </w:r>
    </w:p>
    <w:p w14:paraId="3C1BC643" w14:textId="77777777" w:rsidR="00DE7FC4" w:rsidRPr="00D82002" w:rsidRDefault="00DE7FC4">
      <w:pPr>
        <w:spacing w:line="360" w:lineRule="auto"/>
        <w:ind w:right="51"/>
        <w:jc w:val="both"/>
        <w:rPr>
          <w:rFonts w:ascii="Palatino Linotype" w:eastAsia="Palatino Linotype" w:hAnsi="Palatino Linotype" w:cs="Palatino Linotype"/>
          <w:sz w:val="22"/>
          <w:szCs w:val="22"/>
        </w:rPr>
      </w:pPr>
    </w:p>
    <w:p w14:paraId="1091CC56" w14:textId="77777777" w:rsidR="00DE7FC4" w:rsidRPr="00D82002" w:rsidRDefault="00EB2EDB">
      <w:pPr>
        <w:pBdr>
          <w:top w:val="nil"/>
          <w:left w:val="nil"/>
          <w:bottom w:val="nil"/>
          <w:right w:val="nil"/>
          <w:between w:val="nil"/>
        </w:pBdr>
        <w:spacing w:before="280" w:after="280" w:line="360" w:lineRule="auto"/>
        <w:ind w:right="51"/>
        <w:jc w:val="both"/>
        <w:rPr>
          <w:rFonts w:ascii="Palatino Linotype" w:eastAsia="Palatino Linotype" w:hAnsi="Palatino Linotype" w:cs="Palatino Linotype"/>
          <w:sz w:val="22"/>
          <w:szCs w:val="22"/>
        </w:rPr>
      </w:pPr>
      <w:r w:rsidRPr="00D82002">
        <w:rPr>
          <w:rFonts w:ascii="Palatino Linotype" w:eastAsia="Palatino Linotype" w:hAnsi="Palatino Linotype" w:cs="Palatino Linotype"/>
          <w:sz w:val="22"/>
          <w:szCs w:val="22"/>
        </w:rPr>
        <w:t>En armonía con lo anteriormente expuesto, el Manual para la Planeación, Programación y Presupuesto de Egresos Municipal para el Ejercicio Fiscal 2025, aplicable para las Dependencias Generales, Auxiliares y Organismos, contempla lo siguiente en lo tocante a la aprobación del presupuesto.</w:t>
      </w:r>
    </w:p>
    <w:p w14:paraId="4458CA78" w14:textId="77777777" w:rsidR="00DE7FC4" w:rsidRPr="00D82002" w:rsidRDefault="00EB2EDB">
      <w:pPr>
        <w:spacing w:before="240" w:after="240" w:line="360" w:lineRule="auto"/>
        <w:jc w:val="both"/>
        <w:rPr>
          <w:rFonts w:ascii="Palatino Linotype" w:eastAsia="Palatino Linotype" w:hAnsi="Palatino Linotype" w:cs="Palatino Linotype"/>
          <w:sz w:val="22"/>
          <w:szCs w:val="22"/>
        </w:rPr>
      </w:pPr>
      <w:r w:rsidRPr="00D82002">
        <w:rPr>
          <w:rFonts w:ascii="Palatino Linotype" w:eastAsia="Palatino Linotype" w:hAnsi="Palatino Linotype" w:cs="Palatino Linotype"/>
          <w:noProof/>
          <w:sz w:val="22"/>
          <w:szCs w:val="22"/>
        </w:rPr>
        <w:drawing>
          <wp:inline distT="0" distB="0" distL="0" distR="0" wp14:anchorId="424266DA" wp14:editId="087080C1">
            <wp:extent cx="5612130" cy="2528570"/>
            <wp:effectExtent l="0" t="0" r="0" b="0"/>
            <wp:docPr id="1450129445" name="image4.png" descr="Diagrama&#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4.png" descr="Diagrama&#10;&#10;El contenido generado por IA puede ser incorrecto."/>
                    <pic:cNvPicPr preferRelativeResize="0"/>
                  </pic:nvPicPr>
                  <pic:blipFill>
                    <a:blip r:embed="rId11"/>
                    <a:srcRect/>
                    <a:stretch>
                      <a:fillRect/>
                    </a:stretch>
                  </pic:blipFill>
                  <pic:spPr>
                    <a:xfrm>
                      <a:off x="0" y="0"/>
                      <a:ext cx="5612130" cy="2528570"/>
                    </a:xfrm>
                    <a:prstGeom prst="rect">
                      <a:avLst/>
                    </a:prstGeom>
                    <a:ln/>
                  </pic:spPr>
                </pic:pic>
              </a:graphicData>
            </a:graphic>
          </wp:inline>
        </w:drawing>
      </w:r>
    </w:p>
    <w:p w14:paraId="1D5C4586" w14:textId="77777777" w:rsidR="00DE7FC4" w:rsidRPr="00D82002" w:rsidRDefault="00EB2EDB">
      <w:pPr>
        <w:spacing w:line="276" w:lineRule="auto"/>
        <w:ind w:left="851" w:right="902"/>
        <w:jc w:val="both"/>
        <w:rPr>
          <w:rFonts w:ascii="Palatino Linotype" w:eastAsia="Palatino Linotype" w:hAnsi="Palatino Linotype" w:cs="Palatino Linotype"/>
          <w:i/>
          <w:sz w:val="22"/>
          <w:szCs w:val="22"/>
        </w:rPr>
      </w:pPr>
      <w:r w:rsidRPr="00D82002">
        <w:rPr>
          <w:rFonts w:ascii="Palatino Linotype" w:eastAsia="Palatino Linotype" w:hAnsi="Palatino Linotype" w:cs="Palatino Linotype"/>
          <w:i/>
          <w:sz w:val="22"/>
          <w:szCs w:val="22"/>
        </w:rPr>
        <w:t>3.2.1. Lineamientos para la integración del Programa Anual.</w:t>
      </w:r>
    </w:p>
    <w:p w14:paraId="77E3D6AE" w14:textId="77777777" w:rsidR="00DE7FC4" w:rsidRPr="00D82002" w:rsidRDefault="00DE7FC4">
      <w:pPr>
        <w:spacing w:line="276" w:lineRule="auto"/>
        <w:ind w:left="851" w:right="902"/>
        <w:jc w:val="both"/>
        <w:rPr>
          <w:rFonts w:ascii="Palatino Linotype" w:eastAsia="Palatino Linotype" w:hAnsi="Palatino Linotype" w:cs="Palatino Linotype"/>
          <w:i/>
          <w:sz w:val="22"/>
          <w:szCs w:val="22"/>
        </w:rPr>
      </w:pPr>
    </w:p>
    <w:p w14:paraId="7AAFC978" w14:textId="77777777" w:rsidR="00DE7FC4" w:rsidRPr="00D82002" w:rsidRDefault="00EB2EDB">
      <w:pPr>
        <w:spacing w:line="276" w:lineRule="auto"/>
        <w:ind w:left="851" w:right="902"/>
        <w:jc w:val="both"/>
        <w:rPr>
          <w:rFonts w:ascii="Palatino Linotype" w:eastAsia="Palatino Linotype" w:hAnsi="Palatino Linotype" w:cs="Palatino Linotype"/>
          <w:i/>
          <w:sz w:val="22"/>
          <w:szCs w:val="22"/>
        </w:rPr>
      </w:pPr>
      <w:r w:rsidRPr="00D82002">
        <w:rPr>
          <w:rFonts w:ascii="Palatino Linotype" w:eastAsia="Palatino Linotype" w:hAnsi="Palatino Linotype" w:cs="Palatino Linotype"/>
          <w:i/>
          <w:sz w:val="22"/>
          <w:szCs w:val="22"/>
        </w:rPr>
        <w:t xml:space="preserve">• Para la formulación del Programa Anual deberán ser llenados los formatos: PbRM-01a, PbRM-01b, PbRM-01c, PbRM-01d y PbRM-01e. </w:t>
      </w:r>
    </w:p>
    <w:p w14:paraId="44D0EEF7" w14:textId="77777777" w:rsidR="00DE7FC4" w:rsidRPr="00D82002" w:rsidRDefault="00DE7FC4">
      <w:pPr>
        <w:spacing w:line="276" w:lineRule="auto"/>
        <w:ind w:left="851" w:right="902"/>
        <w:jc w:val="both"/>
        <w:rPr>
          <w:rFonts w:ascii="Palatino Linotype" w:eastAsia="Palatino Linotype" w:hAnsi="Palatino Linotype" w:cs="Palatino Linotype"/>
          <w:i/>
          <w:sz w:val="22"/>
          <w:szCs w:val="22"/>
        </w:rPr>
      </w:pPr>
    </w:p>
    <w:p w14:paraId="1E6C42A3" w14:textId="77777777" w:rsidR="00DE7FC4" w:rsidRPr="00D82002" w:rsidRDefault="00EB2EDB">
      <w:pPr>
        <w:spacing w:line="276" w:lineRule="auto"/>
        <w:ind w:left="851" w:right="902"/>
        <w:jc w:val="both"/>
        <w:rPr>
          <w:rFonts w:ascii="Palatino Linotype" w:eastAsia="Palatino Linotype" w:hAnsi="Palatino Linotype" w:cs="Palatino Linotype"/>
          <w:i/>
          <w:sz w:val="22"/>
          <w:szCs w:val="22"/>
        </w:rPr>
      </w:pPr>
      <w:r w:rsidRPr="00D82002">
        <w:rPr>
          <w:rFonts w:ascii="Palatino Linotype" w:eastAsia="Palatino Linotype" w:hAnsi="Palatino Linotype" w:cs="Palatino Linotype"/>
          <w:i/>
          <w:sz w:val="22"/>
          <w:szCs w:val="22"/>
        </w:rPr>
        <w:t>Para iniciar con el llenado de los formatos que integran el Programa Anual y el Anteproyecto de Presupuesto de Egresos se deberá llenar el formato PbRM-01a “Dimensión Administrativa del Gasto”, el cual tiene como propósito identificar a nivel de estructura administrativa los programas y proyectos de los cuales se responsabiliza cada una de las Dependencias y Organismos municipales.</w:t>
      </w:r>
    </w:p>
    <w:p w14:paraId="3A4536F0" w14:textId="77777777" w:rsidR="00DE7FC4" w:rsidRPr="00D82002" w:rsidRDefault="00DE7FC4">
      <w:pPr>
        <w:spacing w:line="276" w:lineRule="auto"/>
        <w:ind w:left="851" w:right="902"/>
        <w:jc w:val="both"/>
        <w:rPr>
          <w:rFonts w:ascii="Palatino Linotype" w:eastAsia="Palatino Linotype" w:hAnsi="Palatino Linotype" w:cs="Palatino Linotype"/>
          <w:i/>
          <w:sz w:val="22"/>
          <w:szCs w:val="22"/>
        </w:rPr>
      </w:pPr>
    </w:p>
    <w:p w14:paraId="0C597938" w14:textId="77777777" w:rsidR="00DE7FC4" w:rsidRPr="00D82002" w:rsidRDefault="00EB2EDB">
      <w:pPr>
        <w:spacing w:line="276" w:lineRule="auto"/>
        <w:ind w:left="851" w:right="902"/>
        <w:jc w:val="both"/>
        <w:rPr>
          <w:rFonts w:ascii="Palatino Linotype" w:eastAsia="Palatino Linotype" w:hAnsi="Palatino Linotype" w:cs="Palatino Linotype"/>
          <w:i/>
          <w:sz w:val="22"/>
          <w:szCs w:val="22"/>
        </w:rPr>
      </w:pPr>
      <w:r w:rsidRPr="00D82002">
        <w:rPr>
          <w:rFonts w:ascii="Palatino Linotype" w:eastAsia="Palatino Linotype" w:hAnsi="Palatino Linotype" w:cs="Palatino Linotype"/>
          <w:i/>
          <w:sz w:val="22"/>
          <w:szCs w:val="22"/>
        </w:rPr>
        <w:t>En este contexto se continua con el llenado del formato PbRM-01b “Descripción del Programa presupuestario”, mismo que tiene como propósito, identificar el diagnóstico del entorno de responsabilidad del programa respectivo para sustentar y justificar la asignación del presupuesto del ejercicio fiscal 2023, definir los objetivos que se pretenden alcanzar y establecer las estrategias que serán aplicadas para dar viabilidad al logro de dichos objetivos.</w:t>
      </w:r>
    </w:p>
    <w:p w14:paraId="5F8C1FA0" w14:textId="77777777" w:rsidR="00DE7FC4" w:rsidRPr="00D82002" w:rsidRDefault="00DE7FC4">
      <w:pPr>
        <w:spacing w:line="276" w:lineRule="auto"/>
        <w:ind w:left="851" w:right="902"/>
        <w:jc w:val="both"/>
        <w:rPr>
          <w:rFonts w:ascii="Palatino Linotype" w:eastAsia="Palatino Linotype" w:hAnsi="Palatino Linotype" w:cs="Palatino Linotype"/>
          <w:i/>
          <w:sz w:val="22"/>
          <w:szCs w:val="22"/>
        </w:rPr>
      </w:pPr>
    </w:p>
    <w:p w14:paraId="1DA62581" w14:textId="77777777" w:rsidR="00DE7FC4" w:rsidRPr="00D82002" w:rsidRDefault="00EB2EDB">
      <w:pPr>
        <w:spacing w:line="276" w:lineRule="auto"/>
        <w:ind w:left="851" w:right="902"/>
        <w:jc w:val="both"/>
        <w:rPr>
          <w:rFonts w:ascii="Palatino Linotype" w:eastAsia="Palatino Linotype" w:hAnsi="Palatino Linotype" w:cs="Palatino Linotype"/>
          <w:i/>
          <w:sz w:val="22"/>
          <w:szCs w:val="22"/>
        </w:rPr>
      </w:pPr>
      <w:r w:rsidRPr="00D82002">
        <w:rPr>
          <w:rFonts w:ascii="Palatino Linotype" w:eastAsia="Palatino Linotype" w:hAnsi="Palatino Linotype" w:cs="Palatino Linotype"/>
          <w:i/>
          <w:sz w:val="22"/>
          <w:szCs w:val="22"/>
        </w:rPr>
        <w:t xml:space="preserve">El llenado de este formato es responsabilidad de los titulares de las Dependencias y Organismos Municipales ejecutores de los programas, según sea el caso, en coordinación con el titular de la UIPPE o su equivalente, según la estructura orgánica de cada Ayuntamiento y con la Tesorería, la cual para asignar recursos deberá tener en cuenta la situación diagnóstica y los objetivos de cada programa y proyecto. Para apoyar este proceso se deben tomar en cuenta lo establecido en el Plan de Desarrollo Municipal, así como los indicadores de Desarrollo Social y Humano, estableciéndolos como instrumentos para la planeación, el diseño, la ejecución y la evaluación de política de desarrollo social, estos instrumentos apoyan la integración del diagnóstico del entorno de responsabilidad por programa y permite el direccionamiento del gasto de manera congruente y racional. </w:t>
      </w:r>
    </w:p>
    <w:p w14:paraId="09F97A51" w14:textId="77777777" w:rsidR="00DE7FC4" w:rsidRPr="00D82002" w:rsidRDefault="00DE7FC4">
      <w:pPr>
        <w:spacing w:line="276" w:lineRule="auto"/>
        <w:ind w:left="851" w:right="902"/>
        <w:jc w:val="both"/>
        <w:rPr>
          <w:rFonts w:ascii="Palatino Linotype" w:eastAsia="Palatino Linotype" w:hAnsi="Palatino Linotype" w:cs="Palatino Linotype"/>
          <w:i/>
          <w:sz w:val="22"/>
          <w:szCs w:val="22"/>
        </w:rPr>
      </w:pPr>
    </w:p>
    <w:p w14:paraId="42D62E99" w14:textId="77777777" w:rsidR="00DE7FC4" w:rsidRPr="00D82002" w:rsidRDefault="00EB2EDB">
      <w:pPr>
        <w:spacing w:line="276" w:lineRule="auto"/>
        <w:ind w:left="851" w:right="902"/>
        <w:jc w:val="both"/>
        <w:rPr>
          <w:rFonts w:ascii="Palatino Linotype" w:eastAsia="Palatino Linotype" w:hAnsi="Palatino Linotype" w:cs="Palatino Linotype"/>
          <w:i/>
          <w:sz w:val="22"/>
          <w:szCs w:val="22"/>
        </w:rPr>
      </w:pPr>
      <w:r w:rsidRPr="00D82002">
        <w:rPr>
          <w:rFonts w:ascii="Palatino Linotype" w:eastAsia="Palatino Linotype" w:hAnsi="Palatino Linotype" w:cs="Palatino Linotype"/>
          <w:i/>
          <w:sz w:val="22"/>
          <w:szCs w:val="22"/>
        </w:rPr>
        <w:t xml:space="preserve">El formato PbRM-01d “Ficha técnica de diseño de indicadores estratégicos o de gestión 2023”, tiene como finalidad el registro de los indicadores de gestión que se manejan en el SEGEMUN, mismos que deberán estar vinculados directamente a las metas programadas en el formato PbRM-01e “Matriz de Indicadores para Resultados por Programa presupuestario y Dependencia General”. Estos indicadores están alineados a nivel estratégico o de gestión. </w:t>
      </w:r>
    </w:p>
    <w:p w14:paraId="2DC66DC3" w14:textId="77777777" w:rsidR="00DE7FC4" w:rsidRPr="00D82002" w:rsidRDefault="00DE7FC4">
      <w:pPr>
        <w:spacing w:line="276" w:lineRule="auto"/>
        <w:ind w:left="851" w:right="902"/>
        <w:jc w:val="both"/>
        <w:rPr>
          <w:rFonts w:ascii="Palatino Linotype" w:eastAsia="Palatino Linotype" w:hAnsi="Palatino Linotype" w:cs="Palatino Linotype"/>
          <w:i/>
          <w:sz w:val="22"/>
          <w:szCs w:val="22"/>
        </w:rPr>
      </w:pPr>
    </w:p>
    <w:p w14:paraId="306DA4F0" w14:textId="77777777" w:rsidR="00DE7FC4" w:rsidRPr="00D82002" w:rsidRDefault="00EB2EDB">
      <w:pPr>
        <w:spacing w:line="276" w:lineRule="auto"/>
        <w:ind w:left="851" w:right="902"/>
        <w:jc w:val="both"/>
        <w:rPr>
          <w:rFonts w:ascii="Palatino Linotype" w:eastAsia="Palatino Linotype" w:hAnsi="Palatino Linotype" w:cs="Palatino Linotype"/>
          <w:i/>
          <w:sz w:val="22"/>
          <w:szCs w:val="22"/>
        </w:rPr>
      </w:pPr>
      <w:r w:rsidRPr="00D82002">
        <w:rPr>
          <w:rFonts w:ascii="Palatino Linotype" w:eastAsia="Palatino Linotype" w:hAnsi="Palatino Linotype" w:cs="Palatino Linotype"/>
          <w:i/>
          <w:sz w:val="22"/>
          <w:szCs w:val="22"/>
        </w:rPr>
        <w:t>El formato PbRM-01e tiene relación con el formato PbRM-01d, ya que su finalidad consiste en conjuntar la totalidad de los indicadores que permitan identificar el logro o beneficio que se espera alcanzar, y que, a través de los procesos de evaluación, se medirán para conocer el nivel de cumplimiento de los objetivos y metas de cada uno de los Programas presupuestarios que comprende el programa anual del ejercicio fiscal 2023. El llenado de estos formatos es responsabilidad de los titulares de las Dependencias Generales, Auxiliares y Organismos Municipales ejecutores de los programas, el proceso de coordinación corresponde a la UIPPE municipal o su equivalente, quienes deberán de realizar esta actividad de manera conjunta.</w:t>
      </w:r>
    </w:p>
    <w:p w14:paraId="795D4F85" w14:textId="77777777" w:rsidR="00DE7FC4" w:rsidRPr="00D82002" w:rsidRDefault="00DE7FC4">
      <w:pPr>
        <w:spacing w:line="276" w:lineRule="auto"/>
        <w:jc w:val="both"/>
        <w:rPr>
          <w:rFonts w:ascii="Palatino Linotype" w:eastAsia="Palatino Linotype" w:hAnsi="Palatino Linotype" w:cs="Palatino Linotype"/>
          <w:i/>
          <w:sz w:val="22"/>
          <w:szCs w:val="22"/>
        </w:rPr>
      </w:pPr>
    </w:p>
    <w:p w14:paraId="0BC09456" w14:textId="77777777" w:rsidR="00DE7FC4" w:rsidRPr="00D82002" w:rsidRDefault="00EB2EDB">
      <w:pPr>
        <w:spacing w:line="276" w:lineRule="auto"/>
        <w:jc w:val="center"/>
        <w:rPr>
          <w:rFonts w:ascii="Palatino Linotype" w:eastAsia="Palatino Linotype" w:hAnsi="Palatino Linotype" w:cs="Palatino Linotype"/>
          <w:i/>
          <w:sz w:val="22"/>
          <w:szCs w:val="22"/>
        </w:rPr>
      </w:pPr>
      <w:r w:rsidRPr="00D82002">
        <w:rPr>
          <w:rFonts w:ascii="Palatino Linotype" w:eastAsia="Palatino Linotype" w:hAnsi="Palatino Linotype" w:cs="Palatino Linotype"/>
          <w:i/>
          <w:noProof/>
          <w:sz w:val="22"/>
          <w:szCs w:val="22"/>
        </w:rPr>
        <w:drawing>
          <wp:inline distT="0" distB="0" distL="0" distR="0" wp14:anchorId="5F08317F" wp14:editId="585FB69E">
            <wp:extent cx="4829916" cy="2680554"/>
            <wp:effectExtent l="0" t="0" r="0" b="0"/>
            <wp:docPr id="1450129444" name="image6.png" descr="Diagrama, Texto&#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6.png" descr="Diagrama, Texto&#10;&#10;El contenido generado por IA puede ser incorrecto."/>
                    <pic:cNvPicPr preferRelativeResize="0"/>
                  </pic:nvPicPr>
                  <pic:blipFill>
                    <a:blip r:embed="rId12"/>
                    <a:srcRect/>
                    <a:stretch>
                      <a:fillRect/>
                    </a:stretch>
                  </pic:blipFill>
                  <pic:spPr>
                    <a:xfrm>
                      <a:off x="0" y="0"/>
                      <a:ext cx="4829916" cy="2680554"/>
                    </a:xfrm>
                    <a:prstGeom prst="rect">
                      <a:avLst/>
                    </a:prstGeom>
                    <a:ln/>
                  </pic:spPr>
                </pic:pic>
              </a:graphicData>
            </a:graphic>
          </wp:inline>
        </w:drawing>
      </w:r>
    </w:p>
    <w:p w14:paraId="760753D2" w14:textId="77777777" w:rsidR="00DE7FC4" w:rsidRPr="00D82002" w:rsidRDefault="00DE7FC4">
      <w:pPr>
        <w:spacing w:line="276" w:lineRule="auto"/>
        <w:ind w:left="851" w:right="902"/>
        <w:jc w:val="both"/>
        <w:rPr>
          <w:rFonts w:ascii="Palatino Linotype" w:eastAsia="Palatino Linotype" w:hAnsi="Palatino Linotype" w:cs="Palatino Linotype"/>
          <w:i/>
          <w:sz w:val="22"/>
          <w:szCs w:val="22"/>
        </w:rPr>
      </w:pPr>
    </w:p>
    <w:p w14:paraId="1227A26B" w14:textId="77777777" w:rsidR="00DE7FC4" w:rsidRPr="00D82002" w:rsidRDefault="00EB2EDB">
      <w:pPr>
        <w:spacing w:line="276" w:lineRule="auto"/>
        <w:ind w:left="851" w:right="902"/>
        <w:jc w:val="both"/>
        <w:rPr>
          <w:rFonts w:ascii="Palatino Linotype" w:eastAsia="Palatino Linotype" w:hAnsi="Palatino Linotype" w:cs="Palatino Linotype"/>
          <w:i/>
          <w:sz w:val="22"/>
          <w:szCs w:val="22"/>
        </w:rPr>
      </w:pPr>
      <w:r w:rsidRPr="00D82002">
        <w:rPr>
          <w:rFonts w:ascii="Palatino Linotype" w:eastAsia="Palatino Linotype" w:hAnsi="Palatino Linotype" w:cs="Palatino Linotype"/>
          <w:i/>
          <w:sz w:val="22"/>
          <w:szCs w:val="22"/>
        </w:rPr>
        <w:t xml:space="preserve">3.4. Tercera Etapa: Presupuesto de Egresos Municipal. </w:t>
      </w:r>
    </w:p>
    <w:p w14:paraId="158E918E" w14:textId="77777777" w:rsidR="00DE7FC4" w:rsidRPr="00D82002" w:rsidRDefault="00EB2EDB">
      <w:pPr>
        <w:spacing w:line="276" w:lineRule="auto"/>
        <w:ind w:left="851" w:right="902"/>
        <w:jc w:val="both"/>
        <w:rPr>
          <w:rFonts w:ascii="Palatino Linotype" w:eastAsia="Palatino Linotype" w:hAnsi="Palatino Linotype" w:cs="Palatino Linotype"/>
          <w:i/>
          <w:sz w:val="22"/>
          <w:szCs w:val="22"/>
        </w:rPr>
      </w:pPr>
      <w:r w:rsidRPr="00D82002">
        <w:rPr>
          <w:rFonts w:ascii="Palatino Linotype" w:eastAsia="Palatino Linotype" w:hAnsi="Palatino Linotype" w:cs="Palatino Linotype"/>
          <w:i/>
          <w:sz w:val="22"/>
          <w:szCs w:val="22"/>
        </w:rPr>
        <w:t>La Constitución Política del Estado Libre y Soberano de México en su artículo 125 señala que los Ayuntamientos podrán celebrar sesiones extraordinarias de cabildo cuando la Ley de Ingresos aprobada por la Legislatura, implique adecuaciones a su Presupuesto de Egresos, así como por la asignación de las participaciones y aportaciones federales y estatales. Estas sesiones tendrán como único objeto concordar con el Presupuesto de Egresos. El Presidente Municipal, promulgará y publicará el Presupuesto de Egresos Municipal, a más tardar el día 25 de febrero de cada año debiendo enviarlo al Órgano Superior de Fiscalización en la misma fecha, observando asimismo lo dispuesto en el artículo 47 de la Ley de Fiscalización Superior del Estado de México vigente.</w:t>
      </w:r>
      <w:r w:rsidRPr="00D82002">
        <w:rPr>
          <w:rFonts w:ascii="Calibri" w:eastAsia="Calibri" w:hAnsi="Calibri" w:cs="Calibri"/>
          <w:sz w:val="22"/>
          <w:szCs w:val="22"/>
        </w:rPr>
        <w:t xml:space="preserve"> </w:t>
      </w:r>
    </w:p>
    <w:p w14:paraId="1972AE49" w14:textId="77777777" w:rsidR="00DE7FC4" w:rsidRPr="00D82002" w:rsidRDefault="00DE7FC4">
      <w:pPr>
        <w:spacing w:line="276" w:lineRule="auto"/>
        <w:ind w:left="851" w:right="902"/>
        <w:jc w:val="both"/>
        <w:rPr>
          <w:rFonts w:ascii="Palatino Linotype" w:eastAsia="Palatino Linotype" w:hAnsi="Palatino Linotype" w:cs="Palatino Linotype"/>
          <w:i/>
          <w:sz w:val="22"/>
          <w:szCs w:val="22"/>
        </w:rPr>
      </w:pPr>
    </w:p>
    <w:p w14:paraId="5F94D4C0" w14:textId="77777777" w:rsidR="00DE7FC4" w:rsidRPr="00D82002" w:rsidRDefault="00EB2EDB">
      <w:pPr>
        <w:spacing w:line="276" w:lineRule="auto"/>
        <w:ind w:left="851" w:right="902"/>
        <w:jc w:val="both"/>
        <w:rPr>
          <w:rFonts w:ascii="Palatino Linotype" w:eastAsia="Palatino Linotype" w:hAnsi="Palatino Linotype" w:cs="Palatino Linotype"/>
          <w:i/>
          <w:sz w:val="22"/>
          <w:szCs w:val="22"/>
        </w:rPr>
      </w:pPr>
      <w:r w:rsidRPr="00D82002">
        <w:rPr>
          <w:rFonts w:ascii="Palatino Linotype" w:eastAsia="Palatino Linotype" w:hAnsi="Palatino Linotype" w:cs="Palatino Linotype"/>
          <w:i/>
          <w:sz w:val="22"/>
          <w:szCs w:val="22"/>
        </w:rPr>
        <w:t>3.4.1. Formatos que integran el Presupuesto de Egresos aprobado</w:t>
      </w:r>
    </w:p>
    <w:p w14:paraId="6BB2A65C" w14:textId="77777777" w:rsidR="00DE7FC4" w:rsidRPr="00D82002" w:rsidRDefault="00DE7FC4">
      <w:pPr>
        <w:spacing w:line="276" w:lineRule="auto"/>
        <w:ind w:left="851" w:right="902"/>
        <w:jc w:val="both"/>
        <w:rPr>
          <w:rFonts w:ascii="Palatino Linotype" w:eastAsia="Palatino Linotype" w:hAnsi="Palatino Linotype" w:cs="Palatino Linotype"/>
          <w:i/>
          <w:sz w:val="22"/>
          <w:szCs w:val="22"/>
        </w:rPr>
      </w:pPr>
    </w:p>
    <w:p w14:paraId="3FA504BE" w14:textId="77777777" w:rsidR="00DE7FC4" w:rsidRPr="00D82002" w:rsidRDefault="00EB2EDB">
      <w:pPr>
        <w:spacing w:line="276" w:lineRule="auto"/>
        <w:ind w:left="851" w:right="902"/>
        <w:jc w:val="both"/>
        <w:rPr>
          <w:rFonts w:ascii="Palatino Linotype" w:eastAsia="Palatino Linotype" w:hAnsi="Palatino Linotype" w:cs="Palatino Linotype"/>
          <w:i/>
          <w:sz w:val="22"/>
          <w:szCs w:val="22"/>
        </w:rPr>
      </w:pPr>
      <w:r w:rsidRPr="00D82002">
        <w:rPr>
          <w:rFonts w:ascii="Palatino Linotype" w:eastAsia="Palatino Linotype" w:hAnsi="Palatino Linotype" w:cs="Palatino Linotype"/>
          <w:i/>
          <w:sz w:val="22"/>
          <w:szCs w:val="22"/>
        </w:rPr>
        <w:t>(….)</w:t>
      </w:r>
    </w:p>
    <w:p w14:paraId="38B3C776" w14:textId="77777777" w:rsidR="00DE7FC4" w:rsidRPr="00D82002" w:rsidRDefault="00EB2EDB">
      <w:pPr>
        <w:spacing w:line="276" w:lineRule="auto"/>
        <w:ind w:left="851" w:right="902"/>
        <w:jc w:val="both"/>
        <w:rPr>
          <w:rFonts w:ascii="Palatino Linotype" w:eastAsia="Palatino Linotype" w:hAnsi="Palatino Linotype" w:cs="Palatino Linotype"/>
          <w:i/>
          <w:sz w:val="22"/>
          <w:szCs w:val="22"/>
        </w:rPr>
      </w:pPr>
      <w:r w:rsidRPr="00D82002">
        <w:rPr>
          <w:rFonts w:ascii="Palatino Linotype" w:eastAsia="Palatino Linotype" w:hAnsi="Palatino Linotype" w:cs="Palatino Linotype"/>
          <w:i/>
          <w:sz w:val="22"/>
          <w:szCs w:val="22"/>
        </w:rPr>
        <w:t xml:space="preserve">Los formatos que conforman el Programa Anual (PbRM-01a, PbRM-01b, PbRM-01c, PbRM-01d, PbRM-01e), así como del Presupuesto de Egresos Detallado PbRM-04a, formato en el que se deberán registrar los proyectos por partida de gasto, los cuales tendrán que coincidir en estructura programática y gasto estimado por proyecto, con los formatos </w:t>
      </w:r>
      <w:proofErr w:type="spellStart"/>
      <w:r w:rsidRPr="00D82002">
        <w:rPr>
          <w:rFonts w:ascii="Palatino Linotype" w:eastAsia="Palatino Linotype" w:hAnsi="Palatino Linotype" w:cs="Palatino Linotype"/>
          <w:i/>
          <w:sz w:val="22"/>
          <w:szCs w:val="22"/>
        </w:rPr>
        <w:t>PbRM</w:t>
      </w:r>
      <w:proofErr w:type="spellEnd"/>
      <w:r w:rsidRPr="00D82002">
        <w:rPr>
          <w:rFonts w:ascii="Palatino Linotype" w:eastAsia="Palatino Linotype" w:hAnsi="Palatino Linotype" w:cs="Palatino Linotype"/>
          <w:i/>
          <w:sz w:val="22"/>
          <w:szCs w:val="22"/>
        </w:rPr>
        <w:t xml:space="preserve"> 01a y </w:t>
      </w:r>
      <w:proofErr w:type="spellStart"/>
      <w:r w:rsidRPr="00D82002">
        <w:rPr>
          <w:rFonts w:ascii="Palatino Linotype" w:eastAsia="Palatino Linotype" w:hAnsi="Palatino Linotype" w:cs="Palatino Linotype"/>
          <w:i/>
          <w:sz w:val="22"/>
          <w:szCs w:val="22"/>
        </w:rPr>
        <w:t>PbRM</w:t>
      </w:r>
      <w:proofErr w:type="spellEnd"/>
      <w:r w:rsidRPr="00D82002">
        <w:rPr>
          <w:rFonts w:ascii="Palatino Linotype" w:eastAsia="Palatino Linotype" w:hAnsi="Palatino Linotype" w:cs="Palatino Linotype"/>
          <w:i/>
          <w:sz w:val="22"/>
          <w:szCs w:val="22"/>
        </w:rPr>
        <w:t xml:space="preserve"> 01c. </w:t>
      </w:r>
    </w:p>
    <w:p w14:paraId="63F7DCEC" w14:textId="77777777" w:rsidR="00DE7FC4" w:rsidRPr="00D82002" w:rsidRDefault="00DE7FC4">
      <w:pPr>
        <w:spacing w:line="276" w:lineRule="auto"/>
        <w:ind w:left="851" w:right="902"/>
        <w:jc w:val="both"/>
        <w:rPr>
          <w:rFonts w:ascii="Palatino Linotype" w:eastAsia="Palatino Linotype" w:hAnsi="Palatino Linotype" w:cs="Palatino Linotype"/>
          <w:i/>
          <w:sz w:val="22"/>
          <w:szCs w:val="22"/>
        </w:rPr>
      </w:pPr>
    </w:p>
    <w:p w14:paraId="36E32885" w14:textId="77777777" w:rsidR="00DE7FC4" w:rsidRPr="00D82002" w:rsidRDefault="00EB2EDB">
      <w:pPr>
        <w:spacing w:line="276" w:lineRule="auto"/>
        <w:ind w:left="851" w:right="902"/>
        <w:jc w:val="both"/>
        <w:rPr>
          <w:rFonts w:ascii="Palatino Linotype" w:eastAsia="Palatino Linotype" w:hAnsi="Palatino Linotype" w:cs="Palatino Linotype"/>
          <w:i/>
          <w:sz w:val="22"/>
          <w:szCs w:val="22"/>
        </w:rPr>
      </w:pPr>
      <w:r w:rsidRPr="00D82002">
        <w:rPr>
          <w:rFonts w:ascii="Palatino Linotype" w:eastAsia="Palatino Linotype" w:hAnsi="Palatino Linotype" w:cs="Palatino Linotype"/>
          <w:i/>
          <w:sz w:val="22"/>
          <w:szCs w:val="22"/>
        </w:rPr>
        <w:t>Al contar con un presupuesto definido se deben corroborar las metas de actividad a realizar e identificar los tiempos de su ejecución, por lo que para este fin se requisita el formato PbRM-02a Calendarización de metas de actividad, el cual tiene por objeto identificar trimestralmente las cantidades de las metas programadas anuales por proyecto, mismas que fueron planteadas en el formato PbRM-01c.”</w:t>
      </w:r>
    </w:p>
    <w:p w14:paraId="4396478A" w14:textId="77777777" w:rsidR="00DE7FC4" w:rsidRPr="00D82002" w:rsidRDefault="00DE7FC4">
      <w:pPr>
        <w:spacing w:after="240" w:line="360" w:lineRule="auto"/>
        <w:jc w:val="both"/>
        <w:rPr>
          <w:rFonts w:ascii="Palatino Linotype" w:eastAsia="Palatino Linotype" w:hAnsi="Palatino Linotype" w:cs="Palatino Linotype"/>
          <w:sz w:val="22"/>
          <w:szCs w:val="22"/>
        </w:rPr>
      </w:pPr>
    </w:p>
    <w:p w14:paraId="77434F13" w14:textId="77777777" w:rsidR="00DE7FC4" w:rsidRPr="00D82002" w:rsidRDefault="00EB2EDB">
      <w:pPr>
        <w:spacing w:after="240" w:line="360" w:lineRule="auto"/>
        <w:jc w:val="both"/>
        <w:rPr>
          <w:rFonts w:ascii="Palatino Linotype" w:eastAsia="Palatino Linotype" w:hAnsi="Palatino Linotype" w:cs="Palatino Linotype"/>
          <w:sz w:val="22"/>
          <w:szCs w:val="22"/>
        </w:rPr>
      </w:pPr>
      <w:r w:rsidRPr="00D82002">
        <w:rPr>
          <w:rFonts w:ascii="Palatino Linotype" w:eastAsia="Palatino Linotype" w:hAnsi="Palatino Linotype" w:cs="Palatino Linotype"/>
          <w:sz w:val="22"/>
          <w:szCs w:val="22"/>
        </w:rPr>
        <w:t xml:space="preserve">Lo anterior, da cuenta de la información que integra el Presupuesto de Ingresos y Egresos de los Ayuntamientos, por lo que se asume la fuente obligacional del Sujeto Obligado para generar, administrar y poseer información al respecto. </w:t>
      </w:r>
    </w:p>
    <w:p w14:paraId="6C3D72DA" w14:textId="77777777" w:rsidR="00DE7FC4" w:rsidRPr="00D82002" w:rsidRDefault="00EB2EDB">
      <w:pPr>
        <w:spacing w:after="240" w:line="360" w:lineRule="auto"/>
        <w:jc w:val="both"/>
        <w:rPr>
          <w:rFonts w:ascii="Palatino Linotype" w:eastAsia="Palatino Linotype" w:hAnsi="Palatino Linotype" w:cs="Palatino Linotype"/>
          <w:sz w:val="22"/>
          <w:szCs w:val="22"/>
        </w:rPr>
      </w:pPr>
      <w:r w:rsidRPr="00D82002">
        <w:rPr>
          <w:rFonts w:ascii="Palatino Linotype" w:eastAsia="Palatino Linotype" w:hAnsi="Palatino Linotype" w:cs="Palatino Linotype"/>
          <w:sz w:val="22"/>
          <w:szCs w:val="22"/>
        </w:rPr>
        <w:t xml:space="preserve">Ahora bien, no escapa de la óptica de este Organismo Garante que, quien dio respuesta a la solicitud fue la Tesorería Municipal, siguiendo con ello el procedimiento para la atención a las solicitudes de acceso a la información, establecido en los artículos 151, 160, 162, 163, 164, 165 y 166, de la Ley de Transparencia y Acceso a la Información Pública del Estado de México y Municipios: </w:t>
      </w:r>
    </w:p>
    <w:p w14:paraId="0C6C0537" w14:textId="77777777" w:rsidR="00DE7FC4" w:rsidRPr="00D82002" w:rsidRDefault="00EB2EDB">
      <w:pPr>
        <w:spacing w:after="240" w:line="360" w:lineRule="auto"/>
        <w:ind w:left="284"/>
        <w:jc w:val="both"/>
        <w:rPr>
          <w:rFonts w:ascii="Palatino Linotype" w:eastAsia="Palatino Linotype" w:hAnsi="Palatino Linotype" w:cs="Palatino Linotype"/>
          <w:sz w:val="22"/>
          <w:szCs w:val="22"/>
        </w:rPr>
      </w:pPr>
      <w:r w:rsidRPr="00D82002">
        <w:rPr>
          <w:rFonts w:ascii="Palatino Linotype" w:eastAsia="Palatino Linotype" w:hAnsi="Palatino Linotype" w:cs="Palatino Linotype"/>
          <w:sz w:val="22"/>
          <w:szCs w:val="22"/>
        </w:rPr>
        <w:t xml:space="preserve">• Las Unidades de Transparencia de los sujetos obligados deben garantizar las medidas y condiciones de accesibilidad para que toda persona pueda ejercer el derecho de acceso a la información; por lo que, son las responsables de hacer las notificaciones correspondientes, además de llevar a cabo todas las gestiones necesarias para facilitar el acceso de la información; </w:t>
      </w:r>
    </w:p>
    <w:p w14:paraId="2710D7BD" w14:textId="77777777" w:rsidR="00DE7FC4" w:rsidRPr="00D82002" w:rsidRDefault="00EB2EDB">
      <w:pPr>
        <w:spacing w:after="240" w:line="360" w:lineRule="auto"/>
        <w:ind w:left="284"/>
        <w:jc w:val="both"/>
        <w:rPr>
          <w:rFonts w:ascii="Palatino Linotype" w:eastAsia="Palatino Linotype" w:hAnsi="Palatino Linotype" w:cs="Palatino Linotype"/>
          <w:sz w:val="22"/>
          <w:szCs w:val="22"/>
        </w:rPr>
      </w:pPr>
      <w:r w:rsidRPr="00D82002">
        <w:rPr>
          <w:rFonts w:ascii="Palatino Linotype" w:eastAsia="Palatino Linotype" w:hAnsi="Palatino Linotype" w:cs="Palatino Linotype"/>
          <w:sz w:val="22"/>
          <w:szCs w:val="22"/>
        </w:rPr>
        <w:t xml:space="preserve">• La respuesta a los requerimientos informativos, deberá notificarse al interesado en el menor tiempo posible, que no podrá exceder de quince días hábiles, contados a partir del día siguiente a la presentación de esta.  </w:t>
      </w:r>
    </w:p>
    <w:p w14:paraId="4C312F72" w14:textId="77777777" w:rsidR="00DE7FC4" w:rsidRPr="00D82002" w:rsidRDefault="00EB2EDB">
      <w:pPr>
        <w:spacing w:after="240" w:line="360" w:lineRule="auto"/>
        <w:ind w:left="284"/>
        <w:jc w:val="both"/>
        <w:rPr>
          <w:rFonts w:ascii="Palatino Linotype" w:eastAsia="Palatino Linotype" w:hAnsi="Palatino Linotype" w:cs="Palatino Linotype"/>
          <w:sz w:val="22"/>
          <w:szCs w:val="22"/>
        </w:rPr>
      </w:pPr>
      <w:r w:rsidRPr="00D82002">
        <w:rPr>
          <w:rFonts w:ascii="Palatino Linotype" w:eastAsia="Palatino Linotype" w:hAnsi="Palatino Linotype" w:cs="Palatino Linotype"/>
          <w:sz w:val="22"/>
          <w:szCs w:val="22"/>
        </w:rPr>
        <w:t xml:space="preserve">Excepcionalmente, el plazo referido podrá ampliarse por siete días hábiles más, cuando existan razones fundadas y motivadas, a través del Comité de Transparencia; </w:t>
      </w:r>
    </w:p>
    <w:p w14:paraId="15F614B0" w14:textId="77777777" w:rsidR="00DE7FC4" w:rsidRPr="00D82002" w:rsidRDefault="00EB2EDB">
      <w:pPr>
        <w:spacing w:after="240" w:line="360" w:lineRule="auto"/>
        <w:ind w:left="284"/>
        <w:jc w:val="both"/>
        <w:rPr>
          <w:rFonts w:ascii="Palatino Linotype" w:eastAsia="Palatino Linotype" w:hAnsi="Palatino Linotype" w:cs="Palatino Linotype"/>
          <w:sz w:val="22"/>
          <w:szCs w:val="22"/>
        </w:rPr>
      </w:pPr>
      <w:r w:rsidRPr="00D82002">
        <w:rPr>
          <w:rFonts w:ascii="Palatino Linotype" w:eastAsia="Palatino Linotype" w:hAnsi="Palatino Linotype" w:cs="Palatino Linotype"/>
          <w:sz w:val="22"/>
          <w:szCs w:val="22"/>
        </w:rPr>
        <w:t xml:space="preserve">• Las Unidades de Transparencia garantizarán que las solicitudes se turnen a todas las áreas competentes que cuenten con la información o deban tenerla de acuerdo a sus facultades, funciones y atribuciones, para que realicen una búsqueda exhaustiva y razonable de la documentación solicitada, con el fin de que proporcionen las expresiones documentales que se encuentren en sus archivos o que estén constreñidos a elaborar; </w:t>
      </w:r>
    </w:p>
    <w:p w14:paraId="1C846979" w14:textId="77777777" w:rsidR="00DE7FC4" w:rsidRPr="00D82002" w:rsidRDefault="00EB2EDB">
      <w:pPr>
        <w:spacing w:after="240" w:line="360" w:lineRule="auto"/>
        <w:ind w:left="284"/>
        <w:jc w:val="both"/>
        <w:rPr>
          <w:rFonts w:ascii="Palatino Linotype" w:eastAsia="Palatino Linotype" w:hAnsi="Palatino Linotype" w:cs="Palatino Linotype"/>
          <w:sz w:val="22"/>
          <w:szCs w:val="22"/>
        </w:rPr>
      </w:pPr>
      <w:r w:rsidRPr="00D82002">
        <w:rPr>
          <w:rFonts w:ascii="Palatino Linotype" w:eastAsia="Palatino Linotype" w:hAnsi="Palatino Linotype" w:cs="Palatino Linotype"/>
          <w:sz w:val="22"/>
          <w:szCs w:val="22"/>
        </w:rPr>
        <w:t xml:space="preserve">• El acceso se dará en la modalidad de entrega y en su caso, de envío elegido por la solicitante, cuando no pueda entregarse en dicha modalidad, el Sujeto Obligado deberá ofrecer otras; por lo cual, deberá fundar y motivar la necesidad de modificar el medio de entrega; y </w:t>
      </w:r>
    </w:p>
    <w:p w14:paraId="1ECF1004" w14:textId="77777777" w:rsidR="00DE7FC4" w:rsidRPr="00D82002" w:rsidRDefault="00EB2EDB">
      <w:pPr>
        <w:spacing w:after="240" w:line="360" w:lineRule="auto"/>
        <w:ind w:left="284"/>
        <w:jc w:val="both"/>
        <w:rPr>
          <w:rFonts w:ascii="Palatino Linotype" w:eastAsia="Palatino Linotype" w:hAnsi="Palatino Linotype" w:cs="Palatino Linotype"/>
          <w:sz w:val="22"/>
          <w:szCs w:val="22"/>
        </w:rPr>
      </w:pPr>
      <w:r w:rsidRPr="00D82002">
        <w:rPr>
          <w:rFonts w:ascii="Palatino Linotype" w:eastAsia="Palatino Linotype" w:hAnsi="Palatino Linotype" w:cs="Palatino Linotype"/>
          <w:sz w:val="22"/>
          <w:szCs w:val="22"/>
        </w:rPr>
        <w:t xml:space="preserve">• Las Unidades de Transparencia, tendrán disponible la información requerida durante un plazo mínimo de sesenta días hábiles, contados a partir de que la solicitante hubiere realizado, en su caso, el pago respectivo, el cual deberá efectuarse en un plazo no mayor a treinta días hábiles; por lo que, una vez transcurrida dicha temporalidad, los Sujetos Obligados darán por concluida la solicitud y procederán de ser el caso, a la destrucción del material; </w:t>
      </w:r>
    </w:p>
    <w:p w14:paraId="08A620C1" w14:textId="77777777" w:rsidR="00DE7FC4" w:rsidRPr="00D82002" w:rsidRDefault="00EB2EDB">
      <w:pPr>
        <w:spacing w:line="360" w:lineRule="auto"/>
        <w:jc w:val="both"/>
        <w:rPr>
          <w:rFonts w:ascii="Palatino Linotype" w:eastAsia="Palatino Linotype" w:hAnsi="Palatino Linotype" w:cs="Palatino Linotype"/>
          <w:sz w:val="22"/>
          <w:szCs w:val="22"/>
        </w:rPr>
      </w:pPr>
      <w:r w:rsidRPr="00D82002">
        <w:rPr>
          <w:rFonts w:ascii="Palatino Linotype" w:eastAsia="Palatino Linotype" w:hAnsi="Palatino Linotype" w:cs="Palatino Linotype"/>
          <w:sz w:val="22"/>
          <w:szCs w:val="22"/>
        </w:rPr>
        <w:t>En este orden de ideas, se reitera que la Tesorería es el área que cuenta con atribuciones para generar, administrar o poseer la información requerida respecto al Presupuesto del Ayuntamiento; con lo que se acreditó que se realizó una correcta búsqueda exhaustiva y razonable de la información.</w:t>
      </w:r>
    </w:p>
    <w:p w14:paraId="68434189" w14:textId="77777777" w:rsidR="00DE7FC4" w:rsidRPr="00D82002" w:rsidRDefault="00DE7FC4">
      <w:pPr>
        <w:spacing w:line="360" w:lineRule="auto"/>
        <w:jc w:val="both"/>
        <w:rPr>
          <w:rFonts w:ascii="Palatino Linotype" w:eastAsia="Palatino Linotype" w:hAnsi="Palatino Linotype" w:cs="Palatino Linotype"/>
          <w:sz w:val="22"/>
          <w:szCs w:val="22"/>
        </w:rPr>
      </w:pPr>
    </w:p>
    <w:p w14:paraId="77361229" w14:textId="77777777" w:rsidR="00DE7FC4" w:rsidRPr="00D82002" w:rsidRDefault="00EB2EDB">
      <w:pPr>
        <w:spacing w:line="360" w:lineRule="auto"/>
        <w:jc w:val="both"/>
        <w:rPr>
          <w:rFonts w:ascii="Palatino Linotype" w:eastAsia="Palatino Linotype" w:hAnsi="Palatino Linotype" w:cs="Palatino Linotype"/>
          <w:sz w:val="22"/>
          <w:szCs w:val="22"/>
        </w:rPr>
      </w:pPr>
      <w:r w:rsidRPr="00D82002">
        <w:rPr>
          <w:rFonts w:ascii="Palatino Linotype" w:eastAsia="Palatino Linotype" w:hAnsi="Palatino Linotype" w:cs="Palatino Linotype"/>
          <w:sz w:val="22"/>
          <w:szCs w:val="22"/>
        </w:rPr>
        <w:t xml:space="preserve">Establecido lo anterior, es de recordar la respuesta del Sujeto Obligado, pues a través de esta no niega la existencia de la información, sino por el contrario, al señalar las direcciones </w:t>
      </w:r>
      <w:proofErr w:type="spellStart"/>
      <w:r w:rsidRPr="00D82002">
        <w:rPr>
          <w:rFonts w:ascii="Palatino Linotype" w:eastAsia="Palatino Linotype" w:hAnsi="Palatino Linotype" w:cs="Palatino Linotype"/>
          <w:sz w:val="22"/>
          <w:szCs w:val="22"/>
        </w:rPr>
        <w:t>eletrónicas</w:t>
      </w:r>
      <w:proofErr w:type="spellEnd"/>
      <w:r w:rsidRPr="00D82002">
        <w:rPr>
          <w:rFonts w:ascii="Palatino Linotype" w:eastAsia="Palatino Linotype" w:hAnsi="Palatino Linotype" w:cs="Palatino Linotype"/>
          <w:sz w:val="22"/>
          <w:szCs w:val="22"/>
        </w:rPr>
        <w:t xml:space="preserve"> donde se puede consultar, asume generar, administrarla y poseerla. </w:t>
      </w:r>
    </w:p>
    <w:p w14:paraId="7063B696" w14:textId="77777777" w:rsidR="00DE7FC4" w:rsidRPr="00D82002" w:rsidRDefault="00DE7FC4">
      <w:pPr>
        <w:spacing w:line="360" w:lineRule="auto"/>
        <w:jc w:val="both"/>
        <w:rPr>
          <w:rFonts w:ascii="Palatino Linotype" w:eastAsia="Palatino Linotype" w:hAnsi="Palatino Linotype" w:cs="Palatino Linotype"/>
          <w:sz w:val="22"/>
          <w:szCs w:val="22"/>
        </w:rPr>
      </w:pPr>
    </w:p>
    <w:p w14:paraId="3C6096E6" w14:textId="77777777" w:rsidR="00DE7FC4" w:rsidRPr="00D82002" w:rsidRDefault="00EB2EDB">
      <w:pPr>
        <w:spacing w:line="360" w:lineRule="auto"/>
        <w:jc w:val="both"/>
        <w:rPr>
          <w:rFonts w:ascii="Palatino Linotype" w:eastAsia="Palatino Linotype" w:hAnsi="Palatino Linotype" w:cs="Palatino Linotype"/>
          <w:sz w:val="22"/>
          <w:szCs w:val="22"/>
        </w:rPr>
      </w:pPr>
      <w:r w:rsidRPr="00D82002">
        <w:rPr>
          <w:rFonts w:ascii="Palatino Linotype" w:eastAsia="Palatino Linotype" w:hAnsi="Palatino Linotype" w:cs="Palatino Linotype"/>
          <w:sz w:val="22"/>
          <w:szCs w:val="22"/>
        </w:rPr>
        <w:t>El Sujeto Obligado en su respuesta indicó lo siguiente:</w:t>
      </w:r>
    </w:p>
    <w:p w14:paraId="6089B983" w14:textId="77777777" w:rsidR="00DE7FC4" w:rsidRPr="00D82002" w:rsidRDefault="00DE7FC4">
      <w:pPr>
        <w:spacing w:line="360" w:lineRule="auto"/>
        <w:jc w:val="both"/>
        <w:rPr>
          <w:rFonts w:ascii="Palatino Linotype" w:eastAsia="Palatino Linotype" w:hAnsi="Palatino Linotype" w:cs="Palatino Linotype"/>
          <w:sz w:val="22"/>
          <w:szCs w:val="22"/>
        </w:rPr>
      </w:pPr>
    </w:p>
    <w:p w14:paraId="1E9ECD21" w14:textId="77777777" w:rsidR="00DE7FC4" w:rsidRPr="00D82002" w:rsidRDefault="00EB2EDB">
      <w:pPr>
        <w:spacing w:line="360" w:lineRule="auto"/>
        <w:jc w:val="both"/>
        <w:rPr>
          <w:rFonts w:ascii="Palatino Linotype" w:eastAsia="Palatino Linotype" w:hAnsi="Palatino Linotype" w:cs="Palatino Linotype"/>
          <w:sz w:val="22"/>
          <w:szCs w:val="22"/>
        </w:rPr>
      </w:pPr>
      <w:r w:rsidRPr="00D82002">
        <w:rPr>
          <w:rFonts w:ascii="Palatino Linotype" w:eastAsia="Palatino Linotype" w:hAnsi="Palatino Linotype" w:cs="Palatino Linotype"/>
          <w:noProof/>
          <w:sz w:val="22"/>
          <w:szCs w:val="22"/>
        </w:rPr>
        <w:drawing>
          <wp:inline distT="0" distB="0" distL="0" distR="0" wp14:anchorId="6AEDB14C" wp14:editId="3BB7B203">
            <wp:extent cx="5756275" cy="2056130"/>
            <wp:effectExtent l="0" t="0" r="0" b="0"/>
            <wp:docPr id="1450129446" name="image5.png" descr="Tabla&#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5.png" descr="Tabla&#10;&#10;El contenido generado por IA puede ser incorrecto."/>
                    <pic:cNvPicPr preferRelativeResize="0"/>
                  </pic:nvPicPr>
                  <pic:blipFill>
                    <a:blip r:embed="rId8"/>
                    <a:srcRect/>
                    <a:stretch>
                      <a:fillRect/>
                    </a:stretch>
                  </pic:blipFill>
                  <pic:spPr>
                    <a:xfrm>
                      <a:off x="0" y="0"/>
                      <a:ext cx="5756275" cy="2056130"/>
                    </a:xfrm>
                    <a:prstGeom prst="rect">
                      <a:avLst/>
                    </a:prstGeom>
                    <a:ln/>
                  </pic:spPr>
                </pic:pic>
              </a:graphicData>
            </a:graphic>
          </wp:inline>
        </w:drawing>
      </w:r>
    </w:p>
    <w:p w14:paraId="4D302C1A" w14:textId="77777777" w:rsidR="00DE7FC4" w:rsidRPr="00D82002" w:rsidRDefault="00DE7FC4">
      <w:pPr>
        <w:spacing w:line="360" w:lineRule="auto"/>
        <w:jc w:val="both"/>
        <w:rPr>
          <w:rFonts w:ascii="Palatino Linotype" w:eastAsia="Palatino Linotype" w:hAnsi="Palatino Linotype" w:cs="Palatino Linotype"/>
          <w:sz w:val="22"/>
          <w:szCs w:val="22"/>
        </w:rPr>
      </w:pPr>
    </w:p>
    <w:p w14:paraId="4C18B55D" w14:textId="77777777" w:rsidR="00DE7FC4" w:rsidRPr="00D82002" w:rsidRDefault="00EB2EDB">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D82002">
        <w:rPr>
          <w:rFonts w:ascii="Palatino Linotype" w:eastAsia="Palatino Linotype" w:hAnsi="Palatino Linotype" w:cs="Palatino Linotype"/>
          <w:sz w:val="22"/>
          <w:szCs w:val="22"/>
        </w:rPr>
        <w:t xml:space="preserve">Al respecto es necesario precisar que la Ley de Transparencia y Acceso a la Información Pública del Estado de México y Municipios establece en su artículo 11 que en </w:t>
      </w:r>
      <w:r w:rsidRPr="00D82002">
        <w:rPr>
          <w:rFonts w:ascii="Palatino Linotype" w:eastAsia="Palatino Linotype" w:hAnsi="Palatino Linotype" w:cs="Palatino Linotype"/>
          <w:i/>
          <w:sz w:val="22"/>
          <w:szCs w:val="22"/>
        </w:rPr>
        <w:t xml:space="preserve">la entrega de la información se deberá garantizar que ésta sea </w:t>
      </w:r>
      <w:r w:rsidRPr="00D82002">
        <w:rPr>
          <w:rFonts w:ascii="Palatino Linotype" w:eastAsia="Palatino Linotype" w:hAnsi="Palatino Linotype" w:cs="Palatino Linotype"/>
          <w:b/>
          <w:i/>
          <w:sz w:val="22"/>
          <w:szCs w:val="22"/>
        </w:rPr>
        <w:t>accesible</w:t>
      </w:r>
      <w:r w:rsidRPr="00D82002">
        <w:rPr>
          <w:rFonts w:ascii="Palatino Linotype" w:eastAsia="Palatino Linotype" w:hAnsi="Palatino Linotype" w:cs="Palatino Linotype"/>
          <w:i/>
          <w:sz w:val="22"/>
          <w:szCs w:val="22"/>
        </w:rPr>
        <w:t xml:space="preserve">, </w:t>
      </w:r>
      <w:r w:rsidRPr="00D82002">
        <w:rPr>
          <w:rFonts w:ascii="Palatino Linotype" w:eastAsia="Palatino Linotype" w:hAnsi="Palatino Linotype" w:cs="Palatino Linotype"/>
          <w:b/>
          <w:i/>
          <w:sz w:val="22"/>
          <w:szCs w:val="22"/>
        </w:rPr>
        <w:t>actualizada, completa,</w:t>
      </w:r>
      <w:r w:rsidRPr="00D82002">
        <w:rPr>
          <w:rFonts w:ascii="Palatino Linotype" w:eastAsia="Palatino Linotype" w:hAnsi="Palatino Linotype" w:cs="Palatino Linotype"/>
          <w:i/>
          <w:sz w:val="22"/>
          <w:szCs w:val="22"/>
        </w:rPr>
        <w:t xml:space="preserve"> congruente, confiable, </w:t>
      </w:r>
      <w:r w:rsidRPr="00D82002">
        <w:rPr>
          <w:rFonts w:ascii="Palatino Linotype" w:eastAsia="Palatino Linotype" w:hAnsi="Palatino Linotype" w:cs="Palatino Linotype"/>
          <w:b/>
          <w:i/>
          <w:sz w:val="22"/>
          <w:szCs w:val="22"/>
        </w:rPr>
        <w:t>verificable</w:t>
      </w:r>
      <w:r w:rsidRPr="00D82002">
        <w:rPr>
          <w:rFonts w:ascii="Palatino Linotype" w:eastAsia="Palatino Linotype" w:hAnsi="Palatino Linotype" w:cs="Palatino Linotype"/>
          <w:i/>
          <w:sz w:val="22"/>
          <w:szCs w:val="22"/>
        </w:rPr>
        <w:t xml:space="preserve">, veraz, integral, oportuna y expedita. </w:t>
      </w:r>
      <w:r w:rsidRPr="00D82002">
        <w:rPr>
          <w:rFonts w:ascii="Palatino Linotype" w:eastAsia="Palatino Linotype" w:hAnsi="Palatino Linotype" w:cs="Palatino Linotype"/>
          <w:sz w:val="22"/>
          <w:szCs w:val="22"/>
        </w:rPr>
        <w:t>Asimismo, el artículo 161 de la Ley en comento, refiere lo siguiente:</w:t>
      </w:r>
    </w:p>
    <w:p w14:paraId="6AF29B68" w14:textId="77777777" w:rsidR="00DE7FC4" w:rsidRPr="00D82002" w:rsidRDefault="00DE7FC4">
      <w:pPr>
        <w:pBdr>
          <w:top w:val="nil"/>
          <w:left w:val="nil"/>
          <w:bottom w:val="nil"/>
          <w:right w:val="nil"/>
          <w:between w:val="nil"/>
        </w:pBdr>
        <w:ind w:left="708"/>
        <w:jc w:val="both"/>
        <w:rPr>
          <w:rFonts w:ascii="Palatino Linotype" w:eastAsia="Palatino Linotype" w:hAnsi="Palatino Linotype" w:cs="Palatino Linotype"/>
          <w:sz w:val="22"/>
          <w:szCs w:val="22"/>
        </w:rPr>
      </w:pPr>
    </w:p>
    <w:p w14:paraId="7840D0D3" w14:textId="77777777" w:rsidR="00DE7FC4" w:rsidRPr="00D82002" w:rsidRDefault="00EB2EDB">
      <w:pPr>
        <w:spacing w:line="360" w:lineRule="auto"/>
        <w:ind w:left="567" w:right="567"/>
        <w:jc w:val="both"/>
        <w:rPr>
          <w:rFonts w:ascii="Palatino Linotype" w:eastAsia="Palatino Linotype" w:hAnsi="Palatino Linotype" w:cs="Palatino Linotype"/>
          <w:b/>
          <w:i/>
          <w:sz w:val="22"/>
          <w:szCs w:val="22"/>
        </w:rPr>
      </w:pPr>
      <w:r w:rsidRPr="00D82002">
        <w:rPr>
          <w:rFonts w:ascii="Palatino Linotype" w:eastAsia="Palatino Linotype" w:hAnsi="Palatino Linotype" w:cs="Palatino Linotype"/>
          <w:b/>
          <w:i/>
          <w:sz w:val="22"/>
          <w:szCs w:val="22"/>
        </w:rPr>
        <w:t xml:space="preserve">Artículo 161. Cuando la información requerida por el solicitante ya esté disponible al público </w:t>
      </w:r>
      <w:r w:rsidRPr="00D82002">
        <w:rPr>
          <w:rFonts w:ascii="Palatino Linotype" w:eastAsia="Palatino Linotype" w:hAnsi="Palatino Linotype" w:cs="Palatino Linotype"/>
          <w:i/>
          <w:sz w:val="22"/>
          <w:szCs w:val="22"/>
        </w:rPr>
        <w:t xml:space="preserve">en medios impresos, tales como libros, compendios, trípticos, registros públicos, </w:t>
      </w:r>
      <w:r w:rsidRPr="00D82002">
        <w:rPr>
          <w:rFonts w:ascii="Palatino Linotype" w:eastAsia="Palatino Linotype" w:hAnsi="Palatino Linotype" w:cs="Palatino Linotype"/>
          <w:b/>
          <w:i/>
          <w:sz w:val="22"/>
          <w:szCs w:val="22"/>
        </w:rPr>
        <w:t>en formatos electrónicos</w:t>
      </w:r>
      <w:r w:rsidRPr="00D82002">
        <w:rPr>
          <w:rFonts w:ascii="Palatino Linotype" w:eastAsia="Palatino Linotype" w:hAnsi="Palatino Linotype" w:cs="Palatino Linotype"/>
          <w:i/>
          <w:sz w:val="22"/>
          <w:szCs w:val="22"/>
        </w:rPr>
        <w:t xml:space="preserve"> disponibles en Internet o en cualquier otro medio, </w:t>
      </w:r>
      <w:r w:rsidRPr="00D82002">
        <w:rPr>
          <w:rFonts w:ascii="Palatino Linotype" w:eastAsia="Palatino Linotype" w:hAnsi="Palatino Linotype" w:cs="Palatino Linotype"/>
          <w:b/>
          <w:i/>
          <w:sz w:val="22"/>
          <w:szCs w:val="22"/>
        </w:rPr>
        <w:t>se le hará saber por el medio requerido por el solicitante la fuente, el lugar y la forma en que puede consultar, reproducir o adquirir dicha información en un plazo no mayor a cinco días hábiles. La fuente deberá ser precisa y concreta y no debe implicar que el solicitante realice una búsqueda en toda la información que se encuentre disponible.</w:t>
      </w:r>
    </w:p>
    <w:p w14:paraId="69982C28" w14:textId="77777777" w:rsidR="00DE7FC4" w:rsidRPr="00D82002" w:rsidRDefault="00EB2EDB">
      <w:pPr>
        <w:spacing w:line="360" w:lineRule="auto"/>
        <w:ind w:left="567" w:right="567"/>
        <w:jc w:val="both"/>
        <w:rPr>
          <w:rFonts w:ascii="Palatino Linotype" w:eastAsia="Palatino Linotype" w:hAnsi="Palatino Linotype" w:cs="Palatino Linotype"/>
          <w:b/>
          <w:i/>
          <w:sz w:val="22"/>
          <w:szCs w:val="22"/>
        </w:rPr>
      </w:pPr>
      <w:r w:rsidRPr="00D82002">
        <w:rPr>
          <w:rFonts w:ascii="Palatino Linotype" w:eastAsia="Palatino Linotype" w:hAnsi="Palatino Linotype" w:cs="Palatino Linotype"/>
          <w:b/>
          <w:i/>
          <w:sz w:val="22"/>
          <w:szCs w:val="22"/>
        </w:rPr>
        <w:t>(Énfasis añadido)</w:t>
      </w:r>
    </w:p>
    <w:p w14:paraId="0DE2DDF7" w14:textId="77777777" w:rsidR="00DE7FC4" w:rsidRPr="00D82002" w:rsidRDefault="00DE7FC4">
      <w:pPr>
        <w:spacing w:line="360" w:lineRule="auto"/>
        <w:ind w:left="567" w:right="567"/>
        <w:jc w:val="both"/>
        <w:rPr>
          <w:rFonts w:ascii="Palatino Linotype" w:eastAsia="Palatino Linotype" w:hAnsi="Palatino Linotype" w:cs="Palatino Linotype"/>
          <w:b/>
          <w:i/>
          <w:sz w:val="22"/>
          <w:szCs w:val="22"/>
        </w:rPr>
      </w:pPr>
    </w:p>
    <w:p w14:paraId="536A01A1" w14:textId="77777777" w:rsidR="00DE7FC4" w:rsidRPr="00D82002" w:rsidRDefault="00EB2EDB">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D82002">
        <w:rPr>
          <w:rFonts w:ascii="Palatino Linotype" w:eastAsia="Palatino Linotype" w:hAnsi="Palatino Linotype" w:cs="Palatino Linotype"/>
          <w:sz w:val="22"/>
          <w:szCs w:val="22"/>
        </w:rPr>
        <w:t xml:space="preserve">Es así que, toda aquella información que sea requerida por los particulares que, previamente se encuentre disponible en sitios electrónicos, como puede ser de manera enunciativa más no limitativa, el sitio oficial del Sujeto Obligado o el portal IPOMEX o las páginas institucionales. Los Sujetos Obligado deben indicar la dirección electrónica donde obra la información solicitada. </w:t>
      </w:r>
      <w:r w:rsidRPr="00D82002">
        <w:rPr>
          <w:rFonts w:ascii="Palatino Linotype" w:eastAsia="Palatino Linotype" w:hAnsi="Palatino Linotype" w:cs="Palatino Linotype"/>
          <w:b/>
          <w:sz w:val="22"/>
          <w:szCs w:val="22"/>
        </w:rPr>
        <w:t>Esta dirección electrónica debe ser precisa, de tal modo que no implique realizar una búsqueda en toda la información que ahí se encuentre, debiendo cumplir</w:t>
      </w:r>
      <w:r w:rsidRPr="00D82002">
        <w:rPr>
          <w:rFonts w:ascii="Palatino Linotype" w:eastAsia="Palatino Linotype" w:hAnsi="Palatino Linotype" w:cs="Palatino Linotype"/>
          <w:sz w:val="22"/>
          <w:szCs w:val="22"/>
        </w:rPr>
        <w:t xml:space="preserve"> una serie de requisitos, a saber:</w:t>
      </w:r>
    </w:p>
    <w:p w14:paraId="24CD6078" w14:textId="77777777" w:rsidR="00DE7FC4" w:rsidRPr="00D82002" w:rsidRDefault="00DE7FC4">
      <w:pPr>
        <w:pBdr>
          <w:top w:val="nil"/>
          <w:left w:val="nil"/>
          <w:bottom w:val="nil"/>
          <w:right w:val="nil"/>
          <w:between w:val="nil"/>
        </w:pBdr>
        <w:spacing w:line="360" w:lineRule="auto"/>
        <w:ind w:left="720" w:right="48"/>
        <w:jc w:val="both"/>
        <w:rPr>
          <w:rFonts w:ascii="Palatino Linotype" w:eastAsia="Palatino Linotype" w:hAnsi="Palatino Linotype" w:cs="Palatino Linotype"/>
          <w:b/>
          <w:sz w:val="22"/>
          <w:szCs w:val="22"/>
        </w:rPr>
      </w:pPr>
    </w:p>
    <w:p w14:paraId="75FAB368" w14:textId="77777777" w:rsidR="00DE7FC4" w:rsidRPr="00D82002" w:rsidRDefault="00EB2EDB">
      <w:pPr>
        <w:numPr>
          <w:ilvl w:val="0"/>
          <w:numId w:val="4"/>
        </w:numPr>
        <w:pBdr>
          <w:top w:val="nil"/>
          <w:left w:val="nil"/>
          <w:bottom w:val="nil"/>
          <w:right w:val="nil"/>
          <w:between w:val="nil"/>
        </w:pBdr>
        <w:spacing w:line="360" w:lineRule="auto"/>
        <w:ind w:right="48"/>
        <w:jc w:val="both"/>
        <w:rPr>
          <w:rFonts w:ascii="Palatino Linotype" w:eastAsia="Palatino Linotype" w:hAnsi="Palatino Linotype" w:cs="Palatino Linotype"/>
          <w:b/>
          <w:sz w:val="22"/>
          <w:szCs w:val="22"/>
        </w:rPr>
      </w:pPr>
      <w:r w:rsidRPr="00D82002">
        <w:rPr>
          <w:rFonts w:ascii="Palatino Linotype" w:eastAsia="Palatino Linotype" w:hAnsi="Palatino Linotype" w:cs="Palatino Linotype"/>
          <w:b/>
          <w:sz w:val="22"/>
          <w:szCs w:val="22"/>
        </w:rPr>
        <w:t>La dirección electrónica debe señalarse en un plazo no mayor a cinco días hábiles;</w:t>
      </w:r>
    </w:p>
    <w:p w14:paraId="2DC1987D" w14:textId="77777777" w:rsidR="00DE7FC4" w:rsidRPr="00D82002" w:rsidRDefault="00EB2EDB">
      <w:pPr>
        <w:numPr>
          <w:ilvl w:val="0"/>
          <w:numId w:val="4"/>
        </w:numPr>
        <w:pBdr>
          <w:top w:val="nil"/>
          <w:left w:val="nil"/>
          <w:bottom w:val="nil"/>
          <w:right w:val="nil"/>
          <w:between w:val="nil"/>
        </w:pBdr>
        <w:spacing w:line="360" w:lineRule="auto"/>
        <w:ind w:right="48"/>
        <w:jc w:val="both"/>
        <w:rPr>
          <w:rFonts w:ascii="Palatino Linotype" w:eastAsia="Palatino Linotype" w:hAnsi="Palatino Linotype" w:cs="Palatino Linotype"/>
          <w:b/>
          <w:sz w:val="22"/>
          <w:szCs w:val="22"/>
        </w:rPr>
      </w:pPr>
      <w:r w:rsidRPr="00D82002">
        <w:rPr>
          <w:rFonts w:ascii="Palatino Linotype" w:eastAsia="Palatino Linotype" w:hAnsi="Palatino Linotype" w:cs="Palatino Linotype"/>
          <w:b/>
          <w:sz w:val="22"/>
          <w:szCs w:val="22"/>
        </w:rPr>
        <w:t>La dirección electrónica debe ser precisa, de tal modo que no implique realizar una búsqueda en toda la información que ahí se encuentre; y,</w:t>
      </w:r>
    </w:p>
    <w:p w14:paraId="7703C90D" w14:textId="77777777" w:rsidR="00DE7FC4" w:rsidRPr="00D82002" w:rsidRDefault="00EB2EDB">
      <w:pPr>
        <w:numPr>
          <w:ilvl w:val="0"/>
          <w:numId w:val="4"/>
        </w:numPr>
        <w:pBdr>
          <w:top w:val="nil"/>
          <w:left w:val="nil"/>
          <w:bottom w:val="nil"/>
          <w:right w:val="nil"/>
          <w:between w:val="nil"/>
        </w:pBdr>
        <w:spacing w:line="360" w:lineRule="auto"/>
        <w:ind w:right="48"/>
        <w:jc w:val="both"/>
        <w:rPr>
          <w:rFonts w:ascii="Palatino Linotype" w:eastAsia="Palatino Linotype" w:hAnsi="Palatino Linotype" w:cs="Palatino Linotype"/>
          <w:sz w:val="22"/>
          <w:szCs w:val="22"/>
        </w:rPr>
      </w:pPr>
      <w:r w:rsidRPr="00D82002">
        <w:rPr>
          <w:rFonts w:ascii="Palatino Linotype" w:eastAsia="Palatino Linotype" w:hAnsi="Palatino Linotype" w:cs="Palatino Linotype"/>
          <w:b/>
          <w:sz w:val="22"/>
          <w:szCs w:val="22"/>
        </w:rPr>
        <w:t>La dirección electrónica debe ir acompañada del procedimiento a seguir, en caso de que la información se encuentre en distintos puntos del sitio electrónico referido; y,</w:t>
      </w:r>
    </w:p>
    <w:p w14:paraId="6744E929" w14:textId="77777777" w:rsidR="00DE7FC4" w:rsidRPr="00D82002" w:rsidRDefault="00EB2EDB">
      <w:pPr>
        <w:numPr>
          <w:ilvl w:val="0"/>
          <w:numId w:val="4"/>
        </w:numPr>
        <w:pBdr>
          <w:top w:val="nil"/>
          <w:left w:val="nil"/>
          <w:bottom w:val="nil"/>
          <w:right w:val="nil"/>
          <w:between w:val="nil"/>
        </w:pBdr>
        <w:spacing w:line="360" w:lineRule="auto"/>
        <w:ind w:right="48"/>
        <w:jc w:val="both"/>
        <w:rPr>
          <w:rFonts w:ascii="Palatino Linotype" w:eastAsia="Palatino Linotype" w:hAnsi="Palatino Linotype" w:cs="Palatino Linotype"/>
          <w:sz w:val="22"/>
          <w:szCs w:val="22"/>
        </w:rPr>
      </w:pPr>
      <w:r w:rsidRPr="00D82002">
        <w:rPr>
          <w:rFonts w:ascii="Palatino Linotype" w:eastAsia="Palatino Linotype" w:hAnsi="Palatino Linotype" w:cs="Palatino Linotype"/>
          <w:b/>
          <w:sz w:val="22"/>
          <w:szCs w:val="22"/>
          <w:u w:val="single"/>
        </w:rPr>
        <w:t>La dirección electrónica se debe entregar en formato abierto,</w:t>
      </w:r>
      <w:r w:rsidRPr="00D82002">
        <w:rPr>
          <w:rFonts w:ascii="Palatino Linotype" w:eastAsia="Palatino Linotype" w:hAnsi="Palatino Linotype" w:cs="Palatino Linotype"/>
          <w:b/>
          <w:sz w:val="22"/>
          <w:szCs w:val="22"/>
        </w:rPr>
        <w:t xml:space="preserve"> para que el Recurrente pueda copiar y pegar sin la necesidad de transcribir la liga electrónica.</w:t>
      </w:r>
    </w:p>
    <w:p w14:paraId="59B1CA65" w14:textId="77777777" w:rsidR="00DE7FC4" w:rsidRPr="00D82002" w:rsidRDefault="00DE7FC4">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14:paraId="14AE723D" w14:textId="77777777" w:rsidR="00DE7FC4" w:rsidRPr="00D82002" w:rsidRDefault="00EB2EDB">
      <w:pPr>
        <w:spacing w:line="360" w:lineRule="auto"/>
        <w:jc w:val="both"/>
        <w:rPr>
          <w:rFonts w:ascii="Palatino Linotype" w:eastAsia="Palatino Linotype" w:hAnsi="Palatino Linotype" w:cs="Palatino Linotype"/>
          <w:sz w:val="22"/>
          <w:szCs w:val="22"/>
        </w:rPr>
      </w:pPr>
      <w:r w:rsidRPr="00D82002">
        <w:rPr>
          <w:rFonts w:ascii="Palatino Linotype" w:eastAsia="Palatino Linotype" w:hAnsi="Palatino Linotype" w:cs="Palatino Linotype"/>
          <w:sz w:val="22"/>
          <w:szCs w:val="22"/>
        </w:rPr>
        <w:t>En el presente asunto, la solicitud se registró el cuatro de agosto de dos mil veinticinco, mientras que la dirección electrónica se proporcionó el veintidós de agosto de la misma anualidad, esto es al décimo cuarto día hábil. Lo cual evidentemente se encuentra fuera del plazo legalmente establecido para tal efecto.</w:t>
      </w:r>
    </w:p>
    <w:p w14:paraId="03615712" w14:textId="77777777" w:rsidR="00DE7FC4" w:rsidRPr="00D82002" w:rsidRDefault="00EB2EDB">
      <w:pPr>
        <w:spacing w:line="360" w:lineRule="auto"/>
        <w:jc w:val="both"/>
        <w:rPr>
          <w:rFonts w:ascii="Palatino Linotype" w:eastAsia="Palatino Linotype" w:hAnsi="Palatino Linotype" w:cs="Palatino Linotype"/>
          <w:sz w:val="22"/>
          <w:szCs w:val="22"/>
        </w:rPr>
      </w:pPr>
      <w:r w:rsidRPr="00D82002">
        <w:rPr>
          <w:rFonts w:ascii="Palatino Linotype" w:eastAsia="Palatino Linotype" w:hAnsi="Palatino Linotype" w:cs="Palatino Linotype"/>
          <w:sz w:val="22"/>
          <w:szCs w:val="22"/>
        </w:rPr>
        <w:t>Además, de la revisión de esta, se logra vislumbrar que en encuentran en un formato cerrado, es decir, que no se puede copiar y pegar para tener acceso; sobre el tema, Trujillo, Humberto (2019), en el “Diccionario de Transparencia y Acceso a la Información Pública” (p. 136 y 137), precisa que cuando un Sujeto Obligado proporciona información pública de manera electrónica es necesario garantizar su interoperabilidad, lo cual se traduce al hecho a que la información contenga datos en formatos y estándares abiertos para su reproducción y reutilización electrónica de manera libre y sin ninguna restricción.</w:t>
      </w:r>
    </w:p>
    <w:p w14:paraId="4855F6E6" w14:textId="77777777" w:rsidR="00DE7FC4" w:rsidRPr="00D82002" w:rsidRDefault="00DE7FC4">
      <w:pPr>
        <w:spacing w:line="360" w:lineRule="auto"/>
        <w:jc w:val="both"/>
        <w:rPr>
          <w:rFonts w:ascii="Palatino Linotype" w:eastAsia="Palatino Linotype" w:hAnsi="Palatino Linotype" w:cs="Palatino Linotype"/>
          <w:sz w:val="22"/>
          <w:szCs w:val="22"/>
        </w:rPr>
      </w:pPr>
    </w:p>
    <w:p w14:paraId="24EDB996" w14:textId="77777777" w:rsidR="00DE7FC4" w:rsidRPr="00D82002" w:rsidRDefault="00EB2EDB">
      <w:pPr>
        <w:spacing w:line="360" w:lineRule="auto"/>
        <w:jc w:val="both"/>
        <w:rPr>
          <w:rFonts w:ascii="Palatino Linotype" w:eastAsia="Palatino Linotype" w:hAnsi="Palatino Linotype" w:cs="Palatino Linotype"/>
          <w:sz w:val="22"/>
          <w:szCs w:val="22"/>
        </w:rPr>
      </w:pPr>
      <w:r w:rsidRPr="00D82002">
        <w:rPr>
          <w:rFonts w:ascii="Palatino Linotype" w:eastAsia="Palatino Linotype" w:hAnsi="Palatino Linotype" w:cs="Palatino Linotype"/>
          <w:sz w:val="22"/>
          <w:szCs w:val="22"/>
        </w:rPr>
        <w:t>Asimismo, establece que al proporcionar información pública es necesario que sea en un formato que no tenga ninguna restricción en el acceso o reutilización, por lo que, es necesario que los datos digitales (como ligas electrónicas), se proporcionen en un formato abierto.</w:t>
      </w:r>
    </w:p>
    <w:p w14:paraId="4EF575C6" w14:textId="77777777" w:rsidR="00DE7FC4" w:rsidRPr="00D82002" w:rsidRDefault="00DE7FC4">
      <w:pPr>
        <w:spacing w:line="360" w:lineRule="auto"/>
        <w:jc w:val="both"/>
        <w:rPr>
          <w:rFonts w:ascii="Palatino Linotype" w:eastAsia="Palatino Linotype" w:hAnsi="Palatino Linotype" w:cs="Palatino Linotype"/>
          <w:sz w:val="22"/>
          <w:szCs w:val="22"/>
        </w:rPr>
      </w:pPr>
    </w:p>
    <w:p w14:paraId="39B4154E" w14:textId="77777777" w:rsidR="00DE7FC4" w:rsidRPr="00D82002" w:rsidRDefault="00EB2EDB">
      <w:pPr>
        <w:spacing w:line="360" w:lineRule="auto"/>
        <w:jc w:val="both"/>
        <w:rPr>
          <w:rFonts w:ascii="Palatino Linotype" w:eastAsia="Palatino Linotype" w:hAnsi="Palatino Linotype" w:cs="Palatino Linotype"/>
          <w:sz w:val="22"/>
          <w:szCs w:val="22"/>
        </w:rPr>
      </w:pPr>
      <w:r w:rsidRPr="00D82002">
        <w:rPr>
          <w:rFonts w:ascii="Palatino Linotype" w:eastAsia="Palatino Linotype" w:hAnsi="Palatino Linotype" w:cs="Palatino Linotype"/>
          <w:sz w:val="22"/>
          <w:szCs w:val="22"/>
        </w:rPr>
        <w:t>En ese contexto, el artículo 3°, fracción VI y X, de la Ley General de Transparencia y Acceso a la Información Pública, con relación, al diverso 3°, fracciones VIII y XVI de la Ley de Transparencia y Acceso a la Información Pública del Estado de México y Municipios, precisan lo siguiente:</w:t>
      </w:r>
    </w:p>
    <w:p w14:paraId="4CA22C26" w14:textId="77777777" w:rsidR="00DE7FC4" w:rsidRPr="00D82002" w:rsidRDefault="00DE7FC4">
      <w:pPr>
        <w:spacing w:line="360" w:lineRule="auto"/>
        <w:jc w:val="both"/>
        <w:rPr>
          <w:rFonts w:ascii="Palatino Linotype" w:eastAsia="Palatino Linotype" w:hAnsi="Palatino Linotype" w:cs="Palatino Linotype"/>
          <w:sz w:val="22"/>
          <w:szCs w:val="22"/>
        </w:rPr>
      </w:pPr>
    </w:p>
    <w:p w14:paraId="04848D58" w14:textId="77777777" w:rsidR="00DE7FC4" w:rsidRPr="00D82002" w:rsidRDefault="00EB2EDB">
      <w:pPr>
        <w:pBdr>
          <w:top w:val="nil"/>
          <w:left w:val="nil"/>
          <w:bottom w:val="nil"/>
          <w:right w:val="nil"/>
          <w:between w:val="nil"/>
        </w:pBdr>
        <w:spacing w:line="360" w:lineRule="auto"/>
        <w:ind w:left="426"/>
        <w:jc w:val="both"/>
        <w:rPr>
          <w:rFonts w:ascii="Palatino Linotype" w:eastAsia="Palatino Linotype" w:hAnsi="Palatino Linotype" w:cs="Palatino Linotype"/>
          <w:b/>
          <w:sz w:val="22"/>
          <w:szCs w:val="22"/>
        </w:rPr>
      </w:pPr>
      <w:r w:rsidRPr="00D82002">
        <w:rPr>
          <w:rFonts w:ascii="Palatino Linotype" w:eastAsia="Palatino Linotype" w:hAnsi="Palatino Linotype" w:cs="Palatino Linotype"/>
          <w:b/>
          <w:sz w:val="22"/>
          <w:szCs w:val="22"/>
        </w:rPr>
        <w:t xml:space="preserve">Dato abierto: </w:t>
      </w:r>
      <w:r w:rsidRPr="00D82002">
        <w:rPr>
          <w:rFonts w:ascii="Palatino Linotype" w:eastAsia="Palatino Linotype" w:hAnsi="Palatino Linotype" w:cs="Palatino Linotype"/>
          <w:sz w:val="22"/>
          <w:szCs w:val="22"/>
        </w:rPr>
        <w:t>Datos digitales de carácter público que son accesibles en línea que pueden ser usados, reutilizados y redistribuidos por cualquier persona, mismos que se conforman de diversas características, entre las cuales se encuentra que se encuentren en formatos abiertos.</w:t>
      </w:r>
    </w:p>
    <w:p w14:paraId="6C2F0CC8" w14:textId="77777777" w:rsidR="00DE7FC4" w:rsidRPr="00D82002" w:rsidRDefault="00DE7FC4">
      <w:pPr>
        <w:pBdr>
          <w:top w:val="nil"/>
          <w:left w:val="nil"/>
          <w:bottom w:val="nil"/>
          <w:right w:val="nil"/>
          <w:between w:val="nil"/>
        </w:pBdr>
        <w:spacing w:line="360" w:lineRule="auto"/>
        <w:ind w:left="426"/>
        <w:jc w:val="both"/>
        <w:rPr>
          <w:rFonts w:ascii="Palatino Linotype" w:eastAsia="Palatino Linotype" w:hAnsi="Palatino Linotype" w:cs="Palatino Linotype"/>
          <w:b/>
          <w:sz w:val="22"/>
          <w:szCs w:val="22"/>
        </w:rPr>
      </w:pPr>
    </w:p>
    <w:p w14:paraId="640A4E1D" w14:textId="77777777" w:rsidR="00DE7FC4" w:rsidRPr="00D82002" w:rsidRDefault="00EB2EDB">
      <w:pPr>
        <w:pBdr>
          <w:top w:val="nil"/>
          <w:left w:val="nil"/>
          <w:bottom w:val="nil"/>
          <w:right w:val="nil"/>
          <w:between w:val="nil"/>
        </w:pBdr>
        <w:spacing w:line="360" w:lineRule="auto"/>
        <w:ind w:left="426"/>
        <w:jc w:val="both"/>
        <w:rPr>
          <w:rFonts w:ascii="Palatino Linotype" w:eastAsia="Palatino Linotype" w:hAnsi="Palatino Linotype" w:cs="Palatino Linotype"/>
          <w:b/>
          <w:sz w:val="22"/>
          <w:szCs w:val="22"/>
        </w:rPr>
      </w:pPr>
      <w:r w:rsidRPr="00D82002">
        <w:rPr>
          <w:rFonts w:ascii="Palatino Linotype" w:eastAsia="Palatino Linotype" w:hAnsi="Palatino Linotype" w:cs="Palatino Linotype"/>
          <w:b/>
          <w:sz w:val="22"/>
          <w:szCs w:val="22"/>
        </w:rPr>
        <w:t xml:space="preserve">Formato accesible: </w:t>
      </w:r>
      <w:r w:rsidRPr="00D82002">
        <w:rPr>
          <w:rFonts w:ascii="Palatino Linotype" w:eastAsia="Palatino Linotype" w:hAnsi="Palatino Linotype" w:cs="Palatino Linotype"/>
          <w:sz w:val="22"/>
          <w:szCs w:val="22"/>
        </w:rPr>
        <w:t>Conjunto de características técnicas y de presentación de la información que corresponden a la estructura lógica usada para almacenar datos de forma integral y facilitan su procesamiento digital, cuyas especificaciones estás disponibles públicamente y que permite el acceso sin restricción de uso por parte de los usuarios.</w:t>
      </w:r>
    </w:p>
    <w:p w14:paraId="7A63994E" w14:textId="77777777" w:rsidR="00DE7FC4" w:rsidRPr="00D82002" w:rsidRDefault="00DE7FC4">
      <w:pPr>
        <w:spacing w:line="360" w:lineRule="auto"/>
        <w:jc w:val="both"/>
        <w:rPr>
          <w:rFonts w:ascii="Palatino Linotype" w:eastAsia="Palatino Linotype" w:hAnsi="Palatino Linotype" w:cs="Palatino Linotype"/>
          <w:sz w:val="22"/>
          <w:szCs w:val="22"/>
        </w:rPr>
      </w:pPr>
    </w:p>
    <w:p w14:paraId="59FD3F51" w14:textId="77777777" w:rsidR="00DE7FC4" w:rsidRPr="00D82002" w:rsidRDefault="00EB2EDB">
      <w:pPr>
        <w:spacing w:line="360" w:lineRule="auto"/>
        <w:jc w:val="both"/>
        <w:rPr>
          <w:rFonts w:ascii="Palatino Linotype" w:eastAsia="Palatino Linotype" w:hAnsi="Palatino Linotype" w:cs="Palatino Linotype"/>
          <w:sz w:val="22"/>
          <w:szCs w:val="22"/>
        </w:rPr>
      </w:pPr>
      <w:r w:rsidRPr="00D82002">
        <w:rPr>
          <w:rFonts w:ascii="Palatino Linotype" w:eastAsia="Palatino Linotype" w:hAnsi="Palatino Linotype" w:cs="Palatino Linotype"/>
          <w:sz w:val="22"/>
          <w:szCs w:val="22"/>
        </w:rPr>
        <w:t>Conforme a lo anterior, se considera que en el caso de que la información peticionada obre en ligas electrónicas, el Sujeto Obligado deberá privilegiar la entrega de estas, en datos abiertos, es decir, en un formato que permita la accesibilidad y facilidad a los Particulares, para obtener la información contenida estas.</w:t>
      </w:r>
    </w:p>
    <w:p w14:paraId="6372FB89" w14:textId="77777777" w:rsidR="00DE7FC4" w:rsidRPr="00D82002" w:rsidRDefault="00DE7FC4">
      <w:pPr>
        <w:pBdr>
          <w:top w:val="nil"/>
          <w:left w:val="nil"/>
          <w:bottom w:val="nil"/>
          <w:right w:val="nil"/>
          <w:between w:val="nil"/>
        </w:pBdr>
        <w:ind w:left="720"/>
        <w:rPr>
          <w:rFonts w:ascii="Palatino Linotype" w:eastAsia="Palatino Linotype" w:hAnsi="Palatino Linotype" w:cs="Palatino Linotype"/>
          <w:b/>
          <w:sz w:val="22"/>
          <w:szCs w:val="22"/>
        </w:rPr>
      </w:pPr>
    </w:p>
    <w:p w14:paraId="4D28B34D" w14:textId="77777777" w:rsidR="00DE7FC4" w:rsidRPr="00D82002" w:rsidRDefault="00EB2EDB">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r w:rsidRPr="00D82002">
        <w:rPr>
          <w:rFonts w:ascii="Palatino Linotype" w:eastAsia="Palatino Linotype" w:hAnsi="Palatino Linotype" w:cs="Palatino Linotype"/>
          <w:sz w:val="22"/>
          <w:szCs w:val="22"/>
        </w:rPr>
        <w:t xml:space="preserve">En el presente asunto, El Tesorero Municipal entregó las direcciones electrónicas en formato cerrado, lo que propicia que el Recurrente deba transcribir cada uno de los caracteres, lo que facilita a errores y con ello la imposibilidad o dificultad para acceder a la información. </w:t>
      </w:r>
    </w:p>
    <w:p w14:paraId="2D736678" w14:textId="77777777" w:rsidR="00DE7FC4" w:rsidRPr="00D82002" w:rsidRDefault="00DE7FC4">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14:paraId="3F2EC6BC" w14:textId="77777777" w:rsidR="00DE7FC4" w:rsidRPr="00D82002" w:rsidRDefault="00EB2EDB">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r w:rsidRPr="00D82002">
        <w:rPr>
          <w:rFonts w:ascii="Palatino Linotype" w:eastAsia="Palatino Linotype" w:hAnsi="Palatino Linotype" w:cs="Palatino Linotype"/>
          <w:sz w:val="22"/>
          <w:szCs w:val="22"/>
        </w:rPr>
        <w:t>Tal y como se aprecia, la dirección electrónica incumple lo que estipula el artículo 161 antes citado, en razón de lo siguiente:</w:t>
      </w:r>
    </w:p>
    <w:p w14:paraId="008AFC88" w14:textId="77777777" w:rsidR="00DE7FC4" w:rsidRPr="00D82002" w:rsidRDefault="00DE7FC4">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14:paraId="6F06A5E6" w14:textId="77777777" w:rsidR="00DE7FC4" w:rsidRPr="00D82002" w:rsidRDefault="00EB2EDB">
      <w:pPr>
        <w:numPr>
          <w:ilvl w:val="0"/>
          <w:numId w:val="5"/>
        </w:num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r w:rsidRPr="00D82002">
        <w:rPr>
          <w:rFonts w:ascii="Palatino Linotype" w:eastAsia="Palatino Linotype" w:hAnsi="Palatino Linotype" w:cs="Palatino Linotype"/>
          <w:sz w:val="22"/>
          <w:szCs w:val="22"/>
        </w:rPr>
        <w:t>Se entregó fuera del plazo de cinco días hábiles; y,</w:t>
      </w:r>
    </w:p>
    <w:p w14:paraId="6D17671B" w14:textId="77777777" w:rsidR="00DE7FC4" w:rsidRPr="00D82002" w:rsidRDefault="00EB2EDB">
      <w:pPr>
        <w:numPr>
          <w:ilvl w:val="0"/>
          <w:numId w:val="5"/>
        </w:num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r w:rsidRPr="00D82002">
        <w:rPr>
          <w:rFonts w:ascii="Palatino Linotype" w:eastAsia="Palatino Linotype" w:hAnsi="Palatino Linotype" w:cs="Palatino Linotype"/>
          <w:sz w:val="22"/>
          <w:szCs w:val="22"/>
        </w:rPr>
        <w:t>La dirección electrónica se encuentra en formato cerrado, por lo que no resulta accesible para el Recurrente.</w:t>
      </w:r>
    </w:p>
    <w:p w14:paraId="35DB7A9C" w14:textId="77777777" w:rsidR="00DE7FC4" w:rsidRPr="00D82002" w:rsidRDefault="00DE7FC4">
      <w:pPr>
        <w:pBdr>
          <w:top w:val="nil"/>
          <w:left w:val="nil"/>
          <w:bottom w:val="nil"/>
          <w:right w:val="nil"/>
          <w:between w:val="nil"/>
        </w:pBdr>
        <w:spacing w:line="360" w:lineRule="auto"/>
        <w:ind w:left="720" w:right="-150"/>
        <w:jc w:val="both"/>
        <w:rPr>
          <w:rFonts w:ascii="Palatino Linotype" w:eastAsia="Palatino Linotype" w:hAnsi="Palatino Linotype" w:cs="Palatino Linotype"/>
          <w:sz w:val="22"/>
          <w:szCs w:val="22"/>
        </w:rPr>
      </w:pPr>
    </w:p>
    <w:p w14:paraId="3FFB79A1" w14:textId="77777777" w:rsidR="00DE7FC4" w:rsidRPr="00D82002" w:rsidRDefault="00EB2EDB">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r w:rsidRPr="00D82002">
        <w:rPr>
          <w:rFonts w:ascii="Palatino Linotype" w:eastAsia="Palatino Linotype" w:hAnsi="Palatino Linotype" w:cs="Palatino Linotype"/>
          <w:sz w:val="22"/>
          <w:szCs w:val="22"/>
        </w:rPr>
        <w:t>En conclusión, se determina que la información proporcionada por el Sujeto Obligado no colma el derecho accionado por el Recurrente, ya que la dirección electrónica se proporcionó en formato cerrado, lo que impide que se conozca el contenido de la misma.</w:t>
      </w:r>
    </w:p>
    <w:p w14:paraId="2D75EFDA" w14:textId="77777777" w:rsidR="00DE7FC4" w:rsidRPr="00D82002" w:rsidRDefault="00DE7FC4">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14:paraId="207F5A49" w14:textId="77777777" w:rsidR="00DE7FC4" w:rsidRPr="00D82002" w:rsidRDefault="00EB2EDB">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r w:rsidRPr="00D82002">
        <w:rPr>
          <w:rFonts w:ascii="Palatino Linotype" w:eastAsia="Palatino Linotype" w:hAnsi="Palatino Linotype" w:cs="Palatino Linotype"/>
          <w:sz w:val="22"/>
          <w:szCs w:val="22"/>
        </w:rPr>
        <w:t xml:space="preserve">Por lo anterior, es que resultan fundadas las razones o motivos de inconformidad hechos valer por el Recurrente, en consecuencia, se REVOCA la respuesta y ordena entregar, de ser el caso en versión pública los documentos donde conste la siguiente información </w:t>
      </w:r>
    </w:p>
    <w:p w14:paraId="50B75F10" w14:textId="77777777" w:rsidR="00DE7FC4" w:rsidRPr="00D82002" w:rsidRDefault="00EB2EDB">
      <w:pPr>
        <w:numPr>
          <w:ilvl w:val="0"/>
          <w:numId w:val="6"/>
        </w:numPr>
        <w:pBdr>
          <w:top w:val="nil"/>
          <w:left w:val="nil"/>
          <w:bottom w:val="nil"/>
          <w:right w:val="nil"/>
          <w:between w:val="nil"/>
        </w:pBdr>
        <w:spacing w:before="240" w:line="360" w:lineRule="auto"/>
        <w:jc w:val="both"/>
        <w:rPr>
          <w:rFonts w:ascii="Palatino Linotype" w:eastAsia="Palatino Linotype" w:hAnsi="Palatino Linotype" w:cs="Palatino Linotype"/>
          <w:b/>
          <w:sz w:val="22"/>
          <w:szCs w:val="22"/>
        </w:rPr>
      </w:pPr>
      <w:r w:rsidRPr="00D82002">
        <w:rPr>
          <w:rFonts w:ascii="Palatino Linotype" w:eastAsia="Palatino Linotype" w:hAnsi="Palatino Linotype" w:cs="Palatino Linotype"/>
          <w:b/>
          <w:sz w:val="22"/>
          <w:szCs w:val="22"/>
        </w:rPr>
        <w:t>Presupuesto para el ejercicio fiscal dos mil veinticinco a mayor grado de desagregación;</w:t>
      </w:r>
    </w:p>
    <w:p w14:paraId="25C6B9A9" w14:textId="77777777" w:rsidR="00DE7FC4" w:rsidRPr="00D82002" w:rsidRDefault="00EB2EDB">
      <w:pPr>
        <w:numPr>
          <w:ilvl w:val="0"/>
          <w:numId w:val="6"/>
        </w:numPr>
        <w:pBdr>
          <w:top w:val="nil"/>
          <w:left w:val="nil"/>
          <w:bottom w:val="nil"/>
          <w:right w:val="nil"/>
          <w:between w:val="nil"/>
        </w:pBdr>
        <w:spacing w:line="360" w:lineRule="auto"/>
        <w:jc w:val="both"/>
        <w:rPr>
          <w:rFonts w:ascii="Palatino Linotype" w:eastAsia="Palatino Linotype" w:hAnsi="Palatino Linotype" w:cs="Palatino Linotype"/>
          <w:b/>
          <w:sz w:val="22"/>
          <w:szCs w:val="22"/>
        </w:rPr>
      </w:pPr>
      <w:r w:rsidRPr="00D82002">
        <w:rPr>
          <w:rFonts w:ascii="Palatino Linotype" w:eastAsia="Palatino Linotype" w:hAnsi="Palatino Linotype" w:cs="Palatino Linotype"/>
          <w:b/>
          <w:sz w:val="22"/>
          <w:szCs w:val="22"/>
        </w:rPr>
        <w:t>Plan para la ejecución del presupuesto del ejercicio dos mil veinticinco;</w:t>
      </w:r>
    </w:p>
    <w:p w14:paraId="53CD61DC" w14:textId="77777777" w:rsidR="00DE7FC4" w:rsidRPr="00D82002" w:rsidRDefault="00EB2EDB">
      <w:pPr>
        <w:numPr>
          <w:ilvl w:val="0"/>
          <w:numId w:val="6"/>
        </w:numPr>
        <w:pBdr>
          <w:top w:val="nil"/>
          <w:left w:val="nil"/>
          <w:bottom w:val="nil"/>
          <w:right w:val="nil"/>
          <w:between w:val="nil"/>
        </w:pBdr>
        <w:spacing w:line="360" w:lineRule="auto"/>
        <w:jc w:val="both"/>
        <w:rPr>
          <w:rFonts w:ascii="Palatino Linotype" w:eastAsia="Palatino Linotype" w:hAnsi="Palatino Linotype" w:cs="Palatino Linotype"/>
          <w:b/>
          <w:sz w:val="22"/>
          <w:szCs w:val="22"/>
        </w:rPr>
      </w:pPr>
      <w:r w:rsidRPr="00D82002">
        <w:rPr>
          <w:rFonts w:ascii="Palatino Linotype" w:eastAsia="Palatino Linotype" w:hAnsi="Palatino Linotype" w:cs="Palatino Linotype"/>
          <w:b/>
          <w:sz w:val="22"/>
          <w:szCs w:val="22"/>
        </w:rPr>
        <w:t>Documentos de control de gastos y seguimiento a las erogaciones;</w:t>
      </w:r>
    </w:p>
    <w:p w14:paraId="09300A1E" w14:textId="77777777" w:rsidR="00DE7FC4" w:rsidRPr="00D82002" w:rsidRDefault="00EB2EDB">
      <w:pPr>
        <w:numPr>
          <w:ilvl w:val="0"/>
          <w:numId w:val="6"/>
        </w:numPr>
        <w:pBdr>
          <w:top w:val="nil"/>
          <w:left w:val="nil"/>
          <w:bottom w:val="nil"/>
          <w:right w:val="nil"/>
          <w:between w:val="nil"/>
        </w:pBdr>
        <w:spacing w:after="240" w:line="360" w:lineRule="auto"/>
        <w:jc w:val="both"/>
        <w:rPr>
          <w:rFonts w:ascii="Palatino Linotype" w:eastAsia="Palatino Linotype" w:hAnsi="Palatino Linotype" w:cs="Palatino Linotype"/>
          <w:b/>
          <w:sz w:val="22"/>
          <w:szCs w:val="22"/>
        </w:rPr>
      </w:pPr>
      <w:r w:rsidRPr="00D82002">
        <w:rPr>
          <w:rFonts w:ascii="Palatino Linotype" w:eastAsia="Palatino Linotype" w:hAnsi="Palatino Linotype" w:cs="Palatino Linotype"/>
          <w:b/>
          <w:sz w:val="22"/>
          <w:szCs w:val="22"/>
        </w:rPr>
        <w:t>Forma de gestión para la administración de los recursos.</w:t>
      </w:r>
    </w:p>
    <w:p w14:paraId="1300E888" w14:textId="77777777" w:rsidR="00DE7FC4" w:rsidRPr="00D82002" w:rsidRDefault="00EB2EDB">
      <w:pPr>
        <w:spacing w:line="360" w:lineRule="auto"/>
        <w:jc w:val="both"/>
        <w:rPr>
          <w:rFonts w:ascii="Palatino Linotype" w:eastAsia="Palatino Linotype" w:hAnsi="Palatino Linotype" w:cs="Palatino Linotype"/>
          <w:sz w:val="22"/>
          <w:szCs w:val="22"/>
        </w:rPr>
      </w:pPr>
      <w:r w:rsidRPr="00D82002">
        <w:rPr>
          <w:rFonts w:ascii="Palatino Linotype" w:eastAsia="Palatino Linotype" w:hAnsi="Palatino Linotype" w:cs="Palatino Linotype"/>
          <w:sz w:val="22"/>
          <w:szCs w:val="22"/>
        </w:rPr>
        <w:t>Ahora bien, respecto a los documentos de control de gastos y seguimiento a las erogaciones, y como forma de gestión para la administración de recursos es preciso mencionar que los artículos 342, 343, 344 y 345 del Código Financiero del Estado de México y Municipios mismos que disponen el sistema y las políticas que deben seguirse para llevar el registro contable y presupuestal de las operaciones financieras, en los siguientes términos:</w:t>
      </w:r>
    </w:p>
    <w:p w14:paraId="24E575C3" w14:textId="77777777" w:rsidR="00DE7FC4" w:rsidRPr="00D82002" w:rsidRDefault="00DE7FC4"/>
    <w:p w14:paraId="11E370D7" w14:textId="77777777" w:rsidR="00DE7FC4" w:rsidRPr="00D82002" w:rsidRDefault="00EB2EDB">
      <w:pPr>
        <w:pBdr>
          <w:top w:val="nil"/>
          <w:left w:val="nil"/>
          <w:bottom w:val="nil"/>
          <w:right w:val="nil"/>
          <w:between w:val="nil"/>
        </w:pBdr>
        <w:ind w:left="851" w:right="850"/>
        <w:jc w:val="both"/>
      </w:pPr>
      <w:r w:rsidRPr="00D82002">
        <w:rPr>
          <w:rFonts w:ascii="Palatino Linotype" w:eastAsia="Palatino Linotype" w:hAnsi="Palatino Linotype" w:cs="Palatino Linotype"/>
          <w:i/>
          <w:sz w:val="22"/>
          <w:szCs w:val="22"/>
        </w:rPr>
        <w:t>“</w:t>
      </w:r>
      <w:r w:rsidRPr="00D82002">
        <w:rPr>
          <w:rFonts w:ascii="Palatino Linotype" w:eastAsia="Palatino Linotype" w:hAnsi="Palatino Linotype" w:cs="Palatino Linotype"/>
          <w:b/>
          <w:i/>
          <w:sz w:val="22"/>
          <w:szCs w:val="22"/>
        </w:rPr>
        <w:t>Artículo 342.-</w:t>
      </w:r>
      <w:r w:rsidRPr="00D82002">
        <w:rPr>
          <w:rFonts w:ascii="Palatino Linotype" w:eastAsia="Palatino Linotype" w:hAnsi="Palatino Linotype" w:cs="Palatino Linotype"/>
          <w:i/>
          <w:sz w:val="22"/>
          <w:szCs w:val="22"/>
        </w:rPr>
        <w:t xml:space="preserve"> El registro contable del efecto patrimonial y presupuestal de las operaciones financieras, se realizará conforme al sistema y a las disposiciones que se aprueben en materia de planeación, programación, presupuestación, evaluación y contabilidad gubernamental. </w:t>
      </w:r>
    </w:p>
    <w:p w14:paraId="5D6CA805" w14:textId="77777777" w:rsidR="00DE7FC4" w:rsidRPr="00D82002" w:rsidRDefault="00EB2EDB">
      <w:pPr>
        <w:pBdr>
          <w:top w:val="nil"/>
          <w:left w:val="nil"/>
          <w:bottom w:val="nil"/>
          <w:right w:val="nil"/>
          <w:between w:val="nil"/>
        </w:pBdr>
        <w:ind w:left="851" w:right="850"/>
        <w:jc w:val="both"/>
      </w:pPr>
      <w:r w:rsidRPr="00D82002">
        <w:rPr>
          <w:rFonts w:ascii="Palatino Linotype" w:eastAsia="Palatino Linotype" w:hAnsi="Palatino Linotype" w:cs="Palatino Linotype"/>
          <w:b/>
          <w:i/>
          <w:sz w:val="22"/>
          <w:szCs w:val="22"/>
        </w:rPr>
        <w:t>…</w:t>
      </w:r>
    </w:p>
    <w:p w14:paraId="2C769F56" w14:textId="77777777" w:rsidR="00DE7FC4" w:rsidRPr="00D82002" w:rsidRDefault="00EB2EDB">
      <w:pPr>
        <w:pBdr>
          <w:top w:val="nil"/>
          <w:left w:val="nil"/>
          <w:bottom w:val="nil"/>
          <w:right w:val="nil"/>
          <w:between w:val="nil"/>
        </w:pBdr>
        <w:ind w:left="851" w:right="850"/>
        <w:jc w:val="both"/>
      </w:pPr>
      <w:r w:rsidRPr="00D82002">
        <w:rPr>
          <w:rFonts w:ascii="Palatino Linotype" w:eastAsia="Palatino Linotype" w:hAnsi="Palatino Linotype" w:cs="Palatino Linotype"/>
          <w:b/>
          <w:i/>
          <w:sz w:val="22"/>
          <w:szCs w:val="22"/>
        </w:rPr>
        <w:t>Artículo 343.-</w:t>
      </w:r>
      <w:r w:rsidRPr="00D82002">
        <w:rPr>
          <w:rFonts w:ascii="Palatino Linotype" w:eastAsia="Palatino Linotype" w:hAnsi="Palatino Linotype" w:cs="Palatino Linotype"/>
          <w:i/>
          <w:sz w:val="22"/>
          <w:szCs w:val="22"/>
        </w:rPr>
        <w:t xml:space="preserve"> El sistema de contabilidad debe diseñarse sobre base acumulativa total y operarse en forma que facilite la fiscalización de los activos, pasivos, ingresos, egresos y, en general, que posibilite medir la eficacia del gasto público, y contener las medidas de control interno que permitan verificar el registro de la totalidad de las operaciones financieras. </w:t>
      </w:r>
    </w:p>
    <w:p w14:paraId="5DCB5FB6" w14:textId="77777777" w:rsidR="00DE7FC4" w:rsidRPr="00D82002" w:rsidRDefault="00EB2EDB">
      <w:pPr>
        <w:pBdr>
          <w:top w:val="nil"/>
          <w:left w:val="nil"/>
          <w:bottom w:val="nil"/>
          <w:right w:val="nil"/>
          <w:between w:val="nil"/>
        </w:pBdr>
        <w:ind w:left="851" w:right="850"/>
        <w:jc w:val="both"/>
      </w:pPr>
      <w:r w:rsidRPr="00D82002">
        <w:rPr>
          <w:rFonts w:ascii="Palatino Linotype" w:eastAsia="Palatino Linotype" w:hAnsi="Palatino Linotype" w:cs="Palatino Linotype"/>
          <w:i/>
          <w:sz w:val="22"/>
          <w:szCs w:val="22"/>
        </w:rPr>
        <w:t>El sistema de contabilidad sobre base acumulativa total se sustentará en los postulados básicos y el marco conceptual de la contabilidad gubernamental. </w:t>
      </w:r>
    </w:p>
    <w:p w14:paraId="5E23AF2B" w14:textId="77777777" w:rsidR="00DE7FC4" w:rsidRPr="00D82002" w:rsidRDefault="00EB2EDB">
      <w:pPr>
        <w:pBdr>
          <w:top w:val="nil"/>
          <w:left w:val="nil"/>
          <w:bottom w:val="nil"/>
          <w:right w:val="nil"/>
          <w:between w:val="nil"/>
        </w:pBdr>
        <w:ind w:left="851" w:right="850"/>
        <w:jc w:val="both"/>
      </w:pPr>
      <w:r w:rsidRPr="00D82002">
        <w:rPr>
          <w:rFonts w:ascii="Palatino Linotype" w:eastAsia="Palatino Linotype" w:hAnsi="Palatino Linotype" w:cs="Palatino Linotype"/>
          <w:b/>
          <w:i/>
          <w:sz w:val="22"/>
          <w:szCs w:val="22"/>
        </w:rPr>
        <w:t xml:space="preserve">Artículo 344.- Las Dependencias, Entidades Públicas y unidades administrativas registrarán contablemente el efecto patrimonial y presupuestal de las operaciones financieras que realicen, en el momento en que ocurran, con base en el sistema y políticas de registro establecidas, </w:t>
      </w:r>
      <w:r w:rsidRPr="00D82002">
        <w:rPr>
          <w:rFonts w:ascii="Palatino Linotype" w:eastAsia="Palatino Linotype" w:hAnsi="Palatino Linotype" w:cs="Palatino Linotype"/>
          <w:i/>
          <w:sz w:val="22"/>
          <w:szCs w:val="22"/>
        </w:rPr>
        <w:t>en el caso de los Municipios se hará por la Tesorería. </w:t>
      </w:r>
    </w:p>
    <w:p w14:paraId="1A03ED99" w14:textId="77777777" w:rsidR="00DE7FC4" w:rsidRPr="00D82002" w:rsidRDefault="00EB2EDB">
      <w:pPr>
        <w:pBdr>
          <w:top w:val="nil"/>
          <w:left w:val="nil"/>
          <w:bottom w:val="nil"/>
          <w:right w:val="nil"/>
          <w:between w:val="nil"/>
        </w:pBdr>
        <w:ind w:left="851" w:right="51"/>
        <w:jc w:val="both"/>
      </w:pPr>
      <w:r w:rsidRPr="00D82002">
        <w:rPr>
          <w:rFonts w:ascii="Palatino Linotype" w:eastAsia="Palatino Linotype" w:hAnsi="Palatino Linotype" w:cs="Palatino Linotype"/>
          <w:i/>
          <w:sz w:val="22"/>
          <w:szCs w:val="22"/>
        </w:rPr>
        <w:t>Derogado. </w:t>
      </w:r>
    </w:p>
    <w:p w14:paraId="23BECC6B" w14:textId="77777777" w:rsidR="00DE7FC4" w:rsidRPr="00D82002" w:rsidRDefault="00EB2EDB">
      <w:pPr>
        <w:pBdr>
          <w:top w:val="nil"/>
          <w:left w:val="nil"/>
          <w:bottom w:val="nil"/>
          <w:right w:val="nil"/>
          <w:between w:val="nil"/>
        </w:pBdr>
        <w:ind w:left="851" w:right="850"/>
        <w:jc w:val="both"/>
      </w:pPr>
      <w:r w:rsidRPr="00D82002">
        <w:rPr>
          <w:rFonts w:ascii="Palatino Linotype" w:eastAsia="Palatino Linotype" w:hAnsi="Palatino Linotype" w:cs="Palatino Linotype"/>
          <w:b/>
          <w:i/>
          <w:sz w:val="22"/>
          <w:szCs w:val="22"/>
        </w:rPr>
        <w:t>Todo registro contable y presupuestal deberá estar soportado con los documentos comprobatorios originales, los que deberán permanecer en custodia y conservación de las dependencias, entidades públicas y unidades administrativas que ejercieron el gasto, y a disposición del Órgano Superior de Fiscalización del Estado de México y de los órganos de control interno, por un término de cinco años contados</w:t>
      </w:r>
      <w:r w:rsidRPr="00D82002">
        <w:rPr>
          <w:rFonts w:ascii="Palatino Linotype" w:eastAsia="Palatino Linotype" w:hAnsi="Palatino Linotype" w:cs="Palatino Linotype"/>
          <w:i/>
          <w:sz w:val="22"/>
          <w:szCs w:val="22"/>
        </w:rPr>
        <w:t xml:space="preserve"> a partir del ejercicio presupuestal siguiente al que corresponda, en el caso de los municipios se hará por la Tesorería. </w:t>
      </w:r>
    </w:p>
    <w:p w14:paraId="69B4E36F" w14:textId="77777777" w:rsidR="00DE7FC4" w:rsidRPr="00D82002" w:rsidRDefault="00EB2EDB">
      <w:pPr>
        <w:pBdr>
          <w:top w:val="nil"/>
          <w:left w:val="nil"/>
          <w:bottom w:val="nil"/>
          <w:right w:val="nil"/>
          <w:between w:val="nil"/>
        </w:pBdr>
        <w:ind w:left="851" w:right="51"/>
        <w:jc w:val="both"/>
      </w:pPr>
      <w:r w:rsidRPr="00D82002">
        <w:rPr>
          <w:rFonts w:ascii="Palatino Linotype" w:eastAsia="Palatino Linotype" w:hAnsi="Palatino Linotype" w:cs="Palatino Linotype"/>
          <w:i/>
          <w:sz w:val="22"/>
          <w:szCs w:val="22"/>
        </w:rPr>
        <w:t>…</w:t>
      </w:r>
    </w:p>
    <w:p w14:paraId="5B860CDD" w14:textId="77777777" w:rsidR="00DE7FC4" w:rsidRPr="00D82002" w:rsidRDefault="00EB2EDB">
      <w:pPr>
        <w:pBdr>
          <w:top w:val="nil"/>
          <w:left w:val="nil"/>
          <w:bottom w:val="nil"/>
          <w:right w:val="nil"/>
          <w:between w:val="nil"/>
        </w:pBdr>
        <w:ind w:left="851" w:right="850"/>
        <w:jc w:val="both"/>
      </w:pPr>
      <w:r w:rsidRPr="00D82002">
        <w:rPr>
          <w:rFonts w:ascii="Palatino Linotype" w:eastAsia="Palatino Linotype" w:hAnsi="Palatino Linotype" w:cs="Palatino Linotype"/>
          <w:b/>
          <w:i/>
          <w:sz w:val="22"/>
          <w:szCs w:val="22"/>
        </w:rPr>
        <w:t>Artículo 345.-</w:t>
      </w:r>
      <w:r w:rsidRPr="00D82002">
        <w:rPr>
          <w:rFonts w:ascii="Palatino Linotype" w:eastAsia="Palatino Linotype" w:hAnsi="Palatino Linotype" w:cs="Palatino Linotype"/>
          <w:i/>
          <w:sz w:val="22"/>
          <w:szCs w:val="22"/>
        </w:rPr>
        <w:t xml:space="preserve"> </w:t>
      </w:r>
      <w:r w:rsidRPr="00D82002">
        <w:rPr>
          <w:rFonts w:ascii="Palatino Linotype" w:eastAsia="Palatino Linotype" w:hAnsi="Palatino Linotype" w:cs="Palatino Linotype"/>
          <w:b/>
          <w:i/>
          <w:sz w:val="22"/>
          <w:szCs w:val="22"/>
        </w:rPr>
        <w:t>Las Dependencias, Entidades Públicas y unidades administrativas deberán conservar la documentación contable del año en curso y la de ejercicios anteriores cuyas cuentas públicas hayan sido revisadas y fiscalizadas por la Legislatura</w:t>
      </w:r>
      <w:r w:rsidRPr="00D82002">
        <w:rPr>
          <w:rFonts w:ascii="Palatino Linotype" w:eastAsia="Palatino Linotype" w:hAnsi="Palatino Linotype" w:cs="Palatino Linotype"/>
          <w:i/>
          <w:sz w:val="22"/>
          <w:szCs w:val="22"/>
        </w:rPr>
        <w:t xml:space="preserve">, la remitirán en un plazo que no excederá de seis meses al Archivo Contable Gubernamental. </w:t>
      </w:r>
      <w:r w:rsidRPr="00D82002">
        <w:rPr>
          <w:rFonts w:ascii="Palatino Linotype" w:eastAsia="Palatino Linotype" w:hAnsi="Palatino Linotype" w:cs="Palatino Linotype"/>
          <w:b/>
          <w:i/>
          <w:sz w:val="22"/>
          <w:szCs w:val="22"/>
        </w:rPr>
        <w:t>Tratándose de los comprobantes fiscales digitales, estos deberán estar agregados en forma electrónica en cada póliza de registro contable</w:t>
      </w:r>
      <w:r w:rsidRPr="00D82002">
        <w:rPr>
          <w:rFonts w:ascii="Palatino Linotype" w:eastAsia="Palatino Linotype" w:hAnsi="Palatino Linotype" w:cs="Palatino Linotype"/>
          <w:i/>
          <w:sz w:val="22"/>
          <w:szCs w:val="22"/>
        </w:rPr>
        <w:t>. </w:t>
      </w:r>
    </w:p>
    <w:p w14:paraId="40A85792" w14:textId="77777777" w:rsidR="00DE7FC4" w:rsidRPr="00D82002" w:rsidRDefault="00EB2EDB">
      <w:pPr>
        <w:pBdr>
          <w:top w:val="nil"/>
          <w:left w:val="nil"/>
          <w:bottom w:val="nil"/>
          <w:right w:val="nil"/>
          <w:between w:val="nil"/>
        </w:pBdr>
        <w:ind w:left="851" w:right="850"/>
        <w:jc w:val="both"/>
      </w:pPr>
      <w:r w:rsidRPr="00D82002">
        <w:rPr>
          <w:rFonts w:ascii="Palatino Linotype" w:eastAsia="Palatino Linotype" w:hAnsi="Palatino Linotype" w:cs="Palatino Linotype"/>
          <w:i/>
          <w:sz w:val="22"/>
          <w:szCs w:val="22"/>
        </w:rPr>
        <w:t>El plazo señalado en el párrafo anterior, empezará a contar a partir de la publicación en el Periódico Oficial, del decreto correspondiente. “ </w:t>
      </w:r>
    </w:p>
    <w:p w14:paraId="15345B5A" w14:textId="77777777" w:rsidR="00DE7FC4" w:rsidRPr="00D82002" w:rsidRDefault="00DE7FC4"/>
    <w:p w14:paraId="14A140F9" w14:textId="77777777" w:rsidR="00DE7FC4" w:rsidRPr="00D82002" w:rsidRDefault="00EB2EDB">
      <w:pPr>
        <w:pBdr>
          <w:top w:val="nil"/>
          <w:left w:val="nil"/>
          <w:bottom w:val="nil"/>
          <w:right w:val="nil"/>
          <w:between w:val="nil"/>
        </w:pBdr>
        <w:spacing w:before="120" w:line="360" w:lineRule="auto"/>
        <w:jc w:val="both"/>
      </w:pPr>
      <w:r w:rsidRPr="00D82002">
        <w:rPr>
          <w:rFonts w:ascii="Palatino Linotype" w:eastAsia="Palatino Linotype" w:hAnsi="Palatino Linotype" w:cs="Palatino Linotype"/>
          <w:sz w:val="22"/>
          <w:szCs w:val="22"/>
        </w:rPr>
        <w:t>De una interpretación sistemática de los artículos transcritos, se desprende primeramente que el registro contable del efecto patrimonial y presupuestal de las operaciones financieras se realizará conforme al sistema y a las disposiciones que se aprueben en materia de planeación, programación, presupuestación, evaluación y contabilidad gubernamental.</w:t>
      </w:r>
    </w:p>
    <w:p w14:paraId="0946498E" w14:textId="77777777" w:rsidR="00DE7FC4" w:rsidRPr="00D82002" w:rsidRDefault="00DE7FC4">
      <w:pPr>
        <w:spacing w:line="360" w:lineRule="auto"/>
      </w:pPr>
    </w:p>
    <w:p w14:paraId="68808FCB" w14:textId="77777777" w:rsidR="00DE7FC4" w:rsidRPr="00D82002" w:rsidRDefault="00EB2EDB">
      <w:pPr>
        <w:pBdr>
          <w:top w:val="nil"/>
          <w:left w:val="nil"/>
          <w:bottom w:val="nil"/>
          <w:right w:val="nil"/>
          <w:between w:val="nil"/>
        </w:pBdr>
        <w:spacing w:line="360" w:lineRule="auto"/>
        <w:jc w:val="both"/>
      </w:pPr>
      <w:r w:rsidRPr="00D82002">
        <w:rPr>
          <w:rFonts w:ascii="Palatino Linotype" w:eastAsia="Palatino Linotype" w:hAnsi="Palatino Linotype" w:cs="Palatino Linotype"/>
          <w:sz w:val="22"/>
          <w:szCs w:val="22"/>
        </w:rPr>
        <w:t>Al respecto, si bien es cierto que el Código Financiero del Estado de México y Municipios establece la obligación de los Municipios para llevar los registros contables y presupuestales; también lo es que, dicho ordenamiento jurídico no establece que debemos entender por registro contable y presupuestal; sin embargo, el “Glosario de Términos Administrativos”, emitido por el Instituto Nacional de Administración Pública, A.C. y el “Glosario de Términos para el Proceso de Planeación, Programación, Presupuestación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las siguientes definiciones de las palabras registro contable y registro presupuestario: </w:t>
      </w:r>
    </w:p>
    <w:p w14:paraId="27195C54" w14:textId="77777777" w:rsidR="00DE7FC4" w:rsidRPr="00D82002" w:rsidRDefault="00DE7FC4"/>
    <w:p w14:paraId="12F7C67B" w14:textId="77777777" w:rsidR="00DE7FC4" w:rsidRPr="00D82002" w:rsidRDefault="00EB2EDB">
      <w:pPr>
        <w:pBdr>
          <w:top w:val="nil"/>
          <w:left w:val="nil"/>
          <w:bottom w:val="nil"/>
          <w:right w:val="nil"/>
          <w:between w:val="nil"/>
        </w:pBdr>
        <w:ind w:firstLine="708"/>
        <w:jc w:val="both"/>
      </w:pPr>
      <w:r w:rsidRPr="00D82002">
        <w:rPr>
          <w:rFonts w:ascii="Palatino Linotype" w:eastAsia="Palatino Linotype" w:hAnsi="Palatino Linotype" w:cs="Palatino Linotype"/>
          <w:b/>
          <w:i/>
          <w:sz w:val="22"/>
          <w:szCs w:val="22"/>
        </w:rPr>
        <w:t>“REGISTRO CONTABLE </w:t>
      </w:r>
    </w:p>
    <w:p w14:paraId="4686067E" w14:textId="77777777" w:rsidR="00DE7FC4" w:rsidRPr="00D82002" w:rsidRDefault="00EB2EDB">
      <w:pPr>
        <w:pBdr>
          <w:top w:val="nil"/>
          <w:left w:val="nil"/>
          <w:bottom w:val="nil"/>
          <w:right w:val="nil"/>
          <w:between w:val="nil"/>
        </w:pBdr>
        <w:ind w:left="851" w:right="899"/>
        <w:jc w:val="both"/>
      </w:pPr>
      <w:r w:rsidRPr="00D82002">
        <w:rPr>
          <w:rFonts w:ascii="Palatino Linotype" w:eastAsia="Palatino Linotype" w:hAnsi="Palatino Linotype" w:cs="Palatino Linotype"/>
          <w:i/>
          <w:sz w:val="22"/>
          <w:szCs w:val="22"/>
        </w:rPr>
        <w:t>Asiento que se realiza en los libros de contabilidad de las actividades relacionadas con el ingreso y egresos de un ente económico.” </w:t>
      </w:r>
    </w:p>
    <w:p w14:paraId="1EB3F740" w14:textId="77777777" w:rsidR="00DE7FC4" w:rsidRPr="00D82002" w:rsidRDefault="00EB2EDB">
      <w:pPr>
        <w:pBdr>
          <w:top w:val="nil"/>
          <w:left w:val="nil"/>
          <w:bottom w:val="nil"/>
          <w:right w:val="nil"/>
          <w:between w:val="nil"/>
        </w:pBdr>
        <w:ind w:right="899" w:firstLine="708"/>
        <w:jc w:val="both"/>
      </w:pPr>
      <w:r w:rsidRPr="00D82002">
        <w:rPr>
          <w:rFonts w:ascii="Palatino Linotype" w:eastAsia="Palatino Linotype" w:hAnsi="Palatino Linotype" w:cs="Palatino Linotype"/>
          <w:b/>
          <w:i/>
          <w:sz w:val="22"/>
          <w:szCs w:val="22"/>
        </w:rPr>
        <w:t>“REGISTRO PRESUPUESTARIO</w:t>
      </w:r>
    </w:p>
    <w:p w14:paraId="7921262B" w14:textId="77777777" w:rsidR="00DE7FC4" w:rsidRPr="00D82002" w:rsidRDefault="00EB2EDB">
      <w:pPr>
        <w:pBdr>
          <w:top w:val="nil"/>
          <w:left w:val="nil"/>
          <w:bottom w:val="nil"/>
          <w:right w:val="nil"/>
          <w:between w:val="nil"/>
        </w:pBdr>
        <w:ind w:left="708" w:right="899"/>
        <w:jc w:val="both"/>
      </w:pPr>
      <w:r w:rsidRPr="00D82002">
        <w:rPr>
          <w:rFonts w:ascii="Palatino Linotype" w:eastAsia="Palatino Linotype" w:hAnsi="Palatino Linotype" w:cs="Palatino Linotype"/>
          <w:i/>
          <w:sz w:val="22"/>
          <w:szCs w:val="22"/>
        </w:rPr>
        <w:t>Asiento contable de las erogaciones realizadas por las dependencias y entidades con relación a la asignación, modificación y ejercicio de los recursos presupuestarios que se les hayan autorizado.” </w:t>
      </w:r>
    </w:p>
    <w:p w14:paraId="07C22A3F" w14:textId="77777777" w:rsidR="00DE7FC4" w:rsidRPr="00D82002" w:rsidRDefault="00DE7FC4"/>
    <w:p w14:paraId="3EDB78A5" w14:textId="77777777" w:rsidR="00DE7FC4" w:rsidRPr="00D82002" w:rsidRDefault="00EB2EDB">
      <w:pPr>
        <w:pBdr>
          <w:top w:val="nil"/>
          <w:left w:val="nil"/>
          <w:bottom w:val="nil"/>
          <w:right w:val="nil"/>
          <w:between w:val="nil"/>
        </w:pBdr>
        <w:spacing w:line="360" w:lineRule="auto"/>
        <w:jc w:val="both"/>
      </w:pPr>
      <w:r w:rsidRPr="00D82002">
        <w:rPr>
          <w:rFonts w:ascii="Palatino Linotype" w:eastAsia="Palatino Linotype" w:hAnsi="Palatino Linotype" w:cs="Palatino Linotype"/>
          <w:sz w:val="22"/>
          <w:szCs w:val="22"/>
        </w:rPr>
        <w:t>Por otra parte, se establece que el sistema de contabilidad sobre base acumulativa total se sustentará en los principios de contabilidad gubernamental.</w:t>
      </w:r>
    </w:p>
    <w:p w14:paraId="04B02FE8" w14:textId="77777777" w:rsidR="00DE7FC4" w:rsidRPr="00D82002" w:rsidRDefault="00DE7FC4">
      <w:pPr>
        <w:spacing w:line="360" w:lineRule="auto"/>
      </w:pPr>
    </w:p>
    <w:p w14:paraId="762A8236" w14:textId="77777777" w:rsidR="00DE7FC4" w:rsidRPr="00D82002" w:rsidRDefault="00EB2EDB">
      <w:pPr>
        <w:pBdr>
          <w:top w:val="nil"/>
          <w:left w:val="nil"/>
          <w:bottom w:val="nil"/>
          <w:right w:val="nil"/>
          <w:between w:val="nil"/>
        </w:pBdr>
        <w:spacing w:line="360" w:lineRule="auto"/>
        <w:jc w:val="both"/>
      </w:pPr>
      <w:r w:rsidRPr="00D82002">
        <w:rPr>
          <w:rFonts w:ascii="Palatino Linotype" w:eastAsia="Palatino Linotype" w:hAnsi="Palatino Linotype" w:cs="Palatino Linotype"/>
          <w:sz w:val="22"/>
          <w:szCs w:val="22"/>
        </w:rPr>
        <w:t>Igualmente, los preceptos legales citados señalan que los Sujetos Obligados deben contar con una unidad administrativa que registra contablemente el efecto patrimonial y presupuestal de las operaciones financieras que realizan, en el momento en que ocurran, con base en el sistema y políticas de registro establecidas.</w:t>
      </w:r>
    </w:p>
    <w:p w14:paraId="57D254E4" w14:textId="77777777" w:rsidR="00DE7FC4" w:rsidRPr="00D82002" w:rsidRDefault="00DE7FC4">
      <w:pPr>
        <w:spacing w:line="360" w:lineRule="auto"/>
      </w:pPr>
    </w:p>
    <w:p w14:paraId="3B0F91A9" w14:textId="77777777" w:rsidR="00DE7FC4" w:rsidRPr="00D82002" w:rsidRDefault="00EB2EDB">
      <w:pPr>
        <w:pBdr>
          <w:top w:val="nil"/>
          <w:left w:val="nil"/>
          <w:bottom w:val="nil"/>
          <w:right w:val="nil"/>
          <w:between w:val="nil"/>
        </w:pBdr>
        <w:spacing w:line="360" w:lineRule="auto"/>
        <w:jc w:val="both"/>
      </w:pPr>
      <w:r w:rsidRPr="00D82002">
        <w:rPr>
          <w:rFonts w:ascii="Palatino Linotype" w:eastAsia="Palatino Linotype" w:hAnsi="Palatino Linotype" w:cs="Palatino Linotype"/>
          <w:sz w:val="22"/>
          <w:szCs w:val="22"/>
        </w:rPr>
        <w:t xml:space="preserve">Correlativo a lo anterior, es preciso referir una definición de </w:t>
      </w:r>
      <w:r w:rsidRPr="00D82002">
        <w:rPr>
          <w:rFonts w:ascii="Palatino Linotype" w:eastAsia="Palatino Linotype" w:hAnsi="Palatino Linotype" w:cs="Palatino Linotype"/>
          <w:i/>
          <w:sz w:val="22"/>
          <w:szCs w:val="22"/>
        </w:rPr>
        <w:t>póliza contable</w:t>
      </w:r>
      <w:r w:rsidRPr="00D82002">
        <w:rPr>
          <w:rFonts w:ascii="Palatino Linotype" w:eastAsia="Palatino Linotype" w:hAnsi="Palatino Linotype" w:cs="Palatino Linotype"/>
          <w:sz w:val="22"/>
          <w:szCs w:val="22"/>
        </w:rPr>
        <w:t>, la cual, primeramente, no está definida en el Código Financiero del Estado de México y Municipios; no obstante, los ya mencionados Glosarios la definen como: </w:t>
      </w:r>
    </w:p>
    <w:p w14:paraId="5F53CA46" w14:textId="77777777" w:rsidR="00DE7FC4" w:rsidRPr="00D82002" w:rsidRDefault="00DE7FC4"/>
    <w:p w14:paraId="2C83BD04" w14:textId="77777777" w:rsidR="00DE7FC4" w:rsidRPr="00D82002" w:rsidRDefault="00EB2EDB">
      <w:pPr>
        <w:pBdr>
          <w:top w:val="nil"/>
          <w:left w:val="nil"/>
          <w:bottom w:val="nil"/>
          <w:right w:val="nil"/>
          <w:between w:val="nil"/>
        </w:pBdr>
        <w:spacing w:after="120"/>
        <w:ind w:left="851" w:right="899"/>
        <w:jc w:val="both"/>
      </w:pPr>
      <w:r w:rsidRPr="00D82002">
        <w:rPr>
          <w:rFonts w:ascii="Palatino Linotype" w:eastAsia="Palatino Linotype" w:hAnsi="Palatino Linotype" w:cs="Palatino Linotype"/>
          <w:i/>
          <w:sz w:val="22"/>
          <w:szCs w:val="22"/>
        </w:rPr>
        <w:t>“</w:t>
      </w:r>
      <w:r w:rsidRPr="00D82002">
        <w:rPr>
          <w:rFonts w:ascii="Palatino Linotype" w:eastAsia="Palatino Linotype" w:hAnsi="Palatino Linotype" w:cs="Palatino Linotype"/>
          <w:b/>
          <w:i/>
          <w:sz w:val="22"/>
          <w:szCs w:val="22"/>
        </w:rPr>
        <w:t>PÓLIZA CONTABLE</w:t>
      </w:r>
    </w:p>
    <w:p w14:paraId="54F71745" w14:textId="77777777" w:rsidR="00DE7FC4" w:rsidRPr="00D82002" w:rsidRDefault="00EB2EDB">
      <w:pPr>
        <w:pBdr>
          <w:top w:val="nil"/>
          <w:left w:val="nil"/>
          <w:bottom w:val="nil"/>
          <w:right w:val="nil"/>
          <w:between w:val="nil"/>
        </w:pBdr>
        <w:spacing w:before="120" w:after="120"/>
        <w:ind w:left="851" w:right="899"/>
        <w:jc w:val="both"/>
      </w:pPr>
      <w:r w:rsidRPr="00D82002">
        <w:rPr>
          <w:rFonts w:ascii="Palatino Linotype" w:eastAsia="Palatino Linotype" w:hAnsi="Palatino Linotype" w:cs="Palatino Linotype"/>
          <w:i/>
          <w:sz w:val="22"/>
          <w:szCs w:val="22"/>
        </w:rPr>
        <w:t>Documento en el cual se asientan en forma individual todas y cada una de las operaciones desarrolladas por una institución, así como la información necesaria para la identificación de dichas operaciones.” </w:t>
      </w:r>
    </w:p>
    <w:p w14:paraId="2644A396" w14:textId="77777777" w:rsidR="00DE7FC4" w:rsidRPr="00D82002" w:rsidRDefault="00DE7FC4"/>
    <w:p w14:paraId="32446C16" w14:textId="77777777" w:rsidR="00DE7FC4" w:rsidRPr="00D82002" w:rsidRDefault="00EB2EDB">
      <w:pPr>
        <w:pBdr>
          <w:top w:val="nil"/>
          <w:left w:val="nil"/>
          <w:bottom w:val="nil"/>
          <w:right w:val="nil"/>
          <w:between w:val="nil"/>
        </w:pBdr>
        <w:spacing w:before="120" w:line="360" w:lineRule="auto"/>
        <w:jc w:val="both"/>
        <w:rPr>
          <w:rFonts w:ascii="Palatino Linotype" w:eastAsia="Palatino Linotype" w:hAnsi="Palatino Linotype" w:cs="Palatino Linotype"/>
          <w:sz w:val="22"/>
          <w:szCs w:val="22"/>
        </w:rPr>
      </w:pPr>
      <w:r w:rsidRPr="00D82002">
        <w:rPr>
          <w:rFonts w:ascii="Palatino Linotype" w:eastAsia="Palatino Linotype" w:hAnsi="Palatino Linotype" w:cs="Palatino Linotype"/>
          <w:sz w:val="22"/>
          <w:szCs w:val="22"/>
        </w:rPr>
        <w:t xml:space="preserve">Así, se advierte que la </w:t>
      </w:r>
      <w:r w:rsidRPr="00D82002">
        <w:rPr>
          <w:rFonts w:ascii="Palatino Linotype" w:eastAsia="Palatino Linotype" w:hAnsi="Palatino Linotype" w:cs="Palatino Linotype"/>
          <w:i/>
          <w:sz w:val="22"/>
          <w:szCs w:val="22"/>
        </w:rPr>
        <w:t>póliza contable</w:t>
      </w:r>
      <w:r w:rsidRPr="00D82002">
        <w:rPr>
          <w:rFonts w:ascii="Palatino Linotype" w:eastAsia="Palatino Linotype" w:hAnsi="Palatino Linotype" w:cs="Palatino Linotype"/>
          <w:sz w:val="22"/>
          <w:szCs w:val="22"/>
        </w:rPr>
        <w:t xml:space="preserve"> constituye un registro contable y presupuestal con el que cuentan los Municipios para el registro de sus operaciones relacionadas con sus ingresos y egresos y se anexan los documentos o comprobantes que justifiquen las anotaciones y cantidades en ellas registradas, lo que permite la identificación plena de dichas operaciones, siendo estos, de manera enunciativa más no limitativa, los documentos de control de gastos y seguimiento a las erogaciones del presupuesto del ejercicio fiscal dos mil veinticinco, por lo que se determina que el Sujeto Obligado genera, posee y administra los documentos que den cuenta de lo requerido por el Particular.</w:t>
      </w:r>
    </w:p>
    <w:p w14:paraId="05F3637C" w14:textId="77777777" w:rsidR="00DE7FC4" w:rsidRPr="00D82002" w:rsidRDefault="00DE7FC4">
      <w:pPr>
        <w:pBdr>
          <w:top w:val="nil"/>
          <w:left w:val="nil"/>
          <w:bottom w:val="nil"/>
          <w:right w:val="nil"/>
          <w:between w:val="nil"/>
        </w:pBdr>
        <w:spacing w:before="120" w:line="360" w:lineRule="auto"/>
        <w:jc w:val="both"/>
        <w:rPr>
          <w:rFonts w:ascii="Palatino Linotype" w:eastAsia="Palatino Linotype" w:hAnsi="Palatino Linotype" w:cs="Palatino Linotype"/>
          <w:sz w:val="22"/>
          <w:szCs w:val="22"/>
        </w:rPr>
      </w:pPr>
    </w:p>
    <w:p w14:paraId="653C3734" w14:textId="77777777" w:rsidR="00DE7FC4" w:rsidRPr="00D82002" w:rsidRDefault="00EB2EDB">
      <w:pPr>
        <w:pBdr>
          <w:top w:val="nil"/>
          <w:left w:val="nil"/>
          <w:bottom w:val="nil"/>
          <w:right w:val="nil"/>
          <w:between w:val="nil"/>
        </w:pBdr>
        <w:spacing w:before="120" w:line="360" w:lineRule="auto"/>
        <w:jc w:val="both"/>
        <w:rPr>
          <w:rFonts w:ascii="Palatino Linotype" w:eastAsia="Palatino Linotype" w:hAnsi="Palatino Linotype" w:cs="Palatino Linotype"/>
          <w:sz w:val="22"/>
          <w:szCs w:val="22"/>
        </w:rPr>
      </w:pPr>
      <w:r w:rsidRPr="00D82002">
        <w:rPr>
          <w:rFonts w:ascii="Palatino Linotype" w:eastAsia="Palatino Linotype" w:hAnsi="Palatino Linotype" w:cs="Palatino Linotype"/>
          <w:sz w:val="22"/>
          <w:szCs w:val="22"/>
        </w:rPr>
        <w:t xml:space="preserve">Asimismo, sobre el requerimiento relacionado con la forma de gestión para la administración de los recursos del presupuesto del ejercicio fiscal dos mil veinticinco, el Sujeto Obligado indicó que la información se encuentra disponible en el apartado I B2 “Egresos y </w:t>
      </w:r>
      <w:proofErr w:type="spellStart"/>
      <w:r w:rsidRPr="00D82002">
        <w:rPr>
          <w:rFonts w:ascii="Palatino Linotype" w:eastAsia="Palatino Linotype" w:hAnsi="Palatino Linotype" w:cs="Palatino Linotype"/>
          <w:sz w:val="22"/>
          <w:szCs w:val="22"/>
        </w:rPr>
        <w:t>fórnulas</w:t>
      </w:r>
      <w:proofErr w:type="spellEnd"/>
      <w:r w:rsidRPr="00D82002">
        <w:rPr>
          <w:rFonts w:ascii="Palatino Linotype" w:eastAsia="Palatino Linotype" w:hAnsi="Palatino Linotype" w:cs="Palatino Linotype"/>
          <w:sz w:val="22"/>
          <w:szCs w:val="22"/>
        </w:rPr>
        <w:t xml:space="preserve"> de Distribución de los Recursos”; sin embargo, la dirección electrónica proporcionada se encuentra en formato cerrado, lo que impide conocer su contenido. </w:t>
      </w:r>
    </w:p>
    <w:p w14:paraId="521EB7B5" w14:textId="77777777" w:rsidR="00DE7FC4" w:rsidRPr="00D82002" w:rsidRDefault="00DE7FC4">
      <w:pPr>
        <w:pBdr>
          <w:top w:val="nil"/>
          <w:left w:val="nil"/>
          <w:bottom w:val="nil"/>
          <w:right w:val="nil"/>
          <w:between w:val="nil"/>
        </w:pBdr>
        <w:spacing w:before="120" w:line="360" w:lineRule="auto"/>
        <w:jc w:val="both"/>
        <w:rPr>
          <w:rFonts w:ascii="Palatino Linotype" w:eastAsia="Palatino Linotype" w:hAnsi="Palatino Linotype" w:cs="Palatino Linotype"/>
          <w:sz w:val="22"/>
          <w:szCs w:val="22"/>
        </w:rPr>
      </w:pPr>
    </w:p>
    <w:p w14:paraId="7F7A7138" w14:textId="77777777" w:rsidR="00DE7FC4" w:rsidRPr="00D82002" w:rsidRDefault="00EB2EDB">
      <w:pPr>
        <w:pBdr>
          <w:top w:val="nil"/>
          <w:left w:val="nil"/>
          <w:bottom w:val="nil"/>
          <w:right w:val="nil"/>
          <w:between w:val="nil"/>
        </w:pBdr>
        <w:spacing w:before="120" w:line="360" w:lineRule="auto"/>
        <w:jc w:val="both"/>
        <w:rPr>
          <w:rFonts w:ascii="Palatino Linotype" w:eastAsia="Palatino Linotype" w:hAnsi="Palatino Linotype" w:cs="Palatino Linotype"/>
          <w:sz w:val="22"/>
          <w:szCs w:val="22"/>
        </w:rPr>
      </w:pPr>
      <w:r w:rsidRPr="00D82002">
        <w:rPr>
          <w:rFonts w:ascii="Palatino Linotype" w:eastAsia="Palatino Linotype" w:hAnsi="Palatino Linotype" w:cs="Palatino Linotype"/>
          <w:sz w:val="22"/>
          <w:szCs w:val="22"/>
        </w:rPr>
        <w:t xml:space="preserve">No </w:t>
      </w:r>
      <w:proofErr w:type="spellStart"/>
      <w:r w:rsidRPr="00D82002">
        <w:rPr>
          <w:rFonts w:ascii="Palatino Linotype" w:eastAsia="Palatino Linotype" w:hAnsi="Palatino Linotype" w:cs="Palatino Linotype"/>
          <w:sz w:val="22"/>
          <w:szCs w:val="22"/>
        </w:rPr>
        <w:t>osbtante</w:t>
      </w:r>
      <w:proofErr w:type="spellEnd"/>
      <w:r w:rsidRPr="00D82002">
        <w:rPr>
          <w:rFonts w:ascii="Palatino Linotype" w:eastAsia="Palatino Linotype" w:hAnsi="Palatino Linotype" w:cs="Palatino Linotype"/>
          <w:sz w:val="22"/>
          <w:szCs w:val="22"/>
        </w:rPr>
        <w:t xml:space="preserve">, la información que requiere el particular se constituye como una obligación de transparencia específica, contemplada en el artículo 94 apartado I, </w:t>
      </w:r>
      <w:proofErr w:type="spellStart"/>
      <w:r w:rsidRPr="00D82002">
        <w:rPr>
          <w:rFonts w:ascii="Palatino Linotype" w:eastAsia="Palatino Linotype" w:hAnsi="Palatino Linotype" w:cs="Palatino Linotype"/>
          <w:sz w:val="22"/>
          <w:szCs w:val="22"/>
        </w:rPr>
        <w:t>incico</w:t>
      </w:r>
      <w:proofErr w:type="spellEnd"/>
      <w:r w:rsidRPr="00D82002">
        <w:rPr>
          <w:rFonts w:ascii="Palatino Linotype" w:eastAsia="Palatino Linotype" w:hAnsi="Palatino Linotype" w:cs="Palatino Linotype"/>
          <w:sz w:val="22"/>
          <w:szCs w:val="22"/>
        </w:rPr>
        <w:t xml:space="preserve"> b, de la Ley de Transparencia y Acceso a la Información Pública del Estado de México y Municipios, como se advierte a continuación:</w:t>
      </w:r>
    </w:p>
    <w:p w14:paraId="175662B7" w14:textId="77777777" w:rsidR="00DE7FC4" w:rsidRPr="00D82002" w:rsidRDefault="00DE7FC4">
      <w:pPr>
        <w:pBdr>
          <w:top w:val="nil"/>
          <w:left w:val="nil"/>
          <w:bottom w:val="nil"/>
          <w:right w:val="nil"/>
          <w:between w:val="nil"/>
        </w:pBdr>
        <w:spacing w:before="120" w:line="360" w:lineRule="auto"/>
        <w:jc w:val="both"/>
        <w:rPr>
          <w:rFonts w:ascii="Palatino Linotype" w:eastAsia="Palatino Linotype" w:hAnsi="Palatino Linotype" w:cs="Palatino Linotype"/>
          <w:sz w:val="22"/>
          <w:szCs w:val="22"/>
        </w:rPr>
      </w:pPr>
    </w:p>
    <w:p w14:paraId="6815B336" w14:textId="77777777" w:rsidR="00DE7FC4" w:rsidRPr="00D82002" w:rsidRDefault="00EB2EDB">
      <w:pPr>
        <w:pBdr>
          <w:top w:val="nil"/>
          <w:left w:val="nil"/>
          <w:bottom w:val="nil"/>
          <w:right w:val="nil"/>
          <w:between w:val="nil"/>
        </w:pBdr>
        <w:spacing w:before="280" w:after="280"/>
        <w:ind w:left="567" w:right="843"/>
        <w:jc w:val="center"/>
        <w:rPr>
          <w:rFonts w:ascii="Palatino Linotype" w:eastAsia="Palatino Linotype" w:hAnsi="Palatino Linotype" w:cs="Palatino Linotype"/>
          <w:i/>
          <w:sz w:val="22"/>
          <w:szCs w:val="22"/>
        </w:rPr>
      </w:pPr>
      <w:r w:rsidRPr="00D82002">
        <w:rPr>
          <w:rFonts w:ascii="Palatino Linotype" w:eastAsia="Palatino Linotype" w:hAnsi="Palatino Linotype" w:cs="Palatino Linotype"/>
          <w:b/>
          <w:i/>
          <w:sz w:val="22"/>
          <w:szCs w:val="22"/>
        </w:rPr>
        <w:t>Capítulo III</w:t>
      </w:r>
    </w:p>
    <w:p w14:paraId="23890951" w14:textId="77777777" w:rsidR="00DE7FC4" w:rsidRPr="00D82002" w:rsidRDefault="00EB2EDB">
      <w:pPr>
        <w:pBdr>
          <w:top w:val="nil"/>
          <w:left w:val="nil"/>
          <w:bottom w:val="nil"/>
          <w:right w:val="nil"/>
          <w:between w:val="nil"/>
        </w:pBdr>
        <w:spacing w:before="280" w:after="280"/>
        <w:ind w:left="567" w:right="843"/>
        <w:jc w:val="center"/>
        <w:rPr>
          <w:rFonts w:ascii="Palatino Linotype" w:eastAsia="Palatino Linotype" w:hAnsi="Palatino Linotype" w:cs="Palatino Linotype"/>
          <w:i/>
          <w:sz w:val="22"/>
          <w:szCs w:val="22"/>
        </w:rPr>
      </w:pPr>
      <w:r w:rsidRPr="00D82002">
        <w:rPr>
          <w:rFonts w:ascii="Palatino Linotype" w:eastAsia="Palatino Linotype" w:hAnsi="Palatino Linotype" w:cs="Palatino Linotype"/>
          <w:b/>
          <w:i/>
          <w:sz w:val="22"/>
          <w:szCs w:val="22"/>
        </w:rPr>
        <w:t>De las Obligaciones de Transparencia</w:t>
      </w:r>
    </w:p>
    <w:p w14:paraId="5B373513" w14:textId="77777777" w:rsidR="00DE7FC4" w:rsidRPr="00D82002" w:rsidRDefault="00EB2EDB">
      <w:pPr>
        <w:pBdr>
          <w:top w:val="nil"/>
          <w:left w:val="nil"/>
          <w:bottom w:val="nil"/>
          <w:right w:val="nil"/>
          <w:between w:val="nil"/>
        </w:pBdr>
        <w:spacing w:before="280" w:after="280"/>
        <w:ind w:left="567" w:right="843"/>
        <w:jc w:val="center"/>
        <w:rPr>
          <w:rFonts w:ascii="Palatino Linotype" w:eastAsia="Palatino Linotype" w:hAnsi="Palatino Linotype" w:cs="Palatino Linotype"/>
          <w:i/>
          <w:sz w:val="22"/>
          <w:szCs w:val="22"/>
        </w:rPr>
      </w:pPr>
      <w:r w:rsidRPr="00D82002">
        <w:rPr>
          <w:rFonts w:ascii="Palatino Linotype" w:eastAsia="Palatino Linotype" w:hAnsi="Palatino Linotype" w:cs="Palatino Linotype"/>
          <w:b/>
          <w:i/>
          <w:sz w:val="22"/>
          <w:szCs w:val="22"/>
        </w:rPr>
        <w:t>Específicas de los Sujetos Obligados</w:t>
      </w:r>
    </w:p>
    <w:p w14:paraId="6FFC1322" w14:textId="77777777" w:rsidR="00DE7FC4" w:rsidRPr="00D82002" w:rsidRDefault="00EB2EDB">
      <w:pPr>
        <w:pBdr>
          <w:top w:val="nil"/>
          <w:left w:val="nil"/>
          <w:bottom w:val="nil"/>
          <w:right w:val="nil"/>
          <w:between w:val="nil"/>
        </w:pBdr>
        <w:spacing w:before="280" w:after="280"/>
        <w:ind w:left="567" w:right="843"/>
        <w:jc w:val="both"/>
        <w:rPr>
          <w:rFonts w:ascii="Palatino Linotype" w:eastAsia="Palatino Linotype" w:hAnsi="Palatino Linotype" w:cs="Palatino Linotype"/>
          <w:i/>
          <w:sz w:val="22"/>
          <w:szCs w:val="22"/>
        </w:rPr>
      </w:pPr>
      <w:r w:rsidRPr="00D82002">
        <w:rPr>
          <w:rFonts w:ascii="Palatino Linotype" w:eastAsia="Palatino Linotype" w:hAnsi="Palatino Linotype" w:cs="Palatino Linotype"/>
          <w:b/>
          <w:i/>
          <w:sz w:val="22"/>
          <w:szCs w:val="22"/>
        </w:rPr>
        <w:t xml:space="preserve">Artículo 94. </w:t>
      </w:r>
      <w:r w:rsidRPr="00D82002">
        <w:rPr>
          <w:rFonts w:ascii="Palatino Linotype" w:eastAsia="Palatino Linotype" w:hAnsi="Palatino Linotype" w:cs="Palatino Linotype"/>
          <w:i/>
          <w:sz w:val="22"/>
          <w:szCs w:val="22"/>
        </w:rPr>
        <w:t>Además de las obligaciones de transparencia común a que se refiere el Capítulo II de este Título, los sujetos</w:t>
      </w:r>
    </w:p>
    <w:p w14:paraId="3476FB82" w14:textId="77777777" w:rsidR="00DE7FC4" w:rsidRPr="00D82002" w:rsidRDefault="00EB2EDB">
      <w:pPr>
        <w:pBdr>
          <w:top w:val="nil"/>
          <w:left w:val="nil"/>
          <w:bottom w:val="nil"/>
          <w:right w:val="nil"/>
          <w:between w:val="nil"/>
        </w:pBdr>
        <w:spacing w:before="280" w:after="280"/>
        <w:ind w:left="567" w:right="843"/>
        <w:jc w:val="both"/>
        <w:rPr>
          <w:rFonts w:ascii="Palatino Linotype" w:eastAsia="Palatino Linotype" w:hAnsi="Palatino Linotype" w:cs="Palatino Linotype"/>
          <w:i/>
          <w:sz w:val="22"/>
          <w:szCs w:val="22"/>
        </w:rPr>
      </w:pPr>
      <w:r w:rsidRPr="00D82002">
        <w:rPr>
          <w:rFonts w:ascii="Palatino Linotype" w:eastAsia="Palatino Linotype" w:hAnsi="Palatino Linotype" w:cs="Palatino Linotype"/>
          <w:i/>
          <w:sz w:val="22"/>
          <w:szCs w:val="22"/>
        </w:rPr>
        <w:t xml:space="preserve">obligados del Poder Ejecutivo Local y </w:t>
      </w:r>
      <w:r w:rsidRPr="00D82002">
        <w:rPr>
          <w:rFonts w:ascii="Palatino Linotype" w:eastAsia="Palatino Linotype" w:hAnsi="Palatino Linotype" w:cs="Palatino Linotype"/>
          <w:b/>
          <w:i/>
          <w:sz w:val="22"/>
          <w:szCs w:val="22"/>
        </w:rPr>
        <w:t>municipales,</w:t>
      </w:r>
      <w:r w:rsidRPr="00D82002">
        <w:rPr>
          <w:rFonts w:ascii="Palatino Linotype" w:eastAsia="Palatino Linotype" w:hAnsi="Palatino Linotype" w:cs="Palatino Linotype"/>
          <w:i/>
          <w:sz w:val="22"/>
          <w:szCs w:val="22"/>
        </w:rPr>
        <w:t xml:space="preserve"> deberán poner a disposición del público y actualizar la siguiente</w:t>
      </w:r>
    </w:p>
    <w:p w14:paraId="539B8351" w14:textId="77777777" w:rsidR="00DE7FC4" w:rsidRPr="00D82002" w:rsidRDefault="00EB2EDB">
      <w:pPr>
        <w:pBdr>
          <w:top w:val="nil"/>
          <w:left w:val="nil"/>
          <w:bottom w:val="nil"/>
          <w:right w:val="nil"/>
          <w:between w:val="nil"/>
        </w:pBdr>
        <w:spacing w:before="280" w:after="280"/>
        <w:ind w:left="567" w:right="843"/>
        <w:jc w:val="both"/>
        <w:rPr>
          <w:rFonts w:ascii="Palatino Linotype" w:eastAsia="Palatino Linotype" w:hAnsi="Palatino Linotype" w:cs="Palatino Linotype"/>
          <w:i/>
          <w:sz w:val="22"/>
          <w:szCs w:val="22"/>
        </w:rPr>
      </w:pPr>
      <w:r w:rsidRPr="00D82002">
        <w:rPr>
          <w:rFonts w:ascii="Palatino Linotype" w:eastAsia="Palatino Linotype" w:hAnsi="Palatino Linotype" w:cs="Palatino Linotype"/>
          <w:i/>
          <w:sz w:val="22"/>
          <w:szCs w:val="22"/>
        </w:rPr>
        <w:t>información:</w:t>
      </w:r>
    </w:p>
    <w:p w14:paraId="10099325" w14:textId="77777777" w:rsidR="00DE7FC4" w:rsidRPr="00D82002" w:rsidRDefault="00EB2EDB">
      <w:pPr>
        <w:pBdr>
          <w:top w:val="nil"/>
          <w:left w:val="nil"/>
          <w:bottom w:val="nil"/>
          <w:right w:val="nil"/>
          <w:between w:val="nil"/>
        </w:pBdr>
        <w:spacing w:before="280" w:after="280"/>
        <w:ind w:left="567" w:right="843"/>
        <w:jc w:val="both"/>
        <w:rPr>
          <w:rFonts w:ascii="Palatino Linotype" w:eastAsia="Palatino Linotype" w:hAnsi="Palatino Linotype" w:cs="Palatino Linotype"/>
          <w:i/>
          <w:sz w:val="22"/>
          <w:szCs w:val="22"/>
        </w:rPr>
      </w:pPr>
      <w:r w:rsidRPr="00D82002">
        <w:rPr>
          <w:rFonts w:ascii="Palatino Linotype" w:eastAsia="Palatino Linotype" w:hAnsi="Palatino Linotype" w:cs="Palatino Linotype"/>
          <w:b/>
          <w:i/>
          <w:sz w:val="22"/>
          <w:szCs w:val="22"/>
        </w:rPr>
        <w:t>I.</w:t>
      </w:r>
      <w:r w:rsidRPr="00D82002">
        <w:rPr>
          <w:rFonts w:ascii="Palatino Linotype" w:eastAsia="Palatino Linotype" w:hAnsi="Palatino Linotype" w:cs="Palatino Linotype"/>
          <w:i/>
          <w:sz w:val="22"/>
          <w:szCs w:val="22"/>
        </w:rPr>
        <w:t xml:space="preserve"> En el caso del Poder Ejecutivo </w:t>
      </w:r>
      <w:r w:rsidRPr="00D82002">
        <w:rPr>
          <w:rFonts w:ascii="Palatino Linotype" w:eastAsia="Palatino Linotype" w:hAnsi="Palatino Linotype" w:cs="Palatino Linotype"/>
          <w:b/>
          <w:i/>
          <w:sz w:val="22"/>
          <w:szCs w:val="22"/>
        </w:rPr>
        <w:t>y los Municipios</w:t>
      </w:r>
      <w:r w:rsidRPr="00D82002">
        <w:rPr>
          <w:rFonts w:ascii="Palatino Linotype" w:eastAsia="Palatino Linotype" w:hAnsi="Palatino Linotype" w:cs="Palatino Linotype"/>
          <w:i/>
          <w:sz w:val="22"/>
          <w:szCs w:val="22"/>
        </w:rPr>
        <w:t>, en el ámbito de su competencia:</w:t>
      </w:r>
    </w:p>
    <w:p w14:paraId="5A5EA850" w14:textId="77777777" w:rsidR="00DE7FC4" w:rsidRPr="00D82002" w:rsidRDefault="00EB2EDB">
      <w:pPr>
        <w:pBdr>
          <w:top w:val="nil"/>
          <w:left w:val="nil"/>
          <w:bottom w:val="nil"/>
          <w:right w:val="nil"/>
          <w:between w:val="nil"/>
        </w:pBdr>
        <w:spacing w:before="280" w:after="280"/>
        <w:ind w:left="567" w:right="843"/>
        <w:jc w:val="both"/>
        <w:rPr>
          <w:rFonts w:ascii="Palatino Linotype" w:eastAsia="Palatino Linotype" w:hAnsi="Palatino Linotype" w:cs="Palatino Linotype"/>
          <w:i/>
          <w:sz w:val="22"/>
          <w:szCs w:val="22"/>
        </w:rPr>
      </w:pPr>
      <w:r w:rsidRPr="00D82002">
        <w:rPr>
          <w:rFonts w:ascii="Palatino Linotype" w:eastAsia="Palatino Linotype" w:hAnsi="Palatino Linotype" w:cs="Palatino Linotype"/>
          <w:b/>
          <w:i/>
          <w:sz w:val="22"/>
          <w:szCs w:val="22"/>
        </w:rPr>
        <w:t>…</w:t>
      </w:r>
    </w:p>
    <w:p w14:paraId="7C6BF5E7" w14:textId="77777777" w:rsidR="00DE7FC4" w:rsidRPr="00D82002" w:rsidRDefault="00EB2EDB">
      <w:pPr>
        <w:pBdr>
          <w:top w:val="nil"/>
          <w:left w:val="nil"/>
          <w:bottom w:val="nil"/>
          <w:right w:val="nil"/>
          <w:between w:val="nil"/>
        </w:pBdr>
        <w:spacing w:before="280" w:after="280"/>
        <w:ind w:left="567" w:right="843"/>
        <w:jc w:val="both"/>
        <w:rPr>
          <w:b/>
          <w:u w:val="single"/>
        </w:rPr>
      </w:pPr>
      <w:r w:rsidRPr="00D82002">
        <w:rPr>
          <w:rFonts w:ascii="Palatino Linotype" w:eastAsia="Palatino Linotype" w:hAnsi="Palatino Linotype" w:cs="Palatino Linotype"/>
          <w:b/>
          <w:i/>
          <w:sz w:val="22"/>
          <w:szCs w:val="22"/>
        </w:rPr>
        <w:t xml:space="preserve">b) </w:t>
      </w:r>
      <w:r w:rsidRPr="00D82002">
        <w:rPr>
          <w:rFonts w:ascii="Palatino Linotype" w:eastAsia="Palatino Linotype" w:hAnsi="Palatino Linotype" w:cs="Palatino Linotype"/>
          <w:b/>
          <w:i/>
          <w:sz w:val="22"/>
          <w:szCs w:val="22"/>
          <w:u w:val="single"/>
        </w:rPr>
        <w:t>El presupuesto de egresos y las fórmulas de distribución de los recursos otorgados</w:t>
      </w:r>
      <w:r w:rsidRPr="00D82002">
        <w:rPr>
          <w:b/>
          <w:u w:val="single"/>
        </w:rPr>
        <w:t>;</w:t>
      </w:r>
    </w:p>
    <w:p w14:paraId="54C58DE3" w14:textId="77777777" w:rsidR="00DE7FC4" w:rsidRPr="00D82002" w:rsidRDefault="00DE7FC4">
      <w:pPr>
        <w:pBdr>
          <w:top w:val="nil"/>
          <w:left w:val="nil"/>
          <w:bottom w:val="nil"/>
          <w:right w:val="nil"/>
          <w:between w:val="nil"/>
        </w:pBdr>
        <w:spacing w:before="120" w:line="360" w:lineRule="auto"/>
        <w:jc w:val="both"/>
        <w:rPr>
          <w:sz w:val="22"/>
          <w:szCs w:val="22"/>
        </w:rPr>
      </w:pPr>
    </w:p>
    <w:p w14:paraId="39E117C1" w14:textId="77777777" w:rsidR="00DE7FC4" w:rsidRPr="00D82002" w:rsidRDefault="00EB2EDB">
      <w:pPr>
        <w:spacing w:after="240" w:line="360" w:lineRule="auto"/>
        <w:jc w:val="both"/>
        <w:rPr>
          <w:rFonts w:ascii="Palatino Linotype" w:eastAsia="Palatino Linotype" w:hAnsi="Palatino Linotype" w:cs="Palatino Linotype"/>
          <w:sz w:val="22"/>
          <w:szCs w:val="22"/>
        </w:rPr>
      </w:pPr>
      <w:r w:rsidRPr="00D82002">
        <w:rPr>
          <w:rFonts w:ascii="Palatino Linotype" w:eastAsia="Palatino Linotype" w:hAnsi="Palatino Linotype" w:cs="Palatino Linotype"/>
          <w:sz w:val="22"/>
          <w:szCs w:val="22"/>
        </w:rPr>
        <w:t xml:space="preserve">Es así que, la información que requiere el particular, en relación a la forma de gestión para la administración del presupuesto, pudiera contenerse, de manera enunciativa más no limitativa en las </w:t>
      </w:r>
      <w:proofErr w:type="spellStart"/>
      <w:r w:rsidRPr="00D82002">
        <w:rPr>
          <w:rFonts w:ascii="Palatino Linotype" w:eastAsia="Palatino Linotype" w:hAnsi="Palatino Linotype" w:cs="Palatino Linotype"/>
          <w:sz w:val="22"/>
          <w:szCs w:val="22"/>
        </w:rPr>
        <w:t>formulas</w:t>
      </w:r>
      <w:proofErr w:type="spellEnd"/>
      <w:r w:rsidRPr="00D82002">
        <w:rPr>
          <w:rFonts w:ascii="Palatino Linotype" w:eastAsia="Palatino Linotype" w:hAnsi="Palatino Linotype" w:cs="Palatino Linotype"/>
          <w:sz w:val="22"/>
          <w:szCs w:val="22"/>
        </w:rPr>
        <w:t xml:space="preserve"> de distribución de los recursos </w:t>
      </w:r>
      <w:proofErr w:type="spellStart"/>
      <w:r w:rsidRPr="00D82002">
        <w:rPr>
          <w:rFonts w:ascii="Palatino Linotype" w:eastAsia="Palatino Linotype" w:hAnsi="Palatino Linotype" w:cs="Palatino Linotype"/>
          <w:sz w:val="22"/>
          <w:szCs w:val="22"/>
        </w:rPr>
        <w:t>otrogados</w:t>
      </w:r>
      <w:proofErr w:type="spellEnd"/>
      <w:r w:rsidRPr="00D82002">
        <w:rPr>
          <w:rFonts w:ascii="Palatino Linotype" w:eastAsia="Palatino Linotype" w:hAnsi="Palatino Linotype" w:cs="Palatino Linotype"/>
          <w:sz w:val="22"/>
          <w:szCs w:val="22"/>
        </w:rPr>
        <w:t xml:space="preserve"> sobre el presupuesto de egresos, tal y como fuera señalado en respuesta. Por lo que se determina que el Sujeto Obligado genera, posee y administra la información requerida por el particular.</w:t>
      </w:r>
    </w:p>
    <w:p w14:paraId="0B591C3C" w14:textId="77777777" w:rsidR="00DE7FC4" w:rsidRPr="00D82002" w:rsidRDefault="00DE7FC4">
      <w:pPr>
        <w:spacing w:line="360" w:lineRule="auto"/>
        <w:jc w:val="both"/>
        <w:rPr>
          <w:rFonts w:ascii="Palatino Linotype" w:eastAsia="Palatino Linotype" w:hAnsi="Palatino Linotype" w:cs="Palatino Linotype"/>
          <w:sz w:val="22"/>
          <w:szCs w:val="22"/>
        </w:rPr>
      </w:pPr>
    </w:p>
    <w:p w14:paraId="749CEA75" w14:textId="77777777" w:rsidR="00DE7FC4" w:rsidRPr="00D82002" w:rsidRDefault="00EB2EDB">
      <w:pPr>
        <w:spacing w:line="360" w:lineRule="auto"/>
        <w:jc w:val="both"/>
        <w:rPr>
          <w:rFonts w:ascii="Palatino Linotype" w:eastAsia="Palatino Linotype" w:hAnsi="Palatino Linotype" w:cs="Palatino Linotype"/>
          <w:sz w:val="22"/>
          <w:szCs w:val="22"/>
        </w:rPr>
      </w:pPr>
      <w:r w:rsidRPr="00D82002">
        <w:rPr>
          <w:rFonts w:ascii="Palatino Linotype" w:eastAsia="Palatino Linotype" w:hAnsi="Palatino Linotype" w:cs="Palatino Linotype"/>
          <w:sz w:val="22"/>
          <w:szCs w:val="22"/>
        </w:rPr>
        <w:t>Ahora bien, de ser el caso de que la información que se ordena entregar contenga datos personales susceptibles de clasificarse como información confidencial, el Sujeto Obligado estará a lo dispuesto en el Considerando Quinto de la presente resolución</w:t>
      </w:r>
    </w:p>
    <w:p w14:paraId="42DB8157" w14:textId="77777777" w:rsidR="00DE7FC4" w:rsidRPr="00D82002" w:rsidRDefault="00DE7FC4">
      <w:pPr>
        <w:spacing w:line="360" w:lineRule="auto"/>
        <w:jc w:val="both"/>
        <w:rPr>
          <w:rFonts w:ascii="Palatino Linotype" w:eastAsia="Palatino Linotype" w:hAnsi="Palatino Linotype" w:cs="Palatino Linotype"/>
          <w:sz w:val="22"/>
          <w:szCs w:val="22"/>
        </w:rPr>
      </w:pPr>
    </w:p>
    <w:p w14:paraId="79FDC3BD" w14:textId="77777777" w:rsidR="00DE7FC4" w:rsidRPr="00D82002" w:rsidRDefault="00EB2EDB">
      <w:pPr>
        <w:spacing w:line="360" w:lineRule="auto"/>
        <w:jc w:val="both"/>
        <w:rPr>
          <w:rFonts w:ascii="Palatino Linotype" w:eastAsia="Palatino Linotype" w:hAnsi="Palatino Linotype" w:cs="Palatino Linotype"/>
          <w:sz w:val="22"/>
          <w:szCs w:val="22"/>
        </w:rPr>
      </w:pPr>
      <w:r w:rsidRPr="00D82002">
        <w:rPr>
          <w:rFonts w:ascii="Palatino Linotype" w:eastAsia="Palatino Linotype" w:hAnsi="Palatino Linotype" w:cs="Palatino Linotype"/>
          <w:b/>
          <w:sz w:val="22"/>
          <w:szCs w:val="22"/>
        </w:rPr>
        <w:t xml:space="preserve">Quinto. Versión Pública. </w:t>
      </w:r>
      <w:r w:rsidRPr="00D82002">
        <w:rPr>
          <w:rFonts w:ascii="Palatino Linotype" w:eastAsia="Palatino Linotype" w:hAnsi="Palatino Linotype" w:cs="Palatino Linotype"/>
          <w:sz w:val="22"/>
          <w:szCs w:val="22"/>
        </w:rPr>
        <w:t xml:space="preserve">Finalmente, para la entrega de la información que se determina ordenar, el Sujeto Obligado deberá realizar un análisis con la finalidad de advertir si esta contiene datos que deben ser clasificados en los términos que la misma Ley en la materia señala. </w:t>
      </w:r>
    </w:p>
    <w:p w14:paraId="174B2166" w14:textId="77777777" w:rsidR="00DE7FC4" w:rsidRPr="00D82002" w:rsidRDefault="00DE7FC4">
      <w:pPr>
        <w:spacing w:line="360" w:lineRule="auto"/>
        <w:jc w:val="both"/>
        <w:rPr>
          <w:rFonts w:ascii="Palatino Linotype" w:eastAsia="Palatino Linotype" w:hAnsi="Palatino Linotype" w:cs="Palatino Linotype"/>
          <w:sz w:val="22"/>
          <w:szCs w:val="22"/>
        </w:rPr>
      </w:pPr>
    </w:p>
    <w:p w14:paraId="384D03B9" w14:textId="77777777" w:rsidR="00DE7FC4" w:rsidRPr="00D82002" w:rsidRDefault="00EB2EDB">
      <w:pPr>
        <w:spacing w:line="360" w:lineRule="auto"/>
        <w:jc w:val="both"/>
        <w:rPr>
          <w:rFonts w:ascii="Palatino Linotype" w:eastAsia="Palatino Linotype" w:hAnsi="Palatino Linotype" w:cs="Palatino Linotype"/>
          <w:sz w:val="22"/>
          <w:szCs w:val="22"/>
        </w:rPr>
      </w:pPr>
      <w:r w:rsidRPr="00D82002">
        <w:rPr>
          <w:rFonts w:ascii="Palatino Linotype" w:eastAsia="Palatino Linotype" w:hAnsi="Palatino Linotype" w:cs="Palatino Linotype"/>
          <w:sz w:val="22"/>
          <w:szCs w:val="22"/>
        </w:rPr>
        <w:t xml:space="preserve">En ese sentido, el Sujeto Obligado tendrá que elaborar la versión pública de los documentos que vaya a entregar para dar cumplimiento a esta resolución a fin de satisfacer el derecho de acceso a la información pública del recurrente sin menoscabar el derecho a la protección de los datos personales de terceros. </w:t>
      </w:r>
    </w:p>
    <w:p w14:paraId="7D94967D" w14:textId="77777777" w:rsidR="00DE7FC4" w:rsidRPr="00D82002" w:rsidRDefault="00DE7FC4">
      <w:pPr>
        <w:spacing w:line="360" w:lineRule="auto"/>
        <w:jc w:val="both"/>
        <w:rPr>
          <w:rFonts w:ascii="Palatino Linotype" w:eastAsia="Palatino Linotype" w:hAnsi="Palatino Linotype" w:cs="Palatino Linotype"/>
          <w:sz w:val="22"/>
          <w:szCs w:val="22"/>
        </w:rPr>
      </w:pPr>
    </w:p>
    <w:p w14:paraId="485E21C9" w14:textId="77777777" w:rsidR="00DE7FC4" w:rsidRPr="00D82002" w:rsidRDefault="00EB2EDB">
      <w:pPr>
        <w:spacing w:line="360" w:lineRule="auto"/>
        <w:ind w:right="50"/>
        <w:jc w:val="both"/>
        <w:rPr>
          <w:rFonts w:ascii="Palatino Linotype" w:eastAsia="Palatino Linotype" w:hAnsi="Palatino Linotype" w:cs="Palatino Linotype"/>
          <w:sz w:val="22"/>
          <w:szCs w:val="22"/>
        </w:rPr>
      </w:pPr>
      <w:r w:rsidRPr="00D82002">
        <w:rPr>
          <w:rFonts w:ascii="Palatino Linotype" w:eastAsia="Palatino Linotype" w:hAnsi="Palatino Linotype" w:cs="Palatino Linotype"/>
          <w:sz w:val="22"/>
          <w:szCs w:val="22"/>
        </w:rPr>
        <w:t xml:space="preserve">Lo anterior, de conformidad con lo que señalan los artículos 3 fracciones IX, XX, XXI y XLV, 91, 132 fracciones II y III, y 143 de la Ley de Transparencia y Acceso a la Información Pública del Estado de México y Municipios que establecen: </w:t>
      </w:r>
    </w:p>
    <w:p w14:paraId="5E42F6E8" w14:textId="77777777" w:rsidR="00DE7FC4" w:rsidRPr="00D82002" w:rsidRDefault="00DE7FC4">
      <w:pPr>
        <w:spacing w:line="360" w:lineRule="auto"/>
        <w:ind w:right="50"/>
        <w:jc w:val="both"/>
        <w:rPr>
          <w:rFonts w:ascii="Palatino Linotype" w:eastAsia="Palatino Linotype" w:hAnsi="Palatino Linotype" w:cs="Palatino Linotype"/>
          <w:sz w:val="22"/>
          <w:szCs w:val="22"/>
        </w:rPr>
      </w:pPr>
    </w:p>
    <w:p w14:paraId="4A0708C8" w14:textId="77777777" w:rsidR="00DE7FC4" w:rsidRPr="00D82002" w:rsidRDefault="00EB2EDB">
      <w:pPr>
        <w:ind w:left="567" w:right="616"/>
        <w:jc w:val="both"/>
        <w:rPr>
          <w:rFonts w:ascii="Palatino Linotype" w:eastAsia="Palatino Linotype" w:hAnsi="Palatino Linotype" w:cs="Palatino Linotype"/>
          <w:i/>
          <w:sz w:val="22"/>
          <w:szCs w:val="22"/>
        </w:rPr>
      </w:pPr>
      <w:r w:rsidRPr="00D82002">
        <w:rPr>
          <w:rFonts w:ascii="Palatino Linotype" w:eastAsia="Palatino Linotype" w:hAnsi="Palatino Linotype" w:cs="Palatino Linotype"/>
          <w:i/>
          <w:sz w:val="22"/>
          <w:szCs w:val="22"/>
        </w:rPr>
        <w:t>“</w:t>
      </w:r>
      <w:r w:rsidRPr="00D82002">
        <w:rPr>
          <w:rFonts w:ascii="Palatino Linotype" w:eastAsia="Palatino Linotype" w:hAnsi="Palatino Linotype" w:cs="Palatino Linotype"/>
          <w:b/>
          <w:i/>
          <w:sz w:val="22"/>
          <w:szCs w:val="22"/>
        </w:rPr>
        <w:t>Artículo 3.</w:t>
      </w:r>
      <w:r w:rsidRPr="00D82002">
        <w:rPr>
          <w:rFonts w:ascii="Palatino Linotype" w:eastAsia="Palatino Linotype" w:hAnsi="Palatino Linotype" w:cs="Palatino Linotype"/>
          <w:i/>
          <w:sz w:val="22"/>
          <w:szCs w:val="22"/>
        </w:rPr>
        <w:t xml:space="preserve"> Para los efectos de la presente Ley se entenderá por:</w:t>
      </w:r>
    </w:p>
    <w:p w14:paraId="0AE8CD15" w14:textId="77777777" w:rsidR="00DE7FC4" w:rsidRPr="00D82002" w:rsidRDefault="00EB2EDB">
      <w:pPr>
        <w:ind w:left="567" w:right="616"/>
        <w:jc w:val="both"/>
        <w:rPr>
          <w:rFonts w:ascii="Palatino Linotype" w:eastAsia="Palatino Linotype" w:hAnsi="Palatino Linotype" w:cs="Palatino Linotype"/>
          <w:i/>
          <w:sz w:val="22"/>
          <w:szCs w:val="22"/>
        </w:rPr>
      </w:pPr>
      <w:r w:rsidRPr="00D82002">
        <w:rPr>
          <w:rFonts w:ascii="Palatino Linotype" w:eastAsia="Palatino Linotype" w:hAnsi="Palatino Linotype" w:cs="Palatino Linotype"/>
          <w:i/>
          <w:sz w:val="22"/>
          <w:szCs w:val="22"/>
        </w:rPr>
        <w:t>[…]</w:t>
      </w:r>
    </w:p>
    <w:p w14:paraId="20104BBD" w14:textId="77777777" w:rsidR="00DE7FC4" w:rsidRPr="00D82002" w:rsidRDefault="00EB2EDB">
      <w:pPr>
        <w:ind w:left="567" w:right="616"/>
        <w:jc w:val="both"/>
        <w:rPr>
          <w:rFonts w:ascii="Palatino Linotype" w:eastAsia="Palatino Linotype" w:hAnsi="Palatino Linotype" w:cs="Palatino Linotype"/>
          <w:i/>
          <w:sz w:val="22"/>
          <w:szCs w:val="22"/>
        </w:rPr>
      </w:pPr>
      <w:r w:rsidRPr="00D82002">
        <w:rPr>
          <w:rFonts w:ascii="Palatino Linotype" w:eastAsia="Palatino Linotype" w:hAnsi="Palatino Linotype" w:cs="Palatino Linotype"/>
          <w:i/>
          <w:sz w:val="22"/>
          <w:szCs w:val="22"/>
        </w:rPr>
        <w:t xml:space="preserve">IX. Datos personales: La información concerniente a una persona, identificada o identificable según lo dispuesto por la Ley de Protección de Datos Personales del Estado de México; </w:t>
      </w:r>
    </w:p>
    <w:p w14:paraId="2C36527A" w14:textId="77777777" w:rsidR="00DE7FC4" w:rsidRPr="00D82002" w:rsidRDefault="00EB2EDB">
      <w:pPr>
        <w:ind w:left="567" w:right="616"/>
        <w:jc w:val="both"/>
        <w:rPr>
          <w:rFonts w:ascii="Palatino Linotype" w:eastAsia="Palatino Linotype" w:hAnsi="Palatino Linotype" w:cs="Palatino Linotype"/>
          <w:i/>
          <w:sz w:val="22"/>
          <w:szCs w:val="22"/>
        </w:rPr>
      </w:pPr>
      <w:r w:rsidRPr="00D82002">
        <w:rPr>
          <w:rFonts w:ascii="Palatino Linotype" w:eastAsia="Palatino Linotype" w:hAnsi="Palatino Linotype" w:cs="Palatino Linotype"/>
          <w:i/>
          <w:sz w:val="22"/>
          <w:szCs w:val="22"/>
        </w:rPr>
        <w:t>XX. Información clasificada: Aquella considerada por la presente Ley como reservada o confidencial;</w:t>
      </w:r>
    </w:p>
    <w:p w14:paraId="3B06CA5E" w14:textId="77777777" w:rsidR="00DE7FC4" w:rsidRPr="00D82002" w:rsidRDefault="00EB2EDB">
      <w:pPr>
        <w:ind w:left="567" w:right="616"/>
        <w:jc w:val="both"/>
        <w:rPr>
          <w:rFonts w:ascii="Palatino Linotype" w:eastAsia="Palatino Linotype" w:hAnsi="Palatino Linotype" w:cs="Palatino Linotype"/>
          <w:i/>
          <w:sz w:val="22"/>
          <w:szCs w:val="22"/>
        </w:rPr>
      </w:pPr>
      <w:r w:rsidRPr="00D82002">
        <w:rPr>
          <w:rFonts w:ascii="Palatino Linotype" w:eastAsia="Palatino Linotype" w:hAnsi="Palatino Linotype" w:cs="Palatino Linotype"/>
          <w:i/>
          <w:sz w:val="22"/>
          <w:szCs w:val="22"/>
        </w:rPr>
        <w:t>XXI.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0E8E4CE5" w14:textId="77777777" w:rsidR="00DE7FC4" w:rsidRPr="00D82002" w:rsidRDefault="00EB2EDB">
      <w:pPr>
        <w:ind w:left="567" w:right="616"/>
        <w:jc w:val="both"/>
        <w:rPr>
          <w:rFonts w:ascii="Palatino Linotype" w:eastAsia="Palatino Linotype" w:hAnsi="Palatino Linotype" w:cs="Palatino Linotype"/>
          <w:i/>
          <w:sz w:val="22"/>
          <w:szCs w:val="22"/>
        </w:rPr>
      </w:pPr>
      <w:r w:rsidRPr="00D82002">
        <w:rPr>
          <w:rFonts w:ascii="Palatino Linotype" w:eastAsia="Palatino Linotype" w:hAnsi="Palatino Linotype" w:cs="Palatino Linotype"/>
          <w:i/>
          <w:sz w:val="22"/>
          <w:szCs w:val="22"/>
        </w:rPr>
        <w:t>XLV. Versión pública: Documento en el que se elimine, suprime o borra la información clasificada como reservada o confidencial para permitir su acceso.</w:t>
      </w:r>
    </w:p>
    <w:p w14:paraId="0428B161" w14:textId="77777777" w:rsidR="00DE7FC4" w:rsidRPr="00D82002" w:rsidRDefault="00EB2EDB">
      <w:pPr>
        <w:ind w:left="567" w:right="616"/>
        <w:jc w:val="both"/>
        <w:rPr>
          <w:rFonts w:ascii="Palatino Linotype" w:eastAsia="Palatino Linotype" w:hAnsi="Palatino Linotype" w:cs="Palatino Linotype"/>
          <w:i/>
          <w:sz w:val="22"/>
          <w:szCs w:val="22"/>
        </w:rPr>
      </w:pPr>
      <w:r w:rsidRPr="00D82002">
        <w:rPr>
          <w:rFonts w:ascii="Palatino Linotype" w:eastAsia="Palatino Linotype" w:hAnsi="Palatino Linotype" w:cs="Palatino Linotype"/>
          <w:i/>
          <w:sz w:val="22"/>
          <w:szCs w:val="22"/>
        </w:rPr>
        <w:t>[…]</w:t>
      </w:r>
    </w:p>
    <w:p w14:paraId="282994F4" w14:textId="77777777" w:rsidR="00DE7FC4" w:rsidRPr="00D82002" w:rsidRDefault="00EB2EDB">
      <w:pPr>
        <w:ind w:left="567" w:right="616"/>
        <w:jc w:val="both"/>
        <w:rPr>
          <w:rFonts w:ascii="Palatino Linotype" w:eastAsia="Palatino Linotype" w:hAnsi="Palatino Linotype" w:cs="Palatino Linotype"/>
          <w:i/>
          <w:sz w:val="22"/>
          <w:szCs w:val="22"/>
        </w:rPr>
      </w:pPr>
      <w:r w:rsidRPr="00D82002">
        <w:rPr>
          <w:rFonts w:ascii="Palatino Linotype" w:eastAsia="Palatino Linotype" w:hAnsi="Palatino Linotype" w:cs="Palatino Linotype"/>
          <w:b/>
          <w:i/>
          <w:sz w:val="22"/>
          <w:szCs w:val="22"/>
        </w:rPr>
        <w:t>Artículo 91.</w:t>
      </w:r>
      <w:r w:rsidRPr="00D82002">
        <w:rPr>
          <w:rFonts w:ascii="Palatino Linotype" w:eastAsia="Palatino Linotype" w:hAnsi="Palatino Linotype" w:cs="Palatino Linotype"/>
          <w:i/>
          <w:sz w:val="22"/>
          <w:szCs w:val="22"/>
        </w:rPr>
        <w:t xml:space="preserve"> El acceso a la información pública será restringido excepcionalmente, cuando ésta sea clasificada como reservada o confidencial.</w:t>
      </w:r>
    </w:p>
    <w:p w14:paraId="5E442FC0" w14:textId="77777777" w:rsidR="00DE7FC4" w:rsidRPr="00D82002" w:rsidRDefault="00EB2EDB">
      <w:pPr>
        <w:ind w:left="567" w:right="616"/>
        <w:jc w:val="both"/>
        <w:rPr>
          <w:rFonts w:ascii="Palatino Linotype" w:eastAsia="Palatino Linotype" w:hAnsi="Palatino Linotype" w:cs="Palatino Linotype"/>
          <w:i/>
          <w:sz w:val="22"/>
          <w:szCs w:val="22"/>
        </w:rPr>
      </w:pPr>
      <w:r w:rsidRPr="00D82002">
        <w:rPr>
          <w:rFonts w:ascii="Palatino Linotype" w:eastAsia="Palatino Linotype" w:hAnsi="Palatino Linotype" w:cs="Palatino Linotype"/>
          <w:b/>
          <w:i/>
          <w:sz w:val="22"/>
          <w:szCs w:val="22"/>
        </w:rPr>
        <w:t>Artículo 132.</w:t>
      </w:r>
      <w:r w:rsidRPr="00D82002">
        <w:rPr>
          <w:rFonts w:ascii="Palatino Linotype" w:eastAsia="Palatino Linotype" w:hAnsi="Palatino Linotype" w:cs="Palatino Linotype"/>
          <w:i/>
          <w:sz w:val="22"/>
          <w:szCs w:val="22"/>
        </w:rPr>
        <w:t xml:space="preserve"> La clasificación de la información se llevará a cabo en el momento en que:</w:t>
      </w:r>
    </w:p>
    <w:p w14:paraId="78E8D427" w14:textId="77777777" w:rsidR="00DE7FC4" w:rsidRPr="00D82002" w:rsidRDefault="00EB2EDB">
      <w:pPr>
        <w:tabs>
          <w:tab w:val="left" w:pos="1134"/>
        </w:tabs>
        <w:ind w:left="567" w:right="616"/>
        <w:jc w:val="both"/>
        <w:rPr>
          <w:rFonts w:ascii="Palatino Linotype" w:eastAsia="Palatino Linotype" w:hAnsi="Palatino Linotype" w:cs="Palatino Linotype"/>
          <w:i/>
          <w:sz w:val="22"/>
          <w:szCs w:val="22"/>
        </w:rPr>
      </w:pPr>
      <w:r w:rsidRPr="00D82002">
        <w:rPr>
          <w:rFonts w:ascii="Palatino Linotype" w:eastAsia="Palatino Linotype" w:hAnsi="Palatino Linotype" w:cs="Palatino Linotype"/>
          <w:i/>
          <w:sz w:val="22"/>
          <w:szCs w:val="22"/>
        </w:rPr>
        <w:t>I. Se reciba una solicitud de acceso a la información;</w:t>
      </w:r>
    </w:p>
    <w:p w14:paraId="171FE298" w14:textId="77777777" w:rsidR="00DE7FC4" w:rsidRPr="00D82002" w:rsidRDefault="00EB2EDB">
      <w:pPr>
        <w:tabs>
          <w:tab w:val="left" w:pos="1134"/>
        </w:tabs>
        <w:ind w:left="567" w:right="616"/>
        <w:jc w:val="both"/>
        <w:rPr>
          <w:rFonts w:ascii="Palatino Linotype" w:eastAsia="Palatino Linotype" w:hAnsi="Palatino Linotype" w:cs="Palatino Linotype"/>
          <w:i/>
          <w:sz w:val="22"/>
          <w:szCs w:val="22"/>
        </w:rPr>
      </w:pPr>
      <w:r w:rsidRPr="00D82002">
        <w:rPr>
          <w:rFonts w:ascii="Palatino Linotype" w:eastAsia="Palatino Linotype" w:hAnsi="Palatino Linotype" w:cs="Palatino Linotype"/>
          <w:i/>
          <w:sz w:val="22"/>
          <w:szCs w:val="22"/>
        </w:rPr>
        <w:t>II. Se determine mediante resolución de autoridad competente; o</w:t>
      </w:r>
    </w:p>
    <w:p w14:paraId="3D448F9A" w14:textId="77777777" w:rsidR="00DE7FC4" w:rsidRPr="00D82002" w:rsidRDefault="00EB2EDB">
      <w:pPr>
        <w:tabs>
          <w:tab w:val="left" w:pos="1134"/>
        </w:tabs>
        <w:ind w:left="567" w:right="616"/>
        <w:jc w:val="both"/>
        <w:rPr>
          <w:rFonts w:ascii="Palatino Linotype" w:eastAsia="Palatino Linotype" w:hAnsi="Palatino Linotype" w:cs="Palatino Linotype"/>
          <w:i/>
          <w:sz w:val="22"/>
          <w:szCs w:val="22"/>
        </w:rPr>
      </w:pPr>
      <w:r w:rsidRPr="00D82002">
        <w:rPr>
          <w:rFonts w:ascii="Palatino Linotype" w:eastAsia="Palatino Linotype" w:hAnsi="Palatino Linotype" w:cs="Palatino Linotype"/>
          <w:i/>
          <w:sz w:val="22"/>
          <w:szCs w:val="22"/>
        </w:rPr>
        <w:t>III. Se generen versiones públicas para dar cumplimiento a las obligaciones de transparencia previstas en esta Ley.</w:t>
      </w:r>
    </w:p>
    <w:p w14:paraId="0A45CB22" w14:textId="77777777" w:rsidR="00DE7FC4" w:rsidRPr="00D82002" w:rsidRDefault="00EB2EDB">
      <w:pPr>
        <w:ind w:left="567" w:right="616"/>
        <w:jc w:val="both"/>
        <w:rPr>
          <w:rFonts w:ascii="Palatino Linotype" w:eastAsia="Palatino Linotype" w:hAnsi="Palatino Linotype" w:cs="Palatino Linotype"/>
          <w:i/>
          <w:sz w:val="22"/>
          <w:szCs w:val="22"/>
        </w:rPr>
      </w:pPr>
      <w:r w:rsidRPr="00D82002">
        <w:rPr>
          <w:rFonts w:ascii="Palatino Linotype" w:eastAsia="Palatino Linotype" w:hAnsi="Palatino Linotype" w:cs="Palatino Linotype"/>
          <w:i/>
          <w:sz w:val="22"/>
          <w:szCs w:val="22"/>
        </w:rPr>
        <w:t>[…]</w:t>
      </w:r>
    </w:p>
    <w:p w14:paraId="328E9611" w14:textId="77777777" w:rsidR="00DE7FC4" w:rsidRPr="00D82002" w:rsidRDefault="00EB2EDB">
      <w:pPr>
        <w:ind w:left="567" w:right="616"/>
        <w:jc w:val="both"/>
        <w:rPr>
          <w:rFonts w:ascii="Palatino Linotype" w:eastAsia="Palatino Linotype" w:hAnsi="Palatino Linotype" w:cs="Palatino Linotype"/>
          <w:i/>
          <w:sz w:val="22"/>
          <w:szCs w:val="22"/>
        </w:rPr>
      </w:pPr>
      <w:r w:rsidRPr="00D82002">
        <w:rPr>
          <w:rFonts w:ascii="Palatino Linotype" w:eastAsia="Palatino Linotype" w:hAnsi="Palatino Linotype" w:cs="Palatino Linotype"/>
          <w:b/>
          <w:i/>
          <w:sz w:val="22"/>
          <w:szCs w:val="22"/>
        </w:rPr>
        <w:t>Artículo 143</w:t>
      </w:r>
      <w:r w:rsidRPr="00D82002">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14:paraId="231FE54A" w14:textId="77777777" w:rsidR="00DE7FC4" w:rsidRPr="00D82002" w:rsidRDefault="00EB2EDB">
      <w:pPr>
        <w:ind w:left="567" w:right="616"/>
        <w:jc w:val="both"/>
        <w:rPr>
          <w:rFonts w:ascii="Palatino Linotype" w:eastAsia="Palatino Linotype" w:hAnsi="Palatino Linotype" w:cs="Palatino Linotype"/>
          <w:i/>
          <w:sz w:val="22"/>
          <w:szCs w:val="22"/>
        </w:rPr>
      </w:pPr>
      <w:r w:rsidRPr="00D82002">
        <w:rPr>
          <w:rFonts w:ascii="Palatino Linotype" w:eastAsia="Palatino Linotype" w:hAnsi="Palatino Linotype" w:cs="Palatino Linotype"/>
          <w:i/>
          <w:sz w:val="22"/>
          <w:szCs w:val="22"/>
        </w:rPr>
        <w:t>I. Se refiera a la información privada y los datos personales concernientes a una persona física o jurídico colectiva identificada o identificable;</w:t>
      </w:r>
    </w:p>
    <w:p w14:paraId="19AC1CEE" w14:textId="77777777" w:rsidR="00DE7FC4" w:rsidRPr="00D82002" w:rsidRDefault="00EB2EDB">
      <w:pPr>
        <w:ind w:left="567" w:right="616"/>
        <w:jc w:val="both"/>
        <w:rPr>
          <w:rFonts w:ascii="Palatino Linotype" w:eastAsia="Palatino Linotype" w:hAnsi="Palatino Linotype" w:cs="Palatino Linotype"/>
          <w:i/>
          <w:sz w:val="22"/>
          <w:szCs w:val="22"/>
        </w:rPr>
      </w:pPr>
      <w:r w:rsidRPr="00D82002">
        <w:rPr>
          <w:rFonts w:ascii="Palatino Linotype" w:eastAsia="Palatino Linotype" w:hAnsi="Palatino Linotype" w:cs="Palatino Linotype"/>
          <w:i/>
          <w:sz w:val="22"/>
          <w:szCs w:val="22"/>
        </w:rPr>
        <w:t>II. Los secretos bancario, fiduciario, industrial, comercial, fiscal, bursátil y postal, cuya titularidad corresponda a particulares, sujetos de derecho internacional o a sujetos obligados cuando no involucren el ejercicio de recursos públicos; y</w:t>
      </w:r>
    </w:p>
    <w:p w14:paraId="7ADE9027" w14:textId="77777777" w:rsidR="00DE7FC4" w:rsidRPr="00D82002" w:rsidRDefault="00EB2EDB">
      <w:pPr>
        <w:ind w:left="567" w:right="616"/>
        <w:jc w:val="both"/>
        <w:rPr>
          <w:rFonts w:ascii="Palatino Linotype" w:eastAsia="Palatino Linotype" w:hAnsi="Palatino Linotype" w:cs="Palatino Linotype"/>
          <w:i/>
          <w:sz w:val="22"/>
          <w:szCs w:val="22"/>
        </w:rPr>
      </w:pPr>
      <w:r w:rsidRPr="00D82002">
        <w:rPr>
          <w:rFonts w:ascii="Palatino Linotype" w:eastAsia="Palatino Linotype" w:hAnsi="Palatino Linotype" w:cs="Palatino Linotype"/>
          <w:i/>
          <w:sz w:val="22"/>
          <w:szCs w:val="22"/>
        </w:rPr>
        <w:t>III. La que presenten los particulares a los sujetos obligados, de conformidad con lo dispuesto por las leyes o los tratados internacionales.</w:t>
      </w:r>
    </w:p>
    <w:p w14:paraId="474D2320" w14:textId="77777777" w:rsidR="00DE7FC4" w:rsidRPr="00D82002" w:rsidRDefault="00EB2EDB">
      <w:pPr>
        <w:ind w:left="567" w:right="616"/>
        <w:jc w:val="both"/>
        <w:rPr>
          <w:rFonts w:ascii="Palatino Linotype" w:eastAsia="Palatino Linotype" w:hAnsi="Palatino Linotype" w:cs="Palatino Linotype"/>
          <w:i/>
          <w:sz w:val="22"/>
          <w:szCs w:val="22"/>
        </w:rPr>
      </w:pPr>
      <w:r w:rsidRPr="00D82002">
        <w:rPr>
          <w:rFonts w:ascii="Palatino Linotype" w:eastAsia="Palatino Linotype" w:hAnsi="Palatino Linotype" w:cs="Palatino Linotype"/>
          <w:i/>
          <w:sz w:val="22"/>
          <w:szCs w:val="22"/>
        </w:rPr>
        <w:t>La información confidencial no estará sujeta a temporalidad alguna y sólo podrán tener acceso a ella los titulares de la misma, sus representantes y los servidores públicos facultados para ello.</w:t>
      </w:r>
    </w:p>
    <w:p w14:paraId="75495F4F" w14:textId="77777777" w:rsidR="00DE7FC4" w:rsidRPr="00D82002" w:rsidRDefault="00EB2EDB">
      <w:pPr>
        <w:ind w:left="567" w:right="616"/>
        <w:jc w:val="both"/>
        <w:rPr>
          <w:rFonts w:ascii="Palatino Linotype" w:eastAsia="Palatino Linotype" w:hAnsi="Palatino Linotype" w:cs="Palatino Linotype"/>
          <w:i/>
          <w:sz w:val="22"/>
          <w:szCs w:val="22"/>
        </w:rPr>
      </w:pPr>
      <w:r w:rsidRPr="00D82002">
        <w:rPr>
          <w:rFonts w:ascii="Palatino Linotype" w:eastAsia="Palatino Linotype" w:hAnsi="Palatino Linotype" w:cs="Palatino Linotype"/>
          <w:i/>
          <w:sz w:val="22"/>
          <w:szCs w:val="22"/>
        </w:rPr>
        <w:t>No se considerará confidencial la información que se encuentre en los registros públicos o en fuentes de acceso público, ni tampoco la que sea considerada por la presente ley como información pública.”</w:t>
      </w:r>
    </w:p>
    <w:p w14:paraId="1ADA4DFE" w14:textId="77777777" w:rsidR="00DE7FC4" w:rsidRPr="00D82002" w:rsidRDefault="00DE7FC4">
      <w:pPr>
        <w:ind w:left="567" w:right="616"/>
        <w:jc w:val="both"/>
        <w:rPr>
          <w:rFonts w:ascii="Palatino Linotype" w:eastAsia="Palatino Linotype" w:hAnsi="Palatino Linotype" w:cs="Palatino Linotype"/>
          <w:i/>
          <w:sz w:val="22"/>
          <w:szCs w:val="22"/>
        </w:rPr>
      </w:pPr>
    </w:p>
    <w:p w14:paraId="43EEB927" w14:textId="77777777" w:rsidR="00DE7FC4" w:rsidRPr="00D82002" w:rsidRDefault="00EB2EDB">
      <w:pPr>
        <w:spacing w:line="360" w:lineRule="auto"/>
        <w:jc w:val="both"/>
        <w:rPr>
          <w:rFonts w:ascii="Palatino Linotype" w:eastAsia="Palatino Linotype" w:hAnsi="Palatino Linotype" w:cs="Palatino Linotype"/>
          <w:sz w:val="22"/>
          <w:szCs w:val="22"/>
        </w:rPr>
      </w:pPr>
      <w:r w:rsidRPr="00D82002">
        <w:rPr>
          <w:rFonts w:ascii="Palatino Linotype" w:eastAsia="Palatino Linotype" w:hAnsi="Palatino Linotype" w:cs="Palatino Linotype"/>
          <w:sz w:val="22"/>
          <w:szCs w:val="22"/>
        </w:rPr>
        <w:t>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vigentes a la fecha de la solicitud de información,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3841E9A1" w14:textId="77777777" w:rsidR="00DE7FC4" w:rsidRPr="00D82002" w:rsidRDefault="00EB2EDB">
      <w:pPr>
        <w:spacing w:line="360" w:lineRule="auto"/>
        <w:ind w:right="50"/>
        <w:jc w:val="both"/>
        <w:rPr>
          <w:rFonts w:ascii="Palatino Linotype" w:eastAsia="Palatino Linotype" w:hAnsi="Palatino Linotype" w:cs="Palatino Linotype"/>
          <w:sz w:val="22"/>
          <w:szCs w:val="22"/>
        </w:rPr>
      </w:pPr>
      <w:r w:rsidRPr="00D82002">
        <w:rPr>
          <w:rFonts w:ascii="Palatino Linotype" w:eastAsia="Palatino Linotype" w:hAnsi="Palatino Linotype" w:cs="Palatino Linotype"/>
          <w:sz w:val="22"/>
          <w:szCs w:val="22"/>
        </w:rPr>
        <w:t xml:space="preserve"> </w:t>
      </w:r>
    </w:p>
    <w:p w14:paraId="53ACA4DF" w14:textId="77777777" w:rsidR="00DE7FC4" w:rsidRPr="00D82002" w:rsidRDefault="00EB2EDB">
      <w:pPr>
        <w:spacing w:line="360" w:lineRule="auto"/>
        <w:jc w:val="both"/>
        <w:rPr>
          <w:rFonts w:ascii="Palatino Linotype" w:eastAsia="Palatino Linotype" w:hAnsi="Palatino Linotype" w:cs="Palatino Linotype"/>
          <w:sz w:val="22"/>
          <w:szCs w:val="22"/>
        </w:rPr>
      </w:pPr>
      <w:r w:rsidRPr="00D82002">
        <w:rPr>
          <w:rFonts w:ascii="Palatino Linotype" w:eastAsia="Palatino Linotype" w:hAnsi="Palatino Linotype" w:cs="Palatino Linotype"/>
          <w:sz w:val="22"/>
          <w:szCs w:val="22"/>
        </w:rPr>
        <w:t>Por otro lado, es de destacar que los artículos Quincuagésimo, Quincuagésimo primero, Quincuagésimo segundo, de los Lineamientos Generales en Materia de Clasificación y Desclasificación de la Información, así como para la Elaboración de Versiones Públicas vigentes a la fecha de la solicitud señalan las formalidades que deberá llevar el acuerdo de clasificación que deberá emitir el Sujeto Obligado, siendo estas las siguientes:</w:t>
      </w:r>
    </w:p>
    <w:p w14:paraId="213DE19F" w14:textId="77777777" w:rsidR="00DE7FC4" w:rsidRPr="00D82002" w:rsidRDefault="00DE7FC4">
      <w:pPr>
        <w:spacing w:line="360" w:lineRule="auto"/>
        <w:jc w:val="both"/>
        <w:rPr>
          <w:rFonts w:ascii="Palatino Linotype" w:eastAsia="Palatino Linotype" w:hAnsi="Palatino Linotype" w:cs="Palatino Linotype"/>
          <w:sz w:val="22"/>
          <w:szCs w:val="22"/>
        </w:rPr>
      </w:pPr>
    </w:p>
    <w:p w14:paraId="5E0545BC" w14:textId="77777777" w:rsidR="00DE7FC4" w:rsidRPr="00D82002" w:rsidRDefault="00EB2EDB">
      <w:pPr>
        <w:ind w:left="567" w:right="616"/>
        <w:jc w:val="both"/>
        <w:rPr>
          <w:rFonts w:ascii="Palatino Linotype" w:eastAsia="Palatino Linotype" w:hAnsi="Palatino Linotype" w:cs="Palatino Linotype"/>
          <w:i/>
          <w:sz w:val="22"/>
          <w:szCs w:val="22"/>
        </w:rPr>
      </w:pPr>
      <w:r w:rsidRPr="00D82002">
        <w:rPr>
          <w:rFonts w:ascii="Palatino Linotype" w:eastAsia="Palatino Linotype" w:hAnsi="Palatino Linotype" w:cs="Palatino Linotype"/>
          <w:i/>
          <w:sz w:val="22"/>
          <w:szCs w:val="22"/>
        </w:rPr>
        <w:t xml:space="preserve"> “</w:t>
      </w:r>
      <w:r w:rsidRPr="00D82002">
        <w:rPr>
          <w:rFonts w:ascii="Palatino Linotype" w:eastAsia="Palatino Linotype" w:hAnsi="Palatino Linotype" w:cs="Palatino Linotype"/>
          <w:b/>
          <w:i/>
          <w:sz w:val="22"/>
          <w:szCs w:val="22"/>
        </w:rPr>
        <w:t>Quincuagésimo</w:t>
      </w:r>
      <w:r w:rsidRPr="00D82002">
        <w:rPr>
          <w:rFonts w:ascii="Palatino Linotype" w:eastAsia="Palatino Linotype" w:hAnsi="Palatino Linotype" w:cs="Palatino Linotype"/>
          <w:i/>
          <w:sz w:val="22"/>
          <w:szCs w:val="22"/>
        </w:rPr>
        <w:t xml:space="preserve">. 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 </w:t>
      </w:r>
    </w:p>
    <w:p w14:paraId="0B512740" w14:textId="77777777" w:rsidR="00DE7FC4" w:rsidRPr="00D82002" w:rsidRDefault="00EB2EDB">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D82002">
        <w:rPr>
          <w:rFonts w:ascii="Palatino Linotype" w:eastAsia="Palatino Linotype" w:hAnsi="Palatino Linotype" w:cs="Palatino Linotype"/>
          <w:b/>
          <w:i/>
          <w:sz w:val="22"/>
          <w:szCs w:val="22"/>
        </w:rPr>
        <w:t>Quincuagésimo primero.</w:t>
      </w:r>
      <w:r w:rsidRPr="00D82002">
        <w:rPr>
          <w:rFonts w:ascii="Palatino Linotype" w:eastAsia="Palatino Linotype" w:hAnsi="Palatino Linotype" w:cs="Palatino Linotype"/>
          <w:i/>
          <w:sz w:val="22"/>
          <w:szCs w:val="22"/>
        </w:rPr>
        <w:t xml:space="preserve"> Toda acta del Comité de Transparencia deberá contener: </w:t>
      </w:r>
    </w:p>
    <w:p w14:paraId="435B6F95" w14:textId="77777777" w:rsidR="00DE7FC4" w:rsidRPr="00D82002" w:rsidRDefault="00EB2EDB">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D82002">
        <w:rPr>
          <w:rFonts w:ascii="Palatino Linotype" w:eastAsia="Palatino Linotype" w:hAnsi="Palatino Linotype" w:cs="Palatino Linotype"/>
          <w:i/>
          <w:sz w:val="22"/>
          <w:szCs w:val="22"/>
        </w:rPr>
        <w:t xml:space="preserve">I. El número de sesión y fecha; </w:t>
      </w:r>
    </w:p>
    <w:p w14:paraId="25D47CD9" w14:textId="77777777" w:rsidR="00DE7FC4" w:rsidRPr="00D82002" w:rsidRDefault="00EB2EDB">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D82002">
        <w:rPr>
          <w:rFonts w:ascii="Palatino Linotype" w:eastAsia="Palatino Linotype" w:hAnsi="Palatino Linotype" w:cs="Palatino Linotype"/>
          <w:i/>
          <w:sz w:val="22"/>
          <w:szCs w:val="22"/>
        </w:rPr>
        <w:t xml:space="preserve">II. El nombre del área que solicitó la clasificación de información; </w:t>
      </w:r>
    </w:p>
    <w:p w14:paraId="63C662E0" w14:textId="77777777" w:rsidR="00DE7FC4" w:rsidRPr="00D82002" w:rsidRDefault="00EB2EDB">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D82002">
        <w:rPr>
          <w:rFonts w:ascii="Palatino Linotype" w:eastAsia="Palatino Linotype" w:hAnsi="Palatino Linotype" w:cs="Palatino Linotype"/>
          <w:i/>
          <w:sz w:val="22"/>
          <w:szCs w:val="22"/>
        </w:rPr>
        <w:t xml:space="preserve">III. La fundamentación legal y motivación correspondiente; </w:t>
      </w:r>
    </w:p>
    <w:p w14:paraId="4CCC279B" w14:textId="77777777" w:rsidR="00DE7FC4" w:rsidRPr="00D82002" w:rsidRDefault="00EB2EDB">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D82002">
        <w:rPr>
          <w:rFonts w:ascii="Palatino Linotype" w:eastAsia="Palatino Linotype" w:hAnsi="Palatino Linotype" w:cs="Palatino Linotype"/>
          <w:i/>
          <w:sz w:val="22"/>
          <w:szCs w:val="22"/>
        </w:rPr>
        <w:t xml:space="preserve">IV. La resolución o resoluciones aprobadas; y </w:t>
      </w:r>
    </w:p>
    <w:p w14:paraId="4F18454B" w14:textId="77777777" w:rsidR="00DE7FC4" w:rsidRPr="00D82002" w:rsidRDefault="00EB2EDB">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D82002">
        <w:rPr>
          <w:rFonts w:ascii="Palatino Linotype" w:eastAsia="Palatino Linotype" w:hAnsi="Palatino Linotype" w:cs="Palatino Linotype"/>
          <w:i/>
          <w:sz w:val="22"/>
          <w:szCs w:val="22"/>
        </w:rPr>
        <w:t xml:space="preserve">V. La rúbrica o firma digital de cada integrante del Comité de Transparencia. </w:t>
      </w:r>
    </w:p>
    <w:p w14:paraId="71271BDE" w14:textId="77777777" w:rsidR="00DE7FC4" w:rsidRPr="00D82002" w:rsidRDefault="00EB2EDB">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D82002">
        <w:rPr>
          <w:rFonts w:ascii="Palatino Linotype" w:eastAsia="Palatino Linotype" w:hAnsi="Palatino Linotype" w:cs="Palatino Linotype"/>
          <w:i/>
          <w:sz w:val="22"/>
          <w:szCs w:val="22"/>
        </w:rPr>
        <w:t xml:space="preserve">Las resoluciones del Comité en las que se haya determinado confirmar o modificar la clasificación de información pública como reservada, deberán incluir, cuando menos: </w:t>
      </w:r>
    </w:p>
    <w:p w14:paraId="04651AC0" w14:textId="77777777" w:rsidR="00DE7FC4" w:rsidRPr="00D82002" w:rsidRDefault="00EB2EDB">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D82002">
        <w:rPr>
          <w:rFonts w:ascii="Palatino Linotype" w:eastAsia="Palatino Linotype" w:hAnsi="Palatino Linotype" w:cs="Palatino Linotype"/>
          <w:i/>
          <w:sz w:val="22"/>
          <w:szCs w:val="22"/>
        </w:rPr>
        <w:t>I. Los motivos y razonamientos que sustenten la confirmación o modificación de la prueba de daño;</w:t>
      </w:r>
    </w:p>
    <w:p w14:paraId="35BFD80C" w14:textId="77777777" w:rsidR="00DE7FC4" w:rsidRPr="00D82002" w:rsidRDefault="00EB2EDB">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D82002">
        <w:rPr>
          <w:rFonts w:ascii="Palatino Linotype" w:eastAsia="Palatino Linotype" w:hAnsi="Palatino Linotype" w:cs="Palatino Linotype"/>
          <w:i/>
          <w:sz w:val="22"/>
          <w:szCs w:val="22"/>
        </w:rPr>
        <w:t xml:space="preserve">II. Descripción de las partes o secciones reservadas, en caso de clasificación parcial; </w:t>
      </w:r>
    </w:p>
    <w:p w14:paraId="1BD002DA" w14:textId="77777777" w:rsidR="00DE7FC4" w:rsidRPr="00D82002" w:rsidRDefault="00EB2EDB">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D82002">
        <w:rPr>
          <w:rFonts w:ascii="Palatino Linotype" w:eastAsia="Palatino Linotype" w:hAnsi="Palatino Linotype" w:cs="Palatino Linotype"/>
          <w:i/>
          <w:sz w:val="22"/>
          <w:szCs w:val="22"/>
        </w:rPr>
        <w:t xml:space="preserve">III. El periodo por el que mantendrá su clasificación y fecha de expiración; y </w:t>
      </w:r>
    </w:p>
    <w:p w14:paraId="160A2B68" w14:textId="77777777" w:rsidR="00DE7FC4" w:rsidRPr="00D82002" w:rsidRDefault="00EB2EDB">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D82002">
        <w:rPr>
          <w:rFonts w:ascii="Palatino Linotype" w:eastAsia="Palatino Linotype" w:hAnsi="Palatino Linotype" w:cs="Palatino Linotype"/>
          <w:i/>
          <w:sz w:val="22"/>
          <w:szCs w:val="22"/>
        </w:rPr>
        <w:t xml:space="preserve">IV. El nombre del titular y área encargada de realizar la versión pública del documento, en su caso. </w:t>
      </w:r>
    </w:p>
    <w:p w14:paraId="1F2FEFD4" w14:textId="77777777" w:rsidR="00DE7FC4" w:rsidRPr="00D82002" w:rsidRDefault="00EB2EDB">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D82002">
        <w:rPr>
          <w:rFonts w:ascii="Palatino Linotype" w:eastAsia="Palatino Linotype" w:hAnsi="Palatino Linotype" w:cs="Palatino Linotype"/>
          <w:i/>
          <w:sz w:val="22"/>
          <w:szCs w:val="22"/>
        </w:rPr>
        <w:t xml:space="preserve">En los casos en que se clasifique la información como reservada siempre se entregará o anexará la prueba de daño con la respuesta al solicitante. </w:t>
      </w:r>
    </w:p>
    <w:p w14:paraId="0D105097" w14:textId="77777777" w:rsidR="00DE7FC4" w:rsidRPr="00D82002" w:rsidRDefault="00EB2EDB">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D82002">
        <w:rPr>
          <w:rFonts w:ascii="Palatino Linotype" w:eastAsia="Palatino Linotype" w:hAnsi="Palatino Linotype" w:cs="Palatino Linotype"/>
          <w:i/>
          <w:sz w:val="22"/>
          <w:szCs w:val="22"/>
        </w:rPr>
        <w:t>En los casos de resoluciones del Comité de Transparencia en las que se confirme la clasificación de información confidencial solo se deberán de identificar los tipos de datos protegidos, de conformidad con el lineamiento trigésimo octavo.</w:t>
      </w:r>
    </w:p>
    <w:p w14:paraId="45F069A7" w14:textId="77777777" w:rsidR="00DE7FC4" w:rsidRPr="00D82002" w:rsidRDefault="00EB2EDB">
      <w:pPr>
        <w:ind w:left="567" w:right="616"/>
        <w:jc w:val="both"/>
        <w:rPr>
          <w:rFonts w:ascii="Palatino Linotype" w:eastAsia="Palatino Linotype" w:hAnsi="Palatino Linotype" w:cs="Palatino Linotype"/>
          <w:i/>
          <w:sz w:val="22"/>
          <w:szCs w:val="22"/>
        </w:rPr>
      </w:pPr>
      <w:r w:rsidRPr="00D82002">
        <w:rPr>
          <w:rFonts w:ascii="Palatino Linotype" w:eastAsia="Palatino Linotype" w:hAnsi="Palatino Linotype" w:cs="Palatino Linotype"/>
          <w:b/>
          <w:i/>
          <w:sz w:val="22"/>
          <w:szCs w:val="22"/>
        </w:rPr>
        <w:t>Quincuagésimo segundo.</w:t>
      </w:r>
      <w:r w:rsidRPr="00D82002">
        <w:rPr>
          <w:rFonts w:ascii="Palatino Linotype" w:eastAsia="Palatino Linotype" w:hAnsi="Palatino Linotype" w:cs="Palatino Linotype"/>
          <w:i/>
          <w:sz w:val="22"/>
          <w:szCs w:val="22"/>
        </w:rPr>
        <w:t xml:space="preserve">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14:paraId="3311F95F" w14:textId="77777777" w:rsidR="00DE7FC4" w:rsidRPr="00D82002" w:rsidRDefault="00EB2EDB">
      <w:pPr>
        <w:ind w:left="567" w:right="616"/>
        <w:jc w:val="both"/>
        <w:rPr>
          <w:rFonts w:ascii="Palatino Linotype" w:eastAsia="Palatino Linotype" w:hAnsi="Palatino Linotype" w:cs="Palatino Linotype"/>
          <w:i/>
          <w:sz w:val="22"/>
          <w:szCs w:val="22"/>
        </w:rPr>
      </w:pPr>
      <w:r w:rsidRPr="00D82002">
        <w:rPr>
          <w:rFonts w:ascii="Palatino Linotype" w:eastAsia="Palatino Linotype" w:hAnsi="Palatino Linotype" w:cs="Palatino Linotype"/>
          <w:i/>
          <w:sz w:val="22"/>
          <w:szCs w:val="22"/>
        </w:rPr>
        <w:t xml:space="preserve">En el caso específico de la clasificación y elaboración de versiones públicas de documentos que contengan información confidencial, las áreas de los sujetos obligados deberán: </w:t>
      </w:r>
    </w:p>
    <w:p w14:paraId="539872D9" w14:textId="77777777" w:rsidR="00DE7FC4" w:rsidRPr="00D82002" w:rsidRDefault="00EB2EDB">
      <w:pPr>
        <w:ind w:left="567" w:right="616"/>
        <w:jc w:val="both"/>
        <w:rPr>
          <w:rFonts w:ascii="Palatino Linotype" w:eastAsia="Palatino Linotype" w:hAnsi="Palatino Linotype" w:cs="Palatino Linotype"/>
          <w:i/>
          <w:sz w:val="22"/>
          <w:szCs w:val="22"/>
        </w:rPr>
      </w:pPr>
      <w:r w:rsidRPr="00D82002">
        <w:rPr>
          <w:rFonts w:ascii="Palatino Linotype" w:eastAsia="Palatino Linotype" w:hAnsi="Palatino Linotype" w:cs="Palatino Linotype"/>
          <w:i/>
          <w:sz w:val="22"/>
          <w:szCs w:val="22"/>
        </w:rPr>
        <w:t>I. Fijar la fecha en que se elaboró la versión pública y la fecha en la cual el Comité de Transparencia confirmó dicha versión;</w:t>
      </w:r>
    </w:p>
    <w:p w14:paraId="1A7AD7A9" w14:textId="77777777" w:rsidR="00DE7FC4" w:rsidRPr="00D82002" w:rsidRDefault="00EB2EDB">
      <w:pPr>
        <w:ind w:left="567" w:right="616"/>
        <w:jc w:val="both"/>
        <w:rPr>
          <w:rFonts w:ascii="Palatino Linotype" w:eastAsia="Palatino Linotype" w:hAnsi="Palatino Linotype" w:cs="Palatino Linotype"/>
          <w:i/>
          <w:sz w:val="22"/>
          <w:szCs w:val="22"/>
        </w:rPr>
      </w:pPr>
      <w:r w:rsidRPr="00D82002">
        <w:rPr>
          <w:rFonts w:ascii="Palatino Linotype" w:eastAsia="Palatino Linotype" w:hAnsi="Palatino Linotype" w:cs="Palatino Linotype"/>
          <w:i/>
          <w:sz w:val="22"/>
          <w:szCs w:val="22"/>
        </w:rPr>
        <w:t>II. Señalar dentro del documento el tipo de información confidencial que fue testada en cada caso específico, de conformidad con el lineamiento trigésimo octavo; y</w:t>
      </w:r>
    </w:p>
    <w:p w14:paraId="75B0264A" w14:textId="77777777" w:rsidR="00DE7FC4" w:rsidRPr="00D82002" w:rsidRDefault="00EB2EDB">
      <w:pPr>
        <w:ind w:left="567" w:right="616"/>
        <w:jc w:val="both"/>
        <w:rPr>
          <w:rFonts w:ascii="Palatino Linotype" w:eastAsia="Palatino Linotype" w:hAnsi="Palatino Linotype" w:cs="Palatino Linotype"/>
          <w:i/>
          <w:sz w:val="22"/>
          <w:szCs w:val="22"/>
        </w:rPr>
      </w:pPr>
      <w:r w:rsidRPr="00D82002">
        <w:rPr>
          <w:rFonts w:ascii="Palatino Linotype" w:eastAsia="Palatino Linotype" w:hAnsi="Palatino Linotype" w:cs="Palatino Linotype"/>
          <w:i/>
          <w:sz w:val="22"/>
          <w:szCs w:val="22"/>
        </w:rPr>
        <w:t>III. Señalar las personas o instancias autorizadas a acceder a la información clasificada.</w:t>
      </w:r>
    </w:p>
    <w:p w14:paraId="01B9D20F" w14:textId="77777777" w:rsidR="00DE7FC4" w:rsidRPr="00D82002" w:rsidRDefault="00EB2EDB">
      <w:pPr>
        <w:ind w:left="567" w:right="616"/>
        <w:jc w:val="both"/>
        <w:rPr>
          <w:rFonts w:ascii="Palatino Linotype" w:eastAsia="Palatino Linotype" w:hAnsi="Palatino Linotype" w:cs="Palatino Linotype"/>
          <w:i/>
          <w:sz w:val="22"/>
          <w:szCs w:val="22"/>
        </w:rPr>
      </w:pPr>
      <w:r w:rsidRPr="00D82002">
        <w:rPr>
          <w:rFonts w:ascii="Palatino Linotype" w:eastAsia="Palatino Linotype" w:hAnsi="Palatino Linotype" w:cs="Palatino Linotype"/>
          <w:i/>
          <w:sz w:val="22"/>
          <w:szCs w:val="22"/>
        </w:rPr>
        <w:t>En los documentos de difusión electrónica, señalar en la primera hoja y en el nombre del archivo, que la versión pública corresponde a un documento que contiene información confidencial.”</w:t>
      </w:r>
    </w:p>
    <w:p w14:paraId="50BC2F96" w14:textId="77777777" w:rsidR="00DE7FC4" w:rsidRPr="00D82002" w:rsidRDefault="00DE7FC4">
      <w:pPr>
        <w:spacing w:line="360" w:lineRule="auto"/>
        <w:jc w:val="both"/>
        <w:rPr>
          <w:rFonts w:ascii="Palatino Linotype" w:eastAsia="Palatino Linotype" w:hAnsi="Palatino Linotype" w:cs="Palatino Linotype"/>
          <w:sz w:val="22"/>
          <w:szCs w:val="22"/>
        </w:rPr>
      </w:pPr>
    </w:p>
    <w:p w14:paraId="5E7A78CA" w14:textId="77777777" w:rsidR="00DE7FC4" w:rsidRPr="00D82002" w:rsidRDefault="00EB2EDB">
      <w:pPr>
        <w:spacing w:line="360" w:lineRule="auto"/>
        <w:jc w:val="both"/>
        <w:rPr>
          <w:rFonts w:ascii="Palatino Linotype" w:eastAsia="Palatino Linotype" w:hAnsi="Palatino Linotype" w:cs="Palatino Linotype"/>
          <w:sz w:val="22"/>
          <w:szCs w:val="22"/>
        </w:rPr>
      </w:pPr>
      <w:r w:rsidRPr="00D82002">
        <w:rPr>
          <w:rFonts w:ascii="Palatino Linotype" w:eastAsia="Palatino Linotype" w:hAnsi="Palatino Linotype" w:cs="Palatino Linotype"/>
          <w:sz w:val="22"/>
          <w:szCs w:val="22"/>
        </w:rPr>
        <w:t>De igual forma, deberá observar los Lineamientos Quincuagésimo cuarto, Quincuagésimo quinto, Quincuagésimo séptimo y Quincuagésimo octavo, vigentes a la fecha de la solicitud de información establecen lo siguiente:</w:t>
      </w:r>
    </w:p>
    <w:p w14:paraId="1B78D26C" w14:textId="77777777" w:rsidR="00DE7FC4" w:rsidRPr="00D82002" w:rsidRDefault="00DE7FC4">
      <w:pPr>
        <w:spacing w:line="360" w:lineRule="auto"/>
        <w:jc w:val="both"/>
        <w:rPr>
          <w:rFonts w:ascii="Palatino Linotype" w:eastAsia="Palatino Linotype" w:hAnsi="Palatino Linotype" w:cs="Palatino Linotype"/>
          <w:sz w:val="22"/>
          <w:szCs w:val="22"/>
        </w:rPr>
      </w:pPr>
    </w:p>
    <w:p w14:paraId="052D4870" w14:textId="77777777" w:rsidR="00DE7FC4" w:rsidRPr="00D82002" w:rsidRDefault="00EB2EDB">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D82002">
        <w:rPr>
          <w:rFonts w:ascii="Palatino Linotype" w:eastAsia="Palatino Linotype" w:hAnsi="Palatino Linotype" w:cs="Palatino Linotype"/>
          <w:i/>
          <w:sz w:val="22"/>
          <w:szCs w:val="22"/>
        </w:rPr>
        <w:t>“</w:t>
      </w:r>
      <w:r w:rsidRPr="00D82002">
        <w:rPr>
          <w:rFonts w:ascii="Palatino Linotype" w:eastAsia="Palatino Linotype" w:hAnsi="Palatino Linotype" w:cs="Palatino Linotype"/>
          <w:b/>
          <w:i/>
          <w:sz w:val="22"/>
          <w:szCs w:val="22"/>
        </w:rPr>
        <w:t>Quincuagésimo cuarto.</w:t>
      </w:r>
      <w:r w:rsidRPr="00D82002">
        <w:rPr>
          <w:rFonts w:ascii="Palatino Linotype" w:eastAsia="Palatino Linotype" w:hAnsi="Palatino Linotype" w:cs="Palatino Linotype"/>
          <w:i/>
          <w:sz w:val="22"/>
          <w:szCs w:val="22"/>
        </w:rPr>
        <w:t xml:space="preserve"> 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 </w:t>
      </w:r>
    </w:p>
    <w:p w14:paraId="3540A3F0" w14:textId="77777777" w:rsidR="00DE7FC4" w:rsidRPr="00D82002" w:rsidRDefault="00EB2EDB">
      <w:pPr>
        <w:ind w:left="567" w:right="616"/>
        <w:jc w:val="both"/>
        <w:rPr>
          <w:rFonts w:ascii="Palatino Linotype" w:eastAsia="Palatino Linotype" w:hAnsi="Palatino Linotype" w:cs="Palatino Linotype"/>
          <w:i/>
          <w:sz w:val="22"/>
          <w:szCs w:val="22"/>
        </w:rPr>
      </w:pPr>
      <w:r w:rsidRPr="00D82002">
        <w:rPr>
          <w:rFonts w:ascii="Palatino Linotype" w:eastAsia="Palatino Linotype" w:hAnsi="Palatino Linotype" w:cs="Palatino Linotype"/>
          <w:b/>
          <w:i/>
          <w:sz w:val="22"/>
          <w:szCs w:val="22"/>
        </w:rPr>
        <w:t>Quincuagésimo quinto.</w:t>
      </w:r>
      <w:r w:rsidRPr="00D82002">
        <w:rPr>
          <w:rFonts w:ascii="Palatino Linotype" w:eastAsia="Palatino Linotype" w:hAnsi="Palatino Linotype" w:cs="Palatino Linotype"/>
          <w:i/>
          <w:sz w:val="22"/>
          <w:szCs w:val="22"/>
        </w:rPr>
        <w:t xml:space="preserve"> Cada área del sujeto obligado podrá designar formalmente a una o más personas como responsables del </w:t>
      </w:r>
      <w:proofErr w:type="spellStart"/>
      <w:r w:rsidRPr="00D82002">
        <w:rPr>
          <w:rFonts w:ascii="Palatino Linotype" w:eastAsia="Palatino Linotype" w:hAnsi="Palatino Linotype" w:cs="Palatino Linotype"/>
          <w:i/>
          <w:sz w:val="22"/>
          <w:szCs w:val="22"/>
        </w:rPr>
        <w:t>testado</w:t>
      </w:r>
      <w:proofErr w:type="spellEnd"/>
      <w:r w:rsidRPr="00D82002">
        <w:rPr>
          <w:rFonts w:ascii="Palatino Linotype" w:eastAsia="Palatino Linotype" w:hAnsi="Palatino Linotype" w:cs="Palatino Linotype"/>
          <w:i/>
          <w:sz w:val="22"/>
          <w:szCs w:val="22"/>
        </w:rPr>
        <w:t>,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w:t>
      </w:r>
    </w:p>
    <w:p w14:paraId="0BDE1152" w14:textId="77777777" w:rsidR="00DE7FC4" w:rsidRPr="00D82002" w:rsidRDefault="00EB2EDB">
      <w:pPr>
        <w:ind w:left="567" w:right="616"/>
        <w:jc w:val="both"/>
        <w:rPr>
          <w:rFonts w:ascii="Palatino Linotype" w:eastAsia="Palatino Linotype" w:hAnsi="Palatino Linotype" w:cs="Palatino Linotype"/>
          <w:i/>
          <w:sz w:val="22"/>
          <w:szCs w:val="22"/>
        </w:rPr>
      </w:pPr>
      <w:r w:rsidRPr="00D82002">
        <w:rPr>
          <w:rFonts w:ascii="Palatino Linotype" w:eastAsia="Palatino Linotype" w:hAnsi="Palatino Linotype" w:cs="Palatino Linotype"/>
          <w:i/>
          <w:sz w:val="22"/>
          <w:szCs w:val="22"/>
        </w:rPr>
        <w:t>...</w:t>
      </w:r>
    </w:p>
    <w:p w14:paraId="614B362D" w14:textId="77777777" w:rsidR="00DE7FC4" w:rsidRPr="00D82002" w:rsidRDefault="00EB2EDB">
      <w:pPr>
        <w:ind w:left="567" w:right="616"/>
        <w:jc w:val="both"/>
        <w:rPr>
          <w:rFonts w:ascii="Palatino Linotype" w:eastAsia="Palatino Linotype" w:hAnsi="Palatino Linotype" w:cs="Palatino Linotype"/>
          <w:i/>
          <w:sz w:val="22"/>
          <w:szCs w:val="22"/>
        </w:rPr>
      </w:pPr>
      <w:r w:rsidRPr="00D82002">
        <w:rPr>
          <w:rFonts w:ascii="Palatino Linotype" w:eastAsia="Palatino Linotype" w:hAnsi="Palatino Linotype" w:cs="Palatino Linotype"/>
          <w:b/>
          <w:i/>
          <w:sz w:val="22"/>
          <w:szCs w:val="22"/>
        </w:rPr>
        <w:t>Quincuagésimo séptimo.</w:t>
      </w:r>
      <w:r w:rsidRPr="00D82002">
        <w:rPr>
          <w:rFonts w:ascii="Palatino Linotype" w:eastAsia="Palatino Linotype" w:hAnsi="Palatino Linotype" w:cs="Palatino Linotype"/>
          <w:i/>
          <w:sz w:val="22"/>
          <w:szCs w:val="22"/>
        </w:rPr>
        <w:t xml:space="preserve"> Se considera, en principio, como información pública y no podrá omitirse de las versiones públicas la siguiente: </w:t>
      </w:r>
    </w:p>
    <w:p w14:paraId="1D6A4FD1" w14:textId="77777777" w:rsidR="00DE7FC4" w:rsidRPr="00D82002" w:rsidRDefault="00EB2EDB">
      <w:pPr>
        <w:ind w:left="567" w:right="616"/>
        <w:jc w:val="both"/>
        <w:rPr>
          <w:rFonts w:ascii="Palatino Linotype" w:eastAsia="Palatino Linotype" w:hAnsi="Palatino Linotype" w:cs="Palatino Linotype"/>
          <w:i/>
          <w:sz w:val="22"/>
          <w:szCs w:val="22"/>
        </w:rPr>
      </w:pPr>
      <w:r w:rsidRPr="00D82002">
        <w:rPr>
          <w:rFonts w:ascii="Palatino Linotype" w:eastAsia="Palatino Linotype" w:hAnsi="Palatino Linotype" w:cs="Palatino Linotype"/>
          <w:i/>
          <w:sz w:val="22"/>
          <w:szCs w:val="22"/>
        </w:rPr>
        <w:t xml:space="preserve">I. La relativa a las Obligaciones de Transparencia que contempla el Título V de la Ley General y las demás disposiciones legales aplicables; </w:t>
      </w:r>
    </w:p>
    <w:p w14:paraId="1284B4E2" w14:textId="77777777" w:rsidR="00DE7FC4" w:rsidRPr="00D82002" w:rsidRDefault="00EB2EDB">
      <w:pPr>
        <w:ind w:left="567" w:right="616"/>
        <w:jc w:val="both"/>
        <w:rPr>
          <w:rFonts w:ascii="Palatino Linotype" w:eastAsia="Palatino Linotype" w:hAnsi="Palatino Linotype" w:cs="Palatino Linotype"/>
          <w:i/>
          <w:sz w:val="22"/>
          <w:szCs w:val="22"/>
        </w:rPr>
      </w:pPr>
      <w:r w:rsidRPr="00D82002">
        <w:rPr>
          <w:rFonts w:ascii="Palatino Linotype" w:eastAsia="Palatino Linotype" w:hAnsi="Palatino Linotype" w:cs="Palatino Linotype"/>
          <w:i/>
          <w:sz w:val="22"/>
          <w:szCs w:val="22"/>
        </w:rPr>
        <w:t>II. El nombre de los integrantes de los sujetos obligados en los documentos, y sus firmas autógrafas o digitales, cuando sean utilizados en el ejercicio de las facultades conferidas para el desempeño del servicio público, y</w:t>
      </w:r>
    </w:p>
    <w:p w14:paraId="081BFF2C" w14:textId="77777777" w:rsidR="00DE7FC4" w:rsidRPr="00D82002" w:rsidRDefault="00EB2EDB">
      <w:pPr>
        <w:ind w:left="567" w:right="616"/>
        <w:jc w:val="both"/>
        <w:rPr>
          <w:rFonts w:ascii="Palatino Linotype" w:eastAsia="Palatino Linotype" w:hAnsi="Palatino Linotype" w:cs="Palatino Linotype"/>
          <w:i/>
          <w:sz w:val="22"/>
          <w:szCs w:val="22"/>
        </w:rPr>
      </w:pPr>
      <w:r w:rsidRPr="00D82002">
        <w:rPr>
          <w:rFonts w:ascii="Palatino Linotype" w:eastAsia="Palatino Linotype" w:hAnsi="Palatino Linotype" w:cs="Palatino Linotype"/>
          <w:i/>
          <w:sz w:val="22"/>
          <w:szCs w:val="22"/>
        </w:rPr>
        <w:t xml:space="preserve">III. La información que documente decisiones y los actos de autoridad concluidos de los sujetos obligados, así como el ejercicio de las facultades o actividades de los servidores públicos, de manera que se pueda valorar el desempeño de los mismos. </w:t>
      </w:r>
    </w:p>
    <w:p w14:paraId="3518EFE2" w14:textId="77777777" w:rsidR="00DE7FC4" w:rsidRPr="00D82002" w:rsidRDefault="00EB2EDB">
      <w:pPr>
        <w:ind w:left="567" w:right="616"/>
        <w:jc w:val="both"/>
        <w:rPr>
          <w:rFonts w:ascii="Palatino Linotype" w:eastAsia="Palatino Linotype" w:hAnsi="Palatino Linotype" w:cs="Palatino Linotype"/>
          <w:i/>
          <w:sz w:val="22"/>
          <w:szCs w:val="22"/>
        </w:rPr>
      </w:pPr>
      <w:r w:rsidRPr="00D82002">
        <w:rPr>
          <w:rFonts w:ascii="Palatino Linotype" w:eastAsia="Palatino Linotype" w:hAnsi="Palatino Linotype" w:cs="Palatino Linotype"/>
          <w:i/>
          <w:sz w:val="22"/>
          <w:szCs w:val="22"/>
        </w:rPr>
        <w:t xml:space="preserve">Lo anterior, siempre y cuando no se acredite alguna causal de clasificación, prevista en las leyes o en los tratados internacionales suscritas por el Estado mexicano.  </w:t>
      </w:r>
    </w:p>
    <w:p w14:paraId="18B79416" w14:textId="77777777" w:rsidR="00DE7FC4" w:rsidRPr="00D82002" w:rsidRDefault="00EB2EDB">
      <w:pPr>
        <w:ind w:left="567" w:right="616"/>
        <w:jc w:val="both"/>
        <w:rPr>
          <w:rFonts w:ascii="Palatino Linotype" w:eastAsia="Palatino Linotype" w:hAnsi="Palatino Linotype" w:cs="Palatino Linotype"/>
          <w:i/>
          <w:sz w:val="22"/>
          <w:szCs w:val="22"/>
        </w:rPr>
      </w:pPr>
      <w:r w:rsidRPr="00D82002">
        <w:rPr>
          <w:rFonts w:ascii="Palatino Linotype" w:eastAsia="Palatino Linotype" w:hAnsi="Palatino Linotype" w:cs="Palatino Linotype"/>
          <w:i/>
          <w:sz w:val="22"/>
          <w:szCs w:val="22"/>
        </w:rPr>
        <w:t>Quincuagésimo octavo. Los sujetos obligados garantizarán que los sistemas o medios empleados para eliminar la información en las versiones públicas sean irreversibles, de tal forma que no permitan su recuperación o la visualización de la misma.”</w:t>
      </w:r>
    </w:p>
    <w:p w14:paraId="55B8C172" w14:textId="77777777" w:rsidR="00DE7FC4" w:rsidRPr="00D82002" w:rsidRDefault="00DE7FC4">
      <w:pPr>
        <w:spacing w:line="360" w:lineRule="auto"/>
        <w:ind w:left="567" w:right="616"/>
        <w:jc w:val="both"/>
        <w:rPr>
          <w:rFonts w:ascii="Palatino Linotype" w:eastAsia="Palatino Linotype" w:hAnsi="Palatino Linotype" w:cs="Palatino Linotype"/>
          <w:i/>
          <w:sz w:val="22"/>
          <w:szCs w:val="22"/>
        </w:rPr>
      </w:pPr>
    </w:p>
    <w:p w14:paraId="2BE207C2" w14:textId="77777777" w:rsidR="00DE7FC4" w:rsidRPr="00D82002" w:rsidRDefault="00EB2EDB">
      <w:pPr>
        <w:spacing w:line="360" w:lineRule="auto"/>
        <w:jc w:val="both"/>
        <w:rPr>
          <w:rFonts w:ascii="Palatino Linotype" w:eastAsia="Palatino Linotype" w:hAnsi="Palatino Linotype" w:cs="Palatino Linotype"/>
          <w:sz w:val="22"/>
          <w:szCs w:val="22"/>
        </w:rPr>
      </w:pPr>
      <w:r w:rsidRPr="00D82002">
        <w:rPr>
          <w:rFonts w:ascii="Palatino Linotype" w:eastAsia="Palatino Linotype" w:hAnsi="Palatino Linotype" w:cs="Palatino Linotype"/>
          <w:sz w:val="22"/>
          <w:szCs w:val="22"/>
        </w:rPr>
        <w:t>Es entonces que, la entrega de documentos en su versión pública debe acompañarse necesariamente del Acuerdo del Comité de Transparencia que la sustente, el cual debe estar debidamente fundado y motivado y, deberá exponer los fundamentos y razonamientos que llevaron al Sujeto Obligado a testar, suprimir o eliminar datos de dicho soporte documental, ya que de no hacerlo,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 qué no aparecen en la documentación respectiva.</w:t>
      </w:r>
    </w:p>
    <w:p w14:paraId="1950730C" w14:textId="6A893BA7" w:rsidR="00DE7FC4" w:rsidRPr="00D82002" w:rsidRDefault="00EB2EDB">
      <w:pPr>
        <w:spacing w:before="240" w:after="240" w:line="360" w:lineRule="auto"/>
        <w:jc w:val="both"/>
        <w:rPr>
          <w:rFonts w:ascii="Palatino Linotype" w:eastAsia="Palatino Linotype" w:hAnsi="Palatino Linotype" w:cs="Palatino Linotype"/>
          <w:sz w:val="22"/>
          <w:szCs w:val="22"/>
        </w:rPr>
      </w:pPr>
      <w:r w:rsidRPr="00D82002">
        <w:rPr>
          <w:rFonts w:ascii="Palatino Linotype" w:eastAsia="Palatino Linotype" w:hAnsi="Palatino Linotype" w:cs="Palatino Linotype"/>
          <w:sz w:val="22"/>
          <w:szCs w:val="22"/>
        </w:rPr>
        <w:t xml:space="preserve">Por lo anteriormente expuesto y con fundamento en lo prescrito en los artículos </w:t>
      </w:r>
      <w:r w:rsidR="00687488" w:rsidRPr="00D82002">
        <w:rPr>
          <w:rFonts w:ascii="Palatino Linotype" w:eastAsia="Palatino Linotype" w:hAnsi="Palatino Linotype" w:cs="Palatino Linotype"/>
          <w:sz w:val="22"/>
          <w:szCs w:val="22"/>
        </w:rPr>
        <w:t>5 párrafos cuadragésimo cuarto, cuadragésimo quinto y cuadragésimo sexto, fracciones IV y V de la Constitución Política del Estado Libre y Soberano de México; transitorio Cuarto del Decreto número 198 de la “LXII” Legislatura del Estado de México</w:t>
      </w:r>
      <w:r w:rsidRPr="00D82002">
        <w:rPr>
          <w:rFonts w:ascii="Palatino Linotype" w:eastAsia="Palatino Linotype" w:hAnsi="Palatino Linotype" w:cs="Palatino Linotype"/>
          <w:sz w:val="22"/>
          <w:szCs w:val="22"/>
        </w:rPr>
        <w:t>; 2, fracción II; 29, 36 fracciones I y II; 176, 178, 181, 185 y 186 fracción III de la Ley de Transparencia y Acceso a la Información Pública del Estado de México y Municipios, este Pleno:</w:t>
      </w:r>
    </w:p>
    <w:p w14:paraId="3E5A5778" w14:textId="77777777" w:rsidR="00DE7FC4" w:rsidRPr="00D82002" w:rsidRDefault="00EB2EDB">
      <w:pPr>
        <w:pBdr>
          <w:top w:val="nil"/>
          <w:left w:val="nil"/>
          <w:bottom w:val="nil"/>
          <w:right w:val="nil"/>
          <w:between w:val="nil"/>
        </w:pBdr>
        <w:spacing w:before="240" w:after="240" w:line="360" w:lineRule="auto"/>
        <w:ind w:left="567"/>
        <w:jc w:val="center"/>
        <w:rPr>
          <w:rFonts w:ascii="Palatino Linotype" w:eastAsia="Palatino Linotype" w:hAnsi="Palatino Linotype" w:cs="Palatino Linotype"/>
          <w:b/>
          <w:sz w:val="22"/>
          <w:szCs w:val="22"/>
        </w:rPr>
      </w:pPr>
      <w:r w:rsidRPr="00D82002">
        <w:rPr>
          <w:rFonts w:ascii="Palatino Linotype" w:eastAsia="Palatino Linotype" w:hAnsi="Palatino Linotype" w:cs="Palatino Linotype"/>
          <w:b/>
          <w:sz w:val="22"/>
          <w:szCs w:val="22"/>
        </w:rPr>
        <w:t>R E S U E L V E:</w:t>
      </w:r>
    </w:p>
    <w:p w14:paraId="2ADA74B5" w14:textId="77777777" w:rsidR="00DE7FC4" w:rsidRPr="00D82002" w:rsidRDefault="00EB2EDB">
      <w:pPr>
        <w:spacing w:before="240" w:after="240" w:line="360" w:lineRule="auto"/>
        <w:jc w:val="both"/>
        <w:rPr>
          <w:rFonts w:ascii="Palatino Linotype" w:eastAsia="Palatino Linotype" w:hAnsi="Palatino Linotype" w:cs="Palatino Linotype"/>
          <w:b/>
          <w:sz w:val="22"/>
          <w:szCs w:val="22"/>
        </w:rPr>
      </w:pPr>
      <w:r w:rsidRPr="00D82002">
        <w:rPr>
          <w:rFonts w:ascii="Palatino Linotype" w:eastAsia="Palatino Linotype" w:hAnsi="Palatino Linotype" w:cs="Palatino Linotype"/>
          <w:b/>
          <w:sz w:val="22"/>
          <w:szCs w:val="22"/>
        </w:rPr>
        <w:t xml:space="preserve">Primero. </w:t>
      </w:r>
      <w:r w:rsidRPr="00D82002">
        <w:rPr>
          <w:rFonts w:ascii="Palatino Linotype" w:eastAsia="Palatino Linotype" w:hAnsi="Palatino Linotype" w:cs="Palatino Linotype"/>
          <w:sz w:val="22"/>
          <w:szCs w:val="22"/>
        </w:rPr>
        <w:t>Resultan</w:t>
      </w:r>
      <w:r w:rsidRPr="00D82002">
        <w:rPr>
          <w:rFonts w:ascii="Palatino Linotype" w:eastAsia="Palatino Linotype" w:hAnsi="Palatino Linotype" w:cs="Palatino Linotype"/>
          <w:b/>
          <w:sz w:val="22"/>
          <w:szCs w:val="22"/>
        </w:rPr>
        <w:t xml:space="preserve"> fundados </w:t>
      </w:r>
      <w:r w:rsidRPr="00D82002">
        <w:rPr>
          <w:rFonts w:ascii="Palatino Linotype" w:eastAsia="Palatino Linotype" w:hAnsi="Palatino Linotype" w:cs="Palatino Linotype"/>
          <w:sz w:val="22"/>
          <w:szCs w:val="22"/>
        </w:rPr>
        <w:t xml:space="preserve">los motivos de inconformidad hechos valer por </w:t>
      </w:r>
      <w:r w:rsidRPr="00D82002">
        <w:rPr>
          <w:rFonts w:ascii="Palatino Linotype" w:eastAsia="Palatino Linotype" w:hAnsi="Palatino Linotype" w:cs="Palatino Linotype"/>
          <w:b/>
          <w:sz w:val="22"/>
          <w:szCs w:val="22"/>
        </w:rPr>
        <w:t>la parte Recurrente</w:t>
      </w:r>
      <w:r w:rsidRPr="00D82002">
        <w:rPr>
          <w:rFonts w:ascii="Palatino Linotype" w:eastAsia="Palatino Linotype" w:hAnsi="Palatino Linotype" w:cs="Palatino Linotype"/>
          <w:sz w:val="22"/>
          <w:szCs w:val="22"/>
        </w:rPr>
        <w:t xml:space="preserve"> en el Recurso de Revisión</w:t>
      </w:r>
      <w:r w:rsidRPr="00D82002">
        <w:rPr>
          <w:rFonts w:ascii="Palatino Linotype" w:eastAsia="Palatino Linotype" w:hAnsi="Palatino Linotype" w:cs="Palatino Linotype"/>
          <w:b/>
          <w:sz w:val="22"/>
          <w:szCs w:val="22"/>
        </w:rPr>
        <w:t xml:space="preserve"> 10419/INFOEM/IP/RR/2025, </w:t>
      </w:r>
      <w:r w:rsidRPr="00D82002">
        <w:rPr>
          <w:rFonts w:ascii="Palatino Linotype" w:eastAsia="Palatino Linotype" w:hAnsi="Palatino Linotype" w:cs="Palatino Linotype"/>
          <w:sz w:val="22"/>
          <w:szCs w:val="22"/>
        </w:rPr>
        <w:t>por lo que</w:t>
      </w:r>
      <w:r w:rsidRPr="00D82002">
        <w:rPr>
          <w:rFonts w:ascii="Palatino Linotype" w:eastAsia="Palatino Linotype" w:hAnsi="Palatino Linotype" w:cs="Palatino Linotype"/>
          <w:b/>
          <w:sz w:val="22"/>
          <w:szCs w:val="22"/>
        </w:rPr>
        <w:t xml:space="preserve">, en términos del Considerando Cuarto </w:t>
      </w:r>
      <w:r w:rsidRPr="00D82002">
        <w:rPr>
          <w:rFonts w:ascii="Palatino Linotype" w:eastAsia="Palatino Linotype" w:hAnsi="Palatino Linotype" w:cs="Palatino Linotype"/>
          <w:sz w:val="22"/>
          <w:szCs w:val="22"/>
        </w:rPr>
        <w:t>de la presente resolución</w:t>
      </w:r>
      <w:r w:rsidRPr="00D82002">
        <w:rPr>
          <w:rFonts w:ascii="Palatino Linotype" w:eastAsia="Palatino Linotype" w:hAnsi="Palatino Linotype" w:cs="Palatino Linotype"/>
          <w:b/>
          <w:sz w:val="22"/>
          <w:szCs w:val="22"/>
        </w:rPr>
        <w:t>, se REVOCA l</w:t>
      </w:r>
      <w:r w:rsidRPr="00D82002">
        <w:rPr>
          <w:rFonts w:ascii="Palatino Linotype" w:eastAsia="Palatino Linotype" w:hAnsi="Palatino Linotype" w:cs="Palatino Linotype"/>
          <w:sz w:val="22"/>
          <w:szCs w:val="22"/>
        </w:rPr>
        <w:t>a respuesta del</w:t>
      </w:r>
      <w:r w:rsidRPr="00D82002">
        <w:rPr>
          <w:rFonts w:ascii="Palatino Linotype" w:eastAsia="Palatino Linotype" w:hAnsi="Palatino Linotype" w:cs="Palatino Linotype"/>
          <w:b/>
          <w:sz w:val="22"/>
          <w:szCs w:val="22"/>
        </w:rPr>
        <w:t xml:space="preserve"> Sujeto Obligado.</w:t>
      </w:r>
    </w:p>
    <w:p w14:paraId="19BBFCA1" w14:textId="77777777" w:rsidR="00DE7FC4" w:rsidRPr="00D82002" w:rsidRDefault="00EB2EDB">
      <w:pPr>
        <w:spacing w:before="240" w:after="240" w:line="360" w:lineRule="auto"/>
        <w:jc w:val="both"/>
        <w:rPr>
          <w:rFonts w:ascii="Palatino Linotype" w:eastAsia="Palatino Linotype" w:hAnsi="Palatino Linotype" w:cs="Palatino Linotype"/>
          <w:sz w:val="22"/>
          <w:szCs w:val="22"/>
        </w:rPr>
      </w:pPr>
      <w:bookmarkStart w:id="2" w:name="_heading=h.j3ppyxwlb1s2" w:colFirst="0" w:colLast="0"/>
      <w:bookmarkEnd w:id="2"/>
      <w:r w:rsidRPr="00D82002">
        <w:rPr>
          <w:rFonts w:ascii="Palatino Linotype" w:eastAsia="Palatino Linotype" w:hAnsi="Palatino Linotype" w:cs="Palatino Linotype"/>
          <w:b/>
          <w:sz w:val="22"/>
          <w:szCs w:val="22"/>
        </w:rPr>
        <w:t xml:space="preserve">Segundo. Se Ordena al Sujeto Obligado </w:t>
      </w:r>
      <w:r w:rsidRPr="00D82002">
        <w:rPr>
          <w:rFonts w:ascii="Palatino Linotype" w:eastAsia="Palatino Linotype" w:hAnsi="Palatino Linotype" w:cs="Palatino Linotype"/>
          <w:sz w:val="22"/>
          <w:szCs w:val="22"/>
        </w:rPr>
        <w:t>que en términos de los</w:t>
      </w:r>
      <w:r w:rsidRPr="00D82002">
        <w:rPr>
          <w:rFonts w:ascii="Palatino Linotype" w:eastAsia="Palatino Linotype" w:hAnsi="Palatino Linotype" w:cs="Palatino Linotype"/>
          <w:b/>
          <w:sz w:val="22"/>
          <w:szCs w:val="22"/>
        </w:rPr>
        <w:t xml:space="preserve"> Considerandos Cuarto y Quinto </w:t>
      </w:r>
      <w:r w:rsidRPr="00D82002">
        <w:rPr>
          <w:rFonts w:ascii="Palatino Linotype" w:eastAsia="Palatino Linotype" w:hAnsi="Palatino Linotype" w:cs="Palatino Linotype"/>
          <w:sz w:val="22"/>
          <w:szCs w:val="22"/>
        </w:rPr>
        <w:t xml:space="preserve">de esta resolución, haga entrega a </w:t>
      </w:r>
      <w:r w:rsidRPr="00D82002">
        <w:rPr>
          <w:rFonts w:ascii="Palatino Linotype" w:eastAsia="Palatino Linotype" w:hAnsi="Palatino Linotype" w:cs="Palatino Linotype"/>
          <w:b/>
          <w:sz w:val="22"/>
          <w:szCs w:val="22"/>
        </w:rPr>
        <w:t>la parte Recurrente a través del SAIMEX,</w:t>
      </w:r>
      <w:r w:rsidRPr="00D82002">
        <w:rPr>
          <w:rFonts w:ascii="Palatino Linotype" w:eastAsia="Palatino Linotype" w:hAnsi="Palatino Linotype" w:cs="Palatino Linotype"/>
          <w:sz w:val="22"/>
          <w:szCs w:val="22"/>
        </w:rPr>
        <w:t xml:space="preserve"> de ser el caso en versión pública, los documentos donde conste la siguiente información: </w:t>
      </w:r>
    </w:p>
    <w:p w14:paraId="5BD75ACB" w14:textId="77777777" w:rsidR="00DE7FC4" w:rsidRPr="00D82002" w:rsidRDefault="00EB2EDB">
      <w:pPr>
        <w:numPr>
          <w:ilvl w:val="0"/>
          <w:numId w:val="7"/>
        </w:numPr>
        <w:pBdr>
          <w:top w:val="nil"/>
          <w:left w:val="nil"/>
          <w:bottom w:val="nil"/>
          <w:right w:val="nil"/>
          <w:between w:val="nil"/>
        </w:pBdr>
        <w:spacing w:before="240" w:line="360" w:lineRule="auto"/>
        <w:jc w:val="both"/>
        <w:rPr>
          <w:rFonts w:ascii="Palatino Linotype" w:eastAsia="Palatino Linotype" w:hAnsi="Palatino Linotype" w:cs="Palatino Linotype"/>
          <w:b/>
          <w:sz w:val="22"/>
          <w:szCs w:val="22"/>
        </w:rPr>
      </w:pPr>
      <w:r w:rsidRPr="00D82002">
        <w:rPr>
          <w:rFonts w:ascii="Palatino Linotype" w:eastAsia="Palatino Linotype" w:hAnsi="Palatino Linotype" w:cs="Palatino Linotype"/>
          <w:b/>
          <w:sz w:val="22"/>
          <w:szCs w:val="22"/>
        </w:rPr>
        <w:t>Presupuesto para el ejercicio fiscal dos mil veinticinco a mayor grado de desagregación;</w:t>
      </w:r>
    </w:p>
    <w:p w14:paraId="6FC30153" w14:textId="77777777" w:rsidR="00DE7FC4" w:rsidRPr="00D82002" w:rsidRDefault="00EB2EDB">
      <w:pPr>
        <w:numPr>
          <w:ilvl w:val="0"/>
          <w:numId w:val="7"/>
        </w:numPr>
        <w:pBdr>
          <w:top w:val="nil"/>
          <w:left w:val="nil"/>
          <w:bottom w:val="nil"/>
          <w:right w:val="nil"/>
          <w:between w:val="nil"/>
        </w:pBdr>
        <w:spacing w:line="360" w:lineRule="auto"/>
        <w:jc w:val="both"/>
        <w:rPr>
          <w:rFonts w:ascii="Palatino Linotype" w:eastAsia="Palatino Linotype" w:hAnsi="Palatino Linotype" w:cs="Palatino Linotype"/>
          <w:b/>
          <w:sz w:val="22"/>
          <w:szCs w:val="22"/>
        </w:rPr>
      </w:pPr>
      <w:r w:rsidRPr="00D82002">
        <w:rPr>
          <w:rFonts w:ascii="Palatino Linotype" w:eastAsia="Palatino Linotype" w:hAnsi="Palatino Linotype" w:cs="Palatino Linotype"/>
          <w:b/>
          <w:sz w:val="22"/>
          <w:szCs w:val="22"/>
        </w:rPr>
        <w:t xml:space="preserve">Plan para la </w:t>
      </w:r>
      <w:proofErr w:type="spellStart"/>
      <w:r w:rsidRPr="00D82002">
        <w:rPr>
          <w:rFonts w:ascii="Palatino Linotype" w:eastAsia="Palatino Linotype" w:hAnsi="Palatino Linotype" w:cs="Palatino Linotype"/>
          <w:b/>
          <w:sz w:val="22"/>
          <w:szCs w:val="22"/>
        </w:rPr>
        <w:t>ejecuciíon</w:t>
      </w:r>
      <w:proofErr w:type="spellEnd"/>
      <w:r w:rsidRPr="00D82002">
        <w:rPr>
          <w:rFonts w:ascii="Palatino Linotype" w:eastAsia="Palatino Linotype" w:hAnsi="Palatino Linotype" w:cs="Palatino Linotype"/>
          <w:b/>
          <w:sz w:val="22"/>
          <w:szCs w:val="22"/>
        </w:rPr>
        <w:t xml:space="preserve"> del presupuesto del ejercicio dos mil veinticinco;</w:t>
      </w:r>
    </w:p>
    <w:p w14:paraId="2716B65A" w14:textId="77777777" w:rsidR="00DE7FC4" w:rsidRPr="00D82002" w:rsidRDefault="00EB2EDB">
      <w:pPr>
        <w:numPr>
          <w:ilvl w:val="0"/>
          <w:numId w:val="7"/>
        </w:numPr>
        <w:pBdr>
          <w:top w:val="nil"/>
          <w:left w:val="nil"/>
          <w:bottom w:val="nil"/>
          <w:right w:val="nil"/>
          <w:between w:val="nil"/>
        </w:pBdr>
        <w:spacing w:line="360" w:lineRule="auto"/>
        <w:jc w:val="both"/>
        <w:rPr>
          <w:rFonts w:ascii="Palatino Linotype" w:eastAsia="Palatino Linotype" w:hAnsi="Palatino Linotype" w:cs="Palatino Linotype"/>
          <w:b/>
          <w:sz w:val="22"/>
          <w:szCs w:val="22"/>
        </w:rPr>
      </w:pPr>
      <w:r w:rsidRPr="00D82002">
        <w:rPr>
          <w:rFonts w:ascii="Palatino Linotype" w:eastAsia="Palatino Linotype" w:hAnsi="Palatino Linotype" w:cs="Palatino Linotype"/>
          <w:b/>
          <w:sz w:val="22"/>
          <w:szCs w:val="22"/>
        </w:rPr>
        <w:t>Documentos de control de gastos y seguimiento a las erogaciones del uno enero al cuatro de agosto de dos mil veinticinco;</w:t>
      </w:r>
    </w:p>
    <w:p w14:paraId="2D5E756F" w14:textId="77777777" w:rsidR="00DE7FC4" w:rsidRPr="00D82002" w:rsidRDefault="00EB2EDB">
      <w:pPr>
        <w:numPr>
          <w:ilvl w:val="0"/>
          <w:numId w:val="7"/>
        </w:numPr>
        <w:pBdr>
          <w:top w:val="nil"/>
          <w:left w:val="nil"/>
          <w:bottom w:val="nil"/>
          <w:right w:val="nil"/>
          <w:between w:val="nil"/>
        </w:pBdr>
        <w:spacing w:after="240" w:line="360" w:lineRule="auto"/>
        <w:jc w:val="both"/>
        <w:rPr>
          <w:rFonts w:ascii="Palatino Linotype" w:eastAsia="Palatino Linotype" w:hAnsi="Palatino Linotype" w:cs="Palatino Linotype"/>
          <w:b/>
          <w:sz w:val="22"/>
          <w:szCs w:val="22"/>
        </w:rPr>
      </w:pPr>
      <w:r w:rsidRPr="00D82002">
        <w:rPr>
          <w:rFonts w:ascii="Palatino Linotype" w:eastAsia="Palatino Linotype" w:hAnsi="Palatino Linotype" w:cs="Palatino Linotype"/>
          <w:b/>
          <w:sz w:val="22"/>
          <w:szCs w:val="22"/>
        </w:rPr>
        <w:t>Forma de gestión para la administración de los recursos del uno de enero al cuatro de agosto de dos mil veinticinco.</w:t>
      </w:r>
    </w:p>
    <w:p w14:paraId="1BCBFBE4" w14:textId="77777777" w:rsidR="00DE7FC4" w:rsidRPr="00D82002" w:rsidRDefault="00EB2EDB">
      <w:pPr>
        <w:pBdr>
          <w:top w:val="nil"/>
          <w:left w:val="nil"/>
          <w:bottom w:val="nil"/>
          <w:right w:val="nil"/>
          <w:between w:val="nil"/>
        </w:pBdr>
        <w:ind w:right="560"/>
        <w:jc w:val="both"/>
        <w:rPr>
          <w:rFonts w:ascii="Palatino Linotype" w:eastAsia="Palatino Linotype" w:hAnsi="Palatino Linotype" w:cs="Palatino Linotype"/>
          <w:i/>
          <w:sz w:val="22"/>
          <w:szCs w:val="22"/>
        </w:rPr>
      </w:pPr>
      <w:r w:rsidRPr="00D82002">
        <w:rPr>
          <w:rFonts w:ascii="Palatino Linotype" w:eastAsia="Palatino Linotype" w:hAnsi="Palatino Linotype" w:cs="Palatino Linotype"/>
          <w:i/>
          <w:sz w:val="22"/>
          <w:szCs w:val="22"/>
        </w:rPr>
        <w:t>Para la entrega en versión pública, se deberá emitir el Acuerdo del Comité de Transparencia de acuerdo con la Ley de Transparencia y Acceso a la Información Pública del Estado de México y Municipios, en el que funde y motive las razones sobre los datos que se supriman o eliminen de los soportes documentales objeto de las versiones públicas que se formulen y se pongan a disposición de la parte Recurrente.</w:t>
      </w:r>
    </w:p>
    <w:p w14:paraId="7B8B2820" w14:textId="77777777" w:rsidR="00DE7FC4" w:rsidRPr="00D82002" w:rsidRDefault="00DE7FC4">
      <w:pPr>
        <w:tabs>
          <w:tab w:val="left" w:pos="993"/>
        </w:tabs>
        <w:ind w:left="360"/>
        <w:jc w:val="both"/>
        <w:rPr>
          <w:rFonts w:ascii="Palatino Linotype" w:eastAsia="Palatino Linotype" w:hAnsi="Palatino Linotype" w:cs="Palatino Linotype"/>
          <w:i/>
          <w:sz w:val="22"/>
          <w:szCs w:val="22"/>
        </w:rPr>
      </w:pPr>
    </w:p>
    <w:p w14:paraId="248F4CB6" w14:textId="77777777" w:rsidR="00DE7FC4" w:rsidRPr="00D82002" w:rsidRDefault="00EB2EDB">
      <w:pPr>
        <w:spacing w:before="240" w:after="240" w:line="360" w:lineRule="auto"/>
        <w:jc w:val="both"/>
        <w:rPr>
          <w:rFonts w:ascii="Palatino Linotype" w:eastAsia="Palatino Linotype" w:hAnsi="Palatino Linotype" w:cs="Palatino Linotype"/>
          <w:sz w:val="22"/>
          <w:szCs w:val="22"/>
        </w:rPr>
      </w:pPr>
      <w:r w:rsidRPr="00D82002">
        <w:rPr>
          <w:rFonts w:ascii="Palatino Linotype" w:eastAsia="Palatino Linotype" w:hAnsi="Palatino Linotype" w:cs="Palatino Linotype"/>
          <w:b/>
          <w:sz w:val="22"/>
          <w:szCs w:val="22"/>
        </w:rPr>
        <w:t xml:space="preserve">Tercero.  Notifíquese vía SAIMEX, </w:t>
      </w:r>
      <w:r w:rsidRPr="00D82002">
        <w:rPr>
          <w:rFonts w:ascii="Palatino Linotype" w:eastAsia="Palatino Linotype" w:hAnsi="Palatino Linotype" w:cs="Palatino Linotype"/>
          <w:sz w:val="22"/>
          <w:szCs w:val="22"/>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287EA9FA" w14:textId="77777777" w:rsidR="00DE7FC4" w:rsidRPr="00D82002" w:rsidRDefault="00EB2EDB">
      <w:pPr>
        <w:spacing w:before="240" w:after="240" w:line="360" w:lineRule="auto"/>
        <w:jc w:val="both"/>
        <w:rPr>
          <w:rFonts w:ascii="Palatino Linotype" w:eastAsia="Palatino Linotype" w:hAnsi="Palatino Linotype" w:cs="Palatino Linotype"/>
          <w:sz w:val="22"/>
          <w:szCs w:val="22"/>
        </w:rPr>
      </w:pPr>
      <w:r w:rsidRPr="00D82002">
        <w:rPr>
          <w:rFonts w:ascii="Palatino Linotype" w:eastAsia="Palatino Linotype" w:hAnsi="Palatino Linotype" w:cs="Palatino Linotype"/>
          <w:b/>
          <w:sz w:val="22"/>
          <w:szCs w:val="22"/>
        </w:rPr>
        <w:t xml:space="preserve">Cuarto. </w:t>
      </w:r>
      <w:r w:rsidRPr="00D82002">
        <w:rPr>
          <w:rFonts w:ascii="Palatino Linotype" w:eastAsia="Palatino Linotype" w:hAnsi="Palatino Linotype" w:cs="Palatino Linotype"/>
          <w:sz w:val="22"/>
          <w:szCs w:val="22"/>
        </w:rPr>
        <w:t xml:space="preserve">De conformidad con el artículo 198 de la Ley de Transparencia y Acceso a la Información Pública del Estado de México y Municipios, de considerarlo procedente, el </w:t>
      </w:r>
      <w:r w:rsidRPr="00D82002">
        <w:rPr>
          <w:rFonts w:ascii="Palatino Linotype" w:eastAsia="Palatino Linotype" w:hAnsi="Palatino Linotype" w:cs="Palatino Linotype"/>
          <w:b/>
          <w:sz w:val="22"/>
          <w:szCs w:val="22"/>
        </w:rPr>
        <w:t>Sujeto Obligado</w:t>
      </w:r>
      <w:r w:rsidRPr="00D82002">
        <w:rPr>
          <w:rFonts w:ascii="Palatino Linotype" w:eastAsia="Palatino Linotype" w:hAnsi="Palatino Linotype" w:cs="Palatino Linotype"/>
          <w:sz w:val="22"/>
          <w:szCs w:val="22"/>
        </w:rPr>
        <w:t xml:space="preserve"> de manera fundada y motivada, podrá solicitar una ampliación de plazo para el cumplimiento de la presente resolución.</w:t>
      </w:r>
    </w:p>
    <w:p w14:paraId="1E4B96B7" w14:textId="77777777" w:rsidR="00DE7FC4" w:rsidRPr="00D82002" w:rsidRDefault="00EB2EDB">
      <w:pPr>
        <w:spacing w:line="360" w:lineRule="auto"/>
        <w:jc w:val="both"/>
        <w:rPr>
          <w:rFonts w:ascii="Palatino Linotype" w:eastAsia="Palatino Linotype" w:hAnsi="Palatino Linotype" w:cs="Palatino Linotype"/>
          <w:sz w:val="22"/>
          <w:szCs w:val="22"/>
        </w:rPr>
      </w:pPr>
      <w:bookmarkStart w:id="3" w:name="_heading=h.tyjcwt" w:colFirst="0" w:colLast="0"/>
      <w:bookmarkEnd w:id="3"/>
      <w:r w:rsidRPr="00D82002">
        <w:rPr>
          <w:rFonts w:ascii="Palatino Linotype" w:eastAsia="Palatino Linotype" w:hAnsi="Palatino Linotype" w:cs="Palatino Linotype"/>
          <w:b/>
          <w:sz w:val="22"/>
          <w:szCs w:val="22"/>
        </w:rPr>
        <w:t xml:space="preserve">Quinto. Notifíquese vía SAIMEX, </w:t>
      </w:r>
      <w:r w:rsidRPr="00D82002">
        <w:rPr>
          <w:rFonts w:ascii="Palatino Linotype" w:eastAsia="Palatino Linotype" w:hAnsi="Palatino Linotype" w:cs="Palatino Linotype"/>
          <w:sz w:val="22"/>
          <w:szCs w:val="22"/>
        </w:rPr>
        <w:t>a</w:t>
      </w:r>
      <w:r w:rsidRPr="00D82002">
        <w:rPr>
          <w:rFonts w:ascii="Palatino Linotype" w:eastAsia="Palatino Linotype" w:hAnsi="Palatino Linotype" w:cs="Palatino Linotype"/>
          <w:b/>
          <w:sz w:val="22"/>
          <w:szCs w:val="22"/>
        </w:rPr>
        <w:t xml:space="preserve"> la parte Recurrente</w:t>
      </w:r>
      <w:r w:rsidRPr="00D82002">
        <w:rPr>
          <w:rFonts w:ascii="Palatino Linotype" w:eastAsia="Palatino Linotype" w:hAnsi="Palatino Linotype" w:cs="Palatino Linotype"/>
          <w:sz w:val="22"/>
          <w:szCs w:val="22"/>
        </w:rPr>
        <w:t xml:space="preserve"> la presente resolución, así como que podrá impugnar vía Juicio de Amparo en los términos de las leyes aplicables, de conformidad con lo establecido en el artículo 196 de la Ley de Transparencia y Acceso a la Información Pública del Estado de México y Municipios.</w:t>
      </w:r>
    </w:p>
    <w:p w14:paraId="54E1BB7A" w14:textId="77777777" w:rsidR="00DE7FC4" w:rsidRPr="00D82002" w:rsidRDefault="00DE7FC4">
      <w:pPr>
        <w:spacing w:line="360" w:lineRule="auto"/>
        <w:jc w:val="both"/>
        <w:rPr>
          <w:rFonts w:ascii="Palatino Linotype" w:eastAsia="Palatino Linotype" w:hAnsi="Palatino Linotype" w:cs="Palatino Linotype"/>
          <w:b/>
          <w:sz w:val="22"/>
          <w:szCs w:val="22"/>
        </w:rPr>
      </w:pPr>
    </w:p>
    <w:p w14:paraId="72E21EB8" w14:textId="19370247" w:rsidR="00DE7FC4" w:rsidRPr="00687488" w:rsidRDefault="00EB2EDB">
      <w:pPr>
        <w:spacing w:line="360" w:lineRule="auto"/>
        <w:ind w:right="-93"/>
        <w:jc w:val="both"/>
        <w:rPr>
          <w:rFonts w:ascii="Palatino Linotype" w:eastAsia="Palatino Linotype" w:hAnsi="Palatino Linotype" w:cs="Palatino Linotype"/>
          <w:sz w:val="22"/>
          <w:szCs w:val="22"/>
        </w:rPr>
      </w:pPr>
      <w:bookmarkStart w:id="4" w:name="_heading=h.jl0dlasot4f" w:colFirst="0" w:colLast="0"/>
      <w:bookmarkEnd w:id="4"/>
      <w:r w:rsidRPr="00D82002">
        <w:rPr>
          <w:rFonts w:ascii="Palatino Linotype" w:eastAsia="Palatino Linotype" w:hAnsi="Palatino Linotype" w:cs="Palatino Linotype"/>
          <w:sz w:val="22"/>
          <w:szCs w:val="22"/>
        </w:rPr>
        <w:t>ASÍ LO RESUELVE, POR UNANIMIDAD DE VOTOS, EL PLENO DEL INSTITUTO DE TRANSPARENCIA, ACCESO A LA INFORMACIÓN PÚBLICA Y PROTECCIÓN DE DATOS PERSONALES DEL ESTADO DE MÉXICO Y MUNICIPIOS, CONFORMADO POR LOS COMISIONADOS JOSÉ MARTÍNEZ VILCHIS, MARÍA DEL ROSARIO MEJÍA AYALA</w:t>
      </w:r>
      <w:r w:rsidR="00687488" w:rsidRPr="00D82002">
        <w:rPr>
          <w:rFonts w:ascii="Palatino Linotype" w:eastAsia="Palatino Linotype" w:hAnsi="Palatino Linotype" w:cs="Palatino Linotype"/>
          <w:sz w:val="22"/>
          <w:szCs w:val="22"/>
        </w:rPr>
        <w:t xml:space="preserve"> (AUSENCIA JUSTIFICADA)</w:t>
      </w:r>
      <w:r w:rsidRPr="00D82002">
        <w:rPr>
          <w:rFonts w:ascii="Palatino Linotype" w:eastAsia="Palatino Linotype" w:hAnsi="Palatino Linotype" w:cs="Palatino Linotype"/>
          <w:sz w:val="22"/>
          <w:szCs w:val="22"/>
        </w:rPr>
        <w:t>, SHARON CRISTINA MORALES MARTÍNEZ, LUIS GUSTAVO PARRA NORIEGA Y GUADALUPE RAMÍREZ PEÑA; EN LA TRIGÉSIMA NOVENA SESIÓN ORDINARIA CELEBRADA EL CINCO DE NOVIEMBRE DE DOS MIL VEINTICINCO, ANTE EL SECRETARIO TÉCNICO DEL PLENO ALEXIS TAPIA RAMÍREZ.</w:t>
      </w:r>
    </w:p>
    <w:p w14:paraId="67C16C28" w14:textId="77777777" w:rsidR="00DE7FC4" w:rsidRPr="00687488" w:rsidRDefault="00DE7FC4">
      <w:pPr>
        <w:spacing w:line="360" w:lineRule="auto"/>
        <w:ind w:right="-93"/>
        <w:jc w:val="both"/>
        <w:rPr>
          <w:rFonts w:ascii="Palatino Linotype" w:eastAsia="Palatino Linotype" w:hAnsi="Palatino Linotype" w:cs="Palatino Linotype"/>
          <w:sz w:val="22"/>
          <w:szCs w:val="22"/>
        </w:rPr>
      </w:pPr>
    </w:p>
    <w:p w14:paraId="025F295B" w14:textId="77777777" w:rsidR="00DE7FC4" w:rsidRPr="00687488" w:rsidRDefault="00DE7FC4">
      <w:pPr>
        <w:spacing w:line="360" w:lineRule="auto"/>
        <w:ind w:right="-93"/>
        <w:jc w:val="both"/>
        <w:rPr>
          <w:rFonts w:ascii="Palatino Linotype" w:eastAsia="Palatino Linotype" w:hAnsi="Palatino Linotype" w:cs="Palatino Linotype"/>
          <w:sz w:val="22"/>
          <w:szCs w:val="22"/>
        </w:rPr>
      </w:pPr>
    </w:p>
    <w:p w14:paraId="17C22DFA" w14:textId="77777777" w:rsidR="00DE7FC4" w:rsidRPr="00687488" w:rsidRDefault="00DE7FC4">
      <w:pPr>
        <w:spacing w:line="360" w:lineRule="auto"/>
        <w:ind w:right="-93"/>
        <w:jc w:val="both"/>
        <w:rPr>
          <w:rFonts w:ascii="Palatino Linotype" w:eastAsia="Palatino Linotype" w:hAnsi="Palatino Linotype" w:cs="Palatino Linotype"/>
          <w:sz w:val="22"/>
          <w:szCs w:val="22"/>
        </w:rPr>
      </w:pPr>
    </w:p>
    <w:p w14:paraId="0F6A7FDB" w14:textId="77777777" w:rsidR="00DE7FC4" w:rsidRPr="00687488" w:rsidRDefault="00DE7FC4">
      <w:pPr>
        <w:spacing w:line="360" w:lineRule="auto"/>
        <w:ind w:right="-93"/>
        <w:jc w:val="both"/>
        <w:rPr>
          <w:rFonts w:ascii="Palatino Linotype" w:eastAsia="Palatino Linotype" w:hAnsi="Palatino Linotype" w:cs="Palatino Linotype"/>
          <w:sz w:val="22"/>
          <w:szCs w:val="22"/>
        </w:rPr>
      </w:pPr>
    </w:p>
    <w:p w14:paraId="03B7A93D" w14:textId="77777777" w:rsidR="00DE7FC4" w:rsidRPr="00687488" w:rsidRDefault="00DE7FC4">
      <w:pPr>
        <w:spacing w:line="360" w:lineRule="auto"/>
        <w:ind w:right="-93"/>
        <w:jc w:val="both"/>
        <w:rPr>
          <w:rFonts w:ascii="Palatino Linotype" w:eastAsia="Palatino Linotype" w:hAnsi="Palatino Linotype" w:cs="Palatino Linotype"/>
          <w:sz w:val="22"/>
          <w:szCs w:val="22"/>
        </w:rPr>
      </w:pPr>
    </w:p>
    <w:p w14:paraId="37E430DF" w14:textId="2F4EC405" w:rsidR="00DE7FC4" w:rsidRPr="00687488" w:rsidRDefault="00DE7FC4">
      <w:pPr>
        <w:spacing w:line="360" w:lineRule="auto"/>
        <w:ind w:right="49"/>
        <w:jc w:val="both"/>
        <w:rPr>
          <w:rFonts w:ascii="Palatino Linotype" w:eastAsia="Palatino Linotype" w:hAnsi="Palatino Linotype" w:cs="Palatino Linotype"/>
          <w:sz w:val="22"/>
          <w:szCs w:val="22"/>
        </w:rPr>
      </w:pPr>
    </w:p>
    <w:p w14:paraId="7BC2C2DD" w14:textId="79BA8A53" w:rsidR="00687488" w:rsidRPr="00687488" w:rsidRDefault="00687488">
      <w:pPr>
        <w:spacing w:line="360" w:lineRule="auto"/>
        <w:ind w:right="49"/>
        <w:jc w:val="both"/>
        <w:rPr>
          <w:rFonts w:ascii="Palatino Linotype" w:eastAsia="Palatino Linotype" w:hAnsi="Palatino Linotype" w:cs="Palatino Linotype"/>
          <w:sz w:val="22"/>
          <w:szCs w:val="22"/>
        </w:rPr>
      </w:pPr>
    </w:p>
    <w:p w14:paraId="04597DAE" w14:textId="7837227F" w:rsidR="00687488" w:rsidRPr="00687488" w:rsidRDefault="00687488">
      <w:pPr>
        <w:spacing w:line="360" w:lineRule="auto"/>
        <w:ind w:right="49"/>
        <w:jc w:val="both"/>
        <w:rPr>
          <w:rFonts w:ascii="Palatino Linotype" w:eastAsia="Palatino Linotype" w:hAnsi="Palatino Linotype" w:cs="Palatino Linotype"/>
          <w:sz w:val="22"/>
          <w:szCs w:val="22"/>
        </w:rPr>
      </w:pPr>
    </w:p>
    <w:p w14:paraId="76335B5E" w14:textId="2B452175" w:rsidR="00687488" w:rsidRPr="00687488" w:rsidRDefault="00687488">
      <w:pPr>
        <w:spacing w:line="360" w:lineRule="auto"/>
        <w:ind w:right="49"/>
        <w:jc w:val="both"/>
        <w:rPr>
          <w:rFonts w:ascii="Palatino Linotype" w:eastAsia="Palatino Linotype" w:hAnsi="Palatino Linotype" w:cs="Palatino Linotype"/>
          <w:sz w:val="22"/>
          <w:szCs w:val="22"/>
        </w:rPr>
      </w:pPr>
    </w:p>
    <w:p w14:paraId="1621462B" w14:textId="158DB019" w:rsidR="00687488" w:rsidRPr="00687488" w:rsidRDefault="00687488">
      <w:pPr>
        <w:spacing w:line="360" w:lineRule="auto"/>
        <w:ind w:right="49"/>
        <w:jc w:val="both"/>
        <w:rPr>
          <w:rFonts w:ascii="Palatino Linotype" w:eastAsia="Palatino Linotype" w:hAnsi="Palatino Linotype" w:cs="Palatino Linotype"/>
          <w:sz w:val="22"/>
          <w:szCs w:val="22"/>
        </w:rPr>
      </w:pPr>
    </w:p>
    <w:p w14:paraId="77A965B4" w14:textId="38AF9431" w:rsidR="00687488" w:rsidRPr="00687488" w:rsidRDefault="00687488">
      <w:pPr>
        <w:spacing w:line="360" w:lineRule="auto"/>
        <w:ind w:right="49"/>
        <w:jc w:val="both"/>
        <w:rPr>
          <w:rFonts w:ascii="Palatino Linotype" w:eastAsia="Palatino Linotype" w:hAnsi="Palatino Linotype" w:cs="Palatino Linotype"/>
          <w:sz w:val="22"/>
          <w:szCs w:val="22"/>
        </w:rPr>
      </w:pPr>
    </w:p>
    <w:p w14:paraId="42D4E18F" w14:textId="7BDE08E8" w:rsidR="00687488" w:rsidRPr="00687488" w:rsidRDefault="00687488">
      <w:pPr>
        <w:spacing w:line="360" w:lineRule="auto"/>
        <w:ind w:right="49"/>
        <w:jc w:val="both"/>
        <w:rPr>
          <w:rFonts w:ascii="Palatino Linotype" w:eastAsia="Palatino Linotype" w:hAnsi="Palatino Linotype" w:cs="Palatino Linotype"/>
          <w:sz w:val="22"/>
          <w:szCs w:val="22"/>
        </w:rPr>
      </w:pPr>
    </w:p>
    <w:p w14:paraId="1008A3F2" w14:textId="3686318A" w:rsidR="00687488" w:rsidRPr="00687488" w:rsidRDefault="00687488">
      <w:pPr>
        <w:spacing w:line="360" w:lineRule="auto"/>
        <w:ind w:right="49"/>
        <w:jc w:val="both"/>
        <w:rPr>
          <w:rFonts w:ascii="Palatino Linotype" w:eastAsia="Palatino Linotype" w:hAnsi="Palatino Linotype" w:cs="Palatino Linotype"/>
          <w:sz w:val="22"/>
          <w:szCs w:val="22"/>
        </w:rPr>
      </w:pPr>
    </w:p>
    <w:p w14:paraId="55273E91" w14:textId="5D982CCC" w:rsidR="00687488" w:rsidRPr="00687488" w:rsidRDefault="00687488">
      <w:pPr>
        <w:spacing w:line="360" w:lineRule="auto"/>
        <w:ind w:right="49"/>
        <w:jc w:val="both"/>
        <w:rPr>
          <w:rFonts w:ascii="Palatino Linotype" w:eastAsia="Palatino Linotype" w:hAnsi="Palatino Linotype" w:cs="Palatino Linotype"/>
          <w:sz w:val="22"/>
          <w:szCs w:val="22"/>
        </w:rPr>
      </w:pPr>
    </w:p>
    <w:p w14:paraId="31FB6C12" w14:textId="156DBFD7" w:rsidR="00687488" w:rsidRPr="00687488" w:rsidRDefault="00687488">
      <w:pPr>
        <w:spacing w:line="360" w:lineRule="auto"/>
        <w:ind w:right="49"/>
        <w:jc w:val="both"/>
        <w:rPr>
          <w:rFonts w:ascii="Palatino Linotype" w:eastAsia="Palatino Linotype" w:hAnsi="Palatino Linotype" w:cs="Palatino Linotype"/>
          <w:sz w:val="22"/>
          <w:szCs w:val="22"/>
        </w:rPr>
      </w:pPr>
    </w:p>
    <w:p w14:paraId="2E6551A8" w14:textId="77777777" w:rsidR="00687488" w:rsidRPr="00687488" w:rsidRDefault="00687488">
      <w:pPr>
        <w:spacing w:line="360" w:lineRule="auto"/>
        <w:ind w:right="49"/>
        <w:jc w:val="both"/>
        <w:rPr>
          <w:rFonts w:ascii="Palatino Linotype" w:eastAsia="Palatino Linotype" w:hAnsi="Palatino Linotype" w:cs="Palatino Linotype"/>
          <w:sz w:val="22"/>
          <w:szCs w:val="22"/>
        </w:rPr>
      </w:pPr>
    </w:p>
    <w:sectPr w:rsidR="00687488" w:rsidRPr="00687488">
      <w:headerReference w:type="default" r:id="rId13"/>
      <w:footerReference w:type="default" r:id="rId14"/>
      <w:headerReference w:type="first" r:id="rId15"/>
      <w:footerReference w:type="first" r:id="rId16"/>
      <w:pgSz w:w="12240" w:h="15840"/>
      <w:pgMar w:top="2041" w:right="1474"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DB0D875" w14:textId="77777777" w:rsidR="00223733" w:rsidRDefault="00223733">
      <w:r>
        <w:separator/>
      </w:r>
    </w:p>
  </w:endnote>
  <w:endnote w:type="continuationSeparator" w:id="0">
    <w:p w14:paraId="42AD295A" w14:textId="77777777" w:rsidR="00223733" w:rsidRDefault="002237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Calibri"/>
    <w:charset w:val="00"/>
    <w:family w:val="auto"/>
    <w:pitch w:val="default"/>
    <w:embedRegular r:id="rId1" w:fontKey="{4C1BF704-E23B-4DE5-A7E4-5026F84C497A}"/>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0DF3D8E1-D0FB-4B08-B863-9E806F9CA15D}"/>
    <w:embedBold r:id="rId3" w:fontKey="{3F4C6856-FDAB-4687-836A-7CF5AEA15995}"/>
  </w:font>
  <w:font w:name="Georgia">
    <w:panose1 w:val="02040502050405020303"/>
    <w:charset w:val="00"/>
    <w:family w:val="roman"/>
    <w:pitch w:val="variable"/>
    <w:sig w:usb0="00000287" w:usb1="00000000" w:usb2="00000000" w:usb3="00000000" w:csb0="0000009F" w:csb1="00000000"/>
    <w:embedRegular r:id="rId4" w:fontKey="{A9091363-66B6-4973-A9F3-38C799CC4470}"/>
    <w:embedItalic r:id="rId5" w:fontKey="{54590803-A78F-4C7F-B88A-DA57D7EFCC55}"/>
  </w:font>
  <w:font w:name="Palatino Linotype">
    <w:panose1 w:val="02040502050505030304"/>
    <w:charset w:val="00"/>
    <w:family w:val="roman"/>
    <w:pitch w:val="variable"/>
    <w:sig w:usb0="E0000287" w:usb1="40000013" w:usb2="00000000" w:usb3="00000000" w:csb0="0000019F" w:csb1="00000000"/>
    <w:embedRegular r:id="rId6" w:fontKey="{C5164022-6579-41A9-BA26-A58E4C601602}"/>
    <w:embedBold r:id="rId7" w:fontKey="{D60C1181-9C27-43F0-9AE4-26178FA23C80}"/>
    <w:embedItalic r:id="rId8" w:fontKey="{45846DDC-F39D-46A1-AB82-29B244A90165}"/>
    <w:embedBoldItalic r:id="rId9" w:fontKey="{2DDEF2B9-2815-42DC-A92F-E42E0D84ED9B}"/>
  </w:font>
  <w:font w:name="Calibri Light">
    <w:panose1 w:val="020F0302020204030204"/>
    <w:charset w:val="00"/>
    <w:family w:val="swiss"/>
    <w:pitch w:val="variable"/>
    <w:sig w:usb0="E4002EFF" w:usb1="C200247B" w:usb2="00000009" w:usb3="00000000" w:csb0="000001FF" w:csb1="00000000"/>
    <w:embedRegular r:id="rId10" w:fontKey="{F3F75CAE-D505-40D2-A98C-A258142DCC35}"/>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C252F3" w14:textId="46B812D0" w:rsidR="00DE7FC4" w:rsidRDefault="00EB2EDB">
    <w:pPr>
      <w:pBdr>
        <w:top w:val="nil"/>
        <w:left w:val="nil"/>
        <w:bottom w:val="nil"/>
        <w:right w:val="nil"/>
        <w:between w:val="nil"/>
      </w:pBdr>
      <w:tabs>
        <w:tab w:val="center" w:pos="4419"/>
        <w:tab w:val="right" w:pos="8838"/>
      </w:tabs>
      <w:jc w:val="right"/>
      <w:rPr>
        <w:color w:val="000000"/>
      </w:rPr>
    </w:pPr>
    <w:r>
      <w:rPr>
        <w:color w:val="000000"/>
      </w:rPr>
      <w:t xml:space="preserve">Página </w:t>
    </w:r>
    <w:r>
      <w:rPr>
        <w:b/>
        <w:color w:val="000000"/>
      </w:rPr>
      <w:fldChar w:fldCharType="begin"/>
    </w:r>
    <w:r>
      <w:rPr>
        <w:b/>
        <w:color w:val="000000"/>
      </w:rPr>
      <w:instrText>PAGE</w:instrText>
    </w:r>
    <w:r>
      <w:rPr>
        <w:b/>
        <w:color w:val="000000"/>
      </w:rPr>
      <w:fldChar w:fldCharType="separate"/>
    </w:r>
    <w:r w:rsidR="0004573F">
      <w:rPr>
        <w:b/>
        <w:noProof/>
        <w:color w:val="000000"/>
      </w:rPr>
      <w:t>20</w:t>
    </w:r>
    <w:r>
      <w:rPr>
        <w:b/>
        <w:color w:val="000000"/>
      </w:rPr>
      <w:fldChar w:fldCharType="end"/>
    </w:r>
    <w:r>
      <w:rPr>
        <w:color w:val="000000"/>
      </w:rPr>
      <w:t xml:space="preserve"> de </w:t>
    </w:r>
    <w:r>
      <w:rPr>
        <w:b/>
        <w:color w:val="000000"/>
      </w:rPr>
      <w:fldChar w:fldCharType="begin"/>
    </w:r>
    <w:r>
      <w:rPr>
        <w:b/>
        <w:color w:val="000000"/>
      </w:rPr>
      <w:instrText>NUMPAGES</w:instrText>
    </w:r>
    <w:r>
      <w:rPr>
        <w:b/>
        <w:color w:val="000000"/>
      </w:rPr>
      <w:fldChar w:fldCharType="separate"/>
    </w:r>
    <w:r w:rsidR="0004573F">
      <w:rPr>
        <w:b/>
        <w:noProof/>
        <w:color w:val="000000"/>
      </w:rPr>
      <w:t>35</w:t>
    </w:r>
    <w:r>
      <w:rPr>
        <w:b/>
        <w:color w:val="000000"/>
      </w:rPr>
      <w:fldChar w:fldCharType="end"/>
    </w:r>
  </w:p>
  <w:p w14:paraId="29F502A7" w14:textId="77777777" w:rsidR="00DE7FC4" w:rsidRDefault="00DE7FC4">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548B17" w14:textId="31347B85" w:rsidR="00DE7FC4" w:rsidRDefault="00EB2EDB">
    <w:pPr>
      <w:pBdr>
        <w:top w:val="nil"/>
        <w:left w:val="nil"/>
        <w:bottom w:val="nil"/>
        <w:right w:val="nil"/>
        <w:between w:val="nil"/>
      </w:pBdr>
      <w:tabs>
        <w:tab w:val="center" w:pos="4419"/>
        <w:tab w:val="right" w:pos="8838"/>
      </w:tabs>
      <w:jc w:val="right"/>
      <w:rPr>
        <w:color w:val="000000"/>
      </w:rPr>
    </w:pPr>
    <w:r>
      <w:rPr>
        <w:color w:val="000000"/>
      </w:rPr>
      <w:t xml:space="preserve">Página </w:t>
    </w:r>
    <w:r>
      <w:rPr>
        <w:b/>
        <w:color w:val="000000"/>
      </w:rPr>
      <w:fldChar w:fldCharType="begin"/>
    </w:r>
    <w:r>
      <w:rPr>
        <w:b/>
        <w:color w:val="000000"/>
      </w:rPr>
      <w:instrText>PAGE</w:instrText>
    </w:r>
    <w:r>
      <w:rPr>
        <w:b/>
        <w:color w:val="000000"/>
      </w:rPr>
      <w:fldChar w:fldCharType="separate"/>
    </w:r>
    <w:r w:rsidR="0004573F">
      <w:rPr>
        <w:b/>
        <w:noProof/>
        <w:color w:val="000000"/>
      </w:rPr>
      <w:t>1</w:t>
    </w:r>
    <w:r>
      <w:rPr>
        <w:b/>
        <w:color w:val="000000"/>
      </w:rPr>
      <w:fldChar w:fldCharType="end"/>
    </w:r>
    <w:r>
      <w:rPr>
        <w:color w:val="000000"/>
      </w:rPr>
      <w:t xml:space="preserve"> de </w:t>
    </w:r>
    <w:r>
      <w:rPr>
        <w:b/>
        <w:color w:val="000000"/>
      </w:rPr>
      <w:fldChar w:fldCharType="begin"/>
    </w:r>
    <w:r>
      <w:rPr>
        <w:b/>
        <w:color w:val="000000"/>
      </w:rPr>
      <w:instrText>NUMPAGES</w:instrText>
    </w:r>
    <w:r>
      <w:rPr>
        <w:b/>
        <w:color w:val="000000"/>
      </w:rPr>
      <w:fldChar w:fldCharType="separate"/>
    </w:r>
    <w:r w:rsidR="0004573F">
      <w:rPr>
        <w:b/>
        <w:noProof/>
        <w:color w:val="000000"/>
      </w:rPr>
      <w:t>35</w:t>
    </w:r>
    <w:r>
      <w:rPr>
        <w:b/>
        <w:color w:val="000000"/>
      </w:rPr>
      <w:fldChar w:fldCharType="end"/>
    </w:r>
  </w:p>
  <w:p w14:paraId="5268F0BC" w14:textId="77777777" w:rsidR="00DE7FC4" w:rsidRDefault="00DE7FC4">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6961152" w14:textId="77777777" w:rsidR="00223733" w:rsidRDefault="00223733">
      <w:r>
        <w:separator/>
      </w:r>
    </w:p>
  </w:footnote>
  <w:footnote w:type="continuationSeparator" w:id="0">
    <w:p w14:paraId="385F6E0B" w14:textId="77777777" w:rsidR="00223733" w:rsidRDefault="00223733">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D4D7A5" w14:textId="77777777" w:rsidR="00DE7FC4" w:rsidRDefault="00EB2EDB">
    <w:pPr>
      <w:widowControl w:val="0"/>
      <w:pBdr>
        <w:top w:val="nil"/>
        <w:left w:val="nil"/>
        <w:bottom w:val="nil"/>
        <w:right w:val="nil"/>
        <w:between w:val="nil"/>
      </w:pBdr>
      <w:rPr>
        <w:color w:val="000000"/>
      </w:rPr>
    </w:pPr>
    <w:r>
      <w:rPr>
        <w:noProof/>
      </w:rPr>
      <w:drawing>
        <wp:anchor distT="0" distB="0" distL="0" distR="0" simplePos="0" relativeHeight="251658240" behindDoc="1" locked="0" layoutInCell="1" hidden="0" allowOverlap="1" wp14:anchorId="1787392A" wp14:editId="39A8CC63">
          <wp:simplePos x="0" y="0"/>
          <wp:positionH relativeFrom="column">
            <wp:posOffset>0</wp:posOffset>
          </wp:positionH>
          <wp:positionV relativeFrom="paragraph">
            <wp:posOffset>-401953</wp:posOffset>
          </wp:positionV>
          <wp:extent cx="7809876" cy="10165823"/>
          <wp:effectExtent l="0" t="0" r="0" b="0"/>
          <wp:wrapNone/>
          <wp:docPr id="145012944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f6"/>
      <w:tblW w:w="5603" w:type="dxa"/>
      <w:tblInd w:w="3611" w:type="dxa"/>
      <w:tblLayout w:type="fixed"/>
      <w:tblLook w:val="0400" w:firstRow="0" w:lastRow="0" w:firstColumn="0" w:lastColumn="0" w:noHBand="0" w:noVBand="1"/>
    </w:tblPr>
    <w:tblGrid>
      <w:gridCol w:w="2551"/>
      <w:gridCol w:w="3052"/>
    </w:tblGrid>
    <w:tr w:rsidR="00DE7FC4" w14:paraId="61F47495" w14:textId="77777777">
      <w:tc>
        <w:tcPr>
          <w:tcW w:w="2551" w:type="dxa"/>
          <w:vAlign w:val="center"/>
        </w:tcPr>
        <w:p w14:paraId="7A619CCB" w14:textId="77777777" w:rsidR="00DE7FC4" w:rsidRDefault="00EB2EDB">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Recurso de Revisión:</w:t>
          </w:r>
        </w:p>
        <w:p w14:paraId="0DC91F5F" w14:textId="77777777" w:rsidR="00DE7FC4" w:rsidRDefault="00DE7FC4">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2"/>
              <w:szCs w:val="22"/>
            </w:rPr>
          </w:pPr>
        </w:p>
      </w:tc>
      <w:tc>
        <w:tcPr>
          <w:tcW w:w="3052" w:type="dxa"/>
          <w:vAlign w:val="center"/>
        </w:tcPr>
        <w:p w14:paraId="77C52A4B" w14:textId="77777777" w:rsidR="00DE7FC4" w:rsidRDefault="00EB2EDB">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10419/INFOEM/IP/RR/2025</w:t>
          </w:r>
        </w:p>
      </w:tc>
    </w:tr>
    <w:tr w:rsidR="00DE7FC4" w14:paraId="31A1F761" w14:textId="77777777">
      <w:trPr>
        <w:trHeight w:val="217"/>
      </w:trPr>
      <w:tc>
        <w:tcPr>
          <w:tcW w:w="2551" w:type="dxa"/>
          <w:vAlign w:val="center"/>
        </w:tcPr>
        <w:p w14:paraId="7A296359" w14:textId="77777777" w:rsidR="00DE7FC4" w:rsidRDefault="00EB2EDB">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Sujeto obligado:</w:t>
          </w:r>
        </w:p>
      </w:tc>
      <w:tc>
        <w:tcPr>
          <w:tcW w:w="3052" w:type="dxa"/>
          <w:vAlign w:val="center"/>
        </w:tcPr>
        <w:p w14:paraId="20D54AC4" w14:textId="77777777" w:rsidR="00DE7FC4" w:rsidRDefault="00EB2EDB">
          <w:pPr>
            <w:pBdr>
              <w:top w:val="nil"/>
              <w:left w:val="nil"/>
              <w:bottom w:val="nil"/>
              <w:right w:val="nil"/>
              <w:between w:val="nil"/>
            </w:pBdr>
            <w:tabs>
              <w:tab w:val="center" w:pos="4419"/>
              <w:tab w:val="right" w:pos="8838"/>
            </w:tabs>
            <w:ind w:right="168"/>
            <w:jc w:val="both"/>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sz w:val="22"/>
              <w:szCs w:val="22"/>
            </w:rPr>
            <w:t>Ayuntamiento de Almoloya de Juárez</w:t>
          </w:r>
        </w:p>
      </w:tc>
    </w:tr>
    <w:tr w:rsidR="00DE7FC4" w14:paraId="1FA43A4D" w14:textId="77777777">
      <w:tc>
        <w:tcPr>
          <w:tcW w:w="2551" w:type="dxa"/>
          <w:vAlign w:val="center"/>
        </w:tcPr>
        <w:p w14:paraId="2D9C043A" w14:textId="77777777" w:rsidR="00DE7FC4" w:rsidRDefault="00EB2EDB">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Comisionada ponente:</w:t>
          </w:r>
        </w:p>
      </w:tc>
      <w:tc>
        <w:tcPr>
          <w:tcW w:w="3052" w:type="dxa"/>
          <w:vAlign w:val="center"/>
        </w:tcPr>
        <w:p w14:paraId="555B038E" w14:textId="77777777" w:rsidR="00DE7FC4" w:rsidRDefault="00EB2EDB">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Guadalupe Ramírez Peña</w:t>
          </w:r>
        </w:p>
      </w:tc>
    </w:tr>
  </w:tbl>
  <w:p w14:paraId="7A5D5C08" w14:textId="77777777" w:rsidR="00DE7FC4" w:rsidRDefault="00DE7FC4">
    <w:pPr>
      <w:pBdr>
        <w:top w:val="nil"/>
        <w:left w:val="nil"/>
        <w:bottom w:val="nil"/>
        <w:right w:val="nil"/>
        <w:between w:val="nil"/>
      </w:pBdr>
      <w:tabs>
        <w:tab w:val="center" w:pos="4419"/>
        <w:tab w:val="right" w:pos="8838"/>
      </w:tabs>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F57F28" w14:textId="77777777" w:rsidR="00DE7FC4" w:rsidRDefault="00EB2EDB">
    <w:pPr>
      <w:widowControl w:val="0"/>
      <w:pBdr>
        <w:top w:val="nil"/>
        <w:left w:val="nil"/>
        <w:bottom w:val="nil"/>
        <w:right w:val="nil"/>
        <w:between w:val="nil"/>
      </w:pBdr>
      <w:rPr>
        <w:rFonts w:ascii="Palatino Linotype" w:eastAsia="Palatino Linotype" w:hAnsi="Palatino Linotype" w:cs="Palatino Linotype"/>
        <w:sz w:val="22"/>
        <w:szCs w:val="22"/>
      </w:rPr>
    </w:pPr>
    <w:r>
      <w:rPr>
        <w:noProof/>
      </w:rPr>
      <w:drawing>
        <wp:anchor distT="0" distB="0" distL="0" distR="0" simplePos="0" relativeHeight="251659264" behindDoc="1" locked="0" layoutInCell="1" hidden="0" allowOverlap="1" wp14:anchorId="1BB5BA6C" wp14:editId="25BD8D83">
          <wp:simplePos x="0" y="0"/>
          <wp:positionH relativeFrom="column">
            <wp:posOffset>-929004</wp:posOffset>
          </wp:positionH>
          <wp:positionV relativeFrom="paragraph">
            <wp:posOffset>-644524</wp:posOffset>
          </wp:positionV>
          <wp:extent cx="7809865" cy="10165715"/>
          <wp:effectExtent l="0" t="0" r="0" b="0"/>
          <wp:wrapNone/>
          <wp:docPr id="145012943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f7"/>
      <w:tblW w:w="5603" w:type="dxa"/>
      <w:tblInd w:w="3611" w:type="dxa"/>
      <w:tblLayout w:type="fixed"/>
      <w:tblLook w:val="0400" w:firstRow="0" w:lastRow="0" w:firstColumn="0" w:lastColumn="0" w:noHBand="0" w:noVBand="1"/>
    </w:tblPr>
    <w:tblGrid>
      <w:gridCol w:w="2551"/>
      <w:gridCol w:w="3052"/>
    </w:tblGrid>
    <w:tr w:rsidR="00DE7FC4" w14:paraId="0E68F18C" w14:textId="77777777">
      <w:tc>
        <w:tcPr>
          <w:tcW w:w="2551" w:type="dxa"/>
          <w:vAlign w:val="center"/>
        </w:tcPr>
        <w:p w14:paraId="2D1C032A" w14:textId="77777777" w:rsidR="00DE7FC4" w:rsidRDefault="00EB2EDB">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Recurso de Revisión:</w:t>
          </w:r>
        </w:p>
        <w:p w14:paraId="26B22FBC" w14:textId="77777777" w:rsidR="00DE7FC4" w:rsidRDefault="00DE7FC4">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0"/>
              <w:szCs w:val="20"/>
            </w:rPr>
          </w:pPr>
        </w:p>
      </w:tc>
      <w:tc>
        <w:tcPr>
          <w:tcW w:w="3052" w:type="dxa"/>
          <w:vAlign w:val="center"/>
        </w:tcPr>
        <w:p w14:paraId="1CDE1218" w14:textId="77777777" w:rsidR="00DE7FC4" w:rsidRDefault="00EB2EDB">
          <w:pPr>
            <w:pBdr>
              <w:top w:val="nil"/>
              <w:left w:val="nil"/>
              <w:bottom w:val="nil"/>
              <w:right w:val="nil"/>
              <w:between w:val="nil"/>
            </w:pBdr>
            <w:tabs>
              <w:tab w:val="center" w:pos="4419"/>
              <w:tab w:val="right" w:pos="8838"/>
            </w:tabs>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2"/>
              <w:szCs w:val="22"/>
            </w:rPr>
            <w:t>10419/INFOEM/IP/RR/2025</w:t>
          </w:r>
        </w:p>
      </w:tc>
    </w:tr>
    <w:tr w:rsidR="00DE7FC4" w14:paraId="1C94D4BD" w14:textId="77777777">
      <w:tc>
        <w:tcPr>
          <w:tcW w:w="2551" w:type="dxa"/>
          <w:vAlign w:val="center"/>
        </w:tcPr>
        <w:p w14:paraId="6B073EA1" w14:textId="77777777" w:rsidR="00DE7FC4" w:rsidRDefault="00EB2EDB">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Recurrente:</w:t>
          </w:r>
        </w:p>
      </w:tc>
      <w:tc>
        <w:tcPr>
          <w:tcW w:w="3052" w:type="dxa"/>
          <w:vAlign w:val="center"/>
        </w:tcPr>
        <w:p w14:paraId="0FFA9E3A" w14:textId="0970EEC3" w:rsidR="00DE7FC4" w:rsidRDefault="0004573F" w:rsidP="0004573F">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 xml:space="preserve">XXXX XXXXX XXXXXXX XXXX </w:t>
          </w:r>
        </w:p>
      </w:tc>
    </w:tr>
    <w:tr w:rsidR="00DE7FC4" w14:paraId="103E692E" w14:textId="77777777">
      <w:trPr>
        <w:trHeight w:val="152"/>
      </w:trPr>
      <w:tc>
        <w:tcPr>
          <w:tcW w:w="2551" w:type="dxa"/>
          <w:vAlign w:val="center"/>
        </w:tcPr>
        <w:p w14:paraId="14B21CF2" w14:textId="77777777" w:rsidR="00DE7FC4" w:rsidRDefault="00EB2EDB">
          <w:pPr>
            <w:tabs>
              <w:tab w:val="center" w:pos="4419"/>
              <w:tab w:val="right" w:pos="8838"/>
            </w:tabs>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Sujeto obligado:</w:t>
          </w:r>
        </w:p>
        <w:p w14:paraId="100D31EE" w14:textId="77777777" w:rsidR="00DE7FC4" w:rsidRDefault="00DE7FC4">
          <w:pPr>
            <w:tabs>
              <w:tab w:val="center" w:pos="4419"/>
              <w:tab w:val="right" w:pos="8838"/>
            </w:tabs>
            <w:rPr>
              <w:rFonts w:ascii="Palatino Linotype" w:eastAsia="Palatino Linotype" w:hAnsi="Palatino Linotype" w:cs="Palatino Linotype"/>
              <w:b/>
              <w:color w:val="000000"/>
              <w:sz w:val="20"/>
              <w:szCs w:val="20"/>
            </w:rPr>
          </w:pPr>
        </w:p>
      </w:tc>
      <w:tc>
        <w:tcPr>
          <w:tcW w:w="3052" w:type="dxa"/>
          <w:vAlign w:val="center"/>
        </w:tcPr>
        <w:p w14:paraId="65412BE9" w14:textId="77777777" w:rsidR="00DE7FC4" w:rsidRDefault="00EB2EDB">
          <w:pPr>
            <w:pBdr>
              <w:top w:val="nil"/>
              <w:left w:val="nil"/>
              <w:bottom w:val="nil"/>
              <w:right w:val="nil"/>
              <w:between w:val="nil"/>
            </w:pBdr>
            <w:tabs>
              <w:tab w:val="center" w:pos="4419"/>
              <w:tab w:val="right" w:pos="8838"/>
            </w:tabs>
            <w:ind w:right="174"/>
            <w:jc w:val="both"/>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sz w:val="22"/>
              <w:szCs w:val="22"/>
            </w:rPr>
            <w:t>Ayuntamiento de Almoloya de Juárez</w:t>
          </w:r>
        </w:p>
      </w:tc>
    </w:tr>
    <w:tr w:rsidR="00DE7FC4" w14:paraId="2EF9DC6F" w14:textId="77777777">
      <w:tc>
        <w:tcPr>
          <w:tcW w:w="2551" w:type="dxa"/>
          <w:vAlign w:val="center"/>
        </w:tcPr>
        <w:p w14:paraId="4555D3E4" w14:textId="77777777" w:rsidR="00DE7FC4" w:rsidRDefault="00EB2EDB">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Comisionada ponente:</w:t>
          </w:r>
        </w:p>
      </w:tc>
      <w:tc>
        <w:tcPr>
          <w:tcW w:w="3052" w:type="dxa"/>
          <w:vAlign w:val="center"/>
        </w:tcPr>
        <w:p w14:paraId="08AEA4ED" w14:textId="77777777" w:rsidR="00DE7FC4" w:rsidRDefault="00EB2EDB">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Guadalupe Ramírez Peña</w:t>
          </w:r>
        </w:p>
      </w:tc>
    </w:tr>
  </w:tbl>
  <w:p w14:paraId="428A5AFA" w14:textId="77777777" w:rsidR="00DE7FC4" w:rsidRDefault="00EB2EDB">
    <w:pPr>
      <w:rPr>
        <w:color w:val="000000"/>
        <w:sz w:val="22"/>
        <w:szCs w:val="22"/>
      </w:rPr>
    </w:pPr>
    <w:r>
      <w:rPr>
        <w:color w:val="000000"/>
        <w:sz w:val="22"/>
        <w:szCs w:val="22"/>
      </w:rP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BE762B"/>
    <w:multiLevelType w:val="multilevel"/>
    <w:tmpl w:val="2BF47FF2"/>
    <w:lvl w:ilvl="0">
      <w:start w:val="1"/>
      <w:numFmt w:val="decimal"/>
      <w:pStyle w:val="Listaconvietas"/>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EEE455F"/>
    <w:multiLevelType w:val="multilevel"/>
    <w:tmpl w:val="048267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A302748"/>
    <w:multiLevelType w:val="multilevel"/>
    <w:tmpl w:val="8458B7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3AF45797"/>
    <w:multiLevelType w:val="multilevel"/>
    <w:tmpl w:val="1ABCEC74"/>
    <w:lvl w:ilvl="0">
      <w:start w:val="1"/>
      <w:numFmt w:val="bullet"/>
      <w:pStyle w:val="Listaconvietas3"/>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5BB90EE6"/>
    <w:multiLevelType w:val="multilevel"/>
    <w:tmpl w:val="A282F2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5D5B354D"/>
    <w:multiLevelType w:val="multilevel"/>
    <w:tmpl w:val="F95E26C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6538635C"/>
    <w:multiLevelType w:val="multilevel"/>
    <w:tmpl w:val="319A2D8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3"/>
  </w:num>
  <w:num w:numId="2">
    <w:abstractNumId w:val="2"/>
  </w:num>
  <w:num w:numId="3">
    <w:abstractNumId w:val="4"/>
  </w:num>
  <w:num w:numId="4">
    <w:abstractNumId w:val="6"/>
  </w:num>
  <w:num w:numId="5">
    <w:abstractNumId w:val="1"/>
  </w:num>
  <w:num w:numId="6">
    <w:abstractNumId w:val="0"/>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7FC4"/>
    <w:rsid w:val="0004573F"/>
    <w:rsid w:val="00223733"/>
    <w:rsid w:val="00687488"/>
    <w:rsid w:val="00D82002"/>
    <w:rsid w:val="00DE7FC4"/>
    <w:rsid w:val="00EB2ED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947796"/>
  <w15:docId w15:val="{6B872DF9-F8B8-48A8-8BB8-62F3F7926E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Normal"/>
    <w:tblPr>
      <w:tblCellMar>
        <w:top w:w="0" w:type="dxa"/>
        <w:left w:w="0" w:type="dxa"/>
        <w:bottom w:w="0" w:type="dxa"/>
        <w:right w:w="0" w:type="dxa"/>
      </w:tblCellMar>
    </w:tblPr>
  </w:style>
  <w:style w:type="table" w:customStyle="1" w:styleId="TableNormal1">
    <w:name w:val="Table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20">
    <w:name w:val="Table Normal2"/>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paragraph" w:styleId="Encabezado">
    <w:name w:val="header"/>
    <w:basedOn w:val="Normal"/>
    <w:link w:val="EncabezadoCar"/>
    <w:uiPriority w:val="99"/>
    <w:unhideWhenUsed/>
    <w:rsid w:val="00CD74AE"/>
    <w:pPr>
      <w:tabs>
        <w:tab w:val="center" w:pos="4419"/>
        <w:tab w:val="right" w:pos="8838"/>
      </w:tabs>
    </w:pPr>
  </w:style>
  <w:style w:type="character" w:customStyle="1" w:styleId="EncabezadoCar">
    <w:name w:val="Encabezado Car"/>
    <w:basedOn w:val="Fuentedeprrafopredeter"/>
    <w:link w:val="Encabezado"/>
    <w:uiPriority w:val="99"/>
    <w:rsid w:val="00CD74AE"/>
  </w:style>
  <w:style w:type="paragraph" w:styleId="Piedepgina">
    <w:name w:val="footer"/>
    <w:basedOn w:val="Normal"/>
    <w:link w:val="PiedepginaCar"/>
    <w:uiPriority w:val="99"/>
    <w:unhideWhenUsed/>
    <w:rsid w:val="00CD74AE"/>
    <w:pPr>
      <w:tabs>
        <w:tab w:val="center" w:pos="4419"/>
        <w:tab w:val="right" w:pos="8838"/>
      </w:tabs>
    </w:pPr>
  </w:style>
  <w:style w:type="character" w:customStyle="1" w:styleId="PiedepginaCar">
    <w:name w:val="Pie de página Car"/>
    <w:basedOn w:val="Fuentedeprrafopredeter"/>
    <w:link w:val="Piedepgina"/>
    <w:uiPriority w:val="99"/>
    <w:rsid w:val="00CD74AE"/>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CD74AE"/>
    <w:pPr>
      <w:ind w:left="720"/>
      <w:contextualSpacing/>
    </w:pPr>
  </w:style>
  <w:style w:type="character" w:styleId="Hipervnculo">
    <w:name w:val="Hyperlink"/>
    <w:aliases w:val="Hipervínculo1,Hipervínculo11,Hipervínculo12,Hipervínculo13,Hipervínculo14,Hipervínculo15"/>
    <w:basedOn w:val="Fuentedeprrafopredeter"/>
    <w:uiPriority w:val="99"/>
    <w:unhideWhenUsed/>
    <w:qFormat/>
    <w:rsid w:val="00CD74AE"/>
    <w:rPr>
      <w:color w:val="0563C1" w:themeColor="hyperlink"/>
      <w:u w:val="single"/>
    </w:rPr>
  </w:style>
  <w:style w:type="table" w:styleId="Tablaconcuadrcula">
    <w:name w:val="Table Grid"/>
    <w:basedOn w:val="Tablanormal"/>
    <w:uiPriority w:val="39"/>
    <w:rsid w:val="009C1D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7D2AA5"/>
    <w:pPr>
      <w:spacing w:before="100" w:beforeAutospacing="1" w:after="100" w:afterAutospacing="1"/>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F3FE6"/>
  </w:style>
  <w:style w:type="table" w:customStyle="1" w:styleId="6">
    <w:name w:val="6"/>
    <w:basedOn w:val="TableNormal10"/>
    <w:tblPr>
      <w:tblStyleRowBandSize w:val="1"/>
      <w:tblStyleColBandSize w:val="1"/>
      <w:tblCellMar>
        <w:top w:w="15" w:type="dxa"/>
        <w:left w:w="15" w:type="dxa"/>
        <w:bottom w:w="15" w:type="dxa"/>
        <w:right w:w="15" w:type="dxa"/>
      </w:tblCellMar>
    </w:tblPr>
  </w:style>
  <w:style w:type="table" w:customStyle="1" w:styleId="5">
    <w:name w:val="5"/>
    <w:basedOn w:val="TableNormal10"/>
    <w:tblPr>
      <w:tblStyleRowBandSize w:val="1"/>
      <w:tblStyleColBandSize w:val="1"/>
      <w:tblCellMar>
        <w:left w:w="115" w:type="dxa"/>
        <w:right w:w="115" w:type="dxa"/>
      </w:tblCellMar>
    </w:tblPr>
  </w:style>
  <w:style w:type="table" w:customStyle="1" w:styleId="4">
    <w:name w:val="4"/>
    <w:basedOn w:val="TableNormal10"/>
    <w:tblPr>
      <w:tblStyleRowBandSize w:val="1"/>
      <w:tblStyleColBandSize w:val="1"/>
      <w:tblCellMar>
        <w:left w:w="115" w:type="dxa"/>
        <w:right w:w="115" w:type="dxa"/>
      </w:tblCellMar>
    </w:tblPr>
  </w:style>
  <w:style w:type="table" w:customStyle="1" w:styleId="3">
    <w:name w:val="3"/>
    <w:basedOn w:val="TableNormal10"/>
    <w:tblPr>
      <w:tblStyleRowBandSize w:val="1"/>
      <w:tblStyleColBandSize w:val="1"/>
      <w:tblCellMar>
        <w:top w:w="15" w:type="dxa"/>
        <w:left w:w="115" w:type="dxa"/>
        <w:bottom w:w="15" w:type="dxa"/>
        <w:right w:w="115" w:type="dxa"/>
      </w:tblCellMar>
    </w:tblPr>
  </w:style>
  <w:style w:type="table" w:customStyle="1" w:styleId="2">
    <w:name w:val="2"/>
    <w:basedOn w:val="TableNormal10"/>
    <w:tblPr>
      <w:tblStyleRowBandSize w:val="1"/>
      <w:tblStyleColBandSize w:val="1"/>
      <w:tblCellMar>
        <w:top w:w="15" w:type="dxa"/>
        <w:left w:w="115" w:type="dxa"/>
        <w:bottom w:w="15" w:type="dxa"/>
        <w:right w:w="115" w:type="dxa"/>
      </w:tblCellMar>
    </w:tblPr>
  </w:style>
  <w:style w:type="table" w:customStyle="1" w:styleId="1">
    <w:name w:val="1"/>
    <w:basedOn w:val="TableNormal10"/>
    <w:tblPr>
      <w:tblStyleRowBandSize w:val="1"/>
      <w:tblStyleColBandSize w:val="1"/>
      <w:tblCellMar>
        <w:top w:w="15" w:type="dxa"/>
        <w:left w:w="115" w:type="dxa"/>
        <w:bottom w:w="15" w:type="dxa"/>
        <w:right w:w="115" w:type="dxa"/>
      </w:tblCellMar>
    </w:tblPr>
  </w:style>
  <w:style w:type="character" w:customStyle="1" w:styleId="Mencinsinresolver1">
    <w:name w:val="Mención sin resolver1"/>
    <w:basedOn w:val="Fuentedeprrafopredeter"/>
    <w:uiPriority w:val="99"/>
    <w:semiHidden/>
    <w:unhideWhenUsed/>
    <w:rsid w:val="00B63FC6"/>
    <w:rPr>
      <w:color w:val="605E5C"/>
      <w:shd w:val="clear" w:color="auto" w:fill="E1DFDD"/>
    </w:rPr>
  </w:style>
  <w:style w:type="character" w:customStyle="1" w:styleId="Mencinsinresolver2">
    <w:name w:val="Mención sin resolver2"/>
    <w:basedOn w:val="Fuentedeprrafopredeter"/>
    <w:uiPriority w:val="99"/>
    <w:semiHidden/>
    <w:unhideWhenUsed/>
    <w:rsid w:val="00AC79ED"/>
    <w:rPr>
      <w:color w:val="605E5C"/>
      <w:shd w:val="clear" w:color="auto" w:fill="E1DFDD"/>
    </w:rPr>
  </w:style>
  <w:style w:type="paragraph" w:customStyle="1" w:styleId="Default">
    <w:name w:val="Default"/>
    <w:rsid w:val="00A27592"/>
    <w:pPr>
      <w:autoSpaceDE w:val="0"/>
      <w:autoSpaceDN w:val="0"/>
      <w:adjustRightInd w:val="0"/>
    </w:pPr>
    <w:rPr>
      <w:rFonts w:ascii="Arial" w:hAnsi="Arial" w:cs="Arial"/>
      <w:color w:val="000000"/>
    </w:rPr>
  </w:style>
  <w:style w:type="character" w:customStyle="1" w:styleId="normaltextrun">
    <w:name w:val="normaltextrun"/>
    <w:basedOn w:val="Fuentedeprrafopredeter"/>
    <w:rsid w:val="002F3C2D"/>
  </w:style>
  <w:style w:type="paragraph" w:styleId="Sinespaciado">
    <w:name w:val="No Spacing"/>
    <w:aliases w:val="Francesa,INAI"/>
    <w:link w:val="SinespaciadoCar"/>
    <w:uiPriority w:val="1"/>
    <w:qFormat/>
    <w:rsid w:val="00F01E4E"/>
    <w:rPr>
      <w:lang w:val="es-ES" w:eastAsia="es-ES"/>
    </w:rPr>
  </w:style>
  <w:style w:type="character" w:customStyle="1" w:styleId="SinespaciadoCar">
    <w:name w:val="Sin espaciado Car"/>
    <w:aliases w:val="Francesa Car,INAI Car"/>
    <w:link w:val="Sinespaciado"/>
    <w:uiPriority w:val="1"/>
    <w:locked/>
    <w:rsid w:val="00F01E4E"/>
    <w:rPr>
      <w:rFonts w:ascii="Times New Roman" w:eastAsia="Times New Roman" w:hAnsi="Times New Roman" w:cs="Times New Roman"/>
      <w:sz w:val="24"/>
      <w:szCs w:val="24"/>
      <w:lang w:val="es-ES" w:eastAsia="es-ES"/>
    </w:rPr>
  </w:style>
  <w:style w:type="table" w:customStyle="1" w:styleId="9">
    <w:name w:val="9"/>
    <w:basedOn w:val="TableNormal20"/>
    <w:tblPr>
      <w:tblStyleRowBandSize w:val="1"/>
      <w:tblStyleColBandSize w:val="1"/>
      <w:tblCellMar>
        <w:left w:w="108" w:type="dxa"/>
        <w:right w:w="108" w:type="dxa"/>
      </w:tblCellMar>
    </w:tblPr>
  </w:style>
  <w:style w:type="table" w:customStyle="1" w:styleId="8">
    <w:name w:val="8"/>
    <w:basedOn w:val="TableNormal20"/>
    <w:tblPr>
      <w:tblStyleRowBandSize w:val="1"/>
      <w:tblStyleColBandSize w:val="1"/>
      <w:tblCellMar>
        <w:top w:w="15" w:type="dxa"/>
        <w:left w:w="115" w:type="dxa"/>
        <w:bottom w:w="15" w:type="dxa"/>
        <w:right w:w="115" w:type="dxa"/>
      </w:tblCellMar>
    </w:tblPr>
  </w:style>
  <w:style w:type="table" w:customStyle="1" w:styleId="7">
    <w:name w:val="7"/>
    <w:basedOn w:val="TableNormal20"/>
    <w:tblPr>
      <w:tblStyleRowBandSize w:val="1"/>
      <w:tblStyleColBandSize w:val="1"/>
      <w:tblCellMar>
        <w:top w:w="15" w:type="dxa"/>
        <w:left w:w="115" w:type="dxa"/>
        <w:bottom w:w="15" w:type="dxa"/>
        <w:right w:w="115" w:type="dxa"/>
      </w:tblCellMar>
    </w:tblPr>
  </w:style>
  <w:style w:type="character" w:customStyle="1" w:styleId="Mencinsinresolver3">
    <w:name w:val="Mención sin resolver3"/>
    <w:basedOn w:val="Fuentedeprrafopredeter"/>
    <w:uiPriority w:val="99"/>
    <w:semiHidden/>
    <w:unhideWhenUsed/>
    <w:rsid w:val="00B91EC4"/>
    <w:rPr>
      <w:color w:val="605E5C"/>
      <w:shd w:val="clear" w:color="auto" w:fill="E1DFDD"/>
    </w:rPr>
  </w:style>
  <w:style w:type="character" w:styleId="Refdecomentario">
    <w:name w:val="annotation reference"/>
    <w:basedOn w:val="Fuentedeprrafopredeter"/>
    <w:uiPriority w:val="99"/>
    <w:semiHidden/>
    <w:unhideWhenUsed/>
    <w:rsid w:val="007266CA"/>
    <w:rPr>
      <w:sz w:val="16"/>
      <w:szCs w:val="16"/>
    </w:rPr>
  </w:style>
  <w:style w:type="paragraph" w:styleId="Textocomentario">
    <w:name w:val="annotation text"/>
    <w:basedOn w:val="Normal"/>
    <w:link w:val="TextocomentarioCar"/>
    <w:uiPriority w:val="99"/>
    <w:semiHidden/>
    <w:unhideWhenUsed/>
    <w:rsid w:val="007266CA"/>
    <w:rPr>
      <w:sz w:val="20"/>
      <w:szCs w:val="20"/>
    </w:rPr>
  </w:style>
  <w:style w:type="character" w:customStyle="1" w:styleId="TextocomentarioCar">
    <w:name w:val="Texto comentario Car"/>
    <w:basedOn w:val="Fuentedeprrafopredeter"/>
    <w:link w:val="Textocomentario"/>
    <w:uiPriority w:val="99"/>
    <w:semiHidden/>
    <w:rsid w:val="007266CA"/>
    <w:rPr>
      <w:rFonts w:eastAsia="Times New Roman" w:cs="Times New Roman"/>
      <w:sz w:val="20"/>
      <w:szCs w:val="20"/>
      <w:lang w:eastAsia="en-US"/>
    </w:rPr>
  </w:style>
  <w:style w:type="paragraph" w:styleId="Asuntodelcomentario">
    <w:name w:val="annotation subject"/>
    <w:basedOn w:val="Textocomentario"/>
    <w:next w:val="Textocomentario"/>
    <w:link w:val="AsuntodelcomentarioCar"/>
    <w:uiPriority w:val="99"/>
    <w:semiHidden/>
    <w:unhideWhenUsed/>
    <w:rsid w:val="007266CA"/>
    <w:rPr>
      <w:b/>
      <w:bCs/>
    </w:rPr>
  </w:style>
  <w:style w:type="character" w:customStyle="1" w:styleId="AsuntodelcomentarioCar">
    <w:name w:val="Asunto del comentario Car"/>
    <w:basedOn w:val="TextocomentarioCar"/>
    <w:link w:val="Asuntodelcomentario"/>
    <w:uiPriority w:val="99"/>
    <w:semiHidden/>
    <w:rsid w:val="007266CA"/>
    <w:rPr>
      <w:rFonts w:eastAsia="Times New Roman" w:cs="Times New Roman"/>
      <w:b/>
      <w:bCs/>
      <w:sz w:val="20"/>
      <w:szCs w:val="20"/>
      <w:lang w:eastAsia="en-US"/>
    </w:rPr>
  </w:style>
  <w:style w:type="character" w:styleId="Textodelmarcadordeposicin">
    <w:name w:val="Placeholder Text"/>
    <w:basedOn w:val="Fuentedeprrafopredeter"/>
    <w:uiPriority w:val="99"/>
    <w:semiHidden/>
    <w:rsid w:val="007266CA"/>
    <w:rPr>
      <w:color w:val="808080"/>
    </w:rPr>
  </w:style>
  <w:style w:type="character" w:styleId="Hipervnculovisitado">
    <w:name w:val="FollowedHyperlink"/>
    <w:basedOn w:val="Fuentedeprrafopredeter"/>
    <w:uiPriority w:val="99"/>
    <w:semiHidden/>
    <w:unhideWhenUsed/>
    <w:rsid w:val="00FC1F2B"/>
    <w:rPr>
      <w:color w:val="954F72" w:themeColor="followed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FC1F2B"/>
    <w:rPr>
      <w:rFonts w:asciiTheme="minorHAnsi" w:eastAsiaTheme="minorHAnsi" w:hAnsiTheme="minorHAnsi" w:cstheme="minorBidi"/>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FC1F2B"/>
    <w:rPr>
      <w:rFonts w:asciiTheme="minorHAnsi" w:eastAsiaTheme="minorHAnsi" w:hAnsiTheme="minorHAnsi" w:cstheme="minorBidi"/>
      <w:sz w:val="20"/>
      <w:szCs w:val="20"/>
      <w:lang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FC1F2B"/>
    <w:rPr>
      <w:vertAlign w:val="superscript"/>
    </w:rPr>
  </w:style>
  <w:style w:type="character" w:customStyle="1" w:styleId="PuestoCar">
    <w:name w:val="Puesto Car"/>
    <w:aliases w:val="Cita textual Car"/>
    <w:basedOn w:val="Fuentedeprrafopredeter"/>
    <w:uiPriority w:val="10"/>
    <w:rsid w:val="00EC101D"/>
    <w:rPr>
      <w:rFonts w:eastAsia="Times New Roman" w:cs="Times New Roman"/>
      <w:b/>
      <w:sz w:val="72"/>
      <w:szCs w:val="72"/>
      <w:lang w:eastAsia="en-US"/>
    </w:rPr>
  </w:style>
  <w:style w:type="table" w:customStyle="1" w:styleId="Tablanormal11">
    <w:name w:val="Tabla normal 11"/>
    <w:basedOn w:val="Tablanormal"/>
    <w:uiPriority w:val="41"/>
    <w:rsid w:val="009A0A8D"/>
    <w:rPr>
      <w:rFonts w:asciiTheme="minorHAnsi" w:eastAsiaTheme="minorHAnsi" w:hAnsiTheme="minorHAnsi" w:cstheme="minorBidi"/>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a">
    <w:basedOn w:val="TableNormal4"/>
    <w:tblPr>
      <w:tblStyleRowBandSize w:val="1"/>
      <w:tblStyleColBandSize w:val="1"/>
      <w:tblCellMar>
        <w:left w:w="115" w:type="dxa"/>
        <w:right w:w="115" w:type="dxa"/>
      </w:tblCellMar>
    </w:tblPr>
  </w:style>
  <w:style w:type="table" w:customStyle="1" w:styleId="a0">
    <w:basedOn w:val="TableNormal4"/>
    <w:tblPr>
      <w:tblStyleRowBandSize w:val="1"/>
      <w:tblStyleColBandSize w:val="1"/>
      <w:tblCellMar>
        <w:left w:w="115" w:type="dxa"/>
        <w:right w:w="115" w:type="dxa"/>
      </w:tblCellMar>
    </w:tblPr>
  </w:style>
  <w:style w:type="table" w:customStyle="1" w:styleId="a1">
    <w:basedOn w:val="TableNormal4"/>
    <w:tblPr>
      <w:tblStyleRowBandSize w:val="1"/>
      <w:tblStyleColBandSize w:val="1"/>
      <w:tblCellMar>
        <w:left w:w="115" w:type="dxa"/>
        <w:right w:w="115" w:type="dxa"/>
      </w:tblCellMar>
    </w:tblPr>
  </w:style>
  <w:style w:type="table" w:customStyle="1" w:styleId="a2">
    <w:basedOn w:val="TableNormal4"/>
    <w:tblPr>
      <w:tblStyleRowBandSize w:val="1"/>
      <w:tblStyleColBandSize w:val="1"/>
      <w:tblCellMar>
        <w:left w:w="115" w:type="dxa"/>
        <w:right w:w="115" w:type="dxa"/>
      </w:tblCellMar>
    </w:tblPr>
  </w:style>
  <w:style w:type="table" w:customStyle="1" w:styleId="a3">
    <w:basedOn w:val="TableNormal4"/>
    <w:tblPr>
      <w:tblStyleRowBandSize w:val="1"/>
      <w:tblStyleColBandSize w:val="1"/>
      <w:tblCellMar>
        <w:top w:w="15" w:type="dxa"/>
        <w:left w:w="115" w:type="dxa"/>
        <w:bottom w:w="15" w:type="dxa"/>
        <w:right w:w="115" w:type="dxa"/>
      </w:tblCellMar>
    </w:tblPr>
  </w:style>
  <w:style w:type="table" w:customStyle="1" w:styleId="a4">
    <w:basedOn w:val="TableNormal4"/>
    <w:tblPr>
      <w:tblStyleRowBandSize w:val="1"/>
      <w:tblStyleColBandSize w:val="1"/>
      <w:tblCellMar>
        <w:top w:w="15" w:type="dxa"/>
        <w:left w:w="115" w:type="dxa"/>
        <w:bottom w:w="15" w:type="dxa"/>
        <w:right w:w="115" w:type="dxa"/>
      </w:tblCellMar>
    </w:tblPr>
  </w:style>
  <w:style w:type="table" w:customStyle="1" w:styleId="a5">
    <w:basedOn w:val="TableNormal3"/>
    <w:tblPr>
      <w:tblStyleRowBandSize w:val="1"/>
      <w:tblStyleColBandSize w:val="1"/>
      <w:tblCellMar>
        <w:left w:w="115" w:type="dxa"/>
        <w:right w:w="115" w:type="dxa"/>
      </w:tblCellMar>
    </w:tblPr>
  </w:style>
  <w:style w:type="table" w:customStyle="1" w:styleId="a6">
    <w:basedOn w:val="TableNormal3"/>
    <w:tblPr>
      <w:tblStyleRowBandSize w:val="1"/>
      <w:tblStyleColBandSize w:val="1"/>
      <w:tblCellMar>
        <w:left w:w="115" w:type="dxa"/>
        <w:right w:w="115" w:type="dxa"/>
      </w:tblCellMar>
    </w:tblPr>
  </w:style>
  <w:style w:type="table" w:customStyle="1" w:styleId="a7">
    <w:basedOn w:val="TableNormal3"/>
    <w:tblPr>
      <w:tblStyleRowBandSize w:val="1"/>
      <w:tblStyleColBandSize w:val="1"/>
      <w:tblCellMar>
        <w:left w:w="115" w:type="dxa"/>
        <w:right w:w="115" w:type="dxa"/>
      </w:tblCellMar>
    </w:tblPr>
  </w:style>
  <w:style w:type="table" w:customStyle="1" w:styleId="a8">
    <w:basedOn w:val="TableNormal3"/>
    <w:tblPr>
      <w:tblStyleRowBandSize w:val="1"/>
      <w:tblStyleColBandSize w:val="1"/>
      <w:tblCellMar>
        <w:left w:w="115" w:type="dxa"/>
        <w:right w:w="115" w:type="dxa"/>
      </w:tblCellMar>
    </w:tblPr>
  </w:style>
  <w:style w:type="table" w:customStyle="1" w:styleId="a9">
    <w:basedOn w:val="TableNormal3"/>
    <w:tblPr>
      <w:tblStyleRowBandSize w:val="1"/>
      <w:tblStyleColBandSize w:val="1"/>
      <w:tblCellMar>
        <w:top w:w="15" w:type="dxa"/>
        <w:left w:w="115" w:type="dxa"/>
        <w:bottom w:w="15" w:type="dxa"/>
        <w:right w:w="115" w:type="dxa"/>
      </w:tblCellMar>
    </w:tblPr>
  </w:style>
  <w:style w:type="table" w:customStyle="1" w:styleId="aa">
    <w:basedOn w:val="TableNormal3"/>
    <w:tblPr>
      <w:tblStyleRowBandSize w:val="1"/>
      <w:tblStyleColBandSize w:val="1"/>
      <w:tblCellMar>
        <w:top w:w="15" w:type="dxa"/>
        <w:left w:w="115" w:type="dxa"/>
        <w:bottom w:w="15" w:type="dxa"/>
        <w:right w:w="115" w:type="dxa"/>
      </w:tblCellMar>
    </w:tblPr>
  </w:style>
  <w:style w:type="table" w:customStyle="1" w:styleId="ab">
    <w:basedOn w:val="TableNormal2"/>
    <w:tblPr>
      <w:tblStyleRowBandSize w:val="1"/>
      <w:tblStyleColBandSize w:val="1"/>
      <w:tblCellMar>
        <w:left w:w="115" w:type="dxa"/>
        <w:right w:w="115" w:type="dxa"/>
      </w:tblCellMar>
    </w:tblPr>
  </w:style>
  <w:style w:type="table" w:customStyle="1" w:styleId="ac">
    <w:basedOn w:val="TableNormal2"/>
    <w:tblPr>
      <w:tblStyleRowBandSize w:val="1"/>
      <w:tblStyleColBandSize w:val="1"/>
      <w:tblCellMar>
        <w:left w:w="115" w:type="dxa"/>
        <w:right w:w="115" w:type="dxa"/>
      </w:tblCellMar>
    </w:tblPr>
  </w:style>
  <w:style w:type="table" w:customStyle="1" w:styleId="ad">
    <w:basedOn w:val="TableNormal2"/>
    <w:tblPr>
      <w:tblStyleRowBandSize w:val="1"/>
      <w:tblStyleColBandSize w:val="1"/>
      <w:tblCellMar>
        <w:left w:w="115" w:type="dxa"/>
        <w:right w:w="115" w:type="dxa"/>
      </w:tblCellMar>
    </w:tblPr>
  </w:style>
  <w:style w:type="table" w:customStyle="1" w:styleId="ae">
    <w:basedOn w:val="TableNormal2"/>
    <w:tblPr>
      <w:tblStyleRowBandSize w:val="1"/>
      <w:tblStyleColBandSize w:val="1"/>
      <w:tblCellMar>
        <w:left w:w="115" w:type="dxa"/>
        <w:right w:w="115" w:type="dxa"/>
      </w:tblCellMar>
    </w:tblPr>
  </w:style>
  <w:style w:type="table" w:customStyle="1" w:styleId="af">
    <w:basedOn w:val="TableNormal2"/>
    <w:tblPr>
      <w:tblStyleRowBandSize w:val="1"/>
      <w:tblStyleColBandSize w:val="1"/>
      <w:tblCellMar>
        <w:left w:w="108" w:type="dxa"/>
        <w:right w:w="108" w:type="dxa"/>
      </w:tblCellMar>
    </w:tblPr>
  </w:style>
  <w:style w:type="table" w:customStyle="1" w:styleId="af0">
    <w:basedOn w:val="TableNormal2"/>
    <w:tblPr>
      <w:tblStyleRowBandSize w:val="1"/>
      <w:tblStyleColBandSize w:val="1"/>
      <w:tblCellMar>
        <w:left w:w="108" w:type="dxa"/>
        <w:right w:w="108" w:type="dxa"/>
      </w:tblCellMar>
    </w:tblPr>
  </w:style>
  <w:style w:type="table" w:customStyle="1" w:styleId="af1">
    <w:basedOn w:val="TableNormal2"/>
    <w:tblPr>
      <w:tblStyleRowBandSize w:val="1"/>
      <w:tblStyleColBandSize w:val="1"/>
      <w:tblCellMar>
        <w:top w:w="15" w:type="dxa"/>
        <w:left w:w="115" w:type="dxa"/>
        <w:bottom w:w="15" w:type="dxa"/>
        <w:right w:w="115" w:type="dxa"/>
      </w:tblCellMar>
    </w:tblPr>
  </w:style>
  <w:style w:type="table" w:customStyle="1" w:styleId="af2">
    <w:basedOn w:val="TableNormal2"/>
    <w:tblPr>
      <w:tblStyleRowBandSize w:val="1"/>
      <w:tblStyleColBandSize w:val="1"/>
      <w:tblCellMar>
        <w:top w:w="15" w:type="dxa"/>
        <w:left w:w="115" w:type="dxa"/>
        <w:bottom w:w="15" w:type="dxa"/>
        <w:right w:w="115" w:type="dxa"/>
      </w:tblCellMar>
    </w:tblPr>
  </w:style>
  <w:style w:type="character" w:styleId="Textoennegrita">
    <w:name w:val="Strong"/>
    <w:basedOn w:val="Fuentedeprrafopredeter"/>
    <w:uiPriority w:val="22"/>
    <w:qFormat/>
    <w:rsid w:val="00AC6527"/>
    <w:rPr>
      <w:b/>
      <w:bCs/>
    </w:rPr>
  </w:style>
  <w:style w:type="character" w:customStyle="1" w:styleId="apple-tab-span">
    <w:name w:val="apple-tab-span"/>
    <w:basedOn w:val="Fuentedeprrafopredeter"/>
    <w:rsid w:val="00EB58F7"/>
  </w:style>
  <w:style w:type="paragraph" w:styleId="Listaconvietas3">
    <w:name w:val="List Bullet 3"/>
    <w:basedOn w:val="Normal"/>
    <w:uiPriority w:val="99"/>
    <w:unhideWhenUsed/>
    <w:rsid w:val="00AF720B"/>
    <w:pPr>
      <w:numPr>
        <w:numId w:val="1"/>
      </w:numPr>
      <w:contextualSpacing/>
    </w:pPr>
  </w:style>
  <w:style w:type="table" w:customStyle="1" w:styleId="af3">
    <w:basedOn w:val="TableNormal1"/>
    <w:tblPr>
      <w:tblStyleRowBandSize w:val="1"/>
      <w:tblStyleColBandSize w:val="1"/>
      <w:tblCellMar>
        <w:left w:w="115" w:type="dxa"/>
        <w:right w:w="115" w:type="dxa"/>
      </w:tblCellMar>
    </w:tblPr>
  </w:style>
  <w:style w:type="table" w:customStyle="1" w:styleId="af4">
    <w:basedOn w:val="TableNormal1"/>
    <w:tblPr>
      <w:tblStyleRowBandSize w:val="1"/>
      <w:tblStyleColBandSize w:val="1"/>
      <w:tblCellMar>
        <w:top w:w="15" w:type="dxa"/>
        <w:left w:w="115" w:type="dxa"/>
        <w:bottom w:w="15" w:type="dxa"/>
        <w:right w:w="115" w:type="dxa"/>
      </w:tblCellMar>
    </w:tblPr>
  </w:style>
  <w:style w:type="table" w:customStyle="1" w:styleId="af5">
    <w:basedOn w:val="TableNormal1"/>
    <w:tblPr>
      <w:tblStyleRowBandSize w:val="1"/>
      <w:tblStyleColBandSize w:val="1"/>
      <w:tblCellMar>
        <w:top w:w="15" w:type="dxa"/>
        <w:left w:w="115" w:type="dxa"/>
        <w:bottom w:w="15" w:type="dxa"/>
        <w:right w:w="115" w:type="dxa"/>
      </w:tblCellMar>
    </w:tblPr>
  </w:style>
  <w:style w:type="paragraph" w:styleId="Listaconvietas">
    <w:name w:val="List Bullet"/>
    <w:basedOn w:val="Normal"/>
    <w:uiPriority w:val="99"/>
    <w:unhideWhenUsed/>
    <w:rsid w:val="00E97D6F"/>
    <w:pPr>
      <w:numPr>
        <w:numId w:val="6"/>
      </w:numPr>
      <w:contextualSpacing/>
    </w:pPr>
    <w:rPr>
      <w:lang w:val="es-ES"/>
    </w:rPr>
  </w:style>
  <w:style w:type="character" w:customStyle="1" w:styleId="Mencinsinresolver4">
    <w:name w:val="Mención sin resolver4"/>
    <w:basedOn w:val="Fuentedeprrafopredeter"/>
    <w:uiPriority w:val="99"/>
    <w:semiHidden/>
    <w:unhideWhenUsed/>
    <w:rsid w:val="00E8288F"/>
    <w:rPr>
      <w:color w:val="605E5C"/>
      <w:shd w:val="clear" w:color="auto" w:fill="E1DFDD"/>
    </w:rPr>
  </w:style>
  <w:style w:type="paragraph" w:customStyle="1" w:styleId="xgmail-msonormal">
    <w:name w:val="x_gmail-msonormal"/>
    <w:basedOn w:val="Normal"/>
    <w:rsid w:val="009B2050"/>
    <w:pPr>
      <w:spacing w:before="100" w:beforeAutospacing="1" w:after="100" w:afterAutospacing="1"/>
    </w:pPr>
    <w:rPr>
      <w:lang w:val="en-US" w:eastAsia="en-US"/>
    </w:rPr>
  </w:style>
  <w:style w:type="table" w:customStyle="1" w:styleId="11">
    <w:name w:val="11"/>
    <w:basedOn w:val="Tablanormal"/>
    <w:rsid w:val="0087332C"/>
    <w:rPr>
      <w:lang w:val="es-ES"/>
    </w:rPr>
    <w:tblPr>
      <w:tblStyleRowBandSize w:val="1"/>
      <w:tblStyleColBandSize w:val="1"/>
      <w:tblInd w:w="0" w:type="nil"/>
      <w:tblCellMar>
        <w:left w:w="115" w:type="dxa"/>
        <w:right w:w="115" w:type="dxa"/>
      </w:tblCellMar>
    </w:tblPr>
  </w:style>
  <w:style w:type="table" w:customStyle="1" w:styleId="10">
    <w:name w:val="10"/>
    <w:basedOn w:val="Tablanormal"/>
    <w:rsid w:val="0087332C"/>
    <w:rPr>
      <w:lang w:val="es-ES"/>
    </w:rPr>
    <w:tblPr>
      <w:tblStyleRowBandSize w:val="1"/>
      <w:tblStyleColBandSize w:val="1"/>
      <w:tblInd w:w="0" w:type="nil"/>
      <w:tblCellMar>
        <w:left w:w="115" w:type="dxa"/>
        <w:right w:w="115"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f6">
    <w:basedOn w:val="TableNormal0"/>
    <w:tblPr>
      <w:tblStyleRowBandSize w:val="1"/>
      <w:tblStyleColBandSize w:val="1"/>
      <w:tblCellMar>
        <w:top w:w="15" w:type="dxa"/>
        <w:left w:w="115" w:type="dxa"/>
        <w:bottom w:w="15" w:type="dxa"/>
        <w:right w:w="115" w:type="dxa"/>
      </w:tblCellMar>
    </w:tblPr>
  </w:style>
  <w:style w:type="table" w:customStyle="1" w:styleId="af7">
    <w:basedOn w:val="TableNormal0"/>
    <w:tblPr>
      <w:tblStyleRowBandSize w:val="1"/>
      <w:tblStyleColBandSize w:val="1"/>
      <w:tblCellMar>
        <w:top w:w="15" w:type="dxa"/>
        <w:left w:w="115" w:type="dxa"/>
        <w:bottom w:w="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61cvGZ36zm7V0NO1AC7gS1WnYdw==">CgMxLjAyCWguM3pueXNoNzIOaC5qM3BweXh3bGIxczIyCGgudHlqY3d0Mg1oLmpsMGRsYXNvdDRmOAByITF4ZEU1dm9MbHlnSTFiNFM0bDcyNHdNdEdhU2o3YXBjUg==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35</Pages>
  <Words>8695</Words>
  <Characters>47825</Characters>
  <Application>Microsoft Office Word</Application>
  <DocSecurity>0</DocSecurity>
  <Lines>398</Lines>
  <Paragraphs>112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56408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Cuenta Microsoft</dc:creator>
  <cp:lastModifiedBy>Maricela Villagómez Martínez</cp:lastModifiedBy>
  <cp:revision>2</cp:revision>
  <cp:lastPrinted>2025-11-07T16:51:00Z</cp:lastPrinted>
  <dcterms:created xsi:type="dcterms:W3CDTF">2025-12-10T20:36:00Z</dcterms:created>
  <dcterms:modified xsi:type="dcterms:W3CDTF">2025-12-10T20:36:00Z</dcterms:modified>
</cp:coreProperties>
</file>