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542095F1" w:rsidR="00C877F6" w:rsidRPr="009F30A2" w:rsidRDefault="00F36565" w:rsidP="0059440A">
      <w:pPr>
        <w:spacing w:line="360" w:lineRule="auto"/>
        <w:ind w:right="49" w:hanging="2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4F6B10" w:rsidRPr="009F30A2">
        <w:rPr>
          <w:rFonts w:ascii="Palatino Linotype" w:eastAsia="Palatino Linotype" w:hAnsi="Palatino Linotype" w:cs="Palatino Linotype"/>
          <w:b/>
          <w:sz w:val="22"/>
          <w:szCs w:val="22"/>
        </w:rPr>
        <w:t>diez</w:t>
      </w:r>
      <w:r w:rsidRPr="009F30A2">
        <w:rPr>
          <w:rFonts w:ascii="Palatino Linotype" w:eastAsia="Palatino Linotype" w:hAnsi="Palatino Linotype" w:cs="Palatino Linotype"/>
          <w:b/>
          <w:sz w:val="22"/>
          <w:szCs w:val="22"/>
        </w:rPr>
        <w:t xml:space="preserve"> de </w:t>
      </w:r>
      <w:r w:rsidR="004F6B10" w:rsidRPr="009F30A2">
        <w:rPr>
          <w:rFonts w:ascii="Palatino Linotype" w:eastAsia="Palatino Linotype" w:hAnsi="Palatino Linotype" w:cs="Palatino Linotype"/>
          <w:b/>
          <w:sz w:val="22"/>
          <w:szCs w:val="22"/>
        </w:rPr>
        <w:t>diciembre</w:t>
      </w:r>
      <w:r w:rsidRPr="009F30A2">
        <w:rPr>
          <w:rFonts w:ascii="Palatino Linotype" w:eastAsia="Palatino Linotype" w:hAnsi="Palatino Linotype" w:cs="Palatino Linotype"/>
          <w:sz w:val="22"/>
          <w:szCs w:val="22"/>
        </w:rPr>
        <w:t xml:space="preserve"> </w:t>
      </w:r>
      <w:r w:rsidRPr="009F30A2">
        <w:rPr>
          <w:rFonts w:ascii="Palatino Linotype" w:eastAsia="Palatino Linotype" w:hAnsi="Palatino Linotype" w:cs="Palatino Linotype"/>
          <w:b/>
          <w:sz w:val="22"/>
          <w:szCs w:val="22"/>
        </w:rPr>
        <w:t xml:space="preserve">de dos mil veinticinco. </w:t>
      </w:r>
    </w:p>
    <w:p w14:paraId="7F051BA5" w14:textId="77777777" w:rsidR="00C877F6" w:rsidRPr="009F30A2" w:rsidRDefault="00C877F6" w:rsidP="0059440A">
      <w:pPr>
        <w:spacing w:line="360" w:lineRule="auto"/>
        <w:ind w:right="49"/>
        <w:jc w:val="both"/>
        <w:rPr>
          <w:rFonts w:ascii="Palatino Linotype" w:eastAsia="Palatino Linotype" w:hAnsi="Palatino Linotype" w:cs="Palatino Linotype"/>
          <w:sz w:val="22"/>
          <w:szCs w:val="22"/>
        </w:rPr>
      </w:pPr>
    </w:p>
    <w:p w14:paraId="02027E82" w14:textId="6E3A1268" w:rsidR="00C877F6" w:rsidRPr="009F30A2" w:rsidRDefault="00F36565" w:rsidP="0059440A">
      <w:pPr>
        <w:spacing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 xml:space="preserve">VISTO </w:t>
      </w:r>
      <w:r w:rsidRPr="009F30A2">
        <w:rPr>
          <w:rFonts w:ascii="Palatino Linotype" w:eastAsia="Palatino Linotype" w:hAnsi="Palatino Linotype" w:cs="Palatino Linotype"/>
          <w:sz w:val="22"/>
          <w:szCs w:val="22"/>
        </w:rPr>
        <w:t xml:space="preserve">el expediente relativo al recurso de revisión </w:t>
      </w:r>
      <w:r w:rsidR="003C22F4" w:rsidRPr="009F30A2">
        <w:rPr>
          <w:rFonts w:ascii="Palatino Linotype" w:eastAsia="Palatino Linotype" w:hAnsi="Palatino Linotype" w:cs="Palatino Linotype"/>
          <w:b/>
          <w:sz w:val="22"/>
          <w:szCs w:val="22"/>
        </w:rPr>
        <w:t>10319/INFOEM/IP/RR/2025</w:t>
      </w:r>
      <w:r w:rsidRPr="009F30A2">
        <w:rPr>
          <w:rFonts w:ascii="Palatino Linotype" w:eastAsia="Palatino Linotype" w:hAnsi="Palatino Linotype" w:cs="Palatino Linotype"/>
          <w:b/>
          <w:sz w:val="22"/>
          <w:szCs w:val="22"/>
        </w:rPr>
        <w:t xml:space="preserve">, </w:t>
      </w:r>
      <w:r w:rsidRPr="009F30A2">
        <w:rPr>
          <w:rFonts w:ascii="Palatino Linotype" w:eastAsia="Palatino Linotype" w:hAnsi="Palatino Linotype" w:cs="Palatino Linotype"/>
          <w:sz w:val="22"/>
          <w:szCs w:val="22"/>
        </w:rPr>
        <w:t xml:space="preserve">interpuesto por </w:t>
      </w:r>
      <w:r w:rsidR="004F6B10" w:rsidRPr="009F30A2">
        <w:rPr>
          <w:rFonts w:ascii="Palatino Linotype" w:eastAsia="Palatino Linotype" w:hAnsi="Palatino Linotype" w:cs="Palatino Linotype"/>
          <w:sz w:val="22"/>
          <w:szCs w:val="22"/>
        </w:rPr>
        <w:t xml:space="preserve">un </w:t>
      </w:r>
      <w:r w:rsidR="00067E08">
        <w:rPr>
          <w:rFonts w:ascii="Palatino Linotype" w:eastAsia="Palatino Linotype" w:hAnsi="Palatino Linotype" w:cs="Palatino Linotype"/>
          <w:b/>
          <w:bCs/>
          <w:sz w:val="22"/>
          <w:szCs w:val="22"/>
        </w:rPr>
        <w:t>XXXXXX XXXXXXXX</w:t>
      </w:r>
      <w:bookmarkStart w:id="0" w:name="_GoBack"/>
      <w:bookmarkEnd w:id="0"/>
      <w:r w:rsidRPr="009F30A2">
        <w:rPr>
          <w:rFonts w:ascii="Palatino Linotype" w:eastAsia="Palatino Linotype" w:hAnsi="Palatino Linotype" w:cs="Palatino Linotype"/>
          <w:sz w:val="22"/>
          <w:szCs w:val="22"/>
        </w:rPr>
        <w:t xml:space="preserve">, en lo sucesivo la parte </w:t>
      </w:r>
      <w:r w:rsidRPr="009F30A2">
        <w:rPr>
          <w:rFonts w:ascii="Palatino Linotype" w:eastAsia="Palatino Linotype" w:hAnsi="Palatino Linotype" w:cs="Palatino Linotype"/>
          <w:b/>
          <w:sz w:val="22"/>
          <w:szCs w:val="22"/>
        </w:rPr>
        <w:t>Recurrente</w:t>
      </w:r>
      <w:r w:rsidRPr="009F30A2">
        <w:rPr>
          <w:rFonts w:ascii="Palatino Linotype" w:eastAsia="Palatino Linotype" w:hAnsi="Palatino Linotype" w:cs="Palatino Linotype"/>
          <w:sz w:val="22"/>
          <w:szCs w:val="22"/>
        </w:rPr>
        <w:t xml:space="preserve">, en contra de la respuesta a la solicitud de información por parte del </w:t>
      </w:r>
      <w:r w:rsidR="003C22F4" w:rsidRPr="009F30A2">
        <w:rPr>
          <w:rFonts w:ascii="Palatino Linotype" w:eastAsia="Palatino Linotype" w:hAnsi="Palatino Linotype" w:cs="Palatino Linotype"/>
          <w:b/>
          <w:sz w:val="22"/>
          <w:szCs w:val="22"/>
        </w:rPr>
        <w:t>Ayuntamiento de Aculco</w:t>
      </w:r>
      <w:r w:rsidRPr="009F30A2">
        <w:rPr>
          <w:rFonts w:ascii="Palatino Linotype" w:eastAsia="Palatino Linotype" w:hAnsi="Palatino Linotype" w:cs="Palatino Linotype"/>
          <w:sz w:val="22"/>
          <w:szCs w:val="22"/>
        </w:rPr>
        <w:t xml:space="preserve">, en lo sucesivo el </w:t>
      </w:r>
      <w:r w:rsidRPr="009F30A2">
        <w:rPr>
          <w:rFonts w:ascii="Palatino Linotype" w:eastAsia="Palatino Linotype" w:hAnsi="Palatino Linotype" w:cs="Palatino Linotype"/>
          <w:b/>
          <w:sz w:val="22"/>
          <w:szCs w:val="22"/>
        </w:rPr>
        <w:t xml:space="preserve">Sujeto Obligado; </w:t>
      </w:r>
      <w:r w:rsidRPr="009F30A2">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9F30A2" w:rsidRDefault="00C877F6" w:rsidP="0059440A">
      <w:pPr>
        <w:spacing w:line="360" w:lineRule="auto"/>
        <w:ind w:right="49"/>
        <w:jc w:val="both"/>
        <w:rPr>
          <w:rFonts w:ascii="Palatino Linotype" w:eastAsia="Palatino Linotype" w:hAnsi="Palatino Linotype" w:cs="Palatino Linotype"/>
          <w:sz w:val="22"/>
          <w:szCs w:val="22"/>
        </w:rPr>
      </w:pPr>
    </w:p>
    <w:p w14:paraId="29A1AF53" w14:textId="77777777" w:rsidR="00C877F6" w:rsidRPr="009F30A2" w:rsidRDefault="00F36565" w:rsidP="0059440A">
      <w:pPr>
        <w:spacing w:line="360" w:lineRule="auto"/>
        <w:ind w:right="49"/>
        <w:jc w:val="center"/>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I.</w:t>
      </w:r>
      <w:r w:rsidRPr="009F30A2">
        <w:rPr>
          <w:rFonts w:ascii="Palatino Linotype" w:eastAsia="Palatino Linotype" w:hAnsi="Palatino Linotype" w:cs="Palatino Linotype"/>
          <w:b/>
          <w:sz w:val="22"/>
          <w:szCs w:val="22"/>
        </w:rPr>
        <w:tab/>
        <w:t>A N T E C E D E N T E S</w:t>
      </w:r>
    </w:p>
    <w:p w14:paraId="3ACFD56D" w14:textId="77777777" w:rsidR="00C877F6" w:rsidRPr="009F30A2" w:rsidRDefault="00C877F6" w:rsidP="0059440A">
      <w:pPr>
        <w:spacing w:line="360" w:lineRule="auto"/>
        <w:ind w:right="49"/>
        <w:jc w:val="both"/>
        <w:rPr>
          <w:rFonts w:ascii="Palatino Linotype" w:eastAsia="Palatino Linotype" w:hAnsi="Palatino Linotype" w:cs="Palatino Linotype"/>
          <w:sz w:val="22"/>
          <w:szCs w:val="22"/>
        </w:rPr>
      </w:pPr>
    </w:p>
    <w:p w14:paraId="523B7B02" w14:textId="6D010E83"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1.</w:t>
      </w:r>
      <w:r w:rsidRPr="009F30A2">
        <w:rPr>
          <w:rFonts w:ascii="Palatino Linotype" w:eastAsia="Palatino Linotype" w:hAnsi="Palatino Linotype" w:cs="Palatino Linotype"/>
          <w:sz w:val="22"/>
          <w:szCs w:val="22"/>
        </w:rPr>
        <w:t xml:space="preserve"> </w:t>
      </w:r>
      <w:r w:rsidRPr="009F30A2">
        <w:rPr>
          <w:rFonts w:ascii="Palatino Linotype" w:eastAsia="Palatino Linotype" w:hAnsi="Palatino Linotype" w:cs="Palatino Linotype"/>
          <w:b/>
          <w:sz w:val="22"/>
          <w:szCs w:val="22"/>
        </w:rPr>
        <w:t xml:space="preserve">Solicitud </w:t>
      </w:r>
      <w:r w:rsidR="00D3382D" w:rsidRPr="009F30A2">
        <w:rPr>
          <w:rFonts w:ascii="Palatino Linotype" w:eastAsia="Palatino Linotype" w:hAnsi="Palatino Linotype" w:cs="Palatino Linotype"/>
          <w:b/>
          <w:sz w:val="22"/>
          <w:szCs w:val="22"/>
        </w:rPr>
        <w:t xml:space="preserve">de </w:t>
      </w:r>
      <w:r w:rsidR="009456FA" w:rsidRPr="009F30A2">
        <w:rPr>
          <w:rFonts w:ascii="Palatino Linotype" w:eastAsia="Palatino Linotype" w:hAnsi="Palatino Linotype" w:cs="Palatino Linotype"/>
          <w:b/>
          <w:sz w:val="22"/>
          <w:szCs w:val="22"/>
        </w:rPr>
        <w:t xml:space="preserve">Acceso a la Información. El </w:t>
      </w:r>
      <w:r w:rsidR="00196A12" w:rsidRPr="009F30A2">
        <w:rPr>
          <w:rFonts w:ascii="Palatino Linotype" w:eastAsia="Palatino Linotype" w:hAnsi="Palatino Linotype" w:cs="Palatino Linotype"/>
          <w:b/>
          <w:sz w:val="22"/>
          <w:szCs w:val="22"/>
        </w:rPr>
        <w:t xml:space="preserve">dieciséis </w:t>
      </w:r>
      <w:r w:rsidR="00D3382D" w:rsidRPr="009F30A2">
        <w:rPr>
          <w:rFonts w:ascii="Palatino Linotype" w:eastAsia="Palatino Linotype" w:hAnsi="Palatino Linotype" w:cs="Palatino Linotype"/>
          <w:b/>
          <w:sz w:val="22"/>
          <w:szCs w:val="22"/>
        </w:rPr>
        <w:t xml:space="preserve">de </w:t>
      </w:r>
      <w:r w:rsidR="00196A12" w:rsidRPr="009F30A2">
        <w:rPr>
          <w:rFonts w:ascii="Palatino Linotype" w:eastAsia="Palatino Linotype" w:hAnsi="Palatino Linotype" w:cs="Palatino Linotype"/>
          <w:b/>
          <w:sz w:val="22"/>
          <w:szCs w:val="22"/>
        </w:rPr>
        <w:t>julio</w:t>
      </w:r>
      <w:r w:rsidRPr="009F30A2">
        <w:rPr>
          <w:rFonts w:ascii="Palatino Linotype" w:eastAsia="Palatino Linotype" w:hAnsi="Palatino Linotype" w:cs="Palatino Linotype"/>
          <w:b/>
          <w:sz w:val="22"/>
          <w:szCs w:val="22"/>
        </w:rPr>
        <w:t xml:space="preserve"> de dos mil veinticinco</w:t>
      </w:r>
      <w:r w:rsidRPr="009F30A2">
        <w:rPr>
          <w:rFonts w:ascii="Palatino Linotype" w:eastAsia="Palatino Linotype" w:hAnsi="Palatino Linotype" w:cs="Palatino Linotype"/>
          <w:sz w:val="22"/>
          <w:szCs w:val="22"/>
        </w:rPr>
        <w:t xml:space="preserve">, </w:t>
      </w:r>
      <w:r w:rsidRPr="009F30A2">
        <w:rPr>
          <w:rFonts w:ascii="Palatino Linotype" w:eastAsia="Palatino Linotype" w:hAnsi="Palatino Linotype" w:cs="Palatino Linotype"/>
          <w:b/>
          <w:sz w:val="22"/>
          <w:szCs w:val="22"/>
        </w:rPr>
        <w:t>LA PARTE</w:t>
      </w:r>
      <w:r w:rsidRPr="009F30A2">
        <w:rPr>
          <w:rFonts w:ascii="Palatino Linotype" w:eastAsia="Palatino Linotype" w:hAnsi="Palatino Linotype" w:cs="Palatino Linotype"/>
          <w:sz w:val="22"/>
          <w:szCs w:val="22"/>
        </w:rPr>
        <w:t xml:space="preserve"> </w:t>
      </w:r>
      <w:r w:rsidRPr="009F30A2">
        <w:rPr>
          <w:rFonts w:ascii="Palatino Linotype" w:eastAsia="Palatino Linotype" w:hAnsi="Palatino Linotype" w:cs="Palatino Linotype"/>
          <w:b/>
          <w:sz w:val="22"/>
          <w:szCs w:val="22"/>
        </w:rPr>
        <w:t>RECURRENTE</w:t>
      </w:r>
      <w:r w:rsidRPr="009F30A2">
        <w:rPr>
          <w:rFonts w:ascii="Palatino Linotype" w:eastAsia="Palatino Linotype" w:hAnsi="Palatino Linotype" w:cs="Palatino Linotype"/>
          <w:sz w:val="22"/>
          <w:szCs w:val="22"/>
        </w:rPr>
        <w:t xml:space="preserve"> formuló solicitud de acceso a información pública a través del </w:t>
      </w:r>
      <w:r w:rsidRPr="009F30A2">
        <w:rPr>
          <w:rFonts w:ascii="Palatino Linotype" w:eastAsia="Palatino Linotype" w:hAnsi="Palatino Linotype" w:cs="Palatino Linotype"/>
          <w:b/>
          <w:sz w:val="22"/>
          <w:szCs w:val="22"/>
        </w:rPr>
        <w:t>SAIMEX</w:t>
      </w:r>
      <w:r w:rsidRPr="009F30A2">
        <w:rPr>
          <w:rFonts w:ascii="Palatino Linotype" w:eastAsia="Palatino Linotype" w:hAnsi="Palatino Linotype" w:cs="Palatino Linotype"/>
          <w:sz w:val="22"/>
          <w:szCs w:val="22"/>
        </w:rPr>
        <w:t xml:space="preserve">, en la que requirió lo siguiente: </w:t>
      </w:r>
    </w:p>
    <w:p w14:paraId="4EEACF59"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21215815" w14:textId="260280F4" w:rsidR="00C877F6" w:rsidRPr="009F30A2" w:rsidRDefault="00F36565" w:rsidP="0059440A">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9F30A2">
        <w:rPr>
          <w:rFonts w:ascii="Palatino Linotype" w:eastAsia="Palatino Linotype" w:hAnsi="Palatino Linotype" w:cs="Palatino Linotype"/>
          <w:b/>
          <w:sz w:val="22"/>
          <w:szCs w:val="22"/>
        </w:rPr>
        <w:t>0</w:t>
      </w:r>
      <w:r w:rsidR="00AB100B" w:rsidRPr="009F30A2">
        <w:rPr>
          <w:rFonts w:ascii="Palatino Linotype" w:eastAsia="Palatino Linotype" w:hAnsi="Palatino Linotype" w:cs="Palatino Linotype"/>
          <w:b/>
          <w:sz w:val="22"/>
          <w:szCs w:val="22"/>
        </w:rPr>
        <w:t>0</w:t>
      </w:r>
      <w:r w:rsidR="003C22F4" w:rsidRPr="009F30A2">
        <w:rPr>
          <w:rFonts w:ascii="Palatino Linotype" w:eastAsia="Palatino Linotype" w:hAnsi="Palatino Linotype" w:cs="Palatino Linotype"/>
          <w:b/>
          <w:sz w:val="22"/>
          <w:szCs w:val="22"/>
        </w:rPr>
        <w:t>143</w:t>
      </w:r>
      <w:r w:rsidR="00AB100B" w:rsidRPr="009F30A2">
        <w:rPr>
          <w:rFonts w:ascii="Palatino Linotype" w:eastAsia="Palatino Linotype" w:hAnsi="Palatino Linotype" w:cs="Palatino Linotype"/>
          <w:b/>
          <w:sz w:val="22"/>
          <w:szCs w:val="22"/>
        </w:rPr>
        <w:t>/</w:t>
      </w:r>
      <w:r w:rsidR="00196A12" w:rsidRPr="009F30A2">
        <w:rPr>
          <w:rFonts w:ascii="Palatino Linotype" w:eastAsia="Palatino Linotype" w:hAnsi="Palatino Linotype" w:cs="Palatino Linotype"/>
          <w:b/>
          <w:sz w:val="22"/>
          <w:szCs w:val="22"/>
        </w:rPr>
        <w:t>ACULCO</w:t>
      </w:r>
      <w:r w:rsidR="00AB100B" w:rsidRPr="009F30A2">
        <w:rPr>
          <w:rFonts w:ascii="Palatino Linotype" w:eastAsia="Palatino Linotype" w:hAnsi="Palatino Linotype" w:cs="Palatino Linotype"/>
          <w:b/>
          <w:sz w:val="22"/>
          <w:szCs w:val="22"/>
        </w:rPr>
        <w:t>/</w:t>
      </w:r>
      <w:r w:rsidRPr="009F30A2">
        <w:rPr>
          <w:rFonts w:ascii="Palatino Linotype" w:eastAsia="Palatino Linotype" w:hAnsi="Palatino Linotype" w:cs="Palatino Linotype"/>
          <w:b/>
          <w:sz w:val="22"/>
          <w:szCs w:val="22"/>
        </w:rPr>
        <w:t>IP/2025</w:t>
      </w:r>
      <w:r w:rsidR="00B46C8A" w:rsidRPr="009F30A2">
        <w:rPr>
          <w:rFonts w:ascii="Palatino Linotype" w:eastAsia="Palatino Linotype" w:hAnsi="Palatino Linotype" w:cs="Palatino Linotype"/>
          <w:b/>
          <w:sz w:val="22"/>
          <w:szCs w:val="22"/>
        </w:rPr>
        <w:t xml:space="preserve"> </w:t>
      </w:r>
    </w:p>
    <w:p w14:paraId="173CF3CD" w14:textId="33FB5087" w:rsidR="00C877F6" w:rsidRPr="009F30A2" w:rsidRDefault="00F36565" w:rsidP="0059440A">
      <w:pPr>
        <w:spacing w:line="360" w:lineRule="auto"/>
        <w:ind w:left="567" w:right="843"/>
        <w:jc w:val="both"/>
        <w:rPr>
          <w:rFonts w:ascii="Palatino Linotype" w:eastAsia="Palatino Linotype" w:hAnsi="Palatino Linotype" w:cs="Palatino Linotype"/>
          <w:b/>
          <w:i/>
          <w:sz w:val="22"/>
          <w:szCs w:val="22"/>
        </w:rPr>
      </w:pPr>
      <w:r w:rsidRPr="009F30A2">
        <w:rPr>
          <w:rFonts w:ascii="Palatino Linotype" w:eastAsia="Palatino Linotype" w:hAnsi="Palatino Linotype" w:cs="Palatino Linotype"/>
          <w:i/>
          <w:sz w:val="22"/>
          <w:szCs w:val="22"/>
        </w:rPr>
        <w:t>"</w:t>
      </w:r>
      <w:r w:rsidR="003C22F4" w:rsidRPr="009F30A2">
        <w:rPr>
          <w:rFonts w:ascii="Palatino Linotype" w:eastAsia="Palatino Linotype" w:hAnsi="Palatino Linotype" w:cs="Palatino Linotype"/>
          <w:i/>
          <w:sz w:val="22"/>
          <w:szCs w:val="22"/>
        </w:rPr>
        <w:t>Solicito todos los contratos de obra pública incluyendo el catalogo de conceptos con precios unitarios, en versión pública del Ayuntamiento de Aculco celebrados entre el 1 de enero y el 15 de julio de 2025. Asi mismo solicito la relación de las obras ejecutadas por administración directa, concluidas o que estén en ejecución entre el 1 de enero y el 15 de julio de 2025, en las que se desglose 1. Presupuesto asignado 2. Lugar de ejecución 3. Fecha de inicio y fin 4. Avance financiero 5. Avance físico</w:t>
      </w:r>
      <w:r w:rsidR="00807BED"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 (Sic.)</w:t>
      </w:r>
    </w:p>
    <w:p w14:paraId="1861AE9B" w14:textId="77777777" w:rsidR="00C877F6" w:rsidRPr="009F30A2" w:rsidRDefault="00C877F6" w:rsidP="0059440A">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9F30A2" w:rsidRDefault="00F36565" w:rsidP="0059440A">
      <w:pPr>
        <w:spacing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Modalidad elegida para la entrega de la información:</w:t>
      </w:r>
      <w:r w:rsidRPr="009F30A2">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9F30A2" w:rsidRDefault="00AB100B" w:rsidP="0059440A">
      <w:pPr>
        <w:spacing w:line="360" w:lineRule="auto"/>
        <w:ind w:right="49"/>
        <w:jc w:val="both"/>
        <w:rPr>
          <w:rFonts w:ascii="Palatino Linotype" w:eastAsia="Palatino Linotype" w:hAnsi="Palatino Linotype" w:cs="Palatino Linotype"/>
          <w:sz w:val="22"/>
          <w:szCs w:val="22"/>
        </w:rPr>
      </w:pPr>
    </w:p>
    <w:p w14:paraId="7CC4E87F" w14:textId="39367941" w:rsidR="006713EE" w:rsidRPr="009F30A2" w:rsidRDefault="00F36565" w:rsidP="0059440A">
      <w:pPr>
        <w:widowControl w:val="0"/>
        <w:spacing w:line="360" w:lineRule="auto"/>
        <w:jc w:val="both"/>
        <w:rPr>
          <w:rFonts w:ascii="Palatino Linotype" w:eastAsia="Palatino Linotype" w:hAnsi="Palatino Linotype" w:cs="Palatino Linotype"/>
          <w:bCs/>
          <w:sz w:val="22"/>
          <w:szCs w:val="22"/>
        </w:rPr>
      </w:pPr>
      <w:r w:rsidRPr="009F30A2">
        <w:rPr>
          <w:rFonts w:ascii="Palatino Linotype" w:eastAsia="Palatino Linotype" w:hAnsi="Palatino Linotype" w:cs="Palatino Linotype"/>
          <w:b/>
          <w:sz w:val="22"/>
          <w:szCs w:val="22"/>
        </w:rPr>
        <w:t xml:space="preserve">2. </w:t>
      </w:r>
      <w:r w:rsidR="006713EE" w:rsidRPr="009F30A2">
        <w:rPr>
          <w:rFonts w:ascii="Palatino Linotype" w:eastAsia="Palatino Linotype" w:hAnsi="Palatino Linotype" w:cs="Palatino Linotype"/>
          <w:b/>
          <w:sz w:val="22"/>
          <w:szCs w:val="22"/>
        </w:rPr>
        <w:t xml:space="preserve">Prórroga. </w:t>
      </w:r>
      <w:r w:rsidR="006713EE" w:rsidRPr="009F30A2">
        <w:rPr>
          <w:rFonts w:ascii="Palatino Linotype" w:eastAsia="Palatino Linotype" w:hAnsi="Palatino Linotype" w:cs="Palatino Linotype"/>
          <w:bCs/>
          <w:sz w:val="22"/>
          <w:szCs w:val="22"/>
        </w:rPr>
        <w:t xml:space="preserve">El </w:t>
      </w:r>
      <w:r w:rsidR="006713EE" w:rsidRPr="009F30A2">
        <w:rPr>
          <w:rFonts w:ascii="Palatino Linotype" w:eastAsia="Palatino Linotype" w:hAnsi="Palatino Linotype" w:cs="Palatino Linotype"/>
          <w:b/>
          <w:bCs/>
          <w:sz w:val="22"/>
          <w:szCs w:val="22"/>
        </w:rPr>
        <w:t>diecinueve de agosto de dos mil veinticinco</w:t>
      </w:r>
      <w:r w:rsidR="006713EE" w:rsidRPr="009F30A2">
        <w:rPr>
          <w:rFonts w:ascii="Palatino Linotype" w:eastAsia="Palatino Linotype" w:hAnsi="Palatino Linotype" w:cs="Palatino Linotype"/>
          <w:bCs/>
          <w:sz w:val="22"/>
          <w:szCs w:val="22"/>
        </w:rPr>
        <w:t xml:space="preserve">, el Sujeto Obligado solicitó una prórroga para dar respuesta a la solicitud de acceso a la información pública, señalando que cuenta con una carga excesiva de trabajo aminidtrativo en la Dirección. </w:t>
      </w:r>
    </w:p>
    <w:p w14:paraId="25E2DEF0" w14:textId="77777777" w:rsidR="006713EE" w:rsidRPr="009F30A2" w:rsidRDefault="006713EE" w:rsidP="0059440A">
      <w:pPr>
        <w:widowControl w:val="0"/>
        <w:spacing w:line="360" w:lineRule="auto"/>
        <w:jc w:val="both"/>
        <w:rPr>
          <w:rFonts w:ascii="Palatino Linotype" w:eastAsia="Palatino Linotype" w:hAnsi="Palatino Linotype" w:cs="Palatino Linotype"/>
          <w:b/>
          <w:sz w:val="22"/>
          <w:szCs w:val="22"/>
        </w:rPr>
      </w:pPr>
    </w:p>
    <w:p w14:paraId="3D8F1AA1" w14:textId="0EB6577E" w:rsidR="003B3365" w:rsidRPr="009F30A2" w:rsidRDefault="006713EE" w:rsidP="0059440A">
      <w:pPr>
        <w:widowControl w:val="0"/>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 xml:space="preserve">3. </w:t>
      </w:r>
      <w:r w:rsidR="00F36565" w:rsidRPr="009F30A2">
        <w:rPr>
          <w:rFonts w:ascii="Palatino Linotype" w:eastAsia="Palatino Linotype" w:hAnsi="Palatino Linotype" w:cs="Palatino Linotype"/>
          <w:b/>
          <w:sz w:val="22"/>
          <w:szCs w:val="22"/>
        </w:rPr>
        <w:t>Respuesta.</w:t>
      </w:r>
      <w:r w:rsidR="00F36565" w:rsidRPr="009F30A2">
        <w:rPr>
          <w:rFonts w:ascii="Palatino Linotype" w:eastAsia="Palatino Linotype" w:hAnsi="Palatino Linotype" w:cs="Palatino Linotype"/>
          <w:sz w:val="22"/>
          <w:szCs w:val="22"/>
        </w:rPr>
        <w:t xml:space="preserve"> El </w:t>
      </w:r>
      <w:r w:rsidRPr="009F30A2">
        <w:rPr>
          <w:rFonts w:ascii="Palatino Linotype" w:eastAsia="Palatino Linotype" w:hAnsi="Palatino Linotype" w:cs="Palatino Linotype"/>
          <w:b/>
          <w:bCs/>
          <w:sz w:val="22"/>
          <w:szCs w:val="22"/>
        </w:rPr>
        <w:t>uno de septiembre</w:t>
      </w:r>
      <w:r w:rsidR="009456FA" w:rsidRPr="009F30A2">
        <w:rPr>
          <w:rFonts w:ascii="Palatino Linotype" w:eastAsia="Palatino Linotype" w:hAnsi="Palatino Linotype" w:cs="Palatino Linotype"/>
          <w:b/>
          <w:sz w:val="22"/>
          <w:szCs w:val="22"/>
        </w:rPr>
        <w:t xml:space="preserve"> </w:t>
      </w:r>
      <w:r w:rsidR="00F36565" w:rsidRPr="009F30A2">
        <w:rPr>
          <w:rFonts w:ascii="Palatino Linotype" w:eastAsia="Palatino Linotype" w:hAnsi="Palatino Linotype" w:cs="Palatino Linotype"/>
          <w:b/>
          <w:sz w:val="22"/>
          <w:szCs w:val="22"/>
        </w:rPr>
        <w:t>de dos mil veinticinco</w:t>
      </w:r>
      <w:r w:rsidR="00F36565" w:rsidRPr="009F30A2">
        <w:rPr>
          <w:rFonts w:ascii="Palatino Linotype" w:eastAsia="Palatino Linotype" w:hAnsi="Palatino Linotype" w:cs="Palatino Linotype"/>
          <w:sz w:val="22"/>
          <w:szCs w:val="22"/>
        </w:rPr>
        <w:t>, el Sujeto Obligado dio respuesta a la solicitud</w:t>
      </w:r>
      <w:r w:rsidR="00807BED" w:rsidRPr="009F30A2">
        <w:rPr>
          <w:rFonts w:ascii="Palatino Linotype" w:eastAsia="Palatino Linotype" w:hAnsi="Palatino Linotype" w:cs="Palatino Linotype"/>
          <w:sz w:val="22"/>
          <w:szCs w:val="22"/>
        </w:rPr>
        <w:t xml:space="preserve">, adjuntando el documento electrónico denominado </w:t>
      </w:r>
      <w:r w:rsidR="003B3365" w:rsidRPr="009F30A2">
        <w:rPr>
          <w:rFonts w:ascii="Palatino Linotype" w:eastAsia="Palatino Linotype" w:hAnsi="Palatino Linotype" w:cs="Palatino Linotype"/>
          <w:sz w:val="22"/>
          <w:szCs w:val="22"/>
        </w:rPr>
        <w:t xml:space="preserve">MA-DOPYDU-OP-736-2025 que contiene un oficio suscrito por la Directora de Obras Públicas y Desarrollo Urbano </w:t>
      </w:r>
      <w:r w:rsidR="006C15F1" w:rsidRPr="009F30A2">
        <w:rPr>
          <w:rFonts w:ascii="Palatino Linotype" w:eastAsia="Palatino Linotype" w:hAnsi="Palatino Linotype" w:cs="Palatino Linotype"/>
          <w:sz w:val="22"/>
          <w:szCs w:val="22"/>
        </w:rPr>
        <w:t>mediante el cual refiere que no se cuenta con obras realizadas por administración directa. Asimismo, refiere que, los contratos de obras públicas de pueden consultar en la dirección electrónica que proporciona en formato cerrado.</w:t>
      </w:r>
    </w:p>
    <w:p w14:paraId="7EE8B370" w14:textId="71100F59" w:rsidR="00C877F6" w:rsidRPr="009F30A2" w:rsidRDefault="00C877F6" w:rsidP="0059440A">
      <w:pPr>
        <w:widowControl w:val="0"/>
        <w:spacing w:line="360" w:lineRule="auto"/>
        <w:jc w:val="both"/>
        <w:rPr>
          <w:rFonts w:ascii="Palatino Linotype" w:eastAsia="Palatino Linotype" w:hAnsi="Palatino Linotype" w:cs="Palatino Linotype"/>
          <w:b/>
          <w:sz w:val="22"/>
          <w:szCs w:val="22"/>
        </w:rPr>
      </w:pPr>
    </w:p>
    <w:p w14:paraId="4DA0D391" w14:textId="48CB98A5" w:rsidR="00C877F6" w:rsidRPr="009F30A2" w:rsidRDefault="00BB7FF3"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4</w:t>
      </w:r>
      <w:r w:rsidR="00F36565" w:rsidRPr="009F30A2">
        <w:rPr>
          <w:rFonts w:ascii="Palatino Linotype" w:eastAsia="Palatino Linotype" w:hAnsi="Palatino Linotype" w:cs="Palatino Linotype"/>
          <w:b/>
          <w:sz w:val="22"/>
          <w:szCs w:val="22"/>
        </w:rPr>
        <w:t xml:space="preserve">. Del Recurso de Revisión. </w:t>
      </w:r>
      <w:r w:rsidR="00F36565" w:rsidRPr="009F30A2">
        <w:rPr>
          <w:rFonts w:ascii="Palatino Linotype" w:eastAsia="Palatino Linotype" w:hAnsi="Palatino Linotype" w:cs="Palatino Linotype"/>
          <w:sz w:val="22"/>
          <w:szCs w:val="22"/>
        </w:rPr>
        <w:t>Inconforme con la respuesta del</w:t>
      </w:r>
      <w:r w:rsidR="00F36565" w:rsidRPr="009F30A2">
        <w:rPr>
          <w:rFonts w:ascii="Palatino Linotype" w:eastAsia="Palatino Linotype" w:hAnsi="Palatino Linotype" w:cs="Palatino Linotype"/>
          <w:b/>
          <w:sz w:val="22"/>
          <w:szCs w:val="22"/>
        </w:rPr>
        <w:t xml:space="preserve"> SUJETO OBLIGADO, </w:t>
      </w:r>
      <w:r w:rsidR="00F36565" w:rsidRPr="009F30A2">
        <w:rPr>
          <w:rFonts w:ascii="Palatino Linotype" w:eastAsia="Palatino Linotype" w:hAnsi="Palatino Linotype" w:cs="Palatino Linotype"/>
          <w:sz w:val="22"/>
          <w:szCs w:val="22"/>
        </w:rPr>
        <w:t xml:space="preserve">el </w:t>
      </w:r>
      <w:r w:rsidR="00362AE5" w:rsidRPr="009F30A2">
        <w:rPr>
          <w:rFonts w:ascii="Palatino Linotype" w:eastAsia="Palatino Linotype" w:hAnsi="Palatino Linotype" w:cs="Palatino Linotype"/>
          <w:b/>
          <w:bCs/>
          <w:sz w:val="22"/>
          <w:szCs w:val="22"/>
        </w:rPr>
        <w:t>uno de septiembre</w:t>
      </w:r>
      <w:r w:rsidR="00F36565" w:rsidRPr="009F30A2">
        <w:rPr>
          <w:rFonts w:ascii="Palatino Linotype" w:eastAsia="Palatino Linotype" w:hAnsi="Palatino Linotype" w:cs="Palatino Linotype"/>
          <w:b/>
          <w:sz w:val="22"/>
          <w:szCs w:val="22"/>
        </w:rPr>
        <w:t xml:space="preserve"> de dos mil veinticinco, LA PARTE RECURRENTE </w:t>
      </w:r>
      <w:r w:rsidR="00F36565" w:rsidRPr="009F30A2">
        <w:rPr>
          <w:rFonts w:ascii="Palatino Linotype" w:eastAsia="Palatino Linotype" w:hAnsi="Palatino Linotype" w:cs="Palatino Linotype"/>
          <w:sz w:val="22"/>
          <w:szCs w:val="22"/>
        </w:rPr>
        <w:t xml:space="preserve">interpuso el recurso de revisión, mediante el cual y manifestó lo siguiente: </w:t>
      </w:r>
    </w:p>
    <w:p w14:paraId="40A58E74" w14:textId="77777777" w:rsidR="0073601C" w:rsidRPr="009F30A2" w:rsidRDefault="0073601C" w:rsidP="0059440A">
      <w:pPr>
        <w:spacing w:line="360" w:lineRule="auto"/>
        <w:jc w:val="both"/>
        <w:rPr>
          <w:rFonts w:ascii="Palatino Linotype" w:eastAsia="Palatino Linotype" w:hAnsi="Palatino Linotype" w:cs="Palatino Linotype"/>
          <w:sz w:val="22"/>
          <w:szCs w:val="22"/>
        </w:rPr>
      </w:pPr>
    </w:p>
    <w:p w14:paraId="36671519" w14:textId="11FD4654" w:rsidR="00C877F6" w:rsidRPr="009F30A2" w:rsidRDefault="00F36565" w:rsidP="0059440A">
      <w:pPr>
        <w:pStyle w:val="Listaconvietas3"/>
        <w:spacing w:line="360" w:lineRule="auto"/>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Acto Impugnado:</w:t>
      </w:r>
      <w:r w:rsidRPr="009F30A2">
        <w:rPr>
          <w:rFonts w:ascii="Palatino Linotype" w:eastAsia="Palatino Linotype" w:hAnsi="Palatino Linotype" w:cs="Palatino Linotype"/>
          <w:i/>
          <w:sz w:val="22"/>
          <w:szCs w:val="22"/>
        </w:rPr>
        <w:t xml:space="preserve"> “</w:t>
      </w:r>
      <w:r w:rsidR="00BB7FF3" w:rsidRPr="009F30A2">
        <w:rPr>
          <w:rFonts w:ascii="Palatino Linotype" w:eastAsia="Palatino Linotype" w:hAnsi="Palatino Linotype" w:cs="Palatino Linotype"/>
          <w:i/>
          <w:sz w:val="22"/>
          <w:szCs w:val="22"/>
        </w:rPr>
        <w:t>Respuesta a la solicitud de información 00143/ACULCO/IP/2025, comunicada mediante el oficio MA/DOPYDU/OP/736/2025 por la Dirección de Obras Públicas y Desarrollo Urbano de Aculco.</w:t>
      </w:r>
      <w:r w:rsidR="00AB100B"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i/>
          <w:sz w:val="22"/>
          <w:szCs w:val="22"/>
        </w:rPr>
        <w:t>” (Sic.)</w:t>
      </w:r>
    </w:p>
    <w:p w14:paraId="2BA13102" w14:textId="77777777" w:rsidR="00C877F6" w:rsidRPr="009F30A2" w:rsidRDefault="00C877F6" w:rsidP="0059440A">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7847DDAE" w:rsidR="00C877F6" w:rsidRPr="009F30A2" w:rsidRDefault="00F36565" w:rsidP="0059440A">
      <w:pPr>
        <w:pStyle w:val="Listaconvietas3"/>
        <w:spacing w:line="360" w:lineRule="auto"/>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Motivo de inconformidad:</w:t>
      </w:r>
      <w:r w:rsidRPr="009F30A2">
        <w:rPr>
          <w:rFonts w:ascii="Palatino Linotype" w:eastAsia="Palatino Linotype" w:hAnsi="Palatino Linotype" w:cs="Palatino Linotype"/>
          <w:i/>
          <w:sz w:val="22"/>
          <w:szCs w:val="22"/>
        </w:rPr>
        <w:t xml:space="preserve"> “</w:t>
      </w:r>
      <w:r w:rsidR="00BB7FF3" w:rsidRPr="009F30A2">
        <w:rPr>
          <w:rFonts w:ascii="Palatino Linotype" w:eastAsia="Palatino Linotype" w:hAnsi="Palatino Linotype" w:cs="Palatino Linotype"/>
          <w:i/>
          <w:sz w:val="22"/>
          <w:szCs w:val="22"/>
        </w:rPr>
        <w:t xml:space="preserve">La respuesta del Ayuntamiento de Aculco es incompleta y evasiva, vulnerando mi derecho de acceso a la información detallada y específica. Impugno la respuesta por las siguientes razones: 1. ENTREGA DE INFORMACIÓN INCOMPLETA: Solicité de manera explícita los contratos de obra pública incluyendo el catálogo de conceptos con precios unitarios. El sujeto obligado se negó a entregar esta información y, en su lugar, me remitió al portal genérico de IPOMEX. La información disponible en dicho portal corresponde </w:t>
      </w:r>
      <w:r w:rsidR="00BB7FF3" w:rsidRPr="009F30A2">
        <w:rPr>
          <w:rFonts w:ascii="Palatino Linotype" w:eastAsia="Palatino Linotype" w:hAnsi="Palatino Linotype" w:cs="Palatino Linotype"/>
          <w:i/>
          <w:sz w:val="22"/>
          <w:szCs w:val="22"/>
        </w:rPr>
        <w:lastRenderedPageBreak/>
        <w:t>a obligaciones de transparencia generales y no contiene el desglose específico del catálogo de conceptos con precios unitarios para cada contrato, que fue el núcleo de mi solicitud. 2. APLICACIÓN INDEBIDA DE LA LEY Y TRANSFERENCIA DE CARGA: El Ayuntamiento aplica indebidamente el Artículo 161 de la Ley de Transparencia, ya que la información en la fuente a la que me remite no es la misma que la que fue solicitada. Esta acción constituye una negativa simulada a entregar la información completa y transfiere ilegalmente la carga al ciudadano de buscar en un portal público datos que sabe de antemano que no se encuentran ahí. 3. FALTA DE CERTEZA EN LA DECLARACIÓN DE INEXISTENCIA: Respecto a las obras por administración directa, la Dirección de Obras Públicas declara su inexistencia. Sin embargo, no se adjunta el acta del Comité de Transparencia donde se apruebe formalmente dicha declaración, restándole certeza jurídica a su afirmación. Por lo expuesto, la respuesta es una negativa simulada a entregar la información requerida. Solicito a este Instituto que revoque la respuesta y ORDENE al Ayuntamiento de Aculco a que entregue, en versión pública, copia íntegra de todos los contratos de obra pública celebrados en el periodo solicitado, incluyendo, sin excepción, el catálogo de conceptos con precios unitarios para cada uno de ellos.</w:t>
      </w:r>
      <w:r w:rsidRPr="009F30A2">
        <w:rPr>
          <w:rFonts w:ascii="Palatino Linotype" w:eastAsia="Palatino Linotype" w:hAnsi="Palatino Linotype" w:cs="Palatino Linotype"/>
          <w:i/>
          <w:sz w:val="22"/>
          <w:szCs w:val="22"/>
        </w:rPr>
        <w:t>” (Sic.)</w:t>
      </w:r>
    </w:p>
    <w:p w14:paraId="7CCCBBEC" w14:textId="77777777" w:rsidR="00A82285" w:rsidRPr="009F30A2" w:rsidRDefault="00A82285" w:rsidP="00A82285">
      <w:pPr>
        <w:pStyle w:val="Listaconvietas3"/>
        <w:numPr>
          <w:ilvl w:val="0"/>
          <w:numId w:val="0"/>
        </w:numPr>
        <w:spacing w:line="360" w:lineRule="auto"/>
        <w:ind w:left="720"/>
        <w:jc w:val="both"/>
        <w:rPr>
          <w:rFonts w:ascii="Palatino Linotype" w:eastAsia="Palatino Linotype" w:hAnsi="Palatino Linotype" w:cs="Palatino Linotype"/>
          <w:i/>
          <w:sz w:val="22"/>
          <w:szCs w:val="22"/>
        </w:rPr>
      </w:pPr>
    </w:p>
    <w:p w14:paraId="2F870A2F" w14:textId="451E361D" w:rsidR="00C877F6" w:rsidRPr="009F30A2" w:rsidRDefault="00A82285" w:rsidP="00A82285">
      <w:pPr>
        <w:pStyle w:val="Prrafodelista"/>
        <w:numPr>
          <w:ilvl w:val="0"/>
          <w:numId w:val="36"/>
        </w:numPr>
        <w:pBdr>
          <w:top w:val="nil"/>
          <w:left w:val="nil"/>
          <w:bottom w:val="nil"/>
          <w:right w:val="nil"/>
          <w:between w:val="nil"/>
        </w:pBdr>
        <w:spacing w:line="360" w:lineRule="auto"/>
        <w:ind w:left="426"/>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El Recurrente adjuntó el documento electrónico denominado MA-DOPYDU-OP-736-2025.pdf el cual corresponde con el oficio remitido en respuesta a la solicitud. </w:t>
      </w:r>
    </w:p>
    <w:p w14:paraId="28028DC2" w14:textId="77777777" w:rsidR="00A82285" w:rsidRPr="009F30A2" w:rsidRDefault="00A82285" w:rsidP="00A82285">
      <w:pPr>
        <w:pStyle w:val="Prrafodelista"/>
        <w:pBdr>
          <w:top w:val="nil"/>
          <w:left w:val="nil"/>
          <w:bottom w:val="nil"/>
          <w:right w:val="nil"/>
          <w:between w:val="nil"/>
        </w:pBdr>
        <w:spacing w:line="360" w:lineRule="auto"/>
        <w:ind w:left="426"/>
        <w:rPr>
          <w:rFonts w:ascii="Palatino Linotype" w:eastAsia="Palatino Linotype" w:hAnsi="Palatino Linotype" w:cs="Palatino Linotype"/>
          <w:i/>
          <w:sz w:val="22"/>
          <w:szCs w:val="22"/>
        </w:rPr>
      </w:pPr>
    </w:p>
    <w:p w14:paraId="6A9E7514" w14:textId="2E001B32" w:rsidR="00C877F6" w:rsidRPr="009F30A2" w:rsidRDefault="001D5226"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5</w:t>
      </w:r>
      <w:r w:rsidR="00F36565" w:rsidRPr="009F30A2">
        <w:rPr>
          <w:rFonts w:ascii="Palatino Linotype" w:eastAsia="Palatino Linotype" w:hAnsi="Palatino Linotype" w:cs="Palatino Linotype"/>
          <w:b/>
          <w:sz w:val="22"/>
          <w:szCs w:val="22"/>
        </w:rPr>
        <w:t xml:space="preserve">. Turno. </w:t>
      </w:r>
      <w:r w:rsidR="00F36565" w:rsidRPr="009F30A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3C22F4" w:rsidRPr="009F30A2">
        <w:rPr>
          <w:rFonts w:ascii="Palatino Linotype" w:eastAsia="Palatino Linotype" w:hAnsi="Palatino Linotype" w:cs="Palatino Linotype"/>
          <w:b/>
          <w:sz w:val="22"/>
          <w:szCs w:val="22"/>
        </w:rPr>
        <w:t>10319/INFOEM/IP/RR/2025</w:t>
      </w:r>
      <w:r w:rsidR="00F36565" w:rsidRPr="009F30A2">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9F30A2">
        <w:rPr>
          <w:rFonts w:ascii="Palatino Linotype" w:eastAsia="Palatino Linotype" w:hAnsi="Palatino Linotype" w:cs="Palatino Linotype"/>
          <w:b/>
          <w:sz w:val="22"/>
          <w:szCs w:val="22"/>
        </w:rPr>
        <w:t>Guadalupe Ramírez Peña</w:t>
      </w:r>
      <w:r w:rsidR="00F36565" w:rsidRPr="009F30A2">
        <w:rPr>
          <w:rFonts w:ascii="Palatino Linotype" w:eastAsia="Palatino Linotype" w:hAnsi="Palatino Linotype" w:cs="Palatino Linotype"/>
          <w:sz w:val="22"/>
          <w:szCs w:val="22"/>
        </w:rPr>
        <w:t>, para su análisis, estudio, elaboración del proyecto y presentación ante el Pleno de este Instituto.</w:t>
      </w:r>
      <w:r w:rsidR="00CD547C" w:rsidRPr="009F30A2">
        <w:rPr>
          <w:rFonts w:ascii="Palatino Linotype" w:eastAsia="Palatino Linotype" w:hAnsi="Palatino Linotype" w:cs="Palatino Linotype"/>
          <w:sz w:val="22"/>
          <w:szCs w:val="22"/>
        </w:rPr>
        <w:t xml:space="preserve"> </w:t>
      </w:r>
    </w:p>
    <w:p w14:paraId="5BFE6F75"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4B06CA9F" w14:textId="0A86E7A6" w:rsidR="00C877F6" w:rsidRPr="009F30A2" w:rsidRDefault="001D5226" w:rsidP="0059440A">
      <w:pPr>
        <w:spacing w:line="360" w:lineRule="auto"/>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6.</w:t>
      </w:r>
      <w:r w:rsidR="00F36565" w:rsidRPr="009F30A2">
        <w:rPr>
          <w:rFonts w:ascii="Palatino Linotype" w:eastAsia="Palatino Linotype" w:hAnsi="Palatino Linotype" w:cs="Palatino Linotype"/>
          <w:b/>
          <w:sz w:val="22"/>
          <w:szCs w:val="22"/>
        </w:rPr>
        <w:t xml:space="preserve"> Admisión. </w:t>
      </w:r>
      <w:r w:rsidR="00F36565" w:rsidRPr="009F30A2">
        <w:rPr>
          <w:rFonts w:ascii="Palatino Linotype" w:eastAsia="Palatino Linotype" w:hAnsi="Palatino Linotype" w:cs="Palatino Linotype"/>
          <w:sz w:val="22"/>
          <w:szCs w:val="22"/>
        </w:rPr>
        <w:t xml:space="preserve">El </w:t>
      </w:r>
      <w:r w:rsidR="00362AE5" w:rsidRPr="009F30A2">
        <w:rPr>
          <w:rFonts w:ascii="Palatino Linotype" w:eastAsia="Palatino Linotype" w:hAnsi="Palatino Linotype" w:cs="Palatino Linotype"/>
          <w:b/>
          <w:sz w:val="22"/>
          <w:szCs w:val="22"/>
        </w:rPr>
        <w:t>cuatro</w:t>
      </w:r>
      <w:r w:rsidR="005A4875" w:rsidRPr="009F30A2">
        <w:rPr>
          <w:rFonts w:ascii="Palatino Linotype" w:eastAsia="Palatino Linotype" w:hAnsi="Palatino Linotype" w:cs="Palatino Linotype"/>
          <w:b/>
          <w:sz w:val="22"/>
          <w:szCs w:val="22"/>
        </w:rPr>
        <w:t xml:space="preserve"> de septiembre</w:t>
      </w:r>
      <w:r w:rsidR="00F36565" w:rsidRPr="009F30A2">
        <w:rPr>
          <w:rFonts w:ascii="Palatino Linotype" w:eastAsia="Palatino Linotype" w:hAnsi="Palatino Linotype" w:cs="Palatino Linotype"/>
          <w:b/>
          <w:sz w:val="22"/>
          <w:szCs w:val="22"/>
        </w:rPr>
        <w:t xml:space="preserve"> de dos mil veinticinco</w:t>
      </w:r>
      <w:r w:rsidR="00F36565" w:rsidRPr="009F30A2">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9F30A2">
        <w:rPr>
          <w:rFonts w:ascii="Palatino Linotype" w:eastAsia="Palatino Linotype" w:hAnsi="Palatino Linotype" w:cs="Palatino Linotype"/>
          <w:b/>
          <w:sz w:val="22"/>
          <w:szCs w:val="22"/>
        </w:rPr>
        <w:t>.</w:t>
      </w:r>
      <w:r w:rsidR="005A668A" w:rsidRPr="009F30A2">
        <w:rPr>
          <w:rFonts w:ascii="Palatino Linotype" w:eastAsia="Palatino Linotype" w:hAnsi="Palatino Linotype" w:cs="Palatino Linotype"/>
          <w:b/>
          <w:sz w:val="22"/>
          <w:szCs w:val="22"/>
        </w:rPr>
        <w:t xml:space="preserve"> </w:t>
      </w:r>
    </w:p>
    <w:p w14:paraId="5E981DE9" w14:textId="77777777" w:rsidR="00C877F6" w:rsidRPr="009F30A2" w:rsidRDefault="00C877F6" w:rsidP="0059440A">
      <w:pPr>
        <w:spacing w:line="360" w:lineRule="auto"/>
        <w:jc w:val="both"/>
        <w:rPr>
          <w:rFonts w:ascii="Palatino Linotype" w:eastAsia="Palatino Linotype" w:hAnsi="Palatino Linotype" w:cs="Palatino Linotype"/>
          <w:b/>
          <w:sz w:val="22"/>
          <w:szCs w:val="22"/>
        </w:rPr>
      </w:pPr>
    </w:p>
    <w:p w14:paraId="3B1939B4" w14:textId="43C8916B" w:rsidR="00C562F4" w:rsidRPr="009F30A2" w:rsidRDefault="001D5226"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7</w:t>
      </w:r>
      <w:r w:rsidR="00F36565" w:rsidRPr="009F30A2">
        <w:rPr>
          <w:rFonts w:ascii="Palatino Linotype" w:eastAsia="Palatino Linotype" w:hAnsi="Palatino Linotype" w:cs="Palatino Linotype"/>
          <w:b/>
          <w:sz w:val="22"/>
          <w:szCs w:val="22"/>
        </w:rPr>
        <w:t>. Manifestaciones.</w:t>
      </w:r>
      <w:r w:rsidR="00F36565" w:rsidRPr="009F30A2">
        <w:rPr>
          <w:rFonts w:ascii="Palatino Linotype" w:eastAsia="Palatino Linotype" w:hAnsi="Palatino Linotype" w:cs="Palatino Linotype"/>
          <w:sz w:val="22"/>
          <w:szCs w:val="22"/>
        </w:rPr>
        <w:t xml:space="preserve"> De las constancias que obran en el expediente electrón</w:t>
      </w:r>
      <w:r w:rsidR="00C562F4" w:rsidRPr="009F30A2">
        <w:rPr>
          <w:rFonts w:ascii="Palatino Linotype" w:eastAsia="Palatino Linotype" w:hAnsi="Palatino Linotype" w:cs="Palatino Linotype"/>
          <w:sz w:val="22"/>
          <w:szCs w:val="22"/>
        </w:rPr>
        <w:t>ico del SAIMEX, se advierte que, tanto el Sujeto Obligado como el Recurrente fueron omisos en realizar manifestaciones; se inserta imagen de referencia:</w:t>
      </w:r>
      <w:r w:rsidR="00362AE5" w:rsidRPr="009F30A2">
        <w:rPr>
          <w:rFonts w:ascii="Palatino Linotype" w:eastAsia="Palatino Linotype" w:hAnsi="Palatino Linotype" w:cs="Palatino Linotype"/>
          <w:sz w:val="22"/>
          <w:szCs w:val="22"/>
        </w:rPr>
        <w:t xml:space="preserve"> </w:t>
      </w:r>
    </w:p>
    <w:p w14:paraId="1EDB8AE7" w14:textId="09EBCD0C" w:rsidR="00C562F4" w:rsidRPr="009F30A2" w:rsidRDefault="00993A3E"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noProof/>
          <w:sz w:val="22"/>
          <w:szCs w:val="22"/>
        </w:rPr>
        <w:drawing>
          <wp:inline distT="0" distB="0" distL="0" distR="0" wp14:anchorId="36260533" wp14:editId="0FC3D303">
            <wp:extent cx="5756275" cy="1482725"/>
            <wp:effectExtent l="0" t="0" r="0" b="3175"/>
            <wp:docPr id="181134287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42876" name="Imagen 1" descr="Tabl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275" cy="1482725"/>
                    </a:xfrm>
                    <a:prstGeom prst="rect">
                      <a:avLst/>
                    </a:prstGeom>
                  </pic:spPr>
                </pic:pic>
              </a:graphicData>
            </a:graphic>
          </wp:inline>
        </w:drawing>
      </w:r>
    </w:p>
    <w:p w14:paraId="6B7D96BD" w14:textId="77777777" w:rsidR="00C562F4" w:rsidRPr="009F30A2" w:rsidRDefault="00C562F4" w:rsidP="0059440A">
      <w:pPr>
        <w:spacing w:line="360" w:lineRule="auto"/>
        <w:jc w:val="both"/>
        <w:rPr>
          <w:rFonts w:ascii="Palatino Linotype" w:eastAsia="Palatino Linotype" w:hAnsi="Palatino Linotype" w:cs="Palatino Linotype"/>
          <w:sz w:val="22"/>
          <w:szCs w:val="22"/>
        </w:rPr>
      </w:pPr>
    </w:p>
    <w:p w14:paraId="3BB070A1" w14:textId="323FC55D" w:rsidR="001D5226" w:rsidRPr="009F30A2" w:rsidRDefault="001D5226" w:rsidP="001D522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 xml:space="preserve">8. Ampliación de plazo. El tres de </w:t>
      </w:r>
      <w:r w:rsidR="00A82285" w:rsidRPr="009F30A2">
        <w:rPr>
          <w:rFonts w:ascii="Palatino Linotype" w:eastAsia="Palatino Linotype" w:hAnsi="Palatino Linotype" w:cs="Palatino Linotype"/>
          <w:b/>
          <w:sz w:val="22"/>
          <w:szCs w:val="22"/>
        </w:rPr>
        <w:t>diciembre</w:t>
      </w:r>
      <w:r w:rsidRPr="009F30A2">
        <w:rPr>
          <w:rFonts w:ascii="Palatino Linotype" w:eastAsia="Palatino Linotype" w:hAnsi="Palatino Linotype" w:cs="Palatino Linotype"/>
          <w:b/>
          <w:sz w:val="22"/>
          <w:szCs w:val="22"/>
        </w:rPr>
        <w:t xml:space="preserve"> de dos mil veinticinco</w:t>
      </w:r>
      <w:r w:rsidRPr="009F30A2">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7ADD9AAA"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2836538"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5CED9C1"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8494BD"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4ABF0B"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6900586" w14:textId="77777777" w:rsidR="001D5226" w:rsidRPr="009F30A2" w:rsidRDefault="001D5226" w:rsidP="001D5226">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Complejidad del Asunto:</w:t>
      </w:r>
      <w:r w:rsidRPr="009F30A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E30E1B0" w14:textId="77777777" w:rsidR="001D5226" w:rsidRPr="009F30A2" w:rsidRDefault="001D5226" w:rsidP="001D5226">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Actividad Procesal del interesado</w:t>
      </w:r>
      <w:r w:rsidRPr="009F30A2">
        <w:rPr>
          <w:rFonts w:ascii="Palatino Linotype" w:eastAsia="Palatino Linotype" w:hAnsi="Palatino Linotype" w:cs="Palatino Linotype"/>
          <w:sz w:val="22"/>
          <w:szCs w:val="22"/>
        </w:rPr>
        <w:t>. Acciones u omisiones del interesado.</w:t>
      </w:r>
    </w:p>
    <w:p w14:paraId="744EE803" w14:textId="77777777" w:rsidR="001D5226" w:rsidRPr="009F30A2" w:rsidRDefault="001D5226" w:rsidP="001D5226">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Conducta de la Autoridad:</w:t>
      </w:r>
      <w:r w:rsidRPr="009F30A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227BB72" w14:textId="77777777" w:rsidR="001D5226" w:rsidRPr="009F30A2" w:rsidRDefault="001D5226" w:rsidP="001D5226">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La afectación generada en la situación jurídica de la persona involucrada en el proceso:</w:t>
      </w:r>
      <w:r w:rsidRPr="009F30A2">
        <w:rPr>
          <w:rFonts w:ascii="Palatino Linotype" w:eastAsia="Palatino Linotype" w:hAnsi="Palatino Linotype" w:cs="Palatino Linotype"/>
          <w:sz w:val="22"/>
          <w:szCs w:val="22"/>
        </w:rPr>
        <w:t xml:space="preserve"> Violación a sus derechos humanos.</w:t>
      </w:r>
    </w:p>
    <w:p w14:paraId="194EBDBD"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D1AD69"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9F30A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9F30A2">
        <w:rPr>
          <w:rFonts w:ascii="Palatino Linotype" w:eastAsia="Palatino Linotype" w:hAnsi="Palatino Linotype" w:cs="Palatino Linotype"/>
          <w:sz w:val="22"/>
          <w:szCs w:val="22"/>
        </w:rPr>
        <w:t>, visible en la Gaceta del Seminario Judicial de la Federación con el registro digital 205635.</w:t>
      </w:r>
    </w:p>
    <w:p w14:paraId="12F6865D"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8D62F2"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919AA7E" w14:textId="77777777" w:rsidR="001D5226" w:rsidRPr="009F30A2" w:rsidRDefault="001D5226" w:rsidP="001D5226">
      <w:pPr>
        <w:spacing w:before="240" w:after="240" w:line="360" w:lineRule="auto"/>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 </w:t>
      </w:r>
      <w:r w:rsidRPr="009F30A2">
        <w:rPr>
          <w:rFonts w:ascii="Palatino Linotype" w:eastAsia="Palatino Linotype" w:hAnsi="Palatino Linotype" w:cs="Palatino Linotype"/>
          <w:b/>
          <w:i/>
          <w:sz w:val="22"/>
          <w:szCs w:val="22"/>
        </w:rPr>
        <w:t>“PLAZO RAZONABLE PARA RESOLVER. DIMENSIÓN Y EFECTOS DE ESTE CONCEPTO CUANDO SE ADUCE EXCESIVA CARGA DE TRABAJO</w:t>
      </w: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sz w:val="22"/>
          <w:szCs w:val="22"/>
        </w:rPr>
        <w:t xml:space="preserve"> consultable en el Seminario Judicial de la Federación y su gaceta, con el registro digital 2002351.</w:t>
      </w:r>
    </w:p>
    <w:p w14:paraId="78AE6FAC" w14:textId="77777777" w:rsidR="001D5226" w:rsidRPr="009F30A2" w:rsidRDefault="001D5226" w:rsidP="001D5226">
      <w:pPr>
        <w:spacing w:before="240" w:after="240" w:line="360" w:lineRule="auto"/>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F30A2">
        <w:rPr>
          <w:rFonts w:ascii="Palatino Linotype" w:eastAsia="Palatino Linotype" w:hAnsi="Palatino Linotype" w:cs="Palatino Linotype"/>
          <w:sz w:val="22"/>
          <w:szCs w:val="22"/>
        </w:rPr>
        <w:t>, visible en el Seminario Judicial de la Federación y su gaceta, con el registro digital 2002350.</w:t>
      </w:r>
    </w:p>
    <w:p w14:paraId="56FF19C3" w14:textId="77777777" w:rsidR="001D5226" w:rsidRPr="009F30A2" w:rsidRDefault="001D5226" w:rsidP="001D5226">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52AF4725" w:rsidR="00C877F6" w:rsidRPr="009F30A2" w:rsidRDefault="00F36565" w:rsidP="005944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8. Cierre de instrucción</w:t>
      </w:r>
      <w:r w:rsidRPr="009F30A2">
        <w:rPr>
          <w:rFonts w:ascii="Palatino Linotype" w:eastAsia="Palatino Linotype" w:hAnsi="Palatino Linotype" w:cs="Palatino Linotype"/>
          <w:sz w:val="22"/>
          <w:szCs w:val="22"/>
        </w:rPr>
        <w:t xml:space="preserve">. En fecha </w:t>
      </w:r>
      <w:r w:rsidR="00CA6FB7" w:rsidRPr="009F30A2">
        <w:rPr>
          <w:rFonts w:ascii="Palatino Linotype" w:eastAsia="Palatino Linotype" w:hAnsi="Palatino Linotype" w:cs="Palatino Linotype"/>
          <w:b/>
          <w:sz w:val="22"/>
          <w:szCs w:val="22"/>
        </w:rPr>
        <w:t>tres</w:t>
      </w:r>
      <w:r w:rsidRPr="009F30A2">
        <w:rPr>
          <w:rFonts w:ascii="Palatino Linotype" w:eastAsia="Palatino Linotype" w:hAnsi="Palatino Linotype" w:cs="Palatino Linotype"/>
          <w:sz w:val="22"/>
          <w:szCs w:val="22"/>
        </w:rPr>
        <w:t xml:space="preserve"> </w:t>
      </w:r>
      <w:r w:rsidRPr="009F30A2">
        <w:rPr>
          <w:rFonts w:ascii="Palatino Linotype" w:eastAsia="Palatino Linotype" w:hAnsi="Palatino Linotype" w:cs="Palatino Linotype"/>
          <w:b/>
          <w:sz w:val="22"/>
          <w:szCs w:val="22"/>
        </w:rPr>
        <w:t xml:space="preserve">de </w:t>
      </w:r>
      <w:r w:rsidR="00CA6FB7" w:rsidRPr="009F30A2">
        <w:rPr>
          <w:rFonts w:ascii="Palatino Linotype" w:eastAsia="Palatino Linotype" w:hAnsi="Palatino Linotype" w:cs="Palatino Linotype"/>
          <w:b/>
          <w:sz w:val="22"/>
          <w:szCs w:val="22"/>
        </w:rPr>
        <w:t>diciembre</w:t>
      </w:r>
      <w:r w:rsidRPr="009F30A2">
        <w:rPr>
          <w:rFonts w:ascii="Palatino Linotype" w:eastAsia="Palatino Linotype" w:hAnsi="Palatino Linotype" w:cs="Palatino Linotype"/>
          <w:b/>
          <w:sz w:val="22"/>
          <w:szCs w:val="22"/>
        </w:rPr>
        <w:t xml:space="preserve"> de dos mil veinticinco</w:t>
      </w:r>
      <w:r w:rsidRPr="009F30A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9F30A2" w:rsidRDefault="00C877F6" w:rsidP="0059440A">
      <w:pPr>
        <w:spacing w:line="360" w:lineRule="auto"/>
        <w:ind w:right="49"/>
        <w:jc w:val="both"/>
        <w:rPr>
          <w:rFonts w:ascii="Palatino Linotype" w:eastAsia="Palatino Linotype" w:hAnsi="Palatino Linotype" w:cs="Palatino Linotype"/>
          <w:sz w:val="22"/>
          <w:szCs w:val="22"/>
        </w:rPr>
      </w:pPr>
    </w:p>
    <w:p w14:paraId="2332E74C" w14:textId="1BEBEA7B" w:rsidR="00C877F6" w:rsidRPr="009F30A2" w:rsidRDefault="00F36565" w:rsidP="0059440A">
      <w:pPr>
        <w:spacing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Debido a que fue</w:t>
      </w:r>
      <w:r w:rsidR="008D5D61" w:rsidRPr="009F30A2">
        <w:rPr>
          <w:rFonts w:ascii="Palatino Linotype" w:eastAsia="Palatino Linotype" w:hAnsi="Palatino Linotype" w:cs="Palatino Linotype"/>
          <w:sz w:val="22"/>
          <w:szCs w:val="22"/>
        </w:rPr>
        <w:t xml:space="preserve"> debidamente sustanciado</w:t>
      </w:r>
      <w:r w:rsidRPr="009F30A2">
        <w:rPr>
          <w:rFonts w:ascii="Palatino Linotype" w:eastAsia="Palatino Linotype" w:hAnsi="Palatino Linotype" w:cs="Palatino Linotype"/>
          <w:sz w:val="22"/>
          <w:szCs w:val="22"/>
        </w:rPr>
        <w:t xml:space="preserve"> </w:t>
      </w:r>
      <w:r w:rsidR="008D5D61" w:rsidRPr="009F30A2">
        <w:rPr>
          <w:rFonts w:ascii="Palatino Linotype" w:eastAsia="Palatino Linotype" w:hAnsi="Palatino Linotype" w:cs="Palatino Linotype"/>
          <w:sz w:val="22"/>
          <w:szCs w:val="22"/>
        </w:rPr>
        <w:tab/>
        <w:t>el</w:t>
      </w:r>
      <w:r w:rsidRPr="009F30A2">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9F30A2" w:rsidRDefault="00C877F6" w:rsidP="0059440A">
      <w:pPr>
        <w:spacing w:line="360" w:lineRule="auto"/>
        <w:ind w:right="49"/>
        <w:jc w:val="both"/>
        <w:rPr>
          <w:rFonts w:ascii="Palatino Linotype" w:eastAsia="Palatino Linotype" w:hAnsi="Palatino Linotype" w:cs="Palatino Linotype"/>
          <w:sz w:val="22"/>
          <w:szCs w:val="22"/>
        </w:rPr>
      </w:pPr>
    </w:p>
    <w:p w14:paraId="17694FE8" w14:textId="77777777" w:rsidR="00C877F6" w:rsidRPr="009F30A2" w:rsidRDefault="00F36565" w:rsidP="0059440A">
      <w:pPr>
        <w:spacing w:line="360" w:lineRule="auto"/>
        <w:ind w:right="49"/>
        <w:jc w:val="center"/>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II.</w:t>
      </w:r>
      <w:r w:rsidRPr="009F30A2">
        <w:rPr>
          <w:rFonts w:ascii="Palatino Linotype" w:eastAsia="Palatino Linotype" w:hAnsi="Palatino Linotype" w:cs="Palatino Linotype"/>
          <w:b/>
          <w:sz w:val="22"/>
          <w:szCs w:val="22"/>
        </w:rPr>
        <w:tab/>
        <w:t>C O N S I D E R A N D O:</w:t>
      </w:r>
    </w:p>
    <w:p w14:paraId="3E2B3FBD" w14:textId="77777777" w:rsidR="00C877F6" w:rsidRPr="009F30A2" w:rsidRDefault="00C877F6" w:rsidP="0059440A">
      <w:pPr>
        <w:spacing w:line="360" w:lineRule="auto"/>
        <w:ind w:right="49"/>
        <w:jc w:val="both"/>
        <w:rPr>
          <w:rFonts w:ascii="Palatino Linotype" w:eastAsia="Palatino Linotype" w:hAnsi="Palatino Linotype" w:cs="Palatino Linotype"/>
          <w:sz w:val="22"/>
          <w:szCs w:val="22"/>
        </w:rPr>
      </w:pPr>
    </w:p>
    <w:p w14:paraId="1C3901F1"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Primero. Competencia.</w:t>
      </w:r>
      <w:r w:rsidRPr="009F30A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9F30A2" w:rsidRDefault="00F36565" w:rsidP="0059440A">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 xml:space="preserve">Segundo. Oportunidad y Procedibilidad del Recurso de Revisión. </w:t>
      </w:r>
      <w:r w:rsidRPr="009F30A2">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9F30A2" w:rsidRDefault="00F36565" w:rsidP="0059440A">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9F30A2" w:rsidRDefault="00F36565" w:rsidP="0059440A">
      <w:pPr>
        <w:spacing w:line="360" w:lineRule="auto"/>
        <w:ind w:left="851" w:right="90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 xml:space="preserve">“Artículo 178. </w:t>
      </w:r>
      <w:r w:rsidRPr="009F30A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4B88C56E" w:rsidR="00C877F6" w:rsidRPr="009F30A2" w:rsidRDefault="00F36565" w:rsidP="0059440A">
      <w:pPr>
        <w:spacing w:before="240" w:after="240"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9F30A2">
        <w:rPr>
          <w:rFonts w:ascii="Palatino Linotype" w:eastAsia="Palatino Linotype" w:hAnsi="Palatino Linotype" w:cs="Palatino Linotype"/>
          <w:b/>
          <w:sz w:val="22"/>
          <w:szCs w:val="22"/>
        </w:rPr>
        <w:t>SUJETO OBLIGADO</w:t>
      </w:r>
      <w:r w:rsidRPr="009F30A2">
        <w:rPr>
          <w:rFonts w:ascii="Palatino Linotype" w:eastAsia="Palatino Linotype" w:hAnsi="Palatino Linotype" w:cs="Palatino Linotype"/>
          <w:sz w:val="22"/>
          <w:szCs w:val="22"/>
        </w:rPr>
        <w:t xml:space="preserve"> remitió la respuesta a la solicitud de información el día </w:t>
      </w:r>
      <w:r w:rsidR="00CA6FB7" w:rsidRPr="009F30A2">
        <w:rPr>
          <w:rFonts w:ascii="Palatino Linotype" w:eastAsia="Palatino Linotype" w:hAnsi="Palatino Linotype" w:cs="Palatino Linotype"/>
          <w:b/>
          <w:bCs/>
          <w:sz w:val="22"/>
          <w:szCs w:val="22"/>
        </w:rPr>
        <w:t>uno</w:t>
      </w:r>
      <w:r w:rsidRPr="009F30A2">
        <w:rPr>
          <w:rFonts w:ascii="Palatino Linotype" w:eastAsia="Palatino Linotype" w:hAnsi="Palatino Linotype" w:cs="Palatino Linotype"/>
          <w:b/>
          <w:sz w:val="22"/>
          <w:szCs w:val="22"/>
        </w:rPr>
        <w:t xml:space="preserve"> de </w:t>
      </w:r>
      <w:r w:rsidR="00816709" w:rsidRPr="009F30A2">
        <w:rPr>
          <w:rFonts w:ascii="Palatino Linotype" w:eastAsia="Palatino Linotype" w:hAnsi="Palatino Linotype" w:cs="Palatino Linotype"/>
          <w:b/>
          <w:sz w:val="22"/>
          <w:szCs w:val="22"/>
        </w:rPr>
        <w:t>septiembre</w:t>
      </w:r>
      <w:r w:rsidR="008E4A90" w:rsidRPr="009F30A2">
        <w:rPr>
          <w:rFonts w:ascii="Palatino Linotype" w:eastAsia="Palatino Linotype" w:hAnsi="Palatino Linotype" w:cs="Palatino Linotype"/>
          <w:b/>
          <w:sz w:val="22"/>
          <w:szCs w:val="22"/>
        </w:rPr>
        <w:t xml:space="preserve"> </w:t>
      </w:r>
      <w:r w:rsidRPr="009F30A2">
        <w:rPr>
          <w:rFonts w:ascii="Palatino Linotype" w:eastAsia="Palatino Linotype" w:hAnsi="Palatino Linotype" w:cs="Palatino Linotype"/>
          <w:b/>
          <w:sz w:val="22"/>
          <w:szCs w:val="22"/>
        </w:rPr>
        <w:t xml:space="preserve">de dos mil veinticinco, </w:t>
      </w:r>
      <w:r w:rsidRPr="009F30A2">
        <w:rPr>
          <w:rFonts w:ascii="Palatino Linotype" w:eastAsia="Palatino Linotype" w:hAnsi="Palatino Linotype" w:cs="Palatino Linotype"/>
          <w:sz w:val="22"/>
          <w:szCs w:val="22"/>
        </w:rPr>
        <w:t xml:space="preserve">mientras que el recurso de revisión interpuesto por la parte </w:t>
      </w:r>
      <w:r w:rsidRPr="009F30A2">
        <w:rPr>
          <w:rFonts w:ascii="Palatino Linotype" w:eastAsia="Palatino Linotype" w:hAnsi="Palatino Linotype" w:cs="Palatino Linotype"/>
          <w:b/>
          <w:sz w:val="22"/>
          <w:szCs w:val="22"/>
        </w:rPr>
        <w:t>RECURRENTE</w:t>
      </w:r>
      <w:r w:rsidRPr="009F30A2">
        <w:rPr>
          <w:rFonts w:ascii="Palatino Linotype" w:eastAsia="Palatino Linotype" w:hAnsi="Palatino Linotype" w:cs="Palatino Linotype"/>
          <w:sz w:val="22"/>
          <w:szCs w:val="22"/>
        </w:rPr>
        <w:t xml:space="preserve">, se tuvo por presentado el </w:t>
      </w:r>
      <w:r w:rsidR="00CA6FB7" w:rsidRPr="009F30A2">
        <w:rPr>
          <w:rFonts w:ascii="Palatino Linotype" w:eastAsia="Palatino Linotype" w:hAnsi="Palatino Linotype" w:cs="Palatino Linotype"/>
          <w:b/>
          <w:bCs/>
          <w:sz w:val="22"/>
          <w:szCs w:val="22"/>
        </w:rPr>
        <w:t>uno</w:t>
      </w:r>
      <w:r w:rsidRPr="009F30A2">
        <w:rPr>
          <w:rFonts w:ascii="Palatino Linotype" w:eastAsia="Palatino Linotype" w:hAnsi="Palatino Linotype" w:cs="Palatino Linotype"/>
          <w:b/>
          <w:sz w:val="22"/>
          <w:szCs w:val="22"/>
        </w:rPr>
        <w:t xml:space="preserve"> de </w:t>
      </w:r>
      <w:r w:rsidR="00816709" w:rsidRPr="009F30A2">
        <w:rPr>
          <w:rFonts w:ascii="Palatino Linotype" w:eastAsia="Palatino Linotype" w:hAnsi="Palatino Linotype" w:cs="Palatino Linotype"/>
          <w:b/>
          <w:sz w:val="22"/>
          <w:szCs w:val="22"/>
        </w:rPr>
        <w:t>septiembre</w:t>
      </w:r>
      <w:r w:rsidRPr="009F30A2">
        <w:rPr>
          <w:rFonts w:ascii="Palatino Linotype" w:eastAsia="Palatino Linotype" w:hAnsi="Palatino Linotype" w:cs="Palatino Linotype"/>
          <w:b/>
          <w:sz w:val="22"/>
          <w:szCs w:val="22"/>
        </w:rPr>
        <w:t xml:space="preserve"> del año dos mil veinticinco</w:t>
      </w:r>
      <w:r w:rsidRPr="009F30A2">
        <w:rPr>
          <w:rFonts w:ascii="Palatino Linotype" w:eastAsia="Palatino Linotype" w:hAnsi="Palatino Linotype" w:cs="Palatino Linotype"/>
          <w:sz w:val="22"/>
          <w:szCs w:val="22"/>
        </w:rPr>
        <w:t xml:space="preserve">; esto es, </w:t>
      </w:r>
      <w:r w:rsidR="00CA6FB7" w:rsidRPr="009F30A2">
        <w:rPr>
          <w:rFonts w:ascii="Palatino Linotype" w:eastAsia="Palatino Linotype" w:hAnsi="Palatino Linotype" w:cs="Palatino Linotype"/>
          <w:sz w:val="22"/>
          <w:szCs w:val="22"/>
        </w:rPr>
        <w:t xml:space="preserve">el mismo día </w:t>
      </w:r>
      <w:r w:rsidRPr="009F30A2">
        <w:rPr>
          <w:rFonts w:ascii="Palatino Linotype" w:eastAsia="Palatino Linotype" w:hAnsi="Palatino Linotype" w:cs="Palatino Linotype"/>
          <w:sz w:val="22"/>
          <w:szCs w:val="22"/>
        </w:rPr>
        <w:t>que se tuvo conocimiento de la respuesta respectivamente.</w:t>
      </w:r>
    </w:p>
    <w:p w14:paraId="699FBE67" w14:textId="77777777" w:rsidR="00646662" w:rsidRPr="009F30A2" w:rsidRDefault="00646662" w:rsidP="0059440A">
      <w:pPr>
        <w:pBdr>
          <w:top w:val="nil"/>
          <w:left w:val="nil"/>
          <w:bottom w:val="nil"/>
          <w:right w:val="nil"/>
          <w:between w:val="nil"/>
        </w:pBdr>
        <w:spacing w:line="360" w:lineRule="auto"/>
        <w:jc w:val="both"/>
        <w:rPr>
          <w:rFonts w:ascii="Palatino Linotype" w:hAnsi="Palatino Linotype"/>
          <w:sz w:val="22"/>
          <w:szCs w:val="22"/>
        </w:rPr>
      </w:pPr>
      <w:r w:rsidRPr="009F30A2">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0586A15" w14:textId="77777777" w:rsidR="00646662" w:rsidRPr="009F30A2" w:rsidRDefault="00646662" w:rsidP="0059440A">
      <w:pPr>
        <w:pBdr>
          <w:top w:val="nil"/>
          <w:left w:val="nil"/>
          <w:bottom w:val="nil"/>
          <w:right w:val="nil"/>
          <w:between w:val="nil"/>
        </w:pBdr>
        <w:spacing w:before="120" w:after="120" w:line="360" w:lineRule="auto"/>
        <w:ind w:left="851" w:right="902"/>
        <w:jc w:val="both"/>
        <w:rPr>
          <w:rFonts w:ascii="Palatino Linotype" w:hAnsi="Palatino Linotype"/>
          <w:sz w:val="22"/>
          <w:szCs w:val="22"/>
        </w:rPr>
      </w:pPr>
      <w:r w:rsidRPr="009F30A2">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9F30A2">
        <w:rPr>
          <w:rFonts w:ascii="Palatino Linotype" w:eastAsia="Palatino Linotype" w:hAnsi="Palatino Linotype" w:cs="Palatino Linotype"/>
          <w:i/>
          <w:sz w:val="22"/>
          <w:szCs w:val="22"/>
        </w:rPr>
        <w:t>.</w:t>
      </w:r>
    </w:p>
    <w:p w14:paraId="4AEA7A59" w14:textId="77777777" w:rsidR="00646662" w:rsidRPr="009F30A2" w:rsidRDefault="00646662" w:rsidP="0059440A">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D848AEA" w14:textId="4DF0807B" w:rsidR="00CA6FB7" w:rsidRPr="009F30A2" w:rsidRDefault="00646662" w:rsidP="0059440A">
      <w:pPr>
        <w:spacing w:before="240" w:after="240"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E440070" w14:textId="77777777" w:rsidR="00C877F6" w:rsidRPr="009F30A2" w:rsidRDefault="00F36565" w:rsidP="0059440A">
      <w:pPr>
        <w:spacing w:before="240" w:after="240"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D04A098" w14:textId="6BED5B20" w:rsidR="00E07D75" w:rsidRPr="009F30A2" w:rsidRDefault="00E07D75" w:rsidP="00E07D75">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Por otro lado, es de suma importancia mencionar que, si bien la parte Recurrente no proporcionó nombre completo,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591E984" w14:textId="77777777" w:rsidR="00E07D75" w:rsidRPr="009F30A2" w:rsidRDefault="00E07D75" w:rsidP="00E07D75">
      <w:pPr>
        <w:ind w:left="426" w:right="701"/>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br/>
      </w:r>
      <w:r w:rsidRPr="009F30A2">
        <w:rPr>
          <w:rFonts w:ascii="Palatino Linotype" w:eastAsia="Palatino Linotype" w:hAnsi="Palatino Linotype" w:cs="Palatino Linotype"/>
          <w:b/>
          <w:i/>
          <w:sz w:val="22"/>
          <w:szCs w:val="22"/>
        </w:rPr>
        <w:t xml:space="preserve">"Las solicitudes anónimas, </w:t>
      </w:r>
      <w:r w:rsidRPr="009F30A2">
        <w:rPr>
          <w:rFonts w:ascii="Palatino Linotype" w:eastAsia="Palatino Linotype" w:hAnsi="Palatino Linotype" w:cs="Palatino Linotype"/>
          <w:i/>
          <w:sz w:val="22"/>
          <w:szCs w:val="22"/>
        </w:rPr>
        <w:t>con nombre incompleto o seudónimo </w:t>
      </w:r>
      <w:r w:rsidRPr="009F30A2">
        <w:rPr>
          <w:rFonts w:ascii="Palatino Linotype" w:eastAsia="Palatino Linotype" w:hAnsi="Palatino Linotype" w:cs="Palatino Linotype"/>
          <w:b/>
          <w:i/>
          <w:sz w:val="22"/>
          <w:szCs w:val="22"/>
        </w:rPr>
        <w:t>serán procedentes para su trámite por parte del sujeto obligado ante quien se presente.</w:t>
      </w:r>
      <w:r w:rsidRPr="009F30A2">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7CD30A84" w14:textId="14F4D78A" w:rsidR="00C877F6" w:rsidRPr="009F30A2" w:rsidRDefault="00F36565" w:rsidP="0059440A">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9F30A2">
        <w:rPr>
          <w:rFonts w:ascii="Palatino Linotype" w:eastAsia="Palatino Linotype" w:hAnsi="Palatino Linotype" w:cs="Palatino Linotype"/>
          <w:sz w:val="22"/>
          <w:szCs w:val="22"/>
        </w:rPr>
        <w:t>s en el artículo 179, fracci</w:t>
      </w:r>
      <w:r w:rsidR="00646662" w:rsidRPr="009F30A2">
        <w:rPr>
          <w:rFonts w:ascii="Palatino Linotype" w:eastAsia="Palatino Linotype" w:hAnsi="Palatino Linotype" w:cs="Palatino Linotype"/>
          <w:sz w:val="22"/>
          <w:szCs w:val="22"/>
        </w:rPr>
        <w:t xml:space="preserve">ones </w:t>
      </w:r>
      <w:r w:rsidR="00993A3E" w:rsidRPr="009F30A2">
        <w:rPr>
          <w:rFonts w:ascii="Palatino Linotype" w:eastAsia="Palatino Linotype" w:hAnsi="Palatino Linotype" w:cs="Palatino Linotype"/>
          <w:sz w:val="22"/>
          <w:szCs w:val="22"/>
        </w:rPr>
        <w:t>III y VIII</w:t>
      </w:r>
      <w:r w:rsidRPr="009F30A2">
        <w:rPr>
          <w:rFonts w:ascii="Palatino Linotype" w:eastAsia="Palatino Linotype" w:hAnsi="Palatino Linotype" w:cs="Palatino Linotype"/>
          <w:sz w:val="22"/>
          <w:szCs w:val="22"/>
        </w:rPr>
        <w:t xml:space="preserve"> de la ley de la materia, que a la letra dice:</w:t>
      </w:r>
    </w:p>
    <w:p w14:paraId="47475447" w14:textId="77777777" w:rsidR="00C877F6" w:rsidRPr="009F30A2" w:rsidRDefault="00F36565" w:rsidP="0059440A">
      <w:pPr>
        <w:spacing w:line="360" w:lineRule="auto"/>
        <w:ind w:left="851" w:right="1041"/>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 xml:space="preserve">Artículo 179. </w:t>
      </w:r>
      <w:r w:rsidRPr="009F30A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0C282BE" w14:textId="77777777" w:rsidR="0017592D" w:rsidRPr="009F30A2" w:rsidRDefault="0017592D" w:rsidP="0059440A">
      <w:pPr>
        <w:spacing w:line="360" w:lineRule="auto"/>
        <w:ind w:left="851" w:right="1041"/>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p>
    <w:p w14:paraId="0A350343" w14:textId="2F904885" w:rsidR="00993A3E" w:rsidRPr="009F30A2" w:rsidRDefault="00993A3E" w:rsidP="0059440A">
      <w:pPr>
        <w:spacing w:line="360" w:lineRule="auto"/>
        <w:ind w:left="851" w:right="1041"/>
        <w:jc w:val="both"/>
        <w:rPr>
          <w:rFonts w:ascii="Palatino Linotype" w:eastAsia="Palatino Linotype" w:hAnsi="Palatino Linotype" w:cs="Palatino Linotype"/>
          <w:i/>
          <w:sz w:val="22"/>
          <w:szCs w:val="22"/>
          <w:lang w:val="es-ES"/>
        </w:rPr>
      </w:pPr>
      <w:r w:rsidRPr="009F30A2">
        <w:rPr>
          <w:rFonts w:ascii="Palatino Linotype" w:eastAsia="Palatino Linotype" w:hAnsi="Palatino Linotype" w:cs="Palatino Linotype"/>
          <w:i/>
          <w:sz w:val="22"/>
          <w:szCs w:val="22"/>
          <w:lang w:val="es-ES"/>
        </w:rPr>
        <w:t>II. La declaración de inexistencia de la información;</w:t>
      </w:r>
    </w:p>
    <w:p w14:paraId="193A1CB7" w14:textId="004ECC0C" w:rsidR="00993A3E" w:rsidRPr="009F30A2" w:rsidRDefault="00993A3E" w:rsidP="0059440A">
      <w:pPr>
        <w:spacing w:line="360" w:lineRule="auto"/>
        <w:ind w:left="851" w:right="1041"/>
        <w:jc w:val="both"/>
        <w:rPr>
          <w:rFonts w:ascii="Palatino Linotype" w:eastAsia="Palatino Linotype" w:hAnsi="Palatino Linotype" w:cs="Palatino Linotype"/>
          <w:i/>
          <w:sz w:val="22"/>
          <w:szCs w:val="22"/>
          <w:lang w:val="es-ES"/>
        </w:rPr>
      </w:pPr>
      <w:r w:rsidRPr="009F30A2">
        <w:rPr>
          <w:rFonts w:ascii="Palatino Linotype" w:eastAsia="Palatino Linotype" w:hAnsi="Palatino Linotype" w:cs="Palatino Linotype"/>
          <w:i/>
          <w:sz w:val="22"/>
          <w:szCs w:val="22"/>
          <w:lang w:val="es-ES"/>
        </w:rPr>
        <w:t>…</w:t>
      </w:r>
    </w:p>
    <w:p w14:paraId="53864249" w14:textId="762134D2" w:rsidR="00646662" w:rsidRPr="009F30A2" w:rsidRDefault="00646662" w:rsidP="0059440A">
      <w:pPr>
        <w:spacing w:line="360" w:lineRule="auto"/>
        <w:ind w:left="851" w:right="1041"/>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VIII. La notificación, entrega o puesta a disposición de información en una modalidad o formato distinto al solicitado;</w:t>
      </w:r>
    </w:p>
    <w:p w14:paraId="1678F80B" w14:textId="34523797" w:rsidR="00C877F6" w:rsidRPr="009F30A2" w:rsidRDefault="00F36565" w:rsidP="00993A3E">
      <w:pPr>
        <w:spacing w:line="360" w:lineRule="auto"/>
        <w:ind w:left="851" w:right="1041"/>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p>
    <w:p w14:paraId="1A2EB9D0" w14:textId="77777777" w:rsidR="00C877F6" w:rsidRPr="009F30A2" w:rsidRDefault="00F36565" w:rsidP="0059440A">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 xml:space="preserve">Tercero. Materia de la revisión. </w:t>
      </w:r>
      <w:r w:rsidRPr="009F30A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F30A2">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9F30A2">
        <w:rPr>
          <w:rFonts w:ascii="Palatino Linotype" w:eastAsia="Palatino Linotype" w:hAnsi="Palatino Linotype" w:cs="Palatino Linotype"/>
          <w:sz w:val="22"/>
          <w:szCs w:val="22"/>
        </w:rPr>
        <w:t xml:space="preserve">de la parte </w:t>
      </w:r>
      <w:r w:rsidRPr="009F30A2">
        <w:rPr>
          <w:rFonts w:ascii="Palatino Linotype" w:eastAsia="Palatino Linotype" w:hAnsi="Palatino Linotype" w:cs="Palatino Linotype"/>
          <w:b/>
          <w:sz w:val="22"/>
          <w:szCs w:val="22"/>
        </w:rPr>
        <w:t>Recurrente</w:t>
      </w:r>
      <w:r w:rsidRPr="009F30A2">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 xml:space="preserve">Cuarto. Estudio del asunto. </w:t>
      </w:r>
      <w:r w:rsidRPr="009F30A2">
        <w:rPr>
          <w:rFonts w:ascii="Palatino Linotype" w:eastAsia="Palatino Linotype" w:hAnsi="Palatino Linotype" w:cs="Palatino Linotype"/>
          <w:sz w:val="22"/>
          <w:szCs w:val="22"/>
        </w:rPr>
        <w:t xml:space="preserve">En principio, es conveniente analizar si la respuesta del </w:t>
      </w:r>
      <w:r w:rsidRPr="009F30A2">
        <w:rPr>
          <w:rFonts w:ascii="Palatino Linotype" w:eastAsia="Palatino Linotype" w:hAnsi="Palatino Linotype" w:cs="Palatino Linotype"/>
          <w:b/>
          <w:sz w:val="22"/>
          <w:szCs w:val="22"/>
        </w:rPr>
        <w:t>SUJETO OBLIGADO</w:t>
      </w:r>
      <w:r w:rsidRPr="009F30A2">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15C1BD4C"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Artículo 4</w:t>
      </w:r>
      <w:r w:rsidRPr="009F30A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F30A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F30A2">
        <w:rPr>
          <w:rFonts w:ascii="Palatino Linotype" w:eastAsia="Palatino Linotype" w:hAnsi="Palatino Linotype" w:cs="Palatino Linotype"/>
          <w:i/>
          <w:sz w:val="22"/>
          <w:szCs w:val="22"/>
        </w:rPr>
        <w:t>.”</w:t>
      </w:r>
    </w:p>
    <w:p w14:paraId="6FBC13EC"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1D553B80"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2A179EF6"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“Artículo 12.-</w:t>
      </w:r>
      <w:r w:rsidRPr="009F30A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9F30A2" w:rsidRDefault="00C877F6" w:rsidP="0059440A">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F30A2">
        <w:rPr>
          <w:rFonts w:ascii="Palatino Linotype" w:eastAsia="Palatino Linotype" w:hAnsi="Palatino Linotype" w:cs="Palatino Linotype"/>
          <w:i/>
          <w:sz w:val="22"/>
          <w:szCs w:val="22"/>
        </w:rPr>
        <w:t xml:space="preserve">. </w:t>
      </w:r>
      <w:r w:rsidRPr="009F30A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9F30A2" w:rsidRDefault="00C877F6" w:rsidP="0059440A">
      <w:pPr>
        <w:spacing w:line="360" w:lineRule="auto"/>
        <w:ind w:right="-93"/>
        <w:jc w:val="both"/>
        <w:rPr>
          <w:rFonts w:ascii="Palatino Linotype" w:eastAsia="Palatino Linotype" w:hAnsi="Palatino Linotype" w:cs="Palatino Linotype"/>
          <w:sz w:val="22"/>
          <w:szCs w:val="22"/>
        </w:rPr>
      </w:pPr>
    </w:p>
    <w:p w14:paraId="16097321" w14:textId="77777777" w:rsidR="00C877F6" w:rsidRPr="009F30A2" w:rsidRDefault="00F36565" w:rsidP="0059440A">
      <w:pPr>
        <w:spacing w:line="360" w:lineRule="auto"/>
        <w:ind w:right="-93"/>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9F30A2" w:rsidRDefault="00C877F6" w:rsidP="0059440A">
      <w:pPr>
        <w:spacing w:line="360" w:lineRule="auto"/>
        <w:ind w:right="-93"/>
        <w:jc w:val="both"/>
        <w:rPr>
          <w:rFonts w:ascii="Palatino Linotype" w:eastAsia="Palatino Linotype" w:hAnsi="Palatino Linotype" w:cs="Palatino Linotype"/>
          <w:sz w:val="22"/>
          <w:szCs w:val="22"/>
        </w:rPr>
      </w:pPr>
    </w:p>
    <w:p w14:paraId="279C31C3" w14:textId="77777777" w:rsidR="00C877F6" w:rsidRPr="009F30A2" w:rsidRDefault="00F36565" w:rsidP="0059440A">
      <w:pPr>
        <w:spacing w:line="360" w:lineRule="auto"/>
        <w:ind w:right="-93"/>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9F30A2">
        <w:rPr>
          <w:rFonts w:ascii="Palatino Linotype" w:eastAsia="Palatino Linotype" w:hAnsi="Palatino Linotype" w:cs="Palatino Linotype"/>
          <w:b/>
          <w:sz w:val="22"/>
          <w:szCs w:val="22"/>
        </w:rPr>
        <w:t xml:space="preserve"> </w:t>
      </w:r>
    </w:p>
    <w:p w14:paraId="2E2DBFC3" w14:textId="77777777" w:rsidR="00C877F6" w:rsidRPr="009F30A2" w:rsidRDefault="00C877F6" w:rsidP="0059440A">
      <w:pPr>
        <w:spacing w:line="360" w:lineRule="auto"/>
        <w:jc w:val="both"/>
        <w:rPr>
          <w:rFonts w:ascii="Palatino Linotype" w:eastAsia="Palatino Linotype" w:hAnsi="Palatino Linotype" w:cs="Palatino Linotype"/>
          <w:b/>
          <w:sz w:val="22"/>
          <w:szCs w:val="22"/>
        </w:rPr>
      </w:pPr>
    </w:p>
    <w:p w14:paraId="2C225EFA"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No existe obligación de elaborar documentos ad hoc para atender las solicitudes de acceso a la información.</w:t>
      </w:r>
      <w:r w:rsidRPr="009F30A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9F30A2" w:rsidRDefault="00C877F6" w:rsidP="0059440A">
      <w:pPr>
        <w:spacing w:line="360" w:lineRule="auto"/>
        <w:ind w:right="-93"/>
        <w:jc w:val="both"/>
        <w:rPr>
          <w:rFonts w:ascii="Palatino Linotype" w:eastAsia="Palatino Linotype" w:hAnsi="Palatino Linotype" w:cs="Palatino Linotype"/>
          <w:sz w:val="22"/>
          <w:szCs w:val="22"/>
        </w:rPr>
      </w:pPr>
    </w:p>
    <w:p w14:paraId="1B3F139F"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0A307AF3" w14:textId="77777777" w:rsidR="00C877F6" w:rsidRPr="009F30A2" w:rsidRDefault="00F36565" w:rsidP="0059440A">
      <w:pPr>
        <w:spacing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9F30A2" w:rsidRDefault="00C877F6" w:rsidP="0059440A">
      <w:pPr>
        <w:spacing w:line="360" w:lineRule="auto"/>
        <w:ind w:right="49"/>
        <w:jc w:val="both"/>
        <w:rPr>
          <w:rFonts w:ascii="Palatino Linotype" w:eastAsia="Palatino Linotype" w:hAnsi="Palatino Linotype" w:cs="Palatino Linotype"/>
          <w:sz w:val="22"/>
          <w:szCs w:val="22"/>
        </w:rPr>
      </w:pPr>
    </w:p>
    <w:p w14:paraId="18A47771"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9F30A2" w:rsidRDefault="00C877F6" w:rsidP="0059440A">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 xml:space="preserve">Artículo 3. </w:t>
      </w:r>
      <w:r w:rsidRPr="009F30A2">
        <w:rPr>
          <w:rFonts w:ascii="Palatino Linotype" w:eastAsia="Palatino Linotype" w:hAnsi="Palatino Linotype" w:cs="Palatino Linotype"/>
          <w:i/>
          <w:sz w:val="22"/>
          <w:szCs w:val="22"/>
        </w:rPr>
        <w:t>Para los efectos de la presente Ley se entenderá por:</w:t>
      </w:r>
    </w:p>
    <w:p w14:paraId="505D52C6"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p>
    <w:p w14:paraId="273D4E7F"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XI. Documento:</w:t>
      </w:r>
      <w:r w:rsidRPr="009F30A2">
        <w:rPr>
          <w:rFonts w:ascii="Palatino Linotype" w:eastAsia="Palatino Linotype" w:hAnsi="Palatino Linotype" w:cs="Palatino Linotype"/>
          <w:i/>
          <w:sz w:val="22"/>
          <w:szCs w:val="22"/>
        </w:rPr>
        <w:t xml:space="preserve"> Los expedientes, reportes, estudios, actas</w:t>
      </w:r>
      <w:r w:rsidRPr="009F30A2">
        <w:rPr>
          <w:rFonts w:ascii="Palatino Linotype" w:eastAsia="Palatino Linotype" w:hAnsi="Palatino Linotype" w:cs="Palatino Linotype"/>
          <w:b/>
          <w:i/>
          <w:sz w:val="22"/>
          <w:szCs w:val="22"/>
        </w:rPr>
        <w:t>,</w:t>
      </w:r>
      <w:r w:rsidRPr="009F30A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9F30A2" w:rsidRDefault="00C877F6" w:rsidP="0059440A">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36EC6455" w14:textId="77777777" w:rsidR="00C877F6" w:rsidRPr="009F30A2" w:rsidRDefault="00F36565" w:rsidP="0059440A">
      <w:pPr>
        <w:spacing w:line="360" w:lineRule="auto"/>
        <w:ind w:left="567" w:right="616"/>
        <w:jc w:val="both"/>
        <w:rPr>
          <w:rFonts w:ascii="Palatino Linotype" w:eastAsia="Palatino Linotype" w:hAnsi="Palatino Linotype" w:cs="Palatino Linotype"/>
          <w:b/>
          <w:i/>
          <w:sz w:val="22"/>
          <w:szCs w:val="22"/>
        </w:rPr>
      </w:pPr>
      <w:r w:rsidRPr="009F30A2">
        <w:rPr>
          <w:rFonts w:ascii="Palatino Linotype" w:eastAsia="Palatino Linotype" w:hAnsi="Palatino Linotype" w:cs="Palatino Linotype"/>
          <w:b/>
          <w:sz w:val="22"/>
          <w:szCs w:val="22"/>
        </w:rPr>
        <w:t>“</w:t>
      </w:r>
      <w:r w:rsidRPr="009F30A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9F30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9F30A2" w:rsidRDefault="00F36565" w:rsidP="0059440A">
      <w:pPr>
        <w:spacing w:line="360" w:lineRule="auto"/>
        <w:ind w:left="567" w:right="616"/>
        <w:jc w:val="both"/>
        <w:rPr>
          <w:rFonts w:ascii="Palatino Linotype" w:eastAsia="Palatino Linotype" w:hAnsi="Palatino Linotype" w:cs="Palatino Linotype"/>
          <w:b/>
          <w:i/>
          <w:sz w:val="22"/>
          <w:szCs w:val="22"/>
        </w:rPr>
      </w:pPr>
      <w:r w:rsidRPr="009F30A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9F30A2" w:rsidRDefault="00F36565" w:rsidP="0059440A">
      <w:pPr>
        <w:spacing w:line="360" w:lineRule="auto"/>
        <w:ind w:left="567" w:right="616"/>
        <w:jc w:val="both"/>
        <w:rPr>
          <w:rFonts w:ascii="Palatino Linotype" w:eastAsia="Palatino Linotype" w:hAnsi="Palatino Linotype" w:cs="Palatino Linotype"/>
          <w:b/>
          <w:i/>
          <w:sz w:val="22"/>
          <w:szCs w:val="22"/>
        </w:rPr>
      </w:pPr>
      <w:r w:rsidRPr="009F30A2">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9F30A2" w:rsidRDefault="00C877F6" w:rsidP="0059440A">
      <w:pPr>
        <w:tabs>
          <w:tab w:val="left" w:pos="8647"/>
        </w:tabs>
        <w:spacing w:line="360" w:lineRule="auto"/>
        <w:jc w:val="both"/>
        <w:rPr>
          <w:rFonts w:ascii="Palatino Linotype" w:eastAsia="Palatino Linotype" w:hAnsi="Palatino Linotype" w:cs="Palatino Linotype"/>
          <w:b/>
          <w:sz w:val="22"/>
          <w:szCs w:val="22"/>
        </w:rPr>
      </w:pPr>
    </w:p>
    <w:p w14:paraId="45427B9F" w14:textId="4555A423" w:rsidR="00E97AD5" w:rsidRPr="009F30A2" w:rsidRDefault="00F36565" w:rsidP="0059440A">
      <w:pPr>
        <w:spacing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9F30A2">
        <w:rPr>
          <w:rFonts w:ascii="Palatino Linotype" w:eastAsia="Palatino Linotype" w:hAnsi="Palatino Linotype" w:cs="Palatino Linotype"/>
          <w:sz w:val="22"/>
          <w:szCs w:val="22"/>
        </w:rPr>
        <w:t xml:space="preserve">se tiene que el Recurrente solicitó al </w:t>
      </w:r>
      <w:r w:rsidR="003C22F4" w:rsidRPr="009F30A2">
        <w:rPr>
          <w:rFonts w:ascii="Palatino Linotype" w:eastAsia="Palatino Linotype" w:hAnsi="Palatino Linotype" w:cs="Palatino Linotype"/>
          <w:b/>
          <w:sz w:val="22"/>
          <w:szCs w:val="22"/>
        </w:rPr>
        <w:t>Ayuntamiento de Aculco</w:t>
      </w:r>
      <w:r w:rsidR="00E97AD5" w:rsidRPr="009F30A2">
        <w:rPr>
          <w:rFonts w:ascii="Palatino Linotype" w:eastAsia="Palatino Linotype" w:hAnsi="Palatino Linotype" w:cs="Palatino Linotype"/>
          <w:sz w:val="22"/>
          <w:szCs w:val="22"/>
        </w:rPr>
        <w:t>, lo siguiente:</w:t>
      </w:r>
    </w:p>
    <w:p w14:paraId="6DE6A70B" w14:textId="199AE5B6" w:rsidR="00A051FE" w:rsidRPr="009F30A2" w:rsidRDefault="00A051FE" w:rsidP="00A051FE">
      <w:pPr>
        <w:pStyle w:val="Prrafodelista"/>
        <w:numPr>
          <w:ilvl w:val="0"/>
          <w:numId w:val="24"/>
        </w:numPr>
        <w:spacing w:line="360" w:lineRule="auto"/>
        <w:ind w:left="851"/>
        <w:jc w:val="both"/>
        <w:rPr>
          <w:rFonts w:ascii="Palatino Linotype" w:hAnsi="Palatino Linotype"/>
          <w:b/>
          <w:sz w:val="22"/>
          <w:szCs w:val="22"/>
        </w:rPr>
      </w:pPr>
      <w:r w:rsidRPr="009F30A2">
        <w:rPr>
          <w:rFonts w:ascii="Palatino Linotype" w:hAnsi="Palatino Linotype"/>
          <w:i/>
          <w:sz w:val="22"/>
          <w:szCs w:val="22"/>
        </w:rPr>
        <w:t xml:space="preserve">Contratos de obra pública incluyendo el </w:t>
      </w:r>
      <w:r w:rsidR="00573A7D" w:rsidRPr="009F30A2">
        <w:rPr>
          <w:rFonts w:ascii="Palatino Linotype" w:hAnsi="Palatino Linotype"/>
          <w:i/>
          <w:sz w:val="22"/>
          <w:szCs w:val="22"/>
        </w:rPr>
        <w:t>catálogo</w:t>
      </w:r>
      <w:r w:rsidRPr="009F30A2">
        <w:rPr>
          <w:rFonts w:ascii="Palatino Linotype" w:hAnsi="Palatino Linotype"/>
          <w:i/>
          <w:sz w:val="22"/>
          <w:szCs w:val="22"/>
        </w:rPr>
        <w:t xml:space="preserve"> de conceptos con precios unitarios, en versión pública del Ayuntamiento de Aculco celebrados entre el 1 de enero y el 15 de julio de 2025. </w:t>
      </w:r>
    </w:p>
    <w:p w14:paraId="5422D927" w14:textId="77777777" w:rsidR="00A051FE" w:rsidRPr="009F30A2" w:rsidRDefault="00A051FE" w:rsidP="00A051FE">
      <w:pPr>
        <w:pStyle w:val="Prrafodelista"/>
        <w:numPr>
          <w:ilvl w:val="0"/>
          <w:numId w:val="24"/>
        </w:numPr>
        <w:spacing w:line="360" w:lineRule="auto"/>
        <w:ind w:left="851"/>
        <w:jc w:val="both"/>
        <w:rPr>
          <w:rFonts w:ascii="Palatino Linotype" w:hAnsi="Palatino Linotype"/>
          <w:b/>
          <w:sz w:val="22"/>
          <w:szCs w:val="22"/>
        </w:rPr>
      </w:pPr>
      <w:r w:rsidRPr="009F30A2">
        <w:rPr>
          <w:rFonts w:ascii="Palatino Linotype" w:hAnsi="Palatino Linotype"/>
          <w:i/>
          <w:sz w:val="22"/>
          <w:szCs w:val="22"/>
        </w:rPr>
        <w:t xml:space="preserve">Relación de las obras ejecutadas </w:t>
      </w:r>
      <w:r w:rsidRPr="009F30A2">
        <w:rPr>
          <w:rFonts w:ascii="Palatino Linotype" w:hAnsi="Palatino Linotype"/>
          <w:b/>
          <w:i/>
          <w:sz w:val="22"/>
          <w:szCs w:val="22"/>
        </w:rPr>
        <w:t>por administración directa</w:t>
      </w:r>
      <w:r w:rsidRPr="009F30A2">
        <w:rPr>
          <w:rFonts w:ascii="Palatino Linotype" w:hAnsi="Palatino Linotype"/>
          <w:i/>
          <w:sz w:val="22"/>
          <w:szCs w:val="22"/>
        </w:rPr>
        <w:t>, concluidas o que estén en ejecución entre el 1 de enero y el 15 de julio de 2025, en las que se desglose:</w:t>
      </w:r>
    </w:p>
    <w:p w14:paraId="687EC1C4" w14:textId="77777777" w:rsidR="00A051FE" w:rsidRPr="009F30A2" w:rsidRDefault="00A051FE" w:rsidP="00A051FE">
      <w:pPr>
        <w:pStyle w:val="Prrafodelista"/>
        <w:spacing w:line="360" w:lineRule="auto"/>
        <w:ind w:left="851"/>
        <w:jc w:val="both"/>
        <w:rPr>
          <w:rFonts w:ascii="Palatino Linotype" w:hAnsi="Palatino Linotype"/>
          <w:i/>
          <w:sz w:val="22"/>
          <w:szCs w:val="22"/>
        </w:rPr>
      </w:pPr>
      <w:r w:rsidRPr="009F30A2">
        <w:rPr>
          <w:rFonts w:ascii="Palatino Linotype" w:hAnsi="Palatino Linotype"/>
          <w:i/>
          <w:sz w:val="22"/>
          <w:szCs w:val="22"/>
        </w:rPr>
        <w:t xml:space="preserve"> 1. Presupuesto asignado </w:t>
      </w:r>
    </w:p>
    <w:p w14:paraId="609AEA9A" w14:textId="77777777" w:rsidR="00A051FE" w:rsidRPr="009F30A2" w:rsidRDefault="00A051FE" w:rsidP="00A051FE">
      <w:pPr>
        <w:pStyle w:val="Prrafodelista"/>
        <w:spacing w:line="360" w:lineRule="auto"/>
        <w:ind w:left="851"/>
        <w:jc w:val="both"/>
        <w:rPr>
          <w:rFonts w:ascii="Palatino Linotype" w:hAnsi="Palatino Linotype"/>
          <w:i/>
          <w:sz w:val="22"/>
          <w:szCs w:val="22"/>
        </w:rPr>
      </w:pPr>
      <w:r w:rsidRPr="009F30A2">
        <w:rPr>
          <w:rFonts w:ascii="Palatino Linotype" w:hAnsi="Palatino Linotype"/>
          <w:i/>
          <w:sz w:val="22"/>
          <w:szCs w:val="22"/>
        </w:rPr>
        <w:t xml:space="preserve">2. Lugar de ejecución </w:t>
      </w:r>
    </w:p>
    <w:p w14:paraId="1C08D557" w14:textId="77777777" w:rsidR="00A051FE" w:rsidRPr="009F30A2" w:rsidRDefault="00A051FE" w:rsidP="00A051FE">
      <w:pPr>
        <w:pStyle w:val="Prrafodelista"/>
        <w:spacing w:line="360" w:lineRule="auto"/>
        <w:ind w:left="851"/>
        <w:jc w:val="both"/>
        <w:rPr>
          <w:rFonts w:ascii="Palatino Linotype" w:hAnsi="Palatino Linotype"/>
          <w:i/>
          <w:sz w:val="22"/>
          <w:szCs w:val="22"/>
        </w:rPr>
      </w:pPr>
      <w:r w:rsidRPr="009F30A2">
        <w:rPr>
          <w:rFonts w:ascii="Palatino Linotype" w:hAnsi="Palatino Linotype"/>
          <w:i/>
          <w:sz w:val="22"/>
          <w:szCs w:val="22"/>
        </w:rPr>
        <w:t xml:space="preserve">3. Fecha de inicio y fin </w:t>
      </w:r>
    </w:p>
    <w:p w14:paraId="3906B909" w14:textId="77777777" w:rsidR="00A051FE" w:rsidRPr="009F30A2" w:rsidRDefault="00A051FE" w:rsidP="00A051FE">
      <w:pPr>
        <w:pStyle w:val="Prrafodelista"/>
        <w:spacing w:line="360" w:lineRule="auto"/>
        <w:ind w:left="851"/>
        <w:jc w:val="both"/>
        <w:rPr>
          <w:rFonts w:ascii="Palatino Linotype" w:hAnsi="Palatino Linotype"/>
          <w:i/>
          <w:sz w:val="22"/>
          <w:szCs w:val="22"/>
        </w:rPr>
      </w:pPr>
      <w:r w:rsidRPr="009F30A2">
        <w:rPr>
          <w:rFonts w:ascii="Palatino Linotype" w:hAnsi="Palatino Linotype"/>
          <w:i/>
          <w:sz w:val="22"/>
          <w:szCs w:val="22"/>
        </w:rPr>
        <w:t xml:space="preserve">4. Avance financiero </w:t>
      </w:r>
    </w:p>
    <w:p w14:paraId="6026BCDF" w14:textId="51F552C1" w:rsidR="00A051FE" w:rsidRPr="009F30A2" w:rsidRDefault="00A051FE" w:rsidP="00A051FE">
      <w:pPr>
        <w:pStyle w:val="Prrafodelista"/>
        <w:spacing w:line="360" w:lineRule="auto"/>
        <w:ind w:left="851"/>
        <w:jc w:val="both"/>
        <w:rPr>
          <w:rFonts w:ascii="Palatino Linotype" w:hAnsi="Palatino Linotype"/>
          <w:b/>
          <w:sz w:val="22"/>
          <w:szCs w:val="22"/>
        </w:rPr>
      </w:pPr>
      <w:r w:rsidRPr="009F30A2">
        <w:rPr>
          <w:rFonts w:ascii="Palatino Linotype" w:hAnsi="Palatino Linotype"/>
          <w:i/>
          <w:sz w:val="22"/>
          <w:szCs w:val="22"/>
        </w:rPr>
        <w:t>5. Avance físico</w:t>
      </w:r>
    </w:p>
    <w:p w14:paraId="3A37ACAD" w14:textId="76FBFD81" w:rsidR="00684A3C" w:rsidRPr="009F30A2" w:rsidRDefault="00684A3C" w:rsidP="00A051FE">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De las obras públicas.</w:t>
      </w:r>
    </w:p>
    <w:p w14:paraId="2246E4AD" w14:textId="77777777" w:rsidR="00A051FE" w:rsidRPr="009F30A2" w:rsidRDefault="00A051FE" w:rsidP="00A051F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Derivado de la naturaleza de la información,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w:t>
      </w:r>
      <w:r w:rsidRPr="009F30A2">
        <w:rPr>
          <w:rFonts w:ascii="Palatino Linotype" w:eastAsia="Palatino Linotype" w:hAnsi="Palatino Linotype" w:cs="Palatino Linotype"/>
          <w:b/>
          <w:sz w:val="22"/>
          <w:szCs w:val="22"/>
          <w:u w:val="single"/>
        </w:rPr>
        <w:t>los ayuntamientos de los municipios del Estado</w:t>
      </w:r>
      <w:r w:rsidRPr="009F30A2">
        <w:rPr>
          <w:rFonts w:ascii="Palatino Linotype" w:eastAsia="Palatino Linotype" w:hAnsi="Palatino Linotype" w:cs="Palatino Linotype"/>
          <w:sz w:val="22"/>
          <w:szCs w:val="22"/>
        </w:rPr>
        <w:t>; los organismos auxiliares y fideicomisos públicos del Estado y municipios; y los tribunales administrativos.</w:t>
      </w:r>
    </w:p>
    <w:p w14:paraId="14BF8B8E" w14:textId="77777777" w:rsidR="00A051FE" w:rsidRPr="009F30A2" w:rsidRDefault="00A051FE" w:rsidP="00A051F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En este tenor, de conformidad con el artículo 12.4 del Libro Décimo Segundo del referido Código, </w:t>
      </w:r>
      <w:r w:rsidRPr="009F30A2">
        <w:rPr>
          <w:rFonts w:ascii="Palatino Linotype" w:eastAsia="Palatino Linotype" w:hAnsi="Palatino Linotype" w:cs="Palatino Linotype"/>
          <w:b/>
          <w:sz w:val="22"/>
          <w:szCs w:val="22"/>
        </w:rPr>
        <w:t xml:space="preserve">se considera obra pública todo trabajo que tenga por objeto principal construir, instalar, ampliar, adecuar, remodelar, restaurar, conservar, mantener, modificar o demoler </w:t>
      </w:r>
      <w:r w:rsidRPr="009F30A2">
        <w:rPr>
          <w:rFonts w:ascii="Palatino Linotype" w:eastAsia="Palatino Linotype" w:hAnsi="Palatino Linotype" w:cs="Palatino Linotype"/>
          <w:b/>
          <w:sz w:val="22"/>
          <w:szCs w:val="22"/>
          <w:u w:val="single"/>
        </w:rPr>
        <w:t>bienes inmuebles propiedad</w:t>
      </w:r>
      <w:r w:rsidRPr="009F30A2">
        <w:rPr>
          <w:rFonts w:ascii="Palatino Linotype" w:eastAsia="Palatino Linotype" w:hAnsi="Palatino Linotype" w:cs="Palatino Linotype"/>
          <w:b/>
          <w:sz w:val="22"/>
          <w:szCs w:val="22"/>
        </w:rPr>
        <w:t xml:space="preserve"> </w:t>
      </w:r>
      <w:r w:rsidRPr="009F30A2">
        <w:rPr>
          <w:rFonts w:ascii="Palatino Linotype" w:eastAsia="Palatino Linotype" w:hAnsi="Palatino Linotype" w:cs="Palatino Linotype"/>
          <w:sz w:val="22"/>
          <w:szCs w:val="22"/>
        </w:rPr>
        <w:t xml:space="preserve">del Estado, de sus dependencias y entidades y </w:t>
      </w:r>
      <w:r w:rsidRPr="009F30A2">
        <w:rPr>
          <w:rFonts w:ascii="Palatino Linotype" w:eastAsia="Palatino Linotype" w:hAnsi="Palatino Linotype" w:cs="Palatino Linotype"/>
          <w:b/>
          <w:sz w:val="22"/>
          <w:szCs w:val="22"/>
          <w:u w:val="single"/>
        </w:rPr>
        <w:t>de los municipios</w:t>
      </w:r>
      <w:r w:rsidRPr="009F30A2">
        <w:rPr>
          <w:rFonts w:ascii="Palatino Linotype" w:eastAsia="Palatino Linotype" w:hAnsi="Palatino Linotype" w:cs="Palatino Linotype"/>
          <w:sz w:val="22"/>
          <w:szCs w:val="22"/>
        </w:rPr>
        <w:t xml:space="preserve"> y sus organismos </w:t>
      </w:r>
      <w:r w:rsidRPr="009F30A2">
        <w:rPr>
          <w:rFonts w:ascii="Palatino Linotype" w:eastAsia="Palatino Linotype" w:hAnsi="Palatino Linotype" w:cs="Palatino Linotype"/>
          <w:b/>
          <w:sz w:val="22"/>
          <w:szCs w:val="22"/>
        </w:rPr>
        <w:t xml:space="preserve">con cargo a recursos públicos estatales o municipales, </w:t>
      </w:r>
      <w:r w:rsidRPr="009F30A2">
        <w:rPr>
          <w:rFonts w:ascii="Palatino Linotype" w:eastAsia="Palatino Linotype" w:hAnsi="Palatino Linotype" w:cs="Palatino Linotype"/>
          <w:sz w:val="22"/>
          <w:szCs w:val="22"/>
        </w:rPr>
        <w:t>quedando comprendidos dentro de la obra pública: </w:t>
      </w:r>
    </w:p>
    <w:p w14:paraId="13597DBC" w14:textId="77777777" w:rsidR="00A051FE" w:rsidRPr="009F30A2" w:rsidRDefault="00A051FE" w:rsidP="00A051FE">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I. El mantenimiento, restauración, desmantelamiento o remoción de bienes muebles incorporados o adheridos a un inmueble; </w:t>
      </w:r>
    </w:p>
    <w:p w14:paraId="6B396325" w14:textId="77777777" w:rsidR="00A051FE" w:rsidRPr="009F30A2" w:rsidRDefault="00A051FE" w:rsidP="00A051FE">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II. Los proyectos integrales o comúnmente denominados llave en mano, en los cuales el contratista se obliga desde el diseño de la obra hasta su terminación total, incluyéndose, cuando se requiera, la transferencia de tecnología; </w:t>
      </w:r>
    </w:p>
    <w:p w14:paraId="139D7815" w14:textId="77777777" w:rsidR="00A051FE" w:rsidRPr="009F30A2" w:rsidRDefault="00A051FE" w:rsidP="00A051FE">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1B147800" w14:textId="77777777" w:rsidR="00A051FE" w:rsidRPr="009F30A2" w:rsidRDefault="00A051FE" w:rsidP="00A051FE">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IV. Los trabajos de infraestructura agropecuaria e hidroagrícola: </w:t>
      </w:r>
    </w:p>
    <w:p w14:paraId="7B4C5E94" w14:textId="77777777" w:rsidR="00A051FE" w:rsidRPr="009F30A2" w:rsidRDefault="00A051FE" w:rsidP="00A051FE">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3BD55804" w14:textId="77777777" w:rsidR="00A051FE" w:rsidRPr="009F30A2" w:rsidRDefault="00A051FE" w:rsidP="00A051FE">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VI. Los demás que tengan por objeto principal alguno de los conceptos a que se refiere el párrafo primero de este artículo, excluyéndose expresamente los trabajos regulados por el Libro Décimo Sexto del Código.</w:t>
      </w:r>
    </w:p>
    <w:p w14:paraId="029E5BDC" w14:textId="77777777" w:rsidR="00A051FE" w:rsidRPr="009F30A2" w:rsidRDefault="00A051FE" w:rsidP="00A051F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Mientras que el artículo 12.5 del Libro Décimo Segundo, señala que </w:t>
      </w:r>
      <w:r w:rsidRPr="009F30A2">
        <w:rPr>
          <w:rFonts w:ascii="Palatino Linotype" w:eastAsia="Palatino Linotype" w:hAnsi="Palatino Linotype" w:cs="Palatino Linotype"/>
          <w:b/>
          <w:sz w:val="22"/>
          <w:szCs w:val="22"/>
        </w:rPr>
        <w:t xml:space="preserve">se consideran servicios relacionados con la obra pública, los trabajos que tengan por objeto concebir, diseñar y calcular los elementos que integran </w:t>
      </w:r>
      <w:r w:rsidRPr="009F30A2">
        <w:rPr>
          <w:rFonts w:ascii="Palatino Linotype" w:eastAsia="Palatino Linotype" w:hAnsi="Palatino Linotype" w:cs="Palatino Linotype"/>
          <w:b/>
          <w:sz w:val="22"/>
          <w:szCs w:val="22"/>
          <w:u w:val="single"/>
        </w:rPr>
        <w:t>un proyecto de obra pública</w:t>
      </w:r>
      <w:r w:rsidRPr="009F30A2">
        <w:rPr>
          <w:rFonts w:ascii="Palatino Linotype" w:eastAsia="Palatino Linotype" w:hAnsi="Palatino Linotype" w:cs="Palatino Linotype"/>
          <w:sz w:val="22"/>
          <w:szCs w:val="22"/>
        </w:rPr>
        <w:t xml:space="preserve">; </w:t>
      </w:r>
      <w:r w:rsidRPr="009F30A2">
        <w:rPr>
          <w:rFonts w:ascii="Palatino Linotype" w:eastAsia="Palatino Linotype" w:hAnsi="Palatino Linotype" w:cs="Palatino Linotype"/>
          <w:b/>
          <w:sz w:val="22"/>
          <w:szCs w:val="22"/>
        </w:rPr>
        <w:t xml:space="preserve">las investigaciones, estudios, asesorías y consultorías que </w:t>
      </w:r>
      <w:r w:rsidRPr="009F30A2">
        <w:rPr>
          <w:rFonts w:ascii="Palatino Linotype" w:eastAsia="Palatino Linotype" w:hAnsi="Palatino Linotype" w:cs="Palatino Linotype"/>
          <w:b/>
          <w:sz w:val="22"/>
          <w:szCs w:val="22"/>
          <w:u w:val="single"/>
        </w:rPr>
        <w:t>se vinculen con los actos que regula el Libro Décimo Segundo</w:t>
      </w:r>
      <w:r w:rsidRPr="009F30A2">
        <w:rPr>
          <w:rFonts w:ascii="Palatino Linotype" w:eastAsia="Palatino Linotype" w:hAnsi="Palatino Linotype" w:cs="Palatino Linotype"/>
          <w:sz w:val="22"/>
          <w:szCs w:val="22"/>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1036C890"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I.</w:t>
      </w:r>
      <w:r w:rsidRPr="009F30A2">
        <w:rPr>
          <w:rFonts w:ascii="Palatino Linotype" w:eastAsia="Palatino Linotype" w:hAnsi="Palatino Linotype" w:cs="Palatino Linotype"/>
          <w:i/>
          <w:sz w:val="22"/>
          <w:szCs w:val="22"/>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20B8F44A"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II.</w:t>
      </w:r>
      <w:r w:rsidRPr="009F30A2">
        <w:rPr>
          <w:rFonts w:ascii="Palatino Linotype" w:eastAsia="Palatino Linotype" w:hAnsi="Palatino Linotype" w:cs="Palatino Linotype"/>
          <w:i/>
          <w:sz w:val="22"/>
          <w:szCs w:val="22"/>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7280794C"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III</w:t>
      </w:r>
      <w:r w:rsidRPr="009F30A2">
        <w:rPr>
          <w:rFonts w:ascii="Palatino Linotype" w:eastAsia="Palatino Linotype" w:hAnsi="Palatino Linotype" w:cs="Palatino Linotype"/>
          <w:i/>
          <w:sz w:val="22"/>
          <w:szCs w:val="22"/>
        </w:rPr>
        <w:t>. Los estudios técnicos de agrología y desarrollo pecuario, hidrología, mecánica de suelos, sismología, topografía, geología, geodesia, geofísica, geotermia, meteorología, aerofotogrametría, ambientales, ecológicos y de ingeniería de tránsito; </w:t>
      </w:r>
    </w:p>
    <w:p w14:paraId="45BA3E36"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IV</w:t>
      </w:r>
      <w:r w:rsidRPr="009F30A2">
        <w:rPr>
          <w:rFonts w:ascii="Palatino Linotype" w:eastAsia="Palatino Linotype" w:hAnsi="Palatino Linotype" w:cs="Palatino Linotype"/>
          <w:i/>
          <w:sz w:val="22"/>
          <w:szCs w:val="22"/>
        </w:rPr>
        <w:t>. Los estudios económicos y de planeación de preinversión, factibilidad técnico económica, ecológica o social, de evaluación, adaptación, tenencia de la tierra, financieros, de desarrollo y restitución de la eficiencia de las instalaciones; </w:t>
      </w:r>
    </w:p>
    <w:p w14:paraId="14F18326"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V.</w:t>
      </w:r>
      <w:r w:rsidRPr="009F30A2">
        <w:rPr>
          <w:rFonts w:ascii="Palatino Linotype" w:eastAsia="Palatino Linotype" w:hAnsi="Palatino Linotype" w:cs="Palatino Linotype"/>
          <w:i/>
          <w:sz w:val="22"/>
          <w:szCs w:val="22"/>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10410101"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VI.</w:t>
      </w:r>
      <w:r w:rsidRPr="009F30A2">
        <w:rPr>
          <w:rFonts w:ascii="Palatino Linotype" w:eastAsia="Palatino Linotype" w:hAnsi="Palatino Linotype" w:cs="Palatino Linotype"/>
          <w:i/>
          <w:sz w:val="22"/>
          <w:szCs w:val="22"/>
        </w:rPr>
        <w:t xml:space="preserve"> Los trabajos de organización, informática, comunicaciones, cibernética y sistemas aplicados a las materias que regulan este Libro; </w:t>
      </w:r>
    </w:p>
    <w:p w14:paraId="28D03FAF"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VII.</w:t>
      </w:r>
      <w:r w:rsidRPr="009F30A2">
        <w:rPr>
          <w:rFonts w:ascii="Palatino Linotype" w:eastAsia="Palatino Linotype" w:hAnsi="Palatino Linotype" w:cs="Palatino Linotype"/>
          <w:i/>
          <w:sz w:val="22"/>
          <w:szCs w:val="22"/>
        </w:rPr>
        <w:t xml:space="preserve"> Los dictámenes, peritajes, avalúos y auditorías técnico normativas, y estudios aplicables a la obra pública; </w:t>
      </w:r>
    </w:p>
    <w:p w14:paraId="5827D884"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VIII.</w:t>
      </w:r>
      <w:r w:rsidRPr="009F30A2">
        <w:rPr>
          <w:rFonts w:ascii="Palatino Linotype" w:eastAsia="Palatino Linotype" w:hAnsi="Palatino Linotype" w:cs="Palatino Linotype"/>
          <w:i/>
          <w:sz w:val="22"/>
          <w:szCs w:val="22"/>
        </w:rPr>
        <w:t xml:space="preserve"> Los estudios que tengan por objeto rehabilitar, corregir, sustituir o incrementar la eficiencia de las instalaciones en un bien inmueble; </w:t>
      </w:r>
    </w:p>
    <w:p w14:paraId="0BAA25C9"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IX.</w:t>
      </w:r>
      <w:r w:rsidRPr="009F30A2">
        <w:rPr>
          <w:rFonts w:ascii="Palatino Linotype" w:eastAsia="Palatino Linotype" w:hAnsi="Palatino Linotype" w:cs="Palatino Linotype"/>
          <w:i/>
          <w:sz w:val="22"/>
          <w:szCs w:val="22"/>
        </w:rPr>
        <w:t xml:space="preserve"> Los estudios de apoyo tecnológico, incluyendo los de desarrollo y transferencia de tecnología, entre otros; </w:t>
      </w:r>
    </w:p>
    <w:p w14:paraId="19783DBA" w14:textId="77777777" w:rsidR="00A051FE" w:rsidRPr="009F30A2" w:rsidRDefault="00A051FE" w:rsidP="00A051FE">
      <w:pPr>
        <w:pBdr>
          <w:top w:val="nil"/>
          <w:left w:val="nil"/>
          <w:bottom w:val="nil"/>
          <w:right w:val="nil"/>
          <w:between w:val="nil"/>
        </w:pBdr>
        <w:spacing w:before="240" w:after="240"/>
        <w:ind w:left="284"/>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X.</w:t>
      </w:r>
      <w:r w:rsidRPr="009F30A2">
        <w:rPr>
          <w:rFonts w:ascii="Palatino Linotype" w:eastAsia="Palatino Linotype" w:hAnsi="Palatino Linotype" w:cs="Palatino Linotype"/>
          <w:i/>
          <w:sz w:val="22"/>
          <w:szCs w:val="22"/>
        </w:rPr>
        <w:t xml:space="preserve"> Los demás que tengan por objeto alguno de los conceptos a que se refiere el párrafo primero de este artículo.</w:t>
      </w:r>
    </w:p>
    <w:p w14:paraId="34E4DAC5" w14:textId="77777777" w:rsidR="00A051FE" w:rsidRPr="009F30A2" w:rsidRDefault="00A051FE" w:rsidP="00A051F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El artículo 12.12 del Libro Décimo Segundo, señala que en la planeación de la obra pública o de los servicios relacionados con la misma, las dependencias, entidades y ayuntamientos en lo que les corresponda, deberán, entre otras previsiones, considerar la disponibilidad de recursos financieros.</w:t>
      </w:r>
    </w:p>
    <w:p w14:paraId="4AA97502" w14:textId="77777777" w:rsidR="00A051FE" w:rsidRPr="009F30A2" w:rsidRDefault="00A051FE" w:rsidP="00A051F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Por lo que se refiere al procedimiento de adjudicación, el Capítulo Tercero del Libro Décimo Segundo del Código Administrativo del Estado de México, dispone lo siguiente:</w:t>
      </w:r>
    </w:p>
    <w:p w14:paraId="61FAA577" w14:textId="77777777" w:rsidR="00A051FE" w:rsidRPr="009F30A2" w:rsidRDefault="00A051FE" w:rsidP="00A051FE">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“Artículo 12.20</w:t>
      </w:r>
      <w:r w:rsidRPr="009F30A2">
        <w:rPr>
          <w:rFonts w:ascii="Palatino Linotype" w:eastAsia="Palatino Linotype" w:hAnsi="Palatino Linotype" w:cs="Palatino Linotype"/>
          <w:i/>
          <w:sz w:val="22"/>
          <w:szCs w:val="22"/>
        </w:rPr>
        <w:t xml:space="preserve">.- Los contratos a que se refiere este Libro, </w:t>
      </w:r>
      <w:r w:rsidRPr="009F30A2">
        <w:rPr>
          <w:rFonts w:ascii="Palatino Linotype" w:eastAsia="Palatino Linotype" w:hAnsi="Palatino Linotype" w:cs="Palatino Linotype"/>
          <w:b/>
          <w:i/>
          <w:sz w:val="22"/>
          <w:szCs w:val="22"/>
        </w:rPr>
        <w:t xml:space="preserve">se adjudicarán a través de </w:t>
      </w:r>
      <w:r w:rsidRPr="009F30A2">
        <w:rPr>
          <w:rFonts w:ascii="Palatino Linotype" w:eastAsia="Palatino Linotype" w:hAnsi="Palatino Linotype" w:cs="Palatino Linotype"/>
          <w:b/>
          <w:i/>
          <w:sz w:val="22"/>
          <w:szCs w:val="22"/>
          <w:u w:val="single"/>
        </w:rPr>
        <w:t>licitaciones públicas</w:t>
      </w:r>
      <w:r w:rsidRPr="009F30A2">
        <w:rPr>
          <w:rFonts w:ascii="Palatino Linotype" w:eastAsia="Palatino Linotype" w:hAnsi="Palatino Linotype" w:cs="Palatino Linotype"/>
          <w:b/>
          <w:i/>
          <w:sz w:val="22"/>
          <w:szCs w:val="22"/>
        </w:rPr>
        <w:t>, mediante convocatoria pública.</w:t>
      </w:r>
      <w:r w:rsidRPr="009F30A2">
        <w:rPr>
          <w:rFonts w:ascii="Palatino Linotype" w:eastAsia="Palatino Linotype" w:hAnsi="Palatino Linotype" w:cs="Palatino Linotype"/>
          <w:i/>
          <w:sz w:val="22"/>
          <w:szCs w:val="22"/>
        </w:rPr>
        <w:t> </w:t>
      </w:r>
    </w:p>
    <w:p w14:paraId="67AABAF7" w14:textId="77777777" w:rsidR="00A051FE" w:rsidRPr="009F30A2" w:rsidRDefault="00A051FE" w:rsidP="00A051FE">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Artículo 12.21</w:t>
      </w:r>
      <w:r w:rsidRPr="009F30A2">
        <w:rPr>
          <w:rFonts w:ascii="Palatino Linotype" w:eastAsia="Palatino Linotype" w:hAnsi="Palatino Linotype" w:cs="Palatino Linotype"/>
          <w:i/>
          <w:sz w:val="22"/>
          <w:szCs w:val="22"/>
        </w:rPr>
        <w:t xml:space="preserve">.- Las dependencias, entidades y ayuntamientos podrán adjudicar contratos para la ejecución de obra pública o servicios relacionados con la misma. </w:t>
      </w:r>
      <w:r w:rsidRPr="009F30A2">
        <w:rPr>
          <w:rFonts w:ascii="Palatino Linotype" w:eastAsia="Palatino Linotype" w:hAnsi="Palatino Linotype" w:cs="Palatino Linotype"/>
          <w:b/>
          <w:i/>
          <w:sz w:val="22"/>
          <w:szCs w:val="22"/>
        </w:rPr>
        <w:t>mediante las excepciones al procedimiento de licitación</w:t>
      </w:r>
      <w:r w:rsidRPr="009F30A2">
        <w:rPr>
          <w:rFonts w:ascii="Palatino Linotype" w:eastAsia="Palatino Linotype" w:hAnsi="Palatino Linotype" w:cs="Palatino Linotype"/>
          <w:i/>
          <w:sz w:val="22"/>
          <w:szCs w:val="22"/>
        </w:rPr>
        <w:t xml:space="preserve"> siguientes: </w:t>
      </w:r>
    </w:p>
    <w:p w14:paraId="1BD395C9" w14:textId="77777777" w:rsidR="00A051FE" w:rsidRPr="009F30A2" w:rsidRDefault="00A051FE" w:rsidP="00A051FE">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w:t>
      </w:r>
      <w:r w:rsidRPr="009F30A2">
        <w:rPr>
          <w:rFonts w:ascii="Palatino Linotype" w:eastAsia="Palatino Linotype" w:hAnsi="Palatino Linotype" w:cs="Palatino Linotype"/>
          <w:i/>
          <w:sz w:val="22"/>
          <w:szCs w:val="22"/>
        </w:rPr>
        <w:t xml:space="preserve">. </w:t>
      </w:r>
      <w:r w:rsidRPr="009F30A2">
        <w:rPr>
          <w:rFonts w:ascii="Palatino Linotype" w:eastAsia="Palatino Linotype" w:hAnsi="Palatino Linotype" w:cs="Palatino Linotype"/>
          <w:b/>
          <w:i/>
          <w:sz w:val="22"/>
          <w:szCs w:val="22"/>
        </w:rPr>
        <w:t>Invitación restringida</w:t>
      </w:r>
      <w:r w:rsidRPr="009F30A2">
        <w:rPr>
          <w:rFonts w:ascii="Palatino Linotype" w:eastAsia="Palatino Linotype" w:hAnsi="Palatino Linotype" w:cs="Palatino Linotype"/>
          <w:i/>
          <w:sz w:val="22"/>
          <w:szCs w:val="22"/>
        </w:rPr>
        <w:t>; </w:t>
      </w:r>
    </w:p>
    <w:p w14:paraId="1F2603C2" w14:textId="77777777" w:rsidR="00A051FE" w:rsidRPr="009F30A2" w:rsidRDefault="00A051FE" w:rsidP="00A051FE">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w:t>
      </w:r>
      <w:r w:rsidRPr="009F30A2">
        <w:rPr>
          <w:rFonts w:ascii="Palatino Linotype" w:eastAsia="Palatino Linotype" w:hAnsi="Palatino Linotype" w:cs="Palatino Linotype"/>
          <w:i/>
          <w:sz w:val="22"/>
          <w:szCs w:val="22"/>
        </w:rPr>
        <w:t xml:space="preserve">. </w:t>
      </w:r>
      <w:r w:rsidRPr="009F30A2">
        <w:rPr>
          <w:rFonts w:ascii="Palatino Linotype" w:eastAsia="Palatino Linotype" w:hAnsi="Palatino Linotype" w:cs="Palatino Linotype"/>
          <w:b/>
          <w:i/>
          <w:sz w:val="22"/>
          <w:szCs w:val="22"/>
        </w:rPr>
        <w:t>Adjudicación directa.”</w:t>
      </w:r>
    </w:p>
    <w:p w14:paraId="106AE4C0" w14:textId="5DBF115E" w:rsidR="00A051FE" w:rsidRPr="009F30A2" w:rsidRDefault="00A051FE" w:rsidP="00A051F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Como se advierte, la normativa contempla como modalidades para la adjudicación de contratos de obra pública y servicios relacionados con la misma la licitación pública, y de manera excepcional a través de invitación restringida y </w:t>
      </w:r>
      <w:r w:rsidRPr="009F30A2">
        <w:rPr>
          <w:rFonts w:ascii="Palatino Linotype" w:eastAsia="Palatino Linotype" w:hAnsi="Palatino Linotype" w:cs="Palatino Linotype"/>
          <w:b/>
          <w:sz w:val="22"/>
          <w:szCs w:val="22"/>
        </w:rPr>
        <w:t>adjudicación directa</w:t>
      </w:r>
      <w:r w:rsidRPr="009F30A2">
        <w:rPr>
          <w:rFonts w:ascii="Palatino Linotype" w:eastAsia="Palatino Linotype" w:hAnsi="Palatino Linotype" w:cs="Palatino Linotype"/>
          <w:sz w:val="22"/>
          <w:szCs w:val="22"/>
        </w:rPr>
        <w:t>, cuyas formalidades se encuentran previstas en el Reglamento del Libro Décimo Segundo del Código Administrativo del Estado de México, que en su parte conducente dispone lo siguiente:</w:t>
      </w:r>
    </w:p>
    <w:p w14:paraId="6FD640DC"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Artículo 26</w:t>
      </w:r>
      <w:r w:rsidRPr="009F30A2">
        <w:rPr>
          <w:rFonts w:ascii="Palatino Linotype" w:eastAsia="Palatino Linotype" w:hAnsi="Palatino Linotype" w:cs="Palatino Linotype"/>
          <w:i/>
          <w:sz w:val="22"/>
          <w:szCs w:val="22"/>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4EE76316" w14:textId="2C5A5064" w:rsidR="00A051FE" w:rsidRPr="009F30A2" w:rsidRDefault="0045521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w:t>
      </w:r>
    </w:p>
    <w:p w14:paraId="1DD130FD"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Artículo 58.-</w:t>
      </w:r>
      <w:r w:rsidRPr="009F30A2">
        <w:rPr>
          <w:rFonts w:ascii="Palatino Linotype" w:eastAsia="Palatino Linotype" w:hAnsi="Palatino Linotype" w:cs="Palatino Linotype"/>
          <w:i/>
          <w:sz w:val="22"/>
          <w:szCs w:val="22"/>
        </w:rPr>
        <w:t xml:space="preserve"> El convocante deberá verificar en las propuestas que consideren precios unitarios, que </w:t>
      </w:r>
    </w:p>
    <w:p w14:paraId="7D512642"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A.</w:t>
      </w:r>
      <w:r w:rsidRPr="009F30A2">
        <w:rPr>
          <w:rFonts w:ascii="Palatino Linotype" w:eastAsia="Palatino Linotype" w:hAnsi="Palatino Linotype" w:cs="Palatino Linotype"/>
          <w:i/>
          <w:sz w:val="22"/>
          <w:szCs w:val="22"/>
        </w:rPr>
        <w:t xml:space="preserve"> En el presupuesto de obra: </w:t>
      </w:r>
    </w:p>
    <w:p w14:paraId="2D35B5B4"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w:t>
      </w:r>
      <w:r w:rsidRPr="009F30A2">
        <w:rPr>
          <w:rFonts w:ascii="Palatino Linotype" w:eastAsia="Palatino Linotype" w:hAnsi="Palatino Linotype" w:cs="Palatino Linotype"/>
          <w:i/>
          <w:sz w:val="22"/>
          <w:szCs w:val="22"/>
        </w:rPr>
        <w:t xml:space="preserve"> Cada uno de los conceptos señale el importe del precio unitario;</w:t>
      </w:r>
    </w:p>
    <w:p w14:paraId="00887A75"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i/>
          <w:sz w:val="22"/>
          <w:szCs w:val="22"/>
        </w:rPr>
        <w:t>II. El importe del precio unitario esté anotado con número y letra y que éstos sean coincidentes entre sí. En caso de diferencia prevalecerá el que coincida con la integración del precio unitario o, cuando no se tenga, el escrito con letra, y </w:t>
      </w:r>
    </w:p>
    <w:p w14:paraId="0ECE9999"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III</w:t>
      </w:r>
      <w:r w:rsidRPr="009F30A2">
        <w:rPr>
          <w:rFonts w:ascii="Palatino Linotype" w:eastAsia="Palatino Linotype" w:hAnsi="Palatino Linotype" w:cs="Palatino Linotype"/>
          <w:i/>
          <w:sz w:val="22"/>
          <w:szCs w:val="22"/>
        </w:rPr>
        <w:t>. Las operaciones aritméticas estén correctas. Cuando una o más operaciones estén equivocadas, se harán las correcciones correspondientes. El monto correcto será el considerado para el análisis comparativo de las propuestas. </w:t>
      </w:r>
    </w:p>
    <w:p w14:paraId="26E733D0"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i/>
          <w:sz w:val="22"/>
          <w:szCs w:val="22"/>
        </w:rPr>
        <w:t>B. El análisis, cálculo e integración de los precios unitarios se haya realizado de acuerdo con lo establecido en este Reglamento y que: </w:t>
      </w:r>
    </w:p>
    <w:p w14:paraId="0EBB7E81"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i/>
          <w:sz w:val="22"/>
          <w:szCs w:val="22"/>
        </w:rPr>
        <w:t>I. Los análisis de los precios unitarios se integren con costos directos, indirectos, de financiamiento, cargo por utilidad y cargos adicionales; </w:t>
      </w:r>
    </w:p>
    <w:p w14:paraId="49F0E514"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w:t>
      </w:r>
      <w:r w:rsidRPr="009F30A2">
        <w:rPr>
          <w:rFonts w:ascii="Palatino Linotype" w:eastAsia="Palatino Linotype" w:hAnsi="Palatino Linotype" w:cs="Palatino Linotype"/>
          <w:i/>
          <w:sz w:val="22"/>
          <w:szCs w:val="22"/>
        </w:rPr>
        <w:t xml:space="preserve"> Los costos directos comprendan los correspondientes a materiales, mano de obra, maquinaria y equipo de construcción;</w:t>
      </w:r>
    </w:p>
    <w:p w14:paraId="39911A07"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III</w:t>
      </w:r>
      <w:r w:rsidRPr="009F30A2">
        <w:rPr>
          <w:rFonts w:ascii="Palatino Linotype" w:eastAsia="Palatino Linotype" w:hAnsi="Palatino Linotype" w:cs="Palatino Linotype"/>
          <w:i/>
          <w:sz w:val="22"/>
          <w:szCs w:val="22"/>
        </w:rPr>
        <w:t>. Los precios de adquisición de los materiales estén dentro de los parámetros de precios de mercado; </w:t>
      </w:r>
    </w:p>
    <w:p w14:paraId="0EA053F7"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IV</w:t>
      </w:r>
      <w:r w:rsidRPr="009F30A2">
        <w:rPr>
          <w:rFonts w:ascii="Palatino Linotype" w:eastAsia="Palatino Linotype" w:hAnsi="Palatino Linotype" w:cs="Palatino Linotype"/>
          <w:i/>
          <w:sz w:val="22"/>
          <w:szCs w:val="22"/>
        </w:rPr>
        <w:t>. Los costos de la mano de obra se hayan obtenido aplicando los factores de salario integrado a los sueldos y salarios del personal, conforme a lo previsto en este Reglamento; </w:t>
      </w:r>
    </w:p>
    <w:p w14:paraId="37C1E0E8"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V</w:t>
      </w:r>
      <w:r w:rsidRPr="009F30A2">
        <w:rPr>
          <w:rFonts w:ascii="Palatino Linotype" w:eastAsia="Palatino Linotype" w:hAnsi="Palatino Linotype" w:cs="Palatino Linotype"/>
          <w:i/>
          <w:sz w:val="22"/>
          <w:szCs w:val="22"/>
        </w:rPr>
        <w:t>. El cargo por el uso de herramienta menor esté incluido; </w:t>
      </w:r>
    </w:p>
    <w:p w14:paraId="23DDE446"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VI.</w:t>
      </w:r>
      <w:r w:rsidRPr="009F30A2">
        <w:rPr>
          <w:rFonts w:ascii="Palatino Linotype" w:eastAsia="Palatino Linotype" w:hAnsi="Palatino Linotype" w:cs="Palatino Linotype"/>
          <w:i/>
          <w:sz w:val="22"/>
          <w:szCs w:val="22"/>
        </w:rPr>
        <w:t xml:space="preserve"> Los costos horarios por la utilización de la maquinaria y equipo de construcción estén determinados por hora efectiva de trabajo, calculados para cada máquina o equipo; considerando, cuando sea el caso, los accesorios integrados; </w:t>
      </w:r>
    </w:p>
    <w:p w14:paraId="128B098E"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C</w:t>
      </w:r>
      <w:r w:rsidRPr="009F30A2">
        <w:rPr>
          <w:rFonts w:ascii="Palatino Linotype" w:eastAsia="Palatino Linotype" w:hAnsi="Palatino Linotype" w:cs="Palatino Linotype"/>
          <w:i/>
          <w:sz w:val="22"/>
          <w:szCs w:val="22"/>
        </w:rPr>
        <w:t>. Los costos directos de los precios unitarios se hayan estructurado y determinado de acuerdo con lo previsto en este Reglamento y que: </w:t>
      </w:r>
    </w:p>
    <w:p w14:paraId="7AFA41EE"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w:t>
      </w:r>
      <w:r w:rsidRPr="009F30A2">
        <w:rPr>
          <w:rFonts w:ascii="Palatino Linotype" w:eastAsia="Palatino Linotype" w:hAnsi="Palatino Linotype" w:cs="Palatino Linotype"/>
          <w:i/>
          <w:sz w:val="22"/>
          <w:szCs w:val="22"/>
        </w:rPr>
        <w:t>. Los costos de los materiales considerados por el licitante sean coincidentes con la relación de los costos y cumplan las normas de calidad señaladas en las bases de la licitación; </w:t>
      </w:r>
    </w:p>
    <w:p w14:paraId="6DC05440"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w:t>
      </w:r>
      <w:r w:rsidRPr="009F30A2">
        <w:rPr>
          <w:rFonts w:ascii="Palatino Linotype" w:eastAsia="Palatino Linotype" w:hAnsi="Palatino Linotype" w:cs="Palatino Linotype"/>
          <w:i/>
          <w:sz w:val="22"/>
          <w:szCs w:val="22"/>
        </w:rPr>
        <w:t xml:space="preserve"> Los costos de mano de obra considerados por el licitante sean coincidentes con el tabulador de salarios y con los costos que prevalezcan en la zona donde se ejecutarán los trabajos; y</w:t>
      </w:r>
    </w:p>
    <w:p w14:paraId="066D00C8"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III</w:t>
      </w:r>
      <w:r w:rsidRPr="009F30A2">
        <w:rPr>
          <w:rFonts w:ascii="Palatino Linotype" w:eastAsia="Palatino Linotype" w:hAnsi="Palatino Linotype" w:cs="Palatino Linotype"/>
          <w:i/>
          <w:sz w:val="22"/>
          <w:szCs w:val="22"/>
        </w:rPr>
        <w:t>. Los costos horarios de la maquinaria y equipo de construcción estén determinados con base en el precio y rendimientos máximos de unidades nuevas, tomados de los manuales de los fabricantes y que consideraron las características ambientales de la zona donde vayan a realizarse los trabajos. </w:t>
      </w:r>
    </w:p>
    <w:p w14:paraId="1EC3B0EE"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D</w:t>
      </w:r>
      <w:r w:rsidRPr="009F30A2">
        <w:rPr>
          <w:rFonts w:ascii="Palatino Linotype" w:eastAsia="Palatino Linotype" w:hAnsi="Palatino Linotype" w:cs="Palatino Linotype"/>
          <w:i/>
          <w:sz w:val="22"/>
          <w:szCs w:val="22"/>
        </w:rPr>
        <w:t>. Los costos indirectos de los precios unitarios estén integrados de acuerdo con lo previsto en este Reglamento y que: </w:t>
      </w:r>
    </w:p>
    <w:p w14:paraId="54675DBF"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w:t>
      </w:r>
      <w:r w:rsidRPr="009F30A2">
        <w:rPr>
          <w:rFonts w:ascii="Palatino Linotype" w:eastAsia="Palatino Linotype" w:hAnsi="Palatino Linotype" w:cs="Palatino Linotype"/>
          <w:i/>
          <w:sz w:val="22"/>
          <w:szCs w:val="22"/>
        </w:rPr>
        <w:t xml:space="preserve"> Estén calculados por conceptos con sus importes, determinándose el monto total y su porcentaje sobre el monto del costo directo;</w:t>
      </w:r>
    </w:p>
    <w:p w14:paraId="1C844693"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w:t>
      </w:r>
      <w:r w:rsidRPr="009F30A2">
        <w:rPr>
          <w:rFonts w:ascii="Palatino Linotype" w:eastAsia="Palatino Linotype" w:hAnsi="Palatino Linotype" w:cs="Palatino Linotype"/>
          <w:i/>
          <w:sz w:val="22"/>
          <w:szCs w:val="22"/>
        </w:rPr>
        <w:t>. Los costos indirectos de las oficinas centrales del licitante sean únicamente los necesarios para el apoyo técnico y administrativo a la superintendencia de la obra encargada directamente de los trabajos, así como los de campo necesarios para la dirección, supervisión y administración de la obra; y </w:t>
      </w:r>
    </w:p>
    <w:p w14:paraId="1994353E"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III</w:t>
      </w:r>
      <w:r w:rsidRPr="009F30A2">
        <w:rPr>
          <w:rFonts w:ascii="Palatino Linotype" w:eastAsia="Palatino Linotype" w:hAnsi="Palatino Linotype" w:cs="Palatino Linotype"/>
          <w:i/>
          <w:sz w:val="22"/>
          <w:szCs w:val="22"/>
        </w:rPr>
        <w:t>. No se incluyan cargos que, por sus características o conforme a las bases de la licitación, deban formen parte de un precio unitario. </w:t>
      </w:r>
    </w:p>
    <w:p w14:paraId="65CB5C12"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i/>
          <w:sz w:val="22"/>
          <w:szCs w:val="22"/>
        </w:rPr>
        <w:t>E. El costo financiero de los precios unitarios se haya estructurado y determinado conforme a lo señalado en este Reglamento y que:</w:t>
      </w:r>
    </w:p>
    <w:p w14:paraId="4598027E"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w:t>
      </w:r>
      <w:r w:rsidRPr="009F30A2">
        <w:rPr>
          <w:rFonts w:ascii="Palatino Linotype" w:eastAsia="Palatino Linotype" w:hAnsi="Palatino Linotype" w:cs="Palatino Linotype"/>
          <w:i/>
          <w:sz w:val="22"/>
          <w:szCs w:val="22"/>
        </w:rPr>
        <w:t>. Los ingresos consideren la periodicidad y el plazo de trámite y el pago del o los anticipos y las estimaciones y que éstas incluyan la amortización de los anticipos; </w:t>
      </w:r>
    </w:p>
    <w:p w14:paraId="73A48173"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w:t>
      </w:r>
      <w:r w:rsidRPr="009F30A2">
        <w:rPr>
          <w:rFonts w:ascii="Palatino Linotype" w:eastAsia="Palatino Linotype" w:hAnsi="Palatino Linotype" w:cs="Palatino Linotype"/>
          <w:i/>
          <w:sz w:val="22"/>
          <w:szCs w:val="22"/>
        </w:rPr>
        <w:t xml:space="preserve"> El costo del financiamiento esté representado por un porcentaje de la suma de los costos directos e indirectos; </w:t>
      </w:r>
    </w:p>
    <w:p w14:paraId="09070547"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III</w:t>
      </w:r>
      <w:r w:rsidRPr="009F30A2">
        <w:rPr>
          <w:rFonts w:ascii="Palatino Linotype" w:eastAsia="Palatino Linotype" w:hAnsi="Palatino Linotype" w:cs="Palatino Linotype"/>
          <w:i/>
          <w:sz w:val="22"/>
          <w:szCs w:val="22"/>
        </w:rPr>
        <w:t>. La tasa de interés aplicable esté definida con base en un indicador económico específico; </w:t>
      </w:r>
    </w:p>
    <w:p w14:paraId="6D6228DE"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IV</w:t>
      </w:r>
      <w:r w:rsidRPr="009F30A2">
        <w:rPr>
          <w:rFonts w:ascii="Palatino Linotype" w:eastAsia="Palatino Linotype" w:hAnsi="Palatino Linotype" w:cs="Palatino Linotype"/>
          <w:i/>
          <w:sz w:val="22"/>
          <w:szCs w:val="22"/>
        </w:rPr>
        <w:t>. El costo del financiamiento sea congruente con el programa de ejecución valorizado con montos mensuales; y </w:t>
      </w:r>
    </w:p>
    <w:p w14:paraId="69C6AFB4"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V</w:t>
      </w:r>
      <w:r w:rsidRPr="009F30A2">
        <w:rPr>
          <w:rFonts w:ascii="Palatino Linotype" w:eastAsia="Palatino Linotype" w:hAnsi="Palatino Linotype" w:cs="Palatino Linotype"/>
          <w:i/>
          <w:sz w:val="22"/>
          <w:szCs w:val="22"/>
        </w:rPr>
        <w:t>. El procedimiento para el cálculo del costo por financiamiento aplicado por el licitante corresponda con el de las bases de la licitación. </w:t>
      </w:r>
    </w:p>
    <w:p w14:paraId="064F6B54"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F</w:t>
      </w:r>
      <w:r w:rsidRPr="009F30A2">
        <w:rPr>
          <w:rFonts w:ascii="Palatino Linotype" w:eastAsia="Palatino Linotype" w:hAnsi="Palatino Linotype" w:cs="Palatino Linotype"/>
          <w:i/>
          <w:sz w:val="22"/>
          <w:szCs w:val="22"/>
        </w:rPr>
        <w:t>. El cálculo del cargo por utilidad de los precios unitarios considere la utilidad que el contratista estima debe percibir y las deducciones e impuestos correspondientes, no siendo necesario su desglose. </w:t>
      </w:r>
    </w:p>
    <w:p w14:paraId="2FD52E50"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G.</w:t>
      </w:r>
      <w:r w:rsidRPr="009F30A2">
        <w:rPr>
          <w:rFonts w:ascii="Palatino Linotype" w:eastAsia="Palatino Linotype" w:hAnsi="Palatino Linotype" w:cs="Palatino Linotype"/>
          <w:i/>
          <w:sz w:val="22"/>
          <w:szCs w:val="22"/>
        </w:rPr>
        <w:t xml:space="preserve">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14:paraId="205E80C4"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i/>
          <w:sz w:val="22"/>
          <w:szCs w:val="22"/>
        </w:rPr>
        <w:t>El servidor público responsable de revisar la correcta formulación de los precios unitarios deberá contar con la certificación de conocimientos y habilidades en la materia.</w:t>
      </w:r>
    </w:p>
    <w:p w14:paraId="647EA08A"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i/>
          <w:sz w:val="22"/>
          <w:szCs w:val="22"/>
        </w:rPr>
        <w:t>...</w:t>
      </w:r>
    </w:p>
    <w:p w14:paraId="68E1B6F5"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Artículo 62.-</w:t>
      </w:r>
      <w:r w:rsidRPr="009F30A2">
        <w:rPr>
          <w:rFonts w:ascii="Palatino Linotype" w:eastAsia="Palatino Linotype" w:hAnsi="Palatino Linotype" w:cs="Palatino Linotype"/>
          <w:i/>
          <w:sz w:val="22"/>
          <w:szCs w:val="22"/>
        </w:rPr>
        <w:t xml:space="preserve"> Realizada la evaluación de las propuestas, el convocante emitirá el dictamen que servirá de base para el fallo. El dictamen deberá contener: </w:t>
      </w:r>
    </w:p>
    <w:p w14:paraId="3634B344"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w:t>
      </w:r>
      <w:r w:rsidRPr="009F30A2">
        <w:rPr>
          <w:rFonts w:ascii="Palatino Linotype" w:eastAsia="Palatino Linotype" w:hAnsi="Palatino Linotype" w:cs="Palatino Linotype"/>
          <w:i/>
          <w:sz w:val="22"/>
          <w:szCs w:val="22"/>
        </w:rPr>
        <w:t>. La relación sucinta y cronológica de los actos del procedimiento; </w:t>
      </w:r>
    </w:p>
    <w:p w14:paraId="1ECDFE83"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II.</w:t>
      </w:r>
      <w:r w:rsidRPr="009F30A2">
        <w:rPr>
          <w:rFonts w:ascii="Palatino Linotype" w:eastAsia="Palatino Linotype" w:hAnsi="Palatino Linotype" w:cs="Palatino Linotype"/>
          <w:i/>
          <w:sz w:val="22"/>
          <w:szCs w:val="22"/>
        </w:rPr>
        <w:t xml:space="preserve"> </w:t>
      </w:r>
      <w:r w:rsidRPr="009F30A2">
        <w:rPr>
          <w:rFonts w:ascii="Palatino Linotype" w:eastAsia="Palatino Linotype" w:hAnsi="Palatino Linotype" w:cs="Palatino Linotype"/>
          <w:b/>
          <w:i/>
          <w:sz w:val="22"/>
          <w:szCs w:val="22"/>
        </w:rPr>
        <w:t>Los criterios utilizados para la evaluación de las propuestas;</w:t>
      </w:r>
    </w:p>
    <w:p w14:paraId="5FA9B404"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 xml:space="preserve">III. </w:t>
      </w:r>
      <w:r w:rsidRPr="009F30A2">
        <w:rPr>
          <w:rFonts w:ascii="Palatino Linotype" w:eastAsia="Palatino Linotype" w:hAnsi="Palatino Linotype" w:cs="Palatino Linotype"/>
          <w:b/>
          <w:i/>
          <w:sz w:val="22"/>
          <w:szCs w:val="22"/>
          <w:u w:val="single"/>
        </w:rPr>
        <w:t>Las razones por las cuales se aceptan o desechan las propuestas presentadas por los licitantes;</w:t>
      </w:r>
    </w:p>
    <w:p w14:paraId="0C6BE1C9"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IV</w:t>
      </w:r>
      <w:r w:rsidRPr="009F30A2">
        <w:rPr>
          <w:rFonts w:ascii="Palatino Linotype" w:eastAsia="Palatino Linotype" w:hAnsi="Palatino Linotype" w:cs="Palatino Linotype"/>
          <w:i/>
          <w:sz w:val="22"/>
          <w:szCs w:val="22"/>
        </w:rPr>
        <w:t>. El nombre de los licitantes cuyas propuestas fueron aceptadas por haber cumplido con los requerimientos exigidos;</w:t>
      </w:r>
    </w:p>
    <w:p w14:paraId="21C197D1"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V</w:t>
      </w:r>
      <w:r w:rsidRPr="009F30A2">
        <w:rPr>
          <w:rFonts w:ascii="Palatino Linotype" w:eastAsia="Palatino Linotype" w:hAnsi="Palatino Linotype" w:cs="Palatino Linotype"/>
          <w:i/>
          <w:sz w:val="22"/>
          <w:szCs w:val="22"/>
        </w:rPr>
        <w:t>. El nombre de los licitantes cuyas propuestas hayan sido desechadas como resultado del análisis de las mismas; </w:t>
      </w:r>
    </w:p>
    <w:p w14:paraId="1AE9DE75"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VI</w:t>
      </w:r>
      <w:r w:rsidRPr="009F30A2">
        <w:rPr>
          <w:rFonts w:ascii="Palatino Linotype" w:eastAsia="Palatino Linotype" w:hAnsi="Palatino Linotype" w:cs="Palatino Linotype"/>
          <w:i/>
          <w:sz w:val="22"/>
          <w:szCs w:val="22"/>
        </w:rPr>
        <w:t>. La relación de los licitantes cuyas propuestas se calificaron como solventes, ubicándolas de menor a mayor, de acuerdo con sus montos; </w:t>
      </w:r>
    </w:p>
    <w:p w14:paraId="1907E474"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VII</w:t>
      </w:r>
      <w:r w:rsidRPr="009F30A2">
        <w:rPr>
          <w:rFonts w:ascii="Palatino Linotype" w:eastAsia="Palatino Linotype" w:hAnsi="Palatino Linotype" w:cs="Palatino Linotype"/>
          <w:i/>
          <w:sz w:val="22"/>
          <w:szCs w:val="22"/>
        </w:rPr>
        <w:t>. La fecha y lugar de elaboración, y </w:t>
      </w:r>
    </w:p>
    <w:p w14:paraId="5ED40796"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VIII.</w:t>
      </w:r>
      <w:r w:rsidRPr="009F30A2">
        <w:rPr>
          <w:rFonts w:ascii="Palatino Linotype" w:eastAsia="Palatino Linotype" w:hAnsi="Palatino Linotype" w:cs="Palatino Linotype"/>
          <w:i/>
          <w:sz w:val="22"/>
          <w:szCs w:val="22"/>
        </w:rPr>
        <w:t xml:space="preserve"> El nombre, firma y cargo de los servidores públicos encargados de su elaboración y aprobación.</w:t>
      </w:r>
    </w:p>
    <w:p w14:paraId="0733F058"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i/>
          <w:sz w:val="22"/>
          <w:szCs w:val="22"/>
        </w:rPr>
        <w:t>...</w:t>
      </w:r>
    </w:p>
    <w:p w14:paraId="6E981431" w14:textId="77777777" w:rsidR="00A051FE" w:rsidRPr="009F30A2" w:rsidRDefault="00A051F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Artículo 69</w:t>
      </w:r>
      <w:r w:rsidRPr="009F30A2">
        <w:rPr>
          <w:rFonts w:ascii="Palatino Linotype" w:eastAsia="Palatino Linotype" w:hAnsi="Palatino Linotype" w:cs="Palatino Linotype"/>
          <w:i/>
          <w:sz w:val="22"/>
          <w:szCs w:val="22"/>
        </w:rPr>
        <w:t>.-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14:paraId="43CE7DCF" w14:textId="01A3C2A1" w:rsidR="00A051FE" w:rsidRPr="009F30A2" w:rsidRDefault="0045521E" w:rsidP="00A051FE">
      <w:pPr>
        <w:pBdr>
          <w:top w:val="nil"/>
          <w:left w:val="nil"/>
          <w:bottom w:val="nil"/>
          <w:right w:val="nil"/>
          <w:between w:val="nil"/>
        </w:pBdr>
        <w:spacing w:before="120" w:after="120"/>
        <w:ind w:left="851" w:right="90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w:t>
      </w:r>
    </w:p>
    <w:p w14:paraId="63BD4258" w14:textId="77777777" w:rsidR="00A051FE" w:rsidRPr="009F30A2" w:rsidRDefault="00A051FE" w:rsidP="00A051F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Por cuanto hace a la contratación, el artículo 12.38 del Libro Décimo Segundo del Código Administrativo de la entidad, dispone que la adjudicación de la obra o servicios relacionados con la misma obligará a la dependencia, entidad o ayuntamiento y a la persona en que hubiere recaído, a </w:t>
      </w:r>
      <w:r w:rsidRPr="009F30A2">
        <w:rPr>
          <w:rFonts w:ascii="Palatino Linotype" w:eastAsia="Palatino Linotype" w:hAnsi="Palatino Linotype" w:cs="Palatino Linotype"/>
          <w:b/>
          <w:sz w:val="22"/>
          <w:szCs w:val="22"/>
        </w:rPr>
        <w:t>suscribir el contrato respectivo dentro de los diez días hábiles siguientes al de la notificación del fallo</w:t>
      </w:r>
      <w:r w:rsidRPr="009F30A2">
        <w:rPr>
          <w:rFonts w:ascii="Palatino Linotype" w:eastAsia="Palatino Linotype" w:hAnsi="Palatino Linotype" w:cs="Palatino Linotype"/>
          <w:sz w:val="22"/>
          <w:szCs w:val="22"/>
        </w:rPr>
        <w:t>.</w:t>
      </w:r>
    </w:p>
    <w:p w14:paraId="6EA70322" w14:textId="77777777" w:rsidR="00A051FE" w:rsidRPr="009F30A2" w:rsidRDefault="00A051FE" w:rsidP="00A051F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En este tenor, los contratos de obra pública y servicios relacionados con la misma, deben contener, como mínimo los requisitos que establece el artículo 104 del Reglamento del Libro Décimo Segundo del Código Administrativo, a saber:</w:t>
      </w:r>
    </w:p>
    <w:p w14:paraId="18300F0A"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I</w:t>
      </w:r>
      <w:r w:rsidRPr="009F30A2">
        <w:rPr>
          <w:rFonts w:ascii="Palatino Linotype" w:eastAsia="Palatino Linotype" w:hAnsi="Palatino Linotype" w:cs="Palatino Linotype"/>
          <w:i/>
          <w:sz w:val="22"/>
          <w:szCs w:val="22"/>
        </w:rPr>
        <w:t xml:space="preserve">. </w:t>
      </w:r>
      <w:r w:rsidRPr="009F30A2">
        <w:rPr>
          <w:rFonts w:ascii="Palatino Linotype" w:eastAsia="Palatino Linotype" w:hAnsi="Palatino Linotype" w:cs="Palatino Linotype"/>
          <w:b/>
          <w:i/>
          <w:sz w:val="22"/>
          <w:szCs w:val="22"/>
        </w:rPr>
        <w:t>La autorización presupuestal</w:t>
      </w:r>
      <w:r w:rsidRPr="009F30A2">
        <w:rPr>
          <w:rFonts w:ascii="Palatino Linotype" w:eastAsia="Palatino Linotype" w:hAnsi="Palatino Linotype" w:cs="Palatino Linotype"/>
          <w:i/>
          <w:sz w:val="22"/>
          <w:szCs w:val="22"/>
        </w:rPr>
        <w:t xml:space="preserve"> para cubrir el compromiso derivado del contrato y sus anexos; </w:t>
      </w:r>
    </w:p>
    <w:p w14:paraId="06BDA477"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II</w:t>
      </w:r>
      <w:r w:rsidRPr="009F30A2">
        <w:rPr>
          <w:rFonts w:ascii="Palatino Linotype" w:eastAsia="Palatino Linotype" w:hAnsi="Palatino Linotype" w:cs="Palatino Linotype"/>
          <w:i/>
          <w:sz w:val="22"/>
          <w:szCs w:val="22"/>
        </w:rPr>
        <w:t xml:space="preserve">. </w:t>
      </w:r>
      <w:r w:rsidRPr="009F30A2">
        <w:rPr>
          <w:rFonts w:ascii="Palatino Linotype" w:eastAsia="Palatino Linotype" w:hAnsi="Palatino Linotype" w:cs="Palatino Linotype"/>
          <w:b/>
          <w:i/>
          <w:sz w:val="22"/>
          <w:szCs w:val="22"/>
        </w:rPr>
        <w:t>La indicación del procedimiento</w:t>
      </w:r>
      <w:r w:rsidRPr="009F30A2">
        <w:rPr>
          <w:rFonts w:ascii="Palatino Linotype" w:eastAsia="Palatino Linotype" w:hAnsi="Palatino Linotype" w:cs="Palatino Linotype"/>
          <w:i/>
          <w:sz w:val="22"/>
          <w:szCs w:val="22"/>
        </w:rPr>
        <w:t xml:space="preserve"> conforme al cual se adjudicó el contrato;</w:t>
      </w:r>
    </w:p>
    <w:p w14:paraId="345B14B1"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III.</w:t>
      </w:r>
      <w:r w:rsidRPr="009F30A2">
        <w:rPr>
          <w:rFonts w:ascii="Palatino Linotype" w:eastAsia="Palatino Linotype" w:hAnsi="Palatino Linotype" w:cs="Palatino Linotype"/>
          <w:i/>
          <w:sz w:val="22"/>
          <w:szCs w:val="22"/>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25358B44"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b/>
          <w:i/>
          <w:sz w:val="22"/>
          <w:szCs w:val="22"/>
        </w:rPr>
      </w:pPr>
      <w:r w:rsidRPr="009F30A2">
        <w:rPr>
          <w:rFonts w:ascii="Palatino Linotype" w:eastAsia="Palatino Linotype" w:hAnsi="Palatino Linotype" w:cs="Palatino Linotype"/>
          <w:b/>
          <w:i/>
          <w:sz w:val="22"/>
          <w:szCs w:val="22"/>
        </w:rPr>
        <w:t>IV. El precio a pagar por los trabajos objeto del contrato. En el caso de contratos mixtos, la parte y el monto que se cubrirá sobre la base de precios unitarios y la correspondiente a precio alzado; </w:t>
      </w:r>
    </w:p>
    <w:p w14:paraId="122C75B0"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V</w:t>
      </w:r>
      <w:r w:rsidRPr="009F30A2">
        <w:rPr>
          <w:rFonts w:ascii="Palatino Linotype" w:eastAsia="Palatino Linotype" w:hAnsi="Palatino Linotype" w:cs="Palatino Linotype"/>
          <w:i/>
          <w:sz w:val="22"/>
          <w:szCs w:val="22"/>
        </w:rPr>
        <w:t>.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4EABAD70"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VI</w:t>
      </w:r>
      <w:r w:rsidRPr="009F30A2">
        <w:rPr>
          <w:rFonts w:ascii="Palatino Linotype" w:eastAsia="Palatino Linotype" w:hAnsi="Palatino Linotype" w:cs="Palatino Linotype"/>
          <w:i/>
          <w:sz w:val="22"/>
          <w:szCs w:val="22"/>
        </w:rPr>
        <w:t>. Porcentajes, número y fechas de las exhibiciones y amortización de los anticipos que se otorguen; </w:t>
      </w:r>
    </w:p>
    <w:p w14:paraId="2B298CFD"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VII. Forma y términos de garantizar la correcta inversión de los anticipos y el cumplimiento del contrato;</w:t>
      </w:r>
    </w:p>
    <w:p w14:paraId="74127D94"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VIII</w:t>
      </w:r>
      <w:r w:rsidRPr="009F30A2">
        <w:rPr>
          <w:rFonts w:ascii="Palatino Linotype" w:eastAsia="Palatino Linotype" w:hAnsi="Palatino Linotype" w:cs="Palatino Linotype"/>
          <w:i/>
          <w:sz w:val="22"/>
          <w:szCs w:val="22"/>
        </w:rPr>
        <w:t>. Plazos, forma y lugar de pago de las estimaciones de trabajos ejecutados y, cuando corresponda, de los ajustes de costos; </w:t>
      </w:r>
    </w:p>
    <w:p w14:paraId="04689566"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IX.</w:t>
      </w:r>
      <w:r w:rsidRPr="009F30A2">
        <w:rPr>
          <w:rFonts w:ascii="Palatino Linotype" w:eastAsia="Palatino Linotype" w:hAnsi="Palatino Linotype" w:cs="Palatino Linotype"/>
          <w:i/>
          <w:sz w:val="22"/>
          <w:szCs w:val="22"/>
        </w:rPr>
        <w:t xml:space="preserve"> Penas convencionales por atraso en la ejecución de los trabajos por causas imputables a los contratistas, determinadas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3B381CA2"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X</w:t>
      </w:r>
      <w:r w:rsidRPr="009F30A2">
        <w:rPr>
          <w:rFonts w:ascii="Palatino Linotype" w:eastAsia="Palatino Linotype" w:hAnsi="Palatino Linotype" w:cs="Palatino Linotype"/>
          <w:i/>
          <w:sz w:val="22"/>
          <w:szCs w:val="22"/>
        </w:rPr>
        <w:t>. Términos en que el contratista, en su caso, reintegrará las cantidades que hubiere recibido en exceso por la contratación o durante la ejecución de los trabajos, para lo cual se utilizará el procedimiento que se establezca; </w:t>
      </w:r>
    </w:p>
    <w:p w14:paraId="72AF3DA1"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XI</w:t>
      </w:r>
      <w:r w:rsidRPr="009F30A2">
        <w:rPr>
          <w:rFonts w:ascii="Palatino Linotype" w:eastAsia="Palatino Linotype" w:hAnsi="Palatino Linotype" w:cs="Palatino Linotype"/>
          <w:i/>
          <w:sz w:val="22"/>
          <w:szCs w:val="22"/>
        </w:rPr>
        <w:t>. Procedimiento de ajuste de costos que deberá ser el determinado desde las bases de la licitación por el convocante, el cual deberá regir durante la vigencia del contrato; </w:t>
      </w:r>
    </w:p>
    <w:p w14:paraId="47DC2DF8"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XII</w:t>
      </w:r>
      <w:r w:rsidRPr="009F30A2">
        <w:rPr>
          <w:rFonts w:ascii="Palatino Linotype" w:eastAsia="Palatino Linotype" w:hAnsi="Palatino Linotype" w:cs="Palatino Linotype"/>
          <w:i/>
          <w:sz w:val="22"/>
          <w:szCs w:val="22"/>
        </w:rPr>
        <w:t>. Causales y procedimiento mediante los cuales el contratante podrá dar por rescindido el contrato en los términos de este Reglamento; </w:t>
      </w:r>
    </w:p>
    <w:p w14:paraId="64DC4CE5"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 xml:space="preserve">XIII. </w:t>
      </w:r>
      <w:r w:rsidRPr="009F30A2">
        <w:rPr>
          <w:rFonts w:ascii="Palatino Linotype" w:eastAsia="Palatino Linotype" w:hAnsi="Palatino Linotype" w:cs="Palatino Linotype"/>
          <w:i/>
          <w:sz w:val="22"/>
          <w:szCs w:val="22"/>
        </w:rPr>
        <w:t>Los procedimientos mediante los cuales las partes resolverán, entre sí, las discrepancias futuras y previsibles sobre problemas específicos de carácter técnico y administrativo;</w:t>
      </w:r>
    </w:p>
    <w:p w14:paraId="727EEA2B"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XIV</w:t>
      </w:r>
      <w:r w:rsidRPr="009F30A2">
        <w:rPr>
          <w:rFonts w:ascii="Palatino Linotype" w:eastAsia="Palatino Linotype" w:hAnsi="Palatino Linotype" w:cs="Palatino Linotype"/>
          <w:i/>
          <w:sz w:val="22"/>
          <w:szCs w:val="22"/>
        </w:rPr>
        <w:t>. Señalamiento del domicilio en el Estado para oír y recibir notificaciones; y </w:t>
      </w:r>
    </w:p>
    <w:p w14:paraId="09EA72EE"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 xml:space="preserve">XV. </w:t>
      </w:r>
      <w:r w:rsidRPr="009F30A2">
        <w:rPr>
          <w:rFonts w:ascii="Palatino Linotype" w:eastAsia="Palatino Linotype" w:hAnsi="Palatino Linotype" w:cs="Palatino Linotype"/>
          <w:i/>
          <w:sz w:val="22"/>
          <w:szCs w:val="22"/>
        </w:rPr>
        <w:t>Manifestación de renuncia expresa al fuero que les pudiera corresponder en función de su domicilio presente o futuro en el caso de que no se encuentre en el Estado de México. </w:t>
      </w:r>
    </w:p>
    <w:p w14:paraId="0247B8F5"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El contrato deberá firmarse dentro de los diez días hábiles siguientes a la notificación del fallo. Se deberá entregar al contratista una copia del contrato firmado. </w:t>
      </w:r>
    </w:p>
    <w:p w14:paraId="148F2DBA"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Para los efectos del Libro y este Reglamento, el contrato, sus anexos y la bitácora son los instrumentos que establecen los derechos y obligaciones de las partes. </w:t>
      </w:r>
    </w:p>
    <w:p w14:paraId="53D9FE2E" w14:textId="77777777" w:rsidR="00A051FE" w:rsidRPr="009F30A2" w:rsidRDefault="00A051FE" w:rsidP="00A051FE">
      <w:pPr>
        <w:pBdr>
          <w:top w:val="nil"/>
          <w:left w:val="nil"/>
          <w:bottom w:val="nil"/>
          <w:right w:val="nil"/>
          <w:between w:val="nil"/>
        </w:pBdr>
        <w:spacing w:before="240" w:after="240"/>
        <w:ind w:left="426"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14:paraId="35E759A6" w14:textId="77777777" w:rsidR="00A051FE" w:rsidRPr="009F30A2" w:rsidRDefault="00A051FE" w:rsidP="00A051F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Por otro lado, es imprescindible mencionar que de conformidad con el ACUERDO DEL SECRETARIO DE INFRAESTRUCTURA POR EL QUE SE ESTABLECE EL ÍNDICE DE EXPEDIENTE ÚNICO DE OBRA PÚBLICA E INSTRUCTIVOS DE LLENADO EN LAS 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14:paraId="0766F778" w14:textId="77777777" w:rsidR="00A051FE" w:rsidRPr="009F30A2" w:rsidRDefault="00A051FE" w:rsidP="00A051FE">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9F30A2">
        <w:rPr>
          <w:rFonts w:ascii="Palatino Linotype" w:eastAsia="Palatino Linotype" w:hAnsi="Palatino Linotype" w:cs="Palatino Linotype"/>
          <w:noProof/>
          <w:sz w:val="22"/>
          <w:szCs w:val="22"/>
        </w:rPr>
        <w:drawing>
          <wp:inline distT="0" distB="0" distL="0" distR="0" wp14:anchorId="077D9E85" wp14:editId="4D239FC9">
            <wp:extent cx="5093110" cy="3460955"/>
            <wp:effectExtent l="0" t="0" r="0" b="0"/>
            <wp:docPr id="21401318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23111"/>
                    <a:stretch>
                      <a:fillRect/>
                    </a:stretch>
                  </pic:blipFill>
                  <pic:spPr>
                    <a:xfrm>
                      <a:off x="0" y="0"/>
                      <a:ext cx="5151645" cy="3500731"/>
                    </a:xfrm>
                    <a:prstGeom prst="rect">
                      <a:avLst/>
                    </a:prstGeom>
                    <a:ln/>
                  </pic:spPr>
                </pic:pic>
              </a:graphicData>
            </a:graphic>
          </wp:inline>
        </w:drawing>
      </w:r>
    </w:p>
    <w:p w14:paraId="143078FC" w14:textId="77777777" w:rsidR="00A051FE" w:rsidRPr="009F30A2" w:rsidRDefault="00A051FE" w:rsidP="00302B0A">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9F30A2">
        <w:rPr>
          <w:rFonts w:ascii="Palatino Linotype" w:eastAsia="Palatino Linotype" w:hAnsi="Palatino Linotype" w:cs="Palatino Linotype"/>
          <w:noProof/>
          <w:sz w:val="22"/>
          <w:szCs w:val="22"/>
        </w:rPr>
        <w:drawing>
          <wp:inline distT="0" distB="0" distL="0" distR="0" wp14:anchorId="4D1660BB" wp14:editId="744BFD63">
            <wp:extent cx="5648325" cy="5162550"/>
            <wp:effectExtent l="0" t="0" r="9525" b="0"/>
            <wp:docPr id="21401318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48890" cy="5163066"/>
                    </a:xfrm>
                    <a:prstGeom prst="rect">
                      <a:avLst/>
                    </a:prstGeom>
                    <a:ln/>
                  </pic:spPr>
                </pic:pic>
              </a:graphicData>
            </a:graphic>
          </wp:inline>
        </w:drawing>
      </w:r>
    </w:p>
    <w:p w14:paraId="5B0E150C" w14:textId="77777777" w:rsidR="00302B0A" w:rsidRPr="009F30A2" w:rsidRDefault="00302B0A" w:rsidP="00302B0A">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p>
    <w:p w14:paraId="24516F40" w14:textId="73AC8343" w:rsidR="00A051FE" w:rsidRPr="009F30A2" w:rsidRDefault="00302B0A" w:rsidP="00A051FE">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9F30A2">
        <w:rPr>
          <w:rFonts w:ascii="Palatino Linotype" w:eastAsia="Palatino Linotype" w:hAnsi="Palatino Linotype" w:cs="Palatino Linotype"/>
          <w:noProof/>
          <w:sz w:val="22"/>
          <w:szCs w:val="22"/>
        </w:rPr>
        <w:drawing>
          <wp:inline distT="0" distB="0" distL="0" distR="0" wp14:anchorId="3C348EBC" wp14:editId="4754A3A1">
            <wp:extent cx="3943900" cy="745911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3900" cy="7459116"/>
                    </a:xfrm>
                    <a:prstGeom prst="rect">
                      <a:avLst/>
                    </a:prstGeom>
                  </pic:spPr>
                </pic:pic>
              </a:graphicData>
            </a:graphic>
          </wp:inline>
        </w:drawing>
      </w:r>
    </w:p>
    <w:p w14:paraId="6325B64D" w14:textId="77777777" w:rsidR="00A051FE" w:rsidRPr="009F30A2" w:rsidRDefault="00A051FE" w:rsidP="00A051FE">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9F30A2">
        <w:rPr>
          <w:rFonts w:ascii="Palatino Linotype" w:eastAsia="Palatino Linotype" w:hAnsi="Palatino Linotype" w:cs="Palatino Linotype"/>
          <w:noProof/>
          <w:sz w:val="22"/>
          <w:szCs w:val="22"/>
        </w:rPr>
        <w:drawing>
          <wp:inline distT="0" distB="0" distL="0" distR="0" wp14:anchorId="273D9EBC" wp14:editId="01FF6027">
            <wp:extent cx="4944165" cy="7449590"/>
            <wp:effectExtent l="0" t="0" r="0" b="0"/>
            <wp:docPr id="21401318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944165" cy="7449590"/>
                    </a:xfrm>
                    <a:prstGeom prst="rect">
                      <a:avLst/>
                    </a:prstGeom>
                    <a:ln/>
                  </pic:spPr>
                </pic:pic>
              </a:graphicData>
            </a:graphic>
          </wp:inline>
        </w:drawing>
      </w:r>
    </w:p>
    <w:p w14:paraId="38CF8FD3" w14:textId="77777777" w:rsidR="00A051FE" w:rsidRPr="009F30A2" w:rsidRDefault="00A051FE" w:rsidP="00A051FE">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9F30A2">
        <w:rPr>
          <w:rFonts w:ascii="Palatino Linotype" w:eastAsia="Palatino Linotype" w:hAnsi="Palatino Linotype" w:cs="Palatino Linotype"/>
          <w:noProof/>
          <w:sz w:val="22"/>
          <w:szCs w:val="22"/>
        </w:rPr>
        <w:drawing>
          <wp:inline distT="0" distB="0" distL="0" distR="0" wp14:anchorId="3D186114" wp14:editId="6B511CD9">
            <wp:extent cx="4788000" cy="2233679"/>
            <wp:effectExtent l="0" t="0" r="0" b="0"/>
            <wp:docPr id="21401318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64120" b="629"/>
                    <a:stretch>
                      <a:fillRect/>
                    </a:stretch>
                  </pic:blipFill>
                  <pic:spPr>
                    <a:xfrm>
                      <a:off x="0" y="0"/>
                      <a:ext cx="4788000" cy="2233679"/>
                    </a:xfrm>
                    <a:prstGeom prst="rect">
                      <a:avLst/>
                    </a:prstGeom>
                    <a:ln/>
                  </pic:spPr>
                </pic:pic>
              </a:graphicData>
            </a:graphic>
          </wp:inline>
        </w:drawing>
      </w:r>
    </w:p>
    <w:p w14:paraId="0DCD620E" w14:textId="1BBE16EE" w:rsidR="00A051FE" w:rsidRPr="009F30A2" w:rsidRDefault="00A051FE" w:rsidP="00A051F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De las imágenes insertas se advierten los elementos que deben contener los expedientes únicos de obra pública, </w:t>
      </w:r>
      <w:r w:rsidR="0045521E" w:rsidRPr="009F30A2">
        <w:rPr>
          <w:rFonts w:ascii="Palatino Linotype" w:eastAsia="Palatino Linotype" w:hAnsi="Palatino Linotype" w:cs="Palatino Linotype"/>
          <w:sz w:val="22"/>
          <w:szCs w:val="22"/>
        </w:rPr>
        <w:t xml:space="preserve">entre los que se encuentran los contratos celebrados y la autorización de precios unitarios, </w:t>
      </w:r>
      <w:r w:rsidRPr="009F30A2">
        <w:rPr>
          <w:rFonts w:ascii="Palatino Linotype" w:eastAsia="Palatino Linotype" w:hAnsi="Palatino Linotype" w:cs="Palatino Linotype"/>
          <w:sz w:val="22"/>
          <w:szCs w:val="22"/>
        </w:rPr>
        <w:t xml:space="preserve">en las modalidades de </w:t>
      </w:r>
      <w:r w:rsidRPr="009F30A2">
        <w:rPr>
          <w:rFonts w:ascii="Palatino Linotype" w:eastAsia="Palatino Linotype" w:hAnsi="Palatino Linotype" w:cs="Palatino Linotype"/>
          <w:b/>
          <w:sz w:val="22"/>
          <w:szCs w:val="22"/>
        </w:rPr>
        <w:t>adjudicación directa</w:t>
      </w:r>
      <w:r w:rsidRPr="009F30A2">
        <w:rPr>
          <w:rFonts w:ascii="Palatino Linotype" w:eastAsia="Palatino Linotype" w:hAnsi="Palatino Linotype" w:cs="Palatino Linotype"/>
          <w:sz w:val="22"/>
          <w:szCs w:val="22"/>
        </w:rPr>
        <w:t xml:space="preserve">, </w:t>
      </w:r>
      <w:r w:rsidRPr="009F30A2">
        <w:rPr>
          <w:rFonts w:ascii="Palatino Linotype" w:eastAsia="Palatino Linotype" w:hAnsi="Palatino Linotype" w:cs="Palatino Linotype"/>
          <w:b/>
          <w:bCs/>
          <w:sz w:val="22"/>
          <w:szCs w:val="22"/>
        </w:rPr>
        <w:t>invitación restringida y licitación pública</w:t>
      </w:r>
      <w:r w:rsidRPr="009F30A2">
        <w:rPr>
          <w:rFonts w:ascii="Palatino Linotype" w:eastAsia="Palatino Linotype" w:hAnsi="Palatino Linotype" w:cs="Palatino Linotype"/>
          <w:sz w:val="22"/>
          <w:szCs w:val="22"/>
        </w:rPr>
        <w:t>, incluyen diversos documentos.</w:t>
      </w:r>
    </w:p>
    <w:p w14:paraId="1B3762BE" w14:textId="77777777" w:rsidR="00A051FE" w:rsidRPr="009F30A2" w:rsidRDefault="00A051FE" w:rsidP="00A051F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Además de lo anterior, no debe perderse de vista que el artículo 92, fracción XIX de la Ley de Transparencia y Acceso a la Información Pública del Estado de México y Municipios, ,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36D3DA95" w14:textId="77777777" w:rsidR="00A051FE" w:rsidRPr="009F30A2" w:rsidRDefault="00A051FE" w:rsidP="00A051FE">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Artículo 92</w:t>
      </w:r>
      <w:r w:rsidRPr="009F30A2">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754B82" w14:textId="77777777" w:rsidR="00A051FE" w:rsidRPr="009F30A2" w:rsidRDefault="00A051FE" w:rsidP="00A051FE">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i/>
          <w:sz w:val="22"/>
          <w:szCs w:val="22"/>
        </w:rPr>
        <w:t>(…)</w:t>
      </w:r>
    </w:p>
    <w:p w14:paraId="46DEC212" w14:textId="77777777" w:rsidR="00A051FE" w:rsidRPr="009F30A2" w:rsidRDefault="00A051FE" w:rsidP="00A051FE">
      <w:pPr>
        <w:pBdr>
          <w:top w:val="nil"/>
          <w:left w:val="nil"/>
          <w:bottom w:val="nil"/>
          <w:right w:val="nil"/>
          <w:between w:val="nil"/>
        </w:pBdr>
        <w:spacing w:before="120" w:after="120"/>
        <w:ind w:left="1134"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XXIX.</w:t>
      </w:r>
      <w:r w:rsidRPr="009F30A2">
        <w:rPr>
          <w:rFonts w:ascii="Palatino Linotype" w:eastAsia="Palatino Linotype" w:hAnsi="Palatino Linotype" w:cs="Palatino Linotype"/>
          <w:i/>
          <w:sz w:val="22"/>
          <w:szCs w:val="22"/>
        </w:rPr>
        <w:t xml:space="preserve"> La </w:t>
      </w:r>
      <w:r w:rsidRPr="009F30A2">
        <w:rPr>
          <w:rFonts w:ascii="Palatino Linotype" w:eastAsia="Palatino Linotype" w:hAnsi="Palatino Linotype" w:cs="Palatino Linotype"/>
          <w:b/>
          <w:i/>
          <w:sz w:val="22"/>
          <w:szCs w:val="22"/>
        </w:rPr>
        <w:t xml:space="preserve">información sobre los procesos y resultados </w:t>
      </w:r>
      <w:r w:rsidRPr="009F30A2">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9F30A2">
        <w:rPr>
          <w:rFonts w:ascii="Palatino Linotype" w:eastAsia="Palatino Linotype" w:hAnsi="Palatino Linotype" w:cs="Palatino Linotype"/>
          <w:i/>
          <w:sz w:val="22"/>
          <w:szCs w:val="22"/>
          <w:u w:val="single"/>
        </w:rPr>
        <w:t xml:space="preserve">, </w:t>
      </w:r>
      <w:r w:rsidRPr="009F30A2">
        <w:rPr>
          <w:rFonts w:ascii="Palatino Linotype" w:eastAsia="Palatino Linotype" w:hAnsi="Palatino Linotype" w:cs="Palatino Linotype"/>
          <w:b/>
          <w:i/>
          <w:sz w:val="22"/>
          <w:szCs w:val="22"/>
        </w:rPr>
        <w:t>incluyendo la versión pública</w:t>
      </w:r>
      <w:r w:rsidRPr="009F30A2">
        <w:rPr>
          <w:rFonts w:ascii="Palatino Linotype" w:eastAsia="Palatino Linotype" w:hAnsi="Palatino Linotype" w:cs="Palatino Linotype"/>
          <w:i/>
          <w:sz w:val="22"/>
          <w:szCs w:val="22"/>
        </w:rPr>
        <w:t xml:space="preserve"> del expediente respectivo y </w:t>
      </w:r>
      <w:r w:rsidRPr="009F30A2">
        <w:rPr>
          <w:rFonts w:ascii="Palatino Linotype" w:eastAsia="Palatino Linotype" w:hAnsi="Palatino Linotype" w:cs="Palatino Linotype"/>
          <w:b/>
          <w:i/>
          <w:sz w:val="22"/>
          <w:szCs w:val="22"/>
        </w:rPr>
        <w:t>de los contratos celebrados</w:t>
      </w:r>
      <w:r w:rsidRPr="009F30A2">
        <w:rPr>
          <w:rFonts w:ascii="Palatino Linotype" w:eastAsia="Palatino Linotype" w:hAnsi="Palatino Linotype" w:cs="Palatino Linotype"/>
          <w:i/>
          <w:sz w:val="22"/>
          <w:szCs w:val="22"/>
        </w:rPr>
        <w:t>, que deberán contener, por los menos, lo siguiente:</w:t>
      </w:r>
    </w:p>
    <w:p w14:paraId="6AC81284" w14:textId="77777777" w:rsidR="00A051FE" w:rsidRPr="009F30A2" w:rsidRDefault="00A051FE" w:rsidP="00A051FE">
      <w:pPr>
        <w:pBdr>
          <w:top w:val="nil"/>
          <w:left w:val="nil"/>
          <w:bottom w:val="nil"/>
          <w:right w:val="nil"/>
          <w:between w:val="nil"/>
        </w:pBdr>
        <w:spacing w:before="120" w:after="120"/>
        <w:ind w:left="1418"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a) De licitaciones públicas o procedimientos de invitación restringida:</w:t>
      </w:r>
    </w:p>
    <w:p w14:paraId="1E1110BE" w14:textId="7DBC36B6" w:rsidR="00A051FE" w:rsidRPr="009F30A2" w:rsidRDefault="0024388B" w:rsidP="00A051FE">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w:t>
      </w:r>
    </w:p>
    <w:p w14:paraId="0FBC0FE9" w14:textId="77777777" w:rsidR="00A051FE" w:rsidRPr="009F30A2" w:rsidRDefault="00A051FE" w:rsidP="00A051FE">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7) El contrato y, en su caso, sus anexos; </w:t>
      </w:r>
    </w:p>
    <w:p w14:paraId="49B61115" w14:textId="5146070C" w:rsidR="00A051FE" w:rsidRPr="009F30A2" w:rsidRDefault="0024388B" w:rsidP="00A051FE">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w:t>
      </w:r>
    </w:p>
    <w:p w14:paraId="68BA3622" w14:textId="77777777" w:rsidR="00A051FE" w:rsidRPr="009F30A2" w:rsidRDefault="00A051FE" w:rsidP="00A051FE">
      <w:pPr>
        <w:pBdr>
          <w:top w:val="nil"/>
          <w:left w:val="nil"/>
          <w:bottom w:val="nil"/>
          <w:right w:val="nil"/>
          <w:between w:val="nil"/>
        </w:pBdr>
        <w:spacing w:before="120" w:after="120"/>
        <w:ind w:left="1418"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b) De las adjudicaciones directas: </w:t>
      </w:r>
    </w:p>
    <w:p w14:paraId="4ABB9895" w14:textId="77777777" w:rsidR="00A051FE" w:rsidRPr="009F30A2" w:rsidRDefault="00A051FE" w:rsidP="00A051FE">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1)</w:t>
      </w:r>
      <w:r w:rsidRPr="009F30A2">
        <w:rPr>
          <w:rFonts w:ascii="Palatino Linotype" w:eastAsia="Palatino Linotype" w:hAnsi="Palatino Linotype" w:cs="Palatino Linotype"/>
          <w:i/>
          <w:sz w:val="22"/>
          <w:szCs w:val="22"/>
        </w:rPr>
        <w:t xml:space="preserve"> La propuesta enviada por el participante; </w:t>
      </w:r>
    </w:p>
    <w:p w14:paraId="44EA441A" w14:textId="7C752EE1" w:rsidR="00A051FE" w:rsidRPr="009F30A2" w:rsidRDefault="0024388B" w:rsidP="00A051FE">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w:t>
      </w:r>
    </w:p>
    <w:p w14:paraId="6A436B44" w14:textId="77777777" w:rsidR="00A051FE" w:rsidRPr="009F30A2" w:rsidRDefault="00A051FE" w:rsidP="00A051FE">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 xml:space="preserve">4) </w:t>
      </w:r>
      <w:r w:rsidRPr="009F30A2">
        <w:rPr>
          <w:rFonts w:ascii="Palatino Linotype" w:eastAsia="Palatino Linotype" w:hAnsi="Palatino Linotype" w:cs="Palatino Linotype"/>
          <w:i/>
          <w:sz w:val="22"/>
          <w:szCs w:val="22"/>
        </w:rPr>
        <w:t>En su caso, las cotizaciones consideradas, especificando los nombres de los proveedores y sus montos;</w:t>
      </w:r>
      <w:r w:rsidRPr="009F30A2">
        <w:rPr>
          <w:rFonts w:ascii="Palatino Linotype" w:eastAsia="Palatino Linotype" w:hAnsi="Palatino Linotype" w:cs="Palatino Linotype"/>
          <w:b/>
          <w:i/>
          <w:sz w:val="22"/>
          <w:szCs w:val="22"/>
        </w:rPr>
        <w:t> </w:t>
      </w:r>
    </w:p>
    <w:p w14:paraId="69EFB3E3" w14:textId="349CA247" w:rsidR="00A051FE" w:rsidRPr="009F30A2" w:rsidRDefault="0024388B" w:rsidP="00A051FE">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w:t>
      </w:r>
    </w:p>
    <w:p w14:paraId="2BD4FE55" w14:textId="77777777" w:rsidR="00A051FE" w:rsidRPr="009F30A2" w:rsidRDefault="00A051FE" w:rsidP="00A051FE">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7) El número, fecha, el monto del contrato y el plazo de entrega o de ejecución de los servicios u obra; </w:t>
      </w:r>
    </w:p>
    <w:p w14:paraId="57FEE29F" w14:textId="5256A01E" w:rsidR="00A051FE" w:rsidRPr="009F30A2" w:rsidRDefault="0024388B" w:rsidP="00A051FE">
      <w:pPr>
        <w:pBdr>
          <w:top w:val="nil"/>
          <w:left w:val="nil"/>
          <w:bottom w:val="nil"/>
          <w:right w:val="nil"/>
          <w:between w:val="nil"/>
        </w:pBdr>
        <w:spacing w:before="120" w:after="120"/>
        <w:ind w:left="1701" w:right="902"/>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w:t>
      </w:r>
    </w:p>
    <w:p w14:paraId="6848D10A" w14:textId="10D5855C" w:rsidR="00A051FE" w:rsidRPr="009F30A2" w:rsidRDefault="00A051FE" w:rsidP="00A051F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A partir de lo anterior, se considera que ha quedado acreditada la competencia del </w:t>
      </w:r>
      <w:r w:rsidRPr="009F30A2">
        <w:rPr>
          <w:rFonts w:ascii="Palatino Linotype" w:eastAsia="Palatino Linotype" w:hAnsi="Palatino Linotype" w:cs="Palatino Linotype"/>
          <w:b/>
          <w:sz w:val="22"/>
          <w:szCs w:val="22"/>
        </w:rPr>
        <w:t>Sujeto Obligado</w:t>
      </w:r>
      <w:r w:rsidRPr="009F30A2">
        <w:rPr>
          <w:rFonts w:ascii="Palatino Linotype" w:eastAsia="Palatino Linotype" w:hAnsi="Palatino Linotype" w:cs="Palatino Linotype"/>
          <w:sz w:val="22"/>
          <w:szCs w:val="22"/>
        </w:rPr>
        <w:t xml:space="preserve"> para conocer la información que es del interés de la persona solicitante respecto a las obras públicas y la información que se deriva de ellas y que se debe integra</w:t>
      </w:r>
      <w:r w:rsidR="00302B0A" w:rsidRPr="009F30A2">
        <w:rPr>
          <w:rFonts w:ascii="Palatino Linotype" w:eastAsia="Palatino Linotype" w:hAnsi="Palatino Linotype" w:cs="Palatino Linotype"/>
          <w:sz w:val="22"/>
          <w:szCs w:val="22"/>
        </w:rPr>
        <w:t>r al expediente correspondiente, en sus tres modalidades de contratación.</w:t>
      </w:r>
    </w:p>
    <w:p w14:paraId="4C886052" w14:textId="237EE887" w:rsidR="00A051FE" w:rsidRPr="009F30A2" w:rsidRDefault="00A051FE" w:rsidP="00A051F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Ahora bien, no pasa desapercibido que, quien se pronunció es el Director de Obras Públicas</w:t>
      </w:r>
      <w:r w:rsidR="00302B0A" w:rsidRPr="009F30A2">
        <w:rPr>
          <w:rFonts w:ascii="Palatino Linotype" w:eastAsia="Palatino Linotype" w:hAnsi="Palatino Linotype" w:cs="Palatino Linotype"/>
          <w:sz w:val="22"/>
          <w:szCs w:val="22"/>
        </w:rPr>
        <w:t xml:space="preserve"> y Desarrollo </w:t>
      </w:r>
      <w:r w:rsidR="005879DF" w:rsidRPr="009F30A2">
        <w:rPr>
          <w:rFonts w:ascii="Palatino Linotype" w:eastAsia="Palatino Linotype" w:hAnsi="Palatino Linotype" w:cs="Palatino Linotype"/>
          <w:sz w:val="22"/>
          <w:szCs w:val="22"/>
        </w:rPr>
        <w:t>U</w:t>
      </w:r>
      <w:r w:rsidR="00302B0A" w:rsidRPr="009F30A2">
        <w:rPr>
          <w:rFonts w:ascii="Palatino Linotype" w:eastAsia="Palatino Linotype" w:hAnsi="Palatino Linotype" w:cs="Palatino Linotype"/>
          <w:sz w:val="22"/>
          <w:szCs w:val="22"/>
        </w:rPr>
        <w:t>rbano</w:t>
      </w:r>
      <w:r w:rsidRPr="009F30A2">
        <w:rPr>
          <w:rFonts w:ascii="Palatino Linotype" w:eastAsia="Palatino Linotype" w:hAnsi="Palatino Linotype" w:cs="Palatino Linotype"/>
          <w:sz w:val="22"/>
          <w:szCs w:val="22"/>
        </w:rPr>
        <w:t xml:space="preserve">, por lo que se tiene que se siguió con ello el procedimiento para la atención a las solicitudes de acceso a la información, establecido en los artículos 151, 160, 162, 163, 164, 165 y 166, de la Ley de Transparencia y Acceso a la Información Pública del Estado de México y Municipios: </w:t>
      </w:r>
      <w:r w:rsidR="005879DF" w:rsidRPr="009F30A2">
        <w:rPr>
          <w:rFonts w:ascii="Palatino Linotype" w:eastAsia="Palatino Linotype" w:hAnsi="Palatino Linotype" w:cs="Palatino Linotype"/>
          <w:sz w:val="22"/>
          <w:szCs w:val="22"/>
        </w:rPr>
        <w:t xml:space="preserve"> </w:t>
      </w:r>
    </w:p>
    <w:p w14:paraId="26E41503" w14:textId="77777777" w:rsidR="00A051FE" w:rsidRPr="009F30A2" w:rsidRDefault="00A051FE" w:rsidP="00A051FE">
      <w:pPr>
        <w:spacing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706EB29" w14:textId="77777777" w:rsidR="00A051FE" w:rsidRPr="009F30A2" w:rsidRDefault="00A051FE" w:rsidP="00A051FE">
      <w:pPr>
        <w:spacing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7F7839EA" w14:textId="77777777" w:rsidR="00A051FE" w:rsidRPr="009F30A2" w:rsidRDefault="00A051FE" w:rsidP="00A051FE">
      <w:pPr>
        <w:spacing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4252C4C9" w14:textId="77777777" w:rsidR="00A051FE" w:rsidRPr="009F30A2" w:rsidRDefault="00A051FE" w:rsidP="00A051FE">
      <w:pPr>
        <w:spacing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C5439BE" w14:textId="77777777" w:rsidR="00A051FE" w:rsidRPr="009F30A2" w:rsidRDefault="00A051FE" w:rsidP="00A051FE">
      <w:pPr>
        <w:spacing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6382F5A" w14:textId="77777777" w:rsidR="00A051FE" w:rsidRPr="009F30A2" w:rsidRDefault="00A051FE" w:rsidP="00A051FE">
      <w:pPr>
        <w:spacing w:after="240" w:line="360" w:lineRule="auto"/>
        <w:ind w:left="284"/>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47D56F3" w14:textId="57EA5FC9" w:rsidR="00A051FE" w:rsidRPr="009F30A2" w:rsidRDefault="00A051FE" w:rsidP="00A051FE">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En este orden de ideas, se reitera que la Dirección de Obras Públicas </w:t>
      </w:r>
      <w:r w:rsidR="00EA73D5" w:rsidRPr="009F30A2">
        <w:rPr>
          <w:rFonts w:ascii="Palatino Linotype" w:eastAsia="Palatino Linotype" w:hAnsi="Palatino Linotype" w:cs="Palatino Linotype"/>
          <w:sz w:val="22"/>
          <w:szCs w:val="22"/>
        </w:rPr>
        <w:t xml:space="preserve">y Desarrollo urbano </w:t>
      </w:r>
      <w:r w:rsidRPr="009F30A2">
        <w:rPr>
          <w:rFonts w:ascii="Palatino Linotype" w:eastAsia="Palatino Linotype" w:hAnsi="Palatino Linotype" w:cs="Palatino Linotype"/>
          <w:sz w:val="22"/>
          <w:szCs w:val="22"/>
        </w:rPr>
        <w:t>es el área que cuenta con atribuciones para generar, administrar o poseer la información requerida; con lo que se acreditó que se realizó una correcta búsqueda exhaustiva y razonable de la información.</w:t>
      </w:r>
    </w:p>
    <w:p w14:paraId="6164ED70" w14:textId="77777777" w:rsidR="00E07D75" w:rsidRPr="009F30A2" w:rsidRDefault="00E07D75" w:rsidP="00A051FE">
      <w:pPr>
        <w:spacing w:line="360" w:lineRule="auto"/>
        <w:jc w:val="both"/>
        <w:rPr>
          <w:rFonts w:ascii="Palatino Linotype" w:eastAsia="Palatino Linotype" w:hAnsi="Palatino Linotype" w:cs="Palatino Linotype"/>
          <w:sz w:val="22"/>
          <w:szCs w:val="22"/>
        </w:rPr>
      </w:pPr>
    </w:p>
    <w:p w14:paraId="2D60CB17" w14:textId="481723CB" w:rsidR="00E07D75" w:rsidRPr="009F30A2" w:rsidRDefault="00E07D75" w:rsidP="00A051FE">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Dicho lo anterior, es necesario analizar los requerimeintos del particular frente a la respuesta emitida, a efecto de verificar si se colma el derecho de acceso a la información.</w:t>
      </w:r>
    </w:p>
    <w:p w14:paraId="461C8171" w14:textId="77777777" w:rsidR="00E07D75" w:rsidRPr="009F30A2" w:rsidRDefault="00E07D75" w:rsidP="00A051FE">
      <w:pPr>
        <w:spacing w:line="360" w:lineRule="auto"/>
        <w:jc w:val="both"/>
        <w:rPr>
          <w:rFonts w:ascii="Palatino Linotype" w:eastAsia="Palatino Linotype" w:hAnsi="Palatino Linotype" w:cs="Palatino Linotype"/>
          <w:sz w:val="22"/>
          <w:szCs w:val="22"/>
        </w:rPr>
      </w:pPr>
    </w:p>
    <w:p w14:paraId="2964062E" w14:textId="77777777" w:rsidR="00E07D75" w:rsidRPr="009F30A2" w:rsidRDefault="00E07D75" w:rsidP="00E07D75">
      <w:pPr>
        <w:spacing w:line="360" w:lineRule="auto"/>
        <w:jc w:val="both"/>
        <w:rPr>
          <w:rFonts w:ascii="Palatino Linotype" w:hAnsi="Palatino Linotype"/>
          <w:b/>
          <w:sz w:val="22"/>
          <w:szCs w:val="22"/>
        </w:rPr>
      </w:pPr>
      <w:r w:rsidRPr="009F30A2">
        <w:rPr>
          <w:rFonts w:ascii="Palatino Linotype" w:hAnsi="Palatino Linotype"/>
          <w:b/>
          <w:sz w:val="22"/>
          <w:szCs w:val="22"/>
        </w:rPr>
        <w:t>Obras por Administración directa.</w:t>
      </w:r>
    </w:p>
    <w:p w14:paraId="7D4DDDDC" w14:textId="77777777" w:rsidR="00E07D75" w:rsidRPr="009F30A2" w:rsidRDefault="00E07D75" w:rsidP="00E07D75">
      <w:pPr>
        <w:spacing w:line="360" w:lineRule="auto"/>
        <w:jc w:val="both"/>
        <w:rPr>
          <w:rFonts w:ascii="Palatino Linotype" w:hAnsi="Palatino Linotype"/>
          <w:b/>
          <w:sz w:val="22"/>
          <w:szCs w:val="22"/>
        </w:rPr>
      </w:pPr>
    </w:p>
    <w:p w14:paraId="3753EE36" w14:textId="5DC5EE8A" w:rsidR="00F947BB" w:rsidRPr="009F30A2" w:rsidRDefault="00E07D75" w:rsidP="00E07D75">
      <w:pPr>
        <w:spacing w:line="360" w:lineRule="auto"/>
        <w:jc w:val="both"/>
        <w:rPr>
          <w:rFonts w:ascii="Palatino Linotype" w:hAnsi="Palatino Linotype"/>
          <w:sz w:val="22"/>
          <w:szCs w:val="22"/>
        </w:rPr>
      </w:pPr>
      <w:r w:rsidRPr="009F30A2">
        <w:rPr>
          <w:rFonts w:ascii="Palatino Linotype" w:hAnsi="Palatino Linotype"/>
          <w:sz w:val="22"/>
          <w:szCs w:val="22"/>
        </w:rPr>
        <w:t>Sobre este requerimiento, el Sujeto Obligado manifestó</w:t>
      </w:r>
      <w:r w:rsidR="00F947BB" w:rsidRPr="009F30A2">
        <w:rPr>
          <w:rFonts w:ascii="Palatino Linotype" w:hAnsi="Palatino Linotype"/>
          <w:sz w:val="22"/>
          <w:szCs w:val="22"/>
        </w:rPr>
        <w:t xml:space="preserve">, a través del Servidor Público habilitado competente que no se cuenta con obras realizadas por administración directa. </w:t>
      </w:r>
    </w:p>
    <w:p w14:paraId="45A752B0" w14:textId="77777777" w:rsidR="00F947BB" w:rsidRPr="009F30A2" w:rsidRDefault="00F947BB" w:rsidP="00E07D75">
      <w:pPr>
        <w:spacing w:line="360" w:lineRule="auto"/>
        <w:jc w:val="both"/>
        <w:rPr>
          <w:rFonts w:ascii="Palatino Linotype" w:hAnsi="Palatino Linotype"/>
          <w:sz w:val="22"/>
          <w:szCs w:val="22"/>
        </w:rPr>
      </w:pPr>
    </w:p>
    <w:p w14:paraId="4B260C75" w14:textId="20EB51E9" w:rsidR="00AB31D5" w:rsidRPr="009F30A2" w:rsidRDefault="00AB31D5" w:rsidP="00AB31D5">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En ese sentido, debido a que, en respuesta la Dirección de </w:t>
      </w:r>
      <w:r w:rsidR="00341C10" w:rsidRPr="009F30A2">
        <w:rPr>
          <w:rFonts w:ascii="Palatino Linotype" w:eastAsia="Palatino Linotype" w:hAnsi="Palatino Linotype" w:cs="Palatino Linotype"/>
          <w:sz w:val="22"/>
          <w:szCs w:val="22"/>
        </w:rPr>
        <w:t>Obras Públucas y Desarrollo urbano</w:t>
      </w:r>
      <w:r w:rsidRPr="009F30A2">
        <w:rPr>
          <w:rFonts w:ascii="Palatino Linotype" w:eastAsia="Palatino Linotype" w:hAnsi="Palatino Linotype" w:cs="Palatino Linotype"/>
          <w:sz w:val="22"/>
          <w:szCs w:val="22"/>
        </w:rPr>
        <w:t xml:space="preserve">, señaló que no se encuentra en sus archivos </w:t>
      </w:r>
      <w:r w:rsidR="00341C10" w:rsidRPr="009F30A2">
        <w:rPr>
          <w:rFonts w:ascii="Palatino Linotype" w:eastAsia="Palatino Linotype" w:hAnsi="Palatino Linotype" w:cs="Palatino Linotype"/>
          <w:sz w:val="22"/>
          <w:szCs w:val="22"/>
        </w:rPr>
        <w:t>con obras realizadas por administración directa es que</w:t>
      </w:r>
      <w:r w:rsidRPr="009F30A2">
        <w:rPr>
          <w:rFonts w:ascii="Palatino Linotype" w:eastAsia="Palatino Linotype" w:hAnsi="Palatino Linotype" w:cs="Palatino Linotype"/>
          <w:sz w:val="22"/>
          <w:szCs w:val="22"/>
        </w:rPr>
        <w:t xml:space="preserve"> se </w:t>
      </w:r>
      <w:r w:rsidR="00341C10" w:rsidRPr="009F30A2">
        <w:rPr>
          <w:rFonts w:ascii="Palatino Linotype" w:eastAsia="Palatino Linotype" w:hAnsi="Palatino Linotype" w:cs="Palatino Linotype"/>
          <w:sz w:val="22"/>
          <w:szCs w:val="22"/>
        </w:rPr>
        <w:t xml:space="preserve">determina que </w:t>
      </w:r>
      <w:r w:rsidRPr="009F30A2">
        <w:rPr>
          <w:rFonts w:ascii="Palatino Linotype" w:eastAsia="Palatino Linotype" w:hAnsi="Palatino Linotype" w:cs="Palatino Linotype"/>
          <w:sz w:val="22"/>
          <w:szCs w:val="22"/>
        </w:rPr>
        <w:t xml:space="preserve">está en presencia de los denominados </w:t>
      </w:r>
      <w:r w:rsidRPr="009F30A2">
        <w:rPr>
          <w:rFonts w:ascii="Palatino Linotype" w:eastAsia="Palatino Linotype" w:hAnsi="Palatino Linotype" w:cs="Palatino Linotype"/>
          <w:i/>
          <w:sz w:val="22"/>
          <w:szCs w:val="22"/>
        </w:rPr>
        <w:t>“hechos negativos”,</w:t>
      </w:r>
      <w:r w:rsidRPr="009F30A2">
        <w:rPr>
          <w:rFonts w:ascii="Palatino Linotype" w:eastAsia="Palatino Linotype" w:hAnsi="Palatino Linotype" w:cs="Palatino Linotype"/>
          <w:sz w:val="22"/>
          <w:szCs w:val="22"/>
        </w:rPr>
        <w:t xml:space="preserve"> los cuales se definen como: </w:t>
      </w:r>
    </w:p>
    <w:p w14:paraId="0DB8BA9A" w14:textId="77777777" w:rsidR="00AB31D5" w:rsidRPr="009F30A2" w:rsidRDefault="00AB31D5" w:rsidP="00AB31D5">
      <w:pPr>
        <w:spacing w:line="360" w:lineRule="auto"/>
        <w:jc w:val="both"/>
        <w:rPr>
          <w:rFonts w:ascii="Palatino Linotype" w:eastAsia="Palatino Linotype" w:hAnsi="Palatino Linotype" w:cs="Palatino Linotype"/>
          <w:sz w:val="22"/>
          <w:szCs w:val="22"/>
        </w:rPr>
      </w:pPr>
    </w:p>
    <w:p w14:paraId="02DB4E1C" w14:textId="77777777" w:rsidR="00AB31D5" w:rsidRPr="009F30A2" w:rsidRDefault="00AB31D5" w:rsidP="00AB31D5">
      <w:pPr>
        <w:spacing w:line="276" w:lineRule="auto"/>
        <w:ind w:left="851" w:right="843"/>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HECHOS NEGATIVOS, NO SON SUSCEPTIBLES DE DEMOSTRACIÓN.</w:t>
      </w:r>
      <w:r w:rsidRPr="009F30A2">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32504970" w14:textId="77777777" w:rsidR="00AB31D5" w:rsidRPr="009F30A2" w:rsidRDefault="00AB31D5" w:rsidP="00AB31D5">
      <w:pPr>
        <w:spacing w:line="360" w:lineRule="auto"/>
        <w:jc w:val="both"/>
        <w:rPr>
          <w:rFonts w:ascii="Palatino Linotype" w:eastAsia="Palatino Linotype" w:hAnsi="Palatino Linotype" w:cs="Palatino Linotype"/>
          <w:sz w:val="22"/>
          <w:szCs w:val="22"/>
        </w:rPr>
      </w:pPr>
    </w:p>
    <w:p w14:paraId="4D1E092F" w14:textId="77777777" w:rsidR="00AB31D5" w:rsidRPr="009F30A2" w:rsidRDefault="00AB31D5" w:rsidP="00AB31D5">
      <w:pPr>
        <w:spacing w:line="360" w:lineRule="auto"/>
        <w:ind w:right="49"/>
        <w:jc w:val="both"/>
        <w:rPr>
          <w:rFonts w:ascii="Palatino Linotype" w:eastAsia="Palatino Linotype" w:hAnsi="Palatino Linotype" w:cs="Palatino Linotype"/>
          <w:b/>
          <w:sz w:val="22"/>
          <w:szCs w:val="22"/>
          <w:u w:val="single"/>
        </w:rPr>
      </w:pPr>
      <w:r w:rsidRPr="009F30A2">
        <w:rPr>
          <w:rFonts w:ascii="Palatino Linotype" w:eastAsia="Palatino Linotype" w:hAnsi="Palatino Linotype" w:cs="Palatino Linotype"/>
          <w:b/>
          <w:sz w:val="22"/>
          <w:szCs w:val="22"/>
          <w:u w:val="single"/>
        </w:rPr>
        <w:t xml:space="preserve">De lo anterior, se concluye que resulta materialmente imposible la entrega de información que no se ha generado, poseído o administrado por el Sujeto Obligado, debido a que no obra en sus archivos. </w:t>
      </w:r>
    </w:p>
    <w:p w14:paraId="14532319" w14:textId="77777777" w:rsidR="00AB31D5" w:rsidRPr="009F30A2" w:rsidRDefault="00AB31D5" w:rsidP="00AB31D5">
      <w:pPr>
        <w:spacing w:line="360" w:lineRule="auto"/>
        <w:ind w:right="49"/>
        <w:jc w:val="both"/>
        <w:rPr>
          <w:rFonts w:ascii="Palatino Linotype" w:eastAsia="Palatino Linotype" w:hAnsi="Palatino Linotype" w:cs="Palatino Linotype"/>
          <w:sz w:val="22"/>
          <w:szCs w:val="22"/>
        </w:rPr>
      </w:pPr>
    </w:p>
    <w:p w14:paraId="54763373" w14:textId="77777777" w:rsidR="00AB31D5" w:rsidRPr="009F30A2" w:rsidRDefault="00AB31D5" w:rsidP="00AB31D5">
      <w:pPr>
        <w:spacing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55A0938D" w14:textId="77777777" w:rsidR="00AB31D5" w:rsidRPr="009F30A2" w:rsidRDefault="00AB31D5" w:rsidP="00AB31D5">
      <w:pPr>
        <w:spacing w:line="360" w:lineRule="auto"/>
        <w:ind w:right="49"/>
        <w:jc w:val="both"/>
        <w:rPr>
          <w:rFonts w:ascii="Palatino Linotype" w:eastAsia="Palatino Linotype" w:hAnsi="Palatino Linotype" w:cs="Palatino Linotype"/>
          <w:sz w:val="22"/>
          <w:szCs w:val="22"/>
        </w:rPr>
      </w:pPr>
    </w:p>
    <w:p w14:paraId="0C495AB9" w14:textId="77777777" w:rsidR="00AB31D5" w:rsidRPr="009F30A2" w:rsidRDefault="00AB31D5" w:rsidP="00AB31D5">
      <w:pPr>
        <w:spacing w:line="276" w:lineRule="auto"/>
        <w:ind w:left="851" w:right="843"/>
        <w:jc w:val="both"/>
        <w:rPr>
          <w:rFonts w:ascii="Palatino Linotype" w:hAnsi="Palatino Linotype" w:cs="Arial"/>
          <w:i/>
          <w:sz w:val="22"/>
          <w:szCs w:val="22"/>
        </w:rPr>
      </w:pPr>
      <w:r w:rsidRPr="009F30A2">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9F30A2">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52A1E28" w14:textId="77777777" w:rsidR="00AB31D5" w:rsidRPr="009F30A2" w:rsidRDefault="00AB31D5" w:rsidP="00AB31D5">
      <w:pPr>
        <w:spacing w:line="360" w:lineRule="auto"/>
        <w:ind w:right="49"/>
        <w:jc w:val="both"/>
        <w:rPr>
          <w:rFonts w:ascii="Palatino Linotype" w:eastAsia="Palatino Linotype" w:hAnsi="Palatino Linotype" w:cs="Palatino Linotype"/>
          <w:sz w:val="22"/>
          <w:szCs w:val="22"/>
        </w:rPr>
      </w:pPr>
    </w:p>
    <w:p w14:paraId="6BD3D226" w14:textId="77777777" w:rsidR="00AB31D5" w:rsidRPr="009F30A2" w:rsidRDefault="00AB31D5" w:rsidP="00AB31D5">
      <w:pPr>
        <w:spacing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11F0D873" w14:textId="77777777" w:rsidR="00341C10" w:rsidRPr="009F30A2" w:rsidRDefault="00341C10" w:rsidP="00AB31D5">
      <w:pPr>
        <w:spacing w:line="360" w:lineRule="auto"/>
        <w:ind w:right="49"/>
        <w:jc w:val="both"/>
        <w:rPr>
          <w:rFonts w:ascii="Palatino Linotype" w:eastAsia="Palatino Linotype" w:hAnsi="Palatino Linotype" w:cs="Palatino Linotype"/>
          <w:sz w:val="22"/>
          <w:szCs w:val="22"/>
        </w:rPr>
      </w:pPr>
    </w:p>
    <w:p w14:paraId="76DC196F" w14:textId="6917D05B" w:rsidR="00341C10" w:rsidRPr="009F30A2" w:rsidRDefault="00341C10" w:rsidP="00AB31D5">
      <w:pPr>
        <w:spacing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Además, contrario a lo que refiere el particular en sus motivos o razones de inconformidad, al tratarse de un hecho negativo no es necesario que el Comité de Transparencia emita el acuerdo que declare formalmente su inexistencia, bajo el entendido de que la información no se ha generado por no existir fuente obligacional que establezca su generación, es decir, no se trata de información que obligatoriamente deba existir o generarse. </w:t>
      </w:r>
    </w:p>
    <w:p w14:paraId="2CCE8A54" w14:textId="77777777" w:rsidR="00341C10" w:rsidRPr="009F30A2" w:rsidRDefault="00341C10" w:rsidP="00AB31D5">
      <w:pPr>
        <w:spacing w:line="360" w:lineRule="auto"/>
        <w:ind w:right="49"/>
        <w:jc w:val="both"/>
        <w:rPr>
          <w:rFonts w:ascii="Palatino Linotype" w:eastAsia="Palatino Linotype" w:hAnsi="Palatino Linotype" w:cs="Palatino Linotype"/>
          <w:sz w:val="22"/>
          <w:szCs w:val="22"/>
        </w:rPr>
      </w:pPr>
    </w:p>
    <w:p w14:paraId="57F95644" w14:textId="66665D02" w:rsidR="00341C10" w:rsidRPr="009F30A2" w:rsidRDefault="00341C10" w:rsidP="00AB31D5">
      <w:pPr>
        <w:spacing w:line="360" w:lineRule="auto"/>
        <w:ind w:right="49"/>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Por lo que, con el pronunciamiento del Sujeto Obligado en sentido de que no se cuenta con la información porque no se han realizado obras públicas por administración directa, es suficiente para atender el requerimiento del particular. </w:t>
      </w:r>
    </w:p>
    <w:p w14:paraId="21CCA6D9" w14:textId="77777777" w:rsidR="00A051FE" w:rsidRPr="009F30A2" w:rsidRDefault="00A051FE" w:rsidP="0059440A">
      <w:pPr>
        <w:spacing w:line="360" w:lineRule="auto"/>
        <w:jc w:val="both"/>
        <w:rPr>
          <w:rFonts w:ascii="Palatino Linotype" w:hAnsi="Palatino Linotype"/>
          <w:sz w:val="22"/>
          <w:szCs w:val="22"/>
        </w:rPr>
      </w:pPr>
    </w:p>
    <w:p w14:paraId="4329899B" w14:textId="21A8B7F7" w:rsidR="00A051FE" w:rsidRPr="009F30A2" w:rsidRDefault="00684A3C" w:rsidP="0059440A">
      <w:pPr>
        <w:spacing w:line="360" w:lineRule="auto"/>
        <w:jc w:val="both"/>
        <w:rPr>
          <w:rFonts w:ascii="Palatino Linotype" w:hAnsi="Palatino Linotype"/>
          <w:b/>
          <w:sz w:val="22"/>
          <w:szCs w:val="22"/>
        </w:rPr>
      </w:pPr>
      <w:r w:rsidRPr="009F30A2">
        <w:rPr>
          <w:rFonts w:ascii="Palatino Linotype" w:hAnsi="Palatino Linotype"/>
          <w:b/>
          <w:sz w:val="22"/>
          <w:szCs w:val="22"/>
        </w:rPr>
        <w:t>De las direcciones electrónicas.</w:t>
      </w:r>
      <w:r w:rsidR="001D62BC" w:rsidRPr="009F30A2">
        <w:rPr>
          <w:rFonts w:ascii="Palatino Linotype" w:hAnsi="Palatino Linotype"/>
          <w:b/>
          <w:sz w:val="22"/>
          <w:szCs w:val="22"/>
        </w:rPr>
        <w:t xml:space="preserve"> </w:t>
      </w:r>
    </w:p>
    <w:p w14:paraId="2B90D0AF" w14:textId="77777777" w:rsidR="00A051FE" w:rsidRPr="009F30A2" w:rsidRDefault="00A051FE" w:rsidP="0059440A">
      <w:pPr>
        <w:spacing w:line="360" w:lineRule="auto"/>
        <w:jc w:val="both"/>
        <w:rPr>
          <w:rFonts w:ascii="Palatino Linotype" w:hAnsi="Palatino Linotype"/>
          <w:sz w:val="22"/>
          <w:szCs w:val="22"/>
        </w:rPr>
      </w:pPr>
    </w:p>
    <w:p w14:paraId="0077D83D" w14:textId="03E16654" w:rsidR="00A051FE" w:rsidRPr="009F30A2" w:rsidRDefault="00711AC0" w:rsidP="0059440A">
      <w:pPr>
        <w:spacing w:line="360" w:lineRule="auto"/>
        <w:jc w:val="both"/>
        <w:rPr>
          <w:rFonts w:ascii="Palatino Linotype" w:hAnsi="Palatino Linotype"/>
          <w:sz w:val="22"/>
          <w:szCs w:val="22"/>
        </w:rPr>
      </w:pPr>
      <w:r w:rsidRPr="009F30A2">
        <w:rPr>
          <w:rFonts w:ascii="Palatino Linotype" w:hAnsi="Palatino Linotype"/>
          <w:sz w:val="22"/>
          <w:szCs w:val="22"/>
        </w:rPr>
        <w:t xml:space="preserve">Respecto a los contratos y los catálogos de conceptos con precios unitarios el Sujeto Obligado entregó la siguiente dirección electrónica: </w:t>
      </w:r>
    </w:p>
    <w:p w14:paraId="791F4DF3" w14:textId="77777777" w:rsidR="00711AC0" w:rsidRPr="009F30A2" w:rsidRDefault="00711AC0" w:rsidP="0059440A">
      <w:pPr>
        <w:spacing w:line="360" w:lineRule="auto"/>
        <w:jc w:val="both"/>
        <w:rPr>
          <w:rFonts w:ascii="Palatino Linotype" w:hAnsi="Palatino Linotype"/>
          <w:sz w:val="22"/>
          <w:szCs w:val="22"/>
        </w:rPr>
      </w:pPr>
    </w:p>
    <w:p w14:paraId="3107F498" w14:textId="63D894B0" w:rsidR="00711AC0" w:rsidRPr="009F30A2" w:rsidRDefault="00711AC0" w:rsidP="0059440A">
      <w:pPr>
        <w:spacing w:line="360" w:lineRule="auto"/>
        <w:jc w:val="both"/>
        <w:rPr>
          <w:rFonts w:ascii="Palatino Linotype" w:hAnsi="Palatino Linotype"/>
          <w:sz w:val="22"/>
          <w:szCs w:val="22"/>
        </w:rPr>
      </w:pPr>
      <w:r w:rsidRPr="009F30A2">
        <w:rPr>
          <w:rFonts w:ascii="Palatino Linotype" w:hAnsi="Palatino Linotype"/>
          <w:noProof/>
          <w:sz w:val="22"/>
          <w:szCs w:val="22"/>
        </w:rPr>
        <w:drawing>
          <wp:inline distT="0" distB="0" distL="0" distR="0" wp14:anchorId="1DAB6472" wp14:editId="53392B93">
            <wp:extent cx="2581635" cy="466790"/>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1635" cy="466790"/>
                    </a:xfrm>
                    <a:prstGeom prst="rect">
                      <a:avLst/>
                    </a:prstGeom>
                  </pic:spPr>
                </pic:pic>
              </a:graphicData>
            </a:graphic>
          </wp:inline>
        </w:drawing>
      </w:r>
    </w:p>
    <w:p w14:paraId="778D4FAB" w14:textId="77777777" w:rsidR="00711AC0" w:rsidRPr="009F30A2" w:rsidRDefault="00711AC0" w:rsidP="00711A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9F30A2">
        <w:rPr>
          <w:rFonts w:ascii="Palatino Linotype" w:eastAsia="Palatino Linotype" w:hAnsi="Palatino Linotype" w:cs="Palatino Linotype"/>
          <w:i/>
          <w:sz w:val="22"/>
          <w:szCs w:val="22"/>
        </w:rPr>
        <w:t xml:space="preserve">la entrega de la información se deberá garantizar que ésta sea </w:t>
      </w:r>
      <w:r w:rsidRPr="009F30A2">
        <w:rPr>
          <w:rFonts w:ascii="Palatino Linotype" w:eastAsia="Palatino Linotype" w:hAnsi="Palatino Linotype" w:cs="Palatino Linotype"/>
          <w:b/>
          <w:i/>
          <w:sz w:val="22"/>
          <w:szCs w:val="22"/>
        </w:rPr>
        <w:t>accesible</w:t>
      </w:r>
      <w:r w:rsidRPr="009F30A2">
        <w:rPr>
          <w:rFonts w:ascii="Palatino Linotype" w:eastAsia="Palatino Linotype" w:hAnsi="Palatino Linotype" w:cs="Palatino Linotype"/>
          <w:i/>
          <w:sz w:val="22"/>
          <w:szCs w:val="22"/>
        </w:rPr>
        <w:t xml:space="preserve">, </w:t>
      </w:r>
      <w:r w:rsidRPr="009F30A2">
        <w:rPr>
          <w:rFonts w:ascii="Palatino Linotype" w:eastAsia="Palatino Linotype" w:hAnsi="Palatino Linotype" w:cs="Palatino Linotype"/>
          <w:b/>
          <w:i/>
          <w:sz w:val="22"/>
          <w:szCs w:val="22"/>
        </w:rPr>
        <w:t>actualizada, completa,</w:t>
      </w:r>
      <w:r w:rsidRPr="009F30A2">
        <w:rPr>
          <w:rFonts w:ascii="Palatino Linotype" w:eastAsia="Palatino Linotype" w:hAnsi="Palatino Linotype" w:cs="Palatino Linotype"/>
          <w:i/>
          <w:sz w:val="22"/>
          <w:szCs w:val="22"/>
        </w:rPr>
        <w:t xml:space="preserve"> congruente, confiable, </w:t>
      </w:r>
      <w:r w:rsidRPr="009F30A2">
        <w:rPr>
          <w:rFonts w:ascii="Palatino Linotype" w:eastAsia="Palatino Linotype" w:hAnsi="Palatino Linotype" w:cs="Palatino Linotype"/>
          <w:b/>
          <w:i/>
          <w:sz w:val="22"/>
          <w:szCs w:val="22"/>
        </w:rPr>
        <w:t>verificable</w:t>
      </w:r>
      <w:r w:rsidRPr="009F30A2">
        <w:rPr>
          <w:rFonts w:ascii="Palatino Linotype" w:eastAsia="Palatino Linotype" w:hAnsi="Palatino Linotype" w:cs="Palatino Linotype"/>
          <w:i/>
          <w:sz w:val="22"/>
          <w:szCs w:val="22"/>
        </w:rPr>
        <w:t xml:space="preserve">, veraz, integral, oportuna y expedita. </w:t>
      </w:r>
      <w:r w:rsidRPr="009F30A2">
        <w:rPr>
          <w:rFonts w:ascii="Palatino Linotype" w:eastAsia="Palatino Linotype" w:hAnsi="Palatino Linotype" w:cs="Palatino Linotype"/>
          <w:sz w:val="22"/>
          <w:szCs w:val="22"/>
        </w:rPr>
        <w:t>Asimismo, el artículo 161 de la Ley en comento, refiere lo siguiente:</w:t>
      </w:r>
    </w:p>
    <w:p w14:paraId="033654E7" w14:textId="77777777" w:rsidR="00711AC0" w:rsidRPr="009F30A2" w:rsidRDefault="00711AC0" w:rsidP="00711AC0">
      <w:pPr>
        <w:pBdr>
          <w:top w:val="nil"/>
          <w:left w:val="nil"/>
          <w:bottom w:val="nil"/>
          <w:right w:val="nil"/>
          <w:between w:val="nil"/>
        </w:pBdr>
        <w:ind w:left="708"/>
        <w:jc w:val="both"/>
        <w:rPr>
          <w:rFonts w:ascii="Palatino Linotype" w:eastAsia="Palatino Linotype" w:hAnsi="Palatino Linotype" w:cs="Palatino Linotype"/>
          <w:sz w:val="22"/>
          <w:szCs w:val="22"/>
        </w:rPr>
      </w:pPr>
    </w:p>
    <w:p w14:paraId="5663C61B" w14:textId="77777777" w:rsidR="00711AC0" w:rsidRPr="009F30A2" w:rsidRDefault="00711AC0" w:rsidP="00711AC0">
      <w:pPr>
        <w:spacing w:line="360" w:lineRule="auto"/>
        <w:ind w:left="567" w:right="567"/>
        <w:jc w:val="both"/>
        <w:rPr>
          <w:rFonts w:ascii="Palatino Linotype" w:eastAsia="Palatino Linotype" w:hAnsi="Palatino Linotype" w:cs="Palatino Linotype"/>
          <w:b/>
          <w:i/>
          <w:sz w:val="22"/>
          <w:szCs w:val="22"/>
        </w:rPr>
      </w:pPr>
      <w:r w:rsidRPr="009F30A2">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9F30A2">
        <w:rPr>
          <w:rFonts w:ascii="Palatino Linotype" w:eastAsia="Palatino Linotype" w:hAnsi="Palatino Linotype" w:cs="Palatino Linotype"/>
          <w:i/>
          <w:sz w:val="22"/>
          <w:szCs w:val="22"/>
        </w:rPr>
        <w:t xml:space="preserve">en medios impresos, tales como libros, compendios, trípticos, registros públicos, </w:t>
      </w:r>
      <w:r w:rsidRPr="009F30A2">
        <w:rPr>
          <w:rFonts w:ascii="Palatino Linotype" w:eastAsia="Palatino Linotype" w:hAnsi="Palatino Linotype" w:cs="Palatino Linotype"/>
          <w:b/>
          <w:i/>
          <w:sz w:val="22"/>
          <w:szCs w:val="22"/>
        </w:rPr>
        <w:t>en formatos electrónicos</w:t>
      </w:r>
      <w:r w:rsidRPr="009F30A2">
        <w:rPr>
          <w:rFonts w:ascii="Palatino Linotype" w:eastAsia="Palatino Linotype" w:hAnsi="Palatino Linotype" w:cs="Palatino Linotype"/>
          <w:i/>
          <w:sz w:val="22"/>
          <w:szCs w:val="22"/>
        </w:rPr>
        <w:t xml:space="preserve"> disponibles en Internet o en cualquier otro medio, </w:t>
      </w:r>
      <w:r w:rsidRPr="009F30A2">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CB3EFBF" w14:textId="77777777" w:rsidR="00711AC0" w:rsidRPr="009F30A2" w:rsidRDefault="00711AC0" w:rsidP="00711AC0">
      <w:pPr>
        <w:spacing w:line="360" w:lineRule="auto"/>
        <w:ind w:left="567" w:right="567"/>
        <w:jc w:val="both"/>
        <w:rPr>
          <w:rFonts w:ascii="Palatino Linotype" w:eastAsia="Palatino Linotype" w:hAnsi="Palatino Linotype" w:cs="Palatino Linotype"/>
          <w:b/>
          <w:i/>
          <w:sz w:val="22"/>
          <w:szCs w:val="22"/>
        </w:rPr>
      </w:pPr>
      <w:r w:rsidRPr="009F30A2">
        <w:rPr>
          <w:rFonts w:ascii="Palatino Linotype" w:eastAsia="Palatino Linotype" w:hAnsi="Palatino Linotype" w:cs="Palatino Linotype"/>
          <w:b/>
          <w:i/>
          <w:sz w:val="22"/>
          <w:szCs w:val="22"/>
        </w:rPr>
        <w:t>(Énfasis añadido)</w:t>
      </w:r>
    </w:p>
    <w:p w14:paraId="2E015F7C" w14:textId="77777777" w:rsidR="00711AC0" w:rsidRPr="009F30A2" w:rsidRDefault="00711AC0" w:rsidP="00711AC0">
      <w:pPr>
        <w:spacing w:line="360" w:lineRule="auto"/>
        <w:ind w:left="567" w:right="567"/>
        <w:jc w:val="both"/>
        <w:rPr>
          <w:rFonts w:ascii="Palatino Linotype" w:eastAsia="Palatino Linotype" w:hAnsi="Palatino Linotype" w:cs="Palatino Linotype"/>
          <w:b/>
          <w:i/>
          <w:sz w:val="22"/>
          <w:szCs w:val="22"/>
        </w:rPr>
      </w:pPr>
    </w:p>
    <w:p w14:paraId="05B8DD82" w14:textId="77777777" w:rsidR="00711AC0" w:rsidRPr="009F30A2" w:rsidRDefault="00711AC0" w:rsidP="00711AC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9F30A2">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9F30A2">
        <w:rPr>
          <w:rFonts w:ascii="Palatino Linotype" w:eastAsia="Palatino Linotype" w:hAnsi="Palatino Linotype" w:cs="Palatino Linotype"/>
          <w:sz w:val="22"/>
          <w:szCs w:val="22"/>
        </w:rPr>
        <w:t xml:space="preserve"> una serie de requisitos, a saber:</w:t>
      </w:r>
    </w:p>
    <w:p w14:paraId="20168651" w14:textId="77777777" w:rsidR="00711AC0" w:rsidRPr="009F30A2" w:rsidRDefault="00711AC0" w:rsidP="00711AC0">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1B2B8CD9" w14:textId="77777777" w:rsidR="00711AC0" w:rsidRPr="009F30A2" w:rsidRDefault="00711AC0" w:rsidP="00711AC0">
      <w:pPr>
        <w:numPr>
          <w:ilvl w:val="0"/>
          <w:numId w:val="29"/>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La dirección electrónica debe señalarse en un plazo no mayor a cinco días hábiles;</w:t>
      </w:r>
    </w:p>
    <w:p w14:paraId="70C715E1" w14:textId="77777777" w:rsidR="00711AC0" w:rsidRPr="009F30A2" w:rsidRDefault="00711AC0" w:rsidP="00711AC0">
      <w:pPr>
        <w:numPr>
          <w:ilvl w:val="0"/>
          <w:numId w:val="29"/>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209F49A8" w14:textId="77777777" w:rsidR="00711AC0" w:rsidRPr="009F30A2" w:rsidRDefault="00711AC0" w:rsidP="00711AC0">
      <w:pPr>
        <w:numPr>
          <w:ilvl w:val="0"/>
          <w:numId w:val="29"/>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19D981AF" w14:textId="77777777" w:rsidR="00711AC0" w:rsidRPr="009F30A2" w:rsidRDefault="00711AC0" w:rsidP="00711AC0">
      <w:pPr>
        <w:numPr>
          <w:ilvl w:val="0"/>
          <w:numId w:val="29"/>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u w:val="single"/>
        </w:rPr>
        <w:t>La dirección electrónica se debe entregar en formato abierto,</w:t>
      </w:r>
      <w:r w:rsidRPr="009F30A2">
        <w:rPr>
          <w:rFonts w:ascii="Palatino Linotype" w:eastAsia="Palatino Linotype" w:hAnsi="Palatino Linotype" w:cs="Palatino Linotype"/>
          <w:b/>
          <w:sz w:val="22"/>
          <w:szCs w:val="22"/>
        </w:rPr>
        <w:t xml:space="preserve"> para que el Recurrente pueda copiar y pegar sin la necesidad de transcribir la liga electrónica.</w:t>
      </w:r>
    </w:p>
    <w:p w14:paraId="4850CD46" w14:textId="77777777" w:rsidR="00711AC0" w:rsidRPr="009F30A2" w:rsidRDefault="00711AC0" w:rsidP="00711A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EDFC0D5" w14:textId="77777777" w:rsidR="00711AC0" w:rsidRPr="009F30A2" w:rsidRDefault="00711AC0" w:rsidP="00711AC0">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8F59361" w14:textId="77777777" w:rsidR="00711AC0" w:rsidRPr="009F30A2" w:rsidRDefault="00711AC0" w:rsidP="00711AC0">
      <w:pPr>
        <w:spacing w:line="360" w:lineRule="auto"/>
        <w:jc w:val="both"/>
        <w:rPr>
          <w:rFonts w:ascii="Palatino Linotype" w:eastAsia="Palatino Linotype" w:hAnsi="Palatino Linotype" w:cs="Palatino Linotype"/>
          <w:sz w:val="22"/>
          <w:szCs w:val="22"/>
        </w:rPr>
      </w:pPr>
    </w:p>
    <w:p w14:paraId="1023CE94" w14:textId="77777777" w:rsidR="00711AC0" w:rsidRPr="009F30A2" w:rsidRDefault="00711AC0" w:rsidP="00711AC0">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8B8AB2D" w14:textId="77777777" w:rsidR="00711AC0" w:rsidRPr="009F30A2" w:rsidRDefault="00711AC0" w:rsidP="00711AC0">
      <w:pPr>
        <w:spacing w:line="360" w:lineRule="auto"/>
        <w:jc w:val="both"/>
        <w:rPr>
          <w:rFonts w:ascii="Palatino Linotype" w:eastAsia="Palatino Linotype" w:hAnsi="Palatino Linotype" w:cs="Palatino Linotype"/>
          <w:sz w:val="22"/>
          <w:szCs w:val="22"/>
        </w:rPr>
      </w:pPr>
    </w:p>
    <w:p w14:paraId="6F8BCC04" w14:textId="77777777" w:rsidR="00711AC0" w:rsidRPr="009F30A2" w:rsidRDefault="00711AC0" w:rsidP="00711AC0">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11E9A28" w14:textId="77777777" w:rsidR="00711AC0" w:rsidRPr="009F30A2" w:rsidRDefault="00711AC0" w:rsidP="00711AC0">
      <w:pPr>
        <w:spacing w:line="360" w:lineRule="auto"/>
        <w:jc w:val="both"/>
        <w:rPr>
          <w:rFonts w:ascii="Palatino Linotype" w:eastAsia="Palatino Linotype" w:hAnsi="Palatino Linotype" w:cs="Palatino Linotype"/>
          <w:sz w:val="22"/>
          <w:szCs w:val="22"/>
        </w:rPr>
      </w:pPr>
    </w:p>
    <w:p w14:paraId="6E0CCF2A" w14:textId="77777777" w:rsidR="00711AC0" w:rsidRPr="009F30A2" w:rsidRDefault="00711AC0" w:rsidP="00711AC0">
      <w:pPr>
        <w:numPr>
          <w:ilvl w:val="0"/>
          <w:numId w:val="2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 xml:space="preserve">Dato abierto: </w:t>
      </w:r>
      <w:r w:rsidRPr="009F30A2">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C7467E7" w14:textId="77777777" w:rsidR="00711AC0" w:rsidRPr="009F30A2" w:rsidRDefault="00711AC0" w:rsidP="00711AC0">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18C30D9E" w14:textId="77777777" w:rsidR="00711AC0" w:rsidRPr="009F30A2" w:rsidRDefault="00711AC0" w:rsidP="00711AC0">
      <w:pPr>
        <w:numPr>
          <w:ilvl w:val="0"/>
          <w:numId w:val="2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 xml:space="preserve">Formato accesible: </w:t>
      </w:r>
      <w:r w:rsidRPr="009F30A2">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DEE3441" w14:textId="77777777" w:rsidR="00711AC0" w:rsidRPr="009F30A2" w:rsidRDefault="00711AC0" w:rsidP="00711AC0">
      <w:pPr>
        <w:spacing w:line="360" w:lineRule="auto"/>
        <w:jc w:val="both"/>
        <w:rPr>
          <w:rFonts w:ascii="Palatino Linotype" w:eastAsia="Palatino Linotype" w:hAnsi="Palatino Linotype" w:cs="Palatino Linotype"/>
          <w:sz w:val="22"/>
          <w:szCs w:val="22"/>
        </w:rPr>
      </w:pPr>
    </w:p>
    <w:p w14:paraId="06574A87" w14:textId="77777777" w:rsidR="00711AC0" w:rsidRPr="009F30A2" w:rsidRDefault="00711AC0" w:rsidP="00711AC0">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5DD2D743" w14:textId="77777777" w:rsidR="00711AC0" w:rsidRPr="009F30A2" w:rsidRDefault="00711AC0" w:rsidP="00711AC0">
      <w:pPr>
        <w:pBdr>
          <w:top w:val="nil"/>
          <w:left w:val="nil"/>
          <w:bottom w:val="nil"/>
          <w:right w:val="nil"/>
          <w:between w:val="nil"/>
        </w:pBdr>
        <w:ind w:left="720"/>
        <w:rPr>
          <w:rFonts w:ascii="Palatino Linotype" w:eastAsia="Palatino Linotype" w:hAnsi="Palatino Linotype" w:cs="Palatino Linotype"/>
          <w:b/>
          <w:sz w:val="22"/>
          <w:szCs w:val="22"/>
        </w:rPr>
      </w:pPr>
    </w:p>
    <w:p w14:paraId="7C990458" w14:textId="77777777" w:rsidR="00711AC0" w:rsidRPr="009F30A2" w:rsidRDefault="00711AC0" w:rsidP="00711A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En el presente asunto, El Tesorero Municipal entregó la dirección electrónica en formato cerrado, lo que propicia que el Recurrente deba transcribir cada uno de los caracteres, lo que facilita a errores y con ello la imposibilidad o dificultad para acceder a la información. </w:t>
      </w:r>
    </w:p>
    <w:p w14:paraId="1548B076" w14:textId="77777777" w:rsidR="00711AC0" w:rsidRPr="009F30A2" w:rsidRDefault="00711AC0" w:rsidP="00711A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0A66886" w14:textId="77777777" w:rsidR="00711AC0" w:rsidRPr="009F30A2" w:rsidRDefault="00711AC0" w:rsidP="00711A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Tal y como se aprecia, la dirección electrónica incumple lo que estipula el artículo 161 antes citado, en razón de lo siguiente:</w:t>
      </w:r>
    </w:p>
    <w:p w14:paraId="2B04A55D" w14:textId="77777777" w:rsidR="00711AC0" w:rsidRPr="009F30A2" w:rsidRDefault="00711AC0" w:rsidP="00711A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C489B9A" w14:textId="77777777" w:rsidR="00711AC0" w:rsidRPr="009F30A2" w:rsidRDefault="00711AC0" w:rsidP="00711AC0">
      <w:pPr>
        <w:numPr>
          <w:ilvl w:val="0"/>
          <w:numId w:val="30"/>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La dirección electrónica se encuentra en formato cerrado, por lo que no resulta accesible para el Recurrente; y,</w:t>
      </w:r>
    </w:p>
    <w:p w14:paraId="38865357" w14:textId="77777777" w:rsidR="00711AC0" w:rsidRPr="009F30A2" w:rsidRDefault="00711AC0" w:rsidP="00711AC0">
      <w:pPr>
        <w:numPr>
          <w:ilvl w:val="0"/>
          <w:numId w:val="30"/>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Se encuentra fuera del plazo de cinco días establecidos para tal efecto.</w:t>
      </w:r>
    </w:p>
    <w:p w14:paraId="1437F5C4" w14:textId="77777777" w:rsidR="00711AC0" w:rsidRPr="009F30A2" w:rsidRDefault="00711AC0" w:rsidP="00711AC0">
      <w:pPr>
        <w:pBdr>
          <w:top w:val="nil"/>
          <w:left w:val="nil"/>
          <w:bottom w:val="nil"/>
          <w:right w:val="nil"/>
          <w:between w:val="nil"/>
        </w:pBdr>
        <w:spacing w:line="360" w:lineRule="auto"/>
        <w:ind w:left="720" w:right="-150"/>
        <w:jc w:val="both"/>
        <w:rPr>
          <w:rFonts w:ascii="Palatino Linotype" w:eastAsia="Palatino Linotype" w:hAnsi="Palatino Linotype" w:cs="Palatino Linotype"/>
          <w:sz w:val="22"/>
          <w:szCs w:val="22"/>
        </w:rPr>
      </w:pPr>
    </w:p>
    <w:p w14:paraId="41DC2CC8" w14:textId="6114C28E" w:rsidR="00711AC0" w:rsidRPr="009F30A2" w:rsidRDefault="00711AC0" w:rsidP="00711A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Sin embargo, aún y cuando la dirección electrónica se encuentra en formato cerrado, se aprecia que el Recurrente tuvo acceso a la información ahí disponible, al señalar que es información que no solicitó, además de que obliga a realizar una búsqueda en la información ahí disponible. </w:t>
      </w:r>
    </w:p>
    <w:p w14:paraId="7478AE27" w14:textId="77777777" w:rsidR="00711AC0" w:rsidRPr="009F30A2" w:rsidRDefault="00711AC0" w:rsidP="00711A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5C7720" w14:textId="7D2585C1" w:rsidR="00711AC0" w:rsidRPr="009F30A2" w:rsidRDefault="00E47E72" w:rsidP="00711AC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Al ingresar a la dirección electrónica que proporcionó el Sujeto Obligado se obtiene lo siguiente: </w:t>
      </w:r>
    </w:p>
    <w:p w14:paraId="193F3075" w14:textId="77777777" w:rsidR="00711AC0" w:rsidRPr="009F30A2" w:rsidRDefault="00711AC0" w:rsidP="0059440A">
      <w:pPr>
        <w:spacing w:line="360" w:lineRule="auto"/>
        <w:jc w:val="both"/>
        <w:rPr>
          <w:rFonts w:ascii="Palatino Linotype" w:hAnsi="Palatino Linotype"/>
          <w:sz w:val="22"/>
          <w:szCs w:val="22"/>
        </w:rPr>
      </w:pPr>
    </w:p>
    <w:p w14:paraId="23892C3C" w14:textId="60BCF1BC" w:rsidR="00E47E72" w:rsidRPr="009F30A2" w:rsidRDefault="00E47E72" w:rsidP="0059440A">
      <w:pPr>
        <w:spacing w:line="360" w:lineRule="auto"/>
        <w:jc w:val="both"/>
        <w:rPr>
          <w:rFonts w:ascii="Palatino Linotype" w:hAnsi="Palatino Linotype"/>
          <w:sz w:val="22"/>
          <w:szCs w:val="22"/>
        </w:rPr>
      </w:pPr>
      <w:r w:rsidRPr="009F30A2">
        <w:rPr>
          <w:rFonts w:ascii="Palatino Linotype" w:hAnsi="Palatino Linotype"/>
          <w:noProof/>
          <w:sz w:val="22"/>
          <w:szCs w:val="22"/>
        </w:rPr>
        <w:drawing>
          <wp:inline distT="0" distB="0" distL="0" distR="0" wp14:anchorId="4B92AF62" wp14:editId="4CEEAD62">
            <wp:extent cx="5756275" cy="5017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5017770"/>
                    </a:xfrm>
                    <a:prstGeom prst="rect">
                      <a:avLst/>
                    </a:prstGeom>
                  </pic:spPr>
                </pic:pic>
              </a:graphicData>
            </a:graphic>
          </wp:inline>
        </w:drawing>
      </w:r>
    </w:p>
    <w:p w14:paraId="10AF3C75" w14:textId="44647426" w:rsidR="00A051FE" w:rsidRPr="009F30A2" w:rsidRDefault="00E47E72" w:rsidP="0059440A">
      <w:pPr>
        <w:spacing w:line="360" w:lineRule="auto"/>
        <w:jc w:val="both"/>
        <w:rPr>
          <w:rFonts w:ascii="Palatino Linotype" w:hAnsi="Palatino Linotype"/>
          <w:sz w:val="22"/>
          <w:szCs w:val="22"/>
        </w:rPr>
      </w:pPr>
      <w:r w:rsidRPr="009F30A2">
        <w:rPr>
          <w:rFonts w:ascii="Palatino Linotype" w:hAnsi="Palatino Linotype"/>
          <w:sz w:val="22"/>
          <w:szCs w:val="22"/>
        </w:rPr>
        <w:t>Tal y como se advierte, la dirección electrónica que proporcionó el Sujeto Obligado en su respuesta dirige a la página principal del IPOMEX, por lo que, para acceder a la información del Sujeto Obligado, el Recurrente debe realizar una serie de pasos</w:t>
      </w:r>
      <w:r w:rsidR="00654E9A" w:rsidRPr="009F30A2">
        <w:rPr>
          <w:rFonts w:ascii="Palatino Linotype" w:hAnsi="Palatino Linotype"/>
          <w:sz w:val="22"/>
          <w:szCs w:val="22"/>
        </w:rPr>
        <w:t xml:space="preserve">, de ahí realizar la búsqueda entre toda la información que tiene publicada el Sujeto Obligado en específico, para localizar lo relativo a los contratos por obra pública y los catálogos de conceptos por precios unitarios. </w:t>
      </w:r>
    </w:p>
    <w:p w14:paraId="5CC8A707" w14:textId="77777777" w:rsidR="00654E9A" w:rsidRPr="009F30A2" w:rsidRDefault="00654E9A" w:rsidP="0059440A">
      <w:pPr>
        <w:spacing w:line="360" w:lineRule="auto"/>
        <w:jc w:val="both"/>
        <w:rPr>
          <w:rFonts w:ascii="Palatino Linotype" w:hAnsi="Palatino Linotype"/>
          <w:sz w:val="22"/>
          <w:szCs w:val="22"/>
        </w:rPr>
      </w:pPr>
    </w:p>
    <w:p w14:paraId="18BC8D7D" w14:textId="1FB08901" w:rsidR="00654E9A" w:rsidRPr="009F30A2" w:rsidRDefault="00654E9A" w:rsidP="0059440A">
      <w:pPr>
        <w:spacing w:line="360" w:lineRule="auto"/>
        <w:jc w:val="both"/>
        <w:rPr>
          <w:rFonts w:ascii="Palatino Linotype" w:hAnsi="Palatino Linotype"/>
          <w:sz w:val="22"/>
          <w:szCs w:val="22"/>
        </w:rPr>
      </w:pPr>
      <w:r w:rsidRPr="009F30A2">
        <w:rPr>
          <w:rFonts w:ascii="Palatino Linotype" w:hAnsi="Palatino Linotype"/>
          <w:sz w:val="22"/>
          <w:szCs w:val="22"/>
        </w:rPr>
        <w:t xml:space="preserve">De este modo, se determina que la fuente no es precisa, por lo que, al no encontrarse en apego a lo que dispone la Ley de Transparencia y Acceso a la Información Pública del Estado de México en el artículo 161, es que no se colma el derecho del particular. </w:t>
      </w:r>
    </w:p>
    <w:p w14:paraId="2DAF12FF" w14:textId="77777777" w:rsidR="00A051FE" w:rsidRPr="009F30A2" w:rsidRDefault="00A051FE" w:rsidP="0059440A">
      <w:pPr>
        <w:spacing w:line="360" w:lineRule="auto"/>
        <w:jc w:val="both"/>
        <w:rPr>
          <w:rFonts w:ascii="Palatino Linotype" w:hAnsi="Palatino Linotype"/>
          <w:sz w:val="22"/>
          <w:szCs w:val="22"/>
        </w:rPr>
      </w:pPr>
    </w:p>
    <w:p w14:paraId="2B4EC61E" w14:textId="2F166C66" w:rsidR="00A051FE" w:rsidRPr="009F30A2" w:rsidRDefault="00AC3A71" w:rsidP="0059440A">
      <w:pPr>
        <w:spacing w:line="360" w:lineRule="auto"/>
        <w:jc w:val="both"/>
        <w:rPr>
          <w:rFonts w:ascii="Palatino Linotype" w:hAnsi="Palatino Linotype"/>
          <w:sz w:val="22"/>
          <w:szCs w:val="22"/>
        </w:rPr>
      </w:pPr>
      <w:r w:rsidRPr="009F30A2">
        <w:rPr>
          <w:rFonts w:ascii="Palatino Linotype" w:hAnsi="Palatino Linotype"/>
          <w:sz w:val="22"/>
          <w:szCs w:val="22"/>
        </w:rPr>
        <w:t>Por lo anterior, se ORDENA entregar los documentos donde conste, de todas las obras públicas realizadas del uno de enero al quince de julio de dos mil veinticinco:</w:t>
      </w:r>
    </w:p>
    <w:p w14:paraId="0A493E87" w14:textId="77777777" w:rsidR="00AC3A71" w:rsidRPr="009F30A2" w:rsidRDefault="00AC3A71" w:rsidP="0059440A">
      <w:pPr>
        <w:spacing w:line="360" w:lineRule="auto"/>
        <w:jc w:val="both"/>
        <w:rPr>
          <w:rFonts w:ascii="Palatino Linotype" w:hAnsi="Palatino Linotype"/>
          <w:sz w:val="22"/>
          <w:szCs w:val="22"/>
        </w:rPr>
      </w:pPr>
    </w:p>
    <w:p w14:paraId="36F080BC" w14:textId="35390DAA" w:rsidR="00AC3A71" w:rsidRPr="009F30A2" w:rsidRDefault="00AC3A71" w:rsidP="00AC3A71">
      <w:pPr>
        <w:pStyle w:val="Prrafodelista"/>
        <w:numPr>
          <w:ilvl w:val="0"/>
          <w:numId w:val="33"/>
        </w:numPr>
        <w:spacing w:line="360" w:lineRule="auto"/>
        <w:jc w:val="both"/>
        <w:rPr>
          <w:rFonts w:ascii="Palatino Linotype" w:hAnsi="Palatino Linotype"/>
          <w:sz w:val="22"/>
          <w:szCs w:val="22"/>
        </w:rPr>
      </w:pPr>
      <w:r w:rsidRPr="009F30A2">
        <w:rPr>
          <w:rFonts w:ascii="Palatino Linotype" w:hAnsi="Palatino Linotype"/>
          <w:sz w:val="22"/>
          <w:szCs w:val="22"/>
        </w:rPr>
        <w:t>Contrato; y,</w:t>
      </w:r>
    </w:p>
    <w:p w14:paraId="0A5C6258" w14:textId="5F813861" w:rsidR="00AC3A71" w:rsidRPr="009F30A2" w:rsidRDefault="00AC3A71" w:rsidP="00AC3A71">
      <w:pPr>
        <w:pStyle w:val="Prrafodelista"/>
        <w:numPr>
          <w:ilvl w:val="0"/>
          <w:numId w:val="33"/>
        </w:numPr>
        <w:spacing w:line="360" w:lineRule="auto"/>
        <w:jc w:val="both"/>
        <w:rPr>
          <w:rFonts w:ascii="Palatino Linotype" w:hAnsi="Palatino Linotype"/>
          <w:sz w:val="22"/>
          <w:szCs w:val="22"/>
        </w:rPr>
      </w:pPr>
      <w:r w:rsidRPr="009F30A2">
        <w:rPr>
          <w:rFonts w:ascii="Palatino Linotype" w:hAnsi="Palatino Linotype"/>
          <w:sz w:val="22"/>
          <w:szCs w:val="22"/>
        </w:rPr>
        <w:t>Catálogo de conceptos con precios unitarios</w:t>
      </w:r>
      <w:r w:rsidR="0045521E" w:rsidRPr="009F30A2">
        <w:rPr>
          <w:rFonts w:ascii="Palatino Linotype" w:hAnsi="Palatino Linotype"/>
          <w:sz w:val="22"/>
          <w:szCs w:val="22"/>
        </w:rPr>
        <w:t xml:space="preserve"> o autorización de precios unitarios</w:t>
      </w:r>
      <w:r w:rsidRPr="009F30A2">
        <w:rPr>
          <w:rFonts w:ascii="Palatino Linotype" w:hAnsi="Palatino Linotype"/>
          <w:sz w:val="22"/>
          <w:szCs w:val="22"/>
        </w:rPr>
        <w:t>.</w:t>
      </w:r>
    </w:p>
    <w:p w14:paraId="2D709DF9" w14:textId="77777777" w:rsidR="007C7D62" w:rsidRPr="009F30A2" w:rsidRDefault="007C7D62" w:rsidP="0059440A">
      <w:pPr>
        <w:spacing w:line="360" w:lineRule="auto"/>
        <w:jc w:val="both"/>
        <w:rPr>
          <w:rFonts w:ascii="Palatino Linotype" w:eastAsia="Palatino Linotype" w:hAnsi="Palatino Linotype" w:cs="Palatino Linotype"/>
          <w:sz w:val="22"/>
          <w:szCs w:val="22"/>
        </w:rPr>
      </w:pPr>
    </w:p>
    <w:p w14:paraId="2246F67C"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 xml:space="preserve">Quinto. Versión Pública. </w:t>
      </w:r>
      <w:r w:rsidRPr="009F30A2">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4D495634" w14:textId="77777777" w:rsidR="00531EEA" w:rsidRPr="009F30A2" w:rsidRDefault="00531EEA" w:rsidP="0059440A">
      <w:pPr>
        <w:spacing w:line="360" w:lineRule="auto"/>
        <w:jc w:val="both"/>
        <w:rPr>
          <w:rFonts w:ascii="Palatino Linotype" w:eastAsia="Palatino Linotype" w:hAnsi="Palatino Linotype" w:cs="Palatino Linotype"/>
          <w:sz w:val="22"/>
          <w:szCs w:val="22"/>
        </w:rPr>
      </w:pPr>
    </w:p>
    <w:p w14:paraId="7679BB30"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578FA5EA" w14:textId="77777777" w:rsidR="00C877F6" w:rsidRPr="009F30A2" w:rsidRDefault="00F36565" w:rsidP="0059440A">
      <w:pPr>
        <w:spacing w:line="360" w:lineRule="auto"/>
        <w:ind w:right="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9F30A2" w:rsidRDefault="00C877F6" w:rsidP="0059440A">
      <w:pPr>
        <w:spacing w:line="360" w:lineRule="auto"/>
        <w:ind w:right="50"/>
        <w:jc w:val="both"/>
        <w:rPr>
          <w:rFonts w:ascii="Palatino Linotype" w:eastAsia="Palatino Linotype" w:hAnsi="Palatino Linotype" w:cs="Palatino Linotype"/>
          <w:sz w:val="22"/>
          <w:szCs w:val="22"/>
        </w:rPr>
      </w:pPr>
    </w:p>
    <w:p w14:paraId="014C759A"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Artículo 3.</w:t>
      </w:r>
      <w:r w:rsidRPr="009F30A2">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p>
    <w:p w14:paraId="07C497C9"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p>
    <w:p w14:paraId="7BE5EF39"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Artículo 91.</w:t>
      </w:r>
      <w:r w:rsidRPr="009F30A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Artículo 132.</w:t>
      </w:r>
      <w:r w:rsidRPr="009F30A2">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9F30A2" w:rsidRDefault="00F36565" w:rsidP="0059440A">
      <w:pPr>
        <w:tabs>
          <w:tab w:val="left" w:pos="1134"/>
        </w:tabs>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 Se reciba una solicitud de acceso a la información;</w:t>
      </w:r>
    </w:p>
    <w:p w14:paraId="45CEA9D2" w14:textId="77777777" w:rsidR="00C877F6" w:rsidRPr="009F30A2" w:rsidRDefault="00F36565" w:rsidP="0059440A">
      <w:pPr>
        <w:tabs>
          <w:tab w:val="left" w:pos="1134"/>
        </w:tabs>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II. Se determine mediante resolución de autoridad competente; o</w:t>
      </w:r>
    </w:p>
    <w:p w14:paraId="2455AA3E" w14:textId="77777777" w:rsidR="00C877F6" w:rsidRPr="009F30A2" w:rsidRDefault="00F36565" w:rsidP="0059440A">
      <w:pPr>
        <w:tabs>
          <w:tab w:val="left" w:pos="1134"/>
        </w:tabs>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p>
    <w:p w14:paraId="54A48D97"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Artículo 143</w:t>
      </w:r>
      <w:r w:rsidRPr="009F30A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9F30A2" w:rsidRDefault="00C877F6" w:rsidP="0059440A">
      <w:pPr>
        <w:spacing w:line="360" w:lineRule="auto"/>
        <w:ind w:left="567" w:right="616"/>
        <w:jc w:val="both"/>
        <w:rPr>
          <w:rFonts w:ascii="Palatino Linotype" w:eastAsia="Palatino Linotype" w:hAnsi="Palatino Linotype" w:cs="Palatino Linotype"/>
          <w:i/>
          <w:sz w:val="22"/>
          <w:szCs w:val="22"/>
        </w:rPr>
      </w:pPr>
    </w:p>
    <w:p w14:paraId="4931F605" w14:textId="12F467C1"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9F30A2">
        <w:rPr>
          <w:rFonts w:ascii="Palatino Linotype" w:eastAsia="Palatino Linotype" w:hAnsi="Palatino Linotype" w:cs="Palatino Linotype"/>
          <w:sz w:val="22"/>
          <w:szCs w:val="22"/>
        </w:rPr>
        <w:t xml:space="preserve"> </w:t>
      </w:r>
    </w:p>
    <w:p w14:paraId="5CCA6D89" w14:textId="77777777" w:rsidR="00E07D75" w:rsidRPr="009F30A2" w:rsidRDefault="00E07D75" w:rsidP="0059440A">
      <w:pPr>
        <w:spacing w:line="360" w:lineRule="auto"/>
        <w:jc w:val="both"/>
        <w:rPr>
          <w:rFonts w:ascii="Palatino Linotype" w:eastAsia="Palatino Linotype" w:hAnsi="Palatino Linotype" w:cs="Palatino Linotype"/>
          <w:sz w:val="22"/>
          <w:szCs w:val="22"/>
        </w:rPr>
      </w:pPr>
    </w:p>
    <w:p w14:paraId="0FAAAF74" w14:textId="68672B75" w:rsidR="00E07D75" w:rsidRPr="009F30A2" w:rsidRDefault="00E07D7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Entre los elementos que se contienen en la información que se ordena entregar, de manera enunciativa más no limitativa, se localizan los siguientes:</w:t>
      </w:r>
    </w:p>
    <w:p w14:paraId="471710CF" w14:textId="77777777" w:rsidR="00E07D75" w:rsidRPr="009F30A2" w:rsidRDefault="00E07D75" w:rsidP="00E07D75">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Respecto del </w:t>
      </w:r>
      <w:r w:rsidRPr="009F30A2">
        <w:rPr>
          <w:rFonts w:ascii="Palatino Linotype" w:eastAsia="Palatino Linotype" w:hAnsi="Palatino Linotype" w:cs="Palatino Linotype"/>
          <w:b/>
          <w:sz w:val="22"/>
          <w:szCs w:val="22"/>
        </w:rPr>
        <w:t>nombre de las personas físicas</w:t>
      </w:r>
      <w:r w:rsidRPr="009F30A2">
        <w:rPr>
          <w:rFonts w:ascii="Palatino Linotype" w:eastAsia="Palatino Linotype" w:hAnsi="Palatino Linotype" w:cs="Palatino Linotype"/>
          <w:sz w:val="22"/>
          <w:szCs w:val="22"/>
        </w:rPr>
        <w:t xml:space="preserve"> o los </w:t>
      </w:r>
      <w:r w:rsidRPr="009F30A2">
        <w:rPr>
          <w:rFonts w:ascii="Palatino Linotype" w:eastAsia="Palatino Linotype" w:hAnsi="Palatino Linotype" w:cs="Palatino Linotype"/>
          <w:b/>
          <w:sz w:val="22"/>
          <w:szCs w:val="22"/>
        </w:rPr>
        <w:t>representantes legales de las personas morales</w:t>
      </w:r>
      <w:r w:rsidRPr="009F30A2">
        <w:rPr>
          <w:rFonts w:ascii="Palatino Linotype" w:eastAsia="Palatino Linotype" w:hAnsi="Palatino Linotype" w:cs="Palatino Linotype"/>
          <w:sz w:val="22"/>
          <w:szCs w:val="22"/>
        </w:rPr>
        <w:t xml:space="preserve">, </w:t>
      </w:r>
      <w:r w:rsidRPr="009F30A2">
        <w:rPr>
          <w:rFonts w:ascii="Palatino Linotype" w:eastAsia="Palatino Linotype" w:hAnsi="Palatino Linotype" w:cs="Palatino Linotype"/>
          <w:b/>
          <w:sz w:val="22"/>
          <w:szCs w:val="22"/>
        </w:rPr>
        <w:t>en su calidad de proveedores, contratistas o prestadores de servicios, y la firma y rúbrica de estos</w:t>
      </w:r>
      <w:r w:rsidRPr="009F30A2">
        <w:rPr>
          <w:rFonts w:ascii="Palatino Linotype" w:eastAsia="Palatino Linotype" w:hAnsi="Palatino Linotype" w:cs="Palatino Linotype"/>
          <w:sz w:val="22"/>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AECC1FE" w14:textId="77777777" w:rsidR="00E07D75" w:rsidRPr="009F30A2" w:rsidRDefault="00E07D75" w:rsidP="00E07D75">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47DB2396" w14:textId="77777777" w:rsidR="00E07D75" w:rsidRPr="009F30A2" w:rsidRDefault="00E07D75" w:rsidP="00E07D75">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3CF10410" w14:textId="77777777" w:rsidR="00E07D75" w:rsidRPr="009F30A2" w:rsidRDefault="00E07D75" w:rsidP="00E07D75">
      <w:pPr>
        <w:pBdr>
          <w:top w:val="nil"/>
          <w:left w:val="nil"/>
          <w:bottom w:val="nil"/>
          <w:right w:val="nil"/>
          <w:between w:val="nil"/>
        </w:pBdr>
        <w:spacing w:line="276" w:lineRule="auto"/>
        <w:ind w:left="851" w:right="902"/>
        <w:jc w:val="both"/>
        <w:rPr>
          <w:rFonts w:ascii="Palatino Linotype" w:eastAsia="Palatino Linotype" w:hAnsi="Palatino Linotype" w:cs="Palatino Linotype"/>
          <w:i/>
          <w:sz w:val="22"/>
          <w:szCs w:val="22"/>
        </w:rPr>
      </w:pPr>
    </w:p>
    <w:p w14:paraId="0535BA19" w14:textId="77777777" w:rsidR="00E07D75" w:rsidRPr="009F30A2" w:rsidRDefault="00E07D75" w:rsidP="00E07D75">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Artículo 23.</w:t>
      </w:r>
      <w:r w:rsidRPr="009F30A2">
        <w:rPr>
          <w:rFonts w:ascii="Palatino Linotype" w:eastAsia="Palatino Linotype" w:hAnsi="Palatino Linotype" w:cs="Palatino Linotype"/>
          <w:i/>
          <w:sz w:val="22"/>
          <w:szCs w:val="22"/>
        </w:rPr>
        <w:t xml:space="preserve"> (…)</w:t>
      </w:r>
    </w:p>
    <w:p w14:paraId="79311437" w14:textId="77777777" w:rsidR="00E07D75" w:rsidRPr="009F30A2" w:rsidRDefault="00E07D75" w:rsidP="00E07D75">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AE17897" w14:textId="77777777" w:rsidR="00E07D75" w:rsidRPr="009F30A2" w:rsidRDefault="00E07D75" w:rsidP="00E07D75">
      <w:pPr>
        <w:pBdr>
          <w:top w:val="nil"/>
          <w:left w:val="nil"/>
          <w:bottom w:val="nil"/>
          <w:right w:val="nil"/>
          <w:between w:val="nil"/>
        </w:pBdr>
        <w:spacing w:line="360" w:lineRule="auto"/>
        <w:ind w:left="851" w:right="902"/>
        <w:jc w:val="both"/>
        <w:rPr>
          <w:rFonts w:ascii="Palatino Linotype" w:eastAsia="Palatino Linotype" w:hAnsi="Palatino Linotype" w:cs="Palatino Linotype"/>
          <w:sz w:val="22"/>
          <w:szCs w:val="22"/>
        </w:rPr>
      </w:pPr>
    </w:p>
    <w:p w14:paraId="66DC275F" w14:textId="77777777" w:rsidR="00E07D75" w:rsidRPr="009F30A2" w:rsidRDefault="00E07D75" w:rsidP="00E07D7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26DF64B8" w14:textId="77777777" w:rsidR="00E07D75" w:rsidRPr="009F30A2" w:rsidRDefault="00E07D75" w:rsidP="00E07D75">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p>
    <w:p w14:paraId="6327AE53" w14:textId="77777777" w:rsidR="00E07D75" w:rsidRPr="009F30A2" w:rsidRDefault="00E07D75" w:rsidP="00E07D75">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i/>
          <w:sz w:val="22"/>
          <w:szCs w:val="22"/>
        </w:rPr>
        <w:t>“Datos de identificación del representante o apoderado legal.</w:t>
      </w:r>
      <w:r w:rsidRPr="009F30A2">
        <w:rPr>
          <w:rFonts w:ascii="Palatino Linotype" w:eastAsia="Palatino Linotype" w:hAnsi="Palatino Linotype" w:cs="Palatino Linotype"/>
          <w:i/>
          <w:sz w:val="22"/>
          <w:szCs w:val="22"/>
        </w:rPr>
        <w:t xml:space="preserve"> </w:t>
      </w:r>
      <w:r w:rsidRPr="009F30A2">
        <w:rPr>
          <w:rFonts w:ascii="Palatino Linotype" w:eastAsia="Palatino Linotype" w:hAnsi="Palatino Linotype" w:cs="Palatino Linotype"/>
          <w:b/>
          <w:i/>
          <w:sz w:val="22"/>
          <w:szCs w:val="22"/>
        </w:rPr>
        <w:t xml:space="preserve">Naturaleza jurídica. El nombre, la </w:t>
      </w:r>
      <w:r w:rsidRPr="009F30A2">
        <w:rPr>
          <w:rFonts w:ascii="Palatino Linotype" w:eastAsia="Palatino Linotype" w:hAnsi="Palatino Linotype" w:cs="Palatino Linotype"/>
          <w:b/>
          <w:i/>
          <w:sz w:val="22"/>
          <w:szCs w:val="22"/>
          <w:u w:val="single"/>
        </w:rPr>
        <w:t>firma y la rúbrica</w:t>
      </w:r>
      <w:r w:rsidRPr="009F30A2">
        <w:rPr>
          <w:rFonts w:ascii="Palatino Linotype" w:eastAsia="Palatino Linotype" w:hAnsi="Palatino Linotype" w:cs="Palatino Linotype"/>
          <w:i/>
          <w:sz w:val="22"/>
          <w:szCs w:val="22"/>
        </w:rPr>
        <w:t xml:space="preserve"> de una persona física, que actúe como representante o apoderado legal de un tercero que haya celebrado un acto jurídico, con algún sujeto obligado, </w:t>
      </w:r>
      <w:r w:rsidRPr="009F30A2">
        <w:rPr>
          <w:rFonts w:ascii="Palatino Linotype" w:eastAsia="Palatino Linotype" w:hAnsi="Palatino Linotype" w:cs="Palatino Linotype"/>
          <w:b/>
          <w:i/>
          <w:sz w:val="22"/>
          <w:szCs w:val="22"/>
          <w:u w:val="single"/>
        </w:rPr>
        <w:t>es información pública</w:t>
      </w:r>
      <w:r w:rsidRPr="009F30A2">
        <w:rPr>
          <w:rFonts w:ascii="Palatino Linotype" w:eastAsia="Palatino Linotype" w:hAnsi="Palatino Linotype" w:cs="Palatino Linotype"/>
          <w:b/>
          <w:i/>
          <w:sz w:val="22"/>
          <w:szCs w:val="22"/>
        </w:rPr>
        <w:t>, en razón de que tales datos fueron proporcionados con el objeto de expresar el consentimiento obligacional del tercero y otorgar validez a dicho instrumento jurídico</w:t>
      </w:r>
      <w:r w:rsidRPr="009F30A2">
        <w:rPr>
          <w:rFonts w:ascii="Palatino Linotype" w:eastAsia="Palatino Linotype" w:hAnsi="Palatino Linotype" w:cs="Palatino Linotype"/>
          <w:i/>
          <w:sz w:val="22"/>
          <w:szCs w:val="22"/>
        </w:rPr>
        <w:t>.”</w:t>
      </w:r>
    </w:p>
    <w:p w14:paraId="04578AEF" w14:textId="77777777" w:rsidR="00E07D75" w:rsidRPr="009F30A2" w:rsidRDefault="00E07D75" w:rsidP="00E07D75">
      <w:pPr>
        <w:spacing w:line="360" w:lineRule="auto"/>
        <w:jc w:val="both"/>
        <w:rPr>
          <w:rFonts w:ascii="Palatino Linotype" w:eastAsia="Palatino Linotype" w:hAnsi="Palatino Linotype" w:cs="Palatino Linotype"/>
          <w:sz w:val="22"/>
          <w:szCs w:val="22"/>
        </w:rPr>
      </w:pPr>
    </w:p>
    <w:p w14:paraId="2D79B211" w14:textId="77777777" w:rsidR="00E07D75" w:rsidRPr="009F30A2" w:rsidRDefault="00E07D75" w:rsidP="00E07D75">
      <w:pPr>
        <w:spacing w:line="360" w:lineRule="auto"/>
        <w:ind w:right="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Sobre el </w:t>
      </w:r>
      <w:r w:rsidRPr="009F30A2">
        <w:rPr>
          <w:rFonts w:ascii="Palatino Linotype" w:eastAsia="Palatino Linotype" w:hAnsi="Palatino Linotype" w:cs="Palatino Linotype"/>
          <w:b/>
          <w:sz w:val="22"/>
          <w:szCs w:val="22"/>
        </w:rPr>
        <w:t>RFC</w:t>
      </w:r>
      <w:r w:rsidRPr="009F30A2">
        <w:rPr>
          <w:rFonts w:ascii="Palatino Linotype" w:eastAsia="Palatino Linotype" w:hAnsi="Palatino Linotype" w:cs="Palatino Linotype"/>
          <w:sz w:val="22"/>
          <w:szCs w:val="22"/>
        </w:rPr>
        <w:t>,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0B0F557" w14:textId="77777777" w:rsidR="00E07D75" w:rsidRPr="009F30A2" w:rsidRDefault="00E07D75" w:rsidP="00E07D75">
      <w:pPr>
        <w:spacing w:line="360" w:lineRule="auto"/>
        <w:ind w:right="50"/>
        <w:jc w:val="both"/>
        <w:rPr>
          <w:rFonts w:ascii="Palatino Linotype" w:eastAsia="Palatino Linotype" w:hAnsi="Palatino Linotype" w:cs="Palatino Linotype"/>
          <w:sz w:val="22"/>
          <w:szCs w:val="22"/>
        </w:rPr>
      </w:pPr>
    </w:p>
    <w:p w14:paraId="0FC0E92B" w14:textId="77777777" w:rsidR="00E07D75" w:rsidRPr="009F30A2" w:rsidRDefault="00E07D75" w:rsidP="00E07D75">
      <w:pPr>
        <w:spacing w:line="360" w:lineRule="auto"/>
        <w:ind w:right="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6BDD2EF" w14:textId="77777777" w:rsidR="00E07D75" w:rsidRPr="009F30A2" w:rsidRDefault="00E07D75" w:rsidP="00E07D75">
      <w:pPr>
        <w:spacing w:line="360" w:lineRule="auto"/>
        <w:ind w:right="50"/>
        <w:jc w:val="both"/>
        <w:rPr>
          <w:rFonts w:ascii="Palatino Linotype" w:eastAsia="Palatino Linotype" w:hAnsi="Palatino Linotype" w:cs="Palatino Linotype"/>
          <w:sz w:val="22"/>
          <w:szCs w:val="22"/>
        </w:rPr>
      </w:pPr>
    </w:p>
    <w:p w14:paraId="6B52237E" w14:textId="77777777" w:rsidR="00E07D75" w:rsidRPr="009F30A2" w:rsidRDefault="00E07D75" w:rsidP="00E07D75">
      <w:pPr>
        <w:spacing w:line="360" w:lineRule="auto"/>
        <w:ind w:right="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49287E9A" w14:textId="77777777" w:rsidR="00E07D75" w:rsidRPr="009F30A2" w:rsidRDefault="00E07D75" w:rsidP="00E07D75">
      <w:pPr>
        <w:spacing w:line="360" w:lineRule="auto"/>
        <w:jc w:val="both"/>
        <w:rPr>
          <w:rFonts w:ascii="Palatino Linotype" w:eastAsia="Palatino Linotype" w:hAnsi="Palatino Linotype" w:cs="Palatino Linotype"/>
          <w:sz w:val="22"/>
          <w:szCs w:val="22"/>
        </w:rPr>
      </w:pPr>
    </w:p>
    <w:p w14:paraId="318DAE17" w14:textId="77777777" w:rsidR="00E07D75" w:rsidRPr="009F30A2" w:rsidRDefault="00E07D75" w:rsidP="00E07D75">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235C8186" w14:textId="77777777" w:rsidR="00E07D75" w:rsidRPr="009F30A2" w:rsidRDefault="00E07D75" w:rsidP="00E07D75">
      <w:pPr>
        <w:spacing w:line="360" w:lineRule="auto"/>
        <w:ind w:right="50"/>
        <w:jc w:val="both"/>
        <w:rPr>
          <w:rFonts w:ascii="Palatino Linotype" w:eastAsia="Palatino Linotype" w:hAnsi="Palatino Linotype" w:cs="Palatino Linotype"/>
          <w:sz w:val="22"/>
          <w:szCs w:val="22"/>
        </w:rPr>
      </w:pPr>
    </w:p>
    <w:p w14:paraId="2EE1AB00" w14:textId="77777777" w:rsidR="00E07D75" w:rsidRPr="009F30A2" w:rsidRDefault="00E07D75" w:rsidP="00E07D75">
      <w:pPr>
        <w:spacing w:line="360" w:lineRule="auto"/>
        <w:ind w:right="51"/>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269F71E" w14:textId="77777777" w:rsidR="00E07D75" w:rsidRPr="009F30A2" w:rsidRDefault="00E07D75" w:rsidP="00E07D75">
      <w:pPr>
        <w:spacing w:line="360" w:lineRule="auto"/>
        <w:ind w:right="51"/>
        <w:jc w:val="both"/>
        <w:rPr>
          <w:rFonts w:ascii="Palatino Linotype" w:eastAsia="Palatino Linotype" w:hAnsi="Palatino Linotype" w:cs="Palatino Linotype"/>
          <w:sz w:val="22"/>
          <w:szCs w:val="22"/>
        </w:rPr>
      </w:pPr>
    </w:p>
    <w:p w14:paraId="563A04C0" w14:textId="77777777" w:rsidR="00E07D75" w:rsidRPr="009F30A2" w:rsidRDefault="00E07D75" w:rsidP="00E07D75">
      <w:pPr>
        <w:spacing w:line="360" w:lineRule="auto"/>
        <w:ind w:right="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Lo anterior encuentra sustento en el criterio orientador 10/17 emitido por el entonces Instituto Nacional de Transparencia y Acceso a la Información Pública del Estado de México y Municipios, que a la letra dicen:</w:t>
      </w:r>
    </w:p>
    <w:p w14:paraId="0AD52533" w14:textId="77777777" w:rsidR="00E07D75" w:rsidRPr="009F30A2" w:rsidRDefault="00E07D75" w:rsidP="00E07D75">
      <w:pPr>
        <w:spacing w:line="276" w:lineRule="auto"/>
        <w:ind w:left="851" w:right="1134"/>
        <w:jc w:val="both"/>
        <w:rPr>
          <w:rFonts w:ascii="Palatino Linotype" w:eastAsia="Palatino Linotype" w:hAnsi="Palatino Linotype" w:cs="Palatino Linotype"/>
          <w:b/>
          <w:i/>
          <w:sz w:val="22"/>
          <w:szCs w:val="22"/>
        </w:rPr>
      </w:pPr>
    </w:p>
    <w:p w14:paraId="2E00DB23" w14:textId="77777777" w:rsidR="00E07D75" w:rsidRPr="009F30A2" w:rsidRDefault="00E07D75" w:rsidP="00E07D75">
      <w:pPr>
        <w:spacing w:line="276" w:lineRule="auto"/>
        <w:ind w:left="851"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“Cuentas bancarias y/o CLABE interbancaria de personas físicas y morales privadas.</w:t>
      </w:r>
      <w:r w:rsidRPr="009F30A2">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1E39DBC" w14:textId="77777777" w:rsidR="00E07D75" w:rsidRPr="009F30A2" w:rsidRDefault="00E07D75" w:rsidP="00E07D75">
      <w:pPr>
        <w:ind w:left="851" w:right="899"/>
        <w:jc w:val="both"/>
        <w:rPr>
          <w:rFonts w:ascii="Palatino Linotype" w:eastAsia="Palatino Linotype" w:hAnsi="Palatino Linotype" w:cs="Palatino Linotype"/>
          <w:sz w:val="22"/>
          <w:szCs w:val="22"/>
        </w:rPr>
      </w:pPr>
    </w:p>
    <w:p w14:paraId="44273533" w14:textId="77777777" w:rsidR="00E07D75" w:rsidRPr="009F30A2" w:rsidRDefault="00E07D75" w:rsidP="00E07D75">
      <w:pPr>
        <w:spacing w:line="360" w:lineRule="auto"/>
        <w:ind w:right="50"/>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Ahora bien, por cuanto hace a las cuentas bancarias de los Sujetos obligados, dicha información no puede considerarse como confidencial, pues la difusión de dichas cuentas o claves interbancarias, favorecen a la rendición de cuentas; ello tiene sustento en el criterio orientador 11/17, emitido por el entonces Instituto Nacional de Transparencia y Acceso a la Información Pública del Estado de México y Municipios, el cual para mayor referencia se inserta a continuación:</w:t>
      </w:r>
    </w:p>
    <w:p w14:paraId="2F30C1C4" w14:textId="77777777" w:rsidR="00E07D75" w:rsidRPr="009F30A2" w:rsidRDefault="00E07D75" w:rsidP="00E07D75">
      <w:pPr>
        <w:spacing w:line="360" w:lineRule="auto"/>
        <w:ind w:right="50"/>
        <w:jc w:val="both"/>
        <w:rPr>
          <w:rFonts w:ascii="Palatino Linotype" w:eastAsia="Palatino Linotype" w:hAnsi="Palatino Linotype" w:cs="Palatino Linotype"/>
          <w:sz w:val="22"/>
          <w:szCs w:val="22"/>
        </w:rPr>
      </w:pPr>
    </w:p>
    <w:p w14:paraId="33497DCB" w14:textId="471339A5" w:rsidR="00E07D75" w:rsidRPr="009F30A2" w:rsidRDefault="00E07D75" w:rsidP="00E07D75">
      <w:pPr>
        <w:spacing w:line="276" w:lineRule="auto"/>
        <w:ind w:left="851"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9F30A2">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07CF7DCA" w14:textId="77777777" w:rsidR="000140E9" w:rsidRPr="009F30A2" w:rsidRDefault="000140E9" w:rsidP="0059440A">
      <w:pPr>
        <w:spacing w:line="360" w:lineRule="auto"/>
        <w:jc w:val="both"/>
        <w:rPr>
          <w:rFonts w:ascii="Palatino Linotype" w:eastAsia="Palatino Linotype" w:hAnsi="Palatino Linotype" w:cs="Palatino Linotype"/>
          <w:sz w:val="22"/>
          <w:szCs w:val="22"/>
        </w:rPr>
      </w:pPr>
    </w:p>
    <w:p w14:paraId="57180B8D"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579515E6"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 “</w:t>
      </w:r>
      <w:r w:rsidRPr="009F30A2">
        <w:rPr>
          <w:rFonts w:ascii="Palatino Linotype" w:eastAsia="Palatino Linotype" w:hAnsi="Palatino Linotype" w:cs="Palatino Linotype"/>
          <w:b/>
          <w:i/>
          <w:sz w:val="22"/>
          <w:szCs w:val="22"/>
        </w:rPr>
        <w:t>Quincuagésimo</w:t>
      </w:r>
      <w:r w:rsidRPr="009F30A2">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Quincuagésimo primero.</w:t>
      </w:r>
      <w:r w:rsidRPr="009F30A2">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 El número de sesión y fecha; </w:t>
      </w:r>
    </w:p>
    <w:p w14:paraId="241B2257"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IV. La resolución o resoluciones aprobadas; y </w:t>
      </w:r>
    </w:p>
    <w:p w14:paraId="682C4065"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Quincuagésimo segundo.</w:t>
      </w:r>
      <w:r w:rsidRPr="009F30A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1F19E5B0"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9F30A2" w:rsidRDefault="00C877F6" w:rsidP="0059440A">
      <w:pPr>
        <w:spacing w:line="360" w:lineRule="auto"/>
        <w:jc w:val="both"/>
        <w:rPr>
          <w:rFonts w:ascii="Palatino Linotype" w:eastAsia="Palatino Linotype" w:hAnsi="Palatino Linotype" w:cs="Palatino Linotype"/>
          <w:sz w:val="22"/>
          <w:szCs w:val="22"/>
        </w:rPr>
      </w:pPr>
    </w:p>
    <w:p w14:paraId="2A63BE39" w14:textId="77777777" w:rsidR="00C877F6" w:rsidRPr="009F30A2"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r w:rsidRPr="009F30A2">
        <w:rPr>
          <w:rFonts w:ascii="Palatino Linotype" w:eastAsia="Palatino Linotype" w:hAnsi="Palatino Linotype" w:cs="Palatino Linotype"/>
          <w:b/>
          <w:i/>
          <w:sz w:val="22"/>
          <w:szCs w:val="22"/>
        </w:rPr>
        <w:t>Quincuagésimo cuarto.</w:t>
      </w:r>
      <w:r w:rsidRPr="009F30A2">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Quincuagésimo quinto.</w:t>
      </w:r>
      <w:r w:rsidRPr="009F30A2">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w:t>
      </w:r>
    </w:p>
    <w:p w14:paraId="09D096A7"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b/>
          <w:i/>
          <w:sz w:val="22"/>
          <w:szCs w:val="22"/>
        </w:rPr>
        <w:t>Quincuagésimo séptimo.</w:t>
      </w:r>
      <w:r w:rsidRPr="009F30A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9F30A2" w:rsidRDefault="00F36565" w:rsidP="0059440A">
      <w:pPr>
        <w:spacing w:line="360" w:lineRule="auto"/>
        <w:ind w:left="567" w:right="616"/>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9F30A2" w:rsidRDefault="00C877F6" w:rsidP="0059440A">
      <w:pPr>
        <w:spacing w:line="360" w:lineRule="auto"/>
        <w:ind w:left="567" w:right="616"/>
        <w:jc w:val="both"/>
        <w:rPr>
          <w:rFonts w:ascii="Palatino Linotype" w:eastAsia="Palatino Linotype" w:hAnsi="Palatino Linotype" w:cs="Palatino Linotype"/>
          <w:i/>
          <w:sz w:val="22"/>
          <w:szCs w:val="22"/>
        </w:rPr>
      </w:pPr>
    </w:p>
    <w:p w14:paraId="74FEDE34" w14:textId="100CA6A3" w:rsidR="00530DF2" w:rsidRPr="009F30A2" w:rsidRDefault="00F36565" w:rsidP="0059440A">
      <w:pPr>
        <w:spacing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9F30A2" w:rsidRDefault="00F36565" w:rsidP="0059440A">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9F30A2" w:rsidRDefault="00F36565" w:rsidP="0059440A">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R E S U E L V E:</w:t>
      </w:r>
    </w:p>
    <w:p w14:paraId="6EF9BB33" w14:textId="2743FC13" w:rsidR="00C877F6" w:rsidRPr="009F30A2" w:rsidRDefault="00F36565" w:rsidP="0059440A">
      <w:pPr>
        <w:spacing w:before="240" w:after="240" w:line="360" w:lineRule="auto"/>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 xml:space="preserve">Primero. </w:t>
      </w:r>
      <w:r w:rsidRPr="009F30A2">
        <w:rPr>
          <w:rFonts w:ascii="Palatino Linotype" w:eastAsia="Palatino Linotype" w:hAnsi="Palatino Linotype" w:cs="Palatino Linotype"/>
          <w:sz w:val="22"/>
          <w:szCs w:val="22"/>
        </w:rPr>
        <w:t>Resultan</w:t>
      </w:r>
      <w:r w:rsidRPr="009F30A2">
        <w:rPr>
          <w:rFonts w:ascii="Palatino Linotype" w:eastAsia="Palatino Linotype" w:hAnsi="Palatino Linotype" w:cs="Palatino Linotype"/>
          <w:b/>
          <w:sz w:val="22"/>
          <w:szCs w:val="22"/>
        </w:rPr>
        <w:t xml:space="preserve"> parcialmente fundados </w:t>
      </w:r>
      <w:r w:rsidRPr="009F30A2">
        <w:rPr>
          <w:rFonts w:ascii="Palatino Linotype" w:eastAsia="Palatino Linotype" w:hAnsi="Palatino Linotype" w:cs="Palatino Linotype"/>
          <w:sz w:val="22"/>
          <w:szCs w:val="22"/>
        </w:rPr>
        <w:t xml:space="preserve">los motivos de inconformidad hechos valer por </w:t>
      </w:r>
      <w:r w:rsidRPr="009F30A2">
        <w:rPr>
          <w:rFonts w:ascii="Palatino Linotype" w:eastAsia="Palatino Linotype" w:hAnsi="Palatino Linotype" w:cs="Palatino Linotype"/>
          <w:b/>
          <w:sz w:val="22"/>
          <w:szCs w:val="22"/>
        </w:rPr>
        <w:t>la parte Recurrente</w:t>
      </w:r>
      <w:r w:rsidRPr="009F30A2">
        <w:rPr>
          <w:rFonts w:ascii="Palatino Linotype" w:eastAsia="Palatino Linotype" w:hAnsi="Palatino Linotype" w:cs="Palatino Linotype"/>
          <w:sz w:val="22"/>
          <w:szCs w:val="22"/>
        </w:rPr>
        <w:t xml:space="preserve"> en el Recurso de Revisión</w:t>
      </w:r>
      <w:r w:rsidRPr="009F30A2">
        <w:rPr>
          <w:rFonts w:ascii="Palatino Linotype" w:eastAsia="Palatino Linotype" w:hAnsi="Palatino Linotype" w:cs="Palatino Linotype"/>
          <w:b/>
          <w:sz w:val="22"/>
          <w:szCs w:val="22"/>
        </w:rPr>
        <w:t xml:space="preserve"> </w:t>
      </w:r>
      <w:r w:rsidR="003C22F4" w:rsidRPr="009F30A2">
        <w:rPr>
          <w:rFonts w:ascii="Palatino Linotype" w:eastAsia="Palatino Linotype" w:hAnsi="Palatino Linotype" w:cs="Palatino Linotype"/>
          <w:b/>
          <w:sz w:val="22"/>
          <w:szCs w:val="22"/>
        </w:rPr>
        <w:t>10319/INFOEM/IP/RR/2025</w:t>
      </w:r>
      <w:r w:rsidRPr="009F30A2">
        <w:rPr>
          <w:rFonts w:ascii="Palatino Linotype" w:eastAsia="Palatino Linotype" w:hAnsi="Palatino Linotype" w:cs="Palatino Linotype"/>
          <w:b/>
          <w:sz w:val="22"/>
          <w:szCs w:val="22"/>
        </w:rPr>
        <w:t xml:space="preserve">, </w:t>
      </w:r>
      <w:r w:rsidRPr="009F30A2">
        <w:rPr>
          <w:rFonts w:ascii="Palatino Linotype" w:eastAsia="Palatino Linotype" w:hAnsi="Palatino Linotype" w:cs="Palatino Linotype"/>
          <w:sz w:val="22"/>
          <w:szCs w:val="22"/>
        </w:rPr>
        <w:t>por lo que</w:t>
      </w:r>
      <w:r w:rsidRPr="009F30A2">
        <w:rPr>
          <w:rFonts w:ascii="Palatino Linotype" w:eastAsia="Palatino Linotype" w:hAnsi="Palatino Linotype" w:cs="Palatino Linotype"/>
          <w:b/>
          <w:sz w:val="22"/>
          <w:szCs w:val="22"/>
        </w:rPr>
        <w:t xml:space="preserve">, en términos del Considerando Cuarto </w:t>
      </w:r>
      <w:r w:rsidRPr="009F30A2">
        <w:rPr>
          <w:rFonts w:ascii="Palatino Linotype" w:eastAsia="Palatino Linotype" w:hAnsi="Palatino Linotype" w:cs="Palatino Linotype"/>
          <w:sz w:val="22"/>
          <w:szCs w:val="22"/>
        </w:rPr>
        <w:t>de la presente resolución</w:t>
      </w:r>
      <w:r w:rsidRPr="009F30A2">
        <w:rPr>
          <w:rFonts w:ascii="Palatino Linotype" w:eastAsia="Palatino Linotype" w:hAnsi="Palatino Linotype" w:cs="Palatino Linotype"/>
          <w:b/>
          <w:sz w:val="22"/>
          <w:szCs w:val="22"/>
        </w:rPr>
        <w:t xml:space="preserve">, se </w:t>
      </w:r>
      <w:r w:rsidR="003C22A3" w:rsidRPr="009F30A2">
        <w:rPr>
          <w:rFonts w:ascii="Palatino Linotype" w:eastAsia="Palatino Linotype" w:hAnsi="Palatino Linotype" w:cs="Palatino Linotype"/>
          <w:b/>
          <w:sz w:val="22"/>
          <w:szCs w:val="22"/>
        </w:rPr>
        <w:t xml:space="preserve">MODIFICA </w:t>
      </w:r>
      <w:r w:rsidRPr="009F30A2">
        <w:rPr>
          <w:rFonts w:ascii="Palatino Linotype" w:eastAsia="Palatino Linotype" w:hAnsi="Palatino Linotype" w:cs="Palatino Linotype"/>
          <w:b/>
          <w:sz w:val="22"/>
          <w:szCs w:val="22"/>
        </w:rPr>
        <w:t>l</w:t>
      </w:r>
      <w:r w:rsidRPr="009F30A2">
        <w:rPr>
          <w:rFonts w:ascii="Palatino Linotype" w:eastAsia="Palatino Linotype" w:hAnsi="Palatino Linotype" w:cs="Palatino Linotype"/>
          <w:sz w:val="22"/>
          <w:szCs w:val="22"/>
        </w:rPr>
        <w:t>a respuesta del</w:t>
      </w:r>
      <w:r w:rsidRPr="009F30A2">
        <w:rPr>
          <w:rFonts w:ascii="Palatino Linotype" w:eastAsia="Palatino Linotype" w:hAnsi="Palatino Linotype" w:cs="Palatino Linotype"/>
          <w:b/>
          <w:sz w:val="22"/>
          <w:szCs w:val="22"/>
        </w:rPr>
        <w:t xml:space="preserve"> Sujeto Obligado.</w:t>
      </w:r>
    </w:p>
    <w:p w14:paraId="7D8F81E5" w14:textId="62C5F4DD" w:rsidR="00C877F6" w:rsidRPr="009F30A2" w:rsidRDefault="00F36565" w:rsidP="0059440A">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9F30A2">
        <w:rPr>
          <w:rFonts w:ascii="Palatino Linotype" w:eastAsia="Palatino Linotype" w:hAnsi="Palatino Linotype" w:cs="Palatino Linotype"/>
          <w:b/>
          <w:sz w:val="22"/>
          <w:szCs w:val="22"/>
        </w:rPr>
        <w:t xml:space="preserve">Segundo. Se Ordena al Sujeto Obligado </w:t>
      </w:r>
      <w:r w:rsidRPr="009F30A2">
        <w:rPr>
          <w:rFonts w:ascii="Palatino Linotype" w:eastAsia="Palatino Linotype" w:hAnsi="Palatino Linotype" w:cs="Palatino Linotype"/>
          <w:sz w:val="22"/>
          <w:szCs w:val="22"/>
        </w:rPr>
        <w:t>que en términos de los</w:t>
      </w:r>
      <w:r w:rsidRPr="009F30A2">
        <w:rPr>
          <w:rFonts w:ascii="Palatino Linotype" w:eastAsia="Palatino Linotype" w:hAnsi="Palatino Linotype" w:cs="Palatino Linotype"/>
          <w:b/>
          <w:sz w:val="22"/>
          <w:szCs w:val="22"/>
        </w:rPr>
        <w:t xml:space="preserve"> Considerandos Cuarto y Quinto </w:t>
      </w:r>
      <w:r w:rsidRPr="009F30A2">
        <w:rPr>
          <w:rFonts w:ascii="Palatino Linotype" w:eastAsia="Palatino Linotype" w:hAnsi="Palatino Linotype" w:cs="Palatino Linotype"/>
          <w:sz w:val="22"/>
          <w:szCs w:val="22"/>
        </w:rPr>
        <w:t xml:space="preserve">de esta resolución, haga entrega a </w:t>
      </w:r>
      <w:r w:rsidRPr="009F30A2">
        <w:rPr>
          <w:rFonts w:ascii="Palatino Linotype" w:eastAsia="Palatino Linotype" w:hAnsi="Palatino Linotype" w:cs="Palatino Linotype"/>
          <w:b/>
          <w:sz w:val="22"/>
          <w:szCs w:val="22"/>
        </w:rPr>
        <w:t>la parte Recurrente a través del SAIMEX,</w:t>
      </w:r>
      <w:r w:rsidR="00094655" w:rsidRPr="009F30A2">
        <w:rPr>
          <w:rFonts w:ascii="Palatino Linotype" w:eastAsia="Palatino Linotype" w:hAnsi="Palatino Linotype" w:cs="Palatino Linotype"/>
          <w:b/>
          <w:sz w:val="22"/>
          <w:szCs w:val="22"/>
        </w:rPr>
        <w:t xml:space="preserve"> de ser el caso en versión pública, </w:t>
      </w:r>
      <w:r w:rsidRPr="009F30A2">
        <w:rPr>
          <w:rFonts w:ascii="Palatino Linotype" w:eastAsia="Palatino Linotype" w:hAnsi="Palatino Linotype" w:cs="Palatino Linotype"/>
          <w:sz w:val="22"/>
          <w:szCs w:val="22"/>
        </w:rPr>
        <w:t>la siguiente información:</w:t>
      </w:r>
    </w:p>
    <w:p w14:paraId="42CCBB96" w14:textId="6F5DAA83" w:rsidR="00001ABE" w:rsidRPr="009F30A2" w:rsidRDefault="00001ABE" w:rsidP="0059440A">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9F30A2">
        <w:rPr>
          <w:rFonts w:ascii="Palatino Linotype" w:eastAsia="Palatino Linotype" w:hAnsi="Palatino Linotype" w:cs="Palatino Linotype"/>
          <w:b/>
          <w:sz w:val="22"/>
          <w:szCs w:val="22"/>
        </w:rPr>
        <w:t xml:space="preserve">Contratos de obra pública celebrados del uno de enero al quince de julio de dos mil veinticinco, así como el catálogo de </w:t>
      </w:r>
      <w:r w:rsidR="008A0A8D" w:rsidRPr="009F30A2">
        <w:rPr>
          <w:rFonts w:ascii="Palatino Linotype" w:eastAsia="Palatino Linotype" w:hAnsi="Palatino Linotype" w:cs="Palatino Linotype"/>
          <w:b/>
          <w:sz w:val="22"/>
          <w:szCs w:val="22"/>
        </w:rPr>
        <w:t xml:space="preserve">conceptos con </w:t>
      </w:r>
      <w:r w:rsidRPr="009F30A2">
        <w:rPr>
          <w:rFonts w:ascii="Palatino Linotype" w:eastAsia="Palatino Linotype" w:hAnsi="Palatino Linotype" w:cs="Palatino Linotype"/>
          <w:b/>
          <w:sz w:val="22"/>
          <w:szCs w:val="22"/>
        </w:rPr>
        <w:t>precios unitarios</w:t>
      </w:r>
      <w:r w:rsidR="0045521E" w:rsidRPr="009F30A2">
        <w:rPr>
          <w:rFonts w:ascii="Palatino Linotype" w:eastAsia="Palatino Linotype" w:hAnsi="Palatino Linotype" w:cs="Palatino Linotype"/>
          <w:b/>
          <w:sz w:val="22"/>
          <w:szCs w:val="22"/>
        </w:rPr>
        <w:t xml:space="preserve"> o autorización de precios unitarios</w:t>
      </w:r>
      <w:r w:rsidRPr="009F30A2">
        <w:rPr>
          <w:rFonts w:ascii="Palatino Linotype" w:eastAsia="Palatino Linotype" w:hAnsi="Palatino Linotype" w:cs="Palatino Linotype"/>
          <w:b/>
          <w:sz w:val="22"/>
          <w:szCs w:val="22"/>
        </w:rPr>
        <w:t>.</w:t>
      </w:r>
    </w:p>
    <w:p w14:paraId="015BDC53" w14:textId="77777777" w:rsidR="003C22A3" w:rsidRPr="009F30A2" w:rsidRDefault="003C22A3" w:rsidP="0059440A">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695350F0" w14:textId="79B3CA11" w:rsidR="00D5108C" w:rsidRPr="009F30A2" w:rsidRDefault="00F36565" w:rsidP="0059440A">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9F30A2">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9F30A2" w:rsidRDefault="00F36565" w:rsidP="0059440A">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 xml:space="preserve">Tercero.  Notifíquese vía SAIMEX, </w:t>
      </w:r>
      <w:r w:rsidRPr="009F30A2">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9F30A2" w:rsidRDefault="00F36565" w:rsidP="0059440A">
      <w:pPr>
        <w:spacing w:before="240" w:after="240" w:line="360" w:lineRule="auto"/>
        <w:jc w:val="both"/>
        <w:rPr>
          <w:rFonts w:ascii="Palatino Linotype" w:eastAsia="Palatino Linotype" w:hAnsi="Palatino Linotype" w:cs="Palatino Linotype"/>
          <w:sz w:val="22"/>
          <w:szCs w:val="22"/>
        </w:rPr>
      </w:pPr>
      <w:r w:rsidRPr="009F30A2">
        <w:rPr>
          <w:rFonts w:ascii="Palatino Linotype" w:eastAsia="Palatino Linotype" w:hAnsi="Palatino Linotype" w:cs="Palatino Linotype"/>
          <w:b/>
          <w:sz w:val="22"/>
          <w:szCs w:val="22"/>
        </w:rPr>
        <w:t xml:space="preserve">Cuarto. </w:t>
      </w:r>
      <w:r w:rsidRPr="009F30A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9F30A2">
        <w:rPr>
          <w:rFonts w:ascii="Palatino Linotype" w:eastAsia="Palatino Linotype" w:hAnsi="Palatino Linotype" w:cs="Palatino Linotype"/>
          <w:b/>
          <w:sz w:val="22"/>
          <w:szCs w:val="22"/>
        </w:rPr>
        <w:t>Sujeto Obligado</w:t>
      </w:r>
      <w:r w:rsidRPr="009F30A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9F30A2" w:rsidRDefault="00F36565" w:rsidP="0059440A">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9F30A2">
        <w:rPr>
          <w:rFonts w:ascii="Palatino Linotype" w:eastAsia="Palatino Linotype" w:hAnsi="Palatino Linotype" w:cs="Palatino Linotype"/>
          <w:b/>
          <w:sz w:val="22"/>
          <w:szCs w:val="22"/>
        </w:rPr>
        <w:t xml:space="preserve">Quinto. Notifíquese vía SAIMEX, </w:t>
      </w:r>
      <w:r w:rsidRPr="009F30A2">
        <w:rPr>
          <w:rFonts w:ascii="Palatino Linotype" w:eastAsia="Palatino Linotype" w:hAnsi="Palatino Linotype" w:cs="Palatino Linotype"/>
          <w:sz w:val="22"/>
          <w:szCs w:val="22"/>
        </w:rPr>
        <w:t>a</w:t>
      </w:r>
      <w:r w:rsidRPr="009F30A2">
        <w:rPr>
          <w:rFonts w:ascii="Palatino Linotype" w:eastAsia="Palatino Linotype" w:hAnsi="Palatino Linotype" w:cs="Palatino Linotype"/>
          <w:b/>
          <w:sz w:val="22"/>
          <w:szCs w:val="22"/>
        </w:rPr>
        <w:t xml:space="preserve"> la parte Recurrente</w:t>
      </w:r>
      <w:r w:rsidRPr="009F30A2">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9F30A2" w:rsidRDefault="00C877F6" w:rsidP="0059440A">
      <w:pPr>
        <w:spacing w:line="360" w:lineRule="auto"/>
        <w:jc w:val="both"/>
        <w:rPr>
          <w:rFonts w:ascii="Palatino Linotype" w:eastAsia="Palatino Linotype" w:hAnsi="Palatino Linotype" w:cs="Palatino Linotype"/>
          <w:b/>
          <w:sz w:val="22"/>
          <w:szCs w:val="22"/>
        </w:rPr>
      </w:pPr>
    </w:p>
    <w:p w14:paraId="124DF890" w14:textId="08BFF35E" w:rsidR="00C877F6" w:rsidRPr="000B52A1" w:rsidRDefault="00F36565" w:rsidP="0059440A">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9F30A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1244B6" w:rsidRPr="009F30A2">
        <w:rPr>
          <w:rFonts w:ascii="Palatino Linotype" w:eastAsia="Palatino Linotype" w:hAnsi="Palatino Linotype" w:cs="Palatino Linotype"/>
          <w:sz w:val="22"/>
          <w:szCs w:val="22"/>
        </w:rPr>
        <w:t xml:space="preserve"> </w:t>
      </w:r>
      <w:r w:rsidR="004F6B10" w:rsidRPr="009F30A2">
        <w:rPr>
          <w:rFonts w:ascii="Palatino Linotype" w:eastAsia="Palatino Linotype" w:hAnsi="Palatino Linotype" w:cs="Palatino Linotype"/>
          <w:sz w:val="22"/>
          <w:szCs w:val="22"/>
        </w:rPr>
        <w:t>CUARTA</w:t>
      </w:r>
      <w:r w:rsidRPr="009F30A2">
        <w:rPr>
          <w:rFonts w:ascii="Palatino Linotype" w:eastAsia="Palatino Linotype" w:hAnsi="Palatino Linotype" w:cs="Palatino Linotype"/>
          <w:sz w:val="22"/>
          <w:szCs w:val="22"/>
        </w:rPr>
        <w:t xml:space="preserve"> S</w:t>
      </w:r>
      <w:r w:rsidR="001244B6" w:rsidRPr="009F30A2">
        <w:rPr>
          <w:rFonts w:ascii="Palatino Linotype" w:eastAsia="Palatino Linotype" w:hAnsi="Palatino Linotype" w:cs="Palatino Linotype"/>
          <w:sz w:val="22"/>
          <w:szCs w:val="22"/>
        </w:rPr>
        <w:t xml:space="preserve">ESIÓN ORDINARIA CELEBRADA EL </w:t>
      </w:r>
      <w:r w:rsidR="004F6B10" w:rsidRPr="009F30A2">
        <w:rPr>
          <w:rFonts w:ascii="Palatino Linotype" w:eastAsia="Palatino Linotype" w:hAnsi="Palatino Linotype" w:cs="Palatino Linotype"/>
          <w:sz w:val="22"/>
          <w:szCs w:val="22"/>
        </w:rPr>
        <w:t xml:space="preserve">DIEZ </w:t>
      </w:r>
      <w:r w:rsidRPr="009F30A2">
        <w:rPr>
          <w:rFonts w:ascii="Palatino Linotype" w:eastAsia="Palatino Linotype" w:hAnsi="Palatino Linotype" w:cs="Palatino Linotype"/>
          <w:sz w:val="22"/>
          <w:szCs w:val="22"/>
        </w:rPr>
        <w:t xml:space="preserve">DE </w:t>
      </w:r>
      <w:r w:rsidR="001244B6" w:rsidRPr="009F30A2">
        <w:rPr>
          <w:rFonts w:ascii="Palatino Linotype" w:eastAsia="Palatino Linotype" w:hAnsi="Palatino Linotype" w:cs="Palatino Linotype"/>
          <w:sz w:val="22"/>
          <w:szCs w:val="22"/>
        </w:rPr>
        <w:t>DICIEMBRE</w:t>
      </w:r>
      <w:r w:rsidRPr="009F30A2">
        <w:rPr>
          <w:rFonts w:ascii="Palatino Linotype" w:eastAsia="Palatino Linotype" w:hAnsi="Palatino Linotype" w:cs="Palatino Linotype"/>
          <w:sz w:val="22"/>
          <w:szCs w:val="22"/>
        </w:rPr>
        <w:t xml:space="preserve"> DE DOS MIL VEINTICINCO, ANTE EL SECRETARIO TÉCNICO DEL PLENO ALEXIS TAPIA RAMÍREZ.</w:t>
      </w:r>
    </w:p>
    <w:p w14:paraId="54455659" w14:textId="77777777" w:rsidR="00C877F6" w:rsidRPr="000B52A1" w:rsidRDefault="00C877F6" w:rsidP="0059440A">
      <w:pPr>
        <w:spacing w:line="360" w:lineRule="auto"/>
        <w:ind w:right="-93"/>
        <w:jc w:val="both"/>
        <w:rPr>
          <w:rFonts w:ascii="Palatino Linotype" w:eastAsia="Palatino Linotype" w:hAnsi="Palatino Linotype" w:cs="Palatino Linotype"/>
          <w:sz w:val="22"/>
          <w:szCs w:val="22"/>
        </w:rPr>
      </w:pPr>
    </w:p>
    <w:p w14:paraId="030E6A5B" w14:textId="77777777" w:rsidR="00C877F6" w:rsidRPr="000B52A1" w:rsidRDefault="00C877F6" w:rsidP="0059440A">
      <w:pPr>
        <w:spacing w:line="360" w:lineRule="auto"/>
        <w:ind w:right="-93"/>
        <w:jc w:val="both"/>
        <w:rPr>
          <w:rFonts w:ascii="Palatino Linotype" w:eastAsia="Palatino Linotype" w:hAnsi="Palatino Linotype" w:cs="Palatino Linotype"/>
          <w:sz w:val="22"/>
          <w:szCs w:val="22"/>
        </w:rPr>
      </w:pPr>
    </w:p>
    <w:p w14:paraId="5B12C640" w14:textId="77777777" w:rsidR="00C877F6" w:rsidRPr="000B52A1" w:rsidRDefault="00C877F6" w:rsidP="0059440A">
      <w:pPr>
        <w:spacing w:line="360" w:lineRule="auto"/>
        <w:ind w:right="-93"/>
        <w:jc w:val="both"/>
        <w:rPr>
          <w:rFonts w:ascii="Palatino Linotype" w:eastAsia="Palatino Linotype" w:hAnsi="Palatino Linotype" w:cs="Palatino Linotype"/>
          <w:sz w:val="22"/>
          <w:szCs w:val="22"/>
        </w:rPr>
      </w:pPr>
    </w:p>
    <w:p w14:paraId="7A4C70FF" w14:textId="77777777" w:rsidR="00C877F6" w:rsidRPr="000B52A1" w:rsidRDefault="00C877F6" w:rsidP="0059440A">
      <w:pPr>
        <w:spacing w:line="360" w:lineRule="auto"/>
        <w:ind w:right="-93"/>
        <w:jc w:val="both"/>
        <w:rPr>
          <w:rFonts w:ascii="Palatino Linotype" w:eastAsia="Palatino Linotype" w:hAnsi="Palatino Linotype" w:cs="Palatino Linotype"/>
          <w:sz w:val="22"/>
          <w:szCs w:val="22"/>
        </w:rPr>
      </w:pPr>
    </w:p>
    <w:p w14:paraId="6197DF1F" w14:textId="77777777" w:rsidR="00C877F6" w:rsidRPr="000B52A1" w:rsidRDefault="00C877F6" w:rsidP="0059440A">
      <w:pPr>
        <w:spacing w:line="360" w:lineRule="auto"/>
        <w:ind w:right="-93"/>
        <w:jc w:val="both"/>
        <w:rPr>
          <w:rFonts w:ascii="Palatino Linotype" w:eastAsia="Palatino Linotype" w:hAnsi="Palatino Linotype" w:cs="Palatino Linotype"/>
          <w:sz w:val="22"/>
          <w:szCs w:val="22"/>
        </w:rPr>
      </w:pPr>
    </w:p>
    <w:p w14:paraId="1A57851A" w14:textId="4DB9DD2E" w:rsidR="00C877F6" w:rsidRPr="000B52A1" w:rsidRDefault="00C877F6" w:rsidP="0059440A">
      <w:pPr>
        <w:spacing w:line="360" w:lineRule="auto"/>
        <w:ind w:right="49"/>
        <w:jc w:val="both"/>
        <w:rPr>
          <w:rFonts w:ascii="Palatino Linotype" w:eastAsia="Palatino Linotype" w:hAnsi="Palatino Linotype" w:cs="Palatino Linotype"/>
          <w:sz w:val="22"/>
          <w:szCs w:val="22"/>
        </w:rPr>
      </w:pPr>
    </w:p>
    <w:p w14:paraId="6E671389" w14:textId="03656935" w:rsidR="000B52A1" w:rsidRPr="000B52A1" w:rsidRDefault="000B52A1" w:rsidP="0059440A">
      <w:pPr>
        <w:spacing w:line="360" w:lineRule="auto"/>
        <w:ind w:right="49"/>
        <w:jc w:val="both"/>
        <w:rPr>
          <w:rFonts w:ascii="Palatino Linotype" w:eastAsia="Palatino Linotype" w:hAnsi="Palatino Linotype" w:cs="Palatino Linotype"/>
          <w:sz w:val="22"/>
          <w:szCs w:val="22"/>
        </w:rPr>
      </w:pPr>
    </w:p>
    <w:p w14:paraId="6481C23C" w14:textId="61056989" w:rsidR="000B52A1" w:rsidRPr="000B52A1" w:rsidRDefault="000B52A1" w:rsidP="0059440A">
      <w:pPr>
        <w:spacing w:line="360" w:lineRule="auto"/>
        <w:ind w:right="49"/>
        <w:jc w:val="both"/>
        <w:rPr>
          <w:rFonts w:ascii="Palatino Linotype" w:eastAsia="Palatino Linotype" w:hAnsi="Palatino Linotype" w:cs="Palatino Linotype"/>
          <w:sz w:val="22"/>
          <w:szCs w:val="22"/>
        </w:rPr>
      </w:pPr>
    </w:p>
    <w:p w14:paraId="27AEA2A2" w14:textId="71A1EFF9" w:rsidR="000B52A1" w:rsidRPr="000B52A1" w:rsidRDefault="000B52A1" w:rsidP="0059440A">
      <w:pPr>
        <w:spacing w:line="360" w:lineRule="auto"/>
        <w:ind w:right="49"/>
        <w:jc w:val="both"/>
        <w:rPr>
          <w:rFonts w:ascii="Palatino Linotype" w:eastAsia="Palatino Linotype" w:hAnsi="Palatino Linotype" w:cs="Palatino Linotype"/>
          <w:sz w:val="22"/>
          <w:szCs w:val="22"/>
        </w:rPr>
      </w:pPr>
    </w:p>
    <w:p w14:paraId="6C801C77" w14:textId="09D0E88F" w:rsidR="000B52A1" w:rsidRPr="000B52A1" w:rsidRDefault="000B52A1" w:rsidP="0059440A">
      <w:pPr>
        <w:spacing w:line="360" w:lineRule="auto"/>
        <w:ind w:right="49"/>
        <w:jc w:val="both"/>
        <w:rPr>
          <w:rFonts w:ascii="Palatino Linotype" w:eastAsia="Palatino Linotype" w:hAnsi="Palatino Linotype" w:cs="Palatino Linotype"/>
          <w:sz w:val="22"/>
          <w:szCs w:val="22"/>
        </w:rPr>
      </w:pPr>
    </w:p>
    <w:p w14:paraId="2E767C02" w14:textId="12802C33" w:rsidR="000B52A1" w:rsidRPr="000B52A1" w:rsidRDefault="000B52A1" w:rsidP="0059440A">
      <w:pPr>
        <w:spacing w:line="360" w:lineRule="auto"/>
        <w:ind w:right="49"/>
        <w:jc w:val="both"/>
        <w:rPr>
          <w:rFonts w:ascii="Palatino Linotype" w:eastAsia="Palatino Linotype" w:hAnsi="Palatino Linotype" w:cs="Palatino Linotype"/>
          <w:sz w:val="22"/>
          <w:szCs w:val="22"/>
        </w:rPr>
      </w:pPr>
    </w:p>
    <w:p w14:paraId="5A2C6157" w14:textId="77777777" w:rsidR="000B52A1" w:rsidRPr="000B52A1" w:rsidRDefault="000B52A1" w:rsidP="0059440A">
      <w:pPr>
        <w:spacing w:line="360" w:lineRule="auto"/>
        <w:ind w:right="49"/>
        <w:jc w:val="both"/>
        <w:rPr>
          <w:rFonts w:ascii="Palatino Linotype" w:eastAsia="Palatino Linotype" w:hAnsi="Palatino Linotype" w:cs="Palatino Linotype"/>
          <w:sz w:val="22"/>
          <w:szCs w:val="22"/>
        </w:rPr>
      </w:pPr>
    </w:p>
    <w:sectPr w:rsidR="000B52A1" w:rsidRPr="000B52A1">
      <w:headerReference w:type="default" r:id="rId16"/>
      <w:footerReference w:type="default" r:id="rId17"/>
      <w:headerReference w:type="first" r:id="rId18"/>
      <w:footerReference w:type="first" r:id="rId1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0EDB5" w14:textId="77777777" w:rsidR="00C90875" w:rsidRDefault="00C90875">
      <w:r>
        <w:separator/>
      </w:r>
    </w:p>
  </w:endnote>
  <w:endnote w:type="continuationSeparator" w:id="0">
    <w:p w14:paraId="32CE9F75" w14:textId="77777777" w:rsidR="00C90875" w:rsidRDefault="00C9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5E3FA967-13DB-4EBC-A299-AD6A387BFA43}"/>
    <w:embedBold r:id="rId2" w:fontKey="{F486E085-9830-4BBD-AB6E-EDFF84F1B152}"/>
    <w:embedItalic r:id="rId3" w:fontKey="{EA270343-8C48-484B-935E-390C4663B749}"/>
    <w:embedBoldItalic r:id="rId4" w:fontKey="{22ECC95B-5FCF-43F9-9619-6D15E96F637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F34D413C-4626-4CEA-9921-EC8F2C44FA8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B6AC87A-8C8A-4908-A87E-AE773DFEDC9C}"/>
    <w:embedBold r:id="rId7" w:fontKey="{F31D9DB3-2267-49A5-9CB9-E23C861DC621}"/>
    <w:embedItalic r:id="rId8" w:fontKey="{BAD1E9AD-230A-4269-8F8E-0D1CEE17726F}"/>
  </w:font>
  <w:font w:name="Georgia">
    <w:panose1 w:val="02040502050405020303"/>
    <w:charset w:val="00"/>
    <w:family w:val="roman"/>
    <w:pitch w:val="variable"/>
    <w:sig w:usb0="00000287" w:usb1="00000000" w:usb2="00000000" w:usb3="00000000" w:csb0="0000009F" w:csb1="00000000"/>
    <w:embedRegular r:id="rId9" w:fontKey="{0AB6AD99-2569-4988-9B7E-EE811E5E4B46}"/>
    <w:embedItalic r:id="rId10" w:fontKey="{251F1CA7-694A-4851-8C54-01A687116287}"/>
  </w:font>
  <w:font w:name="Calibri Light">
    <w:panose1 w:val="020F0302020204030204"/>
    <w:charset w:val="00"/>
    <w:family w:val="swiss"/>
    <w:pitch w:val="variable"/>
    <w:sig w:usb0="E4002EFF" w:usb1="C200247B" w:usb2="00000009" w:usb3="00000000" w:csb0="000001FF" w:csb1="00000000"/>
    <w:embedRegular r:id="rId11" w:fontKey="{C436B358-155C-4625-8885-AF1FED9260E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0AA8996A" w:rsidR="0073601C" w:rsidRDefault="0073601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67E08">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67E08">
      <w:rPr>
        <w:b/>
        <w:noProof/>
        <w:color w:val="000000"/>
      </w:rPr>
      <w:t>51</w:t>
    </w:r>
    <w:r>
      <w:rPr>
        <w:b/>
        <w:color w:val="000000"/>
      </w:rPr>
      <w:fldChar w:fldCharType="end"/>
    </w:r>
  </w:p>
  <w:p w14:paraId="7AE4EEFD" w14:textId="77777777" w:rsidR="0073601C" w:rsidRDefault="0073601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7C12487E" w:rsidR="0073601C" w:rsidRDefault="0073601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67E08">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67E08">
      <w:rPr>
        <w:b/>
        <w:noProof/>
        <w:color w:val="000000"/>
      </w:rPr>
      <w:t>51</w:t>
    </w:r>
    <w:r>
      <w:rPr>
        <w:b/>
        <w:color w:val="000000"/>
      </w:rPr>
      <w:fldChar w:fldCharType="end"/>
    </w:r>
  </w:p>
  <w:p w14:paraId="6675DA9D" w14:textId="77777777" w:rsidR="0073601C" w:rsidRDefault="0073601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62600" w14:textId="77777777" w:rsidR="00C90875" w:rsidRDefault="00C90875">
      <w:r>
        <w:separator/>
      </w:r>
    </w:p>
  </w:footnote>
  <w:footnote w:type="continuationSeparator" w:id="0">
    <w:p w14:paraId="20C53A5B" w14:textId="77777777" w:rsidR="00C90875" w:rsidRDefault="00C908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73601C" w:rsidRDefault="0073601C">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73601C" w14:paraId="3DE1F927" w14:textId="77777777">
      <w:tc>
        <w:tcPr>
          <w:tcW w:w="2551" w:type="dxa"/>
          <w:vAlign w:val="center"/>
        </w:tcPr>
        <w:p w14:paraId="27218DF9"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3A4C9D1A" w:rsidR="0073601C" w:rsidRDefault="0073601C"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10319/INFOEM/IP/RR/2025</w:t>
          </w:r>
        </w:p>
      </w:tc>
    </w:tr>
    <w:tr w:rsidR="0073601C" w14:paraId="6E2D1273" w14:textId="77777777">
      <w:trPr>
        <w:trHeight w:val="217"/>
      </w:trPr>
      <w:tc>
        <w:tcPr>
          <w:tcW w:w="2551" w:type="dxa"/>
          <w:vAlign w:val="center"/>
        </w:tcPr>
        <w:p w14:paraId="21203565"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4731399E" w:rsidR="0073601C" w:rsidRDefault="0073601C"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Aculco</w:t>
          </w:r>
        </w:p>
      </w:tc>
    </w:tr>
    <w:tr w:rsidR="0073601C" w14:paraId="651D01A7" w14:textId="77777777">
      <w:tc>
        <w:tcPr>
          <w:tcW w:w="2551" w:type="dxa"/>
          <w:vAlign w:val="center"/>
        </w:tcPr>
        <w:p w14:paraId="5229B5A5"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73601C" w:rsidRDefault="0073601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73601C" w:rsidRDefault="0073601C">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73601C" w14:paraId="1419E4B9" w14:textId="77777777">
      <w:tc>
        <w:tcPr>
          <w:tcW w:w="2343" w:type="dxa"/>
          <w:vAlign w:val="center"/>
        </w:tcPr>
        <w:p w14:paraId="0A4DAE44"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56C11A51" w:rsidR="0073601C" w:rsidRDefault="0073601C" w:rsidP="00AB100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10319/INFOEM/IP/RR/2025</w:t>
          </w:r>
        </w:p>
      </w:tc>
    </w:tr>
    <w:tr w:rsidR="0073601C" w14:paraId="5406FED2" w14:textId="77777777">
      <w:tc>
        <w:tcPr>
          <w:tcW w:w="2343" w:type="dxa"/>
          <w:vAlign w:val="center"/>
        </w:tcPr>
        <w:p w14:paraId="40683B83"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5E6CAD50" w:rsidR="0073601C" w:rsidRDefault="00067E08" w:rsidP="00067E0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XXXXXX XXXXXXXX </w:t>
          </w:r>
        </w:p>
      </w:tc>
    </w:tr>
    <w:tr w:rsidR="0073601C" w14:paraId="0CE2BEAE" w14:textId="77777777">
      <w:trPr>
        <w:trHeight w:val="152"/>
      </w:trPr>
      <w:tc>
        <w:tcPr>
          <w:tcW w:w="2343" w:type="dxa"/>
          <w:vAlign w:val="center"/>
        </w:tcPr>
        <w:p w14:paraId="2B6A9907" w14:textId="77777777" w:rsidR="0073601C" w:rsidRDefault="0073601C">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73601C" w:rsidRDefault="0073601C">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03A2F3B4" w:rsidR="0073601C" w:rsidRDefault="0073601C"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Aculco</w:t>
          </w:r>
        </w:p>
      </w:tc>
    </w:tr>
    <w:tr w:rsidR="0073601C" w14:paraId="1EF4B579" w14:textId="77777777">
      <w:tc>
        <w:tcPr>
          <w:tcW w:w="2343" w:type="dxa"/>
          <w:vAlign w:val="center"/>
        </w:tcPr>
        <w:p w14:paraId="71B9E111"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73601C" w:rsidRDefault="007360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73601C" w:rsidRDefault="0073601C">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4" w15:restartNumberingAfterBreak="0">
    <w:nsid w:val="55514EA0"/>
    <w:multiLevelType w:val="hybridMultilevel"/>
    <w:tmpl w:val="246A80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8"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5"/>
  </w:num>
  <w:num w:numId="3">
    <w:abstractNumId w:val="20"/>
  </w:num>
  <w:num w:numId="4">
    <w:abstractNumId w:val="34"/>
  </w:num>
  <w:num w:numId="5">
    <w:abstractNumId w:val="12"/>
  </w:num>
  <w:num w:numId="6">
    <w:abstractNumId w:val="29"/>
  </w:num>
  <w:num w:numId="7">
    <w:abstractNumId w:val="35"/>
  </w:num>
  <w:num w:numId="8">
    <w:abstractNumId w:val="7"/>
  </w:num>
  <w:num w:numId="9">
    <w:abstractNumId w:val="0"/>
  </w:num>
  <w:num w:numId="10">
    <w:abstractNumId w:val="4"/>
  </w:num>
  <w:num w:numId="11">
    <w:abstractNumId w:val="26"/>
  </w:num>
  <w:num w:numId="12">
    <w:abstractNumId w:val="17"/>
  </w:num>
  <w:num w:numId="13">
    <w:abstractNumId w:val="25"/>
  </w:num>
  <w:num w:numId="14">
    <w:abstractNumId w:val="23"/>
  </w:num>
  <w:num w:numId="15">
    <w:abstractNumId w:val="16"/>
  </w:num>
  <w:num w:numId="16">
    <w:abstractNumId w:val="14"/>
  </w:num>
  <w:num w:numId="17">
    <w:abstractNumId w:val="33"/>
  </w:num>
  <w:num w:numId="18">
    <w:abstractNumId w:val="31"/>
  </w:num>
  <w:num w:numId="19">
    <w:abstractNumId w:val="15"/>
  </w:num>
  <w:num w:numId="20">
    <w:abstractNumId w:val="30"/>
  </w:num>
  <w:num w:numId="21">
    <w:abstractNumId w:val="1"/>
  </w:num>
  <w:num w:numId="22">
    <w:abstractNumId w:val="11"/>
  </w:num>
  <w:num w:numId="23">
    <w:abstractNumId w:val="13"/>
  </w:num>
  <w:num w:numId="24">
    <w:abstractNumId w:val="3"/>
  </w:num>
  <w:num w:numId="25">
    <w:abstractNumId w:val="10"/>
  </w:num>
  <w:num w:numId="26">
    <w:abstractNumId w:val="18"/>
  </w:num>
  <w:num w:numId="27">
    <w:abstractNumId w:val="9"/>
  </w:num>
  <w:num w:numId="28">
    <w:abstractNumId w:val="32"/>
  </w:num>
  <w:num w:numId="29">
    <w:abstractNumId w:val="28"/>
  </w:num>
  <w:num w:numId="30">
    <w:abstractNumId w:val="19"/>
  </w:num>
  <w:num w:numId="31">
    <w:abstractNumId w:val="2"/>
  </w:num>
  <w:num w:numId="32">
    <w:abstractNumId w:val="6"/>
  </w:num>
  <w:num w:numId="33">
    <w:abstractNumId w:val="22"/>
  </w:num>
  <w:num w:numId="34">
    <w:abstractNumId w:val="8"/>
  </w:num>
  <w:num w:numId="35">
    <w:abstractNumId w:val="2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40E9"/>
    <w:rsid w:val="00067E08"/>
    <w:rsid w:val="00085E1F"/>
    <w:rsid w:val="00094655"/>
    <w:rsid w:val="000976C0"/>
    <w:rsid w:val="000B52A1"/>
    <w:rsid w:val="000C2D35"/>
    <w:rsid w:val="00102B00"/>
    <w:rsid w:val="0010766B"/>
    <w:rsid w:val="0012241A"/>
    <w:rsid w:val="001244B6"/>
    <w:rsid w:val="00137C81"/>
    <w:rsid w:val="00167CFB"/>
    <w:rsid w:val="001713BF"/>
    <w:rsid w:val="0017592D"/>
    <w:rsid w:val="00196A12"/>
    <w:rsid w:val="001B3325"/>
    <w:rsid w:val="001B6D95"/>
    <w:rsid w:val="001D5226"/>
    <w:rsid w:val="001D62BC"/>
    <w:rsid w:val="001F6BD3"/>
    <w:rsid w:val="00215433"/>
    <w:rsid w:val="00220962"/>
    <w:rsid w:val="0024388B"/>
    <w:rsid w:val="00251552"/>
    <w:rsid w:val="00261424"/>
    <w:rsid w:val="00294BBE"/>
    <w:rsid w:val="002A0578"/>
    <w:rsid w:val="002A38A5"/>
    <w:rsid w:val="002A642E"/>
    <w:rsid w:val="002C63CA"/>
    <w:rsid w:val="002E51A0"/>
    <w:rsid w:val="002E73A2"/>
    <w:rsid w:val="002F0436"/>
    <w:rsid w:val="002F1DC0"/>
    <w:rsid w:val="002F289C"/>
    <w:rsid w:val="00302B0A"/>
    <w:rsid w:val="00310705"/>
    <w:rsid w:val="00313334"/>
    <w:rsid w:val="0034064C"/>
    <w:rsid w:val="003412FF"/>
    <w:rsid w:val="00341C10"/>
    <w:rsid w:val="00357E62"/>
    <w:rsid w:val="00362AE5"/>
    <w:rsid w:val="00381615"/>
    <w:rsid w:val="00382B63"/>
    <w:rsid w:val="003B3365"/>
    <w:rsid w:val="003B67F8"/>
    <w:rsid w:val="003B746B"/>
    <w:rsid w:val="003C22A3"/>
    <w:rsid w:val="003C22F4"/>
    <w:rsid w:val="003C7D63"/>
    <w:rsid w:val="003D17CE"/>
    <w:rsid w:val="003F0AA0"/>
    <w:rsid w:val="003F6A2A"/>
    <w:rsid w:val="00404717"/>
    <w:rsid w:val="00413D80"/>
    <w:rsid w:val="00421C3A"/>
    <w:rsid w:val="0045521E"/>
    <w:rsid w:val="00457B72"/>
    <w:rsid w:val="0046798A"/>
    <w:rsid w:val="004C0383"/>
    <w:rsid w:val="004D0543"/>
    <w:rsid w:val="004E5770"/>
    <w:rsid w:val="004F119B"/>
    <w:rsid w:val="004F6B10"/>
    <w:rsid w:val="00500764"/>
    <w:rsid w:val="00507CDE"/>
    <w:rsid w:val="005116B7"/>
    <w:rsid w:val="00530DF2"/>
    <w:rsid w:val="00531EEA"/>
    <w:rsid w:val="00541989"/>
    <w:rsid w:val="00541C72"/>
    <w:rsid w:val="00571BF7"/>
    <w:rsid w:val="00573A7D"/>
    <w:rsid w:val="005838D9"/>
    <w:rsid w:val="005879DF"/>
    <w:rsid w:val="0059440A"/>
    <w:rsid w:val="005A4875"/>
    <w:rsid w:val="005A668A"/>
    <w:rsid w:val="005B15F7"/>
    <w:rsid w:val="005B4D25"/>
    <w:rsid w:val="005B79A1"/>
    <w:rsid w:val="005C3FA2"/>
    <w:rsid w:val="005E42AB"/>
    <w:rsid w:val="005F7B9F"/>
    <w:rsid w:val="00605693"/>
    <w:rsid w:val="00607DE9"/>
    <w:rsid w:val="00611E80"/>
    <w:rsid w:val="006225B4"/>
    <w:rsid w:val="00625658"/>
    <w:rsid w:val="00634BF1"/>
    <w:rsid w:val="00646662"/>
    <w:rsid w:val="00654E9A"/>
    <w:rsid w:val="006713EE"/>
    <w:rsid w:val="006772D8"/>
    <w:rsid w:val="00684A3C"/>
    <w:rsid w:val="00692CEB"/>
    <w:rsid w:val="006C15F1"/>
    <w:rsid w:val="006C5268"/>
    <w:rsid w:val="006D2F09"/>
    <w:rsid w:val="006D4A7D"/>
    <w:rsid w:val="00711AC0"/>
    <w:rsid w:val="007127FF"/>
    <w:rsid w:val="0071714D"/>
    <w:rsid w:val="00730751"/>
    <w:rsid w:val="0073601C"/>
    <w:rsid w:val="00740429"/>
    <w:rsid w:val="007425E8"/>
    <w:rsid w:val="007668BD"/>
    <w:rsid w:val="007671AC"/>
    <w:rsid w:val="00771B28"/>
    <w:rsid w:val="007830DC"/>
    <w:rsid w:val="007A250C"/>
    <w:rsid w:val="007C365E"/>
    <w:rsid w:val="007C7D62"/>
    <w:rsid w:val="00807BED"/>
    <w:rsid w:val="00816709"/>
    <w:rsid w:val="00822FC6"/>
    <w:rsid w:val="0083209D"/>
    <w:rsid w:val="00834DC2"/>
    <w:rsid w:val="00843597"/>
    <w:rsid w:val="0085476E"/>
    <w:rsid w:val="00862F3D"/>
    <w:rsid w:val="0089595B"/>
    <w:rsid w:val="008A0A8D"/>
    <w:rsid w:val="008A3B54"/>
    <w:rsid w:val="008D5D61"/>
    <w:rsid w:val="008E4A90"/>
    <w:rsid w:val="008E5996"/>
    <w:rsid w:val="0090737F"/>
    <w:rsid w:val="00921774"/>
    <w:rsid w:val="00942713"/>
    <w:rsid w:val="009456FA"/>
    <w:rsid w:val="00973790"/>
    <w:rsid w:val="00992177"/>
    <w:rsid w:val="00993A3E"/>
    <w:rsid w:val="00995DE6"/>
    <w:rsid w:val="009C5423"/>
    <w:rsid w:val="009D0B8C"/>
    <w:rsid w:val="009D53E9"/>
    <w:rsid w:val="009F2A51"/>
    <w:rsid w:val="009F30A2"/>
    <w:rsid w:val="00A051FE"/>
    <w:rsid w:val="00A10647"/>
    <w:rsid w:val="00A11677"/>
    <w:rsid w:val="00A2378F"/>
    <w:rsid w:val="00A2697B"/>
    <w:rsid w:val="00A51182"/>
    <w:rsid w:val="00A82285"/>
    <w:rsid w:val="00A87C55"/>
    <w:rsid w:val="00A91027"/>
    <w:rsid w:val="00AA08AE"/>
    <w:rsid w:val="00AA5D5B"/>
    <w:rsid w:val="00AB100B"/>
    <w:rsid w:val="00AB31D5"/>
    <w:rsid w:val="00AC3A71"/>
    <w:rsid w:val="00AE181D"/>
    <w:rsid w:val="00AE4C99"/>
    <w:rsid w:val="00AE4D30"/>
    <w:rsid w:val="00AE5F8A"/>
    <w:rsid w:val="00B01F31"/>
    <w:rsid w:val="00B11D16"/>
    <w:rsid w:val="00B46C8A"/>
    <w:rsid w:val="00B67B0F"/>
    <w:rsid w:val="00B8230E"/>
    <w:rsid w:val="00BB7FF3"/>
    <w:rsid w:val="00BF7077"/>
    <w:rsid w:val="00C562F4"/>
    <w:rsid w:val="00C877F6"/>
    <w:rsid w:val="00C90875"/>
    <w:rsid w:val="00C975DF"/>
    <w:rsid w:val="00CA6FB7"/>
    <w:rsid w:val="00CD4BE9"/>
    <w:rsid w:val="00CD547C"/>
    <w:rsid w:val="00CF0CC5"/>
    <w:rsid w:val="00D06F57"/>
    <w:rsid w:val="00D261B6"/>
    <w:rsid w:val="00D3382D"/>
    <w:rsid w:val="00D47A86"/>
    <w:rsid w:val="00D5108C"/>
    <w:rsid w:val="00D548D9"/>
    <w:rsid w:val="00D63364"/>
    <w:rsid w:val="00DA48CB"/>
    <w:rsid w:val="00DA6825"/>
    <w:rsid w:val="00DC2CE2"/>
    <w:rsid w:val="00DC5898"/>
    <w:rsid w:val="00E07D75"/>
    <w:rsid w:val="00E21C9B"/>
    <w:rsid w:val="00E241E2"/>
    <w:rsid w:val="00E34B63"/>
    <w:rsid w:val="00E4018E"/>
    <w:rsid w:val="00E41166"/>
    <w:rsid w:val="00E47E72"/>
    <w:rsid w:val="00E542DD"/>
    <w:rsid w:val="00E645F7"/>
    <w:rsid w:val="00E90A7F"/>
    <w:rsid w:val="00E97AD5"/>
    <w:rsid w:val="00EA73D5"/>
    <w:rsid w:val="00EC43D4"/>
    <w:rsid w:val="00ED1F46"/>
    <w:rsid w:val="00EE30D8"/>
    <w:rsid w:val="00F11903"/>
    <w:rsid w:val="00F36565"/>
    <w:rsid w:val="00F60B31"/>
    <w:rsid w:val="00F90408"/>
    <w:rsid w:val="00F947BB"/>
    <w:rsid w:val="00F969A8"/>
    <w:rsid w:val="00FA5673"/>
    <w:rsid w:val="00FA6C9F"/>
    <w:rsid w:val="00FB389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12242</Words>
  <Characters>67336</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2025-12-12T16:51:00Z</cp:lastPrinted>
  <dcterms:created xsi:type="dcterms:W3CDTF">2026-01-20T17:59:00Z</dcterms:created>
  <dcterms:modified xsi:type="dcterms:W3CDTF">2026-01-20T17:59:00Z</dcterms:modified>
</cp:coreProperties>
</file>