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09F31" w14:textId="77777777" w:rsidR="00C10098" w:rsidRPr="0010730B" w:rsidRDefault="00AB2AA7">
      <w:pPr>
        <w:spacing w:before="240" w:after="240" w:line="360" w:lineRule="auto"/>
        <w:jc w:val="both"/>
        <w:rPr>
          <w:rFonts w:ascii="Palatino Linotype" w:eastAsia="Palatino Linotype" w:hAnsi="Palatino Linotype" w:cs="Palatino Linotype"/>
        </w:rPr>
      </w:pPr>
      <w:bookmarkStart w:id="0" w:name="_heading=h.3rdcrjn" w:colFirst="0" w:colLast="0"/>
      <w:bookmarkEnd w:id="0"/>
      <w:r w:rsidRPr="0010730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nueve de julio de dos mil veinticinco. </w:t>
      </w:r>
    </w:p>
    <w:p w14:paraId="43F7EC66" w14:textId="31930E81" w:rsidR="00C10098" w:rsidRPr="0010730B" w:rsidRDefault="00AB2AA7">
      <w:pPr>
        <w:tabs>
          <w:tab w:val="left" w:pos="5812"/>
        </w:tabs>
        <w:spacing w:before="240" w:after="240" w:line="360" w:lineRule="auto"/>
        <w:jc w:val="both"/>
        <w:rPr>
          <w:rFonts w:ascii="Palatino Linotype" w:eastAsia="Palatino Linotype" w:hAnsi="Palatino Linotype" w:cs="Palatino Linotype"/>
        </w:rPr>
      </w:pPr>
      <w:bookmarkStart w:id="1" w:name="_heading=h.daj3j2xo6q66" w:colFirst="0" w:colLast="0"/>
      <w:bookmarkEnd w:id="1"/>
      <w:r w:rsidRPr="0010730B">
        <w:rPr>
          <w:rFonts w:ascii="Palatino Linotype" w:eastAsia="Palatino Linotype" w:hAnsi="Palatino Linotype" w:cs="Palatino Linotype"/>
          <w:b/>
        </w:rPr>
        <w:t>VISTO</w:t>
      </w:r>
      <w:r w:rsidRPr="0010730B">
        <w:rPr>
          <w:rFonts w:ascii="Palatino Linotype" w:eastAsia="Palatino Linotype" w:hAnsi="Palatino Linotype" w:cs="Palatino Linotype"/>
        </w:rPr>
        <w:t xml:space="preserve"> el expediente formado con motivo del recurso de revisión </w:t>
      </w:r>
      <w:r w:rsidRPr="0010730B">
        <w:rPr>
          <w:rFonts w:ascii="Palatino Linotype" w:eastAsia="Palatino Linotype" w:hAnsi="Palatino Linotype" w:cs="Palatino Linotype"/>
          <w:b/>
        </w:rPr>
        <w:t>04059/INFOEM/IP/RR/2025</w:t>
      </w:r>
      <w:r w:rsidRPr="0010730B">
        <w:rPr>
          <w:rFonts w:ascii="Palatino Linotype" w:eastAsia="Palatino Linotype" w:hAnsi="Palatino Linotype" w:cs="Palatino Linotype"/>
        </w:rPr>
        <w:t>, interpuesto por</w:t>
      </w:r>
      <w:r w:rsidRPr="0010730B">
        <w:rPr>
          <w:rFonts w:ascii="Palatino Linotype" w:eastAsia="Palatino Linotype" w:hAnsi="Palatino Linotype" w:cs="Palatino Linotype"/>
          <w:b/>
        </w:rPr>
        <w:t xml:space="preserve"> </w:t>
      </w:r>
      <w:r w:rsidR="00211533" w:rsidRPr="00211533">
        <w:rPr>
          <w:rFonts w:ascii="Palatino Linotype" w:eastAsia="Palatino Linotype" w:hAnsi="Palatino Linotype" w:cs="Palatino Linotype"/>
          <w:b/>
        </w:rPr>
        <w:t>XXXXX XX XXXXXXXXXX</w:t>
      </w:r>
      <w:r w:rsidRPr="0010730B">
        <w:rPr>
          <w:rFonts w:ascii="Palatino Linotype" w:eastAsia="Palatino Linotype" w:hAnsi="Palatino Linotype" w:cs="Palatino Linotype"/>
          <w:b/>
        </w:rPr>
        <w:t>,</w:t>
      </w:r>
      <w:r w:rsidRPr="0010730B">
        <w:rPr>
          <w:rFonts w:ascii="Palatino Linotype" w:eastAsia="Palatino Linotype" w:hAnsi="Palatino Linotype" w:cs="Palatino Linotype"/>
        </w:rPr>
        <w:t xml:space="preserve"> en lo sucesivo</w:t>
      </w:r>
      <w:r w:rsidRPr="0010730B">
        <w:rPr>
          <w:rFonts w:ascii="Palatino Linotype" w:eastAsia="Palatino Linotype" w:hAnsi="Palatino Linotype" w:cs="Palatino Linotype"/>
          <w:b/>
        </w:rPr>
        <w:t xml:space="preserve"> </w:t>
      </w:r>
      <w:r w:rsidRPr="0010730B">
        <w:rPr>
          <w:rFonts w:ascii="Palatino Linotype" w:eastAsia="Palatino Linotype" w:hAnsi="Palatino Linotype" w:cs="Palatino Linotype"/>
        </w:rPr>
        <w:t xml:space="preserve">la parte </w:t>
      </w:r>
      <w:r w:rsidRPr="0010730B">
        <w:rPr>
          <w:rFonts w:ascii="Palatino Linotype" w:eastAsia="Palatino Linotype" w:hAnsi="Palatino Linotype" w:cs="Palatino Linotype"/>
          <w:b/>
        </w:rPr>
        <w:t>Recurrente,</w:t>
      </w:r>
      <w:r w:rsidRPr="0010730B">
        <w:rPr>
          <w:rFonts w:ascii="Palatino Linotype" w:eastAsia="Palatino Linotype" w:hAnsi="Palatino Linotype" w:cs="Palatino Linotype"/>
        </w:rPr>
        <w:t xml:space="preserve"> en contra de la respuesta a la solicitud de información con número de folio</w:t>
      </w:r>
      <w:r w:rsidRPr="0010730B">
        <w:rPr>
          <w:rFonts w:ascii="Palatino Linotype" w:eastAsia="Palatino Linotype" w:hAnsi="Palatino Linotype" w:cs="Palatino Linotype"/>
          <w:b/>
        </w:rPr>
        <w:t xml:space="preserve"> 00021/TONATICO/IP/2025, </w:t>
      </w:r>
      <w:r w:rsidRPr="0010730B">
        <w:rPr>
          <w:rFonts w:ascii="Palatino Linotype" w:eastAsia="Palatino Linotype" w:hAnsi="Palatino Linotype" w:cs="Palatino Linotype"/>
        </w:rPr>
        <w:t xml:space="preserve">por parte del </w:t>
      </w:r>
      <w:r w:rsidRPr="0010730B">
        <w:rPr>
          <w:rFonts w:ascii="Palatino Linotype" w:eastAsia="Palatino Linotype" w:hAnsi="Palatino Linotype" w:cs="Palatino Linotype"/>
          <w:b/>
        </w:rPr>
        <w:t xml:space="preserve">Ayuntamiento de Tonatico, </w:t>
      </w:r>
      <w:r w:rsidRPr="0010730B">
        <w:rPr>
          <w:rFonts w:ascii="Palatino Linotype" w:eastAsia="Palatino Linotype" w:hAnsi="Palatino Linotype" w:cs="Palatino Linotype"/>
        </w:rPr>
        <w:t xml:space="preserve">en lo sucesivo el </w:t>
      </w:r>
      <w:r w:rsidRPr="0010730B">
        <w:rPr>
          <w:rFonts w:ascii="Palatino Linotype" w:eastAsia="Palatino Linotype" w:hAnsi="Palatino Linotype" w:cs="Palatino Linotype"/>
          <w:b/>
        </w:rPr>
        <w:t xml:space="preserve">Sujeto Obligado, </w:t>
      </w:r>
      <w:r w:rsidRPr="0010730B">
        <w:rPr>
          <w:rFonts w:ascii="Palatino Linotype" w:eastAsia="Palatino Linotype" w:hAnsi="Palatino Linotype" w:cs="Palatino Linotype"/>
        </w:rPr>
        <w:t xml:space="preserve">se procede a dictar la presente resolución con base en los siguientes: </w:t>
      </w:r>
    </w:p>
    <w:p w14:paraId="1934D77A" w14:textId="77777777" w:rsidR="00C10098" w:rsidRPr="0010730B" w:rsidRDefault="00AB2AA7">
      <w:pPr>
        <w:spacing w:before="240" w:after="240" w:line="360" w:lineRule="auto"/>
        <w:jc w:val="center"/>
        <w:rPr>
          <w:rFonts w:ascii="Palatino Linotype" w:eastAsia="Palatino Linotype" w:hAnsi="Palatino Linotype" w:cs="Palatino Linotype"/>
          <w:b/>
        </w:rPr>
      </w:pPr>
      <w:r w:rsidRPr="0010730B">
        <w:rPr>
          <w:rFonts w:ascii="Palatino Linotype" w:eastAsia="Palatino Linotype" w:hAnsi="Palatino Linotype" w:cs="Palatino Linotype"/>
          <w:b/>
        </w:rPr>
        <w:t>I. A N T E C E D E N T E S</w:t>
      </w:r>
    </w:p>
    <w:p w14:paraId="1B3B35AB" w14:textId="77777777" w:rsidR="00C10098" w:rsidRPr="0010730B" w:rsidRDefault="00AB2AA7">
      <w:pPr>
        <w:spacing w:before="240" w:after="240" w:line="360" w:lineRule="auto"/>
        <w:jc w:val="both"/>
        <w:rPr>
          <w:rFonts w:ascii="Palatino Linotype" w:eastAsia="Palatino Linotype" w:hAnsi="Palatino Linotype" w:cs="Palatino Linotype"/>
        </w:rPr>
      </w:pPr>
      <w:bookmarkStart w:id="2" w:name="_heading=h.gjdgxs" w:colFirst="0" w:colLast="0"/>
      <w:bookmarkEnd w:id="2"/>
      <w:r w:rsidRPr="0010730B">
        <w:rPr>
          <w:rFonts w:ascii="Palatino Linotype" w:eastAsia="Palatino Linotype" w:hAnsi="Palatino Linotype" w:cs="Palatino Linotype"/>
          <w:b/>
        </w:rPr>
        <w:t>1. Solicitud de acceso a la información.</w:t>
      </w:r>
      <w:r w:rsidRPr="0010730B">
        <w:rPr>
          <w:rFonts w:ascii="Palatino Linotype" w:eastAsia="Palatino Linotype" w:hAnsi="Palatino Linotype" w:cs="Palatino Linotype"/>
        </w:rPr>
        <w:t xml:space="preserve"> El </w:t>
      </w:r>
      <w:r w:rsidRPr="0010730B">
        <w:rPr>
          <w:rFonts w:ascii="Palatino Linotype" w:eastAsia="Palatino Linotype" w:hAnsi="Palatino Linotype" w:cs="Palatino Linotype"/>
          <w:b/>
        </w:rPr>
        <w:t>trece de marzo de dos mil veinticinco,</w:t>
      </w:r>
      <w:r w:rsidRPr="0010730B">
        <w:rPr>
          <w:rFonts w:ascii="Palatino Linotype" w:eastAsia="Palatino Linotype" w:hAnsi="Palatino Linotype" w:cs="Palatino Linotype"/>
        </w:rPr>
        <w:t xml:space="preserve"> la parte </w:t>
      </w:r>
      <w:r w:rsidRPr="0010730B">
        <w:rPr>
          <w:rFonts w:ascii="Palatino Linotype" w:eastAsia="Palatino Linotype" w:hAnsi="Palatino Linotype" w:cs="Palatino Linotype"/>
          <w:b/>
        </w:rPr>
        <w:t xml:space="preserve">Recurrente </w:t>
      </w:r>
      <w:r w:rsidRPr="0010730B">
        <w:rPr>
          <w:rFonts w:ascii="Palatino Linotype" w:eastAsia="Palatino Linotype" w:hAnsi="Palatino Linotype" w:cs="Palatino Linotype"/>
        </w:rPr>
        <w:t xml:space="preserve">presentó la solicitud de acceso a la información pública ante el </w:t>
      </w:r>
      <w:r w:rsidRPr="0010730B">
        <w:rPr>
          <w:rFonts w:ascii="Palatino Linotype" w:eastAsia="Palatino Linotype" w:hAnsi="Palatino Linotype" w:cs="Palatino Linotype"/>
          <w:b/>
        </w:rPr>
        <w:t>Sujeto Obligado</w:t>
      </w:r>
      <w:r w:rsidRPr="0010730B">
        <w:rPr>
          <w:rFonts w:ascii="Palatino Linotype" w:eastAsia="Palatino Linotype" w:hAnsi="Palatino Linotype" w:cs="Palatino Linotype"/>
        </w:rPr>
        <w:t xml:space="preserve">, a través del Sistema de Acceso a la Información Mexiquense, en lo subsecuente el </w:t>
      </w:r>
      <w:r w:rsidRPr="0010730B">
        <w:rPr>
          <w:rFonts w:ascii="Palatino Linotype" w:eastAsia="Palatino Linotype" w:hAnsi="Palatino Linotype" w:cs="Palatino Linotype"/>
          <w:b/>
        </w:rPr>
        <w:t>SAIMEX,</w:t>
      </w:r>
      <w:r w:rsidRPr="0010730B">
        <w:rPr>
          <w:rFonts w:ascii="Palatino Linotype" w:eastAsia="Palatino Linotype" w:hAnsi="Palatino Linotype" w:cs="Palatino Linotype"/>
        </w:rPr>
        <w:t xml:space="preserve"> mediante la cual requirió lo siguiente:</w:t>
      </w:r>
    </w:p>
    <w:p w14:paraId="4986AC80" w14:textId="77777777" w:rsidR="00C10098" w:rsidRPr="0010730B" w:rsidRDefault="00AB2AA7">
      <w:pPr>
        <w:spacing w:before="120" w:after="120"/>
        <w:ind w:left="851" w:right="902"/>
        <w:jc w:val="both"/>
        <w:rPr>
          <w:rFonts w:ascii="Palatino Linotype" w:eastAsia="Palatino Linotype" w:hAnsi="Palatino Linotype" w:cs="Palatino Linotype"/>
          <w:b/>
          <w:i/>
          <w:sz w:val="22"/>
          <w:szCs w:val="22"/>
        </w:rPr>
      </w:pPr>
      <w:r w:rsidRPr="0010730B">
        <w:rPr>
          <w:rFonts w:ascii="Palatino Linotype" w:eastAsia="Palatino Linotype" w:hAnsi="Palatino Linotype" w:cs="Palatino Linotype"/>
          <w:i/>
          <w:sz w:val="22"/>
          <w:szCs w:val="22"/>
        </w:rPr>
        <w:t xml:space="preserve"> “Deseo conocer </w:t>
      </w:r>
      <w:proofErr w:type="spellStart"/>
      <w:r w:rsidRPr="0010730B">
        <w:rPr>
          <w:rFonts w:ascii="Palatino Linotype" w:eastAsia="Palatino Linotype" w:hAnsi="Palatino Linotype" w:cs="Palatino Linotype"/>
          <w:i/>
          <w:sz w:val="22"/>
          <w:szCs w:val="22"/>
        </w:rPr>
        <w:t>quienes</w:t>
      </w:r>
      <w:proofErr w:type="spellEnd"/>
      <w:r w:rsidRPr="0010730B">
        <w:rPr>
          <w:rFonts w:ascii="Palatino Linotype" w:eastAsia="Palatino Linotype" w:hAnsi="Palatino Linotype" w:cs="Palatino Linotype"/>
          <w:i/>
          <w:sz w:val="22"/>
          <w:szCs w:val="22"/>
        </w:rPr>
        <w:t xml:space="preserve"> fueron los participantes a la titularidad de la Defensoría Pública Municipal de </w:t>
      </w:r>
      <w:proofErr w:type="gramStart"/>
      <w:r w:rsidRPr="0010730B">
        <w:rPr>
          <w:rFonts w:ascii="Palatino Linotype" w:eastAsia="Palatino Linotype" w:hAnsi="Palatino Linotype" w:cs="Palatino Linotype"/>
          <w:i/>
          <w:sz w:val="22"/>
          <w:szCs w:val="22"/>
        </w:rPr>
        <w:t>D.D..H.H.</w:t>
      </w:r>
      <w:proofErr w:type="gramEnd"/>
      <w:r w:rsidRPr="0010730B">
        <w:rPr>
          <w:rFonts w:ascii="Palatino Linotype" w:eastAsia="Palatino Linotype" w:hAnsi="Palatino Linotype" w:cs="Palatino Linotype"/>
          <w:i/>
          <w:sz w:val="22"/>
          <w:szCs w:val="22"/>
        </w:rPr>
        <w:t xml:space="preserve"> de Tonatico, correspondiente a la convocatoria emitida en éste año, las documentales que presentaron para ser considerados, (</w:t>
      </w:r>
      <w:proofErr w:type="spellStart"/>
      <w:r w:rsidRPr="0010730B">
        <w:rPr>
          <w:rFonts w:ascii="Palatino Linotype" w:eastAsia="Palatino Linotype" w:hAnsi="Palatino Linotype" w:cs="Palatino Linotype"/>
          <w:i/>
          <w:sz w:val="22"/>
          <w:szCs w:val="22"/>
        </w:rPr>
        <w:t>curriculums</w:t>
      </w:r>
      <w:proofErr w:type="spellEnd"/>
      <w:r w:rsidRPr="0010730B">
        <w:rPr>
          <w:rFonts w:ascii="Palatino Linotype" w:eastAsia="Palatino Linotype" w:hAnsi="Palatino Linotype" w:cs="Palatino Linotype"/>
          <w:i/>
          <w:sz w:val="22"/>
          <w:szCs w:val="22"/>
        </w:rPr>
        <w:t xml:space="preserve"> vitae, requisitos exigidos en la convocatoria así como su plan de trabajo), ¿Quién fue elegido? ¿Cuál es la remuneración neta mensual? y la sesión de cabildo en la que se tomó la protesta. muchas gracias.</w:t>
      </w:r>
      <w:r w:rsidRPr="0010730B">
        <w:rPr>
          <w:rFonts w:ascii="Palatino Linotype" w:eastAsia="Palatino Linotype" w:hAnsi="Palatino Linotype" w:cs="Palatino Linotype"/>
          <w:b/>
          <w:i/>
          <w:sz w:val="22"/>
          <w:szCs w:val="22"/>
        </w:rPr>
        <w:t>”</w:t>
      </w:r>
      <w:r w:rsidRPr="0010730B">
        <w:rPr>
          <w:rFonts w:ascii="Palatino Linotype" w:eastAsia="Palatino Linotype" w:hAnsi="Palatino Linotype" w:cs="Palatino Linotype"/>
          <w:i/>
          <w:sz w:val="22"/>
          <w:szCs w:val="22"/>
        </w:rPr>
        <w:t xml:space="preserve"> (sic) </w:t>
      </w:r>
    </w:p>
    <w:p w14:paraId="4E947A00" w14:textId="77777777" w:rsidR="00C10098" w:rsidRPr="0010730B" w:rsidRDefault="00AB2AA7">
      <w:pPr>
        <w:spacing w:before="240" w:after="240" w:line="360" w:lineRule="auto"/>
        <w:jc w:val="both"/>
        <w:rPr>
          <w:rFonts w:ascii="Palatino Linotype" w:eastAsia="Palatino Linotype" w:hAnsi="Palatino Linotype" w:cs="Palatino Linotype"/>
        </w:rPr>
      </w:pPr>
      <w:bookmarkStart w:id="3" w:name="_heading=h.3dy6vkm" w:colFirst="0" w:colLast="0"/>
      <w:bookmarkEnd w:id="3"/>
      <w:r w:rsidRPr="0010730B">
        <w:rPr>
          <w:rFonts w:ascii="Palatino Linotype" w:eastAsia="Palatino Linotype" w:hAnsi="Palatino Linotype" w:cs="Palatino Linotype"/>
          <w:b/>
        </w:rPr>
        <w:t>Modalidad de Entrega:</w:t>
      </w:r>
      <w:r w:rsidRPr="0010730B">
        <w:rPr>
          <w:rFonts w:ascii="Palatino Linotype" w:eastAsia="Palatino Linotype" w:hAnsi="Palatino Linotype" w:cs="Palatino Linotype"/>
        </w:rPr>
        <w:t xml:space="preserve"> a través del</w:t>
      </w:r>
      <w:r w:rsidRPr="0010730B">
        <w:rPr>
          <w:rFonts w:ascii="Palatino Linotype" w:eastAsia="Palatino Linotype" w:hAnsi="Palatino Linotype" w:cs="Palatino Linotype"/>
          <w:b/>
        </w:rPr>
        <w:t xml:space="preserve"> SAIMEX.</w:t>
      </w:r>
    </w:p>
    <w:p w14:paraId="31192120"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b/>
        </w:rPr>
        <w:lastRenderedPageBreak/>
        <w:t xml:space="preserve">2. Respuesta. </w:t>
      </w:r>
      <w:r w:rsidRPr="0010730B">
        <w:rPr>
          <w:rFonts w:ascii="Palatino Linotype" w:eastAsia="Palatino Linotype" w:hAnsi="Palatino Linotype" w:cs="Palatino Linotype"/>
        </w:rPr>
        <w:t xml:space="preserve">El </w:t>
      </w:r>
      <w:r w:rsidRPr="0010730B">
        <w:rPr>
          <w:rFonts w:ascii="Palatino Linotype" w:eastAsia="Palatino Linotype" w:hAnsi="Palatino Linotype" w:cs="Palatino Linotype"/>
          <w:b/>
        </w:rPr>
        <w:t>veintiuno de marzo de dos mil veinticinco,</w:t>
      </w:r>
      <w:r w:rsidRPr="0010730B">
        <w:rPr>
          <w:rFonts w:ascii="Palatino Linotype" w:eastAsia="Palatino Linotype" w:hAnsi="Palatino Linotype" w:cs="Palatino Linotype"/>
        </w:rPr>
        <w:t xml:space="preserve"> el </w:t>
      </w:r>
      <w:r w:rsidRPr="0010730B">
        <w:rPr>
          <w:rFonts w:ascii="Palatino Linotype" w:eastAsia="Palatino Linotype" w:hAnsi="Palatino Linotype" w:cs="Palatino Linotype"/>
          <w:b/>
        </w:rPr>
        <w:t xml:space="preserve">Sujeto Obligado </w:t>
      </w:r>
      <w:r w:rsidRPr="0010730B">
        <w:rPr>
          <w:rFonts w:ascii="Palatino Linotype" w:eastAsia="Palatino Linotype" w:hAnsi="Palatino Linotype" w:cs="Palatino Linotype"/>
        </w:rPr>
        <w:t xml:space="preserve">envió su respuesta a la solicitud de acceso a la información a través del SAIMEX, sustancialmente en los términos siguientes:   </w:t>
      </w:r>
    </w:p>
    <w:p w14:paraId="2C189B46" w14:textId="77777777" w:rsidR="00C10098" w:rsidRPr="0010730B" w:rsidRDefault="00AB2AA7">
      <w:pPr>
        <w:spacing w:before="240" w:after="24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“…En atención a la solicitud de información presentada y con fundamento en los artículos 3 fracción XLIV, 12, 19, 23 fracción IV, 50, 52, 53 de la Ley de Transparencia y Acceso a la Información Pública del Estado de México y Municipios; adjunto archivos en PDF donde obra la información solicitada. Haciendo de su conocimiento que el derecho de acceso a la información es limitado por lo que de no estar conforme con la respuesta al presente tiene derecho a ejercer su garantía secundaria interponiendo así el recurso de revisión para el cual tendrá un plazo de 15 días hábiles a partir del día siguiente de la notificación de la presente. Es menester de esta Unidad de Transparencia informar que se encuentra a sus órdenes para cualquier aclaración o duda, en la oficina que ocupa dentro del edificio administrativo de este Sujeto Obligado, con domicilio en Hermenegildo Galeana #2...” (sic)</w:t>
      </w:r>
    </w:p>
    <w:p w14:paraId="47098D51" w14:textId="77777777" w:rsidR="00C10098" w:rsidRPr="0010730B" w:rsidRDefault="00AB2AA7">
      <w:pPr>
        <w:spacing w:before="240" w:after="240" w:line="360" w:lineRule="auto"/>
        <w:ind w:right="49"/>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El </w:t>
      </w:r>
      <w:r w:rsidRPr="0010730B">
        <w:rPr>
          <w:rFonts w:ascii="Palatino Linotype" w:eastAsia="Palatino Linotype" w:hAnsi="Palatino Linotype" w:cs="Palatino Linotype"/>
          <w:b/>
        </w:rPr>
        <w:t xml:space="preserve">Sujeto Obligado </w:t>
      </w:r>
      <w:r w:rsidRPr="0010730B">
        <w:rPr>
          <w:rFonts w:ascii="Palatino Linotype" w:eastAsia="Palatino Linotype" w:hAnsi="Palatino Linotype" w:cs="Palatino Linotype"/>
        </w:rPr>
        <w:t>adjuntó lo siguiente:</w:t>
      </w:r>
    </w:p>
    <w:p w14:paraId="547F41CE" w14:textId="77777777" w:rsidR="00C10098" w:rsidRPr="0010730B" w:rsidRDefault="00AB2AA7">
      <w:pPr>
        <w:spacing w:before="240" w:after="240" w:line="360" w:lineRule="auto"/>
        <w:ind w:right="49"/>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 Oficio número 137/2025, del dieciocho de marzo de dos mil veinticinco, mediante el cual la Secretaría del Ayuntamiento, refiere enviar el </w:t>
      </w:r>
      <w:proofErr w:type="spellStart"/>
      <w:r w:rsidRPr="0010730B">
        <w:rPr>
          <w:rFonts w:ascii="Palatino Linotype" w:eastAsia="Palatino Linotype" w:hAnsi="Palatino Linotype" w:cs="Palatino Linotype"/>
        </w:rPr>
        <w:t>Curriculum</w:t>
      </w:r>
      <w:proofErr w:type="spellEnd"/>
      <w:r w:rsidRPr="0010730B">
        <w:rPr>
          <w:rFonts w:ascii="Palatino Linotype" w:eastAsia="Palatino Linotype" w:hAnsi="Palatino Linotype" w:cs="Palatino Linotype"/>
        </w:rPr>
        <w:t xml:space="preserve"> Vitae en versión pública de la Defensora de Derechos Humanos designada, asimismo, manifiesta que el </w:t>
      </w:r>
      <w:proofErr w:type="spellStart"/>
      <w:r w:rsidRPr="0010730B">
        <w:rPr>
          <w:rFonts w:ascii="Palatino Linotype" w:eastAsia="Palatino Linotype" w:hAnsi="Palatino Linotype" w:cs="Palatino Linotype"/>
        </w:rPr>
        <w:t>Curriculum</w:t>
      </w:r>
      <w:proofErr w:type="spellEnd"/>
      <w:r w:rsidRPr="0010730B">
        <w:rPr>
          <w:rFonts w:ascii="Palatino Linotype" w:eastAsia="Palatino Linotype" w:hAnsi="Palatino Linotype" w:cs="Palatino Linotype"/>
        </w:rPr>
        <w:t xml:space="preserve"> Vitae de los participantes en la convocatoria incluye datos personales mismos, por lo que solicita se clasifique como información confidencial.</w:t>
      </w:r>
    </w:p>
    <w:p w14:paraId="310C4C76" w14:textId="77777777" w:rsidR="00C10098" w:rsidRPr="0010730B" w:rsidRDefault="00AB2AA7">
      <w:pPr>
        <w:spacing w:before="240" w:after="240" w:line="360" w:lineRule="auto"/>
        <w:ind w:right="49"/>
        <w:jc w:val="both"/>
        <w:rPr>
          <w:rFonts w:ascii="Palatino Linotype" w:eastAsia="Palatino Linotype" w:hAnsi="Palatino Linotype" w:cs="Palatino Linotype"/>
        </w:rPr>
      </w:pPr>
      <w:r w:rsidRPr="0010730B">
        <w:rPr>
          <w:rFonts w:ascii="Palatino Linotype" w:eastAsia="Palatino Linotype" w:hAnsi="Palatino Linotype" w:cs="Palatino Linotype"/>
        </w:rPr>
        <w:t>- Acta de la Treceava Sesión Extraordinaria del Comité de Transparencia, mediante la cual se aprueba la clasificación de los datos personales contenidos en los documentos de la convocatoria de la Defensoría de los Derechos Humanos.</w:t>
      </w:r>
    </w:p>
    <w:p w14:paraId="3FDE0F6D" w14:textId="77777777" w:rsidR="00C10098" w:rsidRPr="0010730B" w:rsidRDefault="00AB2AA7">
      <w:pPr>
        <w:spacing w:before="240" w:after="240" w:line="360" w:lineRule="auto"/>
        <w:ind w:right="49"/>
        <w:jc w:val="both"/>
        <w:rPr>
          <w:rFonts w:ascii="Palatino Linotype" w:eastAsia="Palatino Linotype" w:hAnsi="Palatino Linotype" w:cs="Palatino Linotype"/>
        </w:rPr>
      </w:pPr>
      <w:r w:rsidRPr="0010730B">
        <w:rPr>
          <w:rFonts w:ascii="Palatino Linotype" w:eastAsia="Palatino Linotype" w:hAnsi="Palatino Linotype" w:cs="Palatino Linotype"/>
        </w:rPr>
        <w:t>- Oficio número TM/067/2025, del veinte de marzo de dos mil veinticinco, mediante el cual el Tesorero Municipal, proporciona el sueldo neto mensual de la Defensora de Derechos Humanos designada.</w:t>
      </w:r>
    </w:p>
    <w:p w14:paraId="4502AA28" w14:textId="77777777" w:rsidR="00C10098" w:rsidRPr="0010730B" w:rsidRDefault="00AB2AA7">
      <w:pPr>
        <w:spacing w:before="240" w:after="240" w:line="360" w:lineRule="auto"/>
        <w:ind w:right="49"/>
        <w:jc w:val="both"/>
        <w:rPr>
          <w:rFonts w:ascii="Palatino Linotype" w:eastAsia="Palatino Linotype" w:hAnsi="Palatino Linotype" w:cs="Palatino Linotype"/>
        </w:rPr>
      </w:pPr>
      <w:r w:rsidRPr="0010730B">
        <w:rPr>
          <w:rFonts w:ascii="Palatino Linotype" w:eastAsia="Palatino Linotype" w:hAnsi="Palatino Linotype" w:cs="Palatino Linotype"/>
          <w:b/>
        </w:rPr>
        <w:lastRenderedPageBreak/>
        <w:t xml:space="preserve">3. Interposición del recurso de revisión. </w:t>
      </w:r>
      <w:r w:rsidRPr="0010730B">
        <w:rPr>
          <w:rFonts w:ascii="Palatino Linotype" w:eastAsia="Palatino Linotype" w:hAnsi="Palatino Linotype" w:cs="Palatino Linotype"/>
        </w:rPr>
        <w:t xml:space="preserve">Inconforme con los términos de la respuesta emitida por parte del </w:t>
      </w:r>
      <w:r w:rsidRPr="0010730B">
        <w:rPr>
          <w:rFonts w:ascii="Palatino Linotype" w:eastAsia="Palatino Linotype" w:hAnsi="Palatino Linotype" w:cs="Palatino Linotype"/>
          <w:b/>
        </w:rPr>
        <w:t>Sujeto Obligado</w:t>
      </w:r>
      <w:r w:rsidRPr="0010730B">
        <w:rPr>
          <w:rFonts w:ascii="Palatino Linotype" w:eastAsia="Palatino Linotype" w:hAnsi="Palatino Linotype" w:cs="Palatino Linotype"/>
        </w:rPr>
        <w:t xml:space="preserve">, el </w:t>
      </w:r>
      <w:r w:rsidRPr="0010730B">
        <w:rPr>
          <w:rFonts w:ascii="Palatino Linotype" w:eastAsia="Palatino Linotype" w:hAnsi="Palatino Linotype" w:cs="Palatino Linotype"/>
          <w:b/>
        </w:rPr>
        <w:t>siete de abril de dos mil veinticinco,</w:t>
      </w:r>
      <w:r w:rsidRPr="0010730B">
        <w:rPr>
          <w:rFonts w:ascii="Palatino Linotype" w:eastAsia="Palatino Linotype" w:hAnsi="Palatino Linotype" w:cs="Palatino Linotype"/>
        </w:rPr>
        <w:t xml:space="preserve"> la parte </w:t>
      </w:r>
      <w:r w:rsidRPr="0010730B">
        <w:rPr>
          <w:rFonts w:ascii="Palatino Linotype" w:eastAsia="Palatino Linotype" w:hAnsi="Palatino Linotype" w:cs="Palatino Linotype"/>
          <w:b/>
        </w:rPr>
        <w:t>Recurrente</w:t>
      </w:r>
      <w:r w:rsidRPr="0010730B">
        <w:rPr>
          <w:rFonts w:ascii="Palatino Linotype" w:eastAsia="Palatino Linotype" w:hAnsi="Palatino Linotype" w:cs="Palatino Linotype"/>
        </w:rPr>
        <w:t xml:space="preserve"> interpuso el recurso de revisión a través de </w:t>
      </w:r>
      <w:r w:rsidRPr="0010730B">
        <w:rPr>
          <w:rFonts w:ascii="Palatino Linotype" w:eastAsia="Palatino Linotype" w:hAnsi="Palatino Linotype" w:cs="Palatino Linotype"/>
          <w:b/>
        </w:rPr>
        <w:t xml:space="preserve">SAIMEX, </w:t>
      </w:r>
      <w:r w:rsidRPr="0010730B">
        <w:rPr>
          <w:rFonts w:ascii="Palatino Linotype" w:eastAsia="Palatino Linotype" w:hAnsi="Palatino Linotype" w:cs="Palatino Linotype"/>
        </w:rPr>
        <w:t>en donde se manifestó de la siguiente manera:</w:t>
      </w:r>
    </w:p>
    <w:p w14:paraId="1246870B" w14:textId="77777777" w:rsidR="00C10098" w:rsidRPr="0010730B" w:rsidRDefault="00AB2AA7">
      <w:pPr>
        <w:spacing w:before="240" w:after="240" w:line="360" w:lineRule="auto"/>
        <w:ind w:right="49"/>
        <w:jc w:val="both"/>
        <w:rPr>
          <w:rFonts w:ascii="Palatino Linotype" w:eastAsia="Palatino Linotype" w:hAnsi="Palatino Linotype" w:cs="Palatino Linotype"/>
          <w:b/>
        </w:rPr>
      </w:pPr>
      <w:r w:rsidRPr="0010730B">
        <w:rPr>
          <w:rFonts w:ascii="Palatino Linotype" w:eastAsia="Palatino Linotype" w:hAnsi="Palatino Linotype" w:cs="Palatino Linotype"/>
          <w:b/>
        </w:rPr>
        <w:t xml:space="preserve">Acto impugnado: </w:t>
      </w:r>
    </w:p>
    <w:p w14:paraId="36B7618D" w14:textId="77777777" w:rsidR="00C10098" w:rsidRPr="0010730B" w:rsidRDefault="00AB2AA7">
      <w:pPr>
        <w:tabs>
          <w:tab w:val="left" w:pos="2745"/>
        </w:tabs>
        <w:spacing w:before="240" w:after="240"/>
        <w:ind w:left="851" w:right="900"/>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“Folio de la solicitud: 00021/TONATICO/IP/2025” (sic)</w:t>
      </w:r>
    </w:p>
    <w:p w14:paraId="34262CAC" w14:textId="77777777" w:rsidR="00C10098" w:rsidRPr="0010730B" w:rsidRDefault="00AB2AA7">
      <w:pPr>
        <w:spacing w:line="360" w:lineRule="auto"/>
        <w:jc w:val="both"/>
        <w:rPr>
          <w:rFonts w:ascii="Palatino Linotype" w:eastAsia="Palatino Linotype" w:hAnsi="Palatino Linotype" w:cs="Palatino Linotype"/>
        </w:rPr>
      </w:pPr>
      <w:bookmarkStart w:id="4" w:name="_heading=h.30j0zll" w:colFirst="0" w:colLast="0"/>
      <w:bookmarkEnd w:id="4"/>
      <w:r w:rsidRPr="0010730B">
        <w:rPr>
          <w:rFonts w:ascii="Palatino Linotype" w:eastAsia="Palatino Linotype" w:hAnsi="Palatino Linotype" w:cs="Palatino Linotype"/>
          <w:b/>
        </w:rPr>
        <w:t>Y, Razones o motivos de inconformidad</w:t>
      </w:r>
      <w:r w:rsidRPr="0010730B">
        <w:rPr>
          <w:rFonts w:ascii="Palatino Linotype" w:eastAsia="Palatino Linotype" w:hAnsi="Palatino Linotype" w:cs="Palatino Linotype"/>
        </w:rPr>
        <w:t>:</w:t>
      </w:r>
    </w:p>
    <w:p w14:paraId="378CA325" w14:textId="77777777" w:rsidR="00C10098" w:rsidRPr="0010730B" w:rsidRDefault="00AB2AA7">
      <w:pPr>
        <w:tabs>
          <w:tab w:val="left" w:pos="2745"/>
        </w:tabs>
        <w:spacing w:before="240" w:after="240"/>
        <w:ind w:left="851" w:right="900"/>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“LA INFORMACIÓN ES INCOMPLETA, YA QUE CLARAMENTE SOLICITÉ LOS REQUISITOS SOLICITADOS EN LA CONVOCATORIA A LA TITULARIDAD DE LA DEFENSORÍA DE DERECHO HUMANOS MUNICIPAL, NO ME INFORMAN QUE DOCUMENTOS LE FUERON EXIGIDOS PRESENTADOS POR LA GANADORA, TAMPOCO ME INFORMAN EL PLAN DE TRABAJO A DESARROLLAR POR ESA DEFENSORÍA, Y LO MÁS IMPORTANTE LA DOCUMENTAL INSTRUMENTADA CON MOTIVO DE SU DESIGNACIÓN.” (sic)</w:t>
      </w:r>
    </w:p>
    <w:p w14:paraId="295B820F" w14:textId="77777777" w:rsidR="00C10098" w:rsidRPr="0010730B" w:rsidRDefault="00AB2AA7">
      <w:pPr>
        <w:spacing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b/>
        </w:rPr>
        <w:t xml:space="preserve">4. Turno. </w:t>
      </w:r>
      <w:r w:rsidRPr="0010730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10730B">
        <w:rPr>
          <w:rFonts w:ascii="Palatino Linotype" w:eastAsia="Palatino Linotype" w:hAnsi="Palatino Linotype" w:cs="Palatino Linotype"/>
          <w:b/>
        </w:rPr>
        <w:t xml:space="preserve">Guadalupe Ramírez Peña, </w:t>
      </w:r>
      <w:r w:rsidRPr="0010730B">
        <w:rPr>
          <w:rFonts w:ascii="Palatino Linotype" w:eastAsia="Palatino Linotype" w:hAnsi="Palatino Linotype" w:cs="Palatino Linotype"/>
        </w:rPr>
        <w:t xml:space="preserve">a efecto de que analizara sobre su admisión o su </w:t>
      </w:r>
      <w:proofErr w:type="spellStart"/>
      <w:r w:rsidRPr="0010730B">
        <w:rPr>
          <w:rFonts w:ascii="Palatino Linotype" w:eastAsia="Palatino Linotype" w:hAnsi="Palatino Linotype" w:cs="Palatino Linotype"/>
        </w:rPr>
        <w:t>desechamiento</w:t>
      </w:r>
      <w:proofErr w:type="spellEnd"/>
      <w:r w:rsidRPr="0010730B">
        <w:rPr>
          <w:rFonts w:ascii="Palatino Linotype" w:eastAsia="Palatino Linotype" w:hAnsi="Palatino Linotype" w:cs="Palatino Linotype"/>
        </w:rPr>
        <w:t>.</w:t>
      </w:r>
    </w:p>
    <w:p w14:paraId="36993518" w14:textId="77777777" w:rsidR="00C10098" w:rsidRPr="0010730B" w:rsidRDefault="00AB2AA7">
      <w:pPr>
        <w:spacing w:before="240" w:after="240" w:line="360" w:lineRule="auto"/>
        <w:jc w:val="both"/>
        <w:rPr>
          <w:rFonts w:ascii="Palatino Linotype" w:eastAsia="Palatino Linotype" w:hAnsi="Palatino Linotype" w:cs="Palatino Linotype"/>
          <w:b/>
        </w:rPr>
      </w:pPr>
      <w:r w:rsidRPr="0010730B">
        <w:rPr>
          <w:rFonts w:ascii="Palatino Linotype" w:eastAsia="Palatino Linotype" w:hAnsi="Palatino Linotype" w:cs="Palatino Linotype"/>
          <w:b/>
        </w:rPr>
        <w:t>5. Admisión del Recurso de revisión.</w:t>
      </w:r>
      <w:r w:rsidRPr="0010730B">
        <w:rPr>
          <w:rFonts w:ascii="Palatino Linotype" w:eastAsia="Palatino Linotype" w:hAnsi="Palatino Linotype" w:cs="Palatino Linotype"/>
        </w:rPr>
        <w:t xml:space="preserve"> El</w:t>
      </w:r>
      <w:r w:rsidRPr="0010730B">
        <w:rPr>
          <w:rFonts w:ascii="Palatino Linotype" w:eastAsia="Palatino Linotype" w:hAnsi="Palatino Linotype" w:cs="Palatino Linotype"/>
          <w:b/>
        </w:rPr>
        <w:t xml:space="preserve"> diez de abril de dos mil veinticinco, </w:t>
      </w:r>
      <w:r w:rsidRPr="0010730B">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w:t>
      </w:r>
      <w:r w:rsidRPr="0010730B">
        <w:rPr>
          <w:rFonts w:ascii="Palatino Linotype" w:eastAsia="Palatino Linotype" w:hAnsi="Palatino Linotype" w:cs="Palatino Linotype"/>
        </w:rPr>
        <w:lastRenderedPageBreak/>
        <w:t xml:space="preserve">que las partes manifestaran lo que a su derecho resultara conveniente, ofrecieran pruebas, formularan alegatos y el </w:t>
      </w:r>
      <w:r w:rsidRPr="0010730B">
        <w:rPr>
          <w:rFonts w:ascii="Palatino Linotype" w:eastAsia="Palatino Linotype" w:hAnsi="Palatino Linotype" w:cs="Palatino Linotype"/>
          <w:b/>
        </w:rPr>
        <w:t xml:space="preserve">Sujeto Obligado </w:t>
      </w:r>
      <w:r w:rsidRPr="0010730B">
        <w:rPr>
          <w:rFonts w:ascii="Palatino Linotype" w:eastAsia="Palatino Linotype" w:hAnsi="Palatino Linotype" w:cs="Palatino Linotype"/>
        </w:rPr>
        <w:t>presentara su informe justificado.</w:t>
      </w:r>
    </w:p>
    <w:p w14:paraId="2E96A3AD" w14:textId="77777777" w:rsidR="00C10098" w:rsidRPr="0010730B" w:rsidRDefault="00AB2AA7">
      <w:pPr>
        <w:spacing w:before="240" w:after="240" w:line="360" w:lineRule="auto"/>
        <w:jc w:val="both"/>
        <w:rPr>
          <w:rFonts w:ascii="Palatino Linotype" w:eastAsia="Palatino Linotype" w:hAnsi="Palatino Linotype" w:cs="Palatino Linotype"/>
        </w:rPr>
      </w:pPr>
      <w:bookmarkStart w:id="5" w:name="_heading=h.2s8eyo1" w:colFirst="0" w:colLast="0"/>
      <w:bookmarkEnd w:id="5"/>
      <w:r w:rsidRPr="0010730B">
        <w:rPr>
          <w:rFonts w:ascii="Palatino Linotype" w:eastAsia="Palatino Linotype" w:hAnsi="Palatino Linotype" w:cs="Palatino Linotype"/>
          <w:b/>
        </w:rPr>
        <w:t>6. Manifestaciones</w:t>
      </w:r>
      <w:r w:rsidRPr="0010730B">
        <w:rPr>
          <w:rFonts w:ascii="Palatino Linotype" w:eastAsia="Palatino Linotype" w:hAnsi="Palatino Linotype" w:cs="Palatino Linotype"/>
        </w:rPr>
        <w:t xml:space="preserve">. El </w:t>
      </w:r>
      <w:r w:rsidRPr="0010730B">
        <w:rPr>
          <w:rFonts w:ascii="Palatino Linotype" w:eastAsia="Palatino Linotype" w:hAnsi="Palatino Linotype" w:cs="Palatino Linotype"/>
          <w:b/>
        </w:rPr>
        <w:t>veintiuno de abril de dos mil veinticinco</w:t>
      </w:r>
      <w:r w:rsidRPr="0010730B">
        <w:rPr>
          <w:rFonts w:ascii="Palatino Linotype" w:eastAsia="Palatino Linotype" w:hAnsi="Palatino Linotype" w:cs="Palatino Linotype"/>
        </w:rPr>
        <w:t xml:space="preserve">, el </w:t>
      </w:r>
      <w:r w:rsidRPr="0010730B">
        <w:rPr>
          <w:rFonts w:ascii="Palatino Linotype" w:eastAsia="Palatino Linotype" w:hAnsi="Palatino Linotype" w:cs="Palatino Linotype"/>
          <w:b/>
        </w:rPr>
        <w:t>Sujeto Obligado</w:t>
      </w:r>
      <w:r w:rsidRPr="0010730B">
        <w:rPr>
          <w:rFonts w:ascii="Palatino Linotype" w:eastAsia="Palatino Linotype" w:hAnsi="Palatino Linotype" w:cs="Palatino Linotype"/>
        </w:rPr>
        <w:t xml:space="preserve"> remitió, a través del SAIMEX, lo siguiente:</w:t>
      </w:r>
    </w:p>
    <w:p w14:paraId="6411E209"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 Oficio número 169/2025, del quince de abril de dos mil veinticinco, mediante el cual la Secretaria del Ayuntamiento refirió que los requisitos exigidos a las personas participantes en el proceso para la titularidad de la Defensoría Municipal de Derechos Humanos fueron los establecidos en la Convocatoria publicada en fecha 15 de enero de 2025 la cual fue difundida a través de las redes sociales oficiales y en la página web del Ayuntamiento, asimismo, proporcionó dos direcciones electrónicas para la consulta de la información, a través de un documento digitalizado. </w:t>
      </w:r>
    </w:p>
    <w:p w14:paraId="1D196A55"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Por lo que se refiere al Plan de Trabajo de la Defensoría, señaló que fue expuesto por cada uno de los aspirantes durante la Décima Sesión Ordinaria de Cabildo celebrada el cinco de marzo de dos mil veinticinco, y proporcionó una dirección electrónica para la consulta a través de un documento digitalizado.</w:t>
      </w:r>
    </w:p>
    <w:p w14:paraId="73110A67"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Respecto a la documentación instrumentada con motivo de la designación, refirió anexar el nombramiento oficial expedido a favor de la persona designada como titular de la Defensoría Municipal.</w:t>
      </w:r>
    </w:p>
    <w:p w14:paraId="6FC91537"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 Nombramiento emitido a favor de la persona designada como Defensora Municipal de Derechos Humanos.</w:t>
      </w:r>
    </w:p>
    <w:p w14:paraId="103FCC4E"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lastRenderedPageBreak/>
        <w:t>Una vez analizada la información, se hizo del conocimiento de la persona solicitante a efecto de que manifestara lo que a su derecho estimara conveniente, siendo omisa en ejercer dicha prerrogativa.</w:t>
      </w:r>
    </w:p>
    <w:p w14:paraId="7A8D8068"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b/>
        </w:rPr>
        <w:t xml:space="preserve">7. Cierre de instrucción. </w:t>
      </w:r>
      <w:r w:rsidRPr="0010730B">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10730B">
        <w:rPr>
          <w:rFonts w:ascii="Palatino Linotype" w:eastAsia="Palatino Linotype" w:hAnsi="Palatino Linotype" w:cs="Palatino Linotype"/>
          <w:b/>
        </w:rPr>
        <w:t>veintiséis de junio de dos mil veinticinco</w:t>
      </w:r>
      <w:r w:rsidRPr="0010730B">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21841F34" w14:textId="77777777" w:rsidR="00C10098" w:rsidRPr="0010730B" w:rsidRDefault="00AB2AA7">
      <w:pPr>
        <w:spacing w:before="240" w:after="240" w:line="360" w:lineRule="auto"/>
        <w:jc w:val="both"/>
        <w:rPr>
          <w:rFonts w:ascii="Palatino Linotype" w:eastAsia="Palatino Linotype" w:hAnsi="Palatino Linotype" w:cs="Palatino Linotype"/>
          <w:b/>
        </w:rPr>
      </w:pPr>
      <w:r w:rsidRPr="0010730B">
        <w:rPr>
          <w:rFonts w:ascii="Palatino Linotype" w:eastAsia="Palatino Linotype" w:hAnsi="Palatino Linotype" w:cs="Palatino Linotype"/>
          <w:b/>
        </w:rPr>
        <w:t>8</w:t>
      </w:r>
      <w:r w:rsidRPr="0010730B">
        <w:rPr>
          <w:rFonts w:ascii="Palatino Linotype" w:eastAsia="Palatino Linotype" w:hAnsi="Palatino Linotype" w:cs="Palatino Linotype"/>
        </w:rPr>
        <w:t xml:space="preserve">. </w:t>
      </w:r>
      <w:r w:rsidRPr="0010730B">
        <w:rPr>
          <w:rFonts w:ascii="Palatino Linotype" w:eastAsia="Palatino Linotype" w:hAnsi="Palatino Linotype" w:cs="Palatino Linotype"/>
          <w:b/>
        </w:rPr>
        <w:t>Ampliación del término para resolver</w:t>
      </w:r>
      <w:r w:rsidRPr="0010730B">
        <w:rPr>
          <w:rFonts w:ascii="Palatino Linotype" w:eastAsia="Palatino Linotype" w:hAnsi="Palatino Linotype" w:cs="Palatino Linotype"/>
        </w:rPr>
        <w:t xml:space="preserve">. El </w:t>
      </w:r>
      <w:r w:rsidRPr="0010730B">
        <w:rPr>
          <w:rFonts w:ascii="Palatino Linotype" w:eastAsia="Palatino Linotype" w:hAnsi="Palatino Linotype" w:cs="Palatino Linotype"/>
          <w:b/>
        </w:rPr>
        <w:t>veintiséis de junio de dos mil veinticinco</w:t>
      </w:r>
      <w:r w:rsidRPr="0010730B">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64ADC676"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79A37C06"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FD9E63F"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562C04D"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8781367" w14:textId="77777777" w:rsidR="00C10098" w:rsidRPr="0010730B" w:rsidRDefault="00AB2AA7">
      <w:pPr>
        <w:spacing w:before="240" w:after="240" w:line="360" w:lineRule="auto"/>
        <w:jc w:val="both"/>
        <w:rPr>
          <w:rFonts w:ascii="Palatino Linotype" w:eastAsia="Palatino Linotype" w:hAnsi="Palatino Linotype" w:cs="Palatino Linotype"/>
          <w:strike/>
        </w:rPr>
      </w:pPr>
      <w:r w:rsidRPr="0010730B">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18D308F" w14:textId="77777777" w:rsidR="00C10098" w:rsidRPr="0010730B" w:rsidRDefault="00AB2AA7">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408CA522" w14:textId="77777777" w:rsidR="00C10098" w:rsidRPr="0010730B" w:rsidRDefault="00AB2AA7">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10730B">
        <w:rPr>
          <w:rFonts w:ascii="Palatino Linotype" w:eastAsia="Palatino Linotype" w:hAnsi="Palatino Linotype" w:cs="Palatino Linotype"/>
        </w:rPr>
        <w:t>Actividad Procesal del interesado. Acciones u omisiones del interesado.</w:t>
      </w:r>
    </w:p>
    <w:p w14:paraId="6EA7D241" w14:textId="77777777" w:rsidR="00C10098" w:rsidRPr="0010730B" w:rsidRDefault="00AB2AA7">
      <w:pPr>
        <w:numPr>
          <w:ilvl w:val="0"/>
          <w:numId w:val="1"/>
        </w:numPr>
        <w:tabs>
          <w:tab w:val="left" w:pos="567"/>
        </w:tabs>
        <w:spacing w:before="240" w:after="240" w:line="360" w:lineRule="auto"/>
        <w:ind w:left="284" w:firstLine="0"/>
        <w:jc w:val="both"/>
        <w:rPr>
          <w:rFonts w:ascii="Palatino Linotype" w:eastAsia="Palatino Linotype" w:hAnsi="Palatino Linotype" w:cs="Palatino Linotype"/>
        </w:rPr>
      </w:pPr>
      <w:r w:rsidRPr="0010730B">
        <w:rPr>
          <w:rFonts w:ascii="Palatino Linotype" w:eastAsia="Palatino Linotype" w:hAnsi="Palatino Linotype" w:cs="Palatino Linotype"/>
        </w:rPr>
        <w:t>Conducta de la Autoridad: Las Acciones u omisiones realizadas en el procedimiento. Así como si la autoridad actuó con la debida diligencia.</w:t>
      </w:r>
    </w:p>
    <w:p w14:paraId="3739FDB3" w14:textId="77777777" w:rsidR="00C10098" w:rsidRPr="0010730B" w:rsidRDefault="00AB2AA7">
      <w:pPr>
        <w:tabs>
          <w:tab w:val="left" w:pos="567"/>
        </w:tabs>
        <w:spacing w:before="240" w:after="240" w:line="360" w:lineRule="auto"/>
        <w:ind w:left="284"/>
        <w:jc w:val="both"/>
        <w:rPr>
          <w:rFonts w:ascii="Palatino Linotype" w:eastAsia="Palatino Linotype" w:hAnsi="Palatino Linotype" w:cs="Palatino Linotype"/>
        </w:rPr>
      </w:pPr>
      <w:r w:rsidRPr="0010730B">
        <w:rPr>
          <w:rFonts w:ascii="Palatino Linotype" w:eastAsia="Palatino Linotype" w:hAnsi="Palatino Linotype" w:cs="Palatino Linotype"/>
        </w:rPr>
        <w:t>d) La afectación generada en la situación jurídica de la persona involucrada en el proceso: Violación a sus derechos humanos.</w:t>
      </w:r>
    </w:p>
    <w:p w14:paraId="46C6A00E"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10730B">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14:paraId="4CF725BB" w14:textId="77777777" w:rsidR="00C10098" w:rsidRPr="0010730B" w:rsidRDefault="00AB2AA7">
      <w:pPr>
        <w:spacing w:before="240" w:after="240" w:line="360" w:lineRule="auto"/>
        <w:jc w:val="both"/>
        <w:rPr>
          <w:rFonts w:ascii="Palatino Linotype" w:eastAsia="Palatino Linotype" w:hAnsi="Palatino Linotype" w:cs="Palatino Linotype"/>
          <w:b/>
        </w:rPr>
      </w:pPr>
      <w:r w:rsidRPr="0010730B">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10730B">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10730B">
        <w:rPr>
          <w:rFonts w:ascii="Palatino Linotype" w:eastAsia="Palatino Linotype" w:hAnsi="Palatino Linotype" w:cs="Palatino Linotype"/>
        </w:rPr>
        <w:t>, visible en la Gaceta del Seminario Judicial de la Federación con el registro digital 205635.</w:t>
      </w:r>
    </w:p>
    <w:p w14:paraId="406F5F4F"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BA83484"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EF3651F" w14:textId="77777777" w:rsidR="00C10098" w:rsidRPr="0010730B" w:rsidRDefault="00AB2AA7">
      <w:pPr>
        <w:spacing w:before="120" w:after="120"/>
        <w:ind w:left="851" w:right="902"/>
        <w:jc w:val="both"/>
        <w:rPr>
          <w:rFonts w:ascii="Palatino Linotype" w:eastAsia="Palatino Linotype" w:hAnsi="Palatino Linotype" w:cs="Palatino Linotype"/>
          <w:sz w:val="22"/>
          <w:szCs w:val="22"/>
        </w:rPr>
      </w:pPr>
      <w:r w:rsidRPr="0010730B">
        <w:rPr>
          <w:rFonts w:ascii="Palatino Linotype" w:eastAsia="Palatino Linotype" w:hAnsi="Palatino Linotype" w:cs="Palatino Linotype"/>
          <w:sz w:val="22"/>
          <w:szCs w:val="22"/>
        </w:rPr>
        <w:lastRenderedPageBreak/>
        <w:t xml:space="preserve"> </w:t>
      </w:r>
      <w:r w:rsidRPr="0010730B">
        <w:rPr>
          <w:rFonts w:ascii="Palatino Linotype" w:eastAsia="Palatino Linotype" w:hAnsi="Palatino Linotype" w:cs="Palatino Linotype"/>
          <w:i/>
          <w:sz w:val="22"/>
          <w:szCs w:val="22"/>
        </w:rPr>
        <w:t>“</w:t>
      </w:r>
      <w:r w:rsidRPr="0010730B">
        <w:rPr>
          <w:rFonts w:ascii="Palatino Linotype" w:eastAsia="Palatino Linotype" w:hAnsi="Palatino Linotype" w:cs="Palatino Linotype"/>
          <w:b/>
          <w:i/>
          <w:sz w:val="22"/>
          <w:szCs w:val="22"/>
        </w:rPr>
        <w:t>PLAZO RAZONABLE PARA RESOLVER. DIMENSIÓN Y EFECTOS DE ESTE CONCEPTO CUANDO SE ADUCE EXCESIVA CARGA DE TRABAJO</w:t>
      </w:r>
      <w:r w:rsidRPr="0010730B">
        <w:rPr>
          <w:rFonts w:ascii="Palatino Linotype" w:eastAsia="Palatino Linotype" w:hAnsi="Palatino Linotype" w:cs="Palatino Linotype"/>
          <w:i/>
          <w:sz w:val="22"/>
          <w:szCs w:val="22"/>
        </w:rPr>
        <w:t>.”</w:t>
      </w:r>
      <w:r w:rsidRPr="0010730B">
        <w:rPr>
          <w:rFonts w:ascii="Palatino Linotype" w:eastAsia="Palatino Linotype" w:hAnsi="Palatino Linotype" w:cs="Palatino Linotype"/>
          <w:sz w:val="22"/>
          <w:szCs w:val="22"/>
        </w:rPr>
        <w:t xml:space="preserve"> consultable en el Seminario Judicial de la Federación y su gaceta, con el registro digital 2002351.</w:t>
      </w:r>
    </w:p>
    <w:p w14:paraId="6A7B46CD" w14:textId="77777777" w:rsidR="00C10098" w:rsidRPr="0010730B" w:rsidRDefault="00AB2AA7">
      <w:pPr>
        <w:spacing w:before="120" w:after="120"/>
        <w:ind w:left="851" w:right="902"/>
        <w:jc w:val="both"/>
        <w:rPr>
          <w:rFonts w:ascii="Palatino Linotype" w:eastAsia="Palatino Linotype" w:hAnsi="Palatino Linotype" w:cs="Palatino Linotype"/>
          <w:sz w:val="22"/>
          <w:szCs w:val="22"/>
        </w:rPr>
      </w:pPr>
      <w:r w:rsidRPr="0010730B">
        <w:rPr>
          <w:rFonts w:ascii="Palatino Linotype" w:eastAsia="Palatino Linotype" w:hAnsi="Palatino Linotype" w:cs="Palatino Linotype"/>
          <w:i/>
          <w:sz w:val="22"/>
          <w:szCs w:val="22"/>
        </w:rPr>
        <w:t>“</w:t>
      </w:r>
      <w:r w:rsidRPr="0010730B">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10730B">
        <w:rPr>
          <w:rFonts w:ascii="Palatino Linotype" w:eastAsia="Palatino Linotype" w:hAnsi="Palatino Linotype" w:cs="Palatino Linotype"/>
          <w:i/>
          <w:sz w:val="22"/>
          <w:szCs w:val="22"/>
        </w:rPr>
        <w:t>.”</w:t>
      </w:r>
      <w:r w:rsidRPr="0010730B">
        <w:rPr>
          <w:rFonts w:ascii="Palatino Linotype" w:eastAsia="Palatino Linotype" w:hAnsi="Palatino Linotype" w:cs="Palatino Linotype"/>
          <w:sz w:val="22"/>
          <w:szCs w:val="22"/>
        </w:rPr>
        <w:t>, visible en el Seminario Judicial de la Federación y su gaceta, con el registro digital 2002350.</w:t>
      </w:r>
    </w:p>
    <w:p w14:paraId="16581FEF"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4DCDD829"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CEA698B" w14:textId="77777777" w:rsidR="00C10098" w:rsidRPr="0010730B" w:rsidRDefault="00AB2AA7">
      <w:pPr>
        <w:widowControl w:val="0"/>
        <w:spacing w:before="240" w:after="240" w:line="360" w:lineRule="auto"/>
        <w:jc w:val="center"/>
        <w:rPr>
          <w:rFonts w:ascii="Palatino Linotype" w:eastAsia="Palatino Linotype" w:hAnsi="Palatino Linotype" w:cs="Palatino Linotype"/>
          <w:b/>
        </w:rPr>
      </w:pPr>
      <w:r w:rsidRPr="0010730B">
        <w:rPr>
          <w:rFonts w:ascii="Palatino Linotype" w:eastAsia="Palatino Linotype" w:hAnsi="Palatino Linotype" w:cs="Palatino Linotype"/>
          <w:b/>
        </w:rPr>
        <w:t>II. C O N S I D E R A N D O S</w:t>
      </w:r>
    </w:p>
    <w:p w14:paraId="77DFF2BA"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b/>
        </w:rPr>
        <w:t>Primero. Competencia.</w:t>
      </w:r>
      <w:r w:rsidRPr="0010730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w:t>
      </w:r>
      <w:r w:rsidRPr="0010730B">
        <w:rPr>
          <w:rFonts w:ascii="Palatino Linotype" w:eastAsia="Palatino Linotype" w:hAnsi="Palatino Linotype" w:cs="Palatino Linotype"/>
        </w:rPr>
        <w:lastRenderedPageBreak/>
        <w:t>Reglamento Interior del Instituto de Transparencia, Acceso a la Información Pública y Protección de Datos Personales del Estado de México y Municipios.</w:t>
      </w:r>
    </w:p>
    <w:p w14:paraId="656FC5E0" w14:textId="77777777" w:rsidR="00C10098" w:rsidRPr="0010730B" w:rsidRDefault="00AB2AA7">
      <w:pPr>
        <w:spacing w:before="240" w:after="240" w:line="360" w:lineRule="auto"/>
        <w:jc w:val="both"/>
        <w:rPr>
          <w:rFonts w:ascii="Palatino Linotype" w:eastAsia="Palatino Linotype" w:hAnsi="Palatino Linotype" w:cs="Palatino Linotype"/>
        </w:rPr>
      </w:pPr>
      <w:bookmarkStart w:id="6" w:name="_heading=h.tyjcwt" w:colFirst="0" w:colLast="0"/>
      <w:bookmarkEnd w:id="6"/>
      <w:r w:rsidRPr="0010730B">
        <w:rPr>
          <w:rFonts w:ascii="Palatino Linotype" w:eastAsia="Palatino Linotype" w:hAnsi="Palatino Linotype" w:cs="Palatino Linotype"/>
          <w:b/>
        </w:rPr>
        <w:t>Segundo. Oportunidad y Procedibilidad del Recurso de Revisión</w:t>
      </w:r>
      <w:r w:rsidRPr="0010730B">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C070968"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10730B">
        <w:rPr>
          <w:rFonts w:ascii="Palatino Linotype" w:eastAsia="Palatino Linotype" w:hAnsi="Palatino Linotype" w:cs="Palatino Linotype"/>
          <w:b/>
        </w:rPr>
        <w:t xml:space="preserve">Sujeto Obligado </w:t>
      </w:r>
      <w:r w:rsidRPr="0010730B">
        <w:rPr>
          <w:rFonts w:ascii="Palatino Linotype" w:eastAsia="Palatino Linotype" w:hAnsi="Palatino Linotype" w:cs="Palatino Linotype"/>
        </w:rPr>
        <w:t xml:space="preserve">remitió la respuesta a la solicitud de información el día </w:t>
      </w:r>
      <w:r w:rsidRPr="0010730B">
        <w:rPr>
          <w:rFonts w:ascii="Palatino Linotype" w:eastAsia="Palatino Linotype" w:hAnsi="Palatino Linotype" w:cs="Palatino Linotype"/>
          <w:b/>
        </w:rPr>
        <w:t xml:space="preserve">veintiuno de marzo de dos mil veinticinco, </w:t>
      </w:r>
      <w:r w:rsidRPr="0010730B">
        <w:rPr>
          <w:rFonts w:ascii="Palatino Linotype" w:eastAsia="Palatino Linotype" w:hAnsi="Palatino Linotype" w:cs="Palatino Linotype"/>
        </w:rPr>
        <w:t xml:space="preserve">mientras que el recurso de revisión interpuesto por la parte </w:t>
      </w:r>
      <w:r w:rsidRPr="0010730B">
        <w:rPr>
          <w:rFonts w:ascii="Palatino Linotype" w:eastAsia="Palatino Linotype" w:hAnsi="Palatino Linotype" w:cs="Palatino Linotype"/>
          <w:b/>
        </w:rPr>
        <w:t xml:space="preserve">Recurrente, </w:t>
      </w:r>
      <w:r w:rsidRPr="0010730B">
        <w:rPr>
          <w:rFonts w:ascii="Palatino Linotype" w:eastAsia="Palatino Linotype" w:hAnsi="Palatino Linotype" w:cs="Palatino Linotype"/>
        </w:rPr>
        <w:t>se tuvo por presentado el día</w:t>
      </w:r>
      <w:r w:rsidRPr="0010730B">
        <w:rPr>
          <w:rFonts w:ascii="Palatino Linotype" w:eastAsia="Palatino Linotype" w:hAnsi="Palatino Linotype" w:cs="Palatino Linotype"/>
          <w:b/>
        </w:rPr>
        <w:t xml:space="preserve"> siete de abril de dos mil veinticinco, </w:t>
      </w:r>
      <w:r w:rsidRPr="0010730B">
        <w:rPr>
          <w:rFonts w:ascii="Palatino Linotype" w:eastAsia="Palatino Linotype" w:hAnsi="Palatino Linotype" w:cs="Palatino Linotype"/>
        </w:rPr>
        <w:t>esto es, al décimo primer día hábil posterior a aquel en el que tuvo conocimiento de la respuesta impugnada. En este sentido, se concluye que el presente recurso de revisión se encuentra dentro de los márgenes temporales previstos en las disposiciones legales referidas.</w:t>
      </w:r>
    </w:p>
    <w:p w14:paraId="050084E5"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Además, por cuanto hace a la procedibilidad del recurso de revisión, es de suma importancia señalar que la parte</w:t>
      </w:r>
      <w:r w:rsidRPr="0010730B">
        <w:rPr>
          <w:rFonts w:ascii="Palatino Linotype" w:eastAsia="Palatino Linotype" w:hAnsi="Palatino Linotype" w:cs="Palatino Linotype"/>
          <w:b/>
        </w:rPr>
        <w:t xml:space="preserve"> Recurrente</w:t>
      </w:r>
      <w:r w:rsidRPr="0010730B">
        <w:rPr>
          <w:rFonts w:ascii="Palatino Linotype" w:eastAsia="Palatino Linotype" w:hAnsi="Palatino Linotype" w:cs="Palatino Linotype"/>
        </w:rPr>
        <w:t xml:space="preserve">, no señaló un </w:t>
      </w:r>
      <w:r w:rsidRPr="0010730B">
        <w:rPr>
          <w:rFonts w:ascii="Palatino Linotype" w:eastAsia="Palatino Linotype" w:hAnsi="Palatino Linotype" w:cs="Palatino Linotype"/>
          <w:b/>
        </w:rPr>
        <w:t>nombre</w:t>
      </w:r>
      <w:r w:rsidRPr="0010730B">
        <w:rPr>
          <w:rFonts w:ascii="Palatino Linotype" w:eastAsia="Palatino Linotype" w:hAnsi="Palatino Linotype" w:cs="Palatino Linotype"/>
        </w:rPr>
        <w:t xml:space="preserve"> con el cual desea ser identificado, como se advierte en el detalle de seguimiento del SAIMEX, no obstante no proporcionar un nombre no es motivo para archivar la solicitud de acceso a la información pública como concluida, conforme a lo previsto en el artículo </w:t>
      </w:r>
      <w:r w:rsidRPr="0010730B">
        <w:rPr>
          <w:rFonts w:ascii="Palatino Linotype" w:eastAsia="Palatino Linotype" w:hAnsi="Palatino Linotype" w:cs="Palatino Linotype"/>
        </w:rPr>
        <w:lastRenderedPageBreak/>
        <w:t>155, penúltimo párrafo de la Ley de Transparencia y Acceso a la Información Pública del Estado de México y Municipios que establece lo siguiente:</w:t>
      </w:r>
    </w:p>
    <w:p w14:paraId="7FF6FBD0" w14:textId="77777777" w:rsidR="00C10098" w:rsidRPr="0010730B" w:rsidRDefault="00AB2AA7">
      <w:pPr>
        <w:spacing w:before="120" w:after="120"/>
        <w:ind w:left="860" w:right="900"/>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w:t>
      </w:r>
      <w:r w:rsidRPr="0010730B">
        <w:rPr>
          <w:rFonts w:ascii="Palatino Linotype" w:eastAsia="Palatino Linotype" w:hAnsi="Palatino Linotype" w:cs="Palatino Linotype"/>
          <w:b/>
          <w:i/>
          <w:sz w:val="22"/>
          <w:szCs w:val="22"/>
        </w:rPr>
        <w:t>Las solicitudes anónimas</w:t>
      </w:r>
      <w:r w:rsidRPr="0010730B">
        <w:rPr>
          <w:rFonts w:ascii="Palatino Linotype" w:eastAsia="Palatino Linotype" w:hAnsi="Palatino Linotype" w:cs="Palatino Linotype"/>
          <w:i/>
          <w:sz w:val="22"/>
          <w:szCs w:val="22"/>
        </w:rPr>
        <w:t>, con nombre incompleto o seudónimo serán procedentes para su trámite por parte del sujeto obligado ante quien se presente. No podrá requerirse información adicional con motivo del nombre proporcionado por el solicitante."</w:t>
      </w:r>
    </w:p>
    <w:p w14:paraId="4127445D" w14:textId="77777777" w:rsidR="00C10098" w:rsidRPr="0010730B" w:rsidRDefault="00AB2AA7">
      <w:pPr>
        <w:spacing w:before="240" w:after="240" w:line="360" w:lineRule="auto"/>
        <w:jc w:val="both"/>
        <w:rPr>
          <w:rFonts w:ascii="Palatino Linotype" w:eastAsia="Palatino Linotype" w:hAnsi="Palatino Linotype" w:cs="Palatino Linotype"/>
          <w:b/>
        </w:rPr>
      </w:pPr>
      <w:r w:rsidRPr="0010730B">
        <w:rPr>
          <w:rFonts w:ascii="Palatino Linotype" w:eastAsia="Palatino Linotype" w:hAnsi="Palatino Linotype" w:cs="Palatino Linotype"/>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10730B">
        <w:rPr>
          <w:rFonts w:ascii="Palatino Linotype" w:eastAsia="Palatino Linotype" w:hAnsi="Palatino Linotype" w:cs="Palatino Linotype"/>
          <w:b/>
        </w:rPr>
        <w:t xml:space="preserve"> SAIMEX.</w:t>
      </w:r>
    </w:p>
    <w:p w14:paraId="1A76698C"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Finalmente, se advierte que resulta procedente la interposición del recurso, según lo manifestado por la parte </w:t>
      </w:r>
      <w:r w:rsidRPr="0010730B">
        <w:rPr>
          <w:rFonts w:ascii="Palatino Linotype" w:eastAsia="Palatino Linotype" w:hAnsi="Palatino Linotype" w:cs="Palatino Linotype"/>
          <w:b/>
        </w:rPr>
        <w:t>Recurrente</w:t>
      </w:r>
      <w:r w:rsidRPr="0010730B">
        <w:rPr>
          <w:rFonts w:ascii="Palatino Linotype" w:eastAsia="Palatino Linotype" w:hAnsi="Palatino Linotype" w:cs="Palatino Linotype"/>
        </w:rPr>
        <w:t xml:space="preserve"> en sus motivos de inconformidad, de acuerdo al artículo 179, fracción V, del ordenamiento legal citado, que a la letra dice: </w:t>
      </w:r>
    </w:p>
    <w:p w14:paraId="4BBBD775" w14:textId="77777777" w:rsidR="00C10098" w:rsidRPr="0010730B" w:rsidRDefault="00AB2AA7">
      <w:pPr>
        <w:tabs>
          <w:tab w:val="left" w:pos="7938"/>
        </w:tabs>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w:t>
      </w:r>
      <w:r w:rsidRPr="0010730B">
        <w:rPr>
          <w:rFonts w:ascii="Palatino Linotype" w:eastAsia="Palatino Linotype" w:hAnsi="Palatino Linotype" w:cs="Palatino Linotype"/>
          <w:b/>
          <w:i/>
          <w:sz w:val="22"/>
          <w:szCs w:val="22"/>
        </w:rPr>
        <w:t>Artículo 179.</w:t>
      </w:r>
      <w:r w:rsidRPr="0010730B">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004574CE" w14:textId="77777777" w:rsidR="00C10098" w:rsidRPr="0010730B" w:rsidRDefault="00AB2AA7">
      <w:pPr>
        <w:tabs>
          <w:tab w:val="left" w:pos="7938"/>
        </w:tabs>
        <w:spacing w:before="120" w:after="120"/>
        <w:ind w:left="1134" w:right="900"/>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w:t>
      </w:r>
    </w:p>
    <w:p w14:paraId="039EB963" w14:textId="77777777" w:rsidR="00C10098" w:rsidRPr="0010730B" w:rsidRDefault="00AB2AA7">
      <w:pPr>
        <w:tabs>
          <w:tab w:val="left" w:pos="7938"/>
        </w:tabs>
        <w:spacing w:before="120" w:after="120"/>
        <w:ind w:left="1134" w:right="900"/>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V.</w:t>
      </w:r>
      <w:r w:rsidRPr="0010730B">
        <w:rPr>
          <w:rFonts w:ascii="Palatino Linotype" w:eastAsia="Palatino Linotype" w:hAnsi="Palatino Linotype" w:cs="Palatino Linotype"/>
          <w:i/>
          <w:sz w:val="22"/>
          <w:szCs w:val="22"/>
        </w:rPr>
        <w:t xml:space="preserve"> La entrega de información incompleta;”</w:t>
      </w:r>
    </w:p>
    <w:p w14:paraId="7B3AC76E" w14:textId="77777777" w:rsidR="00C10098" w:rsidRPr="0010730B" w:rsidRDefault="00AB2AA7">
      <w:pPr>
        <w:spacing w:before="240" w:after="240" w:line="360" w:lineRule="auto"/>
        <w:jc w:val="both"/>
        <w:rPr>
          <w:rFonts w:ascii="Palatino Linotype" w:eastAsia="Palatino Linotype" w:hAnsi="Palatino Linotype" w:cs="Palatino Linotype"/>
          <w:b/>
        </w:rPr>
      </w:pPr>
      <w:r w:rsidRPr="0010730B">
        <w:rPr>
          <w:rFonts w:ascii="Palatino Linotype" w:eastAsia="Palatino Linotype" w:hAnsi="Palatino Linotype" w:cs="Palatino Linotype"/>
          <w:b/>
        </w:rPr>
        <w:t xml:space="preserve">Tercero. Materia de la revisión. </w:t>
      </w:r>
      <w:r w:rsidRPr="0010730B">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10730B">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10730B">
        <w:rPr>
          <w:rFonts w:ascii="Palatino Linotype" w:eastAsia="Palatino Linotype" w:hAnsi="Palatino Linotype" w:cs="Palatino Linotype"/>
        </w:rPr>
        <w:t xml:space="preserve">de la parte </w:t>
      </w:r>
      <w:r w:rsidRPr="0010730B">
        <w:rPr>
          <w:rFonts w:ascii="Palatino Linotype" w:eastAsia="Palatino Linotype" w:hAnsi="Palatino Linotype" w:cs="Palatino Linotype"/>
          <w:b/>
        </w:rPr>
        <w:lastRenderedPageBreak/>
        <w:t>Recurrente</w:t>
      </w:r>
      <w:r w:rsidRPr="0010730B">
        <w:rPr>
          <w:rFonts w:ascii="Palatino Linotype" w:eastAsia="Palatino Linotype" w:hAnsi="Palatino Linotype" w:cs="Palatino Linotype"/>
        </w:rPr>
        <w:t>, o en su defecto, en caso de ser procedente, ordenar la entrega de información.</w:t>
      </w:r>
    </w:p>
    <w:p w14:paraId="1901C594" w14:textId="77777777" w:rsidR="00C10098" w:rsidRPr="0010730B" w:rsidRDefault="00AB2AA7">
      <w:pPr>
        <w:spacing w:before="240" w:after="240" w:line="360" w:lineRule="auto"/>
        <w:jc w:val="both"/>
        <w:rPr>
          <w:rFonts w:ascii="Palatino Linotype" w:eastAsia="Palatino Linotype" w:hAnsi="Palatino Linotype" w:cs="Palatino Linotype"/>
        </w:rPr>
      </w:pPr>
      <w:bookmarkStart w:id="7" w:name="_heading=h.2et92p0" w:colFirst="0" w:colLast="0"/>
      <w:bookmarkEnd w:id="7"/>
      <w:r w:rsidRPr="0010730B">
        <w:rPr>
          <w:rFonts w:ascii="Palatino Linotype" w:eastAsia="Palatino Linotype" w:hAnsi="Palatino Linotype" w:cs="Palatino Linotype"/>
          <w:b/>
        </w:rPr>
        <w:t xml:space="preserve">Cuarto. Estudio del asunto. </w:t>
      </w:r>
      <w:r w:rsidRPr="0010730B">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40580C6" w14:textId="77777777" w:rsidR="00C10098" w:rsidRPr="0010730B" w:rsidRDefault="00AB2AA7">
      <w:pP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w:t>
      </w:r>
      <w:r w:rsidRPr="0010730B">
        <w:rPr>
          <w:rFonts w:ascii="Palatino Linotype" w:eastAsia="Palatino Linotype" w:hAnsi="Palatino Linotype" w:cs="Palatino Linotype"/>
          <w:b/>
          <w:i/>
          <w:sz w:val="22"/>
          <w:szCs w:val="22"/>
        </w:rPr>
        <w:t>Artículo 4</w:t>
      </w:r>
      <w:r w:rsidRPr="0010730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22A2D1C" w14:textId="77777777" w:rsidR="00C10098" w:rsidRPr="0010730B" w:rsidRDefault="00AB2AA7">
      <w:pP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10730B">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7114457" w14:textId="77777777" w:rsidR="00C10098" w:rsidRPr="0010730B" w:rsidRDefault="00AB2AA7">
      <w:pP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10730B">
        <w:rPr>
          <w:rFonts w:ascii="Palatino Linotype" w:eastAsia="Palatino Linotype" w:hAnsi="Palatino Linotype" w:cs="Palatino Linotype"/>
          <w:i/>
          <w:sz w:val="22"/>
          <w:szCs w:val="22"/>
        </w:rPr>
        <w:t>.”</w:t>
      </w:r>
    </w:p>
    <w:p w14:paraId="6C77AE25"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y proporcionar la información pública que obren en su poder conforme el estado </w:t>
      </w:r>
      <w:r w:rsidRPr="0010730B">
        <w:rPr>
          <w:rFonts w:ascii="Palatino Linotype" w:eastAsia="Palatino Linotype" w:hAnsi="Palatino Linotype" w:cs="Palatino Linotype"/>
        </w:rPr>
        <w:lastRenderedPageBreak/>
        <w:t>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660BB0D" w14:textId="77777777" w:rsidR="00C10098" w:rsidRPr="0010730B" w:rsidRDefault="00AB2AA7">
      <w:pP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“Artículo 12.-</w:t>
      </w:r>
      <w:r w:rsidRPr="0010730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7F4B413" w14:textId="77777777" w:rsidR="00C10098" w:rsidRPr="0010730B" w:rsidRDefault="00AB2AA7">
      <w:pP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10730B">
        <w:rPr>
          <w:rFonts w:ascii="Palatino Linotype" w:eastAsia="Palatino Linotype" w:hAnsi="Palatino Linotype" w:cs="Palatino Linotype"/>
          <w:i/>
          <w:sz w:val="22"/>
          <w:szCs w:val="22"/>
        </w:rPr>
        <w:t xml:space="preserve">. </w:t>
      </w:r>
      <w:r w:rsidRPr="0010730B">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51ACE1EB" w14:textId="77777777" w:rsidR="00C10098" w:rsidRPr="0010730B" w:rsidRDefault="00AB2AA7">
      <w:pPr>
        <w:spacing w:before="240" w:after="240" w:line="360" w:lineRule="auto"/>
        <w:ind w:right="-93"/>
        <w:jc w:val="both"/>
        <w:rPr>
          <w:rFonts w:ascii="Palatino Linotype" w:eastAsia="Palatino Linotype" w:hAnsi="Palatino Linotype" w:cs="Palatino Linotype"/>
        </w:rPr>
      </w:pPr>
      <w:r w:rsidRPr="0010730B">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7063C3DE" w14:textId="77777777" w:rsidR="00C10098" w:rsidRPr="0010730B" w:rsidRDefault="00AB2AA7">
      <w:pPr>
        <w:spacing w:before="240" w:after="240" w:line="360" w:lineRule="auto"/>
        <w:jc w:val="both"/>
        <w:rPr>
          <w:rFonts w:ascii="Palatino Linotype" w:eastAsia="Palatino Linotype" w:hAnsi="Palatino Linotype" w:cs="Palatino Linotype"/>
          <w:b/>
        </w:rPr>
      </w:pPr>
      <w:r w:rsidRPr="0010730B">
        <w:rPr>
          <w:rFonts w:ascii="Palatino Linotype" w:eastAsia="Palatino Linotype" w:hAnsi="Palatino Linotype" w:cs="Palatino Linotype"/>
        </w:rPr>
        <w:t>Sirve de apoyo a lo anterior, el criterio orientador con clave de control SO/003/2017, emitido por el entonces Instituto Nacional de Transparencia, Acceso a la Información y Protección de Datos Personales, que por rubro y texto, dispone lo siguiente:</w:t>
      </w:r>
      <w:r w:rsidRPr="0010730B">
        <w:rPr>
          <w:rFonts w:ascii="Palatino Linotype" w:eastAsia="Palatino Linotype" w:hAnsi="Palatino Linotype" w:cs="Palatino Linotype"/>
          <w:b/>
        </w:rPr>
        <w:t xml:space="preserve"> </w:t>
      </w:r>
    </w:p>
    <w:p w14:paraId="3E5E1123"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 xml:space="preserve"> “</w:t>
      </w:r>
      <w:r w:rsidRPr="0010730B">
        <w:rPr>
          <w:rFonts w:ascii="Palatino Linotype" w:eastAsia="Palatino Linotype" w:hAnsi="Palatino Linotype" w:cs="Palatino Linotype"/>
          <w:b/>
          <w:i/>
          <w:sz w:val="22"/>
          <w:szCs w:val="22"/>
        </w:rPr>
        <w:t>No existe obligación de elaborar documentos ad hoc para atender las solicitudes de acceso a la información.</w:t>
      </w:r>
      <w:r w:rsidRPr="0010730B">
        <w:rPr>
          <w:rFonts w:ascii="Palatino Linotype" w:eastAsia="Palatino Linotype" w:hAnsi="Palatino Linotype" w:cs="Palatino Linotype"/>
          <w:i/>
          <w:sz w:val="22"/>
          <w:szCs w:val="22"/>
        </w:rPr>
        <w:t xml:space="preserve"> Los artículos 129 de la Ley General de Transparencia y Acceso a la Información Pública y 130, párrafo cuarto, de </w:t>
      </w:r>
      <w:r w:rsidRPr="0010730B">
        <w:rPr>
          <w:rFonts w:ascii="Palatino Linotype" w:eastAsia="Palatino Linotype" w:hAnsi="Palatino Linotype" w:cs="Palatino Linotype"/>
          <w:i/>
          <w:sz w:val="22"/>
          <w:szCs w:val="22"/>
        </w:rPr>
        <w:lastRenderedPageBreak/>
        <w:t xml:space="preserve">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9C43E5D" w14:textId="77777777" w:rsidR="00C10098" w:rsidRPr="0010730B" w:rsidRDefault="00AB2AA7">
      <w:pPr>
        <w:spacing w:before="120" w:after="12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89936AD" w14:textId="77777777" w:rsidR="00C10098" w:rsidRPr="0010730B" w:rsidRDefault="00AB2AA7">
      <w:pPr>
        <w:spacing w:before="120" w:after="12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8D349DC" w14:textId="77777777" w:rsidR="00C10098" w:rsidRPr="0010730B" w:rsidRDefault="00AB2AA7">
      <w:pP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w:t>
      </w:r>
      <w:r w:rsidRPr="0010730B">
        <w:rPr>
          <w:rFonts w:ascii="Palatino Linotype" w:eastAsia="Palatino Linotype" w:hAnsi="Palatino Linotype" w:cs="Palatino Linotype"/>
          <w:b/>
          <w:i/>
          <w:sz w:val="22"/>
          <w:szCs w:val="22"/>
        </w:rPr>
        <w:t xml:space="preserve">Artículo 3. </w:t>
      </w:r>
      <w:r w:rsidRPr="0010730B">
        <w:rPr>
          <w:rFonts w:ascii="Palatino Linotype" w:eastAsia="Palatino Linotype" w:hAnsi="Palatino Linotype" w:cs="Palatino Linotype"/>
          <w:i/>
          <w:sz w:val="22"/>
          <w:szCs w:val="22"/>
        </w:rPr>
        <w:t>Para los efectos de la presente Ley se entenderá por:</w:t>
      </w:r>
    </w:p>
    <w:p w14:paraId="0CC573E9"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w:t>
      </w:r>
    </w:p>
    <w:p w14:paraId="0DFC7635"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XI. Documento:</w:t>
      </w:r>
      <w:r w:rsidRPr="0010730B">
        <w:rPr>
          <w:rFonts w:ascii="Palatino Linotype" w:eastAsia="Palatino Linotype" w:hAnsi="Palatino Linotype" w:cs="Palatino Linotype"/>
          <w:i/>
          <w:sz w:val="22"/>
          <w:szCs w:val="22"/>
        </w:rPr>
        <w:t xml:space="preserve"> Los expedientes, reportes, estudios, actas</w:t>
      </w:r>
      <w:r w:rsidRPr="0010730B">
        <w:rPr>
          <w:rFonts w:ascii="Palatino Linotype" w:eastAsia="Palatino Linotype" w:hAnsi="Palatino Linotype" w:cs="Palatino Linotype"/>
          <w:b/>
          <w:i/>
          <w:sz w:val="22"/>
          <w:szCs w:val="22"/>
        </w:rPr>
        <w:t>,</w:t>
      </w:r>
      <w:r w:rsidRPr="0010730B">
        <w:rPr>
          <w:rFonts w:ascii="Palatino Linotype" w:eastAsia="Palatino Linotype" w:hAnsi="Palatino Linotype" w:cs="Palatino Linotype"/>
          <w:i/>
          <w:sz w:val="22"/>
          <w:szCs w:val="22"/>
        </w:rPr>
        <w:t xml:space="preserve"> resoluciones, oficios, correspondencia, acuerdos, directivas, directrices, circulares, </w:t>
      </w:r>
      <w:r w:rsidRPr="0010730B">
        <w:rPr>
          <w:rFonts w:ascii="Palatino Linotype" w:eastAsia="Palatino Linotype" w:hAnsi="Palatino Linotype" w:cs="Palatino Linotype"/>
          <w:i/>
          <w:sz w:val="22"/>
          <w:szCs w:val="22"/>
        </w:rPr>
        <w:lastRenderedPageBreak/>
        <w:t xml:space="preserve">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94F8A73"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B7F2448" w14:textId="77777777" w:rsidR="00C10098" w:rsidRPr="0010730B" w:rsidRDefault="00AB2AA7">
      <w:pP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sz w:val="22"/>
          <w:szCs w:val="22"/>
        </w:rPr>
        <w:t>“</w:t>
      </w:r>
      <w:r w:rsidRPr="0010730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10730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79FDB71" w14:textId="77777777" w:rsidR="00C10098" w:rsidRPr="0010730B" w:rsidRDefault="00AB2AA7">
      <w:pP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1AB22624"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3F6DED5F"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77383B7C"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434F0C6B" w14:textId="77777777" w:rsidR="00C10098" w:rsidRPr="0010730B" w:rsidRDefault="00AB2AA7">
      <w:pPr>
        <w:spacing w:before="240" w:after="240" w:line="360" w:lineRule="auto"/>
        <w:ind w:right="51"/>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Lo anterior, siempre y cuando no se trate de información clasificada como reservada o confidencial, cuya difusión pueda lesionar el interés jurídicamente protegido por </w:t>
      </w:r>
      <w:r w:rsidRPr="0010730B">
        <w:rPr>
          <w:rFonts w:ascii="Palatino Linotype" w:eastAsia="Palatino Linotype" w:hAnsi="Palatino Linotype" w:cs="Palatino Linotype"/>
        </w:rPr>
        <w:lastRenderedPageBreak/>
        <w:t>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A9C2ED3"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64BD3934" w14:textId="77777777" w:rsidR="00C10098" w:rsidRPr="0010730B" w:rsidRDefault="00AB2AA7">
      <w:pPr>
        <w:spacing w:before="240" w:after="240" w:line="360" w:lineRule="auto"/>
        <w:ind w:right="49"/>
        <w:jc w:val="both"/>
        <w:rPr>
          <w:rFonts w:ascii="Palatino Linotype" w:eastAsia="Palatino Linotype" w:hAnsi="Palatino Linotype" w:cs="Palatino Linotype"/>
        </w:rPr>
      </w:pPr>
      <w:r w:rsidRPr="0010730B">
        <w:rPr>
          <w:rFonts w:ascii="Palatino Linotype" w:eastAsia="Palatino Linotype" w:hAnsi="Palatino Linotype" w:cs="Palatino Linotype"/>
        </w:rPr>
        <w:t>Por otro lado,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4A4876F4"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lastRenderedPageBreak/>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59083A2B" w14:textId="77777777" w:rsidR="00C10098" w:rsidRPr="0010730B" w:rsidRDefault="00AB2AA7">
      <w:pPr>
        <w:spacing w:before="240" w:after="240" w:line="360" w:lineRule="auto"/>
        <w:ind w:right="51"/>
        <w:jc w:val="both"/>
        <w:rPr>
          <w:rFonts w:ascii="Palatino Linotype" w:eastAsia="Palatino Linotype" w:hAnsi="Palatino Linotype" w:cs="Palatino Linotype"/>
        </w:rPr>
      </w:pPr>
      <w:r w:rsidRPr="0010730B">
        <w:rPr>
          <w:rFonts w:ascii="Palatino Linotype" w:eastAsia="Palatino Linotype" w:hAnsi="Palatino Linotype" w:cs="Palatino Linotype"/>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2BAC610F"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De lo manifestado con antelación se advierte que la persona Titular de la Unidad de Transparencia debe garantizar que las solicitudes se turnen a todas las áreas </w:t>
      </w:r>
      <w:r w:rsidRPr="0010730B">
        <w:rPr>
          <w:rFonts w:ascii="Palatino Linotype" w:eastAsia="Palatino Linotype" w:hAnsi="Palatino Linotype" w:cs="Palatino Linotype"/>
        </w:rPr>
        <w:lastRenderedPageBreak/>
        <w:t>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0F144356" w14:textId="77777777" w:rsidR="00C10098" w:rsidRPr="0010730B" w:rsidRDefault="00AB2AA7">
      <w:pPr>
        <w:spacing w:before="280" w:after="28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En esta línea de pensamiento, derivado del análisis de las constancias que obran en el expediente electrónico en el que se actúa, se advirtió que la Unidad de Transparencia, turnó la solicitud de información a la Tesorería Municipal y a la Secretaría del Ayuntamiento, como las dependencias responsables para conocer de la información que es del interés de la persona solicitante.</w:t>
      </w:r>
    </w:p>
    <w:p w14:paraId="1767E747" w14:textId="77777777" w:rsidR="00C10098" w:rsidRPr="0010730B" w:rsidRDefault="00AB2AA7">
      <w:pPr>
        <w:spacing w:before="240" w:after="240" w:line="360" w:lineRule="auto"/>
        <w:ind w:right="49"/>
        <w:jc w:val="both"/>
        <w:rPr>
          <w:rFonts w:ascii="Palatino Linotype" w:eastAsia="Palatino Linotype" w:hAnsi="Palatino Linotype" w:cs="Palatino Linotype"/>
        </w:rPr>
      </w:pPr>
      <w:r w:rsidRPr="0010730B">
        <w:rPr>
          <w:rFonts w:ascii="Palatino Linotype" w:eastAsia="Palatino Linotype" w:hAnsi="Palatino Linotype" w:cs="Palatino Linotype"/>
        </w:rPr>
        <w:t>Como sustento a lo anterior, es oportuno mencionar que la Tesorería Municipal el órgano encargado de la recaudación de los ingresos municipales y responsable de realizar las erogaciones que haga el ayuntamiento, así como de administrar la hacienda pública municipal, y llevar los registros contables, financieros y administrativos de los ingresos, egresos, e inventarios, de conformidad con los artículos 93 y 95, fracciones I y IV de la Ley Orgánica Municipal del Estado de México, a saber:</w:t>
      </w:r>
    </w:p>
    <w:p w14:paraId="082048A4" w14:textId="77777777" w:rsidR="00C10098" w:rsidRPr="0010730B" w:rsidRDefault="00AB2AA7">
      <w:pP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w:t>
      </w:r>
      <w:r w:rsidRPr="0010730B">
        <w:rPr>
          <w:rFonts w:ascii="Palatino Linotype" w:eastAsia="Palatino Linotype" w:hAnsi="Palatino Linotype" w:cs="Palatino Linotype"/>
          <w:b/>
          <w:i/>
          <w:sz w:val="22"/>
          <w:szCs w:val="22"/>
        </w:rPr>
        <w:t>Artículo 93</w:t>
      </w:r>
      <w:r w:rsidRPr="0010730B">
        <w:rPr>
          <w:rFonts w:ascii="Palatino Linotype" w:eastAsia="Palatino Linotype" w:hAnsi="Palatino Linotype" w:cs="Palatino Linotype"/>
          <w:i/>
          <w:sz w:val="22"/>
          <w:szCs w:val="22"/>
        </w:rPr>
        <w:t>.- La tesorería municipal es el órgano encargado de la recaudación de los ingresos municipales y responsable de realizar las erogaciones que haga el ayuntamiento.</w:t>
      </w:r>
    </w:p>
    <w:p w14:paraId="598F77BF" w14:textId="77777777" w:rsidR="00C10098" w:rsidRPr="0010730B" w:rsidRDefault="00AB2AA7">
      <w:pP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w:t>
      </w:r>
    </w:p>
    <w:p w14:paraId="6FF1AEC1" w14:textId="77777777" w:rsidR="00C10098" w:rsidRPr="0010730B" w:rsidRDefault="00AB2AA7">
      <w:pP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Artículo 95</w:t>
      </w:r>
      <w:r w:rsidRPr="0010730B">
        <w:rPr>
          <w:rFonts w:ascii="Palatino Linotype" w:eastAsia="Palatino Linotype" w:hAnsi="Palatino Linotype" w:cs="Palatino Linotype"/>
          <w:i/>
          <w:sz w:val="22"/>
          <w:szCs w:val="22"/>
        </w:rPr>
        <w:t xml:space="preserve">.- Son atribuciones del tesorero municipal: </w:t>
      </w:r>
    </w:p>
    <w:p w14:paraId="25CA102F"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I</w:t>
      </w:r>
      <w:r w:rsidRPr="0010730B">
        <w:rPr>
          <w:rFonts w:ascii="Palatino Linotype" w:eastAsia="Palatino Linotype" w:hAnsi="Palatino Linotype" w:cs="Palatino Linotype"/>
          <w:i/>
          <w:sz w:val="22"/>
          <w:szCs w:val="22"/>
        </w:rPr>
        <w:t xml:space="preserve">. </w:t>
      </w:r>
      <w:r w:rsidRPr="0010730B">
        <w:rPr>
          <w:rFonts w:ascii="Palatino Linotype" w:eastAsia="Palatino Linotype" w:hAnsi="Palatino Linotype" w:cs="Palatino Linotype"/>
          <w:b/>
          <w:i/>
          <w:sz w:val="22"/>
          <w:szCs w:val="22"/>
        </w:rPr>
        <w:t>Administrar la hacienda pública municipal</w:t>
      </w:r>
      <w:r w:rsidRPr="0010730B">
        <w:rPr>
          <w:rFonts w:ascii="Palatino Linotype" w:eastAsia="Palatino Linotype" w:hAnsi="Palatino Linotype" w:cs="Palatino Linotype"/>
          <w:i/>
          <w:sz w:val="22"/>
          <w:szCs w:val="22"/>
        </w:rPr>
        <w:t>, de conformidad con las disposiciones legales aplicables;</w:t>
      </w:r>
    </w:p>
    <w:p w14:paraId="53DBAE78"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w:t>
      </w:r>
    </w:p>
    <w:p w14:paraId="2DC111CE"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lastRenderedPageBreak/>
        <w:t>IV.</w:t>
      </w:r>
      <w:r w:rsidRPr="0010730B">
        <w:rPr>
          <w:rFonts w:ascii="Palatino Linotype" w:eastAsia="Palatino Linotype" w:hAnsi="Palatino Linotype" w:cs="Palatino Linotype"/>
          <w:i/>
          <w:sz w:val="22"/>
          <w:szCs w:val="22"/>
        </w:rPr>
        <w:t xml:space="preserve"> </w:t>
      </w:r>
      <w:r w:rsidRPr="0010730B">
        <w:rPr>
          <w:rFonts w:ascii="Palatino Linotype" w:eastAsia="Palatino Linotype" w:hAnsi="Palatino Linotype" w:cs="Palatino Linotype"/>
          <w:b/>
          <w:i/>
          <w:sz w:val="22"/>
          <w:szCs w:val="22"/>
        </w:rPr>
        <w:t>Llevar los registros contables, financieros y administrativos de los ingresos, egresos</w:t>
      </w:r>
      <w:r w:rsidRPr="0010730B">
        <w:rPr>
          <w:rFonts w:ascii="Palatino Linotype" w:eastAsia="Palatino Linotype" w:hAnsi="Palatino Linotype" w:cs="Palatino Linotype"/>
          <w:i/>
          <w:sz w:val="22"/>
          <w:szCs w:val="22"/>
        </w:rPr>
        <w:t>, e inventarios;…”</w:t>
      </w:r>
    </w:p>
    <w:p w14:paraId="62D4C800" w14:textId="77777777" w:rsidR="00C10098" w:rsidRPr="0010730B" w:rsidRDefault="00AB2AA7">
      <w:pPr>
        <w:spacing w:before="280" w:after="28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Por otro lado, la Secretaría del Ayuntamiento es la dependencia responsable de levantar las actas de cabildo, de llevar y conservar los libros de actas de cabildo, así como de la publicación de las Gacetas Municipales, de conformidad con el artículo 91, fracciones I, IV y XIII de la Ley Orgánica Municipal del Estado de México, a saber:</w:t>
      </w:r>
    </w:p>
    <w:p w14:paraId="1809A2BC" w14:textId="77777777" w:rsidR="00C10098" w:rsidRPr="0010730B" w:rsidRDefault="00AB2AA7">
      <w:pP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“Artículo 91.-</w:t>
      </w:r>
      <w:r w:rsidRPr="0010730B">
        <w:rPr>
          <w:rFonts w:ascii="Palatino Linotype" w:eastAsia="Palatino Linotype" w:hAnsi="Palatino Linotype" w:cs="Palatino Linotype"/>
          <w:i/>
          <w:sz w:val="22"/>
          <w:szCs w:val="22"/>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14:paraId="44B4CE01"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I.</w:t>
      </w:r>
      <w:r w:rsidRPr="0010730B">
        <w:rPr>
          <w:rFonts w:ascii="Palatino Linotype" w:eastAsia="Palatino Linotype" w:hAnsi="Palatino Linotype" w:cs="Palatino Linotype"/>
          <w:i/>
          <w:sz w:val="22"/>
          <w:szCs w:val="22"/>
        </w:rPr>
        <w:t xml:space="preserve"> Asistir a las sesiones del ayuntamiento y levantar las actas correspondientes;</w:t>
      </w:r>
    </w:p>
    <w:p w14:paraId="674FCFAE"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w:t>
      </w:r>
    </w:p>
    <w:p w14:paraId="7BDF45CF"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IV.</w:t>
      </w:r>
      <w:r w:rsidRPr="0010730B">
        <w:rPr>
          <w:rFonts w:ascii="Palatino Linotype" w:eastAsia="Palatino Linotype" w:hAnsi="Palatino Linotype" w:cs="Palatino Linotype"/>
          <w:i/>
          <w:sz w:val="22"/>
          <w:szCs w:val="22"/>
        </w:rPr>
        <w:t xml:space="preserve"> Llevar y conservar los libros de actas de cabildo, obteniendo las firmas de los asistentes a las sesiones;</w:t>
      </w:r>
    </w:p>
    <w:p w14:paraId="3F862337"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w:t>
      </w:r>
    </w:p>
    <w:p w14:paraId="1801C921"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XIII.</w:t>
      </w:r>
      <w:r w:rsidRPr="0010730B">
        <w:rPr>
          <w:rFonts w:ascii="Palatino Linotype" w:eastAsia="Palatino Linotype" w:hAnsi="Palatino Linotype" w:cs="Palatino Linotype"/>
          <w:i/>
          <w:sz w:val="22"/>
          <w:szCs w:val="22"/>
        </w:rPr>
        <w:t xml:space="preserve"> Ser responsable de la publicación de la Gaceta Municipal, así como de las publicaciones en los estrados de los Ayuntamientos;”</w:t>
      </w:r>
    </w:p>
    <w:p w14:paraId="178DA9CB" w14:textId="77777777" w:rsidR="00C10098" w:rsidRPr="0010730B" w:rsidRDefault="00AB2AA7">
      <w:pPr>
        <w:spacing w:before="280" w:after="28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Además, por lo que se refiere a la selección y nombramiento del Defensor Municipal de Derechos Humanos, el CAPÍTULO DÉCIMO, del TITULO IV Régimen Administrativo, de la Ley Orgánica Municipal del Estado de México dispone lo siguiente en su parte conducente:</w:t>
      </w:r>
    </w:p>
    <w:p w14:paraId="30B78A11" w14:textId="77777777" w:rsidR="00C10098" w:rsidRPr="0010730B" w:rsidRDefault="00AB2AA7">
      <w:pP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w:t>
      </w:r>
      <w:r w:rsidRPr="0010730B">
        <w:rPr>
          <w:rFonts w:ascii="Palatino Linotype" w:eastAsia="Palatino Linotype" w:hAnsi="Palatino Linotype" w:cs="Palatino Linotype"/>
          <w:b/>
          <w:i/>
          <w:sz w:val="22"/>
          <w:szCs w:val="22"/>
        </w:rPr>
        <w:t>Artículo 147 A</w:t>
      </w:r>
      <w:r w:rsidRPr="0010730B">
        <w:rPr>
          <w:rFonts w:ascii="Palatino Linotype" w:eastAsia="Palatino Linotype" w:hAnsi="Palatino Linotype" w:cs="Palatino Linotype"/>
          <w:i/>
          <w:sz w:val="22"/>
          <w:szCs w:val="22"/>
        </w:rPr>
        <w:t>.- En cada municipio, el ayuntamiento respectivo, mediante acuerdo de cabildo</w:t>
      </w:r>
      <w:r w:rsidRPr="0010730B">
        <w:rPr>
          <w:rFonts w:ascii="Palatino Linotype" w:eastAsia="Palatino Linotype" w:hAnsi="Palatino Linotype" w:cs="Palatino Linotype"/>
          <w:b/>
          <w:i/>
          <w:sz w:val="22"/>
          <w:szCs w:val="22"/>
        </w:rPr>
        <w:t>, expedirá con la oportunidad debida una convocatoria abierta a toda la población para designar al Defensor Municipal de Derechos Humanos</w:t>
      </w:r>
      <w:r w:rsidRPr="0010730B">
        <w:rPr>
          <w:rFonts w:ascii="Palatino Linotype" w:eastAsia="Palatino Linotype" w:hAnsi="Palatino Linotype" w:cs="Palatino Linotype"/>
          <w:i/>
          <w:sz w:val="22"/>
          <w:szCs w:val="22"/>
        </w:rPr>
        <w:t xml:space="preserve">, que deberá durar en su cargo tres años, contando a partir de la fecha de su designación, pudiendo ser reelecto por el ayuntamiento por una sola vez y por igual periodo, de acuerdo a los lineamientos siguientes: </w:t>
      </w:r>
    </w:p>
    <w:p w14:paraId="0C38864C"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lastRenderedPageBreak/>
        <w:t>I.</w:t>
      </w:r>
      <w:r w:rsidRPr="0010730B">
        <w:rPr>
          <w:rFonts w:ascii="Palatino Linotype" w:eastAsia="Palatino Linotype" w:hAnsi="Palatino Linotype" w:cs="Palatino Linotype"/>
          <w:i/>
          <w:sz w:val="22"/>
          <w:szCs w:val="22"/>
        </w:rPr>
        <w:t xml:space="preserve"> La convocatoria abierta se emitirá dentro de los primeros 60 días naturales del periodo constitucional del Ayuntamiento; </w:t>
      </w:r>
    </w:p>
    <w:p w14:paraId="6F84B619"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II.</w:t>
      </w:r>
      <w:r w:rsidRPr="0010730B">
        <w:rPr>
          <w:rFonts w:ascii="Palatino Linotype" w:eastAsia="Palatino Linotype" w:hAnsi="Palatino Linotype" w:cs="Palatino Linotype"/>
          <w:i/>
          <w:sz w:val="22"/>
          <w:szCs w:val="22"/>
        </w:rPr>
        <w:t xml:space="preserve"> La convocatoria abierta se publicará y deberá permanecer su difusión por un periodo de cuando menos quince días y no mayor a veinte días naturales, en los lugares de mayor afluencia del municipio, así como en el periódico de mayor circulación dentro del territorio municipal; </w:t>
      </w:r>
    </w:p>
    <w:p w14:paraId="514AC887"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III</w:t>
      </w:r>
      <w:r w:rsidRPr="0010730B">
        <w:rPr>
          <w:rFonts w:ascii="Palatino Linotype" w:eastAsia="Palatino Linotype" w:hAnsi="Palatino Linotype" w:cs="Palatino Linotype"/>
          <w:i/>
          <w:sz w:val="22"/>
          <w:szCs w:val="22"/>
        </w:rPr>
        <w:t xml:space="preserve">. La convocatoria abierta también se difundirá y se hará del conocimiento de las organizaciones y asociaciones interesadas en el respeto, promoción, divulgación y cultura de los derechos humanos; </w:t>
      </w:r>
    </w:p>
    <w:p w14:paraId="3CFBCF2A"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IV</w:t>
      </w:r>
      <w:r w:rsidRPr="0010730B">
        <w:rPr>
          <w:rFonts w:ascii="Palatino Linotype" w:eastAsia="Palatino Linotype" w:hAnsi="Palatino Linotype" w:cs="Palatino Linotype"/>
          <w:i/>
          <w:sz w:val="22"/>
          <w:szCs w:val="22"/>
        </w:rPr>
        <w:t xml:space="preserve">. De no ocurrir a la convocatoria más de tres aspirantes, el ayuntamiento deberá emitir una segunda convocatoria dentro de los 10 días naturales siguientes al vencimiento de la primera convocatoria; </w:t>
      </w:r>
    </w:p>
    <w:p w14:paraId="23475C38"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V</w:t>
      </w:r>
      <w:r w:rsidRPr="0010730B">
        <w:rPr>
          <w:rFonts w:ascii="Palatino Linotype" w:eastAsia="Palatino Linotype" w:hAnsi="Palatino Linotype" w:cs="Palatino Linotype"/>
          <w:i/>
          <w:sz w:val="22"/>
          <w:szCs w:val="22"/>
        </w:rPr>
        <w:t xml:space="preserve">. En caso de no presentarse suficientes aspirantes a la segunda convocatoria para integrar la terna, los miembros del ayuntamiento podrán proponer como aspirantes a personas que se distingan por su honorabilidad o reconocida autoridad moral, respetabilidad y disposición de servicio con sentido humanista a los más desprotegidos. La emisión de la terna corresponderá a la Comisión de Derechos Humanos del Estado de México, en base a la propuesta de la Comisión Municipal de Derechos Humanos, quien deberá previamente escuchar la opinión de la sociedad civil, organismos públicos y privados que tengan por objeto la defensa y protección de los derechos humanos, terna que será sometida a la consideración del cabildo para la designación del Defensor Municipal de Derechos Humanos. </w:t>
      </w:r>
    </w:p>
    <w:p w14:paraId="03A9A1A5"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VI</w:t>
      </w:r>
      <w:r w:rsidRPr="0010730B">
        <w:rPr>
          <w:rFonts w:ascii="Palatino Linotype" w:eastAsia="Palatino Linotype" w:hAnsi="Palatino Linotype" w:cs="Palatino Linotype"/>
          <w:i/>
          <w:sz w:val="22"/>
          <w:szCs w:val="22"/>
        </w:rPr>
        <w:t>. Si al inicio de la administración municipal no se cuenta con un Defensor Municipal de Derechos Humanos, el ayuntamiento deberá emitir la convocatoria respectiva a más tardar dentro de los quince días naturales siguientes a que se le haya tomado la protesta de ley; y</w:t>
      </w:r>
    </w:p>
    <w:p w14:paraId="1DAAED7E"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VII</w:t>
      </w:r>
      <w:r w:rsidRPr="0010730B">
        <w:rPr>
          <w:rFonts w:ascii="Palatino Linotype" w:eastAsia="Palatino Linotype" w:hAnsi="Palatino Linotype" w:cs="Palatino Linotype"/>
          <w:i/>
          <w:sz w:val="22"/>
          <w:szCs w:val="22"/>
        </w:rPr>
        <w:t>. Derogada.</w:t>
      </w:r>
    </w:p>
    <w:p w14:paraId="4165B73E" w14:textId="77777777" w:rsidR="00C10098" w:rsidRPr="0010730B" w:rsidRDefault="00AB2AA7">
      <w:pP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w:t>
      </w:r>
    </w:p>
    <w:p w14:paraId="76338F66" w14:textId="77777777" w:rsidR="00C10098" w:rsidRPr="0010730B" w:rsidRDefault="00AB2AA7">
      <w:pP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Artículo 147 D</w:t>
      </w:r>
      <w:r w:rsidRPr="0010730B">
        <w:rPr>
          <w:rFonts w:ascii="Palatino Linotype" w:eastAsia="Palatino Linotype" w:hAnsi="Palatino Linotype" w:cs="Palatino Linotype"/>
          <w:i/>
          <w:sz w:val="22"/>
          <w:szCs w:val="22"/>
        </w:rPr>
        <w:t xml:space="preserve">.- La convocatoria abierta que emita el ayuntamiento para acceder a Defensor Municipal de Derechos Humanos deberá reunir, cuando menos, lo siguiente: </w:t>
      </w:r>
    </w:p>
    <w:p w14:paraId="33114001"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I</w:t>
      </w:r>
      <w:r w:rsidRPr="0010730B">
        <w:rPr>
          <w:rFonts w:ascii="Palatino Linotype" w:eastAsia="Palatino Linotype" w:hAnsi="Palatino Linotype" w:cs="Palatino Linotype"/>
          <w:i/>
          <w:sz w:val="22"/>
          <w:szCs w:val="22"/>
        </w:rPr>
        <w:t xml:space="preserve">. Nombre del ayuntamiento convocante y fundamento legal; </w:t>
      </w:r>
    </w:p>
    <w:p w14:paraId="37D13B42" w14:textId="77777777" w:rsidR="00C10098" w:rsidRPr="0010730B" w:rsidRDefault="00AB2AA7">
      <w:pPr>
        <w:spacing w:before="120" w:after="120"/>
        <w:ind w:left="1134" w:right="902"/>
        <w:jc w:val="both"/>
        <w:rPr>
          <w:rFonts w:ascii="Palatino Linotype" w:eastAsia="Palatino Linotype" w:hAnsi="Palatino Linotype" w:cs="Palatino Linotype"/>
          <w:b/>
          <w:i/>
          <w:sz w:val="22"/>
          <w:szCs w:val="22"/>
        </w:rPr>
      </w:pPr>
      <w:r w:rsidRPr="0010730B">
        <w:rPr>
          <w:rFonts w:ascii="Palatino Linotype" w:eastAsia="Palatino Linotype" w:hAnsi="Palatino Linotype" w:cs="Palatino Linotype"/>
          <w:b/>
          <w:i/>
          <w:sz w:val="22"/>
          <w:szCs w:val="22"/>
        </w:rPr>
        <w:t>II</w:t>
      </w:r>
      <w:r w:rsidRPr="0010730B">
        <w:rPr>
          <w:rFonts w:ascii="Palatino Linotype" w:eastAsia="Palatino Linotype" w:hAnsi="Palatino Linotype" w:cs="Palatino Linotype"/>
          <w:i/>
          <w:sz w:val="22"/>
          <w:szCs w:val="22"/>
        </w:rPr>
        <w:t xml:space="preserve">. </w:t>
      </w:r>
      <w:r w:rsidRPr="0010730B">
        <w:rPr>
          <w:rFonts w:ascii="Palatino Linotype" w:eastAsia="Palatino Linotype" w:hAnsi="Palatino Linotype" w:cs="Palatino Linotype"/>
          <w:b/>
          <w:i/>
          <w:sz w:val="22"/>
          <w:szCs w:val="22"/>
        </w:rPr>
        <w:t>Requisitos que esta Ley exige para ser aspirante a Defensor Municipal de Derechos Humanos;</w:t>
      </w:r>
    </w:p>
    <w:p w14:paraId="70DB2518" w14:textId="77777777" w:rsidR="00C10098" w:rsidRPr="0010730B" w:rsidRDefault="00AB2AA7">
      <w:pPr>
        <w:spacing w:before="120" w:after="120"/>
        <w:ind w:left="1134" w:right="902"/>
        <w:jc w:val="both"/>
        <w:rPr>
          <w:rFonts w:ascii="Palatino Linotype" w:eastAsia="Palatino Linotype" w:hAnsi="Palatino Linotype" w:cs="Palatino Linotype"/>
          <w:b/>
          <w:i/>
          <w:sz w:val="22"/>
          <w:szCs w:val="22"/>
          <w:u w:val="single"/>
        </w:rPr>
      </w:pPr>
      <w:r w:rsidRPr="0010730B">
        <w:rPr>
          <w:rFonts w:ascii="Palatino Linotype" w:eastAsia="Palatino Linotype" w:hAnsi="Palatino Linotype" w:cs="Palatino Linotype"/>
          <w:b/>
          <w:i/>
          <w:sz w:val="22"/>
          <w:szCs w:val="22"/>
          <w:u w:val="single"/>
        </w:rPr>
        <w:lastRenderedPageBreak/>
        <w:t>III. Documentos soporte de los requisitos exigidos a los aspirantes;</w:t>
      </w:r>
    </w:p>
    <w:p w14:paraId="222B0CEC"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IV</w:t>
      </w:r>
      <w:r w:rsidRPr="0010730B">
        <w:rPr>
          <w:rFonts w:ascii="Palatino Linotype" w:eastAsia="Palatino Linotype" w:hAnsi="Palatino Linotype" w:cs="Palatino Linotype"/>
          <w:i/>
          <w:sz w:val="22"/>
          <w:szCs w:val="22"/>
        </w:rPr>
        <w:t xml:space="preserve">. Plazo para su presentación; </w:t>
      </w:r>
    </w:p>
    <w:p w14:paraId="689B6F4E"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V</w:t>
      </w:r>
      <w:r w:rsidRPr="0010730B">
        <w:rPr>
          <w:rFonts w:ascii="Palatino Linotype" w:eastAsia="Palatino Linotype" w:hAnsi="Palatino Linotype" w:cs="Palatino Linotype"/>
          <w:i/>
          <w:sz w:val="22"/>
          <w:szCs w:val="22"/>
        </w:rPr>
        <w:t xml:space="preserve">. Lugar de recepción de los mismos; </w:t>
      </w:r>
    </w:p>
    <w:p w14:paraId="2E09FEAB"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VI</w:t>
      </w:r>
      <w:r w:rsidRPr="0010730B">
        <w:rPr>
          <w:rFonts w:ascii="Palatino Linotype" w:eastAsia="Palatino Linotype" w:hAnsi="Palatino Linotype" w:cs="Palatino Linotype"/>
          <w:i/>
          <w:sz w:val="22"/>
          <w:szCs w:val="22"/>
        </w:rPr>
        <w:t xml:space="preserve">. Descripción del procedimiento de selección; y </w:t>
      </w:r>
    </w:p>
    <w:p w14:paraId="507BBF36"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VII</w:t>
      </w:r>
      <w:r w:rsidRPr="0010730B">
        <w:rPr>
          <w:rFonts w:ascii="Palatino Linotype" w:eastAsia="Palatino Linotype" w:hAnsi="Palatino Linotype" w:cs="Palatino Linotype"/>
          <w:i/>
          <w:sz w:val="22"/>
          <w:szCs w:val="22"/>
        </w:rPr>
        <w:t>. Publicación de resultados.</w:t>
      </w:r>
    </w:p>
    <w:p w14:paraId="36635355" w14:textId="77777777" w:rsidR="00C10098" w:rsidRPr="0010730B" w:rsidRDefault="00AB2AA7">
      <w:pP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Artículo 147 E.</w:t>
      </w:r>
      <w:r w:rsidRPr="0010730B">
        <w:rPr>
          <w:rFonts w:ascii="Palatino Linotype" w:eastAsia="Palatino Linotype" w:hAnsi="Palatino Linotype" w:cs="Palatino Linotype"/>
          <w:i/>
          <w:sz w:val="22"/>
          <w:szCs w:val="22"/>
        </w:rPr>
        <w:t>- La Secretaría del ayuntamiento recibirá las solicitudes y documentación de los aspirantes, acusándolo de recibido y con el folio respectivo y lo hará del conocimiento del ayuntamiento en la sesión de cabildo ordinaria siguiente, a fin de acordar su remisión a la Comisión Municipal de Derechos Humanos, para la declaratoria de terna, en no más de cinco días hábiles, acompañando copia certificada del punto de acuerdo respectivo.</w:t>
      </w:r>
    </w:p>
    <w:p w14:paraId="1B80C01E" w14:textId="77777777" w:rsidR="00C10098" w:rsidRPr="0010730B" w:rsidRDefault="00AB2AA7">
      <w:pP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Artículo 147 F</w:t>
      </w:r>
      <w:r w:rsidRPr="0010730B">
        <w:rPr>
          <w:rFonts w:ascii="Palatino Linotype" w:eastAsia="Palatino Linotype" w:hAnsi="Palatino Linotype" w:cs="Palatino Linotype"/>
          <w:i/>
          <w:sz w:val="22"/>
          <w:szCs w:val="22"/>
        </w:rPr>
        <w:t>.- Una vez recibida la documentación de los aspirantes en la Comisión Municipal de Derechos Humanos, previo estudio y consulta con la sociedad civil organizada, organismos públicos y privados, se emitirá la declaratoria de terna, en un término no mayor a diez días hábiles.</w:t>
      </w:r>
    </w:p>
    <w:p w14:paraId="35570961" w14:textId="77777777" w:rsidR="00C10098" w:rsidRPr="0010730B" w:rsidRDefault="00AB2AA7">
      <w:pP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 xml:space="preserve"> Los puntos no previstos en la convocatoria respectiva serán resueltos por el Ayuntamiento. </w:t>
      </w:r>
    </w:p>
    <w:p w14:paraId="670F96D7" w14:textId="77777777" w:rsidR="00C10098" w:rsidRPr="0010730B" w:rsidRDefault="00AB2AA7">
      <w:pP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Artículo 147 G</w:t>
      </w:r>
      <w:r w:rsidRPr="0010730B">
        <w:rPr>
          <w:rFonts w:ascii="Palatino Linotype" w:eastAsia="Palatino Linotype" w:hAnsi="Palatino Linotype" w:cs="Palatino Linotype"/>
          <w:i/>
          <w:sz w:val="22"/>
          <w:szCs w:val="22"/>
        </w:rPr>
        <w:t>.- La Comisión Municipal de Derechos Humanos remitirá al cabildo la declaratoria de terna correspondiente, para que la comunique a los aspirantes propuestos, para que en la siguiente sesión ordinaria, expongan su propuesta de plan de trabajo. Será el cabildo quien designe al Defensor Municipal de Derechos Humanos.</w:t>
      </w:r>
    </w:p>
    <w:p w14:paraId="5C1AB6AE" w14:textId="77777777" w:rsidR="00C10098" w:rsidRPr="0010730B" w:rsidRDefault="00AB2AA7">
      <w:pP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Artículo 147 H</w:t>
      </w:r>
      <w:r w:rsidRPr="0010730B">
        <w:rPr>
          <w:rFonts w:ascii="Palatino Linotype" w:eastAsia="Palatino Linotype" w:hAnsi="Palatino Linotype" w:cs="Palatino Linotype"/>
          <w:i/>
          <w:sz w:val="22"/>
          <w:szCs w:val="22"/>
        </w:rPr>
        <w:t xml:space="preserve">.- La toma de protesta del Defensor Municipal de Derechos Humanos, se realizará en sesión de cabildo, en la que estará presente la o el Presidente de la Comisión de Derechos Humanos del Estado de México o quien lo represente. </w:t>
      </w:r>
    </w:p>
    <w:p w14:paraId="07DF25BA" w14:textId="77777777" w:rsidR="00C10098" w:rsidRPr="0010730B" w:rsidRDefault="00AB2AA7">
      <w:pP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 xml:space="preserve">La Secretaría del ayuntamiento, dará a conocer a los habitantes el nombramiento respectivo que se publicará en el órgano oficial de difusión del municipio, además de enviar a la Comisión de Derechos Humanos del Estado de México copia certificada en documento físico o electrónico del acta de la sesión de cabildo correspondiente al nombramiento. Se contará como copia certificada en documento electrónico, para efectos del párrafo anterior, aquel instrumento en el que conste la firma electrónica avanzada o el sello electrónico del Secretario del ayuntamiento. </w:t>
      </w:r>
    </w:p>
    <w:p w14:paraId="16B7155B" w14:textId="77777777" w:rsidR="00C10098" w:rsidRPr="0010730B" w:rsidRDefault="00AB2AA7">
      <w:pP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lastRenderedPageBreak/>
        <w:t>El Defensor Municipal de Derechos Humanos estará sujeto al régimen de responsabilidades de los servidores públicos, previsto en el Título Séptimo de la Constitución Política del Estado Libre y Soberano de México.”</w:t>
      </w:r>
    </w:p>
    <w:p w14:paraId="08BB1429" w14:textId="77777777" w:rsidR="00C10098" w:rsidRPr="0010730B" w:rsidRDefault="00AB2AA7">
      <w:pPr>
        <w:tabs>
          <w:tab w:val="left" w:pos="3544"/>
        </w:tabs>
        <w:spacing w:before="240" w:after="240" w:line="360" w:lineRule="auto"/>
        <w:ind w:right="49"/>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Atento a lo anterior, se colige que la Tesorería Municipal y la Secretaría del Ayuntamiento cuentan con atribuciones para conocer de la información solicitada por la parte </w:t>
      </w:r>
      <w:r w:rsidRPr="0010730B">
        <w:rPr>
          <w:rFonts w:ascii="Palatino Linotype" w:eastAsia="Palatino Linotype" w:hAnsi="Palatino Linotype" w:cs="Palatino Linotype"/>
          <w:b/>
        </w:rPr>
        <w:t>Recurrente</w:t>
      </w:r>
      <w:r w:rsidRPr="0010730B">
        <w:rPr>
          <w:rFonts w:ascii="Palatino Linotype" w:eastAsia="Palatino Linotype" w:hAnsi="Palatino Linotype" w:cs="Palatino Linotype"/>
        </w:rPr>
        <w:t>, por lo tanto, la Unidad de Transparencia cumplió el procedimiento de búsqueda establecido en los artículos 151, 159, 160, 162, 163, 164, 165 y 166, de la Ley de Transparencia y Acceso a la Información Pública del Estado de México y Municipio,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este derecho.</w:t>
      </w:r>
    </w:p>
    <w:p w14:paraId="0C01230B" w14:textId="77777777" w:rsidR="00C10098" w:rsidRPr="0010730B" w:rsidRDefault="00AB2AA7">
      <w:pPr>
        <w:spacing w:before="240" w:after="240" w:line="360" w:lineRule="auto"/>
        <w:ind w:right="51"/>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10730B">
        <w:rPr>
          <w:rFonts w:ascii="Palatino Linotype" w:eastAsia="Palatino Linotype" w:hAnsi="Palatino Linotype" w:cs="Palatino Linotype"/>
          <w:b/>
        </w:rPr>
        <w:t>Recurrente</w:t>
      </w:r>
      <w:r w:rsidRPr="0010730B">
        <w:rPr>
          <w:rFonts w:ascii="Palatino Linotype" w:eastAsia="Palatino Linotype" w:hAnsi="Palatino Linotype" w:cs="Palatino Linotype"/>
        </w:rPr>
        <w:t xml:space="preserve"> requirió al </w:t>
      </w:r>
      <w:r w:rsidRPr="0010730B">
        <w:rPr>
          <w:rFonts w:ascii="Palatino Linotype" w:eastAsia="Palatino Linotype" w:hAnsi="Palatino Linotype" w:cs="Palatino Linotype"/>
          <w:b/>
        </w:rPr>
        <w:t xml:space="preserve">Sujeto Obligado </w:t>
      </w:r>
      <w:r w:rsidRPr="0010730B">
        <w:rPr>
          <w:rFonts w:ascii="Palatino Linotype" w:eastAsia="Palatino Linotype" w:hAnsi="Palatino Linotype" w:cs="Palatino Linotype"/>
        </w:rPr>
        <w:t>le proporcione, información consistente en lo siguiente:</w:t>
      </w:r>
    </w:p>
    <w:p w14:paraId="22AA0EAD" w14:textId="77777777" w:rsidR="00C10098" w:rsidRPr="0010730B" w:rsidRDefault="00AB2AA7">
      <w:pPr>
        <w:spacing w:before="240" w:after="240" w:line="360" w:lineRule="auto"/>
        <w:ind w:left="284" w:right="51"/>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1. Los participantes a la titularidad de la Defensoría Pública Municipal de D.D.H.H. de Tonatico, correspondiente a la convocatoria emitida en el año 2025. </w:t>
      </w:r>
    </w:p>
    <w:p w14:paraId="7101C6BB" w14:textId="77777777" w:rsidR="00C10098" w:rsidRPr="0010730B" w:rsidRDefault="00AB2AA7">
      <w:pPr>
        <w:spacing w:before="240" w:after="240" w:line="360" w:lineRule="auto"/>
        <w:ind w:left="284" w:right="51"/>
        <w:jc w:val="both"/>
        <w:rPr>
          <w:rFonts w:ascii="Palatino Linotype" w:eastAsia="Palatino Linotype" w:hAnsi="Palatino Linotype" w:cs="Palatino Linotype"/>
        </w:rPr>
      </w:pPr>
      <w:r w:rsidRPr="0010730B">
        <w:rPr>
          <w:rFonts w:ascii="Palatino Linotype" w:eastAsia="Palatino Linotype" w:hAnsi="Palatino Linotype" w:cs="Palatino Linotype"/>
        </w:rPr>
        <w:t>2. Las documentales que presentaron para ser considerados, (</w:t>
      </w:r>
      <w:proofErr w:type="spellStart"/>
      <w:r w:rsidRPr="0010730B">
        <w:rPr>
          <w:rFonts w:ascii="Palatino Linotype" w:eastAsia="Palatino Linotype" w:hAnsi="Palatino Linotype" w:cs="Palatino Linotype"/>
        </w:rPr>
        <w:t>curriculum</w:t>
      </w:r>
      <w:proofErr w:type="spellEnd"/>
      <w:r w:rsidRPr="0010730B">
        <w:rPr>
          <w:rFonts w:ascii="Palatino Linotype" w:eastAsia="Palatino Linotype" w:hAnsi="Palatino Linotype" w:cs="Palatino Linotype"/>
        </w:rPr>
        <w:t xml:space="preserve"> vitae, requisitos exigidos en la convocatoria, así como su plan de trabajo).</w:t>
      </w:r>
    </w:p>
    <w:p w14:paraId="6C31E380" w14:textId="77777777" w:rsidR="00C10098" w:rsidRPr="0010730B" w:rsidRDefault="00AB2AA7">
      <w:pPr>
        <w:spacing w:before="240" w:after="240" w:line="360" w:lineRule="auto"/>
        <w:ind w:left="284" w:right="51"/>
        <w:jc w:val="both"/>
        <w:rPr>
          <w:rFonts w:ascii="Palatino Linotype" w:eastAsia="Palatino Linotype" w:hAnsi="Palatino Linotype" w:cs="Palatino Linotype"/>
        </w:rPr>
      </w:pPr>
      <w:r w:rsidRPr="0010730B">
        <w:rPr>
          <w:rFonts w:ascii="Palatino Linotype" w:eastAsia="Palatino Linotype" w:hAnsi="Palatino Linotype" w:cs="Palatino Linotype"/>
        </w:rPr>
        <w:t>3. Nombre de la persona que fue elegida, su remuneración neta mensual y la sesión de cabildo en la que se tomó la protesta.</w:t>
      </w:r>
    </w:p>
    <w:p w14:paraId="50F1912C" w14:textId="77777777" w:rsidR="00C10098" w:rsidRPr="0010730B" w:rsidRDefault="00AB2AA7">
      <w:pPr>
        <w:spacing w:before="240" w:after="240" w:line="360" w:lineRule="auto"/>
        <w:ind w:right="51"/>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En respuesta, el </w:t>
      </w:r>
      <w:r w:rsidRPr="0010730B">
        <w:rPr>
          <w:rFonts w:ascii="Palatino Linotype" w:eastAsia="Palatino Linotype" w:hAnsi="Palatino Linotype" w:cs="Palatino Linotype"/>
          <w:b/>
        </w:rPr>
        <w:t xml:space="preserve">Sujeto Obligado, </w:t>
      </w:r>
      <w:r w:rsidRPr="0010730B">
        <w:rPr>
          <w:rFonts w:ascii="Palatino Linotype" w:eastAsia="Palatino Linotype" w:hAnsi="Palatino Linotype" w:cs="Palatino Linotype"/>
        </w:rPr>
        <w:t xml:space="preserve">por conducto de la Secretaría del Ayuntamiento, hizo entrega del </w:t>
      </w:r>
      <w:proofErr w:type="spellStart"/>
      <w:r w:rsidRPr="0010730B">
        <w:rPr>
          <w:rFonts w:ascii="Palatino Linotype" w:eastAsia="Palatino Linotype" w:hAnsi="Palatino Linotype" w:cs="Palatino Linotype"/>
        </w:rPr>
        <w:t>curriculum</w:t>
      </w:r>
      <w:proofErr w:type="spellEnd"/>
      <w:r w:rsidRPr="0010730B">
        <w:rPr>
          <w:rFonts w:ascii="Palatino Linotype" w:eastAsia="Palatino Linotype" w:hAnsi="Palatino Linotype" w:cs="Palatino Linotype"/>
        </w:rPr>
        <w:t xml:space="preserve"> vitae de la persona designada como Defensora </w:t>
      </w:r>
      <w:r w:rsidRPr="0010730B">
        <w:rPr>
          <w:rFonts w:ascii="Palatino Linotype" w:eastAsia="Palatino Linotype" w:hAnsi="Palatino Linotype" w:cs="Palatino Linotype"/>
        </w:rPr>
        <w:lastRenderedPageBreak/>
        <w:t>Municipal de Derechos Humanos en versión pública; y por medio del Tesorero Municipal proporcionó su sueldo neto mensual.</w:t>
      </w:r>
    </w:p>
    <w:p w14:paraId="5E5B1F92" w14:textId="77777777" w:rsidR="00C10098" w:rsidRPr="0010730B" w:rsidRDefault="00AB2AA7">
      <w:pPr>
        <w:spacing w:before="240" w:after="240" w:line="360" w:lineRule="auto"/>
        <w:ind w:right="49"/>
        <w:jc w:val="both"/>
        <w:rPr>
          <w:rFonts w:ascii="Palatino Linotype" w:eastAsia="Palatino Linotype" w:hAnsi="Palatino Linotype" w:cs="Palatino Linotype"/>
          <w:b/>
          <w:u w:val="single"/>
        </w:rPr>
      </w:pPr>
      <w:r w:rsidRPr="0010730B">
        <w:rPr>
          <w:rFonts w:ascii="Palatino Linotype" w:eastAsia="Palatino Linotype" w:hAnsi="Palatino Linotype" w:cs="Palatino Linotype"/>
        </w:rPr>
        <w:t xml:space="preserve">Derivado de lo anterior, la parte </w:t>
      </w:r>
      <w:r w:rsidRPr="0010730B">
        <w:rPr>
          <w:rFonts w:ascii="Palatino Linotype" w:eastAsia="Palatino Linotype" w:hAnsi="Palatino Linotype" w:cs="Palatino Linotype"/>
          <w:b/>
        </w:rPr>
        <w:t xml:space="preserve">Recurrente </w:t>
      </w:r>
      <w:r w:rsidRPr="0010730B">
        <w:rPr>
          <w:rFonts w:ascii="Palatino Linotype" w:eastAsia="Palatino Linotype" w:hAnsi="Palatino Linotype" w:cs="Palatino Linotype"/>
        </w:rPr>
        <w:t xml:space="preserve">presentó el recurso de revisión que se resuelve, por medio del cual alegó que la información entregada estaba incompleta, precisando que </w:t>
      </w:r>
      <w:r w:rsidRPr="0010730B">
        <w:rPr>
          <w:rFonts w:ascii="Palatino Linotype" w:eastAsia="Palatino Linotype" w:hAnsi="Palatino Linotype" w:cs="Palatino Linotype"/>
          <w:b/>
          <w:u w:val="single"/>
        </w:rPr>
        <w:t xml:space="preserve">requirió los requisitos solicitados en la convocatoria </w:t>
      </w:r>
      <w:r w:rsidRPr="0010730B">
        <w:rPr>
          <w:rFonts w:ascii="Palatino Linotype" w:eastAsia="Palatino Linotype" w:hAnsi="Palatino Linotype" w:cs="Palatino Linotype"/>
        </w:rPr>
        <w:t xml:space="preserve">a la titularidad de la Defensoría de Derechos Humanos Municipal, y </w:t>
      </w:r>
      <w:r w:rsidRPr="0010730B">
        <w:rPr>
          <w:rFonts w:ascii="Palatino Linotype" w:eastAsia="Palatino Linotype" w:hAnsi="Palatino Linotype" w:cs="Palatino Linotype"/>
          <w:b/>
          <w:u w:val="single"/>
        </w:rPr>
        <w:t>no se le informó qué documentos fueron presentados por la ganadora</w:t>
      </w:r>
      <w:r w:rsidRPr="0010730B">
        <w:rPr>
          <w:rFonts w:ascii="Palatino Linotype" w:eastAsia="Palatino Linotype" w:hAnsi="Palatino Linotype" w:cs="Palatino Linotype"/>
        </w:rPr>
        <w:t xml:space="preserve">, </w:t>
      </w:r>
      <w:r w:rsidRPr="0010730B">
        <w:rPr>
          <w:rFonts w:ascii="Palatino Linotype" w:eastAsia="Palatino Linotype" w:hAnsi="Palatino Linotype" w:cs="Palatino Linotype"/>
          <w:b/>
          <w:u w:val="single"/>
        </w:rPr>
        <w:t>no se le informó del plan de trabajo a desarrollar por la Defensora, así como tampoco se le entregó la documental instrumentada con motivo de su designación.</w:t>
      </w:r>
    </w:p>
    <w:p w14:paraId="68D71507"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Es de señalar que de la lectura del motivo de inconformidad de la parte </w:t>
      </w:r>
      <w:r w:rsidRPr="0010730B">
        <w:rPr>
          <w:rFonts w:ascii="Palatino Linotype" w:eastAsia="Palatino Linotype" w:hAnsi="Palatino Linotype" w:cs="Palatino Linotype"/>
          <w:b/>
        </w:rPr>
        <w:t xml:space="preserve">Recurrente, </w:t>
      </w:r>
      <w:r w:rsidRPr="0010730B">
        <w:rPr>
          <w:rFonts w:ascii="Palatino Linotype" w:eastAsia="Palatino Linotype" w:hAnsi="Palatino Linotype" w:cs="Palatino Linotype"/>
        </w:rPr>
        <w:t xml:space="preserve">se advierte que esta no manifestó agravios respecto de los participantes en la convocatoria para la titularidad de la Defensoría de Derechos Humanos Municipal y la documentación que estos presentaron, así como del </w:t>
      </w:r>
      <w:proofErr w:type="spellStart"/>
      <w:r w:rsidRPr="0010730B">
        <w:rPr>
          <w:rFonts w:ascii="Palatino Linotype" w:eastAsia="Palatino Linotype" w:hAnsi="Palatino Linotype" w:cs="Palatino Linotype"/>
        </w:rPr>
        <w:t>curriculum</w:t>
      </w:r>
      <w:proofErr w:type="spellEnd"/>
      <w:r w:rsidRPr="0010730B">
        <w:rPr>
          <w:rFonts w:ascii="Palatino Linotype" w:eastAsia="Palatino Linotype" w:hAnsi="Palatino Linotype" w:cs="Palatino Linotype"/>
        </w:rPr>
        <w:t xml:space="preserve"> vitae y la remuneración neta mensual de la persona designada como Defensora de Derechos Humanos Municipal, sino que se inconformó expresamente respecto de los documentos que fueron presentados por la persona designada, el plan de trabajo de esta, así como la documental instrumentada con motivo de la designación, entendiéndose por ésta el acta de la sesión de cabildo donde tomó protesta.</w:t>
      </w:r>
    </w:p>
    <w:p w14:paraId="1E4EAA73"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Por tanto, al no haber sido impugnados los requerimientos de información que se señalan, deben declararse consentidos, ya que, al no haber realizado manifestaciones de inconformidad al respecto, no pueden producirse efectos jurídicos tendentes a revocar, confirmar o modificar el acto, pues en el caso concreto se infiere que la </w:t>
      </w:r>
      <w:r w:rsidRPr="0010730B">
        <w:rPr>
          <w:rFonts w:ascii="Palatino Linotype" w:eastAsia="Palatino Linotype" w:hAnsi="Palatino Linotype" w:cs="Palatino Linotype"/>
        </w:rPr>
        <w:lastRenderedPageBreak/>
        <w:t>información proporcionada, satisface la solicitud presentada respecto de los requerimientos que no fueron combatidos.</w:t>
      </w:r>
    </w:p>
    <w:p w14:paraId="4AEDCFC0" w14:textId="77777777" w:rsidR="00C10098" w:rsidRPr="0010730B" w:rsidRDefault="00AB2AA7">
      <w:pPr>
        <w:spacing w:before="240" w:after="36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Lo anterior es así, debido a que cuando la parte </w:t>
      </w:r>
      <w:r w:rsidRPr="0010730B">
        <w:rPr>
          <w:rFonts w:ascii="Palatino Linotype" w:eastAsia="Palatino Linotype" w:hAnsi="Palatino Linotype" w:cs="Palatino Linotype"/>
          <w:b/>
        </w:rPr>
        <w:t>Recurrente</w:t>
      </w:r>
      <w:r w:rsidRPr="0010730B">
        <w:rPr>
          <w:rFonts w:ascii="Palatino Linotype" w:eastAsia="Palatino Linotype" w:hAnsi="Palatino Linotype" w:cs="Palatino Linotype"/>
        </w:rPr>
        <w:t xml:space="preserve"> impugna la respuesta del </w:t>
      </w:r>
      <w:r w:rsidRPr="0010730B">
        <w:rPr>
          <w:rFonts w:ascii="Palatino Linotype" w:eastAsia="Palatino Linotype" w:hAnsi="Palatino Linotype" w:cs="Palatino Linotype"/>
          <w:b/>
        </w:rPr>
        <w:t>Sujeto Obligado</w:t>
      </w:r>
      <w:r w:rsidRPr="0010730B">
        <w:rPr>
          <w:rFonts w:ascii="Palatino Linotype" w:eastAsia="Palatino Linotype" w:hAnsi="Palatino Linotype" w:cs="Palatino Linotype"/>
        </w:rPr>
        <w:t xml:space="preserve">, y éste no expresa razón o motivo de inconformidad en contra de todos los rubros solicitados, dichos rubros deben declararse atendidos, pues se entiende que ésta conforme con la información entregada al no contravenir la misma. </w:t>
      </w:r>
    </w:p>
    <w:p w14:paraId="2047C7A7"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Sirve de apoyo a lo anterior, lo plasmado en el criterio orientador con clave de control SO/001/2020, emitido por el entonces Instituto Nacional de Transparencia, Acceso a la Información, y Protección de Datos Personales, INAI, que lleva por rubro y texto, lo siguiente: </w:t>
      </w:r>
    </w:p>
    <w:p w14:paraId="7CC30F68" w14:textId="77777777" w:rsidR="00C10098" w:rsidRPr="0010730B" w:rsidRDefault="00AB2AA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w:t>
      </w:r>
      <w:r w:rsidRPr="0010730B">
        <w:rPr>
          <w:rFonts w:ascii="Palatino Linotype" w:eastAsia="Palatino Linotype" w:hAnsi="Palatino Linotype" w:cs="Palatino Linotype"/>
          <w:b/>
          <w:i/>
          <w:sz w:val="22"/>
          <w:szCs w:val="22"/>
        </w:rPr>
        <w:t xml:space="preserve">Actos consentidos tácitamente. Improcedencia de su análisis. </w:t>
      </w:r>
      <w:r w:rsidRPr="0010730B">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6232FC65"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59099305" w14:textId="77777777" w:rsidR="00C10098" w:rsidRPr="0010730B" w:rsidRDefault="00AB2AA7">
      <w:pPr>
        <w:ind w:left="851" w:right="900"/>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mallCaps/>
          <w:sz w:val="22"/>
          <w:szCs w:val="22"/>
        </w:rPr>
        <w:t xml:space="preserve">“ACTOS CONSENTIDOS. SON LOS QUE NO SE IMPUGNAN MEDIANTE EL RECURSO IDÓNEO. </w:t>
      </w:r>
      <w:r w:rsidRPr="0010730B">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F5A08F9"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lastRenderedPageBreak/>
        <w:t>En consecuencia, se insiste, que, ante la falta de impugnación eficaz, los requerimientos de información señalados deben declararse consentidos por la persona solicitante, y, por consiguiente, no es procedente el análisis de fondo en la resolución.</w:t>
      </w:r>
    </w:p>
    <w:p w14:paraId="1C17105A" w14:textId="77777777" w:rsidR="00C10098" w:rsidRPr="0010730B" w:rsidRDefault="00AB2AA7">
      <w:pPr>
        <w:spacing w:before="240" w:after="240" w:line="360" w:lineRule="auto"/>
        <w:ind w:right="49"/>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En la etapa de manifestaciones el </w:t>
      </w:r>
      <w:r w:rsidRPr="0010730B">
        <w:rPr>
          <w:rFonts w:ascii="Palatino Linotype" w:eastAsia="Palatino Linotype" w:hAnsi="Palatino Linotype" w:cs="Palatino Linotype"/>
          <w:b/>
        </w:rPr>
        <w:t xml:space="preserve">Sujeto Obligado, </w:t>
      </w:r>
      <w:r w:rsidRPr="0010730B">
        <w:rPr>
          <w:rFonts w:ascii="Palatino Linotype" w:eastAsia="Palatino Linotype" w:hAnsi="Palatino Linotype" w:cs="Palatino Linotype"/>
        </w:rPr>
        <w:t>proporcionó dos direcciones electrónicas para efectos de la consulta de la convocatoria para la titularidad de la Defensoría Municipal de Derechos Humanos en donde se señalan los requisitos exigidos para participar en la misma, informó que el Plan de Trabajo fue expuesto por cada uno de los aspirantes en la Décima Sesión Ordinaria de Cabildo, por lo que proporcionó una dirección electrónica para la consulta, y, finalmente, adjuntó el nombramiento expedido a favor de la persona designada como Defensora Municipal de Derechos Humanos.</w:t>
      </w:r>
    </w:p>
    <w:p w14:paraId="3BDB02A5"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Mientras que la parte </w:t>
      </w:r>
      <w:r w:rsidRPr="0010730B">
        <w:rPr>
          <w:rFonts w:ascii="Palatino Linotype" w:eastAsia="Palatino Linotype" w:hAnsi="Palatino Linotype" w:cs="Palatino Linotype"/>
          <w:b/>
        </w:rPr>
        <w:t xml:space="preserve">Recurrente, </w:t>
      </w:r>
      <w:r w:rsidRPr="0010730B">
        <w:rPr>
          <w:rFonts w:ascii="Palatino Linotype" w:eastAsia="Palatino Linotype" w:hAnsi="Palatino Linotype" w:cs="Palatino Linotype"/>
        </w:rPr>
        <w:t>fue omisa en hacer valer manifestaciones o rendir alegatos que conforme a derecho resultaran procedentes, por lo tanto, se tiene por precluido su derecho.</w:t>
      </w:r>
    </w:p>
    <w:p w14:paraId="5C014563" w14:textId="77777777" w:rsidR="00C10098" w:rsidRPr="0010730B" w:rsidRDefault="00AB2AA7">
      <w:pPr>
        <w:spacing w:before="280" w:after="28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Una vez establecidas las posturas de las partes, se procede al análisis del requerimiento de información combatido, así como la información proporcionada por el </w:t>
      </w:r>
      <w:r w:rsidRPr="0010730B">
        <w:rPr>
          <w:rFonts w:ascii="Palatino Linotype" w:eastAsia="Palatino Linotype" w:hAnsi="Palatino Linotype" w:cs="Palatino Linotype"/>
          <w:b/>
        </w:rPr>
        <w:t xml:space="preserve">Sujeto Obligado, </w:t>
      </w:r>
      <w:r w:rsidRPr="0010730B">
        <w:rPr>
          <w:rFonts w:ascii="Palatino Linotype" w:eastAsia="Palatino Linotype" w:hAnsi="Palatino Linotype" w:cs="Palatino Linotype"/>
        </w:rPr>
        <w:t xml:space="preserve">en contraposición con el motivo de inconformidad alegado por la parte </w:t>
      </w:r>
      <w:r w:rsidRPr="0010730B">
        <w:rPr>
          <w:rFonts w:ascii="Palatino Linotype" w:eastAsia="Palatino Linotype" w:hAnsi="Palatino Linotype" w:cs="Palatino Linotype"/>
          <w:b/>
        </w:rPr>
        <w:t xml:space="preserve">Recurrente, </w:t>
      </w:r>
      <w:r w:rsidRPr="0010730B">
        <w:rPr>
          <w:rFonts w:ascii="Palatino Linotype" w:eastAsia="Palatino Linotype" w:hAnsi="Palatino Linotype" w:cs="Palatino Linotype"/>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37CFD1D0" w14:textId="77777777" w:rsidR="00C10098" w:rsidRPr="0010730B" w:rsidRDefault="00AB2AA7">
      <w:pPr>
        <w:spacing w:before="280" w:after="28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lastRenderedPageBreak/>
        <w:t>En tal sentido, por lo que se refiere a los documentos que la persona designada como Defensora Municipal de los Derechos Humanos presentó para acreditar los requisitos exigidos en la convocatoria, es preciso recordar que la persona servidora pública habilitada de la Secretaría del Ayuntamiento, pretendió colmar el requerimiento en la etapa de manifestaciones con la entrega de una dirección electrónica para efectos de la convocatoria respectiva, sin embargo, proporcionó dicha dirección a través de un documento digitalizado, es decir, en formato cerrado, lo cual dificulta la consulta de la información al no permitir editar, modificar o procesar su contenido, siendo necesario capturar liga carácter por carácter, por lo que el cometer algún error en la captura implicaría invariablemente la imposibilidad de acceder a la información, razón por la cual no puede tenerse por válida la dirección electrónica proporcionada.</w:t>
      </w:r>
    </w:p>
    <w:p w14:paraId="3AB0F327" w14:textId="77777777" w:rsidR="00C10098" w:rsidRPr="0010730B" w:rsidRDefault="00AB2AA7">
      <w:pPr>
        <w:spacing w:before="280" w:after="28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Además de lo anterior, no debe perderse de vista que la persona solicitante no pretende acceder a la convocatoria, sino a los documentos que la persona designada como Defensora Municipal de los Derechos Humanos presentó, de conformidad con los requisitos establecidos en la convocatoria.</w:t>
      </w:r>
    </w:p>
    <w:p w14:paraId="316CE9CC" w14:textId="77777777" w:rsidR="00C10098" w:rsidRPr="0010730B" w:rsidRDefault="00AB2AA7">
      <w:pPr>
        <w:spacing w:before="280" w:after="28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Sobre el tema, es dable mencionar que artículo 147 I de la Ley Orgánica Municipal del Estado de México, contempla como requisitos los siguientes:</w:t>
      </w:r>
    </w:p>
    <w:p w14:paraId="3A520DA7" w14:textId="77777777" w:rsidR="00C10098" w:rsidRPr="0010730B" w:rsidRDefault="00AB2AA7">
      <w:pP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“Artículo 147 I.</w:t>
      </w:r>
      <w:r w:rsidRPr="0010730B">
        <w:rPr>
          <w:rFonts w:ascii="Palatino Linotype" w:eastAsia="Palatino Linotype" w:hAnsi="Palatino Linotype" w:cs="Palatino Linotype"/>
          <w:i/>
          <w:sz w:val="22"/>
          <w:szCs w:val="22"/>
        </w:rPr>
        <w:t xml:space="preserve">- La o el Defensor Municipal de Derechos Humanos debe reunir los requisitos siguientes: </w:t>
      </w:r>
    </w:p>
    <w:p w14:paraId="78E291A3"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I.</w:t>
      </w:r>
      <w:r w:rsidRPr="0010730B">
        <w:rPr>
          <w:rFonts w:ascii="Palatino Linotype" w:eastAsia="Palatino Linotype" w:hAnsi="Palatino Linotype" w:cs="Palatino Linotype"/>
          <w:i/>
          <w:sz w:val="22"/>
          <w:szCs w:val="22"/>
        </w:rPr>
        <w:t xml:space="preserve"> Ser mexicano en pleno goce y ejercicio de sus derechos políticos y civiles; </w:t>
      </w:r>
    </w:p>
    <w:p w14:paraId="26FA0F7B"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II.</w:t>
      </w:r>
      <w:r w:rsidRPr="0010730B">
        <w:rPr>
          <w:rFonts w:ascii="Palatino Linotype" w:eastAsia="Palatino Linotype" w:hAnsi="Palatino Linotype" w:cs="Palatino Linotype"/>
          <w:i/>
          <w:sz w:val="22"/>
          <w:szCs w:val="22"/>
        </w:rPr>
        <w:t xml:space="preserve"> Tener residencia efectiva en el municipio no menor a tres años;</w:t>
      </w:r>
    </w:p>
    <w:p w14:paraId="62309F7F"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III.</w:t>
      </w:r>
      <w:r w:rsidRPr="0010730B">
        <w:rPr>
          <w:rFonts w:ascii="Palatino Linotype" w:eastAsia="Palatino Linotype" w:hAnsi="Palatino Linotype" w:cs="Palatino Linotype"/>
          <w:i/>
          <w:sz w:val="22"/>
          <w:szCs w:val="22"/>
        </w:rPr>
        <w:t xml:space="preserve"> Contar preferentemente con título de licenciado en derecho o disciplinas afines, así como experiencia o estudios en derechos humanos; </w:t>
      </w:r>
    </w:p>
    <w:p w14:paraId="7E63C5B7"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lastRenderedPageBreak/>
        <w:t>IV</w:t>
      </w:r>
      <w:r w:rsidRPr="0010730B">
        <w:rPr>
          <w:rFonts w:ascii="Palatino Linotype" w:eastAsia="Palatino Linotype" w:hAnsi="Palatino Linotype" w:cs="Palatino Linotype"/>
          <w:i/>
          <w:sz w:val="22"/>
          <w:szCs w:val="22"/>
        </w:rPr>
        <w:t xml:space="preserve">. Tener más de 23 años al momento de su designación; </w:t>
      </w:r>
    </w:p>
    <w:p w14:paraId="54A503FA"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V.</w:t>
      </w:r>
      <w:r w:rsidRPr="0010730B">
        <w:rPr>
          <w:rFonts w:ascii="Palatino Linotype" w:eastAsia="Palatino Linotype" w:hAnsi="Palatino Linotype" w:cs="Palatino Linotype"/>
          <w:i/>
          <w:sz w:val="22"/>
          <w:szCs w:val="22"/>
        </w:rPr>
        <w:t xml:space="preserve"> Gozar de buena fama pública y no haber sido condenado por sentencia ejecutoriada por delito intencional. </w:t>
      </w:r>
    </w:p>
    <w:p w14:paraId="59966975"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VI</w:t>
      </w:r>
      <w:r w:rsidRPr="0010730B">
        <w:rPr>
          <w:rFonts w:ascii="Palatino Linotype" w:eastAsia="Palatino Linotype" w:hAnsi="Palatino Linotype" w:cs="Palatino Linotype"/>
          <w:i/>
          <w:sz w:val="22"/>
          <w:szCs w:val="22"/>
        </w:rPr>
        <w:t xml:space="preserve">. No haber sido sancionado en el desempeño de empleo, cargo o comisión en los servicios públicos federal, estatal o municipal, con motivo de alguna recomendación emitida por organismos públicos de derechos humanos; y </w:t>
      </w:r>
    </w:p>
    <w:p w14:paraId="7A588CF6"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VII</w:t>
      </w:r>
      <w:r w:rsidRPr="0010730B">
        <w:rPr>
          <w:rFonts w:ascii="Palatino Linotype" w:eastAsia="Palatino Linotype" w:hAnsi="Palatino Linotype" w:cs="Palatino Linotype"/>
          <w:i/>
          <w:sz w:val="22"/>
          <w:szCs w:val="22"/>
        </w:rPr>
        <w:t xml:space="preserve">. No haber sido objeto de sanción de inhabilitación o destitución administrativas para el desempeño de empleo, cargo o comisión en el servicio público, mediante resolución que haya causado estado. </w:t>
      </w:r>
    </w:p>
    <w:p w14:paraId="3224A2F1"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VIII.</w:t>
      </w:r>
      <w:r w:rsidRPr="0010730B">
        <w:rPr>
          <w:rFonts w:ascii="Palatino Linotype" w:eastAsia="Palatino Linotype" w:hAnsi="Palatino Linotype" w:cs="Palatino Linotype"/>
          <w:i/>
          <w:sz w:val="22"/>
          <w:szCs w:val="22"/>
        </w:rPr>
        <w:t xml:space="preserve"> Certificación en materia de derechos humanos, que para tal efecto emita la Comisión de Derechos Humanos del Estado de México.</w:t>
      </w:r>
    </w:p>
    <w:p w14:paraId="428BCED8" w14:textId="77777777" w:rsidR="00C10098" w:rsidRPr="0010730B" w:rsidRDefault="00AB2AA7">
      <w:pPr>
        <w:spacing w:before="120" w:after="120"/>
        <w:ind w:left="1134" w:right="902"/>
        <w:jc w:val="both"/>
        <w:rPr>
          <w:rFonts w:ascii="Palatino Linotype" w:eastAsia="Palatino Linotype" w:hAnsi="Palatino Linotype" w:cs="Palatino Linotype"/>
        </w:rPr>
      </w:pPr>
      <w:r w:rsidRPr="0010730B">
        <w:rPr>
          <w:rFonts w:ascii="Palatino Linotype" w:eastAsia="Palatino Linotype" w:hAnsi="Palatino Linotype" w:cs="Palatino Linotype"/>
          <w:i/>
          <w:sz w:val="22"/>
          <w:szCs w:val="22"/>
        </w:rPr>
        <w:t>Durante el tiempo de su encargo, el Defensor Municipal de Derechos Humanos no podrá desempeñar otro empleo cargo o comisión públicos, ni realizar cualquier actividad proselitista, excluyéndose las tareas académicas que no riñan con su quehacer.”</w:t>
      </w:r>
    </w:p>
    <w:p w14:paraId="088AFF67" w14:textId="77777777" w:rsidR="00C10098" w:rsidRPr="0010730B" w:rsidRDefault="00AB2AA7">
      <w:pPr>
        <w:spacing w:before="280" w:after="28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Por otro lado la convocatoria para la designación del Defensor Municipal de Derechos Humanos establece como requisitos de los aspirantes y como documentos soporte de cumplimiento de los mismos los siguientes:</w:t>
      </w:r>
    </w:p>
    <w:p w14:paraId="5774B81B" w14:textId="77777777" w:rsidR="00C10098" w:rsidRPr="0010730B" w:rsidRDefault="00AB2AA7">
      <w:pPr>
        <w:spacing w:before="280" w:after="280" w:line="360" w:lineRule="auto"/>
        <w:jc w:val="center"/>
        <w:rPr>
          <w:rFonts w:ascii="Palatino Linotype" w:eastAsia="Palatino Linotype" w:hAnsi="Palatino Linotype" w:cs="Palatino Linotype"/>
        </w:rPr>
      </w:pPr>
      <w:r w:rsidRPr="0010730B">
        <w:rPr>
          <w:noProof/>
        </w:rPr>
        <w:drawing>
          <wp:inline distT="0" distB="0" distL="0" distR="0" wp14:anchorId="4302B055" wp14:editId="593379D4">
            <wp:extent cx="4860000" cy="1756375"/>
            <wp:effectExtent l="0" t="0" r="0" b="0"/>
            <wp:docPr id="206843267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4860000" cy="1756375"/>
                    </a:xfrm>
                    <a:prstGeom prst="rect">
                      <a:avLst/>
                    </a:prstGeom>
                    <a:ln/>
                  </pic:spPr>
                </pic:pic>
              </a:graphicData>
            </a:graphic>
          </wp:inline>
        </w:drawing>
      </w:r>
      <w:r w:rsidRPr="0010730B">
        <w:rPr>
          <w:noProof/>
        </w:rPr>
        <w:drawing>
          <wp:inline distT="0" distB="0" distL="0" distR="0" wp14:anchorId="26D5A8C3" wp14:editId="6DB80625">
            <wp:extent cx="4860000" cy="788554"/>
            <wp:effectExtent l="0" t="0" r="0" b="0"/>
            <wp:docPr id="20684326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860000" cy="788554"/>
                    </a:xfrm>
                    <a:prstGeom prst="rect">
                      <a:avLst/>
                    </a:prstGeom>
                    <a:ln/>
                  </pic:spPr>
                </pic:pic>
              </a:graphicData>
            </a:graphic>
          </wp:inline>
        </w:drawing>
      </w:r>
      <w:r w:rsidRPr="0010730B">
        <w:rPr>
          <w:noProof/>
        </w:rPr>
        <w:drawing>
          <wp:inline distT="0" distB="0" distL="0" distR="0" wp14:anchorId="47D0BA51" wp14:editId="2D889F73">
            <wp:extent cx="4860000" cy="266151"/>
            <wp:effectExtent l="0" t="0" r="0" b="0"/>
            <wp:docPr id="206843267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860000" cy="266151"/>
                    </a:xfrm>
                    <a:prstGeom prst="rect">
                      <a:avLst/>
                    </a:prstGeom>
                    <a:ln/>
                  </pic:spPr>
                </pic:pic>
              </a:graphicData>
            </a:graphic>
          </wp:inline>
        </w:drawing>
      </w:r>
    </w:p>
    <w:p w14:paraId="33C7CBA9" w14:textId="77777777" w:rsidR="00C10098" w:rsidRPr="0010730B" w:rsidRDefault="00AB2AA7">
      <w:pPr>
        <w:spacing w:before="120" w:after="120" w:line="360" w:lineRule="auto"/>
        <w:ind w:right="49"/>
        <w:jc w:val="both"/>
        <w:rPr>
          <w:rFonts w:ascii="Palatino Linotype" w:eastAsia="Palatino Linotype" w:hAnsi="Palatino Linotype" w:cs="Palatino Linotype"/>
          <w:b/>
          <w:u w:val="single"/>
        </w:rPr>
      </w:pPr>
      <w:r w:rsidRPr="0010730B">
        <w:rPr>
          <w:rFonts w:ascii="Palatino Linotype" w:eastAsia="Palatino Linotype" w:hAnsi="Palatino Linotype" w:cs="Palatino Linotype"/>
        </w:rPr>
        <w:lastRenderedPageBreak/>
        <w:t xml:space="preserve">Como se logra vislumbrar, la persona designada como Defensora Municipal de Derechos Humanos debió presentar </w:t>
      </w:r>
      <w:r w:rsidRPr="0010730B">
        <w:rPr>
          <w:rFonts w:ascii="Palatino Linotype" w:eastAsia="Palatino Linotype" w:hAnsi="Palatino Linotype" w:cs="Palatino Linotype"/>
          <w:b/>
          <w:u w:val="single"/>
        </w:rPr>
        <w:t>el documento con el que acredite la nacionalidad mexicana, como el acta de nacimiento; la credencial para votar vigente, el título de licenciatura o los documentos con los que acredite su experiencia o estudios en Derechos Humanos, el informe de no antecedentes penales actualizado, así como un escrito bajo protesta de decir verdad donde manifieste no haber sido sujeto de recomendación en el desempeño de empleo, cargo o comisión, y no haber sido inhabilitado o destituido por resolución administrativa alguna.</w:t>
      </w:r>
    </w:p>
    <w:p w14:paraId="12DCE2CC" w14:textId="77777777" w:rsidR="00C10098" w:rsidRPr="0010730B" w:rsidRDefault="00AB2AA7">
      <w:pPr>
        <w:spacing w:before="120" w:after="120" w:line="360" w:lineRule="auto"/>
        <w:ind w:right="49"/>
        <w:jc w:val="both"/>
        <w:rPr>
          <w:rFonts w:ascii="Palatino Linotype" w:eastAsia="Palatino Linotype" w:hAnsi="Palatino Linotype" w:cs="Palatino Linotype"/>
        </w:rPr>
      </w:pPr>
      <w:r w:rsidRPr="0010730B">
        <w:rPr>
          <w:rFonts w:ascii="Palatino Linotype" w:eastAsia="Palatino Linotype" w:hAnsi="Palatino Linotype" w:cs="Palatino Linotype"/>
        </w:rPr>
        <w:t>No obstante, como se desprende de las constancias que integran el expediente electrónico, se advierte que el</w:t>
      </w:r>
      <w:r w:rsidRPr="0010730B">
        <w:rPr>
          <w:rFonts w:ascii="Palatino Linotype" w:eastAsia="Palatino Linotype" w:hAnsi="Palatino Linotype" w:cs="Palatino Linotype"/>
          <w:b/>
        </w:rPr>
        <w:t xml:space="preserve"> Sujeto Obligado </w:t>
      </w:r>
      <w:r w:rsidRPr="0010730B">
        <w:rPr>
          <w:rFonts w:ascii="Palatino Linotype" w:eastAsia="Palatino Linotype" w:hAnsi="Palatino Linotype" w:cs="Palatino Linotype"/>
        </w:rPr>
        <w:t>omitió proporcionar dicho soporte documental, por lo que es procedente la entrega del mismo en versión pública de conformidad con el considerando siguiente.</w:t>
      </w:r>
    </w:p>
    <w:p w14:paraId="3EF55BC4" w14:textId="77777777" w:rsidR="00C10098" w:rsidRPr="0010730B" w:rsidRDefault="00AB2AA7">
      <w:pPr>
        <w:spacing w:before="120" w:after="120" w:line="360" w:lineRule="auto"/>
        <w:ind w:right="49"/>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Asimismo, no obsta mencionar que si bien, por regla general los documentos como el acta de nacimiento o la credencial para votar, por su naturaleza son considerados como documentos susceptibles de ser clasificados en su totalidad, en el presente caso existe una excepción a dicha regla, dado que </w:t>
      </w:r>
      <w:r w:rsidRPr="0010730B">
        <w:rPr>
          <w:rFonts w:ascii="Palatino Linotype" w:eastAsia="Palatino Linotype" w:hAnsi="Palatino Linotype" w:cs="Palatino Linotype"/>
          <w:b/>
        </w:rPr>
        <w:t xml:space="preserve">los aspirantes para ocupar el cargo de Defensor Municipal de Derechos Humanos se encuentran obligados a comprobar la </w:t>
      </w:r>
      <w:r w:rsidRPr="0010730B">
        <w:rPr>
          <w:rFonts w:ascii="Palatino Linotype" w:eastAsia="Palatino Linotype" w:hAnsi="Palatino Linotype" w:cs="Palatino Linotype"/>
          <w:b/>
          <w:u w:val="single"/>
        </w:rPr>
        <w:t>nacionalidad mexicana, encontrarse en pleno goce y ejercicio de sus derechos civiles y políticos, residencia efectiva en el municipio,  y edad mínima,</w:t>
      </w:r>
      <w:r w:rsidRPr="0010730B">
        <w:rPr>
          <w:rFonts w:ascii="Palatino Linotype" w:eastAsia="Palatino Linotype" w:hAnsi="Palatino Linotype" w:cs="Palatino Linotype"/>
          <w:b/>
        </w:rPr>
        <w:t xml:space="preserve"> </w:t>
      </w:r>
      <w:r w:rsidRPr="0010730B">
        <w:rPr>
          <w:rFonts w:ascii="Palatino Linotype" w:eastAsia="Palatino Linotype" w:hAnsi="Palatino Linotype" w:cs="Palatino Linotype"/>
        </w:rPr>
        <w:t>entre otros</w:t>
      </w:r>
      <w:r w:rsidRPr="0010730B">
        <w:rPr>
          <w:rFonts w:ascii="Palatino Linotype" w:eastAsia="Palatino Linotype" w:hAnsi="Palatino Linotype" w:cs="Palatino Linotype"/>
          <w:b/>
        </w:rPr>
        <w:t xml:space="preserve">, </w:t>
      </w:r>
      <w:r w:rsidRPr="0010730B">
        <w:rPr>
          <w:rFonts w:ascii="Palatino Linotype" w:eastAsia="Palatino Linotype" w:hAnsi="Palatino Linotype" w:cs="Palatino Linotype"/>
        </w:rPr>
        <w:t>como se desprende del artículo 147 I de la Ley Orgánica Municipal del Estado de México y de la convocatoria, siendo dichos documentos los idóneos para acreditar el cumplimiento de dichos requisitos.</w:t>
      </w:r>
    </w:p>
    <w:p w14:paraId="65CE35C2" w14:textId="77777777" w:rsidR="00C10098" w:rsidRPr="0010730B" w:rsidRDefault="00AB2AA7">
      <w:pPr>
        <w:spacing w:before="120" w:after="120" w:line="360" w:lineRule="auto"/>
        <w:ind w:right="49"/>
        <w:jc w:val="both"/>
        <w:rPr>
          <w:rFonts w:ascii="Palatino Linotype" w:eastAsia="Palatino Linotype" w:hAnsi="Palatino Linotype" w:cs="Palatino Linotype"/>
        </w:rPr>
      </w:pPr>
      <w:r w:rsidRPr="0010730B">
        <w:rPr>
          <w:rFonts w:ascii="Palatino Linotype" w:eastAsia="Palatino Linotype" w:hAnsi="Palatino Linotype" w:cs="Palatino Linotype"/>
        </w:rPr>
        <w:lastRenderedPageBreak/>
        <w:t>En consecuencia, se estima que en el caso particular los documentos referidos son susceptibles de entrega en versión pública, donde se protejan los datos personales concernientes a la vida privada de la persona designada como Defensora Municipal de Derechos Humanos.</w:t>
      </w:r>
    </w:p>
    <w:p w14:paraId="32F13F39" w14:textId="77777777" w:rsidR="00C10098" w:rsidRPr="0010730B" w:rsidRDefault="00AB2AA7">
      <w:pPr>
        <w:spacing w:before="120" w:after="120" w:line="360" w:lineRule="auto"/>
        <w:ind w:right="49"/>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Por otro lado, en lo concerniente al plan de trabajo de la persona designada como Defensora Municipal de Derechos Humanos, la persona servidora pública habilitada competente manifestó que este </w:t>
      </w:r>
      <w:r w:rsidRPr="0010730B">
        <w:rPr>
          <w:rFonts w:ascii="Palatino Linotype" w:eastAsia="Palatino Linotype" w:hAnsi="Palatino Linotype" w:cs="Palatino Linotype"/>
          <w:b/>
          <w:u w:val="single"/>
        </w:rPr>
        <w:t>fue expuesto durante la Décima Sesión Ordinaria de Cabildo, celebrada el cinco de marzo de dos mil veinticinco,</w:t>
      </w:r>
      <w:r w:rsidRPr="0010730B">
        <w:rPr>
          <w:rFonts w:ascii="Palatino Linotype" w:eastAsia="Palatino Linotype" w:hAnsi="Palatino Linotype" w:cs="Palatino Linotype"/>
        </w:rPr>
        <w:t xml:space="preserve"> argumento que resulta coincidente con lo previsto en la convocatoria, a saber:</w:t>
      </w:r>
    </w:p>
    <w:p w14:paraId="6C134F30" w14:textId="77777777" w:rsidR="00C10098" w:rsidRPr="0010730B" w:rsidRDefault="00AB2AA7">
      <w:pPr>
        <w:spacing w:before="120" w:after="120" w:line="360" w:lineRule="auto"/>
        <w:ind w:right="49"/>
        <w:jc w:val="center"/>
        <w:rPr>
          <w:rFonts w:ascii="Palatino Linotype" w:eastAsia="Palatino Linotype" w:hAnsi="Palatino Linotype" w:cs="Palatino Linotype"/>
        </w:rPr>
      </w:pPr>
      <w:r w:rsidRPr="0010730B">
        <w:rPr>
          <w:noProof/>
        </w:rPr>
        <w:drawing>
          <wp:inline distT="0" distB="0" distL="0" distR="0" wp14:anchorId="6D59D970" wp14:editId="2AF795A6">
            <wp:extent cx="5220000" cy="362648"/>
            <wp:effectExtent l="0" t="0" r="0" b="0"/>
            <wp:docPr id="20684326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220000" cy="362648"/>
                    </a:xfrm>
                    <a:prstGeom prst="rect">
                      <a:avLst/>
                    </a:prstGeom>
                    <a:ln/>
                  </pic:spPr>
                </pic:pic>
              </a:graphicData>
            </a:graphic>
          </wp:inline>
        </w:drawing>
      </w:r>
    </w:p>
    <w:p w14:paraId="3BD1CA57" w14:textId="77777777" w:rsidR="00C10098" w:rsidRPr="0010730B" w:rsidRDefault="00AB2AA7">
      <w:pPr>
        <w:spacing w:before="120" w:after="120" w:line="360" w:lineRule="auto"/>
        <w:ind w:right="49"/>
        <w:jc w:val="both"/>
        <w:rPr>
          <w:rFonts w:ascii="Palatino Linotype" w:eastAsia="Palatino Linotype" w:hAnsi="Palatino Linotype" w:cs="Palatino Linotype"/>
        </w:rPr>
      </w:pPr>
      <w:r w:rsidRPr="0010730B">
        <w:rPr>
          <w:rFonts w:ascii="Palatino Linotype" w:eastAsia="Palatino Linotype" w:hAnsi="Palatino Linotype" w:cs="Palatino Linotype"/>
        </w:rPr>
        <w:t>Y, si bien, la persona servidora pública habilitada pretendió proporcionar la liga electrónica para la consulta de la videograbación de dicha sesión, no escapa de la óptica de este organismo garante que se hizo a través de un documento digitalizado, reiterando que se trata de un documento en formato cerrado, que no puede tenerse por válido al no permitir editar, modificar o procesar su contenido.</w:t>
      </w:r>
    </w:p>
    <w:p w14:paraId="7A4C46A4" w14:textId="77777777" w:rsidR="00C10098" w:rsidRPr="0010730B" w:rsidRDefault="00AB2AA7">
      <w:pPr>
        <w:tabs>
          <w:tab w:val="left" w:pos="1140"/>
        </w:tabs>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Para sustentar dicha determinación es oportuno referir que de conformidad con el artículo 24, fracción V de la Ley de Transparencia y Acceso a la Información Pública del Estado de México y Municipios, los entes públicos se encuentran obligados </w:t>
      </w:r>
      <w:r w:rsidRPr="0010730B">
        <w:rPr>
          <w:rFonts w:ascii="Palatino Linotype" w:eastAsia="Palatino Linotype" w:hAnsi="Palatino Linotype" w:cs="Palatino Linotype"/>
          <w:b/>
          <w:u w:val="single"/>
        </w:rPr>
        <w:t>a promover</w:t>
      </w:r>
      <w:r w:rsidRPr="0010730B">
        <w:rPr>
          <w:rFonts w:ascii="Palatino Linotype" w:eastAsia="Palatino Linotype" w:hAnsi="Palatino Linotype" w:cs="Palatino Linotype"/>
        </w:rPr>
        <w:t xml:space="preserve"> la generación, documentación y publicación de la información </w:t>
      </w:r>
      <w:r w:rsidRPr="0010730B">
        <w:rPr>
          <w:rFonts w:ascii="Palatino Linotype" w:eastAsia="Palatino Linotype" w:hAnsi="Palatino Linotype" w:cs="Palatino Linotype"/>
          <w:b/>
          <w:u w:val="single"/>
        </w:rPr>
        <w:t>en formatos abiertos y accesibles</w:t>
      </w:r>
      <w:r w:rsidRPr="0010730B">
        <w:rPr>
          <w:rFonts w:ascii="Palatino Linotype" w:eastAsia="Palatino Linotype" w:hAnsi="Palatino Linotype" w:cs="Palatino Linotype"/>
        </w:rPr>
        <w:t xml:space="preserve">, es decir, se debe procurar, en la medida de lo posible, que la información que se genere permita su reproducción y reutilización electrónica, de manera libre sin ninguna restricción. </w:t>
      </w:r>
    </w:p>
    <w:p w14:paraId="5B3EF604" w14:textId="77777777" w:rsidR="00C10098" w:rsidRPr="0010730B" w:rsidRDefault="00AB2AA7">
      <w:pPr>
        <w:tabs>
          <w:tab w:val="left" w:pos="1140"/>
        </w:tabs>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lastRenderedPageBreak/>
        <w:t xml:space="preserve">Atento a lo anterior se insta al </w:t>
      </w:r>
      <w:r w:rsidRPr="0010730B">
        <w:rPr>
          <w:rFonts w:ascii="Palatino Linotype" w:eastAsia="Palatino Linotype" w:hAnsi="Palatino Linotype" w:cs="Palatino Linotype"/>
          <w:b/>
        </w:rPr>
        <w:t xml:space="preserve">Sujeto Obligado, </w:t>
      </w:r>
      <w:r w:rsidRPr="0010730B">
        <w:rPr>
          <w:rFonts w:ascii="Palatino Linotype" w:eastAsia="Palatino Linotype" w:hAnsi="Palatino Linotype" w:cs="Palatino Linotype"/>
        </w:rPr>
        <w:t>para que en próximas ocasiones, en la medida de lo posible, cuando haga entrega de información pública de manera electrónica, garantice la interoperabilidad de esta, es decir, que esta contenga datos en formatos y estándares abiertos para su reproducción y reutilización electrónica por parte de los solicitantes, preferentemente a través de enlaces o hipervínculos, que permitan la conexión directa a la página o sitio en el que se aloja la información, al dar clic al mismo, con la finalidad de asegurar el acceso a la información que es de su interés.</w:t>
      </w:r>
    </w:p>
    <w:p w14:paraId="1970DBC9" w14:textId="77777777" w:rsidR="00C10098" w:rsidRPr="0010730B" w:rsidRDefault="00AB2AA7">
      <w:pPr>
        <w:tabs>
          <w:tab w:val="left" w:pos="1140"/>
        </w:tabs>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Por otro lado, es de señalar que de la consulta realizada por este Organismo Garante en diversas fuentes de información, se localizó en el canal oficial de </w:t>
      </w:r>
      <w:r w:rsidRPr="0010730B">
        <w:rPr>
          <w:rFonts w:ascii="Palatino Linotype" w:eastAsia="Palatino Linotype" w:hAnsi="Palatino Linotype" w:cs="Palatino Linotype"/>
          <w:b/>
        </w:rPr>
        <w:t>Sujeto Obligado</w:t>
      </w:r>
      <w:r w:rsidRPr="0010730B">
        <w:rPr>
          <w:rFonts w:ascii="Palatino Linotype" w:eastAsia="Palatino Linotype" w:hAnsi="Palatino Linotype" w:cs="Palatino Linotype"/>
        </w:rPr>
        <w:t xml:space="preserve"> en la plataforma YouTube, la videograbación de la Décima Sesión Ordinaria de Cabildo a la que hizo referencia el servidor público habilitado, donde se pudo vislumbrar que los aspirantes, además de exponer su propuesta del plan de trabajo, hicieron entrega de la misma a los integrantes del Cabildo, como se ilustra a continuación, para mejor referencia:</w:t>
      </w:r>
    </w:p>
    <w:p w14:paraId="19AC69D1" w14:textId="77777777" w:rsidR="00C10098" w:rsidRPr="0010730B" w:rsidRDefault="00AB2AA7">
      <w:pPr>
        <w:tabs>
          <w:tab w:val="left" w:pos="1140"/>
        </w:tabs>
        <w:spacing w:before="240" w:after="240" w:line="360" w:lineRule="auto"/>
        <w:jc w:val="center"/>
        <w:rPr>
          <w:rFonts w:ascii="Palatino Linotype" w:eastAsia="Palatino Linotype" w:hAnsi="Palatino Linotype" w:cs="Palatino Linotype"/>
        </w:rPr>
      </w:pPr>
      <w:r w:rsidRPr="0010730B">
        <w:rPr>
          <w:rFonts w:ascii="Palatino Linotype" w:eastAsia="Palatino Linotype" w:hAnsi="Palatino Linotype" w:cs="Palatino Linotype"/>
          <w:noProof/>
        </w:rPr>
        <w:drawing>
          <wp:inline distT="0" distB="0" distL="0" distR="0" wp14:anchorId="7734D3CC" wp14:editId="40AE38CA">
            <wp:extent cx="3600000" cy="2652546"/>
            <wp:effectExtent l="0" t="0" r="0" b="0"/>
            <wp:docPr id="20684326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600000" cy="2652546"/>
                    </a:xfrm>
                    <a:prstGeom prst="rect">
                      <a:avLst/>
                    </a:prstGeom>
                    <a:ln/>
                  </pic:spPr>
                </pic:pic>
              </a:graphicData>
            </a:graphic>
          </wp:inline>
        </w:drawing>
      </w:r>
    </w:p>
    <w:p w14:paraId="06642875" w14:textId="77777777" w:rsidR="00C10098" w:rsidRPr="0010730B" w:rsidRDefault="00AB2AA7">
      <w:pPr>
        <w:spacing w:before="120" w:after="120" w:line="360" w:lineRule="auto"/>
        <w:ind w:right="49"/>
        <w:jc w:val="both"/>
        <w:rPr>
          <w:rFonts w:ascii="Palatino Linotype" w:eastAsia="Palatino Linotype" w:hAnsi="Palatino Linotype" w:cs="Palatino Linotype"/>
        </w:rPr>
      </w:pPr>
      <w:r w:rsidRPr="0010730B">
        <w:rPr>
          <w:rFonts w:ascii="Palatino Linotype" w:eastAsia="Palatino Linotype" w:hAnsi="Palatino Linotype" w:cs="Palatino Linotype"/>
        </w:rPr>
        <w:lastRenderedPageBreak/>
        <w:t>Por consiguiente, se estima dable ordenar la entrega del documento en el que conste el Plan de Trabajo de la  persona designada como Defensora Municipal de Derechos Humanos, en versión pública de ser procedente, de conformidad con el considerando siguiente.</w:t>
      </w:r>
    </w:p>
    <w:p w14:paraId="4B70C674" w14:textId="77777777" w:rsidR="00C10098" w:rsidRPr="0010730B" w:rsidRDefault="00AB2AA7">
      <w:pPr>
        <w:spacing w:before="120" w:after="120" w:line="360" w:lineRule="auto"/>
        <w:ind w:right="49"/>
        <w:jc w:val="both"/>
        <w:rPr>
          <w:rFonts w:ascii="Palatino Linotype" w:eastAsia="Palatino Linotype" w:hAnsi="Palatino Linotype" w:cs="Palatino Linotype"/>
        </w:rPr>
      </w:pPr>
      <w:r w:rsidRPr="0010730B">
        <w:rPr>
          <w:rFonts w:ascii="Palatino Linotype" w:eastAsia="Palatino Linotype" w:hAnsi="Palatino Linotype" w:cs="Palatino Linotype"/>
        </w:rPr>
        <w:t>Finalmente, por lo que se refiere a la documentación instrumentada con motivo de la designación de la Defensora Municipal de Derechos Humanos, es decir, el acta de la sesión de cabildo en la que se le tomó protesta, la convocatoria señala lo siguiente:</w:t>
      </w:r>
    </w:p>
    <w:p w14:paraId="407A2197" w14:textId="77777777" w:rsidR="00C10098" w:rsidRPr="0010730B" w:rsidRDefault="00AB2AA7">
      <w:pPr>
        <w:spacing w:before="120" w:after="120" w:line="360" w:lineRule="auto"/>
        <w:ind w:right="49"/>
        <w:jc w:val="center"/>
        <w:rPr>
          <w:rFonts w:ascii="Palatino Linotype" w:eastAsia="Palatino Linotype" w:hAnsi="Palatino Linotype" w:cs="Palatino Linotype"/>
        </w:rPr>
      </w:pPr>
      <w:r w:rsidRPr="0010730B">
        <w:rPr>
          <w:noProof/>
        </w:rPr>
        <w:drawing>
          <wp:inline distT="0" distB="0" distL="0" distR="0" wp14:anchorId="76C564A3" wp14:editId="0DB2B775">
            <wp:extent cx="4860000" cy="1429735"/>
            <wp:effectExtent l="0" t="0" r="0" b="0"/>
            <wp:docPr id="20684326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4860000" cy="1429735"/>
                    </a:xfrm>
                    <a:prstGeom prst="rect">
                      <a:avLst/>
                    </a:prstGeom>
                    <a:ln/>
                  </pic:spPr>
                </pic:pic>
              </a:graphicData>
            </a:graphic>
          </wp:inline>
        </w:drawing>
      </w:r>
    </w:p>
    <w:p w14:paraId="28676257" w14:textId="77777777" w:rsidR="00C10098" w:rsidRPr="0010730B" w:rsidRDefault="00AB2AA7">
      <w:pPr>
        <w:spacing w:before="120" w:after="120" w:line="360" w:lineRule="auto"/>
        <w:ind w:right="49"/>
        <w:jc w:val="both"/>
        <w:rPr>
          <w:rFonts w:ascii="Palatino Linotype" w:eastAsia="Palatino Linotype" w:hAnsi="Palatino Linotype" w:cs="Palatino Linotype"/>
        </w:rPr>
      </w:pPr>
      <w:r w:rsidRPr="0010730B">
        <w:rPr>
          <w:rFonts w:ascii="Palatino Linotype" w:eastAsia="Palatino Linotype" w:hAnsi="Palatino Linotype" w:cs="Palatino Linotype"/>
        </w:rPr>
        <w:t>En este sentido, la persona servidora pública habilitada tuvo a bien proporcionar el nombramiento de la persona servidora pública designada como Defensora Municipal de Derechos Humanos, omitió hacer entrega del acta de la sesión de cabildo en la que fue designada y tomo protesta, por tanto, se estima que para tener por satisfecho este punto de la solicitud, es necesario que se haga entrega del acta de la sesión de cabildo correspondiente.</w:t>
      </w:r>
    </w:p>
    <w:p w14:paraId="21347E32" w14:textId="77777777" w:rsidR="00C10098" w:rsidRPr="0010730B" w:rsidRDefault="00AB2AA7">
      <w:pPr>
        <w:spacing w:before="120" w:after="120" w:line="360" w:lineRule="auto"/>
        <w:ind w:right="49"/>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Al respecto, es de señalar que del análisis del nombramiento entregado, se advirtió que dicha acta corresponde a la </w:t>
      </w:r>
      <w:r w:rsidRPr="0010730B">
        <w:rPr>
          <w:rFonts w:ascii="Palatino Linotype" w:eastAsia="Palatino Linotype" w:hAnsi="Palatino Linotype" w:cs="Palatino Linotype"/>
          <w:b/>
          <w:u w:val="single"/>
        </w:rPr>
        <w:t>Décima Sesión Ordinaria de Cabildo, celebrada el cinco de marzo de dos mil veinticinco</w:t>
      </w:r>
      <w:r w:rsidRPr="0010730B">
        <w:rPr>
          <w:rFonts w:ascii="Palatino Linotype" w:eastAsia="Palatino Linotype" w:hAnsi="Palatino Linotype" w:cs="Palatino Linotype"/>
        </w:rPr>
        <w:t>.</w:t>
      </w:r>
    </w:p>
    <w:p w14:paraId="75DA0ECA" w14:textId="77777777" w:rsidR="00C10098" w:rsidRPr="0010730B" w:rsidRDefault="00AB2AA7">
      <w:pPr>
        <w:spacing w:before="120" w:after="120" w:line="360" w:lineRule="auto"/>
        <w:ind w:right="49"/>
        <w:jc w:val="both"/>
        <w:rPr>
          <w:rFonts w:ascii="Palatino Linotype" w:eastAsia="Palatino Linotype" w:hAnsi="Palatino Linotype" w:cs="Palatino Linotype"/>
        </w:rPr>
      </w:pPr>
      <w:r w:rsidRPr="0010730B">
        <w:rPr>
          <w:rFonts w:ascii="Palatino Linotype" w:eastAsia="Palatino Linotype" w:hAnsi="Palatino Linotype" w:cs="Palatino Linotype"/>
        </w:rPr>
        <w:lastRenderedPageBreak/>
        <w:t>Para un mejor entendimiento, a continuación, se inserta un fragmento del nombramiento:</w:t>
      </w:r>
    </w:p>
    <w:p w14:paraId="4976584A" w14:textId="77777777" w:rsidR="00C10098" w:rsidRPr="0010730B" w:rsidRDefault="00AB2AA7">
      <w:pPr>
        <w:spacing w:before="120" w:after="120" w:line="360" w:lineRule="auto"/>
        <w:ind w:right="49"/>
        <w:jc w:val="center"/>
        <w:rPr>
          <w:rFonts w:ascii="Palatino Linotype" w:eastAsia="Palatino Linotype" w:hAnsi="Palatino Linotype" w:cs="Palatino Linotype"/>
        </w:rPr>
      </w:pPr>
      <w:r w:rsidRPr="0010730B">
        <w:rPr>
          <w:noProof/>
        </w:rPr>
        <w:drawing>
          <wp:inline distT="0" distB="0" distL="0" distR="0" wp14:anchorId="1C34A8E5" wp14:editId="2B40252C">
            <wp:extent cx="3240000" cy="1888235"/>
            <wp:effectExtent l="0" t="0" r="0" b="0"/>
            <wp:docPr id="206843267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t="8448"/>
                    <a:stretch>
                      <a:fillRect/>
                    </a:stretch>
                  </pic:blipFill>
                  <pic:spPr>
                    <a:xfrm>
                      <a:off x="0" y="0"/>
                      <a:ext cx="3240000" cy="1888235"/>
                    </a:xfrm>
                    <a:prstGeom prst="rect">
                      <a:avLst/>
                    </a:prstGeom>
                    <a:ln/>
                  </pic:spPr>
                </pic:pic>
              </a:graphicData>
            </a:graphic>
          </wp:inline>
        </w:drawing>
      </w:r>
    </w:p>
    <w:p w14:paraId="5C25E0EE" w14:textId="77777777" w:rsidR="00C10098" w:rsidRPr="0010730B" w:rsidRDefault="00AB2AA7">
      <w:pPr>
        <w:spacing w:before="120" w:after="120" w:line="360" w:lineRule="auto"/>
        <w:ind w:right="49"/>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No obsta mencionar además que de conformidad con el artículo 94 de la Ley de Transparencia y Acceso a la Información Pública del Estado de México y Municipios, los municipios cuentan con la obligación de publicar en sus portales de internet, entre otra información, las actas de las sesiones de cabildo, como se lee enseguida: </w:t>
      </w:r>
    </w:p>
    <w:p w14:paraId="3432E054" w14:textId="77777777" w:rsidR="00C10098" w:rsidRPr="0010730B" w:rsidRDefault="00AB2AA7">
      <w:pPr>
        <w:spacing w:before="120" w:after="120"/>
        <w:ind w:left="851" w:right="900"/>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w:t>
      </w:r>
      <w:r w:rsidRPr="0010730B">
        <w:rPr>
          <w:rFonts w:ascii="Palatino Linotype" w:eastAsia="Palatino Linotype" w:hAnsi="Palatino Linotype" w:cs="Palatino Linotype"/>
          <w:b/>
          <w:i/>
          <w:sz w:val="22"/>
          <w:szCs w:val="22"/>
        </w:rPr>
        <w:t>Artículo 94</w:t>
      </w:r>
      <w:r w:rsidRPr="0010730B">
        <w:rPr>
          <w:rFonts w:ascii="Palatino Linotype" w:eastAsia="Palatino Linotype" w:hAnsi="Palatino Linotype" w:cs="Palatino Linotype"/>
          <w:i/>
          <w:sz w:val="22"/>
          <w:szCs w:val="22"/>
        </w:rPr>
        <w:t>. Además de las obligaciones de transparencia común a que se refiere el Capítulo II de este Título, los sujetos obligados del Poder Ejecutivo Local y municipales, deberán poner a disposición del público y actualizar la siguiente información:</w:t>
      </w:r>
    </w:p>
    <w:p w14:paraId="1ED4D680" w14:textId="77777777" w:rsidR="00C10098" w:rsidRPr="0010730B" w:rsidRDefault="00AB2AA7">
      <w:pPr>
        <w:spacing w:before="120" w:after="120"/>
        <w:ind w:left="1134" w:right="900"/>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w:t>
      </w:r>
    </w:p>
    <w:p w14:paraId="6635BA20" w14:textId="77777777" w:rsidR="00C10098" w:rsidRPr="0010730B" w:rsidRDefault="00AB2AA7">
      <w:pPr>
        <w:spacing w:before="120" w:after="120"/>
        <w:ind w:left="1134" w:right="900"/>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II</w:t>
      </w:r>
      <w:r w:rsidRPr="0010730B">
        <w:rPr>
          <w:rFonts w:ascii="Palatino Linotype" w:eastAsia="Palatino Linotype" w:hAnsi="Palatino Linotype" w:cs="Palatino Linotype"/>
          <w:i/>
          <w:sz w:val="22"/>
          <w:szCs w:val="22"/>
        </w:rPr>
        <w:t>. Adicionalmente en el caso de los municipios:</w:t>
      </w:r>
    </w:p>
    <w:p w14:paraId="36323E5C" w14:textId="77777777" w:rsidR="00C10098" w:rsidRPr="0010730B" w:rsidRDefault="00AB2AA7">
      <w:pPr>
        <w:spacing w:before="120" w:after="120"/>
        <w:ind w:left="1418" w:right="900"/>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w:t>
      </w:r>
    </w:p>
    <w:p w14:paraId="408F1601" w14:textId="77777777" w:rsidR="00C10098" w:rsidRPr="0010730B" w:rsidRDefault="00AB2AA7">
      <w:pPr>
        <w:spacing w:before="120" w:after="120"/>
        <w:ind w:left="1418" w:right="900"/>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b) Las actas de sesiones de cabildo</w:t>
      </w:r>
      <w:r w:rsidRPr="0010730B">
        <w:rPr>
          <w:rFonts w:ascii="Palatino Linotype" w:eastAsia="Palatino Linotype" w:hAnsi="Palatino Linotype" w:cs="Palatino Linotype"/>
          <w:i/>
          <w:sz w:val="22"/>
          <w:szCs w:val="22"/>
        </w:rPr>
        <w:t>, los controles de asistencia de los integrantes del Ayuntamiento a las sesiones de cabildo y el sentido de votación de los miembros del cabildo sobre las iniciativas o acuerdos;”</w:t>
      </w:r>
    </w:p>
    <w:p w14:paraId="4C4C023F" w14:textId="77777777" w:rsidR="00C10098" w:rsidRPr="0010730B" w:rsidRDefault="00AB2AA7">
      <w:pPr>
        <w:spacing w:before="280" w:after="28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Bajo esta línea de pensamiento, se concluye que con la entrega del acta de la Décima Sesión Ordinaria de Cabildo referida, en versión pública de ser necesario, se </w:t>
      </w:r>
      <w:r w:rsidRPr="0010730B">
        <w:rPr>
          <w:rFonts w:ascii="Palatino Linotype" w:eastAsia="Palatino Linotype" w:hAnsi="Palatino Linotype" w:cs="Palatino Linotype"/>
        </w:rPr>
        <w:lastRenderedPageBreak/>
        <w:t>atenderán el requerimiento relativo a la toma de protesta de la persona designada como Defensora Municipal de Derechos Humanos.</w:t>
      </w:r>
    </w:p>
    <w:p w14:paraId="1AFF1B95" w14:textId="77777777" w:rsidR="00C10098" w:rsidRPr="0010730B" w:rsidRDefault="00AB2AA7">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De lo hasta aquí expuesto, se concluye que los motivos de inconformidad de la parte </w:t>
      </w:r>
      <w:r w:rsidRPr="0010730B">
        <w:rPr>
          <w:rFonts w:ascii="Palatino Linotype" w:eastAsia="Palatino Linotype" w:hAnsi="Palatino Linotype" w:cs="Palatino Linotype"/>
          <w:b/>
        </w:rPr>
        <w:t xml:space="preserve">Recurrente </w:t>
      </w:r>
      <w:r w:rsidRPr="0010730B">
        <w:rPr>
          <w:rFonts w:ascii="Palatino Linotype" w:eastAsia="Palatino Linotype" w:hAnsi="Palatino Linotype" w:cs="Palatino Linotype"/>
        </w:rPr>
        <w:t xml:space="preserve">devienen fundados, siendo procedente </w:t>
      </w:r>
      <w:r w:rsidRPr="0010730B">
        <w:rPr>
          <w:rFonts w:ascii="Palatino Linotype" w:eastAsia="Palatino Linotype" w:hAnsi="Palatino Linotype" w:cs="Palatino Linotype"/>
          <w:i/>
        </w:rPr>
        <w:t xml:space="preserve">Modificar </w:t>
      </w:r>
      <w:r w:rsidRPr="0010730B">
        <w:rPr>
          <w:rFonts w:ascii="Palatino Linotype" w:eastAsia="Palatino Linotype" w:hAnsi="Palatino Linotype" w:cs="Palatino Linotype"/>
        </w:rPr>
        <w:t xml:space="preserve">la respuesta proporcionada por el </w:t>
      </w:r>
      <w:r w:rsidRPr="0010730B">
        <w:rPr>
          <w:rFonts w:ascii="Palatino Linotype" w:eastAsia="Palatino Linotype" w:hAnsi="Palatino Linotype" w:cs="Palatino Linotype"/>
          <w:b/>
        </w:rPr>
        <w:t xml:space="preserve">Sujeto Obligado </w:t>
      </w:r>
      <w:r w:rsidRPr="0010730B">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47D1DDCC"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b/>
        </w:rPr>
        <w:t>Quinto. Versión Pública.</w:t>
      </w:r>
      <w:r w:rsidRPr="0010730B">
        <w:rPr>
          <w:rFonts w:ascii="Palatino Linotype" w:eastAsia="Palatino Linotype" w:hAnsi="Palatino Linotype" w:cs="Palatino Linotype"/>
          <w:sz w:val="28"/>
          <w:szCs w:val="28"/>
        </w:rPr>
        <w:t xml:space="preserve"> </w:t>
      </w:r>
      <w:r w:rsidRPr="0010730B">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el </w:t>
      </w:r>
      <w:r w:rsidRPr="0010730B">
        <w:rPr>
          <w:rFonts w:ascii="Palatino Linotype" w:eastAsia="Palatino Linotype" w:hAnsi="Palatino Linotype" w:cs="Palatino Linotype"/>
          <w:b/>
        </w:rPr>
        <w:t>Sujeto Obligado</w:t>
      </w:r>
      <w:r w:rsidRPr="0010730B">
        <w:rPr>
          <w:rFonts w:ascii="Palatino Linotype" w:eastAsia="Palatino Linotype" w:hAnsi="Palatino Linotype" w:cs="Palatino Linotype"/>
        </w:rPr>
        <w:t xml:space="preserve"> deberá hacer la elaboración de la versión pública de tales documentos a fin de satisfacer el derecho de acceso a la información pública de la parte </w:t>
      </w:r>
      <w:r w:rsidRPr="0010730B">
        <w:rPr>
          <w:rFonts w:ascii="Palatino Linotype" w:eastAsia="Palatino Linotype" w:hAnsi="Palatino Linotype" w:cs="Palatino Linotype"/>
          <w:b/>
        </w:rPr>
        <w:t>Recurrente</w:t>
      </w:r>
      <w:r w:rsidRPr="0010730B">
        <w:rPr>
          <w:rFonts w:ascii="Palatino Linotype" w:eastAsia="Palatino Linotype" w:hAnsi="Palatino Linotype" w:cs="Palatino Linotype"/>
        </w:rPr>
        <w:t xml:space="preserve"> sin menoscabo al derecho a la protección de los datos personales de terceros.</w:t>
      </w:r>
    </w:p>
    <w:p w14:paraId="5936BD90"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Para efectos de la elaboración de la versión pública se deberá observar lo dispuesto por los artículos 3 fracciones IX, XX, XXI y XLV, 91, 132, 137 y 143, fracción I de la Ley de Transparencia y Acceso a la Información Pública del Estado de México y Municipios, que establecen:</w:t>
      </w:r>
    </w:p>
    <w:p w14:paraId="24133114" w14:textId="77777777" w:rsidR="00C10098" w:rsidRPr="0010730B" w:rsidRDefault="00AB2AA7">
      <w:pP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w:t>
      </w:r>
      <w:r w:rsidRPr="0010730B">
        <w:rPr>
          <w:rFonts w:ascii="Palatino Linotype" w:eastAsia="Palatino Linotype" w:hAnsi="Palatino Linotype" w:cs="Palatino Linotype"/>
          <w:b/>
          <w:i/>
          <w:sz w:val="22"/>
          <w:szCs w:val="22"/>
        </w:rPr>
        <w:t>Artículo 3</w:t>
      </w:r>
      <w:r w:rsidRPr="0010730B">
        <w:rPr>
          <w:rFonts w:ascii="Palatino Linotype" w:eastAsia="Palatino Linotype" w:hAnsi="Palatino Linotype" w:cs="Palatino Linotype"/>
          <w:i/>
          <w:sz w:val="22"/>
          <w:szCs w:val="22"/>
        </w:rPr>
        <w:t>. Para los efectos de la presente Ley se entenderá por:</w:t>
      </w:r>
    </w:p>
    <w:p w14:paraId="0F4E9819"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w:t>
      </w:r>
    </w:p>
    <w:p w14:paraId="552DA3AA"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IX. Datos personales</w:t>
      </w:r>
      <w:r w:rsidRPr="0010730B">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52EC8D85"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XX. Información clasificada</w:t>
      </w:r>
      <w:r w:rsidRPr="0010730B">
        <w:rPr>
          <w:rFonts w:ascii="Palatino Linotype" w:eastAsia="Palatino Linotype" w:hAnsi="Palatino Linotype" w:cs="Palatino Linotype"/>
          <w:i/>
          <w:sz w:val="22"/>
          <w:szCs w:val="22"/>
        </w:rPr>
        <w:t>: Aquella considerada por la presente Ley como reservada o confidencial;</w:t>
      </w:r>
    </w:p>
    <w:p w14:paraId="57FDFC36"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lastRenderedPageBreak/>
        <w:t xml:space="preserve">XXI. Información confidencial: </w:t>
      </w:r>
      <w:r w:rsidRPr="0010730B">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5C175BD"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XLV. Versión pública:</w:t>
      </w:r>
      <w:r w:rsidRPr="0010730B">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29CEB07F"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w:t>
      </w:r>
    </w:p>
    <w:p w14:paraId="7955D3FF" w14:textId="77777777" w:rsidR="00C10098" w:rsidRPr="0010730B" w:rsidRDefault="00AB2AA7">
      <w:pP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Artículo 91.</w:t>
      </w:r>
      <w:r w:rsidRPr="0010730B">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6CB2D1FF" w14:textId="77777777" w:rsidR="00C10098" w:rsidRPr="0010730B" w:rsidRDefault="00AB2AA7">
      <w:pP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Artículo 132.</w:t>
      </w:r>
      <w:r w:rsidRPr="0010730B">
        <w:rPr>
          <w:rFonts w:ascii="Palatino Linotype" w:eastAsia="Palatino Linotype" w:hAnsi="Palatino Linotype" w:cs="Palatino Linotype"/>
          <w:i/>
          <w:sz w:val="22"/>
          <w:szCs w:val="22"/>
        </w:rPr>
        <w:t xml:space="preserve"> La clasificación de la información se llevará a cabo en el momento en que:</w:t>
      </w:r>
    </w:p>
    <w:p w14:paraId="232F274A"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I</w:t>
      </w:r>
      <w:r w:rsidRPr="0010730B">
        <w:rPr>
          <w:rFonts w:ascii="Palatino Linotype" w:eastAsia="Palatino Linotype" w:hAnsi="Palatino Linotype" w:cs="Palatino Linotype"/>
          <w:i/>
          <w:sz w:val="22"/>
          <w:szCs w:val="22"/>
        </w:rPr>
        <w:t>. Se reciba una solicitud de acceso a la información;</w:t>
      </w:r>
    </w:p>
    <w:p w14:paraId="6302FAE7"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II.</w:t>
      </w:r>
      <w:r w:rsidRPr="0010730B">
        <w:rPr>
          <w:rFonts w:ascii="Palatino Linotype" w:eastAsia="Palatino Linotype" w:hAnsi="Palatino Linotype" w:cs="Palatino Linotype"/>
          <w:i/>
          <w:sz w:val="22"/>
          <w:szCs w:val="22"/>
        </w:rPr>
        <w:t xml:space="preserve"> Se determine mediante resolución de autoridad competente; o</w:t>
      </w:r>
    </w:p>
    <w:p w14:paraId="04605287"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III.</w:t>
      </w:r>
      <w:r w:rsidRPr="0010730B">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7E4ABA04" w14:textId="77777777" w:rsidR="00C10098" w:rsidRPr="0010730B" w:rsidRDefault="00AB2AA7">
      <w:pP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w:t>
      </w:r>
    </w:p>
    <w:p w14:paraId="13CF1568" w14:textId="77777777" w:rsidR="00C10098" w:rsidRPr="0010730B" w:rsidRDefault="00AB2AA7">
      <w:pP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Artículo 137.</w:t>
      </w:r>
      <w:r w:rsidRPr="0010730B">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0A74E444" w14:textId="77777777" w:rsidR="00C10098" w:rsidRPr="0010730B" w:rsidRDefault="00AB2AA7">
      <w:pPr>
        <w:spacing w:before="120" w:after="120"/>
        <w:ind w:left="851" w:right="902"/>
        <w:jc w:val="both"/>
        <w:rPr>
          <w:rFonts w:ascii="Palatino Linotype" w:eastAsia="Palatino Linotype" w:hAnsi="Palatino Linotype" w:cs="Palatino Linotype"/>
          <w:b/>
          <w:i/>
          <w:sz w:val="22"/>
          <w:szCs w:val="22"/>
        </w:rPr>
      </w:pPr>
      <w:r w:rsidRPr="0010730B">
        <w:rPr>
          <w:rFonts w:ascii="Palatino Linotype" w:eastAsia="Palatino Linotype" w:hAnsi="Palatino Linotype" w:cs="Palatino Linotype"/>
          <w:b/>
          <w:i/>
          <w:sz w:val="22"/>
          <w:szCs w:val="22"/>
        </w:rPr>
        <w:t>…</w:t>
      </w:r>
    </w:p>
    <w:p w14:paraId="4165C1FF" w14:textId="77777777" w:rsidR="00C10098" w:rsidRPr="0010730B" w:rsidRDefault="00AB2AA7">
      <w:pP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Artículo 143</w:t>
      </w:r>
      <w:r w:rsidRPr="0010730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7D01D70"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I.</w:t>
      </w:r>
      <w:r w:rsidRPr="0010730B">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06064EAC"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que tienen por objeto establecer los criterios con </w:t>
      </w:r>
      <w:r w:rsidRPr="0010730B">
        <w:rPr>
          <w:rFonts w:ascii="Palatino Linotype" w:eastAsia="Palatino Linotype" w:hAnsi="Palatino Linotype" w:cs="Palatino Linotype"/>
        </w:rPr>
        <w:lastRenderedPageBreak/>
        <w:t>base en los cuales los sujetos obligados clasificarán como reservada o confidencial la información que posean, desclasificarán y generarán, en su caso, versiones públicas de expedientes o documentos que contengan partes o secciones clasificadas.</w:t>
      </w:r>
    </w:p>
    <w:p w14:paraId="3B04CF10" w14:textId="77777777" w:rsidR="00C10098" w:rsidRPr="0010730B" w:rsidRDefault="00AB2AA7">
      <w:pPr>
        <w:spacing w:before="240" w:after="240" w:line="360" w:lineRule="auto"/>
        <w:ind w:right="50"/>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10730B">
        <w:rPr>
          <w:rFonts w:ascii="Palatino Linotype" w:eastAsia="Palatino Linotype" w:hAnsi="Palatino Linotype" w:cs="Palatino Linotype"/>
          <w:b/>
        </w:rPr>
        <w:t>Sujeto Obligado</w:t>
      </w:r>
      <w:r w:rsidRPr="0010730B">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42886397"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En el caso específico, dada la naturaleza de la información que se ordena, si bien tiene el carácter información pública en razón de que se trata de documentos que se encuentran en posesión del </w:t>
      </w:r>
      <w:r w:rsidRPr="0010730B">
        <w:rPr>
          <w:rFonts w:ascii="Palatino Linotype" w:eastAsia="Palatino Linotype" w:hAnsi="Palatino Linotype" w:cs="Palatino Linotype"/>
          <w:b/>
        </w:rPr>
        <w:t>Sujeto Obligado</w:t>
      </w:r>
      <w:r w:rsidRPr="0010730B">
        <w:rPr>
          <w:rFonts w:ascii="Palatino Linotype" w:eastAsia="Palatino Linotype" w:hAnsi="Palatino Linotype" w:cs="Palatino Linotype"/>
        </w:rPr>
        <w:t xml:space="preserve">, derivado del ejercicio de sus atribuciones, tal como quedó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w:t>
      </w:r>
      <w:r w:rsidRPr="0010730B">
        <w:rPr>
          <w:rFonts w:ascii="Palatino Linotype" w:eastAsia="Palatino Linotype" w:hAnsi="Palatino Linotype" w:cs="Palatino Linotype"/>
        </w:rPr>
        <w:lastRenderedPageBreak/>
        <w:t>la elaboración de versiones públicas, la Clave Única de Registro de Población (CURP), número de matrícula, cuenta, expediente o de control; calificaciones, créditos y promedio; el domicilio particular, entre otros datos que sean exclusivamente de particulares.</w:t>
      </w:r>
    </w:p>
    <w:p w14:paraId="05617C57" w14:textId="77777777" w:rsidR="00C10098" w:rsidRPr="0010730B" w:rsidRDefault="00AB2AA7">
      <w:pPr>
        <w:spacing w:before="240" w:after="240" w:line="360" w:lineRule="auto"/>
        <w:ind w:right="50"/>
        <w:jc w:val="both"/>
        <w:rPr>
          <w:rFonts w:ascii="Palatino Linotype" w:eastAsia="Palatino Linotype" w:hAnsi="Palatino Linotype" w:cs="Palatino Linotype"/>
        </w:rPr>
      </w:pPr>
      <w:r w:rsidRPr="0010730B">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7EBB8FA"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7923F81A"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Argumento que es compartido por el entonces Instituto Nacional de Transparencia, Acceso a la Información y Protección de Datos Personales, INAI, conforme al criterio orientador con clave de control SO_018_2017, el cual refiere:</w:t>
      </w:r>
    </w:p>
    <w:p w14:paraId="73F200DE" w14:textId="77777777" w:rsidR="00C10098" w:rsidRPr="0010730B" w:rsidRDefault="00AB2AA7">
      <w:pPr>
        <w:ind w:left="851" w:right="851"/>
        <w:jc w:val="both"/>
        <w:rPr>
          <w:rFonts w:ascii="Palatino Linotype" w:eastAsia="Palatino Linotype" w:hAnsi="Palatino Linotype" w:cs="Palatino Linotype"/>
          <w:i/>
          <w:sz w:val="21"/>
          <w:szCs w:val="21"/>
        </w:rPr>
      </w:pPr>
      <w:r w:rsidRPr="0010730B">
        <w:rPr>
          <w:rFonts w:ascii="Palatino Linotype" w:eastAsia="Palatino Linotype" w:hAnsi="Palatino Linotype" w:cs="Palatino Linotype"/>
          <w:b/>
          <w:i/>
          <w:sz w:val="21"/>
          <w:szCs w:val="21"/>
        </w:rPr>
        <w:t xml:space="preserve"> “Clave Única de Registro de Población (CURP). </w:t>
      </w:r>
      <w:r w:rsidRPr="0010730B">
        <w:rPr>
          <w:rFonts w:ascii="Palatino Linotype" w:eastAsia="Palatino Linotype" w:hAnsi="Palatino Linotype" w:cs="Palatino Linotype"/>
          <w:i/>
          <w:sz w:val="21"/>
          <w:szCs w:val="21"/>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6183591"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lastRenderedPageBreak/>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09CBCB54"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Las </w:t>
      </w:r>
      <w:r w:rsidRPr="0010730B">
        <w:rPr>
          <w:rFonts w:ascii="Palatino Linotype" w:eastAsia="Palatino Linotype" w:hAnsi="Palatino Linotype" w:cs="Palatino Linotype"/>
          <w:b/>
        </w:rPr>
        <w:t>calificaciones, créditos y promedio</w:t>
      </w:r>
      <w:r w:rsidRPr="0010730B">
        <w:rPr>
          <w:rFonts w:ascii="Palatino Linotype" w:eastAsia="Palatino Linotype" w:hAnsi="Palatino Linotype" w:cs="Palatino Linotype"/>
        </w:rPr>
        <w:t>, dan cuenta del grado de conocimientos adquiridos en una materia o durante el desarrollo escolar de una persona, es decir de su desarrollo escolar, por lo que corresponde a información que concierne a su vida privada que debe clasificarse como confidencial en términos del artículo 143, fracción I de la Ley de la materia.</w:t>
      </w:r>
    </w:p>
    <w:p w14:paraId="6A440C36" w14:textId="77777777" w:rsidR="00C10098" w:rsidRPr="0010730B" w:rsidRDefault="00AB2AA7">
      <w:pPr>
        <w:widowControl w:val="0"/>
        <w:tabs>
          <w:tab w:val="left" w:pos="284"/>
        </w:tabs>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Por otro lado, el </w:t>
      </w:r>
      <w:r w:rsidRPr="0010730B">
        <w:rPr>
          <w:rFonts w:ascii="Palatino Linotype" w:eastAsia="Palatino Linotype" w:hAnsi="Palatino Linotype" w:cs="Palatino Linotype"/>
          <w:b/>
        </w:rPr>
        <w:t>periodo de estudios.</w:t>
      </w:r>
      <w:r w:rsidRPr="0010730B">
        <w:rPr>
          <w:rFonts w:ascii="Palatino Linotype" w:eastAsia="Palatino Linotype" w:hAnsi="Palatino Linotype" w:cs="Palatino Linotype"/>
        </w:rPr>
        <w:t xml:space="preserve"> El periodo de estudios únicamente da cuenta del tiempo durante el cual una institución educativa impartió docencia, en ese sentido, no es considerado un dato que actualiza la causal de clasificación prevista en la fracción I del artículo 143 de la Ley de Transparencia y Acceso a la Información Pública del Estado de México y Municipios.  </w:t>
      </w:r>
    </w:p>
    <w:p w14:paraId="4F956462" w14:textId="77777777" w:rsidR="00C10098" w:rsidRPr="0010730B" w:rsidRDefault="00AB2AA7">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El </w:t>
      </w:r>
      <w:r w:rsidRPr="0010730B">
        <w:rPr>
          <w:rFonts w:ascii="Palatino Linotype" w:eastAsia="Palatino Linotype" w:hAnsi="Palatino Linotype" w:cs="Palatino Linotype"/>
          <w:b/>
        </w:rPr>
        <w:t>domicilio particular</w:t>
      </w:r>
      <w:r w:rsidRPr="0010730B">
        <w:rPr>
          <w:rFonts w:ascii="Palatino Linotype" w:eastAsia="Palatino Linotype" w:hAnsi="Palatino Linotype" w:cs="Palatino Linotype"/>
        </w:rPr>
        <w:t xml:space="preserve">, 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3138EB9A" w14:textId="77777777" w:rsidR="00C10098" w:rsidRPr="0010730B" w:rsidRDefault="00AB2AA7">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b/>
        </w:rPr>
      </w:pPr>
      <w:r w:rsidRPr="0010730B">
        <w:rPr>
          <w:rFonts w:ascii="Palatino Linotype" w:eastAsia="Palatino Linotype" w:hAnsi="Palatino Linotype" w:cs="Palatino Linotype"/>
        </w:rPr>
        <w:t>De la misma manera, lo establece el artículo 29 del Código Civil Federal, al precisar que el domicilio de personas físicas</w:t>
      </w:r>
      <w:r w:rsidRPr="0010730B">
        <w:rPr>
          <w:rFonts w:ascii="Palatino Linotype" w:eastAsia="Palatino Linotype" w:hAnsi="Palatino Linotype" w:cs="Palatino Linotype"/>
          <w:b/>
        </w:rPr>
        <w:t xml:space="preserve">, </w:t>
      </w:r>
      <w:r w:rsidRPr="0010730B">
        <w:rPr>
          <w:rFonts w:ascii="Palatino Linotype" w:eastAsia="Palatino Linotype" w:hAnsi="Palatino Linotype" w:cs="Palatino Linotype"/>
        </w:rPr>
        <w:t>es el lugar donde residen habitualmente, el lugar del centro principal de sus negocios, donde residan o el lugar donde se encuentren.</w:t>
      </w:r>
    </w:p>
    <w:p w14:paraId="6FB35147" w14:textId="77777777" w:rsidR="00C10098" w:rsidRPr="0010730B" w:rsidRDefault="00AB2AA7">
      <w:pPr>
        <w:spacing w:before="240" w:after="240" w:line="360" w:lineRule="auto"/>
        <w:ind w:right="-93"/>
        <w:jc w:val="both"/>
        <w:rPr>
          <w:rFonts w:ascii="Palatino Linotype" w:eastAsia="Palatino Linotype" w:hAnsi="Palatino Linotype" w:cs="Palatino Linotype"/>
        </w:rPr>
      </w:pPr>
      <w:r w:rsidRPr="0010730B">
        <w:rPr>
          <w:rFonts w:ascii="Palatino Linotype" w:eastAsia="Palatino Linotype" w:hAnsi="Palatino Linotype" w:cs="Palatino Linotype"/>
        </w:rPr>
        <w:lastRenderedPageBreak/>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4D4204EE" w14:textId="77777777" w:rsidR="00C10098" w:rsidRPr="0010730B" w:rsidRDefault="00AB2AA7">
      <w:pPr>
        <w:spacing w:before="240" w:after="240" w:line="360" w:lineRule="auto"/>
        <w:ind w:right="-93"/>
        <w:jc w:val="both"/>
        <w:rPr>
          <w:rFonts w:ascii="Palatino Linotype" w:eastAsia="Palatino Linotype" w:hAnsi="Palatino Linotype" w:cs="Palatino Linotype"/>
        </w:rPr>
      </w:pPr>
      <w:r w:rsidRPr="0010730B">
        <w:rPr>
          <w:rFonts w:ascii="Palatino Linotype" w:eastAsia="Palatino Linotype" w:hAnsi="Palatino Linotype" w:cs="Palatino Linotype"/>
        </w:rPr>
        <w:t>Por lo tanto, se actualiza la clasificación del domicilio particular, de conformidad con la fracción I, del artículo 143 de la Ley de Transparencia y Acceso a la Información Pública del Estado de México y Municipios.</w:t>
      </w:r>
    </w:p>
    <w:p w14:paraId="78C40D47" w14:textId="77777777" w:rsidR="00C10098" w:rsidRPr="0010730B" w:rsidRDefault="00AB2AA7">
      <w:pPr>
        <w:spacing w:before="240" w:after="240" w:line="360" w:lineRule="auto"/>
        <w:ind w:right="-93"/>
        <w:jc w:val="both"/>
        <w:rPr>
          <w:rFonts w:ascii="Palatino Linotype" w:eastAsia="Palatino Linotype" w:hAnsi="Palatino Linotype" w:cs="Palatino Linotype"/>
        </w:rPr>
      </w:pPr>
      <w:r w:rsidRPr="0010730B">
        <w:rPr>
          <w:rFonts w:ascii="Palatino Linotype" w:eastAsia="Palatino Linotype" w:hAnsi="Palatino Linotype" w:cs="Palatino Linotype"/>
        </w:rPr>
        <w:t>Por lo que se refiere al nombre de los aspirantes que no resultaron electos, debe decirse que de acuerdo a lo establecido en los artículos 2.3, 2.13 y 2.14 del Código Civil, el nombre es un atributo de la personalidad que individualiza a los sujetos y se forma con el sustantivo propio, el primer apellido del padre y el primer apellido de la madre, en el orden que de común acuerdo determinen. De tal suerte que el nombre hace identificadas o identificables a las personas, por lo que además constituye un dato personal.</w:t>
      </w:r>
    </w:p>
    <w:p w14:paraId="143E4F70" w14:textId="77777777" w:rsidR="00C10098" w:rsidRPr="0010730B" w:rsidRDefault="00AB2AA7">
      <w:pPr>
        <w:spacing w:before="240" w:after="240" w:line="360" w:lineRule="auto"/>
        <w:ind w:right="-93"/>
        <w:jc w:val="both"/>
        <w:rPr>
          <w:rFonts w:ascii="Palatino Linotype" w:eastAsia="Palatino Linotype" w:hAnsi="Palatino Linotype" w:cs="Palatino Linotype"/>
        </w:rPr>
      </w:pPr>
      <w:r w:rsidRPr="0010730B">
        <w:rPr>
          <w:rFonts w:ascii="Palatino Linotype" w:eastAsia="Palatino Linotype" w:hAnsi="Palatino Linotype" w:cs="Palatino Linotype"/>
        </w:rPr>
        <w:t>Por consiguiente, el nombre es el dato personal por excelencia, en razón de que identifica y hace plenamente identificable a la persona, ello atento a lo dispuesto por los artículos 3, fracción IX de la Ley de Transparencia del Estado y 4, fracción XI de la Ley de Protección de Datos del Estado.</w:t>
      </w:r>
    </w:p>
    <w:p w14:paraId="357A2BDE" w14:textId="77777777" w:rsidR="00C10098" w:rsidRPr="0010730B" w:rsidRDefault="00AB2AA7">
      <w:pPr>
        <w:spacing w:before="240" w:after="240" w:line="360" w:lineRule="auto"/>
        <w:ind w:right="-93"/>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En tal cuestión, dicha información es un dato personal concerniente a una persona física, el cual la identifica o la hace identificable, por lo que, en términos del artículo </w:t>
      </w:r>
      <w:r w:rsidRPr="0010730B">
        <w:rPr>
          <w:rFonts w:ascii="Palatino Linotype" w:eastAsia="Palatino Linotype" w:hAnsi="Palatino Linotype" w:cs="Palatino Linotype"/>
        </w:rPr>
        <w:lastRenderedPageBreak/>
        <w:t>143, fracción I de la Ley de Transparencia del Estado, es información que debe clasificarse como confidencial.</w:t>
      </w:r>
    </w:p>
    <w:p w14:paraId="2AF1B59F" w14:textId="77777777" w:rsidR="00C10098" w:rsidRPr="0010730B" w:rsidRDefault="00AB2AA7">
      <w:pPr>
        <w:spacing w:before="240" w:after="240" w:line="360" w:lineRule="auto"/>
        <w:ind w:right="-93"/>
        <w:jc w:val="both"/>
        <w:rPr>
          <w:rFonts w:ascii="Palatino Linotype" w:eastAsia="Palatino Linotype" w:hAnsi="Palatino Linotype" w:cs="Palatino Linotype"/>
        </w:rPr>
      </w:pPr>
      <w:r w:rsidRPr="0010730B">
        <w:rPr>
          <w:rFonts w:ascii="Palatino Linotype" w:eastAsia="Palatino Linotype" w:hAnsi="Palatino Linotype" w:cs="Palatino Linotype"/>
        </w:rPr>
        <w:t>Por otro lado, por lo que se refiere a la fecha de nacimiento, la edad, lugar de residencia, así como la nacionalidad de la persona designada como Defensora Municipal de Derechos Humanos, debe decirse que en el caso particular son datos que revisten el carácter de públicos, por tratarse de requisitos que dicha persona debió acreditar para participar en la convocatoria y posteriormente ocupar el cargo.</w:t>
      </w:r>
    </w:p>
    <w:p w14:paraId="15D163AA" w14:textId="77777777" w:rsidR="00C10098" w:rsidRPr="0010730B" w:rsidRDefault="00AB2AA7">
      <w:pPr>
        <w:spacing w:before="240" w:after="240" w:line="360" w:lineRule="auto"/>
        <w:ind w:right="-93"/>
        <w:jc w:val="both"/>
        <w:rPr>
          <w:rFonts w:ascii="Palatino Linotype" w:eastAsia="Palatino Linotype" w:hAnsi="Palatino Linotype" w:cs="Palatino Linotype"/>
        </w:rPr>
      </w:pPr>
      <w:r w:rsidRPr="0010730B">
        <w:rPr>
          <w:rFonts w:ascii="Palatino Linotype" w:eastAsia="Palatino Linotype" w:hAnsi="Palatino Linotype" w:cs="Palatino Linotype"/>
        </w:rPr>
        <w:t>Sirve de apoyo a lo anterior el criterio orientador con clave de control SO/009/2019 emitido por el entonces Instituto Nacional de Transparencia, Acceso a la Información y Protección de Datos Personales, INAI, el cual refiere:</w:t>
      </w:r>
    </w:p>
    <w:p w14:paraId="1CE92E80" w14:textId="77777777" w:rsidR="00C10098" w:rsidRPr="0010730B" w:rsidRDefault="00AB2AA7">
      <w:pPr>
        <w:spacing w:before="240" w:after="240"/>
        <w:ind w:left="851" w:right="900"/>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rPr>
        <w:t>“</w:t>
      </w:r>
      <w:r w:rsidRPr="0010730B">
        <w:rPr>
          <w:rFonts w:ascii="Palatino Linotype" w:eastAsia="Palatino Linotype" w:hAnsi="Palatino Linotype" w:cs="Palatino Linotype"/>
          <w:b/>
          <w:i/>
          <w:sz w:val="22"/>
          <w:szCs w:val="22"/>
        </w:rPr>
        <w:t>Casos en que la edad o fecha de nacimiento de los servidores públicos es información de acceso público</w:t>
      </w:r>
      <w:r w:rsidRPr="0010730B">
        <w:rPr>
          <w:rFonts w:ascii="Palatino Linotype" w:eastAsia="Palatino Linotype" w:hAnsi="Palatino Linotype" w:cs="Palatino Linotype"/>
          <w:i/>
          <w:sz w:val="22"/>
          <w:szCs w:val="22"/>
        </w:rPr>
        <w:t>. La fecha de nacimiento y/o edad son datos personales confidenciales, por lo que los mismos son susceptibles de transparentarse cuando ésta última constituya un requisito para ocupar un cargo público, debido a que su difusión contribuye a dar cuenta que la persona cubre dicho requerimiento.”</w:t>
      </w:r>
    </w:p>
    <w:p w14:paraId="38A9B1C0" w14:textId="77777777" w:rsidR="00C10098" w:rsidRPr="0010730B" w:rsidRDefault="00AB2AA7">
      <w:pPr>
        <w:tabs>
          <w:tab w:val="left" w:pos="4962"/>
        </w:tabs>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En el mismo sentido, por cuanto hace a la </w:t>
      </w:r>
      <w:r w:rsidRPr="0010730B">
        <w:rPr>
          <w:rFonts w:ascii="Palatino Linotype" w:eastAsia="Palatino Linotype" w:hAnsi="Palatino Linotype" w:cs="Palatino Linotype"/>
          <w:b/>
        </w:rPr>
        <w:t xml:space="preserve">fotografía </w:t>
      </w:r>
      <w:r w:rsidRPr="0010730B">
        <w:rPr>
          <w:rFonts w:ascii="Palatino Linotype" w:eastAsia="Palatino Linotype" w:hAnsi="Palatino Linotype" w:cs="Palatino Linotype"/>
        </w:rPr>
        <w:t xml:space="preserve">es de señalar que dicho dato constituye la reproducción fiel de las características físicas de una persona en un momento determinado, además, de que representa un instrumento de identificación, proyección exterior y factor imprescindible para su propio reconocimiento como sujeto individual; por tanto, es considerada por regla general, como un dato personal confidencial susceptible de protegerse en los documentos que lo contengan, en términos de los artículos 3, fracción IX, 143, fracción I de la Ley de Transparencia y Acceso a la Información Pública del Estado de México y </w:t>
      </w:r>
      <w:r w:rsidRPr="0010730B">
        <w:rPr>
          <w:rFonts w:ascii="Palatino Linotype" w:eastAsia="Palatino Linotype" w:hAnsi="Palatino Linotype" w:cs="Palatino Linotype"/>
        </w:rPr>
        <w:lastRenderedPageBreak/>
        <w:t>Municipios, en relación con el 4, fracción XI de La Ley de Protección de Datos Personales en Posesión de Sujetos Obligados del Estado de México y Municipios.</w:t>
      </w:r>
    </w:p>
    <w:p w14:paraId="6114F701" w14:textId="77777777" w:rsidR="00C10098" w:rsidRPr="0010730B" w:rsidRDefault="00AB2AA7">
      <w:pPr>
        <w:tabs>
          <w:tab w:val="left" w:pos="4962"/>
        </w:tabs>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Sin embargo, en materia de administración pública acreditaría e identificaría a una persona como servidor público, por lo que es posible advertir que existe cierto interés público, cuando la fotografía obra en documentos de servidores públicos vinculados con el cumplimiento de disposiciones legales.</w:t>
      </w:r>
    </w:p>
    <w:p w14:paraId="7C54BC8C" w14:textId="77777777" w:rsidR="00C10098" w:rsidRPr="0010730B" w:rsidRDefault="00AB2AA7">
      <w:pPr>
        <w:tabs>
          <w:tab w:val="left" w:pos="4962"/>
        </w:tabs>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Así, cuando las fotografías de los servidores públicos obran en documentos que dan cuenta del cumplimiento de funciones, requisitos legales o los acredita como servidores públicos, no puede ser un dato que se clasifique como confidencial, pues en este caso, es superado por el interés público de conocer si en realidad la persona que se ostenta en carácter de servidor público, se encuentra en ese encargo, si realiza las funciones o si cumple con los requisitos legales.</w:t>
      </w:r>
    </w:p>
    <w:p w14:paraId="59D2493C" w14:textId="77777777" w:rsidR="00C10098" w:rsidRPr="0010730B" w:rsidRDefault="00AB2AA7">
      <w:pPr>
        <w:tabs>
          <w:tab w:val="left" w:pos="4962"/>
        </w:tabs>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emitan, no podrá clasificarse esa información.</w:t>
      </w:r>
    </w:p>
    <w:p w14:paraId="73505EBB" w14:textId="77777777" w:rsidR="00C10098" w:rsidRPr="0010730B" w:rsidRDefault="00AB2AA7">
      <w:pPr>
        <w:tabs>
          <w:tab w:val="left" w:pos="4962"/>
        </w:tabs>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Sobre la </w:t>
      </w:r>
      <w:r w:rsidRPr="0010730B">
        <w:rPr>
          <w:rFonts w:ascii="Palatino Linotype" w:eastAsia="Palatino Linotype" w:hAnsi="Palatino Linotype" w:cs="Palatino Linotype"/>
          <w:b/>
        </w:rPr>
        <w:t xml:space="preserve">firma </w:t>
      </w:r>
      <w:r w:rsidRPr="0010730B">
        <w:rPr>
          <w:rFonts w:ascii="Palatino Linotype" w:eastAsia="Palatino Linotype" w:hAnsi="Palatino Linotype" w:cs="Palatino Linotype"/>
        </w:rPr>
        <w:t>en documentos que acrediten el grado o nivel de estudios, cabe precisar que al tratarse de un dato de los servidores públicos en su calidad de particulares, se considera como un dato personal confidencial, que será público únicamente cuando sirva para la emisión de un acto de autoridad, en ejercicio de sus funciones.</w:t>
      </w:r>
    </w:p>
    <w:p w14:paraId="6D4F2743" w14:textId="77777777" w:rsidR="00C10098" w:rsidRPr="0010730B" w:rsidRDefault="00AB2AA7">
      <w:pPr>
        <w:tabs>
          <w:tab w:val="left" w:pos="4962"/>
        </w:tabs>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lastRenderedPageBreak/>
        <w:t>Lo anterior, es así, toda vez que la firma de servidores públicos, vinculada al ejercicio de la función pública es información de naturaleza pública, pues documenta y rinde cuentas sobre el debido ejercicio de sus atribuciones, lo cual no acontece en el presente caso.</w:t>
      </w:r>
    </w:p>
    <w:p w14:paraId="10A234F2" w14:textId="77777777" w:rsidR="00C10098" w:rsidRPr="0010730B" w:rsidRDefault="00AB2AA7">
      <w:pPr>
        <w:tabs>
          <w:tab w:val="left" w:pos="4962"/>
        </w:tabs>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Lo anterior se robustece, con el criterio 02/19, emitido por el Instituto Nacional de Transparencia, Acceso a la Información y Protección de Datos Personales, que establece lo siguiente:</w:t>
      </w:r>
    </w:p>
    <w:p w14:paraId="39D5E847" w14:textId="77777777" w:rsidR="00C10098" w:rsidRPr="0010730B" w:rsidRDefault="00AB2AA7">
      <w:pPr>
        <w:tabs>
          <w:tab w:val="left" w:pos="4962"/>
        </w:tabs>
        <w:spacing w:before="120" w:after="120"/>
        <w:ind w:left="860" w:right="900"/>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“Firma y rúbrica de servidores públicos.</w:t>
      </w:r>
      <w:r w:rsidRPr="0010730B">
        <w:rPr>
          <w:rFonts w:ascii="Palatino Linotype" w:eastAsia="Palatino Linotype" w:hAnsi="Palatino Linotype" w:cs="Palatino Linotype"/>
          <w:i/>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5E3CC6C1" w14:textId="77777777" w:rsidR="00C10098" w:rsidRPr="0010730B" w:rsidRDefault="00AB2AA7">
      <w:pPr>
        <w:tabs>
          <w:tab w:val="left" w:pos="4962"/>
        </w:tabs>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Conforme a lo expuesto, en el presente caso, procede la clasificación, en términos del artículo 143, fracción I de la Ley de Transparencia y Acceso a la Información Pública del Estado de México y Municipios, de la firma localizada en la documentación comprobatoria de nivel de estudios, pues da cuenta de la aceptación de un grado ante la Secretaría de Educación Pública.</w:t>
      </w:r>
    </w:p>
    <w:p w14:paraId="5CA1C795"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Cabe señalar que la entrega de documentos en su versión pública debe acompañarse necesariamente del Acuerdo del Comité de Transparencia que la sustente, el cual debe estar debidamente fundado y motivado, en el que se expongan los fundamentos y razonamientos que llevaron al </w:t>
      </w:r>
      <w:r w:rsidRPr="0010730B">
        <w:rPr>
          <w:rFonts w:ascii="Palatino Linotype" w:eastAsia="Palatino Linotype" w:hAnsi="Palatino Linotype" w:cs="Palatino Linotype"/>
          <w:b/>
        </w:rPr>
        <w:t>Sujeto Obligado</w:t>
      </w:r>
      <w:r w:rsidRPr="0010730B">
        <w:rPr>
          <w:rFonts w:ascii="Palatino Linotype" w:eastAsia="Palatino Linotype" w:hAnsi="Palatino Linotype" w:cs="Palatino Linotype"/>
        </w:rPr>
        <w:t xml:space="preserve"> a testar, suprimir o eliminar datos de dicho soporte documental, ya que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w:t>
      </w:r>
      <w:r w:rsidRPr="0010730B">
        <w:rPr>
          <w:rFonts w:ascii="Palatino Linotype" w:eastAsia="Palatino Linotype" w:hAnsi="Palatino Linotype" w:cs="Palatino Linotype"/>
        </w:rPr>
        <w:lastRenderedPageBreak/>
        <w:t>suprimen- deja al solicitante en estado de incertidumbre, al no conocer o comprender porque no aparecen en la documentación respectiva.</w:t>
      </w:r>
    </w:p>
    <w:p w14:paraId="4572876E" w14:textId="77777777" w:rsidR="00C10098" w:rsidRPr="0010730B" w:rsidRDefault="00AB2AA7">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Respecto a las formalidades que deberá llevar el acuerdo de clasificación que deberá emitir el </w:t>
      </w:r>
      <w:r w:rsidRPr="0010730B">
        <w:rPr>
          <w:rFonts w:ascii="Palatino Linotype" w:eastAsia="Palatino Linotype" w:hAnsi="Palatino Linotype" w:cs="Palatino Linotype"/>
          <w:b/>
        </w:rPr>
        <w:t>Sujeto Obligado</w:t>
      </w:r>
      <w:r w:rsidRPr="0010730B">
        <w:rPr>
          <w:rFonts w:ascii="Palatino Linotype" w:eastAsia="Palatino Linotype" w:hAnsi="Palatino Linotype" w:cs="Palatino Linotype"/>
        </w:rPr>
        <w:t xml:space="preserve"> a través de su Comité de Transparencia, los Lineamientos Quincuagésimo, Quincuagésimo primero, Quincuagésimo segundo, de los Lineamientos Generales en Materia de Clasificación y Desclasificación de la Información, así como para la Elaboración de Versiones Públicas, vigentes a la fecha de la solicitud, señalan lo siguiente:</w:t>
      </w:r>
    </w:p>
    <w:p w14:paraId="55C25ACE" w14:textId="77777777" w:rsidR="00C10098" w:rsidRPr="0010730B" w:rsidRDefault="00AB2AA7">
      <w:pP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 xml:space="preserve"> “Quincuagésimo. </w:t>
      </w:r>
      <w:r w:rsidRPr="0010730B">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C22747E" w14:textId="77777777" w:rsidR="00C10098" w:rsidRPr="0010730B" w:rsidRDefault="00AB2AA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 xml:space="preserve">Quincuagésimo primero. </w:t>
      </w:r>
      <w:r w:rsidRPr="0010730B">
        <w:rPr>
          <w:rFonts w:ascii="Palatino Linotype" w:eastAsia="Palatino Linotype" w:hAnsi="Palatino Linotype" w:cs="Palatino Linotype"/>
          <w:i/>
          <w:sz w:val="22"/>
          <w:szCs w:val="22"/>
        </w:rPr>
        <w:t xml:space="preserve">Toda acta del Comité de Transparencia deberá contener: </w:t>
      </w:r>
    </w:p>
    <w:p w14:paraId="70DBCF93" w14:textId="77777777" w:rsidR="00C10098" w:rsidRPr="0010730B" w:rsidRDefault="00AB2AA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I.</w:t>
      </w:r>
      <w:r w:rsidRPr="0010730B">
        <w:rPr>
          <w:rFonts w:ascii="Palatino Linotype" w:eastAsia="Palatino Linotype" w:hAnsi="Palatino Linotype" w:cs="Palatino Linotype"/>
          <w:i/>
          <w:sz w:val="22"/>
          <w:szCs w:val="22"/>
        </w:rPr>
        <w:t xml:space="preserve"> El número de sesión y fecha; </w:t>
      </w:r>
    </w:p>
    <w:p w14:paraId="3BB73762" w14:textId="77777777" w:rsidR="00C10098" w:rsidRPr="0010730B" w:rsidRDefault="00AB2AA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II</w:t>
      </w:r>
      <w:r w:rsidRPr="0010730B">
        <w:rPr>
          <w:rFonts w:ascii="Palatino Linotype" w:eastAsia="Palatino Linotype" w:hAnsi="Palatino Linotype" w:cs="Palatino Linotype"/>
          <w:i/>
          <w:sz w:val="22"/>
          <w:szCs w:val="22"/>
        </w:rPr>
        <w:t xml:space="preserve">. El nombre del área que solicitó la clasificación de información; </w:t>
      </w:r>
    </w:p>
    <w:p w14:paraId="7ED4838A" w14:textId="77777777" w:rsidR="00C10098" w:rsidRPr="0010730B" w:rsidRDefault="00AB2AA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III</w:t>
      </w:r>
      <w:r w:rsidRPr="0010730B">
        <w:rPr>
          <w:rFonts w:ascii="Palatino Linotype" w:eastAsia="Palatino Linotype" w:hAnsi="Palatino Linotype" w:cs="Palatino Linotype"/>
          <w:i/>
          <w:sz w:val="22"/>
          <w:szCs w:val="22"/>
        </w:rPr>
        <w:t xml:space="preserve">. La fundamentación legal y motivación correspondiente; </w:t>
      </w:r>
    </w:p>
    <w:p w14:paraId="39C73646" w14:textId="77777777" w:rsidR="00C10098" w:rsidRPr="0010730B" w:rsidRDefault="00AB2AA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IV</w:t>
      </w:r>
      <w:r w:rsidRPr="0010730B">
        <w:rPr>
          <w:rFonts w:ascii="Palatino Linotype" w:eastAsia="Palatino Linotype" w:hAnsi="Palatino Linotype" w:cs="Palatino Linotype"/>
          <w:i/>
          <w:sz w:val="22"/>
          <w:szCs w:val="22"/>
        </w:rPr>
        <w:t xml:space="preserve">. La resolución o resoluciones aprobadas; y </w:t>
      </w:r>
    </w:p>
    <w:p w14:paraId="2A7A000F" w14:textId="77777777" w:rsidR="00C10098" w:rsidRPr="0010730B" w:rsidRDefault="00AB2AA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V</w:t>
      </w:r>
      <w:r w:rsidRPr="0010730B">
        <w:rPr>
          <w:rFonts w:ascii="Palatino Linotype" w:eastAsia="Palatino Linotype" w:hAnsi="Palatino Linotype" w:cs="Palatino Linotype"/>
          <w:i/>
          <w:sz w:val="22"/>
          <w:szCs w:val="22"/>
        </w:rPr>
        <w:t xml:space="preserve">. La rúbrica o firma digital de cada integrante del Comité de Transparencia. </w:t>
      </w:r>
    </w:p>
    <w:p w14:paraId="2561171E" w14:textId="77777777" w:rsidR="00C10098" w:rsidRPr="0010730B" w:rsidRDefault="00AB2AA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18C0A14F" w14:textId="77777777" w:rsidR="00C10098" w:rsidRPr="0010730B" w:rsidRDefault="00AB2AA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I.</w:t>
      </w:r>
      <w:r w:rsidRPr="0010730B">
        <w:rPr>
          <w:rFonts w:ascii="Palatino Linotype" w:eastAsia="Palatino Linotype" w:hAnsi="Palatino Linotype" w:cs="Palatino Linotype"/>
          <w:i/>
          <w:sz w:val="22"/>
          <w:szCs w:val="22"/>
        </w:rPr>
        <w:t xml:space="preserve"> Los motivos y razonamientos que sustenten la confirmación o modificación de la prueba de daño;</w:t>
      </w:r>
    </w:p>
    <w:p w14:paraId="30F90B26" w14:textId="77777777" w:rsidR="00C10098" w:rsidRPr="0010730B" w:rsidRDefault="00AB2AA7">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10730B">
        <w:rPr>
          <w:rFonts w:ascii="Palatino Linotype" w:eastAsia="Palatino Linotype" w:hAnsi="Palatino Linotype" w:cs="Palatino Linotype"/>
          <w:b/>
          <w:i/>
          <w:sz w:val="22"/>
          <w:szCs w:val="22"/>
        </w:rPr>
        <w:t>II</w:t>
      </w:r>
      <w:r w:rsidRPr="0010730B">
        <w:rPr>
          <w:rFonts w:ascii="Palatino Linotype" w:eastAsia="Palatino Linotype" w:hAnsi="Palatino Linotype" w:cs="Palatino Linotype"/>
          <w:i/>
          <w:sz w:val="22"/>
          <w:szCs w:val="22"/>
        </w:rPr>
        <w:t>. Descripción de las partes o secciones reservadas, en caso de clasificación parcial</w:t>
      </w:r>
      <w:r w:rsidRPr="0010730B">
        <w:rPr>
          <w:rFonts w:ascii="Palatino Linotype" w:eastAsia="Palatino Linotype" w:hAnsi="Palatino Linotype" w:cs="Palatino Linotype"/>
          <w:b/>
          <w:i/>
          <w:sz w:val="22"/>
          <w:szCs w:val="22"/>
        </w:rPr>
        <w:t xml:space="preserve">; </w:t>
      </w:r>
    </w:p>
    <w:p w14:paraId="5D2D742A" w14:textId="77777777" w:rsidR="00C10098" w:rsidRPr="0010730B" w:rsidRDefault="00AB2AA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III.</w:t>
      </w:r>
      <w:r w:rsidRPr="0010730B">
        <w:rPr>
          <w:rFonts w:ascii="Palatino Linotype" w:eastAsia="Palatino Linotype" w:hAnsi="Palatino Linotype" w:cs="Palatino Linotype"/>
          <w:i/>
          <w:sz w:val="22"/>
          <w:szCs w:val="22"/>
        </w:rPr>
        <w:t xml:space="preserve"> El periodo por el que mantendrá su clasificación y fecha de expiración; y </w:t>
      </w:r>
    </w:p>
    <w:p w14:paraId="33CE5469" w14:textId="77777777" w:rsidR="00C10098" w:rsidRPr="0010730B" w:rsidRDefault="00AB2AA7">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IV.</w:t>
      </w:r>
      <w:r w:rsidRPr="0010730B">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0D89223B" w14:textId="77777777" w:rsidR="00C10098" w:rsidRPr="0010730B" w:rsidRDefault="00AB2AA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lastRenderedPageBreak/>
        <w:t xml:space="preserve">En los casos en que se clasifique la información como reservada siempre se entregará o anexará la prueba de daño con la respuesta al solicitante. </w:t>
      </w:r>
    </w:p>
    <w:p w14:paraId="60F2DBFE" w14:textId="77777777" w:rsidR="00C10098" w:rsidRPr="0010730B" w:rsidRDefault="00AB2AA7">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FEE7FB4" w14:textId="77777777" w:rsidR="00C10098" w:rsidRPr="0010730B" w:rsidRDefault="00AB2AA7">
      <w:pPr>
        <w:spacing w:before="120" w:after="120"/>
        <w:ind w:left="851" w:right="900"/>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Quincuagésimo segundo</w:t>
      </w:r>
      <w:r w:rsidRPr="0010730B">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BA613D3" w14:textId="77777777" w:rsidR="00C10098" w:rsidRPr="0010730B" w:rsidRDefault="00AB2AA7">
      <w:pPr>
        <w:spacing w:before="120" w:after="120"/>
        <w:ind w:left="851" w:right="900"/>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 xml:space="preserve">En el caso </w:t>
      </w:r>
      <w:proofErr w:type="spellStart"/>
      <w:r w:rsidRPr="0010730B">
        <w:rPr>
          <w:rFonts w:ascii="Palatino Linotype" w:eastAsia="Palatino Linotype" w:hAnsi="Palatino Linotype" w:cs="Palatino Linotype"/>
          <w:i/>
          <w:sz w:val="22"/>
          <w:szCs w:val="22"/>
        </w:rPr>
        <w:t>especifico</w:t>
      </w:r>
      <w:proofErr w:type="spellEnd"/>
      <w:r w:rsidRPr="0010730B">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0D537406" w14:textId="77777777" w:rsidR="00C10098" w:rsidRPr="0010730B" w:rsidRDefault="00AB2AA7">
      <w:pPr>
        <w:spacing w:before="120" w:after="120"/>
        <w:ind w:left="1134" w:right="900"/>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I.</w:t>
      </w:r>
      <w:r w:rsidRPr="0010730B">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5596D302" w14:textId="77777777" w:rsidR="00C10098" w:rsidRPr="0010730B" w:rsidRDefault="00AB2AA7">
      <w:pPr>
        <w:spacing w:before="120" w:after="120"/>
        <w:ind w:left="1134" w:right="900"/>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II.</w:t>
      </w:r>
      <w:r w:rsidRPr="0010730B">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1629E2D9" w14:textId="77777777" w:rsidR="00C10098" w:rsidRPr="0010730B" w:rsidRDefault="00AB2AA7">
      <w:pPr>
        <w:spacing w:before="120" w:after="120"/>
        <w:ind w:left="1134" w:right="900"/>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III.</w:t>
      </w:r>
      <w:r w:rsidRPr="0010730B">
        <w:rPr>
          <w:rFonts w:ascii="Palatino Linotype" w:eastAsia="Palatino Linotype" w:hAnsi="Palatino Linotype" w:cs="Palatino Linotype"/>
          <w:i/>
          <w:sz w:val="22"/>
          <w:szCs w:val="22"/>
        </w:rPr>
        <w:t xml:space="preserve"> Señalar las personas o instancias autorizadas a acceder a la información clasificada.</w:t>
      </w:r>
    </w:p>
    <w:p w14:paraId="5FF0609E" w14:textId="77777777" w:rsidR="00C10098" w:rsidRPr="0010730B" w:rsidRDefault="00AB2AA7">
      <w:pPr>
        <w:spacing w:before="120" w:after="120"/>
        <w:ind w:left="851" w:right="900"/>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3B779AC"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Asimismo, deberá observar los Lineamientos Quincuagésimo cuarto, Quincuagésimo quinto, Quincuagésimo sexto, Quincuagésimo séptimo y Quincuagésimo octavo, establecen lo siguiente:</w:t>
      </w:r>
    </w:p>
    <w:p w14:paraId="50C38104" w14:textId="77777777" w:rsidR="00C10098" w:rsidRPr="0010730B" w:rsidRDefault="00AB2AA7">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10730B">
        <w:rPr>
          <w:rFonts w:ascii="Palatino Linotype" w:eastAsia="Palatino Linotype" w:hAnsi="Palatino Linotype" w:cs="Palatino Linotype"/>
          <w:i/>
          <w:sz w:val="22"/>
          <w:szCs w:val="22"/>
        </w:rPr>
        <w:t>“</w:t>
      </w:r>
      <w:r w:rsidRPr="0010730B">
        <w:rPr>
          <w:rFonts w:ascii="Palatino Linotype" w:eastAsia="Palatino Linotype" w:hAnsi="Palatino Linotype" w:cs="Palatino Linotype"/>
          <w:b/>
          <w:i/>
          <w:sz w:val="22"/>
          <w:szCs w:val="22"/>
        </w:rPr>
        <w:t xml:space="preserve">Quincuagésimo cuarto. </w:t>
      </w:r>
      <w:r w:rsidRPr="0010730B">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10730B">
        <w:rPr>
          <w:rFonts w:ascii="Palatino Linotype" w:eastAsia="Palatino Linotype" w:hAnsi="Palatino Linotype" w:cs="Palatino Linotype"/>
          <w:b/>
          <w:i/>
          <w:sz w:val="22"/>
          <w:szCs w:val="22"/>
        </w:rPr>
        <w:t xml:space="preserve"> </w:t>
      </w:r>
    </w:p>
    <w:p w14:paraId="773965DE" w14:textId="77777777" w:rsidR="00C10098" w:rsidRPr="0010730B" w:rsidRDefault="00AB2AA7">
      <w:pP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lastRenderedPageBreak/>
        <w:t xml:space="preserve">Quincuagésimo quinto. </w:t>
      </w:r>
      <w:r w:rsidRPr="0010730B">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10730B">
        <w:rPr>
          <w:rFonts w:ascii="Palatino Linotype" w:eastAsia="Palatino Linotype" w:hAnsi="Palatino Linotype" w:cs="Palatino Linotype"/>
          <w:i/>
          <w:sz w:val="22"/>
          <w:szCs w:val="22"/>
        </w:rPr>
        <w:t>testado</w:t>
      </w:r>
      <w:proofErr w:type="spellEnd"/>
      <w:r w:rsidRPr="0010730B">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7005F9AB" w14:textId="77777777" w:rsidR="00C10098" w:rsidRPr="0010730B" w:rsidRDefault="00AB2AA7">
      <w:pPr>
        <w:spacing w:before="120" w:after="120"/>
        <w:ind w:left="851" w:right="902"/>
        <w:jc w:val="both"/>
        <w:rPr>
          <w:rFonts w:ascii="Palatino Linotype" w:eastAsia="Palatino Linotype" w:hAnsi="Palatino Linotype" w:cs="Palatino Linotype"/>
          <w:b/>
          <w:i/>
          <w:sz w:val="22"/>
          <w:szCs w:val="22"/>
        </w:rPr>
      </w:pPr>
      <w:r w:rsidRPr="0010730B">
        <w:rPr>
          <w:rFonts w:ascii="Palatino Linotype" w:eastAsia="Palatino Linotype" w:hAnsi="Palatino Linotype" w:cs="Palatino Linotype"/>
          <w:b/>
          <w:i/>
          <w:sz w:val="22"/>
          <w:szCs w:val="22"/>
        </w:rPr>
        <w:t>...</w:t>
      </w:r>
    </w:p>
    <w:p w14:paraId="3048176C" w14:textId="77777777" w:rsidR="00C10098" w:rsidRPr="0010730B" w:rsidRDefault="00AB2AA7">
      <w:pP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Quincuagésimo séptimo</w:t>
      </w:r>
      <w:r w:rsidRPr="0010730B">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58B75F47"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I</w:t>
      </w:r>
      <w:r w:rsidRPr="0010730B">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0DCF06DB"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II.</w:t>
      </w:r>
      <w:r w:rsidRPr="0010730B">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5A46ADCA" w14:textId="77777777" w:rsidR="00C10098" w:rsidRPr="0010730B" w:rsidRDefault="00AB2AA7">
      <w:pPr>
        <w:spacing w:before="120" w:after="120"/>
        <w:ind w:left="1134"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III</w:t>
      </w:r>
      <w:r w:rsidRPr="0010730B">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6485FAFE" w14:textId="77777777" w:rsidR="00C10098" w:rsidRPr="0010730B" w:rsidRDefault="00AB2AA7">
      <w:pP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02FACF99" w14:textId="77777777" w:rsidR="00C10098" w:rsidRPr="0010730B" w:rsidRDefault="00AB2AA7">
      <w:pPr>
        <w:spacing w:before="120" w:after="120"/>
        <w:ind w:left="851" w:right="902"/>
        <w:jc w:val="both"/>
        <w:rPr>
          <w:rFonts w:ascii="Palatino Linotype" w:eastAsia="Palatino Linotype" w:hAnsi="Palatino Linotype" w:cs="Palatino Linotype"/>
          <w:i/>
          <w:sz w:val="22"/>
          <w:szCs w:val="22"/>
        </w:rPr>
      </w:pPr>
      <w:r w:rsidRPr="0010730B">
        <w:rPr>
          <w:rFonts w:ascii="Palatino Linotype" w:eastAsia="Palatino Linotype" w:hAnsi="Palatino Linotype" w:cs="Palatino Linotype"/>
          <w:b/>
          <w:i/>
          <w:sz w:val="22"/>
          <w:szCs w:val="22"/>
        </w:rPr>
        <w:t>Quincuagésimo octavo</w:t>
      </w:r>
      <w:r w:rsidRPr="0010730B">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6AFAD494"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Así, con fundamento en lo prescrito en los artículos 5 párrafos trigésimo noveno, cuadragésimo y cuadragésimo primero de la Constitución Política del Estado Libre y Soberano de México; 2, fracción II; 29, 36 fracciones I y II; 176, 178, 181, 185 y 186 fracción II de la Ley de Transparencia y Acceso a la Información Pública del Estado de México y Municipios, este Pleno:</w:t>
      </w:r>
    </w:p>
    <w:p w14:paraId="33BA3438" w14:textId="77777777" w:rsidR="00C10098" w:rsidRPr="0010730B" w:rsidRDefault="00AB2AA7">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10730B">
        <w:rPr>
          <w:rFonts w:ascii="Palatino Linotype" w:eastAsia="Palatino Linotype" w:hAnsi="Palatino Linotype" w:cs="Palatino Linotype"/>
          <w:b/>
        </w:rPr>
        <w:t>III. R E S U E L V E</w:t>
      </w:r>
    </w:p>
    <w:p w14:paraId="09721BE4" w14:textId="77777777" w:rsidR="00C10098" w:rsidRPr="0010730B" w:rsidRDefault="00AB2AA7">
      <w:pPr>
        <w:spacing w:before="240" w:after="240" w:line="360" w:lineRule="auto"/>
        <w:jc w:val="both"/>
        <w:rPr>
          <w:rFonts w:ascii="Palatino Linotype" w:eastAsia="Palatino Linotype" w:hAnsi="Palatino Linotype" w:cs="Palatino Linotype"/>
        </w:rPr>
      </w:pPr>
      <w:bookmarkStart w:id="8" w:name="_heading=h.1t3h5sf" w:colFirst="0" w:colLast="0"/>
      <w:bookmarkEnd w:id="8"/>
      <w:r w:rsidRPr="0010730B">
        <w:rPr>
          <w:rFonts w:ascii="Palatino Linotype" w:eastAsia="Palatino Linotype" w:hAnsi="Palatino Linotype" w:cs="Palatino Linotype"/>
          <w:b/>
        </w:rPr>
        <w:lastRenderedPageBreak/>
        <w:t xml:space="preserve">Primero. </w:t>
      </w:r>
      <w:r w:rsidRPr="0010730B">
        <w:rPr>
          <w:rFonts w:ascii="Palatino Linotype" w:eastAsia="Palatino Linotype" w:hAnsi="Palatino Linotype" w:cs="Palatino Linotype"/>
        </w:rPr>
        <w:t>Resultan</w:t>
      </w:r>
      <w:r w:rsidRPr="0010730B">
        <w:rPr>
          <w:rFonts w:ascii="Palatino Linotype" w:eastAsia="Palatino Linotype" w:hAnsi="Palatino Linotype" w:cs="Palatino Linotype"/>
          <w:b/>
        </w:rPr>
        <w:t xml:space="preserve"> fundadas</w:t>
      </w:r>
      <w:r w:rsidRPr="0010730B">
        <w:rPr>
          <w:rFonts w:ascii="Palatino Linotype" w:eastAsia="Palatino Linotype" w:hAnsi="Palatino Linotype" w:cs="Palatino Linotype"/>
        </w:rPr>
        <w:t xml:space="preserve"> las razones o motivos de inconformidad hechos valer por la parte</w:t>
      </w:r>
      <w:r w:rsidRPr="0010730B">
        <w:rPr>
          <w:rFonts w:ascii="Palatino Linotype" w:eastAsia="Palatino Linotype" w:hAnsi="Palatino Linotype" w:cs="Palatino Linotype"/>
          <w:b/>
        </w:rPr>
        <w:t xml:space="preserve"> Recurrente</w:t>
      </w:r>
      <w:r w:rsidRPr="0010730B">
        <w:rPr>
          <w:rFonts w:ascii="Palatino Linotype" w:eastAsia="Palatino Linotype" w:hAnsi="Palatino Linotype" w:cs="Palatino Linotype"/>
        </w:rPr>
        <w:t xml:space="preserve"> en el recurso de revisión </w:t>
      </w:r>
      <w:r w:rsidRPr="0010730B">
        <w:rPr>
          <w:rFonts w:ascii="Palatino Linotype" w:eastAsia="Palatino Linotype" w:hAnsi="Palatino Linotype" w:cs="Palatino Linotype"/>
          <w:b/>
        </w:rPr>
        <w:t>04059/INFOEM/IP/RR/2025</w:t>
      </w:r>
      <w:r w:rsidRPr="0010730B">
        <w:rPr>
          <w:rFonts w:ascii="Palatino Linotype" w:eastAsia="Palatino Linotype" w:hAnsi="Palatino Linotype" w:cs="Palatino Linotype"/>
        </w:rPr>
        <w:t xml:space="preserve">; por lo que, en términos del </w:t>
      </w:r>
      <w:r w:rsidRPr="0010730B">
        <w:rPr>
          <w:rFonts w:ascii="Palatino Linotype" w:eastAsia="Palatino Linotype" w:hAnsi="Palatino Linotype" w:cs="Palatino Linotype"/>
          <w:b/>
        </w:rPr>
        <w:t>Considerando</w:t>
      </w:r>
      <w:r w:rsidRPr="0010730B">
        <w:rPr>
          <w:rFonts w:ascii="Palatino Linotype" w:eastAsia="Palatino Linotype" w:hAnsi="Palatino Linotype" w:cs="Palatino Linotype"/>
        </w:rPr>
        <w:t xml:space="preserve"> </w:t>
      </w:r>
      <w:r w:rsidRPr="0010730B">
        <w:rPr>
          <w:rFonts w:ascii="Palatino Linotype" w:eastAsia="Palatino Linotype" w:hAnsi="Palatino Linotype" w:cs="Palatino Linotype"/>
          <w:b/>
        </w:rPr>
        <w:t xml:space="preserve">Cuarto </w:t>
      </w:r>
      <w:r w:rsidRPr="0010730B">
        <w:rPr>
          <w:rFonts w:ascii="Palatino Linotype" w:eastAsia="Palatino Linotype" w:hAnsi="Palatino Linotype" w:cs="Palatino Linotype"/>
        </w:rPr>
        <w:t xml:space="preserve">de esta resolución, se </w:t>
      </w:r>
      <w:r w:rsidRPr="0010730B">
        <w:rPr>
          <w:rFonts w:ascii="Palatino Linotype" w:eastAsia="Palatino Linotype" w:hAnsi="Palatino Linotype" w:cs="Palatino Linotype"/>
          <w:b/>
        </w:rPr>
        <w:t>Modifica</w:t>
      </w:r>
      <w:r w:rsidRPr="0010730B">
        <w:rPr>
          <w:rFonts w:ascii="Palatino Linotype" w:eastAsia="Palatino Linotype" w:hAnsi="Palatino Linotype" w:cs="Palatino Linotype"/>
        </w:rPr>
        <w:t xml:space="preserve"> la respuesta emitida por el </w:t>
      </w:r>
      <w:r w:rsidRPr="0010730B">
        <w:rPr>
          <w:rFonts w:ascii="Palatino Linotype" w:eastAsia="Palatino Linotype" w:hAnsi="Palatino Linotype" w:cs="Palatino Linotype"/>
          <w:b/>
        </w:rPr>
        <w:t xml:space="preserve">Sujeto Obligado. </w:t>
      </w:r>
    </w:p>
    <w:p w14:paraId="79A4C19B" w14:textId="77777777" w:rsidR="00C10098" w:rsidRPr="0010730B" w:rsidRDefault="00AB2AA7">
      <w:pPr>
        <w:spacing w:before="240" w:after="240" w:line="360" w:lineRule="auto"/>
        <w:ind w:right="49"/>
        <w:jc w:val="both"/>
        <w:rPr>
          <w:rFonts w:ascii="Palatino Linotype" w:eastAsia="Palatino Linotype" w:hAnsi="Palatino Linotype" w:cs="Palatino Linotype"/>
        </w:rPr>
      </w:pPr>
      <w:r w:rsidRPr="0010730B">
        <w:rPr>
          <w:rFonts w:ascii="Palatino Linotype" w:eastAsia="Palatino Linotype" w:hAnsi="Palatino Linotype" w:cs="Palatino Linotype"/>
          <w:b/>
        </w:rPr>
        <w:t xml:space="preserve">Segundo. </w:t>
      </w:r>
      <w:r w:rsidRPr="0010730B">
        <w:rPr>
          <w:rFonts w:ascii="Palatino Linotype" w:eastAsia="Palatino Linotype" w:hAnsi="Palatino Linotype" w:cs="Palatino Linotype"/>
        </w:rPr>
        <w:t xml:space="preserve">Se </w:t>
      </w:r>
      <w:r w:rsidRPr="0010730B">
        <w:rPr>
          <w:rFonts w:ascii="Palatino Linotype" w:eastAsia="Palatino Linotype" w:hAnsi="Palatino Linotype" w:cs="Palatino Linotype"/>
          <w:b/>
        </w:rPr>
        <w:t xml:space="preserve">Ordena </w:t>
      </w:r>
      <w:r w:rsidRPr="0010730B">
        <w:rPr>
          <w:rFonts w:ascii="Palatino Linotype" w:eastAsia="Palatino Linotype" w:hAnsi="Palatino Linotype" w:cs="Palatino Linotype"/>
        </w:rPr>
        <w:t xml:space="preserve">al </w:t>
      </w:r>
      <w:r w:rsidRPr="0010730B">
        <w:rPr>
          <w:rFonts w:ascii="Palatino Linotype" w:eastAsia="Palatino Linotype" w:hAnsi="Palatino Linotype" w:cs="Palatino Linotype"/>
          <w:b/>
        </w:rPr>
        <w:t xml:space="preserve">Sujeto Obligado, </w:t>
      </w:r>
      <w:r w:rsidRPr="0010730B">
        <w:rPr>
          <w:rFonts w:ascii="Palatino Linotype" w:eastAsia="Palatino Linotype" w:hAnsi="Palatino Linotype" w:cs="Palatino Linotype"/>
        </w:rPr>
        <w:t xml:space="preserve">en términos de los </w:t>
      </w:r>
      <w:r w:rsidRPr="0010730B">
        <w:rPr>
          <w:rFonts w:ascii="Palatino Linotype" w:eastAsia="Palatino Linotype" w:hAnsi="Palatino Linotype" w:cs="Palatino Linotype"/>
          <w:b/>
        </w:rPr>
        <w:t>Considerandos</w:t>
      </w:r>
      <w:r w:rsidRPr="0010730B">
        <w:rPr>
          <w:rFonts w:ascii="Palatino Linotype" w:eastAsia="Palatino Linotype" w:hAnsi="Palatino Linotype" w:cs="Palatino Linotype"/>
        </w:rPr>
        <w:t xml:space="preserve"> </w:t>
      </w:r>
      <w:r w:rsidRPr="0010730B">
        <w:rPr>
          <w:rFonts w:ascii="Palatino Linotype" w:eastAsia="Palatino Linotype" w:hAnsi="Palatino Linotype" w:cs="Palatino Linotype"/>
          <w:b/>
        </w:rPr>
        <w:t xml:space="preserve">Cuarto </w:t>
      </w:r>
      <w:r w:rsidRPr="0010730B">
        <w:rPr>
          <w:rFonts w:ascii="Palatino Linotype" w:eastAsia="Palatino Linotype" w:hAnsi="Palatino Linotype" w:cs="Palatino Linotype"/>
        </w:rPr>
        <w:t xml:space="preserve">y </w:t>
      </w:r>
      <w:r w:rsidRPr="0010730B">
        <w:rPr>
          <w:rFonts w:ascii="Palatino Linotype" w:eastAsia="Palatino Linotype" w:hAnsi="Palatino Linotype" w:cs="Palatino Linotype"/>
          <w:b/>
        </w:rPr>
        <w:t xml:space="preserve">Quinto </w:t>
      </w:r>
      <w:r w:rsidRPr="0010730B">
        <w:rPr>
          <w:rFonts w:ascii="Palatino Linotype" w:eastAsia="Palatino Linotype" w:hAnsi="Palatino Linotype" w:cs="Palatino Linotype"/>
        </w:rPr>
        <w:t xml:space="preserve">de esta resolución, haga entrega, vía </w:t>
      </w:r>
      <w:r w:rsidRPr="0010730B">
        <w:rPr>
          <w:rFonts w:ascii="Palatino Linotype" w:eastAsia="Palatino Linotype" w:hAnsi="Palatino Linotype" w:cs="Palatino Linotype"/>
          <w:b/>
        </w:rPr>
        <w:t>SAIMEX</w:t>
      </w:r>
      <w:r w:rsidRPr="0010730B">
        <w:rPr>
          <w:rFonts w:ascii="Palatino Linotype" w:eastAsia="Palatino Linotype" w:hAnsi="Palatino Linotype" w:cs="Palatino Linotype"/>
        </w:rPr>
        <w:t>, en versión pública de lo siguiente:</w:t>
      </w:r>
    </w:p>
    <w:p w14:paraId="40A457F6" w14:textId="77777777" w:rsidR="00C10098" w:rsidRPr="0010730B" w:rsidRDefault="00AB2AA7">
      <w:pPr>
        <w:spacing w:before="240" w:after="240" w:line="360" w:lineRule="auto"/>
        <w:ind w:left="284" w:right="49"/>
        <w:jc w:val="both"/>
        <w:rPr>
          <w:rFonts w:ascii="Palatino Linotype" w:eastAsia="Palatino Linotype" w:hAnsi="Palatino Linotype" w:cs="Palatino Linotype"/>
        </w:rPr>
      </w:pPr>
      <w:bookmarkStart w:id="9" w:name="_heading=h.1fob9te" w:colFirst="0" w:colLast="0"/>
      <w:bookmarkEnd w:id="9"/>
      <w:r w:rsidRPr="0010730B">
        <w:rPr>
          <w:rFonts w:ascii="Palatino Linotype" w:eastAsia="Palatino Linotype" w:hAnsi="Palatino Linotype" w:cs="Palatino Linotype"/>
        </w:rPr>
        <w:t>1. Documentos presentados por la persona que fue designada como Defensora Municipal de Derechos Humanos, de conformidad con la convocatoria 2025-2027.</w:t>
      </w:r>
    </w:p>
    <w:p w14:paraId="7BCF4D8F" w14:textId="77777777" w:rsidR="00C10098" w:rsidRPr="0010730B" w:rsidRDefault="00AB2AA7">
      <w:pPr>
        <w:spacing w:before="240" w:after="240" w:line="360" w:lineRule="auto"/>
        <w:ind w:left="284" w:right="49"/>
        <w:jc w:val="both"/>
        <w:rPr>
          <w:rFonts w:ascii="Palatino Linotype" w:eastAsia="Palatino Linotype" w:hAnsi="Palatino Linotype" w:cs="Palatino Linotype"/>
        </w:rPr>
      </w:pPr>
      <w:r w:rsidRPr="0010730B">
        <w:rPr>
          <w:rFonts w:ascii="Palatino Linotype" w:eastAsia="Palatino Linotype" w:hAnsi="Palatino Linotype" w:cs="Palatino Linotype"/>
        </w:rPr>
        <w:t>2. Documento en el que conste el Plan de Trabajo de la persona referida en el punto anterior.</w:t>
      </w:r>
    </w:p>
    <w:p w14:paraId="5ADF54F1" w14:textId="77777777" w:rsidR="00C10098" w:rsidRPr="0010730B" w:rsidRDefault="00AB2AA7">
      <w:pPr>
        <w:spacing w:before="240" w:after="240" w:line="360" w:lineRule="auto"/>
        <w:ind w:left="284" w:right="49"/>
        <w:jc w:val="both"/>
        <w:rPr>
          <w:rFonts w:ascii="Palatino Linotype" w:eastAsia="Palatino Linotype" w:hAnsi="Palatino Linotype" w:cs="Palatino Linotype"/>
        </w:rPr>
      </w:pPr>
      <w:bookmarkStart w:id="10" w:name="_heading=h.cvuj5auuwtha" w:colFirst="0" w:colLast="0"/>
      <w:bookmarkEnd w:id="10"/>
      <w:r w:rsidRPr="0010730B">
        <w:rPr>
          <w:rFonts w:ascii="Palatino Linotype" w:eastAsia="Palatino Linotype" w:hAnsi="Palatino Linotype" w:cs="Palatino Linotype"/>
        </w:rPr>
        <w:t>3. Acta de la Décima Sesión Ordinaria de Cabildo celebrada el cinco de marzo de dos mil veinticinco.</w:t>
      </w:r>
    </w:p>
    <w:p w14:paraId="44CA9444" w14:textId="77777777" w:rsidR="00C10098" w:rsidRPr="0010730B" w:rsidRDefault="00AB2AA7">
      <w:pPr>
        <w:spacing w:before="120" w:after="120"/>
        <w:ind w:left="284"/>
        <w:jc w:val="both"/>
        <w:rPr>
          <w:rFonts w:ascii="Palatino Linotype" w:eastAsia="Palatino Linotype" w:hAnsi="Palatino Linotype" w:cs="Palatino Linotype"/>
          <w:i/>
          <w:sz w:val="20"/>
          <w:szCs w:val="20"/>
        </w:rPr>
      </w:pPr>
      <w:r w:rsidRPr="0010730B">
        <w:rPr>
          <w:rFonts w:ascii="Palatino Linotype" w:eastAsia="Palatino Linotype" w:hAnsi="Palatino Linotype" w:cs="Palatino Linotype"/>
          <w:i/>
          <w:sz w:val="20"/>
          <w:szCs w:val="20"/>
        </w:rPr>
        <w:t>Para la entrega de información en versión pública, se deberá emitir el Acuerdo del Comité de Transparencia de acuerdo con la Ley de Transparencia y Acceso a la Información Pública del Estado de México y Municipios, en el que funde y motive las razones sobre los datos que se supriman, mismo que también hará de conocimiento del particular.</w:t>
      </w:r>
    </w:p>
    <w:p w14:paraId="2AA6D211" w14:textId="77777777" w:rsidR="00C10098" w:rsidRPr="0010730B" w:rsidRDefault="00AB2AA7">
      <w:pPr>
        <w:spacing w:before="240" w:after="240" w:line="360" w:lineRule="auto"/>
        <w:jc w:val="both"/>
        <w:rPr>
          <w:rFonts w:ascii="Palatino Linotype" w:eastAsia="Palatino Linotype" w:hAnsi="Palatino Linotype" w:cs="Palatino Linotype"/>
        </w:rPr>
      </w:pPr>
      <w:bookmarkStart w:id="11" w:name="_heading=h.hnzxsch5gysz" w:colFirst="0" w:colLast="0"/>
      <w:bookmarkEnd w:id="11"/>
      <w:r w:rsidRPr="0010730B">
        <w:rPr>
          <w:rFonts w:ascii="Palatino Linotype" w:eastAsia="Palatino Linotype" w:hAnsi="Palatino Linotype" w:cs="Palatino Linotype"/>
          <w:b/>
        </w:rPr>
        <w:t xml:space="preserve">Tercero. Notifíquese, </w:t>
      </w:r>
      <w:r w:rsidRPr="0010730B">
        <w:rPr>
          <w:rFonts w:ascii="Palatino Linotype" w:eastAsia="Palatino Linotype" w:hAnsi="Palatino Linotype" w:cs="Palatino Linotype"/>
        </w:rPr>
        <w:t xml:space="preserve">vía </w:t>
      </w:r>
      <w:r w:rsidRPr="0010730B">
        <w:rPr>
          <w:rFonts w:ascii="Palatino Linotype" w:eastAsia="Palatino Linotype" w:hAnsi="Palatino Linotype" w:cs="Palatino Linotype"/>
          <w:b/>
        </w:rPr>
        <w:t>SAIMEX</w:t>
      </w:r>
      <w:r w:rsidRPr="0010730B">
        <w:rPr>
          <w:rFonts w:ascii="Palatino Linotype" w:eastAsia="Palatino Linotype" w:hAnsi="Palatino Linotype" w:cs="Palatino Linotype"/>
        </w:rPr>
        <w:t xml:space="preserve">, al Titular de la Unidad de Transparencia del </w:t>
      </w:r>
      <w:r w:rsidRPr="0010730B">
        <w:rPr>
          <w:rFonts w:ascii="Palatino Linotype" w:eastAsia="Palatino Linotype" w:hAnsi="Palatino Linotype" w:cs="Palatino Linotype"/>
          <w:b/>
        </w:rPr>
        <w:t>Sujeto Obligado,</w:t>
      </w:r>
      <w:r w:rsidRPr="0010730B">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w:t>
      </w:r>
      <w:r w:rsidRPr="0010730B">
        <w:rPr>
          <w:rFonts w:ascii="Palatino Linotype" w:eastAsia="Palatino Linotype" w:hAnsi="Palatino Linotype" w:cs="Palatino Linotype"/>
        </w:rPr>
        <w:lastRenderedPageBreak/>
        <w:t>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CD59617" w14:textId="77777777" w:rsidR="00C10098" w:rsidRPr="0010730B" w:rsidRDefault="00AB2AA7">
      <w:pPr>
        <w:spacing w:before="240" w:after="240" w:line="360" w:lineRule="auto"/>
        <w:jc w:val="both"/>
        <w:rPr>
          <w:rFonts w:ascii="Palatino Linotype" w:eastAsia="Palatino Linotype" w:hAnsi="Palatino Linotype" w:cs="Palatino Linotype"/>
        </w:rPr>
      </w:pPr>
      <w:r w:rsidRPr="0010730B">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10730B">
        <w:rPr>
          <w:rFonts w:ascii="Palatino Linotype" w:eastAsia="Palatino Linotype" w:hAnsi="Palatino Linotype" w:cs="Palatino Linotype"/>
          <w:b/>
        </w:rPr>
        <w:t>Sujeto Obligado</w:t>
      </w:r>
      <w:r w:rsidRPr="0010730B">
        <w:rPr>
          <w:rFonts w:ascii="Palatino Linotype" w:eastAsia="Palatino Linotype" w:hAnsi="Palatino Linotype" w:cs="Palatino Linotype"/>
        </w:rPr>
        <w:t xml:space="preserve"> de manera fundada y motivada, podrá solicitar una ampliación de plazo para el cumplimiento de la presente resolución.</w:t>
      </w:r>
    </w:p>
    <w:p w14:paraId="08EBC7E0" w14:textId="77777777" w:rsidR="00C10098" w:rsidRPr="0010730B" w:rsidRDefault="00AB2AA7">
      <w:pPr>
        <w:spacing w:before="240" w:after="240" w:line="360" w:lineRule="auto"/>
        <w:jc w:val="both"/>
        <w:rPr>
          <w:rFonts w:ascii="Palatino Linotype" w:eastAsia="Palatino Linotype" w:hAnsi="Palatino Linotype" w:cs="Palatino Linotype"/>
        </w:rPr>
      </w:pPr>
      <w:bookmarkStart w:id="12" w:name="_heading=h.ot3qq6vxa08f" w:colFirst="0" w:colLast="0"/>
      <w:bookmarkEnd w:id="12"/>
      <w:r w:rsidRPr="0010730B">
        <w:rPr>
          <w:rFonts w:ascii="Palatino Linotype" w:eastAsia="Palatino Linotype" w:hAnsi="Palatino Linotype" w:cs="Palatino Linotype"/>
          <w:b/>
        </w:rPr>
        <w:t xml:space="preserve">Cuarto.  Notifíquese, </w:t>
      </w:r>
      <w:r w:rsidRPr="0010730B">
        <w:rPr>
          <w:rFonts w:ascii="Palatino Linotype" w:eastAsia="Palatino Linotype" w:hAnsi="Palatino Linotype" w:cs="Palatino Linotype"/>
        </w:rPr>
        <w:t xml:space="preserve">vía </w:t>
      </w:r>
      <w:r w:rsidRPr="0010730B">
        <w:rPr>
          <w:rFonts w:ascii="Palatino Linotype" w:eastAsia="Palatino Linotype" w:hAnsi="Palatino Linotype" w:cs="Palatino Linotype"/>
          <w:b/>
        </w:rPr>
        <w:t>SAIMEX</w:t>
      </w:r>
      <w:r w:rsidRPr="0010730B">
        <w:rPr>
          <w:rFonts w:ascii="Palatino Linotype" w:eastAsia="Palatino Linotype" w:hAnsi="Palatino Linotype" w:cs="Palatino Linotype"/>
        </w:rPr>
        <w:t xml:space="preserve"> a la parte </w:t>
      </w:r>
      <w:r w:rsidRPr="0010730B">
        <w:rPr>
          <w:rFonts w:ascii="Palatino Linotype" w:eastAsia="Palatino Linotype" w:hAnsi="Palatino Linotype" w:cs="Palatino Linotype"/>
          <w:b/>
        </w:rPr>
        <w:t>Recurrente</w:t>
      </w:r>
      <w:r w:rsidRPr="0010730B">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585F95D8" w14:textId="756A98A1" w:rsidR="00C10098" w:rsidRPr="00AA5E57" w:rsidRDefault="00AB2AA7">
      <w:pPr>
        <w:tabs>
          <w:tab w:val="left" w:pos="8647"/>
        </w:tabs>
        <w:spacing w:before="240" w:after="240" w:line="360" w:lineRule="auto"/>
        <w:ind w:right="51"/>
        <w:jc w:val="both"/>
        <w:rPr>
          <w:rFonts w:ascii="Palatino Linotype" w:eastAsia="Palatino Linotype" w:hAnsi="Palatino Linotype" w:cs="Palatino Linotype"/>
        </w:rPr>
      </w:pPr>
      <w:bookmarkStart w:id="13" w:name="_heading=h.lnxbz9" w:colFirst="0" w:colLast="0"/>
      <w:bookmarkEnd w:id="13"/>
      <w:r w:rsidRPr="0010730B">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A4597E" w:rsidRPr="0010730B">
        <w:rPr>
          <w:rFonts w:ascii="Palatino Linotype" w:eastAsia="Palatino Linotype" w:hAnsi="Palatino Linotype" w:cs="Palatino Linotype"/>
        </w:rPr>
        <w:t xml:space="preserve"> (AUSENCIA JUSTIFICADA)</w:t>
      </w:r>
      <w:r w:rsidRPr="0010730B">
        <w:rPr>
          <w:rFonts w:ascii="Palatino Linotype" w:eastAsia="Palatino Linotype" w:hAnsi="Palatino Linotype" w:cs="Palatino Linotype"/>
        </w:rPr>
        <w:t>, SHARON CRISTINA MORALES MARTÍNEZ, LUIS GUSTAVO PARRA NORIEGA</w:t>
      </w:r>
      <w:r w:rsidR="00A4597E" w:rsidRPr="0010730B">
        <w:rPr>
          <w:rFonts w:ascii="Palatino Linotype" w:eastAsia="Palatino Linotype" w:hAnsi="Palatino Linotype" w:cs="Palatino Linotype"/>
        </w:rPr>
        <w:t>, EMITIENDO VOTO PARTICULAR</w:t>
      </w:r>
      <w:r w:rsidRPr="0010730B">
        <w:rPr>
          <w:rFonts w:ascii="Palatino Linotype" w:eastAsia="Palatino Linotype" w:hAnsi="Palatino Linotype" w:cs="Palatino Linotype"/>
        </w:rPr>
        <w:t>, Y GUADALUPE RAMÍREZ PEÑA</w:t>
      </w:r>
      <w:r w:rsidR="00A4597E" w:rsidRPr="0010730B">
        <w:rPr>
          <w:rFonts w:ascii="Palatino Linotype" w:eastAsia="Palatino Linotype" w:hAnsi="Palatino Linotype" w:cs="Palatino Linotype"/>
        </w:rPr>
        <w:t>, EMITIENDO VOTO PARTICULAR</w:t>
      </w:r>
      <w:r w:rsidRPr="0010730B">
        <w:rPr>
          <w:rFonts w:ascii="Palatino Linotype" w:eastAsia="Palatino Linotype" w:hAnsi="Palatino Linotype" w:cs="Palatino Linotype"/>
        </w:rPr>
        <w:t>, EN LA VIGÉSIMA QUINTA SESIÓN ORDINARIA CELEBRADA EL NUEVE DE JULIO DE DOS MIL VEINTICINCO, ANTE EL SECRETARIO TÉCNICO DEL PLENO ALEXIS TAPIA RAMÍREZ.</w:t>
      </w:r>
    </w:p>
    <w:p w14:paraId="66046585" w14:textId="77777777" w:rsidR="00C10098" w:rsidRPr="00AA5E57" w:rsidRDefault="00C10098">
      <w:pPr>
        <w:spacing w:line="360" w:lineRule="auto"/>
        <w:jc w:val="both"/>
        <w:rPr>
          <w:rFonts w:ascii="Palatino Linotype" w:eastAsia="Palatino Linotype" w:hAnsi="Palatino Linotype" w:cs="Palatino Linotype"/>
        </w:rPr>
      </w:pPr>
    </w:p>
    <w:p w14:paraId="51B7884A" w14:textId="77777777" w:rsidR="00C10098" w:rsidRPr="00AA5E57" w:rsidRDefault="00C10098">
      <w:pPr>
        <w:spacing w:line="360" w:lineRule="auto"/>
        <w:jc w:val="center"/>
        <w:rPr>
          <w:rFonts w:ascii="Palatino Linotype" w:eastAsia="Palatino Linotype" w:hAnsi="Palatino Linotype" w:cs="Palatino Linotype"/>
        </w:rPr>
      </w:pPr>
    </w:p>
    <w:p w14:paraId="08F46B15" w14:textId="77777777" w:rsidR="00C10098" w:rsidRPr="00AA5E57" w:rsidRDefault="00C10098">
      <w:pPr>
        <w:spacing w:line="360" w:lineRule="auto"/>
        <w:jc w:val="both"/>
        <w:rPr>
          <w:rFonts w:ascii="Palatino Linotype" w:eastAsia="Palatino Linotype" w:hAnsi="Palatino Linotype" w:cs="Palatino Linotype"/>
        </w:rPr>
      </w:pPr>
    </w:p>
    <w:p w14:paraId="23BCC332" w14:textId="77777777" w:rsidR="00C10098" w:rsidRPr="00AA5E57" w:rsidRDefault="00C10098">
      <w:pPr>
        <w:spacing w:line="360" w:lineRule="auto"/>
        <w:jc w:val="both"/>
        <w:rPr>
          <w:rFonts w:ascii="Palatino Linotype" w:eastAsia="Palatino Linotype" w:hAnsi="Palatino Linotype" w:cs="Palatino Linotype"/>
        </w:rPr>
      </w:pPr>
    </w:p>
    <w:p w14:paraId="1B992258" w14:textId="77777777" w:rsidR="00C10098" w:rsidRPr="00AA5E57" w:rsidRDefault="00C10098">
      <w:pPr>
        <w:spacing w:line="360" w:lineRule="auto"/>
        <w:jc w:val="both"/>
        <w:rPr>
          <w:rFonts w:ascii="Palatino Linotype" w:eastAsia="Palatino Linotype" w:hAnsi="Palatino Linotype" w:cs="Palatino Linotype"/>
        </w:rPr>
      </w:pPr>
    </w:p>
    <w:p w14:paraId="5CC740E4" w14:textId="77777777" w:rsidR="00C10098" w:rsidRPr="00AA5E57" w:rsidRDefault="00C10098">
      <w:pPr>
        <w:spacing w:line="360" w:lineRule="auto"/>
        <w:jc w:val="both"/>
        <w:rPr>
          <w:rFonts w:ascii="Palatino Linotype" w:eastAsia="Palatino Linotype" w:hAnsi="Palatino Linotype" w:cs="Palatino Linotype"/>
        </w:rPr>
      </w:pPr>
    </w:p>
    <w:p w14:paraId="63114A23" w14:textId="77777777" w:rsidR="00C10098" w:rsidRPr="00AA5E57" w:rsidRDefault="00C10098">
      <w:pPr>
        <w:spacing w:line="360" w:lineRule="auto"/>
        <w:jc w:val="both"/>
        <w:rPr>
          <w:rFonts w:ascii="Palatino Linotype" w:eastAsia="Palatino Linotype" w:hAnsi="Palatino Linotype" w:cs="Palatino Linotype"/>
        </w:rPr>
      </w:pPr>
    </w:p>
    <w:p w14:paraId="2955FC5B" w14:textId="77777777" w:rsidR="00C10098" w:rsidRPr="00AA5E57" w:rsidRDefault="00C10098">
      <w:pPr>
        <w:spacing w:line="360" w:lineRule="auto"/>
        <w:jc w:val="both"/>
        <w:rPr>
          <w:rFonts w:ascii="Palatino Linotype" w:eastAsia="Palatino Linotype" w:hAnsi="Palatino Linotype" w:cs="Palatino Linotype"/>
        </w:rPr>
      </w:pPr>
    </w:p>
    <w:p w14:paraId="62BEE827" w14:textId="77777777" w:rsidR="00C10098" w:rsidRPr="00AA5E57" w:rsidRDefault="00C10098">
      <w:pPr>
        <w:spacing w:line="360" w:lineRule="auto"/>
        <w:jc w:val="both"/>
        <w:rPr>
          <w:rFonts w:ascii="Palatino Linotype" w:eastAsia="Palatino Linotype" w:hAnsi="Palatino Linotype" w:cs="Palatino Linotype"/>
        </w:rPr>
      </w:pPr>
    </w:p>
    <w:p w14:paraId="50DD09BE" w14:textId="77777777" w:rsidR="00C10098" w:rsidRPr="00AA5E57" w:rsidRDefault="00C10098">
      <w:pPr>
        <w:spacing w:line="360" w:lineRule="auto"/>
        <w:jc w:val="both"/>
        <w:rPr>
          <w:rFonts w:ascii="Palatino Linotype" w:eastAsia="Palatino Linotype" w:hAnsi="Palatino Linotype" w:cs="Palatino Linotype"/>
        </w:rPr>
      </w:pPr>
    </w:p>
    <w:p w14:paraId="4ACB953D" w14:textId="77777777" w:rsidR="00C10098" w:rsidRPr="00AA5E57" w:rsidRDefault="00C10098">
      <w:pPr>
        <w:spacing w:line="360" w:lineRule="auto"/>
        <w:jc w:val="both"/>
        <w:rPr>
          <w:rFonts w:ascii="Palatino Linotype" w:eastAsia="Palatino Linotype" w:hAnsi="Palatino Linotype" w:cs="Palatino Linotype"/>
        </w:rPr>
      </w:pPr>
    </w:p>
    <w:p w14:paraId="7F292F7B" w14:textId="77777777" w:rsidR="00C10098" w:rsidRPr="00AA5E57" w:rsidRDefault="00C10098">
      <w:pPr>
        <w:spacing w:line="360" w:lineRule="auto"/>
        <w:jc w:val="both"/>
        <w:rPr>
          <w:rFonts w:ascii="Palatino Linotype" w:eastAsia="Palatino Linotype" w:hAnsi="Palatino Linotype" w:cs="Palatino Linotype"/>
        </w:rPr>
      </w:pPr>
    </w:p>
    <w:p w14:paraId="6A0F7838" w14:textId="77777777" w:rsidR="00C10098" w:rsidRPr="00AA5E57" w:rsidRDefault="00C10098">
      <w:pPr>
        <w:spacing w:line="360" w:lineRule="auto"/>
        <w:jc w:val="both"/>
        <w:rPr>
          <w:rFonts w:ascii="Palatino Linotype" w:eastAsia="Palatino Linotype" w:hAnsi="Palatino Linotype" w:cs="Palatino Linotype"/>
        </w:rPr>
      </w:pPr>
    </w:p>
    <w:p w14:paraId="6E83E3F8" w14:textId="77777777" w:rsidR="00C10098" w:rsidRPr="00AA5E57" w:rsidRDefault="00C10098">
      <w:pPr>
        <w:spacing w:line="360" w:lineRule="auto"/>
        <w:jc w:val="both"/>
        <w:rPr>
          <w:rFonts w:ascii="Palatino Linotype" w:eastAsia="Palatino Linotype" w:hAnsi="Palatino Linotype" w:cs="Palatino Linotype"/>
        </w:rPr>
      </w:pPr>
    </w:p>
    <w:p w14:paraId="54CD82F3" w14:textId="77777777" w:rsidR="00C10098" w:rsidRPr="00AA5E57" w:rsidRDefault="00C10098">
      <w:pPr>
        <w:spacing w:line="360" w:lineRule="auto"/>
        <w:jc w:val="both"/>
        <w:rPr>
          <w:rFonts w:ascii="Palatino Linotype" w:eastAsia="Palatino Linotype" w:hAnsi="Palatino Linotype" w:cs="Palatino Linotype"/>
        </w:rPr>
      </w:pPr>
    </w:p>
    <w:p w14:paraId="6B2586CE" w14:textId="77777777" w:rsidR="00C10098" w:rsidRPr="00AA5E57" w:rsidRDefault="00C10098">
      <w:pPr>
        <w:spacing w:line="360" w:lineRule="auto"/>
        <w:jc w:val="both"/>
        <w:rPr>
          <w:rFonts w:ascii="Palatino Linotype" w:eastAsia="Palatino Linotype" w:hAnsi="Palatino Linotype" w:cs="Palatino Linotype"/>
        </w:rPr>
      </w:pPr>
    </w:p>
    <w:p w14:paraId="19B18792" w14:textId="77777777" w:rsidR="00C10098" w:rsidRPr="00AA5E57" w:rsidRDefault="00C10098">
      <w:pPr>
        <w:spacing w:line="360" w:lineRule="auto"/>
        <w:jc w:val="both"/>
        <w:rPr>
          <w:rFonts w:ascii="Palatino Linotype" w:eastAsia="Palatino Linotype" w:hAnsi="Palatino Linotype" w:cs="Palatino Linotype"/>
        </w:rPr>
      </w:pPr>
    </w:p>
    <w:p w14:paraId="4AAAB3E5" w14:textId="77777777" w:rsidR="00C10098" w:rsidRPr="00AA5E57" w:rsidRDefault="00C10098">
      <w:pPr>
        <w:spacing w:line="360" w:lineRule="auto"/>
        <w:jc w:val="both"/>
        <w:rPr>
          <w:rFonts w:ascii="Palatino Linotype" w:eastAsia="Palatino Linotype" w:hAnsi="Palatino Linotype" w:cs="Palatino Linotype"/>
        </w:rPr>
      </w:pPr>
    </w:p>
    <w:p w14:paraId="11C43974" w14:textId="77777777" w:rsidR="00C10098" w:rsidRPr="00AA5E57" w:rsidRDefault="00C10098">
      <w:pPr>
        <w:spacing w:line="360" w:lineRule="auto"/>
        <w:jc w:val="both"/>
        <w:rPr>
          <w:rFonts w:ascii="Palatino Linotype" w:eastAsia="Palatino Linotype" w:hAnsi="Palatino Linotype" w:cs="Palatino Linotype"/>
        </w:rPr>
      </w:pPr>
    </w:p>
    <w:p w14:paraId="2FDCC1C7" w14:textId="77777777" w:rsidR="00C10098" w:rsidRPr="00AA5E57" w:rsidRDefault="00C10098">
      <w:pPr>
        <w:spacing w:line="360" w:lineRule="auto"/>
        <w:jc w:val="both"/>
        <w:rPr>
          <w:rFonts w:ascii="Palatino Linotype" w:eastAsia="Palatino Linotype" w:hAnsi="Palatino Linotype" w:cs="Palatino Linotype"/>
        </w:rPr>
      </w:pPr>
    </w:p>
    <w:sectPr w:rsidR="00C10098" w:rsidRPr="00AA5E57">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2F038" w14:textId="77777777" w:rsidR="004232A4" w:rsidRDefault="004232A4">
      <w:r>
        <w:separator/>
      </w:r>
    </w:p>
  </w:endnote>
  <w:endnote w:type="continuationSeparator" w:id="0">
    <w:p w14:paraId="0D9F62D8" w14:textId="77777777" w:rsidR="004232A4" w:rsidRDefault="00423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3CC2B" w14:textId="77777777" w:rsidR="00C10098" w:rsidRDefault="00AB2AA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0730B">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0730B">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p>
  <w:p w14:paraId="675C5121" w14:textId="77777777" w:rsidR="00C10098" w:rsidRDefault="00C1009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CB6A1" w14:textId="77777777" w:rsidR="00C10098" w:rsidRDefault="00AB2AA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0730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0730B">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p>
  <w:p w14:paraId="2EE71B2D" w14:textId="77777777" w:rsidR="00C10098" w:rsidRDefault="00C1009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90D5C" w14:textId="77777777" w:rsidR="004232A4" w:rsidRDefault="004232A4">
      <w:r>
        <w:separator/>
      </w:r>
    </w:p>
  </w:footnote>
  <w:footnote w:type="continuationSeparator" w:id="0">
    <w:p w14:paraId="384DB2FE" w14:textId="77777777" w:rsidR="004232A4" w:rsidRDefault="004232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81B81" w14:textId="77777777" w:rsidR="00C10098" w:rsidRDefault="00AB2AA7">
    <w:pPr>
      <w:rPr>
        <w:rFonts w:ascii="Cambria" w:eastAsia="Cambria" w:hAnsi="Cambria" w:cs="Cambria"/>
        <w:color w:val="000000"/>
      </w:rPr>
    </w:pPr>
    <w:r>
      <w:rPr>
        <w:noProof/>
      </w:rPr>
      <w:drawing>
        <wp:anchor distT="0" distB="0" distL="0" distR="0" simplePos="0" relativeHeight="251658240" behindDoc="1" locked="0" layoutInCell="1" hidden="0" allowOverlap="1" wp14:anchorId="46423D05" wp14:editId="762BCF3E">
          <wp:simplePos x="0" y="0"/>
          <wp:positionH relativeFrom="column">
            <wp:posOffset>-1080090</wp:posOffset>
          </wp:positionH>
          <wp:positionV relativeFrom="paragraph">
            <wp:posOffset>-488261</wp:posOffset>
          </wp:positionV>
          <wp:extent cx="7809865" cy="10165715"/>
          <wp:effectExtent l="0" t="0" r="0" b="0"/>
          <wp:wrapNone/>
          <wp:docPr id="20684326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c"/>
      <w:tblW w:w="5953" w:type="dxa"/>
      <w:tblInd w:w="3261" w:type="dxa"/>
      <w:tblLayout w:type="fixed"/>
      <w:tblLook w:val="0400" w:firstRow="0" w:lastRow="0" w:firstColumn="0" w:lastColumn="0" w:noHBand="0" w:noVBand="1"/>
    </w:tblPr>
    <w:tblGrid>
      <w:gridCol w:w="2489"/>
      <w:gridCol w:w="3464"/>
    </w:tblGrid>
    <w:tr w:rsidR="00C10098" w14:paraId="57E9A599" w14:textId="77777777">
      <w:tc>
        <w:tcPr>
          <w:tcW w:w="2489" w:type="dxa"/>
          <w:shd w:val="clear" w:color="auto" w:fill="auto"/>
        </w:tcPr>
        <w:p w14:paraId="2953E8E0" w14:textId="77777777" w:rsidR="00C10098" w:rsidRDefault="00AB2AA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3199805" w14:textId="77777777" w:rsidR="00C10098" w:rsidRDefault="00AB2AA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04059/INFOEM/IP/RR/2025</w:t>
          </w:r>
        </w:p>
      </w:tc>
    </w:tr>
    <w:tr w:rsidR="00C10098" w14:paraId="53B95CA7" w14:textId="77777777">
      <w:trPr>
        <w:trHeight w:val="228"/>
      </w:trPr>
      <w:tc>
        <w:tcPr>
          <w:tcW w:w="2489" w:type="dxa"/>
          <w:shd w:val="clear" w:color="auto" w:fill="auto"/>
          <w:vAlign w:val="center"/>
        </w:tcPr>
        <w:p w14:paraId="3982B7BF" w14:textId="77777777" w:rsidR="00C10098" w:rsidRDefault="00AB2AA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66CFFA11" w14:textId="77777777" w:rsidR="00C10098" w:rsidRDefault="00AB2AA7">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Tonatico</w:t>
          </w:r>
        </w:p>
      </w:tc>
    </w:tr>
    <w:tr w:rsidR="00C10098" w14:paraId="549FA6D5" w14:textId="77777777">
      <w:tc>
        <w:tcPr>
          <w:tcW w:w="2489" w:type="dxa"/>
          <w:shd w:val="clear" w:color="auto" w:fill="auto"/>
          <w:vAlign w:val="center"/>
        </w:tcPr>
        <w:p w14:paraId="092463E3" w14:textId="77777777" w:rsidR="00C10098" w:rsidRDefault="00AB2AA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5418C08C" w14:textId="77777777" w:rsidR="00C10098" w:rsidRDefault="00AB2AA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BD00968" w14:textId="77777777" w:rsidR="00C10098" w:rsidRDefault="00AB2AA7">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6A31B" w14:textId="77777777" w:rsidR="00C10098" w:rsidRDefault="00AB2AA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09BA62FB" wp14:editId="4E73E890">
          <wp:simplePos x="0" y="0"/>
          <wp:positionH relativeFrom="column">
            <wp:posOffset>-1080132</wp:posOffset>
          </wp:positionH>
          <wp:positionV relativeFrom="paragraph">
            <wp:posOffset>-369891</wp:posOffset>
          </wp:positionV>
          <wp:extent cx="7809865" cy="10165715"/>
          <wp:effectExtent l="0" t="0" r="0" b="0"/>
          <wp:wrapNone/>
          <wp:docPr id="20684326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d"/>
      <w:tblW w:w="5953" w:type="dxa"/>
      <w:tblInd w:w="3261" w:type="dxa"/>
      <w:tblLayout w:type="fixed"/>
      <w:tblLook w:val="0400" w:firstRow="0" w:lastRow="0" w:firstColumn="0" w:lastColumn="0" w:noHBand="0" w:noVBand="1"/>
    </w:tblPr>
    <w:tblGrid>
      <w:gridCol w:w="2489"/>
      <w:gridCol w:w="3464"/>
    </w:tblGrid>
    <w:tr w:rsidR="00C10098" w14:paraId="6B0C8321" w14:textId="77777777">
      <w:tc>
        <w:tcPr>
          <w:tcW w:w="2489" w:type="dxa"/>
          <w:shd w:val="clear" w:color="auto" w:fill="auto"/>
        </w:tcPr>
        <w:p w14:paraId="033C147C" w14:textId="77777777" w:rsidR="00C10098" w:rsidRDefault="00AB2AA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2EA8C13" w14:textId="77777777" w:rsidR="00C10098" w:rsidRDefault="00AB2AA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04059/INFOEM/IP/RR/2025</w:t>
          </w:r>
        </w:p>
      </w:tc>
    </w:tr>
    <w:tr w:rsidR="00C10098" w14:paraId="0ACCA210" w14:textId="77777777">
      <w:tc>
        <w:tcPr>
          <w:tcW w:w="2489" w:type="dxa"/>
          <w:shd w:val="clear" w:color="auto" w:fill="auto"/>
        </w:tcPr>
        <w:p w14:paraId="5A0F6BBE" w14:textId="77777777" w:rsidR="00C10098" w:rsidRDefault="00AB2AA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1CA54173" w14:textId="2A8913F0" w:rsidR="00C10098" w:rsidRDefault="00211533">
          <w:pPr>
            <w:ind w:right="175"/>
            <w:jc w:val="both"/>
            <w:rPr>
              <w:rFonts w:ascii="Palatino Linotype" w:eastAsia="Palatino Linotype" w:hAnsi="Palatino Linotype" w:cs="Palatino Linotype"/>
              <w:b/>
              <w:sz w:val="22"/>
              <w:szCs w:val="22"/>
            </w:rPr>
          </w:pPr>
          <w:bookmarkStart w:id="14" w:name="_Hlk205454004"/>
          <w:r>
            <w:rPr>
              <w:rFonts w:ascii="Palatino Linotype" w:eastAsia="Palatino Linotype" w:hAnsi="Palatino Linotype" w:cs="Palatino Linotype"/>
              <w:b/>
              <w:sz w:val="22"/>
              <w:szCs w:val="22"/>
            </w:rPr>
            <w:t xml:space="preserve">XXXXX XX XXXXXXXXXX </w:t>
          </w:r>
          <w:bookmarkEnd w:id="14"/>
        </w:p>
      </w:tc>
    </w:tr>
    <w:tr w:rsidR="00C10098" w14:paraId="3F10EBE0" w14:textId="77777777">
      <w:trPr>
        <w:trHeight w:val="228"/>
      </w:trPr>
      <w:tc>
        <w:tcPr>
          <w:tcW w:w="2489" w:type="dxa"/>
          <w:shd w:val="clear" w:color="auto" w:fill="auto"/>
          <w:vAlign w:val="center"/>
        </w:tcPr>
        <w:p w14:paraId="6771E5A6" w14:textId="77777777" w:rsidR="00C10098" w:rsidRDefault="00AB2AA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7840718" w14:textId="77777777" w:rsidR="00C10098" w:rsidRDefault="00AB2AA7">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Tonatico</w:t>
          </w:r>
        </w:p>
      </w:tc>
    </w:tr>
    <w:tr w:rsidR="00C10098" w14:paraId="7E1CF789" w14:textId="77777777">
      <w:tc>
        <w:tcPr>
          <w:tcW w:w="2489" w:type="dxa"/>
          <w:shd w:val="clear" w:color="auto" w:fill="auto"/>
          <w:vAlign w:val="center"/>
        </w:tcPr>
        <w:p w14:paraId="0735C725" w14:textId="77777777" w:rsidR="00C10098" w:rsidRDefault="00AB2AA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52596F5" w14:textId="77777777" w:rsidR="00C10098" w:rsidRDefault="00AB2AA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8514E5D" w14:textId="77777777" w:rsidR="00C10098" w:rsidRDefault="00C1009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E47BB0"/>
    <w:multiLevelType w:val="multilevel"/>
    <w:tmpl w:val="EA72A3E6"/>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098"/>
    <w:rsid w:val="00011634"/>
    <w:rsid w:val="0010730B"/>
    <w:rsid w:val="00211533"/>
    <w:rsid w:val="004232A4"/>
    <w:rsid w:val="00A4597E"/>
    <w:rsid w:val="00AA5E57"/>
    <w:rsid w:val="00AB2AA7"/>
    <w:rsid w:val="00C100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9FBA0"/>
  <w15:docId w15:val="{E4BADE9D-E9D0-4717-826D-A0CB5E431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a">
    <w:basedOn w:val="TableNormalf2"/>
    <w:tblPr>
      <w:tblStyleRowBandSize w:val="1"/>
      <w:tblStyleColBandSize w:val="1"/>
      <w:tblCellMar>
        <w:left w:w="115" w:type="dxa"/>
        <w:right w:w="115" w:type="dxa"/>
      </w:tblCellMar>
    </w:tblPr>
  </w:style>
  <w:style w:type="table" w:customStyle="1" w:styleId="a0">
    <w:basedOn w:val="TableNormalf2"/>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1"/>
    <w:tblPr>
      <w:tblStyleRowBandSize w:val="1"/>
      <w:tblStyleColBandSize w:val="1"/>
      <w:tblCellMar>
        <w:left w:w="115" w:type="dxa"/>
        <w:right w:w="115" w:type="dxa"/>
      </w:tblCellMar>
    </w:tblPr>
  </w:style>
  <w:style w:type="table" w:customStyle="1" w:styleId="a4">
    <w:basedOn w:val="TableNormalf1"/>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0"/>
    <w:tblPr>
      <w:tblStyleRowBandSize w:val="1"/>
      <w:tblStyleColBandSize w:val="1"/>
      <w:tblCellMar>
        <w:left w:w="108" w:type="dxa"/>
        <w:right w:w="108" w:type="dxa"/>
      </w:tblCellMar>
    </w:tblPr>
  </w:style>
  <w:style w:type="table" w:customStyle="1" w:styleId="a6">
    <w:basedOn w:val="TableNormalf0"/>
    <w:tblPr>
      <w:tblStyleRowBandSize w:val="1"/>
      <w:tblStyleColBandSize w:val="1"/>
      <w:tblCellMar>
        <w:left w:w="108" w:type="dxa"/>
        <w:right w:w="108" w:type="dxa"/>
      </w:tblCellMar>
    </w:tblPr>
  </w:style>
  <w:style w:type="table" w:customStyle="1" w:styleId="a7">
    <w:basedOn w:val="TableNormalf0"/>
    <w:tblPr>
      <w:tblStyleRowBandSize w:val="1"/>
      <w:tblStyleColBandSize w:val="1"/>
      <w:tblCellMar>
        <w:left w:w="108" w:type="dxa"/>
        <w:right w:w="108" w:type="dxa"/>
      </w:tblCellMar>
    </w:tblPr>
  </w:style>
  <w:style w:type="table" w:customStyle="1" w:styleId="a8">
    <w:basedOn w:val="TableNormalf0"/>
    <w:tblPr>
      <w:tblStyleRowBandSize w:val="1"/>
      <w:tblStyleColBandSize w:val="1"/>
      <w:tblCellMar>
        <w:left w:w="108" w:type="dxa"/>
        <w:right w:w="108" w:type="dxa"/>
      </w:tblCellMar>
    </w:tblPr>
  </w:style>
  <w:style w:type="table" w:customStyle="1" w:styleId="a9">
    <w:basedOn w:val="TableNormalf0"/>
    <w:tblPr>
      <w:tblStyleRowBandSize w:val="1"/>
      <w:tblStyleColBandSize w:val="1"/>
      <w:tblCellMar>
        <w:left w:w="108" w:type="dxa"/>
        <w:right w:w="108" w:type="dxa"/>
      </w:tblCellMar>
    </w:tblPr>
  </w:style>
  <w:style w:type="table" w:customStyle="1" w:styleId="aa">
    <w:basedOn w:val="TableNormalf0"/>
    <w:tblPr>
      <w:tblStyleRowBandSize w:val="1"/>
      <w:tblStyleColBandSize w:val="1"/>
      <w:tblCellMar>
        <w:left w:w="115" w:type="dxa"/>
        <w:right w:w="115" w:type="dxa"/>
      </w:tblCellMar>
    </w:tblPr>
  </w:style>
  <w:style w:type="table" w:customStyle="1" w:styleId="ab">
    <w:basedOn w:val="TableNormalf0"/>
    <w:tblPr>
      <w:tblStyleRowBandSize w:val="1"/>
      <w:tblStyleColBandSize w:val="1"/>
      <w:tblCellMar>
        <w:left w:w="115" w:type="dxa"/>
        <w:right w:w="115" w:type="dxa"/>
      </w:tblCellMar>
    </w:tblPr>
  </w:style>
  <w:style w:type="table" w:customStyle="1" w:styleId="ac">
    <w:basedOn w:val="TableNormalf"/>
    <w:tblPr>
      <w:tblStyleRowBandSize w:val="1"/>
      <w:tblStyleColBandSize w:val="1"/>
      <w:tblCellMar>
        <w:left w:w="108" w:type="dxa"/>
        <w:right w:w="108" w:type="dxa"/>
      </w:tblCellMar>
    </w:tblPr>
  </w:style>
  <w:style w:type="table" w:customStyle="1" w:styleId="ad">
    <w:basedOn w:val="TableNormalf"/>
    <w:tblPr>
      <w:tblStyleRowBandSize w:val="1"/>
      <w:tblStyleColBandSize w:val="1"/>
      <w:tblCellMar>
        <w:left w:w="115" w:type="dxa"/>
        <w:right w:w="115" w:type="dxa"/>
      </w:tblCellMar>
    </w:tblPr>
  </w:style>
  <w:style w:type="table" w:customStyle="1" w:styleId="ae">
    <w:basedOn w:val="TableNormalf"/>
    <w:tblPr>
      <w:tblStyleRowBandSize w:val="1"/>
      <w:tblStyleColBandSize w:val="1"/>
      <w:tblCellMar>
        <w:left w:w="115" w:type="dxa"/>
        <w:right w:w="115" w:type="dxa"/>
      </w:tblCellMar>
    </w:tblPr>
  </w:style>
  <w:style w:type="table" w:customStyle="1" w:styleId="af">
    <w:basedOn w:val="TableNormale"/>
    <w:tblPr>
      <w:tblStyleRowBandSize w:val="1"/>
      <w:tblStyleColBandSize w:val="1"/>
      <w:tblCellMar>
        <w:left w:w="115" w:type="dxa"/>
        <w:right w:w="115" w:type="dxa"/>
      </w:tblCellMar>
    </w:tblPr>
  </w:style>
  <w:style w:type="table" w:customStyle="1" w:styleId="af0">
    <w:basedOn w:val="TableNormale"/>
    <w:tblPr>
      <w:tblStyleRowBandSize w:val="1"/>
      <w:tblStyleColBandSize w:val="1"/>
      <w:tblCellMar>
        <w:left w:w="115" w:type="dxa"/>
        <w:right w:w="115" w:type="dxa"/>
      </w:tblCellMar>
    </w:tblPr>
  </w:style>
  <w:style w:type="table" w:customStyle="1" w:styleId="af1">
    <w:basedOn w:val="TableNormale"/>
    <w:tblPr>
      <w:tblStyleRowBandSize w:val="1"/>
      <w:tblStyleColBandSize w:val="1"/>
      <w:tblCellMar>
        <w:left w:w="115" w:type="dxa"/>
        <w:right w:w="115" w:type="dxa"/>
      </w:tblCellMar>
    </w:tblPr>
  </w:style>
  <w:style w:type="table" w:customStyle="1" w:styleId="af2">
    <w:basedOn w:val="TableNormald"/>
    <w:tblPr>
      <w:tblStyleRowBandSize w:val="1"/>
      <w:tblStyleColBandSize w:val="1"/>
      <w:tblCellMar>
        <w:left w:w="115" w:type="dxa"/>
        <w:right w:w="115" w:type="dxa"/>
      </w:tblCellMar>
    </w:tblPr>
  </w:style>
  <w:style w:type="table" w:customStyle="1" w:styleId="af3">
    <w:basedOn w:val="TableNormald"/>
    <w:tblPr>
      <w:tblStyleRowBandSize w:val="1"/>
      <w:tblStyleColBandSize w:val="1"/>
      <w:tblCellMar>
        <w:left w:w="115" w:type="dxa"/>
        <w:right w:w="115" w:type="dxa"/>
      </w:tblCellMar>
    </w:tblPr>
  </w:style>
  <w:style w:type="table" w:customStyle="1" w:styleId="af4">
    <w:basedOn w:val="TableNormalc"/>
    <w:tblPr>
      <w:tblStyleRowBandSize w:val="1"/>
      <w:tblStyleColBandSize w:val="1"/>
      <w:tblCellMar>
        <w:left w:w="115" w:type="dxa"/>
        <w:right w:w="115" w:type="dxa"/>
      </w:tblCellMar>
    </w:tblPr>
  </w:style>
  <w:style w:type="table" w:customStyle="1" w:styleId="af5">
    <w:basedOn w:val="TableNormalc"/>
    <w:tblPr>
      <w:tblStyleRowBandSize w:val="1"/>
      <w:tblStyleColBandSize w:val="1"/>
      <w:tblCellMar>
        <w:left w:w="115" w:type="dxa"/>
        <w:right w:w="115" w:type="dxa"/>
      </w:tblCellMar>
    </w:tblPr>
  </w:style>
  <w:style w:type="table" w:customStyle="1" w:styleId="af6">
    <w:basedOn w:val="TableNormalb"/>
    <w:tblPr>
      <w:tblStyleRowBandSize w:val="1"/>
      <w:tblStyleColBandSize w:val="1"/>
      <w:tblCellMar>
        <w:left w:w="115" w:type="dxa"/>
        <w:right w:w="115" w:type="dxa"/>
      </w:tblCellMar>
    </w:tblPr>
  </w:style>
  <w:style w:type="table" w:customStyle="1" w:styleId="af7">
    <w:basedOn w:val="TableNormalb"/>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a"/>
    <w:tblPr>
      <w:tblStyleRowBandSize w:val="1"/>
      <w:tblStyleColBandSize w:val="1"/>
      <w:tblCellMar>
        <w:left w:w="115" w:type="dxa"/>
        <w:right w:w="115" w:type="dxa"/>
      </w:tblCellMar>
    </w:tblPr>
  </w:style>
  <w:style w:type="table" w:customStyle="1" w:styleId="af9">
    <w:basedOn w:val="TableNormala"/>
    <w:tblPr>
      <w:tblStyleRowBandSize w:val="1"/>
      <w:tblStyleColBandSize w:val="1"/>
      <w:tblCellMar>
        <w:left w:w="115" w:type="dxa"/>
        <w:right w:w="115" w:type="dxa"/>
      </w:tblCellMar>
    </w:tblPr>
  </w:style>
  <w:style w:type="table" w:customStyle="1" w:styleId="afa">
    <w:basedOn w:val="TableNormal9"/>
    <w:tblPr>
      <w:tblStyleRowBandSize w:val="1"/>
      <w:tblStyleColBandSize w:val="1"/>
      <w:tblCellMar>
        <w:left w:w="115" w:type="dxa"/>
        <w:right w:w="115" w:type="dxa"/>
      </w:tblCellMar>
    </w:tblPr>
  </w:style>
  <w:style w:type="table" w:customStyle="1" w:styleId="afb">
    <w:basedOn w:val="TableNormal9"/>
    <w:tblPr>
      <w:tblStyleRowBandSize w:val="1"/>
      <w:tblStyleColBandSize w:val="1"/>
      <w:tblCellMar>
        <w:left w:w="115" w:type="dxa"/>
        <w:right w:w="115" w:type="dxa"/>
      </w:tblCellMar>
    </w:tblPr>
  </w:style>
  <w:style w:type="table" w:customStyle="1" w:styleId="afc">
    <w:basedOn w:val="TableNormal8"/>
    <w:tblPr>
      <w:tblStyleRowBandSize w:val="1"/>
      <w:tblStyleColBandSize w:val="1"/>
      <w:tblCellMar>
        <w:left w:w="115" w:type="dxa"/>
        <w:right w:w="115" w:type="dxa"/>
      </w:tblCellMar>
    </w:tblPr>
  </w:style>
  <w:style w:type="table" w:customStyle="1" w:styleId="afd">
    <w:basedOn w:val="TableNormal8"/>
    <w:tblPr>
      <w:tblStyleRowBandSize w:val="1"/>
      <w:tblStyleColBandSize w:val="1"/>
      <w:tblCellMar>
        <w:left w:w="115" w:type="dxa"/>
        <w:right w:w="115" w:type="dxa"/>
      </w:tblCellMar>
    </w:tblPr>
  </w:style>
  <w:style w:type="table" w:customStyle="1" w:styleId="afe">
    <w:basedOn w:val="TableNormal7"/>
    <w:tblPr>
      <w:tblStyleRowBandSize w:val="1"/>
      <w:tblStyleColBandSize w:val="1"/>
      <w:tblCellMar>
        <w:left w:w="115" w:type="dxa"/>
        <w:right w:w="115" w:type="dxa"/>
      </w:tblCellMar>
    </w:tblPr>
  </w:style>
  <w:style w:type="table" w:customStyle="1" w:styleId="aff">
    <w:basedOn w:val="TableNormal7"/>
    <w:tblPr>
      <w:tblStyleRowBandSize w:val="1"/>
      <w:tblStyleColBandSize w:val="1"/>
      <w:tblCellMar>
        <w:left w:w="115" w:type="dxa"/>
        <w:right w:w="115" w:type="dxa"/>
      </w:tblCellMar>
    </w:tblPr>
  </w:style>
  <w:style w:type="table" w:customStyle="1" w:styleId="aff0">
    <w:basedOn w:val="TableNormal6"/>
    <w:tblPr>
      <w:tblStyleRowBandSize w:val="1"/>
      <w:tblStyleColBandSize w:val="1"/>
      <w:tblCellMar>
        <w:left w:w="115" w:type="dxa"/>
        <w:right w:w="115" w:type="dxa"/>
      </w:tblCellMar>
    </w:tblPr>
  </w:style>
  <w:style w:type="table" w:customStyle="1" w:styleId="aff1">
    <w:basedOn w:val="TableNormal6"/>
    <w:tblPr>
      <w:tblStyleRowBandSize w:val="1"/>
      <w:tblStyleColBandSize w:val="1"/>
      <w:tblCellMar>
        <w:left w:w="115" w:type="dxa"/>
        <w:right w:w="115" w:type="dxa"/>
      </w:tblCellMar>
    </w:tblPr>
  </w:style>
  <w:style w:type="table" w:customStyle="1" w:styleId="aff2">
    <w:basedOn w:val="TableNormal5"/>
    <w:tblPr>
      <w:tblStyleRowBandSize w:val="1"/>
      <w:tblStyleColBandSize w:val="1"/>
      <w:tblCellMar>
        <w:left w:w="115" w:type="dxa"/>
        <w:right w:w="115" w:type="dxa"/>
      </w:tblCellMar>
    </w:tblPr>
  </w:style>
  <w:style w:type="table" w:customStyle="1" w:styleId="aff3">
    <w:basedOn w:val="TableNormal5"/>
    <w:tblPr>
      <w:tblStyleRowBandSize w:val="1"/>
      <w:tblStyleColBandSize w:val="1"/>
      <w:tblCellMar>
        <w:left w:w="115" w:type="dxa"/>
        <w:right w:w="115" w:type="dxa"/>
      </w:tblCellMar>
    </w:tblPr>
  </w:style>
  <w:style w:type="table" w:customStyle="1" w:styleId="aff4">
    <w:basedOn w:val="TableNormal4"/>
    <w:tblPr>
      <w:tblStyleRowBandSize w:val="1"/>
      <w:tblStyleColBandSize w:val="1"/>
      <w:tblCellMar>
        <w:left w:w="115" w:type="dxa"/>
        <w:right w:w="115" w:type="dxa"/>
      </w:tblCellMar>
    </w:tblPr>
  </w:style>
  <w:style w:type="table" w:customStyle="1" w:styleId="aff5">
    <w:basedOn w:val="TableNormal4"/>
    <w:tblPr>
      <w:tblStyleRowBandSize w:val="1"/>
      <w:tblStyleColBandSize w:val="1"/>
      <w:tblCellMar>
        <w:left w:w="115" w:type="dxa"/>
        <w:right w:w="115" w:type="dxa"/>
      </w:tblCellMar>
    </w:tblPr>
  </w:style>
  <w:style w:type="table" w:customStyle="1" w:styleId="aff6">
    <w:basedOn w:val="TableNormal3"/>
    <w:tblPr>
      <w:tblStyleRowBandSize w:val="1"/>
      <w:tblStyleColBandSize w:val="1"/>
      <w:tblCellMar>
        <w:left w:w="115" w:type="dxa"/>
        <w:right w:w="115" w:type="dxa"/>
      </w:tblCellMar>
    </w:tblPr>
  </w:style>
  <w:style w:type="table" w:customStyle="1" w:styleId="aff7">
    <w:basedOn w:val="TableNormal3"/>
    <w:tblPr>
      <w:tblStyleRowBandSize w:val="1"/>
      <w:tblStyleColBandSize w:val="1"/>
      <w:tblCellMar>
        <w:left w:w="115" w:type="dxa"/>
        <w:right w:w="115" w:type="dxa"/>
      </w:tblCellMar>
    </w:tblPr>
  </w:style>
  <w:style w:type="table" w:customStyle="1" w:styleId="aff8">
    <w:basedOn w:val="TableNormal2"/>
    <w:tblPr>
      <w:tblStyleRowBandSize w:val="1"/>
      <w:tblStyleColBandSize w:val="1"/>
      <w:tblCellMar>
        <w:left w:w="115" w:type="dxa"/>
        <w:right w:w="115" w:type="dxa"/>
      </w:tblCellMar>
    </w:tblPr>
  </w:style>
  <w:style w:type="table" w:customStyle="1" w:styleId="aff9">
    <w:basedOn w:val="TableNormal2"/>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15" w:type="dxa"/>
        <w:right w:w="115" w:type="dxa"/>
      </w:tblCellMar>
    </w:tblPr>
  </w:style>
  <w:style w:type="table" w:customStyle="1" w:styleId="affb">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UuDvc2lbRmJxN22BCuwsYhK2CA==">CgMxLjAyCWguM3JkY3JqbjIOaC5kYWozajJ4bzZxNjYyCGguZ2pkZ3hzMgloLjNkeTZ2a20yCWguMzBqMHpsbDIJaC4yczhleW8xMghoLnR5amN3dDIJaC4yZXQ5MnAwMgloLjF0M2g1c2YyCWguMWZvYjl0ZTIOaC5jdnVqNWF1dXd0aGEyDmguaG56eHNjaDVneXN6Mg5oLm90M3FxNnZ4YTA4ZjIIaC5sbnhiejk4AHIhMVdhN01HZ2FGaVJnZzR5cVlhSnpGYTU3VGhxdVItZTd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11867</Words>
  <Characters>65274</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2025-07-11T18:29:00Z</cp:lastPrinted>
  <dcterms:created xsi:type="dcterms:W3CDTF">2025-08-07T16:26:00Z</dcterms:created>
  <dcterms:modified xsi:type="dcterms:W3CDTF">2025-08-07T16:26:00Z</dcterms:modified>
</cp:coreProperties>
</file>