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69" w:rsidRPr="003672D4" w:rsidRDefault="00757088" w:rsidP="00452C7E">
      <w:pPr>
        <w:spacing w:line="360" w:lineRule="auto"/>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3672D4">
        <w:rPr>
          <w:rFonts w:ascii="Palatino Linotype" w:eastAsia="Palatino Linotype" w:hAnsi="Palatino Linotype" w:cs="Palatino Linotype"/>
          <w:b/>
          <w:color w:val="000000" w:themeColor="text1"/>
        </w:rPr>
        <w:t xml:space="preserve">de fecha </w:t>
      </w:r>
      <w:r w:rsidR="00CA1876" w:rsidRPr="003672D4">
        <w:rPr>
          <w:rFonts w:ascii="Palatino Linotype" w:eastAsia="Palatino Linotype" w:hAnsi="Palatino Linotype" w:cs="Palatino Linotype"/>
          <w:b/>
          <w:color w:val="000000" w:themeColor="text1"/>
        </w:rPr>
        <w:t>veinte</w:t>
      </w:r>
      <w:r w:rsidR="00862AEF">
        <w:rPr>
          <w:rFonts w:ascii="Palatino Linotype" w:eastAsia="Palatino Linotype" w:hAnsi="Palatino Linotype" w:cs="Palatino Linotype"/>
          <w:b/>
          <w:color w:val="000000" w:themeColor="text1"/>
        </w:rPr>
        <w:t xml:space="preserve"> (20)</w:t>
      </w:r>
      <w:r w:rsidR="00CA1876" w:rsidRPr="003672D4">
        <w:rPr>
          <w:rFonts w:ascii="Palatino Linotype" w:eastAsia="Palatino Linotype" w:hAnsi="Palatino Linotype" w:cs="Palatino Linotype"/>
          <w:b/>
          <w:color w:val="000000" w:themeColor="text1"/>
        </w:rPr>
        <w:t xml:space="preserve"> de agosto</w:t>
      </w:r>
      <w:r w:rsidRPr="003672D4">
        <w:rPr>
          <w:rFonts w:ascii="Palatino Linotype" w:eastAsia="Palatino Linotype" w:hAnsi="Palatino Linotype" w:cs="Palatino Linotype"/>
          <w:b/>
          <w:color w:val="000000" w:themeColor="text1"/>
        </w:rPr>
        <w:t xml:space="preserve"> de dos mil veinticinco.</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757088" w:rsidP="00452C7E">
      <w:pPr>
        <w:spacing w:line="360" w:lineRule="auto"/>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VISTO</w:t>
      </w:r>
      <w:r w:rsidRPr="003672D4">
        <w:rPr>
          <w:rFonts w:ascii="Palatino Linotype" w:eastAsia="Palatino Linotype" w:hAnsi="Palatino Linotype" w:cs="Palatino Linotype"/>
          <w:color w:val="000000" w:themeColor="text1"/>
        </w:rPr>
        <w:t xml:space="preserve"> el expediente electrónico formado con motivo del recurso de revisión </w:t>
      </w:r>
      <w:r w:rsidR="00CA1876" w:rsidRPr="003672D4">
        <w:rPr>
          <w:rFonts w:ascii="Palatino Linotype" w:eastAsia="Palatino Linotype" w:hAnsi="Palatino Linotype" w:cs="Palatino Linotype"/>
          <w:b/>
          <w:color w:val="000000" w:themeColor="text1"/>
        </w:rPr>
        <w:t>06468</w:t>
      </w:r>
      <w:r w:rsidRPr="003672D4">
        <w:rPr>
          <w:rFonts w:ascii="Palatino Linotype" w:eastAsia="Palatino Linotype" w:hAnsi="Palatino Linotype" w:cs="Palatino Linotype"/>
          <w:b/>
          <w:color w:val="000000" w:themeColor="text1"/>
        </w:rPr>
        <w:t xml:space="preserve">/INFOEM/IP/RR/2025, </w:t>
      </w:r>
      <w:r w:rsidRPr="003672D4">
        <w:rPr>
          <w:rFonts w:ascii="Palatino Linotype" w:eastAsia="Palatino Linotype" w:hAnsi="Palatino Linotype" w:cs="Palatino Linotype"/>
          <w:color w:val="000000" w:themeColor="text1"/>
        </w:rPr>
        <w:t>promovido por un usuario que no proporcionó nombre, a quien en</w:t>
      </w:r>
      <w:r w:rsidR="00452C7E" w:rsidRPr="003672D4">
        <w:rPr>
          <w:rFonts w:ascii="Palatino Linotype" w:eastAsia="Palatino Linotype" w:hAnsi="Palatino Linotype" w:cs="Palatino Linotype"/>
          <w:color w:val="000000" w:themeColor="text1"/>
        </w:rPr>
        <w:t xml:space="preserve"> </w:t>
      </w:r>
      <w:r w:rsidRPr="003672D4">
        <w:rPr>
          <w:rFonts w:ascii="Palatino Linotype" w:eastAsia="Palatino Linotype" w:hAnsi="Palatino Linotype" w:cs="Palatino Linotype"/>
          <w:color w:val="000000" w:themeColor="text1"/>
        </w:rPr>
        <w:t>lo sucesivo se le denominará</w:t>
      </w:r>
      <w:r w:rsidR="00CA1876" w:rsidRPr="003672D4">
        <w:rPr>
          <w:rFonts w:ascii="Palatino Linotype" w:eastAsia="Palatino Linotype" w:hAnsi="Palatino Linotype" w:cs="Palatino Linotype"/>
          <w:color w:val="000000" w:themeColor="text1"/>
        </w:rPr>
        <w:t xml:space="preserve"> como la parte</w:t>
      </w:r>
      <w:r w:rsidRPr="003672D4">
        <w:rPr>
          <w:rFonts w:ascii="Palatino Linotype" w:eastAsia="Palatino Linotype" w:hAnsi="Palatino Linotype" w:cs="Palatino Linotype"/>
          <w:color w:val="000000" w:themeColor="text1"/>
        </w:rPr>
        <w:t xml:space="preserve"> </w:t>
      </w:r>
      <w:r w:rsidRPr="003672D4">
        <w:rPr>
          <w:rFonts w:ascii="Palatino Linotype" w:eastAsia="Palatino Linotype" w:hAnsi="Palatino Linotype" w:cs="Palatino Linotype"/>
          <w:b/>
          <w:color w:val="000000" w:themeColor="text1"/>
        </w:rPr>
        <w:t>RECURRENTE,</w:t>
      </w:r>
      <w:r w:rsidRPr="003672D4">
        <w:rPr>
          <w:rFonts w:ascii="Palatino Linotype" w:eastAsia="Palatino Linotype" w:hAnsi="Palatino Linotype" w:cs="Palatino Linotype"/>
          <w:color w:val="000000" w:themeColor="text1"/>
        </w:rPr>
        <w:t xml:space="preserve"> en contra de la respuesta del </w:t>
      </w:r>
      <w:r w:rsidRPr="003672D4">
        <w:rPr>
          <w:rFonts w:ascii="Palatino Linotype" w:eastAsia="Palatino Linotype" w:hAnsi="Palatino Linotype" w:cs="Palatino Linotype"/>
          <w:b/>
          <w:color w:val="000000" w:themeColor="text1"/>
        </w:rPr>
        <w:t xml:space="preserve">Ayuntamiento de Toluca, </w:t>
      </w:r>
      <w:r w:rsidRPr="003672D4">
        <w:rPr>
          <w:rFonts w:ascii="Palatino Linotype" w:eastAsia="Palatino Linotype" w:hAnsi="Palatino Linotype" w:cs="Palatino Linotype"/>
          <w:color w:val="000000" w:themeColor="text1"/>
        </w:rPr>
        <w:t>en adelante el</w:t>
      </w:r>
      <w:r w:rsidRPr="003672D4">
        <w:rPr>
          <w:rFonts w:ascii="Palatino Linotype" w:eastAsia="Palatino Linotype" w:hAnsi="Palatino Linotype" w:cs="Palatino Linotype"/>
          <w:b/>
          <w:color w:val="000000" w:themeColor="text1"/>
        </w:rPr>
        <w:t xml:space="preserve"> SUJETO OBLIGADO</w:t>
      </w:r>
      <w:r w:rsidRPr="003672D4">
        <w:rPr>
          <w:rFonts w:ascii="Palatino Linotype" w:eastAsia="Palatino Linotype" w:hAnsi="Palatino Linotype" w:cs="Palatino Linotype"/>
          <w:color w:val="000000" w:themeColor="text1"/>
        </w:rPr>
        <w:t>, por lo que se procede a dictar la presente resolución, con base en los siguientes:</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757088" w:rsidP="00452C7E">
      <w:pPr>
        <w:keepNext/>
        <w:keepLines/>
        <w:spacing w:line="360" w:lineRule="auto"/>
        <w:jc w:val="center"/>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A N T E C E D E N T E S</w:t>
      </w:r>
    </w:p>
    <w:p w:rsidR="00142F69" w:rsidRPr="003672D4" w:rsidRDefault="00142F69" w:rsidP="00452C7E">
      <w:pPr>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El </w:t>
      </w:r>
      <w:r w:rsidR="00CA1876" w:rsidRPr="003672D4">
        <w:rPr>
          <w:rFonts w:ascii="Palatino Linotype" w:eastAsia="Palatino Linotype" w:hAnsi="Palatino Linotype" w:cs="Palatino Linotype"/>
          <w:color w:val="000000" w:themeColor="text1"/>
        </w:rPr>
        <w:t>trece de mayo</w:t>
      </w:r>
      <w:r w:rsidRPr="003672D4">
        <w:rPr>
          <w:rFonts w:ascii="Palatino Linotype" w:eastAsia="Palatino Linotype" w:hAnsi="Palatino Linotype" w:cs="Palatino Linotype"/>
          <w:color w:val="000000" w:themeColor="text1"/>
        </w:rPr>
        <w:t xml:space="preserve"> de dos mil veinticinco, </w:t>
      </w:r>
      <w:r w:rsidR="00452C7E" w:rsidRPr="003672D4">
        <w:rPr>
          <w:rFonts w:ascii="Palatino Linotype" w:eastAsia="Palatino Linotype" w:hAnsi="Palatino Linotype" w:cs="Palatino Linotype"/>
          <w:color w:val="000000" w:themeColor="text1"/>
        </w:rPr>
        <w:t xml:space="preserve">el </w:t>
      </w:r>
      <w:r w:rsidRPr="003672D4">
        <w:rPr>
          <w:rFonts w:ascii="Palatino Linotype" w:eastAsia="Palatino Linotype" w:hAnsi="Palatino Linotype" w:cs="Palatino Linotype"/>
          <w:b/>
          <w:color w:val="000000" w:themeColor="text1"/>
        </w:rPr>
        <w:t xml:space="preserve">RECURRENTE </w:t>
      </w:r>
      <w:r w:rsidRPr="003672D4">
        <w:rPr>
          <w:rFonts w:ascii="Palatino Linotype" w:eastAsia="Palatino Linotype" w:hAnsi="Palatino Linotype" w:cs="Palatino Linotype"/>
          <w:color w:val="000000" w:themeColor="text1"/>
        </w:rPr>
        <w:t xml:space="preserve">presentó ante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a través del el Sistema de Acceso a la Información Mexiquense </w:t>
      </w:r>
      <w:r w:rsidRPr="003672D4">
        <w:rPr>
          <w:rFonts w:ascii="Palatino Linotype" w:eastAsia="Palatino Linotype" w:hAnsi="Palatino Linotype" w:cs="Palatino Linotype"/>
          <w:b/>
          <w:color w:val="000000" w:themeColor="text1"/>
        </w:rPr>
        <w:t>(SAIMEX),</w:t>
      </w:r>
      <w:r w:rsidRPr="003672D4">
        <w:rPr>
          <w:rFonts w:ascii="Palatino Linotype" w:eastAsia="Palatino Linotype" w:hAnsi="Palatino Linotype" w:cs="Palatino Linotype"/>
          <w:color w:val="000000" w:themeColor="text1"/>
        </w:rPr>
        <w:t xml:space="preserve"> la solicitud de información pública </w:t>
      </w:r>
      <w:r w:rsidR="00CA1876" w:rsidRPr="003672D4">
        <w:rPr>
          <w:rFonts w:ascii="Palatino Linotype" w:eastAsia="Palatino Linotype" w:hAnsi="Palatino Linotype" w:cs="Palatino Linotype"/>
          <w:b/>
          <w:color w:val="000000" w:themeColor="text1"/>
        </w:rPr>
        <w:t>02749</w:t>
      </w:r>
      <w:r w:rsidRPr="003672D4">
        <w:rPr>
          <w:rFonts w:ascii="Palatino Linotype" w:eastAsia="Palatino Linotype" w:hAnsi="Palatino Linotype" w:cs="Palatino Linotype"/>
          <w:b/>
          <w:color w:val="000000" w:themeColor="text1"/>
        </w:rPr>
        <w:t>/TOLUCA/IP/2025</w:t>
      </w:r>
      <w:r w:rsidRPr="003672D4">
        <w:rPr>
          <w:rFonts w:ascii="Palatino Linotype" w:eastAsia="Palatino Linotype" w:hAnsi="Palatino Linotype" w:cs="Palatino Linotype"/>
          <w:color w:val="000000" w:themeColor="text1"/>
        </w:rPr>
        <w:t>, en la que solicitó:</w:t>
      </w:r>
    </w:p>
    <w:p w:rsidR="00142F69" w:rsidRPr="003672D4" w:rsidRDefault="00142F69" w:rsidP="00452C7E">
      <w:pPr>
        <w:jc w:val="both"/>
        <w:rPr>
          <w:rFonts w:ascii="Palatino Linotype" w:eastAsia="Palatino Linotype" w:hAnsi="Palatino Linotype" w:cs="Palatino Linotype"/>
          <w:i/>
          <w:color w:val="000000" w:themeColor="text1"/>
        </w:rPr>
      </w:pP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r w:rsidR="00CA1876" w:rsidRPr="003672D4">
        <w:rPr>
          <w:rFonts w:ascii="Palatino Linotype" w:hAnsi="Palatino Linotype"/>
          <w:i/>
          <w:color w:val="000000" w:themeColor="text1"/>
        </w:rPr>
        <w:t>solicito se me informe cual es la plantilla de personal adscrito al departamento de licencias y permisos de la dirección general de desarrollo económico y sus respectivos recibos de nomina en versión púbica de la segunda quincena de abril de 2025</w:t>
      </w:r>
      <w:r w:rsidRPr="003672D4">
        <w:rPr>
          <w:rFonts w:ascii="Palatino Linotype" w:eastAsia="Palatino Linotype" w:hAnsi="Palatino Linotype" w:cs="Palatino Linotype"/>
          <w:i/>
          <w:color w:val="000000" w:themeColor="text1"/>
        </w:rPr>
        <w:t xml:space="preserve">” (Sic) </w:t>
      </w:r>
    </w:p>
    <w:p w:rsidR="00142F69" w:rsidRDefault="00142F69" w:rsidP="00452C7E">
      <w:pPr>
        <w:pBdr>
          <w:top w:val="nil"/>
          <w:left w:val="nil"/>
          <w:bottom w:val="nil"/>
          <w:right w:val="nil"/>
          <w:between w:val="nil"/>
        </w:pBdr>
        <w:jc w:val="both"/>
        <w:rPr>
          <w:rFonts w:ascii="Palatino Linotype" w:eastAsia="Palatino Linotype" w:hAnsi="Palatino Linotype" w:cs="Palatino Linotype"/>
          <w:color w:val="000000" w:themeColor="text1"/>
        </w:rPr>
      </w:pPr>
    </w:p>
    <w:p w:rsidR="00862AEF" w:rsidRPr="003672D4" w:rsidRDefault="00862AEF" w:rsidP="00452C7E">
      <w:pPr>
        <w:pBdr>
          <w:top w:val="nil"/>
          <w:left w:val="nil"/>
          <w:bottom w:val="nil"/>
          <w:right w:val="nil"/>
          <w:between w:val="nil"/>
        </w:pBdr>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Se hace constar que se señaló como modalidad de entrega de la información a través del </w:t>
      </w:r>
      <w:r w:rsidRPr="003672D4">
        <w:rPr>
          <w:rFonts w:ascii="Palatino Linotype" w:eastAsia="Palatino Linotype" w:hAnsi="Palatino Linotype" w:cs="Palatino Linotype"/>
          <w:b/>
          <w:color w:val="000000" w:themeColor="text1"/>
        </w:rPr>
        <w:t>SAIMEX.</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 El </w:t>
      </w:r>
      <w:r w:rsidR="00CA1876" w:rsidRPr="003672D4">
        <w:rPr>
          <w:rFonts w:ascii="Palatino Linotype" w:eastAsia="Palatino Linotype" w:hAnsi="Palatino Linotype" w:cs="Palatino Linotype"/>
          <w:color w:val="000000" w:themeColor="text1"/>
        </w:rPr>
        <w:t>tres de junio</w:t>
      </w:r>
      <w:r w:rsidRPr="003672D4">
        <w:rPr>
          <w:rFonts w:ascii="Palatino Linotype" w:eastAsia="Palatino Linotype" w:hAnsi="Palatino Linotype" w:cs="Palatino Linotype"/>
          <w:color w:val="000000" w:themeColor="text1"/>
        </w:rPr>
        <w:t xml:space="preserve"> de dos mil veinticinco,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b/>
          <w:i/>
          <w:color w:val="000000" w:themeColor="text1"/>
        </w:rPr>
        <w:t xml:space="preserve"> </w:t>
      </w:r>
      <w:r w:rsidRPr="003672D4">
        <w:rPr>
          <w:rFonts w:ascii="Palatino Linotype" w:eastAsia="Palatino Linotype" w:hAnsi="Palatino Linotype" w:cs="Palatino Linotype"/>
          <w:color w:val="000000" w:themeColor="text1"/>
        </w:rPr>
        <w:t>dio respuesta a la solicitud de información, en los siguientes términos:</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lastRenderedPageBreak/>
        <w:t>“…</w:t>
      </w:r>
      <w:r w:rsidR="00CA1876" w:rsidRPr="003672D4">
        <w:rPr>
          <w:rFonts w:ascii="Palatino Linotype" w:eastAsia="Palatino Linotype" w:hAnsi="Palatino Linotype" w:cs="Palatino Linotype"/>
          <w:i/>
          <w:color w:val="000000" w:themeColor="text1"/>
        </w:rPr>
        <w:t>En</w:t>
      </w:r>
      <w:r w:rsidR="00CA1876" w:rsidRPr="003672D4">
        <w:rPr>
          <w:rFonts w:ascii="Palatino Linotype" w:hAnsi="Palatino Linotype"/>
          <w:i/>
          <w:color w:val="000000" w:themeColor="text1"/>
        </w:rPr>
        <w:t xml:space="preserve"> atención a la solicitud con folio 02749/TOLUCA/IP/2025, me permito adjuntar al presente la respuesta correspondiente , Sin más por el momento, reciba un saludo</w:t>
      </w:r>
      <w:r w:rsidRPr="003672D4">
        <w:rPr>
          <w:rFonts w:ascii="Palatino Linotype" w:eastAsia="Palatino Linotype" w:hAnsi="Palatino Linotype" w:cs="Palatino Linotype"/>
          <w:i/>
          <w:color w:val="000000" w:themeColor="text1"/>
        </w:rPr>
        <w:t>…” (Sic)</w:t>
      </w:r>
    </w:p>
    <w:p w:rsidR="00142F69" w:rsidRPr="003672D4" w:rsidRDefault="00142F69" w:rsidP="00452C7E">
      <w:pPr>
        <w:jc w:val="both"/>
        <w:rPr>
          <w:rFonts w:ascii="Palatino Linotype" w:eastAsia="Palatino Linotype" w:hAnsi="Palatino Linotype" w:cs="Palatino Linotype"/>
          <w:i/>
          <w:color w:val="000000" w:themeColor="text1"/>
        </w:rPr>
      </w:pPr>
    </w:p>
    <w:p w:rsidR="00142F69" w:rsidRPr="003672D4" w:rsidRDefault="00757088" w:rsidP="00452C7E">
      <w:pPr>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Archivos electrónicos adjuntos:</w:t>
      </w:r>
    </w:p>
    <w:p w:rsidR="00142F69" w:rsidRPr="003672D4" w:rsidRDefault="00142F69" w:rsidP="00452C7E">
      <w:pPr>
        <w:jc w:val="both"/>
        <w:rPr>
          <w:rFonts w:ascii="Palatino Linotype" w:eastAsia="Palatino Linotype" w:hAnsi="Palatino Linotype" w:cs="Palatino Linotype"/>
          <w:b/>
          <w:color w:val="000000" w:themeColor="text1"/>
        </w:rPr>
      </w:pPr>
    </w:p>
    <w:p w:rsidR="00CA1876" w:rsidRPr="003672D4" w:rsidRDefault="00115A29" w:rsidP="00452C7E">
      <w:pPr>
        <w:jc w:val="both"/>
        <w:rPr>
          <w:rFonts w:ascii="Palatino Linotype" w:hAnsi="Palatino Linotype"/>
          <w:b/>
          <w:color w:val="000000" w:themeColor="text1"/>
        </w:rPr>
      </w:pPr>
      <w:hyperlink r:id="rId8" w:tgtFrame="_blank" w:history="1">
        <w:r w:rsidR="00CA1876" w:rsidRPr="003672D4">
          <w:rPr>
            <w:rStyle w:val="Hipervnculo"/>
            <w:rFonts w:ascii="Palatino Linotype" w:hAnsi="Palatino Linotype" w:cs="Arial"/>
            <w:b/>
            <w:bCs/>
            <w:color w:val="000000" w:themeColor="text1"/>
            <w:u w:val="none"/>
          </w:rPr>
          <w:t>R. 02749. 2025.pdf</w:t>
        </w:r>
      </w:hyperlink>
      <w:r w:rsidR="00CA1876" w:rsidRPr="003672D4">
        <w:rPr>
          <w:rFonts w:ascii="Palatino Linotype" w:hAnsi="Palatino Linotype"/>
          <w:b/>
          <w:color w:val="000000" w:themeColor="text1"/>
        </w:rPr>
        <w:t xml:space="preserve">: </w:t>
      </w:r>
      <w:r w:rsidR="00CA1876" w:rsidRPr="003672D4">
        <w:rPr>
          <w:rFonts w:ascii="Palatino Linotype" w:hAnsi="Palatino Linotype"/>
          <w:color w:val="000000" w:themeColor="text1"/>
        </w:rPr>
        <w:t>Oficio suscrito por el Titular de la Unidad de Transparencia, por medio del cual, refirió que la Dirección General de Administración y Servidora Pública Habilitada, informó que la Dirección de Recursos Humanos, después de haber realizado una búsqueda exhaustiva y razonable en los archivos que obran en la Dirección y sus Departamentos, informó que se encuentra en proceso de integración y digitalización el Segundo Informe Trimestral de 2025, dicha integración es normada por los Lineamientos del Órgano Superior de Fiscalización del Estado de México en materia de integración, presentación y envió delos informes Trimestrales del Ejercicio Fiscal 2025, de las entidades fiscalizables del Estado de México</w:t>
      </w:r>
      <w:r w:rsidR="00CA1876" w:rsidRPr="003672D4">
        <w:rPr>
          <w:rFonts w:ascii="Palatino Linotype" w:hAnsi="Palatino Linotype"/>
          <w:b/>
          <w:color w:val="000000" w:themeColor="text1"/>
        </w:rPr>
        <w:t>, motivo por el cual no es posible enviar la información.</w:t>
      </w:r>
    </w:p>
    <w:p w:rsidR="00CA1876" w:rsidRPr="003672D4" w:rsidRDefault="00CA1876" w:rsidP="00452C7E">
      <w:pPr>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El </w:t>
      </w:r>
      <w:r w:rsidR="00CA1876" w:rsidRPr="003672D4">
        <w:rPr>
          <w:rFonts w:ascii="Palatino Linotype" w:eastAsia="Palatino Linotype" w:hAnsi="Palatino Linotype" w:cs="Palatino Linotype"/>
          <w:color w:val="000000" w:themeColor="text1"/>
        </w:rPr>
        <w:t>tres de junio</w:t>
      </w:r>
      <w:r w:rsidRPr="003672D4">
        <w:rPr>
          <w:rFonts w:ascii="Palatino Linotype" w:eastAsia="Palatino Linotype" w:hAnsi="Palatino Linotype" w:cs="Palatino Linotype"/>
          <w:color w:val="000000" w:themeColor="text1"/>
        </w:rPr>
        <w:t xml:space="preserve"> de dos mil veinticinco,</w:t>
      </w: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 xml:space="preserve">el </w:t>
      </w:r>
      <w:r w:rsidRPr="003672D4">
        <w:rPr>
          <w:rFonts w:ascii="Palatino Linotype" w:eastAsia="Palatino Linotype" w:hAnsi="Palatino Linotype" w:cs="Palatino Linotype"/>
          <w:b/>
          <w:color w:val="000000" w:themeColor="text1"/>
        </w:rPr>
        <w:t>RECURRENTE</w:t>
      </w:r>
      <w:r w:rsidRPr="003672D4">
        <w:rPr>
          <w:rFonts w:ascii="Palatino Linotype" w:eastAsia="Palatino Linotype" w:hAnsi="Palatino Linotype" w:cs="Palatino Linotype"/>
          <w:color w:val="000000" w:themeColor="text1"/>
        </w:rPr>
        <w:t xml:space="preserve"> interpuso el recurso de revisión en contra de la respuesta, señalando como:</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color w:val="000000" w:themeColor="text1"/>
        </w:rPr>
        <w:t>Acto impugnado</w:t>
      </w:r>
      <w:r w:rsidRPr="003672D4">
        <w:rPr>
          <w:rFonts w:ascii="Palatino Linotype" w:eastAsia="Palatino Linotype" w:hAnsi="Palatino Linotype" w:cs="Palatino Linotype"/>
          <w:b/>
          <w:i/>
          <w:color w:val="000000" w:themeColor="text1"/>
        </w:rPr>
        <w:t>:</w:t>
      </w:r>
      <w:r w:rsidRPr="003672D4">
        <w:rPr>
          <w:rFonts w:ascii="Palatino Linotype" w:eastAsia="Palatino Linotype" w:hAnsi="Palatino Linotype" w:cs="Palatino Linotype"/>
          <w:i/>
          <w:color w:val="000000" w:themeColor="text1"/>
        </w:rPr>
        <w:t xml:space="preserve"> “</w:t>
      </w:r>
      <w:r w:rsidR="00CA1876" w:rsidRPr="003672D4">
        <w:rPr>
          <w:rFonts w:ascii="Palatino Linotype" w:eastAsia="Palatino Linotype" w:hAnsi="Palatino Linotype" w:cs="Palatino Linotype"/>
          <w:i/>
          <w:color w:val="000000" w:themeColor="text1"/>
        </w:rPr>
        <w:t>N</w:t>
      </w:r>
      <w:r w:rsidR="00CA1876" w:rsidRPr="003672D4">
        <w:rPr>
          <w:rFonts w:ascii="Palatino Linotype" w:hAnsi="Palatino Linotype"/>
          <w:i/>
          <w:color w:val="000000" w:themeColor="text1"/>
        </w:rPr>
        <w:t>o se entrego la información solicitada</w:t>
      </w:r>
      <w:r w:rsidRPr="003672D4">
        <w:rPr>
          <w:rFonts w:ascii="Palatino Linotype" w:eastAsia="Palatino Linotype" w:hAnsi="Palatino Linotype" w:cs="Palatino Linotype"/>
          <w:i/>
          <w:color w:val="000000" w:themeColor="text1"/>
        </w:rPr>
        <w:t>” (Sic)</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color w:val="000000" w:themeColor="text1"/>
        </w:rPr>
        <w:t xml:space="preserve">Razones o Motivos de inconformidad: </w:t>
      </w:r>
      <w:r w:rsidRPr="003672D4">
        <w:rPr>
          <w:rFonts w:ascii="Palatino Linotype" w:eastAsia="Palatino Linotype" w:hAnsi="Palatino Linotype" w:cs="Palatino Linotype"/>
          <w:i/>
          <w:color w:val="000000" w:themeColor="text1"/>
        </w:rPr>
        <w:t>“</w:t>
      </w:r>
      <w:r w:rsidR="00CA1876" w:rsidRPr="003672D4">
        <w:rPr>
          <w:rFonts w:ascii="Palatino Linotype" w:eastAsia="Palatino Linotype" w:hAnsi="Palatino Linotype" w:cs="Palatino Linotype"/>
          <w:i/>
          <w:color w:val="000000" w:themeColor="text1"/>
        </w:rPr>
        <w:t>N</w:t>
      </w:r>
      <w:r w:rsidR="00CA1876" w:rsidRPr="003672D4">
        <w:rPr>
          <w:rFonts w:ascii="Palatino Linotype" w:hAnsi="Palatino Linotype"/>
          <w:i/>
          <w:color w:val="000000" w:themeColor="text1"/>
        </w:rPr>
        <w:t>o se entrego la información solicitada</w:t>
      </w:r>
      <w:r w:rsidRPr="003672D4">
        <w:rPr>
          <w:rFonts w:ascii="Palatino Linotype" w:eastAsia="Palatino Linotype" w:hAnsi="Palatino Linotype" w:cs="Palatino Linotype"/>
          <w:i/>
          <w:color w:val="000000" w:themeColor="text1"/>
        </w:rPr>
        <w:t>” (Sic)</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w:t>
      </w:r>
      <w:r w:rsidRPr="003672D4">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3672D4">
        <w:rPr>
          <w:rFonts w:ascii="Palatino Linotype" w:eastAsia="Palatino Linotype" w:hAnsi="Palatino Linotype" w:cs="Palatino Linotype"/>
          <w:color w:val="000000" w:themeColor="text1"/>
        </w:rPr>
        <w:t xml:space="preserve">se turna a la </w:t>
      </w:r>
      <w:r w:rsidRPr="003672D4">
        <w:rPr>
          <w:rFonts w:ascii="Palatino Linotype" w:eastAsia="Palatino Linotype" w:hAnsi="Palatino Linotype" w:cs="Palatino Linotype"/>
          <w:b/>
          <w:color w:val="000000" w:themeColor="text1"/>
        </w:rPr>
        <w:t xml:space="preserve">Comisionada María del Rosario Mejía Ayala, </w:t>
      </w:r>
      <w:r w:rsidRPr="003672D4">
        <w:rPr>
          <w:rFonts w:ascii="Palatino Linotype" w:eastAsia="Palatino Linotype" w:hAnsi="Palatino Linotype" w:cs="Palatino Linotype"/>
          <w:color w:val="000000" w:themeColor="text1"/>
        </w:rPr>
        <w:t xml:space="preserve">para su análisis. </w:t>
      </w:r>
    </w:p>
    <w:p w:rsidR="00142F69" w:rsidRPr="003672D4" w:rsidRDefault="00142F69" w:rsidP="00452C7E">
      <w:pPr>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del </w:t>
      </w:r>
      <w:r w:rsidR="00CA1876" w:rsidRPr="003672D4">
        <w:rPr>
          <w:rFonts w:ascii="Palatino Linotype" w:eastAsia="Palatino Linotype" w:hAnsi="Palatino Linotype" w:cs="Palatino Linotype"/>
          <w:color w:val="000000" w:themeColor="text1"/>
        </w:rPr>
        <w:t>diez de junio</w:t>
      </w:r>
      <w:r w:rsidRPr="003672D4">
        <w:rPr>
          <w:rFonts w:ascii="Palatino Linotype" w:eastAsia="Palatino Linotype" w:hAnsi="Palatino Linotype" w:cs="Palatino Linotype"/>
          <w:color w:val="000000" w:themeColor="text1"/>
        </w:rPr>
        <w:t xml:space="preserve"> de dos mil veinticinco, puso a disposición de las partes el expediente electrónico vía </w:t>
      </w:r>
      <w:r w:rsidRPr="003672D4">
        <w:rPr>
          <w:rFonts w:ascii="Palatino Linotype" w:eastAsia="Palatino Linotype" w:hAnsi="Palatino Linotype" w:cs="Palatino Linotype"/>
          <w:b/>
          <w:color w:val="000000" w:themeColor="text1"/>
        </w:rPr>
        <w:t xml:space="preserve">SAIMEX </w:t>
      </w:r>
      <w:r w:rsidRPr="003672D4">
        <w:rPr>
          <w:rFonts w:ascii="Palatino Linotype" w:eastAsia="Palatino Linotype" w:hAnsi="Palatino Linotype" w:cs="Palatino Linotype"/>
          <w:color w:val="000000" w:themeColor="text1"/>
        </w:rPr>
        <w:t xml:space="preserve">a efecto de que en un plazo máximo de siete días manifestara lo que a derecho conviniera, ofreciera </w:t>
      </w:r>
      <w:r w:rsidRPr="003672D4">
        <w:rPr>
          <w:rFonts w:ascii="Palatino Linotype" w:eastAsia="Palatino Linotype" w:hAnsi="Palatino Linotype" w:cs="Palatino Linotype"/>
          <w:color w:val="000000" w:themeColor="text1"/>
        </w:rPr>
        <w:lastRenderedPageBreak/>
        <w:t xml:space="preserve">pruebas y alegatos según corresponda al caso concreto, de esta forma para que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presentará el informe justificado procedente. </w:t>
      </w:r>
    </w:p>
    <w:p w:rsidR="00142F69" w:rsidRPr="003672D4" w:rsidRDefault="00142F69" w:rsidP="00452C7E">
      <w:pPr>
        <w:shd w:val="clear" w:color="auto" w:fill="FFFFFF"/>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El </w:t>
      </w:r>
      <w:r w:rsidR="00CA1876" w:rsidRPr="003672D4">
        <w:rPr>
          <w:rFonts w:ascii="Palatino Linotype" w:eastAsia="Palatino Linotype" w:hAnsi="Palatino Linotype" w:cs="Palatino Linotype"/>
          <w:color w:val="000000" w:themeColor="text1"/>
        </w:rPr>
        <w:t>diecinueve de junio</w:t>
      </w:r>
      <w:r w:rsidRPr="003672D4">
        <w:rPr>
          <w:rFonts w:ascii="Palatino Linotype" w:eastAsia="Palatino Linotype" w:hAnsi="Palatino Linotype" w:cs="Palatino Linotype"/>
          <w:color w:val="000000" w:themeColor="text1"/>
        </w:rPr>
        <w:t xml:space="preserve"> de dos mil veinticinco,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rindió el informe justificado correspondiente, por medio del archivo electrónico denominado </w:t>
      </w:r>
      <w:r w:rsidR="00CA1876" w:rsidRPr="003672D4">
        <w:rPr>
          <w:rFonts w:ascii="Palatino Linotype" w:eastAsia="Palatino Linotype" w:hAnsi="Palatino Linotype" w:cs="Palatino Linotype"/>
          <w:b/>
          <w:color w:val="000000" w:themeColor="text1"/>
        </w:rPr>
        <w:t>AnexoEE6468-2025</w:t>
      </w:r>
      <w:r w:rsidRPr="003672D4">
        <w:rPr>
          <w:rFonts w:ascii="Palatino Linotype" w:eastAsia="Palatino Linotype" w:hAnsi="Palatino Linotype" w:cs="Palatino Linotype"/>
          <w:b/>
          <w:color w:val="000000" w:themeColor="text1"/>
        </w:rPr>
        <w:t xml:space="preserve">.pdf, </w:t>
      </w:r>
      <w:r w:rsidRPr="003672D4">
        <w:rPr>
          <w:rFonts w:ascii="Palatino Linotype" w:eastAsia="Palatino Linotype" w:hAnsi="Palatino Linotype" w:cs="Palatino Linotype"/>
          <w:color w:val="000000" w:themeColor="text1"/>
        </w:rPr>
        <w:t xml:space="preserve">por medio del cual, </w:t>
      </w:r>
      <w:r w:rsidRPr="003672D4">
        <w:rPr>
          <w:rFonts w:ascii="Palatino Linotype" w:eastAsia="Palatino Linotype" w:hAnsi="Palatino Linotype" w:cs="Palatino Linotype"/>
          <w:b/>
          <w:color w:val="000000" w:themeColor="text1"/>
        </w:rPr>
        <w:t>ratificó la respuesta</w:t>
      </w:r>
      <w:r w:rsidRPr="003672D4">
        <w:rPr>
          <w:rFonts w:ascii="Palatino Linotype" w:eastAsia="Palatino Linotype" w:hAnsi="Palatino Linotype" w:cs="Palatino Linotype"/>
          <w:color w:val="000000" w:themeColor="text1"/>
        </w:rPr>
        <w:t>.</w:t>
      </w:r>
    </w:p>
    <w:p w:rsidR="00142F69" w:rsidRPr="003672D4" w:rsidRDefault="00142F69" w:rsidP="00452C7E">
      <w:pPr>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El </w:t>
      </w:r>
      <w:r w:rsidR="00CA1876" w:rsidRPr="003672D4">
        <w:rPr>
          <w:rFonts w:ascii="Palatino Linotype" w:eastAsia="Palatino Linotype" w:hAnsi="Palatino Linotype" w:cs="Palatino Linotype"/>
          <w:color w:val="000000" w:themeColor="text1"/>
        </w:rPr>
        <w:t>catorce de agosto</w:t>
      </w:r>
      <w:r w:rsidRPr="003672D4">
        <w:rPr>
          <w:rFonts w:ascii="Palatino Linotype" w:eastAsia="Palatino Linotype" w:hAnsi="Palatino Linotype" w:cs="Palatino Linotype"/>
          <w:color w:val="000000" w:themeColor="text1"/>
        </w:rPr>
        <w:t xml:space="preserve"> de dos mil veinticinco, se notificó el acuerdo mediante el cual se amplió el plazo para emitir resolución por un término de 15 días adicionales.</w:t>
      </w:r>
    </w:p>
    <w:p w:rsidR="00CA1876" w:rsidRPr="003672D4" w:rsidRDefault="00CA1876" w:rsidP="00452C7E">
      <w:pPr>
        <w:spacing w:line="360" w:lineRule="auto"/>
        <w:jc w:val="both"/>
        <w:rPr>
          <w:rFonts w:ascii="Palatino Linotype" w:eastAsia="Palatino Linotype" w:hAnsi="Palatino Linotype" w:cs="Palatino Linotype"/>
          <w:color w:val="000000" w:themeColor="text1"/>
        </w:rPr>
      </w:pPr>
    </w:p>
    <w:p w:rsidR="00142F69" w:rsidRPr="00862AEF"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La Comisionada Ponente decretó el cierre de instrucción mediante el acuerdo del </w:t>
      </w:r>
      <w:r w:rsidR="00CA1876" w:rsidRPr="003672D4">
        <w:rPr>
          <w:rFonts w:ascii="Palatino Linotype" w:eastAsia="Palatino Linotype" w:hAnsi="Palatino Linotype" w:cs="Palatino Linotype"/>
          <w:color w:val="000000" w:themeColor="text1"/>
        </w:rPr>
        <w:t>veinte</w:t>
      </w:r>
      <w:r w:rsidRPr="003672D4">
        <w:rPr>
          <w:rFonts w:ascii="Palatino Linotype" w:eastAsia="Palatino Linotype" w:hAnsi="Palatino Linotype" w:cs="Palatino Linotype"/>
          <w:color w:val="000000" w:themeColor="text1"/>
        </w:rPr>
        <w:t xml:space="preserve"> de </w:t>
      </w:r>
      <w:r w:rsidR="00CA1876" w:rsidRPr="003672D4">
        <w:rPr>
          <w:rFonts w:ascii="Palatino Linotype" w:eastAsia="Palatino Linotype" w:hAnsi="Palatino Linotype" w:cs="Palatino Linotype"/>
          <w:color w:val="000000" w:themeColor="text1"/>
        </w:rPr>
        <w:t xml:space="preserve">agosto </w:t>
      </w:r>
      <w:r w:rsidRPr="003672D4">
        <w:rPr>
          <w:rFonts w:ascii="Palatino Linotype" w:eastAsia="Palatino Linotype" w:hAnsi="Palatino Linotype" w:cs="Palatino Linotype"/>
          <w:color w:val="000000" w:themeColor="text1"/>
        </w:rPr>
        <w:t>de dos mil veinticinco.---------------------------------------------------------------------</w:t>
      </w:r>
    </w:p>
    <w:p w:rsidR="00862AEF" w:rsidRDefault="00862AEF" w:rsidP="00862AEF">
      <w:pPr>
        <w:pStyle w:val="Prrafodelista"/>
        <w:rPr>
          <w:rFonts w:ascii="Palatino Linotype" w:eastAsia="Palatino Linotype" w:hAnsi="Palatino Linotype" w:cs="Palatino Linotype"/>
          <w:b/>
          <w:color w:val="000000" w:themeColor="text1"/>
        </w:rPr>
      </w:pPr>
    </w:p>
    <w:p w:rsidR="00862AEF" w:rsidRPr="003672D4" w:rsidRDefault="00862AEF" w:rsidP="00862AEF">
      <w:pPr>
        <w:spacing w:line="360" w:lineRule="auto"/>
        <w:jc w:val="both"/>
        <w:rPr>
          <w:rFonts w:ascii="Palatino Linotype" w:eastAsia="Palatino Linotype" w:hAnsi="Palatino Linotype" w:cs="Palatino Linotype"/>
          <w:b/>
          <w:color w:val="000000" w:themeColor="text1"/>
        </w:rPr>
      </w:pPr>
    </w:p>
    <w:p w:rsidR="00142F69" w:rsidRPr="003672D4" w:rsidRDefault="00142F69" w:rsidP="00452C7E">
      <w:pPr>
        <w:rPr>
          <w:rFonts w:ascii="Palatino Linotype" w:eastAsia="Palatino Linotype" w:hAnsi="Palatino Linotype" w:cs="Palatino Linotype"/>
          <w:b/>
          <w:color w:val="000000" w:themeColor="text1"/>
        </w:rPr>
      </w:pPr>
    </w:p>
    <w:p w:rsidR="00142F69" w:rsidRPr="003672D4" w:rsidRDefault="00757088" w:rsidP="00452C7E">
      <w:pPr>
        <w:keepNext/>
        <w:keepLines/>
        <w:spacing w:line="360" w:lineRule="auto"/>
        <w:jc w:val="center"/>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 xml:space="preserve">C O N S I D E R A N D O </w:t>
      </w:r>
    </w:p>
    <w:p w:rsidR="00142F69" w:rsidRPr="003672D4" w:rsidRDefault="00142F69" w:rsidP="00452C7E">
      <w:pPr>
        <w:keepNext/>
        <w:keepLines/>
        <w:rPr>
          <w:rFonts w:ascii="Palatino Linotype" w:eastAsia="Palatino Linotype" w:hAnsi="Palatino Linotype" w:cs="Palatino Linotype"/>
          <w:color w:val="000000" w:themeColor="text1"/>
        </w:rPr>
      </w:pPr>
    </w:p>
    <w:p w:rsidR="00142F69" w:rsidRPr="003672D4" w:rsidRDefault="00757088" w:rsidP="00452C7E">
      <w:pPr>
        <w:keepNext/>
        <w:keepLines/>
        <w:spacing w:line="360" w:lineRule="auto"/>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PRIMERO. De la competencia.</w:t>
      </w: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0" w:name="_heading=h.3znysh7" w:colFirst="0" w:colLast="0"/>
      <w:bookmarkEnd w:id="0"/>
      <w:r w:rsidRPr="003672D4">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w:t>
      </w:r>
      <w:r w:rsidRPr="003672D4">
        <w:rPr>
          <w:rFonts w:ascii="Palatino Linotype" w:eastAsia="Palatino Linotype" w:hAnsi="Palatino Linotype" w:cs="Palatino Linotype"/>
          <w:color w:val="000000" w:themeColor="text1"/>
        </w:rPr>
        <w:lastRenderedPageBreak/>
        <w:t>XXIV, y 11 del Reglamento Interior del Instituto de Transparencia, Acceso a la Información Pública y Protección de Datos Personales del Estado de México y Municipios.</w:t>
      </w:r>
    </w:p>
    <w:p w:rsidR="00CA1876" w:rsidRPr="003672D4" w:rsidRDefault="00CA1876" w:rsidP="00452C7E">
      <w:pPr>
        <w:spacing w:line="360" w:lineRule="auto"/>
        <w:jc w:val="both"/>
        <w:rPr>
          <w:rFonts w:ascii="Palatino Linotype" w:eastAsia="Palatino Linotype" w:hAnsi="Palatino Linotype" w:cs="Palatino Linotype"/>
          <w:b/>
          <w:color w:val="000000" w:themeColor="text1"/>
        </w:rPr>
      </w:pPr>
    </w:p>
    <w:p w:rsidR="00142F69" w:rsidRPr="003672D4" w:rsidRDefault="00757088" w:rsidP="00452C7E">
      <w:pPr>
        <w:keepNext/>
        <w:keepLines/>
        <w:spacing w:line="360" w:lineRule="auto"/>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SEGUNDO. De la oportunidad y procedencia.</w:t>
      </w: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1" w:name="_heading=h.3dy6vkm" w:colFirst="0" w:colLast="0"/>
      <w:bookmarkEnd w:id="1"/>
      <w:r w:rsidRPr="003672D4">
        <w:rPr>
          <w:rFonts w:ascii="Palatino Linotype" w:eastAsia="Palatino Linotype" w:hAnsi="Palatino Linotype" w:cs="Palatino Linotype"/>
          <w:color w:val="000000" w:themeColor="text1"/>
        </w:rPr>
        <w:t xml:space="preserve">El medio de impugnación fue presentado a través del </w:t>
      </w:r>
      <w:r w:rsidRPr="003672D4">
        <w:rPr>
          <w:rFonts w:ascii="Palatino Linotype" w:eastAsia="Palatino Linotype" w:hAnsi="Palatino Linotype" w:cs="Palatino Linotype"/>
          <w:b/>
          <w:color w:val="000000" w:themeColor="text1"/>
        </w:rPr>
        <w:t>SAIMEX,</w:t>
      </w:r>
      <w:r w:rsidRPr="003672D4">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siendo así que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entregó respuesta el </w:t>
      </w:r>
      <w:r w:rsidR="00CA1876" w:rsidRPr="003672D4">
        <w:rPr>
          <w:rFonts w:ascii="Palatino Linotype" w:eastAsia="Palatino Linotype" w:hAnsi="Palatino Linotype" w:cs="Palatino Linotype"/>
          <w:color w:val="000000" w:themeColor="text1"/>
        </w:rPr>
        <w:t>tres de junio</w:t>
      </w:r>
      <w:r w:rsidRPr="003672D4">
        <w:rPr>
          <w:rFonts w:ascii="Palatino Linotype" w:eastAsia="Palatino Linotype" w:hAnsi="Palatino Linotype" w:cs="Palatino Linotype"/>
          <w:color w:val="000000" w:themeColor="text1"/>
        </w:rPr>
        <w:t xml:space="preserve"> de dos mil veinticinco de dos mil veinticuatro, de tal forma que el plazo para interponer el recurso de revisión transcurrió del </w:t>
      </w:r>
      <w:r w:rsidR="00862D72" w:rsidRPr="003672D4">
        <w:rPr>
          <w:rFonts w:ascii="Palatino Linotype" w:eastAsia="Palatino Linotype" w:hAnsi="Palatino Linotype" w:cs="Palatino Linotype"/>
          <w:color w:val="000000" w:themeColor="text1"/>
        </w:rPr>
        <w:t>cuatro al veinticuatro de junio</w:t>
      </w:r>
      <w:r w:rsidRPr="003672D4">
        <w:rPr>
          <w:rFonts w:ascii="Palatino Linotype" w:eastAsia="Palatino Linotype" w:hAnsi="Palatino Linotype" w:cs="Palatino Linotype"/>
          <w:color w:val="000000" w:themeColor="text1"/>
        </w:rPr>
        <w:t xml:space="preserve"> de dos mil veinticinco; en consecuencia, presentó su inconformidad el </w:t>
      </w:r>
      <w:r w:rsidR="00862D72" w:rsidRPr="003672D4">
        <w:rPr>
          <w:rFonts w:ascii="Palatino Linotype" w:eastAsia="Palatino Linotype" w:hAnsi="Palatino Linotype" w:cs="Palatino Linotype"/>
          <w:color w:val="000000" w:themeColor="text1"/>
        </w:rPr>
        <w:t>tres de junio</w:t>
      </w:r>
      <w:r w:rsidRPr="003672D4">
        <w:rPr>
          <w:rFonts w:ascii="Palatino Linotype" w:eastAsia="Palatino Linotype" w:hAnsi="Palatino Linotype" w:cs="Palatino Linotype"/>
          <w:color w:val="000000" w:themeColor="text1"/>
        </w:rPr>
        <w:t xml:space="preserve"> de dos mil veinticinco, por lo que se encuentra dentro de los márgenes temporales previstos en el artículo 178 de la </w:t>
      </w:r>
      <w:r w:rsidRPr="003672D4">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3672D4">
        <w:rPr>
          <w:rFonts w:ascii="Palatino Linotype" w:eastAsia="Palatino Linotype" w:hAnsi="Palatino Linotype" w:cs="Palatino Linotype"/>
          <w:color w:val="000000" w:themeColor="text1"/>
        </w:rPr>
        <w:t>vigente.</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spacing w:line="360" w:lineRule="auto"/>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TERCERO. Planteamiento de la Litis.</w:t>
      </w:r>
    </w:p>
    <w:p w:rsidR="00862D72" w:rsidRPr="003672D4" w:rsidRDefault="00862D72"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La parte </w:t>
      </w:r>
      <w:r w:rsidR="00757088" w:rsidRPr="003672D4">
        <w:rPr>
          <w:rFonts w:ascii="Palatino Linotype" w:eastAsia="Palatino Linotype" w:hAnsi="Palatino Linotype" w:cs="Palatino Linotype"/>
          <w:b/>
          <w:color w:val="000000" w:themeColor="text1"/>
        </w:rPr>
        <w:t xml:space="preserve">RECURRENTE </w:t>
      </w:r>
      <w:r w:rsidR="00757088" w:rsidRPr="003672D4">
        <w:rPr>
          <w:rFonts w:ascii="Palatino Linotype" w:eastAsia="Palatino Linotype" w:hAnsi="Palatino Linotype" w:cs="Palatino Linotype"/>
          <w:color w:val="000000" w:themeColor="text1"/>
        </w:rPr>
        <w:t xml:space="preserve">solicitó </w:t>
      </w:r>
      <w:r w:rsidRPr="003672D4">
        <w:rPr>
          <w:rFonts w:ascii="Palatino Linotype" w:hAnsi="Palatino Linotype"/>
          <w:b/>
          <w:color w:val="000000" w:themeColor="text1"/>
        </w:rPr>
        <w:t>la plantilla de personal y los recibos de nómina del personal adscrito Departamento de Licencias y Permisos de la Dirección General de Desarrollo Económico, de la segunda quincena de abril de 2025.</w:t>
      </w:r>
    </w:p>
    <w:p w:rsidR="00142F69" w:rsidRPr="003672D4" w:rsidRDefault="00142F69" w:rsidP="00452C7E">
      <w:pPr>
        <w:jc w:val="both"/>
        <w:rPr>
          <w:rFonts w:ascii="Palatino Linotype" w:eastAsia="Palatino Linotype" w:hAnsi="Palatino Linotype" w:cs="Palatino Linotype"/>
          <w:b/>
          <w:color w:val="000000" w:themeColor="text1"/>
        </w:rPr>
      </w:pPr>
    </w:p>
    <w:p w:rsidR="00862D72"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En respuesta,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por medio de</w:t>
      </w:r>
      <w:r w:rsidR="00862D72" w:rsidRPr="003672D4">
        <w:rPr>
          <w:rFonts w:ascii="Palatino Linotype" w:eastAsia="Palatino Linotype" w:hAnsi="Palatino Linotype" w:cs="Palatino Linotype"/>
          <w:b/>
          <w:color w:val="000000" w:themeColor="text1"/>
        </w:rPr>
        <w:t xml:space="preserve"> </w:t>
      </w:r>
      <w:r w:rsidR="00862D72" w:rsidRPr="003672D4">
        <w:rPr>
          <w:rFonts w:ascii="Palatino Linotype" w:eastAsia="Palatino Linotype" w:hAnsi="Palatino Linotype" w:cs="Palatino Linotype"/>
          <w:color w:val="000000" w:themeColor="text1"/>
        </w:rPr>
        <w:t xml:space="preserve">la </w:t>
      </w:r>
      <w:r w:rsidR="00862D72" w:rsidRPr="003672D4">
        <w:rPr>
          <w:rFonts w:ascii="Palatino Linotype" w:hAnsi="Palatino Linotype"/>
          <w:color w:val="000000" w:themeColor="text1"/>
        </w:rPr>
        <w:t xml:space="preserve">Dirección General de Administración y la Dirección de Recursos Humanos, refirió la imposibilidad para hacer </w:t>
      </w:r>
      <w:r w:rsidR="00862D72" w:rsidRPr="003672D4">
        <w:rPr>
          <w:rFonts w:ascii="Palatino Linotype" w:hAnsi="Palatino Linotype"/>
          <w:color w:val="000000" w:themeColor="text1"/>
        </w:rPr>
        <w:lastRenderedPageBreak/>
        <w:t>entrega de la información solicitada, derivado de que se encuentra en proceso de integración y digitalización el Segundo Informe Trimestral de 2025.</w:t>
      </w:r>
    </w:p>
    <w:p w:rsidR="00142F69" w:rsidRPr="003672D4" w:rsidRDefault="00142F69" w:rsidP="00452C7E">
      <w:pPr>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Posteriormente, el </w:t>
      </w:r>
      <w:r w:rsidRPr="003672D4">
        <w:rPr>
          <w:rFonts w:ascii="Palatino Linotype" w:eastAsia="Palatino Linotype" w:hAnsi="Palatino Linotype" w:cs="Palatino Linotype"/>
          <w:b/>
          <w:color w:val="000000" w:themeColor="text1"/>
        </w:rPr>
        <w:t>RECURRENTE</w:t>
      </w:r>
      <w:r w:rsidRPr="003672D4">
        <w:rPr>
          <w:rFonts w:ascii="Palatino Linotype" w:eastAsia="Palatino Linotype" w:hAnsi="Palatino Linotype" w:cs="Palatino Linotype"/>
          <w:color w:val="000000" w:themeColor="text1"/>
        </w:rPr>
        <w:t xml:space="preserve"> se inconformó por </w:t>
      </w:r>
      <w:r w:rsidRPr="003672D4">
        <w:rPr>
          <w:rFonts w:ascii="Palatino Linotype" w:eastAsia="Palatino Linotype" w:hAnsi="Palatino Linotype" w:cs="Palatino Linotype"/>
          <w:b/>
          <w:color w:val="000000" w:themeColor="text1"/>
        </w:rPr>
        <w:t>la negativa de la información solicitada.</w:t>
      </w:r>
    </w:p>
    <w:p w:rsidR="00142F69" w:rsidRPr="003672D4" w:rsidRDefault="00142F69" w:rsidP="00452C7E">
      <w:pPr>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2" w:name="_heading=h.gjdgxs" w:colFirst="0" w:colLast="0"/>
      <w:bookmarkEnd w:id="2"/>
      <w:r w:rsidRPr="003672D4">
        <w:rPr>
          <w:rFonts w:ascii="Palatino Linotype" w:eastAsia="Palatino Linotype" w:hAnsi="Palatino Linotype" w:cs="Palatino Linotype"/>
          <w:color w:val="000000" w:themeColor="text1"/>
        </w:rPr>
        <w:t xml:space="preserve">En dichas condiciones, la </w:t>
      </w:r>
      <w:r w:rsidRPr="003672D4">
        <w:rPr>
          <w:rFonts w:ascii="Palatino Linotype" w:eastAsia="Palatino Linotype" w:hAnsi="Palatino Linotype" w:cs="Palatino Linotype"/>
          <w:i/>
          <w:color w:val="000000" w:themeColor="text1"/>
        </w:rPr>
        <w:t>Litis</w:t>
      </w:r>
      <w:r w:rsidRPr="003672D4">
        <w:rPr>
          <w:rFonts w:ascii="Palatino Linotype" w:eastAsia="Palatino Linotype" w:hAnsi="Palatino Linotype" w:cs="Palatino Linotype"/>
          <w:color w:val="000000" w:themeColor="text1"/>
        </w:rPr>
        <w:t xml:space="preserve"> a resolver en el presente recurso de revisión se circunscribe a determinar si se actualizan la causal de procedencia prevista en el artículo 179, fracción</w:t>
      </w: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 xml:space="preserve">I de la </w:t>
      </w:r>
      <w:r w:rsidRPr="003672D4">
        <w:rPr>
          <w:rFonts w:ascii="Palatino Linotype" w:eastAsia="Palatino Linotype" w:hAnsi="Palatino Linotype" w:cs="Palatino Linotype"/>
          <w:b/>
          <w:color w:val="000000" w:themeColor="text1"/>
        </w:rPr>
        <w:t>Ley de Transparencia y Acceso a la Información Pública del Estado de México y Municipios</w:t>
      </w:r>
      <w:r w:rsidRPr="003672D4">
        <w:rPr>
          <w:rFonts w:ascii="Palatino Linotype" w:eastAsia="Palatino Linotype" w:hAnsi="Palatino Linotype" w:cs="Palatino Linotype"/>
          <w:color w:val="000000" w:themeColor="text1"/>
        </w:rPr>
        <w:t>.</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pStyle w:val="Ttulo2"/>
        <w:spacing w:before="0" w:line="360" w:lineRule="auto"/>
        <w:rPr>
          <w:rFonts w:ascii="Palatino Linotype" w:eastAsia="Palatino Linotype" w:hAnsi="Palatino Linotype" w:cs="Palatino Linotype"/>
          <w:b/>
          <w:color w:val="000000" w:themeColor="text1"/>
          <w:sz w:val="24"/>
          <w:szCs w:val="24"/>
        </w:rPr>
      </w:pPr>
      <w:r w:rsidRPr="003672D4">
        <w:rPr>
          <w:rFonts w:ascii="Palatino Linotype" w:eastAsia="Palatino Linotype" w:hAnsi="Palatino Linotype" w:cs="Palatino Linotype"/>
          <w:b/>
          <w:color w:val="000000" w:themeColor="text1"/>
          <w:sz w:val="24"/>
          <w:szCs w:val="24"/>
        </w:rPr>
        <w:t>CUARTA. Estudio y resolución del asunto.</w:t>
      </w: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Definiendo el Derecho de Acceso a la Información Pública como: </w:t>
      </w:r>
      <w:r w:rsidRPr="003672D4">
        <w:rPr>
          <w:rFonts w:ascii="Palatino Linotype" w:eastAsia="Palatino Linotype" w:hAnsi="Palatino Linotype" w:cs="Palatino Linotype"/>
          <w:i/>
          <w:color w:val="000000" w:themeColor="text1"/>
        </w:rPr>
        <w:t xml:space="preserve">La igualdad de </w:t>
      </w:r>
      <w:r w:rsidRPr="003672D4">
        <w:rPr>
          <w:rFonts w:ascii="Palatino Linotype" w:eastAsia="Palatino Linotype" w:hAnsi="Palatino Linotype" w:cs="Palatino Linotype"/>
          <w:color w:val="000000" w:themeColor="text1"/>
        </w:rPr>
        <w:t>oportunidades</w:t>
      </w:r>
      <w:r w:rsidRPr="003672D4">
        <w:rPr>
          <w:rFonts w:ascii="Palatino Linotype" w:eastAsia="Palatino Linotype" w:hAnsi="Palatino Linotype" w:cs="Palatino Linotype"/>
          <w:i/>
          <w:color w:val="000000" w:themeColor="text1"/>
        </w:rPr>
        <w:t xml:space="preserve"> para recibir, buscar e impartir información</w:t>
      </w:r>
      <w:r w:rsidRPr="003672D4">
        <w:rPr>
          <w:rFonts w:ascii="Palatino Linotype" w:eastAsia="Palatino Linotype" w:hAnsi="Palatino Linotype" w:cs="Palatino Linotype"/>
          <w:i/>
          <w:color w:val="000000" w:themeColor="text1"/>
          <w:vertAlign w:val="superscript"/>
        </w:rPr>
        <w:footnoteReference w:id="1"/>
      </w:r>
      <w:r w:rsidRPr="003672D4">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672D4">
        <w:rPr>
          <w:rFonts w:ascii="Palatino Linotype" w:eastAsia="Palatino Linotype" w:hAnsi="Palatino Linotype" w:cs="Palatino Linotype"/>
          <w:i/>
          <w:color w:val="000000" w:themeColor="text1"/>
          <w:vertAlign w:val="superscript"/>
        </w:rPr>
        <w:footnoteReference w:id="2"/>
      </w:r>
      <w:r w:rsidRPr="003672D4">
        <w:rPr>
          <w:rFonts w:ascii="Palatino Linotype" w:eastAsia="Palatino Linotype" w:hAnsi="Palatino Linotype" w:cs="Palatino Linotype"/>
          <w:color w:val="000000" w:themeColor="text1"/>
        </w:rPr>
        <w:t>que se constituye como una herramienta fundamental para ejercer</w:t>
      </w:r>
      <w:r w:rsidRPr="003672D4">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w:t>
      </w:r>
      <w:r w:rsidRPr="003672D4">
        <w:rPr>
          <w:rFonts w:ascii="Palatino Linotype" w:eastAsia="Palatino Linotype" w:hAnsi="Palatino Linotype" w:cs="Palatino Linotype"/>
          <w:i/>
          <w:color w:val="000000" w:themeColor="text1"/>
        </w:rPr>
        <w:lastRenderedPageBreak/>
        <w:t>está dando un adecuado cumplimiento a las funciones públicas,</w:t>
      </w:r>
      <w:r w:rsidRPr="003672D4">
        <w:rPr>
          <w:rFonts w:ascii="Palatino Linotype" w:eastAsia="Palatino Linotype" w:hAnsi="Palatino Linotype" w:cs="Palatino Linotype"/>
          <w:i/>
          <w:color w:val="000000" w:themeColor="text1"/>
          <w:vertAlign w:val="superscript"/>
        </w:rPr>
        <w:footnoteReference w:id="3"/>
      </w:r>
      <w:r w:rsidRPr="003672D4">
        <w:rPr>
          <w:rFonts w:ascii="Palatino Linotype" w:eastAsia="Palatino Linotype" w:hAnsi="Palatino Linotype" w:cs="Palatino Linotype"/>
          <w:color w:val="000000" w:themeColor="text1"/>
        </w:rPr>
        <w:t>fomentando</w:t>
      </w:r>
      <w:r w:rsidRPr="003672D4">
        <w:rPr>
          <w:rFonts w:ascii="Palatino Linotype" w:eastAsia="Palatino Linotype" w:hAnsi="Palatino Linotype" w:cs="Palatino Linotype"/>
          <w:i/>
          <w:color w:val="000000" w:themeColor="text1"/>
        </w:rPr>
        <w:t xml:space="preserve"> la transparencia de las actividades estatales y </w:t>
      </w:r>
      <w:r w:rsidRPr="003672D4">
        <w:rPr>
          <w:rFonts w:ascii="Palatino Linotype" w:eastAsia="Palatino Linotype" w:hAnsi="Palatino Linotype" w:cs="Palatino Linotype"/>
          <w:color w:val="000000" w:themeColor="text1"/>
        </w:rPr>
        <w:t>promoviendo</w:t>
      </w:r>
      <w:r w:rsidRPr="003672D4">
        <w:rPr>
          <w:rFonts w:ascii="Palatino Linotype" w:eastAsia="Palatino Linotype" w:hAnsi="Palatino Linotype" w:cs="Palatino Linotype"/>
          <w:i/>
          <w:color w:val="000000" w:themeColor="text1"/>
        </w:rPr>
        <w:t xml:space="preserve"> la responsabilidad de los funcionarios sobre su gestión pública,</w:t>
      </w:r>
      <w:r w:rsidRPr="003672D4">
        <w:rPr>
          <w:rFonts w:ascii="Palatino Linotype" w:eastAsia="Palatino Linotype" w:hAnsi="Palatino Linotype" w:cs="Palatino Linotype"/>
          <w:i/>
          <w:color w:val="000000" w:themeColor="text1"/>
          <w:vertAlign w:val="superscript"/>
        </w:rPr>
        <w:footnoteReference w:id="4"/>
      </w:r>
      <w:r w:rsidRPr="003672D4">
        <w:rPr>
          <w:rFonts w:ascii="Palatino Linotype" w:eastAsia="Palatino Linotype" w:hAnsi="Palatino Linotype" w:cs="Palatino Linotype"/>
          <w:color w:val="000000" w:themeColor="text1"/>
        </w:rPr>
        <w:t>que permite</w:t>
      </w:r>
      <w:r w:rsidRPr="003672D4">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142F69" w:rsidRPr="003672D4" w:rsidRDefault="00142F69" w:rsidP="00452C7E">
      <w:pPr>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r w:rsidRPr="003672D4">
        <w:rPr>
          <w:rFonts w:ascii="Palatino Linotype" w:eastAsia="Palatino Linotype" w:hAnsi="Palatino Linotype" w:cs="Palatino Linotype"/>
          <w:b/>
          <w:i/>
          <w:color w:val="000000" w:themeColor="text1"/>
        </w:rPr>
        <w:t>Artículo 1.-</w:t>
      </w:r>
      <w:r w:rsidRPr="003672D4">
        <w:rPr>
          <w:rFonts w:ascii="Palatino Linotype" w:eastAsia="Palatino Linotype" w:hAnsi="Palatino Linotype" w:cs="Palatino Linotype"/>
          <w:i/>
          <w:color w:val="000000" w:themeColor="text1"/>
        </w:rPr>
        <w:t xml:space="preserve"> </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Todas las</w:t>
      </w:r>
      <w:r w:rsidRPr="003672D4">
        <w:rPr>
          <w:rFonts w:ascii="Palatino Linotype" w:eastAsia="Palatino Linotype" w:hAnsi="Palatino Linotype" w:cs="Palatino Linotype"/>
          <w:color w:val="000000" w:themeColor="text1"/>
        </w:rPr>
        <w:t xml:space="preserve"> </w:t>
      </w:r>
      <w:r w:rsidRPr="003672D4">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42F69" w:rsidRPr="003672D4" w:rsidRDefault="00757088" w:rsidP="00452C7E">
      <w:pP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i/>
          <w:color w:val="000000" w:themeColor="text1"/>
        </w:rPr>
        <w:t>(…)</w:t>
      </w:r>
      <w:r w:rsidRPr="003672D4">
        <w:rPr>
          <w:rFonts w:ascii="Palatino Linotype" w:eastAsia="Palatino Linotype" w:hAnsi="Palatino Linotype" w:cs="Palatino Linotype"/>
          <w:color w:val="000000" w:themeColor="text1"/>
        </w:rPr>
        <w:t>”</w:t>
      </w:r>
    </w:p>
    <w:p w:rsidR="00142F69" w:rsidRDefault="00142F69" w:rsidP="00452C7E">
      <w:pPr>
        <w:jc w:val="both"/>
        <w:rPr>
          <w:rFonts w:ascii="Palatino Linotype" w:eastAsia="Palatino Linotype" w:hAnsi="Palatino Linotype" w:cs="Palatino Linotype"/>
          <w:b/>
          <w:color w:val="000000" w:themeColor="text1"/>
        </w:rPr>
      </w:pPr>
    </w:p>
    <w:p w:rsidR="00862AEF" w:rsidRPr="003672D4" w:rsidRDefault="00862AEF"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Así conforme a la Constitución Política de las Estado Unidos Mexicanos y la Constitución Política del Estado Libre y Soberano de México respectivamente, el cumplimiento de las garantías primarias, entendidas como obligaciones inmediatamente </w:t>
      </w:r>
      <w:r w:rsidRPr="003672D4">
        <w:rPr>
          <w:rFonts w:ascii="Palatino Linotype" w:eastAsia="Palatino Linotype" w:hAnsi="Palatino Linotype" w:cs="Palatino Linotype"/>
          <w:color w:val="000000" w:themeColor="text1"/>
        </w:rPr>
        <w:lastRenderedPageBreak/>
        <w:t>relacionadas con el Derecho de Acceso a la Información Pública, permiten que todas las autoridades, en el ámbito de sus atribuciones lo respeten, protejan y garanticen:</w:t>
      </w:r>
    </w:p>
    <w:p w:rsidR="00142F69" w:rsidRPr="003672D4" w:rsidRDefault="00757088" w:rsidP="00452C7E">
      <w:pP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Constitución Política de los Estados Unidos Mexicanos</w:t>
      </w:r>
    </w:p>
    <w:p w:rsidR="00142F69" w:rsidRPr="003672D4" w:rsidRDefault="00142F69" w:rsidP="00452C7E">
      <w:pPr>
        <w:jc w:val="both"/>
        <w:rPr>
          <w:rFonts w:ascii="Palatino Linotype" w:eastAsia="Palatino Linotype" w:hAnsi="Palatino Linotype" w:cs="Palatino Linotype"/>
          <w:b/>
          <w:i/>
          <w:color w:val="000000" w:themeColor="text1"/>
        </w:rPr>
      </w:pPr>
    </w:p>
    <w:p w:rsidR="00142F69" w:rsidRPr="003672D4" w:rsidRDefault="00757088" w:rsidP="00452C7E">
      <w:pP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“Artículo 6.</w:t>
      </w:r>
      <w:r w:rsidRPr="003672D4">
        <w:rPr>
          <w:rFonts w:ascii="Palatino Linotype" w:eastAsia="Palatino Linotype" w:hAnsi="Palatino Linotype" w:cs="Palatino Linotype"/>
          <w:i/>
          <w:color w:val="000000" w:themeColor="text1"/>
        </w:rPr>
        <w:t xml:space="preserve"> …</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Para efectos de lo dispuesto en el presente artículo se observará lo siguiente:</w:t>
      </w:r>
    </w:p>
    <w:p w:rsidR="00142F69" w:rsidRPr="003672D4" w:rsidRDefault="00757088" w:rsidP="00862AEF">
      <w:pPr>
        <w:numPr>
          <w:ilvl w:val="0"/>
          <w:numId w:val="2"/>
        </w:numPr>
        <w:pBdr>
          <w:top w:val="nil"/>
          <w:left w:val="nil"/>
          <w:bottom w:val="nil"/>
          <w:right w:val="nil"/>
          <w:between w:val="nil"/>
        </w:pBdr>
        <w:ind w:left="0" w:firstLine="0"/>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Para el ejercicio del derecho de acceso a la información</w:t>
      </w:r>
      <w:r w:rsidRPr="003672D4">
        <w:rPr>
          <w:rFonts w:ascii="Palatino Linotype" w:eastAsia="Palatino Linotype" w:hAnsi="Palatino Linotype" w:cs="Palatino Linotype"/>
          <w:i/>
          <w:color w:val="000000" w:themeColor="text1"/>
        </w:rPr>
        <w:t xml:space="preserve">, la Federación y </w:t>
      </w:r>
      <w:r w:rsidRPr="003672D4">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rsidR="00142F69" w:rsidRPr="003672D4" w:rsidRDefault="00142F69" w:rsidP="00452C7E">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i/>
          <w:color w:val="000000" w:themeColor="text1"/>
        </w:rPr>
        <w:t xml:space="preserve">I. </w:t>
      </w:r>
      <w:r w:rsidRPr="003672D4">
        <w:rPr>
          <w:rFonts w:ascii="Palatino Linotype" w:eastAsia="Palatino Linotype" w:hAnsi="Palatino Linotype" w:cs="Palatino Linotype"/>
          <w:b/>
          <w:i/>
          <w:color w:val="000000" w:themeColor="text1"/>
        </w:rPr>
        <w:tab/>
        <w:t>Toda la información en posesión de cualquier</w:t>
      </w:r>
      <w:r w:rsidRPr="003672D4">
        <w:rPr>
          <w:rFonts w:ascii="Palatino Linotype" w:eastAsia="Palatino Linotype" w:hAnsi="Palatino Linotype" w:cs="Palatino Linotype"/>
          <w:i/>
          <w:color w:val="000000" w:themeColor="text1"/>
        </w:rPr>
        <w:t xml:space="preserve"> </w:t>
      </w:r>
      <w:r w:rsidRPr="003672D4">
        <w:rPr>
          <w:rFonts w:ascii="Palatino Linotype" w:eastAsia="Palatino Linotype" w:hAnsi="Palatino Linotype" w:cs="Palatino Linotype"/>
          <w:b/>
          <w:i/>
          <w:color w:val="000000" w:themeColor="text1"/>
        </w:rPr>
        <w:t>autoridad</w:t>
      </w:r>
      <w:r w:rsidRPr="003672D4">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672D4">
        <w:rPr>
          <w:rFonts w:ascii="Palatino Linotype" w:eastAsia="Palatino Linotype" w:hAnsi="Palatino Linotype" w:cs="Palatino Linotype"/>
          <w:b/>
          <w:i/>
          <w:color w:val="000000" w:themeColor="text1"/>
        </w:rPr>
        <w:t>municipal</w:t>
      </w:r>
      <w:r w:rsidRPr="003672D4">
        <w:rPr>
          <w:rFonts w:ascii="Palatino Linotype" w:eastAsia="Palatino Linotype" w:hAnsi="Palatino Linotype" w:cs="Palatino Linotype"/>
          <w:i/>
          <w:color w:val="000000" w:themeColor="text1"/>
        </w:rPr>
        <w:t xml:space="preserve">, </w:t>
      </w:r>
      <w:r w:rsidRPr="003672D4">
        <w:rPr>
          <w:rFonts w:ascii="Palatino Linotype" w:eastAsia="Palatino Linotype" w:hAnsi="Palatino Linotype" w:cs="Palatino Linotype"/>
          <w:b/>
          <w:i/>
          <w:color w:val="000000" w:themeColor="text1"/>
        </w:rPr>
        <w:t>es pública</w:t>
      </w:r>
      <w:r w:rsidRPr="003672D4">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3672D4">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3672D4">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142F69" w:rsidRPr="003672D4" w:rsidRDefault="00142F69" w:rsidP="00452C7E">
      <w:pPr>
        <w:tabs>
          <w:tab w:val="left" w:pos="426"/>
          <w:tab w:val="left" w:pos="567"/>
        </w:tabs>
        <w:jc w:val="both"/>
        <w:rPr>
          <w:rFonts w:ascii="Palatino Linotype" w:eastAsia="Palatino Linotype" w:hAnsi="Palatino Linotype" w:cs="Palatino Linotype"/>
          <w:color w:val="000000" w:themeColor="text1"/>
        </w:rPr>
      </w:pPr>
    </w:p>
    <w:p w:rsidR="00142F69" w:rsidRPr="003672D4" w:rsidRDefault="00757088" w:rsidP="00452C7E">
      <w:pP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Constitución Política del Estado Libre y Soberano de México</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i/>
          <w:color w:val="000000" w:themeColor="text1"/>
        </w:rPr>
        <w:t>“Artículo 5</w:t>
      </w:r>
      <w:r w:rsidRPr="003672D4">
        <w:rPr>
          <w:rFonts w:ascii="Palatino Linotype" w:eastAsia="Palatino Linotype" w:hAnsi="Palatino Linotype" w:cs="Palatino Linotype"/>
          <w:i/>
          <w:color w:val="000000" w:themeColor="text1"/>
        </w:rPr>
        <w:t>.-…</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3672D4">
        <w:rPr>
          <w:rFonts w:ascii="Palatino Linotype" w:eastAsia="Palatino Linotype" w:hAnsi="Palatino Linotype" w:cs="Palatino Linotype"/>
          <w:i/>
          <w:color w:val="000000" w:themeColor="text1"/>
        </w:rPr>
        <w:t>.</w:t>
      </w: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42F69" w:rsidRPr="003672D4" w:rsidRDefault="00142F69" w:rsidP="00452C7E">
      <w:pPr>
        <w:jc w:val="both"/>
        <w:rPr>
          <w:rFonts w:ascii="Palatino Linotype" w:eastAsia="Palatino Linotype" w:hAnsi="Palatino Linotype" w:cs="Palatino Linotype"/>
          <w:i/>
          <w:color w:val="000000" w:themeColor="text1"/>
        </w:rPr>
      </w:pPr>
    </w:p>
    <w:p w:rsidR="00142F69" w:rsidRPr="003672D4" w:rsidRDefault="00757088"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i/>
          <w:color w:val="000000" w:themeColor="text1"/>
        </w:rPr>
        <w:t>Este derecho se regirá por los principios y bases siguientes</w:t>
      </w:r>
      <w:r w:rsidRPr="003672D4">
        <w:rPr>
          <w:rFonts w:ascii="Palatino Linotype" w:eastAsia="Palatino Linotype" w:hAnsi="Palatino Linotype" w:cs="Palatino Linotype"/>
          <w:i/>
          <w:color w:val="000000" w:themeColor="text1"/>
        </w:rPr>
        <w:t>:</w:t>
      </w:r>
    </w:p>
    <w:p w:rsidR="00142F69" w:rsidRPr="003672D4" w:rsidRDefault="00757088" w:rsidP="00452C7E">
      <w:pPr>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i/>
          <w:color w:val="000000" w:themeColor="text1"/>
        </w:rPr>
        <w:t>Toda la información en posesión de cualquier autoridad, entidad, órgano y organismos de los</w:t>
      </w:r>
      <w:r w:rsidRPr="003672D4">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3672D4">
        <w:rPr>
          <w:rFonts w:ascii="Palatino Linotype" w:eastAsia="Palatino Linotype" w:hAnsi="Palatino Linotype" w:cs="Palatino Linotype"/>
          <w:b/>
          <w:i/>
          <w:color w:val="000000" w:themeColor="text1"/>
        </w:rPr>
        <w:t>municipales</w:t>
      </w:r>
      <w:r w:rsidRPr="003672D4">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w:t>
      </w:r>
      <w:r w:rsidRPr="003672D4">
        <w:rPr>
          <w:rFonts w:ascii="Palatino Linotype" w:eastAsia="Palatino Linotype" w:hAnsi="Palatino Linotype" w:cs="Palatino Linotype"/>
          <w:i/>
          <w:color w:val="000000" w:themeColor="text1"/>
        </w:rPr>
        <w:lastRenderedPageBreak/>
        <w:t xml:space="preserve">municipal, </w:t>
      </w:r>
      <w:r w:rsidRPr="003672D4">
        <w:rPr>
          <w:rFonts w:ascii="Palatino Linotype" w:eastAsia="Palatino Linotype" w:hAnsi="Palatino Linotype" w:cs="Palatino Linotype"/>
          <w:b/>
          <w:i/>
          <w:color w:val="000000" w:themeColor="text1"/>
        </w:rPr>
        <w:t>es pública</w:t>
      </w:r>
      <w:r w:rsidRPr="003672D4">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3672D4">
        <w:rPr>
          <w:rFonts w:ascii="Palatino Linotype" w:eastAsia="Palatino Linotype" w:hAnsi="Palatino Linotype" w:cs="Palatino Linotype"/>
          <w:b/>
          <w:i/>
          <w:color w:val="000000" w:themeColor="text1"/>
        </w:rPr>
        <w:t>En la interpretación de este derecho deberá prevalecer el principio de máxima publicidad</w:t>
      </w:r>
      <w:r w:rsidRPr="003672D4">
        <w:rPr>
          <w:rFonts w:ascii="Palatino Linotype" w:eastAsia="Palatino Linotype" w:hAnsi="Palatino Linotype" w:cs="Palatino Linotype"/>
          <w:i/>
          <w:color w:val="000000" w:themeColor="text1"/>
        </w:rPr>
        <w:t xml:space="preserve">. </w:t>
      </w:r>
      <w:r w:rsidRPr="003672D4">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3672D4">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142F69" w:rsidRPr="003672D4" w:rsidRDefault="00142F69" w:rsidP="00452C7E">
      <w:pPr>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3672D4">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3672D4">
        <w:rPr>
          <w:rFonts w:ascii="Palatino Linotype" w:eastAsia="Palatino Linotype" w:hAnsi="Palatino Linotype" w:cs="Palatino Linotype"/>
          <w:color w:val="000000" w:themeColor="text1"/>
        </w:rPr>
        <w:t>, contemplando el derecho de las personas con discapacidad y hablantes de lengua indígena.</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3672D4">
        <w:rPr>
          <w:rFonts w:ascii="Palatino Linotype" w:eastAsia="Palatino Linotype" w:hAnsi="Palatino Linotype" w:cs="Palatino Linotype"/>
          <w:i/>
          <w:color w:val="000000" w:themeColor="text1"/>
        </w:rPr>
        <w:t>solicitudes de acceso a la información</w:t>
      </w:r>
      <w:r w:rsidRPr="003672D4">
        <w:rPr>
          <w:rFonts w:ascii="Palatino Linotype" w:eastAsia="Palatino Linotype" w:hAnsi="Palatino Linotype" w:cs="Palatino Linotype"/>
          <w:color w:val="000000" w:themeColor="text1"/>
        </w:rPr>
        <w:t>.</w:t>
      </w:r>
    </w:p>
    <w:p w:rsidR="00142F69" w:rsidRPr="003672D4" w:rsidRDefault="00142F69" w:rsidP="00452C7E">
      <w:pPr>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Así entonces, se procede analizar, en primer lugar, si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42F69" w:rsidRPr="003672D4" w:rsidRDefault="00142F69" w:rsidP="00452C7E">
      <w:pPr>
        <w:rPr>
          <w:rFonts w:ascii="Palatino Linotype" w:eastAsia="Palatino Linotype" w:hAnsi="Palatino Linotype" w:cs="Palatino Linotype"/>
          <w:b/>
          <w:color w:val="000000" w:themeColor="text1"/>
        </w:rPr>
      </w:pPr>
    </w:p>
    <w:p w:rsidR="00142F69" w:rsidRPr="003672D4" w:rsidRDefault="00757088" w:rsidP="00862AEF">
      <w:pPr>
        <w:keepNext/>
        <w:keepLines/>
        <w:numPr>
          <w:ilvl w:val="1"/>
          <w:numId w:val="3"/>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De la información solicitada y la respuesta del SUJETO OBLIGADO.</w:t>
      </w: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3" w:name="_heading=h.30j0zll" w:colFirst="0" w:colLast="0"/>
      <w:bookmarkEnd w:id="3"/>
      <w:r w:rsidRPr="003672D4">
        <w:rPr>
          <w:rFonts w:ascii="Palatino Linotype" w:eastAsia="Palatino Linotype" w:hAnsi="Palatino Linotype" w:cs="Palatino Linotype"/>
          <w:color w:val="000000" w:themeColor="text1"/>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lastRenderedPageBreak/>
        <w:t xml:space="preserve">Así, debemos recapitular que, el </w:t>
      </w:r>
      <w:r w:rsidRPr="003672D4">
        <w:rPr>
          <w:rFonts w:ascii="Palatino Linotype" w:eastAsia="Palatino Linotype" w:hAnsi="Palatino Linotype" w:cs="Palatino Linotype"/>
          <w:b/>
          <w:color w:val="000000" w:themeColor="text1"/>
        </w:rPr>
        <w:t>RECURRENTE</w:t>
      </w:r>
      <w:r w:rsidRPr="003672D4">
        <w:rPr>
          <w:rFonts w:ascii="Palatino Linotype" w:eastAsia="Palatino Linotype" w:hAnsi="Palatino Linotype" w:cs="Palatino Linotype"/>
          <w:color w:val="000000" w:themeColor="text1"/>
        </w:rPr>
        <w:t xml:space="preserve"> </w:t>
      </w:r>
      <w:r w:rsidR="00862D72" w:rsidRPr="003672D4">
        <w:rPr>
          <w:rFonts w:ascii="Palatino Linotype" w:eastAsia="Palatino Linotype" w:hAnsi="Palatino Linotype" w:cs="Palatino Linotype"/>
          <w:color w:val="000000" w:themeColor="text1"/>
        </w:rPr>
        <w:t xml:space="preserve">solicitó </w:t>
      </w:r>
      <w:r w:rsidR="00862D72" w:rsidRPr="003672D4">
        <w:rPr>
          <w:rFonts w:ascii="Palatino Linotype" w:hAnsi="Palatino Linotype"/>
          <w:b/>
          <w:color w:val="000000" w:themeColor="text1"/>
        </w:rPr>
        <w:t>la plantilla de personal y los recibos de nómina del personal adscrito Departamento de Licencias y Permisos de la Dirección General de Desarrollo Económico, de la segunda quincena de abril de 2025.</w:t>
      </w:r>
    </w:p>
    <w:p w:rsidR="00142F69" w:rsidRPr="003672D4" w:rsidRDefault="00142F69" w:rsidP="00452C7E">
      <w:pPr>
        <w:spacing w:line="360" w:lineRule="auto"/>
        <w:jc w:val="both"/>
        <w:rPr>
          <w:rFonts w:ascii="Palatino Linotype" w:eastAsia="Palatino Linotype" w:hAnsi="Palatino Linotype" w:cs="Palatino Linotype"/>
          <w:b/>
          <w:color w:val="000000" w:themeColor="text1"/>
        </w:rPr>
      </w:pPr>
    </w:p>
    <w:p w:rsidR="00862D72"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En respuesta,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w:t>
      </w:r>
      <w:r w:rsidR="00862D72" w:rsidRPr="003672D4">
        <w:rPr>
          <w:rFonts w:ascii="Palatino Linotype" w:eastAsia="Palatino Linotype" w:hAnsi="Palatino Linotype" w:cs="Palatino Linotype"/>
          <w:color w:val="000000" w:themeColor="text1"/>
        </w:rPr>
        <w:t>por medio de</w:t>
      </w:r>
      <w:r w:rsidR="00862D72" w:rsidRPr="003672D4">
        <w:rPr>
          <w:rFonts w:ascii="Palatino Linotype" w:eastAsia="Palatino Linotype" w:hAnsi="Palatino Linotype" w:cs="Palatino Linotype"/>
          <w:b/>
          <w:color w:val="000000" w:themeColor="text1"/>
        </w:rPr>
        <w:t xml:space="preserve"> </w:t>
      </w:r>
      <w:r w:rsidR="00862D72" w:rsidRPr="003672D4">
        <w:rPr>
          <w:rFonts w:ascii="Palatino Linotype" w:eastAsia="Palatino Linotype" w:hAnsi="Palatino Linotype" w:cs="Palatino Linotype"/>
          <w:color w:val="000000" w:themeColor="text1"/>
        </w:rPr>
        <w:t xml:space="preserve">la </w:t>
      </w:r>
      <w:r w:rsidR="00862D72" w:rsidRPr="003672D4">
        <w:rPr>
          <w:rFonts w:ascii="Palatino Linotype" w:hAnsi="Palatino Linotype"/>
          <w:color w:val="000000" w:themeColor="text1"/>
        </w:rPr>
        <w:t>Dirección General de Administración y la Dirección de Recursos Humanos, refirió la imposibilidad para hacer entrega de la información solicitada, derivado de que se encuentra en proceso de integración y digitalización el Segundo Informe Trimestral de 2025.</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Posteriormente, el </w:t>
      </w:r>
      <w:r w:rsidRPr="003672D4">
        <w:rPr>
          <w:rFonts w:ascii="Palatino Linotype" w:eastAsia="Palatino Linotype" w:hAnsi="Palatino Linotype" w:cs="Palatino Linotype"/>
          <w:b/>
          <w:color w:val="000000" w:themeColor="text1"/>
        </w:rPr>
        <w:t>RECURRENTE</w:t>
      </w:r>
      <w:r w:rsidRPr="003672D4">
        <w:rPr>
          <w:rFonts w:ascii="Palatino Linotype" w:eastAsia="Palatino Linotype" w:hAnsi="Palatino Linotype" w:cs="Palatino Linotype"/>
          <w:color w:val="000000" w:themeColor="text1"/>
        </w:rPr>
        <w:t xml:space="preserve"> se inconformó por </w:t>
      </w:r>
      <w:r w:rsidRPr="003672D4">
        <w:rPr>
          <w:rFonts w:ascii="Palatino Linotype" w:eastAsia="Palatino Linotype" w:hAnsi="Palatino Linotype" w:cs="Palatino Linotype"/>
          <w:b/>
          <w:color w:val="000000" w:themeColor="text1"/>
        </w:rPr>
        <w:t xml:space="preserve">la negativa de la información solicitada. </w:t>
      </w:r>
    </w:p>
    <w:p w:rsidR="00142F69" w:rsidRPr="003672D4" w:rsidRDefault="00142F69" w:rsidP="00452C7E">
      <w:pPr>
        <w:pBdr>
          <w:top w:val="nil"/>
          <w:left w:val="nil"/>
          <w:bottom w:val="nil"/>
          <w:right w:val="nil"/>
          <w:between w:val="nil"/>
        </w:pBdr>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Y, mediante informe justificado el </w:t>
      </w:r>
      <w:r w:rsidRPr="003672D4">
        <w:rPr>
          <w:rFonts w:ascii="Palatino Linotype" w:eastAsia="Palatino Linotype" w:hAnsi="Palatino Linotype" w:cs="Palatino Linotype"/>
          <w:b/>
          <w:color w:val="000000" w:themeColor="text1"/>
        </w:rPr>
        <w:t xml:space="preserve">SUJETO OBLIGADO </w:t>
      </w:r>
      <w:r w:rsidR="00862D72" w:rsidRPr="003672D4">
        <w:rPr>
          <w:rFonts w:ascii="Palatino Linotype" w:eastAsia="Palatino Linotype" w:hAnsi="Palatino Linotype" w:cs="Palatino Linotype"/>
          <w:color w:val="000000" w:themeColor="text1"/>
        </w:rPr>
        <w:t>ratificó la respuesta.</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862D72" w:rsidRPr="003672D4" w:rsidRDefault="00862D72"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Calibri" w:hAnsi="Palatino Linotype" w:cs="Arial"/>
          <w:color w:val="000000" w:themeColor="text1"/>
          <w:lang w:val="es-ES"/>
        </w:rPr>
        <w:t xml:space="preserve">En </w:t>
      </w:r>
      <w:r w:rsidRPr="003672D4">
        <w:rPr>
          <w:rFonts w:ascii="Palatino Linotype" w:hAnsi="Palatino Linotype"/>
          <w:color w:val="000000" w:themeColor="text1"/>
        </w:rPr>
        <w:t xml:space="preserve">razón de lo anterior, el estudio del presente asunto versará en analizar las constancias que obran en el expediente digital formado en el </w:t>
      </w:r>
      <w:r w:rsidRPr="003672D4">
        <w:rPr>
          <w:rFonts w:ascii="Palatino Linotype" w:hAnsi="Palatino Linotype"/>
          <w:b/>
          <w:color w:val="000000" w:themeColor="text1"/>
        </w:rPr>
        <w:t>SAIMEX</w:t>
      </w:r>
      <w:r w:rsidRPr="003672D4">
        <w:rPr>
          <w:rFonts w:ascii="Palatino Linotype" w:hAnsi="Palatino Linotype"/>
          <w:color w:val="000000" w:themeColor="text1"/>
        </w:rPr>
        <w:t xml:space="preserve">, así como los agravios expuestos por la parte </w:t>
      </w:r>
      <w:r w:rsidRPr="003672D4">
        <w:rPr>
          <w:rFonts w:ascii="Palatino Linotype" w:hAnsi="Palatino Linotype"/>
          <w:b/>
          <w:bCs/>
          <w:color w:val="000000" w:themeColor="text1"/>
        </w:rPr>
        <w:t>RECURRENTE</w:t>
      </w:r>
      <w:r w:rsidRPr="003672D4">
        <w:rPr>
          <w:rFonts w:ascii="Palatino Linotype" w:hAnsi="Palatino Linotype"/>
          <w:color w:val="000000" w:themeColor="text1"/>
        </w:rPr>
        <w:t xml:space="preserve"> a través del recurso de revisión, con el objeto de determinar si, con su respuesta, el </w:t>
      </w:r>
      <w:r w:rsidRPr="003672D4">
        <w:rPr>
          <w:rFonts w:ascii="Palatino Linotype" w:hAnsi="Palatino Linotype"/>
          <w:b/>
          <w:color w:val="000000" w:themeColor="text1"/>
        </w:rPr>
        <w:t>SUJETO OBLIGADO</w:t>
      </w:r>
      <w:r w:rsidRPr="003672D4">
        <w:rPr>
          <w:rFonts w:ascii="Palatino Linotype" w:hAnsi="Palatino Linotype"/>
          <w:color w:val="000000" w:themeColor="text1"/>
        </w:rPr>
        <w:t xml:space="preserve"> colmó el derecho de acceso a la información o, si por el contrario, procede la entrega de información.</w:t>
      </w:r>
    </w:p>
    <w:p w:rsidR="00862D72" w:rsidRPr="003672D4" w:rsidRDefault="00862D72" w:rsidP="00452C7E">
      <w:pPr>
        <w:pStyle w:val="Prrafodelista"/>
        <w:ind w:left="0"/>
        <w:rPr>
          <w:rFonts w:ascii="Palatino Linotype" w:eastAsia="Calibri" w:hAnsi="Palatino Linotype" w:cs="Arial"/>
          <w:color w:val="000000" w:themeColor="text1"/>
          <w:sz w:val="24"/>
          <w:lang w:val="es-ES"/>
        </w:rPr>
      </w:pPr>
    </w:p>
    <w:p w:rsidR="00862D72" w:rsidRPr="003672D4" w:rsidRDefault="00862D72"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Calibri" w:hAnsi="Palatino Linotype" w:cs="Arial"/>
          <w:color w:val="000000" w:themeColor="text1"/>
          <w:lang w:val="es-ES"/>
        </w:rPr>
        <w:t xml:space="preserve">Así, </w:t>
      </w:r>
      <w:r w:rsidRPr="003672D4">
        <w:rPr>
          <w:rFonts w:ascii="Palatino Linotype" w:eastAsia="Palatino Linotype" w:hAnsi="Palatino Linotype" w:cs="Palatino Linotype"/>
          <w:color w:val="000000" w:themeColor="text1"/>
        </w:rPr>
        <w:t xml:space="preserve">de las constancias que integran los expedientes electrónicos relacionados con el recurso de revisión materia de estudio, se colige que 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no niega la competencia para conocer de la información solicitada, por el contrario, con la respuesta pronunciada asevera que es competente para conocer de la solicitud de información</w:t>
      </w:r>
      <w:r w:rsidRPr="003672D4">
        <w:rPr>
          <w:rFonts w:ascii="Palatino Linotype" w:eastAsia="Palatino Linotype" w:hAnsi="Palatino Linotype" w:cs="Palatino Linotype"/>
          <w:i/>
          <w:color w:val="000000" w:themeColor="text1"/>
        </w:rPr>
        <w:t xml:space="preserve">, </w:t>
      </w:r>
      <w:r w:rsidRPr="003672D4">
        <w:rPr>
          <w:rFonts w:ascii="Palatino Linotype" w:eastAsia="Palatino Linotype" w:hAnsi="Palatino Linotype" w:cs="Palatino Linotype"/>
          <w:color w:val="000000" w:themeColor="text1"/>
        </w:rPr>
        <w:t xml:space="preserve">lo anterior es así, ya que el estudio enunciado tiene por objeto determinar si </w:t>
      </w:r>
      <w:r w:rsidRPr="003672D4">
        <w:rPr>
          <w:rFonts w:ascii="Palatino Linotype" w:hAnsi="Palatino Linotype"/>
          <w:color w:val="000000" w:themeColor="text1"/>
        </w:rPr>
        <w:t>los</w:t>
      </w:r>
      <w:r w:rsidRPr="003672D4">
        <w:rPr>
          <w:rFonts w:ascii="Palatino Linotype" w:eastAsia="Palatino Linotype" w:hAnsi="Palatino Linotype" w:cs="Palatino Linotype"/>
          <w:color w:val="000000" w:themeColor="text1"/>
        </w:rPr>
        <w:t xml:space="preserve"> Sujeto</w:t>
      </w:r>
      <w:r w:rsidRPr="003672D4">
        <w:rPr>
          <w:rFonts w:ascii="Palatino Linotype" w:hAnsi="Palatino Linotype"/>
          <w:color w:val="000000" w:themeColor="text1"/>
        </w:rPr>
        <w:t>s</w:t>
      </w:r>
      <w:r w:rsidRPr="003672D4">
        <w:rPr>
          <w:rFonts w:ascii="Palatino Linotype" w:eastAsia="Palatino Linotype" w:hAnsi="Palatino Linotype" w:cs="Palatino Linotype"/>
          <w:color w:val="000000" w:themeColor="text1"/>
        </w:rPr>
        <w:t xml:space="preserve"> </w:t>
      </w:r>
      <w:r w:rsidRPr="003672D4">
        <w:rPr>
          <w:rFonts w:ascii="Palatino Linotype" w:eastAsia="Palatino Linotype" w:hAnsi="Palatino Linotype" w:cs="Palatino Linotype"/>
          <w:color w:val="000000" w:themeColor="text1"/>
        </w:rPr>
        <w:lastRenderedPageBreak/>
        <w:t>Obligado</w:t>
      </w:r>
      <w:r w:rsidRPr="003672D4">
        <w:rPr>
          <w:rFonts w:ascii="Palatino Linotype" w:hAnsi="Palatino Linotype"/>
          <w:color w:val="000000" w:themeColor="text1"/>
        </w:rPr>
        <w:t>s</w:t>
      </w:r>
      <w:r w:rsidRPr="003672D4">
        <w:rPr>
          <w:rFonts w:ascii="Palatino Linotype" w:eastAsia="Palatino Linotype" w:hAnsi="Palatino Linotype" w:cs="Palatino Linotype"/>
          <w:color w:val="000000" w:themeColor="text1"/>
        </w:rPr>
        <w:t xml:space="preserve"> generan, poseen o administran la información solicitada, sin embargo, en aquellos casos en que </w:t>
      </w:r>
      <w:r w:rsidRPr="003672D4">
        <w:rPr>
          <w:rFonts w:ascii="Palatino Linotype" w:hAnsi="Palatino Linotype"/>
          <w:color w:val="000000" w:themeColor="text1"/>
        </w:rPr>
        <w:t>e</w:t>
      </w:r>
      <w:r w:rsidRPr="003672D4">
        <w:rPr>
          <w:rFonts w:ascii="Palatino Linotype" w:eastAsia="Palatino Linotype" w:hAnsi="Palatino Linotype" w:cs="Palatino Linotype"/>
          <w:color w:val="000000" w:themeColor="text1"/>
        </w:rPr>
        <w:t>st</w:t>
      </w:r>
      <w:r w:rsidRPr="003672D4">
        <w:rPr>
          <w:rFonts w:ascii="Palatino Linotype" w:hAnsi="Palatino Linotype"/>
          <w:color w:val="000000" w:themeColor="text1"/>
        </w:rPr>
        <w:t xml:space="preserve">os </w:t>
      </w:r>
      <w:r w:rsidRPr="003672D4">
        <w:rPr>
          <w:rFonts w:ascii="Palatino Linotype" w:eastAsia="Palatino Linotype" w:hAnsi="Palatino Linotype" w:cs="Palatino Linotype"/>
          <w:color w:val="000000" w:themeColor="text1"/>
        </w:rPr>
        <w:t>ha</w:t>
      </w:r>
      <w:r w:rsidRPr="003672D4">
        <w:rPr>
          <w:rFonts w:ascii="Palatino Linotype" w:hAnsi="Palatino Linotype"/>
          <w:color w:val="000000" w:themeColor="text1"/>
        </w:rPr>
        <w:t>n</w:t>
      </w:r>
      <w:r w:rsidRPr="003672D4">
        <w:rPr>
          <w:rFonts w:ascii="Palatino Linotype" w:eastAsia="Palatino Linotype" w:hAnsi="Palatino Linotype" w:cs="Palatino Linotype"/>
          <w:color w:val="000000" w:themeColor="text1"/>
        </w:rPr>
        <w:t xml:space="preserve"> asumido la competencia, sería ocioso y a nada práctico nos conduciría su estudio, ya que, se insiste, el ente obligado asumió la competencia referida.</w:t>
      </w:r>
    </w:p>
    <w:p w:rsidR="00862D72" w:rsidRPr="003672D4" w:rsidRDefault="00862D72" w:rsidP="00452C7E">
      <w:pPr>
        <w:spacing w:line="360" w:lineRule="auto"/>
        <w:jc w:val="both"/>
        <w:rPr>
          <w:rFonts w:ascii="Palatino Linotype" w:eastAsia="Palatino Linotype" w:hAnsi="Palatino Linotype" w:cs="Palatino Linotype"/>
          <w:b/>
          <w:color w:val="000000" w:themeColor="text1"/>
        </w:rPr>
      </w:pPr>
    </w:p>
    <w:p w:rsidR="00814E9A" w:rsidRPr="003672D4" w:rsidRDefault="00862D72"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No obstante a lo anterior, resulta conveniente reiterar que el</w:t>
      </w:r>
      <w:r w:rsidRPr="003672D4">
        <w:rPr>
          <w:rFonts w:ascii="Palatino Linotype" w:eastAsia="Palatino Linotype" w:hAnsi="Palatino Linotype" w:cs="Palatino Linotype"/>
          <w:b/>
          <w:color w:val="000000" w:themeColor="text1"/>
        </w:rPr>
        <w:t xml:space="preserve"> SUJETO OBLIGADO </w:t>
      </w:r>
      <w:r w:rsidRPr="003672D4">
        <w:rPr>
          <w:rFonts w:ascii="Palatino Linotype" w:eastAsia="Palatino Linotype" w:hAnsi="Palatino Linotype" w:cs="Palatino Linotype"/>
          <w:color w:val="000000" w:themeColor="text1"/>
        </w:rPr>
        <w:t xml:space="preserve">refirió la imposibilidad para hacer entrega de la información solicitada, argumentando </w:t>
      </w:r>
      <w:r w:rsidRPr="003672D4">
        <w:rPr>
          <w:rFonts w:ascii="Palatino Linotype" w:hAnsi="Palatino Linotype"/>
          <w:color w:val="000000" w:themeColor="text1"/>
        </w:rPr>
        <w:t>que se encuentra en proceso de integración y digitalización el Segundo Informe Trimestral de 2025</w:t>
      </w:r>
      <w:r w:rsidR="00814E9A" w:rsidRPr="003672D4">
        <w:rPr>
          <w:rFonts w:ascii="Palatino Linotype" w:hAnsi="Palatino Linotype"/>
          <w:color w:val="000000" w:themeColor="text1"/>
        </w:rPr>
        <w:t xml:space="preserve">, por lo que contrario a lo que manifiesta el SUJETO OBLIGADO </w:t>
      </w:r>
      <w:r w:rsidR="00814E9A" w:rsidRPr="003672D4">
        <w:rPr>
          <w:rFonts w:ascii="Palatino Linotype" w:eastAsia="Palatino Linotype" w:hAnsi="Palatino Linotype" w:cs="Palatino Linotype"/>
          <w:color w:val="000000" w:themeColor="text1"/>
        </w:rPr>
        <w:t>se colige que la información solicitada consta en documentos definitivos.</w:t>
      </w:r>
    </w:p>
    <w:p w:rsidR="00814E9A" w:rsidRPr="003672D4" w:rsidRDefault="00814E9A" w:rsidP="00452C7E">
      <w:pPr>
        <w:pStyle w:val="Prrafodelista"/>
        <w:ind w:left="0"/>
        <w:rPr>
          <w:rFonts w:ascii="Palatino Linotype" w:eastAsia="Palatino Linotype" w:hAnsi="Palatino Linotype" w:cs="Palatino Linotype"/>
          <w:color w:val="000000" w:themeColor="text1"/>
          <w:sz w:val="24"/>
        </w:rPr>
      </w:pPr>
    </w:p>
    <w:p w:rsidR="00814E9A" w:rsidRPr="003672D4" w:rsidRDefault="00814E9A"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Por ello, resulta prudente tomar en consideración lo plasmado en el criterio 09/2004 emitido por la Suprema Corte de Justicia de la Nación, que por analogía se aplica al caso concreto, y que a la letra establece que:</w:t>
      </w:r>
    </w:p>
    <w:p w:rsidR="00814E9A" w:rsidRPr="003672D4" w:rsidRDefault="00814E9A" w:rsidP="00452C7E">
      <w:pPr>
        <w:spacing w:line="276" w:lineRule="auto"/>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r w:rsidRPr="003672D4">
        <w:rPr>
          <w:rFonts w:ascii="Palatino Linotype" w:eastAsia="Palatino Linotype" w:hAnsi="Palatino Linotype" w:cs="Palatino Linotype"/>
          <w:b/>
          <w:i/>
          <w:color w:val="000000" w:themeColor="text1"/>
        </w:rPr>
        <w:t>INFORMACIÓN SUJETA A REVISIÓN. SI YA CONSTA EN UN DOCUMENTO DEFINITIVO, DEBE PERMITIRSE EL ACCESO A ÉSTE.</w:t>
      </w:r>
      <w:r w:rsidRPr="003672D4">
        <w:rPr>
          <w:rFonts w:ascii="Palatino Linotype" w:eastAsia="Palatino Linotype" w:hAnsi="Palatino Linotype" w:cs="Palatino Linotype"/>
          <w:i/>
          <w:color w:val="000000" w:themeColor="text1"/>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Clasificación de la información 10/2004-J, 19 de mayo de 2004. Unanimidad de votos"</w:t>
      </w:r>
    </w:p>
    <w:p w:rsidR="00814E9A" w:rsidRPr="003672D4" w:rsidRDefault="00814E9A" w:rsidP="00452C7E">
      <w:pPr>
        <w:spacing w:line="276" w:lineRule="auto"/>
        <w:jc w:val="both"/>
        <w:rPr>
          <w:rFonts w:ascii="Palatino Linotype" w:eastAsia="Palatino Linotype" w:hAnsi="Palatino Linotype" w:cs="Palatino Linotype"/>
          <w:i/>
          <w:color w:val="000000" w:themeColor="text1"/>
        </w:rPr>
      </w:pPr>
    </w:p>
    <w:p w:rsidR="00814E9A" w:rsidRPr="003672D4" w:rsidRDefault="00814E9A" w:rsidP="00452C7E">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sz w:val="24"/>
        </w:rPr>
      </w:pPr>
      <w:r w:rsidRPr="003672D4">
        <w:rPr>
          <w:rFonts w:ascii="Palatino Linotype" w:eastAsia="Palatino Linotype" w:hAnsi="Palatino Linotype" w:cs="Palatino Linotype"/>
          <w:color w:val="000000" w:themeColor="text1"/>
          <w:sz w:val="24"/>
        </w:rPr>
        <w:t>Del anterior criterio se puede deducir que para el caso de acceso sobre documentos que se encuentren en un proceso de revisión no debe implicar la falta de estos, siempre que sean definitivos, por lo que deberá permitirse el acceso a los mismos.</w:t>
      </w:r>
    </w:p>
    <w:p w:rsidR="00814E9A" w:rsidRPr="003672D4" w:rsidRDefault="00814E9A" w:rsidP="00452C7E">
      <w:pPr>
        <w:pStyle w:val="Prrafodelista"/>
        <w:spacing w:line="360" w:lineRule="auto"/>
        <w:ind w:left="0"/>
        <w:jc w:val="both"/>
        <w:rPr>
          <w:rFonts w:ascii="Palatino Linotype" w:eastAsia="Palatino Linotype" w:hAnsi="Palatino Linotype" w:cs="Palatino Linotype"/>
          <w:color w:val="000000" w:themeColor="text1"/>
          <w:sz w:val="24"/>
        </w:rPr>
      </w:pPr>
    </w:p>
    <w:p w:rsidR="00814E9A"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lastRenderedPageBreak/>
        <w:t>Precisado lo anterior, es de mencionar que relativo a la</w:t>
      </w:r>
      <w:r w:rsidRPr="003672D4">
        <w:rPr>
          <w:rFonts w:ascii="Palatino Linotype" w:eastAsia="Palatino Linotype" w:hAnsi="Palatino Linotype" w:cs="Palatino Linotype"/>
          <w:b/>
          <w:color w:val="000000" w:themeColor="text1"/>
        </w:rPr>
        <w:t xml:space="preserve"> plantilla de personal, </w:t>
      </w:r>
      <w:r w:rsidRPr="003672D4">
        <w:rPr>
          <w:rFonts w:ascii="Palatino Linotype" w:hAnsi="Palatino Linotype" w:cs="Tahoma"/>
          <w:bCs/>
          <w:iCs/>
          <w:color w:val="000000" w:themeColor="text1"/>
          <w:lang w:eastAsia="es-ES"/>
        </w:rPr>
        <w:t xml:space="preserve">la Legislación del Estado de México no existe precepto alguno que conceptualice la plantilla de personal; sin embargo, la norma mexicana para la igualdad laboral entre hombres y mujeres número </w:t>
      </w:r>
      <w:r w:rsidRPr="003672D4">
        <w:rPr>
          <w:rFonts w:ascii="Palatino Linotype" w:hAnsi="Palatino Linotype" w:cs="Tahoma"/>
          <w:b/>
          <w:bCs/>
          <w:iCs/>
          <w:color w:val="000000" w:themeColor="text1"/>
          <w:lang w:eastAsia="es-ES"/>
        </w:rPr>
        <w:t>NMX-R-025-SCFI-2009,</w:t>
      </w:r>
      <w:r w:rsidRPr="003672D4">
        <w:rPr>
          <w:rFonts w:ascii="Palatino Linotype" w:hAnsi="Palatino Linotype" w:cs="Tahoma"/>
          <w:bCs/>
          <w:iCs/>
          <w:color w:val="000000" w:themeColor="text1"/>
          <w:lang w:eastAsia="es-ES"/>
        </w:rPr>
        <w:t xml:space="preserve"> </w:t>
      </w:r>
      <w:hyperlink r:id="rId9" w:anchor="gsc.tab=0" w:history="1">
        <w:r w:rsidRPr="003672D4">
          <w:rPr>
            <w:rStyle w:val="Hipervnculo"/>
            <w:rFonts w:ascii="Palatino Linotype" w:hAnsi="Palatino Linotype" w:cs="Tahoma"/>
            <w:bCs/>
            <w:iCs/>
            <w:color w:val="000000" w:themeColor="text1"/>
            <w:lang w:eastAsia="es-ES"/>
          </w:rPr>
          <w:t>https://www.dof.gob.mx/nota_detalle.php?codigo=5086651&amp;fecha=09/04/2009#gsc.tab=0</w:t>
        </w:r>
      </w:hyperlink>
      <w:r w:rsidRPr="003672D4">
        <w:rPr>
          <w:rFonts w:ascii="Palatino Linotype" w:hAnsi="Palatino Linotype" w:cs="Tahoma"/>
          <w:bCs/>
          <w:iCs/>
          <w:color w:val="000000" w:themeColor="text1"/>
          <w:lang w:eastAsia="es-ES"/>
        </w:rPr>
        <w:t xml:space="preserve">, la define de manera textual como </w:t>
      </w:r>
      <w:r w:rsidRPr="003672D4">
        <w:rPr>
          <w:rFonts w:ascii="Palatino Linotype" w:hAnsi="Palatino Linotype" w:cs="Tahoma"/>
          <w:b/>
          <w:bCs/>
          <w:iCs/>
          <w:color w:val="000000" w:themeColor="text1"/>
          <w:lang w:eastAsia="es-ES"/>
        </w:rPr>
        <w:t>“</w:t>
      </w:r>
      <w:r w:rsidRPr="003672D4">
        <w:rPr>
          <w:rFonts w:ascii="Palatino Linotype" w:hAnsi="Palatino Linotype" w:cs="Tahoma"/>
          <w:b/>
          <w:bCs/>
          <w:i/>
          <w:iCs/>
          <w:color w:val="000000" w:themeColor="text1"/>
          <w:lang w:eastAsia="es-ES"/>
        </w:rPr>
        <w:t>todas las personas que laboran en la organización, independientemente del tipo de contrato con el que cuentan, incluidas las subcontratadas.”</w:t>
      </w:r>
      <w:r w:rsidRPr="003672D4">
        <w:rPr>
          <w:rFonts w:ascii="Palatino Linotype" w:hAnsi="Palatino Linotype" w:cs="Tahoma"/>
          <w:b/>
          <w:bCs/>
          <w:i/>
          <w:iCs/>
          <w:color w:val="000000" w:themeColor="text1"/>
          <w:u w:val="single"/>
          <w:lang w:eastAsia="es-ES"/>
        </w:rPr>
        <w:t xml:space="preserve"> </w:t>
      </w:r>
    </w:p>
    <w:p w:rsidR="00814E9A" w:rsidRPr="003672D4" w:rsidRDefault="00814E9A" w:rsidP="00452C7E">
      <w:pPr>
        <w:rPr>
          <w:rFonts w:ascii="Palatino Linotype" w:hAnsi="Palatino Linotype" w:cs="Tahoma"/>
          <w:bCs/>
          <w:iCs/>
          <w:color w:val="000000" w:themeColor="text1"/>
          <w:lang w:eastAsia="es-ES"/>
        </w:rPr>
      </w:pPr>
    </w:p>
    <w:p w:rsidR="00814E9A"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hAnsi="Palatino Linotype" w:cs="Tahoma"/>
          <w:bCs/>
          <w:iCs/>
          <w:color w:val="000000" w:themeColor="text1"/>
          <w:lang w:eastAsia="es-ES"/>
        </w:rPr>
        <w:t>Ahora bien, por analogía el Instituto de Seguridad Social del Estado de México y Municipios emitió el Manual del Procedimiento Operativo de Control de Plantilla de Personal la define como el “</w:t>
      </w:r>
      <w:r w:rsidRPr="003672D4">
        <w:rPr>
          <w:rFonts w:ascii="Palatino Linotype" w:hAnsi="Palatino Linotype" w:cs="Tahoma"/>
          <w:bCs/>
          <w:i/>
          <w:iCs/>
          <w:color w:val="000000" w:themeColor="text1"/>
          <w:lang w:eastAsia="es-ES"/>
        </w:rPr>
        <w:t>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w:t>
      </w:r>
    </w:p>
    <w:p w:rsidR="00814E9A" w:rsidRPr="003672D4" w:rsidRDefault="00814E9A" w:rsidP="00452C7E">
      <w:pPr>
        <w:spacing w:line="360" w:lineRule="auto"/>
        <w:jc w:val="both"/>
        <w:rPr>
          <w:rFonts w:ascii="Palatino Linotype" w:eastAsia="Palatino Linotype" w:hAnsi="Palatino Linotype" w:cs="Palatino Linotype"/>
          <w:b/>
          <w:color w:val="000000" w:themeColor="text1"/>
        </w:rPr>
      </w:pPr>
    </w:p>
    <w:p w:rsidR="00814E9A"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hAnsi="Palatino Linotype" w:cs="Tahoma"/>
          <w:bCs/>
          <w:iCs/>
          <w:color w:val="000000" w:themeColor="text1"/>
          <w:lang w:eastAsia="es-ES"/>
        </w:rPr>
        <w:t xml:space="preserve">Conforme a lo anterior, se advierte que </w:t>
      </w:r>
      <w:r w:rsidRPr="003672D4">
        <w:rPr>
          <w:rFonts w:ascii="Palatino Linotype" w:hAnsi="Palatino Linotype" w:cs="Tahoma"/>
          <w:b/>
          <w:bCs/>
          <w:iCs/>
          <w:color w:val="000000" w:themeColor="text1"/>
          <w:lang w:eastAsia="es-ES"/>
        </w:rPr>
        <w:t xml:space="preserve">la plantilla de personal es el documento del que se puede contener entre otras cosas, la plaza autorizada por puesto, categoría y unidad de adscripción. </w:t>
      </w:r>
    </w:p>
    <w:p w:rsidR="00814E9A" w:rsidRPr="003672D4" w:rsidRDefault="00814E9A" w:rsidP="00452C7E">
      <w:pPr>
        <w:pStyle w:val="Prrafodelista"/>
        <w:ind w:left="0"/>
        <w:rPr>
          <w:rFonts w:ascii="Palatino Linotype" w:hAnsi="Palatino Linotype" w:cs="Tahoma"/>
          <w:bCs/>
          <w:iCs/>
          <w:color w:val="000000" w:themeColor="text1"/>
          <w:sz w:val="24"/>
          <w:lang w:eastAsia="es-ES"/>
        </w:rPr>
      </w:pPr>
    </w:p>
    <w:p w:rsidR="00814E9A"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hAnsi="Palatino Linotype" w:cs="Tahoma"/>
          <w:bCs/>
          <w:iCs/>
          <w:color w:val="000000" w:themeColor="text1"/>
          <w:lang w:eastAsia="es-ES"/>
        </w:rPr>
        <w:t>Asimismo, es de señalar que el artículo 98, fracción XV de la Ley del Trabajo de los Servidores Públicos del Estado y Municipios dispone que las instituciones públicas, tal es el caso del Ayuntamiento de Toluca,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w:t>
      </w:r>
    </w:p>
    <w:p w:rsidR="00967A27"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hAnsi="Palatino Linotype" w:cs="Tahoma"/>
          <w:bCs/>
          <w:iCs/>
          <w:color w:val="000000" w:themeColor="text1"/>
          <w:lang w:eastAsia="es-ES"/>
        </w:rPr>
        <w:lastRenderedPageBreak/>
        <w:t xml:space="preserve">Por su parte, el Manual para la Planeación, Programación y Presupuesto de Egresos Municipal para el ejercicio fiscal 2025, establece en el apartado 3.2.3, denominado </w:t>
      </w:r>
      <w:r w:rsidRPr="003672D4">
        <w:rPr>
          <w:rFonts w:ascii="Palatino Linotype" w:hAnsi="Palatino Linotype" w:cs="Tahoma"/>
          <w:bCs/>
          <w:i/>
          <w:iCs/>
          <w:color w:val="000000" w:themeColor="text1"/>
          <w:lang w:eastAsia="es-ES"/>
        </w:rPr>
        <w:t>Lineamientos para la determinación del Presupuesto de Gasto Corriente</w:t>
      </w:r>
      <w:r w:rsidRPr="003672D4">
        <w:rPr>
          <w:rFonts w:ascii="Palatino Linotype" w:hAnsi="Palatino Linotype" w:cs="Tahoma"/>
          <w:bCs/>
          <w:iCs/>
          <w:color w:val="000000" w:themeColor="text1"/>
          <w:lang w:eastAsia="es-ES"/>
        </w:rPr>
        <w:t xml:space="preserv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 para el Ejercicio Fiscal 2025. Finalmente, el Manual en estudio señala de manera textual que </w:t>
      </w:r>
      <w:r w:rsidRPr="003672D4">
        <w:rPr>
          <w:rFonts w:ascii="Palatino Linotype" w:hAnsi="Palatino Linotype" w:cs="Tahoma"/>
          <w:b/>
          <w:bCs/>
          <w:i/>
          <w:iCs/>
          <w:color w:val="000000" w:themeColor="text1"/>
          <w:lang w:eastAsia="es-ES"/>
        </w:rPr>
        <w:t>“</w:t>
      </w:r>
      <w:r w:rsidRPr="003672D4">
        <w:rPr>
          <w:rFonts w:ascii="Palatino Linotype" w:hAnsi="Palatino Linotype" w:cs="Tahoma"/>
          <w:bCs/>
          <w:i/>
          <w:iCs/>
          <w:color w:val="000000" w:themeColor="text1"/>
          <w:lang w:eastAsia="es-ES"/>
        </w:rPr>
        <w:t>la propuesta de presupuesto deberá integrarse en los formatos PbRM 03 al PbRM 07 en todas sus series, para ello, es necesario tener la plantilla de personal autorizada</w:t>
      </w:r>
      <w:r w:rsidRPr="003672D4">
        <w:rPr>
          <w:rFonts w:ascii="Palatino Linotype" w:hAnsi="Palatino Linotype" w:cs="Tahoma"/>
          <w:b/>
          <w:bCs/>
          <w:i/>
          <w:iCs/>
          <w:color w:val="000000" w:themeColor="text1"/>
          <w:lang w:eastAsia="es-ES"/>
        </w:rPr>
        <w:t xml:space="preserve"> </w:t>
      </w:r>
      <w:r w:rsidRPr="003672D4">
        <w:rPr>
          <w:rFonts w:ascii="Palatino Linotype" w:hAnsi="Palatino Linotype" w:cs="Tahoma"/>
          <w:bCs/>
          <w:i/>
          <w:iCs/>
          <w:color w:val="000000" w:themeColor="text1"/>
          <w:lang w:eastAsia="es-ES"/>
        </w:rPr>
        <w:t>y una propuesta de insumos y requerimientos a nivel de cada una de las dependencias generales, auxiliares y organismos municipales, así como los catálogos y anexos que se presentan en este manual.”</w:t>
      </w:r>
    </w:p>
    <w:p w:rsidR="00967A27" w:rsidRPr="003672D4" w:rsidRDefault="00967A27" w:rsidP="00452C7E">
      <w:pPr>
        <w:pStyle w:val="Prrafodelista"/>
        <w:ind w:left="0"/>
        <w:rPr>
          <w:rFonts w:ascii="Palatino Linotype" w:hAnsi="Palatino Linotype" w:cs="Tahoma"/>
          <w:bCs/>
          <w:iCs/>
          <w:color w:val="000000" w:themeColor="text1"/>
          <w:sz w:val="24"/>
          <w:lang w:eastAsia="es-ES"/>
        </w:rPr>
      </w:pPr>
    </w:p>
    <w:p w:rsidR="00967A27"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hAnsi="Palatino Linotype" w:cs="Tahoma"/>
          <w:bCs/>
          <w:iCs/>
          <w:color w:val="000000" w:themeColor="text1"/>
          <w:lang w:eastAsia="es-ES"/>
        </w:rPr>
        <w:t>Conforme a lo señalado, este Instituto advierte que las dependencias públicas deben elaborar la plantilla de personal, la cual formará parte de la propuesta de presupuesto de egresos de los Municipios; de lo anterior, se advierte que el derecho de acceso a la información pública consiste en que la información solicitada conste en un soporte documental que registre las acciones derivadas de las facultades, funciones o competencias de los Sujetos Obligados; además, es obligación de transparencia común de los Sujeto Obligados poner a disposición del público de manera permanente, actualizada, sencilla, precisa y entendible, las funciones de cada área y la normatividad aplicable.</w:t>
      </w:r>
    </w:p>
    <w:p w:rsidR="00967A27" w:rsidRPr="003672D4" w:rsidRDefault="00967A27" w:rsidP="00452C7E">
      <w:pPr>
        <w:pStyle w:val="Prrafodelista"/>
        <w:ind w:left="0"/>
        <w:rPr>
          <w:rFonts w:ascii="Palatino Linotype" w:hAnsi="Palatino Linotype" w:cs="Tahoma"/>
          <w:bCs/>
          <w:iCs/>
          <w:color w:val="000000" w:themeColor="text1"/>
          <w:sz w:val="24"/>
          <w:lang w:eastAsia="es-ES"/>
        </w:rPr>
      </w:pPr>
    </w:p>
    <w:p w:rsidR="00967A27" w:rsidRPr="003672D4" w:rsidRDefault="00814E9A"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hAnsi="Palatino Linotype" w:cs="Tahoma"/>
          <w:bCs/>
          <w:iCs/>
          <w:color w:val="000000" w:themeColor="text1"/>
          <w:lang w:eastAsia="es-ES"/>
        </w:rPr>
        <w:t>Por lo anterior, es dable ordenar al Sujeto Obligado la entrega de</w:t>
      </w:r>
      <w:r w:rsidR="00967A27" w:rsidRPr="003672D4">
        <w:rPr>
          <w:rFonts w:ascii="Palatino Linotype" w:hAnsi="Palatino Linotype" w:cs="Tahoma"/>
          <w:bCs/>
          <w:iCs/>
          <w:color w:val="000000" w:themeColor="text1"/>
          <w:lang w:eastAsia="es-ES"/>
        </w:rPr>
        <w:t xml:space="preserve"> la Plantilla de Personal del </w:t>
      </w:r>
      <w:r w:rsidR="00967A27" w:rsidRPr="003672D4">
        <w:rPr>
          <w:rFonts w:ascii="Palatino Linotype" w:hAnsi="Palatino Linotype"/>
          <w:b/>
          <w:color w:val="000000" w:themeColor="text1"/>
        </w:rPr>
        <w:t>Departamento de Licencias y Permisos de la Dirección Gene</w:t>
      </w:r>
      <w:r w:rsidR="00AA3C61" w:rsidRPr="003672D4">
        <w:rPr>
          <w:rFonts w:ascii="Palatino Linotype" w:hAnsi="Palatino Linotype"/>
          <w:b/>
          <w:color w:val="000000" w:themeColor="text1"/>
        </w:rPr>
        <w:t>ral de Desarrollo Económico, a la segunda quincena de abril</w:t>
      </w:r>
      <w:r w:rsidR="004205FD" w:rsidRPr="003672D4">
        <w:rPr>
          <w:rFonts w:ascii="Palatino Linotype" w:hAnsi="Palatino Linotype"/>
          <w:b/>
          <w:color w:val="000000" w:themeColor="text1"/>
        </w:rPr>
        <w:t xml:space="preserve"> de 2025</w:t>
      </w:r>
      <w:r w:rsidR="00AA3C61" w:rsidRPr="003672D4">
        <w:rPr>
          <w:rFonts w:ascii="Palatino Linotype" w:hAnsi="Palatino Linotype"/>
          <w:b/>
          <w:color w:val="000000" w:themeColor="text1"/>
        </w:rPr>
        <w:t>.</w:t>
      </w: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lastRenderedPageBreak/>
        <w:t xml:space="preserve">Ahora bien, relativo a los </w:t>
      </w:r>
      <w:r w:rsidRPr="003672D4">
        <w:rPr>
          <w:rFonts w:ascii="Palatino Linotype" w:eastAsia="Palatino Linotype" w:hAnsi="Palatino Linotype" w:cs="Palatino Linotype"/>
          <w:b/>
          <w:color w:val="000000" w:themeColor="text1"/>
        </w:rPr>
        <w:t xml:space="preserve">recibos de nómina </w:t>
      </w:r>
      <w:r w:rsidRPr="003672D4">
        <w:rPr>
          <w:rFonts w:ascii="Palatino Linotype" w:eastAsia="Palatino Linotype" w:hAnsi="Palatino Linotype" w:cs="Palatino Linotype"/>
          <w:color w:val="000000" w:themeColor="text1"/>
        </w:rPr>
        <w:t xml:space="preserve">solicitados, </w:t>
      </w:r>
      <w:r w:rsidRPr="003672D4">
        <w:rPr>
          <w:rFonts w:ascii="Palatino Linotype" w:hAnsi="Palatino Linotype" w:cs="Tahoma"/>
          <w:bCs/>
          <w:iCs/>
          <w:color w:val="000000" w:themeColor="text1"/>
        </w:rPr>
        <w:t>resulta necesario referir que</w:t>
      </w:r>
      <w:r w:rsidRPr="003672D4">
        <w:rPr>
          <w:rFonts w:ascii="Palatino Linotype" w:hAnsi="Palatino Linotype"/>
          <w:color w:val="000000" w:themeColor="text1"/>
        </w:rPr>
        <w:t xml:space="preserve">; </w:t>
      </w:r>
      <w:r w:rsidRPr="003672D4">
        <w:rPr>
          <w:rFonts w:ascii="Palatino Linotype" w:eastAsia="Calibri" w:hAnsi="Palatino Linotype"/>
          <w:bCs/>
          <w:color w:val="000000" w:themeColor="text1"/>
        </w:rPr>
        <w:t xml:space="preserve">el artículo 147 de la Constitución Política del Estado Libre y Soberano de México, establece que los trabajadores al servicio del Estado, recibirán una </w:t>
      </w:r>
      <w:r w:rsidRPr="003672D4">
        <w:rPr>
          <w:rFonts w:ascii="Palatino Linotype" w:eastAsia="Calibri" w:hAnsi="Palatino Linotype"/>
          <w:b/>
          <w:color w:val="000000" w:themeColor="text1"/>
        </w:rPr>
        <w:t>remuneración</w:t>
      </w:r>
      <w:r w:rsidRPr="003672D4">
        <w:rPr>
          <w:rFonts w:ascii="Palatino Linotype" w:eastAsia="Calibri" w:hAnsi="Palatino Linotype"/>
          <w:bCs/>
          <w:color w:val="000000" w:themeColor="text1"/>
        </w:rPr>
        <w:t xml:space="preserve"> adecuada e irrenunciable por el desempeño de su empleo, cargo o comisión, que será determinada en el presupuesto de egresos que corresponda.</w:t>
      </w:r>
    </w:p>
    <w:p w:rsidR="00967A27" w:rsidRPr="003672D4" w:rsidRDefault="00967A27" w:rsidP="00452C7E">
      <w:pPr>
        <w:rPr>
          <w:rFonts w:ascii="Palatino Linotype" w:eastAsia="Palatino Linotype" w:hAnsi="Palatino Linotype" w:cs="Palatino Linotype"/>
          <w:bCs/>
          <w:color w:val="000000" w:themeColor="text1"/>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Cs/>
          <w:color w:val="000000" w:themeColor="text1"/>
        </w:rPr>
        <w:t xml:space="preserve">En este orden de ideas, </w:t>
      </w:r>
      <w:r w:rsidRPr="003672D4">
        <w:rPr>
          <w:rFonts w:ascii="Palatino Linotype" w:eastAsia="Calibri" w:hAnsi="Palatino Linotype"/>
          <w:bCs/>
          <w:color w:val="000000" w:themeColor="text1"/>
        </w:rPr>
        <w:t xml:space="preserve">el artículo 3°, fracción XXXII, del Código Financiero del Estado de México y Municipios establece que la remuneración consiste en los pagos hechos por concepto de </w:t>
      </w:r>
      <w:r w:rsidRPr="003672D4">
        <w:rPr>
          <w:rFonts w:ascii="Palatino Linotype" w:eastAsia="Calibri" w:hAnsi="Palatino Linotype"/>
          <w:b/>
          <w:color w:val="000000" w:themeColor="text1"/>
        </w:rPr>
        <w:t>sueldo</w:t>
      </w:r>
      <w:r w:rsidRPr="003672D4">
        <w:rPr>
          <w:rFonts w:ascii="Palatino Linotype" w:eastAsia="Calibri" w:hAnsi="Palatino Linotype"/>
          <w:bCs/>
          <w:color w:val="000000" w:themeColor="text1"/>
        </w:rPr>
        <w:t xml:space="preserve">, compensaciones, gratificaciones, habitación, primas, comisiones, prestaciones, en especie y cualquier otra </w:t>
      </w:r>
      <w:r w:rsidRPr="003672D4">
        <w:rPr>
          <w:rFonts w:ascii="Palatino Linotype" w:eastAsia="Calibri" w:hAnsi="Palatino Linotype"/>
          <w:b/>
          <w:color w:val="000000" w:themeColor="text1"/>
        </w:rPr>
        <w:t>percepción o prestación que se entregue al servidor por su trabajo.</w:t>
      </w:r>
    </w:p>
    <w:p w:rsidR="00967A27" w:rsidRPr="003672D4" w:rsidRDefault="00967A27" w:rsidP="00452C7E">
      <w:pPr>
        <w:rPr>
          <w:rFonts w:ascii="Palatino Linotype" w:eastAsia="Palatino Linotype" w:hAnsi="Palatino Linotype" w:cs="Palatino Linotype"/>
          <w:bCs/>
          <w:color w:val="000000" w:themeColor="text1"/>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Cs/>
          <w:color w:val="000000" w:themeColor="text1"/>
        </w:rPr>
        <w:t>Asimismo</w:t>
      </w:r>
      <w:r w:rsidRPr="003672D4">
        <w:rPr>
          <w:rFonts w:ascii="Palatino Linotype" w:eastAsia="Calibri" w:hAnsi="Palatino Linotype"/>
          <w:bCs/>
          <w:color w:val="000000" w:themeColor="text1"/>
        </w:rPr>
        <w:t>,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rsidR="00967A27" w:rsidRPr="003672D4" w:rsidRDefault="00967A27" w:rsidP="00452C7E">
      <w:pPr>
        <w:rPr>
          <w:rFonts w:ascii="Palatino Linotype" w:eastAsia="Palatino Linotype" w:hAnsi="Palatino Linotype" w:cs="Palatino Linotype"/>
          <w:bCs/>
          <w:color w:val="000000" w:themeColor="text1"/>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Cs/>
          <w:color w:val="000000" w:themeColor="text1"/>
        </w:rPr>
        <w:t>Aunado a lo anterior</w:t>
      </w:r>
      <w:r w:rsidRPr="003672D4">
        <w:rPr>
          <w:rFonts w:ascii="Palatino Linotype" w:eastAsia="Calibri" w:hAnsi="Palatino Linotype"/>
          <w:bCs/>
          <w:iCs/>
          <w:color w:val="000000" w:themeColor="text1"/>
          <w:lang w:val="es-ES"/>
        </w:rPr>
        <w:t>,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967A27" w:rsidRPr="003672D4" w:rsidRDefault="00967A27" w:rsidP="00452C7E">
      <w:pPr>
        <w:rPr>
          <w:rFonts w:ascii="Palatino Linotype" w:eastAsia="Palatino Linotype" w:hAnsi="Palatino Linotype" w:cs="Palatino Linotype"/>
          <w:bCs/>
          <w:color w:val="000000" w:themeColor="text1"/>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Cs/>
          <w:color w:val="000000" w:themeColor="text1"/>
        </w:rPr>
        <w:lastRenderedPageBreak/>
        <w:t xml:space="preserve">Es decir, los </w:t>
      </w:r>
      <w:r w:rsidRPr="003672D4">
        <w:rPr>
          <w:rFonts w:ascii="Palatino Linotype" w:eastAsia="Palatino Linotype" w:hAnsi="Palatino Linotype" w:cs="Palatino Linotype"/>
          <w:b/>
          <w:color w:val="000000" w:themeColor="text1"/>
        </w:rPr>
        <w:t>salarios brutos y netos de los servidores públicos corresponden a información pública de oficio</w:t>
      </w:r>
      <w:r w:rsidRPr="003672D4">
        <w:rPr>
          <w:rFonts w:ascii="Palatino Linotype" w:eastAsia="Palatino Linotype" w:hAnsi="Palatino Linotype" w:cs="Palatino Linotype"/>
          <w:bCs/>
          <w:color w:val="000000" w:themeColor="text1"/>
        </w:rPr>
        <w:t>, que es aquella información que los Sujetos Obligados deben difundir, actualizar y poner a disposición del público en medios electrónicos de manera proactiva, sin que medie solicitud de por medio. Siendo</w:t>
      </w:r>
      <w:r w:rsidRPr="003672D4">
        <w:rPr>
          <w:rFonts w:ascii="Palatino Linotype" w:eastAsia="Palatino Linotype" w:hAnsi="Palatino Linotype" w:cs="Palatino Linotype"/>
          <w:color w:val="000000" w:themeColor="text1"/>
        </w:rPr>
        <w:t xml:space="preserve"> para el caso del Estado de México, a través de la plataforma denominada Portal de Información Pública Mexiquense </w:t>
      </w:r>
      <w:r w:rsidRPr="003672D4">
        <w:rPr>
          <w:rFonts w:ascii="Palatino Linotype" w:eastAsia="Palatino Linotype" w:hAnsi="Palatino Linotype" w:cs="Palatino Linotype"/>
          <w:b/>
          <w:bCs/>
          <w:color w:val="000000" w:themeColor="text1"/>
        </w:rPr>
        <w:t>(IPOMEX).</w:t>
      </w:r>
    </w:p>
    <w:p w:rsidR="00967A27" w:rsidRPr="003672D4" w:rsidRDefault="00967A27" w:rsidP="00452C7E">
      <w:pPr>
        <w:pStyle w:val="Prrafodelista"/>
        <w:ind w:left="0"/>
        <w:rPr>
          <w:rFonts w:ascii="Palatino Linotype" w:eastAsia="Palatino Linotype" w:hAnsi="Palatino Linotype" w:cs="Palatino Linotype"/>
          <w:bCs/>
          <w:color w:val="000000" w:themeColor="text1"/>
          <w:sz w:val="24"/>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Cs/>
          <w:color w:val="000000" w:themeColor="text1"/>
        </w:rPr>
        <w:t xml:space="preserve">En este </w:t>
      </w:r>
      <w:r w:rsidRPr="003672D4">
        <w:rPr>
          <w:rFonts w:ascii="Palatino Linotype" w:eastAsia="Palatino Linotype" w:hAnsi="Palatino Linotype" w:cs="Palatino Linotype"/>
          <w:color w:val="000000" w:themeColor="text1"/>
        </w:rPr>
        <w:t xml:space="preserve">sentido, existen diversas documentales donde consta o se advierte el salario bruto y neto de los Servidores Públicos, que de manera enunciativa mas no limitativa pudiera ser el tabulador de sueldos y </w:t>
      </w:r>
      <w:r w:rsidRPr="003672D4">
        <w:rPr>
          <w:rFonts w:ascii="Palatino Linotype" w:eastAsia="Palatino Linotype" w:hAnsi="Palatino Linotype" w:cs="Palatino Linotype"/>
          <w:b/>
          <w:bCs/>
          <w:color w:val="000000" w:themeColor="text1"/>
        </w:rPr>
        <w:t>los recibos de nómina o Certificados Fiscales Digitales por Internet (CFDI)</w:t>
      </w:r>
      <w:r w:rsidRPr="003672D4">
        <w:rPr>
          <w:rFonts w:ascii="Palatino Linotype" w:hAnsi="Palatino Linotype" w:cs="Tahoma"/>
          <w:bCs/>
          <w:color w:val="000000" w:themeColor="text1"/>
        </w:rPr>
        <w:t>; es así que,</w:t>
      </w:r>
      <w:r w:rsidRPr="003672D4">
        <w:rPr>
          <w:rFonts w:ascii="Palatino Linotype" w:hAnsi="Palatino Linotype" w:cs="Tahoma"/>
          <w:bCs/>
          <w:color w:val="000000" w:themeColor="text1"/>
          <w:lang w:val="es-ES_tradnl"/>
        </w:rPr>
        <w:t xml:space="preserve"> resulta obvio que el </w:t>
      </w:r>
      <w:r w:rsidRPr="003672D4">
        <w:rPr>
          <w:rFonts w:ascii="Palatino Linotype" w:hAnsi="Palatino Linotype" w:cs="Tahoma"/>
          <w:b/>
          <w:bCs/>
          <w:color w:val="000000" w:themeColor="text1"/>
          <w:lang w:val="es-ES_tradnl"/>
        </w:rPr>
        <w:t>SUJETO OBLIGADO</w:t>
      </w:r>
      <w:r w:rsidRPr="003672D4">
        <w:rPr>
          <w:rFonts w:ascii="Palatino Linotype" w:hAnsi="Palatino Linotype" w:cs="Tahoma"/>
          <w:bCs/>
          <w:color w:val="000000" w:themeColor="text1"/>
          <w:lang w:val="es-ES_tradnl"/>
        </w:rPr>
        <w:t xml:space="preserve"> tiene competencia para conocer de la información </w:t>
      </w:r>
      <w:r w:rsidRPr="003672D4">
        <w:rPr>
          <w:rFonts w:ascii="Palatino Linotype" w:hAnsi="Palatino Linotype"/>
          <w:bCs/>
          <w:color w:val="000000" w:themeColor="text1"/>
        </w:rPr>
        <w:t>solicitada</w:t>
      </w:r>
      <w:r w:rsidRPr="003672D4">
        <w:rPr>
          <w:rFonts w:ascii="Palatino Linotype" w:hAnsi="Palatino Linotype" w:cs="Tahoma"/>
          <w:bCs/>
          <w:color w:val="000000" w:themeColor="text1"/>
          <w:lang w:val="es-ES_tradnl"/>
        </w:rPr>
        <w:t>.</w:t>
      </w:r>
    </w:p>
    <w:p w:rsidR="00967A27" w:rsidRPr="003672D4" w:rsidRDefault="00967A27" w:rsidP="00452C7E">
      <w:pPr>
        <w:pStyle w:val="Prrafodelista"/>
        <w:ind w:left="0"/>
        <w:rPr>
          <w:rFonts w:ascii="Palatino Linotype" w:eastAsia="Palatino Linotype" w:hAnsi="Palatino Linotype" w:cs="Palatino Linotype"/>
          <w:bCs/>
          <w:color w:val="000000" w:themeColor="text1"/>
          <w:sz w:val="24"/>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Cs/>
          <w:color w:val="000000" w:themeColor="text1"/>
        </w:rPr>
        <w:t>Ahora bien</w:t>
      </w:r>
      <w:r w:rsidRPr="003672D4">
        <w:rPr>
          <w:rFonts w:ascii="Palatino Linotype" w:hAnsi="Palatino Linotype" w:cs="Tahoma"/>
          <w:bCs/>
          <w:color w:val="000000" w:themeColor="text1"/>
          <w:lang w:val="es-ES_tradnl"/>
        </w:rPr>
        <w:t xml:space="preserve">, relativo a los </w:t>
      </w:r>
      <w:r w:rsidRPr="003672D4">
        <w:rPr>
          <w:rFonts w:ascii="Palatino Linotype" w:hAnsi="Palatino Linotype" w:cs="Tahoma"/>
          <w:b/>
          <w:color w:val="000000" w:themeColor="text1"/>
          <w:lang w:val="es-ES_tradnl"/>
        </w:rPr>
        <w:t>recibos de nómina</w:t>
      </w:r>
      <w:r w:rsidRPr="003672D4">
        <w:rPr>
          <w:rFonts w:ascii="Palatino Linotype" w:hAnsi="Palatino Linotype" w:cs="Tahoma"/>
          <w:bCs/>
          <w:color w:val="000000" w:themeColor="text1"/>
          <w:lang w:val="es-ES_tradnl"/>
        </w:rPr>
        <w:t xml:space="preserve">, </w:t>
      </w:r>
      <w:r w:rsidRPr="003672D4">
        <w:rPr>
          <w:rFonts w:ascii="Palatino Linotype" w:eastAsia="Palatino Linotype" w:hAnsi="Palatino Linotype" w:cs="Palatino Linotype"/>
          <w:bCs/>
          <w:color w:val="000000" w:themeColor="text1"/>
        </w:rPr>
        <w:t xml:space="preserve">la Ley del Trabajo de los Servidores Públicos del Estado y Municipios hace referencia a los comprobantes que las instituciones públicas realizan para documentar el pago de salarios, prima vacacional, aguinaldo y demás prestaciones otorgadas a un servidor público, </w:t>
      </w:r>
      <w:r w:rsidR="00452C7E" w:rsidRPr="003672D4">
        <w:rPr>
          <w:rFonts w:ascii="Palatino Linotype" w:eastAsia="Palatino Linotype" w:hAnsi="Palatino Linotype" w:cs="Palatino Linotype"/>
          <w:bCs/>
          <w:color w:val="000000" w:themeColor="text1"/>
        </w:rPr>
        <w:t>denominándose</w:t>
      </w:r>
      <w:r w:rsidRPr="003672D4">
        <w:rPr>
          <w:rFonts w:ascii="Palatino Linotype" w:eastAsia="Palatino Linotype" w:hAnsi="Palatino Linotype" w:cs="Palatino Linotype"/>
          <w:bCs/>
          <w:color w:val="000000" w:themeColor="text1"/>
        </w:rPr>
        <w:t xml:space="preserve"> "recibos o comprobantes de pago", los cuales constituyen un instrumento mediante el cual el sujeto obligado acredita las remuneraciones al personal y, que de acuerdo al uso implantado en la colectividad se denominan "recibos de nómina".</w:t>
      </w:r>
    </w:p>
    <w:p w:rsidR="00967A27" w:rsidRPr="003672D4" w:rsidRDefault="00967A27" w:rsidP="00452C7E">
      <w:pPr>
        <w:pStyle w:val="Prrafodelista"/>
        <w:ind w:left="0"/>
        <w:rPr>
          <w:rFonts w:ascii="Palatino Linotype" w:eastAsia="Palatino Linotype" w:hAnsi="Palatino Linotype" w:cs="Palatino Linotype"/>
          <w:color w:val="000000" w:themeColor="text1"/>
          <w:sz w:val="24"/>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Así,</w:t>
      </w:r>
      <w:r w:rsidRPr="003672D4">
        <w:rPr>
          <w:rFonts w:ascii="Palatino Linotype" w:eastAsia="Palatino Linotype" w:hAnsi="Palatino Linotype" w:cs="Palatino Linotype"/>
          <w:b/>
          <w:bCs/>
          <w:color w:val="000000" w:themeColor="text1"/>
        </w:rPr>
        <w:t xml:space="preserve"> </w:t>
      </w:r>
      <w:r w:rsidRPr="003672D4">
        <w:rPr>
          <w:rFonts w:ascii="Palatino Linotype" w:eastAsia="MS Mincho" w:hAnsi="Palatino Linotype"/>
          <w:color w:val="000000" w:themeColor="text1"/>
        </w:rPr>
        <w:t>las remuneraciones señaladas en párrafos anteriores son pagadas mediante la aplicación de fondos públicos, dichas erogaciones son fiscalizadas por la Legislatura a través del Órgano Superior de Fiscalización, para ello, el artículo 61 de la Constitución Política del Estado Libre y Soberano de México, establece las facultades y obligaciones de la Legislatura de las cuales podemos resaltar las siguientes:</w:t>
      </w:r>
    </w:p>
    <w:p w:rsidR="00862AEF" w:rsidRDefault="00862AEF" w:rsidP="00452C7E">
      <w:pPr>
        <w:pStyle w:val="Prrafodelista"/>
        <w:ind w:left="0"/>
        <w:jc w:val="both"/>
        <w:rPr>
          <w:rFonts w:ascii="Palatino Linotype" w:hAnsi="Palatino Linotype" w:cs="Arial"/>
          <w:b/>
          <w:i/>
          <w:iCs/>
          <w:color w:val="000000" w:themeColor="text1"/>
          <w:sz w:val="24"/>
          <w:lang w:val="es-ES"/>
        </w:rPr>
      </w:pPr>
    </w:p>
    <w:p w:rsidR="00967A27" w:rsidRPr="003672D4" w:rsidRDefault="00967A27" w:rsidP="00452C7E">
      <w:pPr>
        <w:pStyle w:val="Prrafodelista"/>
        <w:ind w:left="0"/>
        <w:jc w:val="both"/>
        <w:rPr>
          <w:rFonts w:ascii="Palatino Linotype" w:hAnsi="Palatino Linotype" w:cs="Arial"/>
          <w:b/>
          <w:i/>
          <w:iCs/>
          <w:color w:val="000000" w:themeColor="text1"/>
          <w:sz w:val="24"/>
          <w:lang w:val="es-ES"/>
        </w:rPr>
      </w:pPr>
      <w:r w:rsidRPr="003672D4">
        <w:rPr>
          <w:rFonts w:ascii="Palatino Linotype" w:hAnsi="Palatino Linotype" w:cs="Arial"/>
          <w:b/>
          <w:i/>
          <w:iCs/>
          <w:color w:val="000000" w:themeColor="text1"/>
          <w:sz w:val="24"/>
          <w:lang w:val="es-ES"/>
        </w:rPr>
        <w:lastRenderedPageBreak/>
        <w:t>“Artículo 61.</w:t>
      </w:r>
    </w:p>
    <w:p w:rsidR="00967A27" w:rsidRPr="003672D4" w:rsidRDefault="00967A27" w:rsidP="00452C7E">
      <w:pPr>
        <w:pStyle w:val="Prrafodelista"/>
        <w:ind w:left="0"/>
        <w:jc w:val="both"/>
        <w:rPr>
          <w:rFonts w:ascii="Palatino Linotype" w:hAnsi="Palatino Linotype" w:cs="Arial"/>
          <w:iCs/>
          <w:color w:val="000000" w:themeColor="text1"/>
          <w:sz w:val="24"/>
          <w:lang w:val="es-ES"/>
        </w:rPr>
      </w:pPr>
      <w:r w:rsidRPr="003672D4">
        <w:rPr>
          <w:rFonts w:ascii="Palatino Linotype" w:hAnsi="Palatino Linotype" w:cs="Arial"/>
          <w:iCs/>
          <w:color w:val="000000" w:themeColor="text1"/>
          <w:sz w:val="24"/>
          <w:lang w:val="es-ES"/>
        </w:rPr>
        <w:t>(…)</w:t>
      </w:r>
    </w:p>
    <w:p w:rsidR="00967A27" w:rsidRPr="003672D4" w:rsidRDefault="00967A27" w:rsidP="00452C7E">
      <w:pPr>
        <w:pStyle w:val="Prrafodelista"/>
        <w:autoSpaceDE w:val="0"/>
        <w:autoSpaceDN w:val="0"/>
        <w:adjustRightInd w:val="0"/>
        <w:ind w:left="0"/>
        <w:jc w:val="both"/>
        <w:rPr>
          <w:rFonts w:ascii="Palatino Linotype" w:hAnsi="Palatino Linotype" w:cs="Bookman Old Style"/>
          <w:i/>
          <w:iCs/>
          <w:color w:val="000000" w:themeColor="text1"/>
          <w:sz w:val="24"/>
        </w:rPr>
      </w:pPr>
      <w:r w:rsidRPr="003672D4">
        <w:rPr>
          <w:rFonts w:ascii="Palatino Linotype" w:hAnsi="Palatino Linotype" w:cs="Bookman Old Style"/>
          <w:b/>
          <w:i/>
          <w:iCs/>
          <w:color w:val="000000" w:themeColor="text1"/>
          <w:sz w:val="24"/>
        </w:rPr>
        <w:t>XXXIII.</w:t>
      </w:r>
      <w:r w:rsidRPr="003672D4">
        <w:rPr>
          <w:rFonts w:ascii="Palatino Linotype" w:hAnsi="Palatino Linotype" w:cs="Bookman Old Style"/>
          <w:i/>
          <w:iCs/>
          <w:color w:val="000000" w:themeColor="text1"/>
          <w:sz w:val="24"/>
        </w:rPr>
        <w:t xml:space="preserve"> Revisar, por conducto del </w:t>
      </w:r>
      <w:r w:rsidRPr="003672D4">
        <w:rPr>
          <w:rFonts w:ascii="Palatino Linotype" w:hAnsi="Palatino Linotype" w:cs="Bookman Old Style"/>
          <w:b/>
          <w:i/>
          <w:iCs/>
          <w:color w:val="000000" w:themeColor="text1"/>
          <w:sz w:val="24"/>
        </w:rPr>
        <w:t>Órgano Superior de Fiscalización del Estado de México</w:t>
      </w:r>
      <w:r w:rsidRPr="003672D4">
        <w:rPr>
          <w:rFonts w:ascii="Palatino Linotype" w:hAnsi="Palatino Linotype" w:cs="Bookman Old Style"/>
          <w:i/>
          <w:iCs/>
          <w:color w:val="000000" w:themeColor="text1"/>
          <w:sz w:val="24"/>
        </w:rPr>
        <w:t>, las cuentas y actos relativos a la aplicación de los fondos públicos del Estado y de los Municipios, así como fondos públicos federales en los términos convenidos con dicho ámbito que incluirán la información correspondiente a los Poderes Públicos, organismos autónomos, organismos auxiliares, fideicomisos públicos o privados y demás entes públicos que manejen recursos del Estado y Municipios;</w:t>
      </w:r>
    </w:p>
    <w:p w:rsidR="00967A27" w:rsidRPr="003672D4" w:rsidRDefault="00967A27" w:rsidP="00452C7E">
      <w:pPr>
        <w:pStyle w:val="Prrafodelista"/>
        <w:autoSpaceDE w:val="0"/>
        <w:autoSpaceDN w:val="0"/>
        <w:adjustRightInd w:val="0"/>
        <w:ind w:left="0"/>
        <w:jc w:val="both"/>
        <w:rPr>
          <w:rFonts w:ascii="Palatino Linotype" w:hAnsi="Palatino Linotype" w:cs="Bookman Old Style"/>
          <w:i/>
          <w:iCs/>
          <w:color w:val="000000" w:themeColor="text1"/>
          <w:sz w:val="24"/>
        </w:rPr>
      </w:pPr>
      <w:r w:rsidRPr="003672D4">
        <w:rPr>
          <w:rFonts w:ascii="Palatino Linotype" w:hAnsi="Palatino Linotype" w:cs="Bookman Old Style"/>
          <w:i/>
          <w:iCs/>
          <w:color w:val="000000" w:themeColor="text1"/>
          <w:sz w:val="24"/>
        </w:rPr>
        <w:t>(…)</w:t>
      </w:r>
    </w:p>
    <w:p w:rsidR="00967A27" w:rsidRPr="003672D4" w:rsidRDefault="00967A27" w:rsidP="00452C7E">
      <w:pPr>
        <w:pStyle w:val="Prrafodelista"/>
        <w:ind w:left="0"/>
        <w:jc w:val="both"/>
        <w:rPr>
          <w:rFonts w:ascii="Palatino Linotype" w:eastAsia="Palatino Linotype" w:hAnsi="Palatino Linotype" w:cs="Palatino Linotype"/>
          <w:b/>
          <w:bCs/>
          <w:color w:val="000000" w:themeColor="text1"/>
          <w:sz w:val="24"/>
        </w:rPr>
      </w:pPr>
      <w:r w:rsidRPr="003672D4">
        <w:rPr>
          <w:rFonts w:ascii="Palatino Linotype" w:hAnsi="Palatino Linotype" w:cs="Bookman Old Style"/>
          <w:b/>
          <w:i/>
          <w:iCs/>
          <w:color w:val="000000" w:themeColor="text1"/>
          <w:sz w:val="24"/>
        </w:rPr>
        <w:t>XXXIV.</w:t>
      </w:r>
      <w:r w:rsidRPr="003672D4">
        <w:rPr>
          <w:rFonts w:ascii="Palatino Linotype" w:hAnsi="Palatino Linotype" w:cs="Bookman Old Style"/>
          <w:i/>
          <w:iCs/>
          <w:color w:val="000000" w:themeColor="text1"/>
          <w:sz w:val="24"/>
        </w:rPr>
        <w:t xml:space="preserve"> Fiscalizar la administración de los ingresos y egresos del Estado y de los Municipios, que incluyen a los Poderes Públicos, organismos autónomos, organismos auxiliares, fideicomisos públicos o privados y demás entes públicos que manejen recursos del Estado y Municipios, a través del </w:t>
      </w:r>
      <w:r w:rsidRPr="003672D4">
        <w:rPr>
          <w:rFonts w:ascii="Palatino Linotype" w:hAnsi="Palatino Linotype" w:cs="Bookman Old Style"/>
          <w:b/>
          <w:i/>
          <w:iCs/>
          <w:color w:val="000000" w:themeColor="text1"/>
          <w:sz w:val="24"/>
        </w:rPr>
        <w:t>Órgano Superior de Fiscalización</w:t>
      </w:r>
      <w:r w:rsidRPr="003672D4">
        <w:rPr>
          <w:rFonts w:ascii="Palatino Linotype" w:hAnsi="Palatino Linotype" w:cs="Bookman Old Style"/>
          <w:i/>
          <w:iCs/>
          <w:color w:val="000000" w:themeColor="text1"/>
          <w:sz w:val="24"/>
        </w:rPr>
        <w:t>.”</w:t>
      </w:r>
    </w:p>
    <w:p w:rsidR="00967A27" w:rsidRPr="003672D4" w:rsidRDefault="00967A27" w:rsidP="00452C7E">
      <w:pPr>
        <w:spacing w:line="360" w:lineRule="auto"/>
        <w:jc w:val="both"/>
        <w:rPr>
          <w:rFonts w:ascii="Palatino Linotype" w:eastAsia="Palatino Linotype" w:hAnsi="Palatino Linotype" w:cs="Palatino Linotype"/>
          <w:b/>
          <w:color w:val="000000" w:themeColor="text1"/>
        </w:rPr>
      </w:pPr>
    </w:p>
    <w:p w:rsidR="00967A27" w:rsidRPr="003672D4" w:rsidRDefault="00967A27"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 xml:space="preserve">En consecuencia, </w:t>
      </w:r>
      <w:r w:rsidRPr="003672D4">
        <w:rPr>
          <w:rFonts w:ascii="Palatino Linotype" w:hAnsi="Palatino Linotype" w:cs="Tahoma"/>
          <w:bCs/>
          <w:iCs/>
          <w:color w:val="000000" w:themeColor="text1"/>
          <w:lang w:eastAsia="es-ES"/>
        </w:rPr>
        <w:t xml:space="preserve">es dable ordenar al </w:t>
      </w:r>
      <w:r w:rsidRPr="003672D4">
        <w:rPr>
          <w:rFonts w:ascii="Palatino Linotype" w:hAnsi="Palatino Linotype" w:cs="Tahoma"/>
          <w:b/>
          <w:bCs/>
          <w:iCs/>
          <w:color w:val="000000" w:themeColor="text1"/>
          <w:lang w:eastAsia="es-ES"/>
        </w:rPr>
        <w:t>SUJETO OBLIGADO</w:t>
      </w:r>
      <w:r w:rsidRPr="003672D4">
        <w:rPr>
          <w:rFonts w:ascii="Palatino Linotype" w:hAnsi="Palatino Linotype" w:cs="Tahoma"/>
          <w:bCs/>
          <w:iCs/>
          <w:color w:val="000000" w:themeColor="text1"/>
          <w:lang w:eastAsia="es-ES"/>
        </w:rPr>
        <w:t xml:space="preserve">, en versión pública, la entrega de </w:t>
      </w:r>
      <w:r w:rsidRPr="003672D4">
        <w:rPr>
          <w:rFonts w:ascii="Palatino Linotype" w:hAnsi="Palatino Linotype" w:cs="Tahoma"/>
          <w:b/>
          <w:bCs/>
          <w:iCs/>
          <w:color w:val="000000" w:themeColor="text1"/>
          <w:lang w:eastAsia="es-ES"/>
        </w:rPr>
        <w:t xml:space="preserve">los recibos de nómina del Personal del </w:t>
      </w:r>
      <w:r w:rsidRPr="003672D4">
        <w:rPr>
          <w:rFonts w:ascii="Palatino Linotype" w:hAnsi="Palatino Linotype"/>
          <w:b/>
          <w:color w:val="000000" w:themeColor="text1"/>
        </w:rPr>
        <w:t xml:space="preserve">Departamento de Licencias y Permisos de la Dirección General de Desarrollo Económico, de la </w:t>
      </w:r>
      <w:r w:rsidR="002907C7" w:rsidRPr="003672D4">
        <w:rPr>
          <w:rFonts w:ascii="Palatino Linotype" w:hAnsi="Palatino Linotype"/>
          <w:b/>
          <w:color w:val="000000" w:themeColor="text1"/>
        </w:rPr>
        <w:t>segunda</w:t>
      </w:r>
      <w:r w:rsidRPr="003672D4">
        <w:rPr>
          <w:rFonts w:ascii="Palatino Linotype" w:hAnsi="Palatino Linotype"/>
          <w:b/>
          <w:color w:val="000000" w:themeColor="text1"/>
        </w:rPr>
        <w:t xml:space="preserve"> quincena de abril de 2025.</w:t>
      </w:r>
    </w:p>
    <w:p w:rsidR="00142F69" w:rsidRPr="003672D4" w:rsidRDefault="00142F69" w:rsidP="00452C7E">
      <w:pPr>
        <w:spacing w:line="360" w:lineRule="auto"/>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Ahora bien, es importante señalar que el artículo 4, párrafo segundo de la Ley de Transparencia y Acceso a la Información Pública del Estado de México y Municipios, dispone lo siguiente: </w:t>
      </w: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w:t>
      </w:r>
      <w:r w:rsidRPr="003672D4">
        <w:rPr>
          <w:rFonts w:ascii="Palatino Linotype" w:eastAsia="Palatino Linotype" w:hAnsi="Palatino Linotype" w:cs="Palatino Linotype"/>
          <w:b/>
          <w:i/>
          <w:color w:val="000000" w:themeColor="text1"/>
        </w:rPr>
        <w:t>Artículo 4. …</w:t>
      </w:r>
    </w:p>
    <w:p w:rsidR="00142F69" w:rsidRPr="003672D4" w:rsidRDefault="00757088" w:rsidP="00452C7E">
      <w:pP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De lo anterior, se desprende que la información generada, obtenida, adquirida, transmitida, administrada o en posesión de los Sujetos Obligados, será accesible de manera </w:t>
      </w:r>
      <w:r w:rsidRPr="003672D4">
        <w:rPr>
          <w:rFonts w:ascii="Palatino Linotype" w:eastAsia="Palatino Linotype" w:hAnsi="Palatino Linotype" w:cs="Palatino Linotype"/>
          <w:color w:val="000000" w:themeColor="text1"/>
        </w:rPr>
        <w:lastRenderedPageBreak/>
        <w:t>permanente a cualquier persona, privilegiando el principio de máxima publicidad de la información.</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Así,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Como apoyo a lo anterior, es aplicable el Criterio 03-17, emitido por el Instituto Nacional de Transparencia, Acceso a la Información y Protección de Datos Personales, que dice: </w:t>
      </w: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3672D4">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142F69" w:rsidRPr="003672D4" w:rsidRDefault="00142F69" w:rsidP="00452C7E">
      <w:pPr>
        <w:tabs>
          <w:tab w:val="left" w:pos="426"/>
          <w:tab w:val="left" w:pos="567"/>
        </w:tabs>
        <w:jc w:val="both"/>
        <w:rPr>
          <w:rFonts w:ascii="Palatino Linotype" w:eastAsia="Palatino Linotype" w:hAnsi="Palatino Linotype" w:cs="Palatino Linotype"/>
          <w:i/>
          <w:color w:val="000000" w:themeColor="text1"/>
        </w:rPr>
      </w:pP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Resoluciones: </w:t>
      </w: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Symbol" w:hAnsi="Palatino Linotype" w:cs="Symbol"/>
          <w:i/>
          <w:color w:val="000000" w:themeColor="text1"/>
        </w:rPr>
        <w:t>∙</w:t>
      </w:r>
      <w:r w:rsidRPr="003672D4">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Symbol" w:hAnsi="Palatino Linotype" w:cs="Symbol"/>
          <w:i/>
          <w:color w:val="000000" w:themeColor="text1"/>
        </w:rPr>
        <w:t>∙</w:t>
      </w:r>
      <w:r w:rsidRPr="003672D4">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142F69" w:rsidRPr="003672D4" w:rsidRDefault="00757088" w:rsidP="00452C7E">
      <w:pP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Symbol" w:hAnsi="Palatino Linotype" w:cs="Symbol"/>
          <w:i/>
          <w:color w:val="000000" w:themeColor="text1"/>
        </w:rPr>
        <w:t>∙</w:t>
      </w:r>
      <w:r w:rsidRPr="003672D4">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lastRenderedPageBreak/>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b/>
          <w:i/>
          <w:color w:val="000000" w:themeColor="text1"/>
        </w:rPr>
        <w:t>“Artículo 3.</w:t>
      </w:r>
      <w:r w:rsidRPr="003672D4">
        <w:rPr>
          <w:rFonts w:ascii="Palatino Linotype" w:eastAsia="Palatino Linotype" w:hAnsi="Palatino Linotype" w:cs="Palatino Linotype"/>
          <w:i/>
          <w:color w:val="000000" w:themeColor="text1"/>
        </w:rPr>
        <w:t xml:space="preserve"> Para los efectos de la presente Ley se entenderá por: </w:t>
      </w:r>
    </w:p>
    <w:p w:rsidR="00142F69" w:rsidRPr="003672D4" w:rsidRDefault="00757088" w:rsidP="00452C7E">
      <w:pPr>
        <w:tabs>
          <w:tab w:val="left" w:pos="426"/>
          <w:tab w:val="left" w:pos="567"/>
        </w:tabs>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 </w:t>
      </w:r>
    </w:p>
    <w:p w:rsidR="00142F69" w:rsidRPr="003672D4" w:rsidRDefault="00757088" w:rsidP="00452C7E">
      <w:pPr>
        <w:tabs>
          <w:tab w:val="left" w:pos="426"/>
          <w:tab w:val="left" w:pos="567"/>
        </w:tabs>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XI. Documento:</w:t>
      </w:r>
      <w:r w:rsidRPr="003672D4">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672D4">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rsidR="00142F69" w:rsidRPr="003672D4" w:rsidRDefault="00757088" w:rsidP="00452C7E">
      <w:pP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i/>
          <w:color w:val="000000" w:themeColor="text1"/>
        </w:rPr>
        <w:t>(…)”</w:t>
      </w:r>
    </w:p>
    <w:p w:rsidR="00142F69" w:rsidRPr="003672D4" w:rsidRDefault="00142F69" w:rsidP="00452C7E">
      <w:pPr>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 xml:space="preserve">Siendo aplicable el Criterio de interpretación en el orden administrativo número 0002- 11, emitido por Acuerdo del Pleno del Instituto de Transparencia y Acceso a la Información Pública del Estado de México y Municipios; publicado en el Periódico Oficial del Gobierno </w:t>
      </w:r>
      <w:r w:rsidRPr="003672D4">
        <w:rPr>
          <w:rFonts w:ascii="Palatino Linotype" w:eastAsia="Palatino Linotype" w:hAnsi="Palatino Linotype" w:cs="Palatino Linotype"/>
          <w:color w:val="000000" w:themeColor="text1"/>
        </w:rPr>
        <w:lastRenderedPageBreak/>
        <w:t>del Estado Libre y Soberano de México “Gaceta del Gobierno”, el diecinueve de octubre de dos mil once, cuyo rubro y texto dispone:</w:t>
      </w:r>
    </w:p>
    <w:p w:rsidR="00142F69" w:rsidRPr="003672D4" w:rsidRDefault="00142F69" w:rsidP="00452C7E">
      <w:pPr>
        <w:tabs>
          <w:tab w:val="left" w:pos="426"/>
          <w:tab w:val="left" w:pos="567"/>
        </w:tabs>
        <w:spacing w:line="360" w:lineRule="auto"/>
        <w:jc w:val="both"/>
        <w:rPr>
          <w:rFonts w:ascii="Palatino Linotype" w:eastAsia="Palatino Linotype" w:hAnsi="Palatino Linotype" w:cs="Palatino Linotype"/>
          <w:i/>
          <w:color w:val="000000" w:themeColor="text1"/>
        </w:rPr>
      </w:pPr>
    </w:p>
    <w:p w:rsidR="00142F69" w:rsidRPr="003672D4" w:rsidRDefault="00757088" w:rsidP="00452C7E">
      <w:pP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i/>
          <w:color w:val="000000" w:themeColor="text1"/>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142F69" w:rsidRPr="003672D4" w:rsidRDefault="00142F69" w:rsidP="00452C7E">
      <w:pPr>
        <w:spacing w:line="360" w:lineRule="auto"/>
        <w:jc w:val="both"/>
        <w:rPr>
          <w:rFonts w:ascii="Palatino Linotype" w:eastAsia="Palatino Linotype" w:hAnsi="Palatino Linotype" w:cs="Palatino Linotype"/>
          <w:b/>
          <w:color w:val="000000" w:themeColor="text1"/>
        </w:rPr>
      </w:pPr>
    </w:p>
    <w:p w:rsidR="00142F69" w:rsidRPr="003672D4" w:rsidRDefault="00757088" w:rsidP="00452C7E">
      <w:pPr>
        <w:keepNext/>
        <w:keepLines/>
        <w:spacing w:before="240" w:line="360" w:lineRule="auto"/>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QUINTO. VERSIÓN PÚBLICA.</w:t>
      </w:r>
    </w:p>
    <w:p w:rsidR="00142F69" w:rsidRPr="003672D4" w:rsidRDefault="00757088" w:rsidP="00452C7E">
      <w:pPr>
        <w:keepNext/>
        <w:keepLines/>
        <w:numPr>
          <w:ilvl w:val="0"/>
          <w:numId w:val="4"/>
        </w:numPr>
        <w:spacing w:line="360" w:lineRule="auto"/>
        <w:ind w:left="0" w:firstLine="0"/>
        <w:rPr>
          <w:rFonts w:ascii="Palatino Linotype" w:eastAsia="Palatino Linotype" w:hAnsi="Palatino Linotype" w:cs="Palatino Linotype"/>
          <w:b/>
          <w:color w:val="000000" w:themeColor="text1"/>
        </w:rPr>
      </w:pPr>
      <w:bookmarkStart w:id="4" w:name="_heading=h.1t3h5sf" w:colFirst="0" w:colLast="0"/>
      <w:bookmarkEnd w:id="4"/>
      <w:r w:rsidRPr="003672D4">
        <w:rPr>
          <w:rFonts w:ascii="Palatino Linotype" w:eastAsia="Palatino Linotype" w:hAnsi="Palatino Linotype" w:cs="Palatino Linotype"/>
          <w:b/>
          <w:color w:val="000000" w:themeColor="text1"/>
        </w:rPr>
        <w:t xml:space="preserve">Nociones generales. </w:t>
      </w: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Debe destacarse que, debido a la naturaleza de la información solicitada</w:t>
      </w: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 xml:space="preserve">eventualmente pudiera obrar datos personales susceptibles de protegerse, el </w:t>
      </w:r>
      <w:r w:rsidRPr="003672D4">
        <w:rPr>
          <w:rFonts w:ascii="Palatino Linotype" w:eastAsia="Palatino Linotype" w:hAnsi="Palatino Linotype" w:cs="Palatino Linotype"/>
          <w:b/>
          <w:color w:val="000000" w:themeColor="text1"/>
        </w:rPr>
        <w:t xml:space="preserve">Sujeto Obligado </w:t>
      </w:r>
      <w:r w:rsidRPr="003672D4">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142F69" w:rsidRPr="003672D4" w:rsidRDefault="00142F69" w:rsidP="00452C7E">
      <w:pPr>
        <w:rPr>
          <w:rFonts w:ascii="Palatino Linotype" w:eastAsia="Palatino Linotype" w:hAnsi="Palatino Linotype" w:cs="Palatino Linotype"/>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No pasa desapercibido para este Órgano Garante que los Sujetos Obligados</w:t>
      </w: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9"/>
        <w:tblW w:w="97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7938"/>
      </w:tblGrid>
      <w:tr w:rsidR="00452C7E" w:rsidRPr="003672D4" w:rsidTr="00862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42F69" w:rsidRPr="003672D4" w:rsidRDefault="00757088" w:rsidP="00452C7E">
            <w:pPr>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lastRenderedPageBreak/>
              <w:t>a) Requisitos previos.</w:t>
            </w:r>
          </w:p>
        </w:tc>
        <w:tc>
          <w:tcPr>
            <w:tcW w:w="7938" w:type="dxa"/>
          </w:tcPr>
          <w:p w:rsidR="00142F69" w:rsidRPr="003672D4" w:rsidRDefault="00757088" w:rsidP="00452C7E">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b w:val="0"/>
                <w:color w:val="000000" w:themeColor="text1"/>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142F69" w:rsidRPr="003672D4" w:rsidRDefault="00757088" w:rsidP="00452C7E">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b w:val="0"/>
                <w:color w:val="000000" w:themeColor="text1"/>
                <w:sz w:val="24"/>
                <w:szCs w:val="24"/>
              </w:rPr>
              <w:t>Al hacerlo tienen que precisar de qué información se trata, señalando el supuesto de clasificación (confidencialidad o reserva).</w:t>
            </w:r>
          </w:p>
          <w:p w:rsidR="00142F69" w:rsidRPr="003672D4" w:rsidRDefault="00757088" w:rsidP="00452C7E">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b w:val="0"/>
                <w:color w:val="000000" w:themeColor="text1"/>
                <w:sz w:val="24"/>
                <w:szCs w:val="24"/>
              </w:rPr>
              <w:t>Además, se debe señalar el procedimiento, de los tres que establecen los artículos 132 y 106 de la Ley Estatal y General, respectivamente.</w:t>
            </w:r>
          </w:p>
          <w:p w:rsidR="00142F69" w:rsidRPr="003672D4" w:rsidRDefault="00757088" w:rsidP="00452C7E">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b w:val="0"/>
                <w:color w:val="000000" w:themeColor="text1"/>
                <w:sz w:val="24"/>
                <w:szCs w:val="24"/>
              </w:rPr>
              <w:t xml:space="preserve">El último de estos requisitos previos consiste en que no se pueden emitir acuerdos de carácter general ni particular, esto es, </w:t>
            </w:r>
            <w:r w:rsidRPr="003672D4">
              <w:rPr>
                <w:rFonts w:ascii="Palatino Linotype" w:eastAsia="Palatino Linotype" w:hAnsi="Palatino Linotype" w:cs="Palatino Linotype"/>
                <w:b w:val="0"/>
                <w:color w:val="000000" w:themeColor="text1"/>
                <w:sz w:val="24"/>
                <w:szCs w:val="24"/>
                <w:u w:val="single"/>
              </w:rPr>
              <w:t>no se puede hacer un acuerdo para clasificar de manera general todos los documentos de un expediente o área, sin</w:t>
            </w:r>
            <w:r w:rsidRPr="003672D4">
              <w:rPr>
                <w:rFonts w:ascii="Palatino Linotype" w:eastAsia="Palatino Linotype" w:hAnsi="Palatino Linotype" w:cs="Palatino Linotype"/>
                <w:b w:val="0"/>
                <w:color w:val="000000" w:themeColor="text1"/>
                <w:sz w:val="24"/>
                <w:szCs w:val="24"/>
              </w:rPr>
              <w:t xml:space="preserve"> individualizar su análisis y tampoco se puede hacer un acuerdo por cada dato que se vaya a clasificar dentro de un documento con diez datos, por ejemplo, susceptibles de ser clasificados.</w:t>
            </w:r>
          </w:p>
        </w:tc>
      </w:tr>
      <w:tr w:rsidR="00452C7E" w:rsidRPr="003672D4" w:rsidTr="0086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42F69" w:rsidRPr="003672D4" w:rsidRDefault="00757088" w:rsidP="00452C7E">
            <w:pPr>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b) Supuestos de clasificación.</w:t>
            </w:r>
          </w:p>
        </w:tc>
        <w:tc>
          <w:tcPr>
            <w:tcW w:w="7938" w:type="dxa"/>
          </w:tcPr>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Las disposiciones constitucionales y legales en la materia establecen los dos supuestos generales para clasificar la información: por reserva y por confidencialidad.</w:t>
            </w:r>
          </w:p>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El </w:t>
            </w:r>
            <w:r w:rsidRPr="003672D4">
              <w:rPr>
                <w:rFonts w:ascii="Palatino Linotype" w:eastAsia="Palatino Linotype" w:hAnsi="Palatino Linotype" w:cs="Palatino Linotype"/>
                <w:b/>
                <w:color w:val="000000" w:themeColor="text1"/>
                <w:sz w:val="24"/>
                <w:szCs w:val="24"/>
              </w:rPr>
              <w:t>Sujeto Obligado</w:t>
            </w:r>
            <w:r w:rsidRPr="003672D4">
              <w:rPr>
                <w:rFonts w:ascii="Palatino Linotype" w:eastAsia="Palatino Linotype" w:hAnsi="Palatino Linotype" w:cs="Palatino Linotype"/>
                <w:color w:val="000000" w:themeColor="text1"/>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2C7E" w:rsidRPr="003672D4" w:rsidTr="00862AEF">
        <w:tc>
          <w:tcPr>
            <w:cnfStyle w:val="001000000000" w:firstRow="0" w:lastRow="0" w:firstColumn="1" w:lastColumn="0" w:oddVBand="0" w:evenVBand="0" w:oddHBand="0" w:evenHBand="0" w:firstRowFirstColumn="0" w:firstRowLastColumn="0" w:lastRowFirstColumn="0" w:lastRowLastColumn="0"/>
            <w:tcW w:w="1838" w:type="dxa"/>
          </w:tcPr>
          <w:p w:rsidR="00142F69" w:rsidRPr="003672D4" w:rsidRDefault="00757088" w:rsidP="00452C7E">
            <w:pPr>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c) Formalidades para emitir el acuerdo de clasificación.</w:t>
            </w:r>
          </w:p>
        </w:tc>
        <w:tc>
          <w:tcPr>
            <w:tcW w:w="7938" w:type="dxa"/>
          </w:tcPr>
          <w:p w:rsidR="00142F69" w:rsidRPr="003672D4" w:rsidRDefault="00757088" w:rsidP="00452C7E">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El Comité de Transparencia, según lo dispuesto en los artículos cuenta con las facultades para aprobar, modificar o revocar la clasificación de la información que haya propuesto. </w:t>
            </w:r>
          </w:p>
          <w:p w:rsidR="00142F69" w:rsidRPr="003672D4" w:rsidRDefault="00757088" w:rsidP="00452C7E">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Es necesario que </w:t>
            </w:r>
            <w:r w:rsidRPr="003672D4">
              <w:rPr>
                <w:rFonts w:ascii="Palatino Linotype" w:eastAsia="Palatino Linotype" w:hAnsi="Palatino Linotype" w:cs="Palatino Linotype"/>
                <w:b/>
                <w:color w:val="000000" w:themeColor="text1"/>
                <w:sz w:val="24"/>
                <w:szCs w:val="24"/>
                <w:u w:val="single"/>
              </w:rPr>
              <w:t>el acto reúna con los requisitos elementales</w:t>
            </w:r>
            <w:r w:rsidRPr="003672D4">
              <w:rPr>
                <w:rFonts w:ascii="Palatino Linotype" w:eastAsia="Palatino Linotype" w:hAnsi="Palatino Linotype" w:cs="Palatino Linotype"/>
                <w:color w:val="000000" w:themeColor="text1"/>
                <w:sz w:val="24"/>
                <w:szCs w:val="24"/>
              </w:rPr>
              <w:t>, entre ellos, que la autoridad que va a emitir el acto de autoridad sea la legalmente facultada para ello.</w:t>
            </w:r>
          </w:p>
          <w:p w:rsidR="00142F69" w:rsidRPr="003672D4" w:rsidRDefault="00757088" w:rsidP="00452C7E">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2C7E" w:rsidRPr="003672D4" w:rsidTr="0086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142F69" w:rsidRPr="003672D4" w:rsidRDefault="00142F69" w:rsidP="00452C7E">
            <w:pPr>
              <w:rPr>
                <w:rFonts w:ascii="Palatino Linotype" w:eastAsia="Palatino Linotype" w:hAnsi="Palatino Linotype" w:cs="Palatino Linotype"/>
                <w:color w:val="000000" w:themeColor="text1"/>
                <w:sz w:val="24"/>
                <w:szCs w:val="24"/>
              </w:rPr>
            </w:pPr>
          </w:p>
          <w:p w:rsidR="00142F69" w:rsidRPr="003672D4" w:rsidRDefault="00757088" w:rsidP="00452C7E">
            <w:pPr>
              <w:jc w:val="both"/>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d) Requisitos de fondo del acuerdo de clasificación. </w:t>
            </w:r>
          </w:p>
        </w:tc>
        <w:tc>
          <w:tcPr>
            <w:tcW w:w="7938" w:type="dxa"/>
          </w:tcPr>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672D4">
              <w:rPr>
                <w:rFonts w:ascii="Palatino Linotype" w:eastAsia="Palatino Linotype" w:hAnsi="Palatino Linotype" w:cs="Palatino Linotype"/>
                <w:b/>
                <w:color w:val="000000" w:themeColor="text1"/>
                <w:sz w:val="24"/>
                <w:szCs w:val="24"/>
              </w:rPr>
              <w:t>Sujetos Obligados</w:t>
            </w:r>
            <w:r w:rsidRPr="003672D4">
              <w:rPr>
                <w:rFonts w:ascii="Palatino Linotype" w:eastAsia="Palatino Linotype" w:hAnsi="Palatino Linotype" w:cs="Palatino Linotype"/>
                <w:color w:val="000000" w:themeColor="text1"/>
                <w:sz w:val="24"/>
                <w:szCs w:val="24"/>
              </w:rPr>
              <w:t xml:space="preserve">, por lo que deberán fundar y motivar debidamente la clasificación. </w:t>
            </w:r>
          </w:p>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De lo anterior, se desprende que para una correcta </w:t>
            </w:r>
            <w:r w:rsidRPr="003672D4">
              <w:rPr>
                <w:rFonts w:ascii="Palatino Linotype" w:eastAsia="Palatino Linotype" w:hAnsi="Palatino Linotype" w:cs="Palatino Linotype"/>
                <w:b/>
                <w:color w:val="000000" w:themeColor="text1"/>
                <w:sz w:val="24"/>
                <w:szCs w:val="24"/>
              </w:rPr>
              <w:t>clasificación total o parcial</w:t>
            </w:r>
            <w:r w:rsidRPr="003672D4">
              <w:rPr>
                <w:rFonts w:ascii="Palatino Linotype" w:eastAsia="Palatino Linotype" w:hAnsi="Palatino Linotype" w:cs="Palatino Linotype"/>
                <w:color w:val="000000" w:themeColor="text1"/>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En ese mismo sentido, el numeral trigésimo tercero fracción V de los Lineamientos Generales, precisa que para motivar la clasificación se deben acreditar las circunstancias de tiempo, modo y lugar.</w:t>
            </w:r>
          </w:p>
          <w:p w:rsidR="00142F69" w:rsidRPr="003672D4" w:rsidRDefault="00757088" w:rsidP="00452C7E">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Ahora bien, </w:t>
            </w:r>
            <w:r w:rsidRPr="003672D4">
              <w:rPr>
                <w:rFonts w:ascii="Palatino Linotype" w:eastAsia="Palatino Linotype" w:hAnsi="Palatino Linotype" w:cs="Palatino Linotype"/>
                <w:b/>
                <w:color w:val="000000" w:themeColor="text1"/>
                <w:sz w:val="24"/>
                <w:szCs w:val="24"/>
                <w:u w:val="single"/>
              </w:rPr>
              <w:t>para cada caso además de fundar y motivar</w:t>
            </w:r>
            <w:r w:rsidRPr="003672D4">
              <w:rPr>
                <w:rFonts w:ascii="Palatino Linotype" w:eastAsia="Palatino Linotype" w:hAnsi="Palatino Linotype" w:cs="Palatino Linotype"/>
                <w:color w:val="000000" w:themeColor="text1"/>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2C7E" w:rsidRPr="003672D4" w:rsidTr="00862AEF">
        <w:tc>
          <w:tcPr>
            <w:cnfStyle w:val="001000000000" w:firstRow="0" w:lastRow="0" w:firstColumn="1" w:lastColumn="0" w:oddVBand="0" w:evenVBand="0" w:oddHBand="0" w:evenHBand="0" w:firstRowFirstColumn="0" w:firstRowLastColumn="0" w:lastRowFirstColumn="0" w:lastRowLastColumn="0"/>
            <w:tcW w:w="1838" w:type="dxa"/>
          </w:tcPr>
          <w:p w:rsidR="00142F69" w:rsidRPr="003672D4" w:rsidRDefault="00757088" w:rsidP="00452C7E">
            <w:pPr>
              <w:jc w:val="both"/>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b w:val="0"/>
                <w:color w:val="000000" w:themeColor="text1"/>
                <w:sz w:val="24"/>
                <w:szCs w:val="24"/>
              </w:rPr>
              <w:lastRenderedPageBreak/>
              <w:t>e</w:t>
            </w:r>
            <w:r w:rsidRPr="003672D4">
              <w:rPr>
                <w:rFonts w:ascii="Palatino Linotype" w:eastAsia="Palatino Linotype" w:hAnsi="Palatino Linotype" w:cs="Palatino Linotype"/>
                <w:color w:val="000000" w:themeColor="text1"/>
                <w:sz w:val="24"/>
                <w:szCs w:val="24"/>
              </w:rPr>
              <w:t xml:space="preserve">) Condiciones especiales de la clasificación de la información como confidencial. </w:t>
            </w:r>
          </w:p>
        </w:tc>
        <w:tc>
          <w:tcPr>
            <w:tcW w:w="7938" w:type="dxa"/>
          </w:tcPr>
          <w:p w:rsidR="00142F69" w:rsidRPr="003672D4" w:rsidRDefault="00757088" w:rsidP="00452C7E">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Los artículos 148 y 120 de la Ley Estatal y de la Ley General, respectivamente, establecen que aun tratándose de datos personales, se podrán proporcionar, incluso sin solicitar el consentimiento de su titular. </w:t>
            </w:r>
          </w:p>
          <w:p w:rsidR="00142F69" w:rsidRPr="003672D4" w:rsidRDefault="00757088" w:rsidP="00452C7E">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142F69" w:rsidRPr="003672D4" w:rsidRDefault="00757088" w:rsidP="00452C7E">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sz w:val="24"/>
                <w:szCs w:val="24"/>
              </w:rPr>
            </w:pPr>
            <w:r w:rsidRPr="003672D4">
              <w:rPr>
                <w:rFonts w:ascii="Palatino Linotype" w:eastAsia="Palatino Linotype" w:hAnsi="Palatino Linotype" w:cs="Palatino Linotype"/>
                <w:color w:val="000000" w:themeColor="text1"/>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42F69" w:rsidRDefault="00142F69" w:rsidP="00452C7E">
      <w:pPr>
        <w:rPr>
          <w:rFonts w:ascii="Palatino Linotype" w:eastAsia="Palatino Linotype" w:hAnsi="Palatino Linotype" w:cs="Palatino Linotype"/>
          <w:color w:val="000000" w:themeColor="text1"/>
        </w:rPr>
      </w:pPr>
    </w:p>
    <w:p w:rsidR="00862AEF" w:rsidRPr="003672D4" w:rsidRDefault="00862AEF" w:rsidP="00452C7E">
      <w:pPr>
        <w:rPr>
          <w:rFonts w:ascii="Palatino Linotype" w:eastAsia="Palatino Linotype" w:hAnsi="Palatino Linotype" w:cs="Palatino Linotype"/>
          <w:color w:val="000000" w:themeColor="text1"/>
        </w:rPr>
      </w:pPr>
    </w:p>
    <w:p w:rsidR="00C45F5B" w:rsidRPr="003672D4" w:rsidRDefault="00C45F5B"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t>Por otro lado, de manera enunciativa mas no limitativas, dentro de los elementos que integran los recibos de nómina se pueden encontrar los siguientes:</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Clave Única de Registro de Población (CURP);</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Número de ISSEMyM;</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Número de empleado;</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Registro Federal de Contribuyentes (RFC);</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Número de Serie del CSD del SAT;</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Número de Serie del CDS del emisor;</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Serie y folio;</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Firma;</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Código QR;</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Sello Digital del Contribuyente; y</w:t>
      </w:r>
    </w:p>
    <w:p w:rsidR="00C45F5B" w:rsidRPr="003672D4" w:rsidRDefault="00C45F5B" w:rsidP="00862AEF">
      <w:pPr>
        <w:numPr>
          <w:ilvl w:val="0"/>
          <w:numId w:val="9"/>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Sello Digital del SAT.</w:t>
      </w:r>
    </w:p>
    <w:p w:rsidR="00C45F5B" w:rsidRPr="003672D4" w:rsidRDefault="00C45F5B" w:rsidP="00452C7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themeColor="text1"/>
        </w:rPr>
      </w:pPr>
    </w:p>
    <w:p w:rsidR="00C45F5B" w:rsidRPr="003672D4" w:rsidRDefault="00C45F5B" w:rsidP="00862AEF">
      <w:pPr>
        <w:pStyle w:val="Ttulo3"/>
        <w:numPr>
          <w:ilvl w:val="0"/>
          <w:numId w:val="9"/>
        </w:numPr>
        <w:spacing w:before="40" w:after="0"/>
        <w:ind w:left="0" w:firstLine="0"/>
        <w:rPr>
          <w:rFonts w:ascii="Palatino Linotype" w:eastAsia="Palatino Linotype" w:hAnsi="Palatino Linotype" w:cs="Palatino Linotype"/>
          <w:b w:val="0"/>
          <w:color w:val="000000" w:themeColor="text1"/>
          <w:sz w:val="24"/>
          <w:szCs w:val="24"/>
        </w:rPr>
      </w:pPr>
      <w:r w:rsidRPr="003672D4">
        <w:rPr>
          <w:rFonts w:ascii="Palatino Linotype" w:eastAsia="Palatino Linotype" w:hAnsi="Palatino Linotype" w:cs="Palatino Linotype"/>
          <w:color w:val="000000" w:themeColor="text1"/>
          <w:sz w:val="24"/>
          <w:szCs w:val="24"/>
        </w:rPr>
        <w:t>Clave Única de Registro de Población (CURP).</w:t>
      </w:r>
    </w:p>
    <w:p w:rsidR="00C45F5B" w:rsidRPr="003672D4" w:rsidRDefault="00C45F5B" w:rsidP="00452C7E">
      <w:pPr>
        <w:pStyle w:val="Prrafodelista"/>
        <w:numPr>
          <w:ilvl w:val="0"/>
          <w:numId w:val="1"/>
        </w:numPr>
        <w:pBdr>
          <w:top w:val="nil"/>
          <w:left w:val="nil"/>
          <w:bottom w:val="nil"/>
          <w:right w:val="nil"/>
          <w:between w:val="nil"/>
        </w:pBdr>
        <w:shd w:val="clear" w:color="auto" w:fill="FFFFFF"/>
        <w:spacing w:before="240" w:after="240" w:line="360" w:lineRule="auto"/>
        <w:ind w:left="0" w:firstLine="0"/>
        <w:jc w:val="both"/>
        <w:rPr>
          <w:rFonts w:ascii="Palatino Linotype" w:eastAsia="Palatino Linotype" w:hAnsi="Palatino Linotype" w:cs="Palatino Linotype"/>
          <w:color w:val="000000" w:themeColor="text1"/>
          <w:sz w:val="24"/>
        </w:rPr>
      </w:pPr>
      <w:r w:rsidRPr="003672D4">
        <w:rPr>
          <w:rFonts w:ascii="Palatino Linotype" w:eastAsia="Palatino Linotype" w:hAnsi="Palatino Linotype" w:cs="Palatino Linotype"/>
          <w:color w:val="000000" w:themeColor="text1"/>
          <w:sz w:val="24"/>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w:t>
      </w:r>
      <w:r w:rsidRPr="003672D4">
        <w:rPr>
          <w:rFonts w:ascii="Palatino Linotype" w:eastAsia="Palatino Linotype" w:hAnsi="Palatino Linotype" w:cs="Palatino Linotype"/>
          <w:color w:val="000000" w:themeColor="text1"/>
          <w:sz w:val="24"/>
        </w:rPr>
        <w:lastRenderedPageBreak/>
        <w:t xml:space="preserve">extranjeros que se encuentren en condiciones de estancia regular en el país o en trámite de ésta, se integra por dieciocho (18) caracteres, los cuales son: </w:t>
      </w:r>
    </w:p>
    <w:p w:rsidR="00C45F5B" w:rsidRPr="003672D4" w:rsidRDefault="00C45F5B" w:rsidP="00452C7E">
      <w:pPr>
        <w:shd w:val="clear" w:color="auto" w:fill="FFFFFF"/>
        <w:spacing w:before="240" w:after="240" w:line="360" w:lineRule="auto"/>
        <w:jc w:val="center"/>
        <w:rPr>
          <w:rFonts w:ascii="Palatino Linotype" w:eastAsia="Palatino Linotype" w:hAnsi="Palatino Linotype" w:cs="Palatino Linotype"/>
          <w:color w:val="000000" w:themeColor="text1"/>
        </w:rPr>
      </w:pPr>
      <w:r w:rsidRPr="003672D4">
        <w:rPr>
          <w:rFonts w:ascii="Palatino Linotype" w:hAnsi="Palatino Linotype"/>
          <w:noProof/>
          <w:color w:val="000000" w:themeColor="text1"/>
        </w:rPr>
        <w:drawing>
          <wp:inline distT="0" distB="0" distL="0" distR="0" wp14:anchorId="702D030E" wp14:editId="09DB18B1">
            <wp:extent cx="5305425" cy="4676775"/>
            <wp:effectExtent l="0" t="0" r="9525" b="9525"/>
            <wp:docPr id="6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l="25747" t="8269" r="41253" b="18081"/>
                    <a:stretch>
                      <a:fillRect/>
                    </a:stretch>
                  </pic:blipFill>
                  <pic:spPr>
                    <a:xfrm>
                      <a:off x="0" y="0"/>
                      <a:ext cx="5305425" cy="4676775"/>
                    </a:xfrm>
                    <a:prstGeom prst="rect">
                      <a:avLst/>
                    </a:prstGeom>
                    <a:ln/>
                  </pic:spPr>
                </pic:pic>
              </a:graphicData>
            </a:graphic>
          </wp:inline>
        </w:drawing>
      </w:r>
    </w:p>
    <w:p w:rsidR="00862AEF" w:rsidRDefault="00862AEF" w:rsidP="00862AEF">
      <w:pPr>
        <w:shd w:val="clear" w:color="auto" w:fill="FFFFFF"/>
        <w:spacing w:before="240" w:after="240" w:line="360" w:lineRule="auto"/>
        <w:jc w:val="both"/>
        <w:rPr>
          <w:rFonts w:ascii="Palatino Linotype" w:eastAsia="Palatino Linotype" w:hAnsi="Palatino Linotype" w:cs="Palatino Linotype"/>
          <w:color w:val="000000" w:themeColor="text1"/>
        </w:rPr>
      </w:pP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bookmarkStart w:id="5" w:name="_GoBack"/>
      <w:bookmarkEnd w:id="5"/>
      <w:r w:rsidRPr="003672D4">
        <w:rPr>
          <w:rFonts w:ascii="Palatino Linotype" w:eastAsia="Palatino Linotype" w:hAnsi="Palatino Linotype" w:cs="Palatino Linotype"/>
          <w:color w:val="000000" w:themeColor="text1"/>
        </w:rPr>
        <w:lastRenderedPageBreak/>
        <w:t xml:space="preserve">Entre las características de la CURP, se encuentra: </w:t>
      </w:r>
    </w:p>
    <w:p w:rsidR="00C45F5B" w:rsidRPr="003672D4" w:rsidRDefault="00C45F5B" w:rsidP="00452C7E">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 xml:space="preserve">Composición. </w:t>
      </w:r>
      <w:r w:rsidRPr="003672D4">
        <w:rPr>
          <w:rFonts w:ascii="Palatino Linotype" w:eastAsia="Palatino Linotype" w:hAnsi="Palatino Linotype" w:cs="Palatino Linotype"/>
          <w:color w:val="000000" w:themeColor="text1"/>
        </w:rPr>
        <w:t>Alfanumérica.</w:t>
      </w:r>
    </w:p>
    <w:p w:rsidR="00C45F5B" w:rsidRPr="003672D4" w:rsidRDefault="00C45F5B" w:rsidP="00452C7E">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 xml:space="preserve">Longitud. </w:t>
      </w:r>
      <w:r w:rsidRPr="003672D4">
        <w:rPr>
          <w:rFonts w:ascii="Palatino Linotype" w:eastAsia="Palatino Linotype" w:hAnsi="Palatino Linotype" w:cs="Palatino Linotype"/>
          <w:color w:val="000000" w:themeColor="text1"/>
        </w:rPr>
        <w:t xml:space="preserve"> 18 caracteres.</w:t>
      </w:r>
    </w:p>
    <w:p w:rsidR="00C45F5B" w:rsidRPr="003672D4" w:rsidRDefault="00C45F5B" w:rsidP="00452C7E">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 xml:space="preserve">Naturaleza. </w:t>
      </w:r>
      <w:r w:rsidRPr="003672D4">
        <w:rPr>
          <w:rFonts w:ascii="Palatino Linotype" w:eastAsia="Palatino Linotype" w:hAnsi="Palatino Linotype" w:cs="Palatino Linotype"/>
          <w:color w:val="000000" w:themeColor="text1"/>
        </w:rPr>
        <w:t>Biunívoca.</w:t>
      </w:r>
    </w:p>
    <w:p w:rsidR="00C45F5B" w:rsidRPr="003672D4" w:rsidRDefault="00C45F5B" w:rsidP="00452C7E">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 xml:space="preserve">Universalidad. </w:t>
      </w:r>
      <w:r w:rsidRPr="003672D4">
        <w:rPr>
          <w:rFonts w:ascii="Palatino Linotype" w:eastAsia="Palatino Linotype" w:hAnsi="Palatino Linotype" w:cs="Palatino Linotype"/>
          <w:color w:val="000000" w:themeColor="text1"/>
        </w:rPr>
        <w:t>Se asigna a todas las personas que conforman la población.</w:t>
      </w:r>
    </w:p>
    <w:p w:rsidR="00C45F5B" w:rsidRDefault="00C45F5B" w:rsidP="00452C7E">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862AEF" w:rsidRPr="003672D4" w:rsidRDefault="00862AEF" w:rsidP="00452C7E">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themeColor="text1"/>
        </w:rPr>
      </w:pP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Ante ello, resulta aplicable el Criterio 18/17 emitido por el Instituto Nacional de Transparencia, Acceso a la Información y Protección de Datos Personales, que a la literalidad señala: </w:t>
      </w:r>
    </w:p>
    <w:p w:rsidR="00C45F5B" w:rsidRPr="003672D4" w:rsidRDefault="00C45F5B" w:rsidP="00452C7E">
      <w:pPr>
        <w:pBdr>
          <w:top w:val="nil"/>
          <w:left w:val="nil"/>
          <w:bottom w:val="nil"/>
          <w:right w:val="nil"/>
          <w:between w:val="nil"/>
        </w:pBdr>
        <w:tabs>
          <w:tab w:val="left" w:pos="567"/>
        </w:tabs>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i/>
          <w:color w:val="000000" w:themeColor="text1"/>
        </w:rPr>
        <w:lastRenderedPageBreak/>
        <w:t>“</w:t>
      </w:r>
      <w:r w:rsidRPr="003672D4">
        <w:rPr>
          <w:rFonts w:ascii="Palatino Linotype" w:eastAsia="Palatino Linotype" w:hAnsi="Palatino Linotype" w:cs="Palatino Linotype"/>
          <w:b/>
          <w:i/>
          <w:color w:val="000000" w:themeColor="text1"/>
        </w:rPr>
        <w:t xml:space="preserve">Clave Única de Registro de Población (CURP). </w:t>
      </w:r>
      <w:r w:rsidRPr="003672D4">
        <w:rPr>
          <w:rFonts w:ascii="Palatino Linotype" w:eastAsia="Palatino Linotype" w:hAnsi="Palatino Linotype" w:cs="Palatino Linotype"/>
          <w:i/>
          <w:color w:val="000000" w:themeColor="text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rsidR="00C45F5B" w:rsidRPr="003672D4" w:rsidRDefault="00C45F5B" w:rsidP="00452C7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themeColor="text1"/>
        </w:rPr>
      </w:pPr>
    </w:p>
    <w:p w:rsidR="00C45F5B" w:rsidRPr="003672D4" w:rsidRDefault="00C45F5B" w:rsidP="00862AEF">
      <w:pPr>
        <w:pStyle w:val="Ttulo3"/>
        <w:numPr>
          <w:ilvl w:val="0"/>
          <w:numId w:val="11"/>
        </w:numPr>
        <w:spacing w:before="40" w:after="0"/>
        <w:ind w:left="0" w:firstLine="0"/>
        <w:rPr>
          <w:rFonts w:ascii="Palatino Linotype" w:eastAsia="Palatino Linotype" w:hAnsi="Palatino Linotype" w:cs="Palatino Linotype"/>
          <w:b w:val="0"/>
          <w:color w:val="000000" w:themeColor="text1"/>
          <w:sz w:val="24"/>
          <w:szCs w:val="24"/>
        </w:rPr>
      </w:pPr>
      <w:r w:rsidRPr="003672D4">
        <w:rPr>
          <w:rFonts w:ascii="Palatino Linotype" w:eastAsia="Palatino Linotype" w:hAnsi="Palatino Linotype" w:cs="Palatino Linotype"/>
          <w:color w:val="000000" w:themeColor="text1"/>
          <w:sz w:val="24"/>
          <w:szCs w:val="24"/>
        </w:rPr>
        <w:t>Clave ISSEMyM</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w:t>
      </w:r>
      <w:r w:rsidRPr="003672D4">
        <w:rPr>
          <w:rFonts w:ascii="Palatino Linotype" w:eastAsia="Palatino Linotype" w:hAnsi="Palatino Linotype" w:cs="Palatino Linotype"/>
          <w:color w:val="000000" w:themeColor="text1"/>
        </w:rPr>
        <w:lastRenderedPageBreak/>
        <w:t>cambia, aunque el trabajador se dé de baja y alta en diversas ocasiones, con motivo de haber trabajado en diferentes instituciones gubernamentales de la Entidad.</w:t>
      </w:r>
    </w:p>
    <w:p w:rsidR="00C45F5B" w:rsidRPr="003672D4" w:rsidRDefault="00C45F5B" w:rsidP="00862AEF">
      <w:pPr>
        <w:pStyle w:val="Prrafodelista"/>
        <w:numPr>
          <w:ilvl w:val="0"/>
          <w:numId w:val="15"/>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sz w:val="24"/>
        </w:rPr>
      </w:pPr>
      <w:r w:rsidRPr="003672D4">
        <w:rPr>
          <w:rFonts w:ascii="Palatino Linotype" w:eastAsia="Palatino Linotype" w:hAnsi="Palatino Linotype" w:cs="Palatino Linotype"/>
          <w:b/>
          <w:color w:val="000000" w:themeColor="text1"/>
          <w:sz w:val="24"/>
        </w:rPr>
        <w:t>Número de empleado.</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C45F5B" w:rsidRDefault="00C45F5B" w:rsidP="00862AEF">
      <w:pPr>
        <w:pBdr>
          <w:top w:val="nil"/>
          <w:left w:val="nil"/>
          <w:bottom w:val="nil"/>
          <w:right w:val="nil"/>
          <w:between w:val="nil"/>
        </w:pBd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i/>
          <w:color w:val="000000" w:themeColor="text1"/>
        </w:rPr>
        <w:t>Número de empleado.</w:t>
      </w:r>
      <w:r w:rsidRPr="003672D4">
        <w:rPr>
          <w:rFonts w:ascii="Palatino Linotype" w:eastAsia="Palatino Linotype" w:hAnsi="Palatino Linotype" w:cs="Palatino Linotype"/>
          <w:i/>
          <w:color w:val="000000" w:themeColor="text1"/>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r w:rsidR="00862AEF" w:rsidRPr="003672D4">
        <w:rPr>
          <w:rFonts w:ascii="Palatino Linotype" w:eastAsia="Palatino Linotype" w:hAnsi="Palatino Linotype" w:cs="Palatino Linotype"/>
          <w:color w:val="000000" w:themeColor="text1"/>
        </w:rPr>
        <w:t xml:space="preserve"> </w:t>
      </w:r>
      <w:r w:rsidRPr="003672D4">
        <w:rPr>
          <w:rFonts w:ascii="Palatino Linotype" w:eastAsia="Palatino Linotype" w:hAnsi="Palatino Linotype" w:cs="Palatino Linotype"/>
          <w:color w:val="000000" w:themeColor="text1"/>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rsidR="00862AEF" w:rsidRPr="003672D4" w:rsidRDefault="00862AEF" w:rsidP="00862AEF">
      <w:pPr>
        <w:pBdr>
          <w:top w:val="nil"/>
          <w:left w:val="nil"/>
          <w:bottom w:val="nil"/>
          <w:right w:val="nil"/>
          <w:between w:val="nil"/>
        </w:pBdr>
        <w:jc w:val="both"/>
        <w:rPr>
          <w:rFonts w:ascii="Palatino Linotype" w:eastAsia="Palatino Linotype" w:hAnsi="Palatino Linotype" w:cs="Palatino Linotype"/>
          <w:color w:val="000000" w:themeColor="text1"/>
        </w:rPr>
      </w:pPr>
    </w:p>
    <w:p w:rsidR="00C45F5B" w:rsidRPr="003672D4" w:rsidRDefault="00C45F5B" w:rsidP="00862AEF">
      <w:pPr>
        <w:pStyle w:val="Ttulo3"/>
        <w:numPr>
          <w:ilvl w:val="0"/>
          <w:numId w:val="11"/>
        </w:numPr>
        <w:spacing w:before="40" w:after="0"/>
        <w:ind w:left="0" w:firstLine="0"/>
        <w:rPr>
          <w:rFonts w:ascii="Palatino Linotype" w:eastAsia="Palatino Linotype" w:hAnsi="Palatino Linotype" w:cs="Palatino Linotype"/>
          <w:b w:val="0"/>
          <w:color w:val="000000" w:themeColor="text1"/>
          <w:sz w:val="24"/>
          <w:szCs w:val="24"/>
        </w:rPr>
      </w:pPr>
      <w:r w:rsidRPr="003672D4">
        <w:rPr>
          <w:rFonts w:ascii="Palatino Linotype" w:eastAsia="Palatino Linotype" w:hAnsi="Palatino Linotype" w:cs="Palatino Linotype"/>
          <w:color w:val="000000" w:themeColor="text1"/>
          <w:sz w:val="24"/>
          <w:szCs w:val="24"/>
        </w:rPr>
        <w:t>Registro Federal de Contribuyentes (RFC)</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lastRenderedPageBreak/>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Lo anterior, resulta congruente con el Criterio 19/17 emitido por el Instituto Nacional de Transparencia, Acceso a la Información y Protección de Datos Personales, en el cual se señala lo siguiente:</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 xml:space="preserve">Registro Federal de Contribuyentes (RFC) de personas físicas.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El RFC es una clave de carácter fiscal, única e irrepetible, que permite identificar al titular, su edad y fecha de nacimiento, por lo que es un dato personal de carácter confidencial.</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lastRenderedPageBreak/>
        <w:t>De tal suerte, el Registro Federal de Contribuyentes de las personas físicas no guarda relación con la transparencia de los recursos públicos</w:t>
      </w:r>
      <w:r w:rsidRPr="003672D4">
        <w:rPr>
          <w:rFonts w:ascii="Palatino Linotype" w:eastAsia="Palatino Linotype" w:hAnsi="Palatino Linotype" w:cs="Palatino Linotype"/>
          <w:color w:val="000000" w:themeColor="text1"/>
        </w:rPr>
        <w:t>, así como tampoco con el desempeño laboral que pueda tener una persona.</w:t>
      </w:r>
    </w:p>
    <w:p w:rsidR="00C45F5B" w:rsidRPr="003672D4" w:rsidRDefault="00C45F5B" w:rsidP="00862AEF">
      <w:pPr>
        <w:pStyle w:val="Ttulo3"/>
        <w:numPr>
          <w:ilvl w:val="0"/>
          <w:numId w:val="11"/>
        </w:numPr>
        <w:spacing w:before="40" w:after="0"/>
        <w:ind w:left="0" w:firstLine="0"/>
        <w:rPr>
          <w:rFonts w:ascii="Palatino Linotype" w:eastAsia="Palatino Linotype" w:hAnsi="Palatino Linotype" w:cs="Palatino Linotype"/>
          <w:b w:val="0"/>
          <w:color w:val="000000" w:themeColor="text1"/>
          <w:sz w:val="24"/>
          <w:szCs w:val="24"/>
        </w:rPr>
      </w:pPr>
      <w:r w:rsidRPr="003672D4">
        <w:rPr>
          <w:rFonts w:ascii="Palatino Linotype" w:eastAsia="Palatino Linotype" w:hAnsi="Palatino Linotype" w:cs="Palatino Linotype"/>
          <w:color w:val="000000" w:themeColor="text1"/>
          <w:sz w:val="24"/>
          <w:szCs w:val="24"/>
        </w:rPr>
        <w:t>Deducciones personales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Es necesario precisar que existen deducciones que se generan con motivo de una decisión libre y voluntaria de los servidores públicos, como son: créditos personales, </w:t>
      </w:r>
      <w:r w:rsidRPr="003672D4">
        <w:rPr>
          <w:rFonts w:ascii="Palatino Linotype" w:eastAsia="Palatino Linotype" w:hAnsi="Palatino Linotype" w:cs="Palatino Linotype"/>
          <w:b/>
          <w:color w:val="000000" w:themeColor="text1"/>
          <w:u w:val="single"/>
        </w:rPr>
        <w:t>cuotas sindicales y fondo de resistencia del Sindicato Único de Trabajadores de los Poderes, Municipios e Institución Descentralizadas del Estado de México</w:t>
      </w:r>
      <w:r w:rsidRPr="003672D4">
        <w:rPr>
          <w:rFonts w:ascii="Palatino Linotype" w:eastAsia="Palatino Linotype" w:hAnsi="Palatino Linotype" w:cs="Palatino Linotype"/>
          <w:color w:val="000000" w:themeColor="text1"/>
        </w:rPr>
        <w:t>, seguro de vida, accidentes y enfermedades.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Asimismo, hay otras que se generan con motivo de una sentencia judicial, como es la pensión alimenticia que periódicamente se retira de la cuenta de un empleado, a efecto de que sea entregado a un tercero.  </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bookmarkStart w:id="6" w:name="_heading=h.1ksv4uv" w:colFirst="0" w:colLast="0"/>
      <w:bookmarkEnd w:id="6"/>
      <w:r w:rsidRPr="003672D4">
        <w:rPr>
          <w:rFonts w:ascii="Palatino Linotype" w:eastAsia="Palatino Linotype" w:hAnsi="Palatino Linotype" w:cs="Palatino Linotype"/>
          <w:color w:val="000000" w:themeColor="text1"/>
        </w:rPr>
        <w:t>Así, dichas deducciones reflejan el destino que un servidor público da a su patrimonio, lo que se aleja de la transparencia y rendición de cuentas.</w:t>
      </w:r>
    </w:p>
    <w:p w:rsidR="00C45F5B" w:rsidRPr="003672D4" w:rsidRDefault="00C45F5B" w:rsidP="00862AEF">
      <w:pPr>
        <w:pStyle w:val="Ttulo3"/>
        <w:numPr>
          <w:ilvl w:val="0"/>
          <w:numId w:val="11"/>
        </w:numPr>
        <w:spacing w:before="40" w:after="0"/>
        <w:ind w:left="0" w:firstLine="0"/>
        <w:rPr>
          <w:rFonts w:ascii="Palatino Linotype" w:eastAsia="Palatino Linotype" w:hAnsi="Palatino Linotype" w:cs="Palatino Linotype"/>
          <w:b w:val="0"/>
          <w:color w:val="000000" w:themeColor="text1"/>
          <w:sz w:val="24"/>
          <w:szCs w:val="24"/>
        </w:rPr>
      </w:pPr>
      <w:r w:rsidRPr="003672D4">
        <w:rPr>
          <w:rFonts w:ascii="Palatino Linotype" w:eastAsia="Palatino Linotype" w:hAnsi="Palatino Linotype" w:cs="Palatino Linotype"/>
          <w:color w:val="000000" w:themeColor="text1"/>
          <w:sz w:val="24"/>
          <w:szCs w:val="24"/>
        </w:rPr>
        <w:lastRenderedPageBreak/>
        <w:t>CÓDIGO QR</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En principio, resulta necesario señalar que los comprobantes fiscales digitales por Internet, deben de incluir un código bidimensional conforme al formato </w:t>
      </w:r>
      <w:r w:rsidRPr="003672D4">
        <w:rPr>
          <w:rFonts w:ascii="Palatino Linotype" w:eastAsia="Palatino Linotype" w:hAnsi="Palatino Linotype" w:cs="Palatino Linotype"/>
          <w:i/>
          <w:color w:val="000000" w:themeColor="text1"/>
        </w:rPr>
        <w:t>QR Code (Quick Response Code)</w:t>
      </w:r>
      <w:r w:rsidRPr="003672D4">
        <w:rPr>
          <w:rFonts w:ascii="Palatino Linotype" w:eastAsia="Palatino Linotype" w:hAnsi="Palatino Linotype" w:cs="Palatino Linotype"/>
          <w:color w:val="000000" w:themeColor="text1"/>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sidRPr="003672D4">
          <w:rPr>
            <w:rFonts w:ascii="Palatino Linotype" w:eastAsia="Palatino Linotype" w:hAnsi="Palatino Linotype" w:cs="Palatino Linotype"/>
            <w:color w:val="000000" w:themeColor="text1"/>
            <w:u w:val="single"/>
          </w:rPr>
          <w:t>http://dof.gob.mx/nota_detalle.php?codigo=5492254&amp;fecha=28/07/2017</w:t>
        </w:r>
      </w:hyperlink>
      <w:r w:rsidRPr="003672D4">
        <w:rPr>
          <w:rFonts w:ascii="Palatino Linotype" w:eastAsia="Palatino Linotype" w:hAnsi="Palatino Linotype" w:cs="Palatino Linotype"/>
          <w:color w:val="000000" w:themeColor="text1"/>
        </w:rPr>
        <w:t>. Incluso con la captura de dicho código, a través de la aplicación móvil del Servicio de Administración Tributaria, permite el acceso al Registro Federal de Contribuyentes, como del Sujeto Obligado, como de los servidores públicos.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Hasta este punto, se considera que la información relacionada con los siguientes puntos actualiza una causal de confidencialidad, toda vez que identifica o hace identificable a su titular.</w:t>
      </w:r>
    </w:p>
    <w:p w:rsidR="00C45F5B" w:rsidRPr="003672D4" w:rsidRDefault="00C45F5B" w:rsidP="00452C7E">
      <w:pPr>
        <w:numPr>
          <w:ilvl w:val="0"/>
          <w:numId w:val="10"/>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Clave Única de Registro de Población (CURP)</w:t>
      </w:r>
    </w:p>
    <w:p w:rsidR="00C45F5B" w:rsidRPr="003672D4" w:rsidRDefault="00C45F5B" w:rsidP="00452C7E">
      <w:pPr>
        <w:numPr>
          <w:ilvl w:val="0"/>
          <w:numId w:val="10"/>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Clave ISSEMyM</w:t>
      </w:r>
    </w:p>
    <w:p w:rsidR="00C45F5B" w:rsidRPr="003672D4" w:rsidRDefault="00C45F5B" w:rsidP="00452C7E">
      <w:pPr>
        <w:numPr>
          <w:ilvl w:val="0"/>
          <w:numId w:val="10"/>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Número de empleado </w:t>
      </w:r>
      <w:r w:rsidRPr="003672D4">
        <w:rPr>
          <w:rFonts w:ascii="Palatino Linotype" w:eastAsia="Palatino Linotype" w:hAnsi="Palatino Linotype" w:cs="Palatino Linotype"/>
          <w:b/>
          <w:color w:val="000000" w:themeColor="text1"/>
        </w:rPr>
        <w:t>(sólo en el caso de que contenga datos personales o se relacione con los mismos, de lo contrario es información pública)</w:t>
      </w:r>
    </w:p>
    <w:p w:rsidR="00C45F5B" w:rsidRPr="003672D4" w:rsidRDefault="00C45F5B" w:rsidP="00452C7E">
      <w:pPr>
        <w:numPr>
          <w:ilvl w:val="0"/>
          <w:numId w:val="10"/>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Registro Federal de Contribuyentes (RFC)</w:t>
      </w:r>
    </w:p>
    <w:p w:rsidR="00C45F5B" w:rsidRPr="003672D4" w:rsidRDefault="00C45F5B" w:rsidP="00452C7E">
      <w:pPr>
        <w:numPr>
          <w:ilvl w:val="0"/>
          <w:numId w:val="10"/>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Deducciones personales</w:t>
      </w:r>
    </w:p>
    <w:p w:rsidR="00C45F5B" w:rsidRPr="003672D4" w:rsidRDefault="00C45F5B" w:rsidP="00452C7E">
      <w:pPr>
        <w:numPr>
          <w:ilvl w:val="0"/>
          <w:numId w:val="10"/>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Código QR</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lastRenderedPageBreak/>
        <w:t>Es decir, los datos personales enlistados constituyen datos personales confidenciales al actualizar el supuesto normativo del artículo 143, fracción I de la Ley de Transparencia y Acceso a la Información Pública del Estado de México y Municipios.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bookmarkStart w:id="7" w:name="_heading=h.44sinio" w:colFirst="0" w:colLast="0"/>
      <w:bookmarkEnd w:id="7"/>
      <w:r w:rsidRPr="003672D4">
        <w:rPr>
          <w:rFonts w:ascii="Palatino Linotype" w:eastAsia="Palatino Linotype" w:hAnsi="Palatino Linotype" w:cs="Palatino Linotype"/>
          <w:color w:val="000000" w:themeColor="text1"/>
        </w:rPr>
        <w:t>Ahora bien, siguiendo con el análisis de los datos que contienen los recibos remitidos, siguen los siguientes:</w:t>
      </w:r>
    </w:p>
    <w:p w:rsidR="00C45F5B" w:rsidRPr="003672D4" w:rsidRDefault="00C45F5B" w:rsidP="00862AEF">
      <w:pPr>
        <w:pStyle w:val="Ttulo3"/>
        <w:numPr>
          <w:ilvl w:val="0"/>
          <w:numId w:val="12"/>
        </w:numPr>
        <w:spacing w:before="40" w:after="0" w:line="360" w:lineRule="auto"/>
        <w:ind w:left="0" w:firstLine="0"/>
        <w:jc w:val="both"/>
        <w:rPr>
          <w:rFonts w:ascii="Palatino Linotype" w:eastAsia="Palatino Linotype" w:hAnsi="Palatino Linotype" w:cs="Palatino Linotype"/>
          <w:b w:val="0"/>
          <w:color w:val="000000" w:themeColor="text1"/>
          <w:sz w:val="24"/>
          <w:szCs w:val="24"/>
        </w:rPr>
      </w:pPr>
      <w:r w:rsidRPr="003672D4">
        <w:rPr>
          <w:rFonts w:ascii="Palatino Linotype" w:eastAsia="Palatino Linotype" w:hAnsi="Palatino Linotype" w:cs="Palatino Linotype"/>
          <w:color w:val="000000" w:themeColor="text1"/>
          <w:sz w:val="24"/>
          <w:szCs w:val="24"/>
        </w:rPr>
        <w:t>Sellos digitales del emisor y del Servicio de Administración Tributaria y cadena original del complemento de certificación digital del órgano previamente señalado; así como folio fiscal. (PUBLICOS)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lastRenderedPageBreak/>
        <w:t>Las cadenas originales y sellos que se agregan a las facturas</w:t>
      </w:r>
      <w:r w:rsidRPr="003672D4">
        <w:rPr>
          <w:rFonts w:ascii="Palatino Linotype" w:eastAsia="Palatino Linotype" w:hAnsi="Palatino Linotype" w:cs="Palatino Linotype"/>
          <w:b/>
          <w:color w:val="000000" w:themeColor="text1"/>
        </w:rPr>
        <w:t>,</w:t>
      </w:r>
      <w:r w:rsidRPr="003672D4">
        <w:rPr>
          <w:rFonts w:ascii="Palatino Linotype" w:eastAsia="Palatino Linotype" w:hAnsi="Palatino Linotype" w:cs="Palatino Linotype"/>
          <w:color w:val="000000" w:themeColor="text1"/>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“Elementos utilizados en la generación de Sellos Digitales:</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•Cadena Original, el elemento a sellar, en este caso de un comprobante fiscal digital a través de Internet.</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•Certificado de Sello Digital y su correspondiente clave privada.</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•Algoritmos de criptografía de clave pública para firma electrónica avanzada.</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•Especificaciones de conversión de la firma electrónica avanzada a Base 64.</w:t>
      </w:r>
    </w:p>
    <w:p w:rsidR="00C45F5B" w:rsidRPr="003672D4" w:rsidRDefault="00C45F5B" w:rsidP="00452C7E">
      <w:pP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Para la generación de sellos digitales se utiliza criptografía de clave pública aplicada a una cadena original.</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Criptografía de la Clave Pública</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Por otra parte, por lo que hace Folio Fiscal, cabe precisar que conforme al ANEXO 20 de la Segunda Resolución de modificaciones a la Resolución Miscelánea Fiscal para dos mil </w:t>
      </w:r>
      <w:r w:rsidRPr="003672D4">
        <w:rPr>
          <w:rFonts w:ascii="Palatino Linotype" w:eastAsia="Palatino Linotype" w:hAnsi="Palatino Linotype" w:cs="Palatino Linotype"/>
          <w:color w:val="000000" w:themeColor="text1"/>
        </w:rPr>
        <w:lastRenderedPageBreak/>
        <w:t>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C45F5B" w:rsidRPr="003672D4" w:rsidRDefault="00C45F5B" w:rsidP="00452C7E">
      <w:pPr>
        <w:shd w:val="clear" w:color="auto" w:fill="FFFFFF"/>
        <w:spacing w:before="240" w:after="240" w:line="360" w:lineRule="auto"/>
        <w:jc w:val="center"/>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noProof/>
          <w:color w:val="000000" w:themeColor="text1"/>
        </w:rPr>
        <w:drawing>
          <wp:inline distT="0" distB="0" distL="0" distR="0" wp14:anchorId="354EE14B" wp14:editId="2E25CD6B">
            <wp:extent cx="4223672" cy="257175"/>
            <wp:effectExtent l="0" t="0" r="5715" b="0"/>
            <wp:docPr id="6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t="40505" r="32587" b="47481"/>
                    <a:stretch>
                      <a:fillRect/>
                    </a:stretch>
                  </pic:blipFill>
                  <pic:spPr>
                    <a:xfrm>
                      <a:off x="0" y="0"/>
                      <a:ext cx="4237117" cy="257994"/>
                    </a:xfrm>
                    <a:prstGeom prst="rect">
                      <a:avLst/>
                    </a:prstGeom>
                    <a:ln/>
                  </pic:spPr>
                </pic:pic>
              </a:graphicData>
            </a:graphic>
          </wp:inline>
        </w:drawing>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rsidR="00C45F5B" w:rsidRPr="003672D4" w:rsidRDefault="00C45F5B" w:rsidP="00862AEF">
      <w:pPr>
        <w:pStyle w:val="Prrafodelista"/>
        <w:numPr>
          <w:ilvl w:val="0"/>
          <w:numId w:val="1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sz w:val="24"/>
        </w:rPr>
      </w:pPr>
      <w:r w:rsidRPr="003672D4">
        <w:rPr>
          <w:rFonts w:ascii="Palatino Linotype" w:eastAsia="Palatino Linotype" w:hAnsi="Palatino Linotype" w:cs="Palatino Linotype"/>
          <w:b/>
          <w:color w:val="000000" w:themeColor="text1"/>
          <w:sz w:val="24"/>
        </w:rPr>
        <w:lastRenderedPageBreak/>
        <w:t>Deducciones que no son personales.</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La Ley del Trabajo de los Servidores Públicos del Estado y Municipios</w:t>
      </w:r>
      <w:r w:rsidRPr="003672D4">
        <w:rPr>
          <w:rFonts w:ascii="Palatino Linotype" w:eastAsia="Palatino Linotype" w:hAnsi="Palatino Linotype" w:cs="Palatino Linotype"/>
          <w:color w:val="000000" w:themeColor="text1"/>
          <w:vertAlign w:val="superscript"/>
        </w:rPr>
        <w:footnoteReference w:id="5"/>
      </w:r>
      <w:r w:rsidRPr="003672D4">
        <w:rPr>
          <w:rFonts w:ascii="Palatino Linotype" w:eastAsia="Palatino Linotype" w:hAnsi="Palatino Linotype" w:cs="Palatino Linotype"/>
          <w:color w:val="000000" w:themeColor="text1"/>
        </w:rPr>
        <w:t xml:space="preserve"> en el artículo 84 establece lo siguiente:</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ARTÍCULO 84. Sólo podrán hacerse retenciones, descuentos o deducciones al sueldo de los servidores públicos por concepto de: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I. Gravámenes fiscales relacionados con el sueldo;</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II. Deudas contraídas con las instituciones públicas o dependencias por concepto de anticipos de sueldo, pagos hechos con exceso, errores o pérdidas debidamente comprobados;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III. Cuotas sindicales;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 xml:space="preserve">IV. Cuotas de aportación a fondos para la constitución de cooperativas y de cajas de ahorro, siempre que el servidor público hubiese manifestado previamente, de manera expresa, su conformidad;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672D4">
        <w:rPr>
          <w:rFonts w:ascii="Palatino Linotype" w:eastAsia="Palatino Linotype" w:hAnsi="Palatino Linotype" w:cs="Palatino Linotype"/>
          <w:b/>
          <w:i/>
          <w:color w:val="000000" w:themeColor="text1"/>
        </w:rPr>
        <w:t xml:space="preserve">V. Descuentos ordenados por el Instituto de Seguridad Social del Estado de México y Municipios, con motivo de cuotas y obligaciones contraídas con éste por los servidores públicos;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VI. Obligaciones a cargo del servidor público con las que haya consentido, derivadas de la adquisición o del uso de habitaciones consideradas como de interés social;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VII. Faltas de puntualidad o de asistencia injustificadas; </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 xml:space="preserve">VIII. Pensiones alimenticias ordenadas por la autoridad judicial; o </w:t>
      </w:r>
    </w:p>
    <w:p w:rsidR="00C45F5B" w:rsidRDefault="00C45F5B" w:rsidP="00452C7E">
      <w:pPr>
        <w:pBdr>
          <w:top w:val="nil"/>
          <w:left w:val="nil"/>
          <w:bottom w:val="nil"/>
          <w:right w:val="nil"/>
          <w:between w:val="nil"/>
        </w:pBdr>
        <w:jc w:val="both"/>
        <w:rPr>
          <w:rFonts w:ascii="Palatino Linotype" w:eastAsia="Palatino Linotype" w:hAnsi="Palatino Linotype" w:cs="Palatino Linotype"/>
          <w:i/>
          <w:color w:val="000000" w:themeColor="text1"/>
        </w:rPr>
      </w:pPr>
      <w:r w:rsidRPr="003672D4">
        <w:rPr>
          <w:rFonts w:ascii="Palatino Linotype" w:eastAsia="Palatino Linotype" w:hAnsi="Palatino Linotype" w:cs="Palatino Linotype"/>
          <w:i/>
          <w:color w:val="000000" w:themeColor="text1"/>
        </w:rPr>
        <w:t>IX. Cualquier otro convenido con instituciones de servicios y aceptado por el servidor público.</w:t>
      </w:r>
    </w:p>
    <w:p w:rsidR="00862AEF" w:rsidRPr="003672D4" w:rsidRDefault="00862AEF" w:rsidP="00452C7E">
      <w:pPr>
        <w:pBdr>
          <w:top w:val="nil"/>
          <w:left w:val="nil"/>
          <w:bottom w:val="nil"/>
          <w:right w:val="nil"/>
          <w:between w:val="nil"/>
        </w:pBdr>
        <w:jc w:val="both"/>
        <w:rPr>
          <w:rFonts w:ascii="Palatino Linotype" w:eastAsia="Palatino Linotype" w:hAnsi="Palatino Linotype" w:cs="Palatino Linotype"/>
          <w:i/>
          <w:color w:val="000000" w:themeColor="text1"/>
        </w:rPr>
      </w:pP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w:t>
      </w:r>
      <w:r w:rsidRPr="003672D4">
        <w:rPr>
          <w:rFonts w:ascii="Palatino Linotype" w:eastAsia="Palatino Linotype" w:hAnsi="Palatino Linotype" w:cs="Palatino Linotype"/>
          <w:color w:val="000000" w:themeColor="text1"/>
        </w:rPr>
        <w:lastRenderedPageBreak/>
        <w:t>públicos contrario a las deducciones personales que son por voluntad de cada servidor público.</w:t>
      </w:r>
    </w:p>
    <w:p w:rsidR="00C45F5B" w:rsidRPr="003672D4" w:rsidRDefault="00C45F5B" w:rsidP="00862AEF">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Seguro de Capitalización Individualizado.</w:t>
      </w: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El Sistema de Capitalización Individualizado es el mecanismo mediante el cual, un servidor público y la Institución en la que labora, acumulan recursos, adicionales a su pensión; mismo que se integra hasta por tres rubros, los cuales son los siguientes:</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w:t>
      </w:r>
      <w:r w:rsidRPr="003672D4">
        <w:rPr>
          <w:rFonts w:ascii="Palatino Linotype" w:eastAsia="Palatino Linotype" w:hAnsi="Palatino Linotype" w:cs="Palatino Linotype"/>
          <w:color w:val="000000" w:themeColor="text1"/>
        </w:rPr>
        <w:tab/>
        <w:t>Subcuenta de cuota obligatoria; que corresponde a un porcentaje del sueldo sujeto a cotización, que se descuenta al servir público de manera automática.</w:t>
      </w:r>
    </w:p>
    <w:p w:rsidR="00C45F5B" w:rsidRPr="003672D4" w:rsidRDefault="00C45F5B" w:rsidP="00452C7E">
      <w:pPr>
        <w:pBdr>
          <w:top w:val="nil"/>
          <w:left w:val="nil"/>
          <w:bottom w:val="nil"/>
          <w:right w:val="nil"/>
          <w:between w:val="nil"/>
        </w:pBd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w:t>
      </w:r>
      <w:r w:rsidRPr="003672D4">
        <w:rPr>
          <w:rFonts w:ascii="Palatino Linotype" w:eastAsia="Palatino Linotype" w:hAnsi="Palatino Linotype" w:cs="Palatino Linotype"/>
          <w:color w:val="000000" w:themeColor="text1"/>
        </w:rPr>
        <w:tab/>
        <w:t>Subcuenta de aportación obligatoria: que es la aportación que realiza la Institución a favor del servidor público, el cual equivale a un porcentaje del sueldo sujeto a cotización.</w:t>
      </w:r>
    </w:p>
    <w:p w:rsidR="00C45F5B" w:rsidRDefault="00C45F5B" w:rsidP="00452C7E">
      <w:pPr>
        <w:pBdr>
          <w:top w:val="nil"/>
          <w:left w:val="nil"/>
          <w:bottom w:val="nil"/>
          <w:right w:val="nil"/>
          <w:between w:val="nil"/>
        </w:pBd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w:t>
      </w:r>
      <w:r w:rsidRPr="003672D4">
        <w:rPr>
          <w:rFonts w:ascii="Palatino Linotype" w:eastAsia="Palatino Linotype" w:hAnsi="Palatino Linotype" w:cs="Palatino Linotype"/>
          <w:color w:val="000000" w:themeColor="text1"/>
        </w:rPr>
        <w:tab/>
        <w:t xml:space="preserve">Subcuenta voluntaria: que es la cantidad que cada servidor público decide ahorrar de acuerdo con sus aportaciones, permitiendo acumular mayores ingresos para su retiro. </w:t>
      </w:r>
    </w:p>
    <w:p w:rsidR="00862AEF" w:rsidRPr="003672D4" w:rsidRDefault="00862AEF" w:rsidP="00452C7E">
      <w:pPr>
        <w:pBdr>
          <w:top w:val="nil"/>
          <w:left w:val="nil"/>
          <w:bottom w:val="nil"/>
          <w:right w:val="nil"/>
          <w:between w:val="nil"/>
        </w:pBdr>
        <w:jc w:val="both"/>
        <w:rPr>
          <w:rFonts w:ascii="Palatino Linotype" w:eastAsia="Palatino Linotype" w:hAnsi="Palatino Linotype" w:cs="Palatino Linotype"/>
          <w:color w:val="000000" w:themeColor="text1"/>
        </w:rPr>
      </w:pP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C45F5B" w:rsidRDefault="00C45F5B" w:rsidP="00452C7E">
      <w:pPr>
        <w:pBdr>
          <w:top w:val="nil"/>
          <w:left w:val="nil"/>
          <w:bottom w:val="nil"/>
          <w:right w:val="nil"/>
          <w:between w:val="nil"/>
        </w:pBdr>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i/>
          <w:color w:val="000000" w:themeColor="text1"/>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w:t>
      </w:r>
      <w:r w:rsidRPr="003672D4">
        <w:rPr>
          <w:rFonts w:ascii="Palatino Linotype" w:eastAsia="Palatino Linotype" w:hAnsi="Palatino Linotype" w:cs="Palatino Linotype"/>
          <w:i/>
          <w:color w:val="000000" w:themeColor="text1"/>
        </w:rPr>
        <w:lastRenderedPageBreak/>
        <w:t>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3672D4">
        <w:rPr>
          <w:rFonts w:ascii="Palatino Linotype" w:eastAsia="Palatino Linotype" w:hAnsi="Palatino Linotype" w:cs="Palatino Linotype"/>
          <w:color w:val="000000" w:themeColor="text1"/>
        </w:rPr>
        <w:t xml:space="preserve"> </w:t>
      </w:r>
    </w:p>
    <w:p w:rsidR="00862AEF" w:rsidRPr="003672D4" w:rsidRDefault="00862AEF" w:rsidP="00452C7E">
      <w:pPr>
        <w:pBdr>
          <w:top w:val="nil"/>
          <w:left w:val="nil"/>
          <w:bottom w:val="nil"/>
          <w:right w:val="nil"/>
          <w:between w:val="nil"/>
        </w:pBdr>
        <w:jc w:val="both"/>
        <w:rPr>
          <w:rFonts w:ascii="Palatino Linotype" w:eastAsia="Palatino Linotype" w:hAnsi="Palatino Linotype" w:cs="Palatino Linotype"/>
          <w:i/>
          <w:color w:val="000000" w:themeColor="text1"/>
        </w:rPr>
      </w:pPr>
    </w:p>
    <w:p w:rsidR="00C45F5B" w:rsidRPr="003672D4" w:rsidRDefault="00C45F5B" w:rsidP="00452C7E">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rsidR="00C45F5B" w:rsidRPr="003672D4" w:rsidRDefault="00C45F5B" w:rsidP="00452C7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C45F5B" w:rsidRPr="003672D4" w:rsidRDefault="00C45F5B" w:rsidP="00452C7E">
      <w:pPr>
        <w:spacing w:line="360" w:lineRule="auto"/>
        <w:jc w:val="both"/>
        <w:rPr>
          <w:rFonts w:ascii="Palatino Linotype" w:eastAsia="Palatino Linotype" w:hAnsi="Palatino Linotype" w:cs="Palatino Linotype"/>
          <w:b/>
          <w:color w:val="000000" w:themeColor="text1"/>
        </w:rPr>
      </w:pPr>
    </w:p>
    <w:p w:rsidR="00142F69" w:rsidRPr="003672D4" w:rsidRDefault="00757088" w:rsidP="00452C7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color w:val="000000" w:themeColor="text1"/>
        </w:rPr>
        <w:lastRenderedPageBreak/>
        <w:t xml:space="preserve">Por lo anteriormente expuesto y fundado, este </w:t>
      </w:r>
      <w:r w:rsidRPr="003672D4">
        <w:rPr>
          <w:rFonts w:ascii="Palatino Linotype" w:eastAsia="Palatino Linotype" w:hAnsi="Palatino Linotype" w:cs="Palatino Linotype"/>
          <w:b/>
          <w:color w:val="000000" w:themeColor="text1"/>
        </w:rPr>
        <w:t>ÓRGANO GARANTE</w:t>
      </w:r>
      <w:r w:rsidRPr="003672D4">
        <w:rPr>
          <w:rFonts w:ascii="Palatino Linotype" w:eastAsia="Palatino Linotype" w:hAnsi="Palatino Linotype" w:cs="Palatino Linotype"/>
          <w:color w:val="000000" w:themeColor="text1"/>
        </w:rPr>
        <w:t xml:space="preserve"> emite los siguientes:</w:t>
      </w:r>
      <w:r w:rsidR="00862AEF">
        <w:rPr>
          <w:rFonts w:ascii="Palatino Linotype" w:eastAsia="Palatino Linotype" w:hAnsi="Palatino Linotype" w:cs="Palatino Linotype"/>
          <w:color w:val="000000" w:themeColor="text1"/>
        </w:rPr>
        <w:t xml:space="preserve"> -----------------------------------------------------------------------------------------------------------</w:t>
      </w:r>
    </w:p>
    <w:p w:rsidR="00142F69" w:rsidRPr="003672D4" w:rsidRDefault="00142F69" w:rsidP="00452C7E">
      <w:pPr>
        <w:spacing w:line="360" w:lineRule="auto"/>
        <w:jc w:val="both"/>
        <w:rPr>
          <w:rFonts w:ascii="Palatino Linotype" w:eastAsia="Palatino Linotype" w:hAnsi="Palatino Linotype" w:cs="Palatino Linotype"/>
          <w:b/>
          <w:color w:val="000000" w:themeColor="text1"/>
        </w:rPr>
      </w:pPr>
    </w:p>
    <w:p w:rsidR="00142F69" w:rsidRPr="003672D4" w:rsidRDefault="00757088" w:rsidP="00452C7E">
      <w:pPr>
        <w:keepNext/>
        <w:keepLines/>
        <w:spacing w:line="360" w:lineRule="auto"/>
        <w:jc w:val="center"/>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R E S O L U T I V O S</w:t>
      </w:r>
    </w:p>
    <w:p w:rsidR="00142F69" w:rsidRPr="003672D4" w:rsidRDefault="00757088" w:rsidP="00452C7E">
      <w:pPr>
        <w:spacing w:before="240" w:after="240" w:line="360" w:lineRule="auto"/>
        <w:jc w:val="both"/>
        <w:rPr>
          <w:rFonts w:ascii="Palatino Linotype" w:eastAsia="Palatino Linotype" w:hAnsi="Palatino Linotype" w:cs="Palatino Linotype"/>
          <w:color w:val="000000" w:themeColor="text1"/>
        </w:rPr>
      </w:pPr>
      <w:bookmarkStart w:id="8" w:name="_heading=h.ili7lk47j2e1" w:colFirst="0" w:colLast="0"/>
      <w:bookmarkEnd w:id="8"/>
      <w:r w:rsidRPr="003672D4">
        <w:rPr>
          <w:rFonts w:ascii="Palatino Linotype" w:eastAsia="Palatino Linotype" w:hAnsi="Palatino Linotype" w:cs="Palatino Linotype"/>
          <w:b/>
          <w:color w:val="000000" w:themeColor="text1"/>
        </w:rPr>
        <w:t>PRIMERO</w:t>
      </w:r>
      <w:r w:rsidRPr="003672D4">
        <w:rPr>
          <w:rFonts w:ascii="Palatino Linotype" w:eastAsia="Palatino Linotype" w:hAnsi="Palatino Linotype" w:cs="Palatino Linotype"/>
          <w:color w:val="000000" w:themeColor="text1"/>
        </w:rPr>
        <w:t xml:space="preserve">. Resultan fundadas las razones o motivos de inconformidad hechos valer en el Recurso de Revisión </w:t>
      </w:r>
      <w:r w:rsidR="00C45F5B" w:rsidRPr="003672D4">
        <w:rPr>
          <w:rFonts w:ascii="Palatino Linotype" w:eastAsia="Palatino Linotype" w:hAnsi="Palatino Linotype" w:cs="Palatino Linotype"/>
          <w:b/>
          <w:color w:val="000000" w:themeColor="text1"/>
        </w:rPr>
        <w:t>06468</w:t>
      </w:r>
      <w:r w:rsidRPr="003672D4">
        <w:rPr>
          <w:rFonts w:ascii="Palatino Linotype" w:eastAsia="Palatino Linotype" w:hAnsi="Palatino Linotype" w:cs="Palatino Linotype"/>
          <w:b/>
          <w:color w:val="000000" w:themeColor="text1"/>
        </w:rPr>
        <w:t>/INFOEM/IP/RR/2025</w:t>
      </w:r>
      <w:r w:rsidRPr="003672D4">
        <w:rPr>
          <w:rFonts w:ascii="Palatino Linotype" w:eastAsia="Palatino Linotype" w:hAnsi="Palatino Linotype" w:cs="Palatino Linotype"/>
          <w:color w:val="000000" w:themeColor="text1"/>
        </w:rPr>
        <w:t>,</w:t>
      </w: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en términos del Considerando y Quinto</w:t>
      </w:r>
      <w:r w:rsidRPr="003672D4">
        <w:rPr>
          <w:rFonts w:ascii="Palatino Linotype" w:eastAsia="Palatino Linotype" w:hAnsi="Palatino Linotype" w:cs="Palatino Linotype"/>
          <w:b/>
          <w:color w:val="000000" w:themeColor="text1"/>
        </w:rPr>
        <w:t xml:space="preserve"> </w:t>
      </w:r>
      <w:r w:rsidRPr="003672D4">
        <w:rPr>
          <w:rFonts w:ascii="Palatino Linotype" w:eastAsia="Palatino Linotype" w:hAnsi="Palatino Linotype" w:cs="Palatino Linotype"/>
          <w:color w:val="000000" w:themeColor="text1"/>
        </w:rPr>
        <w:t>de la presente Resolución.</w:t>
      </w:r>
    </w:p>
    <w:p w:rsidR="00C45F5B" w:rsidRPr="003672D4" w:rsidRDefault="00757088" w:rsidP="00452C7E">
      <w:pPr>
        <w:shd w:val="clear" w:color="auto" w:fill="FFFFFF"/>
        <w:spacing w:before="240" w:after="360" w:line="360" w:lineRule="auto"/>
        <w:jc w:val="both"/>
        <w:rPr>
          <w:rFonts w:ascii="Palatino Linotype" w:eastAsia="Palatino Linotype" w:hAnsi="Palatino Linotype" w:cs="Palatino Linotype"/>
          <w:color w:val="000000" w:themeColor="text1"/>
        </w:rPr>
      </w:pPr>
      <w:bookmarkStart w:id="9" w:name="_heading=h.1fob9te" w:colFirst="0" w:colLast="0"/>
      <w:bookmarkEnd w:id="9"/>
      <w:r w:rsidRPr="003672D4">
        <w:rPr>
          <w:rFonts w:ascii="Palatino Linotype" w:eastAsia="Palatino Linotype" w:hAnsi="Palatino Linotype" w:cs="Palatino Linotype"/>
          <w:b/>
          <w:color w:val="000000" w:themeColor="text1"/>
        </w:rPr>
        <w:t xml:space="preserve">SEGUNDO. </w:t>
      </w:r>
      <w:r w:rsidRPr="003672D4">
        <w:rPr>
          <w:rFonts w:ascii="Palatino Linotype" w:eastAsia="Palatino Linotype" w:hAnsi="Palatino Linotype" w:cs="Palatino Linotype"/>
          <w:color w:val="000000" w:themeColor="text1"/>
        </w:rPr>
        <w:t xml:space="preserve">Se </w:t>
      </w:r>
      <w:r w:rsidRPr="003672D4">
        <w:rPr>
          <w:rFonts w:ascii="Palatino Linotype" w:eastAsia="Palatino Linotype" w:hAnsi="Palatino Linotype" w:cs="Palatino Linotype"/>
          <w:b/>
          <w:color w:val="000000" w:themeColor="text1"/>
        </w:rPr>
        <w:t xml:space="preserve">REVOCA </w:t>
      </w:r>
      <w:r w:rsidRPr="003672D4">
        <w:rPr>
          <w:rFonts w:ascii="Palatino Linotype" w:eastAsia="Palatino Linotype" w:hAnsi="Palatino Linotype" w:cs="Palatino Linotype"/>
          <w:color w:val="000000" w:themeColor="text1"/>
        </w:rPr>
        <w:t xml:space="preserve">la respuesta emitida por el </w:t>
      </w:r>
      <w:r w:rsidRPr="003672D4">
        <w:rPr>
          <w:rFonts w:ascii="Palatino Linotype" w:eastAsia="Palatino Linotype" w:hAnsi="Palatino Linotype" w:cs="Palatino Linotype"/>
          <w:b/>
          <w:color w:val="000000" w:themeColor="text1"/>
        </w:rPr>
        <w:t xml:space="preserve">Ayuntamiento de Toluca </w:t>
      </w:r>
      <w:r w:rsidRPr="003672D4">
        <w:rPr>
          <w:rFonts w:ascii="Palatino Linotype" w:eastAsia="Palatino Linotype" w:hAnsi="Palatino Linotype" w:cs="Palatino Linotype"/>
          <w:color w:val="000000" w:themeColor="text1"/>
        </w:rPr>
        <w:t xml:space="preserve">y se </w:t>
      </w:r>
      <w:r w:rsidRPr="003672D4">
        <w:rPr>
          <w:rFonts w:ascii="Palatino Linotype" w:eastAsia="Palatino Linotype" w:hAnsi="Palatino Linotype" w:cs="Palatino Linotype"/>
          <w:b/>
          <w:color w:val="000000" w:themeColor="text1"/>
        </w:rPr>
        <w:t>ORDENA</w:t>
      </w:r>
      <w:r w:rsidRPr="003672D4">
        <w:rPr>
          <w:rFonts w:ascii="Palatino Linotype" w:eastAsia="Palatino Linotype" w:hAnsi="Palatino Linotype" w:cs="Palatino Linotype"/>
          <w:color w:val="000000" w:themeColor="text1"/>
        </w:rPr>
        <w:t xml:space="preserve"> entregar vía Sistema de Accesos a la Información Mexiquense </w:t>
      </w:r>
      <w:r w:rsidRPr="003672D4">
        <w:rPr>
          <w:rFonts w:ascii="Palatino Linotype" w:eastAsia="Palatino Linotype" w:hAnsi="Palatino Linotype" w:cs="Palatino Linotype"/>
          <w:b/>
          <w:color w:val="000000" w:themeColor="text1"/>
        </w:rPr>
        <w:t>(SAIMEX)</w:t>
      </w:r>
      <w:r w:rsidRPr="003672D4">
        <w:rPr>
          <w:rFonts w:ascii="Palatino Linotype" w:eastAsia="Palatino Linotype" w:hAnsi="Palatino Linotype" w:cs="Palatino Linotype"/>
          <w:color w:val="000000" w:themeColor="text1"/>
        </w:rPr>
        <w:t>, previa búsqueda exhaustiva y razonable, de ser procedente en versión pública</w:t>
      </w:r>
      <w:r w:rsidRPr="003672D4">
        <w:rPr>
          <w:rFonts w:ascii="Palatino Linotype" w:eastAsia="Palatino Linotype" w:hAnsi="Palatino Linotype" w:cs="Palatino Linotype"/>
          <w:b/>
          <w:color w:val="000000" w:themeColor="text1"/>
        </w:rPr>
        <w:t xml:space="preserve">, </w:t>
      </w:r>
      <w:r w:rsidR="00C45F5B" w:rsidRPr="003672D4">
        <w:rPr>
          <w:rFonts w:ascii="Palatino Linotype" w:eastAsia="Palatino Linotype" w:hAnsi="Palatino Linotype" w:cs="Palatino Linotype"/>
          <w:color w:val="000000" w:themeColor="text1"/>
        </w:rPr>
        <w:t>lo siguiente:</w:t>
      </w:r>
    </w:p>
    <w:p w:rsidR="00C45F5B" w:rsidRPr="003672D4" w:rsidRDefault="00C45F5B" w:rsidP="00452C7E">
      <w:pPr>
        <w:pStyle w:val="Prrafodelista"/>
        <w:numPr>
          <w:ilvl w:val="0"/>
          <w:numId w:val="16"/>
        </w:numPr>
        <w:shd w:val="clear" w:color="auto" w:fill="FFFFFF"/>
        <w:spacing w:before="240" w:after="360" w:line="360" w:lineRule="auto"/>
        <w:ind w:left="0" w:hanging="153"/>
        <w:jc w:val="both"/>
        <w:rPr>
          <w:rFonts w:ascii="Palatino Linotype" w:hAnsi="Palatino Linotype"/>
          <w:b/>
          <w:color w:val="000000" w:themeColor="text1"/>
          <w:sz w:val="24"/>
        </w:rPr>
      </w:pPr>
      <w:r w:rsidRPr="003672D4">
        <w:rPr>
          <w:rFonts w:ascii="Palatino Linotype" w:hAnsi="Palatino Linotype" w:cs="Tahoma"/>
          <w:b/>
          <w:bCs/>
          <w:iCs/>
          <w:color w:val="000000" w:themeColor="text1"/>
          <w:sz w:val="24"/>
          <w:lang w:eastAsia="es-ES"/>
        </w:rPr>
        <w:t xml:space="preserve">Plantilla de Personal del </w:t>
      </w:r>
      <w:r w:rsidRPr="003672D4">
        <w:rPr>
          <w:rFonts w:ascii="Palatino Linotype" w:hAnsi="Palatino Linotype"/>
          <w:b/>
          <w:color w:val="000000" w:themeColor="text1"/>
          <w:sz w:val="24"/>
        </w:rPr>
        <w:t>Departamento de Licencias y Permisos de la Dirección Gene</w:t>
      </w:r>
      <w:r w:rsidR="005857B8" w:rsidRPr="003672D4">
        <w:rPr>
          <w:rFonts w:ascii="Palatino Linotype" w:hAnsi="Palatino Linotype"/>
          <w:b/>
          <w:color w:val="000000" w:themeColor="text1"/>
          <w:sz w:val="24"/>
        </w:rPr>
        <w:t>ral de Desarrollo Económico, a la segunda quincena de abril de 2025.</w:t>
      </w:r>
    </w:p>
    <w:p w:rsidR="00C45F5B" w:rsidRPr="003672D4" w:rsidRDefault="00C45F5B" w:rsidP="00452C7E">
      <w:pPr>
        <w:pStyle w:val="Prrafodelista"/>
        <w:shd w:val="clear" w:color="auto" w:fill="FFFFFF"/>
        <w:spacing w:before="240" w:after="360" w:line="360" w:lineRule="auto"/>
        <w:ind w:left="0"/>
        <w:jc w:val="both"/>
        <w:rPr>
          <w:rFonts w:ascii="Palatino Linotype" w:hAnsi="Palatino Linotype"/>
          <w:b/>
          <w:color w:val="000000" w:themeColor="text1"/>
          <w:sz w:val="24"/>
        </w:rPr>
      </w:pPr>
    </w:p>
    <w:p w:rsidR="00C45F5B" w:rsidRPr="003672D4" w:rsidRDefault="00C45F5B" w:rsidP="00452C7E">
      <w:pPr>
        <w:pStyle w:val="Prrafodelista"/>
        <w:numPr>
          <w:ilvl w:val="0"/>
          <w:numId w:val="16"/>
        </w:numPr>
        <w:shd w:val="clear" w:color="auto" w:fill="FFFFFF"/>
        <w:spacing w:before="240" w:after="360" w:line="360" w:lineRule="auto"/>
        <w:ind w:left="0" w:hanging="153"/>
        <w:jc w:val="both"/>
        <w:rPr>
          <w:rFonts w:ascii="Palatino Linotype" w:hAnsi="Palatino Linotype"/>
          <w:b/>
          <w:color w:val="000000" w:themeColor="text1"/>
          <w:sz w:val="24"/>
        </w:rPr>
      </w:pPr>
      <w:r w:rsidRPr="003672D4">
        <w:rPr>
          <w:rFonts w:ascii="Palatino Linotype" w:hAnsi="Palatino Linotype" w:cs="Tahoma"/>
          <w:b/>
          <w:bCs/>
          <w:iCs/>
          <w:color w:val="000000" w:themeColor="text1"/>
          <w:sz w:val="24"/>
          <w:lang w:eastAsia="es-ES"/>
        </w:rPr>
        <w:t xml:space="preserve">Recibos de nómina del Personal del </w:t>
      </w:r>
      <w:r w:rsidRPr="003672D4">
        <w:rPr>
          <w:rFonts w:ascii="Palatino Linotype" w:hAnsi="Palatino Linotype"/>
          <w:b/>
          <w:color w:val="000000" w:themeColor="text1"/>
          <w:sz w:val="24"/>
        </w:rPr>
        <w:t>Departamento de Licencias y Permisos de la Dirección General de Des</w:t>
      </w:r>
      <w:r w:rsidR="002907C7" w:rsidRPr="003672D4">
        <w:rPr>
          <w:rFonts w:ascii="Palatino Linotype" w:hAnsi="Palatino Linotype"/>
          <w:b/>
          <w:color w:val="000000" w:themeColor="text1"/>
          <w:sz w:val="24"/>
        </w:rPr>
        <w:t>arrollo Económico, de la segunda</w:t>
      </w:r>
      <w:r w:rsidRPr="003672D4">
        <w:rPr>
          <w:rFonts w:ascii="Palatino Linotype" w:hAnsi="Palatino Linotype"/>
          <w:b/>
          <w:color w:val="000000" w:themeColor="text1"/>
          <w:sz w:val="24"/>
        </w:rPr>
        <w:t xml:space="preserve"> quincena de abril de 2025.</w:t>
      </w:r>
    </w:p>
    <w:p w:rsidR="00142F69" w:rsidRPr="003672D4" w:rsidRDefault="00757088" w:rsidP="00452C7E">
      <w:pPr>
        <w:spacing w:before="240" w:after="360" w:line="360" w:lineRule="auto"/>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3672D4">
        <w:rPr>
          <w:rFonts w:ascii="Palatino Linotype" w:eastAsia="Palatino Linotype" w:hAnsi="Palatino Linotype" w:cs="Palatino Linotype"/>
          <w:b/>
          <w:color w:val="000000" w:themeColor="text1"/>
        </w:rPr>
        <w:t xml:space="preserve"> RECURRENTE</w:t>
      </w:r>
      <w:r w:rsidRPr="003672D4">
        <w:rPr>
          <w:rFonts w:ascii="Palatino Linotype" w:eastAsia="Palatino Linotype" w:hAnsi="Palatino Linotype" w:cs="Palatino Linotype"/>
          <w:color w:val="000000" w:themeColor="text1"/>
        </w:rPr>
        <w:t>.</w:t>
      </w:r>
    </w:p>
    <w:p w:rsidR="00142F69" w:rsidRPr="003672D4" w:rsidRDefault="00757088" w:rsidP="00452C7E">
      <w:pPr>
        <w:spacing w:line="360" w:lineRule="auto"/>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lastRenderedPageBreak/>
        <w:t>TERCERO. Notifíquese vía SAIMEX l</w:t>
      </w:r>
      <w:r w:rsidRPr="003672D4">
        <w:rPr>
          <w:rFonts w:ascii="Palatino Linotype" w:eastAsia="Palatino Linotype" w:hAnsi="Palatino Linotype" w:cs="Palatino Linotype"/>
          <w:color w:val="000000" w:themeColor="text1"/>
        </w:rPr>
        <w:t xml:space="preserve">a presente resolución al Titular de la Unidad de Transparencia del </w:t>
      </w:r>
      <w:r w:rsidRPr="003672D4">
        <w:rPr>
          <w:rFonts w:ascii="Palatino Linotype" w:eastAsia="Palatino Linotype" w:hAnsi="Palatino Linotype" w:cs="Palatino Linotype"/>
          <w:b/>
          <w:color w:val="000000" w:themeColor="text1"/>
        </w:rPr>
        <w:t>SUJETO OBLIGADO</w:t>
      </w:r>
      <w:r w:rsidRPr="003672D4">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3672D4">
        <w:rPr>
          <w:rFonts w:ascii="Palatino Linotype" w:eastAsia="Palatino Linotype" w:hAnsi="Palatino Linotype" w:cs="Palatino Linotype"/>
          <w:b/>
          <w:color w:val="000000" w:themeColor="text1"/>
        </w:rPr>
        <w:t>dé cumplimiento a lo ordenado dentro del plazo de diez días hábiles</w:t>
      </w:r>
      <w:r w:rsidRPr="003672D4">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42F69" w:rsidRPr="003672D4" w:rsidRDefault="00142F69" w:rsidP="00452C7E">
      <w:pPr>
        <w:tabs>
          <w:tab w:val="left" w:pos="8080"/>
        </w:tabs>
        <w:spacing w:line="360" w:lineRule="auto"/>
        <w:jc w:val="both"/>
        <w:rPr>
          <w:rFonts w:ascii="Palatino Linotype" w:eastAsia="Palatino Linotype" w:hAnsi="Palatino Linotype" w:cs="Palatino Linotype"/>
          <w:color w:val="000000" w:themeColor="text1"/>
        </w:rPr>
      </w:pPr>
    </w:p>
    <w:p w:rsidR="00142F69" w:rsidRPr="003672D4" w:rsidRDefault="00757088" w:rsidP="00452C7E">
      <w:pPr>
        <w:shd w:val="clear" w:color="auto" w:fill="FFFFFF"/>
        <w:spacing w:after="240" w:line="360" w:lineRule="auto"/>
        <w:jc w:val="both"/>
        <w:rPr>
          <w:rFonts w:ascii="Palatino Linotype" w:eastAsia="Palatino Linotype" w:hAnsi="Palatino Linotype" w:cs="Palatino Linotype"/>
          <w:b/>
          <w:color w:val="000000" w:themeColor="text1"/>
        </w:rPr>
      </w:pPr>
      <w:r w:rsidRPr="003672D4">
        <w:rPr>
          <w:rFonts w:ascii="Palatino Linotype" w:eastAsia="Palatino Linotype" w:hAnsi="Palatino Linotype" w:cs="Palatino Linotype"/>
          <w:b/>
          <w:color w:val="000000" w:themeColor="text1"/>
        </w:rPr>
        <w:t>CUARTO. Notifíquese al RECURRENTE</w:t>
      </w:r>
      <w:r w:rsidRPr="003672D4">
        <w:rPr>
          <w:rFonts w:ascii="Palatino Linotype" w:eastAsia="Palatino Linotype" w:hAnsi="Palatino Linotype" w:cs="Palatino Linotype"/>
          <w:color w:val="000000" w:themeColor="text1"/>
        </w:rPr>
        <w:t xml:space="preserve"> la presente resolución vía </w:t>
      </w:r>
      <w:r w:rsidRPr="003672D4">
        <w:rPr>
          <w:rFonts w:ascii="Palatino Linotype" w:eastAsia="Palatino Linotype" w:hAnsi="Palatino Linotype" w:cs="Palatino Linotype"/>
          <w:b/>
          <w:color w:val="000000" w:themeColor="text1"/>
        </w:rPr>
        <w:t>SAIMEX.</w:t>
      </w:r>
    </w:p>
    <w:p w:rsidR="00142F69" w:rsidRPr="003672D4" w:rsidRDefault="00757088" w:rsidP="00452C7E">
      <w:pPr>
        <w:spacing w:before="240" w:after="240" w:line="360" w:lineRule="auto"/>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QUINTO.</w:t>
      </w:r>
      <w:r w:rsidRPr="003672D4">
        <w:rPr>
          <w:rFonts w:ascii="Palatino Linotype" w:eastAsia="Palatino Linotype" w:hAnsi="Palatino Linotype" w:cs="Palatino Linotype"/>
          <w:color w:val="000000" w:themeColor="text1"/>
        </w:rPr>
        <w:t xml:space="preserve"> Se hace del conocimiento del </w:t>
      </w:r>
      <w:r w:rsidRPr="003672D4">
        <w:rPr>
          <w:rFonts w:ascii="Palatino Linotype" w:eastAsia="Palatino Linotype" w:hAnsi="Palatino Linotype" w:cs="Palatino Linotype"/>
          <w:b/>
          <w:color w:val="000000" w:themeColor="text1"/>
        </w:rPr>
        <w:t>RECURRENTE</w:t>
      </w:r>
      <w:r w:rsidRPr="003672D4">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42F69" w:rsidRPr="003672D4" w:rsidRDefault="00757088" w:rsidP="00452C7E">
      <w:pPr>
        <w:spacing w:before="240" w:after="240" w:line="360" w:lineRule="auto"/>
        <w:jc w:val="both"/>
        <w:rPr>
          <w:rFonts w:ascii="Palatino Linotype" w:eastAsia="Palatino Linotype" w:hAnsi="Palatino Linotype" w:cs="Palatino Linotype"/>
          <w:color w:val="000000" w:themeColor="text1"/>
        </w:rPr>
      </w:pPr>
      <w:r w:rsidRPr="003672D4">
        <w:rPr>
          <w:rFonts w:ascii="Palatino Linotype" w:eastAsia="Palatino Linotype" w:hAnsi="Palatino Linotype" w:cs="Palatino Linotype"/>
          <w:b/>
          <w:color w:val="000000" w:themeColor="text1"/>
        </w:rPr>
        <w:t xml:space="preserve">SEXTO. </w:t>
      </w:r>
      <w:r w:rsidRPr="003672D4">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52C7E" w:rsidRPr="003672D4" w:rsidRDefault="00452C7E" w:rsidP="00452C7E">
      <w:pPr>
        <w:spacing w:before="240" w:after="240" w:line="360" w:lineRule="auto"/>
        <w:jc w:val="both"/>
        <w:rPr>
          <w:rFonts w:ascii="Palatino Linotype" w:eastAsia="Palatino Linotype" w:hAnsi="Palatino Linotype" w:cs="Palatino Linotype"/>
          <w:color w:val="000000" w:themeColor="text1"/>
        </w:rPr>
      </w:pPr>
    </w:p>
    <w:p w:rsidR="00014496" w:rsidRPr="009B0452" w:rsidRDefault="003672D4" w:rsidP="00014496">
      <w:pPr>
        <w:spacing w:line="360" w:lineRule="auto"/>
        <w:ind w:right="49"/>
        <w:jc w:val="both"/>
        <w:rPr>
          <w:rFonts w:ascii="Palatino Linotype" w:eastAsia="Palatino Linotype" w:hAnsi="Palatino Linotype" w:cs="Palatino Linotype"/>
        </w:rPr>
      </w:pPr>
      <w:r w:rsidRPr="003672D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w:t>
      </w:r>
      <w:r w:rsidRPr="003672D4">
        <w:rPr>
          <w:rFonts w:ascii="Palatino Linotype" w:eastAsia="Palatino Linotype" w:hAnsi="Palatino Linotype" w:cs="Palatino Linotype"/>
        </w:rPr>
        <w:lastRenderedPageBreak/>
        <w:t>LOS COMISIONADOS JOSÉ MARTÍNEZ VILCHIS CON AUSENCIA JUSTIFICADA, MARÍA DEL ROSARIO MEJÍA AYALA, SHARON CRISTINA MORALES MARTÍNEZ, LUIS GUSTAVO PARRA NORIEGA Y GUADALUPE RAMÍREZ PEÑA; EN LA VIGÉSIMA NOVENA SESIÓN ORDINARIA, CELEBRADA EL VEINTE (20) DE AGOSTO DE DOS MIL VEINTICINCO, ANTE EL SECRETARIO TÉCNICO DEL PLENO ALEXIS TAPIA RAMÍREZ</w:t>
      </w:r>
      <w:r w:rsidR="00014496" w:rsidRPr="003672D4">
        <w:rPr>
          <w:rFonts w:ascii="Palatino Linotype" w:eastAsia="Palatino Linotype" w:hAnsi="Palatino Linotype" w:cs="Palatino Linotype"/>
        </w:rPr>
        <w:t>.</w:t>
      </w: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jc w:val="both"/>
        <w:rPr>
          <w:rFonts w:ascii="Palatino Linotype" w:eastAsia="Palatino Linotype" w:hAnsi="Palatino Linotype" w:cs="Palatino Linotype"/>
          <w:color w:val="000000" w:themeColor="text1"/>
        </w:rPr>
      </w:pP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spacing w:line="360" w:lineRule="auto"/>
        <w:rPr>
          <w:rFonts w:ascii="Palatino Linotype" w:eastAsia="Palatino Linotype" w:hAnsi="Palatino Linotype" w:cs="Palatino Linotype"/>
          <w:color w:val="000000" w:themeColor="text1"/>
        </w:rPr>
      </w:pPr>
    </w:p>
    <w:p w:rsidR="00142F69" w:rsidRPr="00452C7E" w:rsidRDefault="00142F69" w:rsidP="00452C7E">
      <w:pPr>
        <w:rPr>
          <w:rFonts w:ascii="Palatino Linotype" w:eastAsia="Palatino Linotype" w:hAnsi="Palatino Linotype" w:cs="Palatino Linotype"/>
          <w:color w:val="000000" w:themeColor="text1"/>
        </w:rPr>
      </w:pPr>
    </w:p>
    <w:sectPr w:rsidR="00142F69" w:rsidRPr="00452C7E" w:rsidSect="00862AEF">
      <w:headerReference w:type="even" r:id="rId13"/>
      <w:headerReference w:type="default" r:id="rId14"/>
      <w:footerReference w:type="default" r:id="rId15"/>
      <w:headerReference w:type="first" r:id="rId16"/>
      <w:footerReference w:type="first" r:id="rId17"/>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29" w:rsidRDefault="00115A29">
      <w:r>
        <w:separator/>
      </w:r>
    </w:p>
  </w:endnote>
  <w:endnote w:type="continuationSeparator" w:id="0">
    <w:p w:rsidR="00115A29" w:rsidRDefault="0011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7" w:rsidRDefault="00967A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62AEF">
      <w:rPr>
        <w:b/>
        <w:noProof/>
        <w:color w:val="000000"/>
      </w:rPr>
      <w:t>32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62AEF">
      <w:rPr>
        <w:b/>
        <w:noProof/>
        <w:color w:val="000000"/>
      </w:rPr>
      <w:t>38</w:t>
    </w:r>
    <w:r>
      <w:rPr>
        <w:b/>
        <w:color w:val="000000"/>
      </w:rPr>
      <w:fldChar w:fldCharType="end"/>
    </w:r>
  </w:p>
  <w:p w:rsidR="00967A27" w:rsidRDefault="00967A2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7" w:rsidRDefault="00967A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62AE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62AEF">
      <w:rPr>
        <w:b/>
        <w:noProof/>
        <w:color w:val="000000"/>
      </w:rPr>
      <w:t>38</w:t>
    </w:r>
    <w:r>
      <w:rPr>
        <w:b/>
        <w:color w:val="000000"/>
      </w:rPr>
      <w:fldChar w:fldCharType="end"/>
    </w:r>
  </w:p>
  <w:p w:rsidR="00967A27" w:rsidRDefault="00967A2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29" w:rsidRDefault="00115A29">
      <w:r>
        <w:separator/>
      </w:r>
    </w:p>
  </w:footnote>
  <w:footnote w:type="continuationSeparator" w:id="0">
    <w:p w:rsidR="00115A29" w:rsidRDefault="00115A29">
      <w:r>
        <w:continuationSeparator/>
      </w:r>
    </w:p>
  </w:footnote>
  <w:footnote w:id="1">
    <w:p w:rsidR="00967A27" w:rsidRDefault="00967A2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967A27" w:rsidRDefault="00967A2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967A27" w:rsidRDefault="00967A2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967A27" w:rsidRDefault="00967A2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C45F5B" w:rsidRDefault="00C45F5B" w:rsidP="00C45F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https://legislacion.edomex.gob.mx/sites/legislacion.edomex.gob.mx/files/files/pdf/ley/vig/leyvig083.pdf</w:t>
        </w:r>
      </w:hyperlink>
    </w:p>
    <w:p w:rsidR="00C45F5B" w:rsidRDefault="00C45F5B" w:rsidP="00C45F5B">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7" w:rsidRDefault="00115A2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10206" w:type="dxa"/>
      <w:tblInd w:w="0" w:type="dxa"/>
      <w:tblLayout w:type="fixed"/>
      <w:tblLook w:val="0400" w:firstRow="0" w:lastRow="0" w:firstColumn="0" w:lastColumn="0" w:noHBand="0" w:noVBand="1"/>
    </w:tblPr>
    <w:tblGrid>
      <w:gridCol w:w="2835"/>
      <w:gridCol w:w="7371"/>
    </w:tblGrid>
    <w:tr w:rsidR="00967A27" w:rsidTr="00862AEF">
      <w:trPr>
        <w:trHeight w:val="1435"/>
      </w:trPr>
      <w:tc>
        <w:tcPr>
          <w:tcW w:w="2835" w:type="dxa"/>
          <w:shd w:val="clear" w:color="auto" w:fill="auto"/>
        </w:tcPr>
        <w:p w:rsidR="00967A27" w:rsidRDefault="00967A27">
          <w:pPr>
            <w:tabs>
              <w:tab w:val="right" w:pos="4273"/>
            </w:tabs>
            <w:rPr>
              <w:rFonts w:ascii="Garamond" w:eastAsia="Garamond" w:hAnsi="Garamond" w:cs="Garamond"/>
              <w:sz w:val="16"/>
              <w:szCs w:val="16"/>
            </w:rPr>
          </w:pPr>
        </w:p>
      </w:tc>
      <w:tc>
        <w:tcPr>
          <w:tcW w:w="7371" w:type="dxa"/>
          <w:shd w:val="clear" w:color="auto" w:fill="auto"/>
        </w:tcPr>
        <w:tbl>
          <w:tblPr>
            <w:tblStyle w:val="ab"/>
            <w:tblW w:w="7216" w:type="dxa"/>
            <w:tblInd w:w="40" w:type="dxa"/>
            <w:tblLayout w:type="fixed"/>
            <w:tblLook w:val="0400" w:firstRow="0" w:lastRow="0" w:firstColumn="0" w:lastColumn="0" w:noHBand="0" w:noVBand="1"/>
          </w:tblPr>
          <w:tblGrid>
            <w:gridCol w:w="3531"/>
            <w:gridCol w:w="3685"/>
          </w:tblGrid>
          <w:tr w:rsidR="00967A27" w:rsidTr="00862AEF">
            <w:trPr>
              <w:trHeight w:val="150"/>
            </w:trPr>
            <w:tc>
              <w:tcPr>
                <w:tcW w:w="3531" w:type="dxa"/>
                <w:shd w:val="clear" w:color="auto" w:fill="auto"/>
              </w:tcPr>
              <w:p w:rsidR="00967A27" w:rsidRPr="00452C7E" w:rsidRDefault="00967A27" w:rsidP="00452C7E">
                <w:pPr>
                  <w:tabs>
                    <w:tab w:val="right" w:pos="8838"/>
                  </w:tabs>
                  <w:ind w:left="850" w:right="-105"/>
                  <w:jc w:val="both"/>
                  <w:rPr>
                    <w:rFonts w:ascii="Palatino Linotype" w:eastAsia="Palatino Linotype" w:hAnsi="Palatino Linotype" w:cs="Palatino Linotype"/>
                    <w:b/>
                    <w:color w:val="000000" w:themeColor="text1"/>
                  </w:rPr>
                </w:pPr>
                <w:r w:rsidRPr="00452C7E">
                  <w:rPr>
                    <w:rFonts w:ascii="Palatino Linotype" w:eastAsia="Palatino Linotype" w:hAnsi="Palatino Linotype" w:cs="Palatino Linotype"/>
                    <w:b/>
                    <w:color w:val="000000" w:themeColor="text1"/>
                  </w:rPr>
                  <w:t>Recurso de Revisión:</w:t>
                </w:r>
              </w:p>
            </w:tc>
            <w:tc>
              <w:tcPr>
                <w:tcW w:w="3685" w:type="dxa"/>
                <w:shd w:val="clear" w:color="auto" w:fill="auto"/>
              </w:tcPr>
              <w:p w:rsidR="00967A27" w:rsidRPr="00452C7E" w:rsidRDefault="00967A27" w:rsidP="00452C7E">
                <w:pPr>
                  <w:tabs>
                    <w:tab w:val="right" w:pos="8838"/>
                  </w:tabs>
                  <w:ind w:right="-781"/>
                  <w:jc w:val="both"/>
                  <w:rPr>
                    <w:rFonts w:ascii="Palatino Linotype" w:eastAsia="Palatino Linotype" w:hAnsi="Palatino Linotype" w:cs="Palatino Linotype"/>
                    <w:color w:val="000000" w:themeColor="text1"/>
                  </w:rPr>
                </w:pPr>
                <w:r w:rsidRPr="00452C7E">
                  <w:rPr>
                    <w:rFonts w:ascii="Palatino Linotype" w:eastAsia="Palatino Linotype" w:hAnsi="Palatino Linotype" w:cs="Palatino Linotype"/>
                    <w:color w:val="000000" w:themeColor="text1"/>
                  </w:rPr>
                  <w:t>06468/INFOEM/IP/RR/2025</w:t>
                </w:r>
              </w:p>
            </w:tc>
          </w:tr>
          <w:tr w:rsidR="00967A27" w:rsidTr="00862AEF">
            <w:trPr>
              <w:trHeight w:val="295"/>
            </w:trPr>
            <w:tc>
              <w:tcPr>
                <w:tcW w:w="3531" w:type="dxa"/>
                <w:shd w:val="clear" w:color="auto" w:fill="auto"/>
              </w:tcPr>
              <w:p w:rsidR="00967A27" w:rsidRPr="00452C7E" w:rsidRDefault="00967A27" w:rsidP="00452C7E">
                <w:pPr>
                  <w:tabs>
                    <w:tab w:val="right" w:pos="8838"/>
                  </w:tabs>
                  <w:ind w:left="850" w:right="-105"/>
                  <w:jc w:val="both"/>
                  <w:rPr>
                    <w:rFonts w:ascii="Palatino Linotype" w:eastAsia="Palatino Linotype" w:hAnsi="Palatino Linotype" w:cs="Palatino Linotype"/>
                    <w:b/>
                    <w:color w:val="000000" w:themeColor="text1"/>
                  </w:rPr>
                </w:pPr>
                <w:r w:rsidRPr="00452C7E">
                  <w:rPr>
                    <w:rFonts w:ascii="Palatino Linotype" w:eastAsia="Palatino Linotype" w:hAnsi="Palatino Linotype" w:cs="Palatino Linotype"/>
                    <w:b/>
                    <w:color w:val="000000" w:themeColor="text1"/>
                  </w:rPr>
                  <w:t>Sujeto Obligado:</w:t>
                </w:r>
              </w:p>
            </w:tc>
            <w:tc>
              <w:tcPr>
                <w:tcW w:w="3685" w:type="dxa"/>
                <w:shd w:val="clear" w:color="auto" w:fill="auto"/>
              </w:tcPr>
              <w:p w:rsidR="00967A27" w:rsidRPr="00452C7E" w:rsidRDefault="00967A27" w:rsidP="00452C7E">
                <w:pPr>
                  <w:tabs>
                    <w:tab w:val="left" w:pos="2834"/>
                    <w:tab w:val="right" w:pos="8838"/>
                  </w:tabs>
                  <w:ind w:right="-1552"/>
                  <w:jc w:val="both"/>
                  <w:rPr>
                    <w:rFonts w:ascii="Palatino Linotype" w:eastAsia="Palatino Linotype" w:hAnsi="Palatino Linotype" w:cs="Palatino Linotype"/>
                    <w:color w:val="000000" w:themeColor="text1"/>
                  </w:rPr>
                </w:pPr>
                <w:r w:rsidRPr="00452C7E">
                  <w:rPr>
                    <w:rFonts w:ascii="Palatino Linotype" w:eastAsia="Palatino Linotype" w:hAnsi="Palatino Linotype" w:cs="Palatino Linotype"/>
                    <w:color w:val="000000" w:themeColor="text1"/>
                  </w:rPr>
                  <w:t>Ayuntamiento de Toluca</w:t>
                </w:r>
              </w:p>
            </w:tc>
          </w:tr>
          <w:tr w:rsidR="00967A27" w:rsidTr="00862AEF">
            <w:trPr>
              <w:trHeight w:val="295"/>
            </w:trPr>
            <w:tc>
              <w:tcPr>
                <w:tcW w:w="3531" w:type="dxa"/>
                <w:shd w:val="clear" w:color="auto" w:fill="auto"/>
              </w:tcPr>
              <w:p w:rsidR="00967A27" w:rsidRPr="00452C7E" w:rsidRDefault="00967A27" w:rsidP="00452C7E">
                <w:pPr>
                  <w:tabs>
                    <w:tab w:val="right" w:pos="8838"/>
                  </w:tabs>
                  <w:ind w:left="850" w:right="-105"/>
                  <w:jc w:val="both"/>
                  <w:rPr>
                    <w:rFonts w:ascii="Palatino Linotype" w:eastAsia="Palatino Linotype" w:hAnsi="Palatino Linotype" w:cs="Palatino Linotype"/>
                    <w:b/>
                    <w:color w:val="000000" w:themeColor="text1"/>
                  </w:rPr>
                </w:pPr>
                <w:r w:rsidRPr="00452C7E">
                  <w:rPr>
                    <w:rFonts w:ascii="Palatino Linotype" w:eastAsia="Palatino Linotype" w:hAnsi="Palatino Linotype" w:cs="Palatino Linotype"/>
                    <w:b/>
                    <w:color w:val="000000" w:themeColor="text1"/>
                  </w:rPr>
                  <w:t>Comisionada ponente:</w:t>
                </w:r>
              </w:p>
            </w:tc>
            <w:tc>
              <w:tcPr>
                <w:tcW w:w="3685" w:type="dxa"/>
                <w:shd w:val="clear" w:color="auto" w:fill="auto"/>
              </w:tcPr>
              <w:p w:rsidR="00967A27" w:rsidRPr="00452C7E" w:rsidRDefault="00967A27" w:rsidP="00452C7E">
                <w:pPr>
                  <w:tabs>
                    <w:tab w:val="right" w:pos="8838"/>
                  </w:tabs>
                  <w:ind w:right="-781"/>
                  <w:jc w:val="both"/>
                  <w:rPr>
                    <w:rFonts w:ascii="Palatino Linotype" w:eastAsia="Palatino Linotype" w:hAnsi="Palatino Linotype" w:cs="Palatino Linotype"/>
                    <w:color w:val="000000" w:themeColor="text1"/>
                  </w:rPr>
                </w:pPr>
                <w:r w:rsidRPr="00452C7E">
                  <w:rPr>
                    <w:rFonts w:ascii="Palatino Linotype" w:eastAsia="Palatino Linotype" w:hAnsi="Palatino Linotype" w:cs="Palatino Linotype"/>
                    <w:color w:val="000000" w:themeColor="text1"/>
                  </w:rPr>
                  <w:t>María del Rosario Mejía Ayala</w:t>
                </w:r>
              </w:p>
              <w:p w:rsidR="00967A27" w:rsidRPr="00452C7E" w:rsidRDefault="00967A27" w:rsidP="00452C7E">
                <w:pPr>
                  <w:tabs>
                    <w:tab w:val="right" w:pos="8838"/>
                  </w:tabs>
                  <w:ind w:left="141" w:right="-781"/>
                  <w:jc w:val="both"/>
                  <w:rPr>
                    <w:rFonts w:ascii="Palatino Linotype" w:eastAsia="Palatino Linotype" w:hAnsi="Palatino Linotype" w:cs="Palatino Linotype"/>
                    <w:color w:val="000000" w:themeColor="text1"/>
                  </w:rPr>
                </w:pPr>
              </w:p>
            </w:tc>
          </w:tr>
        </w:tbl>
        <w:p w:rsidR="00967A27" w:rsidRDefault="00967A27">
          <w:pPr>
            <w:tabs>
              <w:tab w:val="right" w:pos="8838"/>
            </w:tabs>
            <w:ind w:left="-28"/>
            <w:jc w:val="both"/>
            <w:rPr>
              <w:rFonts w:ascii="Arial" w:eastAsia="Arial" w:hAnsi="Arial" w:cs="Arial"/>
              <w:b/>
              <w:sz w:val="18"/>
              <w:szCs w:val="18"/>
            </w:rPr>
          </w:pPr>
        </w:p>
      </w:tc>
    </w:tr>
  </w:tbl>
  <w:p w:rsidR="00967A27" w:rsidRDefault="00115A29">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tblW w:w="10065" w:type="dxa"/>
      <w:tblInd w:w="0" w:type="dxa"/>
      <w:tblLayout w:type="fixed"/>
      <w:tblLook w:val="0400" w:firstRow="0" w:lastRow="0" w:firstColumn="0" w:lastColumn="0" w:noHBand="0" w:noVBand="1"/>
    </w:tblPr>
    <w:tblGrid>
      <w:gridCol w:w="2265"/>
      <w:gridCol w:w="7800"/>
    </w:tblGrid>
    <w:tr w:rsidR="00967A27">
      <w:trPr>
        <w:trHeight w:val="1435"/>
      </w:trPr>
      <w:tc>
        <w:tcPr>
          <w:tcW w:w="2265" w:type="dxa"/>
          <w:shd w:val="clear" w:color="auto" w:fill="auto"/>
        </w:tcPr>
        <w:p w:rsidR="00967A27" w:rsidRDefault="00967A27">
          <w:pPr>
            <w:tabs>
              <w:tab w:val="right" w:pos="4273"/>
            </w:tabs>
            <w:rPr>
              <w:rFonts w:ascii="Garamond" w:eastAsia="Garamond" w:hAnsi="Garamond" w:cs="Garamond"/>
              <w:sz w:val="22"/>
              <w:szCs w:val="22"/>
            </w:rPr>
          </w:pPr>
        </w:p>
      </w:tc>
      <w:tc>
        <w:tcPr>
          <w:tcW w:w="7800" w:type="dxa"/>
          <w:shd w:val="clear" w:color="auto" w:fill="auto"/>
        </w:tcPr>
        <w:tbl>
          <w:tblPr>
            <w:tblStyle w:val="ad"/>
            <w:tblW w:w="7643" w:type="dxa"/>
            <w:tblInd w:w="1448" w:type="dxa"/>
            <w:tblLayout w:type="fixed"/>
            <w:tblLook w:val="0400" w:firstRow="0" w:lastRow="0" w:firstColumn="0" w:lastColumn="0" w:noHBand="0" w:noVBand="1"/>
          </w:tblPr>
          <w:tblGrid>
            <w:gridCol w:w="2723"/>
            <w:gridCol w:w="4920"/>
          </w:tblGrid>
          <w:tr w:rsidR="00967A27" w:rsidTr="00862AEF">
            <w:trPr>
              <w:trHeight w:val="144"/>
            </w:trPr>
            <w:tc>
              <w:tcPr>
                <w:tcW w:w="2723" w:type="dxa"/>
                <w:shd w:val="clear" w:color="auto" w:fill="auto"/>
              </w:tcPr>
              <w:p w:rsidR="00967A27" w:rsidRPr="00452C7E" w:rsidRDefault="00967A27" w:rsidP="00862AEF">
                <w:pPr>
                  <w:tabs>
                    <w:tab w:val="right" w:pos="8838"/>
                  </w:tabs>
                  <w:ind w:left="-85" w:right="-105"/>
                  <w:rPr>
                    <w:rFonts w:ascii="Palatino Linotype" w:eastAsia="Palatino Linotype" w:hAnsi="Palatino Linotype" w:cs="Palatino Linotype"/>
                    <w:b/>
                  </w:rPr>
                </w:pPr>
                <w:r w:rsidRPr="00452C7E">
                  <w:rPr>
                    <w:rFonts w:ascii="Palatino Linotype" w:eastAsia="Palatino Linotype" w:hAnsi="Palatino Linotype" w:cs="Palatino Linotype"/>
                    <w:b/>
                  </w:rPr>
                  <w:t>Recurso de Revisión:</w:t>
                </w:r>
              </w:p>
            </w:tc>
            <w:tc>
              <w:tcPr>
                <w:tcW w:w="4920" w:type="dxa"/>
                <w:shd w:val="clear" w:color="auto" w:fill="auto"/>
              </w:tcPr>
              <w:p w:rsidR="00967A27" w:rsidRPr="00452C7E" w:rsidRDefault="00967A27" w:rsidP="00452C7E">
                <w:pPr>
                  <w:tabs>
                    <w:tab w:val="right" w:pos="8838"/>
                  </w:tabs>
                  <w:ind w:left="-115" w:right="-1552"/>
                  <w:rPr>
                    <w:rFonts w:ascii="Palatino Linotype" w:eastAsia="Palatino Linotype" w:hAnsi="Palatino Linotype" w:cs="Palatino Linotype"/>
                  </w:rPr>
                </w:pPr>
                <w:r w:rsidRPr="00452C7E">
                  <w:rPr>
                    <w:rFonts w:ascii="Palatino Linotype" w:eastAsia="Palatino Linotype" w:hAnsi="Palatino Linotype" w:cs="Palatino Linotype"/>
                  </w:rPr>
                  <w:t>06468/INFOEM/IP/RR/2025</w:t>
                </w:r>
              </w:p>
            </w:tc>
          </w:tr>
          <w:tr w:rsidR="00967A27" w:rsidTr="00862AEF">
            <w:trPr>
              <w:trHeight w:val="144"/>
            </w:trPr>
            <w:tc>
              <w:tcPr>
                <w:tcW w:w="2723" w:type="dxa"/>
                <w:shd w:val="clear" w:color="auto" w:fill="auto"/>
              </w:tcPr>
              <w:p w:rsidR="00967A27" w:rsidRPr="00452C7E" w:rsidRDefault="00967A27" w:rsidP="00452C7E">
                <w:pPr>
                  <w:tabs>
                    <w:tab w:val="right" w:pos="8838"/>
                  </w:tabs>
                  <w:ind w:left="-74" w:right="-105"/>
                  <w:rPr>
                    <w:rFonts w:ascii="Palatino Linotype" w:eastAsia="Palatino Linotype" w:hAnsi="Palatino Linotype" w:cs="Palatino Linotype"/>
                    <w:b/>
                  </w:rPr>
                </w:pPr>
                <w:r w:rsidRPr="00452C7E">
                  <w:rPr>
                    <w:rFonts w:ascii="Palatino Linotype" w:eastAsia="Palatino Linotype" w:hAnsi="Palatino Linotype" w:cs="Palatino Linotype"/>
                    <w:b/>
                  </w:rPr>
                  <w:t>Recurrente:</w:t>
                </w:r>
              </w:p>
            </w:tc>
            <w:tc>
              <w:tcPr>
                <w:tcW w:w="4920" w:type="dxa"/>
                <w:shd w:val="clear" w:color="auto" w:fill="auto"/>
              </w:tcPr>
              <w:p w:rsidR="00967A27" w:rsidRPr="00452C7E" w:rsidRDefault="00967A27" w:rsidP="00452C7E">
                <w:pPr>
                  <w:tabs>
                    <w:tab w:val="left" w:pos="3122"/>
                    <w:tab w:val="right" w:pos="8838"/>
                  </w:tabs>
                  <w:ind w:left="-115" w:right="-1552"/>
                  <w:rPr>
                    <w:rFonts w:ascii="Palatino Linotype" w:eastAsia="Palatino Linotype" w:hAnsi="Palatino Linotype" w:cs="Palatino Linotype"/>
                  </w:rPr>
                </w:pPr>
              </w:p>
            </w:tc>
          </w:tr>
          <w:tr w:rsidR="00967A27" w:rsidTr="00862AEF">
            <w:trPr>
              <w:trHeight w:val="80"/>
            </w:trPr>
            <w:tc>
              <w:tcPr>
                <w:tcW w:w="2723" w:type="dxa"/>
                <w:shd w:val="clear" w:color="auto" w:fill="auto"/>
              </w:tcPr>
              <w:p w:rsidR="00967A27" w:rsidRPr="00452C7E" w:rsidRDefault="00967A27" w:rsidP="00452C7E">
                <w:pPr>
                  <w:tabs>
                    <w:tab w:val="right" w:pos="8838"/>
                  </w:tabs>
                  <w:ind w:left="-74" w:right="-105"/>
                  <w:rPr>
                    <w:rFonts w:ascii="Palatino Linotype" w:eastAsia="Palatino Linotype" w:hAnsi="Palatino Linotype" w:cs="Palatino Linotype"/>
                    <w:b/>
                  </w:rPr>
                </w:pPr>
                <w:r w:rsidRPr="00452C7E">
                  <w:rPr>
                    <w:rFonts w:ascii="Palatino Linotype" w:eastAsia="Palatino Linotype" w:hAnsi="Palatino Linotype" w:cs="Palatino Linotype"/>
                    <w:b/>
                  </w:rPr>
                  <w:t>Sujeto Obligado:</w:t>
                </w:r>
              </w:p>
            </w:tc>
            <w:tc>
              <w:tcPr>
                <w:tcW w:w="4920" w:type="dxa"/>
                <w:shd w:val="clear" w:color="auto" w:fill="auto"/>
              </w:tcPr>
              <w:p w:rsidR="00967A27" w:rsidRPr="00452C7E" w:rsidRDefault="00967A27" w:rsidP="00452C7E">
                <w:pPr>
                  <w:tabs>
                    <w:tab w:val="left" w:pos="2834"/>
                    <w:tab w:val="right" w:pos="8838"/>
                  </w:tabs>
                  <w:ind w:left="-115" w:right="-1552"/>
                  <w:rPr>
                    <w:rFonts w:ascii="Palatino Linotype" w:eastAsia="Palatino Linotype" w:hAnsi="Palatino Linotype" w:cs="Palatino Linotype"/>
                  </w:rPr>
                </w:pPr>
                <w:r w:rsidRPr="00452C7E">
                  <w:rPr>
                    <w:rFonts w:ascii="Palatino Linotype" w:eastAsia="Palatino Linotype" w:hAnsi="Palatino Linotype" w:cs="Palatino Linotype"/>
                  </w:rPr>
                  <w:t>Ayuntamiento de Toluca</w:t>
                </w:r>
              </w:p>
            </w:tc>
          </w:tr>
          <w:tr w:rsidR="00967A27" w:rsidTr="00862AEF">
            <w:trPr>
              <w:trHeight w:val="283"/>
            </w:trPr>
            <w:tc>
              <w:tcPr>
                <w:tcW w:w="2723" w:type="dxa"/>
                <w:shd w:val="clear" w:color="auto" w:fill="auto"/>
              </w:tcPr>
              <w:p w:rsidR="00967A27" w:rsidRPr="00452C7E" w:rsidRDefault="00967A27" w:rsidP="00862AEF">
                <w:pPr>
                  <w:tabs>
                    <w:tab w:val="right" w:pos="8838"/>
                  </w:tabs>
                  <w:ind w:left="-85" w:right="-105"/>
                  <w:rPr>
                    <w:rFonts w:ascii="Palatino Linotype" w:eastAsia="Palatino Linotype" w:hAnsi="Palatino Linotype" w:cs="Palatino Linotype"/>
                    <w:b/>
                  </w:rPr>
                </w:pPr>
                <w:r w:rsidRPr="00452C7E">
                  <w:rPr>
                    <w:rFonts w:ascii="Palatino Linotype" w:eastAsia="Palatino Linotype" w:hAnsi="Palatino Linotype" w:cs="Palatino Linotype"/>
                    <w:b/>
                  </w:rPr>
                  <w:t>Comisionada ponente:</w:t>
                </w:r>
              </w:p>
            </w:tc>
            <w:tc>
              <w:tcPr>
                <w:tcW w:w="4920" w:type="dxa"/>
                <w:shd w:val="clear" w:color="auto" w:fill="auto"/>
              </w:tcPr>
              <w:p w:rsidR="00967A27" w:rsidRPr="00452C7E" w:rsidRDefault="00967A27" w:rsidP="00452C7E">
                <w:pPr>
                  <w:tabs>
                    <w:tab w:val="right" w:pos="8838"/>
                  </w:tabs>
                  <w:ind w:left="-115" w:right="-1552"/>
                  <w:rPr>
                    <w:rFonts w:ascii="Palatino Linotype" w:eastAsia="Palatino Linotype" w:hAnsi="Palatino Linotype" w:cs="Palatino Linotype"/>
                  </w:rPr>
                </w:pPr>
                <w:r w:rsidRPr="00452C7E">
                  <w:rPr>
                    <w:rFonts w:ascii="Palatino Linotype" w:eastAsia="Palatino Linotype" w:hAnsi="Palatino Linotype" w:cs="Palatino Linotype"/>
                  </w:rPr>
                  <w:t>María del Rosario Mejía Ayala</w:t>
                </w:r>
              </w:p>
              <w:p w:rsidR="00967A27" w:rsidRPr="00452C7E" w:rsidRDefault="00967A27" w:rsidP="00452C7E">
                <w:pPr>
                  <w:tabs>
                    <w:tab w:val="right" w:pos="8838"/>
                  </w:tabs>
                  <w:ind w:left="-115" w:right="-1552"/>
                  <w:rPr>
                    <w:rFonts w:ascii="Palatino Linotype" w:eastAsia="Palatino Linotype" w:hAnsi="Palatino Linotype" w:cs="Palatino Linotype"/>
                  </w:rPr>
                </w:pPr>
              </w:p>
            </w:tc>
          </w:tr>
        </w:tbl>
        <w:p w:rsidR="00967A27" w:rsidRDefault="00967A27">
          <w:pPr>
            <w:tabs>
              <w:tab w:val="right" w:pos="8838"/>
            </w:tabs>
            <w:ind w:left="-28"/>
            <w:jc w:val="both"/>
            <w:rPr>
              <w:rFonts w:ascii="Arial" w:eastAsia="Arial" w:hAnsi="Arial" w:cs="Arial"/>
              <w:b/>
              <w:sz w:val="22"/>
              <w:szCs w:val="22"/>
            </w:rPr>
          </w:pPr>
        </w:p>
      </w:tc>
    </w:tr>
  </w:tbl>
  <w:p w:rsidR="00967A27" w:rsidRDefault="00115A29">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31FA9"/>
    <w:multiLevelType w:val="hybridMultilevel"/>
    <w:tmpl w:val="9ED6E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966AB"/>
    <w:multiLevelType w:val="multilevel"/>
    <w:tmpl w:val="D64CD8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660B94"/>
    <w:multiLevelType w:val="hybridMultilevel"/>
    <w:tmpl w:val="99167A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6F382E"/>
    <w:multiLevelType w:val="multilevel"/>
    <w:tmpl w:val="D5C8E49C"/>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4317490"/>
    <w:multiLevelType w:val="hybridMultilevel"/>
    <w:tmpl w:val="B9C0A68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D95B6B"/>
    <w:multiLevelType w:val="multilevel"/>
    <w:tmpl w:val="C846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7736C0"/>
    <w:multiLevelType w:val="multilevel"/>
    <w:tmpl w:val="28941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25430A"/>
    <w:multiLevelType w:val="multilevel"/>
    <w:tmpl w:val="42D41340"/>
    <w:lvl w:ilvl="0">
      <w:start w:val="1"/>
      <w:numFmt w:val="decimal"/>
      <w:lvlText w:val="%1."/>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55444B4F"/>
    <w:multiLevelType w:val="multilevel"/>
    <w:tmpl w:val="D35C31D8"/>
    <w:lvl w:ilvl="0">
      <w:start w:val="1"/>
      <w:numFmt w:val="decimal"/>
      <w:lvlText w:val="%1."/>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5BEF200B"/>
    <w:multiLevelType w:val="multilevel"/>
    <w:tmpl w:val="00EE221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95DC6"/>
    <w:multiLevelType w:val="hybridMultilevel"/>
    <w:tmpl w:val="7610A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2D7D6E"/>
    <w:multiLevelType w:val="multilevel"/>
    <w:tmpl w:val="86DAD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D06A83"/>
    <w:multiLevelType w:val="multilevel"/>
    <w:tmpl w:val="BF6E7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EB4B5B"/>
    <w:multiLevelType w:val="multilevel"/>
    <w:tmpl w:val="6982223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
  </w:num>
  <w:num w:numId="3">
    <w:abstractNumId w:val="10"/>
  </w:num>
  <w:num w:numId="4">
    <w:abstractNumId w:val="1"/>
  </w:num>
  <w:num w:numId="5">
    <w:abstractNumId w:val="9"/>
  </w:num>
  <w:num w:numId="6">
    <w:abstractNumId w:val="8"/>
  </w:num>
  <w:num w:numId="7">
    <w:abstractNumId w:val="14"/>
  </w:num>
  <w:num w:numId="8">
    <w:abstractNumId w:val="5"/>
  </w:num>
  <w:num w:numId="9">
    <w:abstractNumId w:val="12"/>
  </w:num>
  <w:num w:numId="10">
    <w:abstractNumId w:val="6"/>
  </w:num>
  <w:num w:numId="11">
    <w:abstractNumId w:val="7"/>
  </w:num>
  <w:num w:numId="12">
    <w:abstractNumId w:val="13"/>
  </w:num>
  <w:num w:numId="13">
    <w:abstractNumId w:val="3"/>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69"/>
    <w:rsid w:val="00014496"/>
    <w:rsid w:val="0002017B"/>
    <w:rsid w:val="00115A29"/>
    <w:rsid w:val="00142F69"/>
    <w:rsid w:val="00215B38"/>
    <w:rsid w:val="002907C7"/>
    <w:rsid w:val="002C3EFB"/>
    <w:rsid w:val="003672D4"/>
    <w:rsid w:val="004205FD"/>
    <w:rsid w:val="00452C7E"/>
    <w:rsid w:val="005857B8"/>
    <w:rsid w:val="00664231"/>
    <w:rsid w:val="00717E7E"/>
    <w:rsid w:val="00757088"/>
    <w:rsid w:val="00814E9A"/>
    <w:rsid w:val="00862AEF"/>
    <w:rsid w:val="00862D72"/>
    <w:rsid w:val="009668BF"/>
    <w:rsid w:val="00967A27"/>
    <w:rsid w:val="00974B4D"/>
    <w:rsid w:val="009A5DA2"/>
    <w:rsid w:val="00AA3C61"/>
    <w:rsid w:val="00B37BC5"/>
    <w:rsid w:val="00BD5218"/>
    <w:rsid w:val="00C45F5B"/>
    <w:rsid w:val="00CA1876"/>
    <w:rsid w:val="00CB13D4"/>
    <w:rsid w:val="00D00EE5"/>
    <w:rsid w:val="00E01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BFA940-3FEB-4947-AC99-B243CBE3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9">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65030.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f.gob.mx/nota_detalle.php?codigo=5086651&amp;fecha=09/04/200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5Jj96LvSso2m4v5V/Dya7Y8Qmw==">CgMxLjAyCWguM3pueXNoNzIJaC4zZHk2dmttMghoLmdqZGd4czIJaC4zMGowemxsMgloLjF0M2g1c2YyDmguaWxpN2xrNDdqMmUxMgloLjFmb2I5dGU4AHIhMVoxQmJMaTM5WjdVZ0pMS1lCLUtpV2MzazFWVkNJUUR1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10198</Words>
  <Characters>56089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6</cp:revision>
  <cp:lastPrinted>2025-08-22T17:01:00Z</cp:lastPrinted>
  <dcterms:created xsi:type="dcterms:W3CDTF">2025-08-20T18:13:00Z</dcterms:created>
  <dcterms:modified xsi:type="dcterms:W3CDTF">2025-08-26T19:53:00Z</dcterms:modified>
</cp:coreProperties>
</file>