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8441"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5F551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julio de dos mil veinticinco. </w:t>
      </w:r>
    </w:p>
    <w:p w14:paraId="273E7726" w14:textId="77777777" w:rsidR="00403952" w:rsidRPr="005F5513" w:rsidRDefault="007C0198">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5F5513">
        <w:rPr>
          <w:rFonts w:ascii="Palatino Linotype" w:eastAsia="Palatino Linotype" w:hAnsi="Palatino Linotype" w:cs="Palatino Linotype"/>
          <w:b/>
        </w:rPr>
        <w:t>VISTO</w:t>
      </w:r>
      <w:r w:rsidRPr="005F5513">
        <w:rPr>
          <w:rFonts w:ascii="Palatino Linotype" w:eastAsia="Palatino Linotype" w:hAnsi="Palatino Linotype" w:cs="Palatino Linotype"/>
        </w:rPr>
        <w:t xml:space="preserve"> el expediente formado con motivo del recurso de revisión </w:t>
      </w:r>
      <w:r w:rsidRPr="005F5513">
        <w:rPr>
          <w:rFonts w:ascii="Palatino Linotype" w:eastAsia="Palatino Linotype" w:hAnsi="Palatino Linotype" w:cs="Palatino Linotype"/>
          <w:b/>
        </w:rPr>
        <w:t>04514/INFOEM/IP/RR/2025</w:t>
      </w:r>
      <w:r w:rsidRPr="005F5513">
        <w:rPr>
          <w:rFonts w:ascii="Palatino Linotype" w:eastAsia="Palatino Linotype" w:hAnsi="Palatino Linotype" w:cs="Palatino Linotype"/>
        </w:rPr>
        <w:t>, interpuesto por</w:t>
      </w:r>
      <w:r w:rsidRPr="005F5513">
        <w:rPr>
          <w:rFonts w:ascii="Palatino Linotype" w:eastAsia="Palatino Linotype" w:hAnsi="Palatino Linotype" w:cs="Palatino Linotype"/>
          <w:b/>
        </w:rPr>
        <w:t xml:space="preserve"> una persona que no proporcionó nombre o seudónimo,</w:t>
      </w:r>
      <w:r w:rsidRPr="005F5513">
        <w:rPr>
          <w:rFonts w:ascii="Palatino Linotype" w:eastAsia="Palatino Linotype" w:hAnsi="Palatino Linotype" w:cs="Palatino Linotype"/>
        </w:rPr>
        <w:t xml:space="preserve"> en lo sucesivo</w:t>
      </w:r>
      <w:r w:rsidRPr="005F5513">
        <w:rPr>
          <w:rFonts w:ascii="Palatino Linotype" w:eastAsia="Palatino Linotype" w:hAnsi="Palatino Linotype" w:cs="Palatino Linotype"/>
          <w:b/>
        </w:rPr>
        <w:t xml:space="preserve"> </w:t>
      </w:r>
      <w:r w:rsidRPr="005F5513">
        <w:rPr>
          <w:rFonts w:ascii="Palatino Linotype" w:eastAsia="Palatino Linotype" w:hAnsi="Palatino Linotype" w:cs="Palatino Linotype"/>
        </w:rPr>
        <w:t xml:space="preserve">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en contra de la respuesta a la solicitud de información con número de folio</w:t>
      </w:r>
      <w:r w:rsidRPr="005F5513">
        <w:rPr>
          <w:rFonts w:ascii="Palatino Linotype" w:eastAsia="Palatino Linotype" w:hAnsi="Palatino Linotype" w:cs="Palatino Linotype"/>
          <w:b/>
        </w:rPr>
        <w:t xml:space="preserve"> 00058/DIFHUEHUET/IP/2025, </w:t>
      </w:r>
      <w:r w:rsidRPr="005F5513">
        <w:rPr>
          <w:rFonts w:ascii="Palatino Linotype" w:eastAsia="Palatino Linotype" w:hAnsi="Palatino Linotype" w:cs="Palatino Linotype"/>
        </w:rPr>
        <w:t xml:space="preserve">por parte del </w:t>
      </w:r>
      <w:r w:rsidRPr="005F5513">
        <w:rPr>
          <w:rFonts w:ascii="Palatino Linotype" w:eastAsia="Palatino Linotype" w:hAnsi="Palatino Linotype" w:cs="Palatino Linotype"/>
          <w:b/>
        </w:rPr>
        <w:t xml:space="preserve">Sistema Municipal Para el Desarrollo Integral de la Familia de Huehuetoca, </w:t>
      </w:r>
      <w:r w:rsidRPr="005F5513">
        <w:rPr>
          <w:rFonts w:ascii="Palatino Linotype" w:eastAsia="Palatino Linotype" w:hAnsi="Palatino Linotype" w:cs="Palatino Linotype"/>
        </w:rPr>
        <w:t xml:space="preserve">en lo sucesivo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se procede a dictar la presente resolución con base en los siguientes: </w:t>
      </w:r>
    </w:p>
    <w:p w14:paraId="226DB5DD" w14:textId="77777777" w:rsidR="00403952" w:rsidRPr="005F5513" w:rsidRDefault="007C0198">
      <w:pPr>
        <w:spacing w:before="240" w:after="240" w:line="360" w:lineRule="auto"/>
        <w:jc w:val="center"/>
        <w:rPr>
          <w:rFonts w:ascii="Palatino Linotype" w:eastAsia="Palatino Linotype" w:hAnsi="Palatino Linotype" w:cs="Palatino Linotype"/>
          <w:b/>
        </w:rPr>
      </w:pPr>
      <w:r w:rsidRPr="005F5513">
        <w:rPr>
          <w:rFonts w:ascii="Palatino Linotype" w:eastAsia="Palatino Linotype" w:hAnsi="Palatino Linotype" w:cs="Palatino Linotype"/>
          <w:b/>
        </w:rPr>
        <w:t>I. A N T E C E D E N T E S</w:t>
      </w:r>
    </w:p>
    <w:p w14:paraId="65E69695"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5F5513">
        <w:rPr>
          <w:rFonts w:ascii="Palatino Linotype" w:eastAsia="Palatino Linotype" w:hAnsi="Palatino Linotype" w:cs="Palatino Linotype"/>
          <w:b/>
        </w:rPr>
        <w:t>1. Solicitud de acceso a la información.</w:t>
      </w:r>
      <w:r w:rsidRPr="005F5513">
        <w:rPr>
          <w:rFonts w:ascii="Palatino Linotype" w:eastAsia="Palatino Linotype" w:hAnsi="Palatino Linotype" w:cs="Palatino Linotype"/>
        </w:rPr>
        <w:t xml:space="preserve"> El </w:t>
      </w:r>
      <w:r w:rsidRPr="005F5513">
        <w:rPr>
          <w:rFonts w:ascii="Palatino Linotype" w:eastAsia="Palatino Linotype" w:hAnsi="Palatino Linotype" w:cs="Palatino Linotype"/>
          <w:b/>
        </w:rPr>
        <w:t>veinticinco de marzo de dos mil veinticinco,</w:t>
      </w:r>
      <w:r w:rsidRPr="005F5513">
        <w:rPr>
          <w:rFonts w:ascii="Palatino Linotype" w:eastAsia="Palatino Linotype" w:hAnsi="Palatino Linotype" w:cs="Palatino Linotype"/>
        </w:rPr>
        <w:t xml:space="preserve">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 xml:space="preserve">presentó la solicitud de acceso a la información pública ante 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xml:space="preserve">, a través del Sistema de Acceso a la Información Mexiquense, en lo subsecuente el </w:t>
      </w:r>
      <w:r w:rsidRPr="005F5513">
        <w:rPr>
          <w:rFonts w:ascii="Palatino Linotype" w:eastAsia="Palatino Linotype" w:hAnsi="Palatino Linotype" w:cs="Palatino Linotype"/>
          <w:b/>
        </w:rPr>
        <w:t>SAIMEX,</w:t>
      </w:r>
      <w:r w:rsidRPr="005F5513">
        <w:rPr>
          <w:rFonts w:ascii="Palatino Linotype" w:eastAsia="Palatino Linotype" w:hAnsi="Palatino Linotype" w:cs="Palatino Linotype"/>
        </w:rPr>
        <w:t xml:space="preserve"> mediante la cual requirió lo siguiente:</w:t>
      </w:r>
    </w:p>
    <w:p w14:paraId="5A2BADEA" w14:textId="77777777" w:rsidR="00403952" w:rsidRPr="005F5513" w:rsidRDefault="007C0198">
      <w:pPr>
        <w:spacing w:before="120" w:after="120"/>
        <w:ind w:left="851" w:right="902"/>
        <w:jc w:val="both"/>
        <w:rPr>
          <w:rFonts w:ascii="Palatino Linotype" w:eastAsia="Palatino Linotype" w:hAnsi="Palatino Linotype" w:cs="Palatino Linotype"/>
          <w:b/>
          <w:i/>
          <w:sz w:val="22"/>
          <w:szCs w:val="22"/>
        </w:rPr>
      </w:pPr>
      <w:r w:rsidRPr="005F5513">
        <w:rPr>
          <w:rFonts w:ascii="Palatino Linotype" w:eastAsia="Palatino Linotype" w:hAnsi="Palatino Linotype" w:cs="Palatino Linotype"/>
          <w:i/>
          <w:sz w:val="22"/>
          <w:szCs w:val="22"/>
        </w:rPr>
        <w:t xml:space="preserve"> “SOLICITO ME PROPORCIONEN DEL AREA CORRESPONDIENTE, TODAS LAS DONACIONES QUE HA RECIBIDO EL SISTEMA MUNICIPAL DEL DIF DEL MES DE ENERO AL MES DE DICIEMBRE DE 2024 Y LO QUE VA DEL 2025, DESGLOSADO POR MES, ESPECIFICANDO DETALLADAMENTE EL CONCEPTO DE LA DONACION, LA PERSONA FISICA O MORAL QUE HIZO LA DONACION, Y A DONDE SE DESTINO DICHA DONACION ASI COMO EL SOPORTE CONTABLE DEL REGISTRO DE LAS MISMAS, </w:t>
      </w:r>
      <w:r w:rsidRPr="005F5513">
        <w:rPr>
          <w:rFonts w:ascii="Palatino Linotype" w:eastAsia="Palatino Linotype" w:hAnsi="Palatino Linotype" w:cs="Palatino Linotype"/>
          <w:i/>
          <w:sz w:val="22"/>
          <w:szCs w:val="22"/>
        </w:rPr>
        <w:lastRenderedPageBreak/>
        <w:t>SOPORTADO CON LA POLIZA, EL DIARIO GENERAL DE POLIZAS, LA BALANZA DE COMPROBACION DE CADA MES DONDE SE HAYA REGISTRADO.”</w:t>
      </w:r>
      <w:r w:rsidRPr="005F5513">
        <w:rPr>
          <w:rFonts w:ascii="Palatino Linotype" w:eastAsia="Palatino Linotype" w:hAnsi="Palatino Linotype" w:cs="Palatino Linotype"/>
          <w:b/>
          <w:i/>
          <w:sz w:val="22"/>
          <w:szCs w:val="22"/>
        </w:rPr>
        <w:t>”</w:t>
      </w:r>
      <w:r w:rsidRPr="005F5513">
        <w:rPr>
          <w:rFonts w:ascii="Palatino Linotype" w:eastAsia="Palatino Linotype" w:hAnsi="Palatino Linotype" w:cs="Palatino Linotype"/>
          <w:i/>
          <w:sz w:val="22"/>
          <w:szCs w:val="22"/>
        </w:rPr>
        <w:t xml:space="preserve"> (sic) </w:t>
      </w:r>
    </w:p>
    <w:p w14:paraId="58BBD767"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5F5513">
        <w:rPr>
          <w:rFonts w:ascii="Palatino Linotype" w:eastAsia="Palatino Linotype" w:hAnsi="Palatino Linotype" w:cs="Palatino Linotype"/>
          <w:b/>
        </w:rPr>
        <w:t>Modalidad de Entrega:</w:t>
      </w:r>
      <w:r w:rsidRPr="005F5513">
        <w:rPr>
          <w:rFonts w:ascii="Palatino Linotype" w:eastAsia="Palatino Linotype" w:hAnsi="Palatino Linotype" w:cs="Palatino Linotype"/>
        </w:rPr>
        <w:t xml:space="preserve"> a través del</w:t>
      </w:r>
      <w:r w:rsidRPr="005F5513">
        <w:rPr>
          <w:rFonts w:ascii="Palatino Linotype" w:eastAsia="Palatino Linotype" w:hAnsi="Palatino Linotype" w:cs="Palatino Linotype"/>
          <w:b/>
        </w:rPr>
        <w:t xml:space="preserve"> SAIMEX.</w:t>
      </w:r>
    </w:p>
    <w:p w14:paraId="39436BC0"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b/>
        </w:rPr>
        <w:t xml:space="preserve">2. Respuesta. </w:t>
      </w:r>
      <w:r w:rsidRPr="005F5513">
        <w:rPr>
          <w:rFonts w:ascii="Palatino Linotype" w:eastAsia="Palatino Linotype" w:hAnsi="Palatino Linotype" w:cs="Palatino Linotype"/>
        </w:rPr>
        <w:t xml:space="preserve">El </w:t>
      </w:r>
      <w:r w:rsidRPr="005F5513">
        <w:rPr>
          <w:rFonts w:ascii="Palatino Linotype" w:eastAsia="Palatino Linotype" w:hAnsi="Palatino Linotype" w:cs="Palatino Linotype"/>
          <w:b/>
        </w:rPr>
        <w:t>dieciséis de abril de dos mil veinticinco,</w:t>
      </w:r>
      <w:r w:rsidRPr="005F5513">
        <w:rPr>
          <w:rFonts w:ascii="Palatino Linotype" w:eastAsia="Palatino Linotype" w:hAnsi="Palatino Linotype" w:cs="Palatino Linotype"/>
        </w:rPr>
        <w:t xml:space="preserve">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A897CB7" w14:textId="77777777" w:rsidR="00403952" w:rsidRPr="005F5513" w:rsidRDefault="007C0198">
      <w:pPr>
        <w:spacing w:before="240" w:after="24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“…Buen día, adjunto respuesta a su solicitud....” (sic)</w:t>
      </w:r>
    </w:p>
    <w:p w14:paraId="37825BC3" w14:textId="77777777" w:rsidR="00403952" w:rsidRPr="005F5513" w:rsidRDefault="007C0198">
      <w:pPr>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adjuntó lo siguiente:</w:t>
      </w:r>
    </w:p>
    <w:p w14:paraId="1F07152B" w14:textId="77777777" w:rsidR="00403952" w:rsidRPr="005F5513" w:rsidRDefault="007C0198">
      <w:pPr>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rPr>
        <w:t>- Oficio número DIF/TES/0021/2025, del once de abril de dos mil veinticinco, mediante el cual el Tesorero refirió anexar la información solicitada correspondiente al año 2024, asimismo, que no se contaba con algún donativo recibido a la fecha de respuesta por lo que respecta al año 2025.</w:t>
      </w:r>
    </w:p>
    <w:p w14:paraId="6DC3D77A" w14:textId="77777777" w:rsidR="00403952" w:rsidRPr="005F5513" w:rsidRDefault="007C0198">
      <w:pPr>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rPr>
        <w:t>- Relación de donaciones recibidas 2024.</w:t>
      </w:r>
    </w:p>
    <w:p w14:paraId="0D2E60C1" w14:textId="77777777" w:rsidR="00403952" w:rsidRPr="005F5513" w:rsidRDefault="007C0198">
      <w:pPr>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rPr>
        <w:t>- Diario General de pólizas de los registros de donaciones 2024.</w:t>
      </w:r>
    </w:p>
    <w:p w14:paraId="47428249" w14:textId="77777777" w:rsidR="00403952" w:rsidRPr="005F5513" w:rsidRDefault="007C0198">
      <w:pPr>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rPr>
        <w:t>- Balanza de comprobación de los registros de las donaciones 2024.</w:t>
      </w:r>
    </w:p>
    <w:p w14:paraId="5D8D10DF" w14:textId="77777777" w:rsidR="00403952" w:rsidRPr="005F5513" w:rsidRDefault="007C0198">
      <w:pPr>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rPr>
        <w:t>- Pólizas con las cuales se registró y se entregó la donación.</w:t>
      </w:r>
    </w:p>
    <w:p w14:paraId="07CD1980" w14:textId="77777777" w:rsidR="00403952" w:rsidRPr="005F5513" w:rsidRDefault="007C0198">
      <w:pPr>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 </w:t>
      </w:r>
      <w:r w:rsidRPr="005F5513">
        <w:rPr>
          <w:rFonts w:ascii="Palatino Linotype" w:eastAsia="Palatino Linotype" w:hAnsi="Palatino Linotype" w:cs="Palatino Linotype"/>
          <w:b/>
        </w:rPr>
        <w:t xml:space="preserve">3. Interposición del recurso de revisión. </w:t>
      </w:r>
      <w:r w:rsidRPr="005F5513">
        <w:rPr>
          <w:rFonts w:ascii="Palatino Linotype" w:eastAsia="Palatino Linotype" w:hAnsi="Palatino Linotype" w:cs="Palatino Linotype"/>
        </w:rPr>
        <w:t xml:space="preserve">Inconforme con los términos de la respuesta emitida por parte del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xml:space="preserve">, el </w:t>
      </w:r>
      <w:r w:rsidRPr="005F5513">
        <w:rPr>
          <w:rFonts w:ascii="Palatino Linotype" w:eastAsia="Palatino Linotype" w:hAnsi="Palatino Linotype" w:cs="Palatino Linotype"/>
          <w:b/>
        </w:rPr>
        <w:t>veintiuno de abril de dos mil veinticinco,</w:t>
      </w:r>
      <w:r w:rsidRPr="005F5513">
        <w:rPr>
          <w:rFonts w:ascii="Palatino Linotype" w:eastAsia="Palatino Linotype" w:hAnsi="Palatino Linotype" w:cs="Palatino Linotype"/>
        </w:rPr>
        <w:t xml:space="preserve">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interpuso el recurso de revisión a través de </w:t>
      </w:r>
      <w:r w:rsidRPr="005F5513">
        <w:rPr>
          <w:rFonts w:ascii="Palatino Linotype" w:eastAsia="Palatino Linotype" w:hAnsi="Palatino Linotype" w:cs="Palatino Linotype"/>
          <w:b/>
        </w:rPr>
        <w:lastRenderedPageBreak/>
        <w:t xml:space="preserve">SAIMEX, </w:t>
      </w:r>
      <w:r w:rsidRPr="005F5513">
        <w:rPr>
          <w:rFonts w:ascii="Palatino Linotype" w:eastAsia="Palatino Linotype" w:hAnsi="Palatino Linotype" w:cs="Palatino Linotype"/>
        </w:rPr>
        <w:t xml:space="preserve">sin embargo, al corresponder a un día inhábil se tuvo por presentado el día </w:t>
      </w:r>
      <w:r w:rsidRPr="005F5513">
        <w:rPr>
          <w:rFonts w:ascii="Palatino Linotype" w:eastAsia="Palatino Linotype" w:hAnsi="Palatino Linotype" w:cs="Palatino Linotype"/>
          <w:b/>
        </w:rPr>
        <w:t xml:space="preserve">veintiuno de abril de dos mil veinticinco, </w:t>
      </w:r>
      <w:r w:rsidRPr="005F5513">
        <w:rPr>
          <w:rFonts w:ascii="Palatino Linotype" w:eastAsia="Palatino Linotype" w:hAnsi="Palatino Linotype" w:cs="Palatino Linotype"/>
        </w:rPr>
        <w:t>en donde se manifestó de la siguiente manera:</w:t>
      </w:r>
    </w:p>
    <w:p w14:paraId="6257F8D9" w14:textId="77777777" w:rsidR="00403952" w:rsidRPr="005F5513" w:rsidRDefault="007C0198">
      <w:pPr>
        <w:spacing w:before="240" w:after="240" w:line="360" w:lineRule="auto"/>
        <w:ind w:right="49"/>
        <w:jc w:val="both"/>
        <w:rPr>
          <w:rFonts w:ascii="Palatino Linotype" w:eastAsia="Palatino Linotype" w:hAnsi="Palatino Linotype" w:cs="Palatino Linotype"/>
          <w:b/>
        </w:rPr>
      </w:pPr>
      <w:r w:rsidRPr="005F5513">
        <w:rPr>
          <w:rFonts w:ascii="Palatino Linotype" w:eastAsia="Palatino Linotype" w:hAnsi="Palatino Linotype" w:cs="Palatino Linotype"/>
          <w:b/>
        </w:rPr>
        <w:t xml:space="preserve">Acto impugnado: </w:t>
      </w:r>
    </w:p>
    <w:p w14:paraId="63F28342" w14:textId="77777777" w:rsidR="00403952" w:rsidRPr="005F5513" w:rsidRDefault="007C0198">
      <w:pPr>
        <w:tabs>
          <w:tab w:val="left" w:pos="2745"/>
        </w:tabs>
        <w:spacing w:before="240" w:after="240"/>
        <w:ind w:left="851"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 xml:space="preserve">“La información que emiten </w:t>
      </w:r>
      <w:proofErr w:type="spellStart"/>
      <w:r w:rsidRPr="005F5513">
        <w:rPr>
          <w:rFonts w:ascii="Palatino Linotype" w:eastAsia="Palatino Linotype" w:hAnsi="Palatino Linotype" w:cs="Palatino Linotype"/>
          <w:i/>
          <w:sz w:val="22"/>
          <w:szCs w:val="22"/>
        </w:rPr>
        <w:t>esta</w:t>
      </w:r>
      <w:proofErr w:type="spellEnd"/>
      <w:r w:rsidRPr="005F5513">
        <w:rPr>
          <w:rFonts w:ascii="Palatino Linotype" w:eastAsia="Palatino Linotype" w:hAnsi="Palatino Linotype" w:cs="Palatino Linotype"/>
          <w:i/>
          <w:sz w:val="22"/>
          <w:szCs w:val="22"/>
        </w:rPr>
        <w:t xml:space="preserve"> incompleta, ya que se </w:t>
      </w:r>
      <w:proofErr w:type="spellStart"/>
      <w:r w:rsidRPr="005F5513">
        <w:rPr>
          <w:rFonts w:ascii="Palatino Linotype" w:eastAsia="Palatino Linotype" w:hAnsi="Palatino Linotype" w:cs="Palatino Linotype"/>
          <w:i/>
          <w:sz w:val="22"/>
          <w:szCs w:val="22"/>
        </w:rPr>
        <w:t>solicito</w:t>
      </w:r>
      <w:proofErr w:type="spellEnd"/>
      <w:r w:rsidRPr="005F5513">
        <w:rPr>
          <w:rFonts w:ascii="Palatino Linotype" w:eastAsia="Palatino Linotype" w:hAnsi="Palatino Linotype" w:cs="Palatino Linotype"/>
          <w:i/>
          <w:sz w:val="22"/>
          <w:szCs w:val="22"/>
        </w:rPr>
        <w:t xml:space="preserve"> información del año 2024 y lo que va del 2025, </w:t>
      </w:r>
      <w:r w:rsidRPr="005F5513">
        <w:rPr>
          <w:rFonts w:ascii="Palatino Linotype" w:eastAsia="Palatino Linotype" w:hAnsi="Palatino Linotype" w:cs="Palatino Linotype"/>
          <w:b/>
          <w:i/>
          <w:sz w:val="22"/>
          <w:szCs w:val="22"/>
          <w:u w:val="single"/>
        </w:rPr>
        <w:t>NO ENTREGARON información del año 202</w:t>
      </w:r>
      <w:r w:rsidRPr="005F5513">
        <w:rPr>
          <w:rFonts w:ascii="Palatino Linotype" w:eastAsia="Palatino Linotype" w:hAnsi="Palatino Linotype" w:cs="Palatino Linotype"/>
          <w:i/>
          <w:sz w:val="22"/>
          <w:szCs w:val="22"/>
        </w:rPr>
        <w:t>5” (sic)</w:t>
      </w:r>
    </w:p>
    <w:p w14:paraId="69A2606D" w14:textId="77777777" w:rsidR="00403952" w:rsidRPr="005F5513" w:rsidRDefault="007C0198">
      <w:pPr>
        <w:spacing w:line="360" w:lineRule="auto"/>
        <w:jc w:val="both"/>
        <w:rPr>
          <w:rFonts w:ascii="Palatino Linotype" w:eastAsia="Palatino Linotype" w:hAnsi="Palatino Linotype" w:cs="Palatino Linotype"/>
        </w:rPr>
      </w:pPr>
      <w:bookmarkStart w:id="4" w:name="_heading=h.30j0zll" w:colFirst="0" w:colLast="0"/>
      <w:bookmarkEnd w:id="4"/>
      <w:r w:rsidRPr="005F5513">
        <w:rPr>
          <w:rFonts w:ascii="Palatino Linotype" w:eastAsia="Palatino Linotype" w:hAnsi="Palatino Linotype" w:cs="Palatino Linotype"/>
          <w:b/>
        </w:rPr>
        <w:t>Y, Razones o motivos de inconformidad</w:t>
      </w:r>
      <w:r w:rsidRPr="005F5513">
        <w:rPr>
          <w:rFonts w:ascii="Palatino Linotype" w:eastAsia="Palatino Linotype" w:hAnsi="Palatino Linotype" w:cs="Palatino Linotype"/>
        </w:rPr>
        <w:t>:</w:t>
      </w:r>
    </w:p>
    <w:p w14:paraId="155A338E" w14:textId="77777777" w:rsidR="00403952" w:rsidRPr="005F5513" w:rsidRDefault="007C0198">
      <w:pPr>
        <w:tabs>
          <w:tab w:val="left" w:pos="2745"/>
        </w:tabs>
        <w:spacing w:before="240" w:after="240"/>
        <w:ind w:left="851"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 xml:space="preserve">“La información que emiten </w:t>
      </w:r>
      <w:proofErr w:type="spellStart"/>
      <w:r w:rsidRPr="005F5513">
        <w:rPr>
          <w:rFonts w:ascii="Palatino Linotype" w:eastAsia="Palatino Linotype" w:hAnsi="Palatino Linotype" w:cs="Palatino Linotype"/>
          <w:i/>
          <w:sz w:val="22"/>
          <w:szCs w:val="22"/>
        </w:rPr>
        <w:t>esta</w:t>
      </w:r>
      <w:proofErr w:type="spellEnd"/>
      <w:r w:rsidRPr="005F5513">
        <w:rPr>
          <w:rFonts w:ascii="Palatino Linotype" w:eastAsia="Palatino Linotype" w:hAnsi="Palatino Linotype" w:cs="Palatino Linotype"/>
          <w:i/>
          <w:sz w:val="22"/>
          <w:szCs w:val="22"/>
        </w:rPr>
        <w:t xml:space="preserve"> incompleta, ya que se </w:t>
      </w:r>
      <w:proofErr w:type="spellStart"/>
      <w:r w:rsidRPr="005F5513">
        <w:rPr>
          <w:rFonts w:ascii="Palatino Linotype" w:eastAsia="Palatino Linotype" w:hAnsi="Palatino Linotype" w:cs="Palatino Linotype"/>
          <w:i/>
          <w:sz w:val="22"/>
          <w:szCs w:val="22"/>
        </w:rPr>
        <w:t>solicito</w:t>
      </w:r>
      <w:proofErr w:type="spellEnd"/>
      <w:r w:rsidRPr="005F5513">
        <w:rPr>
          <w:rFonts w:ascii="Palatino Linotype" w:eastAsia="Palatino Linotype" w:hAnsi="Palatino Linotype" w:cs="Palatino Linotype"/>
          <w:i/>
          <w:sz w:val="22"/>
          <w:szCs w:val="22"/>
        </w:rPr>
        <w:t xml:space="preserve"> información del año 2024 y lo que va del 2025, </w:t>
      </w:r>
      <w:r w:rsidRPr="005F5513">
        <w:rPr>
          <w:rFonts w:ascii="Palatino Linotype" w:eastAsia="Palatino Linotype" w:hAnsi="Palatino Linotype" w:cs="Palatino Linotype"/>
          <w:b/>
          <w:i/>
          <w:sz w:val="22"/>
          <w:szCs w:val="22"/>
          <w:u w:val="single"/>
        </w:rPr>
        <w:t>NO ENTREGARON información del año 2025</w:t>
      </w:r>
      <w:r w:rsidRPr="005F5513">
        <w:rPr>
          <w:rFonts w:ascii="Palatino Linotype" w:eastAsia="Palatino Linotype" w:hAnsi="Palatino Linotype" w:cs="Palatino Linotype"/>
          <w:i/>
          <w:sz w:val="22"/>
          <w:szCs w:val="22"/>
        </w:rPr>
        <w:t>” (sic)</w:t>
      </w:r>
    </w:p>
    <w:p w14:paraId="40788F06" w14:textId="77777777" w:rsidR="00403952" w:rsidRPr="005F5513" w:rsidRDefault="007C0198">
      <w:pPr>
        <w:spacing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b/>
        </w:rPr>
        <w:t xml:space="preserve">4. Turno. </w:t>
      </w:r>
      <w:r w:rsidRPr="005F551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F5513">
        <w:rPr>
          <w:rFonts w:ascii="Palatino Linotype" w:eastAsia="Palatino Linotype" w:hAnsi="Palatino Linotype" w:cs="Palatino Linotype"/>
          <w:b/>
        </w:rPr>
        <w:t xml:space="preserve">Guadalupe Ramírez Peña, </w:t>
      </w:r>
      <w:r w:rsidRPr="005F5513">
        <w:rPr>
          <w:rFonts w:ascii="Palatino Linotype" w:eastAsia="Palatino Linotype" w:hAnsi="Palatino Linotype" w:cs="Palatino Linotype"/>
        </w:rPr>
        <w:t xml:space="preserve">a efecto de que analizara sobre su admisión o su </w:t>
      </w:r>
      <w:proofErr w:type="spellStart"/>
      <w:r w:rsidRPr="005F5513">
        <w:rPr>
          <w:rFonts w:ascii="Palatino Linotype" w:eastAsia="Palatino Linotype" w:hAnsi="Palatino Linotype" w:cs="Palatino Linotype"/>
        </w:rPr>
        <w:t>desechamiento</w:t>
      </w:r>
      <w:proofErr w:type="spellEnd"/>
      <w:r w:rsidRPr="005F5513">
        <w:rPr>
          <w:rFonts w:ascii="Palatino Linotype" w:eastAsia="Palatino Linotype" w:hAnsi="Palatino Linotype" w:cs="Palatino Linotype"/>
        </w:rPr>
        <w:t>.</w:t>
      </w:r>
    </w:p>
    <w:p w14:paraId="6C13BB1C"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b/>
        </w:rPr>
        <w:t>5. Admisión del Recurso de revisión.</w:t>
      </w:r>
      <w:r w:rsidRPr="005F5513">
        <w:rPr>
          <w:rFonts w:ascii="Palatino Linotype" w:eastAsia="Palatino Linotype" w:hAnsi="Palatino Linotype" w:cs="Palatino Linotype"/>
        </w:rPr>
        <w:t xml:space="preserve"> El</w:t>
      </w:r>
      <w:r w:rsidRPr="005F5513">
        <w:rPr>
          <w:rFonts w:ascii="Palatino Linotype" w:eastAsia="Palatino Linotype" w:hAnsi="Palatino Linotype" w:cs="Palatino Linotype"/>
          <w:b/>
        </w:rPr>
        <w:t xml:space="preserve"> veinticuatro de abril de dos mil veinticinco, </w:t>
      </w:r>
      <w:r w:rsidRPr="005F551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F5513">
        <w:rPr>
          <w:rFonts w:ascii="Palatino Linotype" w:eastAsia="Palatino Linotype" w:hAnsi="Palatino Linotype" w:cs="Palatino Linotype"/>
        </w:rPr>
        <w:lastRenderedPageBreak/>
        <w:t xml:space="preserve">conveniente, ofrecieran pruebas, formularan alegatos y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presentara su informe justificado.</w:t>
      </w:r>
    </w:p>
    <w:p w14:paraId="4BFE0A85"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5F5513">
        <w:rPr>
          <w:rFonts w:ascii="Palatino Linotype" w:eastAsia="Palatino Linotype" w:hAnsi="Palatino Linotype" w:cs="Palatino Linotype"/>
          <w:b/>
        </w:rPr>
        <w:t>6. Manifestaciones</w:t>
      </w:r>
      <w:r w:rsidRPr="005F5513">
        <w:rPr>
          <w:rFonts w:ascii="Palatino Linotype" w:eastAsia="Palatino Linotype" w:hAnsi="Palatino Linotype" w:cs="Palatino Linotype"/>
        </w:rPr>
        <w:t xml:space="preserve">. De las constancias que obran en el expediente electrónico del SAIMEX se desprende que 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xml:space="preserve"> no rindió su Informe Justificado, del mismo modo la parte</w:t>
      </w:r>
      <w:r w:rsidRPr="005F5513">
        <w:rPr>
          <w:rFonts w:ascii="Palatino Linotype" w:eastAsia="Palatino Linotype" w:hAnsi="Palatino Linotype" w:cs="Palatino Linotype"/>
          <w:b/>
        </w:rPr>
        <w:t xml:space="preserve"> Recurrente</w:t>
      </w:r>
      <w:r w:rsidRPr="005F5513">
        <w:rPr>
          <w:rFonts w:ascii="Palatino Linotype" w:eastAsia="Palatino Linotype" w:hAnsi="Palatino Linotype" w:cs="Palatino Linotype"/>
        </w:rPr>
        <w:t xml:space="preserve"> omitió realizar manifestaciones, como se observa a continuación:</w:t>
      </w:r>
    </w:p>
    <w:p w14:paraId="6BE67924"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noProof/>
        </w:rPr>
        <w:drawing>
          <wp:inline distT="0" distB="0" distL="0" distR="0" wp14:anchorId="18781AB7" wp14:editId="52A58CEF">
            <wp:extent cx="5612130" cy="159194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91945"/>
                    </a:xfrm>
                    <a:prstGeom prst="rect">
                      <a:avLst/>
                    </a:prstGeom>
                    <a:ln/>
                  </pic:spPr>
                </pic:pic>
              </a:graphicData>
            </a:graphic>
          </wp:inline>
        </w:drawing>
      </w:r>
    </w:p>
    <w:p w14:paraId="03C23858"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b/>
        </w:rPr>
        <w:t xml:space="preserve">7. Cierre de instrucción. </w:t>
      </w:r>
      <w:r w:rsidRPr="005F551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5F5513">
        <w:rPr>
          <w:rFonts w:ascii="Palatino Linotype" w:eastAsia="Palatino Linotype" w:hAnsi="Palatino Linotype" w:cs="Palatino Linotype"/>
          <w:b/>
        </w:rPr>
        <w:t>veintiséis de junio de dos mil veinticinco</w:t>
      </w:r>
      <w:r w:rsidRPr="005F551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CF82890"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b/>
        </w:rPr>
        <w:t>8</w:t>
      </w:r>
      <w:r w:rsidRPr="005F5513">
        <w:rPr>
          <w:rFonts w:ascii="Palatino Linotype" w:eastAsia="Palatino Linotype" w:hAnsi="Palatino Linotype" w:cs="Palatino Linotype"/>
        </w:rPr>
        <w:t xml:space="preserve">. </w:t>
      </w:r>
      <w:r w:rsidRPr="005F5513">
        <w:rPr>
          <w:rFonts w:ascii="Palatino Linotype" w:eastAsia="Palatino Linotype" w:hAnsi="Palatino Linotype" w:cs="Palatino Linotype"/>
          <w:b/>
        </w:rPr>
        <w:t>Ampliación del término para resolver</w:t>
      </w:r>
      <w:r w:rsidRPr="005F5513">
        <w:rPr>
          <w:rFonts w:ascii="Palatino Linotype" w:eastAsia="Palatino Linotype" w:hAnsi="Palatino Linotype" w:cs="Palatino Linotype"/>
        </w:rPr>
        <w:t xml:space="preserve">. El </w:t>
      </w:r>
      <w:r w:rsidRPr="005F5513">
        <w:rPr>
          <w:rFonts w:ascii="Palatino Linotype" w:eastAsia="Palatino Linotype" w:hAnsi="Palatino Linotype" w:cs="Palatino Linotype"/>
          <w:b/>
        </w:rPr>
        <w:t>veintiséis de junio de dos mil veinticinco</w:t>
      </w:r>
      <w:r w:rsidRPr="005F551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738F6AD"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5C26F0"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4E81BA"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D3B3C8"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FA4D91E" w14:textId="77777777" w:rsidR="00403952" w:rsidRPr="005F5513" w:rsidRDefault="007C0198">
      <w:pPr>
        <w:spacing w:before="240" w:after="240" w:line="360" w:lineRule="auto"/>
        <w:jc w:val="both"/>
        <w:rPr>
          <w:rFonts w:ascii="Palatino Linotype" w:eastAsia="Palatino Linotype" w:hAnsi="Palatino Linotype" w:cs="Palatino Linotype"/>
          <w:strike/>
        </w:rPr>
      </w:pPr>
      <w:r w:rsidRPr="005F551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22A4F74" w14:textId="77777777" w:rsidR="00403952" w:rsidRPr="005F5513"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C370335" w14:textId="77777777" w:rsidR="00403952" w:rsidRPr="005F5513"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5F5513">
        <w:rPr>
          <w:rFonts w:ascii="Palatino Linotype" w:eastAsia="Palatino Linotype" w:hAnsi="Palatino Linotype" w:cs="Palatino Linotype"/>
        </w:rPr>
        <w:t>Actividad Procesal del interesado. Acciones u omisiones del interesado.</w:t>
      </w:r>
    </w:p>
    <w:p w14:paraId="45830203" w14:textId="77777777" w:rsidR="00403952" w:rsidRPr="005F5513" w:rsidRDefault="007C0198">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5F5513">
        <w:rPr>
          <w:rFonts w:ascii="Palatino Linotype" w:eastAsia="Palatino Linotype" w:hAnsi="Palatino Linotype" w:cs="Palatino Linotype"/>
        </w:rPr>
        <w:t>Conducta de la Autoridad: Las Acciones u omisiones realizadas en el procedimiento. Así como si la autoridad actuó con la debida diligencia.</w:t>
      </w:r>
    </w:p>
    <w:p w14:paraId="4DF10D4C" w14:textId="77777777" w:rsidR="00403952" w:rsidRPr="005F5513" w:rsidRDefault="007C0198">
      <w:pPr>
        <w:tabs>
          <w:tab w:val="left" w:pos="567"/>
        </w:tabs>
        <w:spacing w:before="240" w:after="240" w:line="360" w:lineRule="auto"/>
        <w:ind w:left="284"/>
        <w:jc w:val="both"/>
        <w:rPr>
          <w:rFonts w:ascii="Palatino Linotype" w:eastAsia="Palatino Linotype" w:hAnsi="Palatino Linotype" w:cs="Palatino Linotype"/>
        </w:rPr>
      </w:pPr>
      <w:r w:rsidRPr="005F5513">
        <w:rPr>
          <w:rFonts w:ascii="Palatino Linotype" w:eastAsia="Palatino Linotype" w:hAnsi="Palatino Linotype" w:cs="Palatino Linotype"/>
        </w:rPr>
        <w:t>d) La afectación generada en la situación jurídica de la persona involucrada en el proceso: Violación a sus derechos humanos.</w:t>
      </w:r>
    </w:p>
    <w:p w14:paraId="3397FF24"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23DC72"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F5513">
        <w:rPr>
          <w:rFonts w:ascii="Palatino Linotype" w:eastAsia="Palatino Linotype" w:hAnsi="Palatino Linotype" w:cs="Palatino Linotype"/>
          <w:i/>
        </w:rPr>
        <w:t xml:space="preserve">“TÉRMINOS PROCESALES. PARA DETERMINAR SI UN FUNCIONARIO JUDICIAL ACTUÓ INDEBIDAMENTE POR NO RESPETARLOS SE DEBE ATENDER AL </w:t>
      </w:r>
      <w:r w:rsidRPr="005F5513">
        <w:rPr>
          <w:rFonts w:ascii="Palatino Linotype" w:eastAsia="Palatino Linotype" w:hAnsi="Palatino Linotype" w:cs="Palatino Linotype"/>
          <w:i/>
        </w:rPr>
        <w:lastRenderedPageBreak/>
        <w:t>PRESUPUESTO QUE CONSIDERÓ EL LEGISLADOR AL FIJARLOS Y LAS CARACTERÍSTICAS DEL CASO.”</w:t>
      </w:r>
      <w:r w:rsidRPr="005F5513">
        <w:rPr>
          <w:rFonts w:ascii="Palatino Linotype" w:eastAsia="Palatino Linotype" w:hAnsi="Palatino Linotype" w:cs="Palatino Linotype"/>
        </w:rPr>
        <w:t>, visible en la Gaceta del Seminario Judicial de la Federación con el registro digital 205635.</w:t>
      </w:r>
    </w:p>
    <w:p w14:paraId="1FCCEF7C"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0C3B5F"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44E5E64" w14:textId="77777777" w:rsidR="00403952" w:rsidRPr="005F5513" w:rsidRDefault="007C0198">
      <w:pPr>
        <w:spacing w:before="120" w:after="120"/>
        <w:ind w:left="851" w:right="902"/>
        <w:jc w:val="both"/>
        <w:rPr>
          <w:rFonts w:ascii="Palatino Linotype" w:eastAsia="Palatino Linotype" w:hAnsi="Palatino Linotype" w:cs="Palatino Linotype"/>
          <w:sz w:val="22"/>
          <w:szCs w:val="22"/>
        </w:rPr>
      </w:pPr>
      <w:r w:rsidRPr="005F5513">
        <w:rPr>
          <w:rFonts w:ascii="Palatino Linotype" w:eastAsia="Palatino Linotype" w:hAnsi="Palatino Linotype" w:cs="Palatino Linotype"/>
          <w:sz w:val="22"/>
          <w:szCs w:val="22"/>
        </w:rPr>
        <w:t xml:space="preserve"> </w:t>
      </w: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PLAZO RAZONABLE PARA RESOLVER. DIMENSIÓN Y EFECTOS DE ESTE CONCEPTO CUANDO SE ADUCE EXCESIVA CARGA DE TRABAJO</w:t>
      </w: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87E29E" w14:textId="77777777" w:rsidR="00403952" w:rsidRPr="005F5513" w:rsidRDefault="007C0198">
      <w:pPr>
        <w:spacing w:before="120" w:after="120"/>
        <w:ind w:left="851" w:right="902"/>
        <w:jc w:val="both"/>
        <w:rPr>
          <w:rFonts w:ascii="Palatino Linotype" w:eastAsia="Palatino Linotype" w:hAnsi="Palatino Linotype" w:cs="Palatino Linotype"/>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sz w:val="22"/>
          <w:szCs w:val="22"/>
        </w:rPr>
        <w:t>, visible en el Seminario Judicial de la Federación y su gaceta, con el registro digital 2002350.</w:t>
      </w:r>
    </w:p>
    <w:p w14:paraId="210D9B65"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20F3CEC"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DA0EB4C" w14:textId="77777777" w:rsidR="00403952" w:rsidRPr="005F5513" w:rsidRDefault="007C0198">
      <w:pPr>
        <w:widowControl w:val="0"/>
        <w:spacing w:before="240" w:after="240" w:line="360" w:lineRule="auto"/>
        <w:jc w:val="center"/>
        <w:rPr>
          <w:rFonts w:ascii="Palatino Linotype" w:eastAsia="Palatino Linotype" w:hAnsi="Palatino Linotype" w:cs="Palatino Linotype"/>
          <w:b/>
        </w:rPr>
      </w:pPr>
      <w:r w:rsidRPr="005F5513">
        <w:rPr>
          <w:rFonts w:ascii="Palatino Linotype" w:eastAsia="Palatino Linotype" w:hAnsi="Palatino Linotype" w:cs="Palatino Linotype"/>
          <w:b/>
        </w:rPr>
        <w:t>II. C O N S I D E R A N D O S</w:t>
      </w:r>
    </w:p>
    <w:p w14:paraId="616F99F9"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b/>
        </w:rPr>
        <w:t>Primero. Competencia.</w:t>
      </w:r>
      <w:r w:rsidRPr="005F551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72DDB8"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5F5513">
        <w:rPr>
          <w:rFonts w:ascii="Palatino Linotype" w:eastAsia="Palatino Linotype" w:hAnsi="Palatino Linotype" w:cs="Palatino Linotype"/>
          <w:b/>
        </w:rPr>
        <w:t>Segundo. Oportunidad y Procedibilidad del Recurso de Revisión</w:t>
      </w:r>
      <w:r w:rsidRPr="005F5513">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5F5513">
        <w:rPr>
          <w:rFonts w:ascii="Palatino Linotype" w:eastAsia="Palatino Linotype" w:hAnsi="Palatino Linotype" w:cs="Palatino Linotype"/>
        </w:rPr>
        <w:lastRenderedPageBreak/>
        <w:t>artículos 178 y 180 de la Ley de Transparencia y Acceso a la Información Pública del Estado de México y Municipios.</w:t>
      </w:r>
    </w:p>
    <w:p w14:paraId="7EB0A3C5"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remitió la respuesta a la solicitud de información el día </w:t>
      </w:r>
      <w:r w:rsidRPr="005F5513">
        <w:rPr>
          <w:rFonts w:ascii="Palatino Linotype" w:eastAsia="Palatino Linotype" w:hAnsi="Palatino Linotype" w:cs="Palatino Linotype"/>
          <w:b/>
        </w:rPr>
        <w:t xml:space="preserve">dieciséis de abril de dos mil veinticinco, </w:t>
      </w:r>
      <w:r w:rsidRPr="005F5513">
        <w:rPr>
          <w:rFonts w:ascii="Palatino Linotype" w:eastAsia="Palatino Linotype" w:hAnsi="Palatino Linotype" w:cs="Palatino Linotype"/>
        </w:rPr>
        <w:t xml:space="preserve">mientras que el recurso de revisión interpuesto por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se tuvo por presentado el día</w:t>
      </w:r>
      <w:r w:rsidRPr="005F5513">
        <w:rPr>
          <w:rFonts w:ascii="Palatino Linotype" w:eastAsia="Palatino Linotype" w:hAnsi="Palatino Linotype" w:cs="Palatino Linotype"/>
          <w:b/>
        </w:rPr>
        <w:t xml:space="preserve"> veintiuno abril de dos mil veinticinco, </w:t>
      </w:r>
      <w:r w:rsidRPr="005F5513">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5987CB27"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Además, por cuanto hace a la procedibilidad del recurso de revisión, es de suma importancia señalar que la parte</w:t>
      </w:r>
      <w:r w:rsidRPr="005F5513">
        <w:rPr>
          <w:rFonts w:ascii="Palatino Linotype" w:eastAsia="Palatino Linotype" w:hAnsi="Palatino Linotype" w:cs="Palatino Linotype"/>
          <w:b/>
        </w:rPr>
        <w:t xml:space="preserve"> Recurrente</w:t>
      </w:r>
      <w:r w:rsidRPr="005F5513">
        <w:rPr>
          <w:rFonts w:ascii="Palatino Linotype" w:eastAsia="Palatino Linotype" w:hAnsi="Palatino Linotype" w:cs="Palatino Linotype"/>
        </w:rPr>
        <w:t xml:space="preserve">, no señaló un </w:t>
      </w:r>
      <w:r w:rsidRPr="005F5513">
        <w:rPr>
          <w:rFonts w:ascii="Palatino Linotype" w:eastAsia="Palatino Linotype" w:hAnsi="Palatino Linotype" w:cs="Palatino Linotype"/>
          <w:b/>
        </w:rPr>
        <w:t>nombre</w:t>
      </w:r>
      <w:r w:rsidRPr="005F5513">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898A7B" w14:textId="77777777" w:rsidR="00403952" w:rsidRPr="005F5513" w:rsidRDefault="007C0198">
      <w:pPr>
        <w:spacing w:before="120" w:after="120"/>
        <w:ind w:left="860"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Las solicitudes anónimas</w:t>
      </w:r>
      <w:r w:rsidRPr="005F5513">
        <w:rPr>
          <w:rFonts w:ascii="Palatino Linotype" w:eastAsia="Palatino Linotype" w:hAnsi="Palatino Linotype" w:cs="Palatino Linotype"/>
          <w:i/>
          <w:sz w:val="22"/>
          <w:szCs w:val="22"/>
        </w:rPr>
        <w:t xml:space="preserve">, con nombre incompleto o </w:t>
      </w:r>
      <w:r w:rsidRPr="005F5513">
        <w:rPr>
          <w:rFonts w:ascii="Palatino Linotype" w:eastAsia="Palatino Linotype" w:hAnsi="Palatino Linotype" w:cs="Palatino Linotype"/>
          <w:b/>
          <w:i/>
          <w:sz w:val="22"/>
          <w:szCs w:val="22"/>
        </w:rPr>
        <w:t>seudónimo</w:t>
      </w:r>
      <w:r w:rsidRPr="005F551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C927F6E"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rPr>
        <w:lastRenderedPageBreak/>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5F5513">
        <w:rPr>
          <w:rFonts w:ascii="Palatino Linotype" w:eastAsia="Palatino Linotype" w:hAnsi="Palatino Linotype" w:cs="Palatino Linotype"/>
          <w:b/>
        </w:rPr>
        <w:t xml:space="preserve"> SAIMEX.</w:t>
      </w:r>
    </w:p>
    <w:p w14:paraId="5B2F6445"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Finalmente, se advierte que resulta procedente la interposición del recurso, según lo manifestado por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en sus motivos de inconformidad, de acuerdo al artículo 179, fracción V del ordenamiento legal citado, que a la letra dice: </w:t>
      </w:r>
    </w:p>
    <w:p w14:paraId="44268594" w14:textId="77777777" w:rsidR="00403952" w:rsidRPr="005F5513" w:rsidRDefault="007C0198">
      <w:pPr>
        <w:tabs>
          <w:tab w:val="left" w:pos="7938"/>
        </w:tabs>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Artículo 179.</w:t>
      </w:r>
      <w:r w:rsidRPr="005F551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DF68CB" w14:textId="77777777" w:rsidR="00403952" w:rsidRPr="005F5513" w:rsidRDefault="007C0198">
      <w:pPr>
        <w:tabs>
          <w:tab w:val="left" w:pos="7938"/>
        </w:tabs>
        <w:spacing w:before="120" w:after="120"/>
        <w:ind w:left="1134"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p>
    <w:p w14:paraId="59C3E80B" w14:textId="77777777" w:rsidR="00403952" w:rsidRPr="005F5513" w:rsidRDefault="007C0198">
      <w:pPr>
        <w:tabs>
          <w:tab w:val="left" w:pos="7938"/>
        </w:tabs>
        <w:spacing w:before="120" w:after="120"/>
        <w:ind w:left="1134"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t>V.</w:t>
      </w:r>
      <w:r w:rsidRPr="005F5513">
        <w:rPr>
          <w:rFonts w:ascii="Palatino Linotype" w:eastAsia="Palatino Linotype" w:hAnsi="Palatino Linotype" w:cs="Palatino Linotype"/>
          <w:i/>
          <w:sz w:val="22"/>
          <w:szCs w:val="22"/>
        </w:rPr>
        <w:t xml:space="preserve"> La entrega de información incompleta;”</w:t>
      </w:r>
    </w:p>
    <w:p w14:paraId="4BA9E5F5"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b/>
        </w:rPr>
        <w:t xml:space="preserve">Tercero. Materia de la revisión. </w:t>
      </w:r>
      <w:r w:rsidRPr="005F551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F551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5F5513">
        <w:rPr>
          <w:rFonts w:ascii="Palatino Linotype" w:eastAsia="Palatino Linotype" w:hAnsi="Palatino Linotype" w:cs="Palatino Linotype"/>
        </w:rPr>
        <w:t xml:space="preserve">de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o en su defecto, en caso de ser procedente, ordenar la entrega de información.</w:t>
      </w:r>
    </w:p>
    <w:p w14:paraId="4FE7BA6D"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5F5513">
        <w:rPr>
          <w:rFonts w:ascii="Palatino Linotype" w:eastAsia="Palatino Linotype" w:hAnsi="Palatino Linotype" w:cs="Palatino Linotype"/>
          <w:b/>
        </w:rPr>
        <w:t xml:space="preserve">Cuarto. Estudio del asunto. </w:t>
      </w:r>
      <w:r w:rsidRPr="005F5513">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w:t>
      </w:r>
      <w:r w:rsidRPr="005F5513">
        <w:rPr>
          <w:rFonts w:ascii="Palatino Linotype" w:eastAsia="Palatino Linotype" w:hAnsi="Palatino Linotype" w:cs="Palatino Linotype"/>
        </w:rPr>
        <w:lastRenderedPageBreak/>
        <w:t>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E7B9F3"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Artículo 4</w:t>
      </w:r>
      <w:r w:rsidRPr="005F551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D5444A"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F551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3A9C0BF"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F5513">
        <w:rPr>
          <w:rFonts w:ascii="Palatino Linotype" w:eastAsia="Palatino Linotype" w:hAnsi="Palatino Linotype" w:cs="Palatino Linotype"/>
          <w:i/>
          <w:sz w:val="22"/>
          <w:szCs w:val="22"/>
        </w:rPr>
        <w:t>.”</w:t>
      </w:r>
    </w:p>
    <w:p w14:paraId="72542E82"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892A3D"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lastRenderedPageBreak/>
        <w:t>“Artículo 12.-</w:t>
      </w:r>
      <w:r w:rsidRPr="005F551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3262721"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F5513">
        <w:rPr>
          <w:rFonts w:ascii="Palatino Linotype" w:eastAsia="Palatino Linotype" w:hAnsi="Palatino Linotype" w:cs="Palatino Linotype"/>
          <w:i/>
          <w:sz w:val="22"/>
          <w:szCs w:val="22"/>
        </w:rPr>
        <w:t xml:space="preserve">. </w:t>
      </w:r>
      <w:r w:rsidRPr="005F551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9B7BC9B" w14:textId="77777777" w:rsidR="00403952" w:rsidRPr="005F5513" w:rsidRDefault="007C0198">
      <w:pPr>
        <w:spacing w:before="240" w:after="240" w:line="360" w:lineRule="auto"/>
        <w:ind w:right="-93"/>
        <w:jc w:val="both"/>
        <w:rPr>
          <w:rFonts w:ascii="Palatino Linotype" w:eastAsia="Palatino Linotype" w:hAnsi="Palatino Linotype" w:cs="Palatino Linotype"/>
        </w:rPr>
      </w:pPr>
      <w:r w:rsidRPr="005F551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8CB792D" w14:textId="77777777" w:rsidR="00403952" w:rsidRPr="005F5513" w:rsidRDefault="007C0198">
      <w:pPr>
        <w:spacing w:before="240" w:after="240" w:line="360" w:lineRule="auto"/>
        <w:jc w:val="both"/>
        <w:rPr>
          <w:rFonts w:ascii="Palatino Linotype" w:eastAsia="Palatino Linotype" w:hAnsi="Palatino Linotype" w:cs="Palatino Linotype"/>
          <w:b/>
        </w:rPr>
      </w:pPr>
      <w:r w:rsidRPr="005F5513">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5F5513">
        <w:rPr>
          <w:rFonts w:ascii="Palatino Linotype" w:eastAsia="Palatino Linotype" w:hAnsi="Palatino Linotype" w:cs="Palatino Linotype"/>
          <w:b/>
        </w:rPr>
        <w:t xml:space="preserve"> </w:t>
      </w:r>
    </w:p>
    <w:p w14:paraId="40F48F49"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 xml:space="preserve"> “</w:t>
      </w:r>
      <w:r w:rsidRPr="005F5513">
        <w:rPr>
          <w:rFonts w:ascii="Palatino Linotype" w:eastAsia="Palatino Linotype" w:hAnsi="Palatino Linotype" w:cs="Palatino Linotype"/>
          <w:b/>
          <w:i/>
          <w:sz w:val="22"/>
          <w:szCs w:val="22"/>
        </w:rPr>
        <w:t>No existe obligación de elaborar documentos ad hoc para atender las solicitudes de acceso a la información.</w:t>
      </w:r>
      <w:r w:rsidRPr="005F551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w:t>
      </w:r>
      <w:r w:rsidRPr="005F5513">
        <w:rPr>
          <w:rFonts w:ascii="Palatino Linotype" w:eastAsia="Palatino Linotype" w:hAnsi="Palatino Linotype" w:cs="Palatino Linotype"/>
          <w:i/>
          <w:sz w:val="22"/>
          <w:szCs w:val="22"/>
        </w:rPr>
        <w:lastRenderedPageBreak/>
        <w:t xml:space="preserve">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29B87E" w14:textId="77777777" w:rsidR="00403952" w:rsidRPr="005F5513" w:rsidRDefault="007C0198">
      <w:pPr>
        <w:spacing w:before="120" w:after="12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976C80" w14:textId="77777777" w:rsidR="00403952" w:rsidRPr="005F5513" w:rsidRDefault="007C0198">
      <w:pPr>
        <w:spacing w:before="120" w:after="12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2A4338"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 xml:space="preserve">Artículo 3. </w:t>
      </w:r>
      <w:r w:rsidRPr="005F5513">
        <w:rPr>
          <w:rFonts w:ascii="Palatino Linotype" w:eastAsia="Palatino Linotype" w:hAnsi="Palatino Linotype" w:cs="Palatino Linotype"/>
          <w:i/>
          <w:sz w:val="22"/>
          <w:szCs w:val="22"/>
        </w:rPr>
        <w:t>Para los efectos de la presente Ley se entenderá por:</w:t>
      </w:r>
    </w:p>
    <w:p w14:paraId="04617CAF"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p>
    <w:p w14:paraId="2AF9080A"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z w:val="22"/>
          <w:szCs w:val="22"/>
        </w:rPr>
        <w:t>XI. Documento:</w:t>
      </w:r>
      <w:r w:rsidRPr="005F5513">
        <w:rPr>
          <w:rFonts w:ascii="Palatino Linotype" w:eastAsia="Palatino Linotype" w:hAnsi="Palatino Linotype" w:cs="Palatino Linotype"/>
          <w:i/>
          <w:sz w:val="22"/>
          <w:szCs w:val="22"/>
        </w:rPr>
        <w:t xml:space="preserve"> Los expedientes, reportes, estudios, actas</w:t>
      </w:r>
      <w:r w:rsidRPr="005F5513">
        <w:rPr>
          <w:rFonts w:ascii="Palatino Linotype" w:eastAsia="Palatino Linotype" w:hAnsi="Palatino Linotype" w:cs="Palatino Linotype"/>
          <w:b/>
          <w:i/>
          <w:sz w:val="22"/>
          <w:szCs w:val="22"/>
        </w:rPr>
        <w:t>,</w:t>
      </w:r>
      <w:r w:rsidRPr="005F551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w:t>
      </w:r>
      <w:r w:rsidRPr="005F5513">
        <w:rPr>
          <w:rFonts w:ascii="Palatino Linotype" w:eastAsia="Palatino Linotype" w:hAnsi="Palatino Linotype" w:cs="Palatino Linotype"/>
          <w:i/>
          <w:sz w:val="22"/>
          <w:szCs w:val="22"/>
        </w:rPr>
        <w:lastRenderedPageBreak/>
        <w:t xml:space="preserve">sin importar su fuente o fecha de elaboración. Los documentos podrán estar en cualquier medio, sea escrito, impreso, sonoro, visual, electrónico, informático u holográfico…” </w:t>
      </w:r>
    </w:p>
    <w:p w14:paraId="2EB61F88"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E46B37"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sz w:val="22"/>
          <w:szCs w:val="22"/>
        </w:rPr>
        <w:t>“</w:t>
      </w:r>
      <w:r w:rsidRPr="005F551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F551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F1E969" w14:textId="77777777" w:rsidR="00403952" w:rsidRPr="005F5513" w:rsidRDefault="007C0198">
      <w:pP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941F1C"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07A5755"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075098F" w14:textId="77777777" w:rsidR="00403952" w:rsidRPr="005F5513" w:rsidRDefault="007C0198">
      <w:pPr>
        <w:spacing w:before="120" w:after="120"/>
        <w:ind w:left="1134"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FC76D5" w14:textId="77777777" w:rsidR="00403952" w:rsidRPr="005F5513" w:rsidRDefault="007C0198">
      <w:pPr>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5F5513">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67B8F3"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A2F0795" w14:textId="77777777" w:rsidR="00403952" w:rsidRPr="005F5513" w:rsidRDefault="007C0198">
      <w:pPr>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Por otro lado,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2942E002"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5987064" w14:textId="77777777" w:rsidR="00403952" w:rsidRPr="005F5513" w:rsidRDefault="007C0198">
      <w:pPr>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41C60A1"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FB3D217" w14:textId="77777777" w:rsidR="00403952" w:rsidRPr="005F5513" w:rsidRDefault="007C0198">
      <w:pPr>
        <w:spacing w:before="280" w:after="28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Tesorería como la dependencia responsable para conocer de la información que es del interés de la persona solicitante.</w:t>
      </w:r>
    </w:p>
    <w:p w14:paraId="008F686B" w14:textId="77777777" w:rsidR="00403952" w:rsidRPr="005F5513" w:rsidRDefault="007C0198">
      <w:pPr>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Como sustento a lo anterior, es oportuno mencionar que de conformidad con el artículo 15 de la Ley que Crea los Organismos Públicos Descentralizados de Asistencia Social de carácter municipal, denominados “Sistemas Municipales para el Desarrollo Integral de la Familia”, el Tesorero es responsable de del manejo del presupuesto del Sistema Municipal, y de la administración de los recursos que conforman el patrimonio del organismo, lo cual hará en coordinación con el Director General, asimismo, se le confieren las siguientes atribuciones en su parte conducente:</w:t>
      </w:r>
    </w:p>
    <w:p w14:paraId="18A57CDB" w14:textId="77777777" w:rsidR="00403952" w:rsidRPr="005F5513" w:rsidRDefault="007C0198">
      <w:pPr>
        <w:tabs>
          <w:tab w:val="left" w:pos="3544"/>
        </w:tabs>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b/>
        </w:rPr>
        <w:t>I.</w:t>
      </w:r>
      <w:r w:rsidRPr="005F5513">
        <w:rPr>
          <w:rFonts w:ascii="Palatino Linotype" w:eastAsia="Palatino Linotype" w:hAnsi="Palatino Linotype" w:cs="Palatino Linotype"/>
        </w:rPr>
        <w:t xml:space="preserve"> Administrar los recursos que conforman el patrimonio del organismo de conformidad con lo establecido en las disposiciones legales aplicables; </w:t>
      </w:r>
    </w:p>
    <w:p w14:paraId="1FB3A8F1" w14:textId="77777777" w:rsidR="00403952" w:rsidRPr="005F5513" w:rsidRDefault="007C0198">
      <w:pPr>
        <w:tabs>
          <w:tab w:val="left" w:pos="3544"/>
        </w:tabs>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b/>
        </w:rPr>
        <w:lastRenderedPageBreak/>
        <w:t>II.</w:t>
      </w:r>
      <w:r w:rsidRPr="005F5513">
        <w:rPr>
          <w:rFonts w:ascii="Palatino Linotype" w:eastAsia="Palatino Linotype" w:hAnsi="Palatino Linotype" w:cs="Palatino Linotype"/>
        </w:rPr>
        <w:t xml:space="preserve"> Llevar los libros y registros contables, financieros y administrativos de los ingresos, egresos e inventarios;</w:t>
      </w:r>
    </w:p>
    <w:p w14:paraId="4A64DA30" w14:textId="77777777" w:rsidR="00403952" w:rsidRPr="005F5513" w:rsidRDefault="007C0198">
      <w:pPr>
        <w:tabs>
          <w:tab w:val="left" w:pos="3544"/>
        </w:tabs>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b/>
        </w:rPr>
        <w:t>III.</w:t>
      </w:r>
      <w:r w:rsidRPr="005F5513">
        <w:rPr>
          <w:rFonts w:ascii="Palatino Linotype" w:eastAsia="Palatino Linotype" w:hAnsi="Palatino Linotype" w:cs="Palatino Linotype"/>
        </w:rPr>
        <w:t xml:space="preserve"> Proporcionar oportunamente a la Junta de Gobierno todos los datos e informes que sean necesarios para la formulación del Presupuesto de Egresos del organismo, vigilando que se ajuste a las disposiciones legales aplicables;</w:t>
      </w:r>
    </w:p>
    <w:p w14:paraId="1A134137" w14:textId="77777777" w:rsidR="00403952" w:rsidRPr="005F5513" w:rsidRDefault="007C0198">
      <w:pPr>
        <w:tabs>
          <w:tab w:val="left" w:pos="3544"/>
        </w:tabs>
        <w:spacing w:before="240" w:after="240" w:line="360" w:lineRule="auto"/>
        <w:ind w:left="284" w:right="49"/>
        <w:jc w:val="both"/>
        <w:rPr>
          <w:rFonts w:ascii="Palatino Linotype" w:eastAsia="Palatino Linotype" w:hAnsi="Palatino Linotype" w:cs="Palatino Linotype"/>
        </w:rPr>
      </w:pPr>
      <w:r w:rsidRPr="005F5513">
        <w:rPr>
          <w:rFonts w:ascii="Palatino Linotype" w:eastAsia="Palatino Linotype" w:hAnsi="Palatino Linotype" w:cs="Palatino Linotype"/>
          <w:b/>
        </w:rPr>
        <w:t>IV</w:t>
      </w:r>
      <w:r w:rsidRPr="005F5513">
        <w:rPr>
          <w:rFonts w:ascii="Palatino Linotype" w:eastAsia="Palatino Linotype" w:hAnsi="Palatino Linotype" w:cs="Palatino Linotype"/>
        </w:rPr>
        <w:t>. Presentar anualmente a la Junta de Gobierno un informe de la situación contable financiera de la Tesorería del Organismo;</w:t>
      </w:r>
    </w:p>
    <w:p w14:paraId="6FB987A3" w14:textId="77777777" w:rsidR="00403952" w:rsidRPr="005F5513" w:rsidRDefault="007C0198">
      <w:pPr>
        <w:tabs>
          <w:tab w:val="left" w:pos="3544"/>
        </w:tabs>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Atento a lo anterior, se colige que la Tesorería del Organismo cuenta con atribuciones para conocer de la información solicitada por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B955BF2" w14:textId="77777777" w:rsidR="00403952" w:rsidRPr="005F5513" w:rsidRDefault="007C0198">
      <w:pPr>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requirió al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le proporcione, información consistente en lo siguiente:</w:t>
      </w:r>
    </w:p>
    <w:p w14:paraId="6BF523C2" w14:textId="77777777" w:rsidR="00403952" w:rsidRPr="005F5513" w:rsidRDefault="007C0198">
      <w:pPr>
        <w:spacing w:before="240" w:after="240" w:line="360" w:lineRule="auto"/>
        <w:ind w:left="284" w:right="51"/>
        <w:jc w:val="both"/>
        <w:rPr>
          <w:rFonts w:ascii="Palatino Linotype" w:eastAsia="Palatino Linotype" w:hAnsi="Palatino Linotype" w:cs="Palatino Linotype"/>
        </w:rPr>
      </w:pPr>
      <w:bookmarkStart w:id="8" w:name="_heading=h.v40mr29edxsq" w:colFirst="0" w:colLast="0"/>
      <w:bookmarkEnd w:id="8"/>
      <w:r w:rsidRPr="005F5513">
        <w:rPr>
          <w:rFonts w:ascii="Palatino Linotype" w:eastAsia="Palatino Linotype" w:hAnsi="Palatino Linotype" w:cs="Palatino Linotype"/>
        </w:rPr>
        <w:t xml:space="preserve">1. Todas las donaciones que ha recibido el Sistema Municipal para el Desarrollo Integral de la Familia, DIF, de enero a diciembre de 2024 y del uno de enero al </w:t>
      </w:r>
      <w:r w:rsidRPr="005F5513">
        <w:rPr>
          <w:rFonts w:ascii="Palatino Linotype" w:eastAsia="Palatino Linotype" w:hAnsi="Palatino Linotype" w:cs="Palatino Linotype"/>
        </w:rPr>
        <w:lastRenderedPageBreak/>
        <w:t>veinticinco de marzo de dos mil 2025,</w:t>
      </w:r>
      <w:r w:rsidRPr="005F5513">
        <w:rPr>
          <w:rFonts w:ascii="Palatino Linotype" w:eastAsia="Palatino Linotype" w:hAnsi="Palatino Linotype" w:cs="Palatino Linotype"/>
          <w:b/>
        </w:rPr>
        <w:t xml:space="preserve"> </w:t>
      </w:r>
      <w:r w:rsidRPr="005F5513">
        <w:rPr>
          <w:rFonts w:ascii="Palatino Linotype" w:eastAsia="Palatino Linotype" w:hAnsi="Palatino Linotype" w:cs="Palatino Linotype"/>
        </w:rPr>
        <w:t>desglosado por mes, especificando detalladamente el concepto de la donación, la persona física o moral que hizo la donación, a donde se destinó dicha donación.</w:t>
      </w:r>
    </w:p>
    <w:p w14:paraId="3669C94E" w14:textId="77777777" w:rsidR="00403952" w:rsidRPr="005F5513" w:rsidRDefault="007C0198">
      <w:pPr>
        <w:spacing w:before="240" w:after="240" w:line="360" w:lineRule="auto"/>
        <w:ind w:left="284" w:right="51"/>
        <w:jc w:val="both"/>
        <w:rPr>
          <w:rFonts w:ascii="Palatino Linotype" w:eastAsia="Palatino Linotype" w:hAnsi="Palatino Linotype" w:cs="Palatino Linotype"/>
        </w:rPr>
      </w:pPr>
      <w:r w:rsidRPr="005F5513">
        <w:rPr>
          <w:rFonts w:ascii="Palatino Linotype" w:eastAsia="Palatino Linotype" w:hAnsi="Palatino Linotype" w:cs="Palatino Linotype"/>
        </w:rPr>
        <w:t>2. El soporte contable del registro de las donaciones referidas en el punto anterior: la póliza, el diario general de pólizas y la balanza de comprobación de cada mes donde se hayan registrado.</w:t>
      </w:r>
    </w:p>
    <w:p w14:paraId="135C8AAF" w14:textId="77777777" w:rsidR="00403952" w:rsidRPr="005F5513" w:rsidRDefault="007C0198">
      <w:pPr>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respuesta,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por conducto de la Tesorería hizo entrega de la información correspondiente al ejercicio 2024, esto es: la relación de donaciones recibidas, el Diario General de pólizas de los registros de donaciones, la Balanza de comprobación de los registros de las donaciones y las Pólizas con las cuales se registró y se entregó la donación.</w:t>
      </w:r>
    </w:p>
    <w:p w14:paraId="60410AC7" w14:textId="77777777" w:rsidR="00403952" w:rsidRPr="005F5513" w:rsidRDefault="007C0198">
      <w:pPr>
        <w:spacing w:before="240" w:after="240" w:line="360" w:lineRule="auto"/>
        <w:ind w:right="49"/>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Asimismo, </w:t>
      </w:r>
      <w:r w:rsidRPr="005F5513">
        <w:rPr>
          <w:rFonts w:ascii="Palatino Linotype" w:eastAsia="Palatino Linotype" w:hAnsi="Palatino Linotype" w:cs="Palatino Linotype"/>
          <w:b/>
          <w:u w:val="single"/>
        </w:rPr>
        <w:t xml:space="preserve">por lo que se refiere al año 2025, refirió que no se contaba con algún donativo recibido a la fecha de respuesta. </w:t>
      </w:r>
    </w:p>
    <w:p w14:paraId="3A475EC4" w14:textId="77777777" w:rsidR="00403952" w:rsidRPr="005F5513" w:rsidRDefault="007C0198">
      <w:pPr>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Al no estar conforme con los términos de la respuesta proporcionada,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presentó el recurso de revisión que nos ocupa, donde señaló como motivo de inconformidad que la información entregada estaba incompleta, al no haberse hecho entrega de la información de 2025.</w:t>
      </w:r>
    </w:p>
    <w:p w14:paraId="5F0B6350"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Es de señalar que de la lectura del motivo de inconformidad de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 xml:space="preserve">se advierte que esta no manifestó agravios respecto de la información proporcionada correspondiente al ejercicio 2024, por tanto, esta parte de la respuesta, al no haber sido impugnada, debe declararse consentida, ya que al no haber realizado </w:t>
      </w:r>
      <w:r w:rsidRPr="005F5513">
        <w:rPr>
          <w:rFonts w:ascii="Palatino Linotype" w:eastAsia="Palatino Linotype" w:hAnsi="Palatino Linotype" w:cs="Palatino Linotype"/>
        </w:rPr>
        <w:lastRenderedPageBreak/>
        <w:t>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52EDD34C" w14:textId="77777777" w:rsidR="00403952" w:rsidRPr="005F5513" w:rsidRDefault="007C0198">
      <w:pPr>
        <w:spacing w:before="240" w:after="36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Lo anterior es así, debido a que cuando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impugna la respuesta del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08CFDF48"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29B58A60" w14:textId="77777777" w:rsidR="00403952" w:rsidRPr="005F5513" w:rsidRDefault="007C019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i/>
          <w:sz w:val="22"/>
          <w:szCs w:val="22"/>
        </w:rPr>
        <w:t>“</w:t>
      </w:r>
      <w:r w:rsidRPr="005F5513">
        <w:rPr>
          <w:rFonts w:ascii="Palatino Linotype" w:eastAsia="Palatino Linotype" w:hAnsi="Palatino Linotype" w:cs="Palatino Linotype"/>
          <w:b/>
          <w:i/>
          <w:sz w:val="22"/>
          <w:szCs w:val="22"/>
        </w:rPr>
        <w:t xml:space="preserve">Actos consentidos tácitamente. Improcedencia de su análisis. </w:t>
      </w:r>
      <w:r w:rsidRPr="005F5513">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48A47B6"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37EDEBDB" w14:textId="77777777" w:rsidR="00403952" w:rsidRPr="005F5513" w:rsidRDefault="007C0198">
      <w:pPr>
        <w:ind w:left="851" w:right="900"/>
        <w:jc w:val="both"/>
        <w:rPr>
          <w:rFonts w:ascii="Palatino Linotype" w:eastAsia="Palatino Linotype" w:hAnsi="Palatino Linotype" w:cs="Palatino Linotype"/>
          <w:i/>
          <w:sz w:val="22"/>
          <w:szCs w:val="22"/>
        </w:rPr>
      </w:pPr>
      <w:r w:rsidRPr="005F5513">
        <w:rPr>
          <w:rFonts w:ascii="Palatino Linotype" w:eastAsia="Palatino Linotype" w:hAnsi="Palatino Linotype" w:cs="Palatino Linotype"/>
          <w:b/>
          <w:i/>
          <w:smallCaps/>
          <w:sz w:val="22"/>
          <w:szCs w:val="22"/>
        </w:rPr>
        <w:t xml:space="preserve">“ACTOS CONSENTIDOS. SON LOS QUE NO SE IMPUGNAN MEDIANTE EL RECURSO IDÓNEO. </w:t>
      </w:r>
      <w:r w:rsidRPr="005F5513">
        <w:rPr>
          <w:rFonts w:ascii="Palatino Linotype" w:eastAsia="Palatino Linotype" w:hAnsi="Palatino Linotype" w:cs="Palatino Linotype"/>
          <w:i/>
          <w:sz w:val="22"/>
          <w:szCs w:val="22"/>
        </w:rPr>
        <w:t xml:space="preserve">Debe reputarse como consentido el acto </w:t>
      </w:r>
      <w:r w:rsidRPr="005F5513">
        <w:rPr>
          <w:rFonts w:ascii="Palatino Linotype" w:eastAsia="Palatino Linotype" w:hAnsi="Palatino Linotype" w:cs="Palatino Linotype"/>
          <w:i/>
          <w:sz w:val="22"/>
          <w:szCs w:val="22"/>
        </w:rPr>
        <w:lastRenderedPageBreak/>
        <w:t>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7E0920"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En consecuencia, se insiste, ante la falta de impugnación eficaz, esta parte de la respuesta entregada debe declararse consentida por la persona solicitante, y por consiguiente, no es procedente el análisis de fondo en la resolución.</w:t>
      </w:r>
    </w:p>
    <w:p w14:paraId="2730DEED"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Durante el periodo de manifestaciones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fue omiso en rendir su informe justificado, y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18E4FCD2" w14:textId="77777777" w:rsidR="00403952" w:rsidRPr="005F5513" w:rsidRDefault="007C0198">
      <w:pPr>
        <w:spacing w:before="280" w:after="28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en contraposición con el motivo de inconformidad alegado por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3C3CC26" w14:textId="77777777" w:rsidR="00403952" w:rsidRPr="005F5513" w:rsidRDefault="007C0198">
      <w:pPr>
        <w:spacing w:before="240" w:after="240" w:line="360" w:lineRule="auto"/>
        <w:jc w:val="both"/>
        <w:rPr>
          <w:rFonts w:ascii="Palatino Linotype" w:eastAsia="Palatino Linotype" w:hAnsi="Palatino Linotype" w:cs="Palatino Linotype"/>
          <w:b/>
          <w:u w:val="single"/>
        </w:rPr>
      </w:pPr>
      <w:r w:rsidRPr="005F5513">
        <w:rPr>
          <w:rFonts w:ascii="Palatino Linotype" w:eastAsia="Palatino Linotype" w:hAnsi="Palatino Linotype" w:cs="Palatino Linotype"/>
        </w:rPr>
        <w:t xml:space="preserve">En tal sentido, es de señalar que del </w:t>
      </w:r>
      <w:proofErr w:type="spellStart"/>
      <w:r w:rsidRPr="005F5513">
        <w:rPr>
          <w:rFonts w:ascii="Palatino Linotype" w:eastAsia="Palatino Linotype" w:hAnsi="Palatino Linotype" w:cs="Palatino Linotype"/>
        </w:rPr>
        <w:t>analisis</w:t>
      </w:r>
      <w:proofErr w:type="spellEnd"/>
      <w:r w:rsidRPr="005F5513">
        <w:rPr>
          <w:rFonts w:ascii="Palatino Linotype" w:eastAsia="Palatino Linotype" w:hAnsi="Palatino Linotype" w:cs="Palatino Linotype"/>
        </w:rPr>
        <w:t xml:space="preserve"> de las constancias del expediente electrónico en el que se actúa se advirtió que el servidor </w:t>
      </w:r>
      <w:proofErr w:type="spellStart"/>
      <w:r w:rsidRPr="005F5513">
        <w:rPr>
          <w:rFonts w:ascii="Palatino Linotype" w:eastAsia="Palatino Linotype" w:hAnsi="Palatino Linotype" w:cs="Palatino Linotype"/>
        </w:rPr>
        <w:t>públic</w:t>
      </w:r>
      <w:proofErr w:type="spellEnd"/>
      <w:r w:rsidRPr="005F5513">
        <w:rPr>
          <w:rFonts w:ascii="Palatino Linotype" w:eastAsia="Palatino Linotype" w:hAnsi="Palatino Linotype" w:cs="Palatino Linotype"/>
        </w:rPr>
        <w:t xml:space="preserve"> habilitado no </w:t>
      </w:r>
      <w:proofErr w:type="spellStart"/>
      <w:r w:rsidRPr="005F5513">
        <w:rPr>
          <w:rFonts w:ascii="Palatino Linotype" w:eastAsia="Palatino Linotype" w:hAnsi="Palatino Linotype" w:cs="Palatino Linotype"/>
        </w:rPr>
        <w:t>nego</w:t>
      </w:r>
      <w:proofErr w:type="spellEnd"/>
      <w:r w:rsidRPr="005F5513">
        <w:rPr>
          <w:rFonts w:ascii="Palatino Linotype" w:eastAsia="Palatino Linotype" w:hAnsi="Palatino Linotype" w:cs="Palatino Linotype"/>
        </w:rPr>
        <w:t xml:space="preserve"> la competencia para conocer la información que es del interés de la persona solicitante, tan es así que hizo entrega del soporte documental requerido que </w:t>
      </w:r>
      <w:proofErr w:type="spellStart"/>
      <w:r w:rsidRPr="005F5513">
        <w:rPr>
          <w:rFonts w:ascii="Palatino Linotype" w:eastAsia="Palatino Linotype" w:hAnsi="Palatino Linotype" w:cs="Palatino Linotype"/>
        </w:rPr>
        <w:t>amapra</w:t>
      </w:r>
      <w:proofErr w:type="spellEnd"/>
      <w:r w:rsidRPr="005F5513">
        <w:rPr>
          <w:rFonts w:ascii="Palatino Linotype" w:eastAsia="Palatino Linotype" w:hAnsi="Palatino Linotype" w:cs="Palatino Linotype"/>
        </w:rPr>
        <w:t xml:space="preserve"> </w:t>
      </w:r>
      <w:r w:rsidRPr="005F5513">
        <w:rPr>
          <w:rFonts w:ascii="Palatino Linotype" w:eastAsia="Palatino Linotype" w:hAnsi="Palatino Linotype" w:cs="Palatino Linotype"/>
        </w:rPr>
        <w:lastRenderedPageBreak/>
        <w:t xml:space="preserve">las donaciones del ejercicio 2024, sin embargo, el motivo por el cual no hizo entrega de la información correspondiente </w:t>
      </w:r>
      <w:proofErr w:type="spellStart"/>
      <w:r w:rsidRPr="005F5513">
        <w:rPr>
          <w:rFonts w:ascii="Palatino Linotype" w:eastAsia="Palatino Linotype" w:hAnsi="Palatino Linotype" w:cs="Palatino Linotype"/>
        </w:rPr>
        <w:t>a</w:t>
      </w:r>
      <w:proofErr w:type="spellEnd"/>
      <w:r w:rsidRPr="005F5513">
        <w:rPr>
          <w:rFonts w:ascii="Palatino Linotype" w:eastAsia="Palatino Linotype" w:hAnsi="Palatino Linotype" w:cs="Palatino Linotype"/>
        </w:rPr>
        <w:t xml:space="preserve"> ejercicio 2025, lo es que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b/>
          <w:u w:val="single"/>
        </w:rPr>
        <w:t xml:space="preserve">NO contaba con algún donativo recibido delo uno al veinticinco de marzo de dos mil veinticinco. </w:t>
      </w:r>
    </w:p>
    <w:p w14:paraId="297B88B3"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este tenor, debe precisarse que si bien, el </w:t>
      </w:r>
      <w:proofErr w:type="spellStart"/>
      <w:r w:rsidRPr="005F5513">
        <w:rPr>
          <w:rFonts w:ascii="Palatino Linotype" w:eastAsia="Palatino Linotype" w:hAnsi="Palatino Linotype" w:cs="Palatino Linotype"/>
        </w:rPr>
        <w:t>patromonio</w:t>
      </w:r>
      <w:proofErr w:type="spellEnd"/>
      <w:r w:rsidRPr="005F5513">
        <w:rPr>
          <w:rFonts w:ascii="Palatino Linotype" w:eastAsia="Palatino Linotype" w:hAnsi="Palatino Linotype" w:cs="Palatino Linotype"/>
        </w:rPr>
        <w:t xml:space="preserve"> del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 xml:space="preserve">se integra </w:t>
      </w:r>
      <w:proofErr w:type="spellStart"/>
      <w:r w:rsidRPr="005F5513">
        <w:rPr>
          <w:rFonts w:ascii="Palatino Linotype" w:eastAsia="Palatino Linotype" w:hAnsi="Palatino Linotype" w:cs="Palatino Linotype"/>
        </w:rPr>
        <w:t>tambien</w:t>
      </w:r>
      <w:proofErr w:type="spellEnd"/>
      <w:r w:rsidRPr="005F5513">
        <w:rPr>
          <w:rFonts w:ascii="Palatino Linotype" w:eastAsia="Palatino Linotype" w:hAnsi="Palatino Linotype" w:cs="Palatino Linotype"/>
        </w:rPr>
        <w:t xml:space="preserve"> de donaciones, de conformidad con el </w:t>
      </w:r>
      <w:proofErr w:type="spellStart"/>
      <w:r w:rsidRPr="005F5513">
        <w:rPr>
          <w:rFonts w:ascii="Palatino Linotype" w:eastAsia="Palatino Linotype" w:hAnsi="Palatino Linotype" w:cs="Palatino Linotype"/>
        </w:rPr>
        <w:t>articulo</w:t>
      </w:r>
      <w:proofErr w:type="spellEnd"/>
      <w:r w:rsidRPr="005F5513">
        <w:rPr>
          <w:rFonts w:ascii="Palatino Linotype" w:eastAsia="Palatino Linotype" w:hAnsi="Palatino Linotype" w:cs="Palatino Linotype"/>
        </w:rPr>
        <w:t xml:space="preserve"> 4, fracción III de la Ley que Crea los Organismos </w:t>
      </w:r>
      <w:proofErr w:type="spellStart"/>
      <w:r w:rsidRPr="005F5513">
        <w:rPr>
          <w:rFonts w:ascii="Palatino Linotype" w:eastAsia="Palatino Linotype" w:hAnsi="Palatino Linotype" w:cs="Palatino Linotype"/>
        </w:rPr>
        <w:t>Públocos</w:t>
      </w:r>
      <w:proofErr w:type="spellEnd"/>
      <w:r w:rsidRPr="005F5513">
        <w:rPr>
          <w:rFonts w:ascii="Palatino Linotype" w:eastAsia="Palatino Linotype" w:hAnsi="Palatino Linotype" w:cs="Palatino Linotype"/>
        </w:rPr>
        <w:t xml:space="preserve"> Descentralizados de Asistencia Social, de </w:t>
      </w:r>
      <w:proofErr w:type="spellStart"/>
      <w:r w:rsidRPr="005F5513">
        <w:rPr>
          <w:rFonts w:ascii="Palatino Linotype" w:eastAsia="Palatino Linotype" w:hAnsi="Palatino Linotype" w:cs="Palatino Linotype"/>
        </w:rPr>
        <w:t>catacter</w:t>
      </w:r>
      <w:proofErr w:type="spellEnd"/>
      <w:r w:rsidRPr="005F5513">
        <w:rPr>
          <w:rFonts w:ascii="Palatino Linotype" w:eastAsia="Palatino Linotype" w:hAnsi="Palatino Linotype" w:cs="Palatino Linotype"/>
        </w:rPr>
        <w:t xml:space="preserve"> municipal, denominados Sistemas Municipales para el Desarrollo Integral de la Familia, la normativa aplicable no establece un periodo cierto o </w:t>
      </w:r>
      <w:proofErr w:type="spellStart"/>
      <w:r w:rsidRPr="005F5513">
        <w:rPr>
          <w:rFonts w:ascii="Palatino Linotype" w:eastAsia="Palatino Linotype" w:hAnsi="Palatino Linotype" w:cs="Palatino Linotype"/>
        </w:rPr>
        <w:t>deteminado</w:t>
      </w:r>
      <w:proofErr w:type="spellEnd"/>
      <w:r w:rsidRPr="005F5513">
        <w:rPr>
          <w:rFonts w:ascii="Palatino Linotype" w:eastAsia="Palatino Linotype" w:hAnsi="Palatino Linotype" w:cs="Palatino Linotype"/>
        </w:rPr>
        <w:t xml:space="preserve"> para recibir donaciones.</w:t>
      </w:r>
    </w:p>
    <w:p w14:paraId="03380C07"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Bajo esta línea de pensamiento, se advierte que lo manifestado por el servidor público habilitado de la Tesorería, se constituye en una expresión en sentido negativo puesto que en la misma </w:t>
      </w:r>
      <w:r w:rsidRPr="005F5513">
        <w:rPr>
          <w:rFonts w:ascii="Palatino Linotype" w:eastAsia="Palatino Linotype" w:hAnsi="Palatino Linotype" w:cs="Palatino Linotype"/>
          <w:b/>
          <w:u w:val="single"/>
        </w:rPr>
        <w:t>refiere expresamente que el Sujeto Obligado NO cuenta con donativos en el periodo transcurrido del ejercicio 2025 a la fecha de presentación de la solicitud,</w:t>
      </w:r>
      <w:r w:rsidRPr="005F5513">
        <w:rPr>
          <w:rFonts w:ascii="Palatino Linotype" w:eastAsia="Palatino Linotype" w:hAnsi="Palatino Linotype" w:cs="Palatino Linotype"/>
        </w:rPr>
        <w:t xml:space="preserve"> esto es, niega la existencia de información que colme lo solicitado respecto del ejercicio en curso,  siendo imposible, en consecuencia, proporcionar documento alguno al no haberse generado.</w:t>
      </w:r>
    </w:p>
    <w:p w14:paraId="18322995" w14:textId="77777777" w:rsidR="00403952" w:rsidRPr="005F5513" w:rsidRDefault="007C019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Por consiguiente, toda vez que no posee, administra, ni generó la información requerida por la persona solicitante en el periodo señalado, se constituye un hecho negativo; entonces, si se considera el hecho negativo, es obvio que éste no puede fácticamente obrar en los archivos de la Tesorería, ya que no puede probarse por ser lógica y materialmente imposible.</w:t>
      </w:r>
    </w:p>
    <w:p w14:paraId="57720615" w14:textId="77777777" w:rsidR="00403952" w:rsidRPr="005F5513" w:rsidRDefault="007C0198">
      <w:pPr>
        <w:pBdr>
          <w:top w:val="nil"/>
          <w:left w:val="nil"/>
          <w:bottom w:val="nil"/>
          <w:right w:val="nil"/>
          <w:between w:val="nil"/>
        </w:pBdr>
        <w:spacing w:before="240" w:after="240" w:line="360" w:lineRule="auto"/>
        <w:jc w:val="both"/>
        <w:rPr>
          <w:sz w:val="28"/>
          <w:szCs w:val="28"/>
        </w:rPr>
      </w:pPr>
      <w:r w:rsidRPr="005F5513">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 en dicha área, por lo que resulta aplicable la Tesis</w:t>
      </w:r>
      <w:r w:rsidRPr="005F5513">
        <w:rPr>
          <w:rFonts w:ascii="Palatino Linotype" w:eastAsia="Palatino Linotype" w:hAnsi="Palatino Linotype" w:cs="Palatino Linotype"/>
          <w:vertAlign w:val="superscript"/>
        </w:rPr>
        <w:footnoteReference w:id="1"/>
      </w:r>
      <w:r w:rsidRPr="005F5513">
        <w:rPr>
          <w:rFonts w:ascii="Palatino Linotype" w:eastAsia="Palatino Linotype" w:hAnsi="Palatino Linotype" w:cs="Palatino Linotype"/>
        </w:rPr>
        <w:t xml:space="preserve"> emitida por la Segunda Sala de la Suprema Corte de la Nación, que es del tenor literal siguiente:</w:t>
      </w:r>
    </w:p>
    <w:p w14:paraId="4C603303" w14:textId="77777777" w:rsidR="00403952" w:rsidRPr="005F5513" w:rsidRDefault="007C0198">
      <w:pPr>
        <w:spacing w:before="240" w:after="240"/>
        <w:ind w:left="851" w:right="900"/>
        <w:jc w:val="both"/>
        <w:rPr>
          <w:rFonts w:ascii="Palatino Linotype" w:eastAsia="Palatino Linotype" w:hAnsi="Palatino Linotype" w:cs="Palatino Linotype"/>
          <w:sz w:val="22"/>
          <w:szCs w:val="22"/>
        </w:rPr>
      </w:pPr>
      <w:r w:rsidRPr="005F5513">
        <w:rPr>
          <w:rFonts w:ascii="Palatino Linotype" w:eastAsia="Palatino Linotype" w:hAnsi="Palatino Linotype" w:cs="Palatino Linotype"/>
          <w:b/>
          <w:i/>
          <w:sz w:val="22"/>
          <w:szCs w:val="22"/>
        </w:rPr>
        <w:t>“HECHOS NEGATIVOS, NO SON SUSCEPTIBLES DE DEMOSTRACIÓN</w:t>
      </w:r>
      <w:r w:rsidRPr="005F5513">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2191DCB3"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a través del área competente declara en automática la inexistencia de la información solicitada, de modo que no existe obligación de justificar o allegar pruebas, y por ende no tiene aplicación lo estatuido en el artículo 49 fracción XIII de la Ley de la Materia.</w:t>
      </w:r>
    </w:p>
    <w:p w14:paraId="73CC7400" w14:textId="77777777" w:rsidR="00403952" w:rsidRPr="005F5513" w:rsidRDefault="007C0198">
      <w:pPr>
        <w:spacing w:before="240" w:after="360" w:line="360" w:lineRule="auto"/>
        <w:ind w:right="18"/>
        <w:jc w:val="both"/>
        <w:rPr>
          <w:rFonts w:ascii="Palatino Linotype" w:eastAsia="Palatino Linotype" w:hAnsi="Palatino Linotype" w:cs="Palatino Linotype"/>
        </w:rPr>
      </w:pPr>
      <w:r w:rsidRPr="005F5513">
        <w:rPr>
          <w:rFonts w:ascii="Palatino Linotype" w:eastAsia="Palatino Linotype" w:hAnsi="Palatino Linotype" w:cs="Palatino Linotype"/>
        </w:rPr>
        <w:t>De tal manera que basta con la aseveración por parte del servidor público habilitado de la Tesorería</w:t>
      </w:r>
      <w:r w:rsidRPr="005F5513">
        <w:rPr>
          <w:rFonts w:ascii="Palatino Linotype" w:eastAsia="Palatino Linotype" w:hAnsi="Palatino Linotype" w:cs="Palatino Linotype"/>
          <w:b/>
        </w:rPr>
        <w:t xml:space="preserve"> </w:t>
      </w:r>
      <w:r w:rsidRPr="005F5513">
        <w:rPr>
          <w:rFonts w:ascii="Palatino Linotype" w:eastAsia="Palatino Linotype" w:hAnsi="Palatino Linotype" w:cs="Palatino Linotype"/>
        </w:rPr>
        <w:t>respeto de la inexistencia de información relacionada con el requerimiento que formuló la persona solicitante en el área a su cargo; siendo que de conformidad con lo establecido en el artículo 12, segundo párrafo de la Ley de Transparencia y Acceso a la Información Pública del Estado de México y Municipios</w:t>
      </w:r>
      <w:r w:rsidRPr="005F5513">
        <w:rPr>
          <w:rFonts w:ascii="Palatino Linotype" w:eastAsia="Palatino Linotype" w:hAnsi="Palatino Linotype" w:cs="Palatino Linotype"/>
          <w:vertAlign w:val="superscript"/>
        </w:rPr>
        <w:footnoteReference w:id="2"/>
      </w:r>
      <w:r w:rsidRPr="005F5513">
        <w:rPr>
          <w:rFonts w:ascii="Palatino Linotype" w:eastAsia="Palatino Linotype" w:hAnsi="Palatino Linotype" w:cs="Palatino Linotype"/>
        </w:rPr>
        <w:t xml:space="preserve">, los Sujetos Obligados solo proporcionaran la información pública que </w:t>
      </w:r>
      <w:r w:rsidRPr="005F5513">
        <w:rPr>
          <w:rFonts w:ascii="Palatino Linotype" w:eastAsia="Palatino Linotype" w:hAnsi="Palatino Linotype" w:cs="Palatino Linotype"/>
        </w:rPr>
        <w:lastRenderedPageBreak/>
        <w:t>se les requiera y que obre en sus archivos y en el estado en que ésta se encuentre, en sentido contrario, no están obligados a proporcionar lo que no tengan en sus archivos.</w:t>
      </w:r>
    </w:p>
    <w:p w14:paraId="058B0DF4" w14:textId="77777777" w:rsidR="00403952" w:rsidRPr="005F5513" w:rsidRDefault="007C0198">
      <w:pPr>
        <w:spacing w:before="240" w:after="360" w:line="360" w:lineRule="auto"/>
        <w:ind w:right="18"/>
        <w:jc w:val="both"/>
        <w:rPr>
          <w:rFonts w:ascii="Palatino Linotype" w:eastAsia="Palatino Linotype" w:hAnsi="Palatino Linotype" w:cs="Palatino Linotype"/>
        </w:rPr>
      </w:pPr>
      <w:r w:rsidRPr="005F5513">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2A2F71F" w14:textId="77777777" w:rsidR="00403952" w:rsidRPr="005F5513" w:rsidRDefault="007C0198">
      <w:pPr>
        <w:pBdr>
          <w:top w:val="nil"/>
          <w:left w:val="nil"/>
          <w:bottom w:val="nil"/>
          <w:right w:val="nil"/>
          <w:between w:val="nil"/>
        </w:pBdr>
        <w:spacing w:before="240" w:after="240" w:line="360" w:lineRule="auto"/>
        <w:jc w:val="both"/>
      </w:pPr>
      <w:r w:rsidRPr="005F5513">
        <w:rPr>
          <w:rFonts w:ascii="Palatino Linotype" w:eastAsia="Palatino Linotype" w:hAnsi="Palatino Linotype" w:cs="Palatino Linotype"/>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00EF43EC" w14:textId="77777777" w:rsidR="00403952" w:rsidRPr="005F5513" w:rsidRDefault="007C0198">
      <w:pPr>
        <w:tabs>
          <w:tab w:val="left" w:pos="851"/>
        </w:tabs>
        <w:spacing w:before="240" w:after="360" w:line="360" w:lineRule="auto"/>
        <w:ind w:right="18"/>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Derivado de lo expuesto, se concluye que los motivos de inconformidad de la parte </w:t>
      </w:r>
      <w:r w:rsidRPr="005F5513">
        <w:rPr>
          <w:rFonts w:ascii="Palatino Linotype" w:eastAsia="Palatino Linotype" w:hAnsi="Palatino Linotype" w:cs="Palatino Linotype"/>
          <w:b/>
        </w:rPr>
        <w:t xml:space="preserve">Recurrente </w:t>
      </w:r>
      <w:r w:rsidRPr="005F5513">
        <w:rPr>
          <w:rFonts w:ascii="Palatino Linotype" w:eastAsia="Palatino Linotype" w:hAnsi="Palatino Linotype" w:cs="Palatino Linotype"/>
        </w:rPr>
        <w:t xml:space="preserve">devienen infundados, siendo procedente </w:t>
      </w:r>
      <w:r w:rsidRPr="005F5513">
        <w:rPr>
          <w:rFonts w:ascii="Palatino Linotype" w:eastAsia="Palatino Linotype" w:hAnsi="Palatino Linotype" w:cs="Palatino Linotype"/>
          <w:i/>
        </w:rPr>
        <w:t xml:space="preserve">Confirmar </w:t>
      </w:r>
      <w:r w:rsidRPr="005F5513">
        <w:rPr>
          <w:rFonts w:ascii="Palatino Linotype" w:eastAsia="Palatino Linotype" w:hAnsi="Palatino Linotype" w:cs="Palatino Linotype"/>
        </w:rPr>
        <w:t xml:space="preserve">la respuesta proporcionada por el </w:t>
      </w:r>
      <w:r w:rsidRPr="005F5513">
        <w:rPr>
          <w:rFonts w:ascii="Palatino Linotype" w:eastAsia="Palatino Linotype" w:hAnsi="Palatino Linotype" w:cs="Palatino Linotype"/>
          <w:b/>
        </w:rPr>
        <w:t xml:space="preserve">Sujeto Obligado </w:t>
      </w:r>
      <w:r w:rsidRPr="005F5513">
        <w:rPr>
          <w:rFonts w:ascii="Palatino Linotype" w:eastAsia="Palatino Linotype" w:hAnsi="Palatino Linotype" w:cs="Palatino Linotype"/>
        </w:rPr>
        <w:t>en términos del artículo 186, fracción II de la Ley de Transparencia y Acceso a la Información Pública del Estado de México y Municipios.</w:t>
      </w:r>
    </w:p>
    <w:p w14:paraId="760D582C"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8FC8CF6" w14:textId="77777777" w:rsidR="00403952" w:rsidRPr="005F5513" w:rsidRDefault="007C019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F5513">
        <w:rPr>
          <w:rFonts w:ascii="Palatino Linotype" w:eastAsia="Palatino Linotype" w:hAnsi="Palatino Linotype" w:cs="Palatino Linotype"/>
          <w:b/>
        </w:rPr>
        <w:t>III. R E S U E L V E</w:t>
      </w:r>
    </w:p>
    <w:p w14:paraId="0BB8C436"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5F5513">
        <w:rPr>
          <w:rFonts w:ascii="Palatino Linotype" w:eastAsia="Palatino Linotype" w:hAnsi="Palatino Linotype" w:cs="Palatino Linotype"/>
          <w:b/>
        </w:rPr>
        <w:t xml:space="preserve">Primero. </w:t>
      </w:r>
      <w:r w:rsidRPr="005F5513">
        <w:rPr>
          <w:rFonts w:ascii="Palatino Linotype" w:eastAsia="Palatino Linotype" w:hAnsi="Palatino Linotype" w:cs="Palatino Linotype"/>
        </w:rPr>
        <w:t xml:space="preserve">Son </w:t>
      </w:r>
      <w:r w:rsidRPr="005F5513">
        <w:rPr>
          <w:rFonts w:ascii="Palatino Linotype" w:eastAsia="Palatino Linotype" w:hAnsi="Palatino Linotype" w:cs="Palatino Linotype"/>
          <w:b/>
        </w:rPr>
        <w:t>infundadas</w:t>
      </w:r>
      <w:r w:rsidRPr="005F5513">
        <w:rPr>
          <w:rFonts w:ascii="Palatino Linotype" w:eastAsia="Palatino Linotype" w:hAnsi="Palatino Linotype" w:cs="Palatino Linotype"/>
        </w:rPr>
        <w:t xml:space="preserve"> las razones o motivos de inconformidad hechos valer por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en el recurso de revisión </w:t>
      </w:r>
      <w:r w:rsidRPr="005F5513">
        <w:rPr>
          <w:rFonts w:ascii="Palatino Linotype" w:eastAsia="Palatino Linotype" w:hAnsi="Palatino Linotype" w:cs="Palatino Linotype"/>
          <w:b/>
        </w:rPr>
        <w:t>04514/INFOEM/IP/RR/2025</w:t>
      </w:r>
      <w:r w:rsidRPr="005F5513">
        <w:rPr>
          <w:rFonts w:ascii="Palatino Linotype" w:eastAsia="Palatino Linotype" w:hAnsi="Palatino Linotype" w:cs="Palatino Linotype"/>
        </w:rPr>
        <w:t xml:space="preserve">, por lo que, en términos de los argumentos de derecho señalados en el considerando </w:t>
      </w:r>
      <w:r w:rsidRPr="005F5513">
        <w:rPr>
          <w:rFonts w:ascii="Palatino Linotype" w:eastAsia="Palatino Linotype" w:hAnsi="Palatino Linotype" w:cs="Palatino Linotype"/>
          <w:b/>
        </w:rPr>
        <w:t>Cuarto</w:t>
      </w:r>
      <w:r w:rsidRPr="005F5513">
        <w:rPr>
          <w:rFonts w:ascii="Palatino Linotype" w:eastAsia="Palatino Linotype" w:hAnsi="Palatino Linotype" w:cs="Palatino Linotype"/>
        </w:rPr>
        <w:t>, se</w:t>
      </w:r>
      <w:r w:rsidRPr="005F5513">
        <w:rPr>
          <w:rFonts w:ascii="Palatino Linotype" w:eastAsia="Palatino Linotype" w:hAnsi="Palatino Linotype" w:cs="Palatino Linotype"/>
          <w:b/>
        </w:rPr>
        <w:t xml:space="preserve"> Confirma </w:t>
      </w:r>
      <w:r w:rsidRPr="005F5513">
        <w:rPr>
          <w:rFonts w:ascii="Palatino Linotype" w:eastAsia="Palatino Linotype" w:hAnsi="Palatino Linotype" w:cs="Palatino Linotype"/>
        </w:rPr>
        <w:t xml:space="preserve">la respuesta del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w:t>
      </w:r>
    </w:p>
    <w:p w14:paraId="4A4C156C" w14:textId="77777777" w:rsidR="00403952" w:rsidRPr="005F5513" w:rsidRDefault="007C0198">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5F5513">
        <w:rPr>
          <w:rFonts w:ascii="Palatino Linotype" w:eastAsia="Palatino Linotype" w:hAnsi="Palatino Linotype" w:cs="Palatino Linotype"/>
          <w:b/>
        </w:rPr>
        <w:t xml:space="preserve">Segundo. Notifíquese, </w:t>
      </w:r>
      <w:r w:rsidRPr="005F5513">
        <w:rPr>
          <w:rFonts w:ascii="Palatino Linotype" w:eastAsia="Palatino Linotype" w:hAnsi="Palatino Linotype" w:cs="Palatino Linotype"/>
        </w:rPr>
        <w:t xml:space="preserve">vía </w:t>
      </w:r>
      <w:r w:rsidRPr="005F5513">
        <w:rPr>
          <w:rFonts w:ascii="Palatino Linotype" w:eastAsia="Palatino Linotype" w:hAnsi="Palatino Linotype" w:cs="Palatino Linotype"/>
          <w:b/>
        </w:rPr>
        <w:t xml:space="preserve">SAIMEX, </w:t>
      </w:r>
      <w:r w:rsidRPr="005F5513">
        <w:rPr>
          <w:rFonts w:ascii="Palatino Linotype" w:eastAsia="Palatino Linotype" w:hAnsi="Palatino Linotype" w:cs="Palatino Linotype"/>
        </w:rPr>
        <w:t xml:space="preserve">al Titular de la Unidad de Transparencia del </w:t>
      </w:r>
      <w:r w:rsidRPr="005F5513">
        <w:rPr>
          <w:rFonts w:ascii="Palatino Linotype" w:eastAsia="Palatino Linotype" w:hAnsi="Palatino Linotype" w:cs="Palatino Linotype"/>
          <w:b/>
        </w:rPr>
        <w:t>Sujeto Obligado</w:t>
      </w:r>
      <w:r w:rsidRPr="005F5513">
        <w:rPr>
          <w:rFonts w:ascii="Palatino Linotype" w:eastAsia="Palatino Linotype" w:hAnsi="Palatino Linotype" w:cs="Palatino Linotype"/>
        </w:rPr>
        <w:t xml:space="preserve"> para su conocimiento, la presente resolución.</w:t>
      </w:r>
    </w:p>
    <w:p w14:paraId="63DEA6DA" w14:textId="77777777" w:rsidR="00403952" w:rsidRPr="005F5513" w:rsidRDefault="007C0198">
      <w:pPr>
        <w:spacing w:before="240" w:after="240" w:line="360" w:lineRule="auto"/>
        <w:jc w:val="both"/>
        <w:rPr>
          <w:rFonts w:ascii="Palatino Linotype" w:eastAsia="Palatino Linotype" w:hAnsi="Palatino Linotype" w:cs="Palatino Linotype"/>
        </w:rPr>
      </w:pPr>
      <w:r w:rsidRPr="005F5513">
        <w:rPr>
          <w:rFonts w:ascii="Palatino Linotype" w:eastAsia="Palatino Linotype" w:hAnsi="Palatino Linotype" w:cs="Palatino Linotype"/>
          <w:b/>
        </w:rPr>
        <w:t xml:space="preserve">Tercero.  Notifíquese, </w:t>
      </w:r>
      <w:r w:rsidRPr="005F5513">
        <w:rPr>
          <w:rFonts w:ascii="Palatino Linotype" w:eastAsia="Palatino Linotype" w:hAnsi="Palatino Linotype" w:cs="Palatino Linotype"/>
        </w:rPr>
        <w:t xml:space="preserve">vía </w:t>
      </w:r>
      <w:r w:rsidRPr="005F5513">
        <w:rPr>
          <w:rFonts w:ascii="Palatino Linotype" w:eastAsia="Palatino Linotype" w:hAnsi="Palatino Linotype" w:cs="Palatino Linotype"/>
          <w:b/>
        </w:rPr>
        <w:t xml:space="preserve">SAIMEX, </w:t>
      </w:r>
      <w:r w:rsidRPr="005F5513">
        <w:rPr>
          <w:rFonts w:ascii="Palatino Linotype" w:eastAsia="Palatino Linotype" w:hAnsi="Palatino Linotype" w:cs="Palatino Linotype"/>
        </w:rPr>
        <w:t xml:space="preserve">a la parte </w:t>
      </w:r>
      <w:r w:rsidRPr="005F5513">
        <w:rPr>
          <w:rFonts w:ascii="Palatino Linotype" w:eastAsia="Palatino Linotype" w:hAnsi="Palatino Linotype" w:cs="Palatino Linotype"/>
          <w:b/>
        </w:rPr>
        <w:t>Recurrente</w:t>
      </w:r>
      <w:r w:rsidRPr="005F551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FB3D222" w14:textId="6614E2F9" w:rsidR="00403952" w:rsidRPr="007E57D4" w:rsidRDefault="007C0198">
      <w:pPr>
        <w:tabs>
          <w:tab w:val="left" w:pos="8647"/>
        </w:tabs>
        <w:spacing w:before="240" w:after="240" w:line="360" w:lineRule="auto"/>
        <w:ind w:right="51"/>
        <w:jc w:val="both"/>
        <w:rPr>
          <w:rFonts w:ascii="Palatino Linotype" w:eastAsia="Palatino Linotype" w:hAnsi="Palatino Linotype" w:cs="Palatino Linotype"/>
        </w:rPr>
      </w:pPr>
      <w:r w:rsidRPr="005F551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5F5513">
        <w:rPr>
          <w:rFonts w:ascii="Palatino Linotype" w:eastAsia="Palatino Linotype" w:hAnsi="Palatino Linotype" w:cs="Palatino Linotype"/>
        </w:rPr>
        <w:lastRenderedPageBreak/>
        <w:t>VILCHIS, MARÍA DEL ROSARIO MEJÍA AYALA</w:t>
      </w:r>
      <w:r w:rsidR="007E57D4" w:rsidRPr="005F5513">
        <w:rPr>
          <w:rFonts w:ascii="Palatino Linotype" w:eastAsia="Palatino Linotype" w:hAnsi="Palatino Linotype" w:cs="Palatino Linotype"/>
        </w:rPr>
        <w:t xml:space="preserve"> (AUSENCIA JUSTIFICADA)</w:t>
      </w:r>
      <w:r w:rsidRPr="005F5513">
        <w:rPr>
          <w:rFonts w:ascii="Palatino Linotype" w:eastAsia="Palatino Linotype" w:hAnsi="Palatino Linotype" w:cs="Palatino Linotype"/>
        </w:rPr>
        <w:t>, SHARON CRISTINA MORALES MARTÍNEZ, LUIS GUSTAVO PARRA NORIEGA, Y GUADALUPE RAMÍREZ PEÑA, EN LA VIGÉSIMA QUINTA SESIÓN ORDINARIA CELEBRADA EL NUEVE DE JULIO DE DOS MIL VEINTICINCO, ANTE EL SECRETARIO TÉCNICO DEL PLENO ALEXIS TAPIA RAMÍREZ.</w:t>
      </w:r>
    </w:p>
    <w:p w14:paraId="6091537E" w14:textId="77777777" w:rsidR="00403952" w:rsidRPr="007E57D4" w:rsidRDefault="00403952">
      <w:pPr>
        <w:spacing w:line="360" w:lineRule="auto"/>
        <w:jc w:val="both"/>
        <w:rPr>
          <w:rFonts w:ascii="Palatino Linotype" w:eastAsia="Palatino Linotype" w:hAnsi="Palatino Linotype" w:cs="Palatino Linotype"/>
        </w:rPr>
      </w:pPr>
    </w:p>
    <w:p w14:paraId="423CED67" w14:textId="77777777" w:rsidR="00403952" w:rsidRPr="007E57D4" w:rsidRDefault="00403952">
      <w:pPr>
        <w:spacing w:line="360" w:lineRule="auto"/>
        <w:jc w:val="center"/>
        <w:rPr>
          <w:rFonts w:ascii="Palatino Linotype" w:eastAsia="Palatino Linotype" w:hAnsi="Palatino Linotype" w:cs="Palatino Linotype"/>
        </w:rPr>
      </w:pPr>
    </w:p>
    <w:p w14:paraId="366C6016" w14:textId="77777777" w:rsidR="00403952" w:rsidRPr="007E57D4" w:rsidRDefault="00403952">
      <w:pPr>
        <w:spacing w:line="360" w:lineRule="auto"/>
        <w:jc w:val="both"/>
        <w:rPr>
          <w:rFonts w:ascii="Palatino Linotype" w:eastAsia="Palatino Linotype" w:hAnsi="Palatino Linotype" w:cs="Palatino Linotype"/>
        </w:rPr>
      </w:pPr>
    </w:p>
    <w:p w14:paraId="76AEF365" w14:textId="77777777" w:rsidR="00403952" w:rsidRPr="007E57D4" w:rsidRDefault="00403952">
      <w:pPr>
        <w:spacing w:line="360" w:lineRule="auto"/>
        <w:jc w:val="both"/>
        <w:rPr>
          <w:rFonts w:ascii="Palatino Linotype" w:eastAsia="Palatino Linotype" w:hAnsi="Palatino Linotype" w:cs="Palatino Linotype"/>
        </w:rPr>
      </w:pPr>
    </w:p>
    <w:p w14:paraId="30BC6DDE" w14:textId="77777777" w:rsidR="00403952" w:rsidRPr="007E57D4" w:rsidRDefault="00403952">
      <w:pPr>
        <w:spacing w:line="360" w:lineRule="auto"/>
        <w:jc w:val="both"/>
        <w:rPr>
          <w:rFonts w:ascii="Palatino Linotype" w:eastAsia="Palatino Linotype" w:hAnsi="Palatino Linotype" w:cs="Palatino Linotype"/>
        </w:rPr>
      </w:pPr>
    </w:p>
    <w:p w14:paraId="47CFA102" w14:textId="77777777" w:rsidR="00403952" w:rsidRPr="007E57D4" w:rsidRDefault="00403952">
      <w:pPr>
        <w:spacing w:line="360" w:lineRule="auto"/>
        <w:jc w:val="both"/>
        <w:rPr>
          <w:rFonts w:ascii="Palatino Linotype" w:eastAsia="Palatino Linotype" w:hAnsi="Palatino Linotype" w:cs="Palatino Linotype"/>
        </w:rPr>
      </w:pPr>
    </w:p>
    <w:p w14:paraId="0360AEE2" w14:textId="77777777" w:rsidR="00403952" w:rsidRPr="007E57D4" w:rsidRDefault="00403952">
      <w:pPr>
        <w:spacing w:line="360" w:lineRule="auto"/>
        <w:jc w:val="both"/>
        <w:rPr>
          <w:rFonts w:ascii="Palatino Linotype" w:eastAsia="Palatino Linotype" w:hAnsi="Palatino Linotype" w:cs="Palatino Linotype"/>
        </w:rPr>
      </w:pPr>
    </w:p>
    <w:p w14:paraId="2F21CFD2" w14:textId="77777777" w:rsidR="00403952" w:rsidRPr="007E57D4" w:rsidRDefault="00403952">
      <w:pPr>
        <w:spacing w:line="360" w:lineRule="auto"/>
        <w:jc w:val="both"/>
        <w:rPr>
          <w:rFonts w:ascii="Palatino Linotype" w:eastAsia="Palatino Linotype" w:hAnsi="Palatino Linotype" w:cs="Palatino Linotype"/>
        </w:rPr>
      </w:pPr>
    </w:p>
    <w:p w14:paraId="3F2E7C36" w14:textId="77777777" w:rsidR="00403952" w:rsidRPr="007E57D4" w:rsidRDefault="00403952">
      <w:pPr>
        <w:spacing w:line="360" w:lineRule="auto"/>
        <w:jc w:val="both"/>
        <w:rPr>
          <w:rFonts w:ascii="Palatino Linotype" w:eastAsia="Palatino Linotype" w:hAnsi="Palatino Linotype" w:cs="Palatino Linotype"/>
        </w:rPr>
      </w:pPr>
    </w:p>
    <w:p w14:paraId="7560040C" w14:textId="77777777" w:rsidR="00403952" w:rsidRPr="007E57D4" w:rsidRDefault="00403952">
      <w:pPr>
        <w:spacing w:line="360" w:lineRule="auto"/>
        <w:jc w:val="both"/>
        <w:rPr>
          <w:rFonts w:ascii="Palatino Linotype" w:eastAsia="Palatino Linotype" w:hAnsi="Palatino Linotype" w:cs="Palatino Linotype"/>
        </w:rPr>
      </w:pPr>
    </w:p>
    <w:p w14:paraId="7F8837CB" w14:textId="77777777" w:rsidR="00403952" w:rsidRPr="007E57D4" w:rsidRDefault="00403952">
      <w:pPr>
        <w:spacing w:line="360" w:lineRule="auto"/>
        <w:jc w:val="both"/>
        <w:rPr>
          <w:rFonts w:ascii="Palatino Linotype" w:eastAsia="Palatino Linotype" w:hAnsi="Palatino Linotype" w:cs="Palatino Linotype"/>
        </w:rPr>
      </w:pPr>
    </w:p>
    <w:p w14:paraId="27D15544" w14:textId="77777777" w:rsidR="00403952" w:rsidRPr="007E57D4" w:rsidRDefault="00403952">
      <w:pPr>
        <w:spacing w:line="360" w:lineRule="auto"/>
        <w:jc w:val="both"/>
        <w:rPr>
          <w:rFonts w:ascii="Palatino Linotype" w:eastAsia="Palatino Linotype" w:hAnsi="Palatino Linotype" w:cs="Palatino Linotype"/>
        </w:rPr>
      </w:pPr>
    </w:p>
    <w:p w14:paraId="24C0E88C" w14:textId="77777777" w:rsidR="00403952" w:rsidRPr="007E57D4" w:rsidRDefault="00403952">
      <w:pPr>
        <w:spacing w:line="360" w:lineRule="auto"/>
        <w:jc w:val="both"/>
        <w:rPr>
          <w:rFonts w:ascii="Palatino Linotype" w:eastAsia="Palatino Linotype" w:hAnsi="Palatino Linotype" w:cs="Palatino Linotype"/>
        </w:rPr>
      </w:pPr>
    </w:p>
    <w:p w14:paraId="17A60A58" w14:textId="77777777" w:rsidR="00403952" w:rsidRPr="007E57D4" w:rsidRDefault="00403952">
      <w:pPr>
        <w:spacing w:line="360" w:lineRule="auto"/>
        <w:jc w:val="both"/>
        <w:rPr>
          <w:rFonts w:ascii="Palatino Linotype" w:eastAsia="Palatino Linotype" w:hAnsi="Palatino Linotype" w:cs="Palatino Linotype"/>
        </w:rPr>
      </w:pPr>
    </w:p>
    <w:p w14:paraId="57E79062" w14:textId="77777777" w:rsidR="00403952" w:rsidRPr="007E57D4" w:rsidRDefault="00403952">
      <w:pPr>
        <w:spacing w:line="360" w:lineRule="auto"/>
        <w:jc w:val="both"/>
        <w:rPr>
          <w:rFonts w:ascii="Palatino Linotype" w:eastAsia="Palatino Linotype" w:hAnsi="Palatino Linotype" w:cs="Palatino Linotype"/>
        </w:rPr>
      </w:pPr>
    </w:p>
    <w:p w14:paraId="699AE534" w14:textId="77777777" w:rsidR="00403952" w:rsidRPr="007E57D4" w:rsidRDefault="00403952">
      <w:pPr>
        <w:spacing w:line="360" w:lineRule="auto"/>
        <w:jc w:val="both"/>
        <w:rPr>
          <w:rFonts w:ascii="Palatino Linotype" w:eastAsia="Palatino Linotype" w:hAnsi="Palatino Linotype" w:cs="Palatino Linotype"/>
        </w:rPr>
      </w:pPr>
    </w:p>
    <w:p w14:paraId="7657E16A" w14:textId="77777777" w:rsidR="00403952" w:rsidRPr="007E57D4" w:rsidRDefault="00403952">
      <w:pPr>
        <w:spacing w:line="360" w:lineRule="auto"/>
        <w:jc w:val="both"/>
        <w:rPr>
          <w:rFonts w:ascii="Palatino Linotype" w:eastAsia="Palatino Linotype" w:hAnsi="Palatino Linotype" w:cs="Palatino Linotype"/>
        </w:rPr>
      </w:pPr>
    </w:p>
    <w:p w14:paraId="246FA46F" w14:textId="77777777" w:rsidR="00403952" w:rsidRPr="007E57D4" w:rsidRDefault="00403952">
      <w:pPr>
        <w:spacing w:line="360" w:lineRule="auto"/>
        <w:jc w:val="both"/>
        <w:rPr>
          <w:rFonts w:ascii="Palatino Linotype" w:eastAsia="Palatino Linotype" w:hAnsi="Palatino Linotype" w:cs="Palatino Linotype"/>
        </w:rPr>
      </w:pPr>
    </w:p>
    <w:p w14:paraId="6A03F2CA" w14:textId="77777777" w:rsidR="00403952" w:rsidRPr="007E57D4" w:rsidRDefault="00403952">
      <w:pPr>
        <w:spacing w:line="360" w:lineRule="auto"/>
        <w:jc w:val="both"/>
        <w:rPr>
          <w:rFonts w:ascii="Palatino Linotype" w:eastAsia="Palatino Linotype" w:hAnsi="Palatino Linotype" w:cs="Palatino Linotype"/>
        </w:rPr>
      </w:pPr>
    </w:p>
    <w:p w14:paraId="34861FA0" w14:textId="77777777" w:rsidR="00403952" w:rsidRPr="007E57D4" w:rsidRDefault="00403952">
      <w:pPr>
        <w:spacing w:line="360" w:lineRule="auto"/>
        <w:jc w:val="both"/>
        <w:rPr>
          <w:rFonts w:ascii="Palatino Linotype" w:eastAsia="Palatino Linotype" w:hAnsi="Palatino Linotype" w:cs="Palatino Linotype"/>
        </w:rPr>
      </w:pPr>
    </w:p>
    <w:sectPr w:rsidR="00403952" w:rsidRPr="007E57D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6B38" w14:textId="77777777" w:rsidR="00B85570" w:rsidRDefault="00B85570">
      <w:r>
        <w:separator/>
      </w:r>
    </w:p>
  </w:endnote>
  <w:endnote w:type="continuationSeparator" w:id="0">
    <w:p w14:paraId="274FA529" w14:textId="77777777" w:rsidR="00B85570" w:rsidRDefault="00B8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DC03" w14:textId="77777777" w:rsidR="00403952" w:rsidRDefault="007C019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5513">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551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00F504E" w14:textId="77777777" w:rsidR="00403952" w:rsidRDefault="0040395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5965" w14:textId="77777777" w:rsidR="00403952" w:rsidRDefault="007C019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F551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F551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D9A51E8" w14:textId="77777777" w:rsidR="00403952" w:rsidRDefault="0040395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C638" w14:textId="77777777" w:rsidR="00B85570" w:rsidRDefault="00B85570">
      <w:r>
        <w:separator/>
      </w:r>
    </w:p>
  </w:footnote>
  <w:footnote w:type="continuationSeparator" w:id="0">
    <w:p w14:paraId="7B04B9C8" w14:textId="77777777" w:rsidR="00B85570" w:rsidRDefault="00B85570">
      <w:r>
        <w:continuationSeparator/>
      </w:r>
    </w:p>
  </w:footnote>
  <w:footnote w:id="1">
    <w:p w14:paraId="19770DD0" w14:textId="77777777" w:rsidR="00403952" w:rsidRDefault="007C019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2">
    <w:p w14:paraId="0759A155" w14:textId="77777777" w:rsidR="00403952" w:rsidRDefault="007C019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148EF945" w14:textId="77777777" w:rsidR="00403952" w:rsidRDefault="007C0198">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13C" w14:textId="77777777" w:rsidR="00403952" w:rsidRDefault="007C0198">
    <w:pPr>
      <w:rPr>
        <w:rFonts w:ascii="Cambria" w:eastAsia="Cambria" w:hAnsi="Cambria" w:cs="Cambria"/>
        <w:color w:val="000000"/>
      </w:rPr>
    </w:pPr>
    <w:r>
      <w:rPr>
        <w:noProof/>
      </w:rPr>
      <w:drawing>
        <wp:anchor distT="0" distB="0" distL="0" distR="0" simplePos="0" relativeHeight="251658240" behindDoc="1" locked="0" layoutInCell="1" hidden="0" allowOverlap="1" wp14:anchorId="258DED8B" wp14:editId="50DEBA9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403952" w14:paraId="6DAE2E10" w14:textId="77777777">
      <w:tc>
        <w:tcPr>
          <w:tcW w:w="2489" w:type="dxa"/>
          <w:shd w:val="clear" w:color="auto" w:fill="auto"/>
        </w:tcPr>
        <w:p w14:paraId="7CB80C51" w14:textId="77777777" w:rsidR="00403952" w:rsidRDefault="007C0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BBD713E" w14:textId="77777777" w:rsidR="00403952" w:rsidRDefault="007C0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04514/INFOEM/IP/RR/2025</w:t>
          </w:r>
        </w:p>
      </w:tc>
    </w:tr>
    <w:tr w:rsidR="00403952" w14:paraId="0BB3D13D" w14:textId="77777777">
      <w:trPr>
        <w:trHeight w:val="228"/>
      </w:trPr>
      <w:tc>
        <w:tcPr>
          <w:tcW w:w="2489" w:type="dxa"/>
          <w:shd w:val="clear" w:color="auto" w:fill="auto"/>
          <w:vAlign w:val="center"/>
        </w:tcPr>
        <w:p w14:paraId="4E2A1426" w14:textId="77777777" w:rsidR="00403952" w:rsidRDefault="007C0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F53C4DB" w14:textId="77777777" w:rsidR="00403952" w:rsidRDefault="007C019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403952" w14:paraId="10F31246" w14:textId="77777777">
      <w:tc>
        <w:tcPr>
          <w:tcW w:w="2489" w:type="dxa"/>
          <w:shd w:val="clear" w:color="auto" w:fill="auto"/>
          <w:vAlign w:val="center"/>
        </w:tcPr>
        <w:p w14:paraId="0C6ED62C" w14:textId="77777777" w:rsidR="00403952" w:rsidRDefault="007C019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1B14A1" w14:textId="77777777" w:rsidR="00403952" w:rsidRDefault="007C0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10BA3B" w14:textId="77777777" w:rsidR="00403952" w:rsidRDefault="007C019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E394" w14:textId="77777777" w:rsidR="00403952" w:rsidRDefault="007C0198">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0BA955E7" wp14:editId="7A513BFB">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03952" w14:paraId="2F9523CC" w14:textId="77777777">
      <w:tc>
        <w:tcPr>
          <w:tcW w:w="2489" w:type="dxa"/>
          <w:shd w:val="clear" w:color="auto" w:fill="auto"/>
        </w:tcPr>
        <w:p w14:paraId="72685145" w14:textId="77777777" w:rsidR="00403952" w:rsidRDefault="007C0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02C039" w14:textId="77777777" w:rsidR="00403952" w:rsidRDefault="007C0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04514/INFOEM/IP/RR/2025</w:t>
          </w:r>
        </w:p>
      </w:tc>
    </w:tr>
    <w:tr w:rsidR="00403952" w14:paraId="570D304E" w14:textId="77777777">
      <w:tc>
        <w:tcPr>
          <w:tcW w:w="2489" w:type="dxa"/>
          <w:shd w:val="clear" w:color="auto" w:fill="auto"/>
        </w:tcPr>
        <w:p w14:paraId="078B21D4" w14:textId="77777777" w:rsidR="00403952" w:rsidRDefault="007C0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F9D77E3" w14:textId="77777777" w:rsidR="00403952" w:rsidRDefault="00403952">
          <w:pPr>
            <w:ind w:right="175"/>
            <w:jc w:val="both"/>
            <w:rPr>
              <w:rFonts w:ascii="Palatino Linotype" w:eastAsia="Palatino Linotype" w:hAnsi="Palatino Linotype" w:cs="Palatino Linotype"/>
              <w:b/>
              <w:sz w:val="22"/>
              <w:szCs w:val="22"/>
            </w:rPr>
          </w:pPr>
        </w:p>
      </w:tc>
    </w:tr>
    <w:tr w:rsidR="00403952" w14:paraId="198EAC28" w14:textId="77777777">
      <w:trPr>
        <w:trHeight w:val="228"/>
      </w:trPr>
      <w:tc>
        <w:tcPr>
          <w:tcW w:w="2489" w:type="dxa"/>
          <w:shd w:val="clear" w:color="auto" w:fill="auto"/>
          <w:vAlign w:val="center"/>
        </w:tcPr>
        <w:p w14:paraId="30030F75" w14:textId="77777777" w:rsidR="00403952" w:rsidRDefault="007C019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74BD4C" w14:textId="77777777" w:rsidR="00403952" w:rsidRDefault="007C019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403952" w14:paraId="4A98123E" w14:textId="77777777">
      <w:tc>
        <w:tcPr>
          <w:tcW w:w="2489" w:type="dxa"/>
          <w:shd w:val="clear" w:color="auto" w:fill="auto"/>
          <w:vAlign w:val="center"/>
        </w:tcPr>
        <w:p w14:paraId="116F4012" w14:textId="77777777" w:rsidR="00403952" w:rsidRDefault="007C019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F9A0BB" w14:textId="77777777" w:rsidR="00403952" w:rsidRDefault="007C01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00B0C3" w14:textId="77777777" w:rsidR="00403952" w:rsidRDefault="004039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1FF"/>
    <w:multiLevelType w:val="multilevel"/>
    <w:tmpl w:val="11624DC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52"/>
    <w:rsid w:val="00403952"/>
    <w:rsid w:val="005F5513"/>
    <w:rsid w:val="007C0198"/>
    <w:rsid w:val="007E57D4"/>
    <w:rsid w:val="00895F25"/>
    <w:rsid w:val="00B855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C69E"/>
  <w15:docId w15:val="{463A2984-A014-46EF-B819-56D2E52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6082</Words>
  <Characters>33451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2025-07-11T18:55:00Z</cp:lastPrinted>
  <dcterms:created xsi:type="dcterms:W3CDTF">2025-08-07T17:56:00Z</dcterms:created>
  <dcterms:modified xsi:type="dcterms:W3CDTF">2025-08-07T17:56:00Z</dcterms:modified>
</cp:coreProperties>
</file>