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03C47" w14:textId="77777777" w:rsidR="00D82CFE" w:rsidRPr="00B729DF" w:rsidRDefault="00DC623E">
      <w:pPr>
        <w:spacing w:before="240" w:after="240" w:line="360" w:lineRule="auto"/>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B729DF">
        <w:rPr>
          <w:rFonts w:ascii="Palatino Linotype" w:eastAsia="Palatino Linotype" w:hAnsi="Palatino Linotype" w:cs="Palatino Linotype"/>
          <w:b/>
          <w:sz w:val="22"/>
          <w:szCs w:val="22"/>
        </w:rPr>
        <w:t>nueve de abril del dos mil veinticinco</w:t>
      </w:r>
      <w:r w:rsidRPr="00B729DF">
        <w:rPr>
          <w:rFonts w:ascii="Palatino Linotype" w:eastAsia="Palatino Linotype" w:hAnsi="Palatino Linotype" w:cs="Palatino Linotype"/>
          <w:sz w:val="22"/>
          <w:szCs w:val="22"/>
        </w:rPr>
        <w:t xml:space="preserve">. </w:t>
      </w:r>
    </w:p>
    <w:p w14:paraId="7B553C97" w14:textId="1F448A22" w:rsidR="00D82CFE" w:rsidRPr="00B729DF" w:rsidRDefault="00DC623E">
      <w:pPr>
        <w:tabs>
          <w:tab w:val="left" w:pos="5812"/>
        </w:tabs>
        <w:spacing w:before="240" w:after="240" w:line="360" w:lineRule="auto"/>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b/>
          <w:sz w:val="22"/>
          <w:szCs w:val="22"/>
        </w:rPr>
        <w:t>Visto</w:t>
      </w:r>
      <w:r w:rsidRPr="00B729DF">
        <w:rPr>
          <w:rFonts w:ascii="Palatino Linotype" w:eastAsia="Palatino Linotype" w:hAnsi="Palatino Linotype" w:cs="Palatino Linotype"/>
          <w:sz w:val="22"/>
          <w:szCs w:val="22"/>
        </w:rPr>
        <w:t xml:space="preserve"> el expediente formado con motivo del recurso de revisión </w:t>
      </w:r>
      <w:r w:rsidRPr="00B729DF">
        <w:rPr>
          <w:rFonts w:ascii="Palatino Linotype" w:eastAsia="Palatino Linotype" w:hAnsi="Palatino Linotype" w:cs="Palatino Linotype"/>
          <w:b/>
          <w:sz w:val="22"/>
          <w:szCs w:val="22"/>
        </w:rPr>
        <w:t>02149/INFOEM/IP/RR/2025</w:t>
      </w:r>
      <w:r w:rsidRPr="00B729DF">
        <w:rPr>
          <w:rFonts w:ascii="Palatino Linotype" w:eastAsia="Palatino Linotype" w:hAnsi="Palatino Linotype" w:cs="Palatino Linotype"/>
          <w:sz w:val="22"/>
          <w:szCs w:val="22"/>
        </w:rPr>
        <w:t>, interpuesto por</w:t>
      </w:r>
      <w:r w:rsidRPr="00B729DF">
        <w:rPr>
          <w:rFonts w:ascii="Palatino Linotype" w:eastAsia="Palatino Linotype" w:hAnsi="Palatino Linotype" w:cs="Palatino Linotype"/>
          <w:b/>
          <w:sz w:val="22"/>
          <w:szCs w:val="22"/>
        </w:rPr>
        <w:t xml:space="preserve"> </w:t>
      </w:r>
      <w:r w:rsidR="00F803FB" w:rsidRPr="00F803FB">
        <w:rPr>
          <w:rFonts w:ascii="Palatino Linotype" w:eastAsia="Palatino Linotype" w:hAnsi="Palatino Linotype" w:cs="Palatino Linotype"/>
          <w:b/>
          <w:sz w:val="22"/>
          <w:szCs w:val="22"/>
        </w:rPr>
        <w:t xml:space="preserve">XXXXXX XXX XXXXXXXXXX </w:t>
      </w:r>
      <w:r w:rsidRPr="00B729DF">
        <w:rPr>
          <w:rFonts w:ascii="Palatino Linotype" w:eastAsia="Palatino Linotype" w:hAnsi="Palatino Linotype" w:cs="Palatino Linotype"/>
          <w:sz w:val="22"/>
          <w:szCs w:val="22"/>
        </w:rPr>
        <w:t>en lo sucesivo,</w:t>
      </w:r>
      <w:r w:rsidRPr="00B729DF">
        <w:rPr>
          <w:rFonts w:ascii="Palatino Linotype" w:eastAsia="Palatino Linotype" w:hAnsi="Palatino Linotype" w:cs="Palatino Linotype"/>
          <w:b/>
          <w:sz w:val="22"/>
          <w:szCs w:val="22"/>
        </w:rPr>
        <w:t xml:space="preserve"> la parte</w:t>
      </w:r>
      <w:r w:rsidRPr="00B729DF">
        <w:rPr>
          <w:rFonts w:ascii="Palatino Linotype" w:eastAsia="Palatino Linotype" w:hAnsi="Palatino Linotype" w:cs="Palatino Linotype"/>
          <w:sz w:val="22"/>
          <w:szCs w:val="22"/>
        </w:rPr>
        <w:t xml:space="preserve"> </w:t>
      </w:r>
      <w:r w:rsidRPr="00B729DF">
        <w:rPr>
          <w:rFonts w:ascii="Palatino Linotype" w:eastAsia="Palatino Linotype" w:hAnsi="Palatino Linotype" w:cs="Palatino Linotype"/>
          <w:b/>
          <w:sz w:val="22"/>
          <w:szCs w:val="22"/>
        </w:rPr>
        <w:t>Recurrente,</w:t>
      </w:r>
      <w:r w:rsidRPr="00B729DF">
        <w:rPr>
          <w:rFonts w:ascii="Palatino Linotype" w:eastAsia="Palatino Linotype" w:hAnsi="Palatino Linotype" w:cs="Palatino Linotype"/>
          <w:sz w:val="22"/>
          <w:szCs w:val="22"/>
        </w:rPr>
        <w:t xml:space="preserve"> en contra de la respuesta a la solicitud de información con número de folio</w:t>
      </w:r>
      <w:r w:rsidRPr="00B729DF">
        <w:rPr>
          <w:rFonts w:ascii="Palatino Linotype" w:eastAsia="Palatino Linotype" w:hAnsi="Palatino Linotype" w:cs="Palatino Linotype"/>
          <w:b/>
          <w:sz w:val="22"/>
          <w:szCs w:val="22"/>
        </w:rPr>
        <w:t xml:space="preserve"> 00038/DIFEM/IP/2025, </w:t>
      </w:r>
      <w:r w:rsidRPr="00B729DF">
        <w:rPr>
          <w:rFonts w:ascii="Palatino Linotype" w:eastAsia="Palatino Linotype" w:hAnsi="Palatino Linotype" w:cs="Palatino Linotype"/>
          <w:sz w:val="22"/>
          <w:szCs w:val="22"/>
        </w:rPr>
        <w:t xml:space="preserve">por parte del </w:t>
      </w:r>
      <w:r w:rsidRPr="00B729DF">
        <w:rPr>
          <w:rFonts w:ascii="Palatino Linotype" w:eastAsia="Palatino Linotype" w:hAnsi="Palatino Linotype" w:cs="Palatino Linotype"/>
          <w:b/>
          <w:sz w:val="22"/>
          <w:szCs w:val="22"/>
        </w:rPr>
        <w:t xml:space="preserve">Sistema para el Desarrollo Integral de la Familia del Estado de México, </w:t>
      </w:r>
      <w:r w:rsidRPr="00B729DF">
        <w:rPr>
          <w:rFonts w:ascii="Palatino Linotype" w:eastAsia="Palatino Linotype" w:hAnsi="Palatino Linotype" w:cs="Palatino Linotype"/>
          <w:sz w:val="22"/>
          <w:szCs w:val="22"/>
        </w:rPr>
        <w:t xml:space="preserve">en lo sucesivo el </w:t>
      </w:r>
      <w:r w:rsidRPr="00B729DF">
        <w:rPr>
          <w:rFonts w:ascii="Palatino Linotype" w:eastAsia="Palatino Linotype" w:hAnsi="Palatino Linotype" w:cs="Palatino Linotype"/>
          <w:b/>
          <w:sz w:val="22"/>
          <w:szCs w:val="22"/>
        </w:rPr>
        <w:t xml:space="preserve">Sujeto Obligado, </w:t>
      </w:r>
      <w:r w:rsidRPr="00B729DF">
        <w:rPr>
          <w:rFonts w:ascii="Palatino Linotype" w:eastAsia="Palatino Linotype" w:hAnsi="Palatino Linotype" w:cs="Palatino Linotype"/>
          <w:sz w:val="22"/>
          <w:szCs w:val="22"/>
        </w:rPr>
        <w:t xml:space="preserve">se procede a dictar la presente resolución con base en los siguientes: </w:t>
      </w:r>
    </w:p>
    <w:p w14:paraId="10027408" w14:textId="77777777" w:rsidR="00D82CFE" w:rsidRPr="00B729DF" w:rsidRDefault="00DC623E">
      <w:pPr>
        <w:spacing w:before="240" w:after="240" w:line="360" w:lineRule="auto"/>
        <w:jc w:val="center"/>
        <w:rPr>
          <w:rFonts w:ascii="Palatino Linotype" w:eastAsia="Palatino Linotype" w:hAnsi="Palatino Linotype" w:cs="Palatino Linotype"/>
          <w:b/>
          <w:sz w:val="22"/>
          <w:szCs w:val="22"/>
        </w:rPr>
      </w:pPr>
      <w:r w:rsidRPr="00B729DF">
        <w:rPr>
          <w:rFonts w:ascii="Palatino Linotype" w:eastAsia="Palatino Linotype" w:hAnsi="Palatino Linotype" w:cs="Palatino Linotype"/>
          <w:b/>
          <w:sz w:val="22"/>
          <w:szCs w:val="22"/>
        </w:rPr>
        <w:t>I. A N T E C E D E N T E S</w:t>
      </w:r>
    </w:p>
    <w:p w14:paraId="4929FE18" w14:textId="77777777" w:rsidR="00D82CFE" w:rsidRPr="00B729DF" w:rsidRDefault="00DC623E">
      <w:pPr>
        <w:spacing w:before="240" w:after="240" w:line="360" w:lineRule="auto"/>
        <w:jc w:val="both"/>
        <w:rPr>
          <w:rFonts w:ascii="Palatino Linotype" w:eastAsia="Palatino Linotype" w:hAnsi="Palatino Linotype" w:cs="Palatino Linotype"/>
          <w:sz w:val="22"/>
          <w:szCs w:val="22"/>
        </w:rPr>
      </w:pPr>
      <w:bookmarkStart w:id="0" w:name="_heading=h.4d34og8" w:colFirst="0" w:colLast="0"/>
      <w:bookmarkEnd w:id="0"/>
      <w:r w:rsidRPr="00B729DF">
        <w:rPr>
          <w:rFonts w:ascii="Palatino Linotype" w:eastAsia="Palatino Linotype" w:hAnsi="Palatino Linotype" w:cs="Palatino Linotype"/>
          <w:b/>
          <w:sz w:val="22"/>
          <w:szCs w:val="22"/>
        </w:rPr>
        <w:t>1. Solicitud de acceso a la información.</w:t>
      </w:r>
      <w:r w:rsidRPr="00B729DF">
        <w:rPr>
          <w:rFonts w:ascii="Palatino Linotype" w:eastAsia="Palatino Linotype" w:hAnsi="Palatino Linotype" w:cs="Palatino Linotype"/>
          <w:sz w:val="22"/>
          <w:szCs w:val="22"/>
        </w:rPr>
        <w:t xml:space="preserve"> El </w:t>
      </w:r>
      <w:r w:rsidRPr="00B729DF">
        <w:rPr>
          <w:rFonts w:ascii="Palatino Linotype" w:eastAsia="Palatino Linotype" w:hAnsi="Palatino Linotype" w:cs="Palatino Linotype"/>
          <w:b/>
          <w:sz w:val="22"/>
          <w:szCs w:val="22"/>
        </w:rPr>
        <w:t>veintiuno de febrero del dos mil veinticinco</w:t>
      </w:r>
      <w:r w:rsidRPr="00B729DF">
        <w:rPr>
          <w:rFonts w:ascii="Palatino Linotype" w:eastAsia="Palatino Linotype" w:hAnsi="Palatino Linotype" w:cs="Palatino Linotype"/>
          <w:sz w:val="22"/>
          <w:szCs w:val="22"/>
        </w:rPr>
        <w:t xml:space="preserve">, la ahora parte Recurrente, presentó a través del Sistema de Acceso a la Información Mexiquense, en lo subsecuente el </w:t>
      </w:r>
      <w:r w:rsidRPr="00B729DF">
        <w:rPr>
          <w:rFonts w:ascii="Palatino Linotype" w:eastAsia="Palatino Linotype" w:hAnsi="Palatino Linotype" w:cs="Palatino Linotype"/>
          <w:b/>
          <w:sz w:val="22"/>
          <w:szCs w:val="22"/>
        </w:rPr>
        <w:t>SAIMEX,</w:t>
      </w:r>
      <w:r w:rsidRPr="00B729DF">
        <w:rPr>
          <w:rFonts w:ascii="Palatino Linotype" w:eastAsia="Palatino Linotype" w:hAnsi="Palatino Linotype" w:cs="Palatino Linotype"/>
          <w:sz w:val="22"/>
          <w:szCs w:val="22"/>
        </w:rPr>
        <w:t xml:space="preserve"> ante el </w:t>
      </w:r>
      <w:r w:rsidRPr="00B729DF">
        <w:rPr>
          <w:rFonts w:ascii="Palatino Linotype" w:eastAsia="Palatino Linotype" w:hAnsi="Palatino Linotype" w:cs="Palatino Linotype"/>
          <w:b/>
          <w:sz w:val="22"/>
          <w:szCs w:val="22"/>
        </w:rPr>
        <w:t>Sujeto Obligado</w:t>
      </w:r>
      <w:r w:rsidRPr="00B729DF">
        <w:rPr>
          <w:rFonts w:ascii="Palatino Linotype" w:eastAsia="Palatino Linotype" w:hAnsi="Palatino Linotype" w:cs="Palatino Linotype"/>
          <w:sz w:val="22"/>
          <w:szCs w:val="22"/>
        </w:rPr>
        <w:t xml:space="preserve">, la solicitud de acceso a la información pública, mediante la cual requirió la información siguiente: </w:t>
      </w:r>
    </w:p>
    <w:p w14:paraId="6B05B87B" w14:textId="77777777" w:rsidR="00D82CFE" w:rsidRPr="00B729DF" w:rsidRDefault="00DC623E">
      <w:pPr>
        <w:spacing w:before="120" w:after="120"/>
        <w:ind w:left="567" w:right="902"/>
        <w:jc w:val="both"/>
        <w:rPr>
          <w:rFonts w:ascii="Palatino Linotype" w:eastAsia="Palatino Linotype" w:hAnsi="Palatino Linotype" w:cs="Palatino Linotype"/>
          <w:b/>
          <w:i/>
          <w:sz w:val="22"/>
          <w:szCs w:val="22"/>
        </w:rPr>
      </w:pPr>
      <w:bookmarkStart w:id="1" w:name="_heading=h.gjdgxs" w:colFirst="0" w:colLast="0"/>
      <w:bookmarkEnd w:id="1"/>
      <w:r w:rsidRPr="00B729DF">
        <w:rPr>
          <w:rFonts w:ascii="Palatino Linotype" w:eastAsia="Palatino Linotype" w:hAnsi="Palatino Linotype" w:cs="Palatino Linotype"/>
          <w:i/>
          <w:sz w:val="22"/>
          <w:szCs w:val="22"/>
        </w:rPr>
        <w:t xml:space="preserve"> “Requiero saber las medidas y los protocolos qué tendrán en contra del </w:t>
      </w:r>
      <w:proofErr w:type="spellStart"/>
      <w:r w:rsidRPr="00B729DF">
        <w:rPr>
          <w:rFonts w:ascii="Palatino Linotype" w:eastAsia="Palatino Linotype" w:hAnsi="Palatino Linotype" w:cs="Palatino Linotype"/>
          <w:i/>
          <w:sz w:val="22"/>
          <w:szCs w:val="22"/>
        </w:rPr>
        <w:t>dif</w:t>
      </w:r>
      <w:proofErr w:type="spellEnd"/>
      <w:r w:rsidRPr="00B729DF">
        <w:rPr>
          <w:rFonts w:ascii="Palatino Linotype" w:eastAsia="Palatino Linotype" w:hAnsi="Palatino Linotype" w:cs="Palatino Linotype"/>
          <w:i/>
          <w:sz w:val="22"/>
          <w:szCs w:val="22"/>
        </w:rPr>
        <w:t xml:space="preserve"> </w:t>
      </w:r>
      <w:proofErr w:type="spellStart"/>
      <w:r w:rsidRPr="00B729DF">
        <w:rPr>
          <w:rFonts w:ascii="Palatino Linotype" w:eastAsia="Palatino Linotype" w:hAnsi="Palatino Linotype" w:cs="Palatino Linotype"/>
          <w:i/>
          <w:sz w:val="22"/>
          <w:szCs w:val="22"/>
        </w:rPr>
        <w:t>naucalpan</w:t>
      </w:r>
      <w:proofErr w:type="spellEnd"/>
      <w:r w:rsidRPr="00B729DF">
        <w:rPr>
          <w:rFonts w:ascii="Palatino Linotype" w:eastAsia="Palatino Linotype" w:hAnsi="Palatino Linotype" w:cs="Palatino Linotype"/>
          <w:i/>
          <w:sz w:val="22"/>
          <w:szCs w:val="22"/>
        </w:rPr>
        <w:t xml:space="preserve"> por la situación viralizada en redes respecto al mal cuidado </w:t>
      </w:r>
      <w:proofErr w:type="spellStart"/>
      <w:r w:rsidRPr="00B729DF">
        <w:rPr>
          <w:rFonts w:ascii="Palatino Linotype" w:eastAsia="Palatino Linotype" w:hAnsi="Palatino Linotype" w:cs="Palatino Linotype"/>
          <w:i/>
          <w:sz w:val="22"/>
          <w:szCs w:val="22"/>
        </w:rPr>
        <w:t>dd</w:t>
      </w:r>
      <w:proofErr w:type="spellEnd"/>
      <w:r w:rsidRPr="00B729DF">
        <w:rPr>
          <w:rFonts w:ascii="Palatino Linotype" w:eastAsia="Palatino Linotype" w:hAnsi="Palatino Linotype" w:cs="Palatino Linotype"/>
          <w:i/>
          <w:sz w:val="22"/>
          <w:szCs w:val="22"/>
        </w:rPr>
        <w:t xml:space="preserve"> los niños, y sobre todo si le revocaran el permiso o licencia https://www.facebook.com/share/v/18FAQ4vPnd/?mibextid=wwXIfr” (Sic) </w:t>
      </w:r>
    </w:p>
    <w:p w14:paraId="558337C0" w14:textId="77777777" w:rsidR="00D82CFE" w:rsidRPr="00B729DF" w:rsidRDefault="00DC623E">
      <w:pPr>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sidRPr="00B729DF">
        <w:rPr>
          <w:rFonts w:ascii="Palatino Linotype" w:eastAsia="Palatino Linotype" w:hAnsi="Palatino Linotype" w:cs="Palatino Linotype"/>
          <w:b/>
          <w:sz w:val="22"/>
          <w:szCs w:val="22"/>
        </w:rPr>
        <w:t xml:space="preserve">Modalidad de Entrega: </w:t>
      </w:r>
      <w:r w:rsidRPr="00B729DF">
        <w:rPr>
          <w:rFonts w:ascii="Palatino Linotype" w:eastAsia="Palatino Linotype" w:hAnsi="Palatino Linotype" w:cs="Palatino Linotype"/>
          <w:sz w:val="22"/>
          <w:szCs w:val="22"/>
        </w:rPr>
        <w:t xml:space="preserve">A través del </w:t>
      </w:r>
      <w:r w:rsidRPr="00B729DF">
        <w:rPr>
          <w:rFonts w:ascii="Palatino Linotype" w:eastAsia="Palatino Linotype" w:hAnsi="Palatino Linotype" w:cs="Palatino Linotype"/>
          <w:b/>
          <w:sz w:val="22"/>
          <w:szCs w:val="22"/>
        </w:rPr>
        <w:t>SAIMEX</w:t>
      </w:r>
      <w:r w:rsidRPr="00B729DF">
        <w:rPr>
          <w:rFonts w:ascii="Palatino Linotype" w:eastAsia="Palatino Linotype" w:hAnsi="Palatino Linotype" w:cs="Palatino Linotype"/>
          <w:sz w:val="22"/>
          <w:szCs w:val="22"/>
        </w:rPr>
        <w:t>.</w:t>
      </w:r>
    </w:p>
    <w:p w14:paraId="25FE9E56" w14:textId="77777777" w:rsidR="00D82CFE" w:rsidRPr="00B729DF" w:rsidRDefault="00DC623E">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b/>
          <w:sz w:val="22"/>
          <w:szCs w:val="22"/>
        </w:rPr>
        <w:t xml:space="preserve">2. Respuesta. </w:t>
      </w:r>
      <w:r w:rsidRPr="00B729DF">
        <w:rPr>
          <w:rFonts w:ascii="Palatino Linotype" w:eastAsia="Palatino Linotype" w:hAnsi="Palatino Linotype" w:cs="Palatino Linotype"/>
          <w:sz w:val="22"/>
          <w:szCs w:val="22"/>
        </w:rPr>
        <w:t xml:space="preserve">El </w:t>
      </w:r>
      <w:r w:rsidRPr="00B729DF">
        <w:rPr>
          <w:rFonts w:ascii="Palatino Linotype" w:eastAsia="Palatino Linotype" w:hAnsi="Palatino Linotype" w:cs="Palatino Linotype"/>
          <w:b/>
          <w:sz w:val="22"/>
          <w:szCs w:val="22"/>
        </w:rPr>
        <w:t>veinticuatro de febrero de dos mil veinticinco,</w:t>
      </w:r>
      <w:r w:rsidRPr="00B729DF">
        <w:rPr>
          <w:rFonts w:ascii="Palatino Linotype" w:eastAsia="Palatino Linotype" w:hAnsi="Palatino Linotype" w:cs="Palatino Linotype"/>
          <w:sz w:val="22"/>
          <w:szCs w:val="22"/>
        </w:rPr>
        <w:t xml:space="preserve"> el </w:t>
      </w:r>
      <w:r w:rsidRPr="00B729DF">
        <w:rPr>
          <w:rFonts w:ascii="Palatino Linotype" w:eastAsia="Palatino Linotype" w:hAnsi="Palatino Linotype" w:cs="Palatino Linotype"/>
          <w:b/>
          <w:sz w:val="22"/>
          <w:szCs w:val="22"/>
        </w:rPr>
        <w:t xml:space="preserve">Sujeto Obligado </w:t>
      </w:r>
      <w:r w:rsidRPr="00B729DF">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340D1E10" w14:textId="77777777" w:rsidR="00D82CFE" w:rsidRPr="00B729DF" w:rsidRDefault="00DC623E">
      <w:pPr>
        <w:spacing w:before="240" w:after="240"/>
        <w:ind w:left="567" w:right="902"/>
        <w:jc w:val="both"/>
        <w:rPr>
          <w:rFonts w:ascii="Palatino Linotype" w:eastAsia="Palatino Linotype" w:hAnsi="Palatino Linotype" w:cs="Palatino Linotype"/>
          <w:i/>
          <w:sz w:val="22"/>
          <w:szCs w:val="22"/>
        </w:rPr>
      </w:pPr>
      <w:r w:rsidRPr="00B729DF">
        <w:rPr>
          <w:rFonts w:ascii="Palatino Linotype" w:eastAsia="Palatino Linotype" w:hAnsi="Palatino Linotype" w:cs="Palatino Linotype"/>
          <w:i/>
          <w:sz w:val="22"/>
          <w:szCs w:val="22"/>
        </w:rPr>
        <w:lastRenderedPageBreak/>
        <w:t>“En cumplimiento a lo establecido en los artículos 23, fracción I, 53, fracciones II, III, IV y VI, 163, 176, 177 y 178 de la Ley de Transparencia y Acceso a la Información Pública del Estado de México y Municipios, se adjunta respuesta. Del mismo modo se hace del conocimiento del solicitante el derecho que tiene de inconformarse respecto de la respuesta proporcionada por este Sujeto Obligado, a través de la presentación de un recurso de revisión, mismo que deberá interponerse dentro de los 15 días hábiles siguientes a la fecha de la presente notificación.</w:t>
      </w:r>
    </w:p>
    <w:p w14:paraId="764716F6" w14:textId="77777777" w:rsidR="00D82CFE" w:rsidRPr="00B729DF" w:rsidRDefault="00DC623E">
      <w:pPr>
        <w:spacing w:before="240" w:after="240"/>
        <w:ind w:left="567" w:right="902"/>
        <w:jc w:val="both"/>
        <w:rPr>
          <w:rFonts w:ascii="Palatino Linotype" w:eastAsia="Palatino Linotype" w:hAnsi="Palatino Linotype" w:cs="Palatino Linotype"/>
          <w:i/>
          <w:sz w:val="22"/>
          <w:szCs w:val="22"/>
        </w:rPr>
      </w:pPr>
      <w:r w:rsidRPr="00B729DF">
        <w:rPr>
          <w:rFonts w:ascii="Palatino Linotype" w:eastAsia="Palatino Linotype" w:hAnsi="Palatino Linotype" w:cs="Palatino Linotype"/>
          <w:i/>
          <w:sz w:val="22"/>
          <w:szCs w:val="22"/>
        </w:rPr>
        <w:t>ATENTAMENTE</w:t>
      </w:r>
    </w:p>
    <w:p w14:paraId="2048E2B1" w14:textId="77777777" w:rsidR="00D82CFE" w:rsidRPr="00B729DF" w:rsidRDefault="00DC623E">
      <w:pPr>
        <w:spacing w:before="240" w:after="240"/>
        <w:ind w:left="567" w:right="902"/>
        <w:jc w:val="both"/>
        <w:rPr>
          <w:rFonts w:ascii="Palatino Linotype" w:eastAsia="Palatino Linotype" w:hAnsi="Palatino Linotype" w:cs="Palatino Linotype"/>
          <w:i/>
          <w:sz w:val="22"/>
          <w:szCs w:val="22"/>
        </w:rPr>
      </w:pPr>
      <w:r w:rsidRPr="00B729DF">
        <w:rPr>
          <w:rFonts w:ascii="Palatino Linotype" w:eastAsia="Palatino Linotype" w:hAnsi="Palatino Linotype" w:cs="Palatino Linotype"/>
          <w:i/>
          <w:sz w:val="22"/>
          <w:szCs w:val="22"/>
        </w:rPr>
        <w:t>MAESTRA ITANDEHUI MARÍA BORJA GARCÍA” (sic)</w:t>
      </w:r>
    </w:p>
    <w:p w14:paraId="272D5594" w14:textId="77777777" w:rsidR="00D82CFE" w:rsidRPr="00B729DF" w:rsidRDefault="00DC623E">
      <w:pPr>
        <w:spacing w:before="240" w:after="240"/>
        <w:ind w:left="567" w:right="902"/>
        <w:jc w:val="both"/>
        <w:rPr>
          <w:rFonts w:ascii="Palatino Linotype" w:eastAsia="Palatino Linotype" w:hAnsi="Palatino Linotype" w:cs="Palatino Linotype"/>
          <w:b/>
          <w:sz w:val="22"/>
          <w:szCs w:val="22"/>
        </w:rPr>
      </w:pPr>
      <w:r w:rsidRPr="00B729DF">
        <w:rPr>
          <w:rFonts w:ascii="Palatino Linotype" w:eastAsia="Palatino Linotype" w:hAnsi="Palatino Linotype" w:cs="Palatino Linotype"/>
          <w:b/>
          <w:sz w:val="22"/>
          <w:szCs w:val="22"/>
        </w:rPr>
        <w:t>Archivos adjuntos:</w:t>
      </w:r>
    </w:p>
    <w:p w14:paraId="1138C7DD" w14:textId="77777777" w:rsidR="00D82CFE" w:rsidRPr="00B729DF" w:rsidRDefault="00DC623E">
      <w:pPr>
        <w:spacing w:before="240" w:after="240" w:line="360" w:lineRule="auto"/>
        <w:ind w:left="567" w:right="902"/>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b/>
          <w:i/>
          <w:sz w:val="22"/>
          <w:szCs w:val="22"/>
        </w:rPr>
        <w:t xml:space="preserve">“Respuesta SAIMEX 00038.pdf”: </w:t>
      </w:r>
      <w:r w:rsidRPr="00B729DF">
        <w:rPr>
          <w:rFonts w:ascii="Palatino Linotype" w:eastAsia="Palatino Linotype" w:hAnsi="Palatino Linotype" w:cs="Palatino Linotype"/>
          <w:sz w:val="22"/>
          <w:szCs w:val="22"/>
        </w:rPr>
        <w:t xml:space="preserve">Oficio suscrito por la Titular de la Unidad de Transparencia, mediante el cual refiere lo siguiente: </w:t>
      </w:r>
    </w:p>
    <w:p w14:paraId="4A582C7F" w14:textId="77777777" w:rsidR="00D82CFE" w:rsidRPr="00B729DF" w:rsidRDefault="00DC623E">
      <w:pPr>
        <w:spacing w:before="240" w:after="240" w:line="360" w:lineRule="auto"/>
        <w:ind w:left="567" w:right="902"/>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sz w:val="22"/>
          <w:szCs w:val="22"/>
        </w:rPr>
        <w:t>-Que, una vez ingresada la solicitud citada al rubro, la Unidad de Transparencia del DIFEM, con la intención de determinar la competencia del Organismo para atender esta y en su caso, realizar con efectividad los trámites internos necesarios, llevó a cabo el estudio de su contenido; lo que le permitió advertir que el requerimiento presentado no se colma con la entrega de un documento por parte de dicho Organismo, pues con los planteamientos expuestos, lo pretendido por el particular, consiste en que se actúe enfocado a contestar una serie de manifestaciones de carácter subjetivas, ya sea de manera afirmativa, negativa o bien que se emita un pronunciamiento categórico por el cual se explique determinada situación a fin de establecer la mayoría de las interrogantes o inquietudes trazadas.</w:t>
      </w:r>
    </w:p>
    <w:p w14:paraId="33AFDB5B" w14:textId="77777777" w:rsidR="00D82CFE" w:rsidRPr="00B729DF" w:rsidRDefault="00DC623E">
      <w:pPr>
        <w:spacing w:before="240" w:after="240" w:line="360" w:lineRule="auto"/>
        <w:ind w:left="567" w:right="902"/>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sz w:val="22"/>
          <w:szCs w:val="22"/>
        </w:rPr>
        <w:t xml:space="preserve">-Que, consecuentemente, dichos planteamientos no se asimilan al derecho de acceso a la información pública con motivo de las actividades y funciones que </w:t>
      </w:r>
      <w:r w:rsidRPr="00B729DF">
        <w:rPr>
          <w:rFonts w:ascii="Palatino Linotype" w:eastAsia="Palatino Linotype" w:hAnsi="Palatino Linotype" w:cs="Palatino Linotype"/>
          <w:sz w:val="22"/>
          <w:szCs w:val="22"/>
        </w:rPr>
        <w:lastRenderedPageBreak/>
        <w:t>lleva a cabo el Sistema para el Desarrollo Integral de la Familia del Estado de México, más bien están referidos al ejercicio del derecho de petición.</w:t>
      </w:r>
    </w:p>
    <w:p w14:paraId="7C7EF604" w14:textId="77777777" w:rsidR="00D82CFE" w:rsidRPr="00B729DF" w:rsidRDefault="00DC623E">
      <w:pPr>
        <w:spacing w:before="240" w:after="240" w:line="360" w:lineRule="auto"/>
        <w:ind w:right="49"/>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b/>
          <w:sz w:val="22"/>
          <w:szCs w:val="22"/>
        </w:rPr>
        <w:t xml:space="preserve">3. Interposición del recurso de revisión. </w:t>
      </w:r>
      <w:r w:rsidRPr="00B729DF">
        <w:rPr>
          <w:rFonts w:ascii="Palatino Linotype" w:eastAsia="Palatino Linotype" w:hAnsi="Palatino Linotype" w:cs="Palatino Linotype"/>
          <w:sz w:val="22"/>
          <w:szCs w:val="22"/>
        </w:rPr>
        <w:t xml:space="preserve">Inconforme con los términos de la respuesta emitida por parte del </w:t>
      </w:r>
      <w:r w:rsidRPr="00B729DF">
        <w:rPr>
          <w:rFonts w:ascii="Palatino Linotype" w:eastAsia="Palatino Linotype" w:hAnsi="Palatino Linotype" w:cs="Palatino Linotype"/>
          <w:b/>
          <w:sz w:val="22"/>
          <w:szCs w:val="22"/>
        </w:rPr>
        <w:t>Sujeto Obligado</w:t>
      </w:r>
      <w:r w:rsidRPr="00B729DF">
        <w:rPr>
          <w:rFonts w:ascii="Palatino Linotype" w:eastAsia="Palatino Linotype" w:hAnsi="Palatino Linotype" w:cs="Palatino Linotype"/>
          <w:sz w:val="22"/>
          <w:szCs w:val="22"/>
        </w:rPr>
        <w:t xml:space="preserve">, el </w:t>
      </w:r>
      <w:r w:rsidRPr="00B729DF">
        <w:rPr>
          <w:rFonts w:ascii="Palatino Linotype" w:eastAsia="Palatino Linotype" w:hAnsi="Palatino Linotype" w:cs="Palatino Linotype"/>
          <w:b/>
          <w:sz w:val="22"/>
          <w:szCs w:val="22"/>
        </w:rPr>
        <w:t>veintiséis de febrero de dos mil veinticinco, la parte Recurrente</w:t>
      </w:r>
      <w:r w:rsidRPr="00B729DF">
        <w:rPr>
          <w:rFonts w:ascii="Palatino Linotype" w:eastAsia="Palatino Linotype" w:hAnsi="Palatino Linotype" w:cs="Palatino Linotype"/>
          <w:sz w:val="22"/>
          <w:szCs w:val="22"/>
        </w:rPr>
        <w:t xml:space="preserve"> interpuso el recurso de revisión a través de </w:t>
      </w:r>
      <w:r w:rsidRPr="00B729DF">
        <w:rPr>
          <w:rFonts w:ascii="Palatino Linotype" w:eastAsia="Palatino Linotype" w:hAnsi="Palatino Linotype" w:cs="Palatino Linotype"/>
          <w:b/>
          <w:sz w:val="22"/>
          <w:szCs w:val="22"/>
        </w:rPr>
        <w:t xml:space="preserve">SAIMEX, </w:t>
      </w:r>
      <w:r w:rsidRPr="00B729DF">
        <w:rPr>
          <w:rFonts w:ascii="Palatino Linotype" w:eastAsia="Palatino Linotype" w:hAnsi="Palatino Linotype" w:cs="Palatino Linotype"/>
          <w:sz w:val="22"/>
          <w:szCs w:val="22"/>
        </w:rPr>
        <w:t>en donde se manifestó de la siguiente manera:</w:t>
      </w:r>
    </w:p>
    <w:p w14:paraId="2DB0EDFE" w14:textId="77777777" w:rsidR="00D82CFE" w:rsidRPr="00B729DF" w:rsidRDefault="00DC623E">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B729DF">
        <w:rPr>
          <w:rFonts w:ascii="Palatino Linotype" w:eastAsia="Palatino Linotype" w:hAnsi="Palatino Linotype" w:cs="Palatino Linotype"/>
          <w:b/>
          <w:sz w:val="22"/>
          <w:szCs w:val="22"/>
        </w:rPr>
        <w:t xml:space="preserve">a) Acto impugnado: </w:t>
      </w:r>
      <w:r w:rsidRPr="00B729DF">
        <w:rPr>
          <w:rFonts w:ascii="Palatino Linotype" w:eastAsia="Palatino Linotype" w:hAnsi="Palatino Linotype" w:cs="Palatino Linotype"/>
          <w:i/>
          <w:sz w:val="22"/>
          <w:szCs w:val="22"/>
        </w:rPr>
        <w:t>“Respuesta” (Sic)</w:t>
      </w:r>
    </w:p>
    <w:p w14:paraId="77A6EA88" w14:textId="77777777" w:rsidR="00D82CFE" w:rsidRPr="00B729DF" w:rsidRDefault="00DC623E">
      <w:pPr>
        <w:spacing w:line="276" w:lineRule="auto"/>
        <w:ind w:left="567" w:right="900"/>
        <w:jc w:val="both"/>
        <w:rPr>
          <w:rFonts w:ascii="Palatino Linotype" w:eastAsia="Palatino Linotype" w:hAnsi="Palatino Linotype" w:cs="Palatino Linotype"/>
          <w:sz w:val="22"/>
          <w:szCs w:val="22"/>
        </w:rPr>
      </w:pPr>
      <w:bookmarkStart w:id="3" w:name="_heading=h.30j0zll" w:colFirst="0" w:colLast="0"/>
      <w:bookmarkEnd w:id="3"/>
      <w:r w:rsidRPr="00B729DF">
        <w:rPr>
          <w:rFonts w:ascii="Palatino Linotype" w:eastAsia="Palatino Linotype" w:hAnsi="Palatino Linotype" w:cs="Palatino Linotype"/>
          <w:b/>
          <w:sz w:val="22"/>
          <w:szCs w:val="22"/>
        </w:rPr>
        <w:t>b) Razones o motivos de inconformidad</w:t>
      </w:r>
      <w:r w:rsidRPr="00B729DF">
        <w:rPr>
          <w:rFonts w:ascii="Palatino Linotype" w:eastAsia="Palatino Linotype" w:hAnsi="Palatino Linotype" w:cs="Palatino Linotype"/>
          <w:sz w:val="22"/>
          <w:szCs w:val="22"/>
        </w:rPr>
        <w:t xml:space="preserve">: </w:t>
      </w:r>
      <w:r w:rsidRPr="00B729DF">
        <w:rPr>
          <w:rFonts w:ascii="Palatino Linotype" w:eastAsia="Palatino Linotype" w:hAnsi="Palatino Linotype" w:cs="Palatino Linotype"/>
          <w:i/>
          <w:sz w:val="22"/>
          <w:szCs w:val="22"/>
        </w:rPr>
        <w:t>“</w:t>
      </w:r>
      <w:r w:rsidRPr="00B729DF">
        <w:rPr>
          <w:rFonts w:ascii="Palatino Linotype" w:eastAsia="Palatino Linotype" w:hAnsi="Palatino Linotype" w:cs="Palatino Linotype"/>
          <w:b/>
          <w:i/>
          <w:sz w:val="22"/>
          <w:szCs w:val="22"/>
          <w:u w:val="single"/>
        </w:rPr>
        <w:t>Niegan la información</w:t>
      </w:r>
      <w:r w:rsidRPr="00B729DF">
        <w:rPr>
          <w:rFonts w:ascii="Palatino Linotype" w:eastAsia="Palatino Linotype" w:hAnsi="Palatino Linotype" w:cs="Palatino Linotype"/>
          <w:i/>
          <w:sz w:val="22"/>
          <w:szCs w:val="22"/>
        </w:rPr>
        <w:t xml:space="preserve"> de la manera más absurda, mencionan que lo requerido no se colma con un documento, siendo erróneo ya que en las existen protocolos que se deben de atender para la situación expuesta, lo requerido son documentos generados a partir de la información expuesta. </w:t>
      </w:r>
      <w:proofErr w:type="gramStart"/>
      <w:r w:rsidRPr="00B729DF">
        <w:rPr>
          <w:rFonts w:ascii="Palatino Linotype" w:eastAsia="Palatino Linotype" w:hAnsi="Palatino Linotype" w:cs="Palatino Linotype"/>
          <w:i/>
          <w:sz w:val="22"/>
          <w:szCs w:val="22"/>
        </w:rPr>
        <w:t>Además</w:t>
      </w:r>
      <w:proofErr w:type="gramEnd"/>
      <w:r w:rsidRPr="00B729DF">
        <w:rPr>
          <w:rFonts w:ascii="Palatino Linotype" w:eastAsia="Palatino Linotype" w:hAnsi="Palatino Linotype" w:cs="Palatino Linotype"/>
          <w:i/>
          <w:sz w:val="22"/>
          <w:szCs w:val="22"/>
        </w:rPr>
        <w:t xml:space="preserve"> el derecho de la niñez es superior a cualquier otra, por lo que desde la omisión de actuación del </w:t>
      </w:r>
      <w:proofErr w:type="spellStart"/>
      <w:r w:rsidRPr="00B729DF">
        <w:rPr>
          <w:rFonts w:ascii="Palatino Linotype" w:eastAsia="Palatino Linotype" w:hAnsi="Palatino Linotype" w:cs="Palatino Linotype"/>
          <w:i/>
          <w:sz w:val="22"/>
          <w:szCs w:val="22"/>
        </w:rPr>
        <w:t>difem</w:t>
      </w:r>
      <w:proofErr w:type="spellEnd"/>
      <w:r w:rsidRPr="00B729DF">
        <w:rPr>
          <w:rFonts w:ascii="Palatino Linotype" w:eastAsia="Palatino Linotype" w:hAnsi="Palatino Linotype" w:cs="Palatino Linotype"/>
          <w:i/>
          <w:sz w:val="22"/>
          <w:szCs w:val="22"/>
        </w:rPr>
        <w:t xml:space="preserve"> debe ser colmado con un acuerdo de inexistencia nombrando al servidor </w:t>
      </w:r>
      <w:proofErr w:type="spellStart"/>
      <w:r w:rsidRPr="00B729DF">
        <w:rPr>
          <w:rFonts w:ascii="Palatino Linotype" w:eastAsia="Palatino Linotype" w:hAnsi="Palatino Linotype" w:cs="Palatino Linotype"/>
          <w:i/>
          <w:sz w:val="22"/>
          <w:szCs w:val="22"/>
        </w:rPr>
        <w:t>publico</w:t>
      </w:r>
      <w:proofErr w:type="spellEnd"/>
      <w:r w:rsidRPr="00B729DF">
        <w:rPr>
          <w:rFonts w:ascii="Palatino Linotype" w:eastAsia="Palatino Linotype" w:hAnsi="Palatino Linotype" w:cs="Palatino Linotype"/>
          <w:i/>
          <w:sz w:val="22"/>
          <w:szCs w:val="22"/>
        </w:rPr>
        <w:t xml:space="preserve"> omiso” (Sic)</w:t>
      </w:r>
    </w:p>
    <w:p w14:paraId="59806BA0" w14:textId="77777777" w:rsidR="00D82CFE" w:rsidRPr="00B729DF" w:rsidRDefault="00D82CFE">
      <w:pPr>
        <w:spacing w:line="360" w:lineRule="auto"/>
        <w:jc w:val="both"/>
        <w:rPr>
          <w:rFonts w:ascii="Palatino Linotype" w:eastAsia="Palatino Linotype" w:hAnsi="Palatino Linotype" w:cs="Palatino Linotype"/>
          <w:b/>
        </w:rPr>
      </w:pPr>
    </w:p>
    <w:p w14:paraId="2EADBBA8" w14:textId="77777777" w:rsidR="00D82CFE" w:rsidRPr="00B729DF" w:rsidRDefault="00DC623E">
      <w:pPr>
        <w:spacing w:line="360" w:lineRule="auto"/>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b/>
          <w:sz w:val="22"/>
          <w:szCs w:val="22"/>
        </w:rPr>
        <w:t xml:space="preserve">4. Turno. </w:t>
      </w:r>
      <w:r w:rsidRPr="00B729DF">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B729DF">
        <w:rPr>
          <w:rFonts w:ascii="Palatino Linotype" w:eastAsia="Palatino Linotype" w:hAnsi="Palatino Linotype" w:cs="Palatino Linotype"/>
          <w:b/>
          <w:sz w:val="22"/>
          <w:szCs w:val="22"/>
        </w:rPr>
        <w:t>Comisionada</w:t>
      </w:r>
      <w:r w:rsidRPr="00B729DF">
        <w:rPr>
          <w:rFonts w:ascii="Palatino Linotype" w:eastAsia="Palatino Linotype" w:hAnsi="Palatino Linotype" w:cs="Palatino Linotype"/>
          <w:sz w:val="22"/>
          <w:szCs w:val="22"/>
        </w:rPr>
        <w:t xml:space="preserve"> </w:t>
      </w:r>
      <w:r w:rsidRPr="00B729DF">
        <w:rPr>
          <w:rFonts w:ascii="Palatino Linotype" w:eastAsia="Palatino Linotype" w:hAnsi="Palatino Linotype" w:cs="Palatino Linotype"/>
          <w:b/>
          <w:sz w:val="22"/>
          <w:szCs w:val="22"/>
        </w:rPr>
        <w:t xml:space="preserve">Guadalupe Ramírez Peña, </w:t>
      </w:r>
      <w:r w:rsidRPr="00B729DF">
        <w:rPr>
          <w:rFonts w:ascii="Palatino Linotype" w:eastAsia="Palatino Linotype" w:hAnsi="Palatino Linotype" w:cs="Palatino Linotype"/>
          <w:sz w:val="22"/>
          <w:szCs w:val="22"/>
        </w:rPr>
        <w:t xml:space="preserve">a efecto de que analizara sobre su admisión o su </w:t>
      </w:r>
      <w:proofErr w:type="spellStart"/>
      <w:r w:rsidRPr="00B729DF">
        <w:rPr>
          <w:rFonts w:ascii="Palatino Linotype" w:eastAsia="Palatino Linotype" w:hAnsi="Palatino Linotype" w:cs="Palatino Linotype"/>
          <w:sz w:val="22"/>
          <w:szCs w:val="22"/>
        </w:rPr>
        <w:t>desechamiento</w:t>
      </w:r>
      <w:proofErr w:type="spellEnd"/>
      <w:r w:rsidRPr="00B729DF">
        <w:rPr>
          <w:rFonts w:ascii="Palatino Linotype" w:eastAsia="Palatino Linotype" w:hAnsi="Palatino Linotype" w:cs="Palatino Linotype"/>
          <w:sz w:val="22"/>
          <w:szCs w:val="22"/>
        </w:rPr>
        <w:t>.</w:t>
      </w:r>
    </w:p>
    <w:p w14:paraId="5A04F066" w14:textId="77777777" w:rsidR="00D82CFE" w:rsidRPr="00B729DF" w:rsidRDefault="00DC623E">
      <w:pPr>
        <w:spacing w:before="240" w:after="240" w:line="360" w:lineRule="auto"/>
        <w:jc w:val="both"/>
        <w:rPr>
          <w:rFonts w:ascii="Palatino Linotype" w:eastAsia="Palatino Linotype" w:hAnsi="Palatino Linotype" w:cs="Palatino Linotype"/>
          <w:sz w:val="22"/>
          <w:szCs w:val="22"/>
        </w:rPr>
      </w:pPr>
      <w:bookmarkStart w:id="4" w:name="_heading=h.2s8eyo1" w:colFirst="0" w:colLast="0"/>
      <w:bookmarkEnd w:id="4"/>
      <w:r w:rsidRPr="00B729DF">
        <w:rPr>
          <w:rFonts w:ascii="Palatino Linotype" w:eastAsia="Palatino Linotype" w:hAnsi="Palatino Linotype" w:cs="Palatino Linotype"/>
          <w:b/>
          <w:sz w:val="22"/>
          <w:szCs w:val="22"/>
        </w:rPr>
        <w:t>5. Admisión del Recurso de revisión.</w:t>
      </w:r>
      <w:r w:rsidRPr="00B729DF">
        <w:rPr>
          <w:rFonts w:ascii="Palatino Linotype" w:eastAsia="Palatino Linotype" w:hAnsi="Palatino Linotype" w:cs="Palatino Linotype"/>
          <w:sz w:val="22"/>
          <w:szCs w:val="22"/>
        </w:rPr>
        <w:t xml:space="preserve"> El</w:t>
      </w:r>
      <w:r w:rsidRPr="00B729DF">
        <w:rPr>
          <w:rFonts w:ascii="Palatino Linotype" w:eastAsia="Palatino Linotype" w:hAnsi="Palatino Linotype" w:cs="Palatino Linotype"/>
          <w:b/>
          <w:sz w:val="22"/>
          <w:szCs w:val="22"/>
        </w:rPr>
        <w:t xml:space="preserve"> cuatro de marzo de dos mil veinticinco, </w:t>
      </w:r>
      <w:r w:rsidRPr="00B729DF">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w:t>
      </w:r>
      <w:r w:rsidRPr="00B729DF">
        <w:rPr>
          <w:rFonts w:ascii="Palatino Linotype" w:eastAsia="Palatino Linotype" w:hAnsi="Palatino Linotype" w:cs="Palatino Linotype"/>
          <w:sz w:val="22"/>
          <w:szCs w:val="22"/>
        </w:rPr>
        <w:lastRenderedPageBreak/>
        <w:t xml:space="preserve">resultara conveniente, ofrecieran pruebas, formularan alegatos y el </w:t>
      </w:r>
      <w:r w:rsidRPr="00B729DF">
        <w:rPr>
          <w:rFonts w:ascii="Palatino Linotype" w:eastAsia="Palatino Linotype" w:hAnsi="Palatino Linotype" w:cs="Palatino Linotype"/>
          <w:b/>
          <w:sz w:val="22"/>
          <w:szCs w:val="22"/>
        </w:rPr>
        <w:t xml:space="preserve">Sujeto Obligado </w:t>
      </w:r>
      <w:r w:rsidRPr="00B729DF">
        <w:rPr>
          <w:rFonts w:ascii="Palatino Linotype" w:eastAsia="Palatino Linotype" w:hAnsi="Palatino Linotype" w:cs="Palatino Linotype"/>
          <w:sz w:val="22"/>
          <w:szCs w:val="22"/>
        </w:rPr>
        <w:t>presentara su informe justificado.</w:t>
      </w:r>
    </w:p>
    <w:p w14:paraId="0A876721" w14:textId="77777777" w:rsidR="00D82CFE" w:rsidRPr="00B729DF" w:rsidRDefault="00DC623E">
      <w:pPr>
        <w:widowControl w:val="0"/>
        <w:spacing w:line="360" w:lineRule="auto"/>
        <w:ind w:right="49"/>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b/>
          <w:sz w:val="22"/>
          <w:szCs w:val="22"/>
        </w:rPr>
        <w:t xml:space="preserve">6. Manifestaciones e Informe Justificado. </w:t>
      </w:r>
      <w:r w:rsidRPr="00B729DF">
        <w:rPr>
          <w:rFonts w:ascii="Palatino Linotype" w:eastAsia="Palatino Linotype" w:hAnsi="Palatino Linotype" w:cs="Palatino Linotype"/>
          <w:sz w:val="22"/>
          <w:szCs w:val="22"/>
        </w:rPr>
        <w:t xml:space="preserve">De constancias del expediente electrónico del SAIMEX, se observa que el </w:t>
      </w:r>
      <w:r w:rsidRPr="00B729DF">
        <w:rPr>
          <w:rFonts w:ascii="Palatino Linotype" w:eastAsia="Palatino Linotype" w:hAnsi="Palatino Linotype" w:cs="Palatino Linotype"/>
          <w:b/>
          <w:sz w:val="22"/>
          <w:szCs w:val="22"/>
        </w:rPr>
        <w:t>Sujeto Obligado</w:t>
      </w:r>
      <w:r w:rsidRPr="00B729DF">
        <w:rPr>
          <w:rFonts w:ascii="Palatino Linotype" w:eastAsia="Palatino Linotype" w:hAnsi="Palatino Linotype" w:cs="Palatino Linotype"/>
          <w:sz w:val="22"/>
          <w:szCs w:val="22"/>
        </w:rPr>
        <w:t xml:space="preserve"> remitió su informe justificado el </w:t>
      </w:r>
      <w:r w:rsidRPr="00B729DF">
        <w:rPr>
          <w:rFonts w:ascii="Palatino Linotype" w:eastAsia="Palatino Linotype" w:hAnsi="Palatino Linotype" w:cs="Palatino Linotype"/>
          <w:b/>
          <w:sz w:val="22"/>
          <w:szCs w:val="22"/>
        </w:rPr>
        <w:t>siete de marzo de dos mil veinticinco</w:t>
      </w:r>
      <w:r w:rsidRPr="00B729DF">
        <w:rPr>
          <w:rFonts w:ascii="Palatino Linotype" w:eastAsia="Palatino Linotype" w:hAnsi="Palatino Linotype" w:cs="Palatino Linotype"/>
          <w:sz w:val="22"/>
          <w:szCs w:val="22"/>
        </w:rPr>
        <w:t>, mediante el archivo electrónico denominado “</w:t>
      </w:r>
      <w:r w:rsidRPr="00B729DF">
        <w:rPr>
          <w:rFonts w:ascii="Palatino Linotype" w:eastAsia="Palatino Linotype" w:hAnsi="Palatino Linotype" w:cs="Palatino Linotype"/>
          <w:b/>
          <w:i/>
          <w:sz w:val="22"/>
          <w:szCs w:val="22"/>
        </w:rPr>
        <w:t xml:space="preserve">Informe Justificado 02149.pdf”, </w:t>
      </w:r>
      <w:r w:rsidRPr="00B729DF">
        <w:rPr>
          <w:rFonts w:ascii="Palatino Linotype" w:eastAsia="Palatino Linotype" w:hAnsi="Palatino Linotype" w:cs="Palatino Linotype"/>
          <w:sz w:val="22"/>
          <w:szCs w:val="22"/>
        </w:rPr>
        <w:t>en el cual medularmente ratifica los términos de la respuesta inicial, sin embargo, también precisa que el DIFEM no está obligado a generar pronunciamiento en estos términos, a través del ejercicio del derecho de acceso a la información pública, pues en esto no radica el derecho humano mencionado.</w:t>
      </w:r>
    </w:p>
    <w:p w14:paraId="078C09F3" w14:textId="77777777" w:rsidR="00D82CFE" w:rsidRPr="00B729DF" w:rsidRDefault="00D82CFE">
      <w:pPr>
        <w:widowControl w:val="0"/>
        <w:spacing w:line="360" w:lineRule="auto"/>
        <w:ind w:right="49"/>
        <w:jc w:val="both"/>
        <w:rPr>
          <w:rFonts w:ascii="Palatino Linotype" w:eastAsia="Palatino Linotype" w:hAnsi="Palatino Linotype" w:cs="Palatino Linotype"/>
          <w:sz w:val="22"/>
          <w:szCs w:val="22"/>
        </w:rPr>
      </w:pPr>
    </w:p>
    <w:p w14:paraId="22666228" w14:textId="77777777" w:rsidR="00D82CFE" w:rsidRPr="00B729DF" w:rsidRDefault="00DC623E">
      <w:pPr>
        <w:widowControl w:val="0"/>
        <w:spacing w:line="360" w:lineRule="auto"/>
        <w:ind w:right="49"/>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sz w:val="22"/>
          <w:szCs w:val="22"/>
        </w:rPr>
        <w:t xml:space="preserve">Es de precisar </w:t>
      </w:r>
      <w:proofErr w:type="gramStart"/>
      <w:r w:rsidRPr="00B729DF">
        <w:rPr>
          <w:rFonts w:ascii="Palatino Linotype" w:eastAsia="Palatino Linotype" w:hAnsi="Palatino Linotype" w:cs="Palatino Linotype"/>
          <w:sz w:val="22"/>
          <w:szCs w:val="22"/>
        </w:rPr>
        <w:t>que</w:t>
      </w:r>
      <w:proofErr w:type="gramEnd"/>
      <w:r w:rsidRPr="00B729DF">
        <w:rPr>
          <w:rFonts w:ascii="Palatino Linotype" w:eastAsia="Palatino Linotype" w:hAnsi="Palatino Linotype" w:cs="Palatino Linotype"/>
          <w:sz w:val="22"/>
          <w:szCs w:val="22"/>
        </w:rPr>
        <w:t xml:space="preserve"> una vez analizada la documentación mencionada, se determinó ponerla a la vista de </w:t>
      </w:r>
      <w:r w:rsidRPr="00B729DF">
        <w:rPr>
          <w:rFonts w:ascii="Palatino Linotype" w:eastAsia="Palatino Linotype" w:hAnsi="Palatino Linotype" w:cs="Palatino Linotype"/>
          <w:b/>
          <w:sz w:val="22"/>
          <w:szCs w:val="22"/>
        </w:rPr>
        <w:t>la parte Recurrente</w:t>
      </w:r>
      <w:r w:rsidRPr="00B729DF">
        <w:rPr>
          <w:rFonts w:ascii="Palatino Linotype" w:eastAsia="Palatino Linotype" w:hAnsi="Palatino Linotype" w:cs="Palatino Linotype"/>
          <w:sz w:val="22"/>
          <w:szCs w:val="22"/>
        </w:rPr>
        <w:t xml:space="preserve"> mediante acuerdo signado por la Comisionada Ponente, el </w:t>
      </w:r>
      <w:r w:rsidRPr="00B729DF">
        <w:rPr>
          <w:rFonts w:ascii="Palatino Linotype" w:eastAsia="Palatino Linotype" w:hAnsi="Palatino Linotype" w:cs="Palatino Linotype"/>
          <w:b/>
          <w:sz w:val="22"/>
          <w:szCs w:val="22"/>
        </w:rPr>
        <w:t>uno</w:t>
      </w:r>
      <w:r w:rsidRPr="00B729DF">
        <w:rPr>
          <w:rFonts w:ascii="Palatino Linotype" w:eastAsia="Palatino Linotype" w:hAnsi="Palatino Linotype" w:cs="Palatino Linotype"/>
          <w:sz w:val="22"/>
          <w:szCs w:val="22"/>
        </w:rPr>
        <w:t xml:space="preserve"> </w:t>
      </w:r>
      <w:r w:rsidRPr="00B729DF">
        <w:rPr>
          <w:rFonts w:ascii="Palatino Linotype" w:eastAsia="Palatino Linotype" w:hAnsi="Palatino Linotype" w:cs="Palatino Linotype"/>
          <w:b/>
          <w:sz w:val="22"/>
          <w:szCs w:val="22"/>
        </w:rPr>
        <w:t>de abril de dos mil veinticinco</w:t>
      </w:r>
      <w:r w:rsidRPr="00B729DF">
        <w:rPr>
          <w:rFonts w:ascii="Palatino Linotype" w:eastAsia="Palatino Linotype" w:hAnsi="Palatino Linotype" w:cs="Palatino Linotype"/>
          <w:sz w:val="22"/>
          <w:szCs w:val="22"/>
        </w:rPr>
        <w:t xml:space="preserve">; en tal tesitura, se tiene constancia que </w:t>
      </w:r>
      <w:r w:rsidRPr="00B729DF">
        <w:rPr>
          <w:rFonts w:ascii="Palatino Linotype" w:eastAsia="Palatino Linotype" w:hAnsi="Palatino Linotype" w:cs="Palatino Linotype"/>
          <w:b/>
          <w:sz w:val="22"/>
          <w:szCs w:val="22"/>
        </w:rPr>
        <w:t>la parte Recurrente</w:t>
      </w:r>
      <w:r w:rsidRPr="00B729DF">
        <w:rPr>
          <w:rFonts w:ascii="Palatino Linotype" w:eastAsia="Palatino Linotype" w:hAnsi="Palatino Linotype" w:cs="Palatino Linotype"/>
          <w:sz w:val="22"/>
          <w:szCs w:val="22"/>
        </w:rPr>
        <w:t xml:space="preserve"> fue omisa en rendir sus manifestaciones, por lo que se tiene por precluido su derecho para tal efecto. </w:t>
      </w:r>
    </w:p>
    <w:p w14:paraId="4CD058D2" w14:textId="77777777" w:rsidR="00D82CFE" w:rsidRPr="00B729DF" w:rsidRDefault="00DC623E">
      <w:pPr>
        <w:widowControl w:val="0"/>
        <w:spacing w:line="360" w:lineRule="auto"/>
        <w:ind w:right="49"/>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noProof/>
          <w:sz w:val="22"/>
          <w:szCs w:val="22"/>
        </w:rPr>
        <w:drawing>
          <wp:inline distT="0" distB="0" distL="0" distR="0" wp14:anchorId="00DC001E" wp14:editId="12FD3347">
            <wp:extent cx="5612765" cy="1874520"/>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612765" cy="1874520"/>
                    </a:xfrm>
                    <a:prstGeom prst="rect">
                      <a:avLst/>
                    </a:prstGeom>
                    <a:ln/>
                  </pic:spPr>
                </pic:pic>
              </a:graphicData>
            </a:graphic>
          </wp:inline>
        </w:drawing>
      </w:r>
    </w:p>
    <w:p w14:paraId="6FEC4448" w14:textId="77777777" w:rsidR="00D82CFE" w:rsidRPr="00B729DF" w:rsidRDefault="00D82CFE">
      <w:pPr>
        <w:widowControl w:val="0"/>
        <w:spacing w:line="360" w:lineRule="auto"/>
        <w:ind w:right="49"/>
        <w:jc w:val="both"/>
        <w:rPr>
          <w:rFonts w:ascii="Palatino Linotype" w:eastAsia="Palatino Linotype" w:hAnsi="Palatino Linotype" w:cs="Palatino Linotype"/>
          <w:sz w:val="22"/>
          <w:szCs w:val="22"/>
        </w:rPr>
      </w:pPr>
    </w:p>
    <w:p w14:paraId="56046FBF" w14:textId="77777777" w:rsidR="00D82CFE" w:rsidRPr="00B729DF" w:rsidRDefault="00DC623E">
      <w:pPr>
        <w:spacing w:after="240" w:line="360" w:lineRule="auto"/>
        <w:jc w:val="both"/>
        <w:rPr>
          <w:rFonts w:ascii="Palatino Linotype" w:eastAsia="Palatino Linotype" w:hAnsi="Palatino Linotype" w:cs="Palatino Linotype"/>
          <w:b/>
          <w:sz w:val="22"/>
          <w:szCs w:val="22"/>
        </w:rPr>
      </w:pPr>
      <w:r w:rsidRPr="00B729DF">
        <w:rPr>
          <w:rFonts w:ascii="Palatino Linotype" w:eastAsia="Palatino Linotype" w:hAnsi="Palatino Linotype" w:cs="Palatino Linotype"/>
          <w:b/>
          <w:sz w:val="22"/>
          <w:szCs w:val="22"/>
        </w:rPr>
        <w:t xml:space="preserve">7. Cierre de instrucción. </w:t>
      </w:r>
      <w:r w:rsidRPr="00B729DF">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B729DF">
        <w:rPr>
          <w:rFonts w:ascii="Palatino Linotype" w:eastAsia="Palatino Linotype" w:hAnsi="Palatino Linotype" w:cs="Palatino Linotype"/>
          <w:b/>
          <w:sz w:val="22"/>
          <w:szCs w:val="22"/>
        </w:rPr>
        <w:t xml:space="preserve">siete de abril de </w:t>
      </w:r>
      <w:r w:rsidRPr="00B729DF">
        <w:rPr>
          <w:rFonts w:ascii="Palatino Linotype" w:eastAsia="Palatino Linotype" w:hAnsi="Palatino Linotype" w:cs="Palatino Linotype"/>
          <w:b/>
          <w:sz w:val="22"/>
          <w:szCs w:val="22"/>
        </w:rPr>
        <w:lastRenderedPageBreak/>
        <w:t>dos mil veinticinco,</w:t>
      </w:r>
      <w:r w:rsidRPr="00B729DF">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033FDA51" w14:textId="77777777" w:rsidR="00D82CFE" w:rsidRPr="00B729DF" w:rsidRDefault="00DC623E">
      <w:pPr>
        <w:spacing w:before="240" w:after="240" w:line="360" w:lineRule="auto"/>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3A7066E" w14:textId="77777777" w:rsidR="00D82CFE" w:rsidRPr="00B729DF" w:rsidRDefault="00DC623E">
      <w:pPr>
        <w:widowControl w:val="0"/>
        <w:spacing w:before="240" w:after="240" w:line="360" w:lineRule="auto"/>
        <w:jc w:val="center"/>
        <w:rPr>
          <w:rFonts w:ascii="Palatino Linotype" w:eastAsia="Palatino Linotype" w:hAnsi="Palatino Linotype" w:cs="Palatino Linotype"/>
          <w:b/>
        </w:rPr>
      </w:pPr>
      <w:r w:rsidRPr="00B729DF">
        <w:rPr>
          <w:rFonts w:ascii="Palatino Linotype" w:eastAsia="Palatino Linotype" w:hAnsi="Palatino Linotype" w:cs="Palatino Linotype"/>
          <w:b/>
        </w:rPr>
        <w:t>II. C O N S I D E R A N D O S</w:t>
      </w:r>
    </w:p>
    <w:p w14:paraId="79AE7BDB" w14:textId="77777777" w:rsidR="00D82CFE" w:rsidRPr="00B729DF" w:rsidRDefault="00DC623E">
      <w:pPr>
        <w:spacing w:before="240" w:after="240" w:line="360" w:lineRule="auto"/>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b/>
          <w:sz w:val="22"/>
          <w:szCs w:val="22"/>
        </w:rPr>
        <w:t>Primero. Competencia.</w:t>
      </w:r>
      <w:r w:rsidRPr="00B729DF">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B729DF">
        <w:rPr>
          <w:rFonts w:ascii="Palatino Linotype" w:eastAsia="Palatino Linotype" w:hAnsi="Palatino Linotype" w:cs="Palatino Linotype"/>
          <w:b/>
          <w:sz w:val="22"/>
          <w:szCs w:val="22"/>
        </w:rPr>
        <w:t>la parte Recurrente</w:t>
      </w:r>
      <w:r w:rsidRPr="00B729DF">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5D285DB" w14:textId="77777777" w:rsidR="00D82CFE" w:rsidRPr="00B729DF" w:rsidRDefault="00DC623E">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B729DF">
        <w:rPr>
          <w:rFonts w:ascii="Palatino Linotype" w:eastAsia="Palatino Linotype" w:hAnsi="Palatino Linotype" w:cs="Palatino Linotype"/>
          <w:b/>
          <w:sz w:val="22"/>
          <w:szCs w:val="22"/>
        </w:rPr>
        <w:t>Segundo. Oportunidad y Procedibilidad del Recurso de Revisión</w:t>
      </w:r>
      <w:r w:rsidRPr="00B729DF">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86601CA" w14:textId="77777777" w:rsidR="00D82CFE" w:rsidRPr="00B729DF" w:rsidRDefault="00DC623E">
      <w:pPr>
        <w:spacing w:before="240" w:after="240" w:line="360" w:lineRule="auto"/>
        <w:ind w:right="142"/>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w:t>
      </w:r>
      <w:r w:rsidRPr="00B729DF">
        <w:rPr>
          <w:rFonts w:ascii="Palatino Linotype" w:eastAsia="Palatino Linotype" w:hAnsi="Palatino Linotype" w:cs="Palatino Linotype"/>
          <w:sz w:val="22"/>
          <w:szCs w:val="22"/>
        </w:rPr>
        <w:lastRenderedPageBreak/>
        <w:t xml:space="preserve">México y Municipios, toda vez que el </w:t>
      </w:r>
      <w:r w:rsidRPr="00B729DF">
        <w:rPr>
          <w:rFonts w:ascii="Palatino Linotype" w:eastAsia="Palatino Linotype" w:hAnsi="Palatino Linotype" w:cs="Palatino Linotype"/>
          <w:b/>
          <w:sz w:val="22"/>
          <w:szCs w:val="22"/>
        </w:rPr>
        <w:t xml:space="preserve">Sujeto Obligado </w:t>
      </w:r>
      <w:r w:rsidRPr="00B729DF">
        <w:rPr>
          <w:rFonts w:ascii="Palatino Linotype" w:eastAsia="Palatino Linotype" w:hAnsi="Palatino Linotype" w:cs="Palatino Linotype"/>
          <w:sz w:val="22"/>
          <w:szCs w:val="22"/>
        </w:rPr>
        <w:t xml:space="preserve">remitió la respuesta a la solicitud de información el </w:t>
      </w:r>
      <w:r w:rsidRPr="00B729DF">
        <w:rPr>
          <w:rFonts w:ascii="Palatino Linotype" w:eastAsia="Palatino Linotype" w:hAnsi="Palatino Linotype" w:cs="Palatino Linotype"/>
          <w:b/>
          <w:sz w:val="22"/>
          <w:szCs w:val="22"/>
        </w:rPr>
        <w:t>veinticuatro</w:t>
      </w:r>
      <w:r w:rsidRPr="00B729DF">
        <w:rPr>
          <w:rFonts w:ascii="Palatino Linotype" w:eastAsia="Palatino Linotype" w:hAnsi="Palatino Linotype" w:cs="Palatino Linotype"/>
          <w:b/>
          <w:color w:val="000000"/>
          <w:sz w:val="22"/>
          <w:szCs w:val="22"/>
        </w:rPr>
        <w:t xml:space="preserve"> de </w:t>
      </w:r>
      <w:r w:rsidRPr="00B729DF">
        <w:rPr>
          <w:rFonts w:ascii="Palatino Linotype" w:eastAsia="Palatino Linotype" w:hAnsi="Palatino Linotype" w:cs="Palatino Linotype"/>
          <w:b/>
          <w:sz w:val="22"/>
          <w:szCs w:val="22"/>
        </w:rPr>
        <w:t>febrero</w:t>
      </w:r>
      <w:r w:rsidRPr="00B729DF">
        <w:rPr>
          <w:rFonts w:ascii="Palatino Linotype" w:eastAsia="Palatino Linotype" w:hAnsi="Palatino Linotype" w:cs="Palatino Linotype"/>
          <w:sz w:val="22"/>
          <w:szCs w:val="22"/>
        </w:rPr>
        <w:t xml:space="preserve"> </w:t>
      </w:r>
      <w:r w:rsidRPr="00B729DF">
        <w:rPr>
          <w:rFonts w:ascii="Palatino Linotype" w:eastAsia="Palatino Linotype" w:hAnsi="Palatino Linotype" w:cs="Palatino Linotype"/>
          <w:b/>
          <w:sz w:val="22"/>
          <w:szCs w:val="22"/>
        </w:rPr>
        <w:t xml:space="preserve">de dos mil veinticuatro, </w:t>
      </w:r>
      <w:r w:rsidRPr="00B729DF">
        <w:rPr>
          <w:rFonts w:ascii="Palatino Linotype" w:eastAsia="Palatino Linotype" w:hAnsi="Palatino Linotype" w:cs="Palatino Linotype"/>
          <w:sz w:val="22"/>
          <w:szCs w:val="22"/>
        </w:rPr>
        <w:t xml:space="preserve">mientras que el recurso de revisión interpuesto por </w:t>
      </w:r>
      <w:r w:rsidRPr="00B729DF">
        <w:rPr>
          <w:rFonts w:ascii="Palatino Linotype" w:eastAsia="Palatino Linotype" w:hAnsi="Palatino Linotype" w:cs="Palatino Linotype"/>
          <w:b/>
          <w:sz w:val="22"/>
          <w:szCs w:val="22"/>
        </w:rPr>
        <w:t>la parte</w:t>
      </w:r>
      <w:r w:rsidRPr="00B729DF">
        <w:rPr>
          <w:rFonts w:ascii="Palatino Linotype" w:eastAsia="Palatino Linotype" w:hAnsi="Palatino Linotype" w:cs="Palatino Linotype"/>
          <w:sz w:val="22"/>
          <w:szCs w:val="22"/>
        </w:rPr>
        <w:t xml:space="preserve"> </w:t>
      </w:r>
      <w:r w:rsidRPr="00B729DF">
        <w:rPr>
          <w:rFonts w:ascii="Palatino Linotype" w:eastAsia="Palatino Linotype" w:hAnsi="Palatino Linotype" w:cs="Palatino Linotype"/>
          <w:b/>
          <w:sz w:val="22"/>
          <w:szCs w:val="22"/>
        </w:rPr>
        <w:t>Recurrente</w:t>
      </w:r>
      <w:r w:rsidRPr="00B729DF">
        <w:rPr>
          <w:rFonts w:ascii="Palatino Linotype" w:eastAsia="Palatino Linotype" w:hAnsi="Palatino Linotype" w:cs="Palatino Linotype"/>
          <w:sz w:val="22"/>
          <w:szCs w:val="22"/>
        </w:rPr>
        <w:t xml:space="preserve">, se tuvo por presentado el día </w:t>
      </w:r>
      <w:r w:rsidRPr="00B729DF">
        <w:rPr>
          <w:rFonts w:ascii="Palatino Linotype" w:eastAsia="Palatino Linotype" w:hAnsi="Palatino Linotype" w:cs="Palatino Linotype"/>
          <w:b/>
          <w:color w:val="000000"/>
          <w:sz w:val="22"/>
          <w:szCs w:val="22"/>
        </w:rPr>
        <w:t xml:space="preserve">veintiséis de febrero </w:t>
      </w:r>
      <w:r w:rsidRPr="00B729DF">
        <w:rPr>
          <w:rFonts w:ascii="Palatino Linotype" w:eastAsia="Palatino Linotype" w:hAnsi="Palatino Linotype" w:cs="Palatino Linotype"/>
          <w:b/>
          <w:sz w:val="22"/>
          <w:szCs w:val="22"/>
        </w:rPr>
        <w:t xml:space="preserve">de dos mil veinticinco, </w:t>
      </w:r>
      <w:r w:rsidRPr="00B729DF">
        <w:rPr>
          <w:rFonts w:ascii="Palatino Linotype" w:eastAsia="Palatino Linotype" w:hAnsi="Palatino Linotype" w:cs="Palatino Linotype"/>
          <w:sz w:val="22"/>
          <w:szCs w:val="22"/>
        </w:rPr>
        <w:t xml:space="preserve">por lo que realizando el cómputo de los plazos, de conformidad con el Calendario Oficial en materia de Transparencia, Acceso a la Información Pública y Protección de Datos Personales del Estado de México y Municipios se tiene que este medio de impugnación se interpuso al </w:t>
      </w:r>
      <w:r w:rsidRPr="00B729DF">
        <w:rPr>
          <w:rFonts w:ascii="Palatino Linotype" w:eastAsia="Palatino Linotype" w:hAnsi="Palatino Linotype" w:cs="Palatino Linotype"/>
          <w:b/>
          <w:sz w:val="22"/>
          <w:szCs w:val="22"/>
        </w:rPr>
        <w:t xml:space="preserve">segundo </w:t>
      </w:r>
      <w:r w:rsidRPr="00B729DF">
        <w:rPr>
          <w:rFonts w:ascii="Palatino Linotype" w:eastAsia="Palatino Linotype" w:hAnsi="Palatino Linotype" w:cs="Palatino Linotype"/>
          <w:b/>
          <w:color w:val="000000"/>
          <w:sz w:val="22"/>
          <w:szCs w:val="22"/>
        </w:rPr>
        <w:t xml:space="preserve">día hábil </w:t>
      </w:r>
      <w:r w:rsidRPr="00B729DF">
        <w:rPr>
          <w:rFonts w:ascii="Palatino Linotype" w:eastAsia="Palatino Linotype" w:hAnsi="Palatino Linotype" w:cs="Palatino Linotype"/>
          <w:b/>
          <w:sz w:val="22"/>
          <w:szCs w:val="22"/>
        </w:rPr>
        <w:t>en el que tuvo conocimiento de la respuesta impugnada.</w:t>
      </w:r>
      <w:r w:rsidRPr="00B729DF">
        <w:rPr>
          <w:rFonts w:ascii="Palatino Linotype" w:eastAsia="Palatino Linotype" w:hAnsi="Palatino Linotype" w:cs="Palatino Linotype"/>
          <w:sz w:val="22"/>
          <w:szCs w:val="22"/>
        </w:rPr>
        <w:t xml:space="preserve"> </w:t>
      </w:r>
    </w:p>
    <w:p w14:paraId="2C5F9D6B" w14:textId="77777777" w:rsidR="00D82CFE" w:rsidRPr="00B729DF" w:rsidRDefault="00DC623E">
      <w:pPr>
        <w:spacing w:before="240" w:after="240" w:line="360" w:lineRule="auto"/>
        <w:ind w:right="142"/>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6B26CF16" w14:textId="77777777" w:rsidR="00D82CFE" w:rsidRPr="00B729DF" w:rsidRDefault="00DC623E">
      <w:pPr>
        <w:spacing w:before="240" w:after="240" w:line="360" w:lineRule="auto"/>
        <w:ind w:right="142"/>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B729DF">
        <w:rPr>
          <w:rFonts w:ascii="Palatino Linotype" w:eastAsia="Palatino Linotype" w:hAnsi="Palatino Linotype" w:cs="Palatino Linotype"/>
          <w:b/>
          <w:sz w:val="22"/>
          <w:szCs w:val="22"/>
        </w:rPr>
        <w:t>la parte</w:t>
      </w:r>
      <w:r w:rsidRPr="00B729DF">
        <w:rPr>
          <w:rFonts w:ascii="Palatino Linotype" w:eastAsia="Palatino Linotype" w:hAnsi="Palatino Linotype" w:cs="Palatino Linotype"/>
          <w:sz w:val="22"/>
          <w:szCs w:val="22"/>
        </w:rPr>
        <w:t xml:space="preserve"> </w:t>
      </w:r>
      <w:r w:rsidRPr="00B729DF">
        <w:rPr>
          <w:rFonts w:ascii="Palatino Linotype" w:eastAsia="Palatino Linotype" w:hAnsi="Palatino Linotype" w:cs="Palatino Linotype"/>
          <w:b/>
          <w:sz w:val="22"/>
          <w:szCs w:val="22"/>
        </w:rPr>
        <w:t>Recurrente</w:t>
      </w:r>
      <w:r w:rsidRPr="00B729DF">
        <w:rPr>
          <w:rFonts w:ascii="Palatino Linotype" w:eastAsia="Palatino Linotype" w:hAnsi="Palatino Linotype" w:cs="Palatino Linotype"/>
          <w:sz w:val="22"/>
          <w:szCs w:val="22"/>
        </w:rPr>
        <w:t xml:space="preserve"> </w:t>
      </w:r>
      <w:r w:rsidRPr="00B729DF">
        <w:rPr>
          <w:rFonts w:ascii="Palatino Linotype" w:eastAsia="Palatino Linotype" w:hAnsi="Palatino Linotype" w:cs="Palatino Linotype"/>
          <w:b/>
          <w:sz w:val="22"/>
          <w:szCs w:val="22"/>
          <w:u w:val="single"/>
        </w:rPr>
        <w:t>únicamente proporcionó un seudónimo</w:t>
      </w:r>
      <w:r w:rsidRPr="00B729DF">
        <w:rPr>
          <w:rFonts w:ascii="Palatino Linotype" w:eastAsia="Palatino Linotype" w:hAnsi="Palatino Linotype" w:cs="Palatino Linotype"/>
          <w:sz w:val="22"/>
          <w:szCs w:val="22"/>
        </w:rPr>
        <w:t xml:space="preserve"> con el que desea que se le identifique</w:t>
      </w:r>
      <w:r w:rsidRPr="00B729DF">
        <w:rPr>
          <w:rFonts w:ascii="Palatino Linotype" w:eastAsia="Palatino Linotype" w:hAnsi="Palatino Linotype" w:cs="Palatino Linotype"/>
          <w:b/>
          <w:sz w:val="22"/>
          <w:szCs w:val="22"/>
        </w:rPr>
        <w:t>,</w:t>
      </w:r>
      <w:r w:rsidRPr="00B729DF">
        <w:rPr>
          <w:rFonts w:ascii="Palatino Linotype" w:eastAsia="Palatino Linotype" w:hAnsi="Palatino Linotype" w:cs="Palatino Linotype"/>
          <w:sz w:val="22"/>
          <w:szCs w:val="22"/>
        </w:rPr>
        <w:t xml:space="preserve"> como se advierte en el detalle de seguimiento del SAIMEX, no obstante, el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AE36831" w14:textId="77777777" w:rsidR="00D82CFE" w:rsidRPr="00B729DF" w:rsidRDefault="00DC623E">
      <w:pPr>
        <w:spacing w:before="240" w:after="240" w:line="276" w:lineRule="auto"/>
        <w:ind w:left="851" w:right="902"/>
        <w:jc w:val="both"/>
        <w:rPr>
          <w:rFonts w:ascii="Palatino Linotype" w:eastAsia="Palatino Linotype" w:hAnsi="Palatino Linotype" w:cs="Palatino Linotype"/>
          <w:i/>
          <w:sz w:val="22"/>
          <w:szCs w:val="22"/>
        </w:rPr>
      </w:pPr>
      <w:r w:rsidRPr="00B729DF">
        <w:rPr>
          <w:rFonts w:ascii="Palatino Linotype" w:eastAsia="Palatino Linotype" w:hAnsi="Palatino Linotype" w:cs="Palatino Linotype"/>
          <w:i/>
          <w:sz w:val="22"/>
          <w:szCs w:val="22"/>
        </w:rPr>
        <w:t>"</w:t>
      </w:r>
      <w:r w:rsidRPr="00B729DF">
        <w:rPr>
          <w:rFonts w:ascii="Palatino Linotype" w:eastAsia="Palatino Linotype" w:hAnsi="Palatino Linotype" w:cs="Palatino Linotype"/>
          <w:b/>
          <w:i/>
          <w:sz w:val="22"/>
          <w:szCs w:val="22"/>
        </w:rPr>
        <w:t xml:space="preserve">Las solicitudes </w:t>
      </w:r>
      <w:r w:rsidRPr="00B729DF">
        <w:rPr>
          <w:rFonts w:ascii="Palatino Linotype" w:eastAsia="Palatino Linotype" w:hAnsi="Palatino Linotype" w:cs="Palatino Linotype"/>
          <w:i/>
          <w:sz w:val="22"/>
          <w:szCs w:val="22"/>
        </w:rPr>
        <w:t xml:space="preserve">anónimas, con </w:t>
      </w:r>
      <w:r w:rsidRPr="00B729DF">
        <w:rPr>
          <w:rFonts w:ascii="Palatino Linotype" w:eastAsia="Palatino Linotype" w:hAnsi="Palatino Linotype" w:cs="Palatino Linotype"/>
          <w:b/>
          <w:i/>
          <w:sz w:val="22"/>
          <w:szCs w:val="22"/>
        </w:rPr>
        <w:t>nombre incompleto o seudónimo</w:t>
      </w:r>
      <w:r w:rsidRPr="00B729DF">
        <w:rPr>
          <w:rFonts w:ascii="Palatino Linotype" w:eastAsia="Palatino Linotype" w:hAnsi="Palatino Linotype" w:cs="Palatino Linotype"/>
          <w:i/>
          <w:sz w:val="22"/>
          <w:szCs w:val="22"/>
        </w:rPr>
        <w:t xml:space="preserve"> </w:t>
      </w:r>
      <w:r w:rsidRPr="00B729DF">
        <w:rPr>
          <w:rFonts w:ascii="Palatino Linotype" w:eastAsia="Palatino Linotype" w:hAnsi="Palatino Linotype" w:cs="Palatino Linotype"/>
          <w:b/>
          <w:i/>
          <w:sz w:val="22"/>
          <w:szCs w:val="22"/>
        </w:rPr>
        <w:t>serán procedentes para su trámite por parte del sujeto obligado ante quien se presente</w:t>
      </w:r>
      <w:r w:rsidRPr="00B729DF">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1120FA8B" w14:textId="77777777" w:rsidR="00D82CFE" w:rsidRPr="00B729DF" w:rsidRDefault="00DC623E">
      <w:pPr>
        <w:spacing w:before="240" w:after="240" w:line="360" w:lineRule="auto"/>
        <w:ind w:right="142"/>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sz w:val="22"/>
          <w:szCs w:val="22"/>
        </w:rPr>
        <w:t xml:space="preserve">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w:t>
      </w:r>
      <w:r w:rsidRPr="00B729DF">
        <w:rPr>
          <w:rFonts w:ascii="Palatino Linotype" w:eastAsia="Palatino Linotype" w:hAnsi="Palatino Linotype" w:cs="Palatino Linotype"/>
          <w:sz w:val="22"/>
          <w:szCs w:val="22"/>
        </w:rPr>
        <w:lastRenderedPageBreak/>
        <w:t>la Información Pública del Estado de México y Municipios, en atención a que fue presentado mediante el formato visible en el SAIMEX.</w:t>
      </w:r>
    </w:p>
    <w:p w14:paraId="393858B3" w14:textId="77777777" w:rsidR="00D82CFE" w:rsidRPr="00B729DF" w:rsidRDefault="00DC623E">
      <w:pPr>
        <w:tabs>
          <w:tab w:val="left" w:pos="7938"/>
        </w:tabs>
        <w:spacing w:before="240" w:after="240" w:line="360" w:lineRule="auto"/>
        <w:ind w:right="142"/>
        <w:jc w:val="both"/>
        <w:rPr>
          <w:rFonts w:ascii="Palatino Linotype" w:eastAsia="Palatino Linotype" w:hAnsi="Palatino Linotype" w:cs="Palatino Linotype"/>
          <w:sz w:val="22"/>
          <w:szCs w:val="22"/>
        </w:rPr>
      </w:pPr>
      <w:bookmarkStart w:id="6" w:name="_heading=h.3znysh7" w:colFirst="0" w:colLast="0"/>
      <w:bookmarkEnd w:id="6"/>
      <w:r w:rsidRPr="00B729DF">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1AF9954" w14:textId="77777777" w:rsidR="00D82CFE" w:rsidRPr="00B729DF" w:rsidRDefault="00DC623E">
      <w:pPr>
        <w:spacing w:before="240" w:after="240" w:line="360" w:lineRule="auto"/>
        <w:ind w:right="142"/>
        <w:jc w:val="both"/>
        <w:rPr>
          <w:rFonts w:ascii="Palatino Linotype" w:eastAsia="Palatino Linotype" w:hAnsi="Palatino Linotype" w:cs="Palatino Linotype"/>
          <w:color w:val="000000"/>
          <w:sz w:val="22"/>
          <w:szCs w:val="22"/>
        </w:rPr>
      </w:pPr>
      <w:r w:rsidRPr="00B729DF">
        <w:rPr>
          <w:rFonts w:ascii="Palatino Linotype" w:eastAsia="Palatino Linotype" w:hAnsi="Palatino Linotype" w:cs="Palatino Linotype"/>
          <w:sz w:val="22"/>
          <w:szCs w:val="22"/>
        </w:rPr>
        <w:t xml:space="preserve">Finalmente, se advierte que resulta procedente la interposición del recurso, según lo manifestado por </w:t>
      </w:r>
      <w:r w:rsidRPr="00B729DF">
        <w:rPr>
          <w:rFonts w:ascii="Palatino Linotype" w:eastAsia="Palatino Linotype" w:hAnsi="Palatino Linotype" w:cs="Palatino Linotype"/>
          <w:b/>
          <w:sz w:val="22"/>
          <w:szCs w:val="22"/>
        </w:rPr>
        <w:t>la parte</w:t>
      </w:r>
      <w:r w:rsidRPr="00B729DF">
        <w:rPr>
          <w:rFonts w:ascii="Palatino Linotype" w:eastAsia="Palatino Linotype" w:hAnsi="Palatino Linotype" w:cs="Palatino Linotype"/>
          <w:sz w:val="22"/>
          <w:szCs w:val="22"/>
        </w:rPr>
        <w:t xml:space="preserve"> </w:t>
      </w:r>
      <w:r w:rsidRPr="00B729DF">
        <w:rPr>
          <w:rFonts w:ascii="Palatino Linotype" w:eastAsia="Palatino Linotype" w:hAnsi="Palatino Linotype" w:cs="Palatino Linotype"/>
          <w:b/>
          <w:sz w:val="22"/>
          <w:szCs w:val="22"/>
        </w:rPr>
        <w:t>Recurrente</w:t>
      </w:r>
      <w:r w:rsidRPr="00B729DF">
        <w:rPr>
          <w:rFonts w:ascii="Palatino Linotype" w:eastAsia="Palatino Linotype" w:hAnsi="Palatino Linotype" w:cs="Palatino Linotype"/>
          <w:sz w:val="22"/>
          <w:szCs w:val="22"/>
        </w:rPr>
        <w:t xml:space="preserve"> en sus motivos de inconformidad, de acuerdo </w:t>
      </w:r>
      <w:r w:rsidRPr="00B729DF">
        <w:rPr>
          <w:rFonts w:ascii="Palatino Linotype" w:eastAsia="Palatino Linotype" w:hAnsi="Palatino Linotype" w:cs="Palatino Linotype"/>
          <w:color w:val="000000"/>
          <w:sz w:val="22"/>
          <w:szCs w:val="22"/>
        </w:rPr>
        <w:t>al artículo 179, fracción I del ordenamiento legal citado, que a la letra dice: </w:t>
      </w:r>
    </w:p>
    <w:p w14:paraId="0899FE3D" w14:textId="77777777" w:rsidR="00D82CFE" w:rsidRPr="00B729DF" w:rsidRDefault="00DC623E">
      <w:pPr>
        <w:spacing w:before="120" w:after="120"/>
        <w:ind w:left="567" w:right="902"/>
        <w:jc w:val="both"/>
        <w:rPr>
          <w:rFonts w:ascii="Palatino Linotype" w:eastAsia="Palatino Linotype" w:hAnsi="Palatino Linotype" w:cs="Palatino Linotype"/>
          <w:i/>
          <w:color w:val="000000"/>
          <w:sz w:val="22"/>
          <w:szCs w:val="22"/>
        </w:rPr>
      </w:pPr>
      <w:r w:rsidRPr="00B729DF">
        <w:rPr>
          <w:rFonts w:ascii="Palatino Linotype" w:eastAsia="Palatino Linotype" w:hAnsi="Palatino Linotype" w:cs="Palatino Linotype"/>
          <w:i/>
          <w:color w:val="000000"/>
          <w:sz w:val="22"/>
          <w:szCs w:val="22"/>
        </w:rPr>
        <w:t>“</w:t>
      </w:r>
      <w:r w:rsidRPr="00B729DF">
        <w:rPr>
          <w:rFonts w:ascii="Palatino Linotype" w:eastAsia="Palatino Linotype" w:hAnsi="Palatino Linotype" w:cs="Palatino Linotype"/>
          <w:b/>
          <w:i/>
          <w:color w:val="000000"/>
          <w:sz w:val="22"/>
          <w:szCs w:val="22"/>
        </w:rPr>
        <w:t>Artículo 179.</w:t>
      </w:r>
      <w:r w:rsidRPr="00B729DF">
        <w:rPr>
          <w:rFonts w:ascii="Palatino Linotype" w:eastAsia="Palatino Linotype" w:hAnsi="Palatino Linotype" w:cs="Palatino Linotype"/>
          <w:i/>
          <w:color w:val="000000"/>
          <w:sz w:val="22"/>
          <w:szCs w:val="22"/>
        </w:rPr>
        <w:t xml:space="preserve"> El recurso de revisión es un medio de protección que la Ley otorga a los particulares, para hacer valer su derecho de acceso a la información pública, y procederá en contra de las siguientes causas:</w:t>
      </w:r>
    </w:p>
    <w:p w14:paraId="16BB3205" w14:textId="77777777" w:rsidR="00D82CFE" w:rsidRPr="00B729DF" w:rsidRDefault="00DC623E">
      <w:pPr>
        <w:spacing w:before="120" w:after="120"/>
        <w:ind w:left="567" w:right="902"/>
        <w:jc w:val="both"/>
        <w:rPr>
          <w:rFonts w:ascii="Palatino Linotype" w:eastAsia="Palatino Linotype" w:hAnsi="Palatino Linotype" w:cs="Palatino Linotype"/>
          <w:b/>
          <w:i/>
          <w:color w:val="000000"/>
          <w:sz w:val="22"/>
          <w:szCs w:val="22"/>
          <w:u w:val="single"/>
        </w:rPr>
      </w:pPr>
      <w:r w:rsidRPr="00B729DF">
        <w:rPr>
          <w:rFonts w:ascii="Palatino Linotype" w:eastAsia="Palatino Linotype" w:hAnsi="Palatino Linotype" w:cs="Palatino Linotype"/>
          <w:b/>
          <w:i/>
          <w:color w:val="000000"/>
          <w:sz w:val="22"/>
          <w:szCs w:val="22"/>
          <w:u w:val="single"/>
        </w:rPr>
        <w:t>I. La negativa a la información solicitada;</w:t>
      </w:r>
      <w:r w:rsidRPr="00B729DF">
        <w:rPr>
          <w:rFonts w:ascii="Palatino Linotype" w:eastAsia="Palatino Linotype" w:hAnsi="Palatino Linotype" w:cs="Palatino Linotype"/>
          <w:b/>
          <w:i/>
          <w:sz w:val="22"/>
          <w:szCs w:val="22"/>
        </w:rPr>
        <w:t xml:space="preserve">” </w:t>
      </w:r>
      <w:r w:rsidRPr="00B729DF">
        <w:rPr>
          <w:rFonts w:ascii="Palatino Linotype" w:eastAsia="Palatino Linotype" w:hAnsi="Palatino Linotype" w:cs="Palatino Linotype"/>
          <w:i/>
          <w:sz w:val="22"/>
          <w:szCs w:val="22"/>
        </w:rPr>
        <w:t>(Énfasis añadido)</w:t>
      </w:r>
    </w:p>
    <w:p w14:paraId="267AA4B6" w14:textId="77777777" w:rsidR="00D82CFE" w:rsidRPr="00B729DF" w:rsidRDefault="00DC623E">
      <w:pPr>
        <w:spacing w:before="240" w:after="240" w:line="360" w:lineRule="auto"/>
        <w:ind w:right="142"/>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b/>
          <w:sz w:val="22"/>
          <w:szCs w:val="22"/>
        </w:rPr>
        <w:t xml:space="preserve">Tercero. Análisis de las causales de sobreseimiento del recurso de revisión. </w:t>
      </w:r>
      <w:r w:rsidRPr="00B729DF">
        <w:rPr>
          <w:rFonts w:ascii="Palatino Linotype" w:eastAsia="Palatino Linotype" w:hAnsi="Palatino Linotype" w:cs="Palatino Linotype"/>
          <w:sz w:val="22"/>
          <w:szCs w:val="22"/>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A0DAB1D" w14:textId="77777777" w:rsidR="00D82CFE" w:rsidRPr="00B729DF" w:rsidRDefault="00DC623E">
      <w:pPr>
        <w:spacing w:before="240" w:after="240" w:line="360" w:lineRule="auto"/>
        <w:ind w:right="142"/>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sz w:val="22"/>
          <w:szCs w:val="22"/>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w:t>
      </w:r>
      <w:r w:rsidRPr="00B729DF">
        <w:rPr>
          <w:rFonts w:ascii="Palatino Linotype" w:eastAsia="Palatino Linotype" w:hAnsi="Palatino Linotype" w:cs="Palatino Linotype"/>
          <w:sz w:val="22"/>
          <w:szCs w:val="22"/>
        </w:rPr>
        <w:lastRenderedPageBreak/>
        <w:t>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096A5EF1" w14:textId="77777777" w:rsidR="00D82CFE" w:rsidRPr="00B729DF" w:rsidRDefault="00DC623E">
      <w:pPr>
        <w:spacing w:before="240" w:after="240" w:line="360" w:lineRule="auto"/>
        <w:ind w:right="142"/>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sz w:val="22"/>
          <w:szCs w:val="22"/>
        </w:rPr>
        <w:t>De manera preliminar en el caso concreto conviene analizar si se actualiza alguna de las causales de sobreseimiento del recurso de revisión.</w:t>
      </w:r>
    </w:p>
    <w:p w14:paraId="50C8EA23" w14:textId="77777777" w:rsidR="00D82CFE" w:rsidRPr="00B729DF" w:rsidRDefault="00DC623E">
      <w:pPr>
        <w:pBdr>
          <w:top w:val="nil"/>
          <w:left w:val="nil"/>
          <w:bottom w:val="nil"/>
          <w:right w:val="nil"/>
          <w:between w:val="nil"/>
        </w:pBdr>
        <w:spacing w:before="240" w:after="240" w:line="360" w:lineRule="auto"/>
        <w:ind w:right="142"/>
        <w:jc w:val="both"/>
        <w:rPr>
          <w:rFonts w:ascii="Palatino Linotype" w:eastAsia="Palatino Linotype" w:hAnsi="Palatino Linotype" w:cs="Palatino Linotype"/>
          <w:color w:val="000000"/>
          <w:sz w:val="22"/>
          <w:szCs w:val="22"/>
        </w:rPr>
      </w:pPr>
      <w:r w:rsidRPr="00B729DF">
        <w:rPr>
          <w:rFonts w:ascii="Palatino Linotype" w:eastAsia="Palatino Linotype" w:hAnsi="Palatino Linotype" w:cs="Palatino Linotype"/>
          <w:color w:val="000000"/>
          <w:sz w:val="22"/>
          <w:szCs w:val="22"/>
        </w:rPr>
        <w:t xml:space="preserve">Ahora bien, para profundizar en el estudio del presente asunto, es conveniente recordar </w:t>
      </w:r>
      <w:proofErr w:type="gramStart"/>
      <w:r w:rsidRPr="00B729DF">
        <w:rPr>
          <w:rFonts w:ascii="Palatino Linotype" w:eastAsia="Palatino Linotype" w:hAnsi="Palatino Linotype" w:cs="Palatino Linotype"/>
          <w:color w:val="000000"/>
          <w:sz w:val="22"/>
          <w:szCs w:val="22"/>
        </w:rPr>
        <w:t>que</w:t>
      </w:r>
      <w:proofErr w:type="gramEnd"/>
      <w:r w:rsidRPr="00B729DF">
        <w:rPr>
          <w:rFonts w:ascii="Palatino Linotype" w:eastAsia="Palatino Linotype" w:hAnsi="Palatino Linotype" w:cs="Palatino Linotype"/>
          <w:color w:val="000000"/>
          <w:sz w:val="22"/>
          <w:szCs w:val="22"/>
        </w:rPr>
        <w:t xml:space="preserve"> de un análisis a la solicitud de información, se advierte que la parte solicitante requirió al </w:t>
      </w:r>
      <w:r w:rsidRPr="00B729DF">
        <w:rPr>
          <w:rFonts w:ascii="Palatino Linotype" w:eastAsia="Palatino Linotype" w:hAnsi="Palatino Linotype" w:cs="Palatino Linotype"/>
          <w:b/>
          <w:color w:val="000000"/>
          <w:sz w:val="22"/>
          <w:szCs w:val="22"/>
        </w:rPr>
        <w:t>Sujeto Obligado</w:t>
      </w:r>
      <w:r w:rsidRPr="00B729DF">
        <w:rPr>
          <w:rFonts w:ascii="Palatino Linotype" w:eastAsia="Palatino Linotype" w:hAnsi="Palatino Linotype" w:cs="Palatino Linotype"/>
          <w:color w:val="000000"/>
          <w:sz w:val="22"/>
          <w:szCs w:val="22"/>
        </w:rPr>
        <w:t>, le proporcionara lo siguiente:</w:t>
      </w:r>
    </w:p>
    <w:p w14:paraId="46CB2F75" w14:textId="77777777" w:rsidR="00D82CFE" w:rsidRPr="00B729DF" w:rsidRDefault="00DC623E">
      <w:pPr>
        <w:numPr>
          <w:ilvl w:val="0"/>
          <w:numId w:val="1"/>
        </w:numPr>
        <w:pBdr>
          <w:top w:val="nil"/>
          <w:left w:val="nil"/>
          <w:bottom w:val="nil"/>
          <w:right w:val="nil"/>
          <w:between w:val="nil"/>
        </w:pBdr>
        <w:spacing w:line="360" w:lineRule="auto"/>
        <w:ind w:left="567" w:right="901" w:hanging="141"/>
        <w:jc w:val="both"/>
        <w:rPr>
          <w:rFonts w:ascii="Palatino Linotype" w:eastAsia="Palatino Linotype" w:hAnsi="Palatino Linotype" w:cs="Palatino Linotype"/>
          <w:b/>
          <w:color w:val="000000"/>
          <w:sz w:val="22"/>
          <w:szCs w:val="22"/>
        </w:rPr>
      </w:pPr>
      <w:r w:rsidRPr="00B729DF">
        <w:rPr>
          <w:rFonts w:ascii="Palatino Linotype" w:eastAsia="Palatino Linotype" w:hAnsi="Palatino Linotype" w:cs="Palatino Linotype"/>
          <w:b/>
          <w:color w:val="000000"/>
          <w:sz w:val="22"/>
          <w:szCs w:val="22"/>
        </w:rPr>
        <w:t>Medidas y protocolos que tendrán en contra del DIF Naucalpan</w:t>
      </w:r>
      <w:r w:rsidRPr="00B729DF">
        <w:rPr>
          <w:rFonts w:ascii="Palatino Linotype" w:eastAsia="Palatino Linotype" w:hAnsi="Palatino Linotype" w:cs="Palatino Linotype"/>
          <w:b/>
          <w:color w:val="000000"/>
          <w:sz w:val="22"/>
          <w:szCs w:val="22"/>
          <w:u w:val="single"/>
        </w:rPr>
        <w:t xml:space="preserve"> por la situación viralizada en redes </w:t>
      </w:r>
      <w:r w:rsidRPr="00B729DF">
        <w:rPr>
          <w:rFonts w:ascii="Palatino Linotype" w:eastAsia="Palatino Linotype" w:hAnsi="Palatino Linotype" w:cs="Palatino Linotype"/>
          <w:b/>
          <w:color w:val="000000"/>
          <w:sz w:val="22"/>
          <w:szCs w:val="22"/>
        </w:rPr>
        <w:t xml:space="preserve">respecto al mal cuidado de los niños y sobre todo si le revocarán el permiso o licencia </w:t>
      </w:r>
      <w:hyperlink r:id="rId9">
        <w:r w:rsidRPr="00B729DF">
          <w:rPr>
            <w:rFonts w:ascii="Palatino Linotype" w:eastAsia="Palatino Linotype" w:hAnsi="Palatino Linotype" w:cs="Palatino Linotype"/>
            <w:color w:val="0000FF"/>
            <w:sz w:val="22"/>
            <w:szCs w:val="22"/>
            <w:u w:val="single"/>
          </w:rPr>
          <w:t>https://www.facebook.com/share/v/18FAQ4vPnd/?mibextid=wwXIfr</w:t>
        </w:r>
      </w:hyperlink>
      <w:r w:rsidRPr="00B729DF">
        <w:rPr>
          <w:rFonts w:ascii="Palatino Linotype" w:eastAsia="Palatino Linotype" w:hAnsi="Palatino Linotype" w:cs="Palatino Linotype"/>
          <w:b/>
          <w:color w:val="000000"/>
          <w:sz w:val="22"/>
          <w:szCs w:val="22"/>
        </w:rPr>
        <w:t xml:space="preserve"> </w:t>
      </w:r>
    </w:p>
    <w:p w14:paraId="7BE8872C" w14:textId="77777777" w:rsidR="00D82CFE" w:rsidRPr="00B729DF" w:rsidRDefault="00DC623E">
      <w:pPr>
        <w:spacing w:before="240" w:after="240" w:line="360" w:lineRule="auto"/>
        <w:ind w:right="142"/>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sz w:val="22"/>
          <w:szCs w:val="22"/>
        </w:rPr>
        <w:t xml:space="preserve">En respuesta, el </w:t>
      </w:r>
      <w:r w:rsidRPr="00B729DF">
        <w:rPr>
          <w:rFonts w:ascii="Palatino Linotype" w:eastAsia="Palatino Linotype" w:hAnsi="Palatino Linotype" w:cs="Palatino Linotype"/>
          <w:b/>
          <w:sz w:val="22"/>
          <w:szCs w:val="22"/>
        </w:rPr>
        <w:t xml:space="preserve">Sujeto Obligado </w:t>
      </w:r>
      <w:r w:rsidRPr="00B729DF">
        <w:rPr>
          <w:rFonts w:ascii="Palatino Linotype" w:eastAsia="Palatino Linotype" w:hAnsi="Palatino Linotype" w:cs="Palatino Linotype"/>
          <w:sz w:val="22"/>
          <w:szCs w:val="22"/>
        </w:rPr>
        <w:t xml:space="preserve">se pronunció por conducto de la Titular de la Unidad de Transparencia, la cual expresó que una vez ingresada la solicitud citada al rubro, la Unidad de Transparencia del DIFEM, con la intención de determinar la competencia del Organismo para atender esta y en su caso, realizar con efectividad los trámites internos necesarios, llevó a cabo el estudio de su contenido; lo que le permitió advertir que el requerimiento presentado no se colma con la entrega de un documento por parte de dicho Organismo, pues con los planteamientos expuestos, lo pretendido por el particular, consiste en que se actúe enfocado a contestar una serie de manifestaciones de carácter subjetivas, ya sea de manera afirmativa, </w:t>
      </w:r>
      <w:r w:rsidRPr="00B729DF">
        <w:rPr>
          <w:rFonts w:ascii="Palatino Linotype" w:eastAsia="Palatino Linotype" w:hAnsi="Palatino Linotype" w:cs="Palatino Linotype"/>
          <w:sz w:val="22"/>
          <w:szCs w:val="22"/>
        </w:rPr>
        <w:lastRenderedPageBreak/>
        <w:t>negativa o bien que se emita un pronunciamiento categórico por el cual se explique determinada situación a fin de establecer la mayoría de las interrogantes o inquietudes trazadas.</w:t>
      </w:r>
    </w:p>
    <w:p w14:paraId="2296A3DD" w14:textId="77777777" w:rsidR="00D82CFE" w:rsidRPr="00B729DF" w:rsidRDefault="00DC623E">
      <w:pPr>
        <w:spacing w:before="240" w:after="240" w:line="360" w:lineRule="auto"/>
        <w:ind w:right="50"/>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sz w:val="22"/>
          <w:szCs w:val="22"/>
        </w:rPr>
        <w:t>Asimismo, refirió que dichos planteamientos no se asimilan al derecho de acceso a la información pública con motivo de las actividades y funciones que lleva a cabo el Sistema para el Desarrollo Integral de la Familia del Estado de México, más bien están referidos al ejercicio del derecho de petición.</w:t>
      </w:r>
    </w:p>
    <w:p w14:paraId="081918F3" w14:textId="77777777" w:rsidR="00D82CFE" w:rsidRPr="00B729DF" w:rsidRDefault="00DC623E">
      <w:pPr>
        <w:spacing w:before="240" w:after="240" w:line="360" w:lineRule="auto"/>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sz w:val="22"/>
          <w:szCs w:val="22"/>
        </w:rPr>
        <w:t xml:space="preserve">En esta tesitura, una vez conocida la respuesta emitida por el </w:t>
      </w:r>
      <w:r w:rsidRPr="00B729DF">
        <w:rPr>
          <w:rFonts w:ascii="Palatino Linotype" w:eastAsia="Palatino Linotype" w:hAnsi="Palatino Linotype" w:cs="Palatino Linotype"/>
          <w:b/>
          <w:sz w:val="22"/>
          <w:szCs w:val="22"/>
        </w:rPr>
        <w:t>Sujeto Obligado</w:t>
      </w:r>
      <w:r w:rsidRPr="00B729DF">
        <w:rPr>
          <w:rFonts w:ascii="Palatino Linotype" w:eastAsia="Palatino Linotype" w:hAnsi="Palatino Linotype" w:cs="Palatino Linotype"/>
          <w:sz w:val="22"/>
          <w:szCs w:val="22"/>
        </w:rPr>
        <w:t xml:space="preserve">, </w:t>
      </w:r>
      <w:r w:rsidRPr="00B729DF">
        <w:rPr>
          <w:rFonts w:ascii="Palatino Linotype" w:eastAsia="Palatino Linotype" w:hAnsi="Palatino Linotype" w:cs="Palatino Linotype"/>
          <w:b/>
          <w:sz w:val="22"/>
          <w:szCs w:val="22"/>
        </w:rPr>
        <w:t>la parte Recurrente</w:t>
      </w:r>
      <w:r w:rsidRPr="00B729DF">
        <w:rPr>
          <w:rFonts w:ascii="Palatino Linotype" w:eastAsia="Palatino Linotype" w:hAnsi="Palatino Linotype" w:cs="Palatino Linotype"/>
          <w:sz w:val="22"/>
          <w:szCs w:val="22"/>
        </w:rPr>
        <w:t xml:space="preserve">, al no estar conforme con los términos de la misma, interpuso el recurso de revisión que nos ocupa, inconformándose medularmente respecto de la negativa por parte del </w:t>
      </w:r>
      <w:r w:rsidRPr="00B729DF">
        <w:rPr>
          <w:rFonts w:ascii="Palatino Linotype" w:eastAsia="Palatino Linotype" w:hAnsi="Palatino Linotype" w:cs="Palatino Linotype"/>
          <w:b/>
          <w:sz w:val="22"/>
          <w:szCs w:val="22"/>
        </w:rPr>
        <w:t>Sujeto Obligado</w:t>
      </w:r>
      <w:r w:rsidRPr="00B729DF">
        <w:rPr>
          <w:rFonts w:ascii="Palatino Linotype" w:eastAsia="Palatino Linotype" w:hAnsi="Palatino Linotype" w:cs="Palatino Linotype"/>
          <w:sz w:val="22"/>
          <w:szCs w:val="22"/>
        </w:rPr>
        <w:t xml:space="preserve"> a entregar la información.</w:t>
      </w:r>
    </w:p>
    <w:p w14:paraId="45DED694" w14:textId="77777777" w:rsidR="00D82CFE" w:rsidRPr="00B729DF" w:rsidRDefault="00DC623E">
      <w:pPr>
        <w:spacing w:before="240" w:after="240" w:line="360" w:lineRule="auto"/>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sz w:val="22"/>
          <w:szCs w:val="22"/>
        </w:rPr>
        <w:t xml:space="preserve">Así las cosas, durante la etapa de manifestaciones e informe justificado, se tiene constancia que el </w:t>
      </w:r>
      <w:r w:rsidRPr="00B729DF">
        <w:rPr>
          <w:rFonts w:ascii="Palatino Linotype" w:eastAsia="Palatino Linotype" w:hAnsi="Palatino Linotype" w:cs="Palatino Linotype"/>
          <w:b/>
          <w:sz w:val="22"/>
          <w:szCs w:val="22"/>
        </w:rPr>
        <w:t xml:space="preserve">Sujeto Obligado </w:t>
      </w:r>
      <w:r w:rsidRPr="00B729DF">
        <w:rPr>
          <w:rFonts w:ascii="Palatino Linotype" w:eastAsia="Palatino Linotype" w:hAnsi="Palatino Linotype" w:cs="Palatino Linotype"/>
          <w:sz w:val="22"/>
          <w:szCs w:val="22"/>
        </w:rPr>
        <w:t xml:space="preserve">ratificó los términos de su respuesta inicial mientras que la parte Recurrente fue omisa en pronunciarse en esta etapa, por lo que se tuvo por precluido el plazo para tal efecto y se procede a emitir la resolución que conforme a derecho corresponda. </w:t>
      </w:r>
    </w:p>
    <w:p w14:paraId="10DABD5E" w14:textId="77777777" w:rsidR="00D82CFE" w:rsidRPr="00B729DF" w:rsidRDefault="00DC623E">
      <w:pPr>
        <w:spacing w:before="240" w:after="240" w:line="360" w:lineRule="auto"/>
        <w:jc w:val="both"/>
        <w:rPr>
          <w:rFonts w:ascii="Palatino Linotype" w:eastAsia="Palatino Linotype" w:hAnsi="Palatino Linotype" w:cs="Palatino Linotype"/>
          <w:b/>
          <w:sz w:val="22"/>
          <w:szCs w:val="22"/>
        </w:rPr>
      </w:pPr>
      <w:r w:rsidRPr="00B729DF">
        <w:rPr>
          <w:rFonts w:ascii="Palatino Linotype" w:eastAsia="Palatino Linotype" w:hAnsi="Palatino Linotype" w:cs="Palatino Linotype"/>
          <w:sz w:val="22"/>
          <w:szCs w:val="22"/>
        </w:rPr>
        <w:t xml:space="preserve">Una vez expuestas las posturas de las partes, resulta pertinente iniciar el presente asunto señalando que </w:t>
      </w:r>
      <w:r w:rsidRPr="00B729DF">
        <w:rPr>
          <w:rFonts w:ascii="Palatino Linotype" w:eastAsia="Palatino Linotype" w:hAnsi="Palatino Linotype" w:cs="Palatino Linotype"/>
          <w:b/>
          <w:sz w:val="22"/>
          <w:szCs w:val="22"/>
        </w:rPr>
        <w:t>el requerimiento de información del particular versa en estricto sentido sobre obtener una respuesta sobre un acontecimiento en concreto que visualizó en la red social Facebook</w:t>
      </w:r>
      <w:r w:rsidRPr="00B729DF">
        <w:rPr>
          <w:rFonts w:ascii="Palatino Linotype" w:eastAsia="Palatino Linotype" w:hAnsi="Palatino Linotype" w:cs="Palatino Linotype"/>
          <w:sz w:val="22"/>
          <w:szCs w:val="22"/>
        </w:rPr>
        <w:t>, la cual, al ser consultada por este Organismo Garante, se obtuvo lo siguiente:</w:t>
      </w:r>
      <w:r w:rsidRPr="00B729DF">
        <w:t xml:space="preserve"> </w:t>
      </w:r>
      <w:hyperlink r:id="rId10">
        <w:r w:rsidRPr="00B729DF">
          <w:rPr>
            <w:rFonts w:ascii="Palatino Linotype" w:eastAsia="Palatino Linotype" w:hAnsi="Palatino Linotype" w:cs="Palatino Linotype"/>
            <w:color w:val="0000FF"/>
            <w:sz w:val="22"/>
            <w:szCs w:val="22"/>
            <w:u w:val="single"/>
          </w:rPr>
          <w:t>https://www.facebook.com/share/v/18FAQ4vPnd/?mibextid=wwXIfr</w:t>
        </w:r>
      </w:hyperlink>
      <w:r w:rsidRPr="00B729DF">
        <w:rPr>
          <w:rFonts w:ascii="Palatino Linotype" w:eastAsia="Palatino Linotype" w:hAnsi="Palatino Linotype" w:cs="Palatino Linotype"/>
          <w:sz w:val="22"/>
          <w:szCs w:val="22"/>
        </w:rPr>
        <w:t xml:space="preserve"> </w:t>
      </w:r>
    </w:p>
    <w:p w14:paraId="329F6B35" w14:textId="77777777" w:rsidR="00D82CFE" w:rsidRPr="00B729DF" w:rsidRDefault="00DC623E">
      <w:pPr>
        <w:spacing w:before="240" w:after="240" w:line="360" w:lineRule="auto"/>
        <w:jc w:val="center"/>
        <w:rPr>
          <w:rFonts w:ascii="Palatino Linotype" w:eastAsia="Palatino Linotype" w:hAnsi="Palatino Linotype" w:cs="Palatino Linotype"/>
          <w:sz w:val="22"/>
          <w:szCs w:val="22"/>
        </w:rPr>
      </w:pPr>
      <w:r w:rsidRPr="00B729DF">
        <w:rPr>
          <w:rFonts w:ascii="Palatino Linotype" w:eastAsia="Palatino Linotype" w:hAnsi="Palatino Linotype" w:cs="Palatino Linotype"/>
          <w:noProof/>
          <w:sz w:val="22"/>
          <w:szCs w:val="22"/>
        </w:rPr>
        <w:lastRenderedPageBreak/>
        <w:drawing>
          <wp:inline distT="0" distB="0" distL="0" distR="0" wp14:anchorId="16A4DD00" wp14:editId="4DBEFC70">
            <wp:extent cx="3515474" cy="3067749"/>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7036" t="9276" r="2558" b="7013"/>
                    <a:stretch>
                      <a:fillRect/>
                    </a:stretch>
                  </pic:blipFill>
                  <pic:spPr>
                    <a:xfrm>
                      <a:off x="0" y="0"/>
                      <a:ext cx="3515474" cy="3067749"/>
                    </a:xfrm>
                    <a:prstGeom prst="rect">
                      <a:avLst/>
                    </a:prstGeom>
                    <a:ln/>
                  </pic:spPr>
                </pic:pic>
              </a:graphicData>
            </a:graphic>
          </wp:inline>
        </w:drawing>
      </w:r>
    </w:p>
    <w:p w14:paraId="28E0A29A" w14:textId="77777777" w:rsidR="00D82CFE" w:rsidRPr="00B729DF" w:rsidRDefault="00DC623E">
      <w:pPr>
        <w:tabs>
          <w:tab w:val="right" w:pos="8789"/>
        </w:tabs>
        <w:spacing w:line="360" w:lineRule="auto"/>
        <w:ind w:right="284"/>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sz w:val="22"/>
          <w:szCs w:val="22"/>
        </w:rPr>
        <w:t>En una aproximación inicial a este enlace, este Organismo Garante advierte que no conduce a algún contenido en específico, por lo tanto, no se tiene certeza respecto del suceso generador de la solicitud del particular.</w:t>
      </w:r>
    </w:p>
    <w:p w14:paraId="4CCAB953" w14:textId="77777777" w:rsidR="00D82CFE" w:rsidRPr="00B729DF" w:rsidRDefault="00D82CFE">
      <w:pPr>
        <w:tabs>
          <w:tab w:val="right" w:pos="8789"/>
        </w:tabs>
        <w:spacing w:line="360" w:lineRule="auto"/>
        <w:ind w:right="284"/>
        <w:jc w:val="both"/>
        <w:rPr>
          <w:rFonts w:ascii="Palatino Linotype" w:eastAsia="Palatino Linotype" w:hAnsi="Palatino Linotype" w:cs="Palatino Linotype"/>
          <w:sz w:val="22"/>
          <w:szCs w:val="22"/>
        </w:rPr>
      </w:pPr>
    </w:p>
    <w:p w14:paraId="183474A7" w14:textId="77777777" w:rsidR="00D82CFE" w:rsidRPr="00B729DF" w:rsidRDefault="00DC623E">
      <w:pPr>
        <w:tabs>
          <w:tab w:val="right" w:pos="8789"/>
        </w:tabs>
        <w:spacing w:line="360" w:lineRule="auto"/>
        <w:ind w:right="284"/>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sz w:val="22"/>
          <w:szCs w:val="22"/>
        </w:rPr>
        <w:t xml:space="preserve">En tal tesitura, es dable afirmar que la solicitud, no contiene los datos suficientes para realizar una búsqueda, además esta remitiría al </w:t>
      </w:r>
      <w:r w:rsidRPr="00B729DF">
        <w:rPr>
          <w:rFonts w:ascii="Palatino Linotype" w:eastAsia="Palatino Linotype" w:hAnsi="Palatino Linotype" w:cs="Palatino Linotype"/>
          <w:b/>
          <w:sz w:val="22"/>
          <w:szCs w:val="22"/>
        </w:rPr>
        <w:t>Sujeto Obligado</w:t>
      </w:r>
      <w:r w:rsidRPr="00B729DF">
        <w:rPr>
          <w:rFonts w:ascii="Palatino Linotype" w:eastAsia="Palatino Linotype" w:hAnsi="Palatino Linotype" w:cs="Palatino Linotype"/>
          <w:sz w:val="22"/>
          <w:szCs w:val="22"/>
        </w:rPr>
        <w:t>, a realizar investigaciones para efecto de determinar el hecho al que hace referencia el particular, por ello, a juicio de este Organismo Garante, se advierte que la solicitud, no se encuentra creada en el marco del derecho de acceso a la información pública, pues contraviene a lo estipulado en los artículos 12, 24 último párrafo y 160, de la Ley de Transparencia y Acceso a la Información Pública del Estado de México y Municipios, que contemplan lo siguiente:</w:t>
      </w:r>
    </w:p>
    <w:p w14:paraId="2F6BF9CB" w14:textId="77777777" w:rsidR="00D82CFE" w:rsidRPr="00B729DF" w:rsidRDefault="00D82CFE">
      <w:pPr>
        <w:spacing w:line="360" w:lineRule="auto"/>
        <w:jc w:val="both"/>
        <w:rPr>
          <w:rFonts w:ascii="Palatino Linotype" w:eastAsia="Palatino Linotype" w:hAnsi="Palatino Linotype" w:cs="Palatino Linotype"/>
          <w:sz w:val="22"/>
          <w:szCs w:val="22"/>
        </w:rPr>
      </w:pPr>
    </w:p>
    <w:p w14:paraId="5C5AB364" w14:textId="77777777" w:rsidR="00D82CFE" w:rsidRPr="00B729DF" w:rsidRDefault="00DC623E">
      <w:pPr>
        <w:tabs>
          <w:tab w:val="left" w:pos="4962"/>
        </w:tabs>
        <w:spacing w:line="276" w:lineRule="auto"/>
        <w:ind w:left="567" w:right="1135"/>
        <w:jc w:val="both"/>
        <w:rPr>
          <w:rFonts w:ascii="Palatino Linotype" w:eastAsia="Palatino Linotype" w:hAnsi="Palatino Linotype" w:cs="Palatino Linotype"/>
          <w:i/>
          <w:sz w:val="22"/>
          <w:szCs w:val="22"/>
        </w:rPr>
      </w:pPr>
      <w:r w:rsidRPr="00B729DF">
        <w:rPr>
          <w:rFonts w:ascii="Palatino Linotype" w:eastAsia="Palatino Linotype" w:hAnsi="Palatino Linotype" w:cs="Palatino Linotype"/>
          <w:i/>
          <w:sz w:val="22"/>
          <w:szCs w:val="22"/>
        </w:rPr>
        <w:lastRenderedPageBreak/>
        <w:t xml:space="preserve">“Artículo 12. Quienes generen, recopilen, administren, manejen, procesen, archiven o conserven información pública serán responsables de la misma en los términos de las disposiciones jurídicas aplicables. </w:t>
      </w:r>
    </w:p>
    <w:p w14:paraId="1EA0EA95" w14:textId="77777777" w:rsidR="00D82CFE" w:rsidRPr="00B729DF" w:rsidRDefault="00D82CFE">
      <w:pPr>
        <w:tabs>
          <w:tab w:val="left" w:pos="4962"/>
        </w:tabs>
        <w:spacing w:line="276" w:lineRule="auto"/>
        <w:ind w:left="567" w:right="1135"/>
        <w:jc w:val="both"/>
        <w:rPr>
          <w:rFonts w:ascii="Palatino Linotype" w:eastAsia="Palatino Linotype" w:hAnsi="Palatino Linotype" w:cs="Palatino Linotype"/>
          <w:i/>
          <w:sz w:val="22"/>
          <w:szCs w:val="22"/>
        </w:rPr>
      </w:pPr>
    </w:p>
    <w:p w14:paraId="1E541525" w14:textId="77777777" w:rsidR="00D82CFE" w:rsidRPr="00B729DF" w:rsidRDefault="00DC623E">
      <w:pPr>
        <w:tabs>
          <w:tab w:val="left" w:pos="4962"/>
        </w:tabs>
        <w:spacing w:line="276" w:lineRule="auto"/>
        <w:ind w:left="567" w:right="1135"/>
        <w:jc w:val="both"/>
        <w:rPr>
          <w:rFonts w:ascii="Palatino Linotype" w:eastAsia="Palatino Linotype" w:hAnsi="Palatino Linotype" w:cs="Palatino Linotype"/>
          <w:i/>
          <w:sz w:val="22"/>
          <w:szCs w:val="22"/>
        </w:rPr>
      </w:pPr>
      <w:r w:rsidRPr="00B729DF">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ABBFD11" w14:textId="77777777" w:rsidR="00D82CFE" w:rsidRPr="00B729DF" w:rsidRDefault="00D82CFE">
      <w:pPr>
        <w:tabs>
          <w:tab w:val="left" w:pos="4962"/>
        </w:tabs>
        <w:spacing w:line="276" w:lineRule="auto"/>
        <w:ind w:left="567" w:right="1135"/>
        <w:jc w:val="both"/>
        <w:rPr>
          <w:rFonts w:ascii="Palatino Linotype" w:eastAsia="Palatino Linotype" w:hAnsi="Palatino Linotype" w:cs="Palatino Linotype"/>
          <w:i/>
          <w:sz w:val="22"/>
          <w:szCs w:val="22"/>
        </w:rPr>
      </w:pPr>
    </w:p>
    <w:p w14:paraId="38E839BC" w14:textId="77777777" w:rsidR="00D82CFE" w:rsidRPr="00B729DF" w:rsidRDefault="00DC623E">
      <w:pPr>
        <w:tabs>
          <w:tab w:val="left" w:pos="4962"/>
        </w:tabs>
        <w:spacing w:line="276" w:lineRule="auto"/>
        <w:ind w:left="567" w:right="1135"/>
        <w:jc w:val="both"/>
        <w:rPr>
          <w:rFonts w:ascii="Palatino Linotype" w:eastAsia="Palatino Linotype" w:hAnsi="Palatino Linotype" w:cs="Palatino Linotype"/>
          <w:i/>
          <w:sz w:val="22"/>
          <w:szCs w:val="22"/>
        </w:rPr>
      </w:pPr>
      <w:r w:rsidRPr="00B729DF">
        <w:rPr>
          <w:rFonts w:ascii="Palatino Linotype" w:eastAsia="Palatino Linotype" w:hAnsi="Palatino Linotype" w:cs="Palatino Linotype"/>
          <w:i/>
          <w:sz w:val="22"/>
          <w:szCs w:val="22"/>
        </w:rPr>
        <w:t>Artículo 24. Para el cumplimiento de los objetivos de esta Ley, los sujetos obligados deberán cumplir con las siguientes obligaciones, según corresponda, de acuerdo a su naturaleza:</w:t>
      </w:r>
    </w:p>
    <w:p w14:paraId="3FFBC2DB" w14:textId="77777777" w:rsidR="00D82CFE" w:rsidRPr="00B729DF" w:rsidRDefault="00DC623E">
      <w:pPr>
        <w:tabs>
          <w:tab w:val="left" w:pos="4962"/>
        </w:tabs>
        <w:spacing w:line="276" w:lineRule="auto"/>
        <w:ind w:left="567" w:right="1135"/>
        <w:jc w:val="both"/>
        <w:rPr>
          <w:rFonts w:ascii="Palatino Linotype" w:eastAsia="Palatino Linotype" w:hAnsi="Palatino Linotype" w:cs="Palatino Linotype"/>
          <w:i/>
          <w:sz w:val="22"/>
          <w:szCs w:val="22"/>
        </w:rPr>
      </w:pPr>
      <w:r w:rsidRPr="00B729DF">
        <w:rPr>
          <w:rFonts w:ascii="Palatino Linotype" w:eastAsia="Palatino Linotype" w:hAnsi="Palatino Linotype" w:cs="Palatino Linotype"/>
          <w:i/>
          <w:sz w:val="22"/>
          <w:szCs w:val="22"/>
        </w:rPr>
        <w:t>…</w:t>
      </w:r>
    </w:p>
    <w:p w14:paraId="386F1211" w14:textId="77777777" w:rsidR="00D82CFE" w:rsidRPr="00B729DF" w:rsidRDefault="00DC623E">
      <w:pPr>
        <w:tabs>
          <w:tab w:val="left" w:pos="4962"/>
        </w:tabs>
        <w:spacing w:line="276" w:lineRule="auto"/>
        <w:ind w:left="567" w:right="1135"/>
        <w:jc w:val="both"/>
        <w:rPr>
          <w:rFonts w:ascii="Palatino Linotype" w:eastAsia="Palatino Linotype" w:hAnsi="Palatino Linotype" w:cs="Palatino Linotype"/>
          <w:i/>
          <w:sz w:val="22"/>
          <w:szCs w:val="22"/>
        </w:rPr>
      </w:pPr>
      <w:r w:rsidRPr="00B729DF">
        <w:rPr>
          <w:rFonts w:ascii="Palatino Linotype" w:eastAsia="Palatino Linotype" w:hAnsi="Palatino Linotype" w:cs="Palatino Linotype"/>
          <w:i/>
          <w:sz w:val="22"/>
          <w:szCs w:val="22"/>
        </w:rPr>
        <w:t>Los sujetos obligados solo proporcionarán la información pública que generen, administren o posean en el ejercicio de sus atribuciones.</w:t>
      </w:r>
    </w:p>
    <w:p w14:paraId="1814ED18" w14:textId="77777777" w:rsidR="00D82CFE" w:rsidRPr="00B729DF" w:rsidRDefault="00D82CFE">
      <w:pPr>
        <w:tabs>
          <w:tab w:val="left" w:pos="4962"/>
        </w:tabs>
        <w:spacing w:line="276" w:lineRule="auto"/>
        <w:ind w:left="567" w:right="1135"/>
        <w:jc w:val="both"/>
        <w:rPr>
          <w:rFonts w:ascii="Palatino Linotype" w:eastAsia="Palatino Linotype" w:hAnsi="Palatino Linotype" w:cs="Palatino Linotype"/>
          <w:i/>
          <w:sz w:val="22"/>
          <w:szCs w:val="22"/>
        </w:rPr>
      </w:pPr>
    </w:p>
    <w:p w14:paraId="75D8802A" w14:textId="77777777" w:rsidR="00D82CFE" w:rsidRPr="00B729DF" w:rsidRDefault="00DC623E">
      <w:pPr>
        <w:tabs>
          <w:tab w:val="left" w:pos="4962"/>
        </w:tabs>
        <w:spacing w:line="276" w:lineRule="auto"/>
        <w:ind w:left="567" w:right="1135"/>
        <w:jc w:val="both"/>
        <w:rPr>
          <w:rFonts w:ascii="Palatino Linotype" w:eastAsia="Palatino Linotype" w:hAnsi="Palatino Linotype" w:cs="Palatino Linotype"/>
          <w:i/>
          <w:sz w:val="22"/>
          <w:szCs w:val="22"/>
        </w:rPr>
      </w:pPr>
      <w:r w:rsidRPr="00B729DF">
        <w:rPr>
          <w:rFonts w:ascii="Palatino Linotype" w:eastAsia="Palatino Linotype" w:hAnsi="Palatino Linotype" w:cs="Palatino Linotype"/>
          <w:i/>
          <w:sz w:val="22"/>
          <w:szCs w:val="22"/>
        </w:rPr>
        <w:t xml:space="preserve">Artículo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w:t>
      </w:r>
    </w:p>
    <w:p w14:paraId="0DB9D248" w14:textId="77777777" w:rsidR="00D82CFE" w:rsidRPr="00B729DF" w:rsidRDefault="00D82CFE">
      <w:pPr>
        <w:tabs>
          <w:tab w:val="left" w:pos="4962"/>
        </w:tabs>
        <w:spacing w:line="276" w:lineRule="auto"/>
        <w:ind w:left="567" w:right="1135"/>
        <w:jc w:val="both"/>
        <w:rPr>
          <w:rFonts w:ascii="Palatino Linotype" w:eastAsia="Palatino Linotype" w:hAnsi="Palatino Linotype" w:cs="Palatino Linotype"/>
          <w:i/>
          <w:sz w:val="22"/>
          <w:szCs w:val="22"/>
        </w:rPr>
      </w:pPr>
    </w:p>
    <w:p w14:paraId="2CC4D3EC" w14:textId="77777777" w:rsidR="00D82CFE" w:rsidRPr="00B729DF" w:rsidRDefault="00DC623E">
      <w:pPr>
        <w:tabs>
          <w:tab w:val="left" w:pos="4962"/>
        </w:tabs>
        <w:spacing w:line="276" w:lineRule="auto"/>
        <w:ind w:left="567" w:right="1135"/>
        <w:jc w:val="both"/>
        <w:rPr>
          <w:rFonts w:ascii="Palatino Linotype" w:eastAsia="Palatino Linotype" w:hAnsi="Palatino Linotype" w:cs="Palatino Linotype"/>
          <w:i/>
          <w:sz w:val="22"/>
          <w:szCs w:val="22"/>
        </w:rPr>
      </w:pPr>
      <w:r w:rsidRPr="00B729DF">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14:paraId="1602CE51" w14:textId="77777777" w:rsidR="00D82CFE" w:rsidRPr="00B729DF" w:rsidRDefault="00D82CFE">
      <w:pPr>
        <w:tabs>
          <w:tab w:val="right" w:pos="8838"/>
        </w:tabs>
        <w:spacing w:line="360" w:lineRule="auto"/>
        <w:ind w:right="171"/>
        <w:jc w:val="both"/>
        <w:rPr>
          <w:rFonts w:ascii="Palatino Linotype" w:eastAsia="Palatino Linotype" w:hAnsi="Palatino Linotype" w:cs="Palatino Linotype"/>
          <w:sz w:val="22"/>
          <w:szCs w:val="22"/>
        </w:rPr>
      </w:pPr>
    </w:p>
    <w:p w14:paraId="04B1BB24" w14:textId="77777777" w:rsidR="00D82CFE" w:rsidRPr="00B729DF" w:rsidRDefault="00DC623E">
      <w:pPr>
        <w:tabs>
          <w:tab w:val="right" w:pos="8838"/>
        </w:tabs>
        <w:spacing w:line="360" w:lineRule="auto"/>
        <w:ind w:right="171"/>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sz w:val="22"/>
          <w:szCs w:val="22"/>
        </w:rPr>
        <w:t>En este contexto, los únicos elementos que se tienen son: el DIF Naucalpan y el mal cuidado de menores, sin embargo, no se precisa una temporalidad ni el suceso en específico.</w:t>
      </w:r>
    </w:p>
    <w:p w14:paraId="31651305" w14:textId="77777777" w:rsidR="00D82CFE" w:rsidRPr="00B729DF" w:rsidRDefault="00D82CFE">
      <w:pPr>
        <w:tabs>
          <w:tab w:val="right" w:pos="8838"/>
        </w:tabs>
        <w:spacing w:line="360" w:lineRule="auto"/>
        <w:ind w:right="171"/>
        <w:jc w:val="both"/>
        <w:rPr>
          <w:rFonts w:ascii="Palatino Linotype" w:eastAsia="Palatino Linotype" w:hAnsi="Palatino Linotype" w:cs="Palatino Linotype"/>
          <w:sz w:val="22"/>
          <w:szCs w:val="22"/>
        </w:rPr>
      </w:pPr>
    </w:p>
    <w:p w14:paraId="0D977079" w14:textId="77777777" w:rsidR="00D82CFE" w:rsidRPr="00B729DF" w:rsidRDefault="00DC623E">
      <w:pPr>
        <w:tabs>
          <w:tab w:val="right" w:pos="8838"/>
        </w:tabs>
        <w:spacing w:line="360" w:lineRule="auto"/>
        <w:ind w:right="171"/>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sz w:val="22"/>
          <w:szCs w:val="22"/>
        </w:rPr>
        <w:t>No debemos dejar de atender el principio de legalidad, el cual se encuentra consagrado en el Estado de México a nivel constitucional, en su artículo 143 y contempla lo siguiente:</w:t>
      </w:r>
    </w:p>
    <w:p w14:paraId="05C29AA4" w14:textId="77777777" w:rsidR="00D82CFE" w:rsidRPr="00B729DF" w:rsidRDefault="00D82CFE">
      <w:pPr>
        <w:tabs>
          <w:tab w:val="right" w:pos="8838"/>
        </w:tabs>
        <w:spacing w:line="360" w:lineRule="auto"/>
        <w:ind w:right="171"/>
        <w:jc w:val="both"/>
        <w:rPr>
          <w:rFonts w:ascii="Palatino Linotype" w:eastAsia="Palatino Linotype" w:hAnsi="Palatino Linotype" w:cs="Palatino Linotype"/>
          <w:sz w:val="22"/>
          <w:szCs w:val="22"/>
        </w:rPr>
      </w:pPr>
    </w:p>
    <w:p w14:paraId="15B34066" w14:textId="77777777" w:rsidR="00D82CFE" w:rsidRPr="00B729DF" w:rsidRDefault="00DC623E">
      <w:pPr>
        <w:tabs>
          <w:tab w:val="left" w:pos="4962"/>
        </w:tabs>
        <w:spacing w:line="276" w:lineRule="auto"/>
        <w:ind w:left="567" w:right="539"/>
        <w:jc w:val="both"/>
        <w:rPr>
          <w:rFonts w:ascii="Palatino Linotype" w:eastAsia="Palatino Linotype" w:hAnsi="Palatino Linotype" w:cs="Palatino Linotype"/>
          <w:i/>
          <w:sz w:val="22"/>
          <w:szCs w:val="22"/>
        </w:rPr>
      </w:pPr>
      <w:r w:rsidRPr="00B729DF">
        <w:rPr>
          <w:rFonts w:ascii="Palatino Linotype" w:eastAsia="Palatino Linotype" w:hAnsi="Palatino Linotype" w:cs="Palatino Linotype"/>
          <w:i/>
          <w:sz w:val="22"/>
          <w:szCs w:val="22"/>
        </w:rPr>
        <w:t>“Artículo 143.- Las autoridades del Estado sólo tienen las facultades que expresamente les confieren las leyes y otros ordenamientos jurídicos.”</w:t>
      </w:r>
    </w:p>
    <w:p w14:paraId="18BA5316" w14:textId="77777777" w:rsidR="00D82CFE" w:rsidRPr="00B729DF" w:rsidRDefault="00D82CFE">
      <w:pPr>
        <w:tabs>
          <w:tab w:val="right" w:pos="8838"/>
        </w:tabs>
        <w:spacing w:line="360" w:lineRule="auto"/>
        <w:ind w:right="171"/>
        <w:jc w:val="both"/>
        <w:rPr>
          <w:rFonts w:ascii="Palatino Linotype" w:eastAsia="Palatino Linotype" w:hAnsi="Palatino Linotype" w:cs="Palatino Linotype"/>
          <w:sz w:val="22"/>
          <w:szCs w:val="22"/>
        </w:rPr>
      </w:pPr>
    </w:p>
    <w:p w14:paraId="3F123827" w14:textId="77777777" w:rsidR="00D82CFE" w:rsidRPr="00B729DF" w:rsidRDefault="00DC623E">
      <w:pPr>
        <w:tabs>
          <w:tab w:val="right" w:pos="8789"/>
        </w:tabs>
        <w:spacing w:line="360" w:lineRule="auto"/>
        <w:ind w:right="284"/>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sz w:val="22"/>
          <w:szCs w:val="22"/>
        </w:rPr>
        <w:t xml:space="preserve">Bajo esta línea de pensamiento, se concluye que el </w:t>
      </w:r>
      <w:r w:rsidRPr="00B729DF">
        <w:rPr>
          <w:rFonts w:ascii="Palatino Linotype" w:eastAsia="Palatino Linotype" w:hAnsi="Palatino Linotype" w:cs="Palatino Linotype"/>
          <w:b/>
          <w:sz w:val="22"/>
          <w:szCs w:val="22"/>
        </w:rPr>
        <w:t>Sujeto Obligado</w:t>
      </w:r>
      <w:r w:rsidRPr="00B729DF">
        <w:rPr>
          <w:rFonts w:ascii="Palatino Linotype" w:eastAsia="Palatino Linotype" w:hAnsi="Palatino Linotype" w:cs="Palatino Linotype"/>
          <w:sz w:val="22"/>
          <w:szCs w:val="22"/>
        </w:rPr>
        <w:t xml:space="preserve"> no tiene facultades para interpretar las solicitudes meramente con enlaces electrónicos sin otorgar los datos suficientes para la búsqueda de la información y no así, basado en consideraciones de carácter subjetivo y con puntos ambiguos que no permitan identificar expresión documental.</w:t>
      </w:r>
    </w:p>
    <w:p w14:paraId="3900FCBF" w14:textId="77777777" w:rsidR="00D82CFE" w:rsidRPr="00B729DF" w:rsidRDefault="00D82CFE">
      <w:pPr>
        <w:tabs>
          <w:tab w:val="right" w:pos="8789"/>
        </w:tabs>
        <w:spacing w:line="360" w:lineRule="auto"/>
        <w:ind w:right="284"/>
        <w:jc w:val="both"/>
        <w:rPr>
          <w:rFonts w:ascii="Palatino Linotype" w:eastAsia="Palatino Linotype" w:hAnsi="Palatino Linotype" w:cs="Palatino Linotype"/>
          <w:sz w:val="22"/>
          <w:szCs w:val="22"/>
        </w:rPr>
      </w:pPr>
    </w:p>
    <w:p w14:paraId="75ECF749" w14:textId="77777777" w:rsidR="00D82CFE" w:rsidRPr="00B729DF" w:rsidRDefault="00DC623E">
      <w:pPr>
        <w:tabs>
          <w:tab w:val="right" w:pos="8789"/>
        </w:tabs>
        <w:spacing w:line="360" w:lineRule="auto"/>
        <w:ind w:right="284"/>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sz w:val="22"/>
          <w:szCs w:val="22"/>
        </w:rPr>
        <w:t xml:space="preserve">Para clarificar, los particulares no pueden aportar un enlace electrónico y solicitar que el </w:t>
      </w:r>
      <w:r w:rsidRPr="00B729DF">
        <w:rPr>
          <w:rFonts w:ascii="Palatino Linotype" w:eastAsia="Palatino Linotype" w:hAnsi="Palatino Linotype" w:cs="Palatino Linotype"/>
          <w:b/>
          <w:sz w:val="22"/>
          <w:szCs w:val="22"/>
        </w:rPr>
        <w:t>Sujeto Obligado</w:t>
      </w:r>
      <w:r w:rsidRPr="00B729DF">
        <w:rPr>
          <w:rFonts w:ascii="Palatino Linotype" w:eastAsia="Palatino Linotype" w:hAnsi="Palatino Linotype" w:cs="Palatino Linotype"/>
          <w:sz w:val="22"/>
          <w:szCs w:val="22"/>
        </w:rPr>
        <w:t>, se pronuncie sobre él, debido a que genera la carga de realizar estudio, investigaciones e interpretaciones a las Entidades públicas y esto es contrario a lo que la ley de Transparencia señala en los artículos 12, 24 último párrafo y 160, de la Ley de Transparencia en cita.</w:t>
      </w:r>
    </w:p>
    <w:p w14:paraId="1ED7ABCD" w14:textId="77777777" w:rsidR="00D82CFE" w:rsidRPr="00B729DF" w:rsidRDefault="00D82CFE">
      <w:pPr>
        <w:spacing w:line="360" w:lineRule="auto"/>
        <w:jc w:val="both"/>
        <w:rPr>
          <w:rFonts w:ascii="Palatino Linotype" w:eastAsia="Palatino Linotype" w:hAnsi="Palatino Linotype" w:cs="Palatino Linotype"/>
          <w:sz w:val="22"/>
          <w:szCs w:val="22"/>
        </w:rPr>
      </w:pPr>
    </w:p>
    <w:p w14:paraId="52E689C0" w14:textId="77777777" w:rsidR="00D82CFE" w:rsidRPr="00B729DF" w:rsidRDefault="00DC623E">
      <w:pPr>
        <w:pBdr>
          <w:top w:val="nil"/>
          <w:left w:val="nil"/>
          <w:bottom w:val="nil"/>
          <w:right w:val="nil"/>
          <w:between w:val="nil"/>
        </w:pBdr>
        <w:tabs>
          <w:tab w:val="left" w:pos="284"/>
        </w:tabs>
        <w:spacing w:line="360" w:lineRule="auto"/>
        <w:ind w:right="1"/>
        <w:jc w:val="both"/>
        <w:rPr>
          <w:rFonts w:ascii="Palatino Linotype" w:eastAsia="Palatino Linotype" w:hAnsi="Palatino Linotype" w:cs="Palatino Linotype"/>
          <w:color w:val="000000"/>
          <w:sz w:val="22"/>
          <w:szCs w:val="22"/>
        </w:rPr>
      </w:pPr>
      <w:r w:rsidRPr="00B729DF">
        <w:rPr>
          <w:rFonts w:ascii="Palatino Linotype" w:eastAsia="Palatino Linotype" w:hAnsi="Palatino Linotype" w:cs="Palatino Linotype"/>
          <w:color w:val="000000"/>
          <w:sz w:val="22"/>
          <w:szCs w:val="22"/>
        </w:rPr>
        <w:t xml:space="preserve">Finalmente, no pasa desapercibido para este Organismo Garante </w:t>
      </w:r>
      <w:proofErr w:type="gramStart"/>
      <w:r w:rsidRPr="00B729DF">
        <w:rPr>
          <w:rFonts w:ascii="Palatino Linotype" w:eastAsia="Palatino Linotype" w:hAnsi="Palatino Linotype" w:cs="Palatino Linotype"/>
          <w:color w:val="000000"/>
          <w:sz w:val="22"/>
          <w:szCs w:val="22"/>
        </w:rPr>
        <w:t>que</w:t>
      </w:r>
      <w:proofErr w:type="gramEnd"/>
      <w:r w:rsidRPr="00B729DF">
        <w:rPr>
          <w:rFonts w:ascii="Palatino Linotype" w:eastAsia="Palatino Linotype" w:hAnsi="Palatino Linotype" w:cs="Palatino Linotype"/>
          <w:color w:val="000000"/>
          <w:sz w:val="22"/>
          <w:szCs w:val="22"/>
        </w:rPr>
        <w:t xml:space="preserve"> de la lectura a la solicitud de información, se visualiza que indudablemente nos encontramos ante un hecho futuro e incierto, los cuales no se pueden determinar ya que están supeditados a la conclusión de los mismos; por lo que no es procedente que los Sujetos Obligados proporcionen dicha información.</w:t>
      </w:r>
    </w:p>
    <w:p w14:paraId="713F6004" w14:textId="77777777" w:rsidR="00D82CFE" w:rsidRPr="00B729DF" w:rsidRDefault="00D82CFE">
      <w:pPr>
        <w:pBdr>
          <w:top w:val="nil"/>
          <w:left w:val="nil"/>
          <w:bottom w:val="nil"/>
          <w:right w:val="nil"/>
          <w:between w:val="nil"/>
        </w:pBdr>
        <w:tabs>
          <w:tab w:val="left" w:pos="284"/>
        </w:tabs>
        <w:spacing w:line="360" w:lineRule="auto"/>
        <w:ind w:right="1134"/>
        <w:jc w:val="both"/>
        <w:rPr>
          <w:rFonts w:ascii="Palatino Linotype" w:eastAsia="Palatino Linotype" w:hAnsi="Palatino Linotype" w:cs="Palatino Linotype"/>
          <w:color w:val="000000"/>
          <w:sz w:val="22"/>
          <w:szCs w:val="22"/>
        </w:rPr>
      </w:pPr>
    </w:p>
    <w:p w14:paraId="27536E6B" w14:textId="77777777" w:rsidR="00D82CFE" w:rsidRPr="00B729DF" w:rsidRDefault="00DC623E">
      <w:pPr>
        <w:pBdr>
          <w:top w:val="nil"/>
          <w:left w:val="nil"/>
          <w:bottom w:val="nil"/>
          <w:right w:val="nil"/>
          <w:between w:val="nil"/>
        </w:pBdr>
        <w:tabs>
          <w:tab w:val="left" w:pos="284"/>
        </w:tabs>
        <w:spacing w:line="360" w:lineRule="auto"/>
        <w:ind w:right="1"/>
        <w:jc w:val="both"/>
        <w:rPr>
          <w:rFonts w:ascii="Palatino Linotype" w:eastAsia="Palatino Linotype" w:hAnsi="Palatino Linotype" w:cs="Palatino Linotype"/>
          <w:color w:val="000000"/>
          <w:sz w:val="22"/>
          <w:szCs w:val="22"/>
        </w:rPr>
      </w:pPr>
      <w:r w:rsidRPr="00B729DF">
        <w:rPr>
          <w:rFonts w:ascii="Palatino Linotype" w:eastAsia="Palatino Linotype" w:hAnsi="Palatino Linotype" w:cs="Palatino Linotype"/>
          <w:color w:val="000000"/>
          <w:sz w:val="22"/>
          <w:szCs w:val="22"/>
        </w:rPr>
        <w:t xml:space="preserve">Lo anterior se robustece con la Tesis Aislada con número de registro 209001, de la Suprema Corte de Justicia de la Nación, emitida por los Tribunales Colegiados de </w:t>
      </w:r>
      <w:proofErr w:type="gramStart"/>
      <w:r w:rsidRPr="00B729DF">
        <w:rPr>
          <w:rFonts w:ascii="Palatino Linotype" w:eastAsia="Palatino Linotype" w:hAnsi="Palatino Linotype" w:cs="Palatino Linotype"/>
          <w:color w:val="000000"/>
          <w:sz w:val="22"/>
          <w:szCs w:val="22"/>
        </w:rPr>
        <w:t>Circuito,  que</w:t>
      </w:r>
      <w:proofErr w:type="gramEnd"/>
      <w:r w:rsidRPr="00B729DF">
        <w:rPr>
          <w:rFonts w:ascii="Palatino Linotype" w:eastAsia="Palatino Linotype" w:hAnsi="Palatino Linotype" w:cs="Palatino Linotype"/>
          <w:color w:val="000000"/>
          <w:sz w:val="22"/>
          <w:szCs w:val="22"/>
        </w:rPr>
        <w:t xml:space="preserve"> a la letra señala:</w:t>
      </w:r>
    </w:p>
    <w:p w14:paraId="46BFC72D" w14:textId="77777777" w:rsidR="00D82CFE" w:rsidRPr="00B729DF" w:rsidRDefault="00D82CFE">
      <w:pPr>
        <w:pBdr>
          <w:top w:val="nil"/>
          <w:left w:val="nil"/>
          <w:bottom w:val="nil"/>
          <w:right w:val="nil"/>
          <w:between w:val="nil"/>
        </w:pBdr>
        <w:tabs>
          <w:tab w:val="left" w:pos="284"/>
        </w:tabs>
        <w:spacing w:line="360" w:lineRule="auto"/>
        <w:ind w:right="1134"/>
        <w:jc w:val="both"/>
        <w:rPr>
          <w:rFonts w:ascii="Palatino Linotype" w:eastAsia="Palatino Linotype" w:hAnsi="Palatino Linotype" w:cs="Palatino Linotype"/>
          <w:color w:val="000000"/>
          <w:sz w:val="22"/>
          <w:szCs w:val="22"/>
        </w:rPr>
      </w:pPr>
    </w:p>
    <w:p w14:paraId="4648EE0D" w14:textId="77777777" w:rsidR="00D82CFE" w:rsidRPr="00B729DF" w:rsidRDefault="00DC623E">
      <w:pPr>
        <w:pBdr>
          <w:top w:val="nil"/>
          <w:left w:val="nil"/>
          <w:bottom w:val="nil"/>
          <w:right w:val="nil"/>
          <w:between w:val="nil"/>
        </w:pBdr>
        <w:tabs>
          <w:tab w:val="left" w:pos="284"/>
        </w:tabs>
        <w:spacing w:line="276" w:lineRule="auto"/>
        <w:ind w:left="709" w:right="1134"/>
        <w:jc w:val="both"/>
        <w:rPr>
          <w:rFonts w:ascii="Palatino Linotype" w:eastAsia="Palatino Linotype" w:hAnsi="Palatino Linotype" w:cs="Palatino Linotype"/>
          <w:i/>
          <w:color w:val="000000"/>
          <w:sz w:val="22"/>
          <w:szCs w:val="22"/>
        </w:rPr>
      </w:pPr>
      <w:r w:rsidRPr="00B729DF">
        <w:rPr>
          <w:rFonts w:ascii="Palatino Linotype" w:eastAsia="Palatino Linotype" w:hAnsi="Palatino Linotype" w:cs="Palatino Linotype"/>
          <w:i/>
          <w:color w:val="000000"/>
          <w:sz w:val="22"/>
          <w:szCs w:val="22"/>
        </w:rPr>
        <w:lastRenderedPageBreak/>
        <w:t>“</w:t>
      </w:r>
      <w:r w:rsidRPr="00B729DF">
        <w:rPr>
          <w:rFonts w:ascii="Palatino Linotype" w:eastAsia="Palatino Linotype" w:hAnsi="Palatino Linotype" w:cs="Palatino Linotype"/>
          <w:b/>
          <w:i/>
          <w:color w:val="000000"/>
          <w:sz w:val="22"/>
          <w:szCs w:val="22"/>
        </w:rPr>
        <w:t>ACTOS FUTUROS DE REALIZACION INCIERTA. NO PROCEDE EL JUICIO DE AMPARO CONTRA LOS</w:t>
      </w:r>
      <w:r w:rsidRPr="00B729DF">
        <w:rPr>
          <w:rFonts w:ascii="Palatino Linotype" w:eastAsia="Palatino Linotype" w:hAnsi="Palatino Linotype" w:cs="Palatino Linotype"/>
          <w:i/>
          <w:color w:val="000000"/>
          <w:sz w:val="22"/>
          <w:szCs w:val="22"/>
        </w:rPr>
        <w:t>. Contra actos futuros de realización incierta no procede el juicio de garantías.”</w:t>
      </w:r>
    </w:p>
    <w:p w14:paraId="76E1475B" w14:textId="77777777" w:rsidR="00D82CFE" w:rsidRPr="00B729DF" w:rsidRDefault="00D82CFE">
      <w:pPr>
        <w:pBdr>
          <w:top w:val="nil"/>
          <w:left w:val="nil"/>
          <w:bottom w:val="nil"/>
          <w:right w:val="nil"/>
          <w:between w:val="nil"/>
        </w:pBdr>
        <w:tabs>
          <w:tab w:val="left" w:pos="284"/>
        </w:tabs>
        <w:spacing w:line="360" w:lineRule="auto"/>
        <w:ind w:right="1134"/>
        <w:jc w:val="both"/>
        <w:rPr>
          <w:rFonts w:ascii="Palatino Linotype" w:eastAsia="Palatino Linotype" w:hAnsi="Palatino Linotype" w:cs="Palatino Linotype"/>
          <w:i/>
          <w:color w:val="000000"/>
          <w:sz w:val="22"/>
          <w:szCs w:val="22"/>
        </w:rPr>
      </w:pPr>
    </w:p>
    <w:p w14:paraId="3B7B57B5" w14:textId="77777777" w:rsidR="00D82CFE" w:rsidRPr="00B729DF" w:rsidRDefault="00DC623E">
      <w:pPr>
        <w:pBdr>
          <w:top w:val="nil"/>
          <w:left w:val="nil"/>
          <w:bottom w:val="nil"/>
          <w:right w:val="nil"/>
          <w:between w:val="nil"/>
        </w:pBdr>
        <w:tabs>
          <w:tab w:val="left" w:pos="284"/>
        </w:tabs>
        <w:spacing w:line="360" w:lineRule="auto"/>
        <w:ind w:right="1"/>
        <w:jc w:val="both"/>
        <w:rPr>
          <w:rFonts w:ascii="Palatino Linotype" w:eastAsia="Palatino Linotype" w:hAnsi="Palatino Linotype" w:cs="Palatino Linotype"/>
          <w:color w:val="000000"/>
          <w:sz w:val="22"/>
          <w:szCs w:val="22"/>
        </w:rPr>
      </w:pPr>
      <w:r w:rsidRPr="00B729DF">
        <w:rPr>
          <w:rFonts w:ascii="Palatino Linotype" w:eastAsia="Palatino Linotype" w:hAnsi="Palatino Linotype" w:cs="Palatino Linotype"/>
          <w:color w:val="000000"/>
          <w:sz w:val="22"/>
          <w:szCs w:val="22"/>
        </w:rPr>
        <w:t xml:space="preserve">En ese sentido, si el objetivo de la pretensión del particular es conocer </w:t>
      </w:r>
      <w:r w:rsidRPr="00B729DF">
        <w:rPr>
          <w:rFonts w:ascii="Palatino Linotype" w:eastAsia="Palatino Linotype" w:hAnsi="Palatino Linotype" w:cs="Palatino Linotype"/>
          <w:i/>
          <w:color w:val="000000"/>
          <w:sz w:val="22"/>
          <w:szCs w:val="22"/>
        </w:rPr>
        <w:t xml:space="preserve">“Medidas y protocolos </w:t>
      </w:r>
      <w:r w:rsidRPr="00B729DF">
        <w:rPr>
          <w:rFonts w:ascii="Palatino Linotype" w:eastAsia="Palatino Linotype" w:hAnsi="Palatino Linotype" w:cs="Palatino Linotype"/>
          <w:b/>
          <w:i/>
          <w:color w:val="000000"/>
          <w:sz w:val="22"/>
          <w:szCs w:val="22"/>
          <w:u w:val="single"/>
        </w:rPr>
        <w:t xml:space="preserve">que tendrán </w:t>
      </w:r>
      <w:r w:rsidRPr="00B729DF">
        <w:rPr>
          <w:rFonts w:ascii="Palatino Linotype" w:eastAsia="Palatino Linotype" w:hAnsi="Palatino Linotype" w:cs="Palatino Linotype"/>
          <w:i/>
          <w:color w:val="000000"/>
          <w:sz w:val="22"/>
          <w:szCs w:val="22"/>
        </w:rPr>
        <w:t xml:space="preserve">en contra del DIF Naucalpan por la situación viralizada en redes respecto al mal cuidado de los niños y sobre todo </w:t>
      </w:r>
      <w:r w:rsidRPr="00B729DF">
        <w:rPr>
          <w:rFonts w:ascii="Palatino Linotype" w:eastAsia="Palatino Linotype" w:hAnsi="Palatino Linotype" w:cs="Palatino Linotype"/>
          <w:b/>
          <w:i/>
          <w:color w:val="000000"/>
          <w:sz w:val="22"/>
          <w:szCs w:val="22"/>
          <w:u w:val="single"/>
        </w:rPr>
        <w:t>si le revocarán</w:t>
      </w:r>
      <w:r w:rsidRPr="00B729DF">
        <w:rPr>
          <w:rFonts w:ascii="Palatino Linotype" w:eastAsia="Palatino Linotype" w:hAnsi="Palatino Linotype" w:cs="Palatino Linotype"/>
          <w:i/>
          <w:color w:val="000000"/>
          <w:sz w:val="22"/>
          <w:szCs w:val="22"/>
        </w:rPr>
        <w:t xml:space="preserve"> el permiso o licencia”, </w:t>
      </w:r>
      <w:r w:rsidRPr="00B729DF">
        <w:rPr>
          <w:rFonts w:ascii="Palatino Linotype" w:eastAsia="Palatino Linotype" w:hAnsi="Palatino Linotype" w:cs="Palatino Linotype"/>
          <w:color w:val="000000"/>
          <w:sz w:val="22"/>
          <w:szCs w:val="22"/>
        </w:rPr>
        <w:t xml:space="preserve">no es procedente la exigencia de </w:t>
      </w:r>
      <w:r w:rsidRPr="00B729DF">
        <w:rPr>
          <w:rFonts w:ascii="Palatino Linotype" w:eastAsia="Palatino Linotype" w:hAnsi="Palatino Linotype" w:cs="Palatino Linotype"/>
          <w:b/>
          <w:color w:val="000000"/>
          <w:sz w:val="22"/>
          <w:szCs w:val="22"/>
        </w:rPr>
        <w:t>la parte Recurrente</w:t>
      </w:r>
      <w:r w:rsidRPr="00B729DF">
        <w:rPr>
          <w:rFonts w:ascii="Palatino Linotype" w:eastAsia="Palatino Linotype" w:hAnsi="Palatino Linotype" w:cs="Palatino Linotype"/>
          <w:color w:val="000000"/>
          <w:sz w:val="22"/>
          <w:szCs w:val="22"/>
        </w:rPr>
        <w:t xml:space="preserve"> de que el </w:t>
      </w:r>
      <w:r w:rsidRPr="00B729DF">
        <w:rPr>
          <w:rFonts w:ascii="Palatino Linotype" w:eastAsia="Palatino Linotype" w:hAnsi="Palatino Linotype" w:cs="Palatino Linotype"/>
          <w:b/>
          <w:color w:val="000000"/>
          <w:sz w:val="22"/>
          <w:szCs w:val="22"/>
        </w:rPr>
        <w:t>Sujeto Obligado</w:t>
      </w:r>
      <w:r w:rsidRPr="00B729DF">
        <w:rPr>
          <w:rFonts w:ascii="Palatino Linotype" w:eastAsia="Palatino Linotype" w:hAnsi="Palatino Linotype" w:cs="Palatino Linotype"/>
          <w:color w:val="000000"/>
          <w:sz w:val="22"/>
          <w:szCs w:val="22"/>
        </w:rPr>
        <w:t xml:space="preserve"> atienda su solicitud en los términos solicitados, pues dicha autoridad únicamente está constreñida a proporcionar la información pública que genere en uso de sus atribuciones de derecho público con anterioridad a la fecha de la solicitud de información, esto es al </w:t>
      </w:r>
      <w:r w:rsidRPr="00B729DF">
        <w:rPr>
          <w:rFonts w:ascii="Palatino Linotype" w:eastAsia="Palatino Linotype" w:hAnsi="Palatino Linotype" w:cs="Palatino Linotype"/>
          <w:b/>
          <w:color w:val="000000"/>
          <w:sz w:val="22"/>
          <w:szCs w:val="22"/>
        </w:rPr>
        <w:t>veintiuno de febrero de dos mil veinticinco</w:t>
      </w:r>
      <w:r w:rsidRPr="00B729DF">
        <w:rPr>
          <w:rFonts w:ascii="Palatino Linotype" w:eastAsia="Palatino Linotype" w:hAnsi="Palatino Linotype" w:cs="Palatino Linotype"/>
          <w:color w:val="000000"/>
          <w:sz w:val="22"/>
          <w:szCs w:val="22"/>
        </w:rPr>
        <w:t>, por lo tanto, la entrega de algún documento para satisfacer este punto no es procedente.</w:t>
      </w:r>
    </w:p>
    <w:p w14:paraId="05E09918" w14:textId="77777777" w:rsidR="00D82CFE" w:rsidRPr="00B729DF" w:rsidRDefault="00D82CFE">
      <w:pPr>
        <w:pBdr>
          <w:top w:val="nil"/>
          <w:left w:val="nil"/>
          <w:bottom w:val="nil"/>
          <w:right w:val="nil"/>
          <w:between w:val="nil"/>
        </w:pBdr>
        <w:tabs>
          <w:tab w:val="left" w:pos="284"/>
        </w:tabs>
        <w:spacing w:line="360" w:lineRule="auto"/>
        <w:ind w:right="1"/>
        <w:jc w:val="both"/>
        <w:rPr>
          <w:rFonts w:ascii="Palatino Linotype" w:eastAsia="Palatino Linotype" w:hAnsi="Palatino Linotype" w:cs="Palatino Linotype"/>
          <w:sz w:val="22"/>
          <w:szCs w:val="22"/>
        </w:rPr>
      </w:pPr>
    </w:p>
    <w:p w14:paraId="145DD522" w14:textId="77777777" w:rsidR="00D82CFE" w:rsidRPr="00B729DF" w:rsidRDefault="00DC623E">
      <w:pPr>
        <w:spacing w:line="360" w:lineRule="auto"/>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sz w:val="22"/>
          <w:szCs w:val="22"/>
        </w:rPr>
        <w:t>En consecuencia, de las actuaciones que obran en el expediente electrónico formado en el Sistema de Acceso a la Información Mexiquense (SAIMEX) por la interposición del Recurso de Revisión en el que se actúa, se colige que el particular, no planteó la solicitud en el marco del derecho de acceso a la información pública, pues los Sujetos Obligados, no están constreñidos a interpretar enlaces ni a pronunciarse respecto de hechos futuros.</w:t>
      </w:r>
    </w:p>
    <w:p w14:paraId="6EC641A8" w14:textId="77777777" w:rsidR="00D82CFE" w:rsidRPr="00B729DF" w:rsidRDefault="00D82CFE">
      <w:pPr>
        <w:tabs>
          <w:tab w:val="right" w:pos="8838"/>
        </w:tabs>
        <w:spacing w:line="360" w:lineRule="auto"/>
        <w:ind w:right="171"/>
        <w:jc w:val="both"/>
        <w:rPr>
          <w:rFonts w:ascii="Palatino Linotype" w:eastAsia="Palatino Linotype" w:hAnsi="Palatino Linotype" w:cs="Palatino Linotype"/>
          <w:sz w:val="22"/>
          <w:szCs w:val="22"/>
        </w:rPr>
      </w:pPr>
    </w:p>
    <w:p w14:paraId="46D1AEBC" w14:textId="77777777" w:rsidR="00D82CFE" w:rsidRPr="00B729DF" w:rsidRDefault="00DC623E">
      <w:pPr>
        <w:tabs>
          <w:tab w:val="right" w:pos="8838"/>
        </w:tabs>
        <w:spacing w:line="360" w:lineRule="auto"/>
        <w:ind w:right="171"/>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sz w:val="22"/>
          <w:szCs w:val="22"/>
        </w:rPr>
        <w:t>Por ello, toda vez que no es posible resolver el presente medio de impugnación, debido a que ordenar la entrega de la información, contravendría a lo contemplado en los artículos previamente invocados, es dable afirmar que quedó sin materia de conformidad al artículo 192, fracción V de la Ley de Transparencia que contempla:</w:t>
      </w:r>
    </w:p>
    <w:p w14:paraId="752940EE" w14:textId="77777777" w:rsidR="00D82CFE" w:rsidRPr="00B729DF" w:rsidRDefault="00D82CFE">
      <w:pPr>
        <w:tabs>
          <w:tab w:val="left" w:pos="4962"/>
        </w:tabs>
        <w:spacing w:line="360" w:lineRule="auto"/>
        <w:ind w:left="567" w:right="539"/>
        <w:jc w:val="both"/>
        <w:rPr>
          <w:rFonts w:ascii="Palatino Linotype" w:eastAsia="Palatino Linotype" w:hAnsi="Palatino Linotype" w:cs="Palatino Linotype"/>
          <w:i/>
          <w:sz w:val="20"/>
          <w:szCs w:val="20"/>
        </w:rPr>
      </w:pPr>
    </w:p>
    <w:p w14:paraId="4AACD41C" w14:textId="77777777" w:rsidR="00D82CFE" w:rsidRPr="00B729DF" w:rsidRDefault="00DC623E">
      <w:pPr>
        <w:tabs>
          <w:tab w:val="left" w:pos="4962"/>
        </w:tabs>
        <w:spacing w:line="276" w:lineRule="auto"/>
        <w:ind w:left="567" w:right="539"/>
        <w:jc w:val="both"/>
        <w:rPr>
          <w:rFonts w:ascii="Palatino Linotype" w:eastAsia="Palatino Linotype" w:hAnsi="Palatino Linotype" w:cs="Palatino Linotype"/>
          <w:i/>
          <w:sz w:val="22"/>
          <w:szCs w:val="22"/>
        </w:rPr>
      </w:pPr>
      <w:r w:rsidRPr="00B729DF">
        <w:rPr>
          <w:rFonts w:ascii="Palatino Linotype" w:eastAsia="Palatino Linotype" w:hAnsi="Palatino Linotype" w:cs="Palatino Linotype"/>
          <w:i/>
          <w:sz w:val="22"/>
          <w:szCs w:val="22"/>
        </w:rPr>
        <w:t>“Artículo 192. El recurso será sobreseído, en todo o en parte, cuando una vez admitido, se actualicen alguno de los siguientes supuestos:</w:t>
      </w:r>
    </w:p>
    <w:p w14:paraId="63521481" w14:textId="77777777" w:rsidR="00D82CFE" w:rsidRPr="00B729DF" w:rsidRDefault="00DC623E">
      <w:pPr>
        <w:tabs>
          <w:tab w:val="left" w:pos="4962"/>
        </w:tabs>
        <w:spacing w:line="276" w:lineRule="auto"/>
        <w:ind w:left="567" w:right="539"/>
        <w:jc w:val="both"/>
        <w:rPr>
          <w:rFonts w:ascii="Palatino Linotype" w:eastAsia="Palatino Linotype" w:hAnsi="Palatino Linotype" w:cs="Palatino Linotype"/>
          <w:i/>
          <w:sz w:val="22"/>
          <w:szCs w:val="22"/>
        </w:rPr>
      </w:pPr>
      <w:r w:rsidRPr="00B729DF">
        <w:rPr>
          <w:rFonts w:ascii="Palatino Linotype" w:eastAsia="Palatino Linotype" w:hAnsi="Palatino Linotype" w:cs="Palatino Linotype"/>
          <w:i/>
          <w:sz w:val="22"/>
          <w:szCs w:val="22"/>
        </w:rPr>
        <w:t>…</w:t>
      </w:r>
    </w:p>
    <w:p w14:paraId="5EE98D00" w14:textId="77777777" w:rsidR="00D82CFE" w:rsidRPr="00B729DF" w:rsidRDefault="00DC623E">
      <w:pPr>
        <w:tabs>
          <w:tab w:val="left" w:pos="4962"/>
        </w:tabs>
        <w:spacing w:line="276" w:lineRule="auto"/>
        <w:ind w:left="567" w:right="539"/>
        <w:jc w:val="both"/>
        <w:rPr>
          <w:rFonts w:ascii="Palatino Linotype" w:eastAsia="Palatino Linotype" w:hAnsi="Palatino Linotype" w:cs="Palatino Linotype"/>
          <w:i/>
          <w:sz w:val="22"/>
          <w:szCs w:val="22"/>
        </w:rPr>
      </w:pPr>
      <w:r w:rsidRPr="00B729DF">
        <w:rPr>
          <w:rFonts w:ascii="Palatino Linotype" w:eastAsia="Palatino Linotype" w:hAnsi="Palatino Linotype" w:cs="Palatino Linotype"/>
          <w:b/>
          <w:i/>
          <w:sz w:val="22"/>
          <w:szCs w:val="22"/>
          <w:u w:val="single"/>
        </w:rPr>
        <w:lastRenderedPageBreak/>
        <w:t xml:space="preserve">V. Cuando por cualquier motivo quede sin materia el recurso.” </w:t>
      </w:r>
      <w:r w:rsidRPr="00B729DF">
        <w:rPr>
          <w:rFonts w:ascii="Palatino Linotype" w:eastAsia="Palatino Linotype" w:hAnsi="Palatino Linotype" w:cs="Palatino Linotype"/>
          <w:i/>
          <w:sz w:val="22"/>
          <w:szCs w:val="22"/>
        </w:rPr>
        <w:t>(Énfasis añadido)</w:t>
      </w:r>
    </w:p>
    <w:p w14:paraId="40D327AB" w14:textId="77777777" w:rsidR="00D82CFE" w:rsidRPr="00B729DF" w:rsidRDefault="00D82CFE">
      <w:pPr>
        <w:tabs>
          <w:tab w:val="right" w:pos="8838"/>
        </w:tabs>
        <w:spacing w:line="360" w:lineRule="auto"/>
        <w:ind w:right="171"/>
        <w:jc w:val="both"/>
        <w:rPr>
          <w:rFonts w:ascii="Palatino Linotype" w:eastAsia="Palatino Linotype" w:hAnsi="Palatino Linotype" w:cs="Palatino Linotype"/>
          <w:sz w:val="22"/>
          <w:szCs w:val="22"/>
        </w:rPr>
      </w:pPr>
    </w:p>
    <w:p w14:paraId="7FA5AFD2" w14:textId="77777777" w:rsidR="00D82CFE" w:rsidRPr="00B729DF" w:rsidRDefault="00DC623E">
      <w:pPr>
        <w:tabs>
          <w:tab w:val="right" w:pos="8838"/>
        </w:tabs>
        <w:spacing w:line="360" w:lineRule="auto"/>
        <w:ind w:right="171"/>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sz w:val="22"/>
          <w:szCs w:val="22"/>
        </w:rPr>
        <w:t xml:space="preserve">En este orden de ideas, se dejan a salvo los derechos del particular, para que ingrese las solicitudes de información que estime convenientes, en las cuales cite los elementos necesarios para realizar la búsqueda de la información. </w:t>
      </w:r>
    </w:p>
    <w:p w14:paraId="1257104A" w14:textId="77777777" w:rsidR="00D82CFE" w:rsidRPr="00B729DF" w:rsidRDefault="00D82CFE">
      <w:pPr>
        <w:rPr>
          <w:rFonts w:ascii="Palatino Linotype" w:eastAsia="Palatino Linotype" w:hAnsi="Palatino Linotype" w:cs="Palatino Linotype"/>
          <w:b/>
          <w:sz w:val="22"/>
          <w:szCs w:val="22"/>
        </w:rPr>
      </w:pPr>
    </w:p>
    <w:p w14:paraId="3118AA3F" w14:textId="77777777" w:rsidR="00D82CFE" w:rsidRPr="00B729DF" w:rsidRDefault="00DC623E">
      <w:pPr>
        <w:spacing w:line="360" w:lineRule="auto"/>
        <w:jc w:val="both"/>
        <w:rPr>
          <w:rFonts w:ascii="Palatino Linotype" w:eastAsia="Palatino Linotype" w:hAnsi="Palatino Linotype" w:cs="Palatino Linotype"/>
          <w:sz w:val="22"/>
          <w:szCs w:val="22"/>
        </w:rPr>
      </w:pPr>
      <w:bookmarkStart w:id="7" w:name="_heading=h.t3j8bxyaiupm" w:colFirst="0" w:colLast="0"/>
      <w:bookmarkEnd w:id="7"/>
      <w:r w:rsidRPr="00B729DF">
        <w:rPr>
          <w:rFonts w:ascii="Palatino Linotype" w:eastAsia="Palatino Linotype" w:hAnsi="Palatino Linotype" w:cs="Palatino Linotype"/>
          <w:sz w:val="22"/>
          <w:szCs w:val="22"/>
        </w:rPr>
        <w:t>Así, con fundamento en lo prescrito en los artículos 5 párrafos trigésimo séptimo, trigésimo octavo y trigésimo noveno de la Constitución Política del Estado Libre y Soberano de México; 2, fracción II; 29, 36 fracciones I y II; 176, 178, 181, 185 y 186 fracción II de la Ley de Transparencia y Acceso a la Información Pública del Estado de México y Municipios, este Pleno:</w:t>
      </w:r>
    </w:p>
    <w:p w14:paraId="1A47F1AE" w14:textId="77777777" w:rsidR="00D82CFE" w:rsidRPr="00B729DF" w:rsidRDefault="00DC623E">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B729DF">
        <w:rPr>
          <w:rFonts w:ascii="Palatino Linotype" w:eastAsia="Palatino Linotype" w:hAnsi="Palatino Linotype" w:cs="Palatino Linotype"/>
          <w:b/>
        </w:rPr>
        <w:t>III. R E S U E L V E:</w:t>
      </w:r>
    </w:p>
    <w:p w14:paraId="550F5BEE" w14:textId="77777777" w:rsidR="00D82CFE" w:rsidRPr="00B729DF" w:rsidRDefault="00DC623E">
      <w:pPr>
        <w:spacing w:line="360" w:lineRule="auto"/>
        <w:ind w:right="49"/>
        <w:jc w:val="both"/>
        <w:rPr>
          <w:rFonts w:ascii="Palatino Linotype" w:eastAsia="Palatino Linotype" w:hAnsi="Palatino Linotype" w:cs="Palatino Linotype"/>
          <w:b/>
          <w:sz w:val="22"/>
          <w:szCs w:val="22"/>
        </w:rPr>
      </w:pPr>
      <w:r w:rsidRPr="00B729DF">
        <w:rPr>
          <w:rFonts w:ascii="Palatino Linotype" w:eastAsia="Palatino Linotype" w:hAnsi="Palatino Linotype" w:cs="Palatino Linotype"/>
          <w:b/>
          <w:sz w:val="22"/>
          <w:szCs w:val="22"/>
        </w:rPr>
        <w:t xml:space="preserve">Primero. </w:t>
      </w:r>
      <w:r w:rsidRPr="00B729DF">
        <w:rPr>
          <w:rFonts w:ascii="Palatino Linotype" w:eastAsia="Palatino Linotype" w:hAnsi="Palatino Linotype" w:cs="Palatino Linotype"/>
          <w:sz w:val="22"/>
          <w:szCs w:val="22"/>
        </w:rPr>
        <w:t>Se</w:t>
      </w:r>
      <w:r w:rsidRPr="00B729DF">
        <w:rPr>
          <w:rFonts w:ascii="Palatino Linotype" w:eastAsia="Palatino Linotype" w:hAnsi="Palatino Linotype" w:cs="Palatino Linotype"/>
          <w:b/>
          <w:sz w:val="22"/>
          <w:szCs w:val="22"/>
        </w:rPr>
        <w:t xml:space="preserve"> Sobresee </w:t>
      </w:r>
      <w:r w:rsidRPr="00B729DF">
        <w:rPr>
          <w:rFonts w:ascii="Palatino Linotype" w:eastAsia="Palatino Linotype" w:hAnsi="Palatino Linotype" w:cs="Palatino Linotype"/>
          <w:sz w:val="22"/>
          <w:szCs w:val="22"/>
        </w:rPr>
        <w:t xml:space="preserve">el recurso de revisión </w:t>
      </w:r>
      <w:r w:rsidRPr="00B729DF">
        <w:rPr>
          <w:rFonts w:ascii="Palatino Linotype" w:eastAsia="Palatino Linotype" w:hAnsi="Palatino Linotype" w:cs="Palatino Linotype"/>
          <w:b/>
          <w:sz w:val="22"/>
          <w:szCs w:val="22"/>
        </w:rPr>
        <w:t xml:space="preserve">02149/INFOEM/IP/RR/2025, </w:t>
      </w:r>
      <w:r w:rsidRPr="00B729DF">
        <w:rPr>
          <w:rFonts w:ascii="Palatino Linotype" w:eastAsia="Palatino Linotype" w:hAnsi="Palatino Linotype" w:cs="Palatino Linotype"/>
          <w:sz w:val="22"/>
          <w:szCs w:val="22"/>
        </w:rPr>
        <w:t xml:space="preserve">conforme a la fracción V del artículo 192 de la Ley de Transparencia y Acceso a la Información Pública del Estado de México y Municipios en términos del </w:t>
      </w:r>
      <w:r w:rsidRPr="00B729DF">
        <w:rPr>
          <w:rFonts w:ascii="Palatino Linotype" w:eastAsia="Palatino Linotype" w:hAnsi="Palatino Linotype" w:cs="Palatino Linotype"/>
          <w:b/>
          <w:sz w:val="22"/>
          <w:szCs w:val="22"/>
        </w:rPr>
        <w:t>Considerando Tercero</w:t>
      </w:r>
      <w:r w:rsidRPr="00B729DF">
        <w:rPr>
          <w:rFonts w:ascii="Palatino Linotype" w:eastAsia="Palatino Linotype" w:hAnsi="Palatino Linotype" w:cs="Palatino Linotype"/>
          <w:sz w:val="22"/>
          <w:szCs w:val="22"/>
        </w:rPr>
        <w:t xml:space="preserve"> de la presente resolución.</w:t>
      </w:r>
    </w:p>
    <w:p w14:paraId="49468A62" w14:textId="77777777" w:rsidR="00D82CFE" w:rsidRPr="00B729DF" w:rsidRDefault="00DC623E">
      <w:pPr>
        <w:spacing w:before="240" w:after="240" w:line="360" w:lineRule="auto"/>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b/>
          <w:sz w:val="22"/>
          <w:szCs w:val="22"/>
        </w:rPr>
        <w:t xml:space="preserve">Segundo. Notifíquese, </w:t>
      </w:r>
      <w:r w:rsidRPr="00B729DF">
        <w:rPr>
          <w:rFonts w:ascii="Palatino Linotype" w:eastAsia="Palatino Linotype" w:hAnsi="Palatino Linotype" w:cs="Palatino Linotype"/>
          <w:sz w:val="22"/>
          <w:szCs w:val="22"/>
        </w:rPr>
        <w:t xml:space="preserve">vía </w:t>
      </w:r>
      <w:r w:rsidRPr="00B729DF">
        <w:rPr>
          <w:rFonts w:ascii="Palatino Linotype" w:eastAsia="Palatino Linotype" w:hAnsi="Palatino Linotype" w:cs="Palatino Linotype"/>
          <w:b/>
          <w:sz w:val="22"/>
          <w:szCs w:val="22"/>
        </w:rPr>
        <w:t xml:space="preserve">SAIMEX, </w:t>
      </w:r>
      <w:r w:rsidRPr="00B729DF">
        <w:rPr>
          <w:rFonts w:ascii="Palatino Linotype" w:eastAsia="Palatino Linotype" w:hAnsi="Palatino Linotype" w:cs="Palatino Linotype"/>
          <w:sz w:val="22"/>
          <w:szCs w:val="22"/>
        </w:rPr>
        <w:t xml:space="preserve">la presente resolución a la persona Titular de la Unidad de Transparencia del </w:t>
      </w:r>
      <w:r w:rsidRPr="00B729DF">
        <w:rPr>
          <w:rFonts w:ascii="Palatino Linotype" w:eastAsia="Palatino Linotype" w:hAnsi="Palatino Linotype" w:cs="Palatino Linotype"/>
          <w:b/>
          <w:sz w:val="22"/>
          <w:szCs w:val="22"/>
        </w:rPr>
        <w:t>Sujeto Obligado</w:t>
      </w:r>
      <w:r w:rsidRPr="00B729DF">
        <w:rPr>
          <w:rFonts w:ascii="Palatino Linotype" w:eastAsia="Palatino Linotype" w:hAnsi="Palatino Linotype" w:cs="Palatino Linotype"/>
          <w:sz w:val="22"/>
          <w:szCs w:val="22"/>
        </w:rPr>
        <w:t xml:space="preserve"> para su conocimiento. </w:t>
      </w:r>
    </w:p>
    <w:p w14:paraId="3237B209" w14:textId="77777777" w:rsidR="00D82CFE" w:rsidRPr="00B729DF" w:rsidRDefault="00DC623E">
      <w:pPr>
        <w:spacing w:before="240" w:after="240" w:line="360" w:lineRule="auto"/>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b/>
          <w:sz w:val="22"/>
          <w:szCs w:val="22"/>
        </w:rPr>
        <w:t xml:space="preserve">Tercero.  Notifíquese, </w:t>
      </w:r>
      <w:r w:rsidRPr="00B729DF">
        <w:rPr>
          <w:rFonts w:ascii="Palatino Linotype" w:eastAsia="Palatino Linotype" w:hAnsi="Palatino Linotype" w:cs="Palatino Linotype"/>
          <w:sz w:val="22"/>
          <w:szCs w:val="22"/>
        </w:rPr>
        <w:t xml:space="preserve">vía </w:t>
      </w:r>
      <w:r w:rsidRPr="00B729DF">
        <w:rPr>
          <w:rFonts w:ascii="Palatino Linotype" w:eastAsia="Palatino Linotype" w:hAnsi="Palatino Linotype" w:cs="Palatino Linotype"/>
          <w:b/>
          <w:sz w:val="22"/>
          <w:szCs w:val="22"/>
        </w:rPr>
        <w:t xml:space="preserve">SAIMEX, </w:t>
      </w:r>
      <w:r w:rsidRPr="00B729DF">
        <w:rPr>
          <w:rFonts w:ascii="Palatino Linotype" w:eastAsia="Palatino Linotype" w:hAnsi="Palatino Linotype" w:cs="Palatino Linotype"/>
          <w:sz w:val="22"/>
          <w:szCs w:val="22"/>
        </w:rPr>
        <w:t xml:space="preserve">a </w:t>
      </w:r>
      <w:r w:rsidRPr="00B729DF">
        <w:rPr>
          <w:rFonts w:ascii="Palatino Linotype" w:eastAsia="Palatino Linotype" w:hAnsi="Palatino Linotype" w:cs="Palatino Linotype"/>
          <w:b/>
          <w:sz w:val="22"/>
          <w:szCs w:val="22"/>
        </w:rPr>
        <w:t>la parte Recurrente</w:t>
      </w:r>
      <w:r w:rsidRPr="00B729DF">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DB5D458" w14:textId="77777777" w:rsidR="00D82CFE" w:rsidRDefault="00DC623E">
      <w:pPr>
        <w:spacing w:before="240" w:after="240" w:line="360" w:lineRule="auto"/>
        <w:jc w:val="both"/>
        <w:rPr>
          <w:rFonts w:ascii="Palatino Linotype" w:eastAsia="Palatino Linotype" w:hAnsi="Palatino Linotype" w:cs="Palatino Linotype"/>
          <w:sz w:val="22"/>
          <w:szCs w:val="22"/>
        </w:rPr>
      </w:pPr>
      <w:r w:rsidRPr="00B729DF">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Pr="00B729DF">
        <w:rPr>
          <w:rFonts w:ascii="Palatino Linotype" w:eastAsia="Palatino Linotype" w:hAnsi="Palatino Linotype" w:cs="Palatino Linotype"/>
          <w:color w:val="000000"/>
        </w:rPr>
        <w:t>DÉCIMA TERCERA SESIÓN ORDINARIA CELEBRADA EL NUEVE</w:t>
      </w:r>
      <w:r w:rsidRPr="00B729DF">
        <w:rPr>
          <w:rFonts w:ascii="Palatino Linotype" w:eastAsia="Palatino Linotype" w:hAnsi="Palatino Linotype" w:cs="Palatino Linotype"/>
        </w:rPr>
        <w:t xml:space="preserve"> DE ABRIL DE DOS MIL VEINTICINCO, ANTE EL SECRETARIO TÉCNICO DEL PLENO ALEXIS TAPIA RAMÍREZ.</w:t>
      </w:r>
    </w:p>
    <w:p w14:paraId="639FFBF9" w14:textId="77777777" w:rsidR="00D82CFE" w:rsidRDefault="00D82CFE">
      <w:pPr>
        <w:spacing w:line="360" w:lineRule="auto"/>
        <w:ind w:right="141"/>
        <w:jc w:val="both"/>
        <w:rPr>
          <w:rFonts w:ascii="Palatino Linotype" w:eastAsia="Palatino Linotype" w:hAnsi="Palatino Linotype" w:cs="Palatino Linotype"/>
          <w:sz w:val="22"/>
          <w:szCs w:val="22"/>
        </w:rPr>
      </w:pPr>
    </w:p>
    <w:p w14:paraId="0B926EA7" w14:textId="77777777" w:rsidR="00D82CFE" w:rsidRDefault="00D82CFE">
      <w:pPr>
        <w:spacing w:line="360" w:lineRule="auto"/>
        <w:ind w:right="141"/>
        <w:jc w:val="both"/>
        <w:rPr>
          <w:rFonts w:ascii="Palatino Linotype" w:eastAsia="Palatino Linotype" w:hAnsi="Palatino Linotype" w:cs="Palatino Linotype"/>
          <w:sz w:val="22"/>
          <w:szCs w:val="22"/>
        </w:rPr>
      </w:pPr>
    </w:p>
    <w:p w14:paraId="0BABC56D" w14:textId="77777777" w:rsidR="00D82CFE" w:rsidRDefault="00D82CFE">
      <w:pPr>
        <w:spacing w:line="360" w:lineRule="auto"/>
        <w:ind w:right="141"/>
        <w:jc w:val="both"/>
        <w:rPr>
          <w:rFonts w:ascii="Palatino Linotype" w:eastAsia="Palatino Linotype" w:hAnsi="Palatino Linotype" w:cs="Palatino Linotype"/>
          <w:sz w:val="22"/>
          <w:szCs w:val="22"/>
        </w:rPr>
      </w:pPr>
    </w:p>
    <w:p w14:paraId="57C1A862" w14:textId="77777777" w:rsidR="00D82CFE" w:rsidRDefault="00D82CFE">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color w:val="000000"/>
          <w:sz w:val="22"/>
          <w:szCs w:val="22"/>
        </w:rPr>
      </w:pPr>
    </w:p>
    <w:p w14:paraId="3B65A3E0" w14:textId="77777777" w:rsidR="00D82CFE" w:rsidRDefault="00D82CFE">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sz w:val="22"/>
          <w:szCs w:val="22"/>
        </w:rPr>
      </w:pPr>
    </w:p>
    <w:p w14:paraId="454C8DE9" w14:textId="77777777" w:rsidR="00D82CFE" w:rsidRDefault="00D82CFE">
      <w:pPr>
        <w:spacing w:before="240" w:after="240" w:line="360" w:lineRule="auto"/>
        <w:jc w:val="both"/>
        <w:rPr>
          <w:rFonts w:ascii="Palatino Linotype" w:eastAsia="Palatino Linotype" w:hAnsi="Palatino Linotype" w:cs="Palatino Linotype"/>
          <w:sz w:val="22"/>
          <w:szCs w:val="22"/>
        </w:rPr>
      </w:pPr>
    </w:p>
    <w:p w14:paraId="24ECECB4" w14:textId="77777777" w:rsidR="00D82CFE" w:rsidRDefault="00D82CFE">
      <w:pPr>
        <w:spacing w:before="240" w:after="240" w:line="360" w:lineRule="auto"/>
        <w:jc w:val="both"/>
        <w:rPr>
          <w:rFonts w:ascii="Palatino Linotype" w:eastAsia="Palatino Linotype" w:hAnsi="Palatino Linotype" w:cs="Palatino Linotype"/>
          <w:b/>
        </w:rPr>
      </w:pPr>
    </w:p>
    <w:p w14:paraId="30416CB0" w14:textId="77777777" w:rsidR="00D82CFE" w:rsidRDefault="00D82CFE">
      <w:pPr>
        <w:spacing w:before="240" w:after="240" w:line="360" w:lineRule="auto"/>
        <w:jc w:val="both"/>
        <w:rPr>
          <w:rFonts w:ascii="Palatino Linotype" w:eastAsia="Palatino Linotype" w:hAnsi="Palatino Linotype" w:cs="Palatino Linotype"/>
          <w:b/>
        </w:rPr>
      </w:pPr>
    </w:p>
    <w:p w14:paraId="58F377B9" w14:textId="77777777" w:rsidR="00D82CFE" w:rsidRDefault="00D82CFE">
      <w:pPr>
        <w:spacing w:before="240" w:after="240" w:line="360" w:lineRule="auto"/>
        <w:jc w:val="both"/>
        <w:rPr>
          <w:rFonts w:ascii="Palatino Linotype" w:eastAsia="Palatino Linotype" w:hAnsi="Palatino Linotype" w:cs="Palatino Linotype"/>
          <w:b/>
        </w:rPr>
      </w:pPr>
    </w:p>
    <w:p w14:paraId="0F44E19B" w14:textId="77777777" w:rsidR="00D82CFE" w:rsidRDefault="00D82CFE">
      <w:pPr>
        <w:spacing w:line="360" w:lineRule="auto"/>
        <w:jc w:val="both"/>
        <w:rPr>
          <w:rFonts w:ascii="Palatino Linotype" w:eastAsia="Palatino Linotype" w:hAnsi="Palatino Linotype" w:cs="Palatino Linotype"/>
        </w:rPr>
      </w:pPr>
    </w:p>
    <w:p w14:paraId="608FB247" w14:textId="77777777" w:rsidR="00D82CFE" w:rsidRDefault="00D82CFE">
      <w:pPr>
        <w:spacing w:line="360" w:lineRule="auto"/>
        <w:jc w:val="both"/>
        <w:rPr>
          <w:rFonts w:ascii="Palatino Linotype" w:eastAsia="Palatino Linotype" w:hAnsi="Palatino Linotype" w:cs="Palatino Linotype"/>
        </w:rPr>
      </w:pPr>
    </w:p>
    <w:p w14:paraId="03B725C3" w14:textId="77777777" w:rsidR="00D82CFE" w:rsidRDefault="00D82CFE">
      <w:pPr>
        <w:spacing w:line="360" w:lineRule="auto"/>
        <w:jc w:val="both"/>
        <w:rPr>
          <w:rFonts w:ascii="Palatino Linotype" w:eastAsia="Palatino Linotype" w:hAnsi="Palatino Linotype" w:cs="Palatino Linotype"/>
        </w:rPr>
      </w:pPr>
    </w:p>
    <w:p w14:paraId="243066C2" w14:textId="77777777" w:rsidR="00D82CFE" w:rsidRDefault="00D82CFE">
      <w:pPr>
        <w:spacing w:line="360" w:lineRule="auto"/>
        <w:jc w:val="both"/>
        <w:rPr>
          <w:rFonts w:ascii="Palatino Linotype" w:eastAsia="Palatino Linotype" w:hAnsi="Palatino Linotype" w:cs="Palatino Linotype"/>
        </w:rPr>
      </w:pPr>
    </w:p>
    <w:p w14:paraId="6FE2EDCD" w14:textId="77777777" w:rsidR="00D82CFE" w:rsidRDefault="00D82CFE">
      <w:pPr>
        <w:spacing w:line="360" w:lineRule="auto"/>
        <w:jc w:val="both"/>
        <w:rPr>
          <w:rFonts w:ascii="Palatino Linotype" w:eastAsia="Palatino Linotype" w:hAnsi="Palatino Linotype" w:cs="Palatino Linotype"/>
        </w:rPr>
      </w:pPr>
    </w:p>
    <w:p w14:paraId="6FC9BCB1" w14:textId="77777777" w:rsidR="00D82CFE" w:rsidRDefault="00D82CFE">
      <w:pPr>
        <w:spacing w:line="360" w:lineRule="auto"/>
        <w:jc w:val="both"/>
        <w:rPr>
          <w:rFonts w:ascii="Palatino Linotype" w:eastAsia="Palatino Linotype" w:hAnsi="Palatino Linotype" w:cs="Palatino Linotype"/>
        </w:rPr>
      </w:pPr>
    </w:p>
    <w:p w14:paraId="2958CFCF" w14:textId="77777777" w:rsidR="00D82CFE" w:rsidRDefault="00D82CFE">
      <w:pPr>
        <w:spacing w:line="360" w:lineRule="auto"/>
        <w:jc w:val="both"/>
        <w:rPr>
          <w:rFonts w:ascii="Palatino Linotype" w:eastAsia="Palatino Linotype" w:hAnsi="Palatino Linotype" w:cs="Palatino Linotype"/>
        </w:rPr>
      </w:pPr>
    </w:p>
    <w:p w14:paraId="4F28F544" w14:textId="77777777" w:rsidR="00D82CFE" w:rsidRDefault="00D82CFE">
      <w:pPr>
        <w:spacing w:line="360" w:lineRule="auto"/>
        <w:jc w:val="both"/>
        <w:rPr>
          <w:rFonts w:ascii="Palatino Linotype" w:eastAsia="Palatino Linotype" w:hAnsi="Palatino Linotype" w:cs="Palatino Linotype"/>
        </w:rPr>
      </w:pPr>
    </w:p>
    <w:p w14:paraId="71560CF7" w14:textId="77777777" w:rsidR="00D82CFE" w:rsidRDefault="00D82CFE">
      <w:pPr>
        <w:spacing w:line="360" w:lineRule="auto"/>
        <w:jc w:val="both"/>
        <w:rPr>
          <w:rFonts w:ascii="Palatino Linotype" w:eastAsia="Palatino Linotype" w:hAnsi="Palatino Linotype" w:cs="Palatino Linotype"/>
        </w:rPr>
      </w:pPr>
    </w:p>
    <w:p w14:paraId="0D3C42B7" w14:textId="77777777" w:rsidR="00D82CFE" w:rsidRDefault="00D82CFE">
      <w:pPr>
        <w:spacing w:line="360" w:lineRule="auto"/>
        <w:jc w:val="both"/>
        <w:rPr>
          <w:rFonts w:ascii="Palatino Linotype" w:eastAsia="Palatino Linotype" w:hAnsi="Palatino Linotype" w:cs="Palatino Linotype"/>
        </w:rPr>
      </w:pPr>
    </w:p>
    <w:p w14:paraId="5BD81802" w14:textId="77777777" w:rsidR="00D82CFE" w:rsidRDefault="00D82CFE">
      <w:pPr>
        <w:spacing w:line="360" w:lineRule="auto"/>
        <w:jc w:val="both"/>
        <w:rPr>
          <w:rFonts w:ascii="Palatino Linotype" w:eastAsia="Palatino Linotype" w:hAnsi="Palatino Linotype" w:cs="Palatino Linotype"/>
        </w:rPr>
      </w:pPr>
    </w:p>
    <w:p w14:paraId="0C1DE10B" w14:textId="77777777" w:rsidR="00D82CFE" w:rsidRDefault="00D82CFE">
      <w:pPr>
        <w:spacing w:line="360" w:lineRule="auto"/>
        <w:jc w:val="both"/>
        <w:rPr>
          <w:rFonts w:ascii="Palatino Linotype" w:eastAsia="Palatino Linotype" w:hAnsi="Palatino Linotype" w:cs="Palatino Linotype"/>
        </w:rPr>
      </w:pPr>
    </w:p>
    <w:p w14:paraId="714F0E14" w14:textId="77777777" w:rsidR="00D82CFE" w:rsidRDefault="00D82CFE">
      <w:pPr>
        <w:spacing w:line="360" w:lineRule="auto"/>
        <w:jc w:val="both"/>
        <w:rPr>
          <w:rFonts w:ascii="Palatino Linotype" w:eastAsia="Palatino Linotype" w:hAnsi="Palatino Linotype" w:cs="Palatino Linotype"/>
        </w:rPr>
      </w:pPr>
    </w:p>
    <w:sectPr w:rsidR="00D82CFE">
      <w:headerReference w:type="default" r:id="rId12"/>
      <w:footerReference w:type="default" r:id="rId13"/>
      <w:headerReference w:type="first" r:id="rId14"/>
      <w:footerReference w:type="first" r:id="rId15"/>
      <w:pgSz w:w="12240" w:h="15840"/>
      <w:pgMar w:top="1985" w:right="1467" w:bottom="1701" w:left="170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E044" w14:textId="77777777" w:rsidR="005D52A5" w:rsidRDefault="005D52A5">
      <w:r>
        <w:separator/>
      </w:r>
    </w:p>
  </w:endnote>
  <w:endnote w:type="continuationSeparator" w:id="0">
    <w:p w14:paraId="6B1BA171" w14:textId="77777777" w:rsidR="005D52A5" w:rsidRDefault="005D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E72B" w14:textId="77777777" w:rsidR="00D82CFE" w:rsidRDefault="00DC623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729DF">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729DF">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1FAE1CFD" w14:textId="77777777" w:rsidR="00D82CFE" w:rsidRDefault="00D82CFE">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D44C" w14:textId="77777777" w:rsidR="00D82CFE" w:rsidRDefault="00DC623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729D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729DF">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592E6650" w14:textId="77777777" w:rsidR="00D82CFE" w:rsidRDefault="00D82CFE">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360F" w14:textId="77777777" w:rsidR="005D52A5" w:rsidRDefault="005D52A5">
      <w:r>
        <w:separator/>
      </w:r>
    </w:p>
  </w:footnote>
  <w:footnote w:type="continuationSeparator" w:id="0">
    <w:p w14:paraId="1F0DE1F3" w14:textId="77777777" w:rsidR="005D52A5" w:rsidRDefault="005D5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3E7A" w14:textId="77777777" w:rsidR="00D82CFE" w:rsidRDefault="00DC623E">
    <w:pPr>
      <w:rPr>
        <w:rFonts w:ascii="Cambria" w:eastAsia="Cambria" w:hAnsi="Cambria" w:cs="Cambria"/>
        <w:color w:val="000000"/>
      </w:rPr>
    </w:pPr>
    <w:r>
      <w:rPr>
        <w:noProof/>
      </w:rPr>
      <w:drawing>
        <wp:anchor distT="0" distB="0" distL="0" distR="0" simplePos="0" relativeHeight="251658240" behindDoc="1" locked="0" layoutInCell="1" hidden="0" allowOverlap="1" wp14:anchorId="51EFE87F" wp14:editId="7BB73C54">
          <wp:simplePos x="0" y="0"/>
          <wp:positionH relativeFrom="column">
            <wp:posOffset>-1080131</wp:posOffset>
          </wp:positionH>
          <wp:positionV relativeFrom="paragraph">
            <wp:posOffset>-488274</wp:posOffset>
          </wp:positionV>
          <wp:extent cx="7809865" cy="10165715"/>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a"/>
      <w:tblW w:w="5811" w:type="dxa"/>
      <w:tblInd w:w="3261" w:type="dxa"/>
      <w:tblLayout w:type="fixed"/>
      <w:tblLook w:val="0400" w:firstRow="0" w:lastRow="0" w:firstColumn="0" w:lastColumn="0" w:noHBand="0" w:noVBand="1"/>
    </w:tblPr>
    <w:tblGrid>
      <w:gridCol w:w="2489"/>
      <w:gridCol w:w="3322"/>
    </w:tblGrid>
    <w:tr w:rsidR="00D82CFE" w14:paraId="636B02C8" w14:textId="77777777">
      <w:tc>
        <w:tcPr>
          <w:tcW w:w="2489" w:type="dxa"/>
          <w:shd w:val="clear" w:color="auto" w:fill="auto"/>
        </w:tcPr>
        <w:p w14:paraId="125C8253" w14:textId="77777777" w:rsidR="00D82CFE" w:rsidRDefault="00DC623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322" w:type="dxa"/>
          <w:shd w:val="clear" w:color="auto" w:fill="auto"/>
          <w:vAlign w:val="center"/>
        </w:tcPr>
        <w:p w14:paraId="02005FE2" w14:textId="77777777" w:rsidR="00D82CFE" w:rsidRDefault="00DC623E">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02149/INFOEM/IP/RR/2025</w:t>
          </w:r>
        </w:p>
      </w:tc>
    </w:tr>
    <w:tr w:rsidR="00D82CFE" w14:paraId="0978E2B3" w14:textId="77777777">
      <w:trPr>
        <w:trHeight w:val="228"/>
      </w:trPr>
      <w:tc>
        <w:tcPr>
          <w:tcW w:w="2489" w:type="dxa"/>
          <w:shd w:val="clear" w:color="auto" w:fill="auto"/>
          <w:vAlign w:val="center"/>
        </w:tcPr>
        <w:p w14:paraId="1B569228" w14:textId="77777777" w:rsidR="00D82CFE" w:rsidRDefault="00DC623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322" w:type="dxa"/>
          <w:shd w:val="clear" w:color="auto" w:fill="auto"/>
          <w:vAlign w:val="center"/>
        </w:tcPr>
        <w:p w14:paraId="6331D302" w14:textId="77777777" w:rsidR="00D82CFE" w:rsidRDefault="00DC623E">
          <w:pPr>
            <w:ind w:left="-45"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para el Desarrollo Integral de la Familia del Estado de México</w:t>
          </w:r>
        </w:p>
      </w:tc>
    </w:tr>
    <w:tr w:rsidR="00D82CFE" w14:paraId="42B5E0B0" w14:textId="77777777">
      <w:tc>
        <w:tcPr>
          <w:tcW w:w="2489" w:type="dxa"/>
          <w:shd w:val="clear" w:color="auto" w:fill="auto"/>
          <w:vAlign w:val="center"/>
        </w:tcPr>
        <w:p w14:paraId="7D9DA0E0" w14:textId="77777777" w:rsidR="00D82CFE" w:rsidRDefault="00DC623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322" w:type="dxa"/>
          <w:shd w:val="clear" w:color="auto" w:fill="auto"/>
          <w:vAlign w:val="center"/>
        </w:tcPr>
        <w:p w14:paraId="2331A5E4" w14:textId="77777777" w:rsidR="00D82CFE" w:rsidRDefault="00DC623E">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6799701" w14:textId="77777777" w:rsidR="00D82CFE" w:rsidRDefault="00DC623E">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CAB2" w14:textId="77777777" w:rsidR="00D82CFE" w:rsidRDefault="00DC623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F926DCF" wp14:editId="6F8B6B73">
          <wp:simplePos x="0" y="0"/>
          <wp:positionH relativeFrom="column">
            <wp:posOffset>-1080126</wp:posOffset>
          </wp:positionH>
          <wp:positionV relativeFrom="paragraph">
            <wp:posOffset>-369901</wp:posOffset>
          </wp:positionV>
          <wp:extent cx="7809865" cy="10165715"/>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b"/>
      <w:tblW w:w="6095" w:type="dxa"/>
      <w:tblInd w:w="3261" w:type="dxa"/>
      <w:tblLayout w:type="fixed"/>
      <w:tblLook w:val="0400" w:firstRow="0" w:lastRow="0" w:firstColumn="0" w:lastColumn="0" w:noHBand="0" w:noVBand="1"/>
    </w:tblPr>
    <w:tblGrid>
      <w:gridCol w:w="2489"/>
      <w:gridCol w:w="3606"/>
    </w:tblGrid>
    <w:tr w:rsidR="00D82CFE" w14:paraId="624C95F2" w14:textId="77777777">
      <w:tc>
        <w:tcPr>
          <w:tcW w:w="2489" w:type="dxa"/>
          <w:shd w:val="clear" w:color="auto" w:fill="auto"/>
        </w:tcPr>
        <w:p w14:paraId="1907F70B" w14:textId="77777777" w:rsidR="00D82CFE" w:rsidRDefault="00DC623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619D1572" w14:textId="77777777" w:rsidR="00D82CFE" w:rsidRDefault="00DC623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02149/INFOEM/IP/RR/2025</w:t>
          </w:r>
        </w:p>
      </w:tc>
    </w:tr>
    <w:tr w:rsidR="00D82CFE" w14:paraId="7E99A447" w14:textId="77777777">
      <w:tc>
        <w:tcPr>
          <w:tcW w:w="2489" w:type="dxa"/>
          <w:shd w:val="clear" w:color="auto" w:fill="auto"/>
        </w:tcPr>
        <w:p w14:paraId="2F215575" w14:textId="77777777" w:rsidR="00D82CFE" w:rsidRDefault="00DC623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06" w:type="dxa"/>
          <w:shd w:val="clear" w:color="auto" w:fill="auto"/>
          <w:vAlign w:val="center"/>
        </w:tcPr>
        <w:p w14:paraId="2CD83C9A" w14:textId="31499E8B" w:rsidR="00D82CFE" w:rsidRDefault="00F803F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 XXXXXXXXXX </w:t>
          </w:r>
        </w:p>
      </w:tc>
    </w:tr>
    <w:tr w:rsidR="00D82CFE" w14:paraId="4272DA34" w14:textId="77777777">
      <w:trPr>
        <w:trHeight w:val="228"/>
      </w:trPr>
      <w:tc>
        <w:tcPr>
          <w:tcW w:w="2489" w:type="dxa"/>
          <w:shd w:val="clear" w:color="auto" w:fill="auto"/>
          <w:vAlign w:val="center"/>
        </w:tcPr>
        <w:p w14:paraId="67402ACE" w14:textId="77777777" w:rsidR="00D82CFE" w:rsidRDefault="00DC623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23B71A26" w14:textId="77777777" w:rsidR="00D82CFE" w:rsidRDefault="00DC623E">
          <w:pPr>
            <w:ind w:right="59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para el Desarrollo Integral de la Familia del Estado de México</w:t>
          </w:r>
        </w:p>
      </w:tc>
    </w:tr>
    <w:tr w:rsidR="00D82CFE" w14:paraId="2B93E7EA" w14:textId="77777777">
      <w:tc>
        <w:tcPr>
          <w:tcW w:w="2489" w:type="dxa"/>
          <w:shd w:val="clear" w:color="auto" w:fill="auto"/>
          <w:vAlign w:val="center"/>
        </w:tcPr>
        <w:p w14:paraId="4B29D1C9" w14:textId="77777777" w:rsidR="00D82CFE" w:rsidRDefault="00DC623E">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06" w:type="dxa"/>
          <w:shd w:val="clear" w:color="auto" w:fill="auto"/>
          <w:vAlign w:val="center"/>
        </w:tcPr>
        <w:p w14:paraId="1E61DE25" w14:textId="77777777" w:rsidR="00D82CFE" w:rsidRDefault="00DC623E">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434D7DE" w14:textId="77777777" w:rsidR="00D82CFE" w:rsidRDefault="00D82C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4388C"/>
    <w:multiLevelType w:val="multilevel"/>
    <w:tmpl w:val="089E0EC8"/>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62A0384"/>
    <w:multiLevelType w:val="multilevel"/>
    <w:tmpl w:val="32A07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CFE"/>
    <w:rsid w:val="004C03A5"/>
    <w:rsid w:val="005D52A5"/>
    <w:rsid w:val="00B729DF"/>
    <w:rsid w:val="00D82CFE"/>
    <w:rsid w:val="00DC623E"/>
    <w:rsid w:val="00F803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B13E"/>
  <w15:docId w15:val="{08D863D9-F4D4-48C7-B204-28D386FD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9"/>
    <w:tblPr>
      <w:tblStyleRowBandSize w:val="1"/>
      <w:tblStyleColBandSize w:val="1"/>
      <w:tblCellMar>
        <w:left w:w="115" w:type="dxa"/>
        <w:right w:w="115" w:type="dxa"/>
      </w:tblCellMar>
    </w:tblPr>
  </w:style>
  <w:style w:type="table" w:customStyle="1" w:styleId="a0">
    <w:basedOn w:val="TableNormal9"/>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806B5C"/>
    <w:rPr>
      <w:vertAlign w:val="superscript"/>
    </w:rPr>
  </w:style>
  <w:style w:type="table" w:customStyle="1" w:styleId="a1">
    <w:basedOn w:val="TableNormal9"/>
    <w:tblPr>
      <w:tblStyleRowBandSize w:val="1"/>
      <w:tblStyleColBandSize w:val="1"/>
      <w:tblCellMar>
        <w:left w:w="115" w:type="dxa"/>
        <w:right w:w="115" w:type="dxa"/>
      </w:tblCellMar>
    </w:tblPr>
  </w:style>
  <w:style w:type="table" w:customStyle="1" w:styleId="a2">
    <w:basedOn w:val="TableNormal9"/>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8"/>
    <w:tblPr>
      <w:tblStyleRowBandSize w:val="1"/>
      <w:tblStyleColBandSize w:val="1"/>
      <w:tblCellMar>
        <w:left w:w="115" w:type="dxa"/>
        <w:right w:w="115" w:type="dxa"/>
      </w:tblCellMar>
    </w:tblPr>
  </w:style>
  <w:style w:type="table" w:customStyle="1" w:styleId="a4">
    <w:basedOn w:val="TableNormal8"/>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7"/>
    <w:tblPr>
      <w:tblStyleRowBandSize w:val="1"/>
      <w:tblStyleColBandSize w:val="1"/>
      <w:tblCellMar>
        <w:left w:w="108" w:type="dxa"/>
        <w:right w:w="108" w:type="dxa"/>
      </w:tblCellMar>
    </w:tblPr>
  </w:style>
  <w:style w:type="table" w:customStyle="1" w:styleId="a6">
    <w:basedOn w:val="TableNormal7"/>
    <w:tblPr>
      <w:tblStyleRowBandSize w:val="1"/>
      <w:tblStyleColBandSize w:val="1"/>
      <w:tblCellMar>
        <w:left w:w="108" w:type="dxa"/>
        <w:right w:w="108" w:type="dxa"/>
      </w:tblCellMar>
    </w:tblPr>
  </w:style>
  <w:style w:type="table" w:customStyle="1" w:styleId="a7">
    <w:basedOn w:val="TableNormal7"/>
    <w:tblPr>
      <w:tblStyleRowBandSize w:val="1"/>
      <w:tblStyleColBandSize w:val="1"/>
      <w:tblCellMar>
        <w:left w:w="108" w:type="dxa"/>
        <w:right w:w="108" w:type="dxa"/>
      </w:tblCellMar>
    </w:tblPr>
  </w:style>
  <w:style w:type="table" w:customStyle="1" w:styleId="a8">
    <w:basedOn w:val="TableNormal7"/>
    <w:tblPr>
      <w:tblStyleRowBandSize w:val="1"/>
      <w:tblStyleColBandSize w:val="1"/>
      <w:tblCellMar>
        <w:left w:w="108" w:type="dxa"/>
        <w:right w:w="108" w:type="dxa"/>
      </w:tblCellMar>
    </w:tblPr>
  </w:style>
  <w:style w:type="table" w:customStyle="1" w:styleId="a9">
    <w:basedOn w:val="TableNormal7"/>
    <w:tblPr>
      <w:tblStyleRowBandSize w:val="1"/>
      <w:tblStyleColBandSize w:val="1"/>
      <w:tblCellMar>
        <w:left w:w="108" w:type="dxa"/>
        <w:right w:w="108" w:type="dxa"/>
      </w:tblCellMar>
    </w:tblPr>
  </w:style>
  <w:style w:type="table" w:customStyle="1" w:styleId="aa">
    <w:basedOn w:val="TableNormal7"/>
    <w:tblPr>
      <w:tblStyleRowBandSize w:val="1"/>
      <w:tblStyleColBandSize w:val="1"/>
      <w:tblCellMar>
        <w:left w:w="115" w:type="dxa"/>
        <w:right w:w="115" w:type="dxa"/>
      </w:tblCellMar>
    </w:tblPr>
  </w:style>
  <w:style w:type="table" w:customStyle="1" w:styleId="ab">
    <w:basedOn w:val="TableNormal7"/>
    <w:tblPr>
      <w:tblStyleRowBandSize w:val="1"/>
      <w:tblStyleColBandSize w:val="1"/>
      <w:tblCellMar>
        <w:left w:w="115" w:type="dxa"/>
        <w:right w:w="115" w:type="dxa"/>
      </w:tblCellMar>
    </w:tblPr>
  </w:style>
  <w:style w:type="table" w:customStyle="1" w:styleId="ac">
    <w:basedOn w:val="TableNormal6"/>
    <w:tblPr>
      <w:tblStyleRowBandSize w:val="1"/>
      <w:tblStyleColBandSize w:val="1"/>
      <w:tblCellMar>
        <w:left w:w="108" w:type="dxa"/>
        <w:right w:w="108" w:type="dxa"/>
      </w:tblCellMar>
    </w:tblPr>
  </w:style>
  <w:style w:type="table" w:customStyle="1" w:styleId="ad">
    <w:basedOn w:val="TableNormal6"/>
    <w:tblPr>
      <w:tblStyleRowBandSize w:val="1"/>
      <w:tblStyleColBandSize w:val="1"/>
      <w:tblCellMar>
        <w:left w:w="115" w:type="dxa"/>
        <w:right w:w="115" w:type="dxa"/>
      </w:tblCellMar>
    </w:tblPr>
  </w:style>
  <w:style w:type="table" w:customStyle="1" w:styleId="ae">
    <w:basedOn w:val="TableNormal6"/>
    <w:tblPr>
      <w:tblStyleRowBandSize w:val="1"/>
      <w:tblStyleColBandSize w:val="1"/>
      <w:tblCellMar>
        <w:left w:w="115" w:type="dxa"/>
        <w:right w:w="115" w:type="dxa"/>
      </w:tblCellMar>
    </w:tblPr>
  </w:style>
  <w:style w:type="table" w:customStyle="1" w:styleId="af">
    <w:basedOn w:val="TableNormal5"/>
    <w:tblPr>
      <w:tblStyleRowBandSize w:val="1"/>
      <w:tblStyleColBandSize w:val="1"/>
      <w:tblCellMar>
        <w:left w:w="115" w:type="dxa"/>
        <w:right w:w="115" w:type="dxa"/>
      </w:tblCellMar>
    </w:tblPr>
  </w:style>
  <w:style w:type="table" w:customStyle="1" w:styleId="af0">
    <w:basedOn w:val="TableNormal5"/>
    <w:tblPr>
      <w:tblStyleRowBandSize w:val="1"/>
      <w:tblStyleColBandSize w:val="1"/>
      <w:tblCellMar>
        <w:left w:w="115" w:type="dxa"/>
        <w:right w:w="115" w:type="dxa"/>
      </w:tblCellMar>
    </w:tblPr>
  </w:style>
  <w:style w:type="table" w:customStyle="1" w:styleId="af1">
    <w:basedOn w:val="TableNormal5"/>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paragraph" w:styleId="Listaconvietas">
    <w:name w:val="List Bullet"/>
    <w:basedOn w:val="Normal"/>
    <w:uiPriority w:val="99"/>
    <w:unhideWhenUsed/>
    <w:rsid w:val="00CA1155"/>
    <w:pPr>
      <w:tabs>
        <w:tab w:val="num" w:pos="720"/>
      </w:tabs>
      <w:ind w:left="720" w:hanging="720"/>
      <w:contextualSpacing/>
    </w:pPr>
    <w:rPr>
      <w:lang w:eastAsia="es-ES"/>
    </w:r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acebook.com/share/v/18FAQ4vPnd/?mibextid=wwXIfr" TargetMode="External"/><Relationship Id="rId4" Type="http://schemas.openxmlformats.org/officeDocument/2006/relationships/settings" Target="settings.xml"/><Relationship Id="rId9" Type="http://schemas.openxmlformats.org/officeDocument/2006/relationships/hyperlink" Target="https://www.facebook.com/share/v/18FAQ4vPnd/?mibextid=wwXIf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txm8gDYpuBraV9EqF5daQt2Vkg==">CgMxLjAyCWguNGQzNG9nODIIaC5namRneHMyCWguM2R5NnZrbTIJaC4zMGowemxsMgloLjJzOGV5bzEyCGgudHlqY3d0MgloLjN6bnlzaDcyDmgudDNqOGJ4eWFpdXBtOAByITFuMjE2QjBtNFBJVTRNcWVLTzl3Y1dpLWItcHc5cHJFbg==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3649</Words>
  <Characters>20070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2025-04-11T17:21:00Z</cp:lastPrinted>
  <dcterms:created xsi:type="dcterms:W3CDTF">2025-05-07T19:23:00Z</dcterms:created>
  <dcterms:modified xsi:type="dcterms:W3CDTF">2025-05-07T19:23:00Z</dcterms:modified>
</cp:coreProperties>
</file>